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CE4F294-3775-4CBE-92AC-312260829817" style="width:450.75pt;height:333.7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1"/>
        </w:numPr>
        <w:jc w:val="both"/>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INTRODUÇÃO</w:t>
      </w:r>
    </w:p>
    <w:p>
      <w:pPr>
        <w:spacing w:before="100" w:beforeAutospacing="1" w:after="100" w:afterAutospacing="1" w:line="240" w:lineRule="auto"/>
        <w:jc w:val="both"/>
        <w:rPr>
          <w:rFonts w:ascii="Times New Roman" w:hAnsi="Times New Roman"/>
          <w:noProof/>
          <w:color w:val="000000"/>
          <w:sz w:val="24"/>
          <w:szCs w:val="24"/>
        </w:rPr>
      </w:pPr>
      <w:r>
        <w:rPr>
          <w:rFonts w:ascii="Times New Roman" w:hAnsi="Times New Roman"/>
          <w:noProof/>
          <w:sz w:val="24"/>
          <w:szCs w:val="24"/>
        </w:rPr>
        <w:t>Há pouco mais de um ano que a Comissão lançou um debate</w:t>
      </w:r>
      <w:r>
        <w:rPr>
          <w:rStyle w:val="FootnoteReference"/>
          <w:rFonts w:ascii="Times New Roman" w:hAnsi="Times New Roman"/>
          <w:noProof/>
          <w:sz w:val="24"/>
          <w:szCs w:val="24"/>
          <w:lang w:eastAsia="en-GB"/>
        </w:rPr>
        <w:footnoteReference w:id="2"/>
      </w:r>
      <w:r>
        <w:rPr>
          <w:rFonts w:ascii="Times New Roman" w:hAnsi="Times New Roman"/>
          <w:noProof/>
          <w:sz w:val="24"/>
          <w:szCs w:val="24"/>
        </w:rPr>
        <w:t xml:space="preserve"> em torno de cinco possíveis cenários de evolução da União Europeia (UE) ao longo dos próximos anos para responder aos múltiplos desafios que enfrenta, que vão da globalização ao impacto das novas tecnologias na sociedade, passando pelas preocupações com a segurança e a ascensão do populismo.</w:t>
      </w:r>
      <w:r>
        <w:rPr>
          <w:rFonts w:ascii="Times New Roman" w:hAnsi="Times New Roman"/>
          <w:noProof/>
          <w:color w:val="000000"/>
          <w:sz w:val="24"/>
          <w:szCs w:val="24"/>
        </w:rPr>
        <w:t xml:space="preserve"> </w:t>
      </w:r>
      <w:r>
        <w:rPr>
          <w:rFonts w:ascii="Times New Roman" w:hAnsi="Times New Roman"/>
          <w:noProof/>
          <w:sz w:val="24"/>
        </w:rPr>
        <w:t>A Comissão considera que a União Aduaneira</w:t>
      </w:r>
      <w:r>
        <w:rPr>
          <w:rStyle w:val="FootnoteReference"/>
          <w:rFonts w:ascii="Times New Roman" w:hAnsi="Times New Roman"/>
          <w:noProof/>
          <w:sz w:val="24"/>
          <w:lang w:eastAsia="en-GB"/>
        </w:rPr>
        <w:footnoteReference w:id="3"/>
      </w:r>
      <w:r>
        <w:rPr>
          <w:rFonts w:ascii="Times New Roman" w:hAnsi="Times New Roman"/>
          <w:noProof/>
          <w:sz w:val="24"/>
        </w:rPr>
        <w:t>, que comemora este ano o seu 50.º aniversário, desempenha um importante papel na resposta a estes desafios e que, por conseguinte, o seu desenvolvimento é essencial.</w:t>
      </w:r>
    </w:p>
    <w:p>
      <w:pPr>
        <w:spacing w:before="100" w:beforeAutospacing="1" w:after="100" w:afterAutospacing="1" w:line="240" w:lineRule="auto"/>
        <w:jc w:val="both"/>
        <w:rPr>
          <w:rFonts w:ascii="Times New Roman" w:hAnsi="Times New Roman"/>
          <w:noProof/>
          <w:sz w:val="24"/>
          <w:szCs w:val="24"/>
        </w:rPr>
      </w:pPr>
      <w:r>
        <w:rPr>
          <w:rFonts w:ascii="Times New Roman" w:hAnsi="Times New Roman"/>
          <w:noProof/>
          <w:sz w:val="24"/>
          <w:szCs w:val="24"/>
        </w:rPr>
        <w:t>É uma das primeiras realizações da UE e pode ser considerada uma das suas principais histórias de sucesso</w:t>
      </w:r>
      <w:r>
        <w:rPr>
          <w:rFonts w:ascii="Times New Roman" w:hAnsi="Times New Roman"/>
          <w:noProof/>
          <w:sz w:val="24"/>
        </w:rPr>
        <w:t>.</w:t>
      </w:r>
      <w:r>
        <w:rPr>
          <w:noProof/>
          <w:sz w:val="23"/>
          <w:szCs w:val="23"/>
        </w:rPr>
        <w:t xml:space="preserve"> </w:t>
      </w:r>
      <w:r>
        <w:rPr>
          <w:rFonts w:ascii="Times New Roman" w:hAnsi="Times New Roman"/>
          <w:noProof/>
          <w:sz w:val="24"/>
          <w:szCs w:val="24"/>
        </w:rPr>
        <w:t xml:space="preserve">Permitiu que a UE não só a eliminasse as fronteiras internas, mas também competisse com o resto do mundo. </w:t>
      </w:r>
      <w:r>
        <w:rPr>
          <w:rFonts w:ascii="Times New Roman" w:hAnsi="Times New Roman"/>
          <w:noProof/>
          <w:sz w:val="24"/>
        </w:rPr>
        <w:t xml:space="preserve">O </w:t>
      </w:r>
      <w:r>
        <w:rPr>
          <w:rFonts w:ascii="Times New Roman" w:hAnsi="Times New Roman"/>
          <w:noProof/>
          <w:sz w:val="24"/>
          <w:szCs w:val="24"/>
        </w:rPr>
        <w:t>m</w:t>
      </w:r>
      <w:r>
        <w:rPr>
          <w:rFonts w:ascii="Times New Roman" w:hAnsi="Times New Roman"/>
          <w:iCs/>
          <w:noProof/>
          <w:sz w:val="24"/>
          <w:szCs w:val="24"/>
        </w:rPr>
        <w:t>ercado único da UE, que permite que os operadores estabelecidos na UE vendam os seus produtos e invistam em toda a União Europeia sem fronteiras internas, seria impossível sem o quadro de isenções que União Aduaneira faculta e o papel que esta última desempenha no controlo das importações e das exportações. Ao</w:t>
      </w:r>
      <w:r>
        <w:rPr>
          <w:rFonts w:ascii="Times New Roman" w:hAnsi="Times New Roman"/>
          <w:noProof/>
          <w:sz w:val="24"/>
          <w:szCs w:val="24"/>
        </w:rPr>
        <w:t xml:space="preserve"> nível internacional, a UE é atualmente o maior bloco comercial do mundo, representando 15 % do comércio mundial</w:t>
      </w:r>
      <w:r>
        <w:rPr>
          <w:rStyle w:val="FootnoteReference"/>
          <w:rFonts w:ascii="Times New Roman" w:hAnsi="Times New Roman"/>
          <w:noProof/>
          <w:sz w:val="24"/>
          <w:szCs w:val="24"/>
          <w:lang w:eastAsia="en-GB"/>
        </w:rPr>
        <w:footnoteReference w:id="4"/>
      </w:r>
      <w:r>
        <w:rPr>
          <w:rFonts w:ascii="Times New Roman" w:hAnsi="Times New Roman"/>
          <w:noProof/>
          <w:sz w:val="24"/>
          <w:szCs w:val="24"/>
        </w:rPr>
        <w:t xml:space="preserve">, detendo por isso uma posição muito mais forte nas negociações comerciais com países terceiros do que qualquer Estado-Membro isoladamente. </w:t>
      </w:r>
    </w:p>
    <w:p>
      <w:pPr>
        <w:spacing w:before="100" w:beforeAutospacing="1" w:after="100" w:afterAutospacing="1" w:line="240" w:lineRule="auto"/>
        <w:jc w:val="both"/>
        <w:rPr>
          <w:rFonts w:ascii="Times New Roman" w:hAnsi="Times New Roman"/>
          <w:noProof/>
          <w:sz w:val="24"/>
          <w:szCs w:val="24"/>
        </w:rPr>
      </w:pPr>
      <w:r>
        <w:rPr>
          <w:noProof/>
          <w:lang w:val="en-US"/>
        </w:rPr>
        <w:drawing>
          <wp:inline distT="0" distB="0" distL="0" distR="0">
            <wp:extent cx="5760720" cy="2600777"/>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600777"/>
                    </a:xfrm>
                    <a:prstGeom prst="rect">
                      <a:avLst/>
                    </a:prstGeom>
                    <a:noFill/>
                    <a:ln>
                      <a:noFill/>
                    </a:ln>
                  </pic:spPr>
                </pic:pic>
              </a:graphicData>
            </a:graphic>
          </wp:inline>
        </w:drawing>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szCs w:val="24"/>
        </w:rPr>
        <w:t>A União Aduaneira evoluiu consideravelmente ao longo dos últimos 50 anos e as administrações aduaneiras desempenham agora com sucesso uma vasta gama de funções nas fronteiras. As administrações aduaneiras dos Estados-Membros trabalham em conjunto para facilitar o comércio e reduzir a burocracia, cobrar receitas para os orçamentos nacionais e da União</w:t>
      </w:r>
      <w:r>
        <w:rPr>
          <w:rStyle w:val="FootnoteReference"/>
          <w:rFonts w:ascii="Times New Roman" w:hAnsi="Times New Roman"/>
          <w:noProof/>
          <w:sz w:val="24"/>
          <w:szCs w:val="24"/>
          <w:lang w:eastAsia="en-GB"/>
        </w:rPr>
        <w:footnoteReference w:id="5"/>
      </w:r>
      <w:r>
        <w:rPr>
          <w:rFonts w:ascii="Times New Roman" w:hAnsi="Times New Roman"/>
          <w:noProof/>
          <w:sz w:val="24"/>
          <w:szCs w:val="24"/>
        </w:rPr>
        <w:t xml:space="preserve"> e proteger os cidadãos contra as ameaças, nomeadamente de caráter ambiental, sanitário e terrorista. Tendo em conta este amplo mandato, as alfândegas são agora efetivamente a principal autoridade para o controlo de mercadorias nas fronteiras externas da UE. </w:t>
      </w:r>
    </w:p>
    <w:p>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Contudo, persistem vários desafios. As novas tendências e as novas tecnologias - a digitalização, a interligação, a Internet das coisas, as análises de dados, a inteligência artificial e as tecnologias </w:t>
      </w:r>
      <w:r>
        <w:rPr>
          <w:rFonts w:ascii="Times New Roman" w:hAnsi="Times New Roman"/>
          <w:i/>
          <w:noProof/>
          <w:sz w:val="24"/>
        </w:rPr>
        <w:t>blockchain</w:t>
      </w:r>
      <w:r>
        <w:rPr>
          <w:rFonts w:ascii="Times New Roman" w:hAnsi="Times New Roman"/>
          <w:noProof/>
          <w:sz w:val="24"/>
        </w:rPr>
        <w:t xml:space="preserve"> - representam tanto oportunidades como riscos. Emergem novos modelos empresariais, como o comércio eletrónico e a otimização da cadeia de abastecimento, que devem ser facilitados. Ao mesmo tempo, as finanças públicas encontram-se sob pressão, os volumes do comércio mundial estão a aumentar</w:t>
      </w:r>
      <w:r>
        <w:rPr>
          <w:rStyle w:val="FootnoteReference"/>
          <w:rFonts w:ascii="Times New Roman" w:hAnsi="Times New Roman"/>
          <w:noProof/>
          <w:sz w:val="24"/>
          <w:lang w:eastAsia="en-GB"/>
        </w:rPr>
        <w:footnoteReference w:id="6"/>
      </w:r>
      <w:r>
        <w:rPr>
          <w:rFonts w:ascii="Times New Roman" w:hAnsi="Times New Roman"/>
          <w:noProof/>
          <w:sz w:val="24"/>
        </w:rPr>
        <w:t>, a fraude e o contrabando representam uma constante e crescente preocupação</w:t>
      </w:r>
      <w:r>
        <w:rPr>
          <w:rStyle w:val="FootnoteReference"/>
          <w:rFonts w:ascii="Times New Roman" w:hAnsi="Times New Roman"/>
          <w:noProof/>
          <w:sz w:val="24"/>
          <w:lang w:eastAsia="en-GB"/>
        </w:rPr>
        <w:footnoteReference w:id="7"/>
      </w:r>
      <w:r>
        <w:rPr>
          <w:rStyle w:val="FootnoteReference"/>
          <w:rFonts w:ascii="Times New Roman" w:hAnsi="Times New Roman"/>
          <w:noProof/>
          <w:sz w:val="24"/>
          <w:lang w:eastAsia="en-GB"/>
        </w:rPr>
        <w:footnoteReference w:id="8"/>
      </w:r>
      <w:r>
        <w:rPr>
          <w:rFonts w:ascii="Times New Roman" w:hAnsi="Times New Roman"/>
          <w:noProof/>
          <w:sz w:val="24"/>
        </w:rPr>
        <w:t xml:space="preserve"> e subsistem a criminalidade transnacional e as ameaças à segurança. </w:t>
      </w:r>
      <w:r>
        <w:rPr>
          <w:rFonts w:ascii="Times New Roman" w:hAnsi="Times New Roman"/>
          <w:iCs/>
          <w:noProof/>
          <w:sz w:val="24"/>
          <w:szCs w:val="24"/>
        </w:rPr>
        <w:t xml:space="preserve">As estratégias adotadas noutros domínios de intervenção têm incidência nas alfândegas e multiplicam as funções que lhe são cometidas. São necessários recursos e financiamento, em particular para desenvolver e manter sistemas eletrónicos que hoje em dia são cruciais para o funcionamento da União Aduaneira. </w:t>
      </w:r>
      <w:r>
        <w:rPr>
          <w:rFonts w:ascii="Times New Roman" w:hAnsi="Times New Roman"/>
          <w:noProof/>
          <w:sz w:val="24"/>
        </w:rPr>
        <w:t>Entretanto, há que dar prioridade ao trabalho que decorre das muitas implicações de natureza aduaneira da saída do Reino Unido da UE. Tudo isto sujeita as autoridades aduaneiras da UE a uma pressão crescente.</w:t>
      </w:r>
      <w:r>
        <w:rPr>
          <w:rFonts w:ascii="Times New Roman" w:hAnsi="Times New Roman"/>
          <w:noProof/>
          <w:sz w:val="24"/>
          <w:szCs w:val="24"/>
        </w:rPr>
        <w:t xml:space="preserve"> </w:t>
      </w:r>
    </w:p>
    <w:p>
      <w:pPr>
        <w:widowControl w:val="0"/>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szCs w:val="24"/>
        </w:rPr>
        <w:t>Nos últimos anos, tem havido apelos para uma abordagem mais unificada da União Aduaneira e uma gestão mais eficaz e mais coerente à escala global, para fazer face a estes desafios. O Parlamento Europeu</w:t>
      </w:r>
      <w:r>
        <w:rPr>
          <w:rStyle w:val="FootnoteReference"/>
          <w:noProof/>
          <w:lang w:eastAsia="en-GB"/>
        </w:rPr>
        <w:footnoteReference w:id="9"/>
      </w:r>
      <w:r>
        <w:rPr>
          <w:rFonts w:ascii="Times New Roman" w:hAnsi="Times New Roman"/>
          <w:noProof/>
          <w:sz w:val="24"/>
          <w:szCs w:val="24"/>
        </w:rPr>
        <w:t xml:space="preserve"> chamou a atenção para o risco de a existência de diferentes sistemas eletrónicos nas alfândegas dos Estados-Membros gerar fragmentação, encargos administrativos adicionais e atrasos que impedem os fluxos transfronteiras de mercadorias. O Tribunal de Contas Europeu</w:t>
      </w:r>
      <w:r>
        <w:rPr>
          <w:rStyle w:val="FootnoteReference"/>
          <w:noProof/>
          <w:lang w:eastAsia="en-GB"/>
        </w:rPr>
        <w:footnoteReference w:id="10"/>
      </w:r>
      <w:r>
        <w:rPr>
          <w:rFonts w:ascii="Times New Roman" w:hAnsi="Times New Roman"/>
          <w:noProof/>
          <w:sz w:val="24"/>
          <w:szCs w:val="24"/>
        </w:rPr>
        <w:t xml:space="preserve"> declarou que a aplicação ineficaz dos procedimentos de importação, bem como as lacunas no quadro jurídico, estão a prejudicar os interesses financeiros da UE. O Comité Económico e Social Europeu</w:t>
      </w:r>
      <w:r>
        <w:rPr>
          <w:rStyle w:val="FootnoteReference"/>
          <w:rFonts w:ascii="Times New Roman" w:hAnsi="Times New Roman"/>
          <w:noProof/>
          <w:sz w:val="24"/>
          <w:szCs w:val="24"/>
          <w:lang w:eastAsia="en-GB"/>
        </w:rPr>
        <w:footnoteReference w:id="11"/>
      </w:r>
      <w:r>
        <w:rPr>
          <w:rFonts w:ascii="Times New Roman" w:hAnsi="Times New Roman"/>
          <w:noProof/>
          <w:sz w:val="24"/>
          <w:szCs w:val="24"/>
        </w:rPr>
        <w:t xml:space="preserve"> defendeu, nomeadamente, que a aplicação eficaz da legislação aduaneira implica esforços no sentido de minimizar a possibilidade de interpretações divergentes por parte das administrações dos Estados-Membros. </w:t>
      </w:r>
    </w:p>
    <w:p>
      <w:pPr>
        <w:widowControl w:val="0"/>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szCs w:val="24"/>
        </w:rPr>
        <w:t>Na sua comunicação de 2016 sobre o desenvolvimento da União Aduaneira da UE e da sua Governação (comunicação «Governação»)</w:t>
      </w:r>
      <w:r>
        <w:rPr>
          <w:rStyle w:val="FootnoteReference"/>
          <w:rFonts w:ascii="Times New Roman" w:hAnsi="Times New Roman"/>
          <w:noProof/>
          <w:sz w:val="24"/>
          <w:szCs w:val="24"/>
          <w:lang w:eastAsia="en-GB"/>
        </w:rPr>
        <w:footnoteReference w:id="12"/>
      </w:r>
      <w:r>
        <w:rPr>
          <w:rFonts w:ascii="Times New Roman" w:hAnsi="Times New Roman"/>
          <w:noProof/>
          <w:sz w:val="24"/>
          <w:szCs w:val="24"/>
        </w:rPr>
        <w:t>, a Comissão sugeriu soluções para fazer face a esses desafios, as quais incluem uma aplicação mais coesa e uniforme das disposições aduaneiras comuns, com base em políticas e estruturas operacionais reforçadas e assentes em parcerias. Preconizou também a melhoria da cooperação das alfândegas com outras autoridades na gestão das fronteiras e a segurança, assim como uma estratégia global de longo prazo para o desenvolvimento e a manutenção dos sistemas eletrónicos aduaneiros. Em março de 2017, o Conselho da União Europeia acolheu favoravelmente</w:t>
      </w:r>
      <w:r>
        <w:rPr>
          <w:rStyle w:val="FootnoteReference"/>
          <w:rFonts w:ascii="Times New Roman" w:hAnsi="Times New Roman"/>
          <w:noProof/>
          <w:sz w:val="24"/>
          <w:szCs w:val="24"/>
          <w:lang w:eastAsia="en-GB"/>
        </w:rPr>
        <w:footnoteReference w:id="13"/>
      </w:r>
      <w:r>
        <w:rPr>
          <w:rFonts w:ascii="Times New Roman" w:hAnsi="Times New Roman"/>
          <w:noProof/>
          <w:sz w:val="24"/>
          <w:szCs w:val="24"/>
        </w:rPr>
        <w:t xml:space="preserve"> a comunicação sobre a governação e convidou a Comissão a apresentar uma atualização num relatório bienal, com </w:t>
      </w:r>
      <w:r>
        <w:rPr>
          <w:rFonts w:ascii="Times New Roman" w:hAnsi="Times New Roman"/>
          <w:noProof/>
          <w:sz w:val="24"/>
          <w:szCs w:val="24"/>
        </w:rPr>
        <w:lastRenderedPageBreak/>
        <w:t>particular destaque para os domínios que o Conselho identificou como necessitando de uma atenção especial.</w:t>
      </w:r>
      <w:r>
        <w:rPr>
          <w:rFonts w:ascii="Times New Roman" w:hAnsi="Times New Roman"/>
          <w:iCs/>
          <w:noProof/>
          <w:sz w:val="24"/>
          <w:szCs w:val="24"/>
        </w:rPr>
        <w:t xml:space="preserve"> </w:t>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szCs w:val="24"/>
        </w:rPr>
        <w:t xml:space="preserve">Neste contexto, a presente comunicação analisa o funcionamento da União Aduaneira até à data e identifica algumas questões prioritárias. A Comunicação deverá servir para reforçar o diálogo com todas as partes interessadas, incluindo os cidadãos, as empresas, os Estados-Membros, o Parlamento Europeu e as outras instituições europeias, cujo contributo para o êxito da União Aduaneira é vital. </w:t>
      </w:r>
    </w:p>
    <w:p>
      <w:pPr>
        <w:autoSpaceDE w:val="0"/>
        <w:autoSpaceDN w:val="0"/>
        <w:adjustRightInd w:val="0"/>
        <w:spacing w:line="240" w:lineRule="auto"/>
        <w:jc w:val="both"/>
        <w:rPr>
          <w:rFonts w:ascii="Times New Roman" w:hAnsi="Times New Roman"/>
          <w:noProof/>
          <w:sz w:val="24"/>
          <w:szCs w:val="24"/>
          <w:lang w:eastAsia="en-GB"/>
        </w:rPr>
      </w:pPr>
    </w:p>
    <w:p>
      <w:pPr>
        <w:autoSpaceDE w:val="0"/>
        <w:autoSpaceDN w:val="0"/>
        <w:adjustRightInd w:val="0"/>
        <w:spacing w:line="240" w:lineRule="auto"/>
        <w:jc w:val="both"/>
        <w:rPr>
          <w:rFonts w:ascii="Times New Roman" w:hAnsi="Times New Roman"/>
          <w:noProof/>
          <w:sz w:val="24"/>
          <w:szCs w:val="24"/>
          <w:lang w:eastAsia="en-GB"/>
        </w:rPr>
      </w:pPr>
    </w:p>
    <w:p>
      <w:pPr>
        <w:autoSpaceDE w:val="0"/>
        <w:autoSpaceDN w:val="0"/>
        <w:adjustRightInd w:val="0"/>
        <w:spacing w:line="240" w:lineRule="auto"/>
        <w:jc w:val="both"/>
        <w:rPr>
          <w:rFonts w:ascii="Times New Roman" w:hAnsi="Times New Roman"/>
          <w:noProof/>
          <w:sz w:val="24"/>
          <w:szCs w:val="24"/>
          <w:lang w:eastAsia="en-GB"/>
        </w:rPr>
      </w:pPr>
    </w:p>
    <w:p>
      <w:pPr>
        <w:pStyle w:val="ListParagraph"/>
        <w:numPr>
          <w:ilvl w:val="0"/>
          <w:numId w:val="1"/>
        </w:numPr>
        <w:spacing w:after="100" w:afterAutospacing="1"/>
        <w:jc w:val="both"/>
        <w:rPr>
          <w:rFonts w:ascii="Times New Roman" w:hAnsi="Times New Roman" w:cs="Times New Roman"/>
          <w:b/>
          <w:noProof/>
          <w:sz w:val="24"/>
          <w:szCs w:val="24"/>
        </w:rPr>
      </w:pPr>
      <w:r>
        <w:rPr>
          <w:rFonts w:ascii="Times New Roman" w:hAnsi="Times New Roman"/>
          <w:b/>
          <w:noProof/>
          <w:sz w:val="24"/>
          <w:szCs w:val="24"/>
        </w:rPr>
        <w:t xml:space="preserve">CONTEXTO </w:t>
      </w: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iCs/>
          <w:noProof/>
          <w:sz w:val="24"/>
          <w:szCs w:val="24"/>
        </w:rPr>
        <w:t>O papel das alfândegas</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iCs/>
          <w:noProof/>
          <w:sz w:val="24"/>
          <w:szCs w:val="24"/>
        </w:rPr>
        <w:t xml:space="preserve">O mundo mudou de forma dramática nos cinquenta anos de existência da União Aduaneira, tal como o papel das autoridades aduaneiras dos Estados-Membros. Durante este período, para além de continuar a proteger os interesses financeiros da UE e dos seus Estados-Membros, as autoridades aduaneiras assumiram a responsabilidade pela execução dos aspetos transfronteiras de várias outras políticas comuns da UE, com um êxito considerável. Todas as mercadorias que entram ou saem do território da UE estão sujeitas a fiscalização aduaneira e podem ser submetidas a controlos aduaneiros. </w:t>
      </w:r>
    </w:p>
    <w:p>
      <w:pPr>
        <w:widowControl w:val="0"/>
        <w:autoSpaceDE w:val="0"/>
        <w:autoSpaceDN w:val="0"/>
        <w:adjustRightInd w:val="0"/>
        <w:spacing w:after="0" w:line="240" w:lineRule="auto"/>
        <w:jc w:val="both"/>
        <w:rPr>
          <w:rFonts w:ascii="Times New Roman" w:hAnsi="Times New Roman"/>
          <w:i/>
          <w:iCs/>
          <w:noProof/>
          <w:sz w:val="24"/>
          <w:szCs w:val="24"/>
          <w:lang w:eastAsia="en-GB"/>
        </w:rPr>
      </w:pP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iCs/>
          <w:noProof/>
          <w:sz w:val="24"/>
          <w:szCs w:val="24"/>
        </w:rPr>
        <w:t>Em especial, as alfândegas assumiram uma posição de primeira linha na luta contra o terrorismo e a criminalidade organizada. Na sequência dos ataques ao World Trade Centre de Nova Iorque em 2001, a UE reagiu com a introdução de alterações à legislação aduaneira</w:t>
      </w:r>
      <w:r>
        <w:rPr>
          <w:rStyle w:val="FootnoteReference"/>
          <w:rFonts w:ascii="Times New Roman" w:hAnsi="Times New Roman"/>
          <w:iCs/>
          <w:noProof/>
          <w:sz w:val="24"/>
          <w:szCs w:val="24"/>
          <w:lang w:eastAsia="en-GB"/>
        </w:rPr>
        <w:footnoteReference w:id="14"/>
      </w:r>
      <w:r>
        <w:rPr>
          <w:rFonts w:ascii="Times New Roman" w:hAnsi="Times New Roman"/>
          <w:iCs/>
          <w:noProof/>
          <w:sz w:val="24"/>
          <w:szCs w:val="24"/>
        </w:rPr>
        <w:t>. Foi possível desta forma definir e aplicar à escala da UE critérios de risco comuns na análise prévia dos riscos ligados às mercadorias, com um Quadro Comum de Gestão dos Riscos</w:t>
      </w:r>
      <w:r>
        <w:rPr>
          <w:rStyle w:val="FootnoteReference"/>
          <w:rFonts w:ascii="Times New Roman" w:hAnsi="Times New Roman"/>
          <w:iCs/>
          <w:noProof/>
          <w:sz w:val="24"/>
          <w:szCs w:val="24"/>
          <w:lang w:eastAsia="en-GB"/>
        </w:rPr>
        <w:footnoteReference w:id="15"/>
      </w:r>
      <w:r>
        <w:rPr>
          <w:rFonts w:ascii="Times New Roman" w:hAnsi="Times New Roman"/>
          <w:iCs/>
          <w:noProof/>
          <w:sz w:val="24"/>
          <w:szCs w:val="24"/>
        </w:rPr>
        <w:t xml:space="preserve"> para ajudar as alfândegas a partilhar informações sobre os riscos operacionais e os resultados, apoiando assim uma resposta rápida em caso de crise na cadeia de aprovisionamento. Acresce que as alfândegas controlam os movimentos de importantes volumes de numerário que os viajantes transportam à entrada e à saída da UE, no âmbito das ações que a UE leva a cabo para combater o branqueamento de capitais e o financiamento do terrorismo, além de que cooperam estreitamente com outras autoridades fronteiriças e de segurança para fazer face a tais ameaças.</w:t>
      </w:r>
    </w:p>
    <w:p>
      <w:pPr>
        <w:widowControl w:val="0"/>
        <w:autoSpaceDE w:val="0"/>
        <w:autoSpaceDN w:val="0"/>
        <w:adjustRightInd w:val="0"/>
        <w:spacing w:after="0" w:line="240" w:lineRule="auto"/>
        <w:jc w:val="both"/>
        <w:rPr>
          <w:rFonts w:ascii="Times New Roman" w:hAnsi="Times New Roman"/>
          <w:iCs/>
          <w:noProof/>
          <w:sz w:val="24"/>
          <w:szCs w:val="24"/>
          <w:lang w:eastAsia="en-GB"/>
        </w:rPr>
      </w:pPr>
    </w:p>
    <w:tbl>
      <w:tblPr>
        <w:tblStyle w:val="TableGrid"/>
        <w:tblW w:w="0" w:type="auto"/>
        <w:tblLook w:val="04A0" w:firstRow="1" w:lastRow="0" w:firstColumn="1" w:lastColumn="0" w:noHBand="0" w:noVBand="1"/>
      </w:tblPr>
      <w:tblGrid>
        <w:gridCol w:w="9288"/>
      </w:tblGrid>
      <w:tr>
        <w:trPr>
          <w:trHeight w:val="1080"/>
        </w:trPr>
        <w:tc>
          <w:tcPr>
            <w:tcW w:w="0" w:type="auto"/>
          </w:tcPr>
          <w:p>
            <w:pPr>
              <w:widowControl w:val="0"/>
              <w:autoSpaceDE w:val="0"/>
              <w:autoSpaceDN w:val="0"/>
              <w:adjustRightInd w:val="0"/>
              <w:jc w:val="center"/>
              <w:rPr>
                <w:rFonts w:ascii="Times New Roman" w:hAnsi="Times New Roman"/>
                <w:i/>
                <w:iCs/>
                <w:noProof/>
                <w:sz w:val="24"/>
                <w:szCs w:val="24"/>
              </w:rPr>
            </w:pPr>
            <w:r>
              <w:rPr>
                <w:rFonts w:ascii="Times New Roman" w:hAnsi="Times New Roman"/>
                <w:b/>
                <w:iCs/>
                <w:noProof/>
                <w:sz w:val="24"/>
                <w:szCs w:val="24"/>
              </w:rPr>
              <w:lastRenderedPageBreak/>
              <w:t>As alfândegas em números</w:t>
            </w:r>
            <w:r>
              <w:rPr>
                <w:rStyle w:val="FootnoteReference"/>
                <w:rFonts w:ascii="Times New Roman" w:hAnsi="Times New Roman"/>
                <w:b/>
                <w:iCs/>
                <w:noProof/>
                <w:sz w:val="24"/>
                <w:szCs w:val="24"/>
                <w:lang w:eastAsia="en-GB"/>
              </w:rPr>
              <w:footnoteReference w:id="16"/>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iCs/>
                <w:noProof/>
                <w:sz w:val="24"/>
                <w:szCs w:val="24"/>
              </w:rPr>
              <w:t>Cobrança de receitas</w:t>
            </w:r>
          </w:p>
          <w:p>
            <w:pPr>
              <w:pStyle w:val="ListParagraph"/>
              <w:widowControl w:val="0"/>
              <w:numPr>
                <w:ilvl w:val="0"/>
                <w:numId w:val="39"/>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Em 2016, as autoridades aduaneiras nacionais detetaram o equivalente a 537 milhões de euros</w:t>
            </w:r>
            <w:r>
              <w:rPr>
                <w:rStyle w:val="FootnoteReference"/>
                <w:rFonts w:ascii="Times New Roman" w:hAnsi="Times New Roman"/>
                <w:iCs/>
                <w:noProof/>
                <w:sz w:val="24"/>
                <w:szCs w:val="24"/>
                <w:lang w:eastAsia="en-GB"/>
              </w:rPr>
              <w:footnoteReference w:id="17"/>
            </w:r>
            <w:r>
              <w:rPr>
                <w:rFonts w:ascii="Times New Roman" w:hAnsi="Times New Roman"/>
                <w:iCs/>
                <w:noProof/>
                <w:sz w:val="24"/>
                <w:szCs w:val="24"/>
              </w:rPr>
              <w:t xml:space="preserve"> de direitos não pagos que devem ser restituídos ao orçamento da UE. </w:t>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iCs/>
                <w:noProof/>
                <w:sz w:val="24"/>
                <w:szCs w:val="24"/>
              </w:rPr>
              <w:t>Luta contra o terrorismo e a criminalidade organizada</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 xml:space="preserve">Em 2016, as autoridades aduaneiras da UE apreenderam quase 6 300 armas de fogo, mais de 1 milhão de munições e 1 500 unidades de munições e explosivos na UE. </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 xml:space="preserve">No mesmo ano, as autoridades aduaneiras apreenderam cerca de 300 toneladas de drogas (com um aumento das apreensões de cocaína e de drogas sintéticas); a quantidade de droga que as alfândegas apreendem no correio postal e expresso aumentou 23 % em relação a 2015, num total de 13 toneladas. </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As alfândegas tratam, em média, 100 mil declarações anuais de controlo de dinheiro líquido, o que representa um montante total declarado entre 60 e 70 mil milhões de euros, ao mesmo tempo que detetam 300 milhões de euros por ano de dinheiro líquido não declarado ou incorretamente declarado</w:t>
            </w:r>
            <w:r>
              <w:rPr>
                <w:rStyle w:val="FootnoteReference"/>
                <w:rFonts w:ascii="Times New Roman" w:hAnsi="Times New Roman"/>
                <w:iCs/>
                <w:noProof/>
                <w:sz w:val="24"/>
                <w:szCs w:val="24"/>
                <w:lang w:eastAsia="en-GB"/>
              </w:rPr>
              <w:footnoteReference w:id="18"/>
            </w:r>
            <w:r>
              <w:rPr>
                <w:rFonts w:ascii="Times New Roman" w:hAnsi="Times New Roman"/>
                <w:iCs/>
                <w:noProof/>
                <w:sz w:val="24"/>
                <w:szCs w:val="24"/>
              </w:rPr>
              <w:t>.</w:t>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iCs/>
                <w:noProof/>
                <w:sz w:val="24"/>
                <w:szCs w:val="24"/>
              </w:rPr>
              <w:t>Proteção dos direitos de propriedade intelectual — apreensões de mercadorias de contrafação e bens culturais</w:t>
            </w:r>
          </w:p>
          <w:p>
            <w:pPr>
              <w:pStyle w:val="ListParagraph"/>
              <w:numPr>
                <w:ilvl w:val="0"/>
                <w:numId w:val="22"/>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 xml:space="preserve">As autoridades aduaneiras detiveram mais de 41 milhões de produtos de contrafação que representa uma violação dos direitos de propriedade intelectual, com um valor estimado de cerca de 672 milhões de euros em 2016 (principalmente cigarros, brinquedos e géneros alimentícios). </w:t>
            </w:r>
          </w:p>
          <w:p>
            <w:pPr>
              <w:pStyle w:val="ListParagraph"/>
              <w:numPr>
                <w:ilvl w:val="0"/>
                <w:numId w:val="22"/>
              </w:numPr>
              <w:autoSpaceDE w:val="0"/>
              <w:autoSpaceDN w:val="0"/>
              <w:adjustRightInd w:val="0"/>
              <w:jc w:val="both"/>
              <w:rPr>
                <w:rFonts w:ascii="Times New Roman" w:hAnsi="Times New Roman" w:cs="Times New Roman"/>
                <w:noProof/>
                <w:sz w:val="24"/>
                <w:szCs w:val="24"/>
              </w:rPr>
            </w:pPr>
            <w:r>
              <w:rPr>
                <w:rFonts w:ascii="Times New Roman" w:hAnsi="Times New Roman"/>
                <w:noProof/>
                <w:sz w:val="24"/>
                <w:szCs w:val="24"/>
              </w:rPr>
              <w:t>No mesmo ano, as autoridades aduaneiras detetaram 96 casos de tentativas de contrabando de património europeu para fora da UE.</w:t>
            </w:r>
          </w:p>
          <w:p>
            <w:pPr>
              <w:widowControl w:val="0"/>
              <w:autoSpaceDE w:val="0"/>
              <w:autoSpaceDN w:val="0"/>
              <w:adjustRightInd w:val="0"/>
              <w:jc w:val="both"/>
              <w:rPr>
                <w:rFonts w:ascii="Times New Roman" w:hAnsi="Times New Roman"/>
                <w:i/>
                <w:noProof/>
                <w:sz w:val="24"/>
                <w:szCs w:val="24"/>
              </w:rPr>
            </w:pPr>
            <w:r>
              <w:rPr>
                <w:rFonts w:ascii="Times New Roman" w:hAnsi="Times New Roman"/>
                <w:i/>
                <w:noProof/>
                <w:sz w:val="24"/>
                <w:szCs w:val="24"/>
              </w:rPr>
              <w:t xml:space="preserve">Gestão dos fluxos comerciais entre as fronteiras da UE </w:t>
            </w:r>
          </w:p>
          <w:p>
            <w:pPr>
              <w:pStyle w:val="ListParagraph"/>
              <w:widowControl w:val="0"/>
              <w:numPr>
                <w:ilvl w:val="0"/>
                <w:numId w:val="12"/>
              </w:numPr>
              <w:autoSpaceDE w:val="0"/>
              <w:autoSpaceDN w:val="0"/>
              <w:adjustRightInd w:val="0"/>
              <w:jc w:val="both"/>
              <w:rPr>
                <w:noProof/>
              </w:rPr>
            </w:pPr>
            <w:r>
              <w:rPr>
                <w:rFonts w:ascii="Times New Roman" w:hAnsi="Times New Roman"/>
                <w:noProof/>
                <w:sz w:val="24"/>
                <w:szCs w:val="24"/>
              </w:rPr>
              <w:t>Em toda a UE, as autoridades aduaneiras tratam mais de 9 declarações aduaneiras por segundo e cobram mais de 100 mil euros de direitos por segundo, o que perfaz um total de 25 mil milhões de euros por ano.</w:t>
            </w:r>
            <w:r>
              <w:rPr>
                <w:rStyle w:val="FootnoteReference"/>
                <w:noProof/>
              </w:rPr>
              <w:t xml:space="preserve"> </w:t>
            </w:r>
          </w:p>
          <w:p>
            <w:pPr>
              <w:pStyle w:val="ListParagraph"/>
              <w:widowControl w:val="0"/>
              <w:numPr>
                <w:ilvl w:val="0"/>
                <w:numId w:val="12"/>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Atualmente, 99 % dos operadores comerciais da UE apresentam declarações aduaneiras por via eletrónica e poderão a curto prazo utilizar sistemas eletrónicos aduaneiros para outros aspetos das suas operações comerciais, de acordo com a aplicação em curso dos sistemas eletrónicos do Código Aduaneiro da União.</w:t>
            </w:r>
          </w:p>
          <w:p>
            <w:pPr>
              <w:pStyle w:val="ListParagraph"/>
              <w:numPr>
                <w:ilvl w:val="0"/>
                <w:numId w:val="12"/>
              </w:numPr>
              <w:spacing w:after="120"/>
              <w:jc w:val="both"/>
              <w:rPr>
                <w:rFonts w:ascii="Times New Roman" w:hAnsi="Times New Roman"/>
                <w:i/>
                <w:iCs/>
                <w:noProof/>
                <w:sz w:val="24"/>
                <w:szCs w:val="24"/>
              </w:rPr>
            </w:pPr>
            <w:r>
              <w:rPr>
                <w:rFonts w:ascii="Times New Roman" w:hAnsi="Times New Roman"/>
                <w:noProof/>
                <w:sz w:val="24"/>
                <w:szCs w:val="24"/>
              </w:rPr>
              <w:t xml:space="preserve">A velocidade do processo de desalfandegamento é atualmente muito elevada: mesmo as declarações aduaneiras apresentadas no âmbito do procedimento normal (ou seja, quando não está disponível o procedimento simplificado) são geralmente regularizadas no prazo de 1 hora (93 % em 2016). </w:t>
            </w:r>
          </w:p>
        </w:tc>
      </w:tr>
    </w:tbl>
    <w:p>
      <w:pPr>
        <w:widowControl w:val="0"/>
        <w:autoSpaceDE w:val="0"/>
        <w:autoSpaceDN w:val="0"/>
        <w:adjustRightInd w:val="0"/>
        <w:spacing w:after="0" w:line="240" w:lineRule="auto"/>
        <w:jc w:val="both"/>
        <w:rPr>
          <w:rFonts w:ascii="Times New Roman" w:hAnsi="Times New Roman"/>
          <w:iCs/>
          <w:noProof/>
          <w:sz w:val="24"/>
          <w:szCs w:val="24"/>
          <w:lang w:eastAsia="en-GB"/>
        </w:rPr>
      </w:pP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i/>
          <w:iCs/>
          <w:noProof/>
          <w:sz w:val="24"/>
          <w:szCs w:val="24"/>
        </w:rPr>
        <w:t>Quadro jurídico</w:t>
      </w:r>
      <w:r>
        <w:rPr>
          <w:rFonts w:ascii="Times New Roman" w:hAnsi="Times New Roman"/>
          <w:iCs/>
          <w:noProof/>
          <w:sz w:val="24"/>
          <w:szCs w:val="24"/>
        </w:rPr>
        <w:t xml:space="preserve"> </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szCs w:val="24"/>
        </w:rPr>
        <w:t xml:space="preserve">A legislação aduaneira é aprovada ao nível da UE, embora a sua aplicação seja da responsabilidade dos Estados-Membros por intermédio das respetivas administrações aduaneiras nacionais. Desde 2016 que o Código Aduaneiro da União prevê um quadro jurídico abrangente e atualizado de regras e procedimentos aduaneiros no território aduaneiro da UE, adaptado às realidades do comércio moderno e com normas de aplicação global, de modo a facilitar às empresas da UE as suas atividades internacionais. Foram conseguidos </w:t>
      </w:r>
      <w:r>
        <w:rPr>
          <w:rFonts w:ascii="Times New Roman" w:hAnsi="Times New Roman"/>
          <w:noProof/>
          <w:sz w:val="24"/>
          <w:szCs w:val="24"/>
        </w:rPr>
        <w:lastRenderedPageBreak/>
        <w:t>grandes progressos para tornar todos os processos aduaneiros totalmente eletrónicos, conforme exigido pelo novo Código</w:t>
      </w:r>
      <w:r>
        <w:rPr>
          <w:rStyle w:val="FootnoteReference"/>
          <w:rFonts w:ascii="Times New Roman" w:hAnsi="Times New Roman"/>
          <w:noProof/>
          <w:sz w:val="24"/>
          <w:szCs w:val="24"/>
          <w:lang w:eastAsia="en-GB"/>
        </w:rPr>
        <w:footnoteReference w:id="19"/>
      </w:r>
      <w:r>
        <w:rPr>
          <w:rFonts w:ascii="Times New Roman" w:hAnsi="Times New Roman"/>
          <w:noProof/>
          <w:sz w:val="24"/>
          <w:szCs w:val="24"/>
        </w:rPr>
        <w:t xml:space="preserve">. </w:t>
      </w:r>
      <w:r>
        <w:rPr>
          <w:rFonts w:ascii="Times New Roman" w:hAnsi="Times New Roman"/>
          <w:iCs/>
          <w:noProof/>
          <w:sz w:val="24"/>
          <w:szCs w:val="24"/>
        </w:rPr>
        <w:t xml:space="preserve">Além disso, as alfândegas aplicam mais de 60 atos legislativos não aduaneiros no âmbito da execução da vertente fronteiriça de outras políticas comuns da UE. Além disso, a legislação e os instrumentos não legislativos da UE permitem que as autoridades aduaneiras cooperem entre si para combater os riscos financeiros e de segurança, existindo acordos de cooperação internacional com muitos países terceiros. </w:t>
      </w:r>
    </w:p>
    <w:p>
      <w:pPr>
        <w:widowControl w:val="0"/>
        <w:autoSpaceDE w:val="0"/>
        <w:autoSpaceDN w:val="0"/>
        <w:adjustRightInd w:val="0"/>
        <w:spacing w:after="0" w:line="240" w:lineRule="auto"/>
        <w:jc w:val="both"/>
        <w:rPr>
          <w:rFonts w:ascii="Times New Roman" w:hAnsi="Times New Roman"/>
          <w:iCs/>
          <w:noProof/>
          <w:sz w:val="24"/>
          <w:szCs w:val="24"/>
          <w:lang w:eastAsia="en-GB"/>
        </w:rPr>
      </w:pP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iCs/>
          <w:noProof/>
          <w:sz w:val="24"/>
          <w:szCs w:val="24"/>
        </w:rPr>
        <w:t>Sistemas eletrónicos</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szCs w:val="24"/>
        </w:rPr>
        <w:t>A Comissão e os Estados-Membros têm trabalhado em conjunto no desenvolvimento e no funcionamento de sistemas eletrónicos para apoiar as operações aduaneiras desde 2008</w:t>
      </w:r>
      <w:r>
        <w:rPr>
          <w:rStyle w:val="FootnoteReference"/>
          <w:rFonts w:ascii="Times New Roman" w:hAnsi="Times New Roman"/>
          <w:iCs/>
          <w:noProof/>
          <w:sz w:val="24"/>
          <w:szCs w:val="24"/>
          <w:lang w:eastAsia="en-GB"/>
        </w:rPr>
        <w:footnoteReference w:id="20"/>
      </w:r>
      <w:r>
        <w:rPr>
          <w:rFonts w:ascii="Times New Roman" w:hAnsi="Times New Roman"/>
          <w:noProof/>
          <w:sz w:val="24"/>
          <w:szCs w:val="24"/>
        </w:rPr>
        <w:t>.</w:t>
      </w:r>
      <w:r>
        <w:rPr>
          <w:rFonts w:ascii="Times New Roman" w:hAnsi="Times New Roman"/>
          <w:iCs/>
          <w:noProof/>
          <w:sz w:val="24"/>
          <w:szCs w:val="24"/>
        </w:rPr>
        <w:t xml:space="preserve"> Estes sistemas abrangem os vários processos aduaneiros, incluindo as declarações aduaneiras, a circulação de mercadorias, incluindo o trânsito no interior e fora da UE e os fluxos de informação entre as administrações e com a Comissão</w:t>
      </w:r>
      <w:r>
        <w:rPr>
          <w:rStyle w:val="FootnoteReference"/>
          <w:rFonts w:ascii="Times New Roman" w:hAnsi="Times New Roman"/>
          <w:iCs/>
          <w:noProof/>
          <w:sz w:val="24"/>
          <w:szCs w:val="24"/>
          <w:lang w:eastAsia="en-GB"/>
        </w:rPr>
        <w:footnoteReference w:id="21"/>
      </w:r>
      <w:r>
        <w:rPr>
          <w:rFonts w:ascii="Times New Roman" w:hAnsi="Times New Roman"/>
          <w:iCs/>
          <w:noProof/>
          <w:sz w:val="24"/>
          <w:szCs w:val="24"/>
        </w:rPr>
        <w:t>. Incluem igualmente algumas bases de dados comuns, como as pautas. O desenvolvimento de dezassete sistemas eletrónicos</w:t>
      </w:r>
      <w:r>
        <w:rPr>
          <w:rStyle w:val="FootnoteReference"/>
          <w:rFonts w:ascii="Times New Roman" w:hAnsi="Times New Roman"/>
          <w:iCs/>
          <w:noProof/>
          <w:sz w:val="24"/>
          <w:szCs w:val="24"/>
          <w:lang w:eastAsia="en-GB"/>
        </w:rPr>
        <w:footnoteReference w:id="22"/>
      </w:r>
      <w:r>
        <w:rPr>
          <w:rFonts w:ascii="Times New Roman" w:hAnsi="Times New Roman"/>
          <w:iCs/>
          <w:noProof/>
          <w:sz w:val="24"/>
          <w:szCs w:val="24"/>
        </w:rPr>
        <w:t xml:space="preserve"> para gerir os processos definidos no Código Aduaneiro da União é um grande passo em frente para a informatização das alfândegas, e um marco essencial para que as administrações aduaneiras possam levar a cabo as suas tarefas, facilitando simultaneamente os fluxos comerciais. </w:t>
      </w:r>
    </w:p>
    <w:p>
      <w:pPr>
        <w:widowControl w:val="0"/>
        <w:autoSpaceDE w:val="0"/>
        <w:autoSpaceDN w:val="0"/>
        <w:adjustRightInd w:val="0"/>
        <w:spacing w:after="0" w:line="240" w:lineRule="auto"/>
        <w:jc w:val="both"/>
        <w:rPr>
          <w:rFonts w:ascii="Times New Roman" w:hAnsi="Times New Roman"/>
          <w:i/>
          <w:iCs/>
          <w:noProof/>
          <w:sz w:val="24"/>
          <w:szCs w:val="24"/>
          <w:lang w:eastAsia="en-GB"/>
        </w:rPr>
      </w:pP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iCs/>
          <w:noProof/>
          <w:sz w:val="24"/>
          <w:szCs w:val="24"/>
        </w:rPr>
        <w:t>Facilitação do comércio</w:t>
      </w:r>
    </w:p>
    <w:p>
      <w:pPr>
        <w:widowControl w:val="0"/>
        <w:spacing w:after="120" w:line="240" w:lineRule="auto"/>
        <w:jc w:val="both"/>
        <w:rPr>
          <w:rFonts w:ascii="Times New Roman" w:hAnsi="Times New Roman" w:cs="Times New Roman"/>
          <w:iCs/>
          <w:noProof/>
          <w:sz w:val="24"/>
          <w:szCs w:val="24"/>
        </w:rPr>
      </w:pPr>
      <w:r>
        <w:rPr>
          <w:rFonts w:ascii="Times New Roman" w:hAnsi="Times New Roman"/>
          <w:iCs/>
          <w:noProof/>
          <w:sz w:val="24"/>
          <w:szCs w:val="24"/>
        </w:rPr>
        <w:t>Subjacente à missão das autoridades aduaneiras</w:t>
      </w:r>
      <w:r>
        <w:rPr>
          <w:rStyle w:val="FootnoteReference"/>
          <w:rFonts w:ascii="Times New Roman" w:hAnsi="Times New Roman"/>
          <w:iCs/>
          <w:noProof/>
          <w:sz w:val="24"/>
          <w:szCs w:val="24"/>
          <w:lang w:eastAsia="en-GB"/>
        </w:rPr>
        <w:footnoteReference w:id="23"/>
      </w:r>
      <w:r>
        <w:rPr>
          <w:rFonts w:ascii="Times New Roman" w:hAnsi="Times New Roman"/>
          <w:iCs/>
          <w:noProof/>
          <w:sz w:val="24"/>
          <w:szCs w:val="24"/>
        </w:rPr>
        <w:t>, está o princípio geral, de que as autoridades aduaneiras devem equilibrar os seus controlos aduaneiros com a facilitação do comércio legítimo, de modo a ajudar a UE a prosperar e a desenvolver empresas competitivas. O Código Aduaneiro da União visa alcançar este equilíbrio, simplificando as regras e os procedimentos, introduzindo simultaneamente garantias obrigatórias e reforçando as regras de proteção e segurança.</w:t>
      </w:r>
    </w:p>
    <w:p>
      <w:pPr>
        <w:widowControl w:val="0"/>
        <w:spacing w:after="120" w:line="240" w:lineRule="auto"/>
        <w:jc w:val="both"/>
        <w:rPr>
          <w:rFonts w:ascii="Times New Roman" w:hAnsi="Times New Roman"/>
          <w:iCs/>
          <w:noProof/>
          <w:sz w:val="24"/>
          <w:szCs w:val="24"/>
        </w:rPr>
      </w:pPr>
      <w:r>
        <w:rPr>
          <w:rFonts w:ascii="Times New Roman" w:hAnsi="Times New Roman"/>
          <w:noProof/>
          <w:sz w:val="24"/>
        </w:rPr>
        <w:t>O regime de «operador económico autorizado»</w:t>
      </w:r>
      <w:r>
        <w:rPr>
          <w:rStyle w:val="FootnoteReference"/>
          <w:rFonts w:ascii="Times New Roman" w:hAnsi="Times New Roman"/>
          <w:noProof/>
          <w:sz w:val="24"/>
          <w:lang w:eastAsia="en-GB"/>
        </w:rPr>
        <w:footnoteReference w:id="24"/>
      </w:r>
      <w:r>
        <w:rPr>
          <w:rFonts w:ascii="Times New Roman" w:hAnsi="Times New Roman"/>
          <w:noProof/>
          <w:sz w:val="24"/>
        </w:rPr>
        <w:t xml:space="preserve"> constitui um instrumento importante para os controlos aduaneiros e a facilitação do comércio. O estatuto de operador económico autorizado confere alguns benefícios (por exemplo, menos controlos fronteiriços, comunicação simplificada, notação de risco reduzida, etc.) em troca de uma estreita cooperação com as autoridades aduaneiras para assegurar a segurança da cadeia de abastecimento. As empresas que pretendem beneficiar deste estatuto devem sujeitar-se a um rigoroso processo de certificação, previsto na legislação da União Europeia, e devem estar preparadas para tomar medidas adicionais a fim de poderem demonstrar a todo o momento às autoridades aduaneiras que estão em condições de cumprir plenamente as suas obrigações e contribuir ativamente para a segurança e a proteção das cadeias de abastecimento internacionais.</w:t>
      </w:r>
      <w:r>
        <w:rPr>
          <w:rFonts w:ascii="Times New Roman" w:hAnsi="Times New Roman"/>
          <w:iCs/>
          <w:noProof/>
          <w:sz w:val="24"/>
          <w:szCs w:val="24"/>
        </w:rPr>
        <w:t xml:space="preserve"> </w:t>
      </w:r>
      <w:r>
        <w:rPr>
          <w:rFonts w:ascii="Times New Roman" w:hAnsi="Times New Roman"/>
          <w:noProof/>
          <w:sz w:val="24"/>
        </w:rPr>
        <w:t xml:space="preserve">O Código Aduaneiro da União reforçou as vantagens deste estatuto, ao mesmo tempo que veio exigir que os potenciais operadores económicos autorizados cumprissem </w:t>
      </w:r>
      <w:r>
        <w:rPr>
          <w:rFonts w:ascii="Times New Roman" w:hAnsi="Times New Roman"/>
          <w:noProof/>
          <w:sz w:val="24"/>
        </w:rPr>
        <w:lastRenderedPageBreak/>
        <w:t>rigorosos requisitos adicionais. O número de operadores económicos autorizados ascendia a quase 16 000 no final de 2016 e a sua participação na cadeia de abastecimento chegou a 77 % no mesmo ano.</w:t>
      </w:r>
    </w:p>
    <w:p>
      <w:pPr>
        <w:widowControl w:val="0"/>
        <w:spacing w:after="0" w:line="240" w:lineRule="auto"/>
        <w:jc w:val="both"/>
        <w:rPr>
          <w:rFonts w:ascii="Times New Roman" w:hAnsi="Times New Roman"/>
          <w:iCs/>
          <w:noProof/>
          <w:sz w:val="24"/>
          <w:szCs w:val="24"/>
        </w:rPr>
      </w:pPr>
      <w:r>
        <w:rPr>
          <w:rFonts w:ascii="Times New Roman" w:hAnsi="Times New Roman"/>
          <w:noProof/>
          <w:sz w:val="24"/>
        </w:rPr>
        <w:t>São constantemente tomadas medidas para reforçar a gestão global do regime e a fim de assegurar uma abordagem uniforme no âmbito da União Aduaneira.</w:t>
      </w:r>
      <w:r>
        <w:rPr>
          <w:rFonts w:ascii="Times New Roman" w:hAnsi="Times New Roman"/>
          <w:iCs/>
          <w:noProof/>
          <w:sz w:val="24"/>
          <w:szCs w:val="24"/>
        </w:rPr>
        <w:t xml:space="preserve"> No entanto, o regime só será credível e eficaz se os Estados-Membros atuarem no sentido de garantir o seu controlo, em particular através da adoção de medidas imediatas quando são detetadas dificuldades ou situações de incumprimento. </w:t>
      </w:r>
      <w:r>
        <w:rPr>
          <w:rFonts w:ascii="Times New Roman" w:hAnsi="Times New Roman"/>
          <w:noProof/>
          <w:sz w:val="24"/>
        </w:rPr>
        <w:t>Neste contexto, os Estados-Membros procedem a um intercâmbio contínuo de informações sobre riscos específicos associados a todas as fases do processo inerente ao estatuto de OEA.</w:t>
      </w:r>
      <w:r>
        <w:rPr>
          <w:rFonts w:ascii="Times New Roman" w:hAnsi="Times New Roman"/>
          <w:iCs/>
          <w:noProof/>
          <w:sz w:val="24"/>
          <w:szCs w:val="24"/>
        </w:rPr>
        <w:t xml:space="preserve"> </w:t>
      </w:r>
    </w:p>
    <w:p>
      <w:pPr>
        <w:widowControl w:val="0"/>
        <w:spacing w:after="0" w:line="240" w:lineRule="auto"/>
        <w:jc w:val="both"/>
        <w:rPr>
          <w:rFonts w:ascii="Times New Roman" w:hAnsi="Times New Roman"/>
          <w:iCs/>
          <w:noProof/>
          <w:sz w:val="24"/>
          <w:szCs w:val="24"/>
          <w:lang w:eastAsia="en-GB"/>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szCs w:val="24"/>
        </w:rPr>
        <w:t>ANÁLISE DO FUNCIONAMENTO DA UNIÃO ADUANEIRA NOS DOMÍNIOS PRIORITÁRIOS</w:t>
      </w:r>
    </w:p>
    <w:p>
      <w:pPr>
        <w:spacing w:after="0"/>
        <w:jc w:val="both"/>
        <w:rPr>
          <w:rFonts w:ascii="Times New Roman" w:hAnsi="Times New Roman" w:cs="Times New Roman"/>
          <w:b/>
          <w:noProof/>
          <w:sz w:val="24"/>
          <w:szCs w:val="24"/>
        </w:rPr>
      </w:pPr>
    </w:p>
    <w:p>
      <w:pPr>
        <w:widowControl w:val="0"/>
        <w:autoSpaceDE w:val="0"/>
        <w:autoSpaceDN w:val="0"/>
        <w:adjustRightInd w:val="0"/>
        <w:spacing w:line="240" w:lineRule="auto"/>
        <w:jc w:val="both"/>
        <w:rPr>
          <w:rFonts w:ascii="Times New Roman" w:hAnsi="Times New Roman"/>
          <w:iCs/>
          <w:noProof/>
          <w:sz w:val="24"/>
          <w:szCs w:val="24"/>
        </w:rPr>
      </w:pPr>
      <w:r>
        <w:rPr>
          <w:rFonts w:ascii="Times New Roman" w:hAnsi="Times New Roman"/>
          <w:iCs/>
          <w:noProof/>
          <w:sz w:val="24"/>
          <w:szCs w:val="24"/>
        </w:rPr>
        <w:t>Não obstante as muitas realizações ao longo dos últimos cinquenta anos, a Comissão concorda com o Parlamento Europeu, o Tribunal de Contas e o Conselho quanto à necessidade de fazer mais para garantir que a União Aduaneira pode continuar a fazer face aos desafios futuros. O presente capítulo dá conta de evolução observada nos últimos anos para melhorar o funcionamento da União Aduaneira, tal como foi sugerido pela Comissão na sua comunicação sobre a governação, e confirmado pelo Conselho nas suas conclusões de março de 2017. O capítulo centra-se nos domínios prioritários que foram identificados pelo Conselho nas referidas conclusões. Faz igualmente referência ao trabalho em curso em prol de mais progressos em cada um dos domínios específicos que são examinados.</w:t>
      </w:r>
    </w:p>
    <w:p>
      <w:pPr>
        <w:pStyle w:val="NormalWeb"/>
        <w:spacing w:before="0" w:beforeAutospacing="0" w:after="0" w:afterAutospacing="0"/>
        <w:jc w:val="both"/>
        <w:rPr>
          <w:i/>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Implementação do Código Aduaneiro da União </w:t>
      </w:r>
    </w:p>
    <w:p>
      <w:pPr>
        <w:pStyle w:val="NormalWeb"/>
        <w:spacing w:before="0" w:beforeAutospacing="0"/>
        <w:jc w:val="both"/>
        <w:rPr>
          <w:iCs/>
          <w:noProof/>
        </w:rPr>
      </w:pPr>
      <w:r>
        <w:rPr>
          <w:noProof/>
        </w:rPr>
        <w:t>A plena aplicação de um quadro jurídico moderno e eficaz é fundamental para que a União Aduaneira funcione eficazmente. A Comissão apresentou recentemente um relatório</w:t>
      </w:r>
      <w:r>
        <w:rPr>
          <w:rStyle w:val="FootnoteReference"/>
          <w:noProof/>
        </w:rPr>
        <w:footnoteReference w:id="25"/>
      </w:r>
      <w:r>
        <w:rPr>
          <w:rStyle w:val="FootnoteReference"/>
          <w:noProof/>
        </w:rPr>
        <w:t xml:space="preserve"> </w:t>
      </w:r>
      <w:r>
        <w:rPr>
          <w:noProof/>
        </w:rPr>
        <w:t xml:space="preserve"> que dá conta da implementação do Código Aduaneiro da União, aplicado desde 1 de maio de 2016. As disposições legislativas estão a funcionar adequadamente, com debates regulares com os operadores económicos e com os Estados-Membros para resolver eventuais problemas de interpretação ou de aplicação. Além disso, a Comissão elaborou 15 módulos de formação em linha sobre o Código em 2016, a fim de apoiar a introdução e a implementação uniforme desta legislação. Os documentos de orientação que explicam os aspetos práticos da aplicação da regulamentação também desempenham um papel importante para a correta aplicação do Código. Os Estados-Membros e os representantes dos operadores económicos terem colaborado com a Comissão na conclusão das orientações necessárias e continuam a trabalhar em conjunto nas atualizações destes documentos, na medida do necessário.</w:t>
      </w:r>
    </w:p>
    <w:p>
      <w:pPr>
        <w:pStyle w:val="NormalWeb"/>
        <w:spacing w:before="0" w:beforeAutospacing="0"/>
        <w:jc w:val="both"/>
        <w:rPr>
          <w:iCs/>
          <w:noProof/>
        </w:rPr>
      </w:pPr>
      <w:r>
        <w:rPr>
          <w:noProof/>
        </w:rPr>
        <w:t>A maioria dos trabalhos relativos à melhoria ou à criação dos sistemas eletrónicos (17 no total) previstos no Código Aduaneiro da União ficará concluída em 2020. No entanto, alguns sistemas serão instalados mais gradualmente até 2025</w:t>
      </w:r>
      <w:r>
        <w:rPr>
          <w:rStyle w:val="FootnoteReference"/>
          <w:noProof/>
        </w:rPr>
        <w:footnoteReference w:id="26"/>
      </w:r>
      <w:r>
        <w:rPr>
          <w:rStyle w:val="FootnoteReference"/>
          <w:noProof/>
        </w:rPr>
        <w:t xml:space="preserve"> </w:t>
      </w:r>
      <w:r>
        <w:rPr>
          <w:noProof/>
        </w:rPr>
        <w:t>e dependem de financiamento no âmbito da próxima geração de programas de financiamento da UE no domínio aduaneiro.</w:t>
      </w:r>
      <w:r>
        <w:rPr>
          <w:noProof/>
          <w:sz w:val="28"/>
          <w:szCs w:val="28"/>
        </w:rPr>
        <w:t xml:space="preserve"> </w:t>
      </w:r>
      <w:r>
        <w:rPr>
          <w:noProof/>
        </w:rPr>
        <w:t xml:space="preserve">A entrega de todos os sistemas eletrónicos é crucial para permitir às administrações aduaneiras a gestão financeira, o controlo dos riscos e a facilitação do comércio. </w:t>
      </w:r>
    </w:p>
    <w:p>
      <w:pPr>
        <w:pStyle w:val="NormalWeb"/>
        <w:spacing w:before="0" w:beforeAutospacing="0" w:after="0" w:afterAutospacing="0"/>
        <w:jc w:val="both"/>
        <w:rPr>
          <w:iCs/>
          <w:noProof/>
        </w:rPr>
      </w:pPr>
      <w:r>
        <w:rPr>
          <w:noProof/>
        </w:rPr>
        <w:lastRenderedPageBreak/>
        <w:t xml:space="preserve">Uma importante tarefa para as administrações aduaneiras dos Estados-Membros reside na reavaliação de muitas das autorizações aduaneiras concedidas no âmbito do anterior quadro jurídico, o Código Aduaneiro Comunitário, que deverá estar concluído em maio de 2019. As autorizações são concedidas aos operadores económicos para diferentes fins, sobretudo para lhes permitir aplicar alguns procedimentos aduaneiros simplificados ou menos complexos. Um bom exemplo é a autorização que concede o estatuto de operador económico autorizado. Uma vez que as condições para a concessão de autorizações podem ter mudado por força do Código Aduaneiro da União, tendo-se tornado mais rigorosas e mais uniformes, em alguns casos, as autorizações existentes devem ser reexaminadas para que se possa garantir a rigorosa aplicação das novas regras </w:t>
      </w:r>
    </w:p>
    <w:p>
      <w:pPr>
        <w:pStyle w:val="NormalWeb"/>
        <w:spacing w:before="0" w:beforeAutospacing="0" w:after="0" w:afterAutospacing="0"/>
        <w:jc w:val="both"/>
        <w:rPr>
          <w:i/>
          <w:iCs/>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iCs/>
                <w:noProof/>
              </w:rPr>
            </w:pPr>
            <w:r>
              <w:rPr>
                <w:i/>
                <w:iCs/>
                <w:noProof/>
              </w:rPr>
              <w:t>A Comissão está a ajudar os Estados-Membros e os operadores económicos através de fóruns de discussão sobre as questões suscitadas neste processo de reavaliação das autorizações no período que decorre até maio de 2019. O processo de implementação do Código Aduaneiro da União e a rodagem das novas disposições e dos novos sistemas informáticos devem continuar a constituir uma prioridade para os próximos anos.</w:t>
            </w:r>
          </w:p>
        </w:tc>
      </w:tr>
    </w:tbl>
    <w:p>
      <w:pPr>
        <w:pStyle w:val="NormalWeb"/>
        <w:spacing w:before="0" w:beforeAutospacing="0" w:after="0" w:afterAutospacing="0"/>
        <w:jc w:val="both"/>
        <w:rPr>
          <w:i/>
          <w:iCs/>
          <w:noProof/>
        </w:rPr>
      </w:pPr>
    </w:p>
    <w:p>
      <w:pPr>
        <w:pStyle w:val="NormalWeb"/>
        <w:spacing w:before="0" w:beforeAutospacing="0" w:after="0" w:afterAutospacing="0"/>
        <w:jc w:val="both"/>
        <w:rPr>
          <w:i/>
          <w:iCs/>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Desenvolver uma estratégia global de médio e longo prazo para os sistemas informáticos aduaneiros</w:t>
      </w:r>
    </w:p>
    <w:p>
      <w:pPr>
        <w:pStyle w:val="ListBullet1"/>
        <w:numPr>
          <w:ilvl w:val="0"/>
          <w:numId w:val="0"/>
        </w:numPr>
        <w:spacing w:after="120"/>
        <w:rPr>
          <w:noProof/>
        </w:rPr>
      </w:pPr>
      <w:r>
        <w:rPr>
          <w:noProof/>
        </w:rPr>
        <w:t xml:space="preserve">Tal como a Comissão referiu na sua comunicação sobre a governação, as despesas de manutenção de sistemas eletrónicos aduaneiros a cada vez mais sofisticados ao nível da UE durante os próximos anos serão significativas e será necessário encontrar soluções para gerir esta situação. Além disso, colocam-se problemas a mais longo prazo, em relação à forma de evitar a duplicação de esforços e de recursos na atualização dos antigos sistemas eletrónicos em cada um dos Estados-Membros. Ao mesmo tempo, os sistemas eletrónicos são indispensáveis para o funcionamento eficaz e modernizado da União Aduaneira modernizada. </w:t>
      </w:r>
    </w:p>
    <w:p>
      <w:pPr>
        <w:spacing w:after="120" w:line="240" w:lineRule="auto"/>
        <w:jc w:val="both"/>
        <w:rPr>
          <w:rFonts w:ascii="Times New Roman" w:eastAsia="Times New Roman" w:hAnsi="Times New Roman"/>
          <w:noProof/>
          <w:sz w:val="24"/>
        </w:rPr>
      </w:pPr>
      <w:r>
        <w:rPr>
          <w:rFonts w:ascii="Times New Roman" w:hAnsi="Times New Roman"/>
          <w:noProof/>
          <w:sz w:val="24"/>
        </w:rPr>
        <w:t>Desde então, os Estados-Membros e a Comissão lançaram os amplos debates para tentar definir uma abordagem eficiente, eficaz e racionalizada da gestão dos sistemas eletrónicos. Foram realizados alguns progressos na identificação de soluções possíveis, tendo em conta a Agenda Digital, o potencial de abordagens interoperáveis e as implicações das inovações tecnológicas ao longo dos próximos anos.</w:t>
      </w:r>
    </w:p>
    <w:tbl>
      <w:tblPr>
        <w:tblStyle w:val="TableGrid"/>
        <w:tblW w:w="0" w:type="auto"/>
        <w:tblLook w:val="04A0" w:firstRow="1" w:lastRow="0" w:firstColumn="1" w:lastColumn="0" w:noHBand="0" w:noVBand="1"/>
      </w:tblPr>
      <w:tblGrid>
        <w:gridCol w:w="9288"/>
      </w:tblGrid>
      <w:tr>
        <w:tc>
          <w:tcPr>
            <w:tcW w:w="9288" w:type="dxa"/>
          </w:tcPr>
          <w:p>
            <w:pPr>
              <w:pStyle w:val="ListBullet1"/>
              <w:numPr>
                <w:ilvl w:val="0"/>
                <w:numId w:val="0"/>
              </w:numPr>
              <w:spacing w:after="120"/>
              <w:rPr>
                <w:i/>
                <w:noProof/>
              </w:rPr>
            </w:pPr>
            <w:r>
              <w:rPr>
                <w:i/>
                <w:noProof/>
              </w:rPr>
              <w:t>A Comissão adotou recentemente um relatório intercalar</w:t>
            </w:r>
            <w:r>
              <w:rPr>
                <w:rStyle w:val="FootnoteReference"/>
                <w:i/>
                <w:noProof/>
                <w:lang w:val="en-GB"/>
              </w:rPr>
              <w:footnoteReference w:id="27"/>
            </w:r>
            <w:r>
              <w:rPr>
                <w:i/>
                <w:noProof/>
              </w:rPr>
              <w:t xml:space="preserve"> sobre uma estratégia informática no domínio aduaneiro, a fim de contribuir para orientar o debate necessário ao longo dos próximos anos. A prioridade é a criação de um «grupo catalisador» composto de Estados-Membros interessados e da Comissão, para explorar as questões específicas mencionadas no relatório intercalar. O objetivo, conforme consta do relatório intercalar deverá consistir no estabelecimento o de um cenário viável a mais longo praz e de um método para lá chegar, designadamente através de outros «projetos piloto» e do estabelecimento de sinergias com outros intervenientes, assim como através de análises jurídicas e de exercícios de custos-benefícios. A Comissão está disposta a participar ativamente neste trabalho.</w:t>
            </w:r>
          </w:p>
        </w:tc>
      </w:tr>
    </w:tbl>
    <w:p>
      <w:pPr>
        <w:pStyle w:val="ListBullet1"/>
        <w:numPr>
          <w:ilvl w:val="0"/>
          <w:numId w:val="0"/>
        </w:numPr>
        <w:spacing w:after="120"/>
        <w:rPr>
          <w:i/>
          <w:noProof/>
          <w:lang w:val="en-GB"/>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Melhorar a governação da União Aduaneira </w:t>
      </w:r>
    </w:p>
    <w:p>
      <w:pPr>
        <w:pStyle w:val="ListBullet1"/>
        <w:numPr>
          <w:ilvl w:val="0"/>
          <w:numId w:val="0"/>
        </w:numPr>
        <w:spacing w:after="120"/>
        <w:rPr>
          <w:noProof/>
        </w:rPr>
      </w:pPr>
      <w:r>
        <w:rPr>
          <w:noProof/>
        </w:rPr>
        <w:t xml:space="preserve">O Conselho e a Comissão concordam com a necessidade de uma política global de longo prazo e de uma visão comum da gestão operacional para a União Aduaneira, o que permitirá </w:t>
      </w:r>
      <w:r>
        <w:rPr>
          <w:noProof/>
        </w:rPr>
        <w:lastRenderedPageBreak/>
        <w:t xml:space="preserve">que as decisões necessárias sejam tomadas de forma inclusiva e em parceria entre as diferentes políticas com as diferentes partes interessadas, tendo em conta as necessidades de todos. </w:t>
      </w:r>
    </w:p>
    <w:p>
      <w:pPr>
        <w:pStyle w:val="ListBullet1"/>
        <w:numPr>
          <w:ilvl w:val="0"/>
          <w:numId w:val="0"/>
        </w:numPr>
        <w:spacing w:after="120"/>
        <w:rPr>
          <w:noProof/>
        </w:rPr>
      </w:pPr>
      <w:r>
        <w:rPr>
          <w:noProof/>
        </w:rPr>
        <w:t xml:space="preserve">Um dos grupos a utilizar para efeitos desta gestão partilhada da União Aduaneira é o grupo consultivo dos diretores-gerais das alfândegas da Comissão (o Grupo de Política Aduaneira). A participação do Grupo de Política Aduaneira no exame das datas de implementação dos sistemas eletrónicos previstos no Código Aduaneiro da União é um exemplo recente de como uma parceria reforçada entre a Comissão e os Estados-Membros pode contribuir para a gestão eficaz das prioridades dos serviços aduaneiros. A Comissão propõe conferir a este grupo um papel mais claro e mais específico no que respeita aos trabalhos sobre a União Aduaneira. </w:t>
      </w:r>
    </w:p>
    <w:tbl>
      <w:tblPr>
        <w:tblStyle w:val="TableGrid"/>
        <w:tblW w:w="0" w:type="auto"/>
        <w:tblLook w:val="04A0" w:firstRow="1" w:lastRow="0" w:firstColumn="1" w:lastColumn="0" w:noHBand="0" w:noVBand="1"/>
      </w:tblPr>
      <w:tblGrid>
        <w:gridCol w:w="9288"/>
      </w:tblGrid>
      <w:tr>
        <w:tc>
          <w:tcPr>
            <w:tcW w:w="9288" w:type="dxa"/>
          </w:tcPr>
          <w:p>
            <w:pPr>
              <w:pStyle w:val="ListBullet1"/>
              <w:numPr>
                <w:ilvl w:val="0"/>
                <w:numId w:val="0"/>
              </w:numPr>
              <w:spacing w:after="120"/>
              <w:rPr>
                <w:i/>
                <w:noProof/>
              </w:rPr>
            </w:pPr>
            <w:r>
              <w:rPr>
                <w:noProof/>
              </w:rPr>
              <w:t>A Comissão lançou o processo de conversão do Grupo de Política Aduaneira num grupo de peritos, com atribuições claras e um regulamento interno</w:t>
            </w:r>
            <w:r>
              <w:rPr>
                <w:rStyle w:val="FootnoteReference"/>
                <w:i/>
                <w:noProof/>
                <w:lang w:val="en-GB"/>
              </w:rPr>
              <w:footnoteReference w:id="28"/>
            </w:r>
            <w:r>
              <w:rPr>
                <w:noProof/>
              </w:rPr>
              <w:t>.</w:t>
            </w:r>
            <w:r>
              <w:rPr>
                <w:i/>
                <w:noProof/>
              </w:rPr>
              <w:t xml:space="preserve"> </w:t>
            </w:r>
          </w:p>
        </w:tc>
      </w:tr>
    </w:tbl>
    <w:p>
      <w:pPr>
        <w:pStyle w:val="ListParagraph"/>
        <w:spacing w:after="0"/>
        <w:ind w:left="2340"/>
        <w:jc w:val="both"/>
        <w:rPr>
          <w:rFonts w:ascii="Times New Roman" w:hAnsi="Times New Roman" w:cs="Times New Roman"/>
          <w:b/>
          <w:noProof/>
          <w:sz w:val="24"/>
          <w:szCs w:val="24"/>
        </w:rPr>
      </w:pPr>
    </w:p>
    <w:p>
      <w:pPr>
        <w:pStyle w:val="ListParagraph"/>
        <w:spacing w:after="0"/>
        <w:ind w:left="234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Continuar a melhorar o desempenho da União Aduaneira </w:t>
      </w:r>
    </w:p>
    <w:p>
      <w:pPr>
        <w:pStyle w:val="NormalWeb"/>
        <w:spacing w:before="0" w:beforeAutospacing="0"/>
        <w:jc w:val="both"/>
        <w:rPr>
          <w:noProof/>
        </w:rPr>
      </w:pPr>
      <w:r>
        <w:rPr>
          <w:noProof/>
        </w:rPr>
        <w:t>Uma política contínua de monitorização, análise e avaliação de possíveis impactos constituem elementos essenciais da governação da União Aduaneira. Para esse efeito, a Comissão tem vindo a trabalhar no desenvolvimento da ferramenta de desempenho da União Aduaneira para ajudar a formulação de políticas e a tomada de decisões estratégicas. Esta ferramenta deverá permitir uma avaliação sistemática do desempenho da União Aduaneira à luz dos seus objetivos estratégicos em termos de eficiência, eficácia e uniformidade, através da análise das principais tendências e, consequentemente, da identificação de domínios passíveis de melhorias. Trata-se de um instrumento indispensável para sensibilizar para as conquistas e o valor acrescentado da União Europeia junto dos seus principais interessados e do público em geral.</w:t>
      </w:r>
    </w:p>
    <w:p>
      <w:pPr>
        <w:pStyle w:val="NormalWeb"/>
        <w:spacing w:before="0" w:beforeAutospacing="0"/>
        <w:jc w:val="both"/>
        <w:rPr>
          <w:i/>
          <w:noProof/>
        </w:rPr>
      </w:pPr>
      <w:r>
        <w:rPr>
          <w:noProof/>
        </w:rPr>
        <w:t>Esta ferramenta permite avaliar o funcionamento da União Aduaneira, com base em indicadores-chave de desempenho numa série de domínios, como a proteção de interesses financeiros, a segurança dos cidadãos da UE e a avaliação da contribuição das alfândegas para o crescimento e a competitividade da UE. Embora o desempenho da União Aduaneira já esteja comprovado, há que continuar a desenvolvê-lo de modo a reforçar a elaboração de políticas baseada em dados, designadamente mediante o desenvolvimento de indicadores de desempenho e a intensificação da utilização do sistema de valores de referência, bem como de métodos e instrumentos analíticos modernos. Este trabalho é essencial para tirar partido das sinergias entre a Comissão, as autoridades aduaneiras, outras autoridades com responsabilidades em matéria de gestão das fronteiras e as organizações internacionais, a fim de permitir a reutilização das fontes de dados e evitar eventuais duplicações.</w:t>
      </w:r>
      <w:r>
        <w:rPr>
          <w:i/>
          <w:noProof/>
        </w:rPr>
        <w:t xml:space="preserve"> </w:t>
      </w:r>
    </w:p>
    <w:p>
      <w:pPr>
        <w:pStyle w:val="NormalWeb"/>
        <w:pBdr>
          <w:top w:val="single" w:sz="4" w:space="1" w:color="auto"/>
          <w:left w:val="single" w:sz="4" w:space="4" w:color="auto"/>
          <w:bottom w:val="single" w:sz="4" w:space="1" w:color="auto"/>
          <w:right w:val="single" w:sz="4" w:space="4" w:color="auto"/>
        </w:pBdr>
        <w:spacing w:before="0" w:beforeAutospacing="0"/>
        <w:jc w:val="both"/>
        <w:rPr>
          <w:i/>
          <w:noProof/>
        </w:rPr>
      </w:pPr>
      <w:r>
        <w:rPr>
          <w:i/>
          <w:noProof/>
        </w:rPr>
        <w:t>A futura Presidência Austríaca comprometeu-se a apoiar este trabalho e a reforçar a dimensão estratégica dos resultados da União Aduaneira através da organização de um seminário de alto nível sobre o assunto, no outono de 2018. A Comissão continuará a consultar as partes interessadas e a analisar a necessidade e a viabilidade de uma base jurídica para apoiar o projeto relativo ao desempenho da União Aduaneira, como já indicado na comunicação sobre a governação.</w:t>
      </w:r>
    </w:p>
    <w:p>
      <w:pPr>
        <w:pStyle w:val="ListParagraph"/>
        <w:spacing w:after="0"/>
        <w:ind w:left="132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Balcão único </w:t>
      </w:r>
    </w:p>
    <w:p>
      <w:pPr>
        <w:pStyle w:val="NormalWeb"/>
        <w:spacing w:before="0" w:beforeAutospacing="0" w:after="0" w:afterAutospacing="0"/>
        <w:jc w:val="both"/>
        <w:rPr>
          <w:noProof/>
        </w:rPr>
      </w:pPr>
      <w:r>
        <w:rPr>
          <w:noProof/>
        </w:rPr>
        <w:t>A Comissão está a trabalhar no desenvolvimento de uma interface única para as alfândegas da UE que permitirá a um operador económico apresentar os dados necessários para uma vasta gama de objetivos regulamentares (veterinários, sanitários, ambientais, etc.) num formato normalizado a vários destinatários, e através de pontos de acesso harmonizados. Uma interface aduaneira única pode trazer benefícios múltiplos, beneficiando tanto os operadores económicos como autoridades reguladoras. Trata-se de uma área complexa, onde é necessário cuidado para evitar a duplicação e custos desnecessários. À luz do que precede, a Comissão e os Estados-Membros acordaram em implementar o ambiente de balcão único aduaneiro através de uma abordagem faseada. A primeira fase consiste na disponibilização de instrumentos para ligar sistemas de certificados da UE com os sistemas nacionais, de modo a permitir a aceitação automática, pelas autoridades aduaneiras dos Estados-Membros de certificados eletrónicos emitidos por outras autoridades, para as quais é constituída uma base de dados ao nível da UE. Uma possível fase seguinte poderá ter por objetivo proporcionar um enquadramento para apoiar o estabelecimento de um ambiente integrado e coerente de serviços de balcão único aduaneiro na UE.</w:t>
      </w:r>
    </w:p>
    <w:p>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noProof/>
              </w:rPr>
            </w:pPr>
            <w:r>
              <w:rPr>
                <w:i/>
                <w:noProof/>
              </w:rPr>
              <w:t>A Comissão continua a trabalhar em prol de um sistema de balcão único para as alfândegas da UE e, neste contexto, ponderará eventuais novas medidas.</w:t>
            </w:r>
          </w:p>
        </w:tc>
      </w:tr>
    </w:tbl>
    <w:p>
      <w:pPr>
        <w:spacing w:after="0"/>
        <w:ind w:left="198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Melhorar a cooperação aduaneira e fiscal</w:t>
      </w:r>
    </w:p>
    <w:p>
      <w:pPr>
        <w:pStyle w:val="NormalWeb"/>
        <w:spacing w:before="0" w:beforeAutospacing="0" w:after="0" w:afterAutospacing="0"/>
        <w:jc w:val="both"/>
        <w:rPr>
          <w:noProof/>
        </w:rPr>
      </w:pPr>
      <w:r>
        <w:rPr>
          <w:noProof/>
        </w:rPr>
        <w:t>A necessidade de melhorias na cooperação entre as autoridades aduaneiras e fiscais é crucial, em particular tendo em conta que cabe às alfândegas assegurar a correta aplicação do IVA e dos impostos especiais de consumo sobre a importação de mercadorias. As vantagens da cooperação, sublinhadas em diversas ocasiões pelo Conselho, o Parlamento Europeu, o Tribunal de Contas Europeu e a Comissão, incluem a consecução de um maior equilíbrio entre os controlos e a facilitação do comércio, a eliminação das disparidades entre as normas, a contribuição para o combate à fraude e mais simplificação para as administrações. No último ano, registaram-se desenvolvimentos importantes a este respeito.</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Em dezembro de 2017</w:t>
      </w:r>
      <w:r>
        <w:rPr>
          <w:rStyle w:val="FootnoteReference"/>
          <w:noProof/>
        </w:rPr>
        <w:footnoteReference w:id="29"/>
      </w:r>
      <w:r>
        <w:rPr>
          <w:noProof/>
        </w:rPr>
        <w:t xml:space="preserve">, os Estados-Membros chegaram a acordo para simplificar e tornar mais eficazes as regras aplicáveis às empresas que vendem bens em linha aos consumidores, bem como eliminar a atual isenção de IVA na importação de pequenas remessas provenientes de fora da UE, a qual que gera uma concorrência desleal e distorções em detrimento das empresas da UE. Estão em curso discussões com as autoridades aduaneiras e fiscais, já que as alfândegas terão importantes responsabilidades na gestão da aplicação do IVA às importações em conformidade com as novas regras. </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Em novembro de 2017, a Comissão adotou uma proposta</w:t>
      </w:r>
      <w:r>
        <w:rPr>
          <w:rStyle w:val="FootnoteReference"/>
          <w:noProof/>
        </w:rPr>
        <w:footnoteReference w:id="30"/>
      </w:r>
      <w:r>
        <w:rPr>
          <w:noProof/>
        </w:rPr>
        <w:t xml:space="preserve"> para tornar o sistema do IVA mais resistente às fraudes e combater a fraude ao IVA em grande escala. A proposta visa melhorar a cooperação entre as autoridades aduaneiras e as autoridades fiscais no que respeita à cobrança do IVA sobre as importações da UE provenientes de países terceiros, por forma a evitar abusos da facilitação do comércio, uma medida conhecida como «regime aduaneiro 42». Procura corrigir as lacunas evidenciadas Tribunal de Contas Europeu e pelos inquéritos </w:t>
      </w:r>
      <w:r>
        <w:rPr>
          <w:noProof/>
        </w:rPr>
        <w:lastRenderedPageBreak/>
        <w:t xml:space="preserve">efetuados pelo Organismo Europeu de Luta Antifraude no que diz respeito à aplicação deste regime aduaneiro. </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As negociações no Conselho estão em curso e um acordo sobre a presente iniciativa constitui uma parte importante da agenda aduaneira para os próximos anos. As medidas legislativas devem ser acompanhadas de um empenho concreto por parte das autoridades fiscais e aduaneiras de cada Estado-Membro, no sentido de porem em prática os necessários canais de cooperação.</w:t>
      </w:r>
    </w:p>
    <w:p>
      <w:pPr>
        <w:pStyle w:val="NormalWeb"/>
        <w:spacing w:before="0" w:beforeAutospacing="0" w:after="0" w:afterAutospacing="0"/>
        <w:jc w:val="both"/>
        <w:rPr>
          <w:noProof/>
        </w:rPr>
      </w:pPr>
    </w:p>
    <w:p>
      <w:pPr>
        <w:pStyle w:val="NormalWeb"/>
        <w:spacing w:before="0" w:beforeAutospacing="0" w:after="0" w:afterAutospacing="0"/>
        <w:jc w:val="both"/>
        <w:rPr>
          <w:noProof/>
          <w:color w:val="1F497D"/>
        </w:rPr>
      </w:pPr>
      <w:r>
        <w:rPr>
          <w:noProof/>
        </w:rPr>
        <w:t>Além disso, a futura Procuradoria Europeia (EPPO)</w:t>
      </w:r>
      <w:r>
        <w:rPr>
          <w:rStyle w:val="FootnoteReference"/>
          <w:iCs/>
          <w:noProof/>
          <w:snapToGrid w:val="0"/>
        </w:rPr>
        <w:footnoteReference w:id="31"/>
      </w:r>
      <w:r>
        <w:rPr>
          <w:noProof/>
        </w:rPr>
        <w:t xml:space="preserve"> terá poderes para investigar e intentar ações judiciais por fraude e outros crimes lesivos dos interesses financeiros da União, incluindo a fraude aduaneira e a fraude ao IVA. A Diretiva PIF</w:t>
      </w:r>
      <w:r>
        <w:rPr>
          <w:rStyle w:val="FootnoteReference"/>
          <w:noProof/>
          <w:color w:val="1F497D"/>
        </w:rPr>
        <w:footnoteReference w:id="32"/>
      </w:r>
      <w:r>
        <w:rPr>
          <w:noProof/>
        </w:rPr>
        <w:t>, adotada em 5 de julho de 2017, harmoniza as definições, as sanções e os prazos de prescrição para os mesmos crimes.</w:t>
      </w:r>
    </w:p>
    <w:p>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noProof/>
              </w:rPr>
            </w:pPr>
            <w:r>
              <w:rPr>
                <w:i/>
                <w:noProof/>
                <w:color w:val="000000"/>
              </w:rPr>
              <w:t>A Comissão e as autoridades aduaneiras dos Estados-Membros devem continuar a trabalhar intensivamente na perspetiva do ano de 2021, quando a atual isenção de IVA</w:t>
            </w:r>
            <w:r>
              <w:rPr>
                <w:rStyle w:val="FootnoteReference"/>
                <w:i/>
                <w:noProof/>
                <w:color w:val="000000"/>
              </w:rPr>
              <w:footnoteReference w:id="33"/>
            </w:r>
            <w:r>
              <w:rPr>
                <w:i/>
                <w:noProof/>
                <w:color w:val="000000"/>
              </w:rPr>
              <w:t xml:space="preserve"> para as mercadorias com um valor inferior a 22 euros provenientes do exterior da UE chegar ao seu termo e, consequentemente, os serviços aduaneiros poderão vir a ter de cobrar IVA sobre um maior número de produtos importados. </w:t>
            </w:r>
          </w:p>
        </w:tc>
      </w:tr>
    </w:tbl>
    <w:p>
      <w:pPr>
        <w:pStyle w:val="NormalWeb"/>
        <w:spacing w:before="0" w:beforeAutospacing="0" w:after="0" w:afterAutospacing="0"/>
        <w:jc w:val="both"/>
        <w:rPr>
          <w:noProof/>
        </w:rPr>
      </w:pPr>
    </w:p>
    <w:p>
      <w:pPr>
        <w:spacing w:after="0"/>
        <w:ind w:left="198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Continuar a associar os operadores económicos à legislação aduaneira da UE</w:t>
      </w:r>
    </w:p>
    <w:p>
      <w:pPr>
        <w:spacing w:after="120" w:line="240" w:lineRule="auto"/>
        <w:jc w:val="both"/>
        <w:rPr>
          <w:rFonts w:ascii="Times New Roman" w:hAnsi="Times New Roman"/>
          <w:noProof/>
          <w:sz w:val="24"/>
          <w:szCs w:val="24"/>
        </w:rPr>
      </w:pPr>
      <w:r>
        <w:rPr>
          <w:rFonts w:ascii="Times New Roman" w:hAnsi="Times New Roman"/>
          <w:noProof/>
          <w:sz w:val="24"/>
          <w:szCs w:val="24"/>
        </w:rPr>
        <w:t>As trocas comerciais continuam a desempenhar um papel fundamental para ajudar a garantir que os procedimentos e as regras aduaneiras são viáveis e equilibrar adequadamente as exigências dos operadores legítimos com a eficácia dos controlos. A Comissão tem continuado a desenvolver o mecanismo destinado a reforçar o contributo do comércio em diferentes fases dos procedimentos através da revisão do mandato do principal órgão de consulta — o Grupo de Contactos Comerciais. Para além da principal de plataforma, a Comissão também promove debates entre as alfândegas e os operadores económicos nas diferentes fases de desenvolvimento e aplicação da legislação.</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i/>
                <w:noProof/>
                <w:sz w:val="24"/>
                <w:szCs w:val="24"/>
              </w:rPr>
            </w:pPr>
            <w:r>
              <w:rPr>
                <w:rFonts w:ascii="Times New Roman" w:hAnsi="Times New Roman"/>
                <w:i/>
                <w:noProof/>
                <w:sz w:val="24"/>
                <w:szCs w:val="24"/>
              </w:rPr>
              <w:t>O novo mandato do Grupo de Contactos Comerciais foi aprovado e publicado em 2017</w:t>
            </w:r>
            <w:r>
              <w:rPr>
                <w:rStyle w:val="FootnoteReference"/>
                <w:rFonts w:ascii="Times New Roman" w:hAnsi="Times New Roman"/>
                <w:i/>
                <w:noProof/>
                <w:sz w:val="24"/>
                <w:szCs w:val="24"/>
              </w:rPr>
              <w:footnoteReference w:id="34"/>
            </w:r>
            <w:r>
              <w:rPr>
                <w:rFonts w:ascii="Times New Roman" w:hAnsi="Times New Roman"/>
                <w:i/>
                <w:noProof/>
                <w:sz w:val="24"/>
                <w:szCs w:val="24"/>
              </w:rPr>
              <w:t xml:space="preserve">. Será necessária uma abordagem proativa do comércio para otimizar o resultado desta colaboração. A Comissão, por seu lado, continuará a organizar consultas regulares com representantes do comércio com estas novas disposições. </w:t>
            </w:r>
          </w:p>
        </w:tc>
      </w:tr>
    </w:tbl>
    <w:p>
      <w:pPr>
        <w:spacing w:after="120" w:line="240" w:lineRule="auto"/>
        <w:jc w:val="both"/>
        <w:rPr>
          <w:rFonts w:ascii="Times New Roman" w:hAnsi="Times New Roman"/>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Integração crescente das operações e da gestão entre as autoridades aduaneiras </w:t>
      </w: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A Comissão considera essencial o aprofundamento da cooperação operacional entre as autoridades aduaneiras nacionais. Em especial, na perspetiva do Quadro Comum de Gestão dos Riscos da UE para os controlos aduaneiros, deve ser dada especial atenção às capacidades </w:t>
      </w:r>
      <w:r>
        <w:rPr>
          <w:rFonts w:ascii="Times New Roman" w:hAnsi="Times New Roman"/>
          <w:noProof/>
          <w:color w:val="000000"/>
          <w:sz w:val="24"/>
          <w:szCs w:val="24"/>
        </w:rPr>
        <w:lastRenderedPageBreak/>
        <w:t xml:space="preserve">de organização da colaboração, de modo a atingir o melhor retorno possível dos investimentos em novos dados, sistemas e regras. </w:t>
      </w: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Embora a aplicação da legislação aduaneira seja da responsabilidade de cada um dos Estados-Membros, a aplicação uniforme dessa legislação é uma tarefa e uma preocupação do conjunto da União Aduaneira. O programa «Alfândega 2020» constitui o quadro orçamental, organizacional e metodológico para a cooperação entre as autoridades aduaneiras nacionais, a fim de permitir uma integração mais profunda</w:t>
      </w:r>
      <w:r>
        <w:rPr>
          <w:noProof/>
        </w:rPr>
        <w:t xml:space="preserve"> </w:t>
      </w:r>
      <w:r>
        <w:rPr>
          <w:rFonts w:ascii="Times New Roman" w:hAnsi="Times New Roman"/>
          <w:noProof/>
          <w:color w:val="000000"/>
          <w:sz w:val="24"/>
          <w:szCs w:val="24"/>
        </w:rPr>
        <w:t>ao nível operacional. O valor acrescentado está mais presente na área dos sistemas eletrónicos, onde o programa permite o desenvolvimento e o funcionamento dos sistemas transeuropeus. Mas o programa tem também um valor acrescentado significativo em termos de atividades de cooperação, tais como os grupos de projeto, muitos dos quais produziram resultados valiosos para a União Aduaneira</w:t>
      </w:r>
      <w:r>
        <w:rPr>
          <w:rStyle w:val="FootnoteReference"/>
          <w:rFonts w:ascii="Times New Roman" w:hAnsi="Times New Roman" w:cs="Times New Roman"/>
          <w:noProof/>
          <w:color w:val="000000"/>
          <w:sz w:val="24"/>
          <w:szCs w:val="24"/>
        </w:rPr>
        <w:footnoteReference w:id="35"/>
      </w:r>
      <w:r>
        <w:rPr>
          <w:rFonts w:ascii="Times New Roman" w:hAnsi="Times New Roman"/>
          <w:noProof/>
          <w:color w:val="000000"/>
          <w:sz w:val="24"/>
          <w:szCs w:val="24"/>
        </w:rPr>
        <w:t>.</w:t>
      </w:r>
    </w:p>
    <w:p>
      <w:pPr>
        <w:widowControl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Uma novidade no âmbito do programa «Alfândega 2020» consiste em equipas de peritos concebidas para a obtenção de resultados através de uma colaboração intensa entre um número limitado de países sobre uma determinada questão. Várias equipas de peritos criadas em 2016 apresentaram resultados prometedores em 2017, como foi o caso com os laboratórios aduaneiros nacionais, o equipamento para a análise de amostras e partilha de resultados e a CELBET — ver quadro infra. Apesar destes resultados encorajadores, algumas das equipas de peritos não foram utilizadas na sua máxima capacidade. Um inquérito realizado no verão de 2017 sugeriu que esta situação se ficara a dever a sobrecarga administrativa relacionada com a criação e o funcionamento das equipas de peritos. </w:t>
      </w:r>
    </w:p>
    <w:p>
      <w:pPr>
        <w:widowControl w:val="0"/>
        <w:spacing w:after="120" w:line="240" w:lineRule="auto"/>
        <w:jc w:val="both"/>
        <w:rPr>
          <w:rFonts w:ascii="Times New Roman" w:hAnsi="Times New Roman" w:cs="Times New Roman"/>
          <w:noProof/>
          <w:color w:val="000000"/>
          <w:sz w:val="24"/>
          <w:szCs w:val="24"/>
        </w:rPr>
      </w:pPr>
    </w:p>
    <w:tbl>
      <w:tblPr>
        <w:tblStyle w:val="TableGrid"/>
        <w:tblW w:w="0" w:type="auto"/>
        <w:tblLook w:val="04A0" w:firstRow="1" w:lastRow="0" w:firstColumn="1" w:lastColumn="0" w:noHBand="0" w:noVBand="1"/>
      </w:tblPr>
      <w:tblGrid>
        <w:gridCol w:w="9288"/>
      </w:tblGrid>
      <w:tr>
        <w:trPr>
          <w:trHeight w:val="589"/>
        </w:trPr>
        <w:tc>
          <w:tcPr>
            <w:tcW w:w="0" w:type="auto"/>
          </w:tcPr>
          <w:p>
            <w:pPr>
              <w:widowControl w:val="0"/>
              <w:jc w:val="center"/>
              <w:rPr>
                <w:rFonts w:ascii="Times New Roman" w:hAnsi="Times New Roman" w:cs="Times New Roman"/>
                <w:b/>
                <w:noProof/>
                <w:color w:val="000000"/>
                <w:sz w:val="24"/>
                <w:szCs w:val="24"/>
              </w:rPr>
            </w:pPr>
            <w:r>
              <w:rPr>
                <w:rFonts w:ascii="Times New Roman" w:hAnsi="Times New Roman"/>
                <w:b/>
                <w:noProof/>
                <w:color w:val="000000"/>
                <w:sz w:val="24"/>
                <w:szCs w:val="24"/>
              </w:rPr>
              <w:t>CELBET — Customs Eastern Land Border Expert Team (Equipa de peritos nas alfândegas das fronteiras terrestres do leste da União</w:t>
            </w:r>
            <w:r>
              <w:rPr>
                <w:rStyle w:val="FootnoteReference"/>
                <w:rFonts w:ascii="Times New Roman" w:hAnsi="Times New Roman" w:cs="Times New Roman"/>
                <w:b/>
                <w:noProof/>
                <w:color w:val="000000"/>
                <w:sz w:val="24"/>
                <w:szCs w:val="24"/>
              </w:rPr>
              <w:footnoteReference w:id="36"/>
            </w:r>
            <w:r>
              <w:rPr>
                <w:rFonts w:ascii="Times New Roman" w:hAnsi="Times New Roman"/>
                <w:b/>
                <w:noProof/>
                <w:color w:val="000000"/>
                <w:sz w:val="24"/>
                <w:szCs w:val="24"/>
              </w:rPr>
              <w:t>)</w:t>
            </w:r>
          </w:p>
          <w:p>
            <w:pPr>
              <w:widowControl w:val="0"/>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 Este grupo de peritos reúne 11 Estados-Membros</w:t>
            </w:r>
            <w:r>
              <w:rPr>
                <w:rStyle w:val="FootnoteReference"/>
                <w:rFonts w:ascii="Times New Roman" w:hAnsi="Times New Roman" w:cs="Times New Roman"/>
                <w:noProof/>
                <w:color w:val="000000"/>
                <w:sz w:val="24"/>
                <w:szCs w:val="24"/>
              </w:rPr>
              <w:footnoteReference w:id="37"/>
            </w:r>
            <w:r>
              <w:rPr>
                <w:rFonts w:ascii="Times New Roman" w:hAnsi="Times New Roman"/>
                <w:noProof/>
                <w:color w:val="000000"/>
                <w:sz w:val="24"/>
                <w:szCs w:val="24"/>
              </w:rPr>
              <w:t xml:space="preserve"> da fronteira terrestre do leste, tendo um mandato de 18 meses e um cofinanciamento da UE de 927 000 euros. Entre os resultados prometedores, contam-se os seguintes: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Gestão dos riscos: criação conjunta de perfis de risco e respetiva avaliação após utilização </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Controlos operacionais: cartografia dos pontos de passagem de fronteiras não comerciais; ações conjuntas levadas a cabo em certos postos fronteiriços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Equipamento e aquisições: inventário de todos os equipamentos de controlo e de deteção disponíveis nos postos fronteiriços e análise das lacunas identificadas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Formação: análise das lacunas na formação e preparação do material de formação destinado aos guardas fronteiriços e aos agentes aduaneiros.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Avaliação/ medição do desempenho: trabalho realizado relativamente aos principais </w:t>
            </w:r>
            <w:r>
              <w:rPr>
                <w:rFonts w:ascii="Times New Roman" w:hAnsi="Times New Roman"/>
                <w:noProof/>
                <w:color w:val="000000"/>
                <w:sz w:val="24"/>
                <w:szCs w:val="24"/>
              </w:rPr>
              <w:lastRenderedPageBreak/>
              <w:t>indicadores de desempenho para os pontos de passagem de fronteiras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Cooperação com os guardas fronteiriços e os países vizinhos: recomendações sobre melhorias do intercâmbio de informações no trabalho nos pontos de passagem de fronteiras terrestres. </w:t>
            </w:r>
          </w:p>
        </w:tc>
      </w:tr>
    </w:tbl>
    <w:p>
      <w:pPr>
        <w:widowControl w:val="0"/>
        <w:spacing w:after="0" w:line="240" w:lineRule="auto"/>
        <w:jc w:val="both"/>
        <w:rPr>
          <w:rFonts w:ascii="Times New Roman" w:hAnsi="Times New Roman" w:cs="Times New Roman"/>
          <w:noProof/>
          <w:color w:val="000000"/>
          <w:sz w:val="24"/>
          <w:szCs w:val="24"/>
        </w:rPr>
      </w:pP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O funcionamento da União Aduaneira e o prosseguimento da integração das autoridades aduaneiras nacionais continuam dependentes do Programa Aduaneiro. Tendo em conta os desafios a que o mundo, a União Europeia e a União Aduaneira fazem face, é essencial que o programa prossiga para além de 2020. </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noProof/>
                <w:color w:val="000000"/>
                <w:sz w:val="24"/>
                <w:szCs w:val="24"/>
              </w:rPr>
            </w:pPr>
            <w:r>
              <w:rPr>
                <w:rFonts w:ascii="Times New Roman" w:hAnsi="Times New Roman"/>
                <w:i/>
                <w:noProof/>
                <w:sz w:val="24"/>
                <w:szCs w:val="24"/>
              </w:rPr>
              <w:t xml:space="preserve">A Comissão apresentou recentemente propostas que estabelecem i) um novo programa que visa proporcionar uma base sólida para enfrentar os desafios com que se defronta a União Aduaneira, nomeadamente através do aprofundamento dos atuais mecanismos de cooperação e de criação de capacidades e ii) um fundo para equipamentos de controlo aduaneiro, a fim de apoiar controlos aduaneiros equivalentes. </w:t>
            </w:r>
          </w:p>
        </w:tc>
      </w:tr>
    </w:tbl>
    <w:p>
      <w:pPr>
        <w:spacing w:after="0"/>
        <w:ind w:left="284"/>
        <w:jc w:val="both"/>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szCs w:val="24"/>
        </w:rPr>
        <w:t>QUESTÕES PRIORITÁRIAS PARA O FUTURO</w:t>
      </w:r>
    </w:p>
    <w:p>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A União aduaneira não pode ser estática. Os mercados, o comércio e as tecnologias são dinâmicas e a União Aduaneira deve apoiar a sua evolução. Para tal, as administrações aduaneiras dos Estados-Membros devem não só progredir nos domínios referidos no capítulo anterior, mas também considerar estratégias para o desenvolvimento futuro, novas abordagens e métodos de trabalho diferentes, tendo em conta os condicionalismos de recursos e a possibilidade de lhes serem cometidas novas responsabilidades. Assim sendo, a Comissão apresenta a seguinte lista de questões prioritárias da política aduaneira, a examinar num futuro próximo:</w:t>
      </w:r>
    </w:p>
    <w:p>
      <w:pPr>
        <w:spacing w:after="120" w:line="240" w:lineRule="auto"/>
        <w:jc w:val="both"/>
        <w:rPr>
          <w:rFonts w:ascii="Times New Roman" w:hAnsi="Times New Roman" w:cs="Times New Roman"/>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sz w:val="24"/>
          <w:szCs w:val="24"/>
        </w:rPr>
        <w:t xml:space="preserve">a) Gerir o </w:t>
      </w:r>
      <w:r>
        <w:rPr>
          <w:rFonts w:ascii="Times New Roman" w:hAnsi="Times New Roman"/>
          <w:b/>
          <w:noProof/>
          <w:color w:val="000000"/>
          <w:sz w:val="24"/>
          <w:szCs w:val="24"/>
        </w:rPr>
        <w:t>Brexit.</w:t>
      </w:r>
      <w:r>
        <w:rPr>
          <w:rFonts w:ascii="Times New Roman" w:hAnsi="Times New Roman"/>
          <w:noProof/>
          <w:color w:val="000000"/>
          <w:sz w:val="24"/>
          <w:szCs w:val="24"/>
        </w:rPr>
        <w:t xml:space="preserve"> A saída do Reino Unido da UE e da União Aduaneira e a consequente passagem do país ao estatuto de país terceiro terá repercussões substanciais em todos os processos aduaneiros. Para garantir uma saída ordenada e a introdução das mudanças daí decorrentes, como as alterações aos procedimentos aduaneiros, terão um impacto nos recursos da Comissão e dos Estados-Membros, em particular devido à grande incerteza que rodeia a saída propriamente dita. Em estreita cooperação com os Estados-Membros, a Comissão tem examinado os vários procedimentos aduaneiros para identificar aspetos informáticos e outros que têm de ser equacionados à luz da saída do Reino Unido. É evidente que estas medidas irão exigir adaptações dos sistemas informáticos das alfândegas, o que pode dar origem a custos adicionais e a um aumento da necessidade de recursos e de cooperação entre os Estados-Membros e a Comissão, bem como entre os próprios Estados-Membros. Do mesmo modo, são necessários ajustamentos do lado dos operadores económicos. Como primeiro passo para informar as partes interessadas, foi publicada uma nota sobre as consequências da saída do Reino Unido no domínio aduaneiro e da fiscalidade indireta (IVA e impostos especiais de consumo).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color w:val="000000"/>
          <w:sz w:val="24"/>
          <w:szCs w:val="24"/>
        </w:rPr>
      </w:pPr>
      <w:r>
        <w:rPr>
          <w:rFonts w:ascii="Times New Roman" w:hAnsi="Times New Roman"/>
          <w:b/>
          <w:noProof/>
          <w:color w:val="000000"/>
          <w:sz w:val="24"/>
          <w:szCs w:val="24"/>
        </w:rPr>
        <w:t>b) Reforçar o controlo e o combate à fraude.</w:t>
      </w:r>
      <w:r>
        <w:rPr>
          <w:rFonts w:ascii="Times New Roman" w:hAnsi="Times New Roman"/>
          <w:i/>
          <w:noProof/>
          <w:color w:val="000000"/>
          <w:sz w:val="24"/>
          <w:szCs w:val="24"/>
        </w:rPr>
        <w:t xml:space="preserve"> </w:t>
      </w:r>
      <w:r>
        <w:rPr>
          <w:rFonts w:ascii="Times New Roman" w:hAnsi="Times New Roman"/>
          <w:noProof/>
          <w:color w:val="000000"/>
          <w:sz w:val="24"/>
          <w:szCs w:val="24"/>
        </w:rPr>
        <w:t xml:space="preserve">Uma vez que a evasão aos direitos aduaneiros e ao IVA tem de ser compensada pelo aumento das contribuições dos Estados-Membros para o orçamento da UE e, por conseguinte, é, em última instância, suportada pelos contribuintes europeus, é essencial para os Estados-Membros encontrar formas de tornar os controlos mais eficazes. A fim de assegurar uma abordagem comum para a gestão de riscos financeiros aduaneiros na UE, a Comissão adotou recentemente uma decisão sobre critérios e normas de </w:t>
      </w:r>
      <w:r>
        <w:rPr>
          <w:rFonts w:ascii="Times New Roman" w:hAnsi="Times New Roman"/>
          <w:noProof/>
          <w:color w:val="000000"/>
          <w:sz w:val="24"/>
          <w:szCs w:val="24"/>
        </w:rPr>
        <w:lastRenderedPageBreak/>
        <w:t>risco comuns</w:t>
      </w:r>
      <w:r>
        <w:rPr>
          <w:rStyle w:val="FootnoteReference"/>
          <w:rFonts w:ascii="Times New Roman" w:hAnsi="Times New Roman" w:cs="Times New Roman"/>
          <w:noProof/>
          <w:color w:val="000000"/>
          <w:sz w:val="24"/>
          <w:szCs w:val="24"/>
        </w:rPr>
        <w:footnoteReference w:id="38"/>
      </w:r>
      <w:r>
        <w:rPr>
          <w:rFonts w:ascii="Times New Roman" w:hAnsi="Times New Roman"/>
          <w:noProof/>
          <w:color w:val="000000"/>
          <w:sz w:val="24"/>
          <w:szCs w:val="24"/>
        </w:rPr>
        <w:t xml:space="preserve">. Tendo em conta o volume da atividade transfronteiriça, uma estratégia bem-sucedida de combate à fraude pode ter de abranger novas e diferentes formas de controlo de mercadorias, por exemplo, uma otimização da utilização dos sistemas informáticos a fim de detetar e controlar com maior precisão as transações que comportam riscos e confiar mais nos operadores de confiança, sem negligenciar métodos de controlo das tecnologias já experimentados e fiáveis nas situações em que são adequados. </w:t>
      </w:r>
    </w:p>
    <w:p>
      <w:pPr>
        <w:spacing w:after="120" w:line="240" w:lineRule="auto"/>
        <w:jc w:val="both"/>
        <w:rPr>
          <w:rFonts w:ascii="Times New Roman" w:hAnsi="Times New Roman"/>
          <w:i/>
          <w:noProof/>
          <w:sz w:val="24"/>
        </w:rPr>
      </w:pPr>
      <w:r>
        <w:rPr>
          <w:rFonts w:ascii="Times New Roman" w:hAnsi="Times New Roman"/>
          <w:noProof/>
          <w:color w:val="000000"/>
          <w:sz w:val="24"/>
          <w:szCs w:val="24"/>
        </w:rPr>
        <w:t xml:space="preserve"> </w:t>
      </w:r>
    </w:p>
    <w:p>
      <w:pPr>
        <w:spacing w:after="120" w:line="240" w:lineRule="auto"/>
        <w:jc w:val="both"/>
        <w:rPr>
          <w:rFonts w:ascii="Times New Roman" w:hAnsi="Times New Roman"/>
          <w:noProof/>
          <w:sz w:val="24"/>
        </w:rPr>
      </w:pPr>
      <w:r>
        <w:rPr>
          <w:rFonts w:ascii="Times New Roman" w:hAnsi="Times New Roman"/>
          <w:b/>
          <w:noProof/>
          <w:sz w:val="24"/>
        </w:rPr>
        <w:t>c) Intensificar o controlo da aplicação da legislação aduaneira da UE.</w:t>
      </w:r>
      <w:r>
        <w:rPr>
          <w:rFonts w:ascii="Times New Roman" w:hAnsi="Times New Roman"/>
          <w:i/>
          <w:noProof/>
          <w:color w:val="000000"/>
          <w:sz w:val="24"/>
          <w:szCs w:val="24"/>
        </w:rPr>
        <w:t xml:space="preserve"> </w:t>
      </w:r>
      <w:r>
        <w:rPr>
          <w:rFonts w:ascii="Times New Roman" w:hAnsi="Times New Roman"/>
          <w:noProof/>
          <w:sz w:val="24"/>
        </w:rPr>
        <w:t xml:space="preserve">A aplicação uniforme da legislação aduaneira pelos Estados-Membros é crucial, dado que os autores de fraudes podem explorar as fragilidades numa fronteira externa para criar problemas a toda a União Aduaneira. A Comissão deverá acompanhar a aplicação pelos Estados-Membros da legislação aduaneira comum e, se necessário, tomar as medidas adequadas para garantir o seu cumprimento. Embora os processos por infração constituam um importante instrumento para esse efeito, devem ser encarados como um último recurso. É por esta razão que a Comissão se empenha na cooperação e nas atividades de reforço das capacidades junto dos Estados-Membros, nomeadamente as avaliações pelos pares, a fim de promover as boas práticas e sensibilizar para a regulamentação aduaneira. A atual política da Comissão de acompanhamento da União Aduaneira está a ser revista, com vista a uma melhor compreensão do processo por parte de todos os intervenientes e uma melhor utilização dos recursos.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sz w:val="24"/>
        </w:rPr>
      </w:pPr>
      <w:r>
        <w:rPr>
          <w:rFonts w:ascii="Times New Roman" w:hAnsi="Times New Roman"/>
          <w:b/>
          <w:noProof/>
          <w:color w:val="000000"/>
          <w:sz w:val="24"/>
          <w:szCs w:val="24"/>
        </w:rPr>
        <w:t>d) Conferir maior eficácia às administrações aduaneiras.</w:t>
      </w:r>
      <w:r>
        <w:rPr>
          <w:rFonts w:ascii="Times New Roman" w:hAnsi="Times New Roman"/>
          <w:i/>
          <w:noProof/>
          <w:color w:val="000000"/>
          <w:sz w:val="24"/>
          <w:szCs w:val="24"/>
        </w:rPr>
        <w:t xml:space="preserve"> </w:t>
      </w:r>
      <w:r>
        <w:rPr>
          <w:rFonts w:ascii="Times New Roman" w:hAnsi="Times New Roman"/>
          <w:noProof/>
          <w:sz w:val="24"/>
        </w:rPr>
        <w:t xml:space="preserve">Uma maior cooperação entre os serviços operacionais, incluindo as administrações fiscais e aduaneiras, poderá permitir uma utilização mais eficiente de recursos que escasseiam. As ilações a retirar dos projetos em curso ao abrigo do programa Alfândega 2020 indicam que a cooperação entre os Estados-Membros e a Comissão neste domínio produz valor acrescentado, devendo por isso ser prosseguida, nomeadamente a fim de explorar as novas técnicas de análise de dados, ensaios e métodos de trabalho colaborativos e identificar eventuais necessidades em termos de capacidade para apoiar os Estados-Membros a identificar os riscos transnacionais no despacho aduaneiro e nos controlos </w:t>
      </w:r>
      <w:r>
        <w:rPr>
          <w:rFonts w:ascii="Times New Roman" w:hAnsi="Times New Roman"/>
          <w:i/>
          <w:noProof/>
          <w:sz w:val="24"/>
        </w:rPr>
        <w:t>a posteriori</w:t>
      </w:r>
      <w:r>
        <w:rPr>
          <w:rFonts w:ascii="Times New Roman" w:hAnsi="Times New Roman"/>
          <w:noProof/>
          <w:sz w:val="24"/>
        </w:rPr>
        <w:t>.</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sz w:val="24"/>
        </w:rPr>
      </w:pPr>
      <w:r>
        <w:rPr>
          <w:rFonts w:ascii="Times New Roman" w:hAnsi="Times New Roman"/>
          <w:b/>
          <w:noProof/>
          <w:color w:val="000000"/>
          <w:sz w:val="24"/>
          <w:szCs w:val="24"/>
        </w:rPr>
        <w:t>e) Explorar a inovação.</w:t>
      </w:r>
      <w:r>
        <w:rPr>
          <w:rFonts w:ascii="Times New Roman" w:hAnsi="Times New Roman"/>
          <w:noProof/>
          <w:color w:val="000000"/>
          <w:sz w:val="24"/>
          <w:szCs w:val="24"/>
        </w:rPr>
        <w:t xml:space="preserve"> A nova realidade digital com os seus novos modelos empresariais, formas de trabalho, automatização, a fragmentação e as alterações na cadeia de valor está a influenciar a competitividade da UE, a equidade que pretende alcançar e a sua segurança. É essencial acompanhar e tirar partido da evolução das tecnologias, incluindo, em especial, a análise de dados e a futura abordagem </w:t>
      </w:r>
      <w:r>
        <w:rPr>
          <w:rFonts w:ascii="Times New Roman" w:hAnsi="Times New Roman"/>
          <w:i/>
          <w:noProof/>
          <w:color w:val="000000"/>
          <w:sz w:val="24"/>
          <w:szCs w:val="24"/>
        </w:rPr>
        <w:t>blockchain</w:t>
      </w:r>
      <w:r>
        <w:rPr>
          <w:rFonts w:ascii="Times New Roman" w:hAnsi="Times New Roman"/>
          <w:noProof/>
          <w:color w:val="000000"/>
          <w:sz w:val="24"/>
          <w:szCs w:val="24"/>
        </w:rPr>
        <w:t xml:space="preserve">, tal como já foi discutido com os Estados-Membros em várias ocasiões. A cooperação intersetorial e a interoperabilidade são requisitos fundamentais subjacentes a todos os desenvolvimentos tecnológicos. </w:t>
      </w:r>
      <w:r>
        <w:rPr>
          <w:rFonts w:ascii="Times New Roman" w:hAnsi="Times New Roman"/>
          <w:noProof/>
          <w:sz w:val="24"/>
        </w:rPr>
        <w:t xml:space="preserve">Podem também ser necessárias novas normas europeias e internacionais.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szCs w:val="24"/>
        </w:rPr>
        <w:t>f) Otimizar os sistemas aduaneiros eletrónicos e a sua utilização.</w:t>
      </w:r>
      <w:r>
        <w:rPr>
          <w:rFonts w:ascii="Times New Roman" w:hAnsi="Times New Roman"/>
          <w:i/>
          <w:noProof/>
          <w:color w:val="000000"/>
          <w:sz w:val="24"/>
          <w:szCs w:val="24"/>
        </w:rPr>
        <w:t xml:space="preserve"> </w:t>
      </w:r>
      <w:r>
        <w:rPr>
          <w:rFonts w:ascii="Times New Roman" w:hAnsi="Times New Roman"/>
          <w:noProof/>
          <w:color w:val="000000"/>
          <w:sz w:val="24"/>
          <w:szCs w:val="24"/>
        </w:rPr>
        <w:t xml:space="preserve">Uma maior cooperação entre os Estados-Membros na área dos sistemas eletrónicos é essencial para reduzir os custos globais e eliminar a duplicação de custos para o desenvolvimento, a manutenção e a </w:t>
      </w:r>
      <w:r>
        <w:rPr>
          <w:rFonts w:ascii="Times New Roman" w:hAnsi="Times New Roman"/>
          <w:noProof/>
          <w:color w:val="000000"/>
          <w:sz w:val="24"/>
          <w:szCs w:val="24"/>
        </w:rPr>
        <w:lastRenderedPageBreak/>
        <w:t xml:space="preserve">exploração dos sistemas. </w:t>
      </w:r>
      <w:r>
        <w:rPr>
          <w:rFonts w:ascii="Times New Roman" w:hAnsi="Times New Roman"/>
          <w:noProof/>
        </w:rPr>
        <w:t>Já existe uma forte procura por parte dos Estados-Membros para uma maior centralização dos sistemas e soluções de colaboração, tal como descrito no relatório da Comissão sobre a estratégia informática para as alfândegas.</w:t>
      </w:r>
      <w:r>
        <w:rPr>
          <w:rFonts w:ascii="Times New Roman" w:hAnsi="Times New Roman" w:cs="Times New Roman"/>
          <w:noProof/>
          <w:vertAlign w:val="superscript"/>
        </w:rPr>
        <w:footnoteReference w:id="39"/>
      </w:r>
      <w:r>
        <w:rPr>
          <w:rFonts w:ascii="Times New Roman" w:hAnsi="Times New Roman"/>
          <w:noProof/>
          <w:color w:val="000000"/>
          <w:sz w:val="24"/>
          <w:szCs w:val="24"/>
        </w:rPr>
        <w:t>Com base no relatório, a Comissão irá, a curto prazo, participar ativamente na análise das diferentes alternativas neste domínio</w:t>
      </w:r>
      <w:r>
        <w:rPr>
          <w:rFonts w:ascii="Times New Roman" w:hAnsi="Times New Roman"/>
          <w:noProof/>
        </w:rPr>
        <w:t>.</w:t>
      </w:r>
      <w:r>
        <w:rPr>
          <w:rFonts w:ascii="Times New Roman" w:hAnsi="Times New Roman"/>
          <w:noProof/>
          <w:color w:val="000000"/>
          <w:sz w:val="24"/>
          <w:szCs w:val="24"/>
        </w:rPr>
        <w:t xml:space="preserve">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szCs w:val="24"/>
        </w:rPr>
        <w:t>g) O comércio eletrónico.</w:t>
      </w:r>
      <w:r>
        <w:rPr>
          <w:rFonts w:ascii="Times New Roman" w:hAnsi="Times New Roman"/>
          <w:noProof/>
          <w:color w:val="000000"/>
          <w:sz w:val="24"/>
          <w:szCs w:val="24"/>
        </w:rPr>
        <w:t xml:space="preserve"> Os desafios do comércio eletrónico para as alfândegas são agora bem conhecidos. </w:t>
      </w:r>
      <w:r>
        <w:rPr>
          <w:rFonts w:ascii="Times New Roman" w:hAnsi="Times New Roman"/>
          <w:noProof/>
          <w:sz w:val="24"/>
          <w:szCs w:val="24"/>
        </w:rPr>
        <w:t xml:space="preserve">Atualmente as alfândegas fazem face a um aumento fenomenal do volume de mercadorias compradas </w:t>
      </w:r>
      <w:r>
        <w:rPr>
          <w:rFonts w:ascii="Times New Roman" w:hAnsi="Times New Roman"/>
          <w:i/>
          <w:noProof/>
          <w:sz w:val="24"/>
          <w:szCs w:val="24"/>
        </w:rPr>
        <w:t>on-line</w:t>
      </w:r>
      <w:r>
        <w:rPr>
          <w:rFonts w:ascii="Times New Roman" w:hAnsi="Times New Roman"/>
          <w:noProof/>
          <w:sz w:val="24"/>
          <w:szCs w:val="24"/>
        </w:rPr>
        <w:t xml:space="preserve"> fora da UE, em termos de controlos e cobrança dos direitos aplicáveis.</w:t>
      </w:r>
      <w:r>
        <w:rPr>
          <w:rFonts w:ascii="Times New Roman" w:hAnsi="Times New Roman"/>
          <w:noProof/>
          <w:color w:val="000000"/>
          <w:sz w:val="24"/>
          <w:szCs w:val="24"/>
        </w:rPr>
        <w:t xml:space="preserve"> Em particular, o volume de mercadorias de baixo valor importadas para a UE está a aumentar a um ritmo de 10-15 % ao ano. </w:t>
      </w:r>
      <w:r>
        <w:rPr>
          <w:rFonts w:ascii="Times New Roman" w:hAnsi="Times New Roman"/>
          <w:noProof/>
          <w:sz w:val="24"/>
          <w:szCs w:val="24"/>
        </w:rPr>
        <w:t>As alfândegas dão prioridade à eficácia dos controlos antifraude e à cobrança de direitos aplicáveis a essas mercadorias na importação, devendo, simultaneamente, apoiar e facilitar o desenvolvimento desta forma de comércio que traz grandes benefícios para as empresas e os cidadãos.</w:t>
      </w:r>
      <w:r>
        <w:rPr>
          <w:rFonts w:ascii="Times New Roman" w:hAnsi="Times New Roman"/>
          <w:noProof/>
          <w:color w:val="000000"/>
          <w:sz w:val="24"/>
          <w:szCs w:val="24"/>
        </w:rPr>
        <w:t xml:space="preserve"> A Comissão tem vindo a ajudar ativamente os operadores económicos a preparar-se para 2020, quando deverão garantir o fornecimento eletrónico de informações prévias à chegada, para efeitos de segurança e proteção, conforme previsto no Código Aduaneiro da União. </w:t>
      </w:r>
    </w:p>
    <w:p>
      <w:pPr>
        <w:spacing w:after="120" w:line="240" w:lineRule="auto"/>
        <w:jc w:val="both"/>
        <w:rPr>
          <w:rFonts w:ascii="Times New Roman" w:hAnsi="Times New Roman" w:cs="Times New Roman"/>
          <w:noProof/>
          <w:color w:val="000000"/>
          <w:sz w:val="24"/>
          <w:szCs w:val="24"/>
        </w:rPr>
      </w:pPr>
    </w:p>
    <w:p>
      <w:pPr>
        <w:pStyle w:val="NormalWeb"/>
        <w:spacing w:before="0" w:beforeAutospacing="0" w:after="0" w:afterAutospacing="0"/>
        <w:jc w:val="both"/>
        <w:rPr>
          <w:noProof/>
          <w:color w:val="000000"/>
        </w:rPr>
      </w:pPr>
      <w:r>
        <w:rPr>
          <w:b/>
          <w:noProof/>
          <w:color w:val="000000"/>
        </w:rPr>
        <w:t xml:space="preserve">h) Reforçar a União Aduaneira para melhorar a segurança da UE. </w:t>
      </w:r>
      <w:r>
        <w:rPr>
          <w:noProof/>
        </w:rPr>
        <w:t xml:space="preserve">A ação para melhorar a </w:t>
      </w:r>
      <w:r>
        <w:rPr>
          <w:rStyle w:val="st1"/>
          <w:noProof/>
        </w:rPr>
        <w:t>segurança da UE</w:t>
      </w:r>
      <w:r>
        <w:rPr>
          <w:noProof/>
        </w:rPr>
        <w:t xml:space="preserve"> implica considerar de que forma as políticas comuns em matéria de polícia, alfândegas e gestão das fronteiras podem trabalhar melhor em conjunto para apoiar a luta contra a criminalidade grave e organizada e o terrorismo, e melhorar a proteção nas fronteiras externas da UE em particular.</w:t>
      </w:r>
      <w:r>
        <w:rPr>
          <w:noProof/>
          <w:color w:val="000000"/>
        </w:rPr>
        <w:t xml:space="preserve"> </w:t>
      </w:r>
      <w:r>
        <w:rPr>
          <w:noProof/>
        </w:rPr>
        <w:t xml:space="preserve">Há que continuar a explorar domínios de cooperação prática ao nível operacional com os guardas de fronteira e a Agência Europeia da Guarda de Fronteiras e Costeira. </w:t>
      </w:r>
      <w:r>
        <w:rPr>
          <w:noProof/>
          <w:color w:val="000000"/>
        </w:rPr>
        <w:t xml:space="preserve">Enquanto principal autoridade de supervisão da circulação de mercadorias através das fronteiras externas, com especial responsabilidade pela análise de risco prévia do frete, as alfândegas são um parceiro essencial das autoridades competentes em matéria de segurança e aplicação da lei, no combate às ameaças transnacionais. </w:t>
      </w:r>
    </w:p>
    <w:p>
      <w:pPr>
        <w:spacing w:after="120" w:line="240" w:lineRule="auto"/>
        <w:jc w:val="both"/>
        <w:rPr>
          <w:rFonts w:ascii="Times New Roman" w:hAnsi="Times New Roman" w:cs="Times New Roman"/>
          <w:i/>
          <w:noProof/>
          <w:color w:val="000000"/>
          <w:sz w:val="24"/>
          <w:szCs w:val="24"/>
        </w:rPr>
      </w:pPr>
    </w:p>
    <w:p>
      <w:pPr>
        <w:spacing w:after="0" w:line="240" w:lineRule="auto"/>
        <w:jc w:val="both"/>
        <w:rPr>
          <w:rFonts w:ascii="Times New Roman" w:hAnsi="Times New Roman"/>
          <w:noProof/>
          <w:sz w:val="24"/>
          <w:szCs w:val="24"/>
        </w:rPr>
      </w:pPr>
      <w:r>
        <w:rPr>
          <w:rFonts w:ascii="Times New Roman" w:hAnsi="Times New Roman"/>
          <w:b/>
          <w:noProof/>
          <w:color w:val="000000"/>
          <w:sz w:val="24"/>
          <w:szCs w:val="24"/>
        </w:rPr>
        <w:t>i) Continuar a trabalhar nas relações internacionais.</w:t>
      </w:r>
      <w:r>
        <w:rPr>
          <w:rFonts w:ascii="Times New Roman" w:hAnsi="Times New Roman"/>
          <w:i/>
          <w:noProof/>
          <w:color w:val="000000"/>
          <w:sz w:val="24"/>
          <w:szCs w:val="24"/>
        </w:rPr>
        <w:t xml:space="preserve"> </w:t>
      </w:r>
      <w:r>
        <w:rPr>
          <w:rFonts w:ascii="Times New Roman" w:hAnsi="Times New Roman"/>
          <w:noProof/>
          <w:color w:val="000000"/>
          <w:sz w:val="24"/>
          <w:szCs w:val="24"/>
        </w:rPr>
        <w:t>Em 2017, as importações da União provenientes de países terceiros somaram 1 879 mil milhões de euros e as exportações da UE para países terceiros atingiram 1 859 mil milhões de euros</w:t>
      </w:r>
      <w:r>
        <w:rPr>
          <w:rStyle w:val="FootnoteReference"/>
          <w:rFonts w:ascii="Times New Roman" w:hAnsi="Times New Roman" w:cs="Times New Roman"/>
          <w:noProof/>
          <w:color w:val="000000"/>
          <w:sz w:val="24"/>
          <w:szCs w:val="24"/>
        </w:rPr>
        <w:footnoteReference w:id="40"/>
      </w:r>
      <w:r>
        <w:rPr>
          <w:rFonts w:ascii="Times New Roman" w:hAnsi="Times New Roman"/>
          <w:noProof/>
          <w:color w:val="000000"/>
          <w:sz w:val="24"/>
          <w:szCs w:val="24"/>
        </w:rPr>
        <w:t xml:space="preserve">. </w:t>
      </w:r>
      <w:r>
        <w:rPr>
          <w:rFonts w:ascii="Times New Roman" w:hAnsi="Times New Roman"/>
          <w:noProof/>
          <w:sz w:val="24"/>
          <w:szCs w:val="24"/>
        </w:rPr>
        <w:t xml:space="preserve">Para tal, é necessário manter e reforçar a cooperação entre a UE e os países terceiros, para melhorar a conformidade com a regulamentação aduaneira e, ao mesmo tempo, facilitar o comércio da UE com o resto do mundo. Este processo deve ser acompanhado de esforços em prol de cadeias de abastecimento mais sólidas ao nível internacional, no âmbito da Organização Mundial das Alfândegas, reforçando ainda mais o estatuto de operador económico autorizado. O desenvolvimento do reconhecimento mútuo dos programas relativos aos operadores económicos autorizados com países parceiros, tal como já acontece com os Estados Unidos, a China, o Japão, a Suíça e a Noruega, é também crucial para incentivar uma mais ampla aceitação do estatuto de operador económico autorizado. </w:t>
      </w:r>
    </w:p>
    <w:p>
      <w:pPr>
        <w:spacing w:after="120" w:line="240" w:lineRule="auto"/>
        <w:jc w:val="both"/>
        <w:rPr>
          <w:rFonts w:ascii="Times New Roman" w:hAnsi="Times New Roman"/>
          <w:noProof/>
          <w:sz w:val="24"/>
          <w:szCs w:val="24"/>
        </w:rPr>
      </w:pPr>
    </w:p>
    <w:p>
      <w:pPr>
        <w:pStyle w:val="ListParagraph"/>
        <w:numPr>
          <w:ilvl w:val="0"/>
          <w:numId w:val="1"/>
        </w:numPr>
        <w:jc w:val="both"/>
        <w:rPr>
          <w:rFonts w:ascii="Times New Roman" w:hAnsi="Times New Roman" w:cs="Times New Roman"/>
          <w:noProof/>
          <w:sz w:val="24"/>
          <w:szCs w:val="24"/>
        </w:rPr>
      </w:pPr>
      <w:r>
        <w:rPr>
          <w:rFonts w:ascii="Times New Roman" w:hAnsi="Times New Roman"/>
          <w:b/>
          <w:noProof/>
          <w:sz w:val="24"/>
          <w:szCs w:val="24"/>
        </w:rPr>
        <w:t xml:space="preserve">CONCLUSÃO </w:t>
      </w:r>
    </w:p>
    <w:p>
      <w:pPr>
        <w:spacing w:after="120" w:line="240" w:lineRule="auto"/>
        <w:jc w:val="both"/>
        <w:rPr>
          <w:rFonts w:ascii="Times New Roman" w:hAnsi="Times New Roman"/>
          <w:noProof/>
          <w:sz w:val="24"/>
          <w:szCs w:val="24"/>
        </w:rPr>
      </w:pPr>
      <w:r>
        <w:rPr>
          <w:rFonts w:ascii="Times New Roman" w:hAnsi="Times New Roman"/>
          <w:noProof/>
          <w:sz w:val="24"/>
          <w:szCs w:val="24"/>
        </w:rPr>
        <w:lastRenderedPageBreak/>
        <w:t xml:space="preserve">A União Aduaneira está numa encruzilhada. Temos um novo quadro jurídico, novos métodos de trabalho e novas ferramentas informáticas. Há agora que reunir todos estes elementos em torno de um processo de implementação coerente que favoreça o cumprimento das regras e seja direcionado para as das áreas de risco e, em simultâneo, para outros domínios políticos, nomeadamente, a segurança e o reforço das políticas comuns da UE. </w:t>
      </w:r>
    </w:p>
    <w:p>
      <w:pPr>
        <w:spacing w:after="120" w:line="240" w:lineRule="auto"/>
        <w:jc w:val="both"/>
        <w:rPr>
          <w:rFonts w:ascii="Times New Roman" w:hAnsi="Times New Roman"/>
          <w:noProof/>
          <w:sz w:val="24"/>
          <w:szCs w:val="24"/>
        </w:rPr>
      </w:pPr>
      <w:r>
        <w:rPr>
          <w:rFonts w:ascii="Times New Roman" w:hAnsi="Times New Roman"/>
          <w:noProof/>
          <w:sz w:val="24"/>
          <w:szCs w:val="24"/>
        </w:rPr>
        <w:t xml:space="preserve">O desenvolvimento da União Aduaneira é um processo dinâmico e nos últimos anos foram feitos progressos em muitos domínios relacionados com uma melhor gestão da União Aduaneira. O trabalho nestes domínios deve prosseguir. Ao mesmo tempo, porém, a Comissão considera que as alfândegas da UE devem tomar em consideração novas questões prioritárias, a fim de fazer face aos desafios futuros. São as seguintes as questões prioritárias: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Gerir o Brexit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Reforçar os controlos e o combate à fraude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Intensificar o controlo da aplicação da legislação aduaneira da UE</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Conferir maior eficácia às administrações aduaneiras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Explorar a inovação.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Otimizar os sistemas aduaneiros eletrónicos e a sua utilização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Fazer face aos desafios do comércio eletrónico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Reforçar a União Aduaneira para fim de melhorar a segurança da UE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Continuar a trabalhar nas relações internacionais</w:t>
      </w:r>
    </w:p>
    <w:p>
      <w:pPr>
        <w:spacing w:line="240" w:lineRule="auto"/>
        <w:jc w:val="both"/>
        <w:rPr>
          <w:rFonts w:ascii="Times New Roman" w:hAnsi="Times New Roman"/>
          <w:noProof/>
          <w:sz w:val="24"/>
          <w:szCs w:val="24"/>
        </w:rPr>
      </w:pPr>
      <w:r>
        <w:rPr>
          <w:rFonts w:ascii="Times New Roman" w:hAnsi="Times New Roman"/>
          <w:noProof/>
          <w:sz w:val="24"/>
          <w:szCs w:val="24"/>
        </w:rPr>
        <w:t>A Comissão convida o Parlamento Europeu e o Conselho a aprovar o presente relatório e aguarda com expectativa a oportunidade de dialogar ativamente com essas instituições sobre o seu seguimento.</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EC Square Sans Pro">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3911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 xml:space="preserve">COM(2017) 2025 </w:t>
      </w:r>
    </w:p>
  </w:footnote>
  <w:footnote w:id="3">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A União Aduaneira é constituída pelos 28 Estados-Membros da União Europeia, alguns territórios do Reino Unido que não fazem parte da União Europeia e o Mónaco.</w:t>
      </w:r>
      <w:r>
        <w:rPr>
          <w:rStyle w:val="FootnoteReference"/>
          <w:rFonts w:ascii="Times New Roman" w:hAnsi="Times New Roman"/>
          <w:sz w:val="16"/>
          <w:szCs w:val="16"/>
        </w:rPr>
        <w:t xml:space="preserve"> </w:t>
      </w:r>
    </w:p>
  </w:footnote>
  <w:footnote w:id="4">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O valor estatístico total dos fluxos comerciais da UE-28 era de 3,5 biliões de euros em 2016, o que equivale a 9,5 mil milhões de euros por dia (fonte: Eurostat).</w:t>
      </w:r>
    </w:p>
  </w:footnote>
  <w:footnote w:id="5">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Os direitos aduaneiros representam 14 % do orçamento total da UE — 20 mil milhões de euros em 2016, de um total de 25 mil milhões de euros de direitos cobrados.</w:t>
      </w:r>
    </w:p>
  </w:footnote>
  <w:footnote w:id="6">
    <w:p>
      <w:pPr>
        <w:pStyle w:val="FootnoteText"/>
        <w:spacing w:after="0"/>
        <w:jc w:val="both"/>
        <w:rPr>
          <w:rFonts w:ascii="Times New Roman" w:eastAsiaTheme="minorHAnsi"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 xml:space="preserve">O comércio mundial começou a recuperar fortemente e de forma constante no segundo semestre de 2016, com um crescimento anual de 4,5 % em 2017, contra apenas 1,5 % em 2016 — Previsões da primavera de 2018, nota n.º 1: </w:t>
      </w:r>
      <w:r>
        <w:rPr>
          <w:rFonts w:ascii="Times New Roman" w:hAnsi="Times New Roman"/>
          <w:i/>
          <w:color w:val="000000"/>
          <w:sz w:val="16"/>
          <w:szCs w:val="16"/>
        </w:rPr>
        <w:t>Position Paper</w:t>
      </w:r>
      <w:r>
        <w:rPr>
          <w:rFonts w:ascii="Times New Roman" w:hAnsi="Times New Roman"/>
          <w:color w:val="000000"/>
          <w:sz w:val="16"/>
          <w:szCs w:val="16"/>
        </w:rPr>
        <w:t xml:space="preserve"> (Direção-Geral dos Assuntos Económicos e Financeiros, Comissão Europeia).</w:t>
      </w:r>
    </w:p>
  </w:footnote>
  <w:footnote w:id="7">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O relatório intercalar do Conselho sobre o combate à fraude aos impostos especiais de consumo (11760/17 de 8 de setembro de 2017) refere que segundo estimativas conservadoras, os custos do contrabando de produtos do tabaco para os orçamentos nacionais e da UE ascendem anualmente a mais de 10,2 mil milhões de euros em perdas de receitas. Ao mesmo tempo, os postos aduaneiros nas fronteiras da União Europeia têm graves carências em matéria de equipamentos e sistemas de controlo.</w:t>
      </w:r>
    </w:p>
  </w:footnote>
  <w:footnote w:id="8">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Os dados provenientes de estudos elaborados pela Europol e o Instituto da Propriedade Intelectual da União Europeia revelam que os produtos pirateados e de contrafação representam 5 % do total das importações da União Europeia, para um valor de 85 mil milhões de euros.</w:t>
      </w:r>
      <w:r>
        <w:rPr>
          <w:rFonts w:ascii="Times New Roman" w:hAnsi="Times New Roman"/>
          <w:sz w:val="16"/>
          <w:szCs w:val="16"/>
        </w:rPr>
        <w:cr/>
      </w:r>
      <w:r>
        <w:rPr>
          <w:rFonts w:ascii="Times New Roman" w:hAnsi="Times New Roman"/>
          <w:sz w:val="16"/>
          <w:szCs w:val="16"/>
        </w:rPr>
        <w:br/>
      </w:r>
      <w:r>
        <w:t xml:space="preserve"> </w:t>
      </w:r>
      <w:r>
        <w:rPr>
          <w:rFonts w:ascii="Times New Roman" w:hAnsi="Times New Roman"/>
          <w:sz w:val="16"/>
          <w:szCs w:val="16"/>
        </w:rPr>
        <w:t>As marcas que são as mais afetadas pelas violações da propriedade intelectual estão registadas na União Europeia (</w:t>
      </w:r>
      <w:r>
        <w:rPr>
          <w:rFonts w:ascii="Times New Roman" w:hAnsi="Times New Roman"/>
          <w:i/>
          <w:sz w:val="16"/>
          <w:szCs w:val="16"/>
        </w:rPr>
        <w:t>2017</w:t>
      </w:r>
      <w:r>
        <w:rPr>
          <w:rFonts w:ascii="Times New Roman" w:hAnsi="Times New Roman"/>
          <w:sz w:val="16"/>
          <w:szCs w:val="16"/>
        </w:rPr>
        <w:t xml:space="preserve"> </w:t>
      </w:r>
      <w:r>
        <w:rPr>
          <w:rFonts w:ascii="Times New Roman" w:hAnsi="Times New Roman"/>
          <w:i/>
          <w:sz w:val="16"/>
          <w:szCs w:val="16"/>
        </w:rPr>
        <w:t>Situation Report on Counterfeiting and Piracy in the European Union, Europol and European Union Intellectual Property Office, junho de 2017).</w:t>
      </w:r>
    </w:p>
  </w:footnote>
  <w:footnote w:id="9">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sz w:val="16"/>
          <w:szCs w:val="16"/>
        </w:rPr>
        <w:t xml:space="preserve"> Resolução sobre a resposta aos desafios da aplicação do Código Aduaneiro da UE — 2016/3024</w:t>
      </w:r>
    </w:p>
  </w:footnote>
  <w:footnote w:id="10">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sz w:val="16"/>
          <w:szCs w:val="16"/>
        </w:rPr>
        <w:t xml:space="preserve"> Relatório Especial n.º 19/2017 do Tribunal de Contas Europeu</w:t>
      </w:r>
    </w:p>
  </w:footnote>
  <w:footnote w:id="11">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sz w:val="16"/>
          <w:szCs w:val="16"/>
        </w:rPr>
        <w:t xml:space="preserve"> INT/814</w:t>
      </w:r>
    </w:p>
  </w:footnote>
  <w:footnote w:id="1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COM(2016) 813 final</w:t>
      </w:r>
    </w:p>
  </w:footnote>
  <w:footnote w:id="13">
    <w:p>
      <w:pPr>
        <w:pStyle w:val="Default"/>
        <w:jc w:val="both"/>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Conclusões do Conselho sobre o Desenvolvimento da União Aduaneira da UE e da sua Governação (doc. 7585/1/17 REV 1)</w:t>
      </w:r>
    </w:p>
  </w:footnote>
  <w:footnote w:id="14">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O Código Aduaneiro Comunitário, agora substituído pelo Código Aduaneiro da União. O Código Aduaneiro da União permite efetuar controlos com base nos riscos em relação a determinadas ameaças (incluindo os riscos para a segurança e a proteção do ambiente, da saúde dos consumidores) e apoia as alfândegas na deteção e prevenção de crimes graves e atos de terrorismo quando a circulação de mercadorias está em causa, independentemente da questão de saber se existe uma infração «aduaneira».</w:t>
      </w:r>
    </w:p>
  </w:footnote>
  <w:footnote w:id="15">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O quadro Comum de Gestão dos Riscos dotou as alfândegas de novos instrumentos comuns, incluindo um Sistema de Gestão dos Riscos Aduaneiros, a fim de partilhar informações e resultados sobre riscos operacionais, ajudando a identificar e combater a criminalidade transnacional e altamente móvel, apoiando uma resposta rápida em caso de crise na cadeia de abastecimento. Assente na experiência adquirida com o sistema de gestão dos riscos aduaneiros, a estratégia e o plano de ação da UE para a gestão dos riscos aduaneiros, aprovados pelo Conselho em dezembro de 2014, preveem um programa completo de reforço da gestão dos riscos em sete domínios.</w:t>
      </w:r>
      <w:r>
        <w:rPr>
          <w:rStyle w:val="FootnoteReference"/>
          <w:rFonts w:ascii="Times New Roman" w:hAnsi="Times New Roman"/>
          <w:sz w:val="16"/>
          <w:szCs w:val="16"/>
        </w:rPr>
        <w:t xml:space="preserve"> </w:t>
      </w:r>
    </w:p>
  </w:footnote>
  <w:footnote w:id="16">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https://ec.europa.eu/taxation_customs/sites/taxation/files/facts_figures_en.pdf</w:t>
      </w:r>
    </w:p>
  </w:footnote>
  <w:footnote w:id="17">
    <w:p>
      <w:pPr>
        <w:pStyle w:val="FootnoteText"/>
        <w:spacing w:after="0"/>
        <w:rPr>
          <w:rFonts w:ascii="Times New Roman" w:eastAsiaTheme="minorHAnsi"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Proteção dos interesses financeiros da União Europeia — Luta contra a fraude — Relatório anual de 2016, COM(2017) 266 de 20.7.2017</w:t>
      </w:r>
    </w:p>
  </w:footnote>
  <w:footnote w:id="18">
    <w:p>
      <w:pPr>
        <w:pStyle w:val="FootnoteText"/>
        <w:rPr>
          <w:rFonts w:ascii="Times New Roman" w:eastAsiaTheme="minorHAnsi" w:hAnsi="Times New Roman" w:cs="EUAlbertina"/>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Documento de trabalho dos serviços de Comissão - Avaliação de impacto - que acompanha a Proposta de Regulamento do Parlamento Europeu e do Conselho relativo ao controlo das somas em dinheiro líquido que entram ou saem da União Europeia e que revoga o Regulamento (CE) n.º 1889/2005, SWD(2016)470 final</w:t>
      </w:r>
    </w:p>
  </w:footnote>
  <w:footnote w:id="19">
    <w:p>
      <w:pPr>
        <w:pStyle w:val="Default"/>
        <w:jc w:val="both"/>
        <w:rPr>
          <w:rStyle w:val="FootnoteReference"/>
          <w:rFonts w:ascii="Times New Roman" w:eastAsia="Calibri" w:hAnsi="Times New Roman" w:cs="Times New Roman"/>
          <w:color w:val="auto"/>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sz w:val="16"/>
          <w:szCs w:val="16"/>
        </w:rPr>
        <w:t xml:space="preserve"> Relatório sobre a implementação do Código Aduaneiro da União –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QUOTE "</w:instrText>
      </w:r>
      <w:r>
        <w:rPr>
          <w:rFonts w:ascii="Times New Roman" w:hAnsi="Times New Roman" w:cs="Times New Roman"/>
          <w:sz w:val="16"/>
          <w:szCs w:val="16"/>
        </w:rPr>
        <w:fldChar w:fldCharType="begin">
          <w:fldData xml:space="preserve">QwBvAG0AbQBEAG8AYwBzAHwAUwBMAA==
</w:fldData>
        </w:fldChar>
      </w:r>
      <w:r>
        <w:rPr>
          <w:rFonts w:ascii="Times New Roman" w:hAnsi="Times New Roman" w:cs="Times New Roman"/>
          <w:sz w:val="16"/>
          <w:szCs w:val="16"/>
        </w:rPr>
        <w:instrText xml:space="preserve"> ADDIN "DocuWrite metadata link"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instrText xml:space="preserve">COM(2018) 39 final" </w:instrText>
      </w:r>
      <w:r>
        <w:rPr>
          <w:rFonts w:ascii="Times New Roman" w:hAnsi="Times New Roman" w:cs="Times New Roman"/>
          <w:sz w:val="16"/>
          <w:szCs w:val="16"/>
        </w:rPr>
        <w:fldChar w:fldCharType="separate"/>
      </w:r>
      <w:r>
        <w:rPr>
          <w:rFonts w:ascii="Times New Roman" w:hAnsi="Times New Roman" w:cs="Times New Roman"/>
          <w:sz w:val="16"/>
          <w:szCs w:val="16"/>
        </w:rPr>
        <w:t>COM(2018) 39 final</w:t>
      </w:r>
      <w:r>
        <w:rPr>
          <w:rFonts w:ascii="Times New Roman" w:hAnsi="Times New Roman" w:cs="Times New Roman"/>
          <w:sz w:val="16"/>
          <w:szCs w:val="16"/>
        </w:rPr>
        <w:fldChar w:fldCharType="end"/>
      </w:r>
    </w:p>
  </w:footnote>
  <w:footnote w:id="20">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Decisão n.º 70/2008/CE do Parlamento Europeu e do Conselho, de 25 de janeiro de 2008, relativa a um ambiente sem papel para as alfândegas e o comércio (JO L 23 de 26.1.2008, p. 21)</w:t>
      </w:r>
    </w:p>
  </w:footnote>
  <w:footnote w:id="21">
    <w:p>
      <w:pPr>
        <w:pStyle w:val="Defaul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szCs w:val="16"/>
        </w:rPr>
        <w:t>Inclui, por exemplo, uma interface com o sistema de informação antifraude (AFIS) e um conjunto de aplicações que permitem que as autoridades aduaneiras dos Estados-Membros detetem e combatam a fraude aduaneira.</w:t>
      </w:r>
    </w:p>
  </w:footnote>
  <w:footnote w:id="2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Decisão de Execução (UE) 2016/578 da Comissão, de 11 de abril de 2016, que estabelece o Programa de Trabalho para o desenvolvimento e a implementação dos sistemas eletrónicos previstos no Código Aduaneiro da União</w:t>
      </w:r>
    </w:p>
  </w:footnote>
  <w:footnote w:id="23">
    <w:p>
      <w:pPr>
        <w:pStyle w:val="Default"/>
        <w:jc w:val="both"/>
        <w:rPr>
          <w:rFonts w:ascii="Times New Roman" w:hAnsi="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Artigo 3.º do CAU</w:t>
      </w:r>
    </w:p>
  </w:footnote>
  <w:footnote w:id="24">
    <w:p>
      <w:pPr>
        <w:pStyle w:val="Defaul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szCs w:val="16"/>
        </w:rPr>
        <w:t xml:space="preserve"> O conceito de operador económico autorizado (OEA), introduzido no âmbito das normas SAFE da Organização Mundial das Alfândegas em 2005 e reconhecido internacionalmente como instrumento de segurança da cadeia de aprovisionamento de eficácia comprovada que visa facilitar o comércio internacional, é cada vez mais utilizado como referência para estabelecer programas comerciais fiáveis noutros domínios, em especial na aviação civil, na segurança marítima, no controlo das exportações de bens de dupla utilização e na tributação. </w:t>
      </w:r>
    </w:p>
    <w:p>
      <w:pPr>
        <w:pStyle w:val="FootnoteText"/>
        <w:spacing w:after="0"/>
        <w:jc w:val="both"/>
        <w:rPr>
          <w:rFonts w:ascii="Times New Roman" w:hAnsi="Times New Roman"/>
          <w:sz w:val="16"/>
          <w:szCs w:val="16"/>
        </w:rPr>
      </w:pPr>
    </w:p>
  </w:footnote>
  <w:footnote w:id="25">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 xml:space="preserve">Relatório da Comissão ao Parlamento Europeu e ao Conselho sobre a implementação do Código Aduaneiro da União e o exercício do poder de adotar atos delegados nos termos do artigo 284.º do Código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QUOTE "</w:instrText>
      </w:r>
      <w:r>
        <w:rPr>
          <w:rFonts w:ascii="Times New Roman" w:hAnsi="Times New Roman" w:cs="Times New Roman"/>
          <w:sz w:val="16"/>
          <w:szCs w:val="16"/>
        </w:rPr>
        <w:fldChar w:fldCharType="begin">
          <w:fldData xml:space="preserve">QwBvAG0AbQBEAG8AYwBzAHwAUwBMAA==
</w:fldData>
        </w:fldChar>
      </w:r>
      <w:r>
        <w:rPr>
          <w:rFonts w:ascii="Times New Roman" w:hAnsi="Times New Roman" w:cs="Times New Roman"/>
          <w:sz w:val="16"/>
          <w:szCs w:val="16"/>
        </w:rPr>
        <w:instrText xml:space="preserve"> ADDIN "DocuWrite metadata link"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instrText xml:space="preserve">COM(2018) 39 final" </w:instrText>
      </w:r>
      <w:r>
        <w:rPr>
          <w:rFonts w:ascii="Times New Roman" w:hAnsi="Times New Roman" w:cs="Times New Roman"/>
          <w:sz w:val="16"/>
          <w:szCs w:val="16"/>
        </w:rPr>
        <w:fldChar w:fldCharType="separate"/>
      </w:r>
      <w:r>
        <w:rPr>
          <w:rFonts w:ascii="Times New Roman" w:hAnsi="Times New Roman" w:cs="Times New Roman"/>
          <w:sz w:val="16"/>
          <w:szCs w:val="16"/>
        </w:rPr>
        <w:t>COM(2018) 39 final</w:t>
      </w:r>
      <w:r>
        <w:rPr>
          <w:rFonts w:ascii="Times New Roman" w:hAnsi="Times New Roman" w:cs="Times New Roman"/>
          <w:sz w:val="16"/>
          <w:szCs w:val="16"/>
        </w:rPr>
        <w:fldChar w:fldCharType="end"/>
      </w:r>
    </w:p>
  </w:footnote>
  <w:footnote w:id="26">
    <w:p>
      <w:pPr>
        <w:pStyle w:val="Default"/>
        <w:jc w:val="both"/>
        <w:rPr>
          <w:rFonts w:ascii="Times New Roman" w:hAnsi="Times New Roman" w:cs="Times New Roman"/>
          <w:b/>
          <w:i/>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 (2018) 85 final, de 2 de março de 2018</w:t>
      </w:r>
      <w:r>
        <w:rPr>
          <w:rFonts w:ascii="Times New Roman" w:hAnsi="Times New Roman"/>
          <w:b/>
          <w:i/>
          <w:sz w:val="16"/>
          <w:szCs w:val="16"/>
        </w:rPr>
        <w:t xml:space="preserve"> </w:t>
      </w:r>
    </w:p>
  </w:footnote>
  <w:footnote w:id="27">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COM(2018) 178 final</w:t>
      </w:r>
    </w:p>
  </w:footnote>
  <w:footnote w:id="28">
    <w:p>
      <w:pPr>
        <w:pStyle w:val="Comment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Referência a inserir caso o processo fique concluído antes da adoção do relatório.</w:t>
      </w:r>
    </w:p>
  </w:footnote>
  <w:footnote w:id="29">
    <w:p>
      <w:pPr>
        <w:pStyle w:val="Default"/>
        <w:jc w:val="both"/>
        <w:rPr>
          <w:rStyle w:val="FootnoteReference"/>
          <w:rFonts w:ascii="Times New Roman" w:eastAsia="Calibri" w:hAnsi="Times New Roman" w:cs="Times New Roman"/>
          <w:color w:val="auto"/>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http://www.consilium.europa.eu/en/press/press-releases/2017/12/05/vat-on-electronic-commerce-new-rules-adopted/</w:t>
      </w:r>
      <w:r>
        <w:rPr>
          <w:rFonts w:ascii="Times New Roman" w:hAnsi="Times New Roman"/>
          <w:color w:val="auto"/>
          <w:sz w:val="16"/>
          <w:szCs w:val="16"/>
        </w:rPr>
        <w:t xml:space="preserve"> </w:t>
      </w:r>
    </w:p>
  </w:footnote>
  <w:footnote w:id="30">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olor w:val="auto"/>
          <w:sz w:val="16"/>
          <w:szCs w:val="16"/>
        </w:rPr>
        <w:t xml:space="preserve"> </w:t>
      </w:r>
      <w:r>
        <w:rPr>
          <w:rFonts w:ascii="Times New Roman" w:hAnsi="Times New Roman"/>
          <w:sz w:val="16"/>
          <w:szCs w:val="16"/>
        </w:rPr>
        <w:t>COM(2017) 706 final</w:t>
      </w:r>
      <w:r>
        <w:rPr>
          <w:rFonts w:ascii="Times New Roman" w:hAnsi="Times New Roman"/>
          <w:color w:val="auto"/>
          <w:sz w:val="16"/>
          <w:szCs w:val="16"/>
        </w:rPr>
        <w:t xml:space="preserve"> </w:t>
      </w:r>
    </w:p>
  </w:footnote>
  <w:footnote w:id="31">
    <w:p>
      <w:pPr>
        <w:pStyle w:val="FootnoteText"/>
        <w:spacing w:after="0"/>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Regulamento (UE) </w:t>
      </w:r>
      <w:r>
        <w:rPr>
          <w:rFonts w:ascii="Times New Roman" w:hAnsi="Times New Roman"/>
          <w:snapToGrid w:val="0"/>
          <w:sz w:val="16"/>
          <w:szCs w:val="16"/>
        </w:rPr>
        <w:t>2017/1939, JO L 283 de 31.10.2017, p. 1.</w:t>
      </w:r>
    </w:p>
  </w:footnote>
  <w:footnote w:id="32">
    <w:p>
      <w:pPr>
        <w:pStyle w:val="FootnoteText"/>
        <w:spacing w:after="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Diretiva (UE) 2017/1371 do Parlamento Europeu e do Conselho, de 5 de julho de 2017, relativa à luta contra a fraude lesiva dos interesses financeiros da União através do direito penal (JO L 198 de 28.7.2017, p. 29)</w:t>
      </w:r>
    </w:p>
  </w:footnote>
  <w:footnote w:id="33">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Diretiva (UE) 2017/2455, de 15 de março de 2017.</w:t>
      </w:r>
    </w:p>
  </w:footnote>
  <w:footnote w:id="34">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1" w:history="1">
        <w:r>
          <w:rPr>
            <w:rStyle w:val="Hyperlink"/>
            <w:rFonts w:ascii="Times New Roman" w:hAnsi="Times New Roman"/>
            <w:sz w:val="16"/>
            <w:szCs w:val="16"/>
          </w:rPr>
          <w:t>https://ec.europa.eu/taxation_customs/general-information-customs/customs-trade-consultations_en</w:t>
        </w:r>
      </w:hyperlink>
    </w:p>
  </w:footnote>
  <w:footnote w:id="35">
    <w:p>
      <w:pPr>
        <w:widowControl w:val="0"/>
        <w:spacing w:after="0" w:line="240" w:lineRule="auto"/>
        <w:jc w:val="both"/>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 </w:t>
      </w:r>
      <w:r>
        <w:rPr>
          <w:rFonts w:ascii="Times New Roman" w:hAnsi="Times New Roman"/>
          <w:color w:val="000000"/>
          <w:sz w:val="16"/>
          <w:szCs w:val="16"/>
        </w:rPr>
        <w:t>análises de tráficos, das ameaças e dos recursos através das fronteiras terrestres externas;</w:t>
      </w:r>
    </w:p>
    <w:p>
      <w:pPr>
        <w:widowControl w:val="0"/>
        <w:spacing w:after="0" w:line="240" w:lineRule="auto"/>
        <w:jc w:val="both"/>
        <w:rPr>
          <w:rFonts w:ascii="Times New Roman" w:hAnsi="Times New Roman" w:cs="Times New Roman"/>
          <w:color w:val="000000"/>
          <w:sz w:val="16"/>
          <w:szCs w:val="16"/>
        </w:rPr>
      </w:pPr>
      <w:r>
        <w:rPr>
          <w:rFonts w:ascii="Times New Roman" w:hAnsi="Times New Roman"/>
          <w:color w:val="000000"/>
          <w:sz w:val="16"/>
          <w:szCs w:val="16"/>
        </w:rPr>
        <w:t xml:space="preserve">- criação de redes de peritos, por exemplo, para os transportes aéreos, marítimos e rodoviários, partilha de boas práticas e análise de questões operacionais e tecnológicas subjacentes à análise dos riscos; </w:t>
      </w:r>
    </w:p>
    <w:p>
      <w:pPr>
        <w:widowControl w:val="0"/>
        <w:spacing w:after="0" w:line="240" w:lineRule="auto"/>
        <w:jc w:val="both"/>
        <w:rPr>
          <w:rFonts w:ascii="Times New Roman" w:hAnsi="Times New Roman" w:cs="Times New Roman"/>
          <w:color w:val="000000"/>
          <w:sz w:val="16"/>
          <w:szCs w:val="16"/>
        </w:rPr>
      </w:pPr>
      <w:r>
        <w:rPr>
          <w:rFonts w:ascii="Times New Roman" w:hAnsi="Times New Roman"/>
          <w:color w:val="000000"/>
          <w:sz w:val="16"/>
          <w:szCs w:val="16"/>
        </w:rPr>
        <w:t>- um protótipo de serviço partilhado que permita o controlo direcionado de contentores marítimos pelas autoridades aduaneiras;</w:t>
      </w:r>
    </w:p>
    <w:p>
      <w:pPr>
        <w:widowControl w:val="0"/>
        <w:spacing w:after="0" w:line="240" w:lineRule="auto"/>
        <w:jc w:val="both"/>
      </w:pPr>
      <w:r>
        <w:rPr>
          <w:rFonts w:ascii="Times New Roman" w:hAnsi="Times New Roman"/>
          <w:color w:val="000000"/>
          <w:sz w:val="16"/>
          <w:szCs w:val="16"/>
        </w:rPr>
        <w:t>- o programa de reforma do sistema de controlo das importações, que proporciona uma nova plataforma de cooperação entre autoridades aduaneiras e outras autoridades competentes na análise prévia dos riscos da carga, a fim de melhorar a qualidade dos dados declarados e permitir a partilha em tempo real dos dados declarados e das informações relevantes (inclusive os resultados dos controlos).</w:t>
      </w:r>
    </w:p>
  </w:footnote>
  <w:footnote w:id="36">
    <w:p>
      <w:pPr>
        <w:pStyle w:val="Default"/>
        <w:jc w:val="both"/>
        <w:rPr>
          <w:rFonts w:ascii="Times New Roman" w:hAnsi="Times New Roman"/>
          <w:sz w:val="16"/>
          <w:szCs w:val="16"/>
        </w:rPr>
      </w:pPr>
      <w:r>
        <w:rPr>
          <w:rStyle w:val="FootnoteReference"/>
          <w:rFonts w:ascii="Calibri" w:eastAsia="Calibri" w:hAnsi="Calibri" w:cs="Times New Roman"/>
          <w:color w:val="auto"/>
          <w:sz w:val="20"/>
          <w:szCs w:val="20"/>
        </w:rPr>
        <w:footnoteRef/>
      </w:r>
      <w:r>
        <w:t xml:space="preserve"> </w:t>
      </w:r>
      <w:r>
        <w:rPr>
          <w:rFonts w:ascii="Times New Roman" w:hAnsi="Times New Roman"/>
          <w:sz w:val="16"/>
          <w:szCs w:val="16"/>
        </w:rPr>
        <w:t xml:space="preserve">No relatório do projeto CELBET de 26.9.2017 sobre o lote 3.1 «Inventário dos equipamentos de controlo e de deteção atualmente utilizados», foram comunicados os resultados do sublote 3.2.1, uma análise das lacunas em cada ponto de passagem de fronteira. Conclusão (p. 15 do relatório): «A principal conclusão do inventário [dos 174 pontos de passagem terrestres das fronteiras externas da UE] indica que a situação em matéria de infraestruturas não é ideal. O aspeto mais preocupante é que 53% dos pontos de passagem não dispõem de sistemas automáticos de reconhecimento da matrícula / do contentor (ANPRS) que poderiam constituir uma base sólida e uma ferramenta eficaz de gestão de riscos.» Acresce que 46% dos pontos de passagem de fronteiras têm falta de </w:t>
      </w:r>
      <w:r>
        <w:rPr>
          <w:rFonts w:ascii="Times New Roman" w:hAnsi="Times New Roman"/>
          <w:i/>
          <w:sz w:val="16"/>
          <w:szCs w:val="16"/>
        </w:rPr>
        <w:t>scanners</w:t>
      </w:r>
      <w:r>
        <w:rPr>
          <w:rFonts w:ascii="Times New Roman" w:hAnsi="Times New Roman"/>
          <w:sz w:val="16"/>
          <w:szCs w:val="16"/>
        </w:rPr>
        <w:t xml:space="preserve"> para inspeção de camiões e vagões e mesmo os instrumentos de controlo manual não estão disponíveis em 51% dos pontos de passagem.»</w:t>
      </w:r>
    </w:p>
  </w:footnote>
  <w:footnote w:id="37">
    <w:p>
      <w:pPr>
        <w:pStyle w:val="Default"/>
        <w:jc w:val="both"/>
        <w:rPr>
          <w:rFonts w:ascii="Times New Roman" w:hAnsi="Times New Roman"/>
          <w:sz w:val="16"/>
          <w:szCs w:val="16"/>
        </w:rPr>
      </w:pPr>
      <w:r>
        <w:rPr>
          <w:rStyle w:val="FootnoteReference"/>
          <w:rFonts w:ascii="Calibri" w:eastAsia="Calibri" w:hAnsi="Calibri" w:cs="Times New Roman"/>
          <w:color w:val="auto"/>
          <w:sz w:val="20"/>
          <w:szCs w:val="20"/>
        </w:rPr>
        <w:footnoteRef/>
      </w:r>
      <w:r>
        <w:t xml:space="preserve"> </w:t>
      </w:r>
      <w:r>
        <w:rPr>
          <w:rFonts w:ascii="Times New Roman" w:hAnsi="Times New Roman"/>
          <w:sz w:val="16"/>
          <w:szCs w:val="16"/>
        </w:rPr>
        <w:t>Estónia (país coordenador), Finlândia, Letónia, Lituânia, Polónia, Eslováquia, Hungria, Roménia, Bulgária, Croácia e Grécia</w:t>
      </w:r>
    </w:p>
    <w:p>
      <w:pPr>
        <w:pStyle w:val="Default"/>
        <w:jc w:val="both"/>
      </w:pPr>
    </w:p>
  </w:footnote>
  <w:footnote w:id="3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Referência a inserir caso o processo fique concluído antes da adoção do relatório.</w:t>
      </w:r>
    </w:p>
  </w:footnote>
  <w:footnote w:id="3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Relatório da Comissão ao Parlamento Europeu e ao Conselho sobre a estratégia informática para as alfândegas - COM(2018) 178 final</w:t>
      </w:r>
    </w:p>
  </w:footnote>
  <w:footnote w:id="4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O desempenho da União Aduaneira – Relatório anual de 2016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7797"/>
    <w:multiLevelType w:val="hybridMultilevel"/>
    <w:tmpl w:val="53CA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5B4F06"/>
    <w:multiLevelType w:val="hybridMultilevel"/>
    <w:tmpl w:val="3A0AE8FE"/>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
    <w:nsid w:val="076261DA"/>
    <w:multiLevelType w:val="hybridMultilevel"/>
    <w:tmpl w:val="EA4C0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B24D04"/>
    <w:multiLevelType w:val="hybridMultilevel"/>
    <w:tmpl w:val="8B4EBAD6"/>
    <w:lvl w:ilvl="0" w:tplc="0809001B">
      <w:start w:val="1"/>
      <w:numFmt w:val="lowerRoman"/>
      <w:lvlText w:val="%1."/>
      <w:lvlJc w:val="righ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4">
    <w:nsid w:val="10D977C8"/>
    <w:multiLevelType w:val="hybridMultilevel"/>
    <w:tmpl w:val="EBA47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AD5E06"/>
    <w:multiLevelType w:val="hybridMultilevel"/>
    <w:tmpl w:val="50FEA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7B3D5A"/>
    <w:multiLevelType w:val="hybridMultilevel"/>
    <w:tmpl w:val="E6BA302A"/>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nsid w:val="13304ECF"/>
    <w:multiLevelType w:val="hybridMultilevel"/>
    <w:tmpl w:val="58CAA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58C4AEE"/>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1659FD"/>
    <w:multiLevelType w:val="multilevel"/>
    <w:tmpl w:val="2716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CE4E1D"/>
    <w:multiLevelType w:val="hybridMultilevel"/>
    <w:tmpl w:val="CE5EA7A8"/>
    <w:lvl w:ilvl="0" w:tplc="50928106">
      <w:start w:val="1"/>
      <w:numFmt w:val="decimal"/>
      <w:lvlText w:val="%1."/>
      <w:lvlJc w:val="left"/>
      <w:pPr>
        <w:ind w:left="644" w:hanging="360"/>
      </w:pPr>
      <w:rPr>
        <w:rFonts w:hint="default"/>
        <w:b/>
      </w:rPr>
    </w:lvl>
    <w:lvl w:ilvl="1" w:tplc="0809001B">
      <w:start w:val="1"/>
      <w:numFmt w:val="lowerRoman"/>
      <w:lvlText w:val="%2."/>
      <w:lvlJc w:val="right"/>
      <w:pPr>
        <w:ind w:left="1440" w:hanging="360"/>
      </w:pPr>
      <w:rPr>
        <w:rFonts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0F469B"/>
    <w:multiLevelType w:val="hybridMultilevel"/>
    <w:tmpl w:val="5EEE5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1D8B10EA"/>
    <w:multiLevelType w:val="hybridMultilevel"/>
    <w:tmpl w:val="0436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A231CB"/>
    <w:multiLevelType w:val="hybridMultilevel"/>
    <w:tmpl w:val="E0022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0E07440"/>
    <w:multiLevelType w:val="hybridMultilevel"/>
    <w:tmpl w:val="2C0A0608"/>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6">
    <w:nsid w:val="26194D00"/>
    <w:multiLevelType w:val="hybridMultilevel"/>
    <w:tmpl w:val="79F664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8">
    <w:nsid w:val="2C946171"/>
    <w:multiLevelType w:val="hybridMultilevel"/>
    <w:tmpl w:val="0ED2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F144F82"/>
    <w:multiLevelType w:val="hybridMultilevel"/>
    <w:tmpl w:val="C8923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1BD4C52"/>
    <w:multiLevelType w:val="hybridMultilevel"/>
    <w:tmpl w:val="4B0C7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1D571D3"/>
    <w:multiLevelType w:val="hybridMultilevel"/>
    <w:tmpl w:val="F99A2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32C4B9D"/>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29B05DD"/>
    <w:multiLevelType w:val="hybridMultilevel"/>
    <w:tmpl w:val="34B0C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45B72F4F"/>
    <w:multiLevelType w:val="hybridMultilevel"/>
    <w:tmpl w:val="A16C2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5EE00D5"/>
    <w:multiLevelType w:val="hybridMultilevel"/>
    <w:tmpl w:val="53B236BA"/>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7F07AB3"/>
    <w:multiLevelType w:val="hybridMultilevel"/>
    <w:tmpl w:val="E0F498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CA76590"/>
    <w:multiLevelType w:val="hybridMultilevel"/>
    <w:tmpl w:val="0E8440FC"/>
    <w:lvl w:ilvl="0" w:tplc="C242DEC8">
      <w:start w:val="1"/>
      <w:numFmt w:val="lowerLetter"/>
      <w:lvlText w:val="%1."/>
      <w:lvlJc w:val="left"/>
      <w:pPr>
        <w:ind w:left="144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DAC7BFE"/>
    <w:multiLevelType w:val="hybridMultilevel"/>
    <w:tmpl w:val="262E1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DF45CB0"/>
    <w:multiLevelType w:val="hybridMultilevel"/>
    <w:tmpl w:val="38A8F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E7E7AED"/>
    <w:multiLevelType w:val="hybridMultilevel"/>
    <w:tmpl w:val="D8502602"/>
    <w:lvl w:ilvl="0" w:tplc="A59CFD28">
      <w:start w:val="1"/>
      <w:numFmt w:val="bullet"/>
      <w:pStyle w:val="Briefingspdef"/>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4F91326F"/>
    <w:multiLevelType w:val="hybridMultilevel"/>
    <w:tmpl w:val="2D545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7F226B0"/>
    <w:multiLevelType w:val="hybridMultilevel"/>
    <w:tmpl w:val="BC2C6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2EA7CFA"/>
    <w:multiLevelType w:val="hybridMultilevel"/>
    <w:tmpl w:val="F6AE1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41A0C13"/>
    <w:multiLevelType w:val="hybridMultilevel"/>
    <w:tmpl w:val="EA6835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nsid w:val="6DD428D5"/>
    <w:multiLevelType w:val="hybridMultilevel"/>
    <w:tmpl w:val="25907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FA25AA1"/>
    <w:multiLevelType w:val="hybridMultilevel"/>
    <w:tmpl w:val="9796F12C"/>
    <w:lvl w:ilvl="0" w:tplc="AAC4C164">
      <w:start w:val="1"/>
      <w:numFmt w:val="lowerLetter"/>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91314A7"/>
    <w:multiLevelType w:val="hybridMultilevel"/>
    <w:tmpl w:val="E1E0E6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7B792688"/>
    <w:multiLevelType w:val="hybridMultilevel"/>
    <w:tmpl w:val="D5D012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D9C17B9"/>
    <w:multiLevelType w:val="hybridMultilevel"/>
    <w:tmpl w:val="8132C9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30"/>
  </w:num>
  <w:num w:numId="5">
    <w:abstractNumId w:val="7"/>
  </w:num>
  <w:num w:numId="6">
    <w:abstractNumId w:val="40"/>
  </w:num>
  <w:num w:numId="7">
    <w:abstractNumId w:val="17"/>
  </w:num>
  <w:num w:numId="8">
    <w:abstractNumId w:val="11"/>
  </w:num>
  <w:num w:numId="9">
    <w:abstractNumId w:val="32"/>
  </w:num>
  <w:num w:numId="10">
    <w:abstractNumId w:val="38"/>
  </w:num>
  <w:num w:numId="11">
    <w:abstractNumId w:val="14"/>
  </w:num>
  <w:num w:numId="12">
    <w:abstractNumId w:val="5"/>
  </w:num>
  <w:num w:numId="13">
    <w:abstractNumId w:val="27"/>
  </w:num>
  <w:num w:numId="14">
    <w:abstractNumId w:val="24"/>
  </w:num>
  <w:num w:numId="15">
    <w:abstractNumId w:val="9"/>
  </w:num>
  <w:num w:numId="16">
    <w:abstractNumId w:val="4"/>
  </w:num>
  <w:num w:numId="17">
    <w:abstractNumId w:val="33"/>
  </w:num>
  <w:num w:numId="18">
    <w:abstractNumId w:val="26"/>
  </w:num>
  <w:num w:numId="19">
    <w:abstractNumId w:val="16"/>
  </w:num>
  <w:num w:numId="20">
    <w:abstractNumId w:val="39"/>
  </w:num>
  <w:num w:numId="21">
    <w:abstractNumId w:val="2"/>
  </w:num>
  <w:num w:numId="22">
    <w:abstractNumId w:val="20"/>
  </w:num>
  <w:num w:numId="23">
    <w:abstractNumId w:val="31"/>
  </w:num>
  <w:num w:numId="24">
    <w:abstractNumId w:val="29"/>
  </w:num>
  <w:num w:numId="25">
    <w:abstractNumId w:val="8"/>
  </w:num>
  <w:num w:numId="26">
    <w:abstractNumId w:val="23"/>
  </w:num>
  <w:num w:numId="27">
    <w:abstractNumId w:val="25"/>
  </w:num>
  <w:num w:numId="28">
    <w:abstractNumId w:val="21"/>
  </w:num>
  <w:num w:numId="29">
    <w:abstractNumId w:val="18"/>
  </w:num>
  <w:num w:numId="30">
    <w:abstractNumId w:val="34"/>
  </w:num>
  <w:num w:numId="31">
    <w:abstractNumId w:val="13"/>
  </w:num>
  <w:num w:numId="32">
    <w:abstractNumId w:val="36"/>
  </w:num>
  <w:num w:numId="33">
    <w:abstractNumId w:val="10"/>
  </w:num>
  <w:num w:numId="34">
    <w:abstractNumId w:val="28"/>
  </w:num>
  <w:num w:numId="35">
    <w:abstractNumId w:val="37"/>
  </w:num>
  <w:num w:numId="36">
    <w:abstractNumId w:val="15"/>
  </w:num>
  <w:num w:numId="37">
    <w:abstractNumId w:val="6"/>
  </w:num>
  <w:num w:numId="38">
    <w:abstractNumId w:val="0"/>
  </w:num>
  <w:num w:numId="39">
    <w:abstractNumId w:val="19"/>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CE4F294-3775-4CBE-92AC-312260829817"/>
    <w:docVar w:name="LW_COVERPAGE_TYPE" w:val="1"/>
    <w:docVar w:name="LW_CROSSREFERENCE" w:val="&lt;UNUSED&gt;"/>
    <w:docVar w:name="LW_DocType" w:val="NORMAL"/>
    <w:docVar w:name="LW_EMISSION" w:val="5.7.2018"/>
    <w:docVar w:name="LW_EMISSION_ISODATE" w:val="2018-07-05"/>
    <w:docVar w:name="LW_EMISSION_LOCATION" w:val="BRX"/>
    <w:docVar w:name="LW_EMISSION_PREFIX" w:val="Bruxelas, "/>
    <w:docVar w:name="LW_EMISSION_SUFFIX" w:val="&lt;EMPTY&gt;"/>
    <w:docVar w:name="LW_ID_DOCTYPE_NONLW" w:val="CP-011"/>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18) 5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rimeiro relatório bienal sobre o desenvolvimento da União Aduaneira da UE e da sua governação_x000b_"/>
    <w:docVar w:name="LW_TYPE.DOC.CP" w:val="COMUNICAÇÃO DA COMISSÃO AO CONSELHO E AO PARLAMENTO EUROPE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GSA List,Dot pt,F5 List Paragraph,List Paragraph Char Char Char,Indicator Text,Numbered Para 1,Bullet 1,Bullet Points,3"/>
    <w:basedOn w:val="Normal"/>
    <w:link w:val="ListParagraphChar"/>
    <w:uiPriority w:val="34"/>
    <w:qFormat/>
    <w:pPr>
      <w:ind w:left="720"/>
      <w:contextualSpacing/>
    </w:p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pt-PT"/>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pt-PT"/>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lang w:eastAsia="en-GB"/>
    </w:rPr>
  </w:style>
  <w:style w:type="character" w:customStyle="1" w:styleId="None">
    <w:name w:val="None"/>
  </w:style>
  <w:style w:type="paragraph" w:customStyle="1" w:styleId="Text1">
    <w:name w:val="Text 1"/>
    <w:basedOn w:val="Normal"/>
    <w:pPr>
      <w:ind w:left="482"/>
    </w:pPr>
    <w:rPr>
      <w:rFonts w:eastAsiaTheme="minorEastAsia"/>
      <w:lang w:eastAsia="nl-B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GSA List Char,Dot pt Char,F5 List Paragraph Char,List Paragraph Char Char Char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3"/>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4"/>
      </w:numPr>
      <w:jc w:val="both"/>
    </w:pPr>
    <w:rPr>
      <w:rFonts w:ascii="Arial" w:eastAsia="Times New Roman" w:hAnsi="Arial" w:cs="Arial"/>
      <w:sz w:val="28"/>
      <w:szCs w:val="28"/>
      <w:lang w:eastAsia="en-GB"/>
    </w:rPr>
  </w:style>
  <w:style w:type="character" w:customStyle="1" w:styleId="BriefingspdefCar">
    <w:name w:val="Briefing sp/def Car"/>
    <w:link w:val="Briefingspdef"/>
    <w:rPr>
      <w:rFonts w:ascii="Arial" w:eastAsia="Times New Roman" w:hAnsi="Arial" w:cs="Arial"/>
      <w:sz w:val="28"/>
      <w:szCs w:val="28"/>
      <w:lang w:eastAsia="en-GB"/>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lang w:eastAsia="en-GB"/>
    </w:rPr>
  </w:style>
  <w:style w:type="character" w:customStyle="1" w:styleId="NormalWebChar">
    <w:name w:val="Normal (Web) Char"/>
    <w:link w:val="NormalWeb"/>
    <w:uiPriority w:val="99"/>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A6">
    <w:name w:val="A6"/>
    <w:uiPriority w:val="99"/>
    <w:rPr>
      <w:rFonts w:cs="Garamond"/>
      <w:color w:val="000000"/>
      <w:sz w:val="22"/>
      <w:szCs w:val="22"/>
    </w:rPr>
  </w:style>
  <w:style w:type="paragraph" w:customStyle="1" w:styleId="ListBullet1">
    <w:name w:val="List Bullet 1"/>
    <w:basedOn w:val="Text1"/>
    <w:pPr>
      <w:numPr>
        <w:numId w:val="7"/>
      </w:numPr>
      <w:spacing w:after="240" w:line="240" w:lineRule="auto"/>
      <w:jc w:val="both"/>
    </w:pPr>
    <w:rPr>
      <w:rFonts w:ascii="Times New Roman" w:eastAsia="Times New Roman" w:hAnsi="Times New Roman" w:cs="Times New Roman"/>
      <w:sz w:val="24"/>
      <w:szCs w:val="20"/>
      <w:lang w:eastAsia="en-U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dnormal">
    <w:name w:val="prdnormal"/>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A3">
    <w:name w:val="A3"/>
    <w:uiPriority w:val="99"/>
    <w:rPr>
      <w:rFonts w:cs="EC Square Sans Pro"/>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GSA List,Dot pt,F5 List Paragraph,List Paragraph Char Char Char,Indicator Text,Numbered Para 1,Bullet 1,Bullet Points,3"/>
    <w:basedOn w:val="Normal"/>
    <w:link w:val="ListParagraphChar"/>
    <w:uiPriority w:val="34"/>
    <w:qFormat/>
    <w:pPr>
      <w:ind w:left="720"/>
      <w:contextualSpacing/>
    </w:p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pt-PT"/>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pt-PT"/>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lang w:eastAsia="en-GB"/>
    </w:rPr>
  </w:style>
  <w:style w:type="character" w:customStyle="1" w:styleId="None">
    <w:name w:val="None"/>
  </w:style>
  <w:style w:type="paragraph" w:customStyle="1" w:styleId="Text1">
    <w:name w:val="Text 1"/>
    <w:basedOn w:val="Normal"/>
    <w:pPr>
      <w:ind w:left="482"/>
    </w:pPr>
    <w:rPr>
      <w:rFonts w:eastAsiaTheme="minorEastAsia"/>
      <w:lang w:eastAsia="nl-B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GSA List Char,Dot pt Char,F5 List Paragraph Char,List Paragraph Char Char Char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3"/>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4"/>
      </w:numPr>
      <w:jc w:val="both"/>
    </w:pPr>
    <w:rPr>
      <w:rFonts w:ascii="Arial" w:eastAsia="Times New Roman" w:hAnsi="Arial" w:cs="Arial"/>
      <w:sz w:val="28"/>
      <w:szCs w:val="28"/>
      <w:lang w:eastAsia="en-GB"/>
    </w:rPr>
  </w:style>
  <w:style w:type="character" w:customStyle="1" w:styleId="BriefingspdefCar">
    <w:name w:val="Briefing sp/def Car"/>
    <w:link w:val="Briefingspdef"/>
    <w:rPr>
      <w:rFonts w:ascii="Arial" w:eastAsia="Times New Roman" w:hAnsi="Arial" w:cs="Arial"/>
      <w:sz w:val="28"/>
      <w:szCs w:val="28"/>
      <w:lang w:eastAsia="en-GB"/>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lang w:eastAsia="en-GB"/>
    </w:rPr>
  </w:style>
  <w:style w:type="character" w:customStyle="1" w:styleId="NormalWebChar">
    <w:name w:val="Normal (Web) Char"/>
    <w:link w:val="NormalWeb"/>
    <w:uiPriority w:val="99"/>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A6">
    <w:name w:val="A6"/>
    <w:uiPriority w:val="99"/>
    <w:rPr>
      <w:rFonts w:cs="Garamond"/>
      <w:color w:val="000000"/>
      <w:sz w:val="22"/>
      <w:szCs w:val="22"/>
    </w:rPr>
  </w:style>
  <w:style w:type="paragraph" w:customStyle="1" w:styleId="ListBullet1">
    <w:name w:val="List Bullet 1"/>
    <w:basedOn w:val="Text1"/>
    <w:pPr>
      <w:numPr>
        <w:numId w:val="7"/>
      </w:numPr>
      <w:spacing w:after="240" w:line="240" w:lineRule="auto"/>
      <w:jc w:val="both"/>
    </w:pPr>
    <w:rPr>
      <w:rFonts w:ascii="Times New Roman" w:eastAsia="Times New Roman" w:hAnsi="Times New Roman" w:cs="Times New Roman"/>
      <w:sz w:val="24"/>
      <w:szCs w:val="20"/>
      <w:lang w:eastAsia="en-U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dnormal">
    <w:name w:val="prdnormal"/>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A3">
    <w:name w:val="A3"/>
    <w:uiPriority w:val="99"/>
    <w:rPr>
      <w:rFonts w:cs="EC Square Sans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9584">
      <w:bodyDiv w:val="1"/>
      <w:marLeft w:val="0"/>
      <w:marRight w:val="0"/>
      <w:marTop w:val="0"/>
      <w:marBottom w:val="0"/>
      <w:divBdr>
        <w:top w:val="none" w:sz="0" w:space="0" w:color="auto"/>
        <w:left w:val="none" w:sz="0" w:space="0" w:color="auto"/>
        <w:bottom w:val="none" w:sz="0" w:space="0" w:color="auto"/>
        <w:right w:val="none" w:sz="0" w:space="0" w:color="auto"/>
      </w:divBdr>
      <w:divsChild>
        <w:div w:id="898901692">
          <w:marLeft w:val="0"/>
          <w:marRight w:val="0"/>
          <w:marTop w:val="0"/>
          <w:marBottom w:val="0"/>
          <w:divBdr>
            <w:top w:val="none" w:sz="0" w:space="0" w:color="auto"/>
            <w:left w:val="none" w:sz="0" w:space="0" w:color="auto"/>
            <w:bottom w:val="none" w:sz="0" w:space="0" w:color="auto"/>
            <w:right w:val="none" w:sz="0" w:space="0" w:color="auto"/>
          </w:divBdr>
          <w:divsChild>
            <w:div w:id="921378526">
              <w:marLeft w:val="0"/>
              <w:marRight w:val="0"/>
              <w:marTop w:val="0"/>
              <w:marBottom w:val="0"/>
              <w:divBdr>
                <w:top w:val="none" w:sz="0" w:space="0" w:color="auto"/>
                <w:left w:val="none" w:sz="0" w:space="0" w:color="auto"/>
                <w:bottom w:val="none" w:sz="0" w:space="0" w:color="auto"/>
                <w:right w:val="none" w:sz="0" w:space="0" w:color="auto"/>
              </w:divBdr>
              <w:divsChild>
                <w:div w:id="1747799684">
                  <w:marLeft w:val="0"/>
                  <w:marRight w:val="0"/>
                  <w:marTop w:val="0"/>
                  <w:marBottom w:val="0"/>
                  <w:divBdr>
                    <w:top w:val="none" w:sz="0" w:space="0" w:color="auto"/>
                    <w:left w:val="none" w:sz="0" w:space="0" w:color="auto"/>
                    <w:bottom w:val="none" w:sz="0" w:space="0" w:color="auto"/>
                    <w:right w:val="none" w:sz="0" w:space="0" w:color="auto"/>
                  </w:divBdr>
                  <w:divsChild>
                    <w:div w:id="1702899791">
                      <w:marLeft w:val="0"/>
                      <w:marRight w:val="0"/>
                      <w:marTop w:val="0"/>
                      <w:marBottom w:val="0"/>
                      <w:divBdr>
                        <w:top w:val="none" w:sz="0" w:space="0" w:color="auto"/>
                        <w:left w:val="none" w:sz="0" w:space="0" w:color="auto"/>
                        <w:bottom w:val="none" w:sz="0" w:space="0" w:color="auto"/>
                        <w:right w:val="none" w:sz="0" w:space="0" w:color="auto"/>
                      </w:divBdr>
                      <w:divsChild>
                        <w:div w:id="543174171">
                          <w:marLeft w:val="0"/>
                          <w:marRight w:val="0"/>
                          <w:marTop w:val="0"/>
                          <w:marBottom w:val="0"/>
                          <w:divBdr>
                            <w:top w:val="none" w:sz="0" w:space="0" w:color="auto"/>
                            <w:left w:val="none" w:sz="0" w:space="0" w:color="auto"/>
                            <w:bottom w:val="none" w:sz="0" w:space="0" w:color="auto"/>
                            <w:right w:val="none" w:sz="0" w:space="0" w:color="auto"/>
                          </w:divBdr>
                          <w:divsChild>
                            <w:div w:id="349071541">
                              <w:marLeft w:val="-225"/>
                              <w:marRight w:val="-225"/>
                              <w:marTop w:val="0"/>
                              <w:marBottom w:val="0"/>
                              <w:divBdr>
                                <w:top w:val="none" w:sz="0" w:space="0" w:color="auto"/>
                                <w:left w:val="none" w:sz="0" w:space="0" w:color="auto"/>
                                <w:bottom w:val="none" w:sz="0" w:space="0" w:color="auto"/>
                                <w:right w:val="none" w:sz="0" w:space="0" w:color="auto"/>
                              </w:divBdr>
                              <w:divsChild>
                                <w:div w:id="713771501">
                                  <w:marLeft w:val="0"/>
                                  <w:marRight w:val="0"/>
                                  <w:marTop w:val="0"/>
                                  <w:marBottom w:val="0"/>
                                  <w:divBdr>
                                    <w:top w:val="none" w:sz="0" w:space="0" w:color="auto"/>
                                    <w:left w:val="none" w:sz="0" w:space="0" w:color="auto"/>
                                    <w:bottom w:val="none" w:sz="0" w:space="0" w:color="auto"/>
                                    <w:right w:val="none" w:sz="0" w:space="0" w:color="auto"/>
                                  </w:divBdr>
                                  <w:divsChild>
                                    <w:div w:id="875314498">
                                      <w:marLeft w:val="0"/>
                                      <w:marRight w:val="0"/>
                                      <w:marTop w:val="0"/>
                                      <w:marBottom w:val="0"/>
                                      <w:divBdr>
                                        <w:top w:val="none" w:sz="0" w:space="0" w:color="auto"/>
                                        <w:left w:val="none" w:sz="0" w:space="0" w:color="auto"/>
                                        <w:bottom w:val="none" w:sz="0" w:space="0" w:color="auto"/>
                                        <w:right w:val="none" w:sz="0" w:space="0" w:color="auto"/>
                                      </w:divBdr>
                                      <w:divsChild>
                                        <w:div w:id="1700819100">
                                          <w:marLeft w:val="0"/>
                                          <w:marRight w:val="0"/>
                                          <w:marTop w:val="240"/>
                                          <w:marBottom w:val="0"/>
                                          <w:divBdr>
                                            <w:top w:val="none" w:sz="0" w:space="0" w:color="auto"/>
                                            <w:left w:val="none" w:sz="0" w:space="0" w:color="auto"/>
                                            <w:bottom w:val="none" w:sz="0" w:space="0" w:color="auto"/>
                                            <w:right w:val="none" w:sz="0" w:space="0" w:color="auto"/>
                                          </w:divBdr>
                                          <w:divsChild>
                                            <w:div w:id="1542595165">
                                              <w:marLeft w:val="0"/>
                                              <w:marRight w:val="0"/>
                                              <w:marTop w:val="0"/>
                                              <w:marBottom w:val="133"/>
                                              <w:divBdr>
                                                <w:top w:val="none" w:sz="0" w:space="0" w:color="auto"/>
                                                <w:left w:val="none" w:sz="0" w:space="0" w:color="auto"/>
                                                <w:bottom w:val="none" w:sz="0" w:space="0" w:color="auto"/>
                                                <w:right w:val="none" w:sz="0" w:space="0" w:color="auto"/>
                                              </w:divBdr>
                                              <w:divsChild>
                                                <w:div w:id="3076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700942">
      <w:bodyDiv w:val="1"/>
      <w:marLeft w:val="0"/>
      <w:marRight w:val="0"/>
      <w:marTop w:val="0"/>
      <w:marBottom w:val="0"/>
      <w:divBdr>
        <w:top w:val="none" w:sz="0" w:space="0" w:color="auto"/>
        <w:left w:val="none" w:sz="0" w:space="0" w:color="auto"/>
        <w:bottom w:val="none" w:sz="0" w:space="0" w:color="auto"/>
        <w:right w:val="none" w:sz="0" w:space="0" w:color="auto"/>
      </w:divBdr>
    </w:div>
    <w:div w:id="165019854">
      <w:bodyDiv w:val="1"/>
      <w:marLeft w:val="0"/>
      <w:marRight w:val="0"/>
      <w:marTop w:val="0"/>
      <w:marBottom w:val="0"/>
      <w:divBdr>
        <w:top w:val="none" w:sz="0" w:space="0" w:color="auto"/>
        <w:left w:val="none" w:sz="0" w:space="0" w:color="auto"/>
        <w:bottom w:val="none" w:sz="0" w:space="0" w:color="auto"/>
        <w:right w:val="none" w:sz="0" w:space="0" w:color="auto"/>
      </w:divBdr>
      <w:divsChild>
        <w:div w:id="1453553774">
          <w:marLeft w:val="0"/>
          <w:marRight w:val="0"/>
          <w:marTop w:val="0"/>
          <w:marBottom w:val="0"/>
          <w:divBdr>
            <w:top w:val="none" w:sz="0" w:space="0" w:color="auto"/>
            <w:left w:val="none" w:sz="0" w:space="0" w:color="auto"/>
            <w:bottom w:val="none" w:sz="0" w:space="0" w:color="auto"/>
            <w:right w:val="none" w:sz="0" w:space="0" w:color="auto"/>
          </w:divBdr>
        </w:div>
        <w:div w:id="943417668">
          <w:marLeft w:val="0"/>
          <w:marRight w:val="0"/>
          <w:marTop w:val="0"/>
          <w:marBottom w:val="0"/>
          <w:divBdr>
            <w:top w:val="none" w:sz="0" w:space="0" w:color="auto"/>
            <w:left w:val="none" w:sz="0" w:space="0" w:color="auto"/>
            <w:bottom w:val="none" w:sz="0" w:space="0" w:color="auto"/>
            <w:right w:val="none" w:sz="0" w:space="0" w:color="auto"/>
          </w:divBdr>
          <w:divsChild>
            <w:div w:id="1249196958">
              <w:marLeft w:val="0"/>
              <w:marRight w:val="0"/>
              <w:marTop w:val="0"/>
              <w:marBottom w:val="0"/>
              <w:divBdr>
                <w:top w:val="none" w:sz="0" w:space="0" w:color="auto"/>
                <w:left w:val="none" w:sz="0" w:space="0" w:color="auto"/>
                <w:bottom w:val="none" w:sz="0" w:space="0" w:color="auto"/>
                <w:right w:val="none" w:sz="0" w:space="0" w:color="auto"/>
              </w:divBdr>
              <w:divsChild>
                <w:div w:id="1778941075">
                  <w:marLeft w:val="0"/>
                  <w:marRight w:val="0"/>
                  <w:marTop w:val="0"/>
                  <w:marBottom w:val="0"/>
                  <w:divBdr>
                    <w:top w:val="none" w:sz="0" w:space="0" w:color="auto"/>
                    <w:left w:val="none" w:sz="0" w:space="0" w:color="auto"/>
                    <w:bottom w:val="none" w:sz="0" w:space="0" w:color="auto"/>
                    <w:right w:val="none" w:sz="0" w:space="0" w:color="auto"/>
                  </w:divBdr>
                  <w:divsChild>
                    <w:div w:id="1920089569">
                      <w:marLeft w:val="0"/>
                      <w:marRight w:val="0"/>
                      <w:marTop w:val="0"/>
                      <w:marBottom w:val="0"/>
                      <w:divBdr>
                        <w:top w:val="none" w:sz="0" w:space="0" w:color="auto"/>
                        <w:left w:val="none" w:sz="0" w:space="0" w:color="auto"/>
                        <w:bottom w:val="none" w:sz="0" w:space="0" w:color="auto"/>
                        <w:right w:val="none" w:sz="0" w:space="0" w:color="auto"/>
                      </w:divBdr>
                      <w:divsChild>
                        <w:div w:id="601884509">
                          <w:marLeft w:val="0"/>
                          <w:marRight w:val="0"/>
                          <w:marTop w:val="0"/>
                          <w:marBottom w:val="0"/>
                          <w:divBdr>
                            <w:top w:val="none" w:sz="0" w:space="0" w:color="auto"/>
                            <w:left w:val="none" w:sz="0" w:space="0" w:color="auto"/>
                            <w:bottom w:val="none" w:sz="0" w:space="0" w:color="auto"/>
                            <w:right w:val="none" w:sz="0" w:space="0" w:color="auto"/>
                          </w:divBdr>
                          <w:divsChild>
                            <w:div w:id="1269777130">
                              <w:marLeft w:val="0"/>
                              <w:marRight w:val="0"/>
                              <w:marTop w:val="0"/>
                              <w:marBottom w:val="0"/>
                              <w:divBdr>
                                <w:top w:val="none" w:sz="0" w:space="0" w:color="auto"/>
                                <w:left w:val="none" w:sz="0" w:space="0" w:color="auto"/>
                                <w:bottom w:val="none" w:sz="0" w:space="0" w:color="auto"/>
                                <w:right w:val="none" w:sz="0" w:space="0" w:color="auto"/>
                              </w:divBdr>
                              <w:divsChild>
                                <w:div w:id="1567107220">
                                  <w:marLeft w:val="0"/>
                                  <w:marRight w:val="0"/>
                                  <w:marTop w:val="0"/>
                                  <w:marBottom w:val="0"/>
                                  <w:divBdr>
                                    <w:top w:val="none" w:sz="0" w:space="0" w:color="auto"/>
                                    <w:left w:val="none" w:sz="0" w:space="0" w:color="auto"/>
                                    <w:bottom w:val="none" w:sz="0" w:space="0" w:color="auto"/>
                                    <w:right w:val="none" w:sz="0" w:space="0" w:color="auto"/>
                                  </w:divBdr>
                                  <w:divsChild>
                                    <w:div w:id="532419915">
                                      <w:marLeft w:val="0"/>
                                      <w:marRight w:val="0"/>
                                      <w:marTop w:val="0"/>
                                      <w:marBottom w:val="0"/>
                                      <w:divBdr>
                                        <w:top w:val="none" w:sz="0" w:space="0" w:color="auto"/>
                                        <w:left w:val="none" w:sz="0" w:space="0" w:color="auto"/>
                                        <w:bottom w:val="none" w:sz="0" w:space="0" w:color="auto"/>
                                        <w:right w:val="none" w:sz="0" w:space="0" w:color="auto"/>
                                      </w:divBdr>
                                      <w:divsChild>
                                        <w:div w:id="516424451">
                                          <w:marLeft w:val="0"/>
                                          <w:marRight w:val="0"/>
                                          <w:marTop w:val="0"/>
                                          <w:marBottom w:val="0"/>
                                          <w:divBdr>
                                            <w:top w:val="none" w:sz="0" w:space="0" w:color="auto"/>
                                            <w:left w:val="none" w:sz="0" w:space="0" w:color="auto"/>
                                            <w:bottom w:val="none" w:sz="0" w:space="0" w:color="auto"/>
                                            <w:right w:val="none" w:sz="0" w:space="0" w:color="auto"/>
                                          </w:divBdr>
                                          <w:divsChild>
                                            <w:div w:id="167184459">
                                              <w:marLeft w:val="0"/>
                                              <w:marRight w:val="0"/>
                                              <w:marTop w:val="0"/>
                                              <w:marBottom w:val="0"/>
                                              <w:divBdr>
                                                <w:top w:val="none" w:sz="0" w:space="0" w:color="auto"/>
                                                <w:left w:val="none" w:sz="0" w:space="0" w:color="auto"/>
                                                <w:bottom w:val="none" w:sz="0" w:space="0" w:color="auto"/>
                                                <w:right w:val="none" w:sz="0" w:space="0" w:color="auto"/>
                                              </w:divBdr>
                                              <w:divsChild>
                                                <w:div w:id="389696914">
                                                  <w:marLeft w:val="0"/>
                                                  <w:marRight w:val="0"/>
                                                  <w:marTop w:val="0"/>
                                                  <w:marBottom w:val="0"/>
                                                  <w:divBdr>
                                                    <w:top w:val="none" w:sz="0" w:space="0" w:color="auto"/>
                                                    <w:left w:val="none" w:sz="0" w:space="0" w:color="auto"/>
                                                    <w:bottom w:val="none" w:sz="0" w:space="0" w:color="auto"/>
                                                    <w:right w:val="none" w:sz="0" w:space="0" w:color="auto"/>
                                                  </w:divBdr>
                                                  <w:divsChild>
                                                    <w:div w:id="12128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755583">
      <w:bodyDiv w:val="1"/>
      <w:marLeft w:val="0"/>
      <w:marRight w:val="0"/>
      <w:marTop w:val="0"/>
      <w:marBottom w:val="0"/>
      <w:divBdr>
        <w:top w:val="none" w:sz="0" w:space="0" w:color="auto"/>
        <w:left w:val="none" w:sz="0" w:space="0" w:color="auto"/>
        <w:bottom w:val="none" w:sz="0" w:space="0" w:color="auto"/>
        <w:right w:val="none" w:sz="0" w:space="0" w:color="auto"/>
      </w:divBdr>
    </w:div>
    <w:div w:id="267086355">
      <w:bodyDiv w:val="1"/>
      <w:marLeft w:val="0"/>
      <w:marRight w:val="0"/>
      <w:marTop w:val="0"/>
      <w:marBottom w:val="0"/>
      <w:divBdr>
        <w:top w:val="none" w:sz="0" w:space="0" w:color="auto"/>
        <w:left w:val="none" w:sz="0" w:space="0" w:color="auto"/>
        <w:bottom w:val="none" w:sz="0" w:space="0" w:color="auto"/>
        <w:right w:val="none" w:sz="0" w:space="0" w:color="auto"/>
      </w:divBdr>
    </w:div>
    <w:div w:id="304315507">
      <w:bodyDiv w:val="1"/>
      <w:marLeft w:val="0"/>
      <w:marRight w:val="0"/>
      <w:marTop w:val="0"/>
      <w:marBottom w:val="0"/>
      <w:divBdr>
        <w:top w:val="none" w:sz="0" w:space="0" w:color="auto"/>
        <w:left w:val="none" w:sz="0" w:space="0" w:color="auto"/>
        <w:bottom w:val="none" w:sz="0" w:space="0" w:color="auto"/>
        <w:right w:val="none" w:sz="0" w:space="0" w:color="auto"/>
      </w:divBdr>
    </w:div>
    <w:div w:id="325940064">
      <w:bodyDiv w:val="1"/>
      <w:marLeft w:val="0"/>
      <w:marRight w:val="0"/>
      <w:marTop w:val="0"/>
      <w:marBottom w:val="0"/>
      <w:divBdr>
        <w:top w:val="none" w:sz="0" w:space="0" w:color="auto"/>
        <w:left w:val="none" w:sz="0" w:space="0" w:color="auto"/>
        <w:bottom w:val="none" w:sz="0" w:space="0" w:color="auto"/>
        <w:right w:val="none" w:sz="0" w:space="0" w:color="auto"/>
      </w:divBdr>
    </w:div>
    <w:div w:id="342519010">
      <w:bodyDiv w:val="1"/>
      <w:marLeft w:val="0"/>
      <w:marRight w:val="0"/>
      <w:marTop w:val="0"/>
      <w:marBottom w:val="0"/>
      <w:divBdr>
        <w:top w:val="none" w:sz="0" w:space="0" w:color="auto"/>
        <w:left w:val="none" w:sz="0" w:space="0" w:color="auto"/>
        <w:bottom w:val="none" w:sz="0" w:space="0" w:color="auto"/>
        <w:right w:val="none" w:sz="0" w:space="0" w:color="auto"/>
      </w:divBdr>
      <w:divsChild>
        <w:div w:id="103774801">
          <w:marLeft w:val="0"/>
          <w:marRight w:val="0"/>
          <w:marTop w:val="0"/>
          <w:marBottom w:val="0"/>
          <w:divBdr>
            <w:top w:val="single" w:sz="6" w:space="0" w:color="666666"/>
            <w:left w:val="single" w:sz="6" w:space="0" w:color="666666"/>
            <w:bottom w:val="single" w:sz="6" w:space="0" w:color="666666"/>
            <w:right w:val="single" w:sz="6" w:space="0" w:color="666666"/>
          </w:divBdr>
          <w:divsChild>
            <w:div w:id="560213098">
              <w:marLeft w:val="0"/>
              <w:marRight w:val="0"/>
              <w:marTop w:val="150"/>
              <w:marBottom w:val="0"/>
              <w:divBdr>
                <w:top w:val="none" w:sz="0" w:space="0" w:color="auto"/>
                <w:left w:val="none" w:sz="0" w:space="0" w:color="auto"/>
                <w:bottom w:val="none" w:sz="0" w:space="0" w:color="auto"/>
                <w:right w:val="none" w:sz="0" w:space="0" w:color="auto"/>
              </w:divBdr>
              <w:divsChild>
                <w:div w:id="1959750861">
                  <w:marLeft w:val="0"/>
                  <w:marRight w:val="0"/>
                  <w:marTop w:val="0"/>
                  <w:marBottom w:val="0"/>
                  <w:divBdr>
                    <w:top w:val="none" w:sz="0" w:space="0" w:color="auto"/>
                    <w:left w:val="none" w:sz="0" w:space="0" w:color="auto"/>
                    <w:bottom w:val="none" w:sz="0" w:space="0" w:color="auto"/>
                    <w:right w:val="none" w:sz="0" w:space="0" w:color="auto"/>
                  </w:divBdr>
                  <w:divsChild>
                    <w:div w:id="1457793300">
                      <w:marLeft w:val="0"/>
                      <w:marRight w:val="0"/>
                      <w:marTop w:val="0"/>
                      <w:marBottom w:val="0"/>
                      <w:divBdr>
                        <w:top w:val="none" w:sz="0" w:space="0" w:color="auto"/>
                        <w:left w:val="none" w:sz="0" w:space="0" w:color="auto"/>
                        <w:bottom w:val="none" w:sz="0" w:space="0" w:color="auto"/>
                        <w:right w:val="none" w:sz="0" w:space="0" w:color="auto"/>
                      </w:divBdr>
                      <w:divsChild>
                        <w:div w:id="75909691">
                          <w:marLeft w:val="0"/>
                          <w:marRight w:val="0"/>
                          <w:marTop w:val="0"/>
                          <w:marBottom w:val="0"/>
                          <w:divBdr>
                            <w:top w:val="none" w:sz="0" w:space="0" w:color="auto"/>
                            <w:left w:val="none" w:sz="0" w:space="0" w:color="auto"/>
                            <w:bottom w:val="none" w:sz="0" w:space="0" w:color="auto"/>
                            <w:right w:val="none" w:sz="0" w:space="0" w:color="auto"/>
                          </w:divBdr>
                          <w:divsChild>
                            <w:div w:id="1105273758">
                              <w:marLeft w:val="0"/>
                              <w:marRight w:val="0"/>
                              <w:marTop w:val="0"/>
                              <w:marBottom w:val="0"/>
                              <w:divBdr>
                                <w:top w:val="none" w:sz="0" w:space="0" w:color="auto"/>
                                <w:left w:val="none" w:sz="0" w:space="0" w:color="auto"/>
                                <w:bottom w:val="none" w:sz="0" w:space="0" w:color="auto"/>
                                <w:right w:val="none" w:sz="0" w:space="0" w:color="auto"/>
                              </w:divBdr>
                              <w:divsChild>
                                <w:div w:id="1894459506">
                                  <w:marLeft w:val="0"/>
                                  <w:marRight w:val="0"/>
                                  <w:marTop w:val="0"/>
                                  <w:marBottom w:val="0"/>
                                  <w:divBdr>
                                    <w:top w:val="none" w:sz="0" w:space="0" w:color="auto"/>
                                    <w:left w:val="none" w:sz="0" w:space="0" w:color="auto"/>
                                    <w:bottom w:val="none" w:sz="0" w:space="0" w:color="auto"/>
                                    <w:right w:val="none" w:sz="0" w:space="0" w:color="auto"/>
                                  </w:divBdr>
                                  <w:divsChild>
                                    <w:div w:id="109132540">
                                      <w:marLeft w:val="0"/>
                                      <w:marRight w:val="0"/>
                                      <w:marTop w:val="0"/>
                                      <w:marBottom w:val="0"/>
                                      <w:divBdr>
                                        <w:top w:val="none" w:sz="0" w:space="0" w:color="auto"/>
                                        <w:left w:val="none" w:sz="0" w:space="0" w:color="auto"/>
                                        <w:bottom w:val="none" w:sz="0" w:space="0" w:color="auto"/>
                                        <w:right w:val="none" w:sz="0" w:space="0" w:color="auto"/>
                                      </w:divBdr>
                                      <w:divsChild>
                                        <w:div w:id="1618827934">
                                          <w:marLeft w:val="0"/>
                                          <w:marRight w:val="0"/>
                                          <w:marTop w:val="0"/>
                                          <w:marBottom w:val="0"/>
                                          <w:divBdr>
                                            <w:top w:val="none" w:sz="0" w:space="0" w:color="auto"/>
                                            <w:left w:val="none" w:sz="0" w:space="0" w:color="auto"/>
                                            <w:bottom w:val="none" w:sz="0" w:space="0" w:color="auto"/>
                                            <w:right w:val="none" w:sz="0" w:space="0" w:color="auto"/>
                                          </w:divBdr>
                                          <w:divsChild>
                                            <w:div w:id="80444787">
                                              <w:marLeft w:val="0"/>
                                              <w:marRight w:val="0"/>
                                              <w:marTop w:val="0"/>
                                              <w:marBottom w:val="0"/>
                                              <w:divBdr>
                                                <w:top w:val="none" w:sz="0" w:space="0" w:color="auto"/>
                                                <w:left w:val="none" w:sz="0" w:space="0" w:color="auto"/>
                                                <w:bottom w:val="none" w:sz="0" w:space="0" w:color="auto"/>
                                                <w:right w:val="none" w:sz="0" w:space="0" w:color="auto"/>
                                              </w:divBdr>
                                              <w:divsChild>
                                                <w:div w:id="1557744759">
                                                  <w:marLeft w:val="0"/>
                                                  <w:marRight w:val="0"/>
                                                  <w:marTop w:val="0"/>
                                                  <w:marBottom w:val="0"/>
                                                  <w:divBdr>
                                                    <w:top w:val="none" w:sz="0" w:space="0" w:color="auto"/>
                                                    <w:left w:val="none" w:sz="0" w:space="0" w:color="auto"/>
                                                    <w:bottom w:val="none" w:sz="0" w:space="0" w:color="auto"/>
                                                    <w:right w:val="none" w:sz="0" w:space="0" w:color="auto"/>
                                                  </w:divBdr>
                                                  <w:divsChild>
                                                    <w:div w:id="739138796">
                                                      <w:marLeft w:val="0"/>
                                                      <w:marRight w:val="0"/>
                                                      <w:marTop w:val="0"/>
                                                      <w:marBottom w:val="0"/>
                                                      <w:divBdr>
                                                        <w:top w:val="none" w:sz="0" w:space="0" w:color="auto"/>
                                                        <w:left w:val="none" w:sz="0" w:space="0" w:color="auto"/>
                                                        <w:bottom w:val="none" w:sz="0" w:space="0" w:color="auto"/>
                                                        <w:right w:val="none" w:sz="0" w:space="0" w:color="auto"/>
                                                      </w:divBdr>
                                                      <w:divsChild>
                                                        <w:div w:id="369186686">
                                                          <w:marLeft w:val="0"/>
                                                          <w:marRight w:val="0"/>
                                                          <w:marTop w:val="0"/>
                                                          <w:marBottom w:val="0"/>
                                                          <w:divBdr>
                                                            <w:top w:val="none" w:sz="0" w:space="0" w:color="auto"/>
                                                            <w:left w:val="none" w:sz="0" w:space="0" w:color="auto"/>
                                                            <w:bottom w:val="none" w:sz="0" w:space="0" w:color="auto"/>
                                                            <w:right w:val="none" w:sz="0" w:space="0" w:color="auto"/>
                                                          </w:divBdr>
                                                          <w:divsChild>
                                                            <w:div w:id="170872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2315571">
      <w:bodyDiv w:val="1"/>
      <w:marLeft w:val="0"/>
      <w:marRight w:val="0"/>
      <w:marTop w:val="0"/>
      <w:marBottom w:val="0"/>
      <w:divBdr>
        <w:top w:val="none" w:sz="0" w:space="0" w:color="auto"/>
        <w:left w:val="none" w:sz="0" w:space="0" w:color="auto"/>
        <w:bottom w:val="none" w:sz="0" w:space="0" w:color="auto"/>
        <w:right w:val="none" w:sz="0" w:space="0" w:color="auto"/>
      </w:divBdr>
      <w:divsChild>
        <w:div w:id="553928679">
          <w:marLeft w:val="0"/>
          <w:marRight w:val="0"/>
          <w:marTop w:val="0"/>
          <w:marBottom w:val="0"/>
          <w:divBdr>
            <w:top w:val="none" w:sz="0" w:space="0" w:color="auto"/>
            <w:left w:val="none" w:sz="0" w:space="0" w:color="auto"/>
            <w:bottom w:val="none" w:sz="0" w:space="0" w:color="auto"/>
            <w:right w:val="none" w:sz="0" w:space="0" w:color="auto"/>
          </w:divBdr>
          <w:divsChild>
            <w:div w:id="125516458">
              <w:marLeft w:val="0"/>
              <w:marRight w:val="0"/>
              <w:marTop w:val="0"/>
              <w:marBottom w:val="150"/>
              <w:divBdr>
                <w:top w:val="none" w:sz="0" w:space="0" w:color="auto"/>
                <w:left w:val="none" w:sz="0" w:space="0" w:color="auto"/>
                <w:bottom w:val="none" w:sz="0" w:space="0" w:color="auto"/>
                <w:right w:val="none" w:sz="0" w:space="0" w:color="auto"/>
              </w:divBdr>
              <w:divsChild>
                <w:div w:id="2054840283">
                  <w:marLeft w:val="0"/>
                  <w:marRight w:val="0"/>
                  <w:marTop w:val="0"/>
                  <w:marBottom w:val="0"/>
                  <w:divBdr>
                    <w:top w:val="none" w:sz="0" w:space="0" w:color="auto"/>
                    <w:left w:val="none" w:sz="0" w:space="0" w:color="auto"/>
                    <w:bottom w:val="none" w:sz="0" w:space="0" w:color="auto"/>
                    <w:right w:val="none" w:sz="0" w:space="0" w:color="auto"/>
                  </w:divBdr>
                  <w:divsChild>
                    <w:div w:id="1151604958">
                      <w:marLeft w:val="0"/>
                      <w:marRight w:val="0"/>
                      <w:marTop w:val="0"/>
                      <w:marBottom w:val="0"/>
                      <w:divBdr>
                        <w:top w:val="none" w:sz="0" w:space="0" w:color="auto"/>
                        <w:left w:val="none" w:sz="0" w:space="0" w:color="auto"/>
                        <w:bottom w:val="none" w:sz="0" w:space="0" w:color="auto"/>
                        <w:right w:val="none" w:sz="0" w:space="0" w:color="auto"/>
                      </w:divBdr>
                      <w:divsChild>
                        <w:div w:id="1548032444">
                          <w:marLeft w:val="0"/>
                          <w:marRight w:val="0"/>
                          <w:marTop w:val="0"/>
                          <w:marBottom w:val="0"/>
                          <w:divBdr>
                            <w:top w:val="none" w:sz="0" w:space="0" w:color="auto"/>
                            <w:left w:val="none" w:sz="0" w:space="0" w:color="auto"/>
                            <w:bottom w:val="none" w:sz="0" w:space="0" w:color="auto"/>
                            <w:right w:val="none" w:sz="0" w:space="0" w:color="auto"/>
                          </w:divBdr>
                          <w:divsChild>
                            <w:div w:id="559290058">
                              <w:marLeft w:val="0"/>
                              <w:marRight w:val="0"/>
                              <w:marTop w:val="0"/>
                              <w:marBottom w:val="0"/>
                              <w:divBdr>
                                <w:top w:val="none" w:sz="0" w:space="0" w:color="auto"/>
                                <w:left w:val="none" w:sz="0" w:space="0" w:color="auto"/>
                                <w:bottom w:val="none" w:sz="0" w:space="0" w:color="auto"/>
                                <w:right w:val="none" w:sz="0" w:space="0" w:color="auto"/>
                              </w:divBdr>
                              <w:divsChild>
                                <w:div w:id="1543058633">
                                  <w:marLeft w:val="0"/>
                                  <w:marRight w:val="-3600"/>
                                  <w:marTop w:val="150"/>
                                  <w:marBottom w:val="0"/>
                                  <w:divBdr>
                                    <w:top w:val="none" w:sz="0" w:space="0" w:color="auto"/>
                                    <w:left w:val="none" w:sz="0" w:space="0" w:color="auto"/>
                                    <w:bottom w:val="none" w:sz="0" w:space="0" w:color="auto"/>
                                    <w:right w:val="none" w:sz="0" w:space="0" w:color="auto"/>
                                  </w:divBdr>
                                  <w:divsChild>
                                    <w:div w:id="143279395">
                                      <w:marLeft w:val="0"/>
                                      <w:marRight w:val="3600"/>
                                      <w:marTop w:val="0"/>
                                      <w:marBottom w:val="0"/>
                                      <w:divBdr>
                                        <w:top w:val="none" w:sz="0" w:space="0" w:color="auto"/>
                                        <w:left w:val="none" w:sz="0" w:space="0" w:color="auto"/>
                                        <w:bottom w:val="none" w:sz="0" w:space="0" w:color="auto"/>
                                        <w:right w:val="none" w:sz="0" w:space="0" w:color="auto"/>
                                      </w:divBdr>
                                      <w:divsChild>
                                        <w:div w:id="497769218">
                                          <w:marLeft w:val="0"/>
                                          <w:marRight w:val="0"/>
                                          <w:marTop w:val="0"/>
                                          <w:marBottom w:val="0"/>
                                          <w:divBdr>
                                            <w:top w:val="none" w:sz="0" w:space="0" w:color="auto"/>
                                            <w:left w:val="none" w:sz="0" w:space="0" w:color="auto"/>
                                            <w:bottom w:val="none" w:sz="0" w:space="0" w:color="auto"/>
                                            <w:right w:val="none" w:sz="0" w:space="0" w:color="auto"/>
                                          </w:divBdr>
                                          <w:divsChild>
                                            <w:div w:id="1956908397">
                                              <w:marLeft w:val="0"/>
                                              <w:marRight w:val="0"/>
                                              <w:marTop w:val="0"/>
                                              <w:marBottom w:val="0"/>
                                              <w:divBdr>
                                                <w:top w:val="none" w:sz="0" w:space="0" w:color="auto"/>
                                                <w:left w:val="none" w:sz="0" w:space="0" w:color="auto"/>
                                                <w:bottom w:val="none" w:sz="0" w:space="0" w:color="auto"/>
                                                <w:right w:val="none" w:sz="0" w:space="0" w:color="auto"/>
                                              </w:divBdr>
                                              <w:divsChild>
                                                <w:div w:id="2050448934">
                                                  <w:marLeft w:val="0"/>
                                                  <w:marRight w:val="0"/>
                                                  <w:marTop w:val="0"/>
                                                  <w:marBottom w:val="0"/>
                                                  <w:divBdr>
                                                    <w:top w:val="none" w:sz="0" w:space="0" w:color="auto"/>
                                                    <w:left w:val="none" w:sz="0" w:space="0" w:color="auto"/>
                                                    <w:bottom w:val="none" w:sz="0" w:space="0" w:color="auto"/>
                                                    <w:right w:val="none" w:sz="0" w:space="0" w:color="auto"/>
                                                  </w:divBdr>
                                                  <w:divsChild>
                                                    <w:div w:id="1186596914">
                                                      <w:marLeft w:val="0"/>
                                                      <w:marRight w:val="0"/>
                                                      <w:marTop w:val="0"/>
                                                      <w:marBottom w:val="0"/>
                                                      <w:divBdr>
                                                        <w:top w:val="none" w:sz="0" w:space="0" w:color="auto"/>
                                                        <w:left w:val="none" w:sz="0" w:space="0" w:color="auto"/>
                                                        <w:bottom w:val="none" w:sz="0" w:space="0" w:color="auto"/>
                                                        <w:right w:val="none" w:sz="0" w:space="0" w:color="auto"/>
                                                      </w:divBdr>
                                                      <w:divsChild>
                                                        <w:div w:id="1020618435">
                                                          <w:marLeft w:val="0"/>
                                                          <w:marRight w:val="0"/>
                                                          <w:marTop w:val="0"/>
                                                          <w:marBottom w:val="0"/>
                                                          <w:divBdr>
                                                            <w:top w:val="none" w:sz="0" w:space="0" w:color="auto"/>
                                                            <w:left w:val="none" w:sz="0" w:space="0" w:color="auto"/>
                                                            <w:bottom w:val="none" w:sz="0" w:space="0" w:color="auto"/>
                                                            <w:right w:val="none" w:sz="0" w:space="0" w:color="auto"/>
                                                          </w:divBdr>
                                                        </w:div>
                                                        <w:div w:id="17827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8962177">
      <w:bodyDiv w:val="1"/>
      <w:marLeft w:val="0"/>
      <w:marRight w:val="0"/>
      <w:marTop w:val="0"/>
      <w:marBottom w:val="0"/>
      <w:divBdr>
        <w:top w:val="none" w:sz="0" w:space="0" w:color="auto"/>
        <w:left w:val="none" w:sz="0" w:space="0" w:color="auto"/>
        <w:bottom w:val="none" w:sz="0" w:space="0" w:color="auto"/>
        <w:right w:val="none" w:sz="0" w:space="0" w:color="auto"/>
      </w:divBdr>
    </w:div>
    <w:div w:id="491262309">
      <w:bodyDiv w:val="1"/>
      <w:marLeft w:val="0"/>
      <w:marRight w:val="0"/>
      <w:marTop w:val="0"/>
      <w:marBottom w:val="0"/>
      <w:divBdr>
        <w:top w:val="none" w:sz="0" w:space="0" w:color="auto"/>
        <w:left w:val="none" w:sz="0" w:space="0" w:color="auto"/>
        <w:bottom w:val="none" w:sz="0" w:space="0" w:color="auto"/>
        <w:right w:val="none" w:sz="0" w:space="0" w:color="auto"/>
      </w:divBdr>
      <w:divsChild>
        <w:div w:id="754790614">
          <w:marLeft w:val="0"/>
          <w:marRight w:val="0"/>
          <w:marTop w:val="0"/>
          <w:marBottom w:val="0"/>
          <w:divBdr>
            <w:top w:val="none" w:sz="0" w:space="0" w:color="auto"/>
            <w:left w:val="none" w:sz="0" w:space="0" w:color="auto"/>
            <w:bottom w:val="none" w:sz="0" w:space="0" w:color="auto"/>
            <w:right w:val="none" w:sz="0" w:space="0" w:color="auto"/>
          </w:divBdr>
          <w:divsChild>
            <w:div w:id="1603028938">
              <w:marLeft w:val="0"/>
              <w:marRight w:val="0"/>
              <w:marTop w:val="0"/>
              <w:marBottom w:val="0"/>
              <w:divBdr>
                <w:top w:val="none" w:sz="0" w:space="0" w:color="auto"/>
                <w:left w:val="none" w:sz="0" w:space="0" w:color="auto"/>
                <w:bottom w:val="none" w:sz="0" w:space="0" w:color="auto"/>
                <w:right w:val="none" w:sz="0" w:space="0" w:color="auto"/>
              </w:divBdr>
              <w:divsChild>
                <w:div w:id="2016491223">
                  <w:marLeft w:val="0"/>
                  <w:marRight w:val="0"/>
                  <w:marTop w:val="0"/>
                  <w:marBottom w:val="240"/>
                  <w:divBdr>
                    <w:top w:val="none" w:sz="0" w:space="0" w:color="auto"/>
                    <w:left w:val="none" w:sz="0" w:space="0" w:color="auto"/>
                    <w:bottom w:val="none" w:sz="0" w:space="0" w:color="auto"/>
                    <w:right w:val="none" w:sz="0" w:space="0" w:color="auto"/>
                  </w:divBdr>
                  <w:divsChild>
                    <w:div w:id="89090492">
                      <w:marLeft w:val="0"/>
                      <w:marRight w:val="0"/>
                      <w:marTop w:val="0"/>
                      <w:marBottom w:val="0"/>
                      <w:divBdr>
                        <w:top w:val="none" w:sz="0" w:space="0" w:color="auto"/>
                        <w:left w:val="none" w:sz="0" w:space="0" w:color="auto"/>
                        <w:bottom w:val="none" w:sz="0" w:space="0" w:color="auto"/>
                        <w:right w:val="none" w:sz="0" w:space="0" w:color="auto"/>
                      </w:divBdr>
                      <w:divsChild>
                        <w:div w:id="182979778">
                          <w:marLeft w:val="0"/>
                          <w:marRight w:val="0"/>
                          <w:marTop w:val="0"/>
                          <w:marBottom w:val="0"/>
                          <w:divBdr>
                            <w:top w:val="none" w:sz="0" w:space="0" w:color="auto"/>
                            <w:left w:val="none" w:sz="0" w:space="0" w:color="auto"/>
                            <w:bottom w:val="none" w:sz="0" w:space="0" w:color="auto"/>
                            <w:right w:val="none" w:sz="0" w:space="0" w:color="auto"/>
                          </w:divBdr>
                          <w:divsChild>
                            <w:div w:id="954598611">
                              <w:marLeft w:val="0"/>
                              <w:marRight w:val="0"/>
                              <w:marTop w:val="0"/>
                              <w:marBottom w:val="0"/>
                              <w:divBdr>
                                <w:top w:val="none" w:sz="0" w:space="0" w:color="auto"/>
                                <w:left w:val="none" w:sz="0" w:space="0" w:color="auto"/>
                                <w:bottom w:val="none" w:sz="0" w:space="0" w:color="auto"/>
                                <w:right w:val="none" w:sz="0" w:space="0" w:color="auto"/>
                              </w:divBdr>
                              <w:divsChild>
                                <w:div w:id="201015799">
                                  <w:marLeft w:val="0"/>
                                  <w:marRight w:val="0"/>
                                  <w:marTop w:val="0"/>
                                  <w:marBottom w:val="0"/>
                                  <w:divBdr>
                                    <w:top w:val="none" w:sz="0" w:space="0" w:color="auto"/>
                                    <w:left w:val="none" w:sz="0" w:space="0" w:color="auto"/>
                                    <w:bottom w:val="none" w:sz="0" w:space="0" w:color="auto"/>
                                    <w:right w:val="none" w:sz="0" w:space="0" w:color="auto"/>
                                  </w:divBdr>
                                  <w:divsChild>
                                    <w:div w:id="998074082">
                                      <w:marLeft w:val="0"/>
                                      <w:marRight w:val="0"/>
                                      <w:marTop w:val="0"/>
                                      <w:marBottom w:val="0"/>
                                      <w:divBdr>
                                        <w:top w:val="none" w:sz="0" w:space="0" w:color="auto"/>
                                        <w:left w:val="none" w:sz="0" w:space="0" w:color="auto"/>
                                        <w:bottom w:val="none" w:sz="0" w:space="0" w:color="auto"/>
                                        <w:right w:val="none" w:sz="0" w:space="0" w:color="auto"/>
                                      </w:divBdr>
                                      <w:divsChild>
                                        <w:div w:id="5013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0399389">
      <w:bodyDiv w:val="1"/>
      <w:marLeft w:val="0"/>
      <w:marRight w:val="0"/>
      <w:marTop w:val="0"/>
      <w:marBottom w:val="0"/>
      <w:divBdr>
        <w:top w:val="none" w:sz="0" w:space="0" w:color="auto"/>
        <w:left w:val="none" w:sz="0" w:space="0" w:color="auto"/>
        <w:bottom w:val="none" w:sz="0" w:space="0" w:color="auto"/>
        <w:right w:val="none" w:sz="0" w:space="0" w:color="auto"/>
      </w:divBdr>
    </w:div>
    <w:div w:id="694622235">
      <w:bodyDiv w:val="1"/>
      <w:marLeft w:val="0"/>
      <w:marRight w:val="0"/>
      <w:marTop w:val="0"/>
      <w:marBottom w:val="0"/>
      <w:divBdr>
        <w:top w:val="none" w:sz="0" w:space="0" w:color="auto"/>
        <w:left w:val="none" w:sz="0" w:space="0" w:color="auto"/>
        <w:bottom w:val="none" w:sz="0" w:space="0" w:color="auto"/>
        <w:right w:val="none" w:sz="0" w:space="0" w:color="auto"/>
      </w:divBdr>
    </w:div>
    <w:div w:id="858083126">
      <w:bodyDiv w:val="1"/>
      <w:marLeft w:val="0"/>
      <w:marRight w:val="0"/>
      <w:marTop w:val="0"/>
      <w:marBottom w:val="0"/>
      <w:divBdr>
        <w:top w:val="none" w:sz="0" w:space="0" w:color="auto"/>
        <w:left w:val="none" w:sz="0" w:space="0" w:color="auto"/>
        <w:bottom w:val="none" w:sz="0" w:space="0" w:color="auto"/>
        <w:right w:val="none" w:sz="0" w:space="0" w:color="auto"/>
      </w:divBdr>
    </w:div>
    <w:div w:id="889458825">
      <w:bodyDiv w:val="1"/>
      <w:marLeft w:val="0"/>
      <w:marRight w:val="0"/>
      <w:marTop w:val="0"/>
      <w:marBottom w:val="0"/>
      <w:divBdr>
        <w:top w:val="none" w:sz="0" w:space="0" w:color="auto"/>
        <w:left w:val="none" w:sz="0" w:space="0" w:color="auto"/>
        <w:bottom w:val="none" w:sz="0" w:space="0" w:color="auto"/>
        <w:right w:val="none" w:sz="0" w:space="0" w:color="auto"/>
      </w:divBdr>
      <w:divsChild>
        <w:div w:id="1246303735">
          <w:marLeft w:val="0"/>
          <w:marRight w:val="0"/>
          <w:marTop w:val="0"/>
          <w:marBottom w:val="0"/>
          <w:divBdr>
            <w:top w:val="none" w:sz="0" w:space="0" w:color="auto"/>
            <w:left w:val="none" w:sz="0" w:space="0" w:color="auto"/>
            <w:bottom w:val="none" w:sz="0" w:space="0" w:color="auto"/>
            <w:right w:val="none" w:sz="0" w:space="0" w:color="auto"/>
          </w:divBdr>
          <w:divsChild>
            <w:div w:id="1818494731">
              <w:marLeft w:val="0"/>
              <w:marRight w:val="0"/>
              <w:marTop w:val="0"/>
              <w:marBottom w:val="0"/>
              <w:divBdr>
                <w:top w:val="none" w:sz="0" w:space="0" w:color="auto"/>
                <w:left w:val="none" w:sz="0" w:space="0" w:color="auto"/>
                <w:bottom w:val="none" w:sz="0" w:space="0" w:color="auto"/>
                <w:right w:val="none" w:sz="0" w:space="0" w:color="auto"/>
              </w:divBdr>
              <w:divsChild>
                <w:div w:id="410204046">
                  <w:marLeft w:val="0"/>
                  <w:marRight w:val="0"/>
                  <w:marTop w:val="0"/>
                  <w:marBottom w:val="0"/>
                  <w:divBdr>
                    <w:top w:val="none" w:sz="0" w:space="0" w:color="auto"/>
                    <w:left w:val="none" w:sz="0" w:space="0" w:color="auto"/>
                    <w:bottom w:val="none" w:sz="0" w:space="0" w:color="auto"/>
                    <w:right w:val="none" w:sz="0" w:space="0" w:color="auto"/>
                  </w:divBdr>
                  <w:divsChild>
                    <w:div w:id="1348946539">
                      <w:marLeft w:val="1"/>
                      <w:marRight w:val="1"/>
                      <w:marTop w:val="0"/>
                      <w:marBottom w:val="0"/>
                      <w:divBdr>
                        <w:top w:val="none" w:sz="0" w:space="0" w:color="auto"/>
                        <w:left w:val="none" w:sz="0" w:space="0" w:color="auto"/>
                        <w:bottom w:val="none" w:sz="0" w:space="0" w:color="auto"/>
                        <w:right w:val="none" w:sz="0" w:space="0" w:color="auto"/>
                      </w:divBdr>
                      <w:divsChild>
                        <w:div w:id="1368067765">
                          <w:marLeft w:val="0"/>
                          <w:marRight w:val="0"/>
                          <w:marTop w:val="0"/>
                          <w:marBottom w:val="0"/>
                          <w:divBdr>
                            <w:top w:val="none" w:sz="0" w:space="0" w:color="auto"/>
                            <w:left w:val="none" w:sz="0" w:space="0" w:color="auto"/>
                            <w:bottom w:val="none" w:sz="0" w:space="0" w:color="auto"/>
                            <w:right w:val="none" w:sz="0" w:space="0" w:color="auto"/>
                          </w:divBdr>
                          <w:divsChild>
                            <w:div w:id="1430348485">
                              <w:marLeft w:val="0"/>
                              <w:marRight w:val="0"/>
                              <w:marTop w:val="0"/>
                              <w:marBottom w:val="360"/>
                              <w:divBdr>
                                <w:top w:val="none" w:sz="0" w:space="0" w:color="auto"/>
                                <w:left w:val="none" w:sz="0" w:space="0" w:color="auto"/>
                                <w:bottom w:val="none" w:sz="0" w:space="0" w:color="auto"/>
                                <w:right w:val="none" w:sz="0" w:space="0" w:color="auto"/>
                              </w:divBdr>
                              <w:divsChild>
                                <w:div w:id="1857117850">
                                  <w:marLeft w:val="0"/>
                                  <w:marRight w:val="0"/>
                                  <w:marTop w:val="0"/>
                                  <w:marBottom w:val="0"/>
                                  <w:divBdr>
                                    <w:top w:val="none" w:sz="0" w:space="0" w:color="auto"/>
                                    <w:left w:val="none" w:sz="0" w:space="0" w:color="auto"/>
                                    <w:bottom w:val="none" w:sz="0" w:space="0" w:color="auto"/>
                                    <w:right w:val="none" w:sz="0" w:space="0" w:color="auto"/>
                                  </w:divBdr>
                                  <w:divsChild>
                                    <w:div w:id="2112622816">
                                      <w:marLeft w:val="0"/>
                                      <w:marRight w:val="0"/>
                                      <w:marTop w:val="0"/>
                                      <w:marBottom w:val="0"/>
                                      <w:divBdr>
                                        <w:top w:val="none" w:sz="0" w:space="0" w:color="auto"/>
                                        <w:left w:val="none" w:sz="0" w:space="0" w:color="auto"/>
                                        <w:bottom w:val="none" w:sz="0" w:space="0" w:color="auto"/>
                                        <w:right w:val="none" w:sz="0" w:space="0" w:color="auto"/>
                                      </w:divBdr>
                                      <w:divsChild>
                                        <w:div w:id="264657202">
                                          <w:marLeft w:val="0"/>
                                          <w:marRight w:val="0"/>
                                          <w:marTop w:val="0"/>
                                          <w:marBottom w:val="0"/>
                                          <w:divBdr>
                                            <w:top w:val="none" w:sz="0" w:space="0" w:color="auto"/>
                                            <w:left w:val="none" w:sz="0" w:space="0" w:color="auto"/>
                                            <w:bottom w:val="none" w:sz="0" w:space="0" w:color="auto"/>
                                            <w:right w:val="none" w:sz="0" w:space="0" w:color="auto"/>
                                          </w:divBdr>
                                          <w:divsChild>
                                            <w:div w:id="1634674231">
                                              <w:marLeft w:val="0"/>
                                              <w:marRight w:val="0"/>
                                              <w:marTop w:val="0"/>
                                              <w:marBottom w:val="0"/>
                                              <w:divBdr>
                                                <w:top w:val="none" w:sz="0" w:space="0" w:color="auto"/>
                                                <w:left w:val="none" w:sz="0" w:space="0" w:color="auto"/>
                                                <w:bottom w:val="none" w:sz="0" w:space="0" w:color="auto"/>
                                                <w:right w:val="none" w:sz="0" w:space="0" w:color="auto"/>
                                              </w:divBdr>
                                              <w:divsChild>
                                                <w:div w:id="531571997">
                                                  <w:marLeft w:val="0"/>
                                                  <w:marRight w:val="0"/>
                                                  <w:marTop w:val="0"/>
                                                  <w:marBottom w:val="0"/>
                                                  <w:divBdr>
                                                    <w:top w:val="none" w:sz="0" w:space="0" w:color="auto"/>
                                                    <w:left w:val="none" w:sz="0" w:space="0" w:color="auto"/>
                                                    <w:bottom w:val="none" w:sz="0" w:space="0" w:color="auto"/>
                                                    <w:right w:val="none" w:sz="0" w:space="0" w:color="auto"/>
                                                  </w:divBdr>
                                                  <w:divsChild>
                                                    <w:div w:id="179127332">
                                                      <w:marLeft w:val="600"/>
                                                      <w:marRight w:val="0"/>
                                                      <w:marTop w:val="0"/>
                                                      <w:marBottom w:val="0"/>
                                                      <w:divBdr>
                                                        <w:top w:val="none" w:sz="0" w:space="0" w:color="auto"/>
                                                        <w:left w:val="none" w:sz="0" w:space="0" w:color="auto"/>
                                                        <w:bottom w:val="none" w:sz="0" w:space="0" w:color="auto"/>
                                                        <w:right w:val="none" w:sz="0" w:space="0" w:color="auto"/>
                                                      </w:divBdr>
                                                    </w:div>
                                                    <w:div w:id="778374163">
                                                      <w:marLeft w:val="600"/>
                                                      <w:marRight w:val="0"/>
                                                      <w:marTop w:val="0"/>
                                                      <w:marBottom w:val="0"/>
                                                      <w:divBdr>
                                                        <w:top w:val="none" w:sz="0" w:space="0" w:color="auto"/>
                                                        <w:left w:val="none" w:sz="0" w:space="0" w:color="auto"/>
                                                        <w:bottom w:val="none" w:sz="0" w:space="0" w:color="auto"/>
                                                        <w:right w:val="none" w:sz="0" w:space="0" w:color="auto"/>
                                                      </w:divBdr>
                                                    </w:div>
                                                    <w:div w:id="1279724759">
                                                      <w:marLeft w:val="600"/>
                                                      <w:marRight w:val="0"/>
                                                      <w:marTop w:val="0"/>
                                                      <w:marBottom w:val="0"/>
                                                      <w:divBdr>
                                                        <w:top w:val="none" w:sz="0" w:space="0" w:color="auto"/>
                                                        <w:left w:val="none" w:sz="0" w:space="0" w:color="auto"/>
                                                        <w:bottom w:val="none" w:sz="0" w:space="0" w:color="auto"/>
                                                        <w:right w:val="none" w:sz="0" w:space="0" w:color="auto"/>
                                                      </w:divBdr>
                                                    </w:div>
                                                    <w:div w:id="726807708">
                                                      <w:marLeft w:val="600"/>
                                                      <w:marRight w:val="0"/>
                                                      <w:marTop w:val="0"/>
                                                      <w:marBottom w:val="0"/>
                                                      <w:divBdr>
                                                        <w:top w:val="none" w:sz="0" w:space="0" w:color="auto"/>
                                                        <w:left w:val="none" w:sz="0" w:space="0" w:color="auto"/>
                                                        <w:bottom w:val="none" w:sz="0" w:space="0" w:color="auto"/>
                                                        <w:right w:val="none" w:sz="0" w:space="0" w:color="auto"/>
                                                      </w:divBdr>
                                                    </w:div>
                                                    <w:div w:id="1265571879">
                                                      <w:marLeft w:val="600"/>
                                                      <w:marRight w:val="0"/>
                                                      <w:marTop w:val="0"/>
                                                      <w:marBottom w:val="0"/>
                                                      <w:divBdr>
                                                        <w:top w:val="none" w:sz="0" w:space="0" w:color="auto"/>
                                                        <w:left w:val="none" w:sz="0" w:space="0" w:color="auto"/>
                                                        <w:bottom w:val="none" w:sz="0" w:space="0" w:color="auto"/>
                                                        <w:right w:val="none" w:sz="0" w:space="0" w:color="auto"/>
                                                      </w:divBdr>
                                                    </w:div>
                                                    <w:div w:id="762264376">
                                                      <w:marLeft w:val="600"/>
                                                      <w:marRight w:val="0"/>
                                                      <w:marTop w:val="0"/>
                                                      <w:marBottom w:val="0"/>
                                                      <w:divBdr>
                                                        <w:top w:val="none" w:sz="0" w:space="0" w:color="auto"/>
                                                        <w:left w:val="none" w:sz="0" w:space="0" w:color="auto"/>
                                                        <w:bottom w:val="none" w:sz="0" w:space="0" w:color="auto"/>
                                                        <w:right w:val="none" w:sz="0" w:space="0" w:color="auto"/>
                                                      </w:divBdr>
                                                    </w:div>
                                                    <w:div w:id="1814053970">
                                                      <w:marLeft w:val="600"/>
                                                      <w:marRight w:val="0"/>
                                                      <w:marTop w:val="0"/>
                                                      <w:marBottom w:val="0"/>
                                                      <w:divBdr>
                                                        <w:top w:val="none" w:sz="0" w:space="0" w:color="auto"/>
                                                        <w:left w:val="none" w:sz="0" w:space="0" w:color="auto"/>
                                                        <w:bottom w:val="none" w:sz="0" w:space="0" w:color="auto"/>
                                                        <w:right w:val="none" w:sz="0" w:space="0" w:color="auto"/>
                                                      </w:divBdr>
                                                    </w:div>
                                                    <w:div w:id="595286313">
                                                      <w:marLeft w:val="600"/>
                                                      <w:marRight w:val="0"/>
                                                      <w:marTop w:val="0"/>
                                                      <w:marBottom w:val="0"/>
                                                      <w:divBdr>
                                                        <w:top w:val="none" w:sz="0" w:space="0" w:color="auto"/>
                                                        <w:left w:val="none" w:sz="0" w:space="0" w:color="auto"/>
                                                        <w:bottom w:val="none" w:sz="0" w:space="0" w:color="auto"/>
                                                        <w:right w:val="none" w:sz="0" w:space="0" w:color="auto"/>
                                                      </w:divBdr>
                                                    </w:div>
                                                    <w:div w:id="288783542">
                                                      <w:marLeft w:val="600"/>
                                                      <w:marRight w:val="0"/>
                                                      <w:marTop w:val="0"/>
                                                      <w:marBottom w:val="0"/>
                                                      <w:divBdr>
                                                        <w:top w:val="none" w:sz="0" w:space="0" w:color="auto"/>
                                                        <w:left w:val="none" w:sz="0" w:space="0" w:color="auto"/>
                                                        <w:bottom w:val="none" w:sz="0" w:space="0" w:color="auto"/>
                                                        <w:right w:val="none" w:sz="0" w:space="0" w:color="auto"/>
                                                      </w:divBdr>
                                                    </w:div>
                                                    <w:div w:id="1900819213">
                                                      <w:marLeft w:val="600"/>
                                                      <w:marRight w:val="0"/>
                                                      <w:marTop w:val="0"/>
                                                      <w:marBottom w:val="0"/>
                                                      <w:divBdr>
                                                        <w:top w:val="none" w:sz="0" w:space="0" w:color="auto"/>
                                                        <w:left w:val="none" w:sz="0" w:space="0" w:color="auto"/>
                                                        <w:bottom w:val="none" w:sz="0" w:space="0" w:color="auto"/>
                                                        <w:right w:val="none" w:sz="0" w:space="0" w:color="auto"/>
                                                      </w:divBdr>
                                                    </w:div>
                                                    <w:div w:id="325284954">
                                                      <w:marLeft w:val="600"/>
                                                      <w:marRight w:val="0"/>
                                                      <w:marTop w:val="0"/>
                                                      <w:marBottom w:val="0"/>
                                                      <w:divBdr>
                                                        <w:top w:val="none" w:sz="0" w:space="0" w:color="auto"/>
                                                        <w:left w:val="none" w:sz="0" w:space="0" w:color="auto"/>
                                                        <w:bottom w:val="none" w:sz="0" w:space="0" w:color="auto"/>
                                                        <w:right w:val="none" w:sz="0" w:space="0" w:color="auto"/>
                                                      </w:divBdr>
                                                    </w:div>
                                                    <w:div w:id="1366758048">
                                                      <w:marLeft w:val="600"/>
                                                      <w:marRight w:val="0"/>
                                                      <w:marTop w:val="0"/>
                                                      <w:marBottom w:val="0"/>
                                                      <w:divBdr>
                                                        <w:top w:val="none" w:sz="0" w:space="0" w:color="auto"/>
                                                        <w:left w:val="none" w:sz="0" w:space="0" w:color="auto"/>
                                                        <w:bottom w:val="none" w:sz="0" w:space="0" w:color="auto"/>
                                                        <w:right w:val="none" w:sz="0" w:space="0" w:color="auto"/>
                                                      </w:divBdr>
                                                    </w:div>
                                                    <w:div w:id="477495593">
                                                      <w:marLeft w:val="600"/>
                                                      <w:marRight w:val="0"/>
                                                      <w:marTop w:val="0"/>
                                                      <w:marBottom w:val="0"/>
                                                      <w:divBdr>
                                                        <w:top w:val="none" w:sz="0" w:space="0" w:color="auto"/>
                                                        <w:left w:val="none" w:sz="0" w:space="0" w:color="auto"/>
                                                        <w:bottom w:val="none" w:sz="0" w:space="0" w:color="auto"/>
                                                        <w:right w:val="none" w:sz="0" w:space="0" w:color="auto"/>
                                                      </w:divBdr>
                                                    </w:div>
                                                    <w:div w:id="202096203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720055">
      <w:bodyDiv w:val="1"/>
      <w:marLeft w:val="0"/>
      <w:marRight w:val="0"/>
      <w:marTop w:val="0"/>
      <w:marBottom w:val="0"/>
      <w:divBdr>
        <w:top w:val="none" w:sz="0" w:space="0" w:color="auto"/>
        <w:left w:val="none" w:sz="0" w:space="0" w:color="auto"/>
        <w:bottom w:val="none" w:sz="0" w:space="0" w:color="auto"/>
        <w:right w:val="none" w:sz="0" w:space="0" w:color="auto"/>
      </w:divBdr>
    </w:div>
    <w:div w:id="948388313">
      <w:bodyDiv w:val="1"/>
      <w:marLeft w:val="0"/>
      <w:marRight w:val="0"/>
      <w:marTop w:val="0"/>
      <w:marBottom w:val="0"/>
      <w:divBdr>
        <w:top w:val="none" w:sz="0" w:space="0" w:color="auto"/>
        <w:left w:val="none" w:sz="0" w:space="0" w:color="auto"/>
        <w:bottom w:val="none" w:sz="0" w:space="0" w:color="auto"/>
        <w:right w:val="none" w:sz="0" w:space="0" w:color="auto"/>
      </w:divBdr>
    </w:div>
    <w:div w:id="970667484">
      <w:bodyDiv w:val="1"/>
      <w:marLeft w:val="0"/>
      <w:marRight w:val="0"/>
      <w:marTop w:val="0"/>
      <w:marBottom w:val="0"/>
      <w:divBdr>
        <w:top w:val="none" w:sz="0" w:space="0" w:color="auto"/>
        <w:left w:val="none" w:sz="0" w:space="0" w:color="auto"/>
        <w:bottom w:val="none" w:sz="0" w:space="0" w:color="auto"/>
        <w:right w:val="none" w:sz="0" w:space="0" w:color="auto"/>
      </w:divBdr>
    </w:div>
    <w:div w:id="978455617">
      <w:bodyDiv w:val="1"/>
      <w:marLeft w:val="0"/>
      <w:marRight w:val="0"/>
      <w:marTop w:val="0"/>
      <w:marBottom w:val="0"/>
      <w:divBdr>
        <w:top w:val="none" w:sz="0" w:space="0" w:color="auto"/>
        <w:left w:val="none" w:sz="0" w:space="0" w:color="auto"/>
        <w:bottom w:val="none" w:sz="0" w:space="0" w:color="auto"/>
        <w:right w:val="none" w:sz="0" w:space="0" w:color="auto"/>
      </w:divBdr>
      <w:divsChild>
        <w:div w:id="1870217999">
          <w:marLeft w:val="0"/>
          <w:marRight w:val="0"/>
          <w:marTop w:val="0"/>
          <w:marBottom w:val="0"/>
          <w:divBdr>
            <w:top w:val="none" w:sz="0" w:space="0" w:color="auto"/>
            <w:left w:val="none" w:sz="0" w:space="0" w:color="auto"/>
            <w:bottom w:val="none" w:sz="0" w:space="0" w:color="auto"/>
            <w:right w:val="none" w:sz="0" w:space="0" w:color="auto"/>
          </w:divBdr>
          <w:divsChild>
            <w:div w:id="1133913394">
              <w:marLeft w:val="0"/>
              <w:marRight w:val="0"/>
              <w:marTop w:val="0"/>
              <w:marBottom w:val="0"/>
              <w:divBdr>
                <w:top w:val="none" w:sz="0" w:space="0" w:color="auto"/>
                <w:left w:val="none" w:sz="0" w:space="0" w:color="auto"/>
                <w:bottom w:val="none" w:sz="0" w:space="0" w:color="auto"/>
                <w:right w:val="none" w:sz="0" w:space="0" w:color="auto"/>
              </w:divBdr>
              <w:divsChild>
                <w:div w:id="889924446">
                  <w:marLeft w:val="0"/>
                  <w:marRight w:val="0"/>
                  <w:marTop w:val="0"/>
                  <w:marBottom w:val="0"/>
                  <w:divBdr>
                    <w:top w:val="none" w:sz="0" w:space="0" w:color="auto"/>
                    <w:left w:val="none" w:sz="0" w:space="0" w:color="auto"/>
                    <w:bottom w:val="none" w:sz="0" w:space="0" w:color="auto"/>
                    <w:right w:val="none" w:sz="0" w:space="0" w:color="auto"/>
                  </w:divBdr>
                  <w:divsChild>
                    <w:div w:id="830024875">
                      <w:marLeft w:val="0"/>
                      <w:marRight w:val="0"/>
                      <w:marTop w:val="0"/>
                      <w:marBottom w:val="0"/>
                      <w:divBdr>
                        <w:top w:val="none" w:sz="0" w:space="0" w:color="auto"/>
                        <w:left w:val="none" w:sz="0" w:space="0" w:color="auto"/>
                        <w:bottom w:val="none" w:sz="0" w:space="0" w:color="auto"/>
                        <w:right w:val="none" w:sz="0" w:space="0" w:color="auto"/>
                      </w:divBdr>
                      <w:divsChild>
                        <w:div w:id="8768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548242">
      <w:bodyDiv w:val="1"/>
      <w:marLeft w:val="0"/>
      <w:marRight w:val="0"/>
      <w:marTop w:val="0"/>
      <w:marBottom w:val="0"/>
      <w:divBdr>
        <w:top w:val="none" w:sz="0" w:space="0" w:color="auto"/>
        <w:left w:val="none" w:sz="0" w:space="0" w:color="auto"/>
        <w:bottom w:val="none" w:sz="0" w:space="0" w:color="auto"/>
        <w:right w:val="none" w:sz="0" w:space="0" w:color="auto"/>
      </w:divBdr>
    </w:div>
    <w:div w:id="1070999075">
      <w:bodyDiv w:val="1"/>
      <w:marLeft w:val="0"/>
      <w:marRight w:val="0"/>
      <w:marTop w:val="0"/>
      <w:marBottom w:val="0"/>
      <w:divBdr>
        <w:top w:val="none" w:sz="0" w:space="0" w:color="auto"/>
        <w:left w:val="none" w:sz="0" w:space="0" w:color="auto"/>
        <w:bottom w:val="none" w:sz="0" w:space="0" w:color="auto"/>
        <w:right w:val="none" w:sz="0" w:space="0" w:color="auto"/>
      </w:divBdr>
    </w:div>
    <w:div w:id="1116677664">
      <w:bodyDiv w:val="1"/>
      <w:marLeft w:val="0"/>
      <w:marRight w:val="0"/>
      <w:marTop w:val="0"/>
      <w:marBottom w:val="0"/>
      <w:divBdr>
        <w:top w:val="none" w:sz="0" w:space="0" w:color="auto"/>
        <w:left w:val="none" w:sz="0" w:space="0" w:color="auto"/>
        <w:bottom w:val="none" w:sz="0" w:space="0" w:color="auto"/>
        <w:right w:val="none" w:sz="0" w:space="0" w:color="auto"/>
      </w:divBdr>
    </w:div>
    <w:div w:id="1120028583">
      <w:bodyDiv w:val="1"/>
      <w:marLeft w:val="0"/>
      <w:marRight w:val="0"/>
      <w:marTop w:val="0"/>
      <w:marBottom w:val="0"/>
      <w:divBdr>
        <w:top w:val="none" w:sz="0" w:space="0" w:color="auto"/>
        <w:left w:val="none" w:sz="0" w:space="0" w:color="auto"/>
        <w:bottom w:val="none" w:sz="0" w:space="0" w:color="auto"/>
        <w:right w:val="none" w:sz="0" w:space="0" w:color="auto"/>
      </w:divBdr>
      <w:divsChild>
        <w:div w:id="1840004455">
          <w:marLeft w:val="0"/>
          <w:marRight w:val="0"/>
          <w:marTop w:val="0"/>
          <w:marBottom w:val="0"/>
          <w:divBdr>
            <w:top w:val="none" w:sz="0" w:space="0" w:color="auto"/>
            <w:left w:val="none" w:sz="0" w:space="0" w:color="auto"/>
            <w:bottom w:val="none" w:sz="0" w:space="0" w:color="auto"/>
            <w:right w:val="none" w:sz="0" w:space="0" w:color="auto"/>
          </w:divBdr>
          <w:divsChild>
            <w:div w:id="1042363468">
              <w:marLeft w:val="0"/>
              <w:marRight w:val="0"/>
              <w:marTop w:val="0"/>
              <w:marBottom w:val="0"/>
              <w:divBdr>
                <w:top w:val="none" w:sz="0" w:space="0" w:color="auto"/>
                <w:left w:val="none" w:sz="0" w:space="0" w:color="auto"/>
                <w:bottom w:val="none" w:sz="0" w:space="0" w:color="auto"/>
                <w:right w:val="none" w:sz="0" w:space="0" w:color="auto"/>
              </w:divBdr>
              <w:divsChild>
                <w:div w:id="1773697881">
                  <w:marLeft w:val="0"/>
                  <w:marRight w:val="0"/>
                  <w:marTop w:val="0"/>
                  <w:marBottom w:val="240"/>
                  <w:divBdr>
                    <w:top w:val="none" w:sz="0" w:space="0" w:color="auto"/>
                    <w:left w:val="none" w:sz="0" w:space="0" w:color="auto"/>
                    <w:bottom w:val="none" w:sz="0" w:space="0" w:color="auto"/>
                    <w:right w:val="none" w:sz="0" w:space="0" w:color="auto"/>
                  </w:divBdr>
                  <w:divsChild>
                    <w:div w:id="1216284068">
                      <w:marLeft w:val="0"/>
                      <w:marRight w:val="0"/>
                      <w:marTop w:val="0"/>
                      <w:marBottom w:val="0"/>
                      <w:divBdr>
                        <w:top w:val="none" w:sz="0" w:space="0" w:color="auto"/>
                        <w:left w:val="none" w:sz="0" w:space="0" w:color="auto"/>
                        <w:bottom w:val="none" w:sz="0" w:space="0" w:color="auto"/>
                        <w:right w:val="none" w:sz="0" w:space="0" w:color="auto"/>
                      </w:divBdr>
                      <w:divsChild>
                        <w:div w:id="414865366">
                          <w:marLeft w:val="0"/>
                          <w:marRight w:val="0"/>
                          <w:marTop w:val="0"/>
                          <w:marBottom w:val="0"/>
                          <w:divBdr>
                            <w:top w:val="none" w:sz="0" w:space="0" w:color="auto"/>
                            <w:left w:val="none" w:sz="0" w:space="0" w:color="auto"/>
                            <w:bottom w:val="none" w:sz="0" w:space="0" w:color="auto"/>
                            <w:right w:val="none" w:sz="0" w:space="0" w:color="auto"/>
                          </w:divBdr>
                          <w:divsChild>
                            <w:div w:id="160393124">
                              <w:marLeft w:val="0"/>
                              <w:marRight w:val="0"/>
                              <w:marTop w:val="0"/>
                              <w:marBottom w:val="0"/>
                              <w:divBdr>
                                <w:top w:val="none" w:sz="0" w:space="0" w:color="auto"/>
                                <w:left w:val="none" w:sz="0" w:space="0" w:color="auto"/>
                                <w:bottom w:val="none" w:sz="0" w:space="0" w:color="auto"/>
                                <w:right w:val="none" w:sz="0" w:space="0" w:color="auto"/>
                              </w:divBdr>
                              <w:divsChild>
                                <w:div w:id="116948747">
                                  <w:marLeft w:val="0"/>
                                  <w:marRight w:val="0"/>
                                  <w:marTop w:val="0"/>
                                  <w:marBottom w:val="0"/>
                                  <w:divBdr>
                                    <w:top w:val="none" w:sz="0" w:space="0" w:color="auto"/>
                                    <w:left w:val="none" w:sz="0" w:space="0" w:color="auto"/>
                                    <w:bottom w:val="none" w:sz="0" w:space="0" w:color="auto"/>
                                    <w:right w:val="none" w:sz="0" w:space="0" w:color="auto"/>
                                  </w:divBdr>
                                  <w:divsChild>
                                    <w:div w:id="921063887">
                                      <w:marLeft w:val="0"/>
                                      <w:marRight w:val="0"/>
                                      <w:marTop w:val="0"/>
                                      <w:marBottom w:val="0"/>
                                      <w:divBdr>
                                        <w:top w:val="none" w:sz="0" w:space="0" w:color="auto"/>
                                        <w:left w:val="none" w:sz="0" w:space="0" w:color="auto"/>
                                        <w:bottom w:val="none" w:sz="0" w:space="0" w:color="auto"/>
                                        <w:right w:val="none" w:sz="0" w:space="0" w:color="auto"/>
                                      </w:divBdr>
                                      <w:divsChild>
                                        <w:div w:id="16574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64619">
      <w:bodyDiv w:val="1"/>
      <w:marLeft w:val="0"/>
      <w:marRight w:val="0"/>
      <w:marTop w:val="0"/>
      <w:marBottom w:val="0"/>
      <w:divBdr>
        <w:top w:val="none" w:sz="0" w:space="0" w:color="auto"/>
        <w:left w:val="none" w:sz="0" w:space="0" w:color="auto"/>
        <w:bottom w:val="none" w:sz="0" w:space="0" w:color="auto"/>
        <w:right w:val="none" w:sz="0" w:space="0" w:color="auto"/>
      </w:divBdr>
    </w:div>
    <w:div w:id="1172186572">
      <w:bodyDiv w:val="1"/>
      <w:marLeft w:val="0"/>
      <w:marRight w:val="0"/>
      <w:marTop w:val="0"/>
      <w:marBottom w:val="0"/>
      <w:divBdr>
        <w:top w:val="none" w:sz="0" w:space="0" w:color="auto"/>
        <w:left w:val="none" w:sz="0" w:space="0" w:color="auto"/>
        <w:bottom w:val="none" w:sz="0" w:space="0" w:color="auto"/>
        <w:right w:val="none" w:sz="0" w:space="0" w:color="auto"/>
      </w:divBdr>
      <w:divsChild>
        <w:div w:id="1934505663">
          <w:marLeft w:val="0"/>
          <w:marRight w:val="0"/>
          <w:marTop w:val="0"/>
          <w:marBottom w:val="0"/>
          <w:divBdr>
            <w:top w:val="none" w:sz="0" w:space="0" w:color="auto"/>
            <w:left w:val="none" w:sz="0" w:space="0" w:color="auto"/>
            <w:bottom w:val="none" w:sz="0" w:space="0" w:color="auto"/>
            <w:right w:val="none" w:sz="0" w:space="0" w:color="auto"/>
          </w:divBdr>
          <w:divsChild>
            <w:div w:id="305621169">
              <w:marLeft w:val="0"/>
              <w:marRight w:val="0"/>
              <w:marTop w:val="0"/>
              <w:marBottom w:val="0"/>
              <w:divBdr>
                <w:top w:val="none" w:sz="0" w:space="0" w:color="auto"/>
                <w:left w:val="none" w:sz="0" w:space="0" w:color="auto"/>
                <w:bottom w:val="none" w:sz="0" w:space="0" w:color="auto"/>
                <w:right w:val="none" w:sz="0" w:space="0" w:color="auto"/>
              </w:divBdr>
              <w:divsChild>
                <w:div w:id="1039433067">
                  <w:marLeft w:val="0"/>
                  <w:marRight w:val="0"/>
                  <w:marTop w:val="0"/>
                  <w:marBottom w:val="0"/>
                  <w:divBdr>
                    <w:top w:val="none" w:sz="0" w:space="0" w:color="auto"/>
                    <w:left w:val="none" w:sz="0" w:space="0" w:color="auto"/>
                    <w:bottom w:val="none" w:sz="0" w:space="0" w:color="auto"/>
                    <w:right w:val="none" w:sz="0" w:space="0" w:color="auto"/>
                  </w:divBdr>
                  <w:divsChild>
                    <w:div w:id="646856900">
                      <w:marLeft w:val="1"/>
                      <w:marRight w:val="1"/>
                      <w:marTop w:val="0"/>
                      <w:marBottom w:val="0"/>
                      <w:divBdr>
                        <w:top w:val="none" w:sz="0" w:space="0" w:color="auto"/>
                        <w:left w:val="none" w:sz="0" w:space="0" w:color="auto"/>
                        <w:bottom w:val="none" w:sz="0" w:space="0" w:color="auto"/>
                        <w:right w:val="none" w:sz="0" w:space="0" w:color="auto"/>
                      </w:divBdr>
                      <w:divsChild>
                        <w:div w:id="85076956">
                          <w:marLeft w:val="0"/>
                          <w:marRight w:val="0"/>
                          <w:marTop w:val="0"/>
                          <w:marBottom w:val="0"/>
                          <w:divBdr>
                            <w:top w:val="none" w:sz="0" w:space="0" w:color="auto"/>
                            <w:left w:val="none" w:sz="0" w:space="0" w:color="auto"/>
                            <w:bottom w:val="none" w:sz="0" w:space="0" w:color="auto"/>
                            <w:right w:val="none" w:sz="0" w:space="0" w:color="auto"/>
                          </w:divBdr>
                          <w:divsChild>
                            <w:div w:id="1385832497">
                              <w:marLeft w:val="0"/>
                              <w:marRight w:val="0"/>
                              <w:marTop w:val="0"/>
                              <w:marBottom w:val="360"/>
                              <w:divBdr>
                                <w:top w:val="none" w:sz="0" w:space="0" w:color="auto"/>
                                <w:left w:val="none" w:sz="0" w:space="0" w:color="auto"/>
                                <w:bottom w:val="none" w:sz="0" w:space="0" w:color="auto"/>
                                <w:right w:val="none" w:sz="0" w:space="0" w:color="auto"/>
                              </w:divBdr>
                              <w:divsChild>
                                <w:div w:id="306017057">
                                  <w:marLeft w:val="0"/>
                                  <w:marRight w:val="0"/>
                                  <w:marTop w:val="0"/>
                                  <w:marBottom w:val="0"/>
                                  <w:divBdr>
                                    <w:top w:val="none" w:sz="0" w:space="0" w:color="auto"/>
                                    <w:left w:val="none" w:sz="0" w:space="0" w:color="auto"/>
                                    <w:bottom w:val="none" w:sz="0" w:space="0" w:color="auto"/>
                                    <w:right w:val="none" w:sz="0" w:space="0" w:color="auto"/>
                                  </w:divBdr>
                                  <w:divsChild>
                                    <w:div w:id="314644836">
                                      <w:marLeft w:val="0"/>
                                      <w:marRight w:val="0"/>
                                      <w:marTop w:val="0"/>
                                      <w:marBottom w:val="0"/>
                                      <w:divBdr>
                                        <w:top w:val="none" w:sz="0" w:space="0" w:color="auto"/>
                                        <w:left w:val="none" w:sz="0" w:space="0" w:color="auto"/>
                                        <w:bottom w:val="none" w:sz="0" w:space="0" w:color="auto"/>
                                        <w:right w:val="none" w:sz="0" w:space="0" w:color="auto"/>
                                      </w:divBdr>
                                      <w:divsChild>
                                        <w:div w:id="142744822">
                                          <w:marLeft w:val="0"/>
                                          <w:marRight w:val="0"/>
                                          <w:marTop w:val="0"/>
                                          <w:marBottom w:val="0"/>
                                          <w:divBdr>
                                            <w:top w:val="none" w:sz="0" w:space="0" w:color="auto"/>
                                            <w:left w:val="none" w:sz="0" w:space="0" w:color="auto"/>
                                            <w:bottom w:val="none" w:sz="0" w:space="0" w:color="auto"/>
                                            <w:right w:val="none" w:sz="0" w:space="0" w:color="auto"/>
                                          </w:divBdr>
                                          <w:divsChild>
                                            <w:div w:id="396128024">
                                              <w:marLeft w:val="0"/>
                                              <w:marRight w:val="0"/>
                                              <w:marTop w:val="0"/>
                                              <w:marBottom w:val="0"/>
                                              <w:divBdr>
                                                <w:top w:val="none" w:sz="0" w:space="0" w:color="auto"/>
                                                <w:left w:val="none" w:sz="0" w:space="0" w:color="auto"/>
                                                <w:bottom w:val="none" w:sz="0" w:space="0" w:color="auto"/>
                                                <w:right w:val="none" w:sz="0" w:space="0" w:color="auto"/>
                                              </w:divBdr>
                                              <w:divsChild>
                                                <w:div w:id="1534928192">
                                                  <w:marLeft w:val="0"/>
                                                  <w:marRight w:val="0"/>
                                                  <w:marTop w:val="0"/>
                                                  <w:marBottom w:val="0"/>
                                                  <w:divBdr>
                                                    <w:top w:val="none" w:sz="0" w:space="0" w:color="auto"/>
                                                    <w:left w:val="none" w:sz="0" w:space="0" w:color="auto"/>
                                                    <w:bottom w:val="none" w:sz="0" w:space="0" w:color="auto"/>
                                                    <w:right w:val="none" w:sz="0" w:space="0" w:color="auto"/>
                                                  </w:divBdr>
                                                  <w:divsChild>
                                                    <w:div w:id="1263605678">
                                                      <w:marLeft w:val="600"/>
                                                      <w:marRight w:val="0"/>
                                                      <w:marTop w:val="0"/>
                                                      <w:marBottom w:val="0"/>
                                                      <w:divBdr>
                                                        <w:top w:val="none" w:sz="0" w:space="0" w:color="auto"/>
                                                        <w:left w:val="none" w:sz="0" w:space="0" w:color="auto"/>
                                                        <w:bottom w:val="none" w:sz="0" w:space="0" w:color="auto"/>
                                                        <w:right w:val="none" w:sz="0" w:space="0" w:color="auto"/>
                                                      </w:divBdr>
                                                    </w:div>
                                                    <w:div w:id="1865509295">
                                                      <w:marLeft w:val="600"/>
                                                      <w:marRight w:val="0"/>
                                                      <w:marTop w:val="0"/>
                                                      <w:marBottom w:val="0"/>
                                                      <w:divBdr>
                                                        <w:top w:val="none" w:sz="0" w:space="0" w:color="auto"/>
                                                        <w:left w:val="none" w:sz="0" w:space="0" w:color="auto"/>
                                                        <w:bottom w:val="none" w:sz="0" w:space="0" w:color="auto"/>
                                                        <w:right w:val="none" w:sz="0" w:space="0" w:color="auto"/>
                                                      </w:divBdr>
                                                    </w:div>
                                                    <w:div w:id="242766544">
                                                      <w:marLeft w:val="600"/>
                                                      <w:marRight w:val="0"/>
                                                      <w:marTop w:val="0"/>
                                                      <w:marBottom w:val="0"/>
                                                      <w:divBdr>
                                                        <w:top w:val="none" w:sz="0" w:space="0" w:color="auto"/>
                                                        <w:left w:val="none" w:sz="0" w:space="0" w:color="auto"/>
                                                        <w:bottom w:val="none" w:sz="0" w:space="0" w:color="auto"/>
                                                        <w:right w:val="none" w:sz="0" w:space="0" w:color="auto"/>
                                                      </w:divBdr>
                                                    </w:div>
                                                    <w:div w:id="268855007">
                                                      <w:marLeft w:val="600"/>
                                                      <w:marRight w:val="0"/>
                                                      <w:marTop w:val="0"/>
                                                      <w:marBottom w:val="0"/>
                                                      <w:divBdr>
                                                        <w:top w:val="none" w:sz="0" w:space="0" w:color="auto"/>
                                                        <w:left w:val="none" w:sz="0" w:space="0" w:color="auto"/>
                                                        <w:bottom w:val="none" w:sz="0" w:space="0" w:color="auto"/>
                                                        <w:right w:val="none" w:sz="0" w:space="0" w:color="auto"/>
                                                      </w:divBdr>
                                                    </w:div>
                                                    <w:div w:id="345911513">
                                                      <w:marLeft w:val="600"/>
                                                      <w:marRight w:val="0"/>
                                                      <w:marTop w:val="0"/>
                                                      <w:marBottom w:val="0"/>
                                                      <w:divBdr>
                                                        <w:top w:val="none" w:sz="0" w:space="0" w:color="auto"/>
                                                        <w:left w:val="none" w:sz="0" w:space="0" w:color="auto"/>
                                                        <w:bottom w:val="none" w:sz="0" w:space="0" w:color="auto"/>
                                                        <w:right w:val="none" w:sz="0" w:space="0" w:color="auto"/>
                                                      </w:divBdr>
                                                    </w:div>
                                                    <w:div w:id="2017488836">
                                                      <w:marLeft w:val="600"/>
                                                      <w:marRight w:val="0"/>
                                                      <w:marTop w:val="0"/>
                                                      <w:marBottom w:val="0"/>
                                                      <w:divBdr>
                                                        <w:top w:val="none" w:sz="0" w:space="0" w:color="auto"/>
                                                        <w:left w:val="none" w:sz="0" w:space="0" w:color="auto"/>
                                                        <w:bottom w:val="none" w:sz="0" w:space="0" w:color="auto"/>
                                                        <w:right w:val="none" w:sz="0" w:space="0" w:color="auto"/>
                                                      </w:divBdr>
                                                    </w:div>
                                                    <w:div w:id="1584954766">
                                                      <w:marLeft w:val="600"/>
                                                      <w:marRight w:val="0"/>
                                                      <w:marTop w:val="0"/>
                                                      <w:marBottom w:val="0"/>
                                                      <w:divBdr>
                                                        <w:top w:val="none" w:sz="0" w:space="0" w:color="auto"/>
                                                        <w:left w:val="none" w:sz="0" w:space="0" w:color="auto"/>
                                                        <w:bottom w:val="none" w:sz="0" w:space="0" w:color="auto"/>
                                                        <w:right w:val="none" w:sz="0" w:space="0" w:color="auto"/>
                                                      </w:divBdr>
                                                    </w:div>
                                                    <w:div w:id="141789624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9077220">
      <w:bodyDiv w:val="1"/>
      <w:marLeft w:val="0"/>
      <w:marRight w:val="0"/>
      <w:marTop w:val="0"/>
      <w:marBottom w:val="0"/>
      <w:divBdr>
        <w:top w:val="none" w:sz="0" w:space="0" w:color="auto"/>
        <w:left w:val="none" w:sz="0" w:space="0" w:color="auto"/>
        <w:bottom w:val="none" w:sz="0" w:space="0" w:color="auto"/>
        <w:right w:val="none" w:sz="0" w:space="0" w:color="auto"/>
      </w:divBdr>
    </w:div>
    <w:div w:id="1326520301">
      <w:bodyDiv w:val="1"/>
      <w:marLeft w:val="0"/>
      <w:marRight w:val="0"/>
      <w:marTop w:val="0"/>
      <w:marBottom w:val="0"/>
      <w:divBdr>
        <w:top w:val="none" w:sz="0" w:space="0" w:color="auto"/>
        <w:left w:val="none" w:sz="0" w:space="0" w:color="auto"/>
        <w:bottom w:val="none" w:sz="0" w:space="0" w:color="auto"/>
        <w:right w:val="none" w:sz="0" w:space="0" w:color="auto"/>
      </w:divBdr>
    </w:div>
    <w:div w:id="1334607820">
      <w:bodyDiv w:val="1"/>
      <w:marLeft w:val="0"/>
      <w:marRight w:val="0"/>
      <w:marTop w:val="0"/>
      <w:marBottom w:val="0"/>
      <w:divBdr>
        <w:top w:val="none" w:sz="0" w:space="0" w:color="auto"/>
        <w:left w:val="none" w:sz="0" w:space="0" w:color="auto"/>
        <w:bottom w:val="none" w:sz="0" w:space="0" w:color="auto"/>
        <w:right w:val="none" w:sz="0" w:space="0" w:color="auto"/>
      </w:divBdr>
      <w:divsChild>
        <w:div w:id="561602222">
          <w:marLeft w:val="0"/>
          <w:marRight w:val="0"/>
          <w:marTop w:val="0"/>
          <w:marBottom w:val="0"/>
          <w:divBdr>
            <w:top w:val="none" w:sz="0" w:space="0" w:color="auto"/>
            <w:left w:val="none" w:sz="0" w:space="0" w:color="auto"/>
            <w:bottom w:val="none" w:sz="0" w:space="0" w:color="auto"/>
            <w:right w:val="none" w:sz="0" w:space="0" w:color="auto"/>
          </w:divBdr>
          <w:divsChild>
            <w:div w:id="1266037517">
              <w:marLeft w:val="0"/>
              <w:marRight w:val="0"/>
              <w:marTop w:val="0"/>
              <w:marBottom w:val="0"/>
              <w:divBdr>
                <w:top w:val="none" w:sz="0" w:space="0" w:color="auto"/>
                <w:left w:val="none" w:sz="0" w:space="0" w:color="auto"/>
                <w:bottom w:val="none" w:sz="0" w:space="0" w:color="auto"/>
                <w:right w:val="none" w:sz="0" w:space="0" w:color="auto"/>
              </w:divBdr>
              <w:divsChild>
                <w:div w:id="1734573690">
                  <w:marLeft w:val="0"/>
                  <w:marRight w:val="0"/>
                  <w:marTop w:val="0"/>
                  <w:marBottom w:val="0"/>
                  <w:divBdr>
                    <w:top w:val="none" w:sz="0" w:space="0" w:color="auto"/>
                    <w:left w:val="none" w:sz="0" w:space="0" w:color="auto"/>
                    <w:bottom w:val="none" w:sz="0" w:space="0" w:color="auto"/>
                    <w:right w:val="none" w:sz="0" w:space="0" w:color="auto"/>
                  </w:divBdr>
                  <w:divsChild>
                    <w:div w:id="1296790068">
                      <w:marLeft w:val="0"/>
                      <w:marRight w:val="0"/>
                      <w:marTop w:val="0"/>
                      <w:marBottom w:val="0"/>
                      <w:divBdr>
                        <w:top w:val="none" w:sz="0" w:space="0" w:color="auto"/>
                        <w:left w:val="none" w:sz="0" w:space="0" w:color="auto"/>
                        <w:bottom w:val="none" w:sz="0" w:space="0" w:color="auto"/>
                        <w:right w:val="none" w:sz="0" w:space="0" w:color="auto"/>
                      </w:divBdr>
                      <w:divsChild>
                        <w:div w:id="1987466078">
                          <w:marLeft w:val="0"/>
                          <w:marRight w:val="0"/>
                          <w:marTop w:val="0"/>
                          <w:marBottom w:val="0"/>
                          <w:divBdr>
                            <w:top w:val="none" w:sz="0" w:space="0" w:color="auto"/>
                            <w:left w:val="none" w:sz="0" w:space="0" w:color="auto"/>
                            <w:bottom w:val="none" w:sz="0" w:space="0" w:color="auto"/>
                            <w:right w:val="none" w:sz="0" w:space="0" w:color="auto"/>
                          </w:divBdr>
                          <w:divsChild>
                            <w:div w:id="80435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41187">
      <w:bodyDiv w:val="1"/>
      <w:marLeft w:val="0"/>
      <w:marRight w:val="0"/>
      <w:marTop w:val="0"/>
      <w:marBottom w:val="0"/>
      <w:divBdr>
        <w:top w:val="none" w:sz="0" w:space="0" w:color="auto"/>
        <w:left w:val="none" w:sz="0" w:space="0" w:color="auto"/>
        <w:bottom w:val="none" w:sz="0" w:space="0" w:color="auto"/>
        <w:right w:val="none" w:sz="0" w:space="0" w:color="auto"/>
      </w:divBdr>
    </w:div>
    <w:div w:id="1388383399">
      <w:bodyDiv w:val="1"/>
      <w:marLeft w:val="0"/>
      <w:marRight w:val="0"/>
      <w:marTop w:val="0"/>
      <w:marBottom w:val="0"/>
      <w:divBdr>
        <w:top w:val="none" w:sz="0" w:space="0" w:color="auto"/>
        <w:left w:val="none" w:sz="0" w:space="0" w:color="auto"/>
        <w:bottom w:val="none" w:sz="0" w:space="0" w:color="auto"/>
        <w:right w:val="none" w:sz="0" w:space="0" w:color="auto"/>
      </w:divBdr>
      <w:divsChild>
        <w:div w:id="1999649194">
          <w:marLeft w:val="0"/>
          <w:marRight w:val="0"/>
          <w:marTop w:val="0"/>
          <w:marBottom w:val="0"/>
          <w:divBdr>
            <w:top w:val="none" w:sz="0" w:space="0" w:color="auto"/>
            <w:left w:val="none" w:sz="0" w:space="0" w:color="auto"/>
            <w:bottom w:val="none" w:sz="0" w:space="0" w:color="auto"/>
            <w:right w:val="none" w:sz="0" w:space="0" w:color="auto"/>
          </w:divBdr>
          <w:divsChild>
            <w:div w:id="177433367">
              <w:marLeft w:val="0"/>
              <w:marRight w:val="0"/>
              <w:marTop w:val="0"/>
              <w:marBottom w:val="150"/>
              <w:divBdr>
                <w:top w:val="none" w:sz="0" w:space="0" w:color="auto"/>
                <w:left w:val="none" w:sz="0" w:space="0" w:color="auto"/>
                <w:bottom w:val="none" w:sz="0" w:space="0" w:color="auto"/>
                <w:right w:val="none" w:sz="0" w:space="0" w:color="auto"/>
              </w:divBdr>
              <w:divsChild>
                <w:div w:id="175578508">
                  <w:marLeft w:val="0"/>
                  <w:marRight w:val="0"/>
                  <w:marTop w:val="0"/>
                  <w:marBottom w:val="0"/>
                  <w:divBdr>
                    <w:top w:val="none" w:sz="0" w:space="0" w:color="auto"/>
                    <w:left w:val="none" w:sz="0" w:space="0" w:color="auto"/>
                    <w:bottom w:val="none" w:sz="0" w:space="0" w:color="auto"/>
                    <w:right w:val="none" w:sz="0" w:space="0" w:color="auto"/>
                  </w:divBdr>
                  <w:divsChild>
                    <w:div w:id="1059133118">
                      <w:marLeft w:val="0"/>
                      <w:marRight w:val="0"/>
                      <w:marTop w:val="0"/>
                      <w:marBottom w:val="0"/>
                      <w:divBdr>
                        <w:top w:val="none" w:sz="0" w:space="0" w:color="auto"/>
                        <w:left w:val="none" w:sz="0" w:space="0" w:color="auto"/>
                        <w:bottom w:val="none" w:sz="0" w:space="0" w:color="auto"/>
                        <w:right w:val="none" w:sz="0" w:space="0" w:color="auto"/>
                      </w:divBdr>
                      <w:divsChild>
                        <w:div w:id="660542160">
                          <w:marLeft w:val="0"/>
                          <w:marRight w:val="0"/>
                          <w:marTop w:val="0"/>
                          <w:marBottom w:val="0"/>
                          <w:divBdr>
                            <w:top w:val="none" w:sz="0" w:space="0" w:color="auto"/>
                            <w:left w:val="none" w:sz="0" w:space="0" w:color="auto"/>
                            <w:bottom w:val="none" w:sz="0" w:space="0" w:color="auto"/>
                            <w:right w:val="none" w:sz="0" w:space="0" w:color="auto"/>
                          </w:divBdr>
                          <w:divsChild>
                            <w:div w:id="972752911">
                              <w:marLeft w:val="0"/>
                              <w:marRight w:val="0"/>
                              <w:marTop w:val="0"/>
                              <w:marBottom w:val="0"/>
                              <w:divBdr>
                                <w:top w:val="none" w:sz="0" w:space="0" w:color="auto"/>
                                <w:left w:val="none" w:sz="0" w:space="0" w:color="auto"/>
                                <w:bottom w:val="none" w:sz="0" w:space="0" w:color="auto"/>
                                <w:right w:val="none" w:sz="0" w:space="0" w:color="auto"/>
                              </w:divBdr>
                              <w:divsChild>
                                <w:div w:id="1735079241">
                                  <w:marLeft w:val="0"/>
                                  <w:marRight w:val="-3600"/>
                                  <w:marTop w:val="150"/>
                                  <w:marBottom w:val="0"/>
                                  <w:divBdr>
                                    <w:top w:val="none" w:sz="0" w:space="0" w:color="auto"/>
                                    <w:left w:val="none" w:sz="0" w:space="0" w:color="auto"/>
                                    <w:bottom w:val="none" w:sz="0" w:space="0" w:color="auto"/>
                                    <w:right w:val="none" w:sz="0" w:space="0" w:color="auto"/>
                                  </w:divBdr>
                                  <w:divsChild>
                                    <w:div w:id="378937125">
                                      <w:marLeft w:val="0"/>
                                      <w:marRight w:val="3600"/>
                                      <w:marTop w:val="0"/>
                                      <w:marBottom w:val="0"/>
                                      <w:divBdr>
                                        <w:top w:val="none" w:sz="0" w:space="0" w:color="auto"/>
                                        <w:left w:val="none" w:sz="0" w:space="0" w:color="auto"/>
                                        <w:bottom w:val="none" w:sz="0" w:space="0" w:color="auto"/>
                                        <w:right w:val="none" w:sz="0" w:space="0" w:color="auto"/>
                                      </w:divBdr>
                                      <w:divsChild>
                                        <w:div w:id="757211753">
                                          <w:marLeft w:val="0"/>
                                          <w:marRight w:val="0"/>
                                          <w:marTop w:val="0"/>
                                          <w:marBottom w:val="0"/>
                                          <w:divBdr>
                                            <w:top w:val="none" w:sz="0" w:space="0" w:color="auto"/>
                                            <w:left w:val="none" w:sz="0" w:space="0" w:color="auto"/>
                                            <w:bottom w:val="none" w:sz="0" w:space="0" w:color="auto"/>
                                            <w:right w:val="none" w:sz="0" w:space="0" w:color="auto"/>
                                          </w:divBdr>
                                          <w:divsChild>
                                            <w:div w:id="1205286343">
                                              <w:marLeft w:val="0"/>
                                              <w:marRight w:val="0"/>
                                              <w:marTop w:val="0"/>
                                              <w:marBottom w:val="0"/>
                                              <w:divBdr>
                                                <w:top w:val="none" w:sz="0" w:space="0" w:color="auto"/>
                                                <w:left w:val="none" w:sz="0" w:space="0" w:color="auto"/>
                                                <w:bottom w:val="none" w:sz="0" w:space="0" w:color="auto"/>
                                                <w:right w:val="none" w:sz="0" w:space="0" w:color="auto"/>
                                              </w:divBdr>
                                              <w:divsChild>
                                                <w:div w:id="984159122">
                                                  <w:marLeft w:val="0"/>
                                                  <w:marRight w:val="0"/>
                                                  <w:marTop w:val="0"/>
                                                  <w:marBottom w:val="0"/>
                                                  <w:divBdr>
                                                    <w:top w:val="none" w:sz="0" w:space="0" w:color="auto"/>
                                                    <w:left w:val="none" w:sz="0" w:space="0" w:color="auto"/>
                                                    <w:bottom w:val="none" w:sz="0" w:space="0" w:color="auto"/>
                                                    <w:right w:val="none" w:sz="0" w:space="0" w:color="auto"/>
                                                  </w:divBdr>
                                                  <w:divsChild>
                                                    <w:div w:id="1527870103">
                                                      <w:marLeft w:val="0"/>
                                                      <w:marRight w:val="0"/>
                                                      <w:marTop w:val="0"/>
                                                      <w:marBottom w:val="0"/>
                                                      <w:divBdr>
                                                        <w:top w:val="none" w:sz="0" w:space="0" w:color="auto"/>
                                                        <w:left w:val="none" w:sz="0" w:space="0" w:color="auto"/>
                                                        <w:bottom w:val="none" w:sz="0" w:space="0" w:color="auto"/>
                                                        <w:right w:val="none" w:sz="0" w:space="0" w:color="auto"/>
                                                      </w:divBdr>
                                                      <w:divsChild>
                                                        <w:div w:id="10956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4927096">
      <w:bodyDiv w:val="1"/>
      <w:marLeft w:val="0"/>
      <w:marRight w:val="0"/>
      <w:marTop w:val="0"/>
      <w:marBottom w:val="0"/>
      <w:divBdr>
        <w:top w:val="none" w:sz="0" w:space="0" w:color="auto"/>
        <w:left w:val="none" w:sz="0" w:space="0" w:color="auto"/>
        <w:bottom w:val="none" w:sz="0" w:space="0" w:color="auto"/>
        <w:right w:val="none" w:sz="0" w:space="0" w:color="auto"/>
      </w:divBdr>
    </w:div>
    <w:div w:id="1482578093">
      <w:bodyDiv w:val="1"/>
      <w:marLeft w:val="0"/>
      <w:marRight w:val="0"/>
      <w:marTop w:val="0"/>
      <w:marBottom w:val="0"/>
      <w:divBdr>
        <w:top w:val="none" w:sz="0" w:space="0" w:color="auto"/>
        <w:left w:val="none" w:sz="0" w:space="0" w:color="auto"/>
        <w:bottom w:val="none" w:sz="0" w:space="0" w:color="auto"/>
        <w:right w:val="none" w:sz="0" w:space="0" w:color="auto"/>
      </w:divBdr>
    </w:div>
    <w:div w:id="1664432543">
      <w:bodyDiv w:val="1"/>
      <w:marLeft w:val="0"/>
      <w:marRight w:val="0"/>
      <w:marTop w:val="0"/>
      <w:marBottom w:val="0"/>
      <w:divBdr>
        <w:top w:val="none" w:sz="0" w:space="0" w:color="auto"/>
        <w:left w:val="none" w:sz="0" w:space="0" w:color="auto"/>
        <w:bottom w:val="none" w:sz="0" w:space="0" w:color="auto"/>
        <w:right w:val="none" w:sz="0" w:space="0" w:color="auto"/>
      </w:divBdr>
      <w:divsChild>
        <w:div w:id="1393893137">
          <w:marLeft w:val="0"/>
          <w:marRight w:val="0"/>
          <w:marTop w:val="0"/>
          <w:marBottom w:val="0"/>
          <w:divBdr>
            <w:top w:val="none" w:sz="0" w:space="0" w:color="auto"/>
            <w:left w:val="none" w:sz="0" w:space="0" w:color="auto"/>
            <w:bottom w:val="none" w:sz="0" w:space="0" w:color="auto"/>
            <w:right w:val="none" w:sz="0" w:space="0" w:color="auto"/>
          </w:divBdr>
          <w:divsChild>
            <w:div w:id="676807043">
              <w:marLeft w:val="0"/>
              <w:marRight w:val="0"/>
              <w:marTop w:val="0"/>
              <w:marBottom w:val="0"/>
              <w:divBdr>
                <w:top w:val="none" w:sz="0" w:space="0" w:color="auto"/>
                <w:left w:val="none" w:sz="0" w:space="0" w:color="auto"/>
                <w:bottom w:val="none" w:sz="0" w:space="0" w:color="auto"/>
                <w:right w:val="none" w:sz="0" w:space="0" w:color="auto"/>
              </w:divBdr>
              <w:divsChild>
                <w:div w:id="2130854327">
                  <w:marLeft w:val="0"/>
                  <w:marRight w:val="0"/>
                  <w:marTop w:val="0"/>
                  <w:marBottom w:val="0"/>
                  <w:divBdr>
                    <w:top w:val="none" w:sz="0" w:space="0" w:color="auto"/>
                    <w:left w:val="none" w:sz="0" w:space="0" w:color="auto"/>
                    <w:bottom w:val="none" w:sz="0" w:space="0" w:color="auto"/>
                    <w:right w:val="none" w:sz="0" w:space="0" w:color="auto"/>
                  </w:divBdr>
                  <w:divsChild>
                    <w:div w:id="752505845">
                      <w:marLeft w:val="0"/>
                      <w:marRight w:val="0"/>
                      <w:marTop w:val="0"/>
                      <w:marBottom w:val="0"/>
                      <w:divBdr>
                        <w:top w:val="none" w:sz="0" w:space="0" w:color="auto"/>
                        <w:left w:val="none" w:sz="0" w:space="0" w:color="auto"/>
                        <w:bottom w:val="none" w:sz="0" w:space="0" w:color="auto"/>
                        <w:right w:val="none" w:sz="0" w:space="0" w:color="auto"/>
                      </w:divBdr>
                      <w:divsChild>
                        <w:div w:id="7986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806544">
      <w:bodyDiv w:val="1"/>
      <w:marLeft w:val="0"/>
      <w:marRight w:val="0"/>
      <w:marTop w:val="0"/>
      <w:marBottom w:val="0"/>
      <w:divBdr>
        <w:top w:val="none" w:sz="0" w:space="0" w:color="auto"/>
        <w:left w:val="none" w:sz="0" w:space="0" w:color="auto"/>
        <w:bottom w:val="none" w:sz="0" w:space="0" w:color="auto"/>
        <w:right w:val="none" w:sz="0" w:space="0" w:color="auto"/>
      </w:divBdr>
    </w:div>
    <w:div w:id="1855924929">
      <w:bodyDiv w:val="1"/>
      <w:marLeft w:val="0"/>
      <w:marRight w:val="0"/>
      <w:marTop w:val="0"/>
      <w:marBottom w:val="0"/>
      <w:divBdr>
        <w:top w:val="none" w:sz="0" w:space="0" w:color="auto"/>
        <w:left w:val="none" w:sz="0" w:space="0" w:color="auto"/>
        <w:bottom w:val="none" w:sz="0" w:space="0" w:color="auto"/>
        <w:right w:val="none" w:sz="0" w:space="0" w:color="auto"/>
      </w:divBdr>
    </w:div>
    <w:div w:id="1966497751">
      <w:bodyDiv w:val="1"/>
      <w:marLeft w:val="0"/>
      <w:marRight w:val="0"/>
      <w:marTop w:val="0"/>
      <w:marBottom w:val="0"/>
      <w:divBdr>
        <w:top w:val="none" w:sz="0" w:space="0" w:color="auto"/>
        <w:left w:val="none" w:sz="0" w:space="0" w:color="auto"/>
        <w:bottom w:val="none" w:sz="0" w:space="0" w:color="auto"/>
        <w:right w:val="none" w:sz="0" w:space="0" w:color="auto"/>
      </w:divBdr>
      <w:divsChild>
        <w:div w:id="1341007861">
          <w:marLeft w:val="0"/>
          <w:marRight w:val="0"/>
          <w:marTop w:val="0"/>
          <w:marBottom w:val="0"/>
          <w:divBdr>
            <w:top w:val="none" w:sz="0" w:space="0" w:color="auto"/>
            <w:left w:val="none" w:sz="0" w:space="0" w:color="auto"/>
            <w:bottom w:val="none" w:sz="0" w:space="0" w:color="auto"/>
            <w:right w:val="none" w:sz="0" w:space="0" w:color="auto"/>
          </w:divBdr>
          <w:divsChild>
            <w:div w:id="1219977041">
              <w:marLeft w:val="0"/>
              <w:marRight w:val="0"/>
              <w:marTop w:val="150"/>
              <w:marBottom w:val="0"/>
              <w:divBdr>
                <w:top w:val="none" w:sz="0" w:space="0" w:color="auto"/>
                <w:left w:val="none" w:sz="0" w:space="0" w:color="auto"/>
                <w:bottom w:val="none" w:sz="0" w:space="0" w:color="auto"/>
                <w:right w:val="none" w:sz="0" w:space="0" w:color="auto"/>
              </w:divBdr>
              <w:divsChild>
                <w:div w:id="125392463">
                  <w:marLeft w:val="-225"/>
                  <w:marRight w:val="-225"/>
                  <w:marTop w:val="0"/>
                  <w:marBottom w:val="0"/>
                  <w:divBdr>
                    <w:top w:val="none" w:sz="0" w:space="0" w:color="auto"/>
                    <w:left w:val="none" w:sz="0" w:space="0" w:color="auto"/>
                    <w:bottom w:val="none" w:sz="0" w:space="0" w:color="auto"/>
                    <w:right w:val="none" w:sz="0" w:space="0" w:color="auto"/>
                  </w:divBdr>
                  <w:divsChild>
                    <w:div w:id="636689870">
                      <w:marLeft w:val="0"/>
                      <w:marRight w:val="0"/>
                      <w:marTop w:val="0"/>
                      <w:marBottom w:val="0"/>
                      <w:divBdr>
                        <w:top w:val="none" w:sz="0" w:space="0" w:color="auto"/>
                        <w:left w:val="none" w:sz="0" w:space="0" w:color="auto"/>
                        <w:bottom w:val="none" w:sz="0" w:space="0" w:color="auto"/>
                        <w:right w:val="none" w:sz="0" w:space="0" w:color="auto"/>
                      </w:divBdr>
                      <w:divsChild>
                        <w:div w:id="1916162902">
                          <w:marLeft w:val="-225"/>
                          <w:marRight w:val="-225"/>
                          <w:marTop w:val="0"/>
                          <w:marBottom w:val="0"/>
                          <w:divBdr>
                            <w:top w:val="none" w:sz="0" w:space="0" w:color="auto"/>
                            <w:left w:val="none" w:sz="0" w:space="0" w:color="auto"/>
                            <w:bottom w:val="none" w:sz="0" w:space="0" w:color="auto"/>
                            <w:right w:val="none" w:sz="0" w:space="0" w:color="auto"/>
                          </w:divBdr>
                          <w:divsChild>
                            <w:div w:id="390544888">
                              <w:marLeft w:val="0"/>
                              <w:marRight w:val="0"/>
                              <w:marTop w:val="0"/>
                              <w:marBottom w:val="0"/>
                              <w:divBdr>
                                <w:top w:val="none" w:sz="0" w:space="0" w:color="auto"/>
                                <w:left w:val="none" w:sz="0" w:space="0" w:color="auto"/>
                                <w:bottom w:val="none" w:sz="0" w:space="0" w:color="auto"/>
                                <w:right w:val="none" w:sz="0" w:space="0" w:color="auto"/>
                              </w:divBdr>
                              <w:divsChild>
                                <w:div w:id="1754740800">
                                  <w:marLeft w:val="0"/>
                                  <w:marRight w:val="0"/>
                                  <w:marTop w:val="0"/>
                                  <w:marBottom w:val="0"/>
                                  <w:divBdr>
                                    <w:top w:val="none" w:sz="0" w:space="0" w:color="auto"/>
                                    <w:left w:val="none" w:sz="0" w:space="0" w:color="auto"/>
                                    <w:bottom w:val="none" w:sz="0" w:space="0" w:color="auto"/>
                                    <w:right w:val="none" w:sz="0" w:space="0" w:color="auto"/>
                                  </w:divBdr>
                                  <w:divsChild>
                                    <w:div w:id="906498559">
                                      <w:marLeft w:val="0"/>
                                      <w:marRight w:val="0"/>
                                      <w:marTop w:val="0"/>
                                      <w:marBottom w:val="0"/>
                                      <w:divBdr>
                                        <w:top w:val="none" w:sz="0" w:space="0" w:color="auto"/>
                                        <w:left w:val="none" w:sz="0" w:space="0" w:color="auto"/>
                                        <w:bottom w:val="none" w:sz="0" w:space="0" w:color="auto"/>
                                        <w:right w:val="none" w:sz="0" w:space="0" w:color="auto"/>
                                      </w:divBdr>
                                      <w:divsChild>
                                        <w:div w:id="208347126">
                                          <w:marLeft w:val="0"/>
                                          <w:marRight w:val="0"/>
                                          <w:marTop w:val="0"/>
                                          <w:marBottom w:val="0"/>
                                          <w:divBdr>
                                            <w:top w:val="none" w:sz="0" w:space="0" w:color="auto"/>
                                            <w:left w:val="none" w:sz="0" w:space="0" w:color="auto"/>
                                            <w:bottom w:val="none" w:sz="0" w:space="0" w:color="auto"/>
                                            <w:right w:val="none" w:sz="0" w:space="0" w:color="auto"/>
                                          </w:divBdr>
                                          <w:divsChild>
                                            <w:div w:id="186873224">
                                              <w:marLeft w:val="0"/>
                                              <w:marRight w:val="0"/>
                                              <w:marTop w:val="0"/>
                                              <w:marBottom w:val="0"/>
                                              <w:divBdr>
                                                <w:top w:val="none" w:sz="0" w:space="0" w:color="auto"/>
                                                <w:left w:val="none" w:sz="0" w:space="0" w:color="auto"/>
                                                <w:bottom w:val="none" w:sz="0" w:space="0" w:color="auto"/>
                                                <w:right w:val="none" w:sz="0" w:space="0" w:color="auto"/>
                                              </w:divBdr>
                                              <w:divsChild>
                                                <w:div w:id="1783453626">
                                                  <w:marLeft w:val="0"/>
                                                  <w:marRight w:val="0"/>
                                                  <w:marTop w:val="0"/>
                                                  <w:marBottom w:val="0"/>
                                                  <w:divBdr>
                                                    <w:top w:val="none" w:sz="0" w:space="0" w:color="auto"/>
                                                    <w:left w:val="none" w:sz="0" w:space="0" w:color="auto"/>
                                                    <w:bottom w:val="none" w:sz="0" w:space="0" w:color="auto"/>
                                                    <w:right w:val="none" w:sz="0" w:space="0" w:color="auto"/>
                                                  </w:divBdr>
                                                  <w:divsChild>
                                                    <w:div w:id="899897947">
                                                      <w:marLeft w:val="0"/>
                                                      <w:marRight w:val="0"/>
                                                      <w:marTop w:val="0"/>
                                                      <w:marBottom w:val="0"/>
                                                      <w:divBdr>
                                                        <w:top w:val="none" w:sz="0" w:space="0" w:color="auto"/>
                                                        <w:left w:val="none" w:sz="0" w:space="0" w:color="auto"/>
                                                        <w:bottom w:val="none" w:sz="0" w:space="0" w:color="auto"/>
                                                        <w:right w:val="none" w:sz="0" w:space="0" w:color="auto"/>
                                                      </w:divBdr>
                                                      <w:divsChild>
                                                        <w:div w:id="1841312479">
                                                          <w:marLeft w:val="0"/>
                                                          <w:marRight w:val="0"/>
                                                          <w:marTop w:val="0"/>
                                                          <w:marBottom w:val="0"/>
                                                          <w:divBdr>
                                                            <w:top w:val="none" w:sz="0" w:space="0" w:color="auto"/>
                                                            <w:left w:val="none" w:sz="0" w:space="0" w:color="auto"/>
                                                            <w:bottom w:val="none" w:sz="0" w:space="0" w:color="auto"/>
                                                            <w:right w:val="none" w:sz="0" w:space="0" w:color="auto"/>
                                                          </w:divBdr>
                                                          <w:divsChild>
                                                            <w:div w:id="20656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084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axation_customs/general-information-customs/customs-trade-consultation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38e06a5b-53d1-436d-8775-0c38264e023f">Type 1</Category>
    <EC_Collab_Status xmlns="38e06a5b-53d1-436d-8775-0c38264e023f">Not Started</EC_Collab_Status>
    <EC_Collab_Reference xmlns="38e06a5b-53d1-436d-8775-0c38264e023f" xsi:nil="true"/>
    <EC_Collab_DocumentLanguage xmlns="38e06a5b-53d1-436d-8775-0c38264e023f">EN</EC_Collab_DocumentLanguag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8FF4803B774F484EB05D62742397C56A" ma:contentTypeVersion="2" ma:contentTypeDescription="Create a new document in this library." ma:contentTypeScope="" ma:versionID="288fbbd74e595fea707081b1164cb1f6">
  <xsd:schema xmlns:xsd="http://www.w3.org/2001/XMLSchema" xmlns:xs="http://www.w3.org/2001/XMLSchema" xmlns:p="http://schemas.microsoft.com/office/2006/metadata/properties" xmlns:ns3="38e06a5b-53d1-436d-8775-0c38264e023f" targetNamespace="http://schemas.microsoft.com/office/2006/metadata/properties" ma:root="true" ma:fieldsID="ff8972a4944f919d5008a991b9dd6b90" ns3:_="">
    <xsd:import namespace="38e06a5b-53d1-436d-8775-0c38264e023f"/>
    <xsd:element name="properties">
      <xsd:complexType>
        <xsd:sequence>
          <xsd:element name="documentManagement">
            <xsd:complexType>
              <xsd:all>
                <xsd:element ref="ns3:EC_Collab_Reference" minOccurs="0"/>
                <xsd:element ref="ns3:EC_Collab_DocumentLanguage"/>
                <xsd:element ref="ns3:EC_Collab_Status"/>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06a5b-53d1-436d-8775-0c38264e023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Category" ma:index="15" nillable="true" ma:displayName="Category" ma:default="Type 1" ma:format="Dropdown" ma:internalName="Category">
      <xsd:simpleType>
        <xsd:restriction base="dms:Choice">
          <xsd:enumeration value="Type 1"/>
          <xsd:enumeration value="Type 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708A8-3087-40FB-8836-3DBA4DA32043}">
  <ds:schemaRefs>
    <ds:schemaRef ds:uri="http://schemas.openxmlformats.org/package/2006/metadata/core-properties"/>
    <ds:schemaRef ds:uri="http://purl.org/dc/term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 ds:uri="38e06a5b-53d1-436d-8775-0c38264e023f"/>
  </ds:schemaRefs>
</ds:datastoreItem>
</file>

<file path=customXml/itemProps2.xml><?xml version="1.0" encoding="utf-8"?>
<ds:datastoreItem xmlns:ds="http://schemas.openxmlformats.org/officeDocument/2006/customXml" ds:itemID="{765C9BCC-ED86-4577-B7B7-9B937E49C624}">
  <ds:schemaRefs>
    <ds:schemaRef ds:uri="http://schemas.microsoft.com/sharepoint/v3/contenttype/forms"/>
  </ds:schemaRefs>
</ds:datastoreItem>
</file>

<file path=customXml/itemProps3.xml><?xml version="1.0" encoding="utf-8"?>
<ds:datastoreItem xmlns:ds="http://schemas.openxmlformats.org/officeDocument/2006/customXml" ds:itemID="{377EB060-0B01-4852-BEB7-00BA11985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06a5b-53d1-436d-8775-0c38264e0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92FF83-BAFB-47B7-9EDF-849A6358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16</Pages>
  <Words>6441</Words>
  <Characters>36011</Characters>
  <Application>Microsoft Office Word</Application>
  <DocSecurity>0</DocSecurity>
  <Lines>590</Lines>
  <Paragraphs>122</Paragraphs>
  <ScaleCrop>false</ScaleCrop>
  <HeadingPairs>
    <vt:vector size="2" baseType="variant">
      <vt:variant>
        <vt:lpstr>Title</vt:lpstr>
      </vt:variant>
      <vt:variant>
        <vt:i4>1</vt:i4>
      </vt:variant>
    </vt:vector>
  </HeadingPairs>
  <TitlesOfParts>
    <vt:vector size="1" baseType="lpstr">
      <vt:lpstr>Biennial Report_240118_DB rev</vt:lpstr>
    </vt:vector>
  </TitlesOfParts>
  <Manager/>
  <Company/>
  <LinksUpToDate>false</LinksUpToDate>
  <CharactersWithSpaces>42330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Biennial Report_240118_DB rev</dc:title>
  <dc:creator/>
  <cp:lastModifiedBy/>
  <cp:revision>22</cp:revision>
  <cp:lastPrinted>2018-02-09T12:58:00Z</cp:lastPrinted>
  <dcterms:created xsi:type="dcterms:W3CDTF">2018-06-06T15:15:00Z</dcterms:created>
  <dcterms:modified xsi:type="dcterms:W3CDTF">2018-07-04T12:56:00Z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ContentTypeId">
    <vt:lpwstr>0x010100258AA79CEB83498886A3A08681123250008FF4803B774F484EB05D62742397C56A</vt:lpwstr>
  </property>
  <property name="OP_sanitized" fmtid="{D5CDD505-2E9C-101B-9397-08002B2CF9AE}" pid="7">
    <vt:lpwstr>True</vt:lpwstr>
  </property>
</Properties>
</file>