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E793BD6B-B2F7-4529-9F65-6576F522CA3C" style="width:450.75pt;height:348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Style w:val="Typedudocument"/>
        <w:rPr>
          <w:noProof/>
        </w:rPr>
      </w:pPr>
      <w:bookmarkStart w:id="1" w:name="_GoBack"/>
      <w:bookmarkEnd w:id="1"/>
      <w:r>
        <w:rPr>
          <w:noProof/>
        </w:rPr>
        <w:lastRenderedPageBreak/>
        <w:t>COMUNICAÇÃO DA COMISSÃO AO PARLAMENTO EUROPEU, AO CONSELHO, AO BANCO CENTRAL EUROPEU, AO COMITÉ ECONÓMICO E SOCIAL EUROPEU, AO COMITÉ DAS REGIÕES E AO BANCO EUROPEU DE INVESTIMENTO</w:t>
      </w:r>
    </w:p>
    <w:p>
      <w:pPr>
        <w:pStyle w:val="Titreobjet"/>
        <w:rPr>
          <w:noProof/>
        </w:rPr>
      </w:pPr>
      <w:r>
        <w:rPr>
          <w:noProof/>
        </w:rPr>
        <w:t>sobre a revisão da flexibilidade no Pacto de Estabilidade e Crescimento</w:t>
      </w:r>
    </w:p>
    <w:p>
      <w:pPr>
        <w:keepNext/>
        <w:spacing w:after="0" w:line="240" w:lineRule="auto"/>
        <w:jc w:val="center"/>
        <w:rPr>
          <w:rFonts w:ascii="Times New Roman" w:hAnsi="Times New Roman"/>
          <w:noProof/>
          <w:sz w:val="2"/>
          <w:szCs w:val="2"/>
        </w:rPr>
      </w:pPr>
    </w:p>
    <w:p>
      <w:pPr>
        <w:spacing w:after="120" w:line="240" w:lineRule="auto"/>
        <w:jc w:val="both"/>
        <w:rPr>
          <w:rFonts w:ascii="Times New Roman" w:hAnsi="Times New Roman" w:cs="Times New Roman"/>
          <w:b/>
          <w:bCs/>
          <w:noProof/>
          <w:sz w:val="24"/>
          <w:szCs w:val="24"/>
        </w:rPr>
      </w:pPr>
      <w:r>
        <w:rPr>
          <w:rFonts w:ascii="Times New Roman" w:hAnsi="Times New Roman"/>
          <w:noProof/>
          <w:sz w:val="24"/>
        </w:rPr>
        <w:t>Em 13 de janeiro de 2015, a Comissão apresentou uma comunicação intitulada «Otimizar o recurso à flexibilidade prevista nas atuais regras do Pacto de Estabilidade e Crescimento»</w:t>
      </w:r>
      <w:r>
        <w:rPr>
          <w:rStyle w:val="FootnoteReference"/>
          <w:rFonts w:ascii="Times New Roman" w:hAnsi="Times New Roman"/>
          <w:noProof/>
          <w:sz w:val="24"/>
        </w:rPr>
        <w:footnoteReference w:id="1"/>
      </w:r>
      <w:r>
        <w:rPr>
          <w:rFonts w:ascii="Times New Roman" w:hAnsi="Times New Roman"/>
          <w:noProof/>
          <w:sz w:val="24"/>
        </w:rPr>
        <w:t>. A comunicação fornece novas orientações sobre a forma como deverão ser aplicadas as regras vigentes do Pacto de Estabilidade e Crescimento (a seguir designado «o pacto»), tendo em vista, por um lado, reforçar as ligações entre as principais prioridades da estratégia económica da nova Comissão, que assenta em três pilares, nomeadamente o investimento, as reformas estruturais e a responsabilidade orçamental em prol da criação de emprego e do crescimento, e, por outro, a ter melhor em conta a evolução da situação económica. As novas clarificações por parte da Comissão foram amplamente debatidas com os Estados</w:t>
      </w:r>
      <w:r>
        <w:rPr>
          <w:rFonts w:ascii="Times New Roman" w:hAnsi="Times New Roman"/>
          <w:noProof/>
          <w:sz w:val="24"/>
        </w:rPr>
        <w:noBreakHyphen/>
        <w:t xml:space="preserve">Membros, debate do qual resultou a publicação de uma posição comum acordada pelo Comité Económico e Financeiro (CEF) e que mereceu a aprovação do Conselho ECOFIN em 12 de fevereiro de 2016. </w:t>
      </w:r>
    </w:p>
    <w:p>
      <w:pPr>
        <w:spacing w:after="120" w:line="240" w:lineRule="auto"/>
        <w:jc w:val="both"/>
        <w:rPr>
          <w:rFonts w:ascii="Times New Roman" w:hAnsi="Times New Roman" w:cs="Times New Roman"/>
          <w:b/>
          <w:bCs/>
          <w:noProof/>
          <w:sz w:val="24"/>
          <w:szCs w:val="24"/>
        </w:rPr>
      </w:pPr>
      <w:r>
        <w:rPr>
          <w:rFonts w:ascii="Times New Roman" w:hAnsi="Times New Roman"/>
          <w:noProof/>
          <w:sz w:val="24"/>
        </w:rPr>
        <w:t>As secções 2.2 e 5 da posição comummente acordada, respeitantes à flexibilidade, solicitavam que a Comissão procedesse a uma revisão da eficácia das novas clarificações até ao final de junho de 2018. Essa análise deverá, em especial, debruçar-se sobre dois elementos fundamentais, a eficácia da modulação do esforço orçamental ao longo do ciclo económico e a aplicação da flexibilidade na óptica das reformas estruturais e do investimento. Um anexo técnico apresenta os cálculos e todos os pormenores subjacentes às conclusões da revisão.</w:t>
      </w:r>
    </w:p>
    <w:p>
      <w:pPr>
        <w:pStyle w:val="Heading1"/>
        <w:spacing w:after="120" w:line="240" w:lineRule="auto"/>
        <w:jc w:val="both"/>
        <w:rPr>
          <w:rFonts w:ascii="Times New Roman" w:hAnsi="Times New Roman"/>
          <w:noProof/>
          <w:sz w:val="24"/>
          <w:szCs w:val="24"/>
        </w:rPr>
      </w:pPr>
      <w:r>
        <w:rPr>
          <w:rFonts w:ascii="Times New Roman" w:hAnsi="Times New Roman"/>
          <w:noProof/>
          <w:sz w:val="24"/>
        </w:rPr>
        <w:t xml:space="preserve">1. Principais elementos de flexibilidade no Pacto de Estabilidade e Crescimento </w:t>
      </w:r>
    </w:p>
    <w:p>
      <w:pPr>
        <w:spacing w:after="120" w:line="240" w:lineRule="auto"/>
        <w:jc w:val="both"/>
        <w:rPr>
          <w:rFonts w:ascii="Times New Roman" w:hAnsi="Times New Roman"/>
          <w:noProof/>
          <w:sz w:val="24"/>
          <w:szCs w:val="24"/>
        </w:rPr>
      </w:pPr>
      <w:r>
        <w:rPr>
          <w:rFonts w:ascii="Times New Roman" w:hAnsi="Times New Roman"/>
          <w:noProof/>
          <w:sz w:val="24"/>
        </w:rPr>
        <w:t>A comunicação de janeiro de 2015 foi adotada numa altura em que a Europa começava a emergir da recessão económica que teve início em 2008 mas continuava ainda a enfrentar uma recuperação débil e frágil, com grandes diferenças entre os vários países. Em particular, a taxa de desemprego continuava a ser elevada, o investimento privado e público era fraco e um certo número de Estados</w:t>
      </w:r>
      <w:r>
        <w:rPr>
          <w:rFonts w:ascii="Times New Roman" w:hAnsi="Times New Roman"/>
          <w:noProof/>
          <w:sz w:val="24"/>
        </w:rPr>
        <w:noBreakHyphen/>
        <w:t xml:space="preserve">Membros viam-se confrontados com elevados níveis de endividamento, uma herança da crise. A inflação continuava a ser moderada, situando-se bem abaixo do objetivo do Banco Central Europeu. </w:t>
      </w:r>
    </w:p>
    <w:p>
      <w:pPr>
        <w:spacing w:after="120" w:line="240" w:lineRule="auto"/>
        <w:jc w:val="both"/>
        <w:rPr>
          <w:rFonts w:ascii="Times New Roman" w:hAnsi="Times New Roman"/>
          <w:noProof/>
          <w:sz w:val="24"/>
          <w:szCs w:val="24"/>
        </w:rPr>
      </w:pPr>
      <w:r>
        <w:rPr>
          <w:rFonts w:ascii="Times New Roman" w:hAnsi="Times New Roman"/>
          <w:noProof/>
          <w:sz w:val="24"/>
        </w:rPr>
        <w:t xml:space="preserve">Perante esse pano de fundo, a comunicação da Comissão e a posição comummente acordada estabeleceram orientações operacionais quanto à forma como as regras em vigor deveriam ser aplicadas, de forma responsável, diferenciada e favorável ao crescimento. </w:t>
      </w:r>
    </w:p>
    <w:p>
      <w:pPr>
        <w:spacing w:after="120" w:line="240" w:lineRule="auto"/>
        <w:jc w:val="both"/>
        <w:rPr>
          <w:rFonts w:ascii="Times New Roman" w:hAnsi="Times New Roman"/>
          <w:noProof/>
          <w:sz w:val="24"/>
          <w:szCs w:val="24"/>
        </w:rPr>
      </w:pPr>
      <w:r>
        <w:rPr>
          <w:rFonts w:ascii="Times New Roman" w:hAnsi="Times New Roman"/>
          <w:noProof/>
          <w:sz w:val="24"/>
        </w:rPr>
        <w:t>As clarificações referem-se apenas à vertente preventiva do Pacto, cujo objetivo é assegurar uma situação orçamental sólida a médio prazo em todos os Estados</w:t>
      </w:r>
      <w:r>
        <w:rPr>
          <w:rFonts w:ascii="Times New Roman" w:hAnsi="Times New Roman"/>
          <w:noProof/>
          <w:sz w:val="24"/>
        </w:rPr>
        <w:noBreakHyphen/>
        <w:t>Membros. Este princípio fundamental da responsabilidade orçamental foi confirmado e reafirmado pela Comissão. Ao mesmo tempo, a Comissão permitiu que o requisito de ajustamento orçamental recomendado aos Estados</w:t>
      </w:r>
      <w:r>
        <w:rPr>
          <w:rFonts w:ascii="Times New Roman" w:hAnsi="Times New Roman"/>
          <w:noProof/>
          <w:sz w:val="24"/>
        </w:rPr>
        <w:noBreakHyphen/>
        <w:t xml:space="preserve">Membros fosse modulado em função: i) das flutuações no ambiente económico; e ii) da necessidade de promover reformas estruturais e o investimento público. </w:t>
      </w:r>
    </w:p>
    <w:p>
      <w:pPr>
        <w:spacing w:after="120" w:line="240" w:lineRule="auto"/>
        <w:jc w:val="both"/>
        <w:rPr>
          <w:rFonts w:ascii="Times New Roman" w:hAnsi="Times New Roman"/>
          <w:noProof/>
          <w:sz w:val="24"/>
          <w:szCs w:val="24"/>
        </w:rPr>
      </w:pPr>
      <w:r>
        <w:rPr>
          <w:rFonts w:ascii="Times New Roman" w:hAnsi="Times New Roman"/>
          <w:noProof/>
          <w:sz w:val="24"/>
        </w:rPr>
        <w:t>A modulação do ajustamento orçamental ao longo do ciclo económico foi abordada através da chamada «matriz de requisitos» (a seguir simplesmente designada «a matriz»). Significa isto que são exigidos maiores esforços aos Estados</w:t>
      </w:r>
      <w:r>
        <w:rPr>
          <w:rFonts w:ascii="Times New Roman" w:hAnsi="Times New Roman"/>
          <w:noProof/>
          <w:sz w:val="24"/>
        </w:rPr>
        <w:noBreakHyphen/>
        <w:t xml:space="preserve">Membros que atravessam um período de </w:t>
      </w:r>
      <w:r>
        <w:rPr>
          <w:rFonts w:ascii="Times New Roman" w:hAnsi="Times New Roman"/>
          <w:noProof/>
          <w:sz w:val="24"/>
        </w:rPr>
        <w:lastRenderedPageBreak/>
        <w:t>conjuntura económica favorável e/ou apresentam níveis de dívida pública mais elevados, enquanto o esforço orçamental exigido aos Estados</w:t>
      </w:r>
      <w:r>
        <w:rPr>
          <w:rFonts w:ascii="Times New Roman" w:hAnsi="Times New Roman"/>
          <w:noProof/>
          <w:sz w:val="24"/>
        </w:rPr>
        <w:noBreakHyphen/>
        <w:t>Membros cuja conjuntura económica seja desfavorável e/ou que apresentem baixos níveis de dívida pública será menor (ver caixa).</w:t>
      </w:r>
    </w:p>
    <w:p>
      <w:pPr>
        <w:spacing w:after="120" w:line="240" w:lineRule="auto"/>
        <w:jc w:val="both"/>
        <w:rPr>
          <w:rFonts w:ascii="Times New Roman" w:hAnsi="Times New Roman"/>
          <w:b/>
          <w:bCs/>
          <w:noProof/>
          <w:sz w:val="24"/>
          <w:szCs w:val="24"/>
        </w:rPr>
      </w:pPr>
      <w:r>
        <w:rPr>
          <w:rFonts w:ascii="Times New Roman" w:hAnsi="Times New Roman"/>
          <w:noProof/>
          <w:sz w:val="24"/>
        </w:rPr>
        <w:t>A flexibilização temporária e limitada do ajustamento orçamental exigido foi identificada como um fator que apoia as reformas estruturais e o investimento. O pacto permite que um Estado-Membro se afaste daquilo que constitui uma situação orçamental sólida (ou de uma trajetória de convergência para assegurar essa solidez) para ter em conta os custos a curto prazo associados à implementação de reformas estruturais que tragam um retorno a longo prazo</w:t>
      </w:r>
      <w:r>
        <w:rPr>
          <w:rStyle w:val="FootnoteReference"/>
          <w:rFonts w:ascii="Times New Roman" w:hAnsi="Times New Roman"/>
          <w:noProof/>
          <w:sz w:val="24"/>
        </w:rPr>
        <w:footnoteReference w:id="2"/>
      </w:r>
      <w:r>
        <w:rPr>
          <w:rFonts w:ascii="Times New Roman" w:hAnsi="Times New Roman"/>
          <w:noProof/>
          <w:sz w:val="24"/>
        </w:rPr>
        <w:t>, por via da chamada «cláusula das reformas estruturais». A trajetória orçamental de um Estado-Membro poderá também considerar um investimento público significativo realizado a nível nacional mas cofinanciado pela União. Tal corresponde à chamada «cláusula de investimento». Foram previstas salvaguardas para ambas essas cláusulas, por forma a assegurar o equilíbrio entre a flexibilidade e a necessidade de preservar a prudência orçamental. A caixa apresenta informações adicionais sobre o funcionamento das duas cláusulas.</w:t>
      </w:r>
    </w:p>
    <w:p>
      <w:pPr>
        <w:spacing w:after="120" w:line="240" w:lineRule="auto"/>
        <w:rPr>
          <w:noProof/>
          <w:sz w:val="26"/>
          <w:szCs w:val="26"/>
        </w:rPr>
      </w:pPr>
      <w:r>
        <w:rPr>
          <w:noProof/>
          <w:sz w:val="26"/>
          <w:szCs w:val="26"/>
          <w:lang w:val="en-US" w:eastAsia="en-US" w:bidi="ar-SA"/>
        </w:rPr>
        <w:lastRenderedPageBreak/>
        <mc:AlternateContent>
          <mc:Choice Requires="wps">
            <w:drawing>
              <wp:inline distT="0" distB="0" distL="0" distR="0">
                <wp:extent cx="5791200" cy="6286500"/>
                <wp:effectExtent l="0" t="0" r="19050" b="1905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286500"/>
                        </a:xfrm>
                        <a:prstGeom prst="rect">
                          <a:avLst/>
                        </a:prstGeom>
                        <a:solidFill>
                          <a:srgbClr val="FFFFFF"/>
                        </a:solidFill>
                        <a:ln w="9525">
                          <a:solidFill>
                            <a:srgbClr val="000000"/>
                          </a:solidFill>
                          <a:miter lim="800000"/>
                          <a:headEnd/>
                          <a:tailEnd/>
                        </a:ln>
                      </wps:spPr>
                      <wps:txbx>
                        <w:txbxContent>
                          <w:p>
                            <w:pPr>
                              <w:pStyle w:val="ListParagraph"/>
                              <w:spacing w:after="60" w:line="240" w:lineRule="auto"/>
                              <w:ind w:left="0" w:right="48"/>
                              <w:contextualSpacing w:val="0"/>
                              <w:jc w:val="both"/>
                              <w:rPr>
                                <w:rFonts w:ascii="Times New Roman" w:hAnsi="Times New Roman" w:cs="Times New Roman"/>
                                <w:b/>
                                <w:highlight w:val="yellow"/>
                              </w:rPr>
                            </w:pPr>
                            <w:r>
                              <w:rPr>
                                <w:rFonts w:ascii="Times New Roman" w:hAnsi="Times New Roman"/>
                                <w:b/>
                              </w:rPr>
                              <w:t>Caixa: principais elementos da comunicação de janeiro de 2015</w:t>
                            </w:r>
                          </w:p>
                          <w:p>
                            <w:pPr>
                              <w:spacing w:after="120" w:line="240" w:lineRule="auto"/>
                              <w:jc w:val="both"/>
                              <w:rPr>
                                <w:rFonts w:ascii="Times New Roman" w:hAnsi="Times New Roman" w:cs="Times New Roman"/>
                                <w:i/>
                              </w:rPr>
                            </w:pPr>
                            <w:r>
                              <w:rPr>
                                <w:rFonts w:ascii="Times New Roman" w:hAnsi="Times New Roman"/>
                              </w:rPr>
                              <w:t xml:space="preserve">A comunicação de 13 de </w:t>
                            </w:r>
                            <w:r>
                              <w:rPr>
                                <w:rFonts w:ascii="Times New Roman" w:hAnsi="Times New Roman"/>
                                <w:sz w:val="24"/>
                              </w:rPr>
                              <w:t>janeiro de 2015</w:t>
                            </w:r>
                            <w:r>
                              <w:rPr>
                                <w:rFonts w:ascii="Times New Roman" w:hAnsi="Times New Roman"/>
                              </w:rPr>
                              <w:t xml:space="preserve"> tem dois elementos principais, no sentido em que define orientações para a aplicação da flexibilidade no âmbito da vertente preventiva do Pacto de Estabilidade e Crescimento a fim de: i) ter em conta as flutuações cíclicas da economia; e ii) permitir alguma margem para a aplicação de reformas estruturais e para assegurar o investimento.</w:t>
                            </w:r>
                            <w:r>
                              <w:rPr>
                                <w:rFonts w:ascii="Times New Roman" w:hAnsi="Times New Roman"/>
                                <w:i/>
                              </w:rPr>
                              <w:t xml:space="preserve"> </w:t>
                            </w:r>
                          </w:p>
                          <w:p>
                            <w:pPr>
                              <w:spacing w:after="120" w:line="240" w:lineRule="auto"/>
                              <w:jc w:val="both"/>
                              <w:rPr>
                                <w:rFonts w:ascii="Times New Roman" w:hAnsi="Times New Roman" w:cs="Times New Roman"/>
                                <w:i/>
                              </w:rPr>
                            </w:pPr>
                            <w:r>
                              <w:rPr>
                                <w:rFonts w:ascii="Times New Roman" w:hAnsi="Times New Roman"/>
                                <w:i/>
                              </w:rPr>
                              <w:t>Modulação cíclica dos ajustamentos orçamentais exigidos</w:t>
                            </w:r>
                          </w:p>
                          <w:p>
                            <w:pPr>
                              <w:spacing w:after="120" w:line="240" w:lineRule="auto"/>
                              <w:jc w:val="both"/>
                              <w:rPr>
                                <w:rFonts w:ascii="Times New Roman" w:hAnsi="Times New Roman" w:cs="Times New Roman"/>
                              </w:rPr>
                            </w:pPr>
                            <w:r>
                              <w:rPr>
                                <w:rFonts w:ascii="Times New Roman" w:hAnsi="Times New Roman"/>
                              </w:rPr>
                              <w:t xml:space="preserve">A dimensão do ajustamento orçamental exigido é dada pela chamada «matriz de requisitos». A matriz apresenta uma repartição pormenorizada do ajustamento anual exigido tendo em conta o ciclo económico, o nível da dívida pública e as necessidades de sustentabilidade de cada Estado-Membro, bem como a direção em que a economia está a evoluir. </w:t>
                            </w:r>
                          </w:p>
                          <w:p>
                            <w:pPr>
                              <w:spacing w:after="120" w:line="240" w:lineRule="auto"/>
                              <w:jc w:val="both"/>
                              <w:rPr>
                                <w:rFonts w:ascii="Times New Roman" w:hAnsi="Times New Roman" w:cs="Times New Roman"/>
                              </w:rPr>
                            </w:pPr>
                            <w:r>
                              <w:rPr>
                                <w:rFonts w:ascii="Times New Roman" w:hAnsi="Times New Roman"/>
                              </w:rPr>
                              <w:t xml:space="preserve">O ciclo económico é fundamentalmente refletido pelo hiato do produto, ou seja, pela diferença entre o produto efetivo e o produto potencial estimado. Quanto maior for o hiato do produto positivo (ou negativo), tanto maior (ou mais reduzido) será o esforço de ajustamento exigido. Uma situação orçamental globalmente desfavorável exigirá um ajustamento orçamental mais célere, nomeadamente se existirem riscos para a sustentabilidade orçamental ou se o rácio dívida/PIB se situar acima do valor de referência do Tratado, 60 % do PIB. </w:t>
                            </w:r>
                          </w:p>
                          <w:p>
                            <w:pPr>
                              <w:spacing w:after="120" w:line="240" w:lineRule="auto"/>
                              <w:jc w:val="both"/>
                              <w:rPr>
                                <w:rFonts w:ascii="Times New Roman" w:hAnsi="Times New Roman" w:cs="Times New Roman"/>
                                <w:i/>
                              </w:rPr>
                            </w:pPr>
                            <w:r>
                              <w:rPr>
                                <w:rFonts w:ascii="Times New Roman" w:hAnsi="Times New Roman"/>
                                <w:i/>
                              </w:rPr>
                              <w:t xml:space="preserve">Flexibilidade para promover as reformas estruturais e o investimento </w:t>
                            </w:r>
                          </w:p>
                          <w:p>
                            <w:pPr>
                              <w:spacing w:after="120" w:line="240" w:lineRule="auto"/>
                              <w:jc w:val="both"/>
                              <w:rPr>
                                <w:rFonts w:ascii="Times New Roman" w:hAnsi="Times New Roman" w:cs="Times New Roman"/>
                              </w:rPr>
                            </w:pPr>
                            <w:r>
                              <w:rPr>
                                <w:rFonts w:ascii="Times New Roman" w:hAnsi="Times New Roman"/>
                              </w:rPr>
                              <w:t xml:space="preserve">A vertente preventiva do pacto prevê a necessária flexibilidade, no quadro das regras e sem comprometer a responsabilidade orçamental. No que respeita às reformas estruturais e ao investimento, essa flexibilidade assume a forma de uma tolerância orçamental (em termos técnicos, de um desvio temporário relativamente ao objetivo a médio prazo ou à trajetória no sentido desse mesmo objetivo) correspondente ao respetivo impacto orçamental a curto prazo. </w:t>
                            </w:r>
                          </w:p>
                          <w:p>
                            <w:pPr>
                              <w:spacing w:after="120" w:line="240" w:lineRule="auto"/>
                              <w:jc w:val="both"/>
                              <w:rPr>
                                <w:rFonts w:ascii="Times New Roman" w:hAnsi="Times New Roman" w:cs="Times New Roman"/>
                              </w:rPr>
                            </w:pPr>
                            <w:r>
                              <w:rPr>
                                <w:rFonts w:ascii="Times New Roman" w:hAnsi="Times New Roman"/>
                              </w:rPr>
                              <w:t xml:space="preserve">Tanto as reformas estruturais como o investimento deverão ter efeitos orçamentais diretos positivos a longo prazo e aumentar o potencial de crescimento. As reformas estruturais devem ser significativas e plenamente aplicadas. O investimento terá de ser em grande medida cofinanciado pela União, mas só será tida em conta a parte financiada.  </w:t>
                            </w:r>
                          </w:p>
                          <w:p>
                            <w:pPr>
                              <w:spacing w:after="120" w:line="240" w:lineRule="auto"/>
                              <w:jc w:val="both"/>
                              <w:rPr>
                                <w:rFonts w:ascii="Times New Roman" w:hAnsi="Times New Roman" w:cs="Times New Roman"/>
                              </w:rPr>
                            </w:pPr>
                            <w:r>
                              <w:rPr>
                                <w:rFonts w:ascii="Times New Roman" w:hAnsi="Times New Roman"/>
                              </w:rPr>
                              <w:t>Tanto a cláusula das reformas estruturais como a cláusula de investimento serão objeto das salvaguardas necessárias para preservar a prudência orçamental. Só poderão, por exemplo, ser aplicadas uma única vez em cada período considerado em termos de ajustamento na direção de uma situação orçamental sólida. A utilização das cláusulas não deverá resultar na ultrapassagem do limite de 3 % do PIB para o défice, devendo mesmo ser assegurada uma margem de segurança em relação a esse limite. Só os Estados</w:t>
                            </w:r>
                            <w:r>
                              <w:rPr>
                                <w:rFonts w:ascii="Times New Roman" w:hAnsi="Times New Roman"/>
                              </w:rPr>
                              <w:noBreakHyphen/>
                              <w:t xml:space="preserve">Membros que atravessem um período de conjuntura económica desfavorável poderão solicitar uma autorização para aplicarem a cláusula de investimento. Além disso, o investimento público total não deverá diminuir. </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56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">
                <v:textbox>
                  <w:txbxContent>
                    <w:p>
                      <w:pPr>
                        <w:pStyle w:val="ListParagraph"/>
                        <w:spacing w:after="60" w:line="240" w:lineRule="auto"/>
                        <w:ind w:left="0" w:right="48"/>
                        <w:contextualSpacing w:val="0"/>
                        <w:jc w:val="both"/>
                        <w:rPr>
                          <w:rFonts w:ascii="Times New Roman" w:hAnsi="Times New Roman" w:cs="Times New Roman"/>
                          <w:b/>
                          <w:highlight w:val="yellow"/>
                        </w:rPr>
                      </w:pPr>
                      <w:r>
                        <w:rPr>
                          <w:rFonts w:ascii="Times New Roman" w:hAnsi="Times New Roman"/>
                          <w:b/>
                        </w:rPr>
                        <w:t>Caixa: principais elementos da comunicação de janeiro de 2015</w:t>
                      </w:r>
                    </w:p>
                    <w:p>
                      <w:pPr>
                        <w:spacing w:after="120" w:line="240" w:lineRule="auto"/>
                        <w:jc w:val="both"/>
                        <w:rPr>
                          <w:rFonts w:ascii="Times New Roman" w:hAnsi="Times New Roman" w:cs="Times New Roman"/>
                          <w:i/>
                        </w:rPr>
                      </w:pPr>
                      <w:r>
                        <w:rPr>
                          <w:rFonts w:ascii="Times New Roman" w:hAnsi="Times New Roman"/>
                        </w:rPr>
                        <w:t xml:space="preserve">A comunicação de 13 de </w:t>
                      </w:r>
                      <w:r>
                        <w:rPr>
                          <w:rFonts w:ascii="Times New Roman" w:hAnsi="Times New Roman"/>
                          <w:sz w:val="24"/>
                        </w:rPr>
                        <w:t>janeiro de 2015</w:t>
                      </w:r>
                      <w:r>
                        <w:rPr>
                          <w:rFonts w:ascii="Times New Roman" w:hAnsi="Times New Roman"/>
                        </w:rPr>
                        <w:t xml:space="preserve"> tem dois elementos principais, no sentido em que define orientações para a aplicação da flexibilidade no âmbito da vertente preventiva do Pacto de Estabilidade e Crescimento a fim de: i) ter em conta as flutuações cíclicas da economia; e ii) permitir alguma margem para a aplicação de reformas estruturais e para assegurar o investimento.</w:t>
                      </w:r>
                      <w:r>
                        <w:rPr>
                          <w:rFonts w:ascii="Times New Roman" w:hAnsi="Times New Roman"/>
                          <w:i/>
                        </w:rPr>
                        <w:t xml:space="preserve"> </w:t>
                      </w:r>
                    </w:p>
                    <w:p>
                      <w:pPr>
                        <w:spacing w:after="120" w:line="240" w:lineRule="auto"/>
                        <w:jc w:val="both"/>
                        <w:rPr>
                          <w:rFonts w:ascii="Times New Roman" w:hAnsi="Times New Roman" w:cs="Times New Roman"/>
                          <w:i/>
                        </w:rPr>
                      </w:pPr>
                      <w:r>
                        <w:rPr>
                          <w:rFonts w:ascii="Times New Roman" w:hAnsi="Times New Roman"/>
                          <w:i/>
                        </w:rPr>
                        <w:t>Modulação cíclica dos ajustamentos orçamentais exigidos</w:t>
                      </w:r>
                    </w:p>
                    <w:p>
                      <w:pPr>
                        <w:spacing w:after="120" w:line="240" w:lineRule="auto"/>
                        <w:jc w:val="both"/>
                        <w:rPr>
                          <w:rFonts w:ascii="Times New Roman" w:hAnsi="Times New Roman" w:cs="Times New Roman"/>
                        </w:rPr>
                      </w:pPr>
                      <w:r>
                        <w:rPr>
                          <w:rFonts w:ascii="Times New Roman" w:hAnsi="Times New Roman"/>
                        </w:rPr>
                        <w:t xml:space="preserve">A dimensão do ajustamento orçamental exigido é dada pela chamada «matriz de requisitos». A matriz apresenta uma repartição pormenorizada do ajustamento anual exigido tendo em conta o ciclo económico, o nível da dívida pública e as necessidades de sustentabilidade de cada Estado-Membro, bem como a direção em que a economia está a evoluir. </w:t>
                      </w:r>
                    </w:p>
                    <w:p>
                      <w:pPr>
                        <w:spacing w:after="120" w:line="240" w:lineRule="auto"/>
                        <w:jc w:val="both"/>
                        <w:rPr>
                          <w:rFonts w:ascii="Times New Roman" w:hAnsi="Times New Roman" w:cs="Times New Roman"/>
                        </w:rPr>
                      </w:pPr>
                      <w:r>
                        <w:rPr>
                          <w:rFonts w:ascii="Times New Roman" w:hAnsi="Times New Roman"/>
                        </w:rPr>
                        <w:t xml:space="preserve">O ciclo económico é fundamentalmente refletido pelo hiato do produto, ou seja, pela diferença entre o produto efetivo e o produto potencial estimado. Quanto maior for o hiato do produto positivo (ou negativo), tanto maior (ou mais reduzido) será o esforço de ajustamento exigido. Uma situação orçamental globalmente desfavorável exigirá um ajustamento orçamental mais célere, nomeadamente se existirem riscos para a sustentabilidade orçamental ou se o rácio dívida/PIB se situar acima do valor de referência do Tratado, 60 % do PIB. </w:t>
                      </w:r>
                    </w:p>
                    <w:p>
                      <w:pPr>
                        <w:spacing w:after="120" w:line="240" w:lineRule="auto"/>
                        <w:jc w:val="both"/>
                        <w:rPr>
                          <w:rFonts w:ascii="Times New Roman" w:hAnsi="Times New Roman" w:cs="Times New Roman"/>
                          <w:i/>
                        </w:rPr>
                      </w:pPr>
                      <w:r>
                        <w:rPr>
                          <w:rFonts w:ascii="Times New Roman" w:hAnsi="Times New Roman"/>
                          <w:i/>
                        </w:rPr>
                        <w:t xml:space="preserve">Flexibilidade para promover as reformas estruturais e o investimento </w:t>
                      </w:r>
                    </w:p>
                    <w:p>
                      <w:pPr>
                        <w:spacing w:after="120" w:line="240" w:lineRule="auto"/>
                        <w:jc w:val="both"/>
                        <w:rPr>
                          <w:rFonts w:ascii="Times New Roman" w:hAnsi="Times New Roman" w:cs="Times New Roman"/>
                        </w:rPr>
                      </w:pPr>
                      <w:r>
                        <w:rPr>
                          <w:rFonts w:ascii="Times New Roman" w:hAnsi="Times New Roman"/>
                        </w:rPr>
                        <w:t xml:space="preserve">A vertente preventiva do pacto prevê a necessária flexibilidade, no quadro das regras e sem comprometer a responsabilidade orçamental. No que respeita às reformas estruturais e ao investimento, essa flexibilidade assume a forma de uma tolerância orçamental (em termos técnicos, de um desvio temporário relativamente ao objetivo a médio prazo ou à trajetória no sentido desse mesmo objetivo) correspondente ao respetivo impacto orçamental a curto prazo. </w:t>
                      </w:r>
                    </w:p>
                    <w:p>
                      <w:pPr>
                        <w:spacing w:after="120" w:line="240" w:lineRule="auto"/>
                        <w:jc w:val="both"/>
                        <w:rPr>
                          <w:rFonts w:ascii="Times New Roman" w:hAnsi="Times New Roman" w:cs="Times New Roman"/>
                        </w:rPr>
                      </w:pPr>
                      <w:r>
                        <w:rPr>
                          <w:rFonts w:ascii="Times New Roman" w:hAnsi="Times New Roman"/>
                        </w:rPr>
                        <w:t xml:space="preserve">Tanto as reformas estruturais como o investimento deverão ter efeitos orçamentais diretos positivos a longo prazo e aumentar o potencial de crescimento. As reformas estruturais devem ser significativas e plenamente aplicadas. O investimento terá de ser em grande medida cofinanciado pela União, mas só será tida em conta a parte financiada.  </w:t>
                      </w:r>
                    </w:p>
                    <w:p>
                      <w:pPr>
                        <w:spacing w:after="120" w:line="240" w:lineRule="auto"/>
                        <w:jc w:val="both"/>
                        <w:rPr>
                          <w:rFonts w:ascii="Times New Roman" w:hAnsi="Times New Roman" w:cs="Times New Roman"/>
                        </w:rPr>
                      </w:pPr>
                      <w:r>
                        <w:rPr>
                          <w:rFonts w:ascii="Times New Roman" w:hAnsi="Times New Roman"/>
                        </w:rPr>
                        <w:t>Tanto a cláusula das reformas estruturais como a cláusula de investimento serão objeto das salvaguardas necessárias para preservar a prudência orçamental. Só poderão, por exemplo, ser aplicadas uma única vez em cada período considerado em termos de ajustamento na direção de uma situação orçamental sólida. A utilização das cláusulas não deverá resultar na ultrapassagem do limite de 3 % do PIB para o défice, devendo mesmo ser assegurada uma margem de segurança em relação a esse limite. Só os Estados</w:t>
                      </w:r>
                      <w:r>
                        <w:rPr>
                          <w:rFonts w:ascii="Times New Roman" w:hAnsi="Times New Roman"/>
                        </w:rPr>
                        <w:noBreakHyphen/>
                        <w:t xml:space="preserve">Membros que atravessem um período de conjuntura económica desfavorável poderão solicitar uma autorização para aplicarem a cláusula de investimento. Além disso, o investimento público total não deverá diminuir. </w:t>
                      </w:r>
                    </w:p>
                  </w:txbxContent>
                </v:textbox>
                <w10:anchorlock/>
              </v:shape>
            </w:pict>
          </mc:Fallback>
        </mc:AlternateContent>
      </w:r>
    </w:p>
    <w:p>
      <w:pPr>
        <w:pStyle w:val="Heading1"/>
        <w:spacing w:before="480" w:after="120" w:line="240" w:lineRule="auto"/>
        <w:jc w:val="both"/>
        <w:rPr>
          <w:rFonts w:ascii="Times New Roman" w:hAnsi="Times New Roman"/>
          <w:noProof/>
          <w:sz w:val="24"/>
          <w:szCs w:val="24"/>
        </w:rPr>
      </w:pPr>
      <w:r>
        <w:rPr>
          <w:rFonts w:ascii="Times New Roman" w:hAnsi="Times New Roman"/>
          <w:noProof/>
          <w:sz w:val="24"/>
        </w:rPr>
        <w:t>2. Principais conclusões da revisão</w:t>
      </w:r>
    </w:p>
    <w:p>
      <w:pPr>
        <w:spacing w:after="120" w:line="240" w:lineRule="auto"/>
        <w:jc w:val="both"/>
        <w:rPr>
          <w:rFonts w:ascii="Times New Roman" w:hAnsi="Times New Roman"/>
          <w:bCs/>
          <w:noProof/>
          <w:sz w:val="24"/>
          <w:szCs w:val="24"/>
        </w:rPr>
      </w:pPr>
      <w:r>
        <w:rPr>
          <w:rFonts w:ascii="Times New Roman" w:hAnsi="Times New Roman"/>
          <w:noProof/>
          <w:sz w:val="24"/>
        </w:rPr>
        <w:t>Em consonância com o mandato conferido à Comissão, a revisão procurou dar resposta a duas grandes questões: a primeira era saber se a matriz que define o ajustamento orçamental anual teria sido eficaz na modulação do ajustamento orçamental exigido ao longo do ciclo económico, a segunda, saber se a introdução de uma maior flexibilidade teria efetivamente permitido aumentar as reformas estruturais e o investimento. As principais conclusões da revisão (ver em anexo a análise completa) podem resumir-se como a seguir se explica.</w:t>
      </w:r>
    </w:p>
    <w:p>
      <w:pPr>
        <w:spacing w:after="120" w:line="240" w:lineRule="auto"/>
        <w:jc w:val="both"/>
        <w:rPr>
          <w:rFonts w:ascii="Times New Roman" w:hAnsi="Times New Roman"/>
          <w:noProof/>
          <w:sz w:val="24"/>
          <w:szCs w:val="24"/>
        </w:rPr>
      </w:pPr>
      <w:r>
        <w:rPr>
          <w:rFonts w:ascii="Times New Roman" w:hAnsi="Times New Roman"/>
          <w:noProof/>
          <w:sz w:val="24"/>
        </w:rPr>
        <w:t>A modulação cíclica dos ajustamentos orçamentais exigidos foi eficaz. A matriz serviu de base para definir e quantificar os requisitos de ajustamento orçamental incluídos nas recomendações específicas por país propostas pela Comissão no contexto do Semestre Europeu desde 2015. A sua conceção promove uma verdadeira modulação do esforço orçamental exigido em função do ciclo económico e do nível da dívida pública nos Estados</w:t>
      </w:r>
      <w:r>
        <w:rPr>
          <w:rFonts w:ascii="Times New Roman" w:hAnsi="Times New Roman"/>
          <w:noProof/>
          <w:sz w:val="24"/>
        </w:rPr>
        <w:noBreakHyphen/>
        <w:t xml:space="preserve">Membros, não reduzindo o ritmo normal do ajustamento orçamental necessário. Por </w:t>
      </w:r>
      <w:r>
        <w:rPr>
          <w:rFonts w:ascii="Times New Roman" w:hAnsi="Times New Roman"/>
          <w:noProof/>
          <w:sz w:val="24"/>
        </w:rPr>
        <w:lastRenderedPageBreak/>
        <w:t xml:space="preserve">conseguinte, apoia a prossecução de uma situação orçamental sólida a médio prazo e promove a redução da dívida a um ritmo satisfatório. </w:t>
      </w:r>
    </w:p>
    <w:p>
      <w:pPr>
        <w:spacing w:after="120" w:line="240" w:lineRule="auto"/>
        <w:jc w:val="both"/>
        <w:rPr>
          <w:rFonts w:ascii="Times New Roman" w:hAnsi="Times New Roman"/>
          <w:noProof/>
          <w:sz w:val="24"/>
          <w:szCs w:val="24"/>
        </w:rPr>
      </w:pPr>
      <w:r>
        <w:rPr>
          <w:rFonts w:ascii="Times New Roman" w:hAnsi="Times New Roman"/>
          <w:noProof/>
          <w:sz w:val="24"/>
        </w:rPr>
        <w:t>Desde 2015, quatro Estados</w:t>
      </w:r>
      <w:r>
        <w:rPr>
          <w:rFonts w:ascii="Times New Roman" w:hAnsi="Times New Roman"/>
          <w:noProof/>
          <w:sz w:val="24"/>
        </w:rPr>
        <w:noBreakHyphen/>
        <w:t>Membros solicitaram uma autorização para utilizarem as cláusulas ligadas às reformas estruturais e/ou ao investimento: Itália, Letónia, Lituânia e Finlândia, no caso das reformas estruturais; Itália e Finlândia, no caso do investimento. Quase metade dos Estados</w:t>
      </w:r>
      <w:r>
        <w:rPr>
          <w:rFonts w:ascii="Times New Roman" w:hAnsi="Times New Roman"/>
          <w:noProof/>
          <w:sz w:val="24"/>
        </w:rPr>
        <w:noBreakHyphen/>
        <w:t>Membros seriam elegíveis para recorrer à cláusula das reformas estruturais, mas na maior parte dos casos optaram por não o fazer. A condição segundo a qual um Estado-Membro deve estar a atravessar uma conjuntura económica desfavorável para poder beneficiar da cláusula de investimento limitou a sua aplicação de forma significativa. A necessidade de respeitar a margem de segurança face ao limite do défice de 3 % durante três anos provou também ser limitativa para alguns Estados</w:t>
      </w:r>
      <w:r>
        <w:rPr>
          <w:rFonts w:ascii="Times New Roman" w:hAnsi="Times New Roman"/>
          <w:noProof/>
          <w:sz w:val="24"/>
        </w:rPr>
        <w:noBreakHyphen/>
        <w:t xml:space="preserve">Membros. </w:t>
      </w:r>
    </w:p>
    <w:p>
      <w:pPr>
        <w:spacing w:after="120" w:line="240" w:lineRule="auto"/>
        <w:jc w:val="both"/>
        <w:rPr>
          <w:rFonts w:ascii="Times New Roman" w:hAnsi="Times New Roman" w:cs="Times New Roman"/>
          <w:b/>
          <w:noProof/>
          <w:sz w:val="24"/>
          <w:szCs w:val="24"/>
        </w:rPr>
      </w:pPr>
      <w:r>
        <w:rPr>
          <w:rFonts w:ascii="Times New Roman" w:hAnsi="Times New Roman"/>
          <w:noProof/>
          <w:sz w:val="24"/>
        </w:rPr>
        <w:t xml:space="preserve">O impacto positivo das reformas e do investimento em termos de sustentabilidade orçamental manifesta-se durante um período mais longo do que o abrangido pela revisão. Importa também notar aqui que o impacto ao nível dos volumes de investimento público é difícil de avaliar com precisão. </w:t>
      </w:r>
    </w:p>
    <w:p>
      <w:pPr>
        <w:pStyle w:val="Heading1"/>
        <w:spacing w:before="480" w:after="120" w:line="240" w:lineRule="auto"/>
        <w:jc w:val="both"/>
        <w:rPr>
          <w:rFonts w:ascii="Times New Roman" w:hAnsi="Times New Roman"/>
          <w:noProof/>
          <w:sz w:val="24"/>
          <w:szCs w:val="24"/>
        </w:rPr>
      </w:pPr>
      <w:r>
        <w:rPr>
          <w:rFonts w:ascii="Times New Roman" w:hAnsi="Times New Roman"/>
          <w:noProof/>
          <w:sz w:val="24"/>
        </w:rPr>
        <w:t>3. Conclusão: a nova abordagem funcionou e permitiu obter resultados</w:t>
      </w:r>
    </w:p>
    <w:p>
      <w:pPr>
        <w:spacing w:after="120" w:line="240" w:lineRule="auto"/>
        <w:jc w:val="both"/>
        <w:rPr>
          <w:rFonts w:ascii="Times New Roman" w:hAnsi="Times New Roman" w:cs="Times New Roman"/>
          <w:noProof/>
          <w:sz w:val="24"/>
          <w:szCs w:val="24"/>
        </w:rPr>
      </w:pPr>
      <w:r>
        <w:rPr>
          <w:rFonts w:ascii="Times New Roman" w:hAnsi="Times New Roman"/>
          <w:noProof/>
          <w:sz w:val="24"/>
        </w:rPr>
        <w:t>De modo geral, a revisão mostrou que os principais objetivos da comunicação da Comissão e da posição comummente acordada sobre a flexibilidade foram, em grande medida, cumpridos. Esses mesmos objetivos proporcionam um quadro previsível e transparente, que permitiu à Comissão aplicar as regras em vigor do Pacto de Estabilidade e Crescimento de forma equilibrada e em função da situação de cada país. O primeiro relatório anual</w:t>
      </w:r>
      <w:r>
        <w:rPr>
          <w:rStyle w:val="FootnoteReference"/>
          <w:rFonts w:ascii="Times New Roman" w:hAnsi="Times New Roman"/>
          <w:noProof/>
          <w:sz w:val="24"/>
        </w:rPr>
        <w:footnoteReference w:id="3"/>
      </w:r>
      <w:r>
        <w:rPr>
          <w:rFonts w:ascii="Times New Roman" w:hAnsi="Times New Roman"/>
          <w:noProof/>
          <w:sz w:val="24"/>
        </w:rPr>
        <w:t xml:space="preserve"> publicado pelo Conselho Orçamental Europeu também referiu a aplicação equilibrada do pacto.</w:t>
      </w:r>
    </w:p>
    <w:p>
      <w:pPr>
        <w:spacing w:after="120" w:line="240" w:lineRule="auto"/>
        <w:jc w:val="both"/>
        <w:rPr>
          <w:rFonts w:ascii="Times New Roman" w:hAnsi="Times New Roman" w:cs="Times New Roman"/>
          <w:noProof/>
          <w:sz w:val="24"/>
          <w:szCs w:val="24"/>
        </w:rPr>
      </w:pPr>
      <w:r>
        <w:rPr>
          <w:rFonts w:ascii="Times New Roman" w:hAnsi="Times New Roman"/>
          <w:noProof/>
          <w:sz w:val="24"/>
        </w:rPr>
        <w:t>A flexibilidade permitida no âmbito do pacto permitiu alcançar um bom equilíbrio entre o objetivo de garantir uma política orçamental prudente e a estabilização da economia. As previsões da primavera de 2018 da Comissão Europeia mostram que a dívida pública e os défices diminuíram, enquanto a atividade económica tem vindo a aumentar desde 2016 (figuras 1 e 2).</w:t>
      </w:r>
    </w:p>
    <w:p>
      <w:pPr>
        <w:spacing w:after="120" w:line="240" w:lineRule="auto"/>
        <w:jc w:val="both"/>
        <w:rPr>
          <w:rFonts w:ascii="Times New Roman" w:hAnsi="Times New Roman" w:cs="Times New Roman"/>
          <w:noProof/>
          <w:sz w:val="24"/>
          <w:szCs w:val="24"/>
        </w:rPr>
      </w:pPr>
      <w:r>
        <w:rPr>
          <w:rFonts w:ascii="Times New Roman" w:hAnsi="Times New Roman"/>
          <w:noProof/>
          <w:sz w:val="24"/>
        </w:rPr>
        <w:t>Para o futuro, a modulação cíclica incentiva os Estados</w:t>
      </w:r>
      <w:r>
        <w:rPr>
          <w:rFonts w:ascii="Times New Roman" w:hAnsi="Times New Roman"/>
          <w:noProof/>
          <w:sz w:val="24"/>
        </w:rPr>
        <w:noBreakHyphen/>
        <w:t>Membros a aumentarem o seu esforço orçamental em períodos de conjuntura favorável por forma a aumentarem a resiliência das suas economias. Atingido o quinto ano de expansão económica na Europa, é chegado o momento ideal para criar reservas orçamentais, com o objetivo de permitir que os estabilizadores automáticos desempenhem plenamente o seu papel na próxima recessão e limitem os impactos em termos sociais e de emprego. Trata-se de uma medida urgente, uma vez que a melhoria da situação orçamental de muitos Estados</w:t>
      </w:r>
      <w:r>
        <w:rPr>
          <w:rFonts w:ascii="Times New Roman" w:hAnsi="Times New Roman"/>
          <w:noProof/>
          <w:sz w:val="24"/>
        </w:rPr>
        <w:noBreakHyphen/>
        <w:t>Membros se deveu em grande medida, nos últimos tempos, à conjuntura económica positiva e que os níveis da dívida pública continuam próximos dos respetivos picos históricos verificados nos diferentes Estados</w:t>
      </w:r>
      <w:r>
        <w:rPr>
          <w:rFonts w:ascii="Times New Roman" w:hAnsi="Times New Roman"/>
          <w:noProof/>
          <w:sz w:val="24"/>
        </w:rPr>
        <w:noBreakHyphen/>
        <w:t xml:space="preserve">Membros. </w:t>
      </w:r>
    </w:p>
    <w:p>
      <w:pPr>
        <w:spacing w:after="120" w:line="240" w:lineRule="auto"/>
        <w:jc w:val="both"/>
        <w:rPr>
          <w:rFonts w:ascii="Times New Roman" w:hAnsi="Times New Roman" w:cs="Times New Roman"/>
          <w:noProof/>
          <w:sz w:val="24"/>
          <w:szCs w:val="24"/>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38"/>
        <w:gridCol w:w="4604"/>
      </w:tblGrid>
      <w:tr>
        <w:tc>
          <w:tcPr>
            <w:tcW w:w="4673" w:type="dxa"/>
          </w:tcPr>
          <w:p>
            <w:pPr>
              <w:keepNext/>
              <w:jc w:val="both"/>
              <w:rPr>
                <w:rFonts w:ascii="Times New Roman" w:hAnsi="Times New Roman"/>
                <w:noProof/>
              </w:rPr>
            </w:pPr>
            <w:r>
              <w:rPr>
                <w:rFonts w:ascii="Times New Roman" w:hAnsi="Times New Roman"/>
                <w:b/>
                <w:noProof/>
              </w:rPr>
              <w:lastRenderedPageBreak/>
              <w:t xml:space="preserve">Figura 1: </w:t>
            </w:r>
            <w:r>
              <w:rPr>
                <w:rFonts w:ascii="Times New Roman" w:hAnsi="Times New Roman"/>
                <w:noProof/>
              </w:rPr>
              <w:t>Evolução das finanças públicas e crescimento real na UE-28</w:t>
            </w:r>
          </w:p>
          <w:p>
            <w:pPr>
              <w:rPr>
                <w:rFonts w:ascii="Times New Roman" w:hAnsi="Times New Roman"/>
                <w:noProof/>
                <w:sz w:val="24"/>
                <w:szCs w:val="24"/>
              </w:rPr>
            </w:pPr>
            <w:r>
              <w:rPr>
                <w:rFonts w:ascii="Times New Roman" w:hAnsi="Times New Roman"/>
                <w:noProof/>
                <w:sz w:val="24"/>
                <w:szCs w:val="24"/>
                <w:lang w:val="en-US" w:eastAsia="en-US" w:bidi="ar-SA"/>
              </w:rPr>
              <w:drawing>
                <wp:inline distT="0" distB="0" distL="0" distR="0">
                  <wp:extent cx="2918129" cy="136762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9933" cy="1368469"/>
                          </a:xfrm>
                          <a:prstGeom prst="rect">
                            <a:avLst/>
                          </a:prstGeom>
                          <a:noFill/>
                          <a:ln>
                            <a:noFill/>
                          </a:ln>
                        </pic:spPr>
                      </pic:pic>
                    </a:graphicData>
                  </a:graphic>
                </wp:inline>
              </w:drawing>
            </w:r>
          </w:p>
          <w:p>
            <w:pPr>
              <w:rPr>
                <w:noProof/>
              </w:rPr>
            </w:pPr>
            <w:r>
              <w:rPr>
                <w:rFonts w:ascii="Times New Roman" w:hAnsi="Times New Roman"/>
                <w:i/>
                <w:noProof/>
                <w:sz w:val="20"/>
              </w:rPr>
              <w:t>Fonte: Previsões da primavera de 2018 da Comissão Europeia</w:t>
            </w:r>
          </w:p>
          <w:p>
            <w:pPr>
              <w:spacing w:after="120"/>
              <w:jc w:val="both"/>
              <w:rPr>
                <w:rFonts w:ascii="Times New Roman" w:hAnsi="Times New Roman" w:cs="Times New Roman"/>
                <w:noProof/>
                <w:sz w:val="24"/>
                <w:szCs w:val="24"/>
              </w:rPr>
            </w:pPr>
          </w:p>
        </w:tc>
        <w:tc>
          <w:tcPr>
            <w:tcW w:w="4569" w:type="dxa"/>
          </w:tcPr>
          <w:p>
            <w:pPr>
              <w:jc w:val="both"/>
              <w:rPr>
                <w:rFonts w:ascii="Times New Roman" w:hAnsi="Times New Roman"/>
                <w:noProof/>
              </w:rPr>
            </w:pPr>
            <w:r>
              <w:rPr>
                <w:rFonts w:ascii="Times New Roman" w:hAnsi="Times New Roman"/>
                <w:b/>
                <w:noProof/>
              </w:rPr>
              <w:t xml:space="preserve">Figura 2: </w:t>
            </w:r>
            <w:r>
              <w:rPr>
                <w:rFonts w:ascii="Times New Roman" w:hAnsi="Times New Roman"/>
                <w:noProof/>
              </w:rPr>
              <w:t>Evolução das finanças públicas e crescimento real na área do euro</w:t>
            </w:r>
          </w:p>
          <w:p>
            <w:pPr>
              <w:rPr>
                <w:rFonts w:ascii="Times New Roman" w:hAnsi="Times New Roman"/>
                <w:noProof/>
                <w:sz w:val="24"/>
                <w:szCs w:val="24"/>
              </w:rPr>
            </w:pPr>
            <w:r>
              <w:rPr>
                <w:rFonts w:ascii="Times New Roman" w:hAnsi="Times New Roman"/>
                <w:noProof/>
                <w:sz w:val="24"/>
                <w:szCs w:val="24"/>
                <w:lang w:val="en-US" w:eastAsia="en-US" w:bidi="ar-SA"/>
              </w:rPr>
              <w:drawing>
                <wp:inline distT="0" distB="0" distL="0" distR="0">
                  <wp:extent cx="2894274" cy="1367624"/>
                  <wp:effectExtent l="0" t="0" r="190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6408" cy="1373358"/>
                          </a:xfrm>
                          <a:prstGeom prst="rect">
                            <a:avLst/>
                          </a:prstGeom>
                          <a:noFill/>
                          <a:ln>
                            <a:noFill/>
                          </a:ln>
                        </pic:spPr>
                      </pic:pic>
                    </a:graphicData>
                  </a:graphic>
                </wp:inline>
              </w:drawing>
            </w:r>
          </w:p>
          <w:p>
            <w:pPr>
              <w:rPr>
                <w:noProof/>
              </w:rPr>
            </w:pPr>
            <w:r>
              <w:rPr>
                <w:rFonts w:ascii="Times New Roman" w:hAnsi="Times New Roman"/>
                <w:i/>
                <w:noProof/>
                <w:sz w:val="20"/>
              </w:rPr>
              <w:t>Fonte: Previsões da primavera de 2018 da Comissão Europeia</w:t>
            </w:r>
          </w:p>
          <w:p>
            <w:pPr>
              <w:spacing w:after="120"/>
              <w:jc w:val="both"/>
              <w:rPr>
                <w:rFonts w:ascii="Times New Roman" w:hAnsi="Times New Roman" w:cs="Times New Roman"/>
                <w:noProof/>
                <w:sz w:val="24"/>
                <w:szCs w:val="24"/>
              </w:rPr>
            </w:pPr>
          </w:p>
        </w:tc>
      </w:tr>
    </w:tbl>
    <w:p>
      <w:pPr>
        <w:spacing w:after="0" w:line="240" w:lineRule="auto"/>
        <w:jc w:val="both"/>
        <w:rPr>
          <w:noProof/>
        </w:rPr>
      </w:pPr>
    </w:p>
    <w:sectPr>
      <w:headerReference w:type="even" r:id="rId18"/>
      <w:headerReference w:type="default" r:id="rId19"/>
      <w:footerReference w:type="even" r:id="rId20"/>
      <w:footerReference w:type="default" r:id="rId21"/>
      <w:headerReference w:type="first" r:id="rId22"/>
      <w:footerReference w:type="first" r:id="rId23"/>
      <w:pgSz w:w="11906" w:h="16838"/>
      <w:pgMar w:top="1320" w:right="1440" w:bottom="1080" w:left="1440" w:header="708" w:footer="70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A177FC" w15:done="0"/>
  <w15:commentEx w15:paraId="6C84CB45" w15:done="0"/>
  <w15:commentEx w15:paraId="3D7716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178024"/>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rPr>
      </w:pPr>
      <w:r>
        <w:rPr>
          <w:rStyle w:val="FootnoteReference"/>
        </w:rPr>
        <w:footnoteRef/>
      </w:r>
      <w:r>
        <w:t xml:space="preserve"> </w:t>
      </w:r>
      <w:r>
        <w:rPr>
          <w:rFonts w:ascii="Times New Roman" w:hAnsi="Times New Roman"/>
        </w:rPr>
        <w:t>COM(2015)12 final</w:t>
      </w:r>
    </w:p>
  </w:footnote>
  <w:footnote w:id="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Artigos 5.º, n.º 1, e 9.º, n.º 1, do Regulamento (UE) n.º 1466/97.</w:t>
      </w:r>
    </w:p>
  </w:footnote>
  <w:footnote w:id="3">
    <w:p>
      <w:pPr>
        <w:pStyle w:val="FootnoteText"/>
        <w:rPr>
          <w:rFonts w:ascii="Times New Roman" w:hAnsi="Times New Roman" w:cs="Times New Roman"/>
        </w:rPr>
      </w:pPr>
      <w:r>
        <w:rPr>
          <w:rStyle w:val="FootnoteReference"/>
          <w:rFonts w:ascii="Times New Roman" w:hAnsi="Times New Roman"/>
          <w:sz w:val="18"/>
        </w:rPr>
        <w:footnoteRef/>
      </w:r>
      <w:r>
        <w:rPr>
          <w:rFonts w:ascii="Times New Roman" w:hAnsi="Times New Roman"/>
          <w:sz w:val="18"/>
        </w:rPr>
        <w:t xml:space="preserve"> Conselho Orçamental Europeu, Relatório Anual de 2017, 15 de novembro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87ED9"/>
    <w:multiLevelType w:val="hybridMultilevel"/>
    <w:tmpl w:val="40543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A4C3CA0"/>
    <w:multiLevelType w:val="hybridMultilevel"/>
    <w:tmpl w:val="05D8B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E13ECF"/>
    <w:multiLevelType w:val="hybridMultilevel"/>
    <w:tmpl w:val="7F042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B561725"/>
    <w:multiLevelType w:val="hybridMultilevel"/>
    <w:tmpl w:val="FCC6C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1"/>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LYNN Leo (SJ)">
    <w15:presenceInfo w15:providerId="None" w15:userId="FLYNN Leo (S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E793BD6B-B2F7-4529-9F65-6576F522CA3C"/>
    <w:docVar w:name="LW_COVERPAGE_TYPE" w:val="1"/>
    <w:docVar w:name="LW_CROSSREFERENCE" w:val="{SWD(2018) 270 final}"/>
    <w:docVar w:name="LW_DocType" w:val="NORMAL"/>
    <w:docVar w:name="LW_EMISSION" w:val="23.5.2018"/>
    <w:docVar w:name="LW_EMISSION_ISODATE" w:val="2018-05-23"/>
    <w:docVar w:name="LW_EMISSION_LOCATION" w:val="BRX"/>
    <w:docVar w:name="LW_EMISSION_PREFIX" w:val="Bruxelas, "/>
    <w:docVar w:name="LW_EMISSION_SUFFIX" w:val="&lt;EMPTY&gt;"/>
    <w:docVar w:name="LW_ID_DOCTYPE_NONLW" w:val="CP-035"/>
    <w:docVar w:name="LW_LANGUE" w:val="PT"/>
    <w:docVar w:name="LW_LEVEL_OF_SENSITIVITY" w:val="Standard treatment"/>
    <w:docVar w:name="LW_NOM.INST" w:val="COMISSÃO EUROPEIA"/>
    <w:docVar w:name="LW_NOM.INST_JOINTDOC" w:val="&lt;EMPTY&gt;"/>
    <w:docVar w:name="LW_PART_NBR" w:val="1"/>
    <w:docVar w:name="LW_PART_NBR_TOTAL" w:val="1"/>
    <w:docVar w:name="LW_REF.II.NEW.CP" w:val="&lt;UNUSED&gt;"/>
    <w:docVar w:name="LW_REF.II.NEW.CP_NUMBER" w:val="&lt;UNUSED&gt;"/>
    <w:docVar w:name="LW_REF.II.NEW.CP_YEAR" w:val="2018"/>
    <w:docVar w:name="LW_REF.INST.NEW" w:val="COM"/>
    <w:docVar w:name="LW_REF.INST.NEW_ADOPTED" w:val="final"/>
    <w:docVar w:name="LW_REF.INST.NEW_TEXT" w:val="(2018) 33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sobre a revisão da flexibilidade no Pacto de Estabilidade e Crescimento"/>
    <w:docVar w:name="LW_TYPE.DOC.CP" w:val="COMUNICAÇÃO DA COMISSÃO AO PARLAMENTO EUROPEU, AO CONSELHO, AO BANCO CENTRAL EUROPEU, AO COMITÉ ECONÓMICO E SOCIAL EUROPEU, AO COMITÉ DAS REGIÕES E AO BANCO EUROPEU DE INVESTIMENTO"/>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uiPriority w:val="9"/>
    <w:qFormat/>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BC Bullet,List Paragraph11,F5 List Paragraph,Bullet Points,Dot pt,List Paragraph1,Colorful List - Accent 11,No Spacing1,List Paragraph Char Char Char,Indicator Text,Numbered Para 1,List Paragraph2,MAIN CONTENT,List Paragraph12,3,Bullet"/>
    <w:basedOn w:val="Normal"/>
    <w:link w:val="ListParagraphChar"/>
    <w:uiPriority w:val="34"/>
    <w:qFormat/>
    <w:pPr>
      <w:ind w:left="720"/>
      <w:contextualSpacing/>
    </w:pPr>
  </w:style>
  <w:style w:type="paragraph" w:styleId="FootnoteText">
    <w:name w:val="footnote text"/>
    <w:aliases w:val="Footnote Text Char3,Footnote Text Char1 Char1,Footnote Text Char2 Char Char,Footnote Text Char1 Char1 Char Char,Footnote Text Char2 Char Char Char Char,Footnote Text Char1 Char1 Char Char Char Char,Footnote Text Char1,Footnote Text Char2,f"/>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ootnote Text Char3 Char,Footnote Text Char1 Char1 Char,Footnote Text Char2 Char Char Char,Footnote Text Char1 Char1 Char Char Char,Footnote Text Char2 Char Char Char Char Char,Footnote Text Char1 Char1 Char Char Char Char Char,f Char"/>
    <w:basedOn w:val="DefaultParagraphFont"/>
    <w:link w:val="FootnoteText"/>
    <w:uiPriority w:val="99"/>
    <w:rPr>
      <w:sz w:val="20"/>
      <w:szCs w:val="20"/>
    </w:rPr>
  </w:style>
  <w:style w:type="character" w:styleId="FootnoteReference">
    <w:name w:val="footnote reference"/>
    <w:aliases w:val="Footnote Reference Number,Footnote Reference_LVL6,C26 Footnote Number,Footnote Reference_LVL61,Footnote Reference_LVL62,Footnote Reference_LVL63,Footnote Reference_LVL64,Footnote Reference_LVL65,Footnote symbol,Footnote Reference1,Cha"/>
    <w:basedOn w:val="DefaultParagraphFont"/>
    <w:link w:val="FootnotesymbolCarZchn"/>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jc w:val="both"/>
    </w:pPr>
    <w:rPr>
      <w:vertAlign w:val="superscript"/>
    </w:rPr>
  </w:style>
  <w:style w:type="paragraph" w:customStyle="1" w:styleId="BoxText">
    <w:name w:val="Box Text"/>
    <w:basedOn w:val="Normal"/>
    <w:link w:val="BoxTextChar"/>
    <w:qFormat/>
    <w:pPr>
      <w:spacing w:after="220" w:line="220" w:lineRule="atLeast"/>
      <w:jc w:val="both"/>
    </w:pPr>
    <w:rPr>
      <w:rFonts w:ascii="Times New Roman" w:eastAsia="Calibri" w:hAnsi="Times New Roman" w:cs="Times New Roman"/>
      <w:color w:val="000000"/>
      <w:sz w:val="18"/>
    </w:rPr>
  </w:style>
  <w:style w:type="character" w:customStyle="1" w:styleId="BoxTextChar">
    <w:name w:val="Box Text Char"/>
    <w:link w:val="BoxText"/>
    <w:rPr>
      <w:rFonts w:ascii="Times New Roman" w:eastAsia="Calibri" w:hAnsi="Times New Roman" w:cs="Times New Roman"/>
      <w:color w:val="000000"/>
      <w:sz w:val="18"/>
    </w:rPr>
  </w:style>
  <w:style w:type="character" w:customStyle="1" w:styleId="at3">
    <w:name w:val="a__t3"/>
  </w:style>
  <w:style w:type="paragraph" w:customStyle="1" w:styleId="s9">
    <w:name w:val="s9"/>
    <w:basedOn w:val="Normal"/>
    <w:pPr>
      <w:spacing w:before="100" w:beforeAutospacing="1" w:after="100" w:afterAutospacing="1" w:line="240" w:lineRule="auto"/>
    </w:pPr>
    <w:rPr>
      <w:rFonts w:ascii="Times New Roman" w:eastAsia="SimSun" w:hAnsi="Times New Roman" w:cs="Times New Roman"/>
      <w:sz w:val="24"/>
      <w:szCs w:val="24"/>
    </w:rPr>
  </w:style>
  <w:style w:type="character" w:customStyle="1" w:styleId="Heading1Char">
    <w:name w:val="Heading 1 Char"/>
    <w:basedOn w:val="DefaultParagraphFont"/>
    <w:link w:val="Heading1"/>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ListParagraphChar">
    <w:name w:val="List Paragraph Char"/>
    <w:aliases w:val="OBC Bullet Char,List Paragraph11 Char,F5 List Paragraph Char,Bullet Points Char,Dot pt Char,List Paragraph1 Char,Colorful List - Accent 11 Char,No Spacing1 Char,List Paragraph Char Char Char Char,Indicator Text Char,MAIN CONTENT Char"/>
    <w:basedOn w:val="DefaultParagraphFont"/>
    <w:link w:val="ListParagraph"/>
    <w:uiPriority w:val="34"/>
    <w:locked/>
  </w:style>
  <w:style w:type="paragraph" w:customStyle="1" w:styleId="NormalLeft">
    <w:name w:val="Normal Left"/>
    <w:basedOn w:val="Normal"/>
    <w:pPr>
      <w:spacing w:after="240" w:line="240" w:lineRule="atLeast"/>
    </w:pPr>
    <w:rPr>
      <w:rFonts w:ascii="Times New Roman" w:eastAsia="Times New Roman" w:hAnsi="Times New Roman" w:cs="Times New Roman"/>
      <w:color w:val="000000"/>
      <w:sz w:val="20"/>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keepNext/>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keepNext/>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keepNext/>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keepNext/>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Typedudocument">
    <w:name w:val="Type du document"/>
    <w:basedOn w:val="Normal"/>
    <w:next w:val="Normal"/>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uiPriority w:val="9"/>
    <w:qFormat/>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BC Bullet,List Paragraph11,F5 List Paragraph,Bullet Points,Dot pt,List Paragraph1,Colorful List - Accent 11,No Spacing1,List Paragraph Char Char Char,Indicator Text,Numbered Para 1,List Paragraph2,MAIN CONTENT,List Paragraph12,3,Bullet"/>
    <w:basedOn w:val="Normal"/>
    <w:link w:val="ListParagraphChar"/>
    <w:uiPriority w:val="34"/>
    <w:qFormat/>
    <w:pPr>
      <w:ind w:left="720"/>
      <w:contextualSpacing/>
    </w:pPr>
  </w:style>
  <w:style w:type="paragraph" w:styleId="FootnoteText">
    <w:name w:val="footnote text"/>
    <w:aliases w:val="Footnote Text Char3,Footnote Text Char1 Char1,Footnote Text Char2 Char Char,Footnote Text Char1 Char1 Char Char,Footnote Text Char2 Char Char Char Char,Footnote Text Char1 Char1 Char Char Char Char,Footnote Text Char1,Footnote Text Char2,f"/>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Footnote Text Char3 Char,Footnote Text Char1 Char1 Char,Footnote Text Char2 Char Char Char,Footnote Text Char1 Char1 Char Char Char,Footnote Text Char2 Char Char Char Char Char,Footnote Text Char1 Char1 Char Char Char Char Char,f Char"/>
    <w:basedOn w:val="DefaultParagraphFont"/>
    <w:link w:val="FootnoteText"/>
    <w:uiPriority w:val="99"/>
    <w:rPr>
      <w:sz w:val="20"/>
      <w:szCs w:val="20"/>
    </w:rPr>
  </w:style>
  <w:style w:type="character" w:styleId="FootnoteReference">
    <w:name w:val="footnote reference"/>
    <w:aliases w:val="Footnote Reference Number,Footnote Reference_LVL6,C26 Footnote Number,Footnote Reference_LVL61,Footnote Reference_LVL62,Footnote Reference_LVL63,Footnote Reference_LVL64,Footnote Reference_LVL65,Footnote symbol,Footnote Reference1,Cha"/>
    <w:basedOn w:val="DefaultParagraphFont"/>
    <w:link w:val="FootnotesymbolCarZchn"/>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jc w:val="both"/>
    </w:pPr>
    <w:rPr>
      <w:vertAlign w:val="superscript"/>
    </w:rPr>
  </w:style>
  <w:style w:type="paragraph" w:customStyle="1" w:styleId="BoxText">
    <w:name w:val="Box Text"/>
    <w:basedOn w:val="Normal"/>
    <w:link w:val="BoxTextChar"/>
    <w:qFormat/>
    <w:pPr>
      <w:spacing w:after="220" w:line="220" w:lineRule="atLeast"/>
      <w:jc w:val="both"/>
    </w:pPr>
    <w:rPr>
      <w:rFonts w:ascii="Times New Roman" w:eastAsia="Calibri" w:hAnsi="Times New Roman" w:cs="Times New Roman"/>
      <w:color w:val="000000"/>
      <w:sz w:val="18"/>
    </w:rPr>
  </w:style>
  <w:style w:type="character" w:customStyle="1" w:styleId="BoxTextChar">
    <w:name w:val="Box Text Char"/>
    <w:link w:val="BoxText"/>
    <w:rPr>
      <w:rFonts w:ascii="Times New Roman" w:eastAsia="Calibri" w:hAnsi="Times New Roman" w:cs="Times New Roman"/>
      <w:color w:val="000000"/>
      <w:sz w:val="18"/>
    </w:rPr>
  </w:style>
  <w:style w:type="character" w:customStyle="1" w:styleId="at3">
    <w:name w:val="a__t3"/>
  </w:style>
  <w:style w:type="paragraph" w:customStyle="1" w:styleId="s9">
    <w:name w:val="s9"/>
    <w:basedOn w:val="Normal"/>
    <w:pPr>
      <w:spacing w:before="100" w:beforeAutospacing="1" w:after="100" w:afterAutospacing="1" w:line="240" w:lineRule="auto"/>
    </w:pPr>
    <w:rPr>
      <w:rFonts w:ascii="Times New Roman" w:eastAsia="SimSun" w:hAnsi="Times New Roman" w:cs="Times New Roman"/>
      <w:sz w:val="24"/>
      <w:szCs w:val="24"/>
    </w:rPr>
  </w:style>
  <w:style w:type="character" w:customStyle="1" w:styleId="Heading1Char">
    <w:name w:val="Heading 1 Char"/>
    <w:basedOn w:val="DefaultParagraphFont"/>
    <w:link w:val="Heading1"/>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ListParagraphChar">
    <w:name w:val="List Paragraph Char"/>
    <w:aliases w:val="OBC Bullet Char,List Paragraph11 Char,F5 List Paragraph Char,Bullet Points Char,Dot pt Char,List Paragraph1 Char,Colorful List - Accent 11 Char,No Spacing1 Char,List Paragraph Char Char Char Char,Indicator Text Char,MAIN CONTENT Char"/>
    <w:basedOn w:val="DefaultParagraphFont"/>
    <w:link w:val="ListParagraph"/>
    <w:uiPriority w:val="34"/>
    <w:locked/>
  </w:style>
  <w:style w:type="paragraph" w:customStyle="1" w:styleId="NormalLeft">
    <w:name w:val="Normal Left"/>
    <w:basedOn w:val="Normal"/>
    <w:pPr>
      <w:spacing w:after="240" w:line="240" w:lineRule="atLeast"/>
    </w:pPr>
    <w:rPr>
      <w:rFonts w:ascii="Times New Roman" w:eastAsia="Times New Roman" w:hAnsi="Times New Roman" w:cs="Times New Roman"/>
      <w:color w:val="000000"/>
      <w:sz w:val="20"/>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keepNext/>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keepNext/>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keepNext/>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keepNext/>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Typedudocument">
    <w:name w:val="Type du document"/>
    <w:basedOn w:val="Normal"/>
    <w:next w:val="Normal"/>
    <w:pPr>
      <w:spacing w:before="360" w:after="0" w:line="240" w:lineRule="auto"/>
      <w:jc w:val="center"/>
    </w:pPr>
    <w:rPr>
      <w:rFonts w:ascii="Times New Roman"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2707">
      <w:bodyDiv w:val="1"/>
      <w:marLeft w:val="0"/>
      <w:marRight w:val="0"/>
      <w:marTop w:val="0"/>
      <w:marBottom w:val="0"/>
      <w:divBdr>
        <w:top w:val="none" w:sz="0" w:space="0" w:color="auto"/>
        <w:left w:val="none" w:sz="0" w:space="0" w:color="auto"/>
        <w:bottom w:val="none" w:sz="0" w:space="0" w:color="auto"/>
        <w:right w:val="none" w:sz="0" w:space="0" w:color="auto"/>
      </w:divBdr>
    </w:div>
    <w:div w:id="105389511">
      <w:bodyDiv w:val="1"/>
      <w:marLeft w:val="0"/>
      <w:marRight w:val="0"/>
      <w:marTop w:val="0"/>
      <w:marBottom w:val="0"/>
      <w:divBdr>
        <w:top w:val="none" w:sz="0" w:space="0" w:color="auto"/>
        <w:left w:val="none" w:sz="0" w:space="0" w:color="auto"/>
        <w:bottom w:val="none" w:sz="0" w:space="0" w:color="auto"/>
        <w:right w:val="none" w:sz="0" w:space="0" w:color="auto"/>
      </w:divBdr>
    </w:div>
    <w:div w:id="153229014">
      <w:bodyDiv w:val="1"/>
      <w:marLeft w:val="0"/>
      <w:marRight w:val="0"/>
      <w:marTop w:val="0"/>
      <w:marBottom w:val="0"/>
      <w:divBdr>
        <w:top w:val="none" w:sz="0" w:space="0" w:color="auto"/>
        <w:left w:val="none" w:sz="0" w:space="0" w:color="auto"/>
        <w:bottom w:val="none" w:sz="0" w:space="0" w:color="auto"/>
        <w:right w:val="none" w:sz="0" w:space="0" w:color="auto"/>
      </w:divBdr>
    </w:div>
    <w:div w:id="326446425">
      <w:bodyDiv w:val="1"/>
      <w:marLeft w:val="0"/>
      <w:marRight w:val="0"/>
      <w:marTop w:val="0"/>
      <w:marBottom w:val="0"/>
      <w:divBdr>
        <w:top w:val="none" w:sz="0" w:space="0" w:color="auto"/>
        <w:left w:val="none" w:sz="0" w:space="0" w:color="auto"/>
        <w:bottom w:val="none" w:sz="0" w:space="0" w:color="auto"/>
        <w:right w:val="none" w:sz="0" w:space="0" w:color="auto"/>
      </w:divBdr>
    </w:div>
    <w:div w:id="830410788">
      <w:bodyDiv w:val="1"/>
      <w:marLeft w:val="0"/>
      <w:marRight w:val="0"/>
      <w:marTop w:val="0"/>
      <w:marBottom w:val="0"/>
      <w:divBdr>
        <w:top w:val="none" w:sz="0" w:space="0" w:color="auto"/>
        <w:left w:val="none" w:sz="0" w:space="0" w:color="auto"/>
        <w:bottom w:val="none" w:sz="0" w:space="0" w:color="auto"/>
        <w:right w:val="none" w:sz="0" w:space="0" w:color="auto"/>
      </w:divBdr>
      <w:divsChild>
        <w:div w:id="152184993">
          <w:marLeft w:val="0"/>
          <w:marRight w:val="0"/>
          <w:marTop w:val="0"/>
          <w:marBottom w:val="0"/>
          <w:divBdr>
            <w:top w:val="none" w:sz="0" w:space="0" w:color="auto"/>
            <w:left w:val="none" w:sz="0" w:space="0" w:color="auto"/>
            <w:bottom w:val="none" w:sz="0" w:space="0" w:color="auto"/>
            <w:right w:val="none" w:sz="0" w:space="0" w:color="auto"/>
          </w:divBdr>
        </w:div>
        <w:div w:id="158467129">
          <w:marLeft w:val="0"/>
          <w:marRight w:val="0"/>
          <w:marTop w:val="0"/>
          <w:marBottom w:val="0"/>
          <w:divBdr>
            <w:top w:val="none" w:sz="0" w:space="0" w:color="auto"/>
            <w:left w:val="none" w:sz="0" w:space="0" w:color="auto"/>
            <w:bottom w:val="none" w:sz="0" w:space="0" w:color="auto"/>
            <w:right w:val="none" w:sz="0" w:space="0" w:color="auto"/>
          </w:divBdr>
        </w:div>
        <w:div w:id="203757541">
          <w:marLeft w:val="0"/>
          <w:marRight w:val="0"/>
          <w:marTop w:val="0"/>
          <w:marBottom w:val="0"/>
          <w:divBdr>
            <w:top w:val="none" w:sz="0" w:space="0" w:color="auto"/>
            <w:left w:val="none" w:sz="0" w:space="0" w:color="auto"/>
            <w:bottom w:val="none" w:sz="0" w:space="0" w:color="auto"/>
            <w:right w:val="none" w:sz="0" w:space="0" w:color="auto"/>
          </w:divBdr>
        </w:div>
        <w:div w:id="264459911">
          <w:marLeft w:val="0"/>
          <w:marRight w:val="0"/>
          <w:marTop w:val="0"/>
          <w:marBottom w:val="0"/>
          <w:divBdr>
            <w:top w:val="none" w:sz="0" w:space="0" w:color="auto"/>
            <w:left w:val="none" w:sz="0" w:space="0" w:color="auto"/>
            <w:bottom w:val="none" w:sz="0" w:space="0" w:color="auto"/>
            <w:right w:val="none" w:sz="0" w:space="0" w:color="auto"/>
          </w:divBdr>
        </w:div>
        <w:div w:id="384065374">
          <w:marLeft w:val="0"/>
          <w:marRight w:val="0"/>
          <w:marTop w:val="0"/>
          <w:marBottom w:val="0"/>
          <w:divBdr>
            <w:top w:val="none" w:sz="0" w:space="0" w:color="auto"/>
            <w:left w:val="none" w:sz="0" w:space="0" w:color="auto"/>
            <w:bottom w:val="none" w:sz="0" w:space="0" w:color="auto"/>
            <w:right w:val="none" w:sz="0" w:space="0" w:color="auto"/>
          </w:divBdr>
        </w:div>
        <w:div w:id="616444972">
          <w:marLeft w:val="0"/>
          <w:marRight w:val="0"/>
          <w:marTop w:val="0"/>
          <w:marBottom w:val="0"/>
          <w:divBdr>
            <w:top w:val="none" w:sz="0" w:space="0" w:color="auto"/>
            <w:left w:val="none" w:sz="0" w:space="0" w:color="auto"/>
            <w:bottom w:val="none" w:sz="0" w:space="0" w:color="auto"/>
            <w:right w:val="none" w:sz="0" w:space="0" w:color="auto"/>
          </w:divBdr>
        </w:div>
        <w:div w:id="798692944">
          <w:marLeft w:val="0"/>
          <w:marRight w:val="0"/>
          <w:marTop w:val="0"/>
          <w:marBottom w:val="0"/>
          <w:divBdr>
            <w:top w:val="none" w:sz="0" w:space="0" w:color="auto"/>
            <w:left w:val="none" w:sz="0" w:space="0" w:color="auto"/>
            <w:bottom w:val="none" w:sz="0" w:space="0" w:color="auto"/>
            <w:right w:val="none" w:sz="0" w:space="0" w:color="auto"/>
          </w:divBdr>
        </w:div>
        <w:div w:id="957755264">
          <w:marLeft w:val="0"/>
          <w:marRight w:val="0"/>
          <w:marTop w:val="0"/>
          <w:marBottom w:val="0"/>
          <w:divBdr>
            <w:top w:val="none" w:sz="0" w:space="0" w:color="auto"/>
            <w:left w:val="none" w:sz="0" w:space="0" w:color="auto"/>
            <w:bottom w:val="none" w:sz="0" w:space="0" w:color="auto"/>
            <w:right w:val="none" w:sz="0" w:space="0" w:color="auto"/>
          </w:divBdr>
        </w:div>
        <w:div w:id="1214654654">
          <w:marLeft w:val="0"/>
          <w:marRight w:val="0"/>
          <w:marTop w:val="0"/>
          <w:marBottom w:val="0"/>
          <w:divBdr>
            <w:top w:val="none" w:sz="0" w:space="0" w:color="auto"/>
            <w:left w:val="none" w:sz="0" w:space="0" w:color="auto"/>
            <w:bottom w:val="none" w:sz="0" w:space="0" w:color="auto"/>
            <w:right w:val="none" w:sz="0" w:space="0" w:color="auto"/>
          </w:divBdr>
        </w:div>
        <w:div w:id="1216813277">
          <w:marLeft w:val="0"/>
          <w:marRight w:val="0"/>
          <w:marTop w:val="0"/>
          <w:marBottom w:val="0"/>
          <w:divBdr>
            <w:top w:val="none" w:sz="0" w:space="0" w:color="auto"/>
            <w:left w:val="none" w:sz="0" w:space="0" w:color="auto"/>
            <w:bottom w:val="none" w:sz="0" w:space="0" w:color="auto"/>
            <w:right w:val="none" w:sz="0" w:space="0" w:color="auto"/>
          </w:divBdr>
        </w:div>
        <w:div w:id="1251700843">
          <w:marLeft w:val="0"/>
          <w:marRight w:val="0"/>
          <w:marTop w:val="0"/>
          <w:marBottom w:val="0"/>
          <w:divBdr>
            <w:top w:val="none" w:sz="0" w:space="0" w:color="auto"/>
            <w:left w:val="none" w:sz="0" w:space="0" w:color="auto"/>
            <w:bottom w:val="none" w:sz="0" w:space="0" w:color="auto"/>
            <w:right w:val="none" w:sz="0" w:space="0" w:color="auto"/>
          </w:divBdr>
        </w:div>
        <w:div w:id="1346861768">
          <w:marLeft w:val="0"/>
          <w:marRight w:val="0"/>
          <w:marTop w:val="0"/>
          <w:marBottom w:val="0"/>
          <w:divBdr>
            <w:top w:val="none" w:sz="0" w:space="0" w:color="auto"/>
            <w:left w:val="none" w:sz="0" w:space="0" w:color="auto"/>
            <w:bottom w:val="none" w:sz="0" w:space="0" w:color="auto"/>
            <w:right w:val="none" w:sz="0" w:space="0" w:color="auto"/>
          </w:divBdr>
        </w:div>
        <w:div w:id="1500147561">
          <w:marLeft w:val="0"/>
          <w:marRight w:val="0"/>
          <w:marTop w:val="0"/>
          <w:marBottom w:val="0"/>
          <w:divBdr>
            <w:top w:val="none" w:sz="0" w:space="0" w:color="auto"/>
            <w:left w:val="none" w:sz="0" w:space="0" w:color="auto"/>
            <w:bottom w:val="none" w:sz="0" w:space="0" w:color="auto"/>
            <w:right w:val="none" w:sz="0" w:space="0" w:color="auto"/>
          </w:divBdr>
        </w:div>
        <w:div w:id="1503201198">
          <w:marLeft w:val="0"/>
          <w:marRight w:val="0"/>
          <w:marTop w:val="0"/>
          <w:marBottom w:val="0"/>
          <w:divBdr>
            <w:top w:val="none" w:sz="0" w:space="0" w:color="auto"/>
            <w:left w:val="none" w:sz="0" w:space="0" w:color="auto"/>
            <w:bottom w:val="none" w:sz="0" w:space="0" w:color="auto"/>
            <w:right w:val="none" w:sz="0" w:space="0" w:color="auto"/>
          </w:divBdr>
        </w:div>
        <w:div w:id="1737849167">
          <w:marLeft w:val="0"/>
          <w:marRight w:val="0"/>
          <w:marTop w:val="0"/>
          <w:marBottom w:val="0"/>
          <w:divBdr>
            <w:top w:val="none" w:sz="0" w:space="0" w:color="auto"/>
            <w:left w:val="none" w:sz="0" w:space="0" w:color="auto"/>
            <w:bottom w:val="none" w:sz="0" w:space="0" w:color="auto"/>
            <w:right w:val="none" w:sz="0" w:space="0" w:color="auto"/>
          </w:divBdr>
        </w:div>
        <w:div w:id="1780687211">
          <w:marLeft w:val="0"/>
          <w:marRight w:val="0"/>
          <w:marTop w:val="0"/>
          <w:marBottom w:val="0"/>
          <w:divBdr>
            <w:top w:val="none" w:sz="0" w:space="0" w:color="auto"/>
            <w:left w:val="none" w:sz="0" w:space="0" w:color="auto"/>
            <w:bottom w:val="none" w:sz="0" w:space="0" w:color="auto"/>
            <w:right w:val="none" w:sz="0" w:space="0" w:color="auto"/>
          </w:divBdr>
        </w:div>
        <w:div w:id="1918860139">
          <w:marLeft w:val="0"/>
          <w:marRight w:val="0"/>
          <w:marTop w:val="0"/>
          <w:marBottom w:val="0"/>
          <w:divBdr>
            <w:top w:val="none" w:sz="0" w:space="0" w:color="auto"/>
            <w:left w:val="none" w:sz="0" w:space="0" w:color="auto"/>
            <w:bottom w:val="none" w:sz="0" w:space="0" w:color="auto"/>
            <w:right w:val="none" w:sz="0" w:space="0" w:color="auto"/>
          </w:divBdr>
        </w:div>
        <w:div w:id="2140688692">
          <w:marLeft w:val="0"/>
          <w:marRight w:val="0"/>
          <w:marTop w:val="0"/>
          <w:marBottom w:val="0"/>
          <w:divBdr>
            <w:top w:val="none" w:sz="0" w:space="0" w:color="auto"/>
            <w:left w:val="none" w:sz="0" w:space="0" w:color="auto"/>
            <w:bottom w:val="none" w:sz="0" w:space="0" w:color="auto"/>
            <w:right w:val="none" w:sz="0" w:space="0" w:color="auto"/>
          </w:divBdr>
        </w:div>
        <w:div w:id="2143955485">
          <w:marLeft w:val="0"/>
          <w:marRight w:val="0"/>
          <w:marTop w:val="0"/>
          <w:marBottom w:val="0"/>
          <w:divBdr>
            <w:top w:val="none" w:sz="0" w:space="0" w:color="auto"/>
            <w:left w:val="none" w:sz="0" w:space="0" w:color="auto"/>
            <w:bottom w:val="none" w:sz="0" w:space="0" w:color="auto"/>
            <w:right w:val="none" w:sz="0" w:space="0" w:color="auto"/>
          </w:divBdr>
        </w:div>
      </w:divsChild>
    </w:div>
    <w:div w:id="1348286664">
      <w:bodyDiv w:val="1"/>
      <w:marLeft w:val="0"/>
      <w:marRight w:val="0"/>
      <w:marTop w:val="0"/>
      <w:marBottom w:val="0"/>
      <w:divBdr>
        <w:top w:val="none" w:sz="0" w:space="0" w:color="auto"/>
        <w:left w:val="none" w:sz="0" w:space="0" w:color="auto"/>
        <w:bottom w:val="none" w:sz="0" w:space="0" w:color="auto"/>
        <w:right w:val="none" w:sz="0" w:space="0" w:color="auto"/>
      </w:divBdr>
      <w:divsChild>
        <w:div w:id="162284090">
          <w:marLeft w:val="0"/>
          <w:marRight w:val="0"/>
          <w:marTop w:val="0"/>
          <w:marBottom w:val="0"/>
          <w:divBdr>
            <w:top w:val="none" w:sz="0" w:space="0" w:color="auto"/>
            <w:left w:val="none" w:sz="0" w:space="0" w:color="auto"/>
            <w:bottom w:val="none" w:sz="0" w:space="0" w:color="auto"/>
            <w:right w:val="none" w:sz="0" w:space="0" w:color="auto"/>
          </w:divBdr>
        </w:div>
        <w:div w:id="345833541">
          <w:marLeft w:val="0"/>
          <w:marRight w:val="0"/>
          <w:marTop w:val="0"/>
          <w:marBottom w:val="0"/>
          <w:divBdr>
            <w:top w:val="none" w:sz="0" w:space="0" w:color="auto"/>
            <w:left w:val="none" w:sz="0" w:space="0" w:color="auto"/>
            <w:bottom w:val="none" w:sz="0" w:space="0" w:color="auto"/>
            <w:right w:val="none" w:sz="0" w:space="0" w:color="auto"/>
          </w:divBdr>
        </w:div>
        <w:div w:id="480461351">
          <w:marLeft w:val="0"/>
          <w:marRight w:val="0"/>
          <w:marTop w:val="0"/>
          <w:marBottom w:val="0"/>
          <w:divBdr>
            <w:top w:val="none" w:sz="0" w:space="0" w:color="auto"/>
            <w:left w:val="none" w:sz="0" w:space="0" w:color="auto"/>
            <w:bottom w:val="none" w:sz="0" w:space="0" w:color="auto"/>
            <w:right w:val="none" w:sz="0" w:space="0" w:color="auto"/>
          </w:divBdr>
        </w:div>
        <w:div w:id="668483331">
          <w:marLeft w:val="0"/>
          <w:marRight w:val="0"/>
          <w:marTop w:val="0"/>
          <w:marBottom w:val="0"/>
          <w:divBdr>
            <w:top w:val="none" w:sz="0" w:space="0" w:color="auto"/>
            <w:left w:val="none" w:sz="0" w:space="0" w:color="auto"/>
            <w:bottom w:val="none" w:sz="0" w:space="0" w:color="auto"/>
            <w:right w:val="none" w:sz="0" w:space="0" w:color="auto"/>
          </w:divBdr>
        </w:div>
        <w:div w:id="1413508061">
          <w:marLeft w:val="0"/>
          <w:marRight w:val="0"/>
          <w:marTop w:val="0"/>
          <w:marBottom w:val="0"/>
          <w:divBdr>
            <w:top w:val="none" w:sz="0" w:space="0" w:color="auto"/>
            <w:left w:val="none" w:sz="0" w:space="0" w:color="auto"/>
            <w:bottom w:val="none" w:sz="0" w:space="0" w:color="auto"/>
            <w:right w:val="none" w:sz="0" w:space="0" w:color="auto"/>
          </w:divBdr>
        </w:div>
        <w:div w:id="1572621411">
          <w:marLeft w:val="0"/>
          <w:marRight w:val="0"/>
          <w:marTop w:val="0"/>
          <w:marBottom w:val="0"/>
          <w:divBdr>
            <w:top w:val="none" w:sz="0" w:space="0" w:color="auto"/>
            <w:left w:val="none" w:sz="0" w:space="0" w:color="auto"/>
            <w:bottom w:val="none" w:sz="0" w:space="0" w:color="auto"/>
            <w:right w:val="none" w:sz="0" w:space="0" w:color="auto"/>
          </w:divBdr>
        </w:div>
        <w:div w:id="1710762113">
          <w:marLeft w:val="0"/>
          <w:marRight w:val="0"/>
          <w:marTop w:val="0"/>
          <w:marBottom w:val="0"/>
          <w:divBdr>
            <w:top w:val="none" w:sz="0" w:space="0" w:color="auto"/>
            <w:left w:val="none" w:sz="0" w:space="0" w:color="auto"/>
            <w:bottom w:val="none" w:sz="0" w:space="0" w:color="auto"/>
            <w:right w:val="none" w:sz="0" w:space="0" w:color="auto"/>
          </w:divBdr>
        </w:div>
        <w:div w:id="1751610923">
          <w:marLeft w:val="0"/>
          <w:marRight w:val="0"/>
          <w:marTop w:val="0"/>
          <w:marBottom w:val="0"/>
          <w:divBdr>
            <w:top w:val="none" w:sz="0" w:space="0" w:color="auto"/>
            <w:left w:val="none" w:sz="0" w:space="0" w:color="auto"/>
            <w:bottom w:val="none" w:sz="0" w:space="0" w:color="auto"/>
            <w:right w:val="none" w:sz="0" w:space="0" w:color="auto"/>
          </w:divBdr>
        </w:div>
        <w:div w:id="1872569691">
          <w:marLeft w:val="0"/>
          <w:marRight w:val="0"/>
          <w:marTop w:val="0"/>
          <w:marBottom w:val="0"/>
          <w:divBdr>
            <w:top w:val="none" w:sz="0" w:space="0" w:color="auto"/>
            <w:left w:val="none" w:sz="0" w:space="0" w:color="auto"/>
            <w:bottom w:val="none" w:sz="0" w:space="0" w:color="auto"/>
            <w:right w:val="none" w:sz="0" w:space="0" w:color="auto"/>
          </w:divBdr>
        </w:div>
        <w:div w:id="2062559877">
          <w:marLeft w:val="0"/>
          <w:marRight w:val="0"/>
          <w:marTop w:val="0"/>
          <w:marBottom w:val="0"/>
          <w:divBdr>
            <w:top w:val="none" w:sz="0" w:space="0" w:color="auto"/>
            <w:left w:val="none" w:sz="0" w:space="0" w:color="auto"/>
            <w:bottom w:val="none" w:sz="0" w:space="0" w:color="auto"/>
            <w:right w:val="none" w:sz="0" w:space="0" w:color="auto"/>
          </w:divBdr>
        </w:div>
      </w:divsChild>
    </w:div>
    <w:div w:id="1353340782">
      <w:bodyDiv w:val="1"/>
      <w:marLeft w:val="0"/>
      <w:marRight w:val="0"/>
      <w:marTop w:val="0"/>
      <w:marBottom w:val="0"/>
      <w:divBdr>
        <w:top w:val="none" w:sz="0" w:space="0" w:color="auto"/>
        <w:left w:val="none" w:sz="0" w:space="0" w:color="auto"/>
        <w:bottom w:val="none" w:sz="0" w:space="0" w:color="auto"/>
        <w:right w:val="none" w:sz="0" w:space="0" w:color="auto"/>
      </w:divBdr>
      <w:divsChild>
        <w:div w:id="243809266">
          <w:marLeft w:val="0"/>
          <w:marRight w:val="0"/>
          <w:marTop w:val="0"/>
          <w:marBottom w:val="0"/>
          <w:divBdr>
            <w:top w:val="none" w:sz="0" w:space="0" w:color="auto"/>
            <w:left w:val="none" w:sz="0" w:space="0" w:color="auto"/>
            <w:bottom w:val="none" w:sz="0" w:space="0" w:color="auto"/>
            <w:right w:val="none" w:sz="0" w:space="0" w:color="auto"/>
          </w:divBdr>
        </w:div>
        <w:div w:id="416905073">
          <w:marLeft w:val="0"/>
          <w:marRight w:val="0"/>
          <w:marTop w:val="0"/>
          <w:marBottom w:val="0"/>
          <w:divBdr>
            <w:top w:val="none" w:sz="0" w:space="0" w:color="auto"/>
            <w:left w:val="none" w:sz="0" w:space="0" w:color="auto"/>
            <w:bottom w:val="none" w:sz="0" w:space="0" w:color="auto"/>
            <w:right w:val="none" w:sz="0" w:space="0" w:color="auto"/>
          </w:divBdr>
        </w:div>
        <w:div w:id="663123898">
          <w:marLeft w:val="0"/>
          <w:marRight w:val="0"/>
          <w:marTop w:val="0"/>
          <w:marBottom w:val="0"/>
          <w:divBdr>
            <w:top w:val="none" w:sz="0" w:space="0" w:color="auto"/>
            <w:left w:val="none" w:sz="0" w:space="0" w:color="auto"/>
            <w:bottom w:val="none" w:sz="0" w:space="0" w:color="auto"/>
            <w:right w:val="none" w:sz="0" w:space="0" w:color="auto"/>
          </w:divBdr>
        </w:div>
        <w:div w:id="726489494">
          <w:marLeft w:val="0"/>
          <w:marRight w:val="0"/>
          <w:marTop w:val="0"/>
          <w:marBottom w:val="0"/>
          <w:divBdr>
            <w:top w:val="none" w:sz="0" w:space="0" w:color="auto"/>
            <w:left w:val="none" w:sz="0" w:space="0" w:color="auto"/>
            <w:bottom w:val="none" w:sz="0" w:space="0" w:color="auto"/>
            <w:right w:val="none" w:sz="0" w:space="0" w:color="auto"/>
          </w:divBdr>
        </w:div>
        <w:div w:id="862789052">
          <w:marLeft w:val="0"/>
          <w:marRight w:val="0"/>
          <w:marTop w:val="0"/>
          <w:marBottom w:val="0"/>
          <w:divBdr>
            <w:top w:val="none" w:sz="0" w:space="0" w:color="auto"/>
            <w:left w:val="none" w:sz="0" w:space="0" w:color="auto"/>
            <w:bottom w:val="none" w:sz="0" w:space="0" w:color="auto"/>
            <w:right w:val="none" w:sz="0" w:space="0" w:color="auto"/>
          </w:divBdr>
        </w:div>
        <w:div w:id="878514094">
          <w:marLeft w:val="0"/>
          <w:marRight w:val="0"/>
          <w:marTop w:val="0"/>
          <w:marBottom w:val="0"/>
          <w:divBdr>
            <w:top w:val="none" w:sz="0" w:space="0" w:color="auto"/>
            <w:left w:val="none" w:sz="0" w:space="0" w:color="auto"/>
            <w:bottom w:val="none" w:sz="0" w:space="0" w:color="auto"/>
            <w:right w:val="none" w:sz="0" w:space="0" w:color="auto"/>
          </w:divBdr>
        </w:div>
        <w:div w:id="885798922">
          <w:marLeft w:val="0"/>
          <w:marRight w:val="0"/>
          <w:marTop w:val="0"/>
          <w:marBottom w:val="0"/>
          <w:divBdr>
            <w:top w:val="none" w:sz="0" w:space="0" w:color="auto"/>
            <w:left w:val="none" w:sz="0" w:space="0" w:color="auto"/>
            <w:bottom w:val="none" w:sz="0" w:space="0" w:color="auto"/>
            <w:right w:val="none" w:sz="0" w:space="0" w:color="auto"/>
          </w:divBdr>
        </w:div>
        <w:div w:id="993416022">
          <w:marLeft w:val="0"/>
          <w:marRight w:val="0"/>
          <w:marTop w:val="0"/>
          <w:marBottom w:val="0"/>
          <w:divBdr>
            <w:top w:val="none" w:sz="0" w:space="0" w:color="auto"/>
            <w:left w:val="none" w:sz="0" w:space="0" w:color="auto"/>
            <w:bottom w:val="none" w:sz="0" w:space="0" w:color="auto"/>
            <w:right w:val="none" w:sz="0" w:space="0" w:color="auto"/>
          </w:divBdr>
        </w:div>
        <w:div w:id="1083259993">
          <w:marLeft w:val="0"/>
          <w:marRight w:val="0"/>
          <w:marTop w:val="0"/>
          <w:marBottom w:val="0"/>
          <w:divBdr>
            <w:top w:val="none" w:sz="0" w:space="0" w:color="auto"/>
            <w:left w:val="none" w:sz="0" w:space="0" w:color="auto"/>
            <w:bottom w:val="none" w:sz="0" w:space="0" w:color="auto"/>
            <w:right w:val="none" w:sz="0" w:space="0" w:color="auto"/>
          </w:divBdr>
        </w:div>
        <w:div w:id="1158497052">
          <w:marLeft w:val="0"/>
          <w:marRight w:val="0"/>
          <w:marTop w:val="0"/>
          <w:marBottom w:val="0"/>
          <w:divBdr>
            <w:top w:val="none" w:sz="0" w:space="0" w:color="auto"/>
            <w:left w:val="none" w:sz="0" w:space="0" w:color="auto"/>
            <w:bottom w:val="none" w:sz="0" w:space="0" w:color="auto"/>
            <w:right w:val="none" w:sz="0" w:space="0" w:color="auto"/>
          </w:divBdr>
        </w:div>
        <w:div w:id="1187132444">
          <w:marLeft w:val="0"/>
          <w:marRight w:val="0"/>
          <w:marTop w:val="0"/>
          <w:marBottom w:val="0"/>
          <w:divBdr>
            <w:top w:val="none" w:sz="0" w:space="0" w:color="auto"/>
            <w:left w:val="none" w:sz="0" w:space="0" w:color="auto"/>
            <w:bottom w:val="none" w:sz="0" w:space="0" w:color="auto"/>
            <w:right w:val="none" w:sz="0" w:space="0" w:color="auto"/>
          </w:divBdr>
        </w:div>
        <w:div w:id="1357930301">
          <w:marLeft w:val="0"/>
          <w:marRight w:val="0"/>
          <w:marTop w:val="0"/>
          <w:marBottom w:val="0"/>
          <w:divBdr>
            <w:top w:val="none" w:sz="0" w:space="0" w:color="auto"/>
            <w:left w:val="none" w:sz="0" w:space="0" w:color="auto"/>
            <w:bottom w:val="none" w:sz="0" w:space="0" w:color="auto"/>
            <w:right w:val="none" w:sz="0" w:space="0" w:color="auto"/>
          </w:divBdr>
        </w:div>
        <w:div w:id="1415276449">
          <w:marLeft w:val="0"/>
          <w:marRight w:val="0"/>
          <w:marTop w:val="0"/>
          <w:marBottom w:val="0"/>
          <w:divBdr>
            <w:top w:val="none" w:sz="0" w:space="0" w:color="auto"/>
            <w:left w:val="none" w:sz="0" w:space="0" w:color="auto"/>
            <w:bottom w:val="none" w:sz="0" w:space="0" w:color="auto"/>
            <w:right w:val="none" w:sz="0" w:space="0" w:color="auto"/>
          </w:divBdr>
        </w:div>
        <w:div w:id="1527332880">
          <w:marLeft w:val="0"/>
          <w:marRight w:val="0"/>
          <w:marTop w:val="0"/>
          <w:marBottom w:val="0"/>
          <w:divBdr>
            <w:top w:val="none" w:sz="0" w:space="0" w:color="auto"/>
            <w:left w:val="none" w:sz="0" w:space="0" w:color="auto"/>
            <w:bottom w:val="none" w:sz="0" w:space="0" w:color="auto"/>
            <w:right w:val="none" w:sz="0" w:space="0" w:color="auto"/>
          </w:divBdr>
        </w:div>
        <w:div w:id="1553075737">
          <w:marLeft w:val="0"/>
          <w:marRight w:val="0"/>
          <w:marTop w:val="0"/>
          <w:marBottom w:val="0"/>
          <w:divBdr>
            <w:top w:val="none" w:sz="0" w:space="0" w:color="auto"/>
            <w:left w:val="none" w:sz="0" w:space="0" w:color="auto"/>
            <w:bottom w:val="none" w:sz="0" w:space="0" w:color="auto"/>
            <w:right w:val="none" w:sz="0" w:space="0" w:color="auto"/>
          </w:divBdr>
        </w:div>
        <w:div w:id="1558200449">
          <w:marLeft w:val="0"/>
          <w:marRight w:val="0"/>
          <w:marTop w:val="0"/>
          <w:marBottom w:val="0"/>
          <w:divBdr>
            <w:top w:val="none" w:sz="0" w:space="0" w:color="auto"/>
            <w:left w:val="none" w:sz="0" w:space="0" w:color="auto"/>
            <w:bottom w:val="none" w:sz="0" w:space="0" w:color="auto"/>
            <w:right w:val="none" w:sz="0" w:space="0" w:color="auto"/>
          </w:divBdr>
        </w:div>
        <w:div w:id="1571967721">
          <w:marLeft w:val="0"/>
          <w:marRight w:val="0"/>
          <w:marTop w:val="0"/>
          <w:marBottom w:val="0"/>
          <w:divBdr>
            <w:top w:val="none" w:sz="0" w:space="0" w:color="auto"/>
            <w:left w:val="none" w:sz="0" w:space="0" w:color="auto"/>
            <w:bottom w:val="none" w:sz="0" w:space="0" w:color="auto"/>
            <w:right w:val="none" w:sz="0" w:space="0" w:color="auto"/>
          </w:divBdr>
        </w:div>
        <w:div w:id="1746876263">
          <w:marLeft w:val="0"/>
          <w:marRight w:val="0"/>
          <w:marTop w:val="0"/>
          <w:marBottom w:val="0"/>
          <w:divBdr>
            <w:top w:val="none" w:sz="0" w:space="0" w:color="auto"/>
            <w:left w:val="none" w:sz="0" w:space="0" w:color="auto"/>
            <w:bottom w:val="none" w:sz="0" w:space="0" w:color="auto"/>
            <w:right w:val="none" w:sz="0" w:space="0" w:color="auto"/>
          </w:divBdr>
        </w:div>
      </w:divsChild>
    </w:div>
    <w:div w:id="1561398935">
      <w:bodyDiv w:val="1"/>
      <w:marLeft w:val="0"/>
      <w:marRight w:val="0"/>
      <w:marTop w:val="0"/>
      <w:marBottom w:val="0"/>
      <w:divBdr>
        <w:top w:val="none" w:sz="0" w:space="0" w:color="auto"/>
        <w:left w:val="none" w:sz="0" w:space="0" w:color="auto"/>
        <w:bottom w:val="none" w:sz="0" w:space="0" w:color="auto"/>
        <w:right w:val="none" w:sz="0" w:space="0" w:color="auto"/>
      </w:divBdr>
    </w:div>
    <w:div w:id="1634170592">
      <w:bodyDiv w:val="1"/>
      <w:marLeft w:val="0"/>
      <w:marRight w:val="0"/>
      <w:marTop w:val="0"/>
      <w:marBottom w:val="0"/>
      <w:divBdr>
        <w:top w:val="none" w:sz="0" w:space="0" w:color="auto"/>
        <w:left w:val="none" w:sz="0" w:space="0" w:color="auto"/>
        <w:bottom w:val="none" w:sz="0" w:space="0" w:color="auto"/>
        <w:right w:val="none" w:sz="0" w:space="0" w:color="auto"/>
      </w:divBdr>
    </w:div>
    <w:div w:id="1998612640">
      <w:bodyDiv w:val="1"/>
      <w:marLeft w:val="0"/>
      <w:marRight w:val="0"/>
      <w:marTop w:val="0"/>
      <w:marBottom w:val="0"/>
      <w:divBdr>
        <w:top w:val="none" w:sz="0" w:space="0" w:color="auto"/>
        <w:left w:val="none" w:sz="0" w:space="0" w:color="auto"/>
        <w:bottom w:val="none" w:sz="0" w:space="0" w:color="auto"/>
        <w:right w:val="none" w:sz="0" w:space="0" w:color="auto"/>
      </w:divBdr>
      <w:divsChild>
        <w:div w:id="396437939">
          <w:marLeft w:val="0"/>
          <w:marRight w:val="0"/>
          <w:marTop w:val="0"/>
          <w:marBottom w:val="0"/>
          <w:divBdr>
            <w:top w:val="none" w:sz="0" w:space="0" w:color="auto"/>
            <w:left w:val="none" w:sz="0" w:space="0" w:color="auto"/>
            <w:bottom w:val="none" w:sz="0" w:space="0" w:color="auto"/>
            <w:right w:val="none" w:sz="0" w:space="0" w:color="auto"/>
          </w:divBdr>
        </w:div>
        <w:div w:id="646516102">
          <w:marLeft w:val="0"/>
          <w:marRight w:val="0"/>
          <w:marTop w:val="0"/>
          <w:marBottom w:val="0"/>
          <w:divBdr>
            <w:top w:val="none" w:sz="0" w:space="0" w:color="auto"/>
            <w:left w:val="none" w:sz="0" w:space="0" w:color="auto"/>
            <w:bottom w:val="none" w:sz="0" w:space="0" w:color="auto"/>
            <w:right w:val="none" w:sz="0" w:space="0" w:color="auto"/>
          </w:divBdr>
        </w:div>
        <w:div w:id="961612877">
          <w:marLeft w:val="0"/>
          <w:marRight w:val="0"/>
          <w:marTop w:val="0"/>
          <w:marBottom w:val="0"/>
          <w:divBdr>
            <w:top w:val="none" w:sz="0" w:space="0" w:color="auto"/>
            <w:left w:val="none" w:sz="0" w:space="0" w:color="auto"/>
            <w:bottom w:val="none" w:sz="0" w:space="0" w:color="auto"/>
            <w:right w:val="none" w:sz="0" w:space="0" w:color="auto"/>
          </w:divBdr>
        </w:div>
        <w:div w:id="1030685466">
          <w:marLeft w:val="0"/>
          <w:marRight w:val="0"/>
          <w:marTop w:val="0"/>
          <w:marBottom w:val="0"/>
          <w:divBdr>
            <w:top w:val="none" w:sz="0" w:space="0" w:color="auto"/>
            <w:left w:val="none" w:sz="0" w:space="0" w:color="auto"/>
            <w:bottom w:val="none" w:sz="0" w:space="0" w:color="auto"/>
            <w:right w:val="none" w:sz="0" w:space="0" w:color="auto"/>
          </w:divBdr>
        </w:div>
        <w:div w:id="1137183019">
          <w:marLeft w:val="0"/>
          <w:marRight w:val="0"/>
          <w:marTop w:val="0"/>
          <w:marBottom w:val="0"/>
          <w:divBdr>
            <w:top w:val="none" w:sz="0" w:space="0" w:color="auto"/>
            <w:left w:val="none" w:sz="0" w:space="0" w:color="auto"/>
            <w:bottom w:val="none" w:sz="0" w:space="0" w:color="auto"/>
            <w:right w:val="none" w:sz="0" w:space="0" w:color="auto"/>
          </w:divBdr>
        </w:div>
        <w:div w:id="1254507693">
          <w:marLeft w:val="0"/>
          <w:marRight w:val="0"/>
          <w:marTop w:val="0"/>
          <w:marBottom w:val="0"/>
          <w:divBdr>
            <w:top w:val="none" w:sz="0" w:space="0" w:color="auto"/>
            <w:left w:val="none" w:sz="0" w:space="0" w:color="auto"/>
            <w:bottom w:val="none" w:sz="0" w:space="0" w:color="auto"/>
            <w:right w:val="none" w:sz="0" w:space="0" w:color="auto"/>
          </w:divBdr>
        </w:div>
        <w:div w:id="1342665243">
          <w:marLeft w:val="0"/>
          <w:marRight w:val="0"/>
          <w:marTop w:val="0"/>
          <w:marBottom w:val="0"/>
          <w:divBdr>
            <w:top w:val="none" w:sz="0" w:space="0" w:color="auto"/>
            <w:left w:val="none" w:sz="0" w:space="0" w:color="auto"/>
            <w:bottom w:val="none" w:sz="0" w:space="0" w:color="auto"/>
            <w:right w:val="none" w:sz="0" w:space="0" w:color="auto"/>
          </w:divBdr>
        </w:div>
        <w:div w:id="2133621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6.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2C7C5-799A-4AA4-A37B-6D7801ECD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1351</Words>
  <Characters>7666</Characters>
  <Application>Microsoft Office Word</Application>
  <DocSecurity>0</DocSecurity>
  <Lines>127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30</cp:revision>
  <cp:lastPrinted>2018-05-08T08:40:00Z</cp:lastPrinted>
  <dcterms:created xsi:type="dcterms:W3CDTF">2018-05-10T09:21:00Z</dcterms:created>
  <dcterms:modified xsi:type="dcterms:W3CDTF">2018-05-25T11:06:00Z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name="OP_sanitized" fmtid="{D5CDD505-2E9C-101B-9397-08002B2CF9AE}" pid="6">
    <vt:lpwstr>True</vt:lpwstr>
  </property>
</Properties>
</file>