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C276A332C4D4395BF639A622D1A5442" style="width:450pt;height:333.9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299"/>
        </w:sectPr>
      </w:pPr>
    </w:p>
    <w:p>
      <w:pPr>
        <w:keepNext/>
        <w:pBdr>
          <w:top w:val="nil"/>
          <w:left w:val="nil"/>
          <w:bottom w:val="nil"/>
          <w:right w:val="nil"/>
          <w:between w:val="nil"/>
          <w:bar w:val="nil"/>
        </w:pBdr>
        <w:spacing w:before="240" w:after="60"/>
        <w:jc w:val="both"/>
        <w:outlineLvl w:val="0"/>
        <w:rPr>
          <w:rFonts w:ascii="Times New Roman" w:eastAsia="Cambria" w:hAnsi="Times New Roman" w:cs="Times New Roman"/>
          <w:b/>
          <w:bCs/>
          <w:noProof/>
          <w:color w:val="000000"/>
          <w:kern w:val="32"/>
          <w:sz w:val="32"/>
          <w:szCs w:val="32"/>
          <w:u w:color="000000"/>
          <w:bdr w:val="nil"/>
        </w:rPr>
      </w:pPr>
      <w:bookmarkStart w:id="1" w:name="_GoBack"/>
      <w:bookmarkEnd w:id="1"/>
      <w:r>
        <w:rPr>
          <w:rFonts w:ascii="Times New Roman" w:hAnsi="Times New Roman" w:cs="Times New Roman"/>
          <w:b/>
          <w:noProof/>
          <w:color w:val="000000"/>
          <w:kern w:val="32"/>
          <w:sz w:val="32"/>
          <w:u w:color="000000"/>
          <w:bdr w:val="nil"/>
        </w:rPr>
        <w:lastRenderedPageBreak/>
        <w:t>1. Introdução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Em 2016, os direitos fundamentais e os valores sobre os quais assenta a União Europeia foram postos à prova. Os desenvolvimentos nos Estados</w:t>
      </w:r>
      <w:r>
        <w:rPr>
          <w:rFonts w:ascii="Times New Roman" w:hAnsi="Times New Roman" w:cs="Times New Roman"/>
          <w:noProof/>
          <w:u w:color="000000"/>
          <w:bdr w:val="nil"/>
        </w:rPr>
        <w:noBreakHyphen/>
        <w:t>Membros vieram mostrar que o respeito pelos valores e direitos consagrados na Carta dos Direitos Fundamentais da UE não deve ser tido como um dado adquirido.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A UE teve de enfrentar vários desafios: as consequências da chegada sem precedentes de refugiados às suas fronteiras externas, desequilíbrios económicos e vários ataques terroristas. As pessoas, afetadas por várias crises, não estão confiantes em que os seus filhos terão melhores condições do que elas, e questionam a capacidade das instituições de as proteger dos desafios e das ameaças da migração, da turbulência financeira e do terrorismo. Neste contexto, o nacionalismo, o populismo e a intolerância encontram um terreno fértil para prosperarem e defenderem a exclusão e o isolacionismo como a única via para superar os desafios atuais.</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Num contexto de intolerância crescente, é importante que a UE reafirme veementemente e promova a igualdade de direitos para todos. O terceiro Colóquio Anual sobre Direitos Fundamentais, que se realizará em 2017, será dedicado à promoção dos direitos das mulheres e à igualdade de género. Constituirá uma oportunidade para abordar</w:t>
      </w:r>
      <w:r>
        <w:rPr>
          <w:rFonts w:ascii="Times New Roman" w:hAnsi="Times New Roman" w:cs="Times New Roman"/>
          <w:noProof/>
        </w:rPr>
        <w:t xml:space="preserve"> a capacitação económica e política das mulheres, os seus direitos nas esferas pública e privada da vida, e o combate à violência contra elas perpetrada em todas as suas formas, sendo este último também o tópico de ações específicas ao longo do ano.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O cenário geral tem repercussões nos direitos fundamentais da UE. A União deve empreender um esforço determinado para defender os seus valores comuns, da democracia, dos direitos fundamentais e do primado da lei, contra as forças que procuram polarizar as nossas sociedades e comprometer o nosso modelo de abertura e de solidariedade. As instituições europeias e nacionais devem recuperar a confiança das pessoas, demonstrando que são capazes de garantir a liberdade, a segurança e a prosperidade. O êxito na proteção e na promoção dos direitos fundamentais das pessoas e dos valores comuns da UE será crucial nesse esforço, devendo as instituições da UE dar o exemplo. A Carta é um instrumento inestimável nesta empresa e deve ser utilizada em todo o seu potencial.</w:t>
      </w:r>
    </w:p>
    <w:p>
      <w:pPr>
        <w:keepNext/>
        <w:pBdr>
          <w:top w:val="nil"/>
          <w:left w:val="nil"/>
          <w:bottom w:val="nil"/>
          <w:right w:val="nil"/>
          <w:between w:val="nil"/>
          <w:bar w:val="nil"/>
        </w:pBdr>
        <w:spacing w:before="240" w:after="60"/>
        <w:jc w:val="both"/>
        <w:outlineLvl w:val="0"/>
        <w:rPr>
          <w:rFonts w:ascii="Times New Roman" w:eastAsia="Cambria" w:hAnsi="Times New Roman" w:cs="Times New Roman"/>
          <w:b/>
          <w:bCs/>
          <w:noProof/>
          <w:color w:val="000000"/>
          <w:kern w:val="32"/>
          <w:sz w:val="32"/>
          <w:szCs w:val="32"/>
          <w:u w:color="000000"/>
          <w:bdr w:val="nil"/>
        </w:rPr>
      </w:pPr>
      <w:r>
        <w:rPr>
          <w:rFonts w:ascii="Times New Roman" w:hAnsi="Times New Roman" w:cs="Times New Roman"/>
          <w:b/>
          <w:noProof/>
          <w:color w:val="000000"/>
          <w:kern w:val="32"/>
          <w:sz w:val="32"/>
          <w:u w:color="000000"/>
          <w:bdr w:val="nil"/>
        </w:rPr>
        <w:t>2. Aplicação da Carta da UE</w:t>
      </w:r>
    </w:p>
    <w:p>
      <w:pPr>
        <w:keepNext/>
        <w:pBdr>
          <w:top w:val="nil"/>
          <w:left w:val="nil"/>
          <w:bottom w:val="nil"/>
          <w:right w:val="nil"/>
          <w:between w:val="nil"/>
          <w:bar w:val="nil"/>
        </w:pBdr>
        <w:spacing w:before="240" w:after="60"/>
        <w:jc w:val="both"/>
        <w:outlineLvl w:val="1"/>
        <w:rPr>
          <w:rFonts w:ascii="Times New Roman" w:eastAsia="Cambria" w:hAnsi="Times New Roman" w:cs="Times New Roman"/>
          <w:b/>
          <w:bCs/>
          <w:i/>
          <w:iCs/>
          <w:noProof/>
          <w:color w:val="000000"/>
          <w:sz w:val="28"/>
          <w:szCs w:val="28"/>
          <w:u w:color="000000"/>
          <w:bdr w:val="nil"/>
        </w:rPr>
      </w:pPr>
      <w:r>
        <w:rPr>
          <w:rFonts w:ascii="Times New Roman" w:hAnsi="Times New Roman" w:cs="Times New Roman"/>
          <w:b/>
          <w:i/>
          <w:noProof/>
          <w:color w:val="000000"/>
          <w:sz w:val="28"/>
          <w:u w:color="000000"/>
          <w:bdr w:val="nil"/>
        </w:rPr>
        <w:t>2.1 Promoção e proteção dos direitos fundamentais</w:t>
      </w:r>
    </w:p>
    <w:p>
      <w:pPr>
        <w:spacing w:after="240" w:line="240" w:lineRule="auto"/>
        <w:jc w:val="both"/>
        <w:rPr>
          <w:rFonts w:ascii="Times New Roman" w:hAnsi="Times New Roman" w:cs="Times New Roman"/>
          <w:b/>
          <w:noProof/>
        </w:rPr>
      </w:pPr>
      <w:r>
        <w:rPr>
          <w:rFonts w:ascii="Times New Roman" w:hAnsi="Times New Roman" w:cs="Times New Roman"/>
          <w:b/>
          <w:i/>
          <w:noProof/>
        </w:rPr>
        <w:t>Assegurar direitos fundamentais para todos na União Europeia</w:t>
      </w:r>
    </w:p>
    <w:p>
      <w:pPr>
        <w:spacing w:after="120" w:line="360" w:lineRule="auto"/>
        <w:jc w:val="both"/>
        <w:rPr>
          <w:rFonts w:ascii="Times New Roman" w:eastAsia="Times New Roman" w:hAnsi="Times New Roman" w:cs="Times New Roman"/>
          <w:noProof/>
        </w:rPr>
      </w:pPr>
      <w:r>
        <w:rPr>
          <w:rFonts w:ascii="Times New Roman" w:hAnsi="Times New Roman" w:cs="Times New Roman"/>
          <w:noProof/>
        </w:rPr>
        <w:t xml:space="preserve">Em 2016, a UE tomou várias iniciativas destinadas a reforçar os direitos da Carta em prol das pessoas na UE. Algumas dessas iniciativas visavam assegurar equidade e justiça social. A Comissão iniciou, por exemplo, uma consulta pública sobre o desenvolvimento de um </w:t>
      </w:r>
      <w:r>
        <w:rPr>
          <w:rFonts w:ascii="Times New Roman" w:hAnsi="Times New Roman" w:cs="Times New Roman"/>
          <w:b/>
          <w:noProof/>
        </w:rPr>
        <w:t>«pilar europeu dos direitos sociais»</w:t>
      </w:r>
      <w:r>
        <w:rPr>
          <w:rFonts w:ascii="Times New Roman" w:hAnsi="Times New Roman" w:cs="Times New Roman"/>
          <w:noProof/>
          <w:sz w:val="20"/>
          <w:vertAlign w:val="superscript"/>
        </w:rPr>
        <w:footnoteReference w:id="2"/>
      </w:r>
      <w:r>
        <w:rPr>
          <w:rFonts w:ascii="Times New Roman" w:hAnsi="Times New Roman" w:cs="Times New Roman"/>
          <w:noProof/>
        </w:rPr>
        <w:t>. Com base nos direitos sociais consagrados na Carta, o pilar apoiará mercados de trabalho e sistemas de segurança social que funcionem bem e sejam justos. Abordará questões que se revestem de importância primordial para o indivíduo, como a da igualdade de oportunidades e de acesso ao mercado de trabalho, condições de trabalho justas e proteção social adequada e sustentável.</w:t>
      </w:r>
    </w:p>
    <w:p>
      <w:pPr>
        <w:spacing w:after="120" w:line="360" w:lineRule="auto"/>
        <w:jc w:val="both"/>
        <w:rPr>
          <w:rFonts w:ascii="Times New Roman" w:eastAsia="Times New Roman" w:hAnsi="Times New Roman" w:cs="Times New Roman"/>
          <w:noProof/>
        </w:rPr>
      </w:pPr>
      <w:r>
        <w:rPr>
          <w:rFonts w:ascii="Times New Roman" w:hAnsi="Times New Roman" w:cs="Times New Roman"/>
          <w:noProof/>
        </w:rPr>
        <w:t>De igual modo, foi criada uma plataforma europeia para reforçar a cooperação no combate ao trabalho não declarado</w:t>
      </w:r>
      <w:r>
        <w:rPr>
          <w:rFonts w:ascii="Times New Roman" w:hAnsi="Times New Roman" w:cs="Times New Roman"/>
          <w:noProof/>
          <w:sz w:val="20"/>
          <w:vertAlign w:val="superscript"/>
        </w:rPr>
        <w:footnoteReference w:id="3"/>
      </w:r>
      <w:r>
        <w:rPr>
          <w:rFonts w:ascii="Times New Roman" w:hAnsi="Times New Roman" w:cs="Times New Roman"/>
          <w:noProof/>
        </w:rPr>
        <w:t xml:space="preserve"> e, desta forma, assegurar o respeito do </w:t>
      </w:r>
      <w:r>
        <w:rPr>
          <w:rFonts w:ascii="Times New Roman" w:hAnsi="Times New Roman" w:cs="Times New Roman"/>
          <w:b/>
          <w:noProof/>
        </w:rPr>
        <w:t xml:space="preserve">direito a condições de trabalho justas e equitativas </w:t>
      </w:r>
      <w:r>
        <w:rPr>
          <w:rFonts w:ascii="Times New Roman" w:hAnsi="Times New Roman" w:cs="Times New Roman"/>
          <w:noProof/>
        </w:rPr>
        <w:t>(artigo 31.º da Carta).</w:t>
      </w:r>
    </w:p>
    <w:p>
      <w:pPr>
        <w:spacing w:after="120" w:line="360" w:lineRule="auto"/>
        <w:jc w:val="both"/>
        <w:rPr>
          <w:rFonts w:ascii="Times New Roman" w:eastAsia="Times New Roman" w:hAnsi="Times New Roman" w:cs="Times New Roman"/>
          <w:noProof/>
        </w:rPr>
      </w:pPr>
      <w:r>
        <w:rPr>
          <w:rFonts w:ascii="Times New Roman" w:hAnsi="Times New Roman" w:cs="Times New Roman"/>
          <w:noProof/>
        </w:rPr>
        <w:t xml:space="preserve">Em 2016, foram tomadas medidas para promover o </w:t>
      </w:r>
      <w:r>
        <w:rPr>
          <w:rFonts w:ascii="Times New Roman" w:hAnsi="Times New Roman" w:cs="Times New Roman"/>
          <w:b/>
          <w:noProof/>
        </w:rPr>
        <w:t>direito ao respeito pela vida privada e familiar</w:t>
      </w:r>
      <w:r>
        <w:rPr>
          <w:rFonts w:ascii="Times New Roman" w:hAnsi="Times New Roman" w:cs="Times New Roman"/>
          <w:noProof/>
        </w:rPr>
        <w:t xml:space="preserve"> (artigo 7.º da Carta):</w:t>
      </w:r>
    </w:p>
    <w:p>
      <w:pPr>
        <w:pStyle w:val="ListParagraph"/>
        <w:numPr>
          <w:ilvl w:val="0"/>
          <w:numId w:val="1"/>
        </w:numPr>
        <w:spacing w:after="120" w:line="360" w:lineRule="auto"/>
        <w:jc w:val="both"/>
        <w:rPr>
          <w:rFonts w:ascii="Times New Roman" w:eastAsia="Times New Roman" w:hAnsi="Times New Roman" w:cs="Times New Roman"/>
          <w:noProof/>
        </w:rPr>
      </w:pPr>
      <w:r>
        <w:rPr>
          <w:rFonts w:ascii="Times New Roman" w:hAnsi="Times New Roman" w:cs="Times New Roman"/>
          <w:noProof/>
        </w:rPr>
        <w:t>a Comissão propôs o aditamento de novas normas ao Regulamento Bruxelas II</w:t>
      </w:r>
      <w:r>
        <w:rPr>
          <w:rFonts w:ascii="Times New Roman" w:hAnsi="Times New Roman" w:cs="Times New Roman"/>
          <w:noProof/>
        </w:rPr>
        <w:noBreakHyphen/>
        <w:t>A que, uma vez adotadas, aumentarão a proteção dos menores em litígios relativos à responsabilidade parental com incidência transnacional no domínio do direito de guarda</w:t>
      </w:r>
      <w:r>
        <w:rPr>
          <w:rFonts w:ascii="Times New Roman" w:hAnsi="Times New Roman" w:cs="Times New Roman"/>
          <w:noProof/>
          <w:sz w:val="20"/>
          <w:vertAlign w:val="superscript"/>
        </w:rPr>
        <w:footnoteReference w:id="4"/>
      </w:r>
      <w:r>
        <w:rPr>
          <w:rFonts w:ascii="Times New Roman" w:hAnsi="Times New Roman" w:cs="Times New Roman"/>
          <w:noProof/>
        </w:rPr>
        <w:t>;</w:t>
      </w:r>
    </w:p>
    <w:p>
      <w:pPr>
        <w:pStyle w:val="ListParagraph"/>
        <w:numPr>
          <w:ilvl w:val="0"/>
          <w:numId w:val="1"/>
        </w:numPr>
        <w:spacing w:after="120" w:line="360" w:lineRule="auto"/>
        <w:jc w:val="both"/>
        <w:rPr>
          <w:rFonts w:ascii="Times New Roman" w:eastAsia="Times New Roman" w:hAnsi="Times New Roman" w:cs="Times New Roman"/>
          <w:noProof/>
        </w:rPr>
      </w:pPr>
      <w:r>
        <w:rPr>
          <w:rFonts w:ascii="Times New Roman" w:hAnsi="Times New Roman" w:cs="Times New Roman"/>
          <w:noProof/>
        </w:rPr>
        <w:t>foram adotados dois novos regulamentos para ajudar os casais internacionais, unidos quer pelo matrimónio quer por parcerias registadas, a gerirem diariamente os seus bens e a partilhá</w:t>
      </w:r>
      <w:r>
        <w:rPr>
          <w:rFonts w:ascii="Times New Roman" w:hAnsi="Times New Roman" w:cs="Times New Roman"/>
          <w:noProof/>
        </w:rPr>
        <w:noBreakHyphen/>
        <w:t>los em caso de divórcio ou de morte de um deles</w:t>
      </w:r>
      <w:r>
        <w:rPr>
          <w:rFonts w:ascii="Times New Roman" w:hAnsi="Times New Roman" w:cs="Times New Roman"/>
          <w:noProof/>
          <w:sz w:val="20"/>
          <w:vertAlign w:val="superscript"/>
        </w:rPr>
        <w:footnoteReference w:id="5"/>
      </w:r>
      <w:r>
        <w:rPr>
          <w:rFonts w:ascii="Times New Roman" w:hAnsi="Times New Roman" w:cs="Times New Roman"/>
          <w:noProof/>
        </w:rPr>
        <w:t>.</w:t>
      </w:r>
    </w:p>
    <w:p>
      <w:pPr>
        <w:spacing w:after="120" w:line="360" w:lineRule="auto"/>
        <w:jc w:val="both"/>
        <w:rPr>
          <w:rFonts w:ascii="Times New Roman" w:eastAsia="Times New Roman" w:hAnsi="Times New Roman" w:cs="Times New Roman"/>
          <w:noProof/>
        </w:rPr>
      </w:pPr>
      <w:r>
        <w:rPr>
          <w:rFonts w:ascii="Times New Roman" w:hAnsi="Times New Roman" w:cs="Times New Roman"/>
          <w:b/>
          <w:noProof/>
        </w:rPr>
        <w:t>O direito a um tribunal imparcial</w:t>
      </w:r>
      <w:r>
        <w:rPr>
          <w:rFonts w:ascii="Times New Roman" w:hAnsi="Times New Roman" w:cs="Times New Roman"/>
          <w:noProof/>
        </w:rPr>
        <w:t xml:space="preserve"> (artigos 47.º e 48.º da Carta) foi investido de efeitos concretos através da adoção de um conjunto de diretivas relativas: à presunção de inocência e ao direito de comparecer em julgamento</w:t>
      </w:r>
      <w:r>
        <w:rPr>
          <w:rFonts w:ascii="Times New Roman" w:hAnsi="Times New Roman" w:cs="Times New Roman"/>
          <w:noProof/>
          <w:sz w:val="20"/>
          <w:vertAlign w:val="superscript"/>
        </w:rPr>
        <w:footnoteReference w:id="6"/>
      </w:r>
      <w:r>
        <w:rPr>
          <w:rFonts w:ascii="Times New Roman" w:hAnsi="Times New Roman" w:cs="Times New Roman"/>
          <w:noProof/>
        </w:rPr>
        <w:t>; ao apoio judiciário</w:t>
      </w:r>
      <w:r>
        <w:rPr>
          <w:rFonts w:ascii="Times New Roman" w:hAnsi="Times New Roman" w:cs="Times New Roman"/>
          <w:noProof/>
          <w:sz w:val="20"/>
          <w:vertAlign w:val="superscript"/>
        </w:rPr>
        <w:footnoteReference w:id="7"/>
      </w:r>
      <w:r>
        <w:rPr>
          <w:rFonts w:ascii="Times New Roman" w:hAnsi="Times New Roman" w:cs="Times New Roman"/>
          <w:noProof/>
        </w:rPr>
        <w:t xml:space="preserve"> e às garantias processuais para os menores</w:t>
      </w:r>
      <w:r>
        <w:rPr>
          <w:rFonts w:ascii="Times New Roman" w:hAnsi="Times New Roman" w:cs="Times New Roman"/>
          <w:noProof/>
          <w:sz w:val="20"/>
          <w:vertAlign w:val="superscript"/>
        </w:rPr>
        <w:footnoteReference w:id="8"/>
      </w:r>
      <w:r>
        <w:rPr>
          <w:rFonts w:ascii="Times New Roman" w:hAnsi="Times New Roman" w:cs="Times New Roman"/>
          <w:noProof/>
        </w:rPr>
        <w:t>. Esta última e as novas normas do Regulamento Bruxelas II</w:t>
      </w:r>
      <w:r>
        <w:rPr>
          <w:rFonts w:ascii="Times New Roman" w:hAnsi="Times New Roman" w:cs="Times New Roman"/>
          <w:noProof/>
        </w:rPr>
        <w:noBreakHyphen/>
        <w:t>A refletir</w:t>
      </w:r>
      <w:r>
        <w:rPr>
          <w:rFonts w:ascii="Times New Roman" w:hAnsi="Times New Roman" w:cs="Times New Roman"/>
          <w:noProof/>
        </w:rPr>
        <w:noBreakHyphen/>
        <w:t>se</w:t>
      </w:r>
      <w:r>
        <w:rPr>
          <w:rFonts w:ascii="Times New Roman" w:hAnsi="Times New Roman" w:cs="Times New Roman"/>
          <w:noProof/>
        </w:rPr>
        <w:noBreakHyphen/>
        <w:t xml:space="preserve">ão positivamente nos </w:t>
      </w:r>
      <w:r>
        <w:rPr>
          <w:rFonts w:ascii="Times New Roman" w:hAnsi="Times New Roman" w:cs="Times New Roman"/>
          <w:b/>
          <w:noProof/>
        </w:rPr>
        <w:t>direitos da criança</w:t>
      </w:r>
      <w:r>
        <w:rPr>
          <w:rFonts w:ascii="Times New Roman" w:hAnsi="Times New Roman" w:cs="Times New Roman"/>
          <w:noProof/>
        </w:rPr>
        <w:t xml:space="preserve"> (artigo 24.º da Carta).</w:t>
      </w:r>
    </w:p>
    <w:p>
      <w:pPr>
        <w:spacing w:after="120" w:line="360" w:lineRule="auto"/>
        <w:jc w:val="both"/>
        <w:rPr>
          <w:rFonts w:ascii="Times New Roman" w:eastAsia="Times New Roman" w:hAnsi="Times New Roman" w:cs="Times New Roman"/>
          <w:noProof/>
        </w:rPr>
      </w:pPr>
      <w:r>
        <w:rPr>
          <w:rFonts w:ascii="Times New Roman" w:hAnsi="Times New Roman" w:cs="Times New Roman"/>
          <w:noProof/>
        </w:rPr>
        <w:t>A Comissão criou uma plataforma de resolução de litígios em linha</w:t>
      </w:r>
      <w:r>
        <w:rPr>
          <w:rFonts w:ascii="Times New Roman" w:hAnsi="Times New Roman" w:cs="Times New Roman"/>
          <w:noProof/>
          <w:sz w:val="20"/>
          <w:vertAlign w:val="superscript"/>
        </w:rPr>
        <w:footnoteReference w:id="9"/>
      </w:r>
      <w:r>
        <w:rPr>
          <w:rFonts w:ascii="Times New Roman" w:hAnsi="Times New Roman" w:cs="Times New Roman"/>
          <w:noProof/>
        </w:rPr>
        <w:t xml:space="preserve">, que ajuda os consumidores a resolverem os seus litígios com comerciantes da UE relativos a compras em linha de forma extrajudicial, mais barata, mais simples, mais rápida e em qualquer língua oficial da União, reforçando, assim, a </w:t>
      </w:r>
      <w:r>
        <w:rPr>
          <w:rFonts w:ascii="Times New Roman" w:hAnsi="Times New Roman" w:cs="Times New Roman"/>
          <w:b/>
          <w:noProof/>
        </w:rPr>
        <w:t>defesa dos consumidores</w:t>
      </w:r>
      <w:r>
        <w:rPr>
          <w:rFonts w:ascii="Times New Roman" w:hAnsi="Times New Roman" w:cs="Times New Roman"/>
          <w:noProof/>
        </w:rPr>
        <w:t xml:space="preserve"> (artigo 38.º da Carta).</w:t>
      </w:r>
    </w:p>
    <w:p>
      <w:pPr>
        <w:pBdr>
          <w:top w:val="nil"/>
          <w:left w:val="nil"/>
          <w:bottom w:val="nil"/>
          <w:right w:val="nil"/>
          <w:between w:val="nil"/>
          <w:bar w:val="nil"/>
        </w:pBdr>
        <w:spacing w:before="120" w:after="120" w:line="360" w:lineRule="auto"/>
        <w:jc w:val="both"/>
        <w:rPr>
          <w:rFonts w:ascii="Times New Roman" w:eastAsia="Calibri" w:hAnsi="Times New Roman" w:cs="Times New Roman"/>
          <w:b/>
          <w:i/>
          <w:noProof/>
          <w:color w:val="000000"/>
          <w:u w:color="000000"/>
          <w:bdr w:val="nil"/>
        </w:rPr>
      </w:pPr>
      <w:r>
        <w:rPr>
          <w:rFonts w:ascii="Times New Roman" w:hAnsi="Times New Roman" w:cs="Times New Roman"/>
          <w:b/>
          <w:i/>
          <w:noProof/>
          <w:color w:val="000000"/>
          <w:u w:color="000000"/>
          <w:bdr w:val="nil"/>
        </w:rPr>
        <w:t>Proteção dos dados pessoais das pessoas na UE e em qualquer parte</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Outro domínio central em destaque em 2016 foi </w:t>
      </w:r>
      <w:r>
        <w:rPr>
          <w:rFonts w:ascii="Times New Roman" w:hAnsi="Times New Roman" w:cs="Times New Roman"/>
          <w:b/>
          <w:noProof/>
          <w:color w:val="000000"/>
          <w:u w:color="000000"/>
          <w:bdr w:val="nil"/>
        </w:rPr>
        <w:t>a proteção dos dados pessoais</w:t>
      </w:r>
      <w:r>
        <w:rPr>
          <w:rFonts w:ascii="Times New Roman" w:hAnsi="Times New Roman" w:cs="Times New Roman"/>
          <w:noProof/>
          <w:color w:val="000000"/>
          <w:u w:color="000000"/>
          <w:bdr w:val="nil"/>
        </w:rPr>
        <w:t xml:space="preserve"> (artigo 8.º da Carta). A adoção do Regulamento Geral de Proteção de Dados (RGPD)</w:t>
      </w:r>
      <w:r>
        <w:rPr>
          <w:rFonts w:ascii="Times New Roman" w:hAnsi="Times New Roman" w:cs="Times New Roman"/>
          <w:noProof/>
          <w:color w:val="000000"/>
          <w:sz w:val="20"/>
          <w:szCs w:val="20"/>
          <w:u w:color="000000"/>
          <w:bdr w:val="nil"/>
          <w:vertAlign w:val="superscript"/>
        </w:rPr>
        <w:footnoteReference w:id="10"/>
      </w:r>
      <w:r>
        <w:rPr>
          <w:rFonts w:ascii="Times New Roman" w:hAnsi="Times New Roman" w:cs="Times New Roman"/>
          <w:noProof/>
          <w:color w:val="000000"/>
          <w:u w:color="000000"/>
          <w:bdr w:val="nil"/>
        </w:rPr>
        <w:t xml:space="preserve"> e da Diretiva relativa à proteção dos dados destinados às autoridades policiais e judiciárias</w:t>
      </w:r>
      <w:r>
        <w:rPr>
          <w:rFonts w:ascii="Times New Roman" w:hAnsi="Times New Roman" w:cs="Times New Roman"/>
          <w:noProof/>
          <w:color w:val="000000"/>
          <w:sz w:val="20"/>
          <w:u w:color="000000"/>
          <w:bdr w:val="nil"/>
          <w:vertAlign w:val="superscript"/>
        </w:rPr>
        <w:footnoteReference w:id="11"/>
      </w:r>
      <w:r>
        <w:rPr>
          <w:rFonts w:ascii="Times New Roman" w:hAnsi="Times New Roman" w:cs="Times New Roman"/>
          <w:noProof/>
          <w:color w:val="000000"/>
          <w:u w:color="000000"/>
          <w:bdr w:val="nil"/>
        </w:rPr>
        <w:t xml:space="preserve"> representou um grande avanço nesta matéria.</w:t>
      </w:r>
    </w:p>
    <w:p>
      <w:pPr>
        <w:pBdr>
          <w:top w:val="nil"/>
          <w:left w:val="nil"/>
          <w:bottom w:val="nil"/>
          <w:right w:val="nil"/>
          <w:between w:val="nil"/>
          <w:bar w:val="nil"/>
        </w:pBdr>
        <w:spacing w:before="120" w:after="120" w:line="360" w:lineRule="auto"/>
        <w:jc w:val="both"/>
        <w:rPr>
          <w:rFonts w:ascii="Times New Roman" w:hAnsi="Times New Roman" w:cs="Times New Roman"/>
          <w:noProof/>
        </w:rPr>
      </w:pPr>
      <w:r>
        <w:rPr>
          <w:rFonts w:ascii="Times New Roman" w:hAnsi="Times New Roman" w:cs="Times New Roman"/>
          <w:noProof/>
          <w:color w:val="000000"/>
          <w:u w:color="000000"/>
          <w:bdr w:val="nil"/>
        </w:rPr>
        <w:t>O RGPD reforça e moderniza as normas em vigor: as pessoas terão maior facilidade de acesso aos seus dados pessoais, o direito à portabilidade dos dados, o «direito a serem esquecidos» devidamente clarificado e determinados direitos aplicáveis em caso de violação dos dados pessoais. O RGPD impõe ainda às empresas e organizações celeridade na notificação das violações graves dos dados pessoais à autoridade de controlo nacional, de modo que os utilizadores possam tomar medidas apropriadas. Mais estabelece, enquanto diploma legal único da UE, um conjunto único de normas, para que as pessoas gozem da mesma proteção em qualquer ponto da União.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 Diretiva (UE) 2016/680 visa estabelecer intercâmbios de informação eficientes entre as autoridades nacionais responsáveis pelo controlo da aplicação da legislação</w:t>
      </w:r>
      <w:r>
        <w:rPr>
          <w:rFonts w:ascii="Times New Roman" w:hAnsi="Times New Roman" w:cs="Times New Roman"/>
          <w:noProof/>
        </w:rPr>
        <w:t xml:space="preserve"> </w:t>
      </w:r>
      <w:r>
        <w:rPr>
          <w:rFonts w:ascii="Times New Roman" w:hAnsi="Times New Roman" w:cs="Times New Roman"/>
          <w:noProof/>
          <w:color w:val="000000"/>
          <w:u w:color="000000"/>
          <w:bdr w:val="nil"/>
        </w:rPr>
        <w:t>e assegurar que os dados de vítimas, testemunhas e suspeitos de crimes são devidamente protegidos no âmbito de um inquérito penal ou de uma medida coerciva. Todo o tratamento para efeitos de aplicação coerciva da lei na União terá de respeitar os princípios da necessidade, da proporcionalidade e da legalidade, e oferecer as adequadas garantias ao indivíduo.</w:t>
      </w:r>
    </w:p>
    <w:p>
      <w:pPr>
        <w:widowControl w:val="0"/>
        <w:spacing w:line="360" w:lineRule="auto"/>
        <w:jc w:val="both"/>
        <w:rPr>
          <w:rFonts w:ascii="Times New Roman" w:hAnsi="Times New Roman" w:cs="Times New Roman"/>
          <w:noProof/>
          <w:color w:val="000000"/>
          <w:u w:color="000000"/>
          <w:bdr w:val="nil"/>
        </w:rPr>
      </w:pPr>
      <w:r>
        <w:rPr>
          <w:rFonts w:ascii="Times New Roman" w:hAnsi="Times New Roman" w:cs="Times New Roman"/>
          <w:noProof/>
          <w:color w:val="000000"/>
          <w:u w:color="000000"/>
          <w:bdr w:val="nil"/>
        </w:rPr>
        <w:t xml:space="preserve">Juntamente com esta proteção reforçada no interior da UE, a Comissão assegurou também a proteção adequada no exterior da União. Em julho de 2016, adotou a Decisão sobre a adequação do </w:t>
      </w:r>
      <w:r>
        <w:rPr>
          <w:rFonts w:ascii="Times New Roman" w:hAnsi="Times New Roman" w:cs="Times New Roman"/>
          <w:b/>
          <w:noProof/>
          <w:color w:val="000000"/>
          <w:u w:color="000000"/>
          <w:bdr w:val="nil"/>
        </w:rPr>
        <w:t>Escudo de Proteção da Privacidade</w:t>
      </w:r>
      <w:r>
        <w:rPr>
          <w:rFonts w:ascii="Times New Roman" w:hAnsi="Times New Roman" w:cs="Times New Roman"/>
          <w:noProof/>
          <w:color w:val="000000"/>
          <w:u w:color="000000"/>
          <w:bdr w:val="nil"/>
        </w:rPr>
        <w:t xml:space="preserve"> UE</w:t>
      </w:r>
      <w:r>
        <w:rPr>
          <w:rFonts w:ascii="Times New Roman" w:hAnsi="Times New Roman" w:cs="Times New Roman"/>
          <w:noProof/>
          <w:color w:val="000000"/>
          <w:u w:color="000000"/>
          <w:bdr w:val="nil"/>
        </w:rPr>
        <w:noBreakHyphen/>
        <w:t>EUA, que assegura o livre fluxo de dados pessoais para efeitos comerciais entre empresas da UE e dos EUA certificadas nos termos do Escudo de Proteção da Privacidade, assegurando, simultaneamente, o direito fundamental à proteção dos dados.</w:t>
      </w:r>
    </w:p>
    <w:p>
      <w:pPr>
        <w:pBdr>
          <w:top w:val="nil"/>
          <w:left w:val="nil"/>
          <w:bottom w:val="nil"/>
          <w:right w:val="nil"/>
          <w:between w:val="nil"/>
          <w:bar w:val="nil"/>
        </w:pBdr>
        <w:spacing w:line="360" w:lineRule="auto"/>
        <w:jc w:val="both"/>
        <w:rPr>
          <w:rFonts w:ascii="Times New Roman" w:hAnsi="Times New Roman" w:cs="Times New Roman"/>
          <w:noProof/>
          <w:color w:val="000000"/>
          <w:u w:color="000000"/>
          <w:bdr w:val="nil"/>
        </w:rPr>
      </w:pPr>
      <w:r>
        <w:rPr>
          <w:rFonts w:ascii="Times New Roman" w:hAnsi="Times New Roman" w:cs="Times New Roman"/>
          <w:noProof/>
          <w:color w:val="000000"/>
          <w:u w:color="000000"/>
          <w:bdr w:val="nil"/>
        </w:rPr>
        <w:t xml:space="preserve">Outro marco foi a celebração, em dezembro, do </w:t>
      </w:r>
      <w:r>
        <w:rPr>
          <w:rFonts w:ascii="Times New Roman" w:hAnsi="Times New Roman" w:cs="Times New Roman"/>
          <w:b/>
          <w:noProof/>
          <w:color w:val="000000"/>
          <w:u w:color="000000"/>
          <w:bdr w:val="nil"/>
        </w:rPr>
        <w:t>Acordo Global</w:t>
      </w:r>
      <w:r>
        <w:rPr>
          <w:rFonts w:ascii="Times New Roman" w:hAnsi="Times New Roman" w:cs="Times New Roman"/>
          <w:noProof/>
          <w:sz w:val="20"/>
          <w:vertAlign w:val="superscript"/>
        </w:rPr>
        <w:footnoteReference w:id="12"/>
      </w:r>
      <w:r>
        <w:rPr>
          <w:rFonts w:ascii="Times New Roman" w:hAnsi="Times New Roman" w:cs="Times New Roman"/>
          <w:noProof/>
          <w:color w:val="000000"/>
          <w:u w:color="000000"/>
          <w:bdr w:val="nil"/>
        </w:rPr>
        <w:t xml:space="preserve"> entre a UE e os EUA, que prevê um elevado nível de proteção dos dados em qualquer transferência de dados pessoais entre a UE e os Estados Unidos no contexto da cooperação policial ou judicial em matéria penal.</w:t>
      </w:r>
    </w:p>
    <w:p>
      <w:pPr>
        <w:pBdr>
          <w:top w:val="nil"/>
          <w:left w:val="nil"/>
          <w:bottom w:val="nil"/>
          <w:right w:val="nil"/>
          <w:between w:val="nil"/>
          <w:bar w:val="nil"/>
        </w:pBdr>
        <w:spacing w:before="120" w:after="120" w:line="360" w:lineRule="auto"/>
        <w:jc w:val="both"/>
        <w:rPr>
          <w:rFonts w:ascii="Times New Roman" w:eastAsia="Calibri" w:hAnsi="Times New Roman" w:cs="Times New Roman"/>
          <w:b/>
          <w:i/>
          <w:noProof/>
          <w:color w:val="000000"/>
          <w:u w:color="000000"/>
          <w:bdr w:val="nil"/>
        </w:rPr>
      </w:pPr>
      <w:r>
        <w:rPr>
          <w:rFonts w:ascii="Times New Roman" w:hAnsi="Times New Roman" w:cs="Times New Roman"/>
          <w:b/>
          <w:i/>
          <w:noProof/>
          <w:color w:val="000000"/>
          <w:u w:color="000000"/>
          <w:bdr w:val="nil"/>
        </w:rPr>
        <w:t>Proteção dos direitos dos mais vulneráveis</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u w:color="000000"/>
          <w:bdr w:val="nil"/>
        </w:rPr>
        <w:t xml:space="preserve">Em tempos conturbados, os mais duramente afetados são amiúde os mais vulneráveis. </w:t>
      </w:r>
      <w:r>
        <w:rPr>
          <w:rFonts w:ascii="Times New Roman" w:hAnsi="Times New Roman" w:cs="Times New Roman"/>
          <w:noProof/>
          <w:color w:val="000000"/>
          <w:u w:color="000000"/>
          <w:bdr w:val="nil"/>
        </w:rPr>
        <w:t xml:space="preserve">A resolução da situação da migração, garantindo, em particular, a proteção do </w:t>
      </w:r>
      <w:r>
        <w:rPr>
          <w:rFonts w:ascii="Times New Roman" w:hAnsi="Times New Roman" w:cs="Times New Roman"/>
          <w:b/>
          <w:noProof/>
          <w:color w:val="000000"/>
          <w:u w:color="000000"/>
          <w:bdr w:val="nil"/>
        </w:rPr>
        <w:t xml:space="preserve">direito ao asilo </w:t>
      </w:r>
      <w:r>
        <w:rPr>
          <w:rFonts w:ascii="Times New Roman" w:hAnsi="Times New Roman" w:cs="Times New Roman"/>
          <w:noProof/>
          <w:color w:val="000000"/>
          <w:u w:color="000000"/>
          <w:bdr w:val="nil"/>
        </w:rPr>
        <w:t xml:space="preserve">(artigo 18.º da Carta) e o </w:t>
      </w:r>
      <w:r>
        <w:rPr>
          <w:rFonts w:ascii="Times New Roman" w:hAnsi="Times New Roman" w:cs="Times New Roman"/>
          <w:b/>
          <w:noProof/>
          <w:color w:val="000000"/>
          <w:u w:color="000000"/>
          <w:bdr w:val="nil"/>
        </w:rPr>
        <w:t>princípio da não</w:t>
      </w:r>
      <w:r>
        <w:rPr>
          <w:rFonts w:ascii="Times New Roman" w:hAnsi="Times New Roman" w:cs="Times New Roman"/>
          <w:b/>
          <w:noProof/>
          <w:color w:val="000000"/>
          <w:u w:color="000000"/>
          <w:bdr w:val="nil"/>
        </w:rPr>
        <w:noBreakHyphen/>
        <w:t xml:space="preserve">repulsão </w:t>
      </w:r>
      <w:r>
        <w:rPr>
          <w:rFonts w:ascii="Times New Roman" w:hAnsi="Times New Roman" w:cs="Times New Roman"/>
          <w:noProof/>
          <w:color w:val="000000"/>
          <w:u w:color="000000"/>
          <w:bdr w:val="nil"/>
        </w:rPr>
        <w:t>(artigo 19.º da Carta), foi outro domínio importante, que mereceu a atenção da UE em 2016. Na sequência da sua Comunicação sobre</w:t>
      </w:r>
      <w:r>
        <w:rPr>
          <w:rFonts w:ascii="Times New Roman" w:hAnsi="Times New Roman" w:cs="Times New Roman"/>
          <w:b/>
          <w:noProof/>
        </w:rPr>
        <w:t xml:space="preserve"> a reforma do Sistema Europeu Comum de Asilo (SECA)</w:t>
      </w:r>
      <w:r>
        <w:rPr>
          <w:rFonts w:ascii="Times New Roman" w:hAnsi="Times New Roman" w:cs="Times New Roman"/>
          <w:noProof/>
          <w:sz w:val="20"/>
          <w:vertAlign w:val="superscript"/>
        </w:rPr>
        <w:footnoteReference w:id="13"/>
      </w:r>
      <w:r>
        <w:rPr>
          <w:rFonts w:ascii="Times New Roman" w:hAnsi="Times New Roman" w:cs="Times New Roman"/>
          <w:noProof/>
          <w:u w:color="000000"/>
          <w:bdr w:val="nil"/>
        </w:rPr>
        <w:t>, em</w:t>
      </w:r>
      <w:r>
        <w:rPr>
          <w:rFonts w:ascii="Times New Roman" w:hAnsi="Times New Roman" w:cs="Times New Roman"/>
          <w:noProof/>
        </w:rPr>
        <w:t xml:space="preserve"> abril de 2016, a Comissão propôs alterações às normas que visam:</w:t>
      </w:r>
    </w:p>
    <w:p>
      <w:pPr>
        <w:pBdr>
          <w:top w:val="nil"/>
          <w:left w:val="nil"/>
          <w:bottom w:val="nil"/>
          <w:right w:val="nil"/>
          <w:between w:val="nil"/>
          <w:bar w:val="nil"/>
        </w:pBdr>
        <w:spacing w:before="120" w:after="120" w:line="360" w:lineRule="auto"/>
        <w:ind w:left="720"/>
        <w:jc w:val="both"/>
        <w:rPr>
          <w:rFonts w:ascii="Times New Roman" w:eastAsia="Times New Roman" w:hAnsi="Times New Roman" w:cs="Times New Roman"/>
          <w:noProof/>
        </w:rPr>
      </w:pPr>
      <w:r>
        <w:rPr>
          <w:rFonts w:ascii="Times New Roman" w:hAnsi="Times New Roman" w:cs="Times New Roman"/>
          <w:noProof/>
        </w:rPr>
        <w:t>i) o estabelecimento de um sistema mais justo e mais sustentável de repartição dos requerentes de asilo pelos Estados</w:t>
      </w:r>
      <w:r>
        <w:rPr>
          <w:rFonts w:ascii="Times New Roman" w:hAnsi="Times New Roman" w:cs="Times New Roman"/>
          <w:noProof/>
        </w:rPr>
        <w:noBreakHyphen/>
        <w:t>Membros (proposta de reformulação do Regulamento de Dublim)</w:t>
      </w:r>
      <w:r>
        <w:rPr>
          <w:rFonts w:ascii="Times New Roman" w:hAnsi="Times New Roman" w:cs="Times New Roman"/>
          <w:noProof/>
          <w:sz w:val="20"/>
          <w:vertAlign w:val="superscript"/>
        </w:rPr>
        <w:footnoteReference w:id="14"/>
      </w:r>
      <w:r>
        <w:rPr>
          <w:rFonts w:ascii="Times New Roman" w:hAnsi="Times New Roman" w:cs="Times New Roman"/>
          <w:noProof/>
        </w:rPr>
        <w:t xml:space="preserve"> e assegurar a sua aplicação eficaz (proposta de reformulação do Regulamento Eurodac)</w:t>
      </w:r>
      <w:r>
        <w:rPr>
          <w:rFonts w:ascii="Times New Roman" w:hAnsi="Times New Roman" w:cs="Times New Roman"/>
          <w:noProof/>
          <w:sz w:val="18"/>
          <w:vertAlign w:val="superscript"/>
        </w:rPr>
        <w:footnoteReference w:id="15"/>
      </w:r>
      <w:r>
        <w:rPr>
          <w:rFonts w:ascii="Times New Roman" w:hAnsi="Times New Roman" w:cs="Times New Roman"/>
          <w:noProof/>
        </w:rPr>
        <w:t>;</w:t>
      </w:r>
    </w:p>
    <w:p>
      <w:pPr>
        <w:pBdr>
          <w:top w:val="nil"/>
          <w:left w:val="nil"/>
          <w:bottom w:val="nil"/>
          <w:right w:val="nil"/>
          <w:between w:val="nil"/>
          <w:bar w:val="nil"/>
        </w:pBdr>
        <w:spacing w:before="120" w:after="120" w:line="360" w:lineRule="auto"/>
        <w:ind w:left="720"/>
        <w:jc w:val="both"/>
        <w:rPr>
          <w:rFonts w:ascii="Times New Roman" w:eastAsia="Times New Roman" w:hAnsi="Times New Roman" w:cs="Times New Roman"/>
          <w:noProof/>
        </w:rPr>
      </w:pPr>
      <w:r>
        <w:rPr>
          <w:rFonts w:ascii="Times New Roman" w:hAnsi="Times New Roman" w:cs="Times New Roman"/>
          <w:noProof/>
        </w:rPr>
        <w:t>ii) maior harmonização dos processos de asilo e das normas de proteção internacional, para assegurar elevados níveis de proteção e acolhimento, e salvaguardas adequadas para os requerentes de asilo em toda a UE, assim como para reduzir os movimentos secundários irregulares (propostas de regulamento relativo aos procedimentos de asilo</w:t>
      </w:r>
      <w:r>
        <w:rPr>
          <w:rFonts w:ascii="Times New Roman" w:hAnsi="Times New Roman" w:cs="Times New Roman"/>
          <w:noProof/>
          <w:sz w:val="20"/>
          <w:vertAlign w:val="superscript"/>
        </w:rPr>
        <w:footnoteReference w:id="16"/>
      </w:r>
      <w:r>
        <w:rPr>
          <w:rFonts w:ascii="Times New Roman" w:hAnsi="Times New Roman" w:cs="Times New Roman"/>
          <w:noProof/>
        </w:rPr>
        <w:t xml:space="preserve">, de regulamento «Qualificação» </w:t>
      </w:r>
      <w:r>
        <w:rPr>
          <w:rFonts w:ascii="Times New Roman" w:hAnsi="Times New Roman" w:cs="Times New Roman"/>
          <w:noProof/>
          <w:sz w:val="20"/>
          <w:vertAlign w:val="superscript"/>
        </w:rPr>
        <w:footnoteReference w:id="17"/>
      </w:r>
      <w:r>
        <w:rPr>
          <w:rFonts w:ascii="Times New Roman" w:hAnsi="Times New Roman" w:cs="Times New Roman"/>
          <w:noProof/>
        </w:rPr>
        <w:t xml:space="preserve"> e de reformulação da Diretiva «Condições de Acolhimento»</w:t>
      </w:r>
      <w:r>
        <w:rPr>
          <w:rFonts w:ascii="Times New Roman" w:hAnsi="Times New Roman" w:cs="Times New Roman"/>
          <w:noProof/>
          <w:sz w:val="20"/>
          <w:vertAlign w:val="superscript"/>
        </w:rPr>
        <w:footnoteReference w:id="18"/>
      </w:r>
      <w:r>
        <w:rPr>
          <w:rFonts w:ascii="Times New Roman" w:hAnsi="Times New Roman" w:cs="Times New Roman"/>
          <w:noProof/>
        </w:rPr>
        <w:t>);</w:t>
      </w:r>
    </w:p>
    <w:p>
      <w:pPr>
        <w:pBdr>
          <w:top w:val="nil"/>
          <w:left w:val="nil"/>
          <w:bottom w:val="nil"/>
          <w:right w:val="nil"/>
          <w:between w:val="nil"/>
          <w:bar w:val="nil"/>
        </w:pBdr>
        <w:spacing w:before="120" w:after="120" w:line="360" w:lineRule="auto"/>
        <w:ind w:left="720"/>
        <w:jc w:val="both"/>
        <w:rPr>
          <w:rFonts w:ascii="Times New Roman" w:eastAsia="Times New Roman" w:hAnsi="Times New Roman" w:cs="Times New Roman"/>
          <w:noProof/>
        </w:rPr>
      </w:pPr>
      <w:r>
        <w:rPr>
          <w:rFonts w:ascii="Times New Roman" w:hAnsi="Times New Roman" w:cs="Times New Roman"/>
          <w:noProof/>
        </w:rPr>
        <w:t>iii) uma abordagem comum facilitada para a entrada segura e lícita na UE das pessoas que necessitam de proteção internacional, em solidariedade com os países que acolhem um número elevado de pessoas deslocadas (proposta de Regulamento que institui o Quadro de Reinstalação da União</w:t>
      </w:r>
      <w:r>
        <w:rPr>
          <w:rFonts w:ascii="Times New Roman" w:hAnsi="Times New Roman" w:cs="Times New Roman"/>
          <w:noProof/>
          <w:vertAlign w:val="superscript"/>
        </w:rPr>
        <w:footnoteReference w:id="19"/>
      </w:r>
      <w:r>
        <w:rPr>
          <w:rFonts w:ascii="Times New Roman" w:hAnsi="Times New Roman" w:cs="Times New Roman"/>
          <w:noProof/>
        </w:rPr>
        <w:t>);</w:t>
      </w:r>
    </w:p>
    <w:p>
      <w:pPr>
        <w:pBdr>
          <w:top w:val="nil"/>
          <w:left w:val="nil"/>
          <w:bottom w:val="nil"/>
          <w:right w:val="nil"/>
          <w:between w:val="nil"/>
          <w:bar w:val="nil"/>
        </w:pBdr>
        <w:spacing w:before="120" w:after="120" w:line="360" w:lineRule="auto"/>
        <w:ind w:left="720"/>
        <w:jc w:val="both"/>
        <w:rPr>
          <w:rFonts w:ascii="Times New Roman" w:eastAsia="Times New Roman" w:hAnsi="Times New Roman" w:cs="Times New Roman"/>
          <w:noProof/>
        </w:rPr>
      </w:pPr>
      <w:r>
        <w:rPr>
          <w:rFonts w:ascii="Times New Roman" w:hAnsi="Times New Roman" w:cs="Times New Roman"/>
          <w:noProof/>
        </w:rPr>
        <w:t>iv) a conversão do Gabinete Europeu de Apoio ao Asilo numa agência da UE de pleno direito, com um mandato reforçado para corrigir deficiências estruturais do sistema de asilo da UE (proposta de Regulamento que cria a Agência da União Europeia para o Asilo</w:t>
      </w:r>
      <w:r>
        <w:rPr>
          <w:rFonts w:ascii="Times New Roman" w:hAnsi="Times New Roman" w:cs="Times New Roman"/>
          <w:noProof/>
          <w:sz w:val="20"/>
          <w:vertAlign w:val="superscript"/>
        </w:rPr>
        <w:footnoteReference w:id="20"/>
      </w:r>
      <w:r>
        <w:rPr>
          <w:rFonts w:ascii="Times New Roman" w:hAnsi="Times New Roman" w:cs="Times New Roman"/>
          <w:noProof/>
        </w:rPr>
        <w:t>).</w:t>
      </w:r>
    </w:p>
    <w:p>
      <w:pPr>
        <w:pBdr>
          <w:top w:val="nil"/>
          <w:left w:val="nil"/>
          <w:bottom w:val="nil"/>
          <w:right w:val="nil"/>
          <w:between w:val="nil"/>
          <w:bar w:val="nil"/>
        </w:pBdr>
        <w:spacing w:line="360" w:lineRule="auto"/>
        <w:jc w:val="both"/>
        <w:rPr>
          <w:rFonts w:ascii="Times New Roman" w:hAnsi="Times New Roman" w:cs="Times New Roman"/>
          <w:noProof/>
          <w:color w:val="000000"/>
          <w:u w:color="000000"/>
          <w:bdr w:val="nil"/>
        </w:rPr>
      </w:pPr>
      <w:r>
        <w:rPr>
          <w:rFonts w:ascii="Times New Roman" w:hAnsi="Times New Roman" w:cs="Times New Roman"/>
          <w:noProof/>
        </w:rPr>
        <w:t xml:space="preserve">A promoção e a proteção dos </w:t>
      </w:r>
      <w:r>
        <w:rPr>
          <w:rFonts w:ascii="Times New Roman" w:hAnsi="Times New Roman" w:cs="Times New Roman"/>
          <w:b/>
          <w:noProof/>
        </w:rPr>
        <w:t>direitos da criança</w:t>
      </w:r>
      <w:r>
        <w:rPr>
          <w:rFonts w:ascii="Times New Roman" w:hAnsi="Times New Roman" w:cs="Times New Roman"/>
          <w:noProof/>
        </w:rPr>
        <w:t xml:space="preserve"> (artigo 24.º da Carta) estiveram no cerne desta ação legislativa. Foi dada especial atenção aos menores não acompanhados em domínios</w:t>
      </w:r>
      <w:r>
        <w:rPr>
          <w:rFonts w:ascii="Times New Roman" w:hAnsi="Times New Roman" w:cs="Times New Roman"/>
          <w:noProof/>
        </w:rPr>
        <w:noBreakHyphen/>
        <w:t>chave, como o da apreciação do interesse superior do menor, o direito deste a ser ouvido em procedimentos de asilo, a garantia de condições de acolhimento adequadas e uma guarda eficaz</w:t>
      </w:r>
      <w:r>
        <w:rPr>
          <w:rFonts w:ascii="Times New Roman" w:hAnsi="Times New Roman" w:cs="Times New Roman"/>
          <w:noProof/>
          <w:sz w:val="20"/>
          <w:vertAlign w:val="superscript"/>
        </w:rPr>
        <w:footnoteReference w:id="21"/>
      </w:r>
      <w:r>
        <w:rPr>
          <w:rFonts w:ascii="Times New Roman" w:hAnsi="Times New Roman" w:cs="Times New Roman"/>
          <w:noProof/>
        </w:rPr>
        <w:t xml:space="preserve"> A abordagem abrangente da Comissão, no sentido da proteção de todos os migrantes menores, foi o tema central do</w:t>
      </w:r>
      <w:r>
        <w:rPr>
          <w:rFonts w:ascii="Times New Roman" w:hAnsi="Times New Roman" w:cs="Times New Roman"/>
          <w:b/>
          <w:noProof/>
        </w:rPr>
        <w:t xml:space="preserve"> </w:t>
      </w:r>
      <w:hyperlink r:id="rId16">
        <w:r>
          <w:rPr>
            <w:rFonts w:ascii="Times New Roman" w:hAnsi="Times New Roman" w:cs="Times New Roman"/>
            <w:noProof/>
          </w:rPr>
          <w:t>10.</w:t>
        </w:r>
        <w:r>
          <w:rPr>
            <w:rFonts w:ascii="Times New Roman" w:hAnsi="Times New Roman" w:cs="Times New Roman"/>
            <w:noProof/>
            <w:vertAlign w:val="superscript"/>
          </w:rPr>
          <w:t>º</w:t>
        </w:r>
        <w:r>
          <w:rPr>
            <w:rFonts w:ascii="Times New Roman" w:hAnsi="Times New Roman" w:cs="Times New Roman"/>
            <w:noProof/>
          </w:rPr>
          <w:t xml:space="preserve"> Fórum Europeu sobre os Direitos da Criança</w:t>
        </w:r>
      </w:hyperlink>
      <w:r>
        <w:rPr>
          <w:rFonts w:ascii="Times New Roman" w:hAnsi="Times New Roman" w:cs="Times New Roman"/>
          <w:noProof/>
        </w:rPr>
        <w:t>, realizado em novembro</w:t>
      </w:r>
      <w:r>
        <w:rPr>
          <w:rFonts w:ascii="Times New Roman" w:hAnsi="Times New Roman" w:cs="Times New Roman"/>
          <w:noProof/>
          <w:sz w:val="20"/>
          <w:vertAlign w:val="superscript"/>
        </w:rPr>
        <w:footnoteReference w:id="22"/>
      </w:r>
      <w:r>
        <w:rPr>
          <w:rFonts w:ascii="Times New Roman" w:hAnsi="Times New Roman" w:cs="Times New Roman"/>
          <w:noProof/>
        </w:rPr>
        <w:t>.</w:t>
      </w:r>
      <w:r>
        <w:rPr>
          <w:rFonts w:ascii="Times New Roman" w:hAnsi="Times New Roman" w:cs="Times New Roman"/>
          <w:noProof/>
          <w:u w:val="single"/>
        </w:rPr>
        <w:t xml:space="preserve"> </w:t>
      </w:r>
      <w:r>
        <w:rPr>
          <w:rFonts w:ascii="Times New Roman" w:hAnsi="Times New Roman" w:cs="Times New Roman"/>
          <w:noProof/>
        </w:rPr>
        <w:t>Em dezembro de 2016, a Comissão propôs o reforço do Sistema de Informação de Schengen</w:t>
      </w:r>
      <w:r>
        <w:rPr>
          <w:rFonts w:ascii="Times New Roman" w:hAnsi="Times New Roman" w:cs="Times New Roman"/>
          <w:noProof/>
          <w:sz w:val="20"/>
          <w:vertAlign w:val="superscript"/>
        </w:rPr>
        <w:footnoteReference w:id="23"/>
      </w:r>
      <w:r>
        <w:rPr>
          <w:rFonts w:ascii="Times New Roman" w:hAnsi="Times New Roman" w:cs="Times New Roman"/>
          <w:noProof/>
        </w:rPr>
        <w:t>, que aumentará a capacidade dos agentes responsáveis pela aplicação coerciva da lei e dos guardas de fronteira</w:t>
      </w:r>
      <w:r>
        <w:rPr>
          <w:rFonts w:ascii="Times New Roman" w:hAnsi="Times New Roman" w:cs="Times New Roman"/>
          <w:noProof/>
          <w:color w:val="000000"/>
          <w:u w:color="000000"/>
          <w:bdr w:val="nil"/>
        </w:rPr>
        <w:t xml:space="preserve"> para encontrarem menores desaparecidos, nomeadamente em situação de migração.</w:t>
      </w:r>
    </w:p>
    <w:p>
      <w:pPr>
        <w:pBdr>
          <w:top w:val="nil"/>
          <w:left w:val="nil"/>
          <w:bottom w:val="nil"/>
          <w:right w:val="nil"/>
          <w:between w:val="nil"/>
          <w:bar w:val="nil"/>
        </w:pBdr>
        <w:spacing w:before="120" w:after="120" w:line="360" w:lineRule="auto"/>
        <w:jc w:val="both"/>
        <w:rPr>
          <w:rFonts w:ascii="Times New Roman" w:eastAsia="Calibri" w:hAnsi="Times New Roman" w:cs="Times New Roman"/>
          <w:b/>
          <w:i/>
          <w:noProof/>
          <w:color w:val="000000"/>
          <w:u w:color="000000"/>
          <w:bdr w:val="nil"/>
        </w:rPr>
      </w:pPr>
      <w:r>
        <w:rPr>
          <w:rFonts w:ascii="Times New Roman" w:hAnsi="Times New Roman" w:cs="Times New Roman"/>
          <w:b/>
          <w:i/>
          <w:noProof/>
          <w:color w:val="000000"/>
          <w:u w:color="000000"/>
          <w:bdr w:val="nil"/>
        </w:rPr>
        <w:t>Promoção de sociedades abertas e tolerantes, isentas de racismo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O clima atual conduziu a um aumento do </w:t>
      </w:r>
      <w:r>
        <w:rPr>
          <w:rFonts w:ascii="Times New Roman" w:hAnsi="Times New Roman" w:cs="Times New Roman"/>
          <w:b/>
          <w:noProof/>
          <w:color w:val="000000"/>
          <w:u w:color="000000"/>
          <w:bdr w:val="nil"/>
        </w:rPr>
        <w:t>racismo e da intolerância contra minorias étnicas, religiosas e outras</w:t>
      </w:r>
      <w:r>
        <w:rPr>
          <w:rFonts w:ascii="Times New Roman" w:hAnsi="Times New Roman" w:cs="Times New Roman"/>
          <w:noProof/>
          <w:color w:val="000000"/>
          <w:u w:color="000000"/>
          <w:bdr w:val="nil"/>
        </w:rPr>
        <w:t>, na Europa.</w:t>
      </w:r>
      <w:r>
        <w:rPr>
          <w:rFonts w:ascii="Times New Roman" w:hAnsi="Times New Roman" w:cs="Times New Roman"/>
          <w:noProof/>
          <w:color w:val="000000"/>
          <w:sz w:val="20"/>
          <w:u w:color="000000"/>
          <w:bdr w:val="nil"/>
          <w:vertAlign w:val="superscript"/>
        </w:rPr>
        <w:footnoteReference w:id="24"/>
      </w:r>
      <w:r>
        <w:rPr>
          <w:rFonts w:ascii="Times New Roman" w:hAnsi="Times New Roman" w:cs="Times New Roman"/>
          <w:noProof/>
          <w:color w:val="000000"/>
          <w:u w:color="000000"/>
          <w:bdr w:val="nil"/>
        </w:rPr>
        <w:t>.</w:t>
      </w:r>
      <w:r>
        <w:rPr>
          <w:rFonts w:ascii="Times New Roman" w:hAnsi="Times New Roman" w:cs="Times New Roman"/>
          <w:noProof/>
        </w:rPr>
        <w:t xml:space="preserve"> </w:t>
      </w:r>
      <w:r>
        <w:rPr>
          <w:rFonts w:ascii="Times New Roman" w:hAnsi="Times New Roman" w:cs="Times New Roman"/>
          <w:noProof/>
          <w:color w:val="000000"/>
          <w:u w:color="000000"/>
          <w:bdr w:val="nil"/>
        </w:rPr>
        <w:t>Esta evolução afeta os direitos fundamentais consignados na Carta, nomeadamente o direito à não</w:t>
      </w:r>
      <w:r>
        <w:rPr>
          <w:rFonts w:ascii="Times New Roman" w:hAnsi="Times New Roman" w:cs="Times New Roman"/>
          <w:noProof/>
          <w:color w:val="000000"/>
          <w:u w:color="000000"/>
          <w:bdr w:val="nil"/>
        </w:rPr>
        <w:noBreakHyphen/>
        <w:t>discriminação (artigo 21.º), o direito à dignidade (artigo 1.º), o direito à integridade do ser humano (artigo 3.º) e o direito à vida (artigo 2.º).</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 Comissão facultou aos Estados</w:t>
      </w:r>
      <w:r>
        <w:rPr>
          <w:rFonts w:ascii="Times New Roman" w:hAnsi="Times New Roman" w:cs="Times New Roman"/>
          <w:noProof/>
          <w:color w:val="000000"/>
          <w:u w:color="000000"/>
          <w:bdr w:val="nil"/>
        </w:rPr>
        <w:noBreakHyphen/>
        <w:t>Membros, sociedade civil, agências da UE e organizações internacionais</w:t>
      </w:r>
      <w:r>
        <w:rPr>
          <w:rFonts w:ascii="Times New Roman" w:hAnsi="Times New Roman" w:cs="Times New Roman"/>
          <w:noProof/>
          <w:color w:val="000000"/>
          <w:sz w:val="20"/>
          <w:u w:color="000000"/>
          <w:bdr w:val="nil"/>
          <w:vertAlign w:val="superscript"/>
        </w:rPr>
        <w:footnoteReference w:id="25"/>
      </w:r>
      <w:r>
        <w:rPr>
          <w:rFonts w:ascii="Times New Roman" w:hAnsi="Times New Roman" w:cs="Times New Roman"/>
          <w:noProof/>
          <w:color w:val="000000"/>
          <w:u w:color="000000"/>
          <w:bdr w:val="nil"/>
        </w:rPr>
        <w:t xml:space="preserve"> uma plataforma para trabalharem em respostas melhoradas aos crimes e discursos de ódio. Foram privilegiadas as seguintes medidas:</w:t>
      </w:r>
    </w:p>
    <w:p>
      <w:pPr>
        <w:pStyle w:val="ListParagraph"/>
        <w:numPr>
          <w:ilvl w:val="0"/>
          <w:numId w:val="4"/>
        </w:num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registo e recolha de dados sobre incidentes de crimes de ódio em todos os Estados</w:t>
      </w:r>
      <w:r>
        <w:rPr>
          <w:rFonts w:ascii="Times New Roman" w:hAnsi="Times New Roman" w:cs="Times New Roman"/>
          <w:noProof/>
          <w:color w:val="000000"/>
          <w:u w:color="000000"/>
          <w:bdr w:val="nil"/>
        </w:rPr>
        <w:noBreakHyphen/>
        <w:t>Membros;</w:t>
      </w:r>
    </w:p>
    <w:p>
      <w:pPr>
        <w:pStyle w:val="ListParagraph"/>
        <w:numPr>
          <w:ilvl w:val="0"/>
          <w:numId w:val="4"/>
        </w:num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 reforço do apoio às vítimas;</w:t>
      </w:r>
    </w:p>
    <w:p>
      <w:pPr>
        <w:pStyle w:val="ListParagraph"/>
        <w:numPr>
          <w:ilvl w:val="0"/>
          <w:numId w:val="4"/>
        </w:num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combate ao discurso ilegal de incitação ao ódio em linha.</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rPr>
        <w:t>A par deste apoio à política vertente, a Comissão prosseguiu os diálogos bilaterais com os Estados</w:t>
      </w:r>
      <w:r>
        <w:rPr>
          <w:rFonts w:ascii="Times New Roman" w:hAnsi="Times New Roman" w:cs="Times New Roman"/>
          <w:noProof/>
        </w:rPr>
        <w:noBreakHyphen/>
        <w:t>Membros sobre as principais lacunas na sua transposição da legislação da UE</w:t>
      </w:r>
      <w:r>
        <w:rPr>
          <w:rFonts w:ascii="Times New Roman" w:hAnsi="Times New Roman" w:cs="Times New Roman"/>
          <w:noProof/>
          <w:sz w:val="20"/>
          <w:vertAlign w:val="superscript"/>
        </w:rPr>
        <w:footnoteReference w:id="26"/>
      </w:r>
      <w:r>
        <w:rPr>
          <w:rFonts w:ascii="Times New Roman" w:hAnsi="Times New Roman" w:cs="Times New Roman"/>
          <w:noProof/>
        </w:rPr>
        <w:t>. Em consequência desta ação, alguns Estados</w:t>
      </w:r>
      <w:r>
        <w:rPr>
          <w:rFonts w:ascii="Times New Roman" w:hAnsi="Times New Roman" w:cs="Times New Roman"/>
          <w:noProof/>
        </w:rPr>
        <w:noBreakHyphen/>
        <w:t>Membros alteraram a sua legislação penal.</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Para conter a difusão de discursos de incitação ao ódio em linha e capacitar os novos intervenientes dos meios de comunicação social, a Comissão celebrou, em 31 de maio, um acordo com </w:t>
      </w:r>
      <w:r>
        <w:rPr>
          <w:rFonts w:ascii="Times New Roman" w:hAnsi="Times New Roman" w:cs="Times New Roman"/>
          <w:i/>
          <w:noProof/>
          <w:color w:val="000000"/>
          <w:u w:color="000000"/>
          <w:bdr w:val="nil"/>
        </w:rPr>
        <w:t>Facebook</w:t>
      </w:r>
      <w:r>
        <w:rPr>
          <w:rFonts w:ascii="Times New Roman" w:hAnsi="Times New Roman" w:cs="Times New Roman"/>
          <w:noProof/>
          <w:color w:val="000000"/>
          <w:u w:color="000000"/>
          <w:bdr w:val="nil"/>
        </w:rPr>
        <w:t xml:space="preserve">, </w:t>
      </w:r>
      <w:r>
        <w:rPr>
          <w:rFonts w:ascii="Times New Roman" w:hAnsi="Times New Roman" w:cs="Times New Roman"/>
          <w:i/>
          <w:noProof/>
          <w:color w:val="000000"/>
          <w:u w:color="000000"/>
          <w:bdr w:val="nil"/>
        </w:rPr>
        <w:t>Twitter</w:t>
      </w:r>
      <w:r>
        <w:rPr>
          <w:rFonts w:ascii="Times New Roman" w:hAnsi="Times New Roman" w:cs="Times New Roman"/>
          <w:noProof/>
          <w:color w:val="000000"/>
          <w:u w:color="000000"/>
          <w:bdr w:val="nil"/>
        </w:rPr>
        <w:t xml:space="preserve">, </w:t>
      </w:r>
      <w:r>
        <w:rPr>
          <w:rFonts w:ascii="Times New Roman" w:hAnsi="Times New Roman" w:cs="Times New Roman"/>
          <w:i/>
          <w:noProof/>
          <w:color w:val="000000"/>
          <w:u w:color="000000"/>
          <w:bdr w:val="nil"/>
        </w:rPr>
        <w:t>YouTube</w:t>
      </w:r>
      <w:r>
        <w:rPr>
          <w:rFonts w:ascii="Times New Roman" w:hAnsi="Times New Roman" w:cs="Times New Roman"/>
          <w:noProof/>
          <w:color w:val="000000"/>
          <w:u w:color="000000"/>
          <w:bdr w:val="nil"/>
        </w:rPr>
        <w:t xml:space="preserve"> e </w:t>
      </w:r>
      <w:r>
        <w:rPr>
          <w:rFonts w:ascii="Times New Roman" w:hAnsi="Times New Roman" w:cs="Times New Roman"/>
          <w:i/>
          <w:noProof/>
          <w:color w:val="000000"/>
          <w:u w:color="000000"/>
          <w:bdr w:val="nil"/>
        </w:rPr>
        <w:t>Microsoft</w:t>
      </w:r>
      <w:r>
        <w:rPr>
          <w:rFonts w:ascii="Times New Roman" w:hAnsi="Times New Roman" w:cs="Times New Roman"/>
          <w:noProof/>
          <w:color w:val="000000"/>
          <w:u w:color="000000"/>
          <w:bdr w:val="nil"/>
        </w:rPr>
        <w:t xml:space="preserve"> sobre um </w:t>
      </w:r>
      <w:r>
        <w:rPr>
          <w:rFonts w:ascii="Times New Roman" w:hAnsi="Times New Roman" w:cs="Times New Roman"/>
          <w:b/>
          <w:noProof/>
          <w:color w:val="000000"/>
          <w:u w:color="000000"/>
          <w:bdr w:val="nil"/>
        </w:rPr>
        <w:t>código de conduta para a luta contra os discursos ilegais de incitação ao ódio em linha</w:t>
      </w:r>
      <w:r>
        <w:rPr>
          <w:rFonts w:ascii="Times New Roman" w:hAnsi="Times New Roman" w:cs="Times New Roman"/>
          <w:noProof/>
          <w:color w:val="000000"/>
          <w:sz w:val="20"/>
          <w:u w:color="000000"/>
          <w:bdr w:val="nil"/>
          <w:vertAlign w:val="superscript"/>
        </w:rPr>
        <w:footnoteReference w:id="27"/>
      </w:r>
      <w:r>
        <w:rPr>
          <w:rFonts w:ascii="Times New Roman" w:hAnsi="Times New Roman" w:cs="Times New Roman"/>
          <w:noProof/>
          <w:color w:val="000000"/>
          <w:u w:color="000000"/>
          <w:bdr w:val="nil"/>
        </w:rPr>
        <w:t>. As empresas comprometeram</w:t>
      </w:r>
      <w:r>
        <w:rPr>
          <w:rFonts w:ascii="Times New Roman" w:hAnsi="Times New Roman" w:cs="Times New Roman"/>
          <w:noProof/>
          <w:color w:val="000000"/>
          <w:u w:color="000000"/>
          <w:bdr w:val="nil"/>
        </w:rPr>
        <w:noBreakHyphen/>
        <w:t xml:space="preserve">se, </w:t>
      </w:r>
      <w:r>
        <w:rPr>
          <w:rFonts w:ascii="Times New Roman" w:hAnsi="Times New Roman" w:cs="Times New Roman"/>
          <w:i/>
          <w:noProof/>
          <w:color w:val="000000"/>
          <w:u w:color="000000"/>
          <w:bdr w:val="nil"/>
        </w:rPr>
        <w:t>inter alia</w:t>
      </w:r>
      <w:r>
        <w:rPr>
          <w:rFonts w:ascii="Times New Roman" w:hAnsi="Times New Roman" w:cs="Times New Roman"/>
          <w:noProof/>
          <w:color w:val="000000"/>
          <w:u w:color="000000"/>
          <w:bdr w:val="nil"/>
        </w:rPr>
        <w:t>, a:</w:t>
      </w:r>
    </w:p>
    <w:p>
      <w:pPr>
        <w:pStyle w:val="ListParagraph"/>
        <w:numPr>
          <w:ilvl w:val="0"/>
          <w:numId w:val="6"/>
        </w:num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analisarem</w:t>
      </w:r>
      <w:r>
        <w:rPr>
          <w:rFonts w:ascii="Times New Roman" w:hAnsi="Times New Roman" w:cs="Times New Roman"/>
          <w:noProof/>
        </w:rPr>
        <w:t xml:space="preserve"> </w:t>
      </w:r>
      <w:r>
        <w:rPr>
          <w:rFonts w:ascii="Times New Roman" w:hAnsi="Times New Roman" w:cs="Times New Roman"/>
          <w:noProof/>
          <w:color w:val="000000"/>
          <w:u w:color="000000"/>
          <w:bdr w:val="nil"/>
        </w:rPr>
        <w:t>em menos de 24 horas a maioria das notificações válidas recebidas de cidadãos e da sociedade civil para remoção de conteúdo ilegal de incitamento público à violência e ao ódio;</w:t>
      </w:r>
    </w:p>
    <w:p>
      <w:pPr>
        <w:pStyle w:val="ListParagraph"/>
        <w:numPr>
          <w:ilvl w:val="0"/>
          <w:numId w:val="6"/>
        </w:num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avaliá</w:t>
      </w:r>
      <w:r>
        <w:rPr>
          <w:rFonts w:ascii="Times New Roman" w:hAnsi="Times New Roman" w:cs="Times New Roman"/>
          <w:noProof/>
          <w:color w:val="000000"/>
          <w:u w:color="000000"/>
          <w:bdr w:val="nil"/>
        </w:rPr>
        <w:noBreakHyphen/>
        <w:t>las igualmente à luz das legislações penais nacionais que transpõem o direito da UE.</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 Comissão acompanha de perto o progresso na cooperação com a sociedade civil, os Estados</w:t>
      </w:r>
      <w:r>
        <w:rPr>
          <w:rFonts w:ascii="Times New Roman" w:hAnsi="Times New Roman" w:cs="Times New Roman"/>
          <w:noProof/>
          <w:color w:val="000000"/>
          <w:u w:color="000000"/>
          <w:bdr w:val="nil"/>
        </w:rPr>
        <w:noBreakHyphen/>
        <w:t>Membros e as empresas de TI, tendo apresentado resultados preliminares em dezembro</w:t>
      </w:r>
      <w:r>
        <w:rPr>
          <w:rFonts w:ascii="Times New Roman" w:hAnsi="Times New Roman" w:cs="Times New Roman"/>
          <w:noProof/>
          <w:color w:val="000000"/>
          <w:sz w:val="20"/>
          <w:u w:color="000000"/>
          <w:bdr w:val="nil"/>
          <w:vertAlign w:val="superscript"/>
        </w:rPr>
        <w:footnoteReference w:id="28"/>
      </w:r>
      <w:r>
        <w:rPr>
          <w:rFonts w:ascii="Times New Roman" w:hAnsi="Times New Roman" w:cs="Times New Roman"/>
          <w:noProof/>
          <w:color w:val="000000"/>
          <w:u w:color="000000"/>
          <w:bdr w:val="nil"/>
        </w:rPr>
        <w:t>.</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 promoção da literacia mediática, do pensamento crítico e de narrativas equilibradas em idades precoces são outras tantas ações determinantes que a UE apoia combate à intolerância em linha e fora de linha, assim como a educação (consultar secção 4).</w:t>
      </w:r>
    </w:p>
    <w:p>
      <w:pPr>
        <w:pBdr>
          <w:top w:val="nil"/>
          <w:left w:val="nil"/>
          <w:bottom w:val="nil"/>
          <w:right w:val="nil"/>
          <w:between w:val="nil"/>
          <w:bar w:val="nil"/>
        </w:pBdr>
        <w:spacing w:before="120" w:after="120" w:line="360" w:lineRule="auto"/>
        <w:jc w:val="both"/>
        <w:rPr>
          <w:rFonts w:ascii="Times New Roman" w:eastAsia="Cambria" w:hAnsi="Times New Roman" w:cs="Times New Roman"/>
          <w:b/>
          <w:bCs/>
          <w:i/>
          <w:iCs/>
          <w:noProof/>
          <w:color w:val="000000"/>
          <w:sz w:val="28"/>
          <w:szCs w:val="28"/>
          <w:u w:color="000000"/>
          <w:bdr w:val="nil"/>
        </w:rPr>
      </w:pPr>
      <w:r>
        <w:rPr>
          <w:rFonts w:ascii="Times New Roman" w:hAnsi="Times New Roman" w:cs="Times New Roman"/>
          <w:b/>
          <w:i/>
          <w:noProof/>
          <w:color w:val="000000"/>
          <w:sz w:val="28"/>
          <w:u w:color="000000"/>
          <w:bdr w:val="nil"/>
        </w:rPr>
        <w:t>2.2. Garantia do respeito dos direitos fundamentais</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As instituições, os órgãos, os organismos e as agências da União devem cumprir a Carta em todas as suas ações; o Tribunal de Justiça da União Europeia (TJUE) pode conhecer de qualquer caso de desrespeito destes direitos. A Comissão desenvolve grandes esforços na integração dos direitos fundamentais, ou seja, na garantia do seu cabal respeito em todas as suas propostas legislativas e políticas.</w:t>
      </w:r>
    </w:p>
    <w:p>
      <w:pPr>
        <w:pBdr>
          <w:top w:val="nil"/>
          <w:left w:val="nil"/>
          <w:bottom w:val="nil"/>
          <w:right w:val="nil"/>
          <w:between w:val="nil"/>
          <w:bar w:val="nil"/>
        </w:pBdr>
        <w:spacing w:line="360" w:lineRule="auto"/>
        <w:jc w:val="both"/>
        <w:rPr>
          <w:rFonts w:ascii="Times New Roman" w:hAnsi="Times New Roman" w:cs="Times New Roman"/>
          <w:noProof/>
        </w:rPr>
      </w:pPr>
      <w:r>
        <w:rPr>
          <w:rFonts w:ascii="Times New Roman" w:hAnsi="Times New Roman" w:cs="Times New Roman"/>
          <w:noProof/>
        </w:rPr>
        <w:t xml:space="preserve">A nova </w:t>
      </w:r>
      <w:r>
        <w:rPr>
          <w:rFonts w:ascii="Times New Roman" w:hAnsi="Times New Roman" w:cs="Times New Roman"/>
          <w:b/>
          <w:noProof/>
        </w:rPr>
        <w:t>diretiva relativa à luta contra o terrorismo</w:t>
      </w:r>
      <w:r>
        <w:rPr>
          <w:rFonts w:ascii="Times New Roman" w:hAnsi="Times New Roman" w:cs="Times New Roman"/>
          <w:noProof/>
        </w:rPr>
        <w:t>, sobre a qual o Parlamento Europeu e o Conselho chegaram a acordo em dezembro de 2016</w:t>
      </w:r>
      <w:r>
        <w:rPr>
          <w:rFonts w:ascii="Times New Roman" w:hAnsi="Times New Roman" w:cs="Times New Roman"/>
          <w:noProof/>
          <w:color w:val="000000"/>
          <w:sz w:val="20"/>
          <w:u w:color="000000"/>
          <w:bdr w:val="nil"/>
          <w:vertAlign w:val="superscript"/>
        </w:rPr>
        <w:footnoteReference w:id="29"/>
      </w:r>
      <w:r>
        <w:rPr>
          <w:rFonts w:ascii="Times New Roman" w:hAnsi="Times New Roman" w:cs="Times New Roman"/>
          <w:noProof/>
        </w:rPr>
        <w:t xml:space="preserve">, constitui um bom exemplo dessa integração. Inclui uma cláusula explícita – a primeira do género – relativa aos direitos fundamentais, tendo sido tidos em conta vários aspetos destes direitos na redação e no processo de negociação, inclusivamente a necessidade e a proporcionalidade das interferências com os direitos à liberdade de circulação, à proteção de dados e à liberdade de expressão (artigos 45.º, 8.º e 11.º da Carta). Foram também devidamente tidos em conta os princípios da legalidade e da proporcionalidade dos delitos e das penas (artigo 49.º da Carta) e os direitos das vítimas, inclusivamente o direito à ação e a um tribunal imparcial (artigo 47.º da Carta). A apreciação </w:t>
      </w:r>
      <w:r>
        <w:rPr>
          <w:rFonts w:ascii="Times New Roman" w:hAnsi="Times New Roman" w:cs="Times New Roman"/>
          <w:i/>
          <w:noProof/>
        </w:rPr>
        <w:t>ex post</w:t>
      </w:r>
      <w:r>
        <w:rPr>
          <w:rFonts w:ascii="Times New Roman" w:hAnsi="Times New Roman" w:cs="Times New Roman"/>
          <w:noProof/>
        </w:rPr>
        <w:t xml:space="preserve"> da diretiva incidirá igualmente no seu impacto nos direitos e liberdades fundamentais.</w:t>
      </w:r>
    </w:p>
    <w:p>
      <w:pPr>
        <w:pBdr>
          <w:top w:val="nil"/>
          <w:left w:val="nil"/>
          <w:bottom w:val="nil"/>
          <w:right w:val="nil"/>
          <w:between w:val="nil"/>
          <w:bar w:val="nil"/>
        </w:pBdr>
        <w:spacing w:line="360" w:lineRule="auto"/>
        <w:jc w:val="both"/>
        <w:rPr>
          <w:rFonts w:ascii="Times New Roman" w:hAnsi="Times New Roman" w:cs="Times New Roman"/>
          <w:noProof/>
        </w:rPr>
      </w:pPr>
      <w:r>
        <w:rPr>
          <w:rFonts w:ascii="Times New Roman" w:hAnsi="Times New Roman" w:cs="Times New Roman"/>
          <w:noProof/>
          <w:color w:val="000000"/>
          <w:u w:color="000000"/>
          <w:bdr w:val="nil"/>
        </w:rPr>
        <w:t xml:space="preserve">Em 2016, a Comissão adotou uma proposta de atualização do </w:t>
      </w:r>
      <w:r>
        <w:rPr>
          <w:rFonts w:ascii="Times New Roman" w:hAnsi="Times New Roman" w:cs="Times New Roman"/>
          <w:b/>
          <w:noProof/>
          <w:color w:val="000000"/>
          <w:u w:color="000000"/>
          <w:bdr w:val="nil"/>
        </w:rPr>
        <w:t>Regulamento UE de Controlo das Exportações</w:t>
      </w:r>
      <w:r>
        <w:rPr>
          <w:rFonts w:ascii="Times New Roman" w:hAnsi="Times New Roman" w:cs="Times New Roman"/>
          <w:noProof/>
          <w:color w:val="000000"/>
          <w:u w:color="000000"/>
          <w:bdr w:val="nil"/>
        </w:rPr>
        <w:t xml:space="preserve"> de produtos sensíveis (de dupla utilização)</w:t>
      </w:r>
      <w:r>
        <w:rPr>
          <w:rFonts w:ascii="Times New Roman" w:hAnsi="Times New Roman" w:cs="Times New Roman"/>
          <w:noProof/>
          <w:color w:val="000000"/>
          <w:sz w:val="20"/>
          <w:u w:color="000000"/>
          <w:bdr w:val="nil"/>
          <w:vertAlign w:val="superscript"/>
        </w:rPr>
        <w:footnoteReference w:id="30"/>
      </w:r>
      <w:r>
        <w:rPr>
          <w:rFonts w:ascii="Times New Roman" w:hAnsi="Times New Roman" w:cs="Times New Roman"/>
          <w:noProof/>
          <w:color w:val="000000"/>
          <w:u w:color="000000"/>
          <w:bdr w:val="nil"/>
        </w:rPr>
        <w:t xml:space="preserve">. O regulamento estabelece um quadro sólido de controlo das exportações de tecnologias de cibervigilância em que exista o risco da sua utilização abusiva para violar gravemente direitos humanos ou o direito internacional humanitário. Além disso, com base numa proposta da Comissão, as normas da UE que proíbem as exportações e importações de mercadorias suscetíveis de serem utilizadas para aplicar a pena de morte ou infligir tortura noutros países foram reforçadas mediante a adoção, em novembro, de uma alteração ao </w:t>
      </w:r>
      <w:r>
        <w:rPr>
          <w:rFonts w:ascii="Times New Roman" w:hAnsi="Times New Roman" w:cs="Times New Roman"/>
          <w:b/>
          <w:noProof/>
          <w:color w:val="000000"/>
          <w:u w:color="000000"/>
          <w:bdr w:val="nil"/>
        </w:rPr>
        <w:t>Regulamento «Luta contra a Tortura</w:t>
      </w:r>
      <w:r>
        <w:rPr>
          <w:rFonts w:ascii="Times New Roman" w:hAnsi="Times New Roman" w:cs="Times New Roman"/>
          <w:noProof/>
          <w:color w:val="000000"/>
          <w:sz w:val="20"/>
          <w:u w:color="000000"/>
          <w:bdr w:val="nil"/>
          <w:vertAlign w:val="superscript"/>
        </w:rPr>
        <w:footnoteReference w:id="31"/>
      </w:r>
      <w:r>
        <w:rPr>
          <w:rFonts w:ascii="Times New Roman" w:hAnsi="Times New Roman" w:cs="Times New Roman"/>
          <w:noProof/>
          <w:color w:val="000000"/>
          <w:u w:color="000000"/>
          <w:bdr w:val="nil"/>
        </w:rPr>
        <w:t>.</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rPr>
        <w:t>A integração estende</w:t>
      </w:r>
      <w:r>
        <w:rPr>
          <w:rFonts w:ascii="Times New Roman" w:hAnsi="Times New Roman" w:cs="Times New Roman"/>
          <w:noProof/>
        </w:rPr>
        <w:noBreakHyphen/>
        <w:t>se a outros domínios, como o da utilização de fundos da UE. Em 2016, a Comissão adotou orientações sobre a garantia do respeito da Carta pelos Estados</w:t>
      </w:r>
      <w:r>
        <w:rPr>
          <w:rFonts w:ascii="Times New Roman" w:hAnsi="Times New Roman" w:cs="Times New Roman"/>
          <w:noProof/>
        </w:rPr>
        <w:noBreakHyphen/>
        <w:t>Membros na aplicação dos</w:t>
      </w:r>
      <w:r>
        <w:rPr>
          <w:rFonts w:ascii="Times New Roman" w:hAnsi="Times New Roman" w:cs="Times New Roman"/>
          <w:b/>
          <w:noProof/>
        </w:rPr>
        <w:t xml:space="preserve"> Fundos Europeus Estruturais e de Investimento</w:t>
      </w:r>
      <w:r>
        <w:rPr>
          <w:rFonts w:ascii="Times New Roman" w:hAnsi="Times New Roman" w:cs="Times New Roman"/>
          <w:noProof/>
          <w:sz w:val="20"/>
          <w:vertAlign w:val="superscript"/>
        </w:rPr>
        <w:footnoteReference w:id="32"/>
      </w:r>
      <w:r>
        <w:rPr>
          <w:rFonts w:ascii="Times New Roman" w:hAnsi="Times New Roman" w:cs="Times New Roman"/>
          <w:noProof/>
        </w:rPr>
        <w:t>.</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No tocante à </w:t>
      </w:r>
      <w:r>
        <w:rPr>
          <w:rFonts w:ascii="Times New Roman" w:hAnsi="Times New Roman" w:cs="Times New Roman"/>
          <w:b/>
          <w:noProof/>
          <w:color w:val="000000"/>
          <w:u w:color="000000"/>
          <w:bdr w:val="nil"/>
        </w:rPr>
        <w:t>migração</w:t>
      </w:r>
      <w:r>
        <w:rPr>
          <w:rFonts w:ascii="Times New Roman" w:hAnsi="Times New Roman" w:cs="Times New Roman"/>
          <w:noProof/>
          <w:color w:val="000000"/>
          <w:u w:color="000000"/>
          <w:bdr w:val="nil"/>
        </w:rPr>
        <w:t>, no âmbito do inquérito conjunto do Provedor de Justiça Europeu relativo à avaliação de impacto dos direitos humanos da Declaração UE</w:t>
      </w:r>
      <w:r>
        <w:rPr>
          <w:rFonts w:ascii="Times New Roman" w:hAnsi="Times New Roman" w:cs="Times New Roman"/>
          <w:noProof/>
          <w:color w:val="000000"/>
          <w:u w:color="000000"/>
          <w:bdr w:val="nil"/>
        </w:rPr>
        <w:noBreakHyphen/>
        <w:t>Turquia, de 18 de março de 2016, a Comissão declarou que continuaria</w:t>
      </w:r>
      <w:r>
        <w:rPr>
          <w:rFonts w:ascii="Times New Roman" w:hAnsi="Times New Roman" w:cs="Times New Roman"/>
          <w:noProof/>
        </w:rPr>
        <w:t xml:space="preserve"> </w:t>
      </w:r>
      <w:r>
        <w:rPr>
          <w:rFonts w:ascii="Times New Roman" w:hAnsi="Times New Roman" w:cs="Times New Roman"/>
          <w:noProof/>
          <w:color w:val="000000"/>
          <w:u w:color="000000"/>
          <w:bdr w:val="nil"/>
        </w:rPr>
        <w:t>a acompanhar de perto a aplicação daquela declaração, designadamente no atinente ao respeito dos direitos humanos, tanto na UE quanto na Turquia</w:t>
      </w:r>
      <w:r>
        <w:rPr>
          <w:rFonts w:ascii="Times New Roman" w:hAnsi="Times New Roman" w:cs="Times New Roman"/>
          <w:noProof/>
          <w:color w:val="000000"/>
          <w:sz w:val="20"/>
          <w:u w:color="000000"/>
          <w:bdr w:val="nil"/>
          <w:vertAlign w:val="superscript"/>
        </w:rPr>
        <w:footnoteReference w:id="33"/>
      </w:r>
      <w:r>
        <w:rPr>
          <w:rFonts w:ascii="Times New Roman" w:hAnsi="Times New Roman" w:cs="Times New Roman"/>
          <w:noProof/>
          <w:color w:val="000000"/>
          <w:u w:color="000000"/>
          <w:bdr w:val="nil"/>
        </w:rPr>
        <w:t>.</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b/>
          <w:noProof/>
          <w:color w:val="000000"/>
          <w:u w:color="000000"/>
          <w:bdr w:val="nil"/>
        </w:rPr>
        <w:t>A adesão da UE à Convenção Europeia dos Direitos do Homem continua a ser uma prioridade para a Comissão</w:t>
      </w:r>
      <w:r>
        <w:rPr>
          <w:rFonts w:ascii="Times New Roman" w:hAnsi="Times New Roman" w:cs="Times New Roman"/>
          <w:noProof/>
          <w:color w:val="000000"/>
          <w:u w:color="000000"/>
          <w:bdr w:val="nil"/>
        </w:rPr>
        <w:t>, sobretudo por força do Tratado. Esta adesão reforçará os nossos valores comuns, aumentará a eficácia da legislação da UE e a coerência da proteção dos direitos fundamentais na União. Contudo, o parecer do TJUE de dezembro de 2014</w:t>
      </w:r>
      <w:r>
        <w:rPr>
          <w:rFonts w:ascii="Times New Roman" w:hAnsi="Times New Roman" w:cs="Times New Roman"/>
          <w:noProof/>
        </w:rPr>
        <w:t xml:space="preserve"> </w:t>
      </w:r>
      <w:r>
        <w:rPr>
          <w:rFonts w:ascii="Times New Roman" w:hAnsi="Times New Roman" w:cs="Times New Roman"/>
          <w:noProof/>
          <w:color w:val="000000"/>
          <w:u w:color="000000"/>
          <w:bdr w:val="nil"/>
        </w:rPr>
        <w:t>(que declarou o projeto de Acordo de Adesão de 2013 incompatível com os Tratados) suscitou várias questões importantes e complexas, que requerem a renegociação do projeto numa série de aspetos. Na sua capacidade de negociador da UE, a Comissão está a explorar soluções para resolver, no grupo de trabalho competente do Conselho, as várias questões suscitadas pelo Tribunal.</w:t>
      </w:r>
    </w:p>
    <w:p>
      <w:pPr>
        <w:keepNext/>
        <w:pBdr>
          <w:top w:val="nil"/>
          <w:left w:val="nil"/>
          <w:bottom w:val="nil"/>
          <w:right w:val="nil"/>
          <w:between w:val="nil"/>
          <w:bar w:val="nil"/>
        </w:pBdr>
        <w:spacing w:before="120" w:after="120" w:line="360" w:lineRule="auto"/>
        <w:jc w:val="both"/>
        <w:outlineLvl w:val="1"/>
        <w:rPr>
          <w:rFonts w:ascii="Times New Roman" w:eastAsia="Calibri" w:hAnsi="Times New Roman" w:cs="Times New Roman"/>
          <w:noProof/>
          <w:color w:val="000000"/>
          <w:u w:color="000000"/>
          <w:bdr w:val="nil"/>
        </w:rPr>
      </w:pPr>
      <w:r>
        <w:rPr>
          <w:rFonts w:ascii="Times New Roman" w:hAnsi="Times New Roman" w:cs="Times New Roman"/>
          <w:b/>
          <w:i/>
          <w:noProof/>
          <w:color w:val="000000"/>
          <w:sz w:val="28"/>
          <w:u w:color="000000"/>
          <w:bdr w:val="nil"/>
        </w:rPr>
        <w:t>2.3. Sensibilização para a Carta</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Para poderem beneficiar plenamente dos seus direitos fundamentais, os cidadãos têm de conhecer os seus direitos fundamentais. Têm também de saber a quem se dirigirem se os seus direitos forem violados. Em outubro de 2016, a Comissão lançou </w:t>
      </w:r>
      <w:r>
        <w:rPr>
          <w:rFonts w:ascii="Times New Roman" w:hAnsi="Times New Roman" w:cs="Times New Roman"/>
          <w:b/>
          <w:noProof/>
          <w:color w:val="000000"/>
          <w:u w:color="000000"/>
          <w:bdr w:val="nil"/>
        </w:rPr>
        <w:t>o assistente para os direitos fundamentais</w:t>
      </w:r>
      <w:r>
        <w:rPr>
          <w:rFonts w:ascii="Times New Roman" w:hAnsi="Times New Roman" w:cs="Times New Roman"/>
          <w:noProof/>
          <w:color w:val="000000"/>
          <w:sz w:val="20"/>
          <w:u w:color="000000"/>
          <w:bdr w:val="nil"/>
          <w:vertAlign w:val="superscript"/>
        </w:rPr>
        <w:footnoteReference w:id="34"/>
      </w:r>
      <w:r>
        <w:rPr>
          <w:rFonts w:ascii="Times New Roman" w:hAnsi="Times New Roman" w:cs="Times New Roman"/>
          <w:noProof/>
          <w:color w:val="000000"/>
          <w:u w:color="000000"/>
          <w:bdr w:val="nil"/>
        </w:rPr>
        <w:t>, uma ferramenta em linha que ajuda as pessoas a este respeito.</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Numa conferência organizada pela Presidência neerlandesa, em fevereiro de 2016, sobre «A aplicação política nacional da Carta dos Direitos Fundamentais», foram apresentadas</w:t>
      </w:r>
      <w:r>
        <w:rPr>
          <w:rFonts w:ascii="Times New Roman" w:hAnsi="Times New Roman" w:cs="Times New Roman"/>
          <w:noProof/>
        </w:rPr>
        <w:t xml:space="preserve"> </w:t>
      </w:r>
      <w:r>
        <w:rPr>
          <w:rFonts w:ascii="Times New Roman" w:hAnsi="Times New Roman" w:cs="Times New Roman"/>
          <w:noProof/>
          <w:color w:val="000000"/>
          <w:u w:color="000000"/>
          <w:bdr w:val="nil"/>
        </w:rPr>
        <w:t>várias boas práticas e ferramentas que podem ajudar as autoridades nacionais a decidirem do momento e do modo de aplicação da Carta, na elaboração de políticas e legislação nacionais.</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Além disso, a Comissão utiliza os fundos da UE para apoiar projetos e redes que analisam a jurisprudência nacional que remete para a Carta e que ministram aos profissionais da justiça formação sobre a sua aplicação.</w:t>
      </w:r>
    </w:p>
    <w:p>
      <w:pPr>
        <w:pBdr>
          <w:top w:val="nil"/>
          <w:left w:val="nil"/>
          <w:bottom w:val="nil"/>
          <w:right w:val="nil"/>
          <w:between w:val="nil"/>
          <w:bar w:val="nil"/>
        </w:pBdr>
        <w:spacing w:line="360" w:lineRule="auto"/>
        <w:jc w:val="both"/>
        <w:rPr>
          <w:rFonts w:ascii="Times New Roman" w:eastAsia="Cambria" w:hAnsi="Times New Roman" w:cs="Times New Roman"/>
          <w:b/>
          <w:bCs/>
          <w:i/>
          <w:iCs/>
          <w:noProof/>
          <w:color w:val="000000"/>
          <w:sz w:val="28"/>
          <w:szCs w:val="28"/>
          <w:u w:color="000000"/>
          <w:bdr w:val="nil"/>
        </w:rPr>
      </w:pPr>
      <w:r>
        <w:rPr>
          <w:rFonts w:ascii="Times New Roman" w:hAnsi="Times New Roman" w:cs="Times New Roman"/>
          <w:noProof/>
          <w:color w:val="000000"/>
          <w:u w:color="000000"/>
          <w:bdr w:val="nil"/>
        </w:rPr>
        <w:t xml:space="preserve">No seguimento do </w:t>
      </w:r>
      <w:r>
        <w:rPr>
          <w:rFonts w:ascii="Times New Roman" w:hAnsi="Times New Roman" w:cs="Times New Roman"/>
          <w:i/>
          <w:noProof/>
          <w:color w:val="000000"/>
          <w:u w:color="000000"/>
          <w:bdr w:val="nil"/>
        </w:rPr>
        <w:t>Relatório sobre a Carta</w:t>
      </w:r>
      <w:r>
        <w:rPr>
          <w:rFonts w:ascii="Times New Roman" w:hAnsi="Times New Roman" w:cs="Times New Roman"/>
          <w:noProof/>
          <w:color w:val="000000"/>
          <w:u w:color="000000"/>
          <w:bdr w:val="nil"/>
        </w:rPr>
        <w:t>, elaborado em 2015 pela Comissão, o Conselho adotou conclusões sobre a sua aplicação em junho</w:t>
      </w:r>
      <w:r>
        <w:rPr>
          <w:rFonts w:ascii="Times New Roman" w:hAnsi="Times New Roman" w:cs="Times New Roman"/>
          <w:noProof/>
          <w:color w:val="000000"/>
          <w:sz w:val="20"/>
          <w:u w:color="000000"/>
          <w:bdr w:val="nil"/>
          <w:vertAlign w:val="superscript"/>
        </w:rPr>
        <w:footnoteReference w:id="35"/>
      </w:r>
      <w:r>
        <w:rPr>
          <w:rFonts w:ascii="Times New Roman" w:hAnsi="Times New Roman" w:cs="Times New Roman"/>
          <w:noProof/>
          <w:color w:val="000000"/>
          <w:u w:color="000000"/>
          <w:bdr w:val="nil"/>
        </w:rPr>
        <w:t>, e, em dezembro, o Parlamento Europeu adotou uma resolução sobre a situação dos direitos fundamentais na União Europeia</w:t>
      </w:r>
      <w:r>
        <w:rPr>
          <w:rFonts w:ascii="Times New Roman" w:hAnsi="Times New Roman" w:cs="Times New Roman"/>
          <w:noProof/>
          <w:color w:val="000000"/>
          <w:sz w:val="20"/>
          <w:u w:color="000000"/>
          <w:bdr w:val="nil"/>
          <w:vertAlign w:val="superscript"/>
        </w:rPr>
        <w:footnoteReference w:id="36"/>
      </w:r>
      <w:r>
        <w:rPr>
          <w:rFonts w:ascii="Times New Roman" w:hAnsi="Times New Roman" w:cs="Times New Roman"/>
          <w:noProof/>
          <w:color w:val="000000"/>
          <w:u w:color="000000"/>
          <w:bdr w:val="nil"/>
        </w:rPr>
        <w:t>. Os debates no Conselho e no Parlamento Europeu contribuíram para aumentar a sensibilização para a evolução e os desafios dos direitos humanos na UE.</w:t>
      </w:r>
    </w:p>
    <w:p>
      <w:pPr>
        <w:pBdr>
          <w:top w:val="nil"/>
          <w:left w:val="nil"/>
          <w:bottom w:val="nil"/>
          <w:right w:val="nil"/>
          <w:between w:val="nil"/>
          <w:bar w:val="nil"/>
        </w:pBdr>
        <w:spacing w:line="360" w:lineRule="auto"/>
        <w:jc w:val="both"/>
        <w:rPr>
          <w:rFonts w:ascii="Times New Roman" w:eastAsia="Cambria" w:hAnsi="Times New Roman" w:cs="Times New Roman"/>
          <w:b/>
          <w:bCs/>
          <w:i/>
          <w:iCs/>
          <w:noProof/>
          <w:color w:val="000000"/>
          <w:sz w:val="28"/>
          <w:szCs w:val="28"/>
          <w:u w:color="000000"/>
          <w:bdr w:val="nil"/>
        </w:rPr>
      </w:pPr>
      <w:r>
        <w:rPr>
          <w:rFonts w:ascii="Times New Roman" w:hAnsi="Times New Roman" w:cs="Times New Roman"/>
          <w:b/>
          <w:i/>
          <w:noProof/>
          <w:color w:val="000000"/>
          <w:sz w:val="28"/>
          <w:u w:color="000000"/>
          <w:bdr w:val="nil"/>
        </w:rPr>
        <w:t>2.4 Controlo das instituições da UE pelo Tribunal de Justiça</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Nos processos apensos </w:t>
      </w:r>
      <w:r>
        <w:rPr>
          <w:rFonts w:ascii="Times New Roman" w:hAnsi="Times New Roman" w:cs="Times New Roman"/>
          <w:b/>
          <w:i/>
          <w:noProof/>
          <w:color w:val="000000"/>
          <w:u w:color="000000"/>
          <w:bdr w:val="nil"/>
        </w:rPr>
        <w:t>Ledra Advertising</w:t>
      </w:r>
      <w:r>
        <w:rPr>
          <w:rFonts w:ascii="Times New Roman" w:hAnsi="Times New Roman" w:cs="Times New Roman"/>
          <w:noProof/>
          <w:color w:val="000000"/>
          <w:u w:color="000000"/>
          <w:bdr w:val="nil"/>
        </w:rPr>
        <w:t xml:space="preserve"> e </w:t>
      </w:r>
      <w:r>
        <w:rPr>
          <w:rFonts w:ascii="Times New Roman" w:hAnsi="Times New Roman" w:cs="Times New Roman"/>
          <w:b/>
          <w:i/>
          <w:noProof/>
          <w:color w:val="000000"/>
          <w:u w:color="000000"/>
          <w:bdr w:val="nil"/>
        </w:rPr>
        <w:t>Mallis and Malli</w:t>
      </w:r>
      <w:r>
        <w:rPr>
          <w:rFonts w:ascii="Times New Roman" w:hAnsi="Times New Roman" w:cs="Times New Roman"/>
          <w:noProof/>
          <w:color w:val="000000"/>
          <w:sz w:val="20"/>
          <w:u w:color="000000"/>
          <w:bdr w:val="nil"/>
          <w:vertAlign w:val="superscript"/>
        </w:rPr>
        <w:footnoteReference w:id="37"/>
      </w:r>
      <w:r>
        <w:rPr>
          <w:rFonts w:ascii="Times New Roman" w:hAnsi="Times New Roman" w:cs="Times New Roman"/>
          <w:noProof/>
          <w:color w:val="000000"/>
          <w:u w:color="000000"/>
          <w:bdr w:val="nil"/>
        </w:rPr>
        <w:t>, o Tribunal rejeitou, em recurso, as ações de anulação e compensação intentadas por cidadãos e empresas contra a redução do valor dos seus depósitos em dois bancos em Chipre. Em causa estava o memorando de entendimento celebrado em 2013 entre as autoridades cipriotas e o Mecanismo Europeu de Estabilidade. O Tribunal salientou que a Carta se aplica às instituições da UE mesmo quando estas atuam fora do quadro jurídico da União. Assinalou ainda que a Comissão deve assegurar que um memorando de entendimento é consentâneo com os direitos fundamentais consagrados na Carta. A restrição do direito de propriedade (artigo 17.º da Carta) era justificada pelo objetivo prosseguido, ou seja, a estabilidade do conjunto do sistema bancário da área do euro, e pelo risco iminente de perda financeira a que os depositantes teriam ficado expostos se os dois bancos tivessem falido. O Tribunal concluiu, portanto, que não se poderia considerar que a Comissão tivesse contribuído para uma violação da Carta.</w:t>
      </w:r>
    </w:p>
    <w:p>
      <w:pPr>
        <w:keepNext/>
        <w:pBdr>
          <w:top w:val="nil"/>
          <w:left w:val="nil"/>
          <w:bottom w:val="nil"/>
          <w:right w:val="nil"/>
          <w:between w:val="nil"/>
          <w:bar w:val="nil"/>
        </w:pBdr>
        <w:spacing w:before="240" w:after="60"/>
        <w:jc w:val="both"/>
        <w:outlineLvl w:val="0"/>
        <w:rPr>
          <w:rFonts w:ascii="Times New Roman" w:eastAsia="Cambria" w:hAnsi="Times New Roman" w:cs="Times New Roman"/>
          <w:b/>
          <w:bCs/>
          <w:noProof/>
          <w:color w:val="000000"/>
          <w:kern w:val="32"/>
          <w:sz w:val="32"/>
          <w:szCs w:val="32"/>
          <w:u w:color="000000"/>
          <w:bdr w:val="nil"/>
        </w:rPr>
      </w:pPr>
      <w:r>
        <w:rPr>
          <w:rFonts w:ascii="Times New Roman" w:hAnsi="Times New Roman" w:cs="Times New Roman"/>
          <w:b/>
          <w:noProof/>
          <w:color w:val="000000"/>
          <w:kern w:val="32"/>
          <w:sz w:val="32"/>
          <w:u w:color="000000"/>
          <w:bdr w:val="nil"/>
        </w:rPr>
        <w:t>3. Aplicação da Carta nos Estados</w:t>
      </w:r>
      <w:r>
        <w:rPr>
          <w:rFonts w:ascii="Times New Roman" w:hAnsi="Times New Roman" w:cs="Times New Roman"/>
          <w:b/>
          <w:noProof/>
          <w:color w:val="000000"/>
          <w:kern w:val="32"/>
          <w:sz w:val="32"/>
          <w:u w:color="000000"/>
          <w:bdr w:val="nil"/>
        </w:rPr>
        <w:noBreakHyphen/>
        <w:t>Membros e pelos Estados</w:t>
      </w:r>
      <w:r>
        <w:rPr>
          <w:rFonts w:ascii="Times New Roman" w:hAnsi="Times New Roman" w:cs="Times New Roman"/>
          <w:b/>
          <w:noProof/>
          <w:color w:val="000000"/>
          <w:kern w:val="32"/>
          <w:sz w:val="32"/>
          <w:u w:color="000000"/>
          <w:bdr w:val="nil"/>
        </w:rPr>
        <w:noBreakHyphen/>
        <w:t>Membros</w:t>
      </w:r>
    </w:p>
    <w:p>
      <w:pPr>
        <w:keepNext/>
        <w:keepLines/>
        <w:spacing w:before="200" w:after="0"/>
        <w:outlineLvl w:val="1"/>
        <w:rPr>
          <w:rFonts w:ascii="Times New Roman" w:hAnsi="Times New Roman" w:cs="Times New Roman"/>
          <w:i/>
          <w:noProof/>
          <w:sz w:val="28"/>
          <w:u w:color="000000"/>
          <w:bdr w:val="nil"/>
        </w:rPr>
      </w:pPr>
      <w:r>
        <w:rPr>
          <w:rFonts w:ascii="Times New Roman" w:hAnsi="Times New Roman" w:cs="Times New Roman"/>
          <w:b/>
          <w:i/>
          <w:noProof/>
          <w:sz w:val="28"/>
          <w:u w:color="000000"/>
          <w:bdr w:val="nil"/>
        </w:rPr>
        <w:t>3.1 Evoluções dos direitos fundamentais e do Estado de direito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A Carta aplica</w:t>
      </w:r>
      <w:r>
        <w:rPr>
          <w:rFonts w:ascii="Times New Roman" w:hAnsi="Times New Roman" w:cs="Times New Roman"/>
          <w:noProof/>
          <w:u w:color="000000"/>
          <w:bdr w:val="nil"/>
        </w:rPr>
        <w:noBreakHyphen/>
        <w:t>se aos Estados</w:t>
      </w:r>
      <w:r>
        <w:rPr>
          <w:rFonts w:ascii="Times New Roman" w:hAnsi="Times New Roman" w:cs="Times New Roman"/>
          <w:noProof/>
          <w:u w:color="000000"/>
          <w:bdr w:val="nil"/>
        </w:rPr>
        <w:noBreakHyphen/>
        <w:t>Membros apenas quando estes aplicam o direito da UE. Por conseguinte, as ações por incumprimento contra os Estados</w:t>
      </w:r>
      <w:r>
        <w:rPr>
          <w:rFonts w:ascii="Times New Roman" w:hAnsi="Times New Roman" w:cs="Times New Roman"/>
          <w:noProof/>
          <w:u w:color="000000"/>
          <w:bdr w:val="nil"/>
        </w:rPr>
        <w:noBreakHyphen/>
        <w:t>Membros relativas a violações da Carta só podem ser intentadas quando se apura uma ligação suficiente com o direito da UE.</w:t>
      </w:r>
    </w:p>
    <w:p>
      <w:pPr>
        <w:spacing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Todavia, mesmo quando atuam fora do âmbito de aplicação do direito da UE, os Estados</w:t>
      </w:r>
      <w:r>
        <w:rPr>
          <w:rFonts w:ascii="Times New Roman" w:hAnsi="Times New Roman" w:cs="Times New Roman"/>
          <w:noProof/>
          <w:u w:color="000000"/>
          <w:bdr w:val="nil"/>
        </w:rPr>
        <w:noBreakHyphen/>
        <w:t>Membros estão obrigados a respeitar os valores em que assenta a União. O Estado de direito, em particular, é uma condição prévia para a proteção dos direitos fundamentais. Em 2014, a Comissão introduziu um quadro destinado a resolver situações de ameaças sistémicas emergentes ao Estado de direito, que não podem ser resolvidas eficazmente mediante salvaguardas ao nível nacional ou instrumentos existentes (sobretudo ações por incumprimento) ao nível da UE</w:t>
      </w:r>
      <w:r>
        <w:rPr>
          <w:rFonts w:ascii="Times New Roman" w:hAnsi="Times New Roman" w:cs="Times New Roman"/>
          <w:noProof/>
          <w:sz w:val="20"/>
          <w:u w:color="000000"/>
          <w:bdr w:val="nil"/>
          <w:vertAlign w:val="superscript"/>
        </w:rPr>
        <w:footnoteReference w:id="38"/>
      </w:r>
      <w:r>
        <w:rPr>
          <w:rFonts w:ascii="Times New Roman" w:hAnsi="Times New Roman" w:cs="Times New Roman"/>
          <w:noProof/>
          <w:u w:color="000000"/>
          <w:bdr w:val="nil"/>
        </w:rPr>
        <w:t>.</w:t>
      </w:r>
    </w:p>
    <w:p>
      <w:pPr>
        <w:spacing w:line="360" w:lineRule="auto"/>
        <w:jc w:val="both"/>
        <w:rPr>
          <w:rFonts w:ascii="Times New Roman" w:eastAsia="Calibri" w:hAnsi="Times New Roman" w:cs="Times New Roman"/>
          <w:noProof/>
          <w:u w:color="000000"/>
          <w:bdr w:val="nil"/>
        </w:rPr>
      </w:pPr>
      <w:r>
        <w:rPr>
          <w:rFonts w:ascii="Times New Roman" w:hAnsi="Times New Roman" w:cs="Times New Roman"/>
          <w:noProof/>
          <w:u w:color="000000"/>
          <w:bdr w:val="nil"/>
        </w:rPr>
        <w:t>Os acontecimentos na Polónia referentes, em especial, ao Tribunal Constitucional levaram a Comissão a emitir uma recomendação em julho de 2016</w:t>
      </w:r>
      <w:r>
        <w:rPr>
          <w:rFonts w:ascii="Times New Roman" w:hAnsi="Times New Roman" w:cs="Times New Roman"/>
          <w:noProof/>
          <w:sz w:val="20"/>
          <w:u w:color="000000"/>
          <w:bdr w:val="nil"/>
          <w:vertAlign w:val="superscript"/>
        </w:rPr>
        <w:footnoteReference w:id="39"/>
      </w:r>
      <w:r>
        <w:rPr>
          <w:rFonts w:ascii="Times New Roman" w:hAnsi="Times New Roman" w:cs="Times New Roman"/>
          <w:noProof/>
          <w:u w:color="000000"/>
          <w:bdr w:val="nil"/>
        </w:rPr>
        <w:t xml:space="preserve"> e uma recomendação complementar em dezembro de 2016</w:t>
      </w:r>
      <w:r>
        <w:rPr>
          <w:rFonts w:ascii="Times New Roman" w:hAnsi="Times New Roman" w:cs="Times New Roman"/>
          <w:noProof/>
          <w:sz w:val="20"/>
          <w:u w:color="000000"/>
          <w:bdr w:val="nil"/>
          <w:vertAlign w:val="superscript"/>
        </w:rPr>
        <w:footnoteReference w:id="40"/>
      </w:r>
      <w:r>
        <w:rPr>
          <w:rFonts w:ascii="Times New Roman" w:hAnsi="Times New Roman" w:cs="Times New Roman"/>
          <w:noProof/>
          <w:u w:color="000000"/>
          <w:bdr w:val="nil"/>
        </w:rPr>
        <w:t xml:space="preserve"> nos termos desse quadro. O facto de a legitimidade, a integridade e o correto funcionamento do Tribunal Constitucional serem afetados negativamente impede uma análise constitucional eficaz. A resolução desta situação é uma questão de interesse comum. É o próprio funcionamento da União que será posto em causa se o Estado de direito deixar de ser respeitado num dos seus Estados</w:t>
      </w:r>
      <w:r>
        <w:rPr>
          <w:rFonts w:ascii="Times New Roman" w:hAnsi="Times New Roman" w:cs="Times New Roman"/>
          <w:noProof/>
          <w:u w:color="000000"/>
          <w:bdr w:val="nil"/>
        </w:rPr>
        <w:noBreakHyphen/>
        <w:t>Membros.</w:t>
      </w:r>
    </w:p>
    <w:p>
      <w:pPr>
        <w:spacing w:line="360" w:lineRule="auto"/>
        <w:jc w:val="both"/>
        <w:rPr>
          <w:rFonts w:ascii="Times New Roman" w:hAnsi="Times New Roman" w:cs="Times New Roman"/>
          <w:noProof/>
          <w:u w:color="000000"/>
          <w:bdr w:val="nil"/>
        </w:rPr>
      </w:pPr>
      <w:r>
        <w:rPr>
          <w:rFonts w:ascii="Times New Roman" w:hAnsi="Times New Roman" w:cs="Times New Roman"/>
          <w:noProof/>
        </w:rPr>
        <w:t>Em outubro de 2016, o Parlamento Europeu adotou uma resolução sobre a criação de um mecanismo da UE para a democracia, o Estado de direito e os direitos fundamentais</w:t>
      </w:r>
      <w:r>
        <w:rPr>
          <w:rFonts w:ascii="Times New Roman" w:hAnsi="Times New Roman" w:cs="Times New Roman"/>
          <w:noProof/>
          <w:sz w:val="20"/>
          <w:vertAlign w:val="superscript"/>
        </w:rPr>
        <w:footnoteReference w:id="41"/>
      </w:r>
      <w:r>
        <w:rPr>
          <w:rFonts w:ascii="Times New Roman" w:hAnsi="Times New Roman" w:cs="Times New Roman"/>
          <w:noProof/>
        </w:rPr>
        <w:t>. A Comissão saudou o objetivo geral da resolução, que consiste em assegurar o respeito e a aplicação dos valores comuns da UE</w:t>
      </w:r>
      <w:r>
        <w:rPr>
          <w:rFonts w:ascii="Times New Roman" w:hAnsi="Times New Roman" w:cs="Times New Roman"/>
          <w:noProof/>
          <w:sz w:val="20"/>
          <w:vertAlign w:val="superscript"/>
        </w:rPr>
        <w:footnoteReference w:id="42"/>
      </w:r>
      <w:r>
        <w:rPr>
          <w:rFonts w:ascii="Times New Roman" w:hAnsi="Times New Roman" w:cs="Times New Roman"/>
          <w:noProof/>
        </w:rPr>
        <w:t xml:space="preserve">. Porém, a Comissão entende que se deve utilizar o melhor possível os instrumentos existentes, evitando, ao mesmo tempo, a duplicação de esforços. Vários intervenientes e instrumentos constituem já um conjunto de meios eficazes e complementares para promover e defender os valores comuns. A Comissão continuará a valorizar e a desenvolver esses meios. Uma das ideias subjacentes do Parlamento era </w:t>
      </w:r>
      <w:r>
        <w:rPr>
          <w:rFonts w:ascii="Times New Roman" w:hAnsi="Times New Roman" w:cs="Times New Roman"/>
          <w:noProof/>
          <w:u w:color="000000"/>
          <w:bdr w:val="nil"/>
        </w:rPr>
        <w:t>tornar a variedade de dados e relatórios sobre a situação dos direitos fundamentais nos Estados</w:t>
      </w:r>
      <w:r>
        <w:rPr>
          <w:rFonts w:ascii="Times New Roman" w:hAnsi="Times New Roman" w:cs="Times New Roman"/>
          <w:noProof/>
          <w:u w:color="000000"/>
          <w:bdr w:val="nil"/>
        </w:rPr>
        <w:noBreakHyphen/>
        <w:t>Membros mais acessível e visível, inclusivamente ao nível nacional. A Comissão congratulou</w:t>
      </w:r>
      <w:r>
        <w:rPr>
          <w:rFonts w:ascii="Times New Roman" w:hAnsi="Times New Roman" w:cs="Times New Roman"/>
          <w:noProof/>
          <w:u w:color="000000"/>
          <w:bdr w:val="nil"/>
        </w:rPr>
        <w:noBreakHyphen/>
        <w:t xml:space="preserve">se com essa ideia, dado que vários outros intervenientes </w:t>
      </w:r>
      <w:r>
        <w:rPr>
          <w:rFonts w:ascii="Times New Roman" w:hAnsi="Times New Roman" w:cs="Times New Roman"/>
          <w:noProof/>
          <w:u w:color="000000"/>
          <w:bdr w:val="nil"/>
        </w:rPr>
        <w:noBreakHyphen/>
        <w:t xml:space="preserve"> entre os quais o Conselho da Europa e a sua Comissão de Veneza, a Agência dos Direitos Fundamentais da UE (FRA) e ONG </w:t>
      </w:r>
      <w:r>
        <w:rPr>
          <w:rFonts w:ascii="Times New Roman" w:hAnsi="Times New Roman" w:cs="Times New Roman"/>
          <w:noProof/>
          <w:u w:color="000000"/>
          <w:bdr w:val="nil"/>
        </w:rPr>
        <w:noBreakHyphen/>
        <w:t xml:space="preserve"> recolhem informações sobre o Estado de direito, a democracia e os direitos fundamentais nos Estados</w:t>
      </w:r>
      <w:r>
        <w:rPr>
          <w:rFonts w:ascii="Times New Roman" w:hAnsi="Times New Roman" w:cs="Times New Roman"/>
          <w:noProof/>
          <w:u w:color="000000"/>
          <w:bdr w:val="nil"/>
        </w:rPr>
        <w:noBreakHyphen/>
        <w:t>Membros.</w:t>
      </w:r>
    </w:p>
    <w:p>
      <w:pPr>
        <w:spacing w:before="120" w:after="120" w:line="360" w:lineRule="auto"/>
        <w:jc w:val="both"/>
        <w:rPr>
          <w:rFonts w:ascii="Times New Roman" w:eastAsia="Cambria" w:hAnsi="Times New Roman" w:cs="Times New Roman"/>
          <w:b/>
          <w:bCs/>
          <w:i/>
          <w:iCs/>
          <w:noProof/>
          <w:color w:val="000000"/>
          <w:sz w:val="28"/>
          <w:szCs w:val="28"/>
          <w:u w:color="000000"/>
          <w:bdr w:val="nil"/>
        </w:rPr>
      </w:pPr>
      <w:r>
        <w:rPr>
          <w:rFonts w:ascii="Times New Roman" w:hAnsi="Times New Roman" w:cs="Times New Roman"/>
          <w:b/>
          <w:i/>
          <w:noProof/>
          <w:color w:val="000000"/>
          <w:sz w:val="28"/>
          <w:u w:color="000000"/>
          <w:bdr w:val="nil"/>
        </w:rPr>
        <w:t>3.2 Orientações do Tribunal de Justiça para os Estados</w:t>
      </w:r>
      <w:r>
        <w:rPr>
          <w:rFonts w:ascii="Times New Roman" w:hAnsi="Times New Roman" w:cs="Times New Roman"/>
          <w:b/>
          <w:i/>
          <w:noProof/>
          <w:color w:val="000000"/>
          <w:sz w:val="28"/>
          <w:u w:color="000000"/>
          <w:bdr w:val="nil"/>
        </w:rPr>
        <w:noBreakHyphen/>
        <w:t>Membros</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O TJUE continuou a emitir orientações (no âmbito do sistema de pedidos de decisão a título prejudicial) para os tribunais nacionais sobre a aplicabilidade e a interpretação da Carta.</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Nos processos apensos </w:t>
      </w:r>
      <w:r>
        <w:rPr>
          <w:rFonts w:ascii="Times New Roman" w:hAnsi="Times New Roman" w:cs="Times New Roman"/>
          <w:b/>
          <w:i/>
          <w:noProof/>
          <w:color w:val="000000"/>
          <w:u w:color="000000"/>
          <w:bdr w:val="nil"/>
        </w:rPr>
        <w:t>Tele2 Sverige AB</w:t>
      </w:r>
      <w:r>
        <w:rPr>
          <w:rFonts w:ascii="Times New Roman" w:hAnsi="Times New Roman" w:cs="Times New Roman"/>
          <w:noProof/>
          <w:color w:val="000000"/>
          <w:u w:color="000000"/>
          <w:bdr w:val="nil"/>
          <w:vertAlign w:val="superscript"/>
        </w:rPr>
        <w:footnoteReference w:id="43"/>
      </w:r>
      <w:r>
        <w:rPr>
          <w:rFonts w:ascii="Times New Roman" w:hAnsi="Times New Roman" w:cs="Times New Roman"/>
          <w:noProof/>
          <w:color w:val="000000"/>
          <w:u w:color="000000"/>
          <w:bdr w:val="nil"/>
        </w:rPr>
        <w:t xml:space="preserve"> e </w:t>
      </w:r>
      <w:r>
        <w:rPr>
          <w:rFonts w:ascii="Times New Roman" w:hAnsi="Times New Roman" w:cs="Times New Roman"/>
          <w:b/>
          <w:i/>
          <w:noProof/>
          <w:color w:val="000000"/>
          <w:u w:color="000000"/>
          <w:bdr w:val="nil"/>
        </w:rPr>
        <w:t>Tom Watson e.a</w:t>
      </w:r>
      <w:r>
        <w:rPr>
          <w:rFonts w:ascii="Times New Roman" w:hAnsi="Times New Roman" w:cs="Times New Roman"/>
          <w:noProof/>
          <w:color w:val="000000"/>
          <w:u w:color="000000"/>
          <w:bdr w:val="nil"/>
          <w:vertAlign w:val="superscript"/>
        </w:rPr>
        <w:footnoteReference w:id="44"/>
      </w:r>
      <w:r>
        <w:rPr>
          <w:rFonts w:ascii="Times New Roman" w:hAnsi="Times New Roman" w:cs="Times New Roman"/>
          <w:noProof/>
          <w:color w:val="000000"/>
          <w:u w:color="000000"/>
          <w:bdr w:val="nil"/>
        </w:rPr>
        <w:t>, o Tribunal examinou as leis de dois Estados</w:t>
      </w:r>
      <w:r>
        <w:rPr>
          <w:rFonts w:ascii="Times New Roman" w:hAnsi="Times New Roman" w:cs="Times New Roman"/>
          <w:noProof/>
          <w:color w:val="000000"/>
          <w:u w:color="000000"/>
          <w:bdr w:val="nil"/>
        </w:rPr>
        <w:noBreakHyphen/>
        <w:t>Membros que requeriam a conservação geral e indiscriminada de dados sobre tráfego e localização de todos os subscritores e utilizadores registados de todos os meios de comunicação eletrónica. O Tribunal concluiu que essas leis restringiam os direitos fundamentais à vida privada e à proteção de dados pessoais (artigos 7.º e 8.º da Carta). Atendendo ao seu vasto âmbito e às limitadas salvaguardas, nenhuma dessas restrições foi considerada justificada, mesmo nos casos em que o objetivo era combater a criminalidade grave. Contudo, tal objetivo poderá justificar uma conservação seletiva dos dados de tráfego e de localização, desde que a sua conservação se limite</w:t>
      </w:r>
      <w:r>
        <w:rPr>
          <w:rFonts w:ascii="Times New Roman" w:hAnsi="Times New Roman" w:cs="Times New Roman"/>
          <w:noProof/>
        </w:rPr>
        <w:t xml:space="preserve"> </w:t>
      </w:r>
      <w:r>
        <w:rPr>
          <w:rFonts w:ascii="Times New Roman" w:hAnsi="Times New Roman" w:cs="Times New Roman"/>
          <w:noProof/>
          <w:color w:val="000000"/>
          <w:u w:color="000000"/>
          <w:bdr w:val="nil"/>
        </w:rPr>
        <w:t>ao estritamente necessário, no que se refere às categorias de dados a conservar, aos equipamentos de comunicação visados, às pessoas em causa e ao período de conservação.</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No processo </w:t>
      </w:r>
      <w:r>
        <w:rPr>
          <w:rFonts w:ascii="Times New Roman" w:hAnsi="Times New Roman" w:cs="Times New Roman"/>
          <w:b/>
          <w:i/>
          <w:noProof/>
          <w:color w:val="000000"/>
          <w:u w:color="000000"/>
          <w:bdr w:val="nil"/>
        </w:rPr>
        <w:t>GS Media BV</w:t>
      </w:r>
      <w:r>
        <w:rPr>
          <w:rFonts w:ascii="Times New Roman" w:hAnsi="Times New Roman" w:cs="Times New Roman"/>
          <w:noProof/>
          <w:color w:val="000000"/>
          <w:sz w:val="20"/>
          <w:u w:color="000000"/>
          <w:bdr w:val="nil"/>
          <w:vertAlign w:val="superscript"/>
        </w:rPr>
        <w:footnoteReference w:id="45"/>
      </w:r>
      <w:r>
        <w:rPr>
          <w:rFonts w:ascii="Times New Roman" w:hAnsi="Times New Roman" w:cs="Times New Roman"/>
          <w:noProof/>
          <w:color w:val="000000"/>
          <w:u w:color="000000"/>
          <w:bdr w:val="nil"/>
        </w:rPr>
        <w:t xml:space="preserve">, o Tribunal deliberou sobre a </w:t>
      </w:r>
      <w:r>
        <w:rPr>
          <w:rFonts w:ascii="Times New Roman" w:hAnsi="Times New Roman" w:cs="Times New Roman"/>
          <w:b/>
          <w:noProof/>
          <w:color w:val="000000"/>
          <w:u w:color="000000"/>
          <w:bdr w:val="nil"/>
        </w:rPr>
        <w:t>colocação de hiperligações</w:t>
      </w:r>
      <w:r>
        <w:rPr>
          <w:rFonts w:ascii="Times New Roman" w:hAnsi="Times New Roman" w:cs="Times New Roman"/>
          <w:noProof/>
          <w:color w:val="000000"/>
          <w:u w:color="000000"/>
          <w:bdr w:val="nil"/>
        </w:rPr>
        <w:t xml:space="preserve"> no contexto do direito fundamental à liberdade de expressão (artigo 11.º da Carta). Uma empresa de comunicação social colocou no seu sítio </w:t>
      </w:r>
      <w:r>
        <w:rPr>
          <w:rFonts w:ascii="Times New Roman" w:hAnsi="Times New Roman" w:cs="Times New Roman"/>
          <w:i/>
          <w:noProof/>
          <w:color w:val="000000"/>
          <w:u w:color="000000"/>
          <w:bdr w:val="nil"/>
        </w:rPr>
        <w:t>web</w:t>
      </w:r>
      <w:r>
        <w:rPr>
          <w:rFonts w:ascii="Times New Roman" w:hAnsi="Times New Roman" w:cs="Times New Roman"/>
          <w:noProof/>
          <w:color w:val="000000"/>
          <w:u w:color="000000"/>
          <w:bdr w:val="nil"/>
        </w:rPr>
        <w:t xml:space="preserve"> uma hiperligação que encaminhava os visitantes para outros sítios </w:t>
      </w:r>
      <w:r>
        <w:rPr>
          <w:rFonts w:ascii="Times New Roman" w:hAnsi="Times New Roman" w:cs="Times New Roman"/>
          <w:i/>
          <w:noProof/>
          <w:color w:val="000000"/>
          <w:u w:color="000000"/>
          <w:bdr w:val="nil"/>
        </w:rPr>
        <w:t>web</w:t>
      </w:r>
      <w:r>
        <w:rPr>
          <w:rFonts w:ascii="Times New Roman" w:hAnsi="Times New Roman" w:cs="Times New Roman"/>
          <w:noProof/>
          <w:color w:val="000000"/>
          <w:u w:color="000000"/>
          <w:bdr w:val="nil"/>
        </w:rPr>
        <w:t xml:space="preserve"> onde se encontravam disponíveis fotografias de uma celebridade tiradas pela revista </w:t>
      </w:r>
      <w:r>
        <w:rPr>
          <w:rFonts w:ascii="Times New Roman" w:hAnsi="Times New Roman" w:cs="Times New Roman"/>
          <w:i/>
          <w:noProof/>
          <w:color w:val="000000"/>
          <w:u w:color="000000"/>
          <w:bdr w:val="nil"/>
        </w:rPr>
        <w:t>Playboy</w:t>
      </w:r>
      <w:r>
        <w:rPr>
          <w:rFonts w:ascii="Times New Roman" w:hAnsi="Times New Roman" w:cs="Times New Roman"/>
          <w:noProof/>
          <w:color w:val="000000"/>
          <w:u w:color="000000"/>
          <w:bdr w:val="nil"/>
        </w:rPr>
        <w:t>. Dado que o titular dos direitos de autor não autorizara a publicação de fotografias nesses sítios, o editor da revista alegou que tal colocação infringia os direitos de autor. A empresa de comunicação social continuou a disponibilizar as hiperligações ou outras similares, quando algumas das anteriores ficaram indisponíveis. À luz da diretiva da UE aplicável, relativa aos direitos de autor</w:t>
      </w:r>
      <w:r>
        <w:rPr>
          <w:rFonts w:ascii="Times New Roman" w:hAnsi="Times New Roman" w:cs="Times New Roman"/>
          <w:noProof/>
          <w:color w:val="000000"/>
          <w:sz w:val="20"/>
          <w:u w:color="000000"/>
          <w:bdr w:val="nil"/>
          <w:vertAlign w:val="superscript"/>
        </w:rPr>
        <w:footnoteReference w:id="46"/>
      </w:r>
      <w:r>
        <w:rPr>
          <w:rFonts w:ascii="Times New Roman" w:hAnsi="Times New Roman" w:cs="Times New Roman"/>
          <w:noProof/>
          <w:color w:val="000000"/>
          <w:u w:color="000000"/>
          <w:bdr w:val="nil"/>
        </w:rPr>
        <w:t xml:space="preserve">, o Tribunal decidiu que a comunicação ao público de qualquer obra tem de ser autorizada pelo titular dos direitos de autor. O Tribunal declarou que a distribuição de hiperligações para obras nos sítios </w:t>
      </w:r>
      <w:r>
        <w:rPr>
          <w:rFonts w:ascii="Times New Roman" w:hAnsi="Times New Roman" w:cs="Times New Roman"/>
          <w:i/>
          <w:noProof/>
          <w:color w:val="000000"/>
          <w:u w:color="000000"/>
          <w:bdr w:val="nil"/>
        </w:rPr>
        <w:t>web</w:t>
      </w:r>
      <w:r>
        <w:rPr>
          <w:rFonts w:ascii="Times New Roman" w:hAnsi="Times New Roman" w:cs="Times New Roman"/>
          <w:noProof/>
          <w:color w:val="000000"/>
          <w:u w:color="000000"/>
          <w:bdr w:val="nil"/>
        </w:rPr>
        <w:t xml:space="preserve"> em questão, sem a autorização do titular dos direitos de autor, constituía uma «comunicação ao público». Reconheceu, porém, que, em determinados casos, possa ser difícil para a pessoa que coloca a hiperligação aferir da existência de uma autorização. Neste contexto, tinha de se estabelecer um equilíbrio justo entre o direito do titular dos direitos de autor e o direito à liberdade de expressão da pessoa que coloca a hiperligação. Todavia, se esta última tinha ou devia ter conhecimento das infrações de direitos de autor, como no caso vertente, as suas ações constituíam «comunicação ao público» sem o consentimento do titular dos direitos de autor.</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highlight w:val="cyan"/>
          <w:u w:color="000000"/>
          <w:bdr w:val="nil"/>
        </w:rPr>
      </w:pPr>
      <w:r>
        <w:rPr>
          <w:rFonts w:ascii="Times New Roman" w:hAnsi="Times New Roman" w:cs="Times New Roman"/>
          <w:noProof/>
          <w:color w:val="000000"/>
          <w:u w:color="000000"/>
          <w:bdr w:val="nil"/>
        </w:rPr>
        <w:t xml:space="preserve">O acórdão nos processos apensos, </w:t>
      </w:r>
      <w:r>
        <w:rPr>
          <w:rFonts w:ascii="Times New Roman" w:hAnsi="Times New Roman" w:cs="Times New Roman"/>
          <w:b/>
          <w:i/>
          <w:noProof/>
          <w:color w:val="000000"/>
          <w:u w:color="000000"/>
          <w:bdr w:val="nil"/>
        </w:rPr>
        <w:t xml:space="preserve">Aranyosi </w:t>
      </w:r>
      <w:r>
        <w:rPr>
          <w:rFonts w:ascii="Times New Roman" w:hAnsi="Times New Roman" w:cs="Times New Roman"/>
          <w:noProof/>
          <w:color w:val="000000"/>
          <w:u w:color="000000"/>
          <w:bdr w:val="nil"/>
        </w:rPr>
        <w:t>e</w:t>
      </w:r>
      <w:r>
        <w:rPr>
          <w:rFonts w:ascii="Times New Roman" w:hAnsi="Times New Roman" w:cs="Times New Roman"/>
          <w:b/>
          <w:i/>
          <w:noProof/>
          <w:color w:val="000000"/>
          <w:u w:color="000000"/>
          <w:bdr w:val="nil"/>
        </w:rPr>
        <w:t xml:space="preserve"> Caldararu</w:t>
      </w:r>
      <w:r>
        <w:rPr>
          <w:rFonts w:ascii="Times New Roman" w:hAnsi="Times New Roman" w:cs="Times New Roman"/>
          <w:noProof/>
          <w:color w:val="000000"/>
          <w:sz w:val="20"/>
          <w:u w:color="000000"/>
          <w:bdr w:val="nil"/>
          <w:vertAlign w:val="superscript"/>
        </w:rPr>
        <w:footnoteReference w:id="47"/>
      </w:r>
      <w:r>
        <w:rPr>
          <w:rFonts w:ascii="Times New Roman" w:hAnsi="Times New Roman" w:cs="Times New Roman"/>
          <w:noProof/>
          <w:color w:val="000000"/>
          <w:u w:color="000000"/>
          <w:bdr w:val="nil"/>
        </w:rPr>
        <w:t>, dizia respeito à obrigação dos Estados</w:t>
      </w:r>
      <w:r>
        <w:rPr>
          <w:rFonts w:ascii="Times New Roman" w:hAnsi="Times New Roman" w:cs="Times New Roman"/>
          <w:noProof/>
          <w:color w:val="000000"/>
          <w:u w:color="000000"/>
          <w:bdr w:val="nil"/>
        </w:rPr>
        <w:noBreakHyphen/>
        <w:t xml:space="preserve">Membros de respeitarem os direitos fundamentais previstos na Carta, nomeadamente a </w:t>
      </w:r>
      <w:r>
        <w:rPr>
          <w:rFonts w:ascii="Times New Roman" w:hAnsi="Times New Roman" w:cs="Times New Roman"/>
          <w:b/>
          <w:noProof/>
          <w:color w:val="000000"/>
          <w:u w:color="000000"/>
          <w:bdr w:val="nil"/>
        </w:rPr>
        <w:t>proibição da tortura e outras penas ou tratamentos desumanos ou degradantes</w:t>
      </w:r>
      <w:r>
        <w:rPr>
          <w:rFonts w:ascii="Times New Roman" w:hAnsi="Times New Roman" w:cs="Times New Roman"/>
          <w:noProof/>
          <w:color w:val="000000"/>
          <w:u w:color="000000"/>
          <w:bdr w:val="nil"/>
        </w:rPr>
        <w:t xml:space="preserve">, na execução de um </w:t>
      </w:r>
      <w:r>
        <w:rPr>
          <w:rFonts w:ascii="Times New Roman" w:hAnsi="Times New Roman" w:cs="Times New Roman"/>
          <w:b/>
          <w:noProof/>
          <w:color w:val="000000"/>
          <w:u w:color="000000"/>
          <w:bdr w:val="nil"/>
        </w:rPr>
        <w:t>Mandado de Detenção Europeu</w:t>
      </w:r>
      <w:r>
        <w:rPr>
          <w:rFonts w:ascii="Times New Roman" w:hAnsi="Times New Roman" w:cs="Times New Roman"/>
          <w:noProof/>
          <w:color w:val="000000"/>
          <w:u w:color="000000"/>
          <w:bdr w:val="nil"/>
        </w:rPr>
        <w:t xml:space="preserve"> (MDE). O Tribunal decidiu que, por força do artigo 4.º (que consagra um direito absoluto), se as autoridades de execução dispuserem de informações que apontem para um risco real de tratamento desumano ou degradante, devido às condições de detenção no Estado emitente, devem avaliar o risco relativamente à pessoa em questão ao decidirem da execução do MDE. Se se apurar a existência de risco para essa pessoa, a execução do MDE deve ser comunicada e pode ser abortada, se continuar a não ser possível reduzir o risco num prazo razoável.</w:t>
      </w:r>
      <w:r>
        <w:rPr>
          <w:rFonts w:ascii="Times New Roman" w:hAnsi="Times New Roman" w:cs="Times New Roman"/>
          <w:noProof/>
        </w:rPr>
        <w:t xml:space="preserve"> </w:t>
      </w:r>
      <w:r>
        <w:rPr>
          <w:rFonts w:ascii="Times New Roman" w:hAnsi="Times New Roman" w:cs="Times New Roman"/>
          <w:noProof/>
          <w:color w:val="000000"/>
          <w:u w:color="000000"/>
          <w:bdr w:val="nil"/>
        </w:rPr>
        <w:t xml:space="preserve">Ao avaliar o risco, a autoridade responsável pela execução deve ter na devida conta o </w:t>
      </w:r>
      <w:r>
        <w:rPr>
          <w:rFonts w:ascii="Times New Roman" w:hAnsi="Times New Roman" w:cs="Times New Roman"/>
          <w:b/>
          <w:noProof/>
          <w:color w:val="000000"/>
          <w:u w:color="000000"/>
          <w:bdr w:val="nil"/>
        </w:rPr>
        <w:t>direito fundamental à liberdade</w:t>
      </w:r>
      <w:r>
        <w:rPr>
          <w:rFonts w:ascii="Times New Roman" w:hAnsi="Times New Roman" w:cs="Times New Roman"/>
          <w:noProof/>
          <w:color w:val="000000"/>
          <w:u w:color="000000"/>
          <w:bdr w:val="nil"/>
        </w:rPr>
        <w:t xml:space="preserve"> da pessoa e o princípio da </w:t>
      </w:r>
      <w:r>
        <w:rPr>
          <w:rFonts w:ascii="Times New Roman" w:hAnsi="Times New Roman" w:cs="Times New Roman"/>
          <w:b/>
          <w:noProof/>
          <w:color w:val="000000"/>
          <w:u w:color="000000"/>
          <w:bdr w:val="nil"/>
        </w:rPr>
        <w:t>presunção de inocência</w:t>
      </w:r>
      <w:r>
        <w:rPr>
          <w:rFonts w:ascii="Times New Roman" w:hAnsi="Times New Roman" w:cs="Times New Roman"/>
          <w:noProof/>
          <w:color w:val="000000"/>
          <w:u w:color="000000"/>
          <w:bdr w:val="nil"/>
        </w:rPr>
        <w:t xml:space="preserve"> (artigos 6.º e 48.º da Carta).</w:t>
      </w:r>
    </w:p>
    <w:p>
      <w:pPr>
        <w:pBdr>
          <w:top w:val="nil"/>
          <w:left w:val="nil"/>
          <w:bottom w:val="nil"/>
          <w:right w:val="nil"/>
          <w:between w:val="nil"/>
          <w:bar w:val="nil"/>
        </w:pBdr>
        <w:spacing w:line="360" w:lineRule="auto"/>
        <w:jc w:val="both"/>
        <w:rPr>
          <w:rFonts w:ascii="Times New Roman" w:eastAsia="Cambria" w:hAnsi="Times New Roman" w:cs="Times New Roman"/>
          <w:b/>
          <w:bCs/>
          <w:i/>
          <w:iCs/>
          <w:noProof/>
          <w:color w:val="000000"/>
          <w:sz w:val="28"/>
          <w:szCs w:val="28"/>
          <w:u w:color="000000"/>
          <w:bdr w:val="nil"/>
        </w:rPr>
      </w:pPr>
      <w:r>
        <w:rPr>
          <w:rFonts w:ascii="Times New Roman" w:hAnsi="Times New Roman" w:cs="Times New Roman"/>
          <w:b/>
          <w:i/>
          <w:noProof/>
          <w:color w:val="000000"/>
          <w:sz w:val="28"/>
          <w:u w:color="000000"/>
          <w:bdr w:val="nil"/>
        </w:rPr>
        <w:t>3.3. Referências à Carta na jurisprudência nacional</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Os tribunais nacionais continuam a desempenhar uma função essencial na defesa dos direitos fundamentais e do Estado de direito. A Agência dos Direitos Fundamentais da UE</w:t>
      </w:r>
      <w:r>
        <w:rPr>
          <w:rFonts w:ascii="Times New Roman" w:hAnsi="Times New Roman" w:cs="Times New Roman"/>
          <w:noProof/>
          <w:color w:val="000000"/>
          <w:sz w:val="20"/>
          <w:u w:color="000000"/>
          <w:bdr w:val="nil"/>
          <w:vertAlign w:val="superscript"/>
        </w:rPr>
        <w:footnoteReference w:id="48"/>
      </w:r>
      <w:r>
        <w:rPr>
          <w:rFonts w:ascii="Times New Roman" w:hAnsi="Times New Roman" w:cs="Times New Roman"/>
          <w:noProof/>
          <w:color w:val="000000"/>
          <w:u w:color="000000"/>
          <w:bdr w:val="nil"/>
        </w:rPr>
        <w:t xml:space="preserve"> concluiu que, em 2016, os tribunais nacionais continuaram a recorrer à Carta para orientação e inspiração, mesmo num número substancial de processos não abrangidos pelo âmbito de aplicação do direito da UE.</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 xml:space="preserve">Os </w:t>
      </w:r>
      <w:r>
        <w:rPr>
          <w:rFonts w:ascii="Times New Roman" w:hAnsi="Times New Roman" w:cs="Times New Roman"/>
          <w:b/>
          <w:noProof/>
          <w:color w:val="000000"/>
          <w:u w:color="000000"/>
          <w:bdr w:val="nil"/>
        </w:rPr>
        <w:t>direitos da criança</w:t>
      </w:r>
      <w:r>
        <w:rPr>
          <w:rFonts w:ascii="Times New Roman" w:hAnsi="Times New Roman" w:cs="Times New Roman"/>
          <w:noProof/>
          <w:color w:val="000000"/>
          <w:u w:color="000000"/>
          <w:bdr w:val="nil"/>
        </w:rPr>
        <w:t xml:space="preserve"> (artigo 24.º da Carta) ocuparam uma posição particularmente importante. Um processo que correu os seus trâmites num tribunal do Reino Unido</w:t>
      </w:r>
      <w:r>
        <w:rPr>
          <w:rFonts w:ascii="Times New Roman" w:hAnsi="Times New Roman" w:cs="Times New Roman"/>
          <w:noProof/>
          <w:color w:val="000000"/>
          <w:sz w:val="20"/>
          <w:u w:color="000000"/>
          <w:bdr w:val="nil"/>
          <w:vertAlign w:val="superscript"/>
        </w:rPr>
        <w:footnoteReference w:id="49"/>
      </w:r>
      <w:r>
        <w:rPr>
          <w:rFonts w:ascii="Times New Roman" w:hAnsi="Times New Roman" w:cs="Times New Roman"/>
          <w:noProof/>
          <w:color w:val="000000"/>
          <w:u w:color="000000"/>
          <w:bdr w:val="nil"/>
        </w:rPr>
        <w:t xml:space="preserve"> dizia respeito a um nacional nigeriano residente naquele Estado</w:t>
      </w:r>
      <w:r>
        <w:rPr>
          <w:rFonts w:ascii="Times New Roman" w:hAnsi="Times New Roman" w:cs="Times New Roman"/>
          <w:noProof/>
          <w:color w:val="000000"/>
          <w:u w:color="000000"/>
          <w:bdr w:val="nil"/>
        </w:rPr>
        <w:noBreakHyphen/>
        <w:t>Membro havia 25 anos. As suas filhas (de 13 e 11 anos) eram cidadãs britânicas. O cidadão nigeriano interpôs recurso contra a ordem de deportação com fundamento em razões de ordem pública. O tribunal revogou a decisão do tribunal de primeira instância, considerando que este não havia reconhecido a existência do direito das filhas a manterem regularmente relações pessoais e contactos diretos com ambos os progenitores, exceto se tal fosse contrário aos interesses das menores (artigo 24.º). Esta disposição da Carta foi interpretada como um «direito autónomo» no contexto da legislação em matéria de imigração.</w:t>
      </w:r>
    </w:p>
    <w:p>
      <w:pPr>
        <w:pBdr>
          <w:top w:val="nil"/>
          <w:left w:val="nil"/>
          <w:bottom w:val="nil"/>
          <w:right w:val="nil"/>
          <w:between w:val="nil"/>
          <w:bar w:val="nil"/>
        </w:pBdr>
        <w:spacing w:before="120" w:after="120" w:line="360" w:lineRule="auto"/>
        <w:jc w:val="both"/>
        <w:rPr>
          <w:rFonts w:ascii="Times New Roman" w:eastAsia="Calibri" w:hAnsi="Times New Roman" w:cs="Times New Roman"/>
          <w:noProof/>
          <w:u w:color="000000"/>
        </w:rPr>
      </w:pPr>
      <w:r>
        <w:rPr>
          <w:rFonts w:ascii="Times New Roman" w:hAnsi="Times New Roman" w:cs="Times New Roman"/>
          <w:noProof/>
          <w:color w:val="000000"/>
          <w:u w:color="000000"/>
          <w:bdr w:val="nil"/>
        </w:rPr>
        <w:t>Noutro processo, um tribunal sueco utilizou o artigo 24.º da Carta como única fonte jurídica para interpretar a legislação penal nacional de uma forma favorável à criança</w:t>
      </w:r>
      <w:r>
        <w:rPr>
          <w:rFonts w:ascii="Times New Roman" w:hAnsi="Times New Roman" w:cs="Times New Roman"/>
          <w:noProof/>
          <w:color w:val="000000"/>
          <w:sz w:val="20"/>
          <w:u w:color="000000"/>
          <w:bdr w:val="nil"/>
          <w:vertAlign w:val="superscript"/>
        </w:rPr>
        <w:footnoteReference w:id="50"/>
      </w:r>
      <w:r>
        <w:rPr>
          <w:rFonts w:ascii="Times New Roman" w:hAnsi="Times New Roman" w:cs="Times New Roman"/>
          <w:noProof/>
          <w:color w:val="000000"/>
          <w:u w:color="000000"/>
          <w:bdr w:val="nil"/>
        </w:rPr>
        <w:t>. A pena usual para as pessoas que ajudem um estrangeiro a entrar na Suécia em troca de pagamento é de três a quatro meses de prisão. Contudo, neste processo, o tribunal reconheceu que a pessoa em causa fora motivada pelo desejo de ajudar crianças, tendo aplicado apenas uma pena condicional associada à prestação de serviço comunitário, à luz do artigo 24.º da Carta e do dever das autoridades estatais de considerarem o superior interesse da criança.</w:t>
      </w:r>
    </w:p>
    <w:p>
      <w:pPr>
        <w:keepNext/>
        <w:pBdr>
          <w:top w:val="nil"/>
          <w:left w:val="nil"/>
          <w:bottom w:val="nil"/>
          <w:right w:val="nil"/>
          <w:between w:val="nil"/>
          <w:bar w:val="nil"/>
        </w:pBdr>
        <w:spacing w:before="120" w:after="120" w:line="360" w:lineRule="auto"/>
        <w:jc w:val="both"/>
        <w:outlineLvl w:val="0"/>
        <w:rPr>
          <w:rFonts w:ascii="Times New Roman" w:eastAsia="Cambria" w:hAnsi="Times New Roman" w:cs="Times New Roman"/>
          <w:b/>
          <w:bCs/>
          <w:noProof/>
          <w:kern w:val="32"/>
          <w:sz w:val="32"/>
          <w:szCs w:val="32"/>
          <w:u w:color="000000"/>
          <w:bdr w:val="nil"/>
        </w:rPr>
      </w:pPr>
      <w:r>
        <w:rPr>
          <w:rFonts w:ascii="Times New Roman" w:hAnsi="Times New Roman" w:cs="Times New Roman"/>
          <w:b/>
          <w:noProof/>
          <w:color w:val="000000"/>
          <w:kern w:val="32"/>
          <w:sz w:val="32"/>
          <w:u w:color="000000"/>
          <w:bdr w:val="nil"/>
        </w:rPr>
        <w:t xml:space="preserve">4. </w:t>
      </w:r>
      <w:r>
        <w:rPr>
          <w:rFonts w:ascii="Times New Roman" w:hAnsi="Times New Roman" w:cs="Times New Roman"/>
          <w:b/>
          <w:noProof/>
          <w:kern w:val="32"/>
          <w:sz w:val="32"/>
          <w:u w:color="000000"/>
          <w:bdr w:val="nil"/>
        </w:rPr>
        <w:t>«Em foco»: Colóquio Anual sobre Direitos Fundamentais de 2016 «O pluralismo nos meios de comunicação social e a democracia»</w:t>
      </w:r>
    </w:p>
    <w:p>
      <w:pPr>
        <w:spacing w:before="120" w:after="120" w:line="360" w:lineRule="auto"/>
        <w:jc w:val="both"/>
        <w:rPr>
          <w:rFonts w:ascii="Times New Roman" w:eastAsia="Calibri" w:hAnsi="Times New Roman" w:cs="Times New Roman"/>
          <w:noProof/>
          <w:u w:color="000000"/>
        </w:rPr>
      </w:pPr>
      <w:r>
        <w:rPr>
          <w:rFonts w:ascii="Times New Roman" w:hAnsi="Times New Roman" w:cs="Times New Roman"/>
          <w:noProof/>
          <w:u w:color="000000"/>
        </w:rPr>
        <w:t xml:space="preserve">O </w:t>
      </w:r>
      <w:r>
        <w:rPr>
          <w:rFonts w:ascii="Times New Roman" w:hAnsi="Times New Roman" w:cs="Times New Roman"/>
          <w:noProof/>
          <w:color w:val="000000"/>
          <w:bdr w:val="none" w:sz="0" w:space="0" w:color="auto" w:frame="1"/>
        </w:rPr>
        <w:t>Colóquio</w:t>
      </w:r>
      <w:r>
        <w:rPr>
          <w:rFonts w:ascii="Times New Roman" w:hAnsi="Times New Roman" w:cs="Times New Roman"/>
          <w:noProof/>
          <w:u w:color="000000"/>
        </w:rPr>
        <w:t xml:space="preserve"> Anual sobre os Direitos Fundamentais é um espaço de diálogo único, que fomenta a cooperação e o compromisso político de promoção e proteção dos direitos fundamentais na UE. Constitui uma oportunidade para identificar e apresentar ações políticas concretas sobre questões atuais dos direitos fundamentais.</w:t>
      </w:r>
    </w:p>
    <w:p>
      <w:pPr>
        <w:spacing w:line="360" w:lineRule="auto"/>
        <w:jc w:val="both"/>
        <w:rPr>
          <w:rFonts w:ascii="Times New Roman" w:hAnsi="Times New Roman" w:cs="Times New Roman"/>
          <w:noProof/>
          <w:color w:val="000000"/>
          <w:bdr w:val="none" w:sz="0" w:space="0" w:color="auto" w:frame="1"/>
        </w:rPr>
      </w:pPr>
      <w:r>
        <w:rPr>
          <w:rFonts w:ascii="Times New Roman" w:hAnsi="Times New Roman" w:cs="Times New Roman"/>
          <w:noProof/>
          <w:color w:val="000000"/>
          <w:bdr w:val="none" w:sz="0" w:space="0" w:color="auto" w:frame="1"/>
        </w:rPr>
        <w:t>O segundo colóquio anual (17</w:t>
      </w:r>
      <w:r>
        <w:rPr>
          <w:rFonts w:ascii="Times New Roman" w:hAnsi="Times New Roman" w:cs="Times New Roman"/>
          <w:noProof/>
          <w:color w:val="000000"/>
          <w:bdr w:val="none" w:sz="0" w:space="0" w:color="auto" w:frame="1"/>
        </w:rPr>
        <w:noBreakHyphen/>
        <w:t>18 de novembro de 2016) explorou, numa perspetiva dos direitos fundamentais, as várias ligações entre os meios de comunicação social livres e pluralistas e a democracia</w:t>
      </w:r>
      <w:r>
        <w:rPr>
          <w:rFonts w:ascii="Times New Roman" w:hAnsi="Times New Roman" w:cs="Times New Roman"/>
          <w:noProof/>
          <w:color w:val="000000"/>
          <w:bdr w:val="none" w:sz="0" w:space="0" w:color="auto" w:frame="1"/>
          <w:vertAlign w:val="superscript"/>
        </w:rPr>
        <w:footnoteReference w:id="51"/>
      </w:r>
      <w:r>
        <w:rPr>
          <w:rFonts w:ascii="Times New Roman" w:hAnsi="Times New Roman" w:cs="Times New Roman"/>
          <w:noProof/>
          <w:color w:val="000000"/>
          <w:bdr w:val="none" w:sz="0" w:space="0" w:color="auto" w:frame="1"/>
        </w:rPr>
        <w:t>. Os decisores políticos nacionais e da UE, as organizações internacionais e da sociedade civil, os chefes de redação, os jornalistas, os reguladores nacionais, os representantes das diferentes associações de jornalistas e de meios de comunicação social, e as empresas de informática, os académicos, os juízes e outros profissionais da justiça apresentaram sugestões de ações importantes para todos os envolvidos, tendo</w:t>
      </w:r>
      <w:r>
        <w:rPr>
          <w:rFonts w:ascii="Times New Roman" w:hAnsi="Times New Roman" w:cs="Times New Roman"/>
          <w:noProof/>
          <w:color w:val="000000"/>
          <w:bdr w:val="none" w:sz="0" w:space="0" w:color="auto" w:frame="1"/>
        </w:rPr>
        <w:noBreakHyphen/>
        <w:t>se estas refletido nas conclusões do colóquio, publicadas pela Comissão pouco depois do evento</w:t>
      </w:r>
      <w:r>
        <w:rPr>
          <w:rFonts w:ascii="Times New Roman" w:hAnsi="Times New Roman" w:cs="Times New Roman"/>
          <w:noProof/>
          <w:color w:val="000000"/>
          <w:bdr w:val="none" w:sz="0" w:space="0" w:color="auto" w:frame="1"/>
          <w:vertAlign w:val="superscript"/>
        </w:rPr>
        <w:footnoteReference w:id="52"/>
      </w:r>
      <w:r>
        <w:rPr>
          <w:rFonts w:ascii="Times New Roman" w:hAnsi="Times New Roman" w:cs="Times New Roman"/>
          <w:noProof/>
          <w:color w:val="000000"/>
          <w:bdr w:val="none" w:sz="0" w:space="0" w:color="auto" w:frame="1"/>
        </w:rPr>
        <w:t>.</w:t>
      </w:r>
    </w:p>
    <w:p>
      <w:pPr>
        <w:spacing w:line="360" w:lineRule="auto"/>
        <w:jc w:val="both"/>
        <w:rPr>
          <w:rFonts w:ascii="Times New Roman" w:hAnsi="Times New Roman" w:cs="Times New Roman"/>
          <w:noProof/>
          <w:color w:val="000000"/>
          <w:bdr w:val="none" w:sz="0" w:space="0" w:color="auto" w:frame="1"/>
        </w:rPr>
      </w:pPr>
      <w:r>
        <w:rPr>
          <w:rFonts w:ascii="Times New Roman" w:hAnsi="Times New Roman" w:cs="Times New Roman"/>
          <w:noProof/>
          <w:color w:val="000000"/>
          <w:bdr w:val="none" w:sz="0" w:space="0" w:color="auto" w:frame="1"/>
        </w:rPr>
        <w:t>Um dos temas foi a proteção da liberdade e independência dos meios de comunicação social relativamente à pressão política e financeira. Os participantes sublinharam a importância da independência dos reguladores dos meios de comunicação social e apelaram a uma adoção rápida da proposta legislativa da Comissão no sentido da alteração da Diretiva «Serviços de Comunicação Social Audiovisual»</w:t>
      </w:r>
      <w:r>
        <w:rPr>
          <w:rFonts w:ascii="Times New Roman" w:hAnsi="Times New Roman" w:cs="Times New Roman"/>
          <w:noProof/>
          <w:color w:val="000000"/>
          <w:bdr w:val="none" w:sz="0" w:space="0" w:color="auto" w:frame="1"/>
          <w:vertAlign w:val="superscript"/>
        </w:rPr>
        <w:footnoteReference w:id="53"/>
      </w:r>
      <w:r>
        <w:rPr>
          <w:rFonts w:ascii="Times New Roman" w:hAnsi="Times New Roman" w:cs="Times New Roman"/>
          <w:noProof/>
          <w:color w:val="000000"/>
          <w:bdr w:val="none" w:sz="0" w:space="0" w:color="auto" w:frame="1"/>
        </w:rPr>
        <w:t>.</w:t>
      </w:r>
    </w:p>
    <w:p>
      <w:pPr>
        <w:spacing w:line="360" w:lineRule="auto"/>
        <w:jc w:val="both"/>
        <w:rPr>
          <w:rFonts w:ascii="Times New Roman" w:hAnsi="Times New Roman" w:cs="Times New Roman"/>
          <w:noProof/>
          <w:color w:val="000000"/>
          <w:bdr w:val="none" w:sz="0" w:space="0" w:color="auto" w:frame="1"/>
        </w:rPr>
      </w:pPr>
      <w:r>
        <w:rPr>
          <w:rFonts w:ascii="Times New Roman" w:hAnsi="Times New Roman" w:cs="Times New Roman"/>
          <w:noProof/>
          <w:color w:val="000000"/>
          <w:bdr w:val="none" w:sz="0" w:space="0" w:color="auto" w:frame="1"/>
        </w:rPr>
        <w:t>Outro domínio de debate foi a capacitação dos jornalistas e a proteção destes face a pressões, ameaças, violência física e situações de discurso de incitação ao ódio. Os participantes sublinharam a importância de combater a impunidade dos crimes e expressões de ódio contra jornalistas, em especial mulheres. A ação de acompanhamento inclui fundos da UE para projetos sobre o pluralismo dos meios de comunicação social, proteção dos jornalistas e combate ao discurso de incitação ao ódio em linha. Em novembro de 2016, a Comissão lançou uma campanha à escala da UE e um ano de ação específica de combater e prevenção da violência contra as mulheres,</w:t>
      </w:r>
      <w:r>
        <w:rPr>
          <w:rFonts w:ascii="Times New Roman" w:hAnsi="Times New Roman" w:cs="Times New Roman"/>
          <w:noProof/>
          <w:color w:val="000000"/>
          <w:bdr w:val="none" w:sz="0" w:space="0" w:color="auto" w:frame="1"/>
          <w:vertAlign w:val="superscript"/>
        </w:rPr>
        <w:footnoteReference w:id="54"/>
      </w:r>
      <w:r>
        <w:rPr>
          <w:rFonts w:ascii="Times New Roman" w:hAnsi="Times New Roman" w:cs="Times New Roman"/>
          <w:noProof/>
          <w:color w:val="000000"/>
          <w:bdr w:val="none" w:sz="0" w:space="0" w:color="auto" w:frame="1"/>
        </w:rPr>
        <w:t xml:space="preserve"> incluindo as que trabalham nos meios de comunicação social.</w:t>
      </w:r>
    </w:p>
    <w:p>
      <w:pPr>
        <w:spacing w:line="360" w:lineRule="auto"/>
        <w:jc w:val="both"/>
        <w:rPr>
          <w:rFonts w:ascii="Times New Roman" w:hAnsi="Times New Roman" w:cs="Times New Roman"/>
          <w:noProof/>
          <w:color w:val="000000"/>
          <w:bdr w:val="none" w:sz="0" w:space="0" w:color="auto" w:frame="1"/>
        </w:rPr>
      </w:pPr>
      <w:r>
        <w:rPr>
          <w:rFonts w:ascii="Times New Roman" w:hAnsi="Times New Roman" w:cs="Times New Roman"/>
          <w:noProof/>
          <w:color w:val="000000"/>
          <w:bdr w:val="none" w:sz="0" w:space="0" w:color="auto" w:frame="1"/>
        </w:rPr>
        <w:t>Os participantes analisaram ainda os desafios e as oportunidades que surgem no ambiente convergente dos meios de comunicação social. Debateu</w:t>
      </w:r>
      <w:r>
        <w:rPr>
          <w:rFonts w:ascii="Times New Roman" w:hAnsi="Times New Roman" w:cs="Times New Roman"/>
          <w:noProof/>
          <w:color w:val="000000"/>
          <w:bdr w:val="none" w:sz="0" w:space="0" w:color="auto" w:frame="1"/>
        </w:rPr>
        <w:noBreakHyphen/>
        <w:t>se o papel do jornalismo ético e da literacia mediática, bem como a sustentabilidade financeira da imprensa de qualidade e do jornalismo de investigação. Foi igualmente abordado o impacto que a utilização de algoritmos ou a divulgação de notícias falsas pode ter no pluralismo dos meios de comunicação social e num debate democrático informado. A ação de acompanhamento inclui financiamento para a literacia mediática, apoio à identificação de boas práticas éticas para promover a informação de qualidade e o lançamento de uma avaliação de impacto e consulta pública da Comissão</w:t>
      </w:r>
      <w:r>
        <w:rPr>
          <w:rFonts w:ascii="Times New Roman" w:hAnsi="Times New Roman" w:cs="Times New Roman"/>
          <w:noProof/>
          <w:color w:val="000000"/>
          <w:bdr w:val="none" w:sz="0" w:space="0" w:color="auto" w:frame="1"/>
          <w:vertAlign w:val="superscript"/>
        </w:rPr>
        <w:footnoteReference w:id="55"/>
      </w:r>
      <w:r>
        <w:rPr>
          <w:rFonts w:ascii="Times New Roman" w:hAnsi="Times New Roman" w:cs="Times New Roman"/>
          <w:noProof/>
          <w:color w:val="000000"/>
          <w:bdr w:val="none" w:sz="0" w:space="0" w:color="auto" w:frame="1"/>
        </w:rPr>
        <w:t xml:space="preserve"> sobre a proteção dos alertadores.</w:t>
      </w:r>
    </w:p>
    <w:p>
      <w:pPr>
        <w:keepNext/>
        <w:pBdr>
          <w:top w:val="nil"/>
          <w:left w:val="nil"/>
          <w:bottom w:val="nil"/>
          <w:right w:val="nil"/>
          <w:between w:val="nil"/>
          <w:bar w:val="nil"/>
        </w:pBdr>
        <w:spacing w:before="240" w:after="60"/>
        <w:jc w:val="both"/>
        <w:outlineLvl w:val="0"/>
        <w:rPr>
          <w:rFonts w:ascii="Times New Roman" w:eastAsia="Cambria" w:hAnsi="Times New Roman" w:cs="Times New Roman"/>
          <w:b/>
          <w:bCs/>
          <w:noProof/>
          <w:color w:val="000000"/>
          <w:kern w:val="32"/>
          <w:sz w:val="32"/>
          <w:szCs w:val="32"/>
          <w:u w:color="000000"/>
          <w:bdr w:val="nil"/>
        </w:rPr>
      </w:pPr>
      <w:r>
        <w:rPr>
          <w:rFonts w:ascii="Times New Roman" w:hAnsi="Times New Roman" w:cs="Times New Roman"/>
          <w:b/>
          <w:noProof/>
          <w:color w:val="000000"/>
          <w:kern w:val="32"/>
          <w:sz w:val="32"/>
          <w:u w:color="000000"/>
          <w:bdr w:val="nil"/>
        </w:rPr>
        <w:t>5. Conclusão</w:t>
      </w:r>
    </w:p>
    <w:p>
      <w:pPr>
        <w:pBdr>
          <w:top w:val="nil"/>
          <w:left w:val="nil"/>
          <w:bottom w:val="nil"/>
          <w:right w:val="nil"/>
          <w:between w:val="nil"/>
          <w:bar w:val="nil"/>
        </w:pBdr>
        <w:spacing w:line="360" w:lineRule="auto"/>
        <w:jc w:val="both"/>
        <w:rPr>
          <w:rFonts w:ascii="Times New Roman" w:eastAsia="Calibri" w:hAnsi="Times New Roman" w:cs="Times New Roman"/>
          <w:noProof/>
          <w:color w:val="000000"/>
          <w:u w:color="000000"/>
          <w:bdr w:val="nil"/>
        </w:rPr>
      </w:pPr>
      <w:r>
        <w:rPr>
          <w:rFonts w:ascii="Times New Roman" w:hAnsi="Times New Roman" w:cs="Times New Roman"/>
          <w:noProof/>
          <w:color w:val="000000"/>
          <w:u w:color="000000"/>
          <w:bdr w:val="nil"/>
        </w:rPr>
        <w:t>Os desenvolvimentos recentes na UE e no resto do mundo ameaçam gravemente os direitos fundamentais. A Comissão mantém</w:t>
      </w:r>
      <w:r>
        <w:rPr>
          <w:rFonts w:ascii="Times New Roman" w:hAnsi="Times New Roman" w:cs="Times New Roman"/>
          <w:noProof/>
          <w:color w:val="000000"/>
          <w:u w:color="000000"/>
          <w:bdr w:val="nil"/>
        </w:rPr>
        <w:noBreakHyphen/>
        <w:t>se vigilante e empenhada num elevado nível de proteção dos direitos fundamentais na UE, intensificará a sua ação para assegurar que todas as propostas legislativas e ações da UE são plenamente consentâneas com a Carta, e pretende garantir que todos os órgãos vinculados pela Carta continuam a respeitá</w:t>
      </w:r>
      <w:r>
        <w:rPr>
          <w:rFonts w:ascii="Times New Roman" w:hAnsi="Times New Roman" w:cs="Times New Roman"/>
          <w:noProof/>
          <w:color w:val="000000"/>
          <w:u w:color="000000"/>
          <w:bdr w:val="nil"/>
        </w:rPr>
        <w:noBreakHyphen/>
        <w:t>la.</w:t>
      </w:r>
    </w:p>
    <w:p>
      <w:pPr>
        <w:pBdr>
          <w:top w:val="nil"/>
          <w:left w:val="nil"/>
          <w:bottom w:val="nil"/>
          <w:right w:val="nil"/>
          <w:between w:val="nil"/>
          <w:bar w:val="nil"/>
        </w:pBdr>
        <w:spacing w:line="360" w:lineRule="auto"/>
        <w:jc w:val="both"/>
        <w:rPr>
          <w:rFonts w:ascii="Times New Roman" w:hAnsi="Times New Roman" w:cs="Times New Roman"/>
          <w:noProof/>
        </w:rPr>
      </w:pPr>
      <w:r>
        <w:rPr>
          <w:rFonts w:ascii="Times New Roman" w:hAnsi="Times New Roman" w:cs="Times New Roman"/>
          <w:noProof/>
          <w:color w:val="000000"/>
          <w:u w:color="000000"/>
          <w:bdr w:val="nil"/>
        </w:rPr>
        <w:t>A importância do sistema de controlos e equilíbrios em sociedades democráticas, não podendo, designadamente, ser sobrestimado o desempenho fundamental dos supremos tribunais e dos tribunais constitucionais na defesa dos valores comuns da UE; a sua função tem de ser apoiada, respeitando plenamente a independência do sistema judiciário. A fiscalização externa independente (inclusivamente no âmbito da Convenção Europeia dos Direitos do Homem) é essencial nas sociedades democráticas. Deve ser promovido e preservado o papel crucial das organizações da sociedade civil na renovação do compromisso em prol da democracia, do Estado de direito e dos direitos fundamentais.</w:t>
      </w:r>
    </w:p>
    <w:p>
      <w:pPr>
        <w:rPr>
          <w:rFonts w:ascii="Times New Roman" w:hAnsi="Times New Roman" w:cs="Times New Roman"/>
          <w:noProof/>
        </w:rPr>
      </w:pPr>
    </w:p>
    <w:sectPr>
      <w:headerReference w:type="even" r:id="rId17"/>
      <w:headerReference w:type="default" r:id="rId18"/>
      <w:footerReference w:type="even" r:id="rId19"/>
      <w:footerReference w:type="default" r:id="rId20"/>
      <w:headerReference w:type="first" r:id="rId21"/>
      <w:footerReference w:type="first" r:id="rId22"/>
      <w:pgSz w:w="11907" w:h="16839" w:code="9"/>
      <w:pgMar w:top="1417" w:right="1417" w:bottom="1417" w:left="1417"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EC Square Sans Pro Medium">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440369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pPr>
      <w:r>
        <w:rPr>
          <w:rStyle w:val="FootnoteReference"/>
          <w:rFonts w:ascii="Times New Roman" w:hAnsi="Times New Roman"/>
        </w:rPr>
        <w:footnoteRef/>
      </w:r>
      <w:r>
        <w:rPr>
          <w:rFonts w:ascii="Times New Roman" w:hAnsi="Times New Roman"/>
        </w:rPr>
        <w:t xml:space="preserve"> Os resultados da consulta, que decorreu entre março e dezembro de 2016, estão a ser analisados e contribuirão para a elaboração da proposta da Comissão relativa ao Pilar Europeu dos Direitos Sociais. Encontram</w:t>
      </w:r>
      <w:r>
        <w:rPr>
          <w:rFonts w:ascii="Times New Roman" w:hAnsi="Times New Roman"/>
        </w:rPr>
        <w:noBreakHyphen/>
        <w:t>se disponíveis mais informações em:</w:t>
      </w:r>
      <w:r>
        <w:rPr>
          <w:rFonts w:ascii="Times New Roman" w:hAnsi="Times New Roman"/>
        </w:rPr>
        <w:tab/>
      </w:r>
      <w:r>
        <w:rPr>
          <w:rFonts w:ascii="Times New Roman" w:hAnsi="Times New Roman"/>
        </w:rPr>
        <w:br/>
      </w:r>
      <w:hyperlink r:id="rId1">
        <w:r>
          <w:rPr>
            <w:rStyle w:val="Hyperlink"/>
            <w:rFonts w:ascii="Times New Roman" w:hAnsi="Times New Roman"/>
          </w:rPr>
          <w:t>https://ec.europa.eu/commission/priorities/deeper</w:t>
        </w:r>
        <w:r>
          <w:rPr>
            <w:rStyle w:val="Hyperlink"/>
            <w:rFonts w:ascii="Times New Roman" w:hAnsi="Times New Roman"/>
          </w:rPr>
          <w:noBreakHyphen/>
          <w:t>and</w:t>
        </w:r>
        <w:r>
          <w:rPr>
            <w:rStyle w:val="Hyperlink"/>
            <w:rFonts w:ascii="Times New Roman" w:hAnsi="Times New Roman"/>
          </w:rPr>
          <w:noBreakHyphen/>
          <w:t>fairer</w:t>
        </w:r>
        <w:r>
          <w:rPr>
            <w:rStyle w:val="Hyperlink"/>
            <w:rFonts w:ascii="Times New Roman" w:hAnsi="Times New Roman"/>
          </w:rPr>
          <w:noBreakHyphen/>
          <w:t>economic</w:t>
        </w:r>
        <w:r>
          <w:rPr>
            <w:rStyle w:val="Hyperlink"/>
            <w:rFonts w:ascii="Times New Roman" w:hAnsi="Times New Roman"/>
          </w:rPr>
          <w:noBreakHyphen/>
          <w:t>and</w:t>
        </w:r>
        <w:r>
          <w:rPr>
            <w:rStyle w:val="Hyperlink"/>
            <w:rFonts w:ascii="Times New Roman" w:hAnsi="Times New Roman"/>
          </w:rPr>
          <w:noBreakHyphen/>
          <w:t>monetary</w:t>
        </w:r>
        <w:r>
          <w:rPr>
            <w:rStyle w:val="Hyperlink"/>
            <w:rFonts w:ascii="Times New Roman" w:hAnsi="Times New Roman"/>
          </w:rPr>
          <w:noBreakHyphen/>
          <w:t>union/towards</w:t>
        </w:r>
        <w:r>
          <w:rPr>
            <w:rStyle w:val="Hyperlink"/>
            <w:rFonts w:ascii="Times New Roman" w:hAnsi="Times New Roman"/>
          </w:rPr>
          <w:noBreakHyphen/>
          <w:t>european</w:t>
        </w:r>
        <w:r>
          <w:rPr>
            <w:rStyle w:val="Hyperlink"/>
            <w:rFonts w:ascii="Times New Roman" w:hAnsi="Times New Roman"/>
          </w:rPr>
          <w:noBreakHyphen/>
          <w:t>pillar</w:t>
        </w:r>
        <w:r>
          <w:rPr>
            <w:rStyle w:val="Hyperlink"/>
            <w:rFonts w:ascii="Times New Roman" w:hAnsi="Times New Roman"/>
          </w:rPr>
          <w:noBreakHyphen/>
          <w:t>social</w:t>
        </w:r>
        <w:r>
          <w:rPr>
            <w:rStyle w:val="Hyperlink"/>
            <w:rFonts w:ascii="Times New Roman" w:hAnsi="Times New Roman"/>
          </w:rPr>
          <w:noBreakHyphen/>
          <w:t>rights_en</w:t>
        </w:r>
      </w:hyperlink>
      <w:r>
        <w:t>.</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Decisão (UE) 2016/344 do Parlamento Europeu e do Conselho, de 9 de março de 2016, que cria uma Plataforma europeia para reforçar a cooperação no combate ao trabalho não declarado (JO L 65 de 11.3.2016, pp. 12–20).</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Proposta de Regulamento do Conselho relativo à competência, ao reconhecimento e à execução de decisões em matéria matrimonial e em matéria de responsabilidade parental e ao rapto internacional de crianças (reformulação) (COM/2016/0411 final, 30.6.2016).</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Regulamento (UE) 2016/1103 do Conselho, de 24 de junho de 2016, que implementa a cooperação reforçada no domínio da competência, da lei aplicável, do reconhecimento e da execução de decisões em matéria de regimes matrimoniais (JO L 183 de 8.7.2016, pp. 1–29). Regulamento (UE) 2016/1104 do Conselho, de 24 de junho de 2016, que implementa a cooperação reforçada no domínio da competência, da lei aplicável, do reconhecimento e da execução de decisões em matéria de efeitos patrimoniais das parcerias registadas (JO L 183 de 8.7.2016, pp. 30–56).</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Diretiva (UE) 2016/343 do Parlamento Europeu e do Conselho, de 9 de março de 2016, relativa ao reforço de certos aspetos da presunção de inocência e do direito de comparecer em julgamento em processo penal (JO L 65 de 11.3.2016, pp. 1–11).</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Diretiva (UE) 2016/1919 do Parlamento Europeu e do Conselho, de 26 de outubro de 2016, relativa ao apoio judiciário para suspeitos e arguidos em processo penal e para as pessoas procuradas em processos de execução de mandados de detenção europeus (JO L 297 de 4.11.2016, pp. 1–8).</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Diretiva (UE) 2016/800 do Parlamento Europeu e do Conselho, de 11 de maio de 2016, relativa a garantias processuais para os menores suspeitos ou arguidos em processo penal (JO L 132 de 21.5.2016, pp. 1–20).</w:t>
      </w:r>
    </w:p>
  </w:footnote>
  <w:footnote w:id="9">
    <w:p>
      <w:pPr>
        <w:pStyle w:val="FootnoteText"/>
        <w:jc w:val="both"/>
      </w:pPr>
      <w:r>
        <w:rPr>
          <w:rStyle w:val="FootnoteReference"/>
          <w:rFonts w:ascii="Times New Roman" w:hAnsi="Times New Roman"/>
        </w:rPr>
        <w:footnoteRef/>
      </w:r>
      <w:r>
        <w:rPr>
          <w:rFonts w:ascii="Times New Roman" w:hAnsi="Times New Roman"/>
        </w:rPr>
        <w:t xml:space="preserve"> Acessível em: </w:t>
      </w:r>
      <w:hyperlink r:id="rId2">
        <w:r>
          <w:rPr>
            <w:rStyle w:val="Hyperlink"/>
            <w:rFonts w:ascii="Times New Roman" w:hAnsi="Times New Roman"/>
          </w:rPr>
          <w:t>https://webgate.ec.europa.eu/odr/main/index.cfm?event=main.home.chooseLanguage</w:t>
        </w:r>
      </w:hyperlink>
      <w:r>
        <w:t>.</w:t>
      </w:r>
    </w:p>
  </w:footnote>
  <w:footnote w:id="10">
    <w:p>
      <w:pPr>
        <w:spacing w:after="0" w:line="240" w:lineRule="auto"/>
        <w:ind w:right="225"/>
        <w:jc w:val="both"/>
        <w:outlineLvl w:val="3"/>
      </w:pPr>
      <w:r>
        <w:rPr>
          <w:rStyle w:val="FootnoteReference"/>
          <w:rFonts w:ascii="Times New Roman" w:hAnsi="Times New Roman"/>
          <w:sz w:val="20"/>
        </w:rPr>
        <w:footnoteRef/>
      </w:r>
      <w:r>
        <w:rPr>
          <w:rFonts w:ascii="Times New Roman" w:hAnsi="Times New Roman"/>
          <w:sz w:val="20"/>
        </w:rPr>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pp. 1–88).</w:t>
      </w:r>
    </w:p>
  </w:footnote>
  <w:footnote w:id="11">
    <w:p>
      <w:pPr>
        <w:spacing w:after="0" w:line="240" w:lineRule="auto"/>
        <w:ind w:right="227"/>
        <w:jc w:val="both"/>
        <w:outlineLvl w:val="3"/>
        <w:rPr>
          <w:rFonts w:ascii="Times New Roman" w:eastAsia="Times New Roman" w:hAnsi="Times New Roman" w:cs="Times New Roman"/>
          <w:bCs/>
          <w:lang w:eastAsia="en-GB"/>
        </w:rPr>
      </w:pPr>
      <w:r>
        <w:rPr>
          <w:rStyle w:val="FootnoteReference"/>
          <w:rFonts w:ascii="Times New Roman" w:hAnsi="Times New Roman"/>
          <w:sz w:val="20"/>
        </w:rPr>
        <w:footnoteRef/>
      </w:r>
      <w:r>
        <w:rPr>
          <w:rFonts w:ascii="Times New Roman" w:hAnsi="Times New Roman"/>
          <w:sz w:val="20"/>
        </w:rPr>
        <w:t xml:space="preserve"> </w:t>
      </w:r>
      <w:hyperlink r:id="rId3">
        <w:r>
          <w:rPr>
            <w:rFonts w:ascii="Times New Roman" w:hAnsi="Times New Roman"/>
            <w:sz w:val="20"/>
          </w:rPr>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w:t>
        </w:r>
        <w:r>
          <w:rPr>
            <w:rFonts w:ascii="Times New Roman" w:hAnsi="Times New Roman"/>
            <w:sz w:val="20"/>
          </w:rPr>
          <w:noBreakHyphen/>
          <w:t>Quadro 2008/977/JAI do Conselho</w:t>
        </w:r>
      </w:hyperlink>
      <w:r>
        <w:rPr>
          <w:rFonts w:ascii="Times New Roman" w:hAnsi="Times New Roman"/>
          <w:sz w:val="20"/>
        </w:rPr>
        <w:t xml:space="preserve"> (JO L 119 de 4.5.2016, pp. 89–131).</w:t>
      </w:r>
    </w:p>
  </w:footnote>
  <w:footnote w:id="1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Acordo entre os Estados Unidos da América e a União Europeia sobre a proteção dos dados pessoais no âmbito da prevenção, investigação, deteção e repressão de infrações penais;</w:t>
      </w:r>
      <w:r>
        <w:tab/>
      </w:r>
      <w:r>
        <w:rPr>
          <w:rFonts w:ascii="Times New Roman" w:hAnsi="Times New Roman" w:cs="Times New Roman"/>
        </w:rPr>
        <w:br/>
      </w:r>
      <w:hyperlink r:id="rId4">
        <w:r>
          <w:rPr>
            <w:rFonts w:hAnsi="Times New Roman"/>
          </w:rPr>
          <w:t>http://ec.europa.eu/justice/data</w:t>
        </w:r>
        <w:r>
          <w:rPr>
            <w:rFonts w:hAnsi="Times New Roman"/>
          </w:rPr>
          <w:noBreakHyphen/>
          <w:t>protection/files/dp</w:t>
        </w:r>
        <w:r>
          <w:rPr>
            <w:rFonts w:hAnsi="Times New Roman"/>
          </w:rPr>
          <w:noBreakHyphen/>
          <w:t>umbrella</w:t>
        </w:r>
        <w:r>
          <w:rPr>
            <w:rFonts w:hAnsi="Times New Roman"/>
          </w:rPr>
          <w:noBreakHyphen/>
          <w:t>agreement_en.pdf</w:t>
        </w:r>
      </w:hyperlink>
      <w:r>
        <w:rPr>
          <w:rFonts w:ascii="Times New Roman" w:hAnsi="Times New Roman"/>
        </w:rPr>
        <w:t>.</w:t>
      </w:r>
    </w:p>
  </w:footnote>
  <w:footnote w:id="13">
    <w:p>
      <w:pPr>
        <w:pStyle w:val="Default"/>
      </w:pPr>
      <w:r>
        <w:rPr>
          <w:rStyle w:val="FootnoteReference"/>
          <w:color w:val="auto"/>
          <w:sz w:val="20"/>
        </w:rPr>
        <w:footnoteRef/>
      </w:r>
      <w:r>
        <w:rPr>
          <w:color w:val="auto"/>
          <w:sz w:val="20"/>
        </w:rPr>
        <w:t xml:space="preserve"> Comunicação da Comissão ao Parlamento Europeu e ao Conselho «Reformar o Sistema Europeu Comum de Asilo e Melhorar as Vias de Entrada Legal na Europa» [COM(2016) 197 final, 6.4.2016].</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270.</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Hyperlink"/>
          <w:rFonts w:ascii="Times New Roman" w:hAnsi="Times New Roman"/>
        </w:rPr>
        <w:t>COM(2016) 272.</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Hyperlink"/>
          <w:rFonts w:ascii="Times New Roman" w:hAnsi="Times New Roman"/>
        </w:rPr>
        <w:t>COM(2016) 467.</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Hyperlink"/>
          <w:rFonts w:ascii="Times New Roman" w:hAnsi="Times New Roman"/>
        </w:rPr>
        <w:t>COM(2016) 466.</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465.</w:t>
      </w:r>
    </w:p>
  </w:footnote>
  <w:footnote w:id="1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468.</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271.</w:t>
      </w:r>
    </w:p>
  </w:footnote>
  <w:footnote w:id="2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Pode ser consultado um panorama das </w:t>
      </w:r>
      <w:r>
        <w:rPr>
          <w:rStyle w:val="Hyperlink"/>
          <w:rFonts w:ascii="Times New Roman" w:hAnsi="Times New Roman"/>
          <w:u w:val="none"/>
        </w:rPr>
        <w:t xml:space="preserve">disposições, alteradas e propostas, sobre proteção dos menores, constantes das propostas legislativas citadas </w:t>
      </w:r>
      <w:r>
        <w:rPr>
          <w:rStyle w:val="Hyperlink"/>
          <w:rFonts w:ascii="Times New Roman" w:hAnsi="Times New Roman"/>
          <w:i/>
          <w:u w:val="none"/>
        </w:rPr>
        <w:t>supra</w:t>
      </w:r>
      <w:r>
        <w:rPr>
          <w:rStyle w:val="Hyperlink"/>
          <w:rFonts w:ascii="Times New Roman" w:hAnsi="Times New Roman"/>
          <w:u w:val="none"/>
        </w:rPr>
        <w:t>, no seguinte endereço:</w:t>
      </w:r>
      <w:r>
        <w:rPr>
          <w:rStyle w:val="Hyperlink"/>
          <w:rFonts w:ascii="Times New Roman" w:hAnsi="Times New Roman"/>
        </w:rPr>
        <w:t xml:space="preserve"> </w:t>
      </w:r>
      <w:hyperlink r:id="rId5">
        <w:r>
          <w:rPr>
            <w:rStyle w:val="Hyperlink"/>
            <w:rFonts w:ascii="Times New Roman" w:hAnsi="Times New Roman"/>
          </w:rPr>
          <w:t>http://ec.europa.eu/justice/fundamental</w:t>
        </w:r>
        <w:r>
          <w:rPr>
            <w:rStyle w:val="Hyperlink"/>
            <w:rFonts w:ascii="Times New Roman" w:hAnsi="Times New Roman"/>
          </w:rPr>
          <w:noBreakHyphen/>
          <w:t>rights/files/rights_child/ceas_provision_on_children_table_updated.pdf</w:t>
        </w:r>
      </w:hyperlink>
      <w:r>
        <w:rPr>
          <w:rStyle w:val="Hyperlink"/>
          <w:rFonts w:ascii="Times New Roman" w:hAnsi="Times New Roman"/>
        </w:rPr>
        <w:t xml:space="preserve"> .</w:t>
      </w:r>
    </w:p>
  </w:footnote>
  <w:footnote w:id="2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6">
        <w:r>
          <w:rPr>
            <w:rStyle w:val="Hyperlink"/>
            <w:rFonts w:ascii="Times New Roman" w:hAnsi="Times New Roman"/>
          </w:rPr>
          <w:t>http://ec.europa.eu/newsroom/just/item</w:t>
        </w:r>
        <w:r>
          <w:rPr>
            <w:rStyle w:val="Hyperlink"/>
            <w:rFonts w:ascii="Times New Roman" w:hAnsi="Times New Roman"/>
          </w:rPr>
          <w:noBreakHyphen/>
          <w:t>detail.cfm?item_id=34456</w:t>
        </w:r>
      </w:hyperlink>
      <w:r>
        <w:rPr>
          <w:rStyle w:val="Hyperlink"/>
          <w:rFonts w:ascii="Times New Roman" w:hAnsi="Times New Roman"/>
        </w:rPr>
        <w:t>. Este trabalho teve como seguimento a adoção da Comunicação sobre a «Proteção das crianças no contexto da migração», em 12 de abril de 2017 (COM(2017) 211 final)</w:t>
      </w:r>
      <w:r>
        <w:t>.</w:t>
      </w:r>
    </w:p>
  </w:footnote>
  <w:footnote w:id="2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rPr>
          <w:t>http://europa.eu/rapid/press</w:t>
        </w:r>
        <w:r>
          <w:rPr>
            <w:rStyle w:val="Hyperlink"/>
            <w:rFonts w:ascii="Times New Roman" w:hAnsi="Times New Roman"/>
          </w:rPr>
          <w:noBreakHyphen/>
          <w:t>release_IP</w:t>
        </w:r>
        <w:r>
          <w:rPr>
            <w:rStyle w:val="Hyperlink"/>
            <w:rFonts w:ascii="Times New Roman" w:hAnsi="Times New Roman"/>
          </w:rPr>
          <w:noBreakHyphen/>
          <w:t>16</w:t>
        </w:r>
        <w:r>
          <w:rPr>
            <w:rStyle w:val="Hyperlink"/>
            <w:rFonts w:ascii="Times New Roman" w:hAnsi="Times New Roman"/>
          </w:rPr>
          <w:noBreakHyphen/>
          <w:t>4402_pt.htm</w:t>
        </w:r>
      </w:hyperlink>
      <w:r>
        <w:t>.</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Um inquérito realizado em 2013 pela FRA, revelou que, em países como a Hungria, a França e a Bélgica, 48 % dos inquiridos consideravam a possibilidade de emigrar por, sendo judeus, não se sentirem já seguros </w:t>
      </w:r>
      <w:hyperlink r:id="rId8">
        <w:r>
          <w:rPr>
            <w:rFonts w:ascii="Times New Roman" w:hAnsi="Times New Roman"/>
            <w:color w:val="000000"/>
            <w:u w:val="single"/>
          </w:rPr>
          <w:t>http://fra.europa.eu/en/publication/2013/discrimination</w:t>
        </w:r>
        <w:r>
          <w:rPr>
            <w:rFonts w:ascii="Times New Roman" w:hAnsi="Times New Roman"/>
            <w:color w:val="000000"/>
            <w:u w:val="single"/>
          </w:rPr>
          <w:noBreakHyphen/>
          <w:t>and</w:t>
        </w:r>
        <w:r>
          <w:rPr>
            <w:rFonts w:ascii="Times New Roman" w:hAnsi="Times New Roman"/>
            <w:color w:val="000000"/>
            <w:u w:val="single"/>
          </w:rPr>
          <w:noBreakHyphen/>
          <w:t>hate</w:t>
        </w:r>
        <w:r>
          <w:rPr>
            <w:rFonts w:ascii="Times New Roman" w:hAnsi="Times New Roman"/>
            <w:color w:val="000000"/>
            <w:u w:val="single"/>
          </w:rPr>
          <w:noBreakHyphen/>
          <w:t>crime</w:t>
        </w:r>
        <w:r>
          <w:rPr>
            <w:rFonts w:ascii="Times New Roman" w:hAnsi="Times New Roman"/>
            <w:color w:val="000000"/>
            <w:u w:val="single"/>
          </w:rPr>
          <w:noBreakHyphen/>
          <w:t>against</w:t>
        </w:r>
        <w:r>
          <w:rPr>
            <w:rFonts w:ascii="Times New Roman" w:hAnsi="Times New Roman"/>
            <w:color w:val="000000"/>
            <w:u w:val="single"/>
          </w:rPr>
          <w:noBreakHyphen/>
          <w:t>jews</w:t>
        </w:r>
        <w:r>
          <w:rPr>
            <w:rFonts w:ascii="Times New Roman" w:hAnsi="Times New Roman"/>
            <w:color w:val="000000"/>
            <w:u w:val="single"/>
          </w:rPr>
          <w:noBreakHyphen/>
          <w:t>eu</w:t>
        </w:r>
        <w:r>
          <w:rPr>
            <w:rFonts w:ascii="Times New Roman" w:hAnsi="Times New Roman"/>
            <w:color w:val="000000"/>
            <w:u w:val="single"/>
          </w:rPr>
          <w:noBreakHyphen/>
          <w:t>member</w:t>
        </w:r>
        <w:r>
          <w:rPr>
            <w:rFonts w:ascii="Times New Roman" w:hAnsi="Times New Roman"/>
            <w:color w:val="000000"/>
            <w:u w:val="single"/>
          </w:rPr>
          <w:noBreakHyphen/>
          <w:t>states</w:t>
        </w:r>
        <w:r>
          <w:rPr>
            <w:rFonts w:ascii="Times New Roman" w:hAnsi="Times New Roman"/>
            <w:color w:val="000000"/>
            <w:u w:val="single"/>
          </w:rPr>
          <w:noBreakHyphen/>
          <w:t>experiences</w:t>
        </w:r>
        <w:r>
          <w:rPr>
            <w:rFonts w:ascii="Times New Roman" w:hAnsi="Times New Roman"/>
            <w:color w:val="000000"/>
            <w:u w:val="single"/>
          </w:rPr>
          <w:noBreakHyphen/>
          <w:t>and</w:t>
        </w:r>
      </w:hyperlink>
      <w:r>
        <w:rPr>
          <w:rFonts w:ascii="Times New Roman" w:hAnsi="Times New Roman"/>
          <w:u w:color="000000"/>
          <w:bdr w:val="nil"/>
        </w:rPr>
        <w:t>. Em vários Estados</w:t>
      </w:r>
      <w:r>
        <w:rPr>
          <w:rFonts w:ascii="Times New Roman" w:hAnsi="Times New Roman"/>
          <w:u w:color="000000"/>
          <w:bdr w:val="nil"/>
        </w:rPr>
        <w:noBreakHyphen/>
        <w:t>Membros, as mesquitas passaram a beneficiar de proteção policial, enquanto organizações da sociedade civil relatavam um aumento acentuado dos incidentes anti</w:t>
      </w:r>
      <w:r>
        <w:rPr>
          <w:rFonts w:ascii="Times New Roman" w:hAnsi="Times New Roman"/>
          <w:u w:color="000000"/>
          <w:bdr w:val="nil"/>
        </w:rPr>
        <w:noBreakHyphen/>
        <w:t>islâmicos em 2014 e 2015 em países como França, Reino Unido, Suécia e Bélgica, incluindo ataques violentos a mulheres muçulmanas que usam véu. Aumentam igualmente os incidentes de agressões e de discursos de incitação ao ódio, que visam os requerentes de asilo e os migrantes, assim como os ataques e as tentativas de fogo posto contra abrigos de refugiados. Após o referendo no Reino Unido, em junho de 2016, registou</w:t>
      </w:r>
      <w:r>
        <w:rPr>
          <w:rFonts w:ascii="Times New Roman" w:hAnsi="Times New Roman"/>
          <w:u w:color="000000"/>
          <w:bdr w:val="nil"/>
        </w:rPr>
        <w:noBreakHyphen/>
        <w:t>se uma onda de ódio contra pessoas e grupos devido à sua nacionalidade ou origem étnica, dando as organizações da sociedade civil conta de uma hostilidade crescente contra ciganos e pessoas de ascendência africana em vários Estados</w:t>
      </w:r>
      <w:r>
        <w:rPr>
          <w:rFonts w:ascii="Times New Roman" w:hAnsi="Times New Roman"/>
          <w:u w:color="000000"/>
          <w:bdr w:val="nil"/>
        </w:rPr>
        <w:noBreakHyphen/>
        <w:t>Membros. Em 2017, a FRA publicará o seu inquérito sobre minorias e discriminação na UE (EU</w:t>
      </w:r>
      <w:r>
        <w:rPr>
          <w:rFonts w:ascii="Times New Roman" w:hAnsi="Times New Roman"/>
          <w:u w:color="000000"/>
          <w:bdr w:val="nil"/>
        </w:rPr>
        <w:noBreakHyphen/>
        <w:t>MIDIS II), que permitirá comparar tendências nas experiências de vários grupos minoritários.</w:t>
      </w:r>
    </w:p>
  </w:footnote>
  <w:footnote w:id="2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Grupo de Alto Nível da UE sobre a luta contra o racismo, a xenofobia e outras formas de intolerância; consultar: </w:t>
      </w:r>
      <w:hyperlink r:id="rId9">
        <w:r>
          <w:rPr>
            <w:rStyle w:val="Hyperlink"/>
            <w:rFonts w:ascii="Times New Roman" w:hAnsi="Times New Roman"/>
          </w:rPr>
          <w:t>http://ec.europa.eu/newsroom/just/item</w:t>
        </w:r>
        <w:r>
          <w:rPr>
            <w:rStyle w:val="Hyperlink"/>
            <w:rFonts w:ascii="Times New Roman" w:hAnsi="Times New Roman"/>
          </w:rPr>
          <w:noBreakHyphen/>
          <w:t>detail.cfm?item_id=51025</w:t>
        </w:r>
      </w:hyperlink>
      <w:r>
        <w:rPr>
          <w:rFonts w:ascii="Times New Roman" w:hAnsi="Times New Roman"/>
        </w:rPr>
        <w:t>.</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Decisão</w:t>
      </w:r>
      <w:r>
        <w:rPr>
          <w:rFonts w:ascii="Times New Roman" w:hAnsi="Times New Roman"/>
        </w:rPr>
        <w:noBreakHyphen/>
        <w:t>Quadro </w:t>
      </w:r>
      <w:hyperlink r:id="rId10">
        <w:r>
          <w:rPr>
            <w:rStyle w:val="Hyperlink"/>
            <w:rFonts w:ascii="Times New Roman" w:hAnsi="Times New Roman"/>
          </w:rPr>
          <w:t>2008/913/JAI</w:t>
        </w:r>
      </w:hyperlink>
      <w:r>
        <w:rPr>
          <w:rFonts w:ascii="Times New Roman" w:hAnsi="Times New Roman"/>
        </w:rPr>
        <w:t xml:space="preserve"> do Conselho, de 28 de novembro de 2008, relativa à luta por via do direito penal contra certas formas e manifestações de racismo e xenofobia.</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Acessível em: </w:t>
      </w:r>
      <w:hyperlink r:id="rId11">
        <w:r>
          <w:rPr>
            <w:rStyle w:val="Hyperlink"/>
            <w:rFonts w:ascii="Times New Roman" w:hAnsi="Times New Roman"/>
          </w:rPr>
          <w:t>http://ec.europa.eu/justice/fundamental</w:t>
        </w:r>
        <w:r>
          <w:rPr>
            <w:rStyle w:val="Hyperlink"/>
            <w:rFonts w:ascii="Times New Roman" w:hAnsi="Times New Roman"/>
          </w:rPr>
          <w:noBreakHyphen/>
          <w:t>rights/files/hate_speech_code_of_conduct_en.pdf</w:t>
        </w:r>
      </w:hyperlink>
      <w:r>
        <w:rPr>
          <w:rFonts w:ascii="Times New Roman" w:hAnsi="Times New Roman"/>
        </w:rPr>
        <w:t>.</w:t>
      </w:r>
    </w:p>
  </w:footnote>
  <w:footnote w:id="28">
    <w:p>
      <w:pPr>
        <w:pStyle w:val="FootnoteText"/>
        <w:jc w:val="both"/>
      </w:pPr>
      <w:r>
        <w:rPr>
          <w:rStyle w:val="FootnoteReference"/>
          <w:rFonts w:ascii="Times New Roman" w:hAnsi="Times New Roman"/>
        </w:rPr>
        <w:footnoteRef/>
      </w:r>
      <w:r>
        <w:rPr>
          <w:rFonts w:ascii="Times New Roman" w:hAnsi="Times New Roman"/>
        </w:rPr>
        <w:t xml:space="preserve"> A primeira apreciação do novo código de conduta está disponível em: </w:t>
      </w:r>
      <w:hyperlink r:id="rId12">
        <w:r>
          <w:rPr>
            <w:rStyle w:val="Hyperlink"/>
            <w:rFonts w:ascii="Times New Roman" w:hAnsi="Times New Roman"/>
          </w:rPr>
          <w:t>http://ec.europa.eu/information_society/newsroom/image/document/2016</w:t>
        </w:r>
        <w:r>
          <w:rPr>
            <w:rStyle w:val="Hyperlink"/>
            <w:rFonts w:ascii="Times New Roman" w:hAnsi="Times New Roman"/>
          </w:rPr>
          <w:noBreakHyphen/>
          <w:t>50/factsheet</w:t>
        </w:r>
        <w:r>
          <w:rPr>
            <w:rStyle w:val="Hyperlink"/>
            <w:rFonts w:ascii="Times New Roman" w:hAnsi="Times New Roman"/>
          </w:rPr>
          <w:noBreakHyphen/>
          <w:t>code</w:t>
        </w:r>
        <w:r>
          <w:rPr>
            <w:rStyle w:val="Hyperlink"/>
            <w:rFonts w:ascii="Times New Roman" w:hAnsi="Times New Roman"/>
          </w:rPr>
          <w:noBreakHyphen/>
          <w:t>conduct</w:t>
        </w:r>
        <w:r>
          <w:rPr>
            <w:rStyle w:val="Hyperlink"/>
            <w:rFonts w:ascii="Times New Roman" w:hAnsi="Times New Roman"/>
          </w:rPr>
          <w:noBreakHyphen/>
          <w:t>8_40573.pdf</w:t>
        </w:r>
      </w:hyperlink>
      <w:r>
        <w:t>.</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Diretiva (UE) 2017/541, de 15 de março de 2017.</w:t>
      </w: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Proposta de Regulamento do Parlamento Europeu e do Conselho, de 28 de setembro de 2016, que cria um regime da União de controlo das exportações, transferências, corretagem, assistência técnica e trânsito de produtos de dupla utilização (reformulação) [COM(2016) 616 final].</w:t>
      </w:r>
    </w:p>
  </w:footnote>
  <w:footnote w:id="3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Regulamento (UE) 2016/2134 do Parlamento Europeu e do Conselho, de 23 de novembro de 2016, que altera o Regulamento (CE) n.º 1236/2005 do Conselho relativo ao comércio de determinadas mercadorias suscetíveis de serem utilizadas para aplicar a pena de morte ou infligir tortura ou outras penas ou tratamentos cruéis, desumanos ou degradantes (JO L 338 de 13.12.2016, p. 1).</w:t>
      </w:r>
    </w:p>
  </w:footnote>
  <w:footnote w:id="3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JO C 269 de 23.7.2016, p. 1.</w:t>
      </w:r>
    </w:p>
  </w:footnote>
  <w:footnote w:id="3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No acórdão proferido em 28 de fevereiro de 2017 nos processos T</w:t>
      </w:r>
      <w:r>
        <w:rPr>
          <w:rFonts w:ascii="Times New Roman" w:hAnsi="Times New Roman"/>
        </w:rPr>
        <w:noBreakHyphen/>
        <w:t>192/16, T</w:t>
      </w:r>
      <w:r>
        <w:rPr>
          <w:rFonts w:ascii="Times New Roman" w:hAnsi="Times New Roman"/>
        </w:rPr>
        <w:noBreakHyphen/>
        <w:t>193/16 e T</w:t>
      </w:r>
      <w:r>
        <w:rPr>
          <w:rFonts w:ascii="Times New Roman" w:hAnsi="Times New Roman"/>
        </w:rPr>
        <w:noBreakHyphen/>
        <w:t>257/16, o Tribunal Geral sustentou que «a declaração UE</w:t>
      </w:r>
      <w:r>
        <w:noBreakHyphen/>
      </w:r>
      <w:r>
        <w:rPr>
          <w:rFonts w:ascii="Times New Roman" w:hAnsi="Times New Roman"/>
        </w:rPr>
        <w:t>Turquia [...] não pode ser considerada um ato adotado pelo Conselho Europeu, nem[,] de resto[,] por outra instituição, um órgão ou um organismo da União» (n.º 71).</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Esta ferramenta, integrada no instrumento «Clarity», concebido pela Agência dos Direitos Fundamentais da UE, passou a fazer parte do portal justiça eletrónica, </w:t>
      </w:r>
      <w:r>
        <w:rPr>
          <w:rFonts w:ascii="Times New Roman" w:hAnsi="Times New Roman"/>
        </w:rPr>
        <w:tab/>
      </w:r>
      <w:r>
        <w:rPr>
          <w:rFonts w:ascii="Times New Roman" w:hAnsi="Times New Roman"/>
        </w:rPr>
        <w:br/>
        <w:t>https://e</w:t>
      </w:r>
      <w:r>
        <w:rPr>
          <w:rFonts w:ascii="Times New Roman" w:hAnsi="Times New Roman"/>
        </w:rPr>
        <w:noBreakHyphen/>
        <w:t>justice.europa.eu/content_where_to_turn_for_help</w:t>
      </w:r>
      <w:r>
        <w:rPr>
          <w:rFonts w:ascii="Times New Roman" w:hAnsi="Times New Roman"/>
        </w:rPr>
        <w:noBreakHyphen/>
        <w:t>459</w:t>
      </w:r>
      <w:r>
        <w:rPr>
          <w:rFonts w:ascii="Times New Roman" w:hAnsi="Times New Roman"/>
        </w:rPr>
        <w:noBreakHyphen/>
        <w:t>en.do.</w:t>
      </w:r>
    </w:p>
  </w:footnote>
  <w:footnote w:id="35">
    <w:p>
      <w:pPr>
        <w:pStyle w:val="FootnoteText"/>
        <w:jc w:val="both"/>
      </w:pPr>
      <w:r>
        <w:rPr>
          <w:rStyle w:val="FootnoteReference"/>
          <w:rFonts w:ascii="Times New Roman" w:hAnsi="Times New Roman"/>
        </w:rPr>
        <w:footnoteRef/>
      </w:r>
      <w:r>
        <w:rPr>
          <w:rFonts w:ascii="Times New Roman" w:hAnsi="Times New Roman"/>
        </w:rPr>
        <w:t xml:space="preserve"> Acessível em: </w:t>
      </w:r>
      <w:hyperlink r:id="rId13">
        <w:r>
          <w:rPr>
            <w:rStyle w:val="Hyperlink"/>
            <w:rFonts w:ascii="Times New Roman" w:hAnsi="Times New Roman"/>
          </w:rPr>
          <w:t>http://data.consilium.europa.eu/doc/document/ST</w:t>
        </w:r>
        <w:r>
          <w:rPr>
            <w:rStyle w:val="Hyperlink"/>
            <w:rFonts w:ascii="Times New Roman" w:hAnsi="Times New Roman"/>
          </w:rPr>
          <w:noBreakHyphen/>
          <w:t>10005</w:t>
        </w:r>
        <w:r>
          <w:rPr>
            <w:rStyle w:val="Hyperlink"/>
            <w:rFonts w:ascii="Times New Roman" w:hAnsi="Times New Roman"/>
          </w:rPr>
          <w:noBreakHyphen/>
          <w:t>2016</w:t>
        </w:r>
        <w:r>
          <w:rPr>
            <w:rStyle w:val="Hyperlink"/>
            <w:rFonts w:ascii="Times New Roman" w:hAnsi="Times New Roman"/>
          </w:rPr>
          <w:noBreakHyphen/>
          <w:t>INIT/pt/pdf</w:t>
        </w:r>
      </w:hyperlink>
      <w:r>
        <w:t>.</w:t>
      </w: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Resolução do Parlamento Europeu, de 13 de dezembro de 2016, sobre a situação dos direitos fundamentais na União Europeia em 2015 [</w:t>
      </w:r>
      <w:hyperlink r:id="rId14">
        <w:r>
          <w:rPr>
            <w:rFonts w:ascii="Times New Roman" w:hAnsi="Times New Roman"/>
          </w:rPr>
          <w:t>2016/2009(INI)</w:t>
        </w:r>
      </w:hyperlink>
      <w:r>
        <w:rPr>
          <w:rFonts w:ascii="Times New Roman" w:hAnsi="Times New Roman"/>
        </w:rPr>
        <w:t>].</w:t>
      </w:r>
    </w:p>
  </w:footnote>
  <w:footnote w:id="3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Processos C</w:t>
      </w:r>
      <w:r>
        <w:rPr>
          <w:rFonts w:ascii="Times New Roman" w:hAnsi="Times New Roman"/>
        </w:rPr>
        <w:noBreakHyphen/>
        <w:t>8</w:t>
      </w:r>
      <w:r>
        <w:rPr>
          <w:rFonts w:ascii="Times New Roman" w:hAnsi="Times New Roman"/>
        </w:rPr>
        <w:noBreakHyphen/>
        <w:t>10/15P e C</w:t>
      </w:r>
      <w:r>
        <w:rPr>
          <w:rFonts w:ascii="Times New Roman" w:hAnsi="Times New Roman"/>
        </w:rPr>
        <w:noBreakHyphen/>
        <w:t>105</w:t>
      </w:r>
      <w:r>
        <w:rPr>
          <w:rFonts w:ascii="Times New Roman" w:hAnsi="Times New Roman"/>
        </w:rPr>
        <w:noBreakHyphen/>
        <w:t>109/15P.</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Comunicação «Um novo quadro da UE para reforçar o Estado de direito» [COM(2014) 158 final, 19.3.2014].</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Recomendação (UE) 2016/1374 da Comissão, de 27 de julho de 2016, relativa ao Estado de direito na Polónia; C(2016) 570; JO L 217 de 12.8.2016, pp. 53–68.</w:t>
      </w:r>
    </w:p>
  </w:footnote>
  <w:footnote w:id="4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Recomendação (UE) 2017/146 da Comissão, 21 de dezembro de 2016, relativa ao Estado de direito na Polónia, complementar à Recomendação (UE) 2016/1374 da Comissão; C(2016) 8950; JO L 22 de 27.1.2017, pp. 65</w:t>
      </w:r>
      <w:r>
        <w:rPr>
          <w:rFonts w:ascii="Times New Roman" w:hAnsi="Times New Roman"/>
        </w:rPr>
        <w:noBreakHyphen/>
        <w:t>81.</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Resolução do Parlamento Europeu, de 25 de outubro de 2016, sobre a criação de um mecanismo da UE para a democracia, o Estado de direito e os direitos fundamentais.</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Sessão plenária do Parlamento Europeu de 25 de outubro de 2016.</w:t>
      </w:r>
    </w:p>
  </w:footnote>
  <w:footnote w:id="4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w:t>
      </w:r>
      <w:r>
        <w:rPr>
          <w:rFonts w:ascii="Times New Roman" w:hAnsi="Times New Roman"/>
        </w:rPr>
        <w:noBreakHyphen/>
        <w:t>203/15.</w:t>
      </w:r>
    </w:p>
  </w:footnote>
  <w:footnote w:id="4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w:t>
      </w:r>
      <w:r>
        <w:rPr>
          <w:rFonts w:ascii="Times New Roman" w:hAnsi="Times New Roman"/>
        </w:rPr>
        <w:noBreakHyphen/>
        <w:t>698/15.</w:t>
      </w:r>
    </w:p>
  </w:footnote>
  <w:footnote w:id="4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w:t>
      </w:r>
      <w:r>
        <w:rPr>
          <w:rFonts w:ascii="Times New Roman" w:hAnsi="Times New Roman"/>
        </w:rPr>
        <w:noBreakHyphen/>
        <w:t>160/15.</w:t>
      </w:r>
    </w:p>
  </w:footnote>
  <w:footnote w:id="4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Strong"/>
          <w:rFonts w:ascii="Times New Roman" w:hAnsi="Times New Roman"/>
          <w:b w:val="0"/>
        </w:rPr>
        <w:t>Diretiva 2001/29/CE do Parlamento Europeu e do Conselho, de 22 de maio de 2001, relativa à harmonização de certos aspetos do direito de autor e dos direitos conexos na sociedade da informação</w:t>
      </w:r>
      <w:r>
        <w:rPr>
          <w:rFonts w:ascii="Times New Roman" w:hAnsi="Times New Roman"/>
        </w:rPr>
        <w:t xml:space="preserve"> (JO L 167 de 22.6.2001, pp. 10–19).</w:t>
      </w:r>
    </w:p>
  </w:footnote>
  <w:footnote w:id="4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w:t>
      </w:r>
      <w:r>
        <w:rPr>
          <w:rFonts w:ascii="Times New Roman" w:hAnsi="Times New Roman"/>
        </w:rPr>
        <w:noBreakHyphen/>
        <w:t>404/15, C</w:t>
      </w:r>
      <w:r>
        <w:rPr>
          <w:rFonts w:ascii="Times New Roman" w:hAnsi="Times New Roman"/>
        </w:rPr>
        <w:noBreakHyphen/>
        <w:t>659/15.</w:t>
      </w:r>
    </w:p>
  </w:footnote>
  <w:footnote w:id="48">
    <w:p>
      <w:pPr>
        <w:pStyle w:val="FootnoteText"/>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Relatório anual de 2016 da Agência dos Direitos Fundamentais, a publicar em maio de 2017.</w:t>
      </w:r>
    </w:p>
  </w:footnote>
  <w:footnote w:id="49">
    <w:p>
      <w:pPr>
        <w:pStyle w:val="FootnoteText"/>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«Upper Tribunal (Immigration and Asylum Chamber)», </w:t>
      </w:r>
      <w:r>
        <w:rPr>
          <w:rFonts w:ascii="Times New Roman" w:hAnsi="Times New Roman"/>
          <w:i/>
          <w:lang w:val="en-GB"/>
        </w:rPr>
        <w:t>Adebayo Abdul v. Secretary of State for the Home Department</w:t>
      </w:r>
      <w:r>
        <w:rPr>
          <w:rFonts w:ascii="Times New Roman" w:hAnsi="Times New Roman"/>
          <w:lang w:val="en-GB"/>
        </w:rPr>
        <w:t>, [2016] UKUT 106 (IAC).</w:t>
      </w:r>
    </w:p>
  </w:footnote>
  <w:footnote w:id="5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Skåne and Blekinge,</w:t>
      </w:r>
      <w:r>
        <w:rPr>
          <w:rFonts w:ascii="Times New Roman" w:hAnsi="Times New Roman"/>
        </w:rPr>
        <w:t xml:space="preserve"> Tribunal de Recurso, decisão no processo B 7426</w:t>
      </w:r>
      <w:r>
        <w:rPr>
          <w:rFonts w:ascii="Times New Roman" w:hAnsi="Times New Roman"/>
        </w:rPr>
        <w:noBreakHyphen/>
        <w:t>15, de 5 de dezembro de 2016.</w:t>
      </w:r>
    </w:p>
  </w:footnote>
  <w:footnote w:id="51">
    <w:p>
      <w:pPr>
        <w:pStyle w:val="FootnoteText"/>
        <w:jc w:val="both"/>
      </w:pPr>
      <w:r>
        <w:rPr>
          <w:rStyle w:val="FootnoteReference"/>
          <w:rFonts w:ascii="Times New Roman" w:hAnsi="Times New Roman"/>
        </w:rPr>
        <w:footnoteRef/>
      </w:r>
      <w:r>
        <w:rPr>
          <w:rFonts w:ascii="Times New Roman" w:hAnsi="Times New Roman"/>
        </w:rPr>
        <w:t xml:space="preserve"> </w:t>
      </w:r>
      <w:hyperlink r:id="rId15">
        <w:r>
          <w:rPr>
            <w:rStyle w:val="Hyperlink"/>
            <w:rFonts w:ascii="Times New Roman" w:hAnsi="Times New Roman"/>
          </w:rPr>
          <w:t>http://ec.europa.eu/newsroom/just/item</w:t>
        </w:r>
        <w:r>
          <w:rPr>
            <w:rStyle w:val="Hyperlink"/>
            <w:rFonts w:ascii="Times New Roman" w:hAnsi="Times New Roman"/>
          </w:rPr>
          <w:noBreakHyphen/>
          <w:t>detail.cfm?item_id=31198</w:t>
        </w:r>
      </w:hyperlink>
      <w:r>
        <w:t>.</w:t>
      </w:r>
    </w:p>
  </w:footnote>
  <w:footnote w:id="52">
    <w:p>
      <w:pPr>
        <w:pStyle w:val="FootnoteText"/>
        <w:jc w:val="both"/>
      </w:pPr>
      <w:r>
        <w:rPr>
          <w:rStyle w:val="FootnoteReference"/>
          <w:rFonts w:ascii="Times New Roman" w:hAnsi="Times New Roman"/>
        </w:rPr>
        <w:footnoteRef/>
      </w:r>
      <w:hyperlink r:id="rId16">
        <w:r>
          <w:rPr>
            <w:rStyle w:val="Hyperlink"/>
            <w:rFonts w:ascii="Times New Roman" w:hAnsi="Times New Roman"/>
          </w:rPr>
          <w:t>http://ec.europa.eu/information_society/newsroom/image/document/2016</w:t>
        </w:r>
        <w:r>
          <w:rPr>
            <w:rStyle w:val="Hyperlink"/>
            <w:rFonts w:ascii="Times New Roman" w:hAnsi="Times New Roman"/>
          </w:rPr>
          <w:noBreakHyphen/>
          <w:t>50/2016</w:t>
        </w:r>
        <w:r>
          <w:rPr>
            <w:rStyle w:val="Hyperlink"/>
            <w:rFonts w:ascii="Times New Roman" w:hAnsi="Times New Roman"/>
          </w:rPr>
          <w:noBreakHyphen/>
          <w:t>fundamental</w:t>
        </w:r>
        <w:r>
          <w:rPr>
            <w:rStyle w:val="Hyperlink"/>
            <w:rFonts w:ascii="Times New Roman" w:hAnsi="Times New Roman"/>
          </w:rPr>
          <w:noBreakHyphen/>
          <w:t>colloquium</w:t>
        </w:r>
        <w:r>
          <w:rPr>
            <w:rStyle w:val="Hyperlink"/>
            <w:rFonts w:ascii="Times New Roman" w:hAnsi="Times New Roman"/>
          </w:rPr>
          <w:noBreakHyphen/>
          <w:t>conclusions_40602.pdf</w:t>
        </w:r>
      </w:hyperlink>
      <w:r>
        <w:t>.</w:t>
      </w:r>
    </w:p>
  </w:footnote>
  <w:footnote w:id="5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Proposta de Diretiva do Parlamento Europeu e do Conselho que altera a Diretiva 2010/13/UE relativa à coordenação de certas disposições legislativas, regulamentares e administrativas dos Estados</w:t>
      </w:r>
      <w:r>
        <w:rPr>
          <w:rFonts w:ascii="Times New Roman" w:hAnsi="Times New Roman"/>
        </w:rPr>
        <w:noBreakHyphen/>
        <w:t>Membros respeitantes à oferta de serviços de comunicação social audiovisual, para a adaptar à evolução das realidades do mercado[(COM(2016) 0287 final, 25.5.2016].</w:t>
      </w:r>
    </w:p>
  </w:footnote>
  <w:footnote w:id="5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7">
        <w:r>
          <w:rPr>
            <w:rStyle w:val="Hyperlink"/>
            <w:rFonts w:ascii="Times New Roman" w:hAnsi="Times New Roman"/>
          </w:rPr>
          <w:t>http://europa.eu/rapid/press</w:t>
        </w:r>
        <w:r>
          <w:rPr>
            <w:rStyle w:val="Hyperlink"/>
            <w:rFonts w:ascii="Times New Roman" w:hAnsi="Times New Roman"/>
          </w:rPr>
          <w:noBreakHyphen/>
          <w:t>release_MEMO</w:t>
        </w:r>
        <w:r>
          <w:rPr>
            <w:rStyle w:val="Hyperlink"/>
            <w:rFonts w:ascii="Times New Roman" w:hAnsi="Times New Roman"/>
          </w:rPr>
          <w:noBreakHyphen/>
          <w:t>16</w:t>
        </w:r>
        <w:r>
          <w:rPr>
            <w:rStyle w:val="Hyperlink"/>
            <w:rFonts w:ascii="Times New Roman" w:hAnsi="Times New Roman"/>
          </w:rPr>
          <w:noBreakHyphen/>
          <w:t>3946_en.htm</w:t>
        </w:r>
      </w:hyperlink>
      <w:r>
        <w:rPr>
          <w:rStyle w:val="Hyperlink"/>
          <w:rFonts w:ascii="Times New Roman" w:hAnsi="Times New Roman"/>
        </w:rPr>
        <w:t>.</w:t>
      </w:r>
    </w:p>
  </w:footnote>
  <w:footnote w:id="5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8">
        <w:r>
          <w:rPr>
            <w:rStyle w:val="Hyperlink"/>
            <w:rFonts w:ascii="Times New Roman" w:hAnsi="Times New Roman"/>
          </w:rPr>
          <w:t>http://ec.europa.eu/newsroom/just/item</w:t>
        </w:r>
        <w:r>
          <w:rPr>
            <w:rStyle w:val="Hyperlink"/>
            <w:rFonts w:ascii="Times New Roman" w:hAnsi="Times New Roman"/>
          </w:rPr>
          <w:noBreakHyphen/>
          <w:t>detail.cfm?item_id=54254</w:t>
        </w:r>
      </w:hyperlink>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14F"/>
    <w:multiLevelType w:val="hybridMultilevel"/>
    <w:tmpl w:val="104C70BC"/>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5B6C01"/>
    <w:multiLevelType w:val="hybridMultilevel"/>
    <w:tmpl w:val="E82C6E30"/>
    <w:lvl w:ilvl="0" w:tplc="DB7CD0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111F59"/>
    <w:multiLevelType w:val="hybridMultilevel"/>
    <w:tmpl w:val="341ED8BE"/>
    <w:lvl w:ilvl="0" w:tplc="93EC72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F4101F5"/>
    <w:multiLevelType w:val="hybridMultilevel"/>
    <w:tmpl w:val="7A58E5E4"/>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9172F61"/>
    <w:multiLevelType w:val="hybridMultilevel"/>
    <w:tmpl w:val="B8CE6E1E"/>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7F856209"/>
    <w:multiLevelType w:val="hybridMultilevel"/>
    <w:tmpl w:val="57C0E9F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C276A332C4D4395BF639A622D1A5442"/>
    <w:docVar w:name="LW_CROSSREFERENCE" w:val="{SWD(2017) 162 final}"/>
    <w:docVar w:name="LW_DocType" w:val="NORMAL"/>
    <w:docVar w:name="LW_EMISSION" w:val="18.5.2017"/>
    <w:docVar w:name="LW_EMISSION_ISODATE" w:val="2017-05-18"/>
    <w:docVar w:name="LW_EMISSION_LOCATION" w:val="BRX"/>
    <w:docVar w:name="LW_EMISSION_PREFIX" w:val="Bruxelas, "/>
    <w:docVar w:name="LW_EMISSION_SUFFIX" w:val=" "/>
    <w:docVar w:name="LW_ID_DOCTYPE_NONLW" w:val="CP-014"/>
    <w:docVar w:name="LW_LANGUE" w:val="PT"/>
    <w:docVar w:name="LW_MARKING" w:val="&lt;UNUSED&g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17) 239"/>
    <w:docVar w:name="LW_REF.INTERNE" w:val="&lt;UNUSED&gt;"/>
    <w:docVar w:name="LW_SOUS.TITRE.OBJ.CP" w:val="&lt;UNUSED&gt;"/>
    <w:docVar w:name="LW_SUPERTITRE" w:val="&lt;UNUSED&gt;"/>
    <w:docVar w:name="LW_TITRE.OBJ.CP" w:val="Relatório de 2016 sobre a Aplicação da Carta dos Direitos Fundamentais da UE"/>
    <w:docVar w:name="LW_TYPE.DOC.CP" w:val="COMUNICAÇÃO DA COMISSÃO AO PARLAMENTO EUROPEU, AO CONSELHO, AO COMITÉ ECONÓMICO E SOCIAL EUROPEU E AO COMITÉ DAS REGIÕE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styleId="FootnoteText">
    <w:name w:val="footnote text"/>
    <w:aliases w:val="Footnote Text Char Char,Footnote Text Char1 Char Char,Footnote Text Char Char Char Char,Footnote Text Char1 Char Char Char Char,Footnote Char Char Char Char Char,Footnote Text Char Char Char Char Char Char,FA Fu,Fußnotentextf,ft,fuß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Footnote Text Char1 Char Char Char,Footnote Text Char Char Char Char Char,Footnote Text Char1 Char Char Char Char Char,Footnote Char Char Char Char Char Char,FA Fu Char,Fußnotentextf Char,ft Char,fußn Char"/>
    <w:basedOn w:val="DefaultParagraphFont"/>
    <w:link w:val="FootnoteText"/>
    <w:uiPriority w:val="99"/>
    <w:rPr>
      <w:sz w:val="20"/>
      <w:szCs w:val="20"/>
    </w:rPr>
  </w:style>
  <w:style w:type="character" w:styleId="Hyperlink">
    <w:name w:val="Hyperlink"/>
    <w:rPr>
      <w:u w:val="single"/>
    </w:rPr>
  </w:style>
  <w:style w:type="character" w:styleId="FootnoteReference">
    <w:name w:val="footnote reference"/>
    <w:aliases w:val="Odwołanie przypisu,Footnote symbol,BVI fnr,Footnote,Footnotes refss,SUPERS,Footnote Reference Superscript,Ref,de nota al pie,-E Fußnotenzeichen,Footnote reference number,Times 10 Point,Exposant 3 Point,E,E FNZ,Footnote#,note TESI,FR,F"/>
    <w:basedOn w:val="DefaultParagraphFont"/>
    <w:link w:val="ftrefCharCharCharCharCharCharCharCharChar"/>
    <w:uiPriority w:val="99"/>
    <w:unhideWhenUsed/>
    <w:qFormat/>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character" w:styleId="Strong">
    <w:name w:val="Strong"/>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character" w:customStyle="1" w:styleId="A3">
    <w:name w:val="A3"/>
    <w:uiPriority w:val="99"/>
    <w:rPr>
      <w:rFonts w:ascii="EC Square Sans Pro Medium" w:hAnsi="EC Square Sans Pro Medium" w:cs="EC Square Sans Pro Medium"/>
      <w:color w:val="000000"/>
      <w:sz w:val="40"/>
      <w:szCs w:val="40"/>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styleId="FootnoteText">
    <w:name w:val="footnote text"/>
    <w:aliases w:val="Footnote Text Char Char,Footnote Text Char1 Char Char,Footnote Text Char Char Char Char,Footnote Text Char1 Char Char Char Char,Footnote Char Char Char Char Char,Footnote Text Char Char Char Char Char Char,FA Fu,Fußnotentextf,ft,fuß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Footnote Text Char1 Char Char Char,Footnote Text Char Char Char Char Char,Footnote Text Char1 Char Char Char Char Char,Footnote Char Char Char Char Char Char,FA Fu Char,Fußnotentextf Char,ft Char,fußn Char"/>
    <w:basedOn w:val="DefaultParagraphFont"/>
    <w:link w:val="FootnoteText"/>
    <w:uiPriority w:val="99"/>
    <w:rPr>
      <w:sz w:val="20"/>
      <w:szCs w:val="20"/>
    </w:rPr>
  </w:style>
  <w:style w:type="character" w:styleId="Hyperlink">
    <w:name w:val="Hyperlink"/>
    <w:rPr>
      <w:u w:val="single"/>
    </w:rPr>
  </w:style>
  <w:style w:type="character" w:styleId="FootnoteReference">
    <w:name w:val="footnote reference"/>
    <w:aliases w:val="Odwołanie przypisu,Footnote symbol,BVI fnr,Footnote,Footnotes refss,SUPERS,Footnote Reference Superscript,Ref,de nota al pie,-E Fußnotenzeichen,Footnote reference number,Times 10 Point,Exposant 3 Point,E,E FNZ,Footnote#,note TESI,FR,F"/>
    <w:basedOn w:val="DefaultParagraphFont"/>
    <w:link w:val="ftrefCharCharCharCharCharCharCharCharChar"/>
    <w:uiPriority w:val="99"/>
    <w:unhideWhenUsed/>
    <w:qFormat/>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character" w:styleId="Strong">
    <w:name w:val="Strong"/>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character" w:customStyle="1" w:styleId="A3">
    <w:name w:val="A3"/>
    <w:uiPriority w:val="99"/>
    <w:rPr>
      <w:rFonts w:ascii="EC Square Sans Pro Medium" w:hAnsi="EC Square Sans Pro Medium" w:cs="EC Square Sans Pro Medium"/>
      <w:color w:val="000000"/>
      <w:sz w:val="40"/>
      <w:szCs w:val="40"/>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29101">
      <w:bodyDiv w:val="1"/>
      <w:marLeft w:val="0"/>
      <w:marRight w:val="0"/>
      <w:marTop w:val="0"/>
      <w:marBottom w:val="0"/>
      <w:divBdr>
        <w:top w:val="none" w:sz="0" w:space="0" w:color="auto"/>
        <w:left w:val="none" w:sz="0" w:space="0" w:color="auto"/>
        <w:bottom w:val="none" w:sz="0" w:space="0" w:color="auto"/>
        <w:right w:val="none" w:sz="0" w:space="0" w:color="auto"/>
      </w:divBdr>
    </w:div>
    <w:div w:id="68663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ec.europa.eu/newsroom/just/item-detail.cfm?item_id=34456"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fra.europa.eu/en/publication/2013/discrimination-and-hate-crime-against-jews-eu-member-states-experiences-and" TargetMode="External"/><Relationship Id="rId13" Type="http://schemas.openxmlformats.org/officeDocument/2006/relationships/hyperlink" Target="http://data.consilium.europa.eu/doc/document/ST-10005-2016-INIT/pt/pdf" TargetMode="External"/><Relationship Id="rId18" Type="http://schemas.openxmlformats.org/officeDocument/2006/relationships/hyperlink" Target="http://ec.europa.eu/newsroom/just/item-detail.cfm?item_id=54254" TargetMode="External"/><Relationship Id="rId3" Type="http://schemas.openxmlformats.org/officeDocument/2006/relationships/hyperlink" Target="http://eur-lex.europa.eu/legal-content/PT/TXT/?qid=1487081419577&amp;uri=CELEX%3A32016L0680" TargetMode="External"/><Relationship Id="rId7" Type="http://schemas.openxmlformats.org/officeDocument/2006/relationships/hyperlink" Target="http://europa.eu/rapid/press-release_IP-16-4402_pt.htm" TargetMode="External"/><Relationship Id="rId12" Type="http://schemas.openxmlformats.org/officeDocument/2006/relationships/hyperlink" Target="http://ec.europa.eu/information_society/newsroom/image/document/2016-50/factsheet-code-conduct-8_40573.pdf" TargetMode="External"/><Relationship Id="rId17" Type="http://schemas.openxmlformats.org/officeDocument/2006/relationships/hyperlink" Target="http://europa.eu/rapid/press-release_MEMO-16-3946_en.htm" TargetMode="External"/><Relationship Id="rId2" Type="http://schemas.openxmlformats.org/officeDocument/2006/relationships/hyperlink" Target="https://webgate.ec.europa.eu/odr/main/index.cfm?event=main.home.chooseLanguage" TargetMode="External"/><Relationship Id="rId16" Type="http://schemas.openxmlformats.org/officeDocument/2006/relationships/hyperlink" Target="http://ec.europa.eu/information_society/newsroom/image/document/2016-50/2016-fundamental-colloquium-conclusions_40602.pdf" TargetMode="External"/><Relationship Id="rId1" Type="http://schemas.openxmlformats.org/officeDocument/2006/relationships/hyperlink" Target="https://ec.europa.eu/commission/priorities/deeper-and-fairer-economic-and-monetary-union/towards-european-pillar-social-rights_en" TargetMode="External"/><Relationship Id="rId6" Type="http://schemas.openxmlformats.org/officeDocument/2006/relationships/hyperlink" Target="http://ec.europa.eu/newsroom/just/item-detail.cfm?item_id=34456" TargetMode="External"/><Relationship Id="rId11" Type="http://schemas.openxmlformats.org/officeDocument/2006/relationships/hyperlink" Target="http://ec.europa.eu/justice/fundamental-rights/files/hate_speech_code_of_conduct_en.pdf" TargetMode="External"/><Relationship Id="rId5" Type="http://schemas.openxmlformats.org/officeDocument/2006/relationships/hyperlink" Target="http://ec.europa.eu/justice/fundamental-rights/files/rights_child/ceas_provision_on_children_table_updated.pdf" TargetMode="External"/><Relationship Id="rId15" Type="http://schemas.openxmlformats.org/officeDocument/2006/relationships/hyperlink" Target="http://ec.europa.eu/newsroom/just/item-detail.cfm?item_id=31198" TargetMode="External"/><Relationship Id="rId10" Type="http://schemas.openxmlformats.org/officeDocument/2006/relationships/hyperlink" Target="http://eur-lex.europa.eu/legal-content/PT/TXT/?uri=celex%3A32008F0913" TargetMode="External"/><Relationship Id="rId4" Type="http://schemas.openxmlformats.org/officeDocument/2006/relationships/hyperlink" Target="http://ec.europa.eu/justice/data-protection/files/dp-umbrella-agreement_en.pdf" TargetMode="External"/><Relationship Id="rId9" Type="http://schemas.openxmlformats.org/officeDocument/2006/relationships/hyperlink" Target="http://ec.europa.eu/newsroom/just/item-detail.cfm?item_id=51025" TargetMode="External"/><Relationship Id="rId14" Type="http://schemas.openxmlformats.org/officeDocument/2006/relationships/hyperlink" Target="http://www.europarl.europa.eu/oeil/popups/ficheprocedure.do?lang=en&amp;reference=2016/2009(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0B08-44C3-426D-99A4-26D91B65F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15</Pages>
  <Words>4757</Words>
  <Characters>25549</Characters>
  <Application>Microsoft Office Word</Application>
  <DocSecurity>0</DocSecurity>
  <Lines>354</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26</cp:revision>
  <cp:lastPrinted>2017-05-05T12:26:00Z</cp:lastPrinted>
  <dcterms:created xsi:type="dcterms:W3CDTF">2017-05-11T12:38:00Z</dcterms:created>
  <dcterms:modified xsi:type="dcterms:W3CDTF">2017-05-17T08:05:00Z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