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149E8996785A4BE5B8051F10DA523A73" style="width:450.45pt;height:293.2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>
      <w:pPr>
        <w:pStyle w:val="TOCHeading"/>
        <w:rPr>
          <w:noProof/>
        </w:rPr>
      </w:pPr>
      <w:bookmarkStart w:id="1" w:name="_GoBack"/>
      <w:bookmarkEnd w:id="1"/>
      <w:r>
        <w:rPr>
          <w:noProof/>
        </w:rPr>
        <w:lastRenderedPageBreak/>
        <w:t>ÍNDICE</w:t>
      </w:r>
    </w:p>
    <w:p>
      <w:pPr>
        <w:pStyle w:val="TOC1"/>
      </w:pPr>
    </w:p>
    <w:p>
      <w:pPr>
        <w:pStyle w:val="TOC1"/>
        <w:rPr>
          <w:rFonts w:ascii="Times New Roman" w:hAnsi="Times New Roman" w:cs="Times New Roman"/>
          <w:b w:val="0"/>
          <w:bCs w:val="0"/>
          <w:sz w:val="24"/>
          <w:szCs w:val="24"/>
          <w:lang w:bidi="ar-SA"/>
        </w:rPr>
      </w:pPr>
      <w:r>
        <w:rPr>
          <w:rFonts w:ascii="Times New Roman" w:hAnsi="Times New Roman" w:cs="Times New Roman"/>
          <w:b w:val="0"/>
        </w:rPr>
        <w:fldChar w:fldCharType="begin"/>
      </w:r>
      <w:r>
        <w:rPr>
          <w:rFonts w:ascii="Times New Roman" w:hAnsi="Times New Roman" w:cs="Times New Roman"/>
          <w:b w:val="0"/>
        </w:rPr>
        <w:instrText xml:space="preserve"> TOC \o "1-3" \h \z \u </w:instrText>
      </w:r>
      <w:r>
        <w:rPr>
          <w:rFonts w:ascii="Times New Roman" w:hAnsi="Times New Roman" w:cs="Times New Roman"/>
          <w:b w:val="0"/>
        </w:rPr>
        <w:fldChar w:fldCharType="separate"/>
      </w:r>
      <w:hyperlink w:anchor="_Toc455585184" w:history="1">
        <w:r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1.</w:t>
        </w:r>
        <w:r>
          <w:rPr>
            <w:rFonts w:ascii="Times New Roman" w:hAnsi="Times New Roman" w:cs="Times New Roman"/>
            <w:b w:val="0"/>
            <w:bCs w:val="0"/>
            <w:sz w:val="24"/>
            <w:szCs w:val="24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Introdução</w:t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tab/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_Toc455585184 \h </w:instrText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t>3</w:t>
        </w:r>
        <w:r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>
      <w:pPr>
        <w:pStyle w:val="TOC1"/>
        <w:rPr>
          <w:rFonts w:ascii="Times New Roman" w:hAnsi="Times New Roman" w:cs="Times New Roman"/>
          <w:b w:val="0"/>
          <w:bCs w:val="0"/>
          <w:lang w:bidi="ar-SA"/>
        </w:rPr>
      </w:pPr>
      <w:hyperlink w:anchor="_Toc455585185" w:history="1">
        <w:r>
          <w:rPr>
            <w:rStyle w:val="Hyperlink"/>
            <w:rFonts w:ascii="Times New Roman" w:hAnsi="Times New Roman" w:cs="Times New Roman"/>
            <w:b w:val="0"/>
          </w:rPr>
          <w:t>2.</w:t>
        </w:r>
        <w:r>
          <w:rPr>
            <w:rFonts w:ascii="Times New Roman" w:hAnsi="Times New Roman" w:cs="Times New Roman"/>
            <w:b w:val="0"/>
            <w:bCs w:val="0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</w:rPr>
          <w:t>Evolução do número de agentes contratuais desde 2004 na Comissão</w:t>
        </w:r>
        <w:r>
          <w:rPr>
            <w:rFonts w:ascii="Times New Roman" w:hAnsi="Times New Roman" w:cs="Times New Roman"/>
            <w:b w:val="0"/>
            <w:webHidden/>
          </w:rPr>
          <w:tab/>
        </w:r>
        <w:r>
          <w:rPr>
            <w:rFonts w:ascii="Times New Roman" w:hAnsi="Times New Roman" w:cs="Times New Roman"/>
            <w:b w:val="0"/>
            <w:webHidden/>
          </w:rPr>
          <w:fldChar w:fldCharType="begin"/>
        </w:r>
        <w:r>
          <w:rPr>
            <w:rFonts w:ascii="Times New Roman" w:hAnsi="Times New Roman" w:cs="Times New Roman"/>
            <w:b w:val="0"/>
            <w:webHidden/>
          </w:rPr>
          <w:instrText xml:space="preserve"> PAGEREF _Toc455585185 \h </w:instrText>
        </w:r>
        <w:r>
          <w:rPr>
            <w:rFonts w:ascii="Times New Roman" w:hAnsi="Times New Roman" w:cs="Times New Roman"/>
            <w:b w:val="0"/>
            <w:webHidden/>
          </w:rPr>
        </w:r>
        <w:r>
          <w:rPr>
            <w:rFonts w:ascii="Times New Roman" w:hAnsi="Times New Roman" w:cs="Times New Roman"/>
            <w:b w:val="0"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</w:rPr>
          <w:t>4</w:t>
        </w:r>
        <w:r>
          <w:rPr>
            <w:rFonts w:ascii="Times New Roman" w:hAnsi="Times New Roman" w:cs="Times New Roman"/>
            <w:b w:val="0"/>
            <w:webHidden/>
          </w:rPr>
          <w:fldChar w:fldCharType="end"/>
        </w:r>
      </w:hyperlink>
    </w:p>
    <w:p>
      <w:pPr>
        <w:pStyle w:val="TOC1"/>
        <w:rPr>
          <w:rFonts w:ascii="Times New Roman" w:hAnsi="Times New Roman" w:cs="Times New Roman"/>
          <w:b w:val="0"/>
          <w:bCs w:val="0"/>
          <w:lang w:bidi="ar-SA"/>
        </w:rPr>
      </w:pPr>
      <w:hyperlink w:anchor="_Toc455585186" w:history="1">
        <w:r>
          <w:rPr>
            <w:rStyle w:val="Hyperlink"/>
            <w:rFonts w:ascii="Times New Roman" w:hAnsi="Times New Roman" w:cs="Times New Roman"/>
            <w:b w:val="0"/>
          </w:rPr>
          <w:t>3.</w:t>
        </w:r>
        <w:r>
          <w:rPr>
            <w:rFonts w:ascii="Times New Roman" w:hAnsi="Times New Roman" w:cs="Times New Roman"/>
            <w:b w:val="0"/>
            <w:bCs w:val="0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</w:rPr>
          <w:t>Distribuição dos agentes contratuais da Comissão por género e por grupo de funções</w:t>
        </w:r>
        <w:r>
          <w:rPr>
            <w:rFonts w:ascii="Times New Roman" w:hAnsi="Times New Roman" w:cs="Times New Roman"/>
            <w:b w:val="0"/>
            <w:webHidden/>
          </w:rPr>
          <w:tab/>
        </w:r>
        <w:r>
          <w:rPr>
            <w:rFonts w:ascii="Times New Roman" w:hAnsi="Times New Roman" w:cs="Times New Roman"/>
            <w:b w:val="0"/>
            <w:webHidden/>
          </w:rPr>
          <w:fldChar w:fldCharType="begin"/>
        </w:r>
        <w:r>
          <w:rPr>
            <w:rFonts w:ascii="Times New Roman" w:hAnsi="Times New Roman" w:cs="Times New Roman"/>
            <w:b w:val="0"/>
            <w:webHidden/>
          </w:rPr>
          <w:instrText xml:space="preserve"> PAGEREF _Toc455585186 \h </w:instrText>
        </w:r>
        <w:r>
          <w:rPr>
            <w:rFonts w:ascii="Times New Roman" w:hAnsi="Times New Roman" w:cs="Times New Roman"/>
            <w:b w:val="0"/>
            <w:webHidden/>
          </w:rPr>
        </w:r>
        <w:r>
          <w:rPr>
            <w:rFonts w:ascii="Times New Roman" w:hAnsi="Times New Roman" w:cs="Times New Roman"/>
            <w:b w:val="0"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</w:rPr>
          <w:t>6</w:t>
        </w:r>
        <w:r>
          <w:rPr>
            <w:rFonts w:ascii="Times New Roman" w:hAnsi="Times New Roman" w:cs="Times New Roman"/>
            <w:b w:val="0"/>
            <w:webHidden/>
          </w:rPr>
          <w:fldChar w:fldCharType="end"/>
        </w:r>
      </w:hyperlink>
    </w:p>
    <w:p>
      <w:pPr>
        <w:pStyle w:val="TOC1"/>
        <w:rPr>
          <w:rFonts w:ascii="Times New Roman" w:hAnsi="Times New Roman" w:cs="Times New Roman"/>
          <w:b w:val="0"/>
          <w:bCs w:val="0"/>
          <w:lang w:bidi="ar-SA"/>
        </w:rPr>
      </w:pPr>
      <w:hyperlink w:anchor="_Toc455585187" w:history="1">
        <w:r>
          <w:rPr>
            <w:rStyle w:val="Hyperlink"/>
            <w:rFonts w:ascii="Times New Roman" w:hAnsi="Times New Roman" w:cs="Times New Roman"/>
            <w:b w:val="0"/>
          </w:rPr>
          <w:t>4.</w:t>
        </w:r>
        <w:r>
          <w:rPr>
            <w:rFonts w:ascii="Times New Roman" w:hAnsi="Times New Roman" w:cs="Times New Roman"/>
            <w:b w:val="0"/>
            <w:bCs w:val="0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</w:rPr>
          <w:t>Distribuição de agentes contratuais da Comissão por nacionalidade</w:t>
        </w:r>
        <w:r>
          <w:rPr>
            <w:rFonts w:ascii="Times New Roman" w:hAnsi="Times New Roman" w:cs="Times New Roman"/>
            <w:b w:val="0"/>
            <w:webHidden/>
          </w:rPr>
          <w:tab/>
        </w:r>
        <w:r>
          <w:rPr>
            <w:rFonts w:ascii="Times New Roman" w:hAnsi="Times New Roman" w:cs="Times New Roman"/>
            <w:b w:val="0"/>
            <w:webHidden/>
          </w:rPr>
          <w:fldChar w:fldCharType="begin"/>
        </w:r>
        <w:r>
          <w:rPr>
            <w:rFonts w:ascii="Times New Roman" w:hAnsi="Times New Roman" w:cs="Times New Roman"/>
            <w:b w:val="0"/>
            <w:webHidden/>
          </w:rPr>
          <w:instrText xml:space="preserve"> PAGEREF _Toc455585187 \h </w:instrText>
        </w:r>
        <w:r>
          <w:rPr>
            <w:rFonts w:ascii="Times New Roman" w:hAnsi="Times New Roman" w:cs="Times New Roman"/>
            <w:b w:val="0"/>
            <w:webHidden/>
          </w:rPr>
        </w:r>
        <w:r>
          <w:rPr>
            <w:rFonts w:ascii="Times New Roman" w:hAnsi="Times New Roman" w:cs="Times New Roman"/>
            <w:b w:val="0"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</w:rPr>
          <w:t>7</w:t>
        </w:r>
        <w:r>
          <w:rPr>
            <w:rFonts w:ascii="Times New Roman" w:hAnsi="Times New Roman" w:cs="Times New Roman"/>
            <w:b w:val="0"/>
            <w:webHidden/>
          </w:rPr>
          <w:fldChar w:fldCharType="end"/>
        </w:r>
      </w:hyperlink>
    </w:p>
    <w:p>
      <w:pPr>
        <w:pStyle w:val="TOC1"/>
        <w:rPr>
          <w:rFonts w:ascii="Times New Roman" w:hAnsi="Times New Roman" w:cs="Times New Roman"/>
          <w:b w:val="0"/>
          <w:bCs w:val="0"/>
          <w:lang w:bidi="ar-SA"/>
        </w:rPr>
      </w:pPr>
      <w:hyperlink w:anchor="_Toc455585188" w:history="1">
        <w:r>
          <w:rPr>
            <w:rStyle w:val="Hyperlink"/>
            <w:rFonts w:ascii="Times New Roman" w:hAnsi="Times New Roman" w:cs="Times New Roman"/>
            <w:b w:val="0"/>
          </w:rPr>
          <w:t>5.</w:t>
        </w:r>
        <w:r>
          <w:rPr>
            <w:rFonts w:ascii="Times New Roman" w:hAnsi="Times New Roman" w:cs="Times New Roman"/>
            <w:b w:val="0"/>
            <w:bCs w:val="0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</w:rPr>
          <w:t>Distribuição de agentes contratuais da Comissão por serviço</w:t>
        </w:r>
        <w:r>
          <w:rPr>
            <w:rFonts w:ascii="Times New Roman" w:hAnsi="Times New Roman" w:cs="Times New Roman"/>
            <w:b w:val="0"/>
            <w:webHidden/>
          </w:rPr>
          <w:tab/>
        </w:r>
        <w:r>
          <w:rPr>
            <w:rFonts w:ascii="Times New Roman" w:hAnsi="Times New Roman" w:cs="Times New Roman"/>
            <w:b w:val="0"/>
            <w:webHidden/>
          </w:rPr>
          <w:fldChar w:fldCharType="begin"/>
        </w:r>
        <w:r>
          <w:rPr>
            <w:rFonts w:ascii="Times New Roman" w:hAnsi="Times New Roman" w:cs="Times New Roman"/>
            <w:b w:val="0"/>
            <w:webHidden/>
          </w:rPr>
          <w:instrText xml:space="preserve"> PAGEREF _Toc455585188 \h </w:instrText>
        </w:r>
        <w:r>
          <w:rPr>
            <w:rFonts w:ascii="Times New Roman" w:hAnsi="Times New Roman" w:cs="Times New Roman"/>
            <w:b w:val="0"/>
            <w:webHidden/>
          </w:rPr>
        </w:r>
        <w:r>
          <w:rPr>
            <w:rFonts w:ascii="Times New Roman" w:hAnsi="Times New Roman" w:cs="Times New Roman"/>
            <w:b w:val="0"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</w:rPr>
          <w:t>13</w:t>
        </w:r>
        <w:r>
          <w:rPr>
            <w:rFonts w:ascii="Times New Roman" w:hAnsi="Times New Roman" w:cs="Times New Roman"/>
            <w:b w:val="0"/>
            <w:webHidden/>
          </w:rPr>
          <w:fldChar w:fldCharType="end"/>
        </w:r>
      </w:hyperlink>
    </w:p>
    <w:p>
      <w:pPr>
        <w:pStyle w:val="TOC2"/>
        <w:rPr>
          <w:rFonts w:eastAsiaTheme="minorEastAsia"/>
          <w:noProof/>
          <w:sz w:val="22"/>
          <w:szCs w:val="22"/>
          <w:lang w:bidi="ar-SA"/>
        </w:rPr>
      </w:pPr>
      <w:hyperlink w:anchor="_Toc455585189" w:history="1">
        <w:r>
          <w:rPr>
            <w:rStyle w:val="Hyperlink"/>
            <w:noProof/>
          </w:rPr>
          <w:t>5.1.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por género e por DG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0" w:history="1">
        <w:r>
          <w:rPr>
            <w:rStyle w:val="Hyperlink"/>
            <w:noProof/>
          </w:rPr>
          <w:t>5.2.1.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Agentes contratuais 3.º-A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1" w:history="1">
        <w:r>
          <w:rPr>
            <w:rStyle w:val="Hyperlink"/>
            <w:noProof/>
          </w:rPr>
          <w:t>5.2.2.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Agentes contratuais auxiliares 3.º-B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>
      <w:pPr>
        <w:pStyle w:val="TOC1"/>
        <w:rPr>
          <w:rFonts w:ascii="Times New Roman" w:hAnsi="Times New Roman" w:cs="Times New Roman"/>
          <w:b w:val="0"/>
          <w:bCs w:val="0"/>
          <w:lang w:bidi="ar-SA"/>
        </w:rPr>
      </w:pPr>
      <w:hyperlink w:anchor="_Toc455585192" w:history="1">
        <w:r>
          <w:rPr>
            <w:rStyle w:val="Hyperlink"/>
            <w:rFonts w:ascii="Times New Roman" w:hAnsi="Times New Roman" w:cs="Times New Roman"/>
            <w:b w:val="0"/>
          </w:rPr>
          <w:t>6.</w:t>
        </w:r>
        <w:r>
          <w:rPr>
            <w:rFonts w:ascii="Times New Roman" w:hAnsi="Times New Roman" w:cs="Times New Roman"/>
            <w:b w:val="0"/>
            <w:bCs w:val="0"/>
            <w:lang w:bidi="ar-SA"/>
          </w:rPr>
          <w:tab/>
        </w:r>
        <w:r>
          <w:rPr>
            <w:rStyle w:val="Hyperlink"/>
            <w:rFonts w:ascii="Times New Roman" w:hAnsi="Times New Roman" w:cs="Times New Roman"/>
            <w:b w:val="0"/>
          </w:rPr>
          <w:t>Distribuição dos agentes contratuais noutras instituições e agências</w:t>
        </w:r>
        <w:r>
          <w:rPr>
            <w:rFonts w:ascii="Times New Roman" w:hAnsi="Times New Roman" w:cs="Times New Roman"/>
            <w:b w:val="0"/>
            <w:webHidden/>
          </w:rPr>
          <w:tab/>
        </w:r>
        <w:r>
          <w:rPr>
            <w:rFonts w:ascii="Times New Roman" w:hAnsi="Times New Roman" w:cs="Times New Roman"/>
            <w:b w:val="0"/>
            <w:webHidden/>
          </w:rPr>
          <w:fldChar w:fldCharType="begin"/>
        </w:r>
        <w:r>
          <w:rPr>
            <w:rFonts w:ascii="Times New Roman" w:hAnsi="Times New Roman" w:cs="Times New Roman"/>
            <w:b w:val="0"/>
            <w:webHidden/>
          </w:rPr>
          <w:instrText xml:space="preserve"> PAGEREF _Toc455585192 \h </w:instrText>
        </w:r>
        <w:r>
          <w:rPr>
            <w:rFonts w:ascii="Times New Roman" w:hAnsi="Times New Roman" w:cs="Times New Roman"/>
            <w:b w:val="0"/>
            <w:webHidden/>
          </w:rPr>
        </w:r>
        <w:r>
          <w:rPr>
            <w:rFonts w:ascii="Times New Roman" w:hAnsi="Times New Roman" w:cs="Times New Roman"/>
            <w:b w:val="0"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webHidden/>
          </w:rPr>
          <w:t>17</w:t>
        </w:r>
        <w:r>
          <w:rPr>
            <w:rFonts w:ascii="Times New Roman" w:hAnsi="Times New Roman" w:cs="Times New Roman"/>
            <w:b w:val="0"/>
            <w:webHidden/>
          </w:rPr>
          <w:fldChar w:fldCharType="end"/>
        </w:r>
      </w:hyperlink>
    </w:p>
    <w:p>
      <w:pPr>
        <w:pStyle w:val="TOC2"/>
        <w:rPr>
          <w:rFonts w:eastAsiaTheme="minorEastAsia"/>
          <w:noProof/>
          <w:sz w:val="22"/>
          <w:szCs w:val="22"/>
          <w:lang w:bidi="ar-SA"/>
        </w:rPr>
      </w:pPr>
      <w:hyperlink w:anchor="_Toc455585193" w:history="1">
        <w:r>
          <w:rPr>
            <w:rStyle w:val="Hyperlink"/>
            <w:noProof/>
          </w:rPr>
          <w:t>6.1.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dos agentes contratuais noutras instituições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4" w:history="1">
        <w:r>
          <w:rPr>
            <w:rStyle w:val="Hyperlink"/>
            <w:noProof/>
          </w:rPr>
          <w:t>6.1.1.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por género e grupo de função nas outras instituições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6" w:history="1">
        <w:r>
          <w:rPr>
            <w:rStyle w:val="Hyperlink"/>
            <w:noProof/>
          </w:rPr>
          <w:t>6.1.2.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por nacionalidade nas outras instituições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>
      <w:pPr>
        <w:pStyle w:val="TOC2"/>
        <w:rPr>
          <w:rFonts w:eastAsiaTheme="minorEastAsia"/>
          <w:noProof/>
          <w:sz w:val="22"/>
          <w:szCs w:val="22"/>
          <w:lang w:bidi="ar-SA"/>
        </w:rPr>
      </w:pPr>
      <w:hyperlink w:anchor="_Toc455585197" w:history="1">
        <w:r>
          <w:rPr>
            <w:rStyle w:val="Hyperlink"/>
            <w:noProof/>
          </w:rPr>
          <w:t>6.2.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dos agentes contratuais nas agências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8" w:history="1">
        <w:r>
          <w:rPr>
            <w:rStyle w:val="Hyperlink"/>
            <w:noProof/>
          </w:rPr>
          <w:t>6.2.1.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por género e grupo de funções nas agências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>
      <w:pPr>
        <w:pStyle w:val="TOC3"/>
        <w:rPr>
          <w:rFonts w:eastAsiaTheme="minorEastAsia"/>
          <w:noProof/>
          <w:sz w:val="22"/>
          <w:szCs w:val="22"/>
          <w:lang w:bidi="ar-SA"/>
        </w:rPr>
      </w:pPr>
      <w:hyperlink w:anchor="_Toc455585199" w:history="1">
        <w:r>
          <w:rPr>
            <w:rStyle w:val="Hyperlink"/>
            <w:noProof/>
          </w:rPr>
          <w:t>6.2.2.</w:t>
        </w:r>
        <w:r>
          <w:rPr>
            <w:rFonts w:eastAsiaTheme="minorEastAsia"/>
            <w:noProof/>
            <w:sz w:val="22"/>
            <w:szCs w:val="22"/>
            <w:lang w:bidi="ar-SA"/>
          </w:rPr>
          <w:tab/>
        </w:r>
        <w:r>
          <w:rPr>
            <w:rStyle w:val="Hyperlink"/>
            <w:noProof/>
          </w:rPr>
          <w:t>Distribuição por nacionalidade nas agências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_Toc455585199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>
      <w:pPr>
        <w:pStyle w:val="TOC1"/>
      </w:pPr>
      <w:r>
        <w:rPr>
          <w:rFonts w:ascii="Times New Roman" w:hAnsi="Times New Roman" w:cs="Times New Roman"/>
          <w:b w:val="0"/>
        </w:rPr>
        <w:fldChar w:fldCharType="end"/>
      </w:r>
    </w:p>
    <w:p>
      <w:pPr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/>
          <w:pgMar w:top="851" w:right="1417" w:bottom="851" w:left="1417" w:header="709" w:footer="709" w:gutter="0"/>
          <w:pgNumType w:start="2"/>
          <w:cols w:space="720"/>
          <w:docGrid w:linePitch="360"/>
        </w:sectPr>
      </w:pPr>
    </w:p>
    <w:p>
      <w:pPr>
        <w:pStyle w:val="ManualHeading1"/>
        <w:rPr>
          <w:noProof/>
        </w:rPr>
      </w:pPr>
      <w:bookmarkStart w:id="2" w:name="_Toc306183901"/>
      <w:bookmarkStart w:id="3" w:name="_Toc411605922"/>
      <w:bookmarkStart w:id="4" w:name="_Toc455585184"/>
      <w:r>
        <w:rPr>
          <w:noProof/>
        </w:rPr>
        <w:t>1.</w:t>
      </w:r>
      <w:r>
        <w:rPr>
          <w:noProof/>
        </w:rPr>
        <w:tab/>
      </w:r>
      <w:bookmarkEnd w:id="2"/>
      <w:bookmarkEnd w:id="3"/>
      <w:bookmarkEnd w:id="4"/>
      <w:r>
        <w:rPr>
          <w:noProof/>
        </w:rPr>
        <w:t>INTRODUÇÃO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O presente relatório cumpre a obrigação estatutária decorrente do artigo 79.º, n.º 3, do Regime aplicável aos outros agentes da União Europeia (ROA) que prevê que </w:t>
      </w:r>
      <w:r>
        <w:rPr>
          <w:rFonts w:ascii="Times New Roman" w:hAnsi="Times New Roman"/>
          <w:i/>
          <w:noProof/>
        </w:rPr>
        <w:t>«A Comissão apresentará anualmente um relatório sobre o recurso aos agentes contratuais, incluindo o número de agentes, o nível e os lugares-tipo, o equilíbrio geográfico e as dotações orçamentais para cada grupo de funções»</w:t>
      </w:r>
      <w:r>
        <w:rPr>
          <w:rFonts w:ascii="Times New Roman" w:hAnsi="Times New Roman"/>
          <w:noProof/>
        </w:rPr>
        <w:t>. O presente relatório fornece uma imagem pormenorizada dos agentes contratuais (AC) em funções em 31 de dezembro de 2014.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Os dados orçamentais (transmitidos anualmente à Autoridade Orçamental com o projeto de orçamento - Documento de trabalho, partes II e III) referem a lista dos AC presentes no momento da apresentação do projeto de orçamento (incluindo os AC recrutados com base nas receitas afetadas), ou seja: a lista em 1 de abril do ano N-1 (sendo N o ano do projeto de orçamento), a execução orçamental do ano N-2 e os pedidos de dotações com estimativa em equivalentes de trabalho a tempo inteiro para o ano N. Tal explica, por conseguinte, as diferenças que podem surgir relativamente ao número de AC entre as diferentes fontes de dados.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presente relatório inclui os dados relativos ao conjunto das instituições europeias (incluindo o Serviço Europeu para a Ação Externa (SEAE) em funções desde 1/1/2011) e das agências na aceção do artigo 1.º - A do Estatuto dos Funcionários. Os dados relativos à Comissão são mais pormenorizados e incluem o pessoal financiado pelas rubricas operacionais e de investigação, dos organismos administrativos, das delegações, das representações e do Centro Comum de Investigação (CCI).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artigo 80.º do ROA estabelece uma correspondência entre cada grupo de funções (a seguir designados GF) e as tarefas que podem ser desempenhadas por um AC:</w:t>
      </w:r>
    </w:p>
    <w:tbl>
      <w:tblPr>
        <w:tblW w:w="4863" w:type="pct"/>
        <w:tblInd w:w="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8"/>
        <w:gridCol w:w="1046"/>
        <w:gridCol w:w="6530"/>
      </w:tblGrid>
      <w:tr>
        <w:tc>
          <w:tcPr>
            <w:tcW w:w="1291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Grupo de funções</w:t>
            </w:r>
          </w:p>
        </w:tc>
        <w:tc>
          <w:tcPr>
            <w:tcW w:w="1058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Graus</w:t>
            </w:r>
          </w:p>
        </w:tc>
        <w:tc>
          <w:tcPr>
            <w:tcW w:w="0" w:type="auto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Tarefas</w:t>
            </w:r>
          </w:p>
        </w:tc>
      </w:tr>
      <w:tr>
        <w:tc>
          <w:tcPr>
            <w:tcW w:w="1291" w:type="dxa"/>
            <w:vAlign w:val="center"/>
            <w:hideMark/>
          </w:tcPr>
          <w:p>
            <w:pPr>
              <w:spacing w:before="100" w:after="100"/>
              <w:ind w:left="18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IV</w:t>
            </w:r>
          </w:p>
        </w:tc>
        <w:tc>
          <w:tcPr>
            <w:tcW w:w="1058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13 a 18</w:t>
            </w:r>
          </w:p>
        </w:tc>
        <w:tc>
          <w:tcPr>
            <w:tcW w:w="6650" w:type="dxa"/>
            <w:vAlign w:val="center"/>
            <w:hideMark/>
          </w:tcPr>
          <w:p>
            <w:pPr>
              <w:spacing w:before="100" w:after="100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Tarefas administrativas, de consultoria, linguísticas e tarefas técnicas equivalentes, executadas sob a supervisão de funcionários ou de agentes temporários.</w:t>
            </w:r>
          </w:p>
        </w:tc>
      </w:tr>
      <w:tr>
        <w:tc>
          <w:tcPr>
            <w:tcW w:w="1291" w:type="dxa"/>
            <w:vAlign w:val="center"/>
            <w:hideMark/>
          </w:tcPr>
          <w:p>
            <w:pPr>
              <w:spacing w:before="100" w:after="100"/>
              <w:ind w:left="18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III</w:t>
            </w:r>
          </w:p>
        </w:tc>
        <w:tc>
          <w:tcPr>
            <w:tcW w:w="1058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8 a 12</w:t>
            </w:r>
          </w:p>
        </w:tc>
        <w:tc>
          <w:tcPr>
            <w:tcW w:w="6650" w:type="dxa"/>
            <w:vAlign w:val="center"/>
            <w:hideMark/>
          </w:tcPr>
          <w:p>
            <w:pPr>
              <w:spacing w:before="100" w:after="100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Tarefas de execução, de redação, de contabilidade e tarefas técnicas equivalentes, executadas sob a supervisão de funcionários ou de agentes temporários.</w:t>
            </w:r>
          </w:p>
        </w:tc>
      </w:tr>
      <w:tr>
        <w:tc>
          <w:tcPr>
            <w:tcW w:w="1291" w:type="dxa"/>
            <w:vAlign w:val="center"/>
            <w:hideMark/>
          </w:tcPr>
          <w:p>
            <w:pPr>
              <w:spacing w:before="100" w:after="100"/>
              <w:ind w:left="18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II</w:t>
            </w:r>
          </w:p>
        </w:tc>
        <w:tc>
          <w:tcPr>
            <w:tcW w:w="1058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4 a 7</w:t>
            </w:r>
          </w:p>
        </w:tc>
        <w:tc>
          <w:tcPr>
            <w:tcW w:w="6650" w:type="dxa"/>
            <w:vAlign w:val="center"/>
            <w:hideMark/>
          </w:tcPr>
          <w:p>
            <w:pPr>
              <w:spacing w:before="100" w:after="100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Tarefas de escritório e de secretariado, direção de escritório e outras tarefas equivalentes, executadas sob a supervisão de funcionários ou agentes temporários</w:t>
            </w:r>
          </w:p>
        </w:tc>
      </w:tr>
      <w:tr>
        <w:tc>
          <w:tcPr>
            <w:tcW w:w="1291" w:type="dxa"/>
            <w:vAlign w:val="center"/>
            <w:hideMark/>
          </w:tcPr>
          <w:p>
            <w:pPr>
              <w:spacing w:before="100" w:after="100"/>
              <w:ind w:left="18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b/>
                <w:noProof/>
                <w:color w:val="000000"/>
                <w:sz w:val="21"/>
              </w:rPr>
              <w:t>I</w:t>
            </w:r>
          </w:p>
        </w:tc>
        <w:tc>
          <w:tcPr>
            <w:tcW w:w="1058" w:type="dxa"/>
            <w:vAlign w:val="center"/>
            <w:hideMark/>
          </w:tcPr>
          <w:p>
            <w:pPr>
              <w:spacing w:before="100" w:after="100"/>
              <w:jc w:val="center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1 a 3</w:t>
            </w:r>
          </w:p>
        </w:tc>
        <w:tc>
          <w:tcPr>
            <w:tcW w:w="6650" w:type="dxa"/>
            <w:vAlign w:val="center"/>
            <w:hideMark/>
          </w:tcPr>
          <w:p>
            <w:pPr>
              <w:spacing w:before="100" w:after="100"/>
              <w:rPr>
                <w:noProof/>
                <w:color w:val="000000"/>
                <w:sz w:val="21"/>
                <w:szCs w:val="21"/>
              </w:rPr>
            </w:pPr>
            <w:r>
              <w:rPr>
                <w:noProof/>
                <w:color w:val="000000"/>
                <w:sz w:val="21"/>
              </w:rPr>
              <w:t>Tarefas manuais e de apoio administrativo efetuadas sob a supervisão de funcionários ou agentes.</w:t>
            </w:r>
          </w:p>
        </w:tc>
      </w:tr>
    </w:tbl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</w:p>
    <w:p>
      <w:pPr>
        <w:rPr>
          <w:rFonts w:ascii="Times New Roman" w:hAnsi="Times New Roman" w:cs="Times New Roman"/>
          <w:noProof/>
        </w:rPr>
      </w:pPr>
      <w:r>
        <w:rPr>
          <w:noProof/>
        </w:rPr>
        <w:br w:type="page"/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categoria dos agentes contratuais foi criada em 2004 no âmbito da reforma do Estatuto. Desde então, os AC contribuíram positivamente para o trabalho das instituições efetuando a custos inferiores atividades de apoio administrativo e proporcionando competências de que a instituição nem sempre dispunha.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É esse designadamente o caso para as funções correspondentes ao GF I, que substituiu desde 2004 a categoria D dos funcionários. Por conseguinte, na sequência da supressão desta categoria, com exceção do Parlamento, não foram organizados concursos de funcionários para as tarefas de contínuos, motoristas e outras funções tipicamente de nível GF I. </w:t>
      </w:r>
    </w:p>
    <w:p>
      <w:pPr>
        <w:pStyle w:val="ManualHeading1"/>
        <w:rPr>
          <w:noProof/>
        </w:rPr>
      </w:pPr>
      <w:bookmarkStart w:id="5" w:name="_Toc306183902"/>
      <w:bookmarkStart w:id="6" w:name="_Toc411605923"/>
      <w:bookmarkStart w:id="7" w:name="_Toc455585185"/>
      <w:r>
        <w:rPr>
          <w:noProof/>
        </w:rPr>
        <w:t>2.</w:t>
      </w:r>
      <w:r>
        <w:rPr>
          <w:noProof/>
        </w:rPr>
        <w:tab/>
        <w:t>Evolução do número de agentes contratuais desde 2004 na Comissão</w:t>
      </w:r>
      <w:bookmarkEnd w:id="5"/>
      <w:bookmarkEnd w:id="6"/>
      <w:bookmarkEnd w:id="7"/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No final de 2014, o número total de AC para o conjunto das instituições e agências é da ordem de 11 100. A Comissão emprega cerca de 58 % destes agentes, em comparação com 60 % em 2012. Num contexto em que o número de AC da Comissão se manteve relativamente estável até 2013 antes de aumentar em 2014, a diminuição relativa dos AC empregados pela Comissão reflete o aumento dos efetivos AC nas outras instituições e agências.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Os dados sobre a distribuição por instituição e agência são analisados posteriormente neste relatório.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evolução dos efetivos desde 2004 na Comissão foi a seguinte</w:t>
      </w:r>
      <w:r>
        <w:rPr>
          <w:rStyle w:val="FootnoteReference"/>
          <w:noProof/>
        </w:rPr>
        <w:footnoteReference w:id="1"/>
      </w:r>
      <w:r>
        <w:rPr>
          <w:rFonts w:ascii="Times New Roman" w:hAnsi="Times New Roman"/>
          <w:noProof/>
        </w:rPr>
        <w:t>: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b/>
          <w:noProof/>
        </w:rPr>
        <w:t>Quadro n.º 1</w:t>
      </w:r>
    </w:p>
    <w:p>
      <w:pPr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860112" cy="3371353"/>
            <wp:effectExtent l="0" t="0" r="26670" b="19685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1355" cy="307226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0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aumento do número de AC na Comissão, que atualmente atinge cerca de 6 400 pessoas em 2014, explica-se pela supressão gradual dos agentes auxiliares (que eram quase 3 000 em 2003) a favor dos AC auxiliares (artigo 3.º-B do ROA), mas também pela substituição da antiga categoria D por AC (artigo 3.º-A do ROA), bem como pela conversão dos postos de funcionários em AC nos serviços administrativos. Além disso, prosseguiu o recrutamento de agentes contratuais com vista a cobrir as necessidades de substituições momentâneas de pessoal estatutário, tal como previsto no artigo 3.º-B do ROA.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número de AC aumentou anualmente até 2009, seguindo-se uma ligeira diminuição em 2010. Esta diminuição explica-se, nomeadamente, pela expectativa dos resultados das novas seleções CAST 2010.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Em 2011, embora os valores da Comissão sugerissem uma estabilização, tratava-se na realidade do resultado de dois efeitos contrários. Por um lado, a criação do SEAE implicou a transferência de 277 agentes contratuais do pessoal da Comissão (a trabalhar anteriormente para a Direção-Geral RELEX nas delegações e na sede), para o SEAE; por outro, a Comissão procedeu ao recrutamento de 275 agentes entre 2010 e 2011. Sem a saída dos agentes para o SEAE, a evolução entre 2010 e 2011 teria sido de +4,6 %, situando-se assim na média da evolução verificada em 2008 e 2009.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Em 2012 e 2013, o número de AC registou um ligeiro decréscimo (-1 % e -2 %, respetivamente), que se explica nomeadamente pelo contexto geral da redução de efetivos e na expectativa da entrada em vigor do novo Estatuto em janeiro de 2014.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organização, pela Comissão, em setembro de 2013, de um convite à manifestação de interesse (CMI) para agentes contratuais 3.°-B permitiu propor novos candidatos às Direções-Gerais (a seguir designadas DG)</w:t>
      </w:r>
      <w:r>
        <w:rPr>
          <w:rStyle w:val="FootnoteReference"/>
          <w:rFonts w:ascii="Times New Roman" w:hAnsi="Times New Roman" w:cs="Times New Roman"/>
          <w:noProof/>
          <w:lang w:val="fr-BE"/>
        </w:rPr>
        <w:footnoteReference w:id="2"/>
      </w:r>
      <w:r>
        <w:rPr>
          <w:rFonts w:ascii="Times New Roman" w:hAnsi="Times New Roman"/>
          <w:noProof/>
        </w:rPr>
        <w:t xml:space="preserve">. Tendo em conta os diferentes prazos de seleção e de recrutamento, o impacto real do CMI é sobretudo patente a partir de 2014. </w:t>
      </w:r>
    </w:p>
    <w:p>
      <w:pPr>
        <w:tabs>
          <w:tab w:val="left" w:pos="426"/>
        </w:tabs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Além disso, a entrada em vigor do novo Estatuto em 1 de janeiro de 2014 permitiu alargar o período de recrutamento dos AC 3.°-B até seis anos. Muitos agentes contratuais que já tinham efetuado 3 anos de serviço e continuaram a exercer funções na Comissão como interinos puderam assim ser de novo recrutados por um novo período contratual, permitindo à Comissão beneficiar de agentes contratuais já formados e imediatamente operacionais e, simultaneamente, reduzir o número de interinos</w:t>
      </w:r>
      <w:r>
        <w:rPr>
          <w:rStyle w:val="FootnoteReference"/>
          <w:rFonts w:ascii="Times New Roman" w:hAnsi="Times New Roman" w:cs="Times New Roman"/>
          <w:noProof/>
          <w:lang w:val="fr-BE"/>
        </w:rPr>
        <w:footnoteReference w:id="3"/>
      </w:r>
      <w:r>
        <w:rPr>
          <w:rFonts w:ascii="Times New Roman" w:hAnsi="Times New Roman"/>
          <w:noProof/>
        </w:rPr>
        <w:t>.</w:t>
      </w:r>
    </w:p>
    <w:p>
      <w:pPr>
        <w:rPr>
          <w:noProof/>
        </w:rPr>
      </w:pPr>
      <w:r>
        <w:rPr>
          <w:noProof/>
        </w:rPr>
        <w:br w:type="page"/>
      </w:r>
    </w:p>
    <w:p>
      <w:pPr>
        <w:pStyle w:val="ManualHeading1"/>
        <w:rPr>
          <w:noProof/>
        </w:rPr>
      </w:pPr>
      <w:bookmarkStart w:id="8" w:name="_Toc306183903"/>
      <w:bookmarkStart w:id="9" w:name="_Toc411605924"/>
      <w:bookmarkStart w:id="10" w:name="_Toc455585186"/>
      <w:r>
        <w:rPr>
          <w:noProof/>
        </w:rPr>
        <w:t>3.</w:t>
      </w:r>
      <w:r>
        <w:rPr>
          <w:noProof/>
        </w:rPr>
        <w:tab/>
        <w:t>Distribuição dos agentes contratuais da Comissão por género e por grupo</w:t>
      </w:r>
      <w:bookmarkEnd w:id="8"/>
      <w:r>
        <w:rPr>
          <w:noProof/>
        </w:rPr>
        <w:t xml:space="preserve"> de funções</w:t>
      </w:r>
      <w:bookmarkEnd w:id="9"/>
      <w:bookmarkEnd w:id="10"/>
    </w:p>
    <w:p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distribuição por grupo de funções dos agentes contratuais apresenta-se como indicado no quadro seguinte.</w:t>
      </w:r>
    </w:p>
    <w:p>
      <w:pPr>
        <w:spacing w:after="120"/>
        <w:jc w:val="center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Distribuição homens/mulheres e por grupo de funções em 2014</w:t>
      </w:r>
      <w:r>
        <w:rPr>
          <w:rStyle w:val="FootnoteReference"/>
          <w:b/>
          <w:noProof/>
        </w:rPr>
        <w:footnoteReference w:id="4"/>
      </w:r>
      <w:r>
        <w:rPr>
          <w:rFonts w:ascii="Times New Roman" w:hAnsi="Times New Roman"/>
          <w:b/>
          <w:noProof/>
        </w:rPr>
        <w:t>:</w:t>
      </w:r>
    </w:p>
    <w:p>
      <w:pPr>
        <w:spacing w:after="0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Quadro n.º 2</w:t>
      </w:r>
    </w:p>
    <w:p>
      <w:pPr>
        <w:spacing w:after="0"/>
        <w:rPr>
          <w:rFonts w:ascii="Times New Roman" w:hAnsi="Times New Roman" w:cs="Times New Roman"/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02530" cy="331326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09" cy="33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Times New Roman" w:hAnsi="Times New Roman" w:cs="Times New Roman"/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3490" cy="38571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289" cy="385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Em 31 de dezembro de 2014, encontravam-se ao serviço da Comissão 6 440 AC. O GF mais representado é o nível GF II, com cerca de 40 % dos efetivos em 2014, um aumento relativamente aos anos anteriores. Estes agentes exercem tarefas de secretariado ou outras funções semelhantes, mas também, por exemplo, tarefas de puericultura. Seguem-se os AC dos níveis GF IV e GF III.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equilíbrio entre homens e mulheres é de um modo geral estável: as mulheres representam 62,8 % do número total de AC em 2013, em comparação com 63,4 % em 2014.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Constata-se que no GF IV, o equilíbrio entre homens e mulheres quase foi atingido em 2014. A repartição por género nos outros GF permanece semelhante desde 2011. Regista-se uma percentagem consideravelmente mais elevada de mulheres do que de homens no GF II (83,5 % em 2014) e, em menor medida, no GF III (59,8 % em 2014). Pelo contrário, a presença masculina é mais importante no GF I (63,5 % de homens em 2014).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Esta situação reflete ainda uma distribuição tradicional do tipo de tarefas exercidas: tarefas de secretariado ou puericultoras para os GF II, enquanto os GF I exercem principalmente funções de contínuo ou motorista.</w:t>
      </w:r>
    </w:p>
    <w:p>
      <w:pPr>
        <w:pStyle w:val="ManualHeading1"/>
        <w:rPr>
          <w:noProof/>
        </w:rPr>
      </w:pPr>
      <w:bookmarkStart w:id="11" w:name="_Toc306183904"/>
      <w:bookmarkStart w:id="12" w:name="_Toc411605925"/>
      <w:bookmarkStart w:id="13" w:name="_Toc455585187"/>
      <w:r>
        <w:rPr>
          <w:noProof/>
        </w:rPr>
        <w:t>4.</w:t>
      </w:r>
      <w:r>
        <w:rPr>
          <w:noProof/>
        </w:rPr>
        <w:tab/>
        <w:t>Distribuição de agentes contratuais da Comissão por nacionalidade</w:t>
      </w:r>
      <w:bookmarkEnd w:id="11"/>
      <w:bookmarkEnd w:id="12"/>
      <w:bookmarkEnd w:id="13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As cidadãos dos Estados-Membros mais representados entre os AC são, por ordem decrescente: os belgas, os italianos, os franceses, os espanhóis e os romenos, seguidos dos polacos e dos gregos. Esta representação é idêntica desde 2005 para as quatro primeiras nacionalidades. O Reino Unido e a Alemanha, tal como a Polónia e os Países Baixos, têm uma representação bastante reduzida em relação à sua população. Ao invés, a Bélgica e a Itália têm uma representação elevada em relação à sua população.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Note-se que, na sequência da adesão da Croácia à União Europeia, em 1 de julho de 2013, em 31 de dezembro de 2014 estavam ao serviço da Comissão 59 agentes contratuais croatas.</w:t>
      </w:r>
    </w:p>
    <w:p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br w:type="page"/>
      </w:r>
    </w:p>
    <w:p>
      <w:pPr>
        <w:pStyle w:val="NormalCentered"/>
        <w:tabs>
          <w:tab w:val="left" w:pos="0"/>
        </w:tabs>
        <w:spacing w:before="0" w:after="0"/>
        <w:rPr>
          <w:b/>
          <w:noProof/>
        </w:rPr>
      </w:pPr>
      <w:r>
        <w:rPr>
          <w:b/>
          <w:noProof/>
        </w:rPr>
        <w:t>Distribuição de agentes contratuais da Comissão por nacionalidade e género em 2014</w:t>
      </w:r>
      <w:r>
        <w:rPr>
          <w:rStyle w:val="FootnoteReference"/>
          <w:b/>
          <w:noProof/>
        </w:rPr>
        <w:footnoteReference w:id="5"/>
      </w:r>
    </w:p>
    <w:p>
      <w:pPr>
        <w:pStyle w:val="NormalCentered"/>
        <w:spacing w:after="0"/>
        <w:jc w:val="left"/>
        <w:rPr>
          <w:b/>
          <w:noProof/>
        </w:rPr>
      </w:pPr>
    </w:p>
    <w:p>
      <w:pPr>
        <w:pStyle w:val="NormalCentered"/>
        <w:spacing w:after="0"/>
        <w:jc w:val="left"/>
        <w:rPr>
          <w:b/>
          <w:noProof/>
        </w:rPr>
      </w:pPr>
      <w:r>
        <w:rPr>
          <w:b/>
          <w:noProof/>
        </w:rPr>
        <w:t>Quadro n.º 3</w:t>
      </w:r>
    </w:p>
    <w:p>
      <w:pPr>
        <w:pStyle w:val="NormalCentered"/>
        <w:spacing w:after="0"/>
        <w:jc w:val="left"/>
        <w:rPr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1355" cy="38926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89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noProof/>
        </w:rPr>
        <w:br w:type="page"/>
      </w:r>
    </w:p>
    <w:p>
      <w:pPr>
        <w:pStyle w:val="NormalCentered"/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t xml:space="preserve"> </w:t>
      </w:r>
      <w:r>
        <w:rPr>
          <w:noProof/>
          <w:lang w:val="en-US" w:eastAsia="en-US" w:bidi="ar-SA"/>
        </w:rPr>
        <w:drawing>
          <wp:inline distT="0" distB="0" distL="0" distR="0">
            <wp:extent cx="4732655" cy="5031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655" cy="50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noProof/>
          <w:u w:val="single"/>
        </w:rPr>
      </w:pP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repartição dos AC por nacionalidade na Comissão é influenciada por uma série de fatores, incluindo a localização das instituições europeias e a duração dos contratos propostos.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Sendo a maioria dos recrutamentos por um período de tempo limitado, os candidatos têm tendência a aceitar mais facilmente um recrutamento se forem residentes ou vizinhos do local em que se situa a instituição que lhes oferece um contrato. Pelo contrário, é por vezes difícil para um candidato, que tenha uma família, abandonar o seu país de origem para se instalar na sede da instituição, por um período relativamente curto.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Os AC são recrutados pela Comissão com base no artigo 3.º-B do ROA, ou seja, por um período inicial de um ano, seguido de uma prorrogação de dois anos. Desde a entrada em vigor do novo Estatuto em 2014, a duração desses contratos é agora fixada num máximo de seis anos.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Este fator de proximidade geográfica reflete-se também na composição das listas de candidatos, de que depende a Comissão. É, contudo, importante recordar que não existem quotas por nacionalidade: os recrutamentos são efetuados com base no perfil pretendido, competências e conhecimentos linguísticos dos candidatos.</w:t>
      </w:r>
    </w:p>
    <w:p>
      <w:pPr>
        <w:jc w:val="both"/>
        <w:rPr>
          <w:noProof/>
        </w:rPr>
      </w:pPr>
      <w:r>
        <w:rPr>
          <w:rFonts w:ascii="Times New Roman" w:hAnsi="Times New Roman"/>
          <w:noProof/>
        </w:rPr>
        <w:t>A mesma tendência ligada ao lugar de residência se deduz do quadro relativo à repartição por nacionalidade nas outras instituições e agências.</w:t>
      </w:r>
      <w:r>
        <w:rPr>
          <w:noProof/>
        </w:rPr>
        <w:br w:type="page"/>
      </w:r>
    </w:p>
    <w:p>
      <w:pPr>
        <w:rPr>
          <w:noProof/>
        </w:rPr>
      </w:pPr>
    </w:p>
    <w:p>
      <w:pPr>
        <w:pStyle w:val="NormalCentered"/>
        <w:rPr>
          <w:b/>
          <w:noProof/>
        </w:rPr>
      </w:pPr>
      <w:r>
        <w:rPr>
          <w:b/>
          <w:noProof/>
        </w:rPr>
        <w:t>Distribuição dos AC por género e por grupo de funções</w:t>
      </w:r>
      <w:r>
        <w:rPr>
          <w:rStyle w:val="FootnoteReference"/>
          <w:b/>
          <w:noProof/>
        </w:rPr>
        <w:footnoteReference w:id="6"/>
      </w:r>
    </w:p>
    <w:p>
      <w:pPr>
        <w:keepNext/>
        <w:keepLines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Estes quadros permitem analisar a distribuição por grupo de funções, por nacionalidade e por género. Em 2014 tal como para os anos precedentes, todos os Estados-Membros têm nacionais no GF IV e no GF II. No entanto, em 2014, não há luxemburgueses no GF III e não há austríacos no GF I. </w:t>
      </w:r>
    </w:p>
    <w:p>
      <w:pPr>
        <w:keepNext/>
        <w:keepLines/>
        <w:jc w:val="both"/>
        <w:rPr>
          <w:rFonts w:ascii="Times New Roman" w:hAnsi="Times New Roman" w:cs="Times New Roman"/>
          <w:noProof/>
        </w:rPr>
      </w:pPr>
    </w:p>
    <w:p>
      <w:pPr>
        <w:keepNext/>
        <w:keepLines/>
        <w:jc w:val="both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Quadro n.º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</w:tblGrid>
      <w:tr>
        <w:trPr>
          <w:trHeight w:val="209"/>
        </w:trPr>
        <w:tc>
          <w:tcPr>
            <w:tcW w:w="1101" w:type="dxa"/>
          </w:tcPr>
          <w:p>
            <w:pPr>
              <w:keepNext/>
              <w:keepLines/>
              <w:jc w:val="both"/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noProof/>
              </w:rPr>
              <w:t>GFIV</w:t>
            </w:r>
          </w:p>
        </w:tc>
      </w:tr>
    </w:tbl>
    <w:p>
      <w:pPr>
        <w:jc w:val="center"/>
        <w:rPr>
          <w:noProof/>
        </w:rPr>
      </w:pPr>
      <w:bookmarkStart w:id="14" w:name="_Toc306183905"/>
      <w:r>
        <w:rPr>
          <w:noProof/>
          <w:lang w:val="en-US" w:eastAsia="en-US" w:bidi="ar-SA"/>
        </w:rPr>
        <w:drawing>
          <wp:inline distT="0" distB="0" distL="0" distR="0">
            <wp:extent cx="4029075" cy="503174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0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tbl>
      <w:tblPr>
        <w:tblpPr w:leftFromText="180" w:rightFromText="180" w:vertAnchor="text" w:horzAnchor="margin" w:tblpY="-343"/>
        <w:tblW w:w="1342" w:type="dxa"/>
        <w:tblLook w:val="0000" w:firstRow="0" w:lastRow="0" w:firstColumn="0" w:lastColumn="0" w:noHBand="0" w:noVBand="0"/>
      </w:tblPr>
      <w:tblGrid>
        <w:gridCol w:w="1342"/>
      </w:tblGrid>
      <w:tr>
        <w:trPr>
          <w:trHeight w:val="258"/>
        </w:trPr>
        <w:tc>
          <w:tcPr>
            <w:tcW w:w="13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center"/>
          </w:tcPr>
          <w:p>
            <w:pPr>
              <w:spacing w:after="0"/>
              <w:jc w:val="center"/>
              <w:rPr>
                <w:rFonts w:ascii="Arial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hAnsi="Arial"/>
                <w:b/>
                <w:noProof/>
                <w:color w:val="000000"/>
              </w:rPr>
              <w:t>GFIII</w:t>
            </w:r>
          </w:p>
        </w:tc>
      </w:tr>
    </w:tbl>
    <w:p>
      <w:pPr>
        <w:spacing w:after="0"/>
        <w:jc w:val="center"/>
        <w:rPr>
          <w:noProof/>
        </w:rPr>
      </w:pPr>
    </w:p>
    <w:p>
      <w:pPr>
        <w:spacing w:after="0"/>
        <w:jc w:val="center"/>
        <w:rPr>
          <w:noProof/>
        </w:rPr>
      </w:pPr>
    </w:p>
    <w:p>
      <w:pPr>
        <w:jc w:val="center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4367284" cy="556897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284" cy="556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>
      <w:pPr>
        <w:spacing w:after="0"/>
        <w:jc w:val="center"/>
        <w:rPr>
          <w:noProof/>
        </w:rPr>
      </w:pPr>
    </w:p>
    <w:p>
      <w:pPr>
        <w:spacing w:after="0"/>
        <w:jc w:val="center"/>
        <w:rPr>
          <w:noProof/>
        </w:rPr>
      </w:pPr>
    </w:p>
    <w:p>
      <w:pPr>
        <w:spacing w:after="0"/>
        <w:jc w:val="center"/>
        <w:rPr>
          <w:noProof/>
        </w:rPr>
      </w:pPr>
    </w:p>
    <w:tbl>
      <w:tblPr>
        <w:tblpPr w:leftFromText="180" w:rightFromText="180" w:vertAnchor="text" w:horzAnchor="margin" w:tblpY="-343"/>
        <w:tblW w:w="1273" w:type="dxa"/>
        <w:tblLook w:val="0000" w:firstRow="0" w:lastRow="0" w:firstColumn="0" w:lastColumn="0" w:noHBand="0" w:noVBand="0"/>
      </w:tblPr>
      <w:tblGrid>
        <w:gridCol w:w="1273"/>
      </w:tblGrid>
      <w:tr>
        <w:trPr>
          <w:trHeight w:val="269"/>
        </w:trPr>
        <w:tc>
          <w:tcPr>
            <w:tcW w:w="12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center"/>
          </w:tcPr>
          <w:p>
            <w:pPr>
              <w:spacing w:after="0"/>
              <w:jc w:val="center"/>
              <w:rPr>
                <w:rFonts w:ascii="Arial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hAnsi="Arial"/>
                <w:b/>
                <w:noProof/>
                <w:color w:val="000000"/>
              </w:rPr>
              <w:t>GFII</w:t>
            </w:r>
          </w:p>
        </w:tc>
      </w:tr>
    </w:tbl>
    <w:p>
      <w:pPr>
        <w:rPr>
          <w:noProof/>
          <w:sz w:val="8"/>
          <w:szCs w:val="8"/>
        </w:rPr>
      </w:pPr>
    </w:p>
    <w:p>
      <w:pPr>
        <w:jc w:val="center"/>
        <w:rPr>
          <w:noProof/>
          <w:sz w:val="8"/>
          <w:szCs w:val="8"/>
        </w:rPr>
      </w:pPr>
    </w:p>
    <w:tbl>
      <w:tblPr>
        <w:tblW w:w="6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726"/>
        <w:gridCol w:w="1034"/>
        <w:gridCol w:w="685"/>
        <w:gridCol w:w="915"/>
        <w:gridCol w:w="880"/>
        <w:gridCol w:w="880"/>
      </w:tblGrid>
      <w:tr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2014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F497D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33CC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M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AUT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11,1%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88,9%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BEL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76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11,2%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601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88,8%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677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26,7%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BGR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14,5%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85,5%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3,0%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CYP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CZE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90,0%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0,8%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DEU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24,3%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75,7%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1,5%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DNK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11,1%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88,9%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ESP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16,9%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177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83,1%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8,4%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EST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FIN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4,3%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95,7%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0,9%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FRA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17,5%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227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82,5%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10,9%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GBR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24,1%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75,9%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1,1%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GRC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33,3%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72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66,7%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4,3%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HRV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0,5%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HUN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7,7%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92,3%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2,1%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IRL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13,3%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86,7%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0,6%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ITA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86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22,1%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303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77,9%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15,4%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LTU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19,4%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80,6%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1,2%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LUX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0,04%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LVA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19,0%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81,0%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0,8%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MLT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NLD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27,3%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72,7%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0,9%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POL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17,4%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109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82,6%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5,2%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PRT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19,5%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80,5%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3,0%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ROU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16,2%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186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83,8%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222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8,8%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SVK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6,5%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93,5%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1,2%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SVN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92,9%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0,6%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SWE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11,1%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88,9%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0,4%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Outros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66,7%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33,3%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418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16,5%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2 115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83,5%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2 533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</w:tr>
    </w:tbl>
    <w:p>
      <w:pPr>
        <w:rPr>
          <w:noProof/>
          <w:sz w:val="8"/>
          <w:szCs w:val="8"/>
        </w:rPr>
      </w:pPr>
      <w:r>
        <w:rPr>
          <w:noProof/>
        </w:rPr>
        <w:br w:type="page"/>
      </w:r>
    </w:p>
    <w:p>
      <w:pPr>
        <w:jc w:val="center"/>
        <w:rPr>
          <w:noProof/>
          <w:sz w:val="8"/>
          <w:szCs w:val="8"/>
        </w:rPr>
      </w:pPr>
    </w:p>
    <w:tbl>
      <w:tblPr>
        <w:tblpPr w:leftFromText="180" w:rightFromText="180" w:vertAnchor="text" w:horzAnchor="margin" w:tblpY="108"/>
        <w:tblW w:w="1380" w:type="dxa"/>
        <w:tblLook w:val="0000" w:firstRow="0" w:lastRow="0" w:firstColumn="0" w:lastColumn="0" w:noHBand="0" w:noVBand="0"/>
      </w:tblPr>
      <w:tblGrid>
        <w:gridCol w:w="1380"/>
      </w:tblGrid>
      <w:tr>
        <w:trPr>
          <w:trHeight w:val="345"/>
        </w:trPr>
        <w:tc>
          <w:tcPr>
            <w:tcW w:w="13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center"/>
          </w:tcPr>
          <w:p>
            <w:pPr>
              <w:keepLines/>
              <w:spacing w:after="0"/>
              <w:jc w:val="center"/>
              <w:rPr>
                <w:rFonts w:ascii="Arial" w:hAnsi="Arial" w:cs="Arial"/>
                <w:b/>
                <w:bCs/>
                <w:noProof/>
                <w:color w:val="000000"/>
              </w:rPr>
            </w:pPr>
            <w:r>
              <w:rPr>
                <w:rFonts w:ascii="Arial" w:hAnsi="Arial"/>
                <w:b/>
                <w:noProof/>
                <w:color w:val="000000"/>
              </w:rPr>
              <w:t>GFI</w:t>
            </w:r>
          </w:p>
        </w:tc>
      </w:tr>
    </w:tbl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tbl>
      <w:tblPr>
        <w:tblW w:w="63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707"/>
        <w:gridCol w:w="1193"/>
        <w:gridCol w:w="655"/>
        <w:gridCol w:w="1105"/>
        <w:gridCol w:w="880"/>
        <w:gridCol w:w="880"/>
      </w:tblGrid>
      <w:tr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2014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1F497D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33CC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M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AUT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BEL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196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63,0%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37,0%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36,8%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BGR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CYP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CZE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DEU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0,6%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DNK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ESP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64,9%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35,1%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8,8%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EST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FIN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75,0%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25,0%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0,5%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FRA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50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64,1%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35,9%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9,2%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GBR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45,5%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54,5%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1,3%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GRC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63,4%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36,6%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4,9%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HRV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HUN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75,0%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25,0%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0,5%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IRL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0,6%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ITA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151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70,9%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62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29,1%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25,2%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LTU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LUX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LVA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MLT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NLD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75,0%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25,0%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0,5%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POL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12,0%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88,0%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3,0%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PRT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55,3%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44,7%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4,5%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ROU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30,0%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70,0%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SVK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SVN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0,2%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SWE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0,1%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F81BD"/>
            <w:noWrap/>
            <w:vAlign w:val="bottom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sz w:val="20"/>
                <w:szCs w:val="20"/>
                <w:lang w:bidi="ar-SA"/>
              </w:rPr>
              <w:t>Outros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 xml:space="preserve"> 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0,0%</w:t>
            </w:r>
          </w:p>
        </w:tc>
      </w:tr>
      <w:tr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536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63,5%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 xml:space="preserve"> 308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36,5%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844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center"/>
            <w:hideMark/>
          </w:tcPr>
          <w:p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0"/>
                <w:szCs w:val="20"/>
                <w:lang w:bidi="ar-SA"/>
              </w:rPr>
              <w:t>100,0%</w:t>
            </w:r>
          </w:p>
        </w:tc>
      </w:tr>
    </w:tbl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pStyle w:val="ManualHeading1"/>
        <w:rPr>
          <w:noProof/>
        </w:rPr>
      </w:pPr>
      <w:bookmarkStart w:id="15" w:name="_Toc411605926"/>
      <w:bookmarkStart w:id="16" w:name="_Toc455585188"/>
      <w:r>
        <w:rPr>
          <w:noProof/>
        </w:rPr>
        <w:t>5.</w:t>
      </w:r>
      <w:r>
        <w:rPr>
          <w:noProof/>
        </w:rPr>
        <w:tab/>
        <w:t>Distribuição de agentes contratuais da Comissão por serviço</w:t>
      </w:r>
      <w:bookmarkEnd w:id="14"/>
      <w:bookmarkEnd w:id="15"/>
      <w:bookmarkEnd w:id="16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Na secção seguinte, os dados relativos aos AC foram classificadas por DG. Verificam-se diferenças entre as DG, que se explicam designadamente pela missão que lhes é confiada. Por exemplo, a DG DEVCO emprega na maioria GF IV, </w:t>
      </w:r>
      <w:r>
        <w:rPr>
          <w:rStyle w:val="text-big-bold"/>
          <w:rFonts w:ascii="Times New Roman" w:hAnsi="Times New Roman"/>
          <w:noProof/>
        </w:rPr>
        <w:t>encarregados de ajuda e de cooperação internacionais ou gestores</w:t>
      </w:r>
      <w:r>
        <w:rPr>
          <w:rFonts w:ascii="Times New Roman" w:hAnsi="Times New Roman"/>
          <w:noProof/>
        </w:rPr>
        <w:t xml:space="preserve"> de programas tanto nas delegações como na sede, ao passo que o OIB emprega na sua maioria assistentes administrativos ou puericultoras do GF II.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Além disso, as dotações atribuídas à política de substituição do pessoal ausente permitem manter uma continuidade de serviço que não seria tão satisfatória sem essas substituições momentâneas.</w:t>
      </w:r>
    </w:p>
    <w:p>
      <w:pPr>
        <w:pStyle w:val="ManualHeading2"/>
        <w:rPr>
          <w:noProof/>
        </w:rPr>
      </w:pPr>
      <w:r>
        <w:rPr>
          <w:noProof/>
        </w:rPr>
        <w:br w:type="page"/>
      </w:r>
      <w:bookmarkStart w:id="17" w:name="_Toc411605927"/>
      <w:bookmarkStart w:id="18" w:name="_Toc455585189"/>
      <w:r>
        <w:rPr>
          <w:noProof/>
        </w:rPr>
        <w:t>5.1.</w:t>
      </w:r>
      <w:r>
        <w:rPr>
          <w:noProof/>
        </w:rPr>
        <w:tab/>
        <w:t>Distribuição por género e por DG</w:t>
      </w:r>
      <w:r>
        <w:rPr>
          <w:rStyle w:val="FootnoteReference"/>
          <w:noProof/>
        </w:rPr>
        <w:footnoteReference w:id="7"/>
      </w:r>
      <w:bookmarkEnd w:id="17"/>
      <w:bookmarkEnd w:id="18"/>
    </w:p>
    <w:p>
      <w:pPr>
        <w:rPr>
          <w:b/>
          <w:noProof/>
        </w:rPr>
      </w:pPr>
    </w:p>
    <w:p>
      <w:pPr>
        <w:rPr>
          <w:b/>
          <w:noProof/>
        </w:rPr>
      </w:pPr>
      <w:r>
        <w:rPr>
          <w:b/>
          <w:noProof/>
        </w:rPr>
        <w:t>Quadro n.º 5</w:t>
      </w:r>
    </w:p>
    <w:p>
      <w:pPr>
        <w:rPr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1355" cy="4963264"/>
            <wp:effectExtent l="0" t="0" r="0" b="8890"/>
            <wp:docPr id="664" name="Picture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6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>
      <w:pPr>
        <w:jc w:val="center"/>
        <w:rPr>
          <w:noProof/>
        </w:rPr>
      </w:pPr>
    </w:p>
    <w:p>
      <w:pPr>
        <w:rPr>
          <w:noProof/>
        </w:rPr>
      </w:pPr>
    </w:p>
    <w:p>
      <w:pPr>
        <w:pStyle w:val="Text1"/>
        <w:ind w:left="0"/>
        <w:rPr>
          <w:noProof/>
        </w:rPr>
      </w:pPr>
      <w:bookmarkStart w:id="19" w:name="_Toc306183907"/>
      <w:bookmarkStart w:id="20" w:name="_Toc411605928"/>
      <w:r>
        <w:rPr>
          <w:noProof/>
        </w:rPr>
        <w:t>5.2.</w:t>
      </w:r>
      <w:r>
        <w:rPr>
          <w:noProof/>
        </w:rPr>
        <w:tab/>
        <w:t>Distribuição por tipo de contrato</w:t>
      </w:r>
      <w:r>
        <w:rPr>
          <w:rStyle w:val="FootnoteReference"/>
          <w:noProof/>
        </w:rPr>
        <w:footnoteReference w:id="8"/>
      </w:r>
      <w:bookmarkEnd w:id="19"/>
      <w:bookmarkEnd w:id="20"/>
    </w:p>
    <w:p>
      <w:pPr>
        <w:pStyle w:val="ManualHeading3"/>
        <w:rPr>
          <w:noProof/>
        </w:rPr>
      </w:pPr>
      <w:bookmarkStart w:id="21" w:name="_Toc411605929"/>
      <w:bookmarkStart w:id="22" w:name="_Toc455585190"/>
      <w:r>
        <w:rPr>
          <w:noProof/>
        </w:rPr>
        <w:t>5.2.1.</w:t>
      </w:r>
      <w:r>
        <w:rPr>
          <w:noProof/>
        </w:rPr>
        <w:tab/>
        <w:t>Agentes contratuais 3.º-A</w:t>
      </w:r>
      <w:bookmarkEnd w:id="21"/>
      <w:bookmarkEnd w:id="22"/>
    </w:p>
    <w:p>
      <w:pPr>
        <w:pStyle w:val="Text1"/>
        <w:rPr>
          <w:noProof/>
        </w:rPr>
      </w:pPr>
    </w:p>
    <w:p>
      <w:pPr>
        <w:pStyle w:val="Text1"/>
        <w:spacing w:after="240"/>
        <w:ind w:left="0"/>
        <w:rPr>
          <w:b/>
          <w:noProof/>
        </w:rPr>
      </w:pPr>
      <w:r>
        <w:rPr>
          <w:b/>
          <w:noProof/>
        </w:rPr>
        <w:t>Quadro n.º 6</w:t>
      </w:r>
    </w:p>
    <w:p>
      <w:pPr>
        <w:pStyle w:val="Text1"/>
        <w:ind w:left="0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1355" cy="4963264"/>
            <wp:effectExtent l="0" t="0" r="0" b="8890"/>
            <wp:docPr id="665" name="Picture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6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>
      <w:pPr>
        <w:pStyle w:val="ManualHeading3"/>
        <w:rPr>
          <w:noProof/>
        </w:rPr>
      </w:pPr>
      <w:bookmarkStart w:id="23" w:name="_Toc411605930"/>
      <w:bookmarkStart w:id="24" w:name="_Toc455585191"/>
      <w:bookmarkStart w:id="25" w:name="_Toc306183908"/>
      <w:r>
        <w:rPr>
          <w:noProof/>
        </w:rPr>
        <w:t>5.2.2.</w:t>
      </w:r>
      <w:r>
        <w:rPr>
          <w:noProof/>
        </w:rPr>
        <w:tab/>
        <w:t>Agentes contratuais auxiliares 3.º-B</w:t>
      </w:r>
      <w:bookmarkEnd w:id="23"/>
      <w:bookmarkEnd w:id="24"/>
    </w:p>
    <w:p>
      <w:pPr>
        <w:pStyle w:val="Text1"/>
        <w:ind w:left="0"/>
        <w:rPr>
          <w:noProof/>
        </w:rPr>
      </w:pPr>
    </w:p>
    <w:p>
      <w:pPr>
        <w:pStyle w:val="Text1"/>
        <w:spacing w:after="240"/>
        <w:ind w:left="0"/>
        <w:rPr>
          <w:b/>
          <w:noProof/>
        </w:rPr>
      </w:pPr>
      <w:r>
        <w:rPr>
          <w:b/>
          <w:noProof/>
        </w:rPr>
        <w:t>Quadro n.º 7</w:t>
      </w:r>
    </w:p>
    <w:p>
      <w:pPr>
        <w:pStyle w:val="Text1"/>
        <w:ind w:left="0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1355" cy="6729856"/>
            <wp:effectExtent l="0" t="0" r="0" b="0"/>
            <wp:docPr id="666" name="Picture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72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>
      <w:pPr>
        <w:pStyle w:val="ManualHeading1"/>
        <w:rPr>
          <w:noProof/>
        </w:rPr>
      </w:pPr>
      <w:bookmarkStart w:id="26" w:name="_Toc411605931"/>
      <w:bookmarkStart w:id="27" w:name="_Toc455585192"/>
      <w:r>
        <w:rPr>
          <w:noProof/>
        </w:rPr>
        <w:t>6.</w:t>
      </w:r>
      <w:r>
        <w:rPr>
          <w:noProof/>
        </w:rPr>
        <w:tab/>
        <w:t>Distribuição dos agentes contratuais noutras instituições e agências</w:t>
      </w:r>
      <w:bookmarkEnd w:id="26"/>
      <w:bookmarkEnd w:id="27"/>
    </w:p>
    <w:bookmarkEnd w:id="25"/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número total dos AC nas outras instituições e agências eleva-se a 4 624 em 2014, em comparação com 4 179 em 2013. Tal representa um aumento de 10,6 % entre 2013 e 2014.</w:t>
      </w:r>
    </w:p>
    <w:p>
      <w:pPr>
        <w:jc w:val="both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Quadro n.º 8</w:t>
      </w:r>
    </w:p>
    <w:p>
      <w:pPr>
        <w:pStyle w:val="NormalCentered"/>
        <w:rPr>
          <w:b/>
          <w:noProof/>
        </w:rPr>
      </w:pPr>
      <w:r>
        <w:rPr>
          <w:b/>
          <w:noProof/>
        </w:rPr>
        <w:t>Evolução da distribuição dos agentes contratuais</w:t>
      </w:r>
      <w:r>
        <w:rPr>
          <w:b/>
          <w:noProof/>
        </w:rPr>
        <w:br/>
        <w:t>Evolução da distribuição dos agentes contratuais nas outras instituições e as agências desde 2010</w:t>
      </w:r>
      <w:r>
        <w:rPr>
          <w:rStyle w:val="FootnoteReference"/>
          <w:b/>
          <w:noProof/>
        </w:rPr>
        <w:footnoteReference w:id="9"/>
      </w:r>
    </w:p>
    <w:p>
      <w:pPr>
        <w:jc w:val="center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333365" cy="3697605"/>
            <wp:effectExtent l="0" t="0" r="635" b="0"/>
            <wp:docPr id="667" name="Picture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365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Times New Roman" w:hAnsi="Times New Roman" w:cs="Times New Roman"/>
          <w:i/>
          <w:noProof/>
          <w:sz w:val="16"/>
          <w:szCs w:val="16"/>
        </w:rPr>
      </w:pPr>
      <w:r>
        <w:rPr>
          <w:rFonts w:ascii="Times New Roman" w:hAnsi="Times New Roman"/>
          <w:i/>
          <w:noProof/>
          <w:sz w:val="16"/>
        </w:rPr>
        <w:t>* A criação do SEAE em 1 de janeiro de 2011 e a transferência de 313 AC da Comissão para o SEAE a partir dessa data explica, em grande parte, o forte aumento do número de AC entre 2010 e 2011. No relatório relativo a 2011 da Comissão ao Conselho sobre o recurso aos agentes contratuais estão disponíveis informações adicionais.</w:t>
      </w:r>
    </w:p>
    <w:p>
      <w:pPr>
        <w:pStyle w:val="ManualHeading2"/>
        <w:rPr>
          <w:noProof/>
        </w:rPr>
      </w:pPr>
      <w:r>
        <w:rPr>
          <w:noProof/>
        </w:rPr>
        <w:br w:type="page"/>
      </w:r>
      <w:bookmarkStart w:id="28" w:name="_Toc411605932"/>
      <w:bookmarkStart w:id="29" w:name="_Toc455585193"/>
      <w:r>
        <w:rPr>
          <w:noProof/>
        </w:rPr>
        <w:t>6.1.</w:t>
      </w:r>
      <w:r>
        <w:rPr>
          <w:noProof/>
        </w:rPr>
        <w:tab/>
        <w:t>Distribuição dos agentes contratuais noutras instituições</w:t>
      </w:r>
      <w:r>
        <w:rPr>
          <w:rStyle w:val="FootnoteReference"/>
          <w:noProof/>
        </w:rPr>
        <w:footnoteReference w:id="10"/>
      </w:r>
      <w:bookmarkEnd w:id="28"/>
      <w:bookmarkEnd w:id="29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número de AC noutras instituições aumentou 17,7 % entre 2013 e 2014. Este aumento explica-se em grande parte pelo aumento do número de AC no Parlamento entre 2013 e 2014 (de 874 AC para 1 210 AC), o que representa um aumento de 38,4 % neste período para esta instituição. Este aumento do número de AC no Parlamento Europeu em 2014 explica-se pela decisão de internalizar a segurança e a contratação de AC no GFI para assegurar essa missão.</w:t>
      </w:r>
    </w:p>
    <w:p>
      <w:pPr>
        <w:jc w:val="both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Quadro n.º 9</w:t>
      </w:r>
    </w:p>
    <w:p>
      <w:pPr>
        <w:pStyle w:val="NormalCentered"/>
        <w:rPr>
          <w:b/>
          <w:noProof/>
        </w:rPr>
      </w:pPr>
      <w:r>
        <w:rPr>
          <w:b/>
          <w:noProof/>
        </w:rPr>
        <w:t>Distribuição dos agentes contratuais noutras instituições em 2014</w:t>
      </w:r>
    </w:p>
    <w:p>
      <w:pPr>
        <w:spacing w:after="0" w:line="240" w:lineRule="auto"/>
        <w:jc w:val="center"/>
        <w:rPr>
          <w:noProof/>
          <w:sz w:val="20"/>
          <w:szCs w:val="20"/>
        </w:rPr>
      </w:pPr>
    </w:p>
    <w:p>
      <w:pPr>
        <w:spacing w:after="0" w:line="240" w:lineRule="auto"/>
        <w:jc w:val="center"/>
        <w:rPr>
          <w:noProof/>
          <w:sz w:val="20"/>
          <w:szCs w:val="20"/>
        </w:rPr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7" w:h="16839"/>
          <w:pgMar w:top="851" w:right="1417" w:bottom="851" w:left="1417" w:header="709" w:footer="709" w:gutter="0"/>
          <w:cols w:space="708"/>
          <w:docGrid w:linePitch="360"/>
        </w:sectPr>
      </w:pPr>
      <w:r>
        <w:rPr>
          <w:noProof/>
          <w:lang w:val="en-US" w:eastAsia="en-US" w:bidi="ar-SA"/>
        </w:rPr>
        <w:drawing>
          <wp:inline distT="0" distB="0" distL="0" distR="0">
            <wp:extent cx="5761355" cy="3793358"/>
            <wp:effectExtent l="0" t="0" r="0" b="0"/>
            <wp:docPr id="668" name="Picture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79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ManualHeading3"/>
        <w:rPr>
          <w:noProof/>
        </w:rPr>
      </w:pPr>
      <w:bookmarkStart w:id="30" w:name="_Toc411605933"/>
      <w:bookmarkStart w:id="31" w:name="_Toc455585194"/>
      <w:r>
        <w:rPr>
          <w:noProof/>
        </w:rPr>
        <w:t>6.1.1.</w:t>
      </w:r>
      <w:r>
        <w:rPr>
          <w:noProof/>
        </w:rPr>
        <w:tab/>
        <w:t>Distribuição por género e grupo de função nas outras instituições</w:t>
      </w:r>
      <w:bookmarkEnd w:id="30"/>
      <w:r>
        <w:rPr>
          <w:rStyle w:val="FootnoteReference"/>
          <w:noProof/>
        </w:rPr>
        <w:footnoteReference w:id="11"/>
      </w:r>
      <w:bookmarkEnd w:id="31"/>
    </w:p>
    <w:p>
      <w:pPr>
        <w:spacing w:after="0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Quadro n.º 10</w:t>
      </w:r>
    </w:p>
    <w:p>
      <w:pPr>
        <w:pStyle w:val="ManualHeading3"/>
        <w:ind w:left="0" w:firstLine="0"/>
        <w:rPr>
          <w:noProof/>
        </w:rPr>
      </w:pPr>
      <w:bookmarkStart w:id="32" w:name="_Toc455585195"/>
      <w:bookmarkStart w:id="33" w:name="_Toc411605934"/>
      <w:r>
        <w:rPr>
          <w:noProof/>
          <w:lang w:val="en-US" w:eastAsia="en-US" w:bidi="ar-SA"/>
        </w:rPr>
        <w:drawing>
          <wp:inline distT="0" distB="0" distL="0" distR="0">
            <wp:extent cx="9072880" cy="1811868"/>
            <wp:effectExtent l="0" t="0" r="0" b="0"/>
            <wp:docPr id="670" name="Picture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880" cy="181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2"/>
    </w:p>
    <w:p>
      <w:pPr>
        <w:pStyle w:val="ManualHeading3"/>
        <w:ind w:left="0" w:firstLine="0"/>
        <w:rPr>
          <w:noProof/>
        </w:rPr>
      </w:pPr>
    </w:p>
    <w:p>
      <w:pPr>
        <w:pStyle w:val="ManualHeading3"/>
        <w:ind w:left="0" w:firstLine="0"/>
        <w:rPr>
          <w:noProof/>
        </w:rPr>
      </w:pPr>
    </w:p>
    <w:p>
      <w:pPr>
        <w:pStyle w:val="ManualHeading3"/>
        <w:ind w:left="0" w:firstLine="0"/>
        <w:rPr>
          <w:noProof/>
        </w:rPr>
      </w:pPr>
      <w:bookmarkStart w:id="34" w:name="_Toc455585196"/>
      <w:r>
        <w:rPr>
          <w:noProof/>
        </w:rPr>
        <w:t>6.1.2.</w:t>
      </w:r>
      <w:r>
        <w:rPr>
          <w:noProof/>
        </w:rPr>
        <w:tab/>
        <w:t>Distribuição por nacionalidade nas outras instituições</w:t>
      </w:r>
      <w:bookmarkEnd w:id="33"/>
      <w:r>
        <w:rPr>
          <w:rStyle w:val="FootnoteReference"/>
          <w:noProof/>
        </w:rPr>
        <w:footnoteReference w:id="12"/>
      </w:r>
      <w:bookmarkEnd w:id="34"/>
    </w:p>
    <w:p>
      <w:pPr>
        <w:spacing w:after="0"/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/>
          <w:b/>
          <w:noProof/>
        </w:rPr>
        <w:t>Quadro n.º 11</w:t>
      </w:r>
    </w:p>
    <w:p>
      <w:pPr>
        <w:spacing w:after="0"/>
        <w:ind w:left="-142"/>
        <w:rPr>
          <w:b/>
          <w:noProof/>
        </w:rPr>
        <w:sectPr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6839" w:h="11907" w:orient="landscape"/>
          <w:pgMar w:top="-709" w:right="1417" w:bottom="284" w:left="1134" w:header="709" w:footer="367" w:gutter="0"/>
          <w:cols w:space="708"/>
          <w:docGrid w:linePitch="360"/>
        </w:sectPr>
      </w:pPr>
      <w:r>
        <w:rPr>
          <w:noProof/>
          <w:lang w:val="en-US" w:eastAsia="en-US" w:bidi="ar-SA"/>
        </w:rPr>
        <w:drawing>
          <wp:inline distT="0" distB="0" distL="0" distR="0">
            <wp:extent cx="9072880" cy="1628885"/>
            <wp:effectExtent l="0" t="0" r="0" b="9525"/>
            <wp:docPr id="671" name="Picture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880" cy="162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ManualHeading2"/>
        <w:rPr>
          <w:noProof/>
        </w:rPr>
      </w:pPr>
      <w:bookmarkStart w:id="35" w:name="_Toc409453693"/>
      <w:bookmarkStart w:id="36" w:name="_Toc409453777"/>
      <w:bookmarkStart w:id="37" w:name="_Toc411605935"/>
      <w:bookmarkStart w:id="38" w:name="_Toc455585197"/>
      <w:bookmarkEnd w:id="35"/>
      <w:bookmarkEnd w:id="36"/>
      <w:r>
        <w:rPr>
          <w:noProof/>
        </w:rPr>
        <w:t>6.2.</w:t>
      </w:r>
      <w:r>
        <w:rPr>
          <w:noProof/>
        </w:rPr>
        <w:tab/>
        <w:t>Distribuição dos agentes contratuais nas agências</w:t>
      </w:r>
      <w:bookmarkEnd w:id="37"/>
      <w:bookmarkEnd w:id="38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número de AC nas agências está em expansão contínua e regular. Assim, o número total dos AC nas agências passou de 1 933 em 2010 para 2 214 em 2011, 2 408 em 2012, 2 522 em 2013 e 2 582 em 2014.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Com base na classificação elaborada pela DG BUDG, a análise das informações disponíveis agrupa as agências em 3 categorias: as agências descentralizadas, as empresas comuns e o Instituto Europeu de Inovação e Tecnologia, bem como as agências de execução.</w:t>
      </w:r>
    </w:p>
    <w:p>
      <w:pPr>
        <w:pStyle w:val="NormalCentered"/>
        <w:rPr>
          <w:b/>
          <w:noProof/>
        </w:rPr>
      </w:pPr>
      <w:r>
        <w:rPr>
          <w:b/>
          <w:noProof/>
        </w:rPr>
        <w:t>Distribuição dos agentes contratuais nas agências</w:t>
      </w:r>
      <w:r>
        <w:rPr>
          <w:rStyle w:val="FootnoteReference"/>
          <w:b/>
          <w:noProof/>
        </w:rPr>
        <w:footnoteReference w:id="13"/>
      </w:r>
    </w:p>
    <w:p>
      <w:pPr>
        <w:pStyle w:val="NormalCentered"/>
        <w:jc w:val="left"/>
        <w:rPr>
          <w:b/>
          <w:noProof/>
          <w:sz w:val="22"/>
        </w:rPr>
      </w:pPr>
      <w:r>
        <w:rPr>
          <w:b/>
          <w:noProof/>
          <w:sz w:val="22"/>
        </w:rPr>
        <w:t>Quadro n.º 12</w:t>
      </w:r>
    </w:p>
    <w:p>
      <w:pPr>
        <w:pStyle w:val="NormalCentered"/>
        <w:rPr>
          <w:b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436235" cy="3169920"/>
            <wp:effectExtent l="0" t="0" r="0" b="0"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235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NormalCentered"/>
        <w:rPr>
          <w:b/>
          <w:noProof/>
        </w:rPr>
      </w:pP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45 % dos AC trabalham para as agências de execução e 48 % paras agências descentralizadas. O restante (7 %) trabalha para as empresas comuns e o Instituto Europeu de Inovação e Tecnologia.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O aumento do número de agentes contratuais entre 2010 e 2014 reflete o aumento do número de agências e das suas funções.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Em 2014 foram assim criadas várias novas empresas comuns: 1) ECSEL (Componentes e Sistemas Eletrónicos para uma Liderança Europeia) que engloba as atividades das empresas comuns ARTEMIS e ENIAC, 2) BBI (Empresa Comum BBI) e 3) S2R (SHIFT2RAIL).</w:t>
      </w:r>
    </w:p>
    <w:p>
      <w:pPr>
        <w:pStyle w:val="ManualHeading3"/>
        <w:ind w:left="0" w:firstLine="0"/>
        <w:rPr>
          <w:noProof/>
        </w:rPr>
      </w:pPr>
      <w:r>
        <w:rPr>
          <w:noProof/>
        </w:rPr>
        <w:br w:type="page"/>
      </w:r>
      <w:bookmarkStart w:id="39" w:name="_Toc411605936"/>
      <w:bookmarkStart w:id="40" w:name="_Toc455585198"/>
      <w:r>
        <w:rPr>
          <w:noProof/>
        </w:rPr>
        <w:t>6.2.1.</w:t>
      </w:r>
      <w:r>
        <w:rPr>
          <w:noProof/>
        </w:rPr>
        <w:tab/>
        <w:t>Distribuição por género e grupo de funções nas agências</w:t>
      </w:r>
      <w:bookmarkEnd w:id="39"/>
      <w:bookmarkEnd w:id="40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 distribuição por grupo de funções é bastante homogénea para as 3 categorias de agências e mantém-se estável desde 2012.</w:t>
      </w:r>
    </w:p>
    <w:p>
      <w:pPr>
        <w:pStyle w:val="NormalCentered"/>
        <w:rPr>
          <w:b/>
          <w:bCs/>
          <w:noProof/>
        </w:rPr>
      </w:pPr>
      <w:r>
        <w:rPr>
          <w:b/>
          <w:noProof/>
        </w:rPr>
        <w:t>Distribuição por grupo de funções nas agências em 2014</w:t>
      </w:r>
      <w:r>
        <w:rPr>
          <w:rStyle w:val="FootnoteReference"/>
          <w:b/>
          <w:noProof/>
        </w:rPr>
        <w:footnoteReference w:id="14"/>
      </w:r>
    </w:p>
    <w:p>
      <w:pPr>
        <w:pStyle w:val="NormalCentered"/>
        <w:jc w:val="left"/>
        <w:rPr>
          <w:b/>
          <w:bCs/>
          <w:noProof/>
          <w:sz w:val="22"/>
        </w:rPr>
      </w:pPr>
      <w:r>
        <w:rPr>
          <w:b/>
          <w:noProof/>
          <w:sz w:val="22"/>
        </w:rPr>
        <w:t>Quadro n.º 13</w:t>
      </w:r>
    </w:p>
    <w:p>
      <w:pPr>
        <w:pStyle w:val="NormalCentered"/>
        <w:rPr>
          <w:b/>
          <w:bCs/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0085" cy="2521218"/>
            <wp:effectExtent l="0" t="0" r="12065" b="1270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>
      <w:pPr>
        <w:spacing w:after="0"/>
        <w:rPr>
          <w:b/>
          <w:noProof/>
        </w:rPr>
      </w:pPr>
    </w:p>
    <w:p>
      <w:pPr>
        <w:spacing w:after="0"/>
        <w:rPr>
          <w:b/>
          <w:noProof/>
        </w:rPr>
        <w:sectPr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7" w:h="16839"/>
          <w:pgMar w:top="851" w:right="1418" w:bottom="851" w:left="1418" w:header="709" w:footer="369" w:gutter="0"/>
          <w:cols w:space="708"/>
          <w:docGrid w:linePitch="360"/>
        </w:sectPr>
      </w:pPr>
    </w:p>
    <w:p>
      <w:pPr>
        <w:spacing w:after="0"/>
        <w:rPr>
          <w:rFonts w:ascii="Times New Roman" w:hAnsi="Times New Roman" w:cs="Times New Roman"/>
          <w:b/>
          <w:noProof/>
        </w:rPr>
      </w:pPr>
      <w:bookmarkStart w:id="41" w:name="_Toc409453524"/>
      <w:bookmarkStart w:id="42" w:name="_Toc409453695"/>
      <w:bookmarkStart w:id="43" w:name="_Toc409453779"/>
      <w:bookmarkEnd w:id="41"/>
      <w:bookmarkEnd w:id="42"/>
      <w:bookmarkEnd w:id="43"/>
      <w:r>
        <w:rPr>
          <w:noProof/>
        </w:rPr>
        <w:t xml:space="preserve"> </w:t>
      </w:r>
      <w:r>
        <w:rPr>
          <w:rFonts w:ascii="Times New Roman" w:hAnsi="Times New Roman"/>
          <w:b/>
          <w:noProof/>
        </w:rPr>
        <w:t>Quadro n.º 14</w:t>
      </w:r>
    </w:p>
    <w:p>
      <w:pPr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9508066" cy="5554133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6854" cy="55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  <w:sectPr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pgSz w:w="16839" w:h="11907" w:orient="landscape"/>
          <w:pgMar w:top="-709" w:right="1417" w:bottom="284" w:left="1134" w:header="709" w:footer="367" w:gutter="0"/>
          <w:cols w:space="708"/>
          <w:docGrid w:linePitch="360"/>
        </w:sectPr>
      </w:pPr>
    </w:p>
    <w:p>
      <w:pPr>
        <w:pStyle w:val="ManualHeading3"/>
        <w:rPr>
          <w:noProof/>
        </w:rPr>
      </w:pPr>
      <w:bookmarkStart w:id="44" w:name="_Toc411605937"/>
      <w:bookmarkStart w:id="45" w:name="_Toc455585199"/>
      <w:r>
        <w:rPr>
          <w:noProof/>
        </w:rPr>
        <w:t>6.2.2.</w:t>
      </w:r>
      <w:r>
        <w:rPr>
          <w:noProof/>
        </w:rPr>
        <w:tab/>
        <w:t>Distribuição por nacionalidade nas agências</w:t>
      </w:r>
      <w:bookmarkEnd w:id="44"/>
      <w:bookmarkEnd w:id="45"/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Em termos de distribuição geográfica, convém assinalar que a localização da agência desempenha um papel preponderante relativamente à nacionalidade dos AC.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Assim, a distribuição geográfica das agências de execução, localizadas nos mesmos pontos que a Comissão, reflete as mesmas tendências que esta última em que as nacionalidades mais representadas são a belga, a italiana, a francesa e a espanhola.</w:t>
      </w:r>
    </w:p>
    <w:p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 xml:space="preserve">Do mesmo modo, a localização de outras agências e empresas comuns reflete-se na repartição por nacionalidade do seu pessoal AC. </w:t>
      </w:r>
    </w:p>
    <w:p>
      <w:pPr>
        <w:pStyle w:val="NormalCentered"/>
        <w:rPr>
          <w:b/>
          <w:noProof/>
        </w:rPr>
      </w:pPr>
      <w:r>
        <w:rPr>
          <w:b/>
          <w:noProof/>
        </w:rPr>
        <w:t>Distribuição por nacionalidades nas agências em 2014</w:t>
      </w:r>
      <w:r>
        <w:rPr>
          <w:rStyle w:val="FootnoteReference"/>
          <w:b/>
          <w:noProof/>
        </w:rPr>
        <w:footnoteReference w:id="15"/>
      </w:r>
    </w:p>
    <w:p>
      <w:pPr>
        <w:pStyle w:val="NormalCentered"/>
        <w:rPr>
          <w:b/>
          <w:noProof/>
        </w:rPr>
      </w:pPr>
    </w:p>
    <w:p>
      <w:pPr>
        <w:pStyle w:val="NormalCentered"/>
        <w:jc w:val="left"/>
        <w:rPr>
          <w:b/>
          <w:noProof/>
          <w:sz w:val="22"/>
        </w:rPr>
      </w:pPr>
      <w:r>
        <w:rPr>
          <w:b/>
          <w:noProof/>
          <w:sz w:val="22"/>
        </w:rPr>
        <w:t>Quadro n.º 15</w:t>
      </w:r>
    </w:p>
    <w:p>
      <w:pPr>
        <w:pStyle w:val="NormalCentered"/>
        <w:jc w:val="left"/>
        <w:rPr>
          <w:b/>
          <w:noProof/>
          <w:sz w:val="22"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5760085" cy="2235814"/>
            <wp:effectExtent l="0" t="0" r="12065" b="1270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>
      <w:pPr>
        <w:pStyle w:val="NormalCentered"/>
        <w:jc w:val="left"/>
        <w:rPr>
          <w:b/>
          <w:noProof/>
          <w:sz w:val="22"/>
        </w:rPr>
      </w:pPr>
    </w:p>
    <w:p>
      <w:pPr>
        <w:pStyle w:val="NormalCentered"/>
        <w:jc w:val="left"/>
        <w:rPr>
          <w:b/>
          <w:noProof/>
          <w:sz w:val="22"/>
        </w:rPr>
      </w:pPr>
    </w:p>
    <w:p>
      <w:pPr>
        <w:pStyle w:val="Text1"/>
        <w:rPr>
          <w:noProof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pgSz w:w="11907" w:h="16839"/>
          <w:pgMar w:top="851" w:right="1418" w:bottom="851" w:left="1418" w:header="709" w:footer="369" w:gutter="0"/>
          <w:cols w:space="708"/>
          <w:docGrid w:linePitch="360"/>
        </w:sectPr>
      </w:pPr>
    </w:p>
    <w:p>
      <w:pPr>
        <w:spacing w:after="0"/>
        <w:ind w:left="-567" w:firstLine="142"/>
        <w:jc w:val="center"/>
        <w:rPr>
          <w:noProof/>
        </w:rPr>
      </w:pPr>
    </w:p>
    <w:p>
      <w:pPr>
        <w:spacing w:after="0"/>
        <w:ind w:left="-567" w:firstLine="142"/>
        <w:jc w:val="right"/>
        <w:rPr>
          <w:b/>
          <w:noProof/>
        </w:rPr>
      </w:pPr>
    </w:p>
    <w:p>
      <w:pPr>
        <w:pStyle w:val="NormalCentered"/>
        <w:jc w:val="left"/>
        <w:rPr>
          <w:noProof/>
        </w:rPr>
      </w:pPr>
      <w:r>
        <w:rPr>
          <w:b/>
          <w:noProof/>
          <w:sz w:val="22"/>
        </w:rPr>
        <w:t>Quadro n.º 16</w:t>
      </w:r>
    </w:p>
    <w:p>
      <w:pPr>
        <w:spacing w:after="0"/>
        <w:ind w:left="-567" w:firstLine="142"/>
        <w:jc w:val="center"/>
        <w:rPr>
          <w:noProof/>
        </w:rPr>
      </w:pPr>
      <w:r>
        <w:rPr>
          <w:noProof/>
          <w:lang w:val="en-US" w:eastAsia="en-US" w:bidi="ar-SA"/>
        </w:rPr>
        <w:drawing>
          <wp:inline distT="0" distB="0" distL="0" distR="0">
            <wp:extent cx="9072880" cy="413508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880" cy="413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6839" w:h="11907" w:orient="landscape"/>
      <w:pgMar w:top="-709" w:right="1417" w:bottom="284" w:left="1134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r>
      <w:rPr>
        <w:rFonts w:ascii="Arial" w:hAnsi="Arial" w:cs="Arial"/>
        <w:b/>
        <w:sz w:val="48"/>
      </w:rPr>
      <w:t>PT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0644205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8108830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8360403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>
    <w:pPr>
      <w:pStyle w:val="Footer"/>
      <w:jc w:val="cen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4464078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5962627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6235654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0978678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rPr>
          <w:lang w:val="fr-BE"/>
        </w:rPr>
        <w:t xml:space="preserve"> </w:t>
      </w:r>
      <w:r>
        <w:rPr>
          <w:sz w:val="16"/>
          <w:lang w:val="fr-BE"/>
        </w:rPr>
        <w:t>Fonte: Commission HR Analytics Platform</w:t>
      </w:r>
    </w:p>
  </w:footnote>
  <w:footnote w:id="2">
    <w:p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Em 2013 as DG dificilmente podiam recorrer às bases de dados dos candidatos existentes, verificando-se uma falta de certos perfis.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Em especial, o número de agentes temporários passou de 415 em 1.7.2013 para 188 em 1.7.2014</w:t>
      </w:r>
      <w:r>
        <w:t>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Commission HR Analytics Platform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Commission HR Analytics Platform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Commission HR Analytics Platform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Commission HR Analytics Platform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Commission HR Analytics Platform</w:t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</w:rPr>
        <w:t>Fonte: Eurostat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A3F55"/>
    <w:multiLevelType w:val="hybridMultilevel"/>
    <w:tmpl w:val="BCF0F4E6"/>
    <w:lvl w:ilvl="0" w:tplc="97B0E5B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CONFIDENCE" w:val=" "/>
    <w:docVar w:name="LW_CONST_RESTREINT_UE" w:val="RESTREINT UE"/>
    <w:docVar w:name="LW_CORRIGENDUM" w:val="&lt;UNUSED&gt;"/>
    <w:docVar w:name="LW_COVERPAGE_GUID" w:val="149E8996785A4BE5B8051F10DA523A73"/>
    <w:docVar w:name="LW_CROSSREFERENCE" w:val="&lt;UNUSED&gt;"/>
    <w:docVar w:name="LW_DocType" w:val="NORMAL"/>
    <w:docVar w:name="LW_EMISSION" w:val="9.8.2016"/>
    <w:docVar w:name="LW_EMISSION_ISODATE" w:val="2016-08-09"/>
    <w:docVar w:name="LW_EMISSION_LOCATION" w:val="BRX"/>
    <w:docVar w:name="LW_EMISSION_PREFIX" w:val="Bruxelas, "/>
    <w:docVar w:name="LW_EMISSION_SUFFIX" w:val=" "/>
    <w:docVar w:name="LW_ID_DOCTYPE_NONLW" w:val="CP-003"/>
    <w:docVar w:name="LW_LANGUE" w:val="PT"/>
    <w:docVar w:name="LW_MARKING" w:val="&lt;UNUSED&gt;"/>
    <w:docVar w:name="LW_NOM.INST" w:val="COMISSÃO EUROPEI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6) 499"/>
    <w:docVar w:name="LW_REF.INTERNE" w:val="&lt;UNUSED&gt;"/>
    <w:docVar w:name="LW_SOUS.TITRE.OBJ.CP" w:val="&lt;UNUSED&gt;"/>
    <w:docVar w:name="LW_SUPERTITRE" w:val="&lt;UNUSED&gt;"/>
    <w:docVar w:name="LW_TITRE.OBJ.CP" w:val="sobre o recurso aos agentes contratuais em 2014"/>
    <w:docVar w:name="LW_TYPE.DOC.CP" w:val="RELATÓRIO DA COMISSÃO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hd w:val="clear" w:color="auto" w:fill="BFBFBF" w:themeFill="background1" w:themeFillShade="BF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ind w:left="720" w:hanging="360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28"/>
      <w:szCs w:val="32"/>
      <w:shd w:val="clear" w:color="auto" w:fill="BFBFBF" w:themeFill="background1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bCs/>
      <w:iCs/>
      <w:szCs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Text1">
    <w:name w:val="Text 1"/>
    <w:basedOn w:val="Normal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TOC1">
    <w:name w:val="toc 1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eastAsiaTheme="minorEastAsia"/>
      <w:b/>
      <w:bCs/>
      <w:noProof/>
    </w:rPr>
  </w:style>
  <w:style w:type="paragraph" w:styleId="TOC2">
    <w:name w:val="toc 2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uiPriority w:val="99"/>
    <w:semiHidden/>
    <w:rPr>
      <w:shd w:val="clear" w:color="auto" w:fill="auto"/>
      <w:vertAlign w:val="superscript"/>
    </w:rPr>
  </w:style>
  <w:style w:type="paragraph" w:customStyle="1" w:styleId="NormalCentered">
    <w:name w:val="Normal Centered"/>
    <w:basedOn w:val="Normal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TOCHeading">
    <w:name w:val="TOC Heading"/>
    <w:basedOn w:val="Normal"/>
    <w:next w:val="Normal"/>
    <w:link w:val="TOCHeadingChar"/>
    <w:uiPriority w:val="39"/>
    <w:qFormat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Pr>
      <w:color w:val="0000FF"/>
      <w:u w:val="single"/>
      <w:shd w:val="clear" w:color="auto" w:fill="auto"/>
    </w:rPr>
  </w:style>
  <w:style w:type="character" w:customStyle="1" w:styleId="text-big-bold">
    <w:name w:val="text-big-bold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TOCHeadingChar">
    <w:name w:val="TOC Heading Char"/>
    <w:basedOn w:val="DefaultParagraphFont"/>
    <w:link w:val="TOCHeading"/>
    <w:uiPriority w:val="39"/>
    <w:rPr>
      <w:rFonts w:ascii="Times New Roman" w:eastAsia="Times New Roman" w:hAnsi="Times New Roman" w:cs="Times New Roman"/>
      <w:b/>
      <w:sz w:val="28"/>
      <w:szCs w:val="24"/>
      <w:lang w:val="pt-P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eastAsia="Times New Roman" w:hAnsi="Times New Roman" w:cs="Times New Roman"/>
      <w:b w:val="0"/>
      <w:noProof/>
      <w:sz w:val="24"/>
      <w:szCs w:val="24"/>
      <w:lang w:val="pt-P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HeaderCoverPageChar">
    <w:name w:val="Header Cover Page Char"/>
    <w:basedOn w:val="TOCHeadingChar"/>
    <w:link w:val="HeaderCoverPage"/>
    <w:rPr>
      <w:rFonts w:ascii="Times New Roman" w:eastAsia="Times New Roman" w:hAnsi="Times New Roman" w:cs="Times New Roman"/>
      <w:b w:val="0"/>
      <w:noProof/>
      <w:sz w:val="24"/>
      <w:szCs w:val="24"/>
      <w:lang w:val="pt-PT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hd w:val="clear" w:color="auto" w:fill="BFBFBF" w:themeFill="background1" w:themeFillShade="BF"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ind w:left="720" w:hanging="360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28"/>
      <w:szCs w:val="32"/>
      <w:shd w:val="clear" w:color="auto" w:fill="BFBFBF" w:themeFill="background1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bCs/>
      <w:iCs/>
      <w:szCs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Text1">
    <w:name w:val="Text 1"/>
    <w:basedOn w:val="Normal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TOC1">
    <w:name w:val="toc 1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eastAsiaTheme="minorEastAsia"/>
      <w:b/>
      <w:bCs/>
      <w:noProof/>
    </w:rPr>
  </w:style>
  <w:style w:type="paragraph" w:styleId="TOC2">
    <w:name w:val="toc 2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uiPriority w:val="39"/>
    <w:pPr>
      <w:tabs>
        <w:tab w:val="right" w:leader="dot" w:pos="9071"/>
      </w:tabs>
      <w:spacing w:before="60" w:after="120" w:line="240" w:lineRule="auto"/>
      <w:ind w:left="850" w:hanging="8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uiPriority w:val="99"/>
    <w:semiHidden/>
    <w:rPr>
      <w:shd w:val="clear" w:color="auto" w:fill="auto"/>
      <w:vertAlign w:val="superscript"/>
    </w:rPr>
  </w:style>
  <w:style w:type="paragraph" w:customStyle="1" w:styleId="NormalCentered">
    <w:name w:val="Normal Centered"/>
    <w:basedOn w:val="Normal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TOCHeading">
    <w:name w:val="TOC Heading"/>
    <w:basedOn w:val="Normal"/>
    <w:next w:val="Normal"/>
    <w:link w:val="TOCHeadingChar"/>
    <w:uiPriority w:val="39"/>
    <w:qFormat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styleId="Hyperlink">
    <w:name w:val="Hyperlink"/>
    <w:uiPriority w:val="99"/>
    <w:rPr>
      <w:color w:val="0000FF"/>
      <w:u w:val="single"/>
      <w:shd w:val="clear" w:color="auto" w:fill="auto"/>
    </w:rPr>
  </w:style>
  <w:style w:type="character" w:customStyle="1" w:styleId="text-big-bold">
    <w:name w:val="text-big-bold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TOCHeadingChar">
    <w:name w:val="TOC Heading Char"/>
    <w:basedOn w:val="DefaultParagraphFont"/>
    <w:link w:val="TOCHeading"/>
    <w:uiPriority w:val="39"/>
    <w:rPr>
      <w:rFonts w:ascii="Times New Roman" w:eastAsia="Times New Roman" w:hAnsi="Times New Roman" w:cs="Times New Roman"/>
      <w:b/>
      <w:sz w:val="28"/>
      <w:szCs w:val="24"/>
      <w:lang w:val="pt-P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eastAsia="Times New Roman" w:hAnsi="Times New Roman" w:cs="Times New Roman"/>
      <w:b w:val="0"/>
      <w:noProof/>
      <w:sz w:val="24"/>
      <w:szCs w:val="24"/>
      <w:lang w:val="pt-P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HeaderCoverPageChar">
    <w:name w:val="Header Cover Page Char"/>
    <w:basedOn w:val="TOCHeadingChar"/>
    <w:link w:val="HeaderCoverPage"/>
    <w:rPr>
      <w:rFonts w:ascii="Times New Roman" w:eastAsia="Times New Roman" w:hAnsi="Times New Roman" w:cs="Times New Roman"/>
      <w:b w:val="0"/>
      <w:noProof/>
      <w:sz w:val="24"/>
      <w:szCs w:val="24"/>
      <w:lang w:val="pt-PT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5.emf"/><Relationship Id="rId39" Type="http://schemas.openxmlformats.org/officeDocument/2006/relationships/image" Target="media/image12.emf"/><Relationship Id="rId21" Type="http://schemas.openxmlformats.org/officeDocument/2006/relationships/footer" Target="footer6.xml"/><Relationship Id="rId34" Type="http://schemas.openxmlformats.org/officeDocument/2006/relationships/header" Target="header8.xml"/><Relationship Id="rId42" Type="http://schemas.openxmlformats.org/officeDocument/2006/relationships/header" Target="header11.xml"/><Relationship Id="rId47" Type="http://schemas.openxmlformats.org/officeDocument/2006/relationships/image" Target="media/image14.emf"/><Relationship Id="rId50" Type="http://schemas.openxmlformats.org/officeDocument/2006/relationships/header" Target="header13.xml"/><Relationship Id="rId55" Type="http://schemas.openxmlformats.org/officeDocument/2006/relationships/footer" Target="footer15.xml"/><Relationship Id="rId63" Type="http://schemas.openxmlformats.org/officeDocument/2006/relationships/chart" Target="charts/chart3.xml"/><Relationship Id="rId68" Type="http://schemas.openxmlformats.org/officeDocument/2006/relationships/header" Target="header21.xml"/><Relationship Id="rId76" Type="http://schemas.openxmlformats.org/officeDocument/2006/relationships/footer" Target="footer24.xml"/><Relationship Id="rId7" Type="http://schemas.openxmlformats.org/officeDocument/2006/relationships/footnotes" Target="footnotes.xml"/><Relationship Id="rId71" Type="http://schemas.openxmlformats.org/officeDocument/2006/relationships/header" Target="header2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9" Type="http://schemas.openxmlformats.org/officeDocument/2006/relationships/image" Target="media/image8.emf"/><Relationship Id="rId11" Type="http://schemas.openxmlformats.org/officeDocument/2006/relationships/header" Target="header2.xml"/><Relationship Id="rId24" Type="http://schemas.openxmlformats.org/officeDocument/2006/relationships/image" Target="media/image3.emf"/><Relationship Id="rId32" Type="http://schemas.openxmlformats.org/officeDocument/2006/relationships/image" Target="media/image11.emf"/><Relationship Id="rId37" Type="http://schemas.openxmlformats.org/officeDocument/2006/relationships/header" Target="header9.xml"/><Relationship Id="rId40" Type="http://schemas.openxmlformats.org/officeDocument/2006/relationships/image" Target="media/image13.emf"/><Relationship Id="rId45" Type="http://schemas.openxmlformats.org/officeDocument/2006/relationships/header" Target="header12.xml"/><Relationship Id="rId53" Type="http://schemas.openxmlformats.org/officeDocument/2006/relationships/footer" Target="footer14.xml"/><Relationship Id="rId58" Type="http://schemas.openxmlformats.org/officeDocument/2006/relationships/header" Target="header17.xml"/><Relationship Id="rId66" Type="http://schemas.openxmlformats.org/officeDocument/2006/relationships/footer" Target="footer19.xml"/><Relationship Id="rId74" Type="http://schemas.openxmlformats.org/officeDocument/2006/relationships/footer" Target="footer23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2.emf"/><Relationship Id="rId28" Type="http://schemas.openxmlformats.org/officeDocument/2006/relationships/image" Target="media/image7.emf"/><Relationship Id="rId36" Type="http://schemas.openxmlformats.org/officeDocument/2006/relationships/footer" Target="footer8.xml"/><Relationship Id="rId49" Type="http://schemas.openxmlformats.org/officeDocument/2006/relationships/chart" Target="charts/chart2.xml"/><Relationship Id="rId57" Type="http://schemas.openxmlformats.org/officeDocument/2006/relationships/header" Target="header16.xml"/><Relationship Id="rId61" Type="http://schemas.openxmlformats.org/officeDocument/2006/relationships/header" Target="header1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image" Target="media/image10.emf"/><Relationship Id="rId44" Type="http://schemas.openxmlformats.org/officeDocument/2006/relationships/footer" Target="footer11.xml"/><Relationship Id="rId52" Type="http://schemas.openxmlformats.org/officeDocument/2006/relationships/footer" Target="footer13.xml"/><Relationship Id="rId60" Type="http://schemas.openxmlformats.org/officeDocument/2006/relationships/footer" Target="footer17.xml"/><Relationship Id="rId65" Type="http://schemas.openxmlformats.org/officeDocument/2006/relationships/header" Target="header20.xml"/><Relationship Id="rId73" Type="http://schemas.openxmlformats.org/officeDocument/2006/relationships/footer" Target="footer22.xm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chart" Target="charts/chart1.xml"/><Relationship Id="rId27" Type="http://schemas.openxmlformats.org/officeDocument/2006/relationships/image" Target="media/image6.emf"/><Relationship Id="rId30" Type="http://schemas.openxmlformats.org/officeDocument/2006/relationships/image" Target="media/image9.emf"/><Relationship Id="rId35" Type="http://schemas.openxmlformats.org/officeDocument/2006/relationships/footer" Target="footer7.xml"/><Relationship Id="rId43" Type="http://schemas.openxmlformats.org/officeDocument/2006/relationships/footer" Target="footer10.xml"/><Relationship Id="rId48" Type="http://schemas.openxmlformats.org/officeDocument/2006/relationships/image" Target="media/image15.emf"/><Relationship Id="rId56" Type="http://schemas.openxmlformats.org/officeDocument/2006/relationships/image" Target="media/image16.emf"/><Relationship Id="rId64" Type="http://schemas.openxmlformats.org/officeDocument/2006/relationships/header" Target="header19.xml"/><Relationship Id="rId69" Type="http://schemas.openxmlformats.org/officeDocument/2006/relationships/footer" Target="footer21.xm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eader" Target="header14.xml"/><Relationship Id="rId72" Type="http://schemas.openxmlformats.org/officeDocument/2006/relationships/header" Target="header23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4.emf"/><Relationship Id="rId33" Type="http://schemas.openxmlformats.org/officeDocument/2006/relationships/header" Target="header7.xml"/><Relationship Id="rId38" Type="http://schemas.openxmlformats.org/officeDocument/2006/relationships/footer" Target="footer9.xml"/><Relationship Id="rId46" Type="http://schemas.openxmlformats.org/officeDocument/2006/relationships/footer" Target="footer12.xml"/><Relationship Id="rId59" Type="http://schemas.openxmlformats.org/officeDocument/2006/relationships/footer" Target="footer16.xml"/><Relationship Id="rId67" Type="http://schemas.openxmlformats.org/officeDocument/2006/relationships/footer" Target="footer20.xml"/><Relationship Id="rId20" Type="http://schemas.openxmlformats.org/officeDocument/2006/relationships/header" Target="header6.xml"/><Relationship Id="rId41" Type="http://schemas.openxmlformats.org/officeDocument/2006/relationships/header" Target="header10.xml"/><Relationship Id="rId54" Type="http://schemas.openxmlformats.org/officeDocument/2006/relationships/header" Target="header15.xml"/><Relationship Id="rId62" Type="http://schemas.openxmlformats.org/officeDocument/2006/relationships/footer" Target="footer18.xml"/><Relationship Id="rId70" Type="http://schemas.openxmlformats.org/officeDocument/2006/relationships/image" Target="media/image17.emf"/><Relationship Id="rId75" Type="http://schemas.openxmlformats.org/officeDocument/2006/relationships/header" Target="header2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charts/_rels/chart1.xml.rels><?xml version='1.0' encoding='UTF-8' standalone='yes'?>
<Relationships xmlns="http://schemas.openxmlformats.org/package/2006/relationships"><Relationship Id="rId2" Type="http://schemas.openxmlformats.org/officeDocument/2006/relationships/oleObject" Target="file:///\\net1.cec.eu.int\HR\B\1\HR_B1\GESTION%20PERSONNEL\05.15%20AC\16%20Divers\Rapport%20AC%20au%20Conseil\Rapport%202014-2015\tableaux%202014\tableau%20n1.xlsx" TargetMode="External"/><Relationship Id="rId1" Type="http://schemas.openxmlformats.org/officeDocument/2006/relationships/themeOverride" Target="../theme/themeOverride1.xml"/></Relationships>
</file>

<file path=word/charts/_rels/chart2.xml.rels><?xml version='1.0' encoding='UTF-8' standalone='yes'?>
<Relationships xmlns="http://schemas.openxmlformats.org/package/2006/relationships"><Relationship Id="rId1" Type="http://schemas.openxmlformats.org/officeDocument/2006/relationships/oleObject" Target="http://www.cc.cec/tradesk/GUI/fileViewer/HR-2016-80006-00-00-PT-SRC-01.XLSX" TargetMode="External"/></Relationships>
</file>

<file path=word/charts/_rels/chart3.xml.rels><?xml version='1.0' encoding='UTF-8' standalone='yes'?>
<Relationships xmlns="http://schemas.openxmlformats.org/package/2006/relationships"><Relationship Id="rId2" Type="http://schemas.openxmlformats.org/officeDocument/2006/relationships/oleObject" Target="file:///\\net1.cec.eu.int\HR\B\1\HR_B1\GESTION%20PERSONNEL\05.15%20AC\16%20Divers\Rapport%20AC%20au%20Conseil\Rapport%202014-2015\2014\tableaux%202014\tableaux%20rapport%20AC%202014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'tableau n1'!$A$2</c:f>
              <c:strCache>
                <c:ptCount val="1"/>
                <c:pt idx="0">
                  <c:v>Effectifs</c:v>
                </c:pt>
              </c:strCache>
            </c:strRef>
          </c:tx>
          <c:invertIfNegative val="0"/>
          <c:cat>
            <c:numRef>
              <c:f>'tableau n1'!$B$1:$L$1</c:f>
              <c:numCache>
                <c:formatCode>General</c:formatCode>
                <c:ptCount val="11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</c:numCache>
            </c:numRef>
          </c:cat>
          <c:val>
            <c:numRef>
              <c:f>'tableau n1'!$B$2:$L$2</c:f>
              <c:numCache>
                <c:formatCode>General</c:formatCode>
                <c:ptCount val="11"/>
                <c:pt idx="0">
                  <c:v>514</c:v>
                </c:pt>
                <c:pt idx="1">
                  <c:v>2787</c:v>
                </c:pt>
                <c:pt idx="2">
                  <c:v>4966</c:v>
                </c:pt>
                <c:pt idx="3">
                  <c:v>5494</c:v>
                </c:pt>
                <c:pt idx="4">
                  <c:v>5756</c:v>
                </c:pt>
                <c:pt idx="5">
                  <c:v>6018</c:v>
                </c:pt>
                <c:pt idx="6">
                  <c:v>5979</c:v>
                </c:pt>
                <c:pt idx="7">
                  <c:v>5977</c:v>
                </c:pt>
                <c:pt idx="8">
                  <c:v>5921</c:v>
                </c:pt>
                <c:pt idx="9">
                  <c:v>5807</c:v>
                </c:pt>
                <c:pt idx="10">
                  <c:v>6440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2517248"/>
        <c:axId val="62518784"/>
      </c:barChart>
      <c:catAx>
        <c:axId val="62517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2518784"/>
        <c:crosses val="autoZero"/>
        <c:auto val="1"/>
        <c:lblAlgn val="ctr"/>
        <c:lblOffset val="100"/>
        <c:noMultiLvlLbl val="0"/>
      </c:catAx>
      <c:valAx>
        <c:axId val="62518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251724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'tableau 13'!$C$27</c:f>
              <c:strCache>
                <c:ptCount val="1"/>
                <c:pt idx="0">
                  <c:v>GFI</c:v>
                </c:pt>
              </c:strCache>
            </c:strRef>
          </c:tx>
          <c:invertIfNegative val="0"/>
          <c:cat>
            <c:strRef>
              <c:f>'tableau 13'!$B$28:$B$30</c:f>
              <c:strCache>
                <c:ptCount val="3"/>
                <c:pt idx="0">
                  <c:v>Agências descentralizadas</c:v>
                </c:pt>
                <c:pt idx="1">
                  <c:v>Empresas comuns e EIT</c:v>
                </c:pt>
                <c:pt idx="2">
                  <c:v>Agências de execução</c:v>
                </c:pt>
              </c:strCache>
            </c:strRef>
          </c:cat>
          <c:val>
            <c:numRef>
              <c:f>'tableau 13'!$C$28:$C$30</c:f>
              <c:numCache>
                <c:formatCode>0.0%</c:formatCode>
                <c:ptCount val="3"/>
                <c:pt idx="0">
                  <c:v>3.5714285714285712E-2</c:v>
                </c:pt>
                <c:pt idx="1">
                  <c:v>0</c:v>
                </c:pt>
                <c:pt idx="2">
                  <c:v>1.5597920277296361E-2</c:v>
                </c:pt>
              </c:numCache>
            </c:numRef>
          </c:val>
        </c:ser>
        <c:ser>
          <c:idx val="1"/>
          <c:order val="1"/>
          <c:tx>
            <c:strRef>
              <c:f>'tableau 13'!$D$27</c:f>
              <c:strCache>
                <c:ptCount val="1"/>
                <c:pt idx="0">
                  <c:v>GFII</c:v>
                </c:pt>
              </c:strCache>
            </c:strRef>
          </c:tx>
          <c:invertIfNegative val="0"/>
          <c:cat>
            <c:strRef>
              <c:f>'tableau 13'!$B$28:$B$30</c:f>
              <c:strCache>
                <c:ptCount val="3"/>
                <c:pt idx="0">
                  <c:v>Agências descentralizadas</c:v>
                </c:pt>
                <c:pt idx="1">
                  <c:v>Empresas comuns e EIT</c:v>
                </c:pt>
                <c:pt idx="2">
                  <c:v>Agências de execução</c:v>
                </c:pt>
              </c:strCache>
            </c:strRef>
          </c:cat>
          <c:val>
            <c:numRef>
              <c:f>'tableau 13'!$D$28:$D$30</c:f>
              <c:numCache>
                <c:formatCode>0.0%</c:formatCode>
                <c:ptCount val="3"/>
                <c:pt idx="0">
                  <c:v>0.28333333333333333</c:v>
                </c:pt>
                <c:pt idx="1">
                  <c:v>0.19444444444444445</c:v>
                </c:pt>
                <c:pt idx="2">
                  <c:v>0.26776429809358754</c:v>
                </c:pt>
              </c:numCache>
            </c:numRef>
          </c:val>
        </c:ser>
        <c:ser>
          <c:idx val="2"/>
          <c:order val="2"/>
          <c:tx>
            <c:strRef>
              <c:f>'tableau 13'!$E$27</c:f>
              <c:strCache>
                <c:ptCount val="1"/>
                <c:pt idx="0">
                  <c:v>GFIII</c:v>
                </c:pt>
              </c:strCache>
            </c:strRef>
          </c:tx>
          <c:invertIfNegative val="0"/>
          <c:cat>
            <c:strRef>
              <c:f>'tableau 13'!$B$28:$B$30</c:f>
              <c:strCache>
                <c:ptCount val="3"/>
                <c:pt idx="0">
                  <c:v>Agências descentralizadas</c:v>
                </c:pt>
                <c:pt idx="1">
                  <c:v>Empresas comuns e EIT</c:v>
                </c:pt>
                <c:pt idx="2">
                  <c:v>Agências de execução</c:v>
                </c:pt>
              </c:strCache>
            </c:strRef>
          </c:cat>
          <c:val>
            <c:numRef>
              <c:f>'tableau 13'!$E$28:$E$30</c:f>
              <c:numCache>
                <c:formatCode>0.0%</c:formatCode>
                <c:ptCount val="3"/>
                <c:pt idx="0">
                  <c:v>0.35396825396825399</c:v>
                </c:pt>
                <c:pt idx="1">
                  <c:v>0.31666666666666665</c:v>
                </c:pt>
                <c:pt idx="2">
                  <c:v>0.39428076256499134</c:v>
                </c:pt>
              </c:numCache>
            </c:numRef>
          </c:val>
        </c:ser>
        <c:ser>
          <c:idx val="3"/>
          <c:order val="3"/>
          <c:tx>
            <c:strRef>
              <c:f>'tableau 13'!$F$27</c:f>
              <c:strCache>
                <c:ptCount val="1"/>
                <c:pt idx="0">
                  <c:v>GFIV</c:v>
                </c:pt>
              </c:strCache>
            </c:strRef>
          </c:tx>
          <c:invertIfNegative val="0"/>
          <c:cat>
            <c:strRef>
              <c:f>'tableau 13'!$B$28:$B$30</c:f>
              <c:strCache>
                <c:ptCount val="3"/>
                <c:pt idx="0">
                  <c:v>Agências descentralizadas</c:v>
                </c:pt>
                <c:pt idx="1">
                  <c:v>Empresas comuns e EIT</c:v>
                </c:pt>
                <c:pt idx="2">
                  <c:v>Agências de execução</c:v>
                </c:pt>
              </c:strCache>
            </c:strRef>
          </c:cat>
          <c:val>
            <c:numRef>
              <c:f>'tableau 13'!$F$28:$F$30</c:f>
              <c:numCache>
                <c:formatCode>0.0%</c:formatCode>
                <c:ptCount val="3"/>
                <c:pt idx="0">
                  <c:v>0.32698412698412699</c:v>
                </c:pt>
                <c:pt idx="1">
                  <c:v>0.48888888888888887</c:v>
                </c:pt>
                <c:pt idx="2">
                  <c:v>0.32235701906412478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9470464"/>
        <c:axId val="69484544"/>
      </c:barChart>
      <c:catAx>
        <c:axId val="69470464"/>
        <c:scaling>
          <c:orientation val="minMax"/>
        </c:scaling>
        <c:delete val="0"/>
        <c:axPos val="b"/>
        <c:majorTickMark val="out"/>
        <c:minorTickMark val="none"/>
        <c:tickLblPos val="nextTo"/>
        <c:crossAx val="69484544"/>
        <c:crosses val="autoZero"/>
        <c:auto val="1"/>
        <c:lblAlgn val="ctr"/>
        <c:lblOffset val="100"/>
        <c:noMultiLvlLbl val="0"/>
      </c:catAx>
      <c:valAx>
        <c:axId val="69484544"/>
        <c:scaling>
          <c:orientation val="minMax"/>
          <c:max val="1"/>
        </c:scaling>
        <c:delete val="0"/>
        <c:axPos val="l"/>
        <c:majorGridlines/>
        <c:numFmt formatCode="0%" sourceLinked="0"/>
        <c:majorTickMark val="out"/>
        <c:minorTickMark val="none"/>
        <c:tickLblPos val="nextTo"/>
        <c:crossAx val="69470464"/>
        <c:crosses val="autoZero"/>
        <c:crossBetween val="between"/>
        <c:majorUnit val="0.2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'tableau 14'!$A$1:$A$27</c:f>
              <c:strCache>
                <c:ptCount val="27"/>
                <c:pt idx="0">
                  <c:v>IT</c:v>
                </c:pt>
                <c:pt idx="1">
                  <c:v>BE</c:v>
                </c:pt>
                <c:pt idx="2">
                  <c:v>ES</c:v>
                </c:pt>
                <c:pt idx="3">
                  <c:v>FR</c:v>
                </c:pt>
                <c:pt idx="4">
                  <c:v>PL</c:v>
                </c:pt>
                <c:pt idx="5">
                  <c:v>GR</c:v>
                </c:pt>
                <c:pt idx="6">
                  <c:v>RO</c:v>
                </c:pt>
                <c:pt idx="7">
                  <c:v>DE</c:v>
                </c:pt>
                <c:pt idx="8">
                  <c:v>PT</c:v>
                </c:pt>
                <c:pt idx="9">
                  <c:v>UK</c:v>
                </c:pt>
                <c:pt idx="10">
                  <c:v>BG</c:v>
                </c:pt>
                <c:pt idx="11">
                  <c:v>HU</c:v>
                </c:pt>
                <c:pt idx="12">
                  <c:v>NL</c:v>
                </c:pt>
                <c:pt idx="13">
                  <c:v>SE</c:v>
                </c:pt>
                <c:pt idx="14">
                  <c:v>FI</c:v>
                </c:pt>
                <c:pt idx="15">
                  <c:v>LT</c:v>
                </c:pt>
                <c:pt idx="16">
                  <c:v>SK</c:v>
                </c:pt>
                <c:pt idx="17">
                  <c:v>CZ</c:v>
                </c:pt>
                <c:pt idx="18">
                  <c:v>AT</c:v>
                </c:pt>
                <c:pt idx="19">
                  <c:v>IE</c:v>
                </c:pt>
                <c:pt idx="20">
                  <c:v>DK</c:v>
                </c:pt>
                <c:pt idx="21">
                  <c:v>EE</c:v>
                </c:pt>
                <c:pt idx="22">
                  <c:v>LV</c:v>
                </c:pt>
                <c:pt idx="23">
                  <c:v>Sl</c:v>
                </c:pt>
                <c:pt idx="24">
                  <c:v>LU</c:v>
                </c:pt>
                <c:pt idx="25">
                  <c:v>MT</c:v>
                </c:pt>
                <c:pt idx="26">
                  <c:v>CY</c:v>
                </c:pt>
              </c:strCache>
            </c:strRef>
          </c:cat>
          <c:val>
            <c:numRef>
              <c:f>'tableau 14'!$B$1:$B$27</c:f>
              <c:numCache>
                <c:formatCode>General</c:formatCode>
                <c:ptCount val="27"/>
                <c:pt idx="0">
                  <c:v>337</c:v>
                </c:pt>
                <c:pt idx="1">
                  <c:v>296</c:v>
                </c:pt>
                <c:pt idx="2">
                  <c:v>259</c:v>
                </c:pt>
                <c:pt idx="3">
                  <c:v>216</c:v>
                </c:pt>
                <c:pt idx="4">
                  <c:v>155</c:v>
                </c:pt>
                <c:pt idx="5">
                  <c:v>145</c:v>
                </c:pt>
                <c:pt idx="6">
                  <c:v>144</c:v>
                </c:pt>
                <c:pt idx="7">
                  <c:v>117</c:v>
                </c:pt>
                <c:pt idx="8">
                  <c:v>90</c:v>
                </c:pt>
                <c:pt idx="9">
                  <c:v>85</c:v>
                </c:pt>
                <c:pt idx="10">
                  <c:v>76</c:v>
                </c:pt>
                <c:pt idx="11">
                  <c:v>62</c:v>
                </c:pt>
                <c:pt idx="12">
                  <c:v>60</c:v>
                </c:pt>
                <c:pt idx="13">
                  <c:v>43</c:v>
                </c:pt>
                <c:pt idx="14">
                  <c:v>42</c:v>
                </c:pt>
                <c:pt idx="15">
                  <c:v>33</c:v>
                </c:pt>
                <c:pt idx="16">
                  <c:v>31</c:v>
                </c:pt>
                <c:pt idx="17">
                  <c:v>23</c:v>
                </c:pt>
                <c:pt idx="18">
                  <c:v>21</c:v>
                </c:pt>
                <c:pt idx="19">
                  <c:v>20</c:v>
                </c:pt>
                <c:pt idx="20">
                  <c:v>19</c:v>
                </c:pt>
                <c:pt idx="21">
                  <c:v>15</c:v>
                </c:pt>
                <c:pt idx="22">
                  <c:v>15</c:v>
                </c:pt>
                <c:pt idx="23">
                  <c:v>14</c:v>
                </c:pt>
                <c:pt idx="24">
                  <c:v>4</c:v>
                </c:pt>
                <c:pt idx="25">
                  <c:v>4</c:v>
                </c:pt>
                <c:pt idx="26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492096"/>
        <c:axId val="69506176"/>
      </c:barChart>
      <c:catAx>
        <c:axId val="69492096"/>
        <c:scaling>
          <c:orientation val="minMax"/>
        </c:scaling>
        <c:delete val="0"/>
        <c:axPos val="b"/>
        <c:majorTickMark val="out"/>
        <c:minorTickMark val="none"/>
        <c:tickLblPos val="nextTo"/>
        <c:crossAx val="69506176"/>
        <c:crosses val="autoZero"/>
        <c:auto val="1"/>
        <c:lblAlgn val="ctr"/>
        <c:lblOffset val="100"/>
        <c:noMultiLvlLbl val="0"/>
      </c:catAx>
      <c:valAx>
        <c:axId val="695061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949209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42B59-F2EE-4585-B10A-A3AC004ED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24</Pages>
  <Words>3165</Words>
  <Characters>15384</Characters>
  <Application>Microsoft Office Word</Application>
  <DocSecurity>0</DocSecurity>
  <Lines>809</Lines>
  <Paragraphs>686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34</cp:revision>
  <cp:lastPrinted>2016-07-15T10:20:00Z</cp:lastPrinted>
  <dcterms:created xsi:type="dcterms:W3CDTF">2016-06-15T07:49:00Z</dcterms:created>
  <dcterms:modified xsi:type="dcterms:W3CDTF">2016-08-08T11:46:00Z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t">
    <vt:lpwstr>1</vt:lpwstr>
  </property>
  <property fmtid="{D5CDD505-2E9C-101B-9397-08002B2CF9AE}" pid="3" name="Total parts">
    <vt:lpwstr>1</vt:lpwstr>
  </property>
  <property fmtid="{D5CDD505-2E9C-101B-9397-08002B2CF9AE}" pid="4" name="DocStatus">
    <vt:lpwstr>Green</vt:lpwstr>
  </property>
  <property fmtid="{D5CDD505-2E9C-101B-9397-08002B2CF9AE}" pid="5" name="Classification">
    <vt:lpwstr> </vt:lpwstr>
  </property>
  <property name="OP_sanitized" fmtid="{D5CDD505-2E9C-101B-9397-08002B2CF9AE}" pid="6">
    <vt:lpwstr>True</vt:lpwstr>
  </property>
</Properties>
</file>