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62" w:rsidRDefault="00AC3C13"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6D2C80DABEE4995A476EF21BC52C525" style="width:450.7pt;height:572.25pt">
            <v:imagedata r:id="rId9" o:title=""/>
          </v:shape>
        </w:pict>
      </w:r>
    </w:p>
    <w:p w:rsidR="00FA1E62" w:rsidRDefault="00FA1E62">
      <w:pPr>
        <w:spacing w:line="240" w:lineRule="auto"/>
        <w:rPr>
          <w:rFonts w:ascii="Times New Roman" w:hAnsi="Times New Roman"/>
          <w:noProof/>
        </w:rPr>
        <w:sectPr w:rsidR="00FA1E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1"/>
          <w:cols w:space="720"/>
          <w:docGrid w:linePitch="360"/>
        </w:sectPr>
      </w:pPr>
      <w:bookmarkStart w:id="1" w:name="_GoBack"/>
      <w:bookmarkEnd w:id="0"/>
      <w:bookmarkEnd w:id="1"/>
    </w:p>
    <w:tbl>
      <w:tblPr>
        <w:tblStyle w:val="TableGrid3"/>
        <w:tblW w:w="10188" w:type="dxa"/>
        <w:tblLook w:val="01E0" w:firstRow="1" w:lastRow="1" w:firstColumn="1" w:lastColumn="1" w:noHBand="0" w:noVBand="0"/>
      </w:tblPr>
      <w:tblGrid>
        <w:gridCol w:w="10188"/>
      </w:tblGrid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CCCCCC"/>
          </w:tcPr>
          <w:p w:rsidR="00FA1E62" w:rsidRDefault="00AC3C13">
            <w:pPr>
              <w:spacing w:before="60" w:after="60" w:line="240" w:lineRule="auto"/>
              <w:jc w:val="center"/>
              <w:rPr>
                <w:b/>
                <w:noProof/>
                <w:sz w:val="24"/>
                <w:szCs w:val="24"/>
              </w:rPr>
            </w:pPr>
            <w:bookmarkStart w:id="2" w:name="_Toc421891865"/>
            <w:r>
              <w:rPr>
                <w:b/>
                <w:noProof/>
                <w:sz w:val="24"/>
              </w:rPr>
              <w:lastRenderedPageBreak/>
              <w:t>Ficha de síntese</w:t>
            </w:r>
          </w:p>
        </w:tc>
      </w:tr>
      <w:tr w:rsidR="00FA1E62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FA1E62" w:rsidRDefault="00AC3C13">
            <w:pPr>
              <w:spacing w:before="120" w:after="12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color w:val="FFFFFF" w:themeColor="background1"/>
                <w:sz w:val="24"/>
              </w:rPr>
              <w:t>Avaliação de impacto sobre a proposta de regulamento relativo às titularizações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CCCCCC"/>
          </w:tcPr>
          <w:p w:rsidR="00FA1E62" w:rsidRDefault="00AC3C13">
            <w:pPr>
              <w:spacing w:before="60" w:after="60" w:line="240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A. Necessidade de medidas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E0E0E0"/>
          </w:tcPr>
          <w:p w:rsidR="00FA1E62" w:rsidRDefault="00AC3C13">
            <w:pPr>
              <w:spacing w:before="120" w:after="12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 xml:space="preserve">Porquê? Qual é o problema em causa? 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FA1E62" w:rsidRDefault="00AC3C13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Antes da crise, o mercado de titularização era um canal de financiamento em crescimento para a economia europeia. Este mercado evidenciou um comportamento satisfatório durante a crise, gerand</w:t>
            </w:r>
            <w:r>
              <w:rPr>
                <w:noProof/>
                <w:sz w:val="24"/>
              </w:rPr>
              <w:t>o perdas insignificantes. No entanto, a sua reputação pós-crise foi gravemente manchada por práticas e eventos que ocorreram noutros locais, sobretudo nos Estados Unidos. Este estigma reflete-se na perceção dos investidores do grau de risco da titularizaçã</w:t>
            </w:r>
            <w:r>
              <w:rPr>
                <w:noProof/>
                <w:sz w:val="24"/>
              </w:rPr>
              <w:t xml:space="preserve">o da UE, bem como no seu tratamento regulamentar, que foi calibrado principalmente à luz das perdas nos mercados dos EUA. Uma vez que essas perdas foram muito superiores às perdas registadas com titularizações na UE, estas últimas saíram prejudicadas pelo </w:t>
            </w:r>
            <w:r>
              <w:rPr>
                <w:noProof/>
                <w:sz w:val="24"/>
              </w:rPr>
              <w:t xml:space="preserve">tratamento regulamentar. </w:t>
            </w:r>
          </w:p>
          <w:p w:rsidR="00FA1E62" w:rsidRDefault="00AC3C13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Em consequência do estigma e do tratamento regulamentar, o mercado de titularização da UE está agora parado. Por conseguinte, perdeu-se um canal de financiamento para a economia da UE. Sem titularização, a capacidade dos bancos para vender ativos fica limi</w:t>
            </w:r>
            <w:r>
              <w:rPr>
                <w:noProof/>
                <w:sz w:val="24"/>
              </w:rPr>
              <w:t>tada. Por conseguinte, a necessidade atual de desalavancagem obriga frequentemente os bancos a reduzirem os respetivos balanços por via de uma redução da concessão de crédito. No contexto europeu, em que 80 % da intermediação financeira ocorre através de b</w:t>
            </w:r>
            <w:r>
              <w:rPr>
                <w:noProof/>
                <w:sz w:val="24"/>
              </w:rPr>
              <w:t xml:space="preserve">ancos, as implicações para o crescimento são substanciais. A recuperação sem crédito é morosa, abrandando o crescimento e a criação de emprego.  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FA1E62" w:rsidRDefault="00AC3C13">
            <w:pPr>
              <w:spacing w:before="120" w:after="12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 xml:space="preserve">O que se espera alcançar com esta iniciativa? 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FA1E62" w:rsidRDefault="00AC3C13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O objetivo geral da iniciativa é relançar um mercado de titul</w:t>
            </w:r>
            <w:r>
              <w:rPr>
                <w:noProof/>
                <w:sz w:val="24"/>
              </w:rPr>
              <w:t>arização seguro e que permita melhorar o financiamento da economia da UE, enfraquecendo a ligação entre a desalavancagem dos bancos e a restrição do crédito, a curto prazo, e criando uma estrutura de financiamento da economia da UE mais equilibrada e estáv</w:t>
            </w:r>
            <w:r>
              <w:rPr>
                <w:noProof/>
                <w:sz w:val="24"/>
              </w:rPr>
              <w:t>el, a longo prazo. Mais especificamente, tal deve ser alcançado através da diferenciação entre produtos de titularização simples, transparentes e normalizados (STS), que possam proporcionar um canal de financiamento sustentável para a economia da UE, e out</w:t>
            </w:r>
            <w:r>
              <w:rPr>
                <w:noProof/>
                <w:sz w:val="24"/>
              </w:rPr>
              <w:t>ros produtos desse tipo mais opacos e complexos. Em segundo lugar, importaria normalizar os processos e práticas nos mercados de titularização, bem como resolver as incoerências regulamentares. O grau de realização destes objetivos será medido em função da</w:t>
            </w:r>
            <w:r>
              <w:rPr>
                <w:noProof/>
                <w:sz w:val="24"/>
              </w:rPr>
              <w:t>s diferenças no preço e quantidades emitidas de STS face aos produtos que não são STS.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FA1E62" w:rsidRDefault="00AC3C13">
            <w:pPr>
              <w:spacing w:before="120" w:after="12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Qual é o valor acrescentado da ação a nível da UE?</w:t>
            </w:r>
            <w:r>
              <w:rPr>
                <w:noProof/>
                <w:sz w:val="24"/>
              </w:rPr>
              <w:t xml:space="preserve"> 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FA1E62" w:rsidRDefault="00AC3C13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Os produtos de titularização existem no quadro dos mercados financeiros da UE, que são abertos e integrados. A titu</w:t>
            </w:r>
            <w:r>
              <w:rPr>
                <w:noProof/>
                <w:sz w:val="24"/>
              </w:rPr>
              <w:t xml:space="preserve">larização associa diferentes instituições financeiras de diferentes Estados-Membros e países terceiros: frequentemente, os bancos originam os empréstimos que são titularizados, enquanto instituições financeiras como as seguradoras e fundos de investimento </w:t>
            </w:r>
            <w:r>
              <w:rPr>
                <w:noProof/>
                <w:sz w:val="24"/>
              </w:rPr>
              <w:t>investem nestes produtos, através das fronteiras europeias. Além disso, o quadro regulamentar relativo à titularização baseia-se, em grande medida, na legislação da UE. Por conseguinte, a diferenciação dos produtos STS só pode ser introduzida com uma inici</w:t>
            </w:r>
            <w:r>
              <w:rPr>
                <w:noProof/>
                <w:sz w:val="24"/>
              </w:rPr>
              <w:t>ativa a nível da UE.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CCCCCC"/>
          </w:tcPr>
          <w:p w:rsidR="00FA1E62" w:rsidRDefault="00AC3C13">
            <w:pPr>
              <w:spacing w:before="60" w:after="60" w:line="240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B. Soluções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FA1E62" w:rsidRDefault="00AC3C13">
            <w:pPr>
              <w:spacing w:before="120" w:after="12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Que opções legislativas e não legislativas foram ponderadas?</w:t>
            </w:r>
            <w:r>
              <w:rPr>
                <w:noProof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 xml:space="preserve">É dada preferência a alguma das opções? Porquê? 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FA1E62" w:rsidRDefault="00AC3C13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 xml:space="preserve">Foram ponderadas várias opções para introduzir critérios STS: adaptar o quadro regulamentar para refletir o </w:t>
            </w:r>
            <w:r>
              <w:rPr>
                <w:noProof/>
                <w:sz w:val="24"/>
              </w:rPr>
              <w:t xml:space="preserve">perfil de risco distinto dos produtos STS e normalizar os elementos constitutivos da legislação </w:t>
            </w:r>
            <w:r>
              <w:rPr>
                <w:noProof/>
                <w:sz w:val="24"/>
              </w:rPr>
              <w:lastRenderedPageBreak/>
              <w:t>em matéria de titularização (ou seja, definições, divulgação e requisitos de devida diligência). Em cada campo, foi ponderada uma opção de não ação, de ação não</w:t>
            </w:r>
            <w:r>
              <w:rPr>
                <w:noProof/>
                <w:sz w:val="24"/>
              </w:rPr>
              <w:t xml:space="preserve"> legislativa e de ação legislativa.</w:t>
            </w:r>
          </w:p>
          <w:p w:rsidR="00FA1E62" w:rsidRDefault="00AC3C13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 xml:space="preserve">Foi dada preferência à opção de uma ação legislativa para introduzir critérios STS, um quadro regulamentar diferenciado para os produtos STS e para normalizar os elementos constitutivos da legislação em matéria de </w:t>
            </w:r>
            <w:r>
              <w:rPr>
                <w:noProof/>
                <w:sz w:val="24"/>
              </w:rPr>
              <w:t>titularização (ou seja, definições, divulgação e requisitos de devida diligência). Esta opção deverá permitir a diferenciação e um tratamento regulamentar mais sensível ao risco do que acontece atualmente. Além disso, permitirá normalizar as disposições at</w:t>
            </w:r>
            <w:r>
              <w:rPr>
                <w:noProof/>
                <w:sz w:val="24"/>
              </w:rPr>
              <w:t xml:space="preserve">ualmente heterogéneas da legislação da UE quanto à definição de titularização, à divulgação e aos requisitos de devida diligência. Tudo isto deverá, por sua vez, possibilitar a inversão do estigma e incentivar o relançamento de um mercado de titularização </w:t>
            </w:r>
            <w:r>
              <w:rPr>
                <w:noProof/>
                <w:sz w:val="24"/>
              </w:rPr>
              <w:t>seguro e sustentável.</w:t>
            </w:r>
          </w:p>
        </w:tc>
      </w:tr>
      <w:tr w:rsidR="00FA1E62">
        <w:tc>
          <w:tcPr>
            <w:tcW w:w="10188" w:type="dxa"/>
            <w:shd w:val="clear" w:color="auto" w:fill="CCCCCC"/>
          </w:tcPr>
          <w:p w:rsidR="00FA1E62" w:rsidRDefault="00AC3C13">
            <w:pPr>
              <w:spacing w:before="120" w:after="12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lastRenderedPageBreak/>
              <w:t xml:space="preserve">Quem apoia cada uma das opções? </w:t>
            </w:r>
          </w:p>
        </w:tc>
      </w:tr>
      <w:tr w:rsidR="00FA1E62">
        <w:tc>
          <w:tcPr>
            <w:tcW w:w="10188" w:type="dxa"/>
            <w:shd w:val="clear" w:color="auto" w:fill="auto"/>
          </w:tcPr>
          <w:p w:rsidR="00FA1E62" w:rsidRDefault="00AC3C13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A grande maioria das partes interessadas apoia esta iniciativa. Não existem diferenças em termos de categoria dos inquiridos, na medida em que a grande maioria dos legisladores, bancos centrais, reguladores, autoridades de supervisão, intervenientes no mer</w:t>
            </w:r>
            <w:r>
              <w:rPr>
                <w:noProof/>
                <w:sz w:val="24"/>
              </w:rPr>
              <w:t xml:space="preserve">cado e grupos de reflexão apoiam a iniciativa. </w:t>
            </w:r>
          </w:p>
        </w:tc>
      </w:tr>
    </w:tbl>
    <w:p w:rsidR="00FA1E62" w:rsidRDefault="00FA1E62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tbl>
      <w:tblPr>
        <w:tblStyle w:val="TableGrid3"/>
        <w:tblW w:w="10188" w:type="dxa"/>
        <w:tblLook w:val="01E0" w:firstRow="1" w:lastRow="1" w:firstColumn="1" w:lastColumn="1" w:noHBand="0" w:noVBand="0"/>
      </w:tblPr>
      <w:tblGrid>
        <w:gridCol w:w="10188"/>
      </w:tblGrid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CCCCCC"/>
          </w:tcPr>
          <w:p w:rsidR="00FA1E62" w:rsidRDefault="00AC3C13">
            <w:pPr>
              <w:spacing w:before="60" w:after="60" w:line="240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C. Impactos da opção preferida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FA1E62" w:rsidRDefault="00AC3C13">
            <w:pPr>
              <w:spacing w:before="120" w:after="12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Quais são os benefícios da opção preferida (se existirem, caso contrário, quais são os principais benefícios)?</w:t>
            </w:r>
            <w:r>
              <w:rPr>
                <w:noProof/>
                <w:sz w:val="24"/>
              </w:rPr>
              <w:t xml:space="preserve"> 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FA1E62" w:rsidRDefault="00AC3C13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 xml:space="preserve">Na medida em que as políticas propostas irão criar um novo canal de financiamento para a economia da UE, menos dependente dos condicionalismos do setor bancário, reduzirão o efeito da crise financeira sobre a concessão de crédito e, por conseguinte, sobre </w:t>
            </w:r>
            <w:r>
              <w:rPr>
                <w:noProof/>
                <w:sz w:val="24"/>
              </w:rPr>
              <w:t>o crescimento e o emprego. Os custos sociais de tais crises serão reduzidos. Além disso, ao promoverem a propagação de estruturas de titularização cujos riscos podem ser analisados, entendidos e avaliados, as opções políticas analisadas promoverão um merca</w:t>
            </w:r>
            <w:r>
              <w:rPr>
                <w:noProof/>
                <w:sz w:val="24"/>
              </w:rPr>
              <w:t xml:space="preserve">do de titularização que conduzirá a um melhor financiamento da economia num contexto de estabilidade financeira. </w:t>
            </w:r>
          </w:p>
          <w:p w:rsidR="00FA1E62" w:rsidRDefault="00AC3C13">
            <w:pPr>
              <w:spacing w:after="0" w:line="240" w:lineRule="auto"/>
              <w:jc w:val="both"/>
              <w:rPr>
                <w:i/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Nada sugere que a política proposta terá qualquer impacto direto ou indireto sobre as questões ambientais.</w:t>
            </w:r>
            <w:r>
              <w:rPr>
                <w:i/>
                <w:noProof/>
                <w:sz w:val="24"/>
              </w:rPr>
              <w:t xml:space="preserve"> 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FA1E62" w:rsidRDefault="00AC3C13">
            <w:pPr>
              <w:spacing w:before="120" w:after="12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Quais são os custos da opção pref</w:t>
            </w:r>
            <w:r>
              <w:rPr>
                <w:b/>
                <w:noProof/>
                <w:sz w:val="24"/>
              </w:rPr>
              <w:t>erida (se existirem, caso contrário, quais são os principais custos)?</w:t>
            </w:r>
            <w:r>
              <w:rPr>
                <w:noProof/>
                <w:sz w:val="24"/>
              </w:rPr>
              <w:t xml:space="preserve"> 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FA1E62" w:rsidRDefault="00AC3C13">
            <w:pPr>
              <w:spacing w:after="0" w:line="240" w:lineRule="auto"/>
              <w:jc w:val="both"/>
              <w:rPr>
                <w:i/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Para além dos custos de adaptação ao novo quadro regulamentar para os participantes no mercado e autoridades públicas, não deverá existir qualquer custo social e económico relevante. N</w:t>
            </w:r>
            <w:r>
              <w:rPr>
                <w:noProof/>
                <w:sz w:val="24"/>
              </w:rPr>
              <w:t>ada sugere que a política proposta terá qualquer impacto direto ou indireto sobre as questões ambientais.</w:t>
            </w:r>
            <w:r>
              <w:rPr>
                <w:i/>
                <w:noProof/>
                <w:sz w:val="24"/>
              </w:rPr>
              <w:t xml:space="preserve"> 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FA1E62" w:rsidRDefault="00AC3C13">
            <w:pPr>
              <w:spacing w:before="120" w:after="12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 xml:space="preserve">Como serão afetadas as empresas, as PME e as microempresas? 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FA1E62" w:rsidRDefault="00AC3C13">
            <w:pPr>
              <w:spacing w:before="60" w:after="6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As opções políticas escolhidas deverão ter vários efeitos positivos sobre o financiame</w:t>
            </w:r>
            <w:r>
              <w:rPr>
                <w:noProof/>
                <w:sz w:val="24"/>
              </w:rPr>
              <w:t>nto das PME. Em primeiro lugar, a inclusão de titularizações a curto prazo como os ABCP no quadro das titularizações STS, com uma consequente melhoria no respetivo tratamento em termos de capital regulamentar, deverá fomentar o crescimento desta importante</w:t>
            </w:r>
            <w:r>
              <w:rPr>
                <w:noProof/>
                <w:sz w:val="24"/>
              </w:rPr>
              <w:t xml:space="preserve"> fonte de financiamento para as PME. </w:t>
            </w:r>
          </w:p>
          <w:p w:rsidR="00FA1E62" w:rsidRDefault="00AC3C13">
            <w:pPr>
              <w:spacing w:before="60" w:after="6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 xml:space="preserve">Em segundo lugar, a iniciativa deve fornecer aos bancos uma ferramenta para a transferência de risco dos respetivos balanços. Por conseguinte, o capital libertado poderá ser cada vez mais utilizado pelos bancos para a </w:t>
            </w:r>
            <w:r>
              <w:rPr>
                <w:noProof/>
                <w:sz w:val="24"/>
              </w:rPr>
              <w:t>concessão de novos créditos às famílias e empresas, que na UE são, na sua maioria, PME.</w:t>
            </w:r>
          </w:p>
          <w:p w:rsidR="00FA1E62" w:rsidRDefault="00AC3C13">
            <w:pPr>
              <w:spacing w:before="60" w:after="60" w:line="240" w:lineRule="auto"/>
              <w:jc w:val="both"/>
              <w:rPr>
                <w:i/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 xml:space="preserve">Por último, ao introduzir um quadro de titularização da UE único e coerente e incentivar os participantes no mercado a desenvolverem uma maior normalização, a </w:t>
            </w:r>
            <w:r>
              <w:rPr>
                <w:noProof/>
                <w:sz w:val="24"/>
              </w:rPr>
              <w:t xml:space="preserve">iniciativa deverá reduzir os </w:t>
            </w:r>
            <w:r>
              <w:rPr>
                <w:noProof/>
                <w:sz w:val="24"/>
              </w:rPr>
              <w:lastRenderedPageBreak/>
              <w:t>custos operacionais das titularizações. Uma vez que no caso da titularização de empréstimos a PME esses custos tendem a ser mais elevados do que a média, a sua queda terá efeitos especialmente benéficos no custo do crédito para</w:t>
            </w:r>
            <w:r>
              <w:rPr>
                <w:noProof/>
                <w:sz w:val="24"/>
              </w:rPr>
              <w:t xml:space="preserve"> as PME.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FA1E62" w:rsidRDefault="00AC3C13">
            <w:pPr>
              <w:spacing w:before="120" w:after="120" w:line="240" w:lineRule="auto"/>
              <w:jc w:val="both"/>
              <w:rPr>
                <w:b/>
                <w:i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lastRenderedPageBreak/>
              <w:t>O impacto nos orçamentos e administrações públicas nacionais será significativo?</w:t>
            </w:r>
            <w:r>
              <w:rPr>
                <w:noProof/>
                <w:sz w:val="24"/>
              </w:rPr>
              <w:t xml:space="preserve"> </w:t>
            </w:r>
          </w:p>
        </w:tc>
      </w:tr>
      <w:tr w:rsidR="00FA1E62">
        <w:tc>
          <w:tcPr>
            <w:tcW w:w="10188" w:type="dxa"/>
            <w:shd w:val="clear" w:color="auto" w:fill="auto"/>
          </w:tcPr>
          <w:p w:rsidR="00FA1E62" w:rsidRDefault="00AC3C13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Não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FA1E62" w:rsidRDefault="00AC3C13">
            <w:pPr>
              <w:spacing w:before="120" w:after="12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Haverá outros impactos significativos?</w:t>
            </w:r>
            <w:r>
              <w:rPr>
                <w:noProof/>
                <w:sz w:val="24"/>
              </w:rPr>
              <w:t xml:space="preserve"> 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FA1E62" w:rsidRDefault="00AC3C13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Não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C0C0C0"/>
          </w:tcPr>
          <w:p w:rsidR="00FA1E62" w:rsidRDefault="00AC3C13">
            <w:pPr>
              <w:spacing w:before="60" w:after="60" w:line="240" w:lineRule="auto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D. Seguimento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FA1E62" w:rsidRDefault="00AC3C13">
            <w:pPr>
              <w:spacing w:before="120" w:after="12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 xml:space="preserve">Quando será revista a política? </w:t>
            </w:r>
          </w:p>
        </w:tc>
      </w:tr>
      <w:tr w:rsidR="00FA1E62"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FA1E62" w:rsidRDefault="00AC3C13">
            <w:pPr>
              <w:spacing w:after="0" w:line="240" w:lineRule="auto"/>
              <w:jc w:val="both"/>
              <w:rPr>
                <w:b/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 xml:space="preserve">A futura legislação será objeto de uma avaliação completa </w:t>
            </w:r>
            <w:r>
              <w:rPr>
                <w:noProof/>
                <w:sz w:val="24"/>
              </w:rPr>
              <w:t>(cerca de 4 anos após o seu prazo de entrada em vigor) a fim de avaliar, nomeadamente, a sua eficácia e eficiência em termos de realização dos objetivos apresentados no presente relatório e de decidir se serão necessárias novas medidas ou alterações das me</w:t>
            </w:r>
            <w:r>
              <w:rPr>
                <w:noProof/>
                <w:sz w:val="24"/>
              </w:rPr>
              <w:t>didas em vigor.</w:t>
            </w:r>
          </w:p>
        </w:tc>
      </w:tr>
      <w:bookmarkEnd w:id="2"/>
    </w:tbl>
    <w:p w:rsidR="00FA1E62" w:rsidRDefault="00FA1E62">
      <w:pPr>
        <w:spacing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sectPr w:rsidR="00FA1E6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849" w:bottom="1417" w:left="1417" w:header="708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62" w:rsidRDefault="00AC3C13">
      <w:pPr>
        <w:spacing w:after="0" w:line="240" w:lineRule="auto"/>
      </w:pPr>
      <w:r>
        <w:separator/>
      </w:r>
    </w:p>
  </w:endnote>
  <w:endnote w:type="continuationSeparator" w:id="0">
    <w:p w:rsidR="00FA1E62" w:rsidRDefault="00AC3C13">
      <w:pPr>
        <w:spacing w:after="0" w:line="240" w:lineRule="auto"/>
      </w:pPr>
      <w:r>
        <w:continuationSeparator/>
      </w:r>
    </w:p>
  </w:endnote>
  <w:endnote w:type="continuationNotice" w:id="1">
    <w:p w:rsidR="00FA1E62" w:rsidRDefault="00FA1E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62" w:rsidRDefault="00FA1E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62" w:rsidRDefault="00AC3C13"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proofErr w:type="spellStart"/>
    <w:r>
      <w:rPr>
        <w:rFonts w:ascii="Arial" w:hAnsi="Arial" w:cs="Arial"/>
        <w:b/>
        <w:sz w:val="48"/>
      </w:rPr>
      <w:t>PT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62" w:rsidRDefault="00FA1E62"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62" w:rsidRDefault="00FA1E62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62" w:rsidRDefault="00AC3C1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FA1E62" w:rsidRDefault="00FA1E62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62" w:rsidRDefault="00FA1E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62" w:rsidRDefault="00AC3C13">
      <w:pPr>
        <w:spacing w:after="0" w:line="240" w:lineRule="auto"/>
      </w:pPr>
      <w:r>
        <w:separator/>
      </w:r>
    </w:p>
  </w:footnote>
  <w:footnote w:type="continuationSeparator" w:id="0">
    <w:p w:rsidR="00FA1E62" w:rsidRDefault="00AC3C13">
      <w:pPr>
        <w:spacing w:after="0" w:line="240" w:lineRule="auto"/>
      </w:pPr>
      <w:r>
        <w:continuationSeparator/>
      </w:r>
    </w:p>
  </w:footnote>
  <w:footnote w:type="continuationNotice" w:id="1">
    <w:p w:rsidR="00FA1E62" w:rsidRDefault="00FA1E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62" w:rsidRDefault="00FA1E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62" w:rsidRDefault="00FA1E62"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62" w:rsidRDefault="00FA1E62"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62" w:rsidRDefault="00FA1E6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62" w:rsidRDefault="00FA1E62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62" w:rsidRDefault="00FA1E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3BB"/>
    <w:multiLevelType w:val="singleLevel"/>
    <w:tmpl w:val="B77A568C"/>
    <w:lvl w:ilvl="0">
      <w:start w:val="1"/>
      <w:numFmt w:val="bullet"/>
      <w:pStyle w:val="ListDash4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1">
    <w:nsid w:val="0CFE274F"/>
    <w:multiLevelType w:val="singleLevel"/>
    <w:tmpl w:val="7F461434"/>
    <w:lvl w:ilvl="0">
      <w:start w:val="1"/>
      <w:numFmt w:val="bullet"/>
      <w:pStyle w:val="ListBullet4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2">
    <w:nsid w:val="18BE6CBF"/>
    <w:multiLevelType w:val="singleLevel"/>
    <w:tmpl w:val="268AE5F4"/>
    <w:lvl w:ilvl="0">
      <w:start w:val="1"/>
      <w:numFmt w:val="bullet"/>
      <w:pStyle w:val="ListBullet8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3">
    <w:nsid w:val="1F734306"/>
    <w:multiLevelType w:val="multilevel"/>
    <w:tmpl w:val="0970566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numFmt w:val="none"/>
      <w:pStyle w:val="Heading3"/>
      <w:lvlText w:val=""/>
      <w:lvlJc w:val="left"/>
      <w:pPr>
        <w:tabs>
          <w:tab w:val="num" w:pos="360"/>
        </w:tabs>
      </w:pPr>
    </w:lvl>
    <w:lvl w:ilvl="3">
      <w:numFmt w:val="decimal"/>
      <w:pStyle w:val="Heading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6C541C"/>
    <w:multiLevelType w:val="singleLevel"/>
    <w:tmpl w:val="5A7CD0F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5">
    <w:nsid w:val="27C72F08"/>
    <w:multiLevelType w:val="multilevel"/>
    <w:tmpl w:val="589CDCAC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7E66849"/>
    <w:multiLevelType w:val="singleLevel"/>
    <w:tmpl w:val="0F5A4A9E"/>
    <w:lvl w:ilvl="0">
      <w:start w:val="1"/>
      <w:numFmt w:val="bullet"/>
      <w:pStyle w:val="ListBullet5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7">
    <w:nsid w:val="2A316646"/>
    <w:multiLevelType w:val="multilevel"/>
    <w:tmpl w:val="E7D2FDB4"/>
    <w:lvl w:ilvl="0">
      <w:start w:val="1"/>
      <w:numFmt w:val="decimal"/>
      <w:pStyle w:val="ListNumber1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F436774"/>
    <w:multiLevelType w:val="singleLevel"/>
    <w:tmpl w:val="CE16C822"/>
    <w:lvl w:ilvl="0">
      <w:start w:val="1"/>
      <w:numFmt w:val="bullet"/>
      <w:pStyle w:val="ListBullet1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9">
    <w:nsid w:val="30A7464F"/>
    <w:multiLevelType w:val="multilevel"/>
    <w:tmpl w:val="0686B1B6"/>
    <w:lvl w:ilvl="0">
      <w:start w:val="1"/>
      <w:numFmt w:val="decimal"/>
      <w:pStyle w:val="ListNumber8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8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8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8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4670ADC"/>
    <w:multiLevelType w:val="multilevel"/>
    <w:tmpl w:val="CBA63D2A"/>
    <w:lvl w:ilvl="0">
      <w:start w:val="1"/>
      <w:numFmt w:val="decimal"/>
      <w:pStyle w:val="ListNumber6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6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6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6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66C7E5E"/>
    <w:multiLevelType w:val="singleLevel"/>
    <w:tmpl w:val="14185DC6"/>
    <w:lvl w:ilvl="0">
      <w:start w:val="1"/>
      <w:numFmt w:val="bullet"/>
      <w:pStyle w:val="ListBullet2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12">
    <w:nsid w:val="366E5DB2"/>
    <w:multiLevelType w:val="multilevel"/>
    <w:tmpl w:val="2388A454"/>
    <w:lvl w:ilvl="0">
      <w:start w:val="1"/>
      <w:numFmt w:val="decimal"/>
      <w:pStyle w:val="ListNumber2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6CD10E0"/>
    <w:multiLevelType w:val="singleLevel"/>
    <w:tmpl w:val="87A8B6B4"/>
    <w:lvl w:ilvl="0">
      <w:start w:val="1"/>
      <w:numFmt w:val="bullet"/>
      <w:pStyle w:val="ListDash7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14">
    <w:nsid w:val="50227369"/>
    <w:multiLevelType w:val="hybridMultilevel"/>
    <w:tmpl w:val="C2D88122"/>
    <w:lvl w:ilvl="0" w:tplc="4A2A8390">
      <w:start w:val="1"/>
      <w:numFmt w:val="decimal"/>
      <w:pStyle w:val="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B6CA5"/>
    <w:multiLevelType w:val="singleLevel"/>
    <w:tmpl w:val="0EFACC46"/>
    <w:lvl w:ilvl="0">
      <w:start w:val="1"/>
      <w:numFmt w:val="bullet"/>
      <w:pStyle w:val="ListDash8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16">
    <w:nsid w:val="59E74131"/>
    <w:multiLevelType w:val="singleLevel"/>
    <w:tmpl w:val="2B20B78E"/>
    <w:lvl w:ilvl="0">
      <w:start w:val="1"/>
      <w:numFmt w:val="bullet"/>
      <w:pStyle w:val="ListBullet7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17">
    <w:nsid w:val="5A036134"/>
    <w:multiLevelType w:val="multilevel"/>
    <w:tmpl w:val="22EE6080"/>
    <w:lvl w:ilvl="0">
      <w:start w:val="1"/>
      <w:numFmt w:val="decimal"/>
      <w:pStyle w:val="ListNumber5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5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5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5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A2516BD"/>
    <w:multiLevelType w:val="singleLevel"/>
    <w:tmpl w:val="6B9A636E"/>
    <w:lvl w:ilvl="0">
      <w:start w:val="1"/>
      <w:numFmt w:val="bullet"/>
      <w:pStyle w:val="ListDash1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19">
    <w:nsid w:val="5AED7CC1"/>
    <w:multiLevelType w:val="multilevel"/>
    <w:tmpl w:val="3FE20CA8"/>
    <w:lvl w:ilvl="0">
      <w:start w:val="1"/>
      <w:numFmt w:val="decimal"/>
      <w:pStyle w:val="ListNumber3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BCE2673"/>
    <w:multiLevelType w:val="singleLevel"/>
    <w:tmpl w:val="1AE4F9D4"/>
    <w:lvl w:ilvl="0">
      <w:start w:val="1"/>
      <w:numFmt w:val="bullet"/>
      <w:pStyle w:val="ListDash5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21">
    <w:nsid w:val="5FBB6008"/>
    <w:multiLevelType w:val="hybridMultilevel"/>
    <w:tmpl w:val="982C65BC"/>
    <w:lvl w:ilvl="0" w:tplc="B4E0A286">
      <w:start w:val="1"/>
      <w:numFmt w:val="bullet"/>
      <w:pStyle w:val="Bulletpoin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 w:tplc="B602E818">
      <w:start w:val="1"/>
      <w:numFmt w:val="bullet"/>
      <w:lvlText w:val="–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1B7AB5"/>
    <w:multiLevelType w:val="singleLevel"/>
    <w:tmpl w:val="36C0E208"/>
    <w:lvl w:ilvl="0">
      <w:start w:val="1"/>
      <w:numFmt w:val="bullet"/>
      <w:pStyle w:val="ListDash3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23">
    <w:nsid w:val="624241D6"/>
    <w:multiLevelType w:val="singleLevel"/>
    <w:tmpl w:val="ED569D6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4">
    <w:nsid w:val="63225EEB"/>
    <w:multiLevelType w:val="multilevel"/>
    <w:tmpl w:val="CD7E0C86"/>
    <w:lvl w:ilvl="0">
      <w:start w:val="1"/>
      <w:numFmt w:val="decimal"/>
      <w:pStyle w:val="ListNumber4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6A8F44DF"/>
    <w:multiLevelType w:val="singleLevel"/>
    <w:tmpl w:val="B5D41388"/>
    <w:lvl w:ilvl="0">
      <w:start w:val="1"/>
      <w:numFmt w:val="bullet"/>
      <w:pStyle w:val="ListDash2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26">
    <w:nsid w:val="6D87223D"/>
    <w:multiLevelType w:val="singleLevel"/>
    <w:tmpl w:val="533212EA"/>
    <w:lvl w:ilvl="0">
      <w:start w:val="1"/>
      <w:numFmt w:val="bullet"/>
      <w:pStyle w:val="ListBullet3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27">
    <w:nsid w:val="6F62497F"/>
    <w:multiLevelType w:val="singleLevel"/>
    <w:tmpl w:val="54E2F4D6"/>
    <w:lvl w:ilvl="0">
      <w:start w:val="1"/>
      <w:numFmt w:val="bullet"/>
      <w:pStyle w:val="ListDash6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28">
    <w:nsid w:val="71941C00"/>
    <w:multiLevelType w:val="singleLevel"/>
    <w:tmpl w:val="740C8B34"/>
    <w:lvl w:ilvl="0">
      <w:start w:val="1"/>
      <w:numFmt w:val="bullet"/>
      <w:pStyle w:val="ListBullet6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29">
    <w:nsid w:val="7F4F4A65"/>
    <w:multiLevelType w:val="multilevel"/>
    <w:tmpl w:val="6A20B96E"/>
    <w:lvl w:ilvl="0">
      <w:start w:val="1"/>
      <w:numFmt w:val="decimal"/>
      <w:pStyle w:val="ListNumber7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7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7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7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3"/>
  </w:num>
  <w:num w:numId="3">
    <w:abstractNumId w:val="21"/>
  </w:num>
  <w:num w:numId="4">
    <w:abstractNumId w:val="23"/>
  </w:num>
  <w:num w:numId="5">
    <w:abstractNumId w:val="8"/>
  </w:num>
  <w:num w:numId="6">
    <w:abstractNumId w:val="11"/>
  </w:num>
  <w:num w:numId="7">
    <w:abstractNumId w:val="26"/>
  </w:num>
  <w:num w:numId="8">
    <w:abstractNumId w:val="1"/>
  </w:num>
  <w:num w:numId="9">
    <w:abstractNumId w:val="6"/>
  </w:num>
  <w:num w:numId="10">
    <w:abstractNumId w:val="28"/>
  </w:num>
  <w:num w:numId="11">
    <w:abstractNumId w:val="16"/>
  </w:num>
  <w:num w:numId="12">
    <w:abstractNumId w:val="2"/>
  </w:num>
  <w:num w:numId="13">
    <w:abstractNumId w:val="4"/>
  </w:num>
  <w:num w:numId="14">
    <w:abstractNumId w:val="18"/>
  </w:num>
  <w:num w:numId="15">
    <w:abstractNumId w:val="25"/>
  </w:num>
  <w:num w:numId="16">
    <w:abstractNumId w:val="22"/>
  </w:num>
  <w:num w:numId="17">
    <w:abstractNumId w:val="0"/>
  </w:num>
  <w:num w:numId="18">
    <w:abstractNumId w:val="20"/>
  </w:num>
  <w:num w:numId="19">
    <w:abstractNumId w:val="27"/>
  </w:num>
  <w:num w:numId="20">
    <w:abstractNumId w:val="13"/>
  </w:num>
  <w:num w:numId="21">
    <w:abstractNumId w:val="15"/>
  </w:num>
  <w:num w:numId="22">
    <w:abstractNumId w:val="5"/>
  </w:num>
  <w:num w:numId="23">
    <w:abstractNumId w:val="7"/>
  </w:num>
  <w:num w:numId="24">
    <w:abstractNumId w:val="12"/>
  </w:num>
  <w:num w:numId="25">
    <w:abstractNumId w:val="19"/>
  </w:num>
  <w:num w:numId="26">
    <w:abstractNumId w:val="24"/>
  </w:num>
  <w:num w:numId="27">
    <w:abstractNumId w:val="17"/>
  </w:num>
  <w:num w:numId="28">
    <w:abstractNumId w:val="10"/>
  </w:num>
  <w:num w:numId="29">
    <w:abstractNumId w:val="29"/>
  </w:num>
  <w:num w:numId="30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attachedTemplate r:id="rId1"/>
  <w:doNotTrackMove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VERPAGE_EXISTS" w:val="True"/>
    <w:docVar w:name="DocStatus" w:val="Green"/>
    <w:docVar w:name="LW_ACCOMPAGNANT.CP" w:val="que acompanha o documento"/>
    <w:docVar w:name="LW_CONFIDENCE" w:val=" "/>
    <w:docVar w:name="LW_CONST_RESTREINT_UE" w:val="RESTREINT UE"/>
    <w:docVar w:name="LW_CORRIGENDUM" w:val="&lt;UNUSED&gt;"/>
    <w:docVar w:name="LW_COVERPAGE_GUID" w:val="D6D2C80DABEE4995A476EF21BC52C525"/>
    <w:docVar w:name="LW_CROSSREFERENCE" w:val="{COM(2015) 472 final}_x000b_{SWD(2015) 185 final}"/>
    <w:docVar w:name="LW_DocType" w:val="NORMAL"/>
    <w:docVar w:name="LW_EMISSION" w:val="30.9.2015"/>
    <w:docVar w:name="LW_EMISSION_ISODATE" w:val="2015-09-30"/>
    <w:docVar w:name="LW_EMISSION_LOCATION" w:val="BRX"/>
    <w:docVar w:name="LW_EMISSION_PREFIX" w:val="Bruxelas, "/>
    <w:docVar w:name="LW_EMISSION_SUFFIX" w:val=" "/>
    <w:docVar w:name="LW_ID_DOCTYPE_NONLW" w:val="CP-027"/>
    <w:docVar w:name="LW_LANGUE" w:val="PT"/>
    <w:docVar w:name="LW_MARKING" w:val="&lt;UNUSED&gt;"/>
    <w:docVar w:name="LW_NOM.INST" w:val="COMISSÃO EUROPEIA"/>
    <w:docVar w:name="LW_NOM.INST_JOINTDOC" w:val="&lt;EMPTY&gt;"/>
    <w:docVar w:name="LW_OBJETACTEPRINCIPAL.CP" w:val="que estabelece regras comuns para a titularização e cria um quadro europeu para a titularização simples, transparente e normalizada e que altera as diretivas 2009/65/CE, 2009/138/CE, 2011/61/UE e os Regulamentos (CE) n.º 1060/2009 e (UE) n.º 648/2012_x000b__x000b_e_x000b__x000b_Proposta de_x000b__x000b_REGULAMENTO DO PARLAMENTO EUROPEU E DO CONSELHO_x000b__x000b_que altera o Regulamento (UE) N.º 575/2013 relativo aos requisitos prudenciais para as instituições de crédito e as empresas de investimento"/>
    <w:docVar w:name="LW_PART_NBR" w:val="1"/>
    <w:docVar w:name="LW_PART_NBR_TOTAL" w:val="1"/>
    <w:docVar w:name="LW_REF.INST.NEW" w:val="SWD"/>
    <w:docVar w:name="LW_REF.INST.NEW_ADOPTED" w:val="final"/>
    <w:docVar w:name="LW_REF.INST.NEW_TEXT" w:val="(2015) 186"/>
    <w:docVar w:name="LW_REF.INTERNE" w:val="&lt;UNUSED&gt;"/>
    <w:docVar w:name="LW_SUPERTITRE" w:val="&lt;UNUSED&gt;"/>
    <w:docVar w:name="LW_TITRE.OBJ.CP" w:val="&lt;UNUSED&gt;"/>
    <w:docVar w:name="LW_TYPE.DOC.CP" w:val="DOCUMENTO DE TRABALHO DOS SERVIÇOS DA COMISSÃO_x000b__x000b_SÍNTESE DA AVALIAÇÃO DE IMPACTO_x000b_"/>
    <w:docVar w:name="LW_TYPEACTEPRINCIPAL.CP" w:val="Proposta de_x000b__x000b_REGULAMENTO DO PARLAMENTO EUROPEU E DO CONSELHO"/>
  </w:docVars>
  <w:rsids>
    <w:rsidRoot w:val="00FA1E62"/>
    <w:rsid w:val="00AC3C13"/>
    <w:rsid w:val="00FA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pt-P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Pr>
      <w:lang w:eastAsia="pt-PT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normal,Fußnotenzeichen3,Normal1,fr,SUPERS,EN Footnote Reference,number,ftref"/>
    <w:uiPriority w:val="99"/>
    <w:unhideWhenUsed/>
    <w:qFormat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eastAsia="pt-P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pt-PT"/>
    </w:rPr>
  </w:style>
  <w:style w:type="paragraph" w:customStyle="1" w:styleId="numberedparagraph">
    <w:name w:val="numbered paragraph"/>
    <w:basedOn w:val="Normal"/>
    <w:qFormat/>
    <w:pPr>
      <w:numPr>
        <w:numId w:val="1"/>
      </w:numPr>
      <w:spacing w:before="240" w:after="120"/>
      <w:jc w:val="both"/>
    </w:pPr>
    <w:rPr>
      <w:rFonts w:eastAsia="MS PGothic"/>
      <w:szCs w:val="24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pt-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pt-PT"/>
    </w:rPr>
  </w:style>
  <w:style w:type="table" w:styleId="TableGrid">
    <w:name w:val="Table Grid"/>
    <w:basedOn w:val="TableNormal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tandard3520normal">
    <w:name w:val="a_standard__35__20_normal"/>
    <w:basedOn w:val="Normal"/>
    <w:pPr>
      <w:spacing w:after="120" w:line="240" w:lineRule="auto"/>
      <w:ind w:right="57"/>
      <w:jc w:val="both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Pr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Pr>
      <w:rFonts w:ascii="Times New Roman" w:eastAsia="Times New Roman" w:hAnsi="Times New Roman"/>
      <w:b/>
      <w:sz w:val="24"/>
      <w:lang w:val="pt-PT" w:eastAsia="pt-PT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/>
      <w:i/>
      <w:sz w:val="24"/>
      <w:lang w:eastAsia="pt-PT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/>
      <w:sz w:val="24"/>
      <w:lang w:eastAsia="pt-PT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  <w:szCs w:val="28"/>
    </w:rPr>
  </w:style>
  <w:style w:type="character" w:customStyle="1" w:styleId="FooterCoverPageChar">
    <w:name w:val="Footer Cover Page Char"/>
    <w:link w:val="FooterCoverPage"/>
    <w:rPr>
      <w:rFonts w:ascii="Times New Roman" w:hAnsi="Times New Roman"/>
      <w:sz w:val="24"/>
      <w:szCs w:val="28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  <w:szCs w:val="28"/>
    </w:rPr>
  </w:style>
  <w:style w:type="character" w:customStyle="1" w:styleId="HeaderCoverPageChar">
    <w:name w:val="Header Cover Page Char"/>
    <w:link w:val="HeaderCoverPage"/>
    <w:rPr>
      <w:rFonts w:ascii="Times New Roman" w:hAnsi="Times New Roman"/>
      <w:sz w:val="24"/>
      <w:szCs w:val="28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pt-PT"/>
    </w:rPr>
  </w:style>
  <w:style w:type="paragraph" w:styleId="TOCHeading">
    <w:name w:val="TOC Heading"/>
    <w:basedOn w:val="Normal"/>
    <w:next w:val="Normal"/>
    <w:qFormat/>
    <w:pPr>
      <w:keepNext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styleId="TOC1">
    <w:name w:val="toc 1"/>
    <w:basedOn w:val="Normal"/>
    <w:next w:val="Normal"/>
    <w:pPr>
      <w:tabs>
        <w:tab w:val="right" w:leader="dot" w:pos="8640"/>
      </w:tabs>
      <w:spacing w:before="120" w:after="120" w:line="240" w:lineRule="auto"/>
      <w:ind w:left="1440" w:right="720" w:hanging="1440"/>
      <w:jc w:val="both"/>
    </w:pPr>
    <w:rPr>
      <w:rFonts w:ascii="Times New Roman" w:eastAsia="Times New Roman" w:hAnsi="Times New Roman"/>
      <w:caps/>
      <w:sz w:val="24"/>
      <w:szCs w:val="20"/>
    </w:rPr>
  </w:style>
  <w:style w:type="paragraph" w:styleId="TOC2">
    <w:name w:val="toc 2"/>
    <w:basedOn w:val="Normal"/>
    <w:next w:val="Normal"/>
    <w:pPr>
      <w:tabs>
        <w:tab w:val="right" w:leader="dot" w:pos="8640"/>
      </w:tabs>
      <w:spacing w:before="60" w:after="60" w:line="240" w:lineRule="auto"/>
      <w:ind w:left="1440" w:right="720" w:hanging="1440"/>
      <w:jc w:val="both"/>
    </w:pPr>
    <w:rPr>
      <w:rFonts w:ascii="Times New Roman" w:eastAsia="Times New Roman" w:hAnsi="Times New Roman"/>
      <w:sz w:val="24"/>
      <w:szCs w:val="20"/>
    </w:rPr>
  </w:style>
  <w:style w:type="paragraph" w:styleId="TOC3">
    <w:name w:val="toc 3"/>
    <w:basedOn w:val="Normal"/>
    <w:next w:val="Normal"/>
    <w:pPr>
      <w:tabs>
        <w:tab w:val="right" w:leader="dot" w:pos="8640"/>
      </w:tabs>
      <w:spacing w:before="60" w:after="60" w:line="240" w:lineRule="auto"/>
      <w:ind w:left="1440" w:right="720" w:hanging="1440"/>
      <w:jc w:val="both"/>
    </w:pPr>
    <w:rPr>
      <w:rFonts w:ascii="Times New Roman" w:eastAsia="Times New Roman" w:hAnsi="Times New Roman"/>
      <w:sz w:val="24"/>
      <w:szCs w:val="20"/>
    </w:rPr>
  </w:style>
  <w:style w:type="table" w:customStyle="1" w:styleId="TableGrid3">
    <w:name w:val="Table Grid3"/>
    <w:basedOn w:val="TableNormal"/>
    <w:next w:val="TableGri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">
    <w:name w:val="Contact"/>
    <w:basedOn w:val="Normal"/>
    <w:next w:val="Normal"/>
    <w:pPr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</w:rPr>
  </w:style>
  <w:style w:type="paragraph" w:styleId="ListBullet">
    <w:name w:val="List Bullet"/>
    <w:basedOn w:val="Normal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Bullet1">
    <w:name w:val="List Bullet 1"/>
    <w:basedOn w:val="Normal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Bullet2">
    <w:name w:val="List Bullet 2"/>
    <w:basedOn w:val="Normal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Bullet3">
    <w:name w:val="List Bullet 3"/>
    <w:basedOn w:val="Normal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Bullet4">
    <w:name w:val="List Bullet 4"/>
    <w:basedOn w:val="Normal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Bullet5">
    <w:name w:val="List Bullet 5"/>
    <w:basedOn w:val="Normal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Bullet6">
    <w:name w:val="List Bullet 6"/>
    <w:basedOn w:val="Normal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Bullet7">
    <w:name w:val="List Bullet 7"/>
    <w:basedOn w:val="Normal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Bullet8">
    <w:name w:val="List Bullet 8"/>
    <w:basedOn w:val="Normal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">
    <w:name w:val="List Dash"/>
    <w:basedOn w:val="Normal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1">
    <w:name w:val="List Dash 1"/>
    <w:basedOn w:val="Normal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2">
    <w:name w:val="List Dash 2"/>
    <w:basedOn w:val="Normal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3">
    <w:name w:val="List Dash 3"/>
    <w:basedOn w:val="Normal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4">
    <w:name w:val="List Dash 4"/>
    <w:basedOn w:val="Normal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5">
    <w:name w:val="List Dash 5"/>
    <w:basedOn w:val="Normal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6">
    <w:name w:val="List Dash 6"/>
    <w:basedOn w:val="Normal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7">
    <w:name w:val="List Dash 7"/>
    <w:basedOn w:val="Normal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8">
    <w:name w:val="List Dash 8"/>
    <w:basedOn w:val="Normal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Number">
    <w:name w:val="List Number"/>
    <w:basedOn w:val="Normal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1">
    <w:name w:val="List Number 1"/>
    <w:basedOn w:val="Normal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Number2">
    <w:name w:val="List Number 2"/>
    <w:basedOn w:val="Normal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Number3">
    <w:name w:val="List Number 3"/>
    <w:basedOn w:val="Normal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Number4">
    <w:name w:val="List Number 4"/>
    <w:basedOn w:val="Normal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Number5">
    <w:name w:val="List Number 5"/>
    <w:basedOn w:val="Normal"/>
    <w:pPr>
      <w:numPr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6">
    <w:name w:val="List Number 6"/>
    <w:basedOn w:val="Normal"/>
    <w:pPr>
      <w:numPr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7">
    <w:name w:val="List Number 7"/>
    <w:basedOn w:val="Normal"/>
    <w:pPr>
      <w:numPr>
        <w:numId w:val="2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8">
    <w:name w:val="List Number 8"/>
    <w:basedOn w:val="Normal"/>
    <w:pPr>
      <w:numPr>
        <w:numId w:val="3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Level2">
    <w:name w:val="List Number (Level 2)"/>
    <w:basedOn w:val="Normal"/>
    <w:pPr>
      <w:numPr>
        <w:ilvl w:val="1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1Level2">
    <w:name w:val="List Number 1 (Level 2)"/>
    <w:basedOn w:val="Normal"/>
    <w:pPr>
      <w:numPr>
        <w:ilvl w:val="1"/>
        <w:numId w:val="2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2Level2">
    <w:name w:val="List Number 2 (Level 2)"/>
    <w:basedOn w:val="Normal"/>
    <w:pPr>
      <w:numPr>
        <w:ilvl w:val="1"/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3Level2">
    <w:name w:val="List Number 3 (Level 2)"/>
    <w:basedOn w:val="Normal"/>
    <w:pPr>
      <w:numPr>
        <w:ilvl w:val="1"/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4Level2">
    <w:name w:val="List Number 4 (Level 2)"/>
    <w:basedOn w:val="Normal"/>
    <w:pPr>
      <w:numPr>
        <w:ilvl w:val="1"/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5Level2">
    <w:name w:val="List Number 5 (Level 2)"/>
    <w:basedOn w:val="Normal"/>
    <w:pPr>
      <w:numPr>
        <w:ilvl w:val="1"/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6Level2">
    <w:name w:val="List Number 6 (Level 2)"/>
    <w:basedOn w:val="Normal"/>
    <w:pPr>
      <w:numPr>
        <w:ilvl w:val="1"/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7Level2">
    <w:name w:val="List Number 7 (Level 2)"/>
    <w:basedOn w:val="Normal"/>
    <w:pPr>
      <w:numPr>
        <w:ilvl w:val="1"/>
        <w:numId w:val="2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8Level2">
    <w:name w:val="List Number 8 (Level 2)"/>
    <w:basedOn w:val="Normal"/>
    <w:pPr>
      <w:numPr>
        <w:ilvl w:val="1"/>
        <w:numId w:val="3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Level3">
    <w:name w:val="List Number (Level 3)"/>
    <w:basedOn w:val="Normal"/>
    <w:pPr>
      <w:numPr>
        <w:ilvl w:val="2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1Level3">
    <w:name w:val="List Number 1 (Level 3)"/>
    <w:basedOn w:val="Normal"/>
    <w:pPr>
      <w:numPr>
        <w:ilvl w:val="2"/>
        <w:numId w:val="2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2Level3">
    <w:name w:val="List Number 2 (Level 3)"/>
    <w:basedOn w:val="Normal"/>
    <w:pPr>
      <w:numPr>
        <w:ilvl w:val="2"/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3Level3">
    <w:name w:val="List Number 3 (Level 3)"/>
    <w:basedOn w:val="Normal"/>
    <w:pPr>
      <w:numPr>
        <w:ilvl w:val="2"/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4Level3">
    <w:name w:val="List Number 4 (Level 3)"/>
    <w:basedOn w:val="Normal"/>
    <w:pPr>
      <w:numPr>
        <w:ilvl w:val="2"/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5Level3">
    <w:name w:val="List Number 5 (Level 3)"/>
    <w:basedOn w:val="Normal"/>
    <w:pPr>
      <w:numPr>
        <w:ilvl w:val="2"/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6Level3">
    <w:name w:val="List Number 6 (Level 3)"/>
    <w:basedOn w:val="Normal"/>
    <w:pPr>
      <w:numPr>
        <w:ilvl w:val="2"/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7Level3">
    <w:name w:val="List Number 7 (Level 3)"/>
    <w:basedOn w:val="Normal"/>
    <w:pPr>
      <w:numPr>
        <w:ilvl w:val="2"/>
        <w:numId w:val="2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8Level3">
    <w:name w:val="List Number 8 (Level 3)"/>
    <w:basedOn w:val="Normal"/>
    <w:pPr>
      <w:numPr>
        <w:ilvl w:val="2"/>
        <w:numId w:val="3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Level4">
    <w:name w:val="List Number (Level 4)"/>
    <w:basedOn w:val="Normal"/>
    <w:pPr>
      <w:numPr>
        <w:ilvl w:val="3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1Level4">
    <w:name w:val="List Number 1 (Level 4)"/>
    <w:basedOn w:val="Normal"/>
    <w:pPr>
      <w:numPr>
        <w:ilvl w:val="3"/>
        <w:numId w:val="2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2Level4">
    <w:name w:val="List Number 2 (Level 4)"/>
    <w:basedOn w:val="Normal"/>
    <w:pPr>
      <w:numPr>
        <w:ilvl w:val="3"/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3Level4">
    <w:name w:val="List Number 3 (Level 4)"/>
    <w:basedOn w:val="Normal"/>
    <w:pPr>
      <w:numPr>
        <w:ilvl w:val="3"/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4Level4">
    <w:name w:val="List Number 4 (Level 4)"/>
    <w:basedOn w:val="Normal"/>
    <w:pPr>
      <w:numPr>
        <w:ilvl w:val="3"/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5Level4">
    <w:name w:val="List Number 5 (Level 4)"/>
    <w:basedOn w:val="Normal"/>
    <w:pPr>
      <w:numPr>
        <w:ilvl w:val="3"/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6Level4">
    <w:name w:val="List Number 6 (Level 4)"/>
    <w:basedOn w:val="Normal"/>
    <w:pPr>
      <w:numPr>
        <w:ilvl w:val="3"/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7Level4">
    <w:name w:val="List Number 7 (Level 4)"/>
    <w:basedOn w:val="Normal"/>
    <w:pPr>
      <w:numPr>
        <w:ilvl w:val="3"/>
        <w:numId w:val="2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8Level4">
    <w:name w:val="List Number 8 (Level 4)"/>
    <w:basedOn w:val="Normal"/>
    <w:pPr>
      <w:numPr>
        <w:ilvl w:val="3"/>
        <w:numId w:val="3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/>
      <w:caps/>
      <w:sz w:val="24"/>
      <w:szCs w:val="20"/>
    </w:rPr>
  </w:style>
  <w:style w:type="table" w:styleId="LightShading">
    <w:name w:val="Light Shading"/>
    <w:basedOn w:val="TableNormal"/>
    <w:uiPriority w:val="60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ulletpoint">
    <w:name w:val="Bullet point"/>
    <w:basedOn w:val="Normal"/>
    <w:qFormat/>
    <w:pPr>
      <w:numPr>
        <w:numId w:val="3"/>
      </w:numPr>
      <w:tabs>
        <w:tab w:val="clear" w:pos="851"/>
        <w:tab w:val="num" w:pos="360"/>
        <w:tab w:val="left" w:pos="794"/>
        <w:tab w:val="left" w:pos="1191"/>
      </w:tabs>
      <w:spacing w:after="120" w:line="240" w:lineRule="auto"/>
      <w:ind w:left="0" w:firstLine="794"/>
      <w:jc w:val="both"/>
    </w:pPr>
    <w:rPr>
      <w:rFonts w:ascii="Times New Roman" w:eastAsia="Times New Roman" w:hAnsi="Times New Roman"/>
      <w:noProof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eastAsiaTheme="minorHAnsi" w:hAnsi="Times New Roman"/>
      <w:sz w:val="24"/>
      <w:szCs w:val="24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BodyText">
    <w:name w:val="Body Text"/>
    <w:basedOn w:val="Normal"/>
    <w:link w:val="BodyTextChar"/>
    <w:semiHidden/>
    <w:pPr>
      <w:shd w:val="clear" w:color="auto" w:fill="FFFFFF"/>
      <w:spacing w:line="224" w:lineRule="atLeast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Pr>
      <w:rFonts w:ascii="Arial" w:hAnsi="Arial" w:cs="Arial"/>
      <w:b/>
      <w:bCs/>
      <w:sz w:val="24"/>
      <w:szCs w:val="24"/>
      <w:shd w:val="clear" w:color="auto" w:fill="FFFFFF"/>
      <w:lang w:eastAsia="pt-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Theme="minorHAnsi" w:eastAsiaTheme="minorHAnsi" w:hAnsiTheme="minorHAnsi" w:cstheme="minorBidi"/>
      <w:sz w:val="22"/>
      <w:szCs w:val="22"/>
      <w:lang w:eastAsia="pt-PT"/>
    </w:rPr>
  </w:style>
  <w:style w:type="character" w:customStyle="1" w:styleId="tgc">
    <w:name w:val="_tgc"/>
    <w:basedOn w:val="DefaultParagraphFont"/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 w:line="240" w:lineRule="auto"/>
      <w:ind w:left="1440" w:right="720" w:hanging="1440"/>
      <w:jc w:val="both"/>
    </w:pPr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pt-P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Pr>
      <w:lang w:eastAsia="pt-PT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normal,Fußnotenzeichen3,Normal1,fr,SUPERS,EN Footnote Reference,number,ftref"/>
    <w:uiPriority w:val="99"/>
    <w:unhideWhenUsed/>
    <w:qFormat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eastAsia="pt-P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pt-PT"/>
    </w:rPr>
  </w:style>
  <w:style w:type="paragraph" w:customStyle="1" w:styleId="numberedparagraph">
    <w:name w:val="numbered paragraph"/>
    <w:basedOn w:val="Normal"/>
    <w:qFormat/>
    <w:pPr>
      <w:numPr>
        <w:numId w:val="1"/>
      </w:numPr>
      <w:spacing w:before="240" w:after="120"/>
      <w:jc w:val="both"/>
    </w:pPr>
    <w:rPr>
      <w:rFonts w:eastAsia="MS PGothic"/>
      <w:szCs w:val="24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pt-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pt-PT"/>
    </w:rPr>
  </w:style>
  <w:style w:type="table" w:styleId="TableGrid">
    <w:name w:val="Table Grid"/>
    <w:basedOn w:val="TableNormal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tandard3520normal">
    <w:name w:val="a_standard__35__20_normal"/>
    <w:basedOn w:val="Normal"/>
    <w:pPr>
      <w:spacing w:after="120" w:line="240" w:lineRule="auto"/>
      <w:ind w:right="57"/>
      <w:jc w:val="both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Pr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Pr>
      <w:rFonts w:ascii="Times New Roman" w:eastAsia="Times New Roman" w:hAnsi="Times New Roman"/>
      <w:b/>
      <w:sz w:val="24"/>
      <w:lang w:val="pt-PT" w:eastAsia="pt-PT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/>
      <w:i/>
      <w:sz w:val="24"/>
      <w:lang w:eastAsia="pt-PT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/>
      <w:sz w:val="24"/>
      <w:lang w:eastAsia="pt-PT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  <w:szCs w:val="28"/>
    </w:rPr>
  </w:style>
  <w:style w:type="character" w:customStyle="1" w:styleId="FooterCoverPageChar">
    <w:name w:val="Footer Cover Page Char"/>
    <w:link w:val="FooterCoverPage"/>
    <w:rPr>
      <w:rFonts w:ascii="Times New Roman" w:hAnsi="Times New Roman"/>
      <w:sz w:val="24"/>
      <w:szCs w:val="28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  <w:szCs w:val="28"/>
    </w:rPr>
  </w:style>
  <w:style w:type="character" w:customStyle="1" w:styleId="HeaderCoverPageChar">
    <w:name w:val="Header Cover Page Char"/>
    <w:link w:val="HeaderCoverPage"/>
    <w:rPr>
      <w:rFonts w:ascii="Times New Roman" w:hAnsi="Times New Roman"/>
      <w:sz w:val="24"/>
      <w:szCs w:val="28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pt-PT"/>
    </w:rPr>
  </w:style>
  <w:style w:type="paragraph" w:styleId="TOCHeading">
    <w:name w:val="TOC Heading"/>
    <w:basedOn w:val="Normal"/>
    <w:next w:val="Normal"/>
    <w:qFormat/>
    <w:pPr>
      <w:keepNext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styleId="TOC1">
    <w:name w:val="toc 1"/>
    <w:basedOn w:val="Normal"/>
    <w:next w:val="Normal"/>
    <w:pPr>
      <w:tabs>
        <w:tab w:val="right" w:leader="dot" w:pos="8640"/>
      </w:tabs>
      <w:spacing w:before="120" w:after="120" w:line="240" w:lineRule="auto"/>
      <w:ind w:left="1440" w:right="720" w:hanging="1440"/>
      <w:jc w:val="both"/>
    </w:pPr>
    <w:rPr>
      <w:rFonts w:ascii="Times New Roman" w:eastAsia="Times New Roman" w:hAnsi="Times New Roman"/>
      <w:caps/>
      <w:sz w:val="24"/>
      <w:szCs w:val="20"/>
    </w:rPr>
  </w:style>
  <w:style w:type="paragraph" w:styleId="TOC2">
    <w:name w:val="toc 2"/>
    <w:basedOn w:val="Normal"/>
    <w:next w:val="Normal"/>
    <w:pPr>
      <w:tabs>
        <w:tab w:val="right" w:leader="dot" w:pos="8640"/>
      </w:tabs>
      <w:spacing w:before="60" w:after="60" w:line="240" w:lineRule="auto"/>
      <w:ind w:left="1440" w:right="720" w:hanging="1440"/>
      <w:jc w:val="both"/>
    </w:pPr>
    <w:rPr>
      <w:rFonts w:ascii="Times New Roman" w:eastAsia="Times New Roman" w:hAnsi="Times New Roman"/>
      <w:sz w:val="24"/>
      <w:szCs w:val="20"/>
    </w:rPr>
  </w:style>
  <w:style w:type="paragraph" w:styleId="TOC3">
    <w:name w:val="toc 3"/>
    <w:basedOn w:val="Normal"/>
    <w:next w:val="Normal"/>
    <w:pPr>
      <w:tabs>
        <w:tab w:val="right" w:leader="dot" w:pos="8640"/>
      </w:tabs>
      <w:spacing w:before="60" w:after="60" w:line="240" w:lineRule="auto"/>
      <w:ind w:left="1440" w:right="720" w:hanging="1440"/>
      <w:jc w:val="both"/>
    </w:pPr>
    <w:rPr>
      <w:rFonts w:ascii="Times New Roman" w:eastAsia="Times New Roman" w:hAnsi="Times New Roman"/>
      <w:sz w:val="24"/>
      <w:szCs w:val="20"/>
    </w:rPr>
  </w:style>
  <w:style w:type="table" w:customStyle="1" w:styleId="TableGrid3">
    <w:name w:val="Table Grid3"/>
    <w:basedOn w:val="TableNormal"/>
    <w:next w:val="TableGri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">
    <w:name w:val="Contact"/>
    <w:basedOn w:val="Normal"/>
    <w:next w:val="Normal"/>
    <w:pPr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</w:rPr>
  </w:style>
  <w:style w:type="paragraph" w:styleId="ListBullet">
    <w:name w:val="List Bullet"/>
    <w:basedOn w:val="Normal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Bullet1">
    <w:name w:val="List Bullet 1"/>
    <w:basedOn w:val="Normal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Bullet2">
    <w:name w:val="List Bullet 2"/>
    <w:basedOn w:val="Normal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Bullet3">
    <w:name w:val="List Bullet 3"/>
    <w:basedOn w:val="Normal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Bullet4">
    <w:name w:val="List Bullet 4"/>
    <w:basedOn w:val="Normal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Bullet5">
    <w:name w:val="List Bullet 5"/>
    <w:basedOn w:val="Normal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Bullet6">
    <w:name w:val="List Bullet 6"/>
    <w:basedOn w:val="Normal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Bullet7">
    <w:name w:val="List Bullet 7"/>
    <w:basedOn w:val="Normal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Bullet8">
    <w:name w:val="List Bullet 8"/>
    <w:basedOn w:val="Normal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">
    <w:name w:val="List Dash"/>
    <w:basedOn w:val="Normal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1">
    <w:name w:val="List Dash 1"/>
    <w:basedOn w:val="Normal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2">
    <w:name w:val="List Dash 2"/>
    <w:basedOn w:val="Normal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3">
    <w:name w:val="List Dash 3"/>
    <w:basedOn w:val="Normal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4">
    <w:name w:val="List Dash 4"/>
    <w:basedOn w:val="Normal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5">
    <w:name w:val="List Dash 5"/>
    <w:basedOn w:val="Normal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6">
    <w:name w:val="List Dash 6"/>
    <w:basedOn w:val="Normal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7">
    <w:name w:val="List Dash 7"/>
    <w:basedOn w:val="Normal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8">
    <w:name w:val="List Dash 8"/>
    <w:basedOn w:val="Normal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Number">
    <w:name w:val="List Number"/>
    <w:basedOn w:val="Normal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1">
    <w:name w:val="List Number 1"/>
    <w:basedOn w:val="Normal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Number2">
    <w:name w:val="List Number 2"/>
    <w:basedOn w:val="Normal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Number3">
    <w:name w:val="List Number 3"/>
    <w:basedOn w:val="Normal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Number4">
    <w:name w:val="List Number 4"/>
    <w:basedOn w:val="Normal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Number5">
    <w:name w:val="List Number 5"/>
    <w:basedOn w:val="Normal"/>
    <w:pPr>
      <w:numPr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6">
    <w:name w:val="List Number 6"/>
    <w:basedOn w:val="Normal"/>
    <w:pPr>
      <w:numPr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7">
    <w:name w:val="List Number 7"/>
    <w:basedOn w:val="Normal"/>
    <w:pPr>
      <w:numPr>
        <w:numId w:val="2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8">
    <w:name w:val="List Number 8"/>
    <w:basedOn w:val="Normal"/>
    <w:pPr>
      <w:numPr>
        <w:numId w:val="3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Level2">
    <w:name w:val="List Number (Level 2)"/>
    <w:basedOn w:val="Normal"/>
    <w:pPr>
      <w:numPr>
        <w:ilvl w:val="1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1Level2">
    <w:name w:val="List Number 1 (Level 2)"/>
    <w:basedOn w:val="Normal"/>
    <w:pPr>
      <w:numPr>
        <w:ilvl w:val="1"/>
        <w:numId w:val="2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2Level2">
    <w:name w:val="List Number 2 (Level 2)"/>
    <w:basedOn w:val="Normal"/>
    <w:pPr>
      <w:numPr>
        <w:ilvl w:val="1"/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3Level2">
    <w:name w:val="List Number 3 (Level 2)"/>
    <w:basedOn w:val="Normal"/>
    <w:pPr>
      <w:numPr>
        <w:ilvl w:val="1"/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4Level2">
    <w:name w:val="List Number 4 (Level 2)"/>
    <w:basedOn w:val="Normal"/>
    <w:pPr>
      <w:numPr>
        <w:ilvl w:val="1"/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5Level2">
    <w:name w:val="List Number 5 (Level 2)"/>
    <w:basedOn w:val="Normal"/>
    <w:pPr>
      <w:numPr>
        <w:ilvl w:val="1"/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6Level2">
    <w:name w:val="List Number 6 (Level 2)"/>
    <w:basedOn w:val="Normal"/>
    <w:pPr>
      <w:numPr>
        <w:ilvl w:val="1"/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7Level2">
    <w:name w:val="List Number 7 (Level 2)"/>
    <w:basedOn w:val="Normal"/>
    <w:pPr>
      <w:numPr>
        <w:ilvl w:val="1"/>
        <w:numId w:val="2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8Level2">
    <w:name w:val="List Number 8 (Level 2)"/>
    <w:basedOn w:val="Normal"/>
    <w:pPr>
      <w:numPr>
        <w:ilvl w:val="1"/>
        <w:numId w:val="3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Level3">
    <w:name w:val="List Number (Level 3)"/>
    <w:basedOn w:val="Normal"/>
    <w:pPr>
      <w:numPr>
        <w:ilvl w:val="2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1Level3">
    <w:name w:val="List Number 1 (Level 3)"/>
    <w:basedOn w:val="Normal"/>
    <w:pPr>
      <w:numPr>
        <w:ilvl w:val="2"/>
        <w:numId w:val="2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2Level3">
    <w:name w:val="List Number 2 (Level 3)"/>
    <w:basedOn w:val="Normal"/>
    <w:pPr>
      <w:numPr>
        <w:ilvl w:val="2"/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3Level3">
    <w:name w:val="List Number 3 (Level 3)"/>
    <w:basedOn w:val="Normal"/>
    <w:pPr>
      <w:numPr>
        <w:ilvl w:val="2"/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4Level3">
    <w:name w:val="List Number 4 (Level 3)"/>
    <w:basedOn w:val="Normal"/>
    <w:pPr>
      <w:numPr>
        <w:ilvl w:val="2"/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5Level3">
    <w:name w:val="List Number 5 (Level 3)"/>
    <w:basedOn w:val="Normal"/>
    <w:pPr>
      <w:numPr>
        <w:ilvl w:val="2"/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6Level3">
    <w:name w:val="List Number 6 (Level 3)"/>
    <w:basedOn w:val="Normal"/>
    <w:pPr>
      <w:numPr>
        <w:ilvl w:val="2"/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7Level3">
    <w:name w:val="List Number 7 (Level 3)"/>
    <w:basedOn w:val="Normal"/>
    <w:pPr>
      <w:numPr>
        <w:ilvl w:val="2"/>
        <w:numId w:val="2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8Level3">
    <w:name w:val="List Number 8 (Level 3)"/>
    <w:basedOn w:val="Normal"/>
    <w:pPr>
      <w:numPr>
        <w:ilvl w:val="2"/>
        <w:numId w:val="3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Level4">
    <w:name w:val="List Number (Level 4)"/>
    <w:basedOn w:val="Normal"/>
    <w:pPr>
      <w:numPr>
        <w:ilvl w:val="3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1Level4">
    <w:name w:val="List Number 1 (Level 4)"/>
    <w:basedOn w:val="Normal"/>
    <w:pPr>
      <w:numPr>
        <w:ilvl w:val="3"/>
        <w:numId w:val="2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2Level4">
    <w:name w:val="List Number 2 (Level 4)"/>
    <w:basedOn w:val="Normal"/>
    <w:pPr>
      <w:numPr>
        <w:ilvl w:val="3"/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3Level4">
    <w:name w:val="List Number 3 (Level 4)"/>
    <w:basedOn w:val="Normal"/>
    <w:pPr>
      <w:numPr>
        <w:ilvl w:val="3"/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4Level4">
    <w:name w:val="List Number 4 (Level 4)"/>
    <w:basedOn w:val="Normal"/>
    <w:pPr>
      <w:numPr>
        <w:ilvl w:val="3"/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5Level4">
    <w:name w:val="List Number 5 (Level 4)"/>
    <w:basedOn w:val="Normal"/>
    <w:pPr>
      <w:numPr>
        <w:ilvl w:val="3"/>
        <w:numId w:val="2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6Level4">
    <w:name w:val="List Number 6 (Level 4)"/>
    <w:basedOn w:val="Normal"/>
    <w:pPr>
      <w:numPr>
        <w:ilvl w:val="3"/>
        <w:numId w:val="2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7Level4">
    <w:name w:val="List Number 7 (Level 4)"/>
    <w:basedOn w:val="Normal"/>
    <w:pPr>
      <w:numPr>
        <w:ilvl w:val="3"/>
        <w:numId w:val="2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8Level4">
    <w:name w:val="List Number 8 (Level 4)"/>
    <w:basedOn w:val="Normal"/>
    <w:pPr>
      <w:numPr>
        <w:ilvl w:val="3"/>
        <w:numId w:val="3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/>
      <w:caps/>
      <w:sz w:val="24"/>
      <w:szCs w:val="20"/>
    </w:rPr>
  </w:style>
  <w:style w:type="table" w:styleId="LightShading">
    <w:name w:val="Light Shading"/>
    <w:basedOn w:val="TableNormal"/>
    <w:uiPriority w:val="60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ulletpoint">
    <w:name w:val="Bullet point"/>
    <w:basedOn w:val="Normal"/>
    <w:qFormat/>
    <w:pPr>
      <w:numPr>
        <w:numId w:val="3"/>
      </w:numPr>
      <w:tabs>
        <w:tab w:val="clear" w:pos="851"/>
        <w:tab w:val="num" w:pos="360"/>
        <w:tab w:val="left" w:pos="794"/>
        <w:tab w:val="left" w:pos="1191"/>
      </w:tabs>
      <w:spacing w:after="120" w:line="240" w:lineRule="auto"/>
      <w:ind w:left="0" w:firstLine="794"/>
      <w:jc w:val="both"/>
    </w:pPr>
    <w:rPr>
      <w:rFonts w:ascii="Times New Roman" w:eastAsia="Times New Roman" w:hAnsi="Times New Roman"/>
      <w:noProof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eastAsiaTheme="minorHAnsi" w:hAnsi="Times New Roman"/>
      <w:sz w:val="24"/>
      <w:szCs w:val="24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BodyText">
    <w:name w:val="Body Text"/>
    <w:basedOn w:val="Normal"/>
    <w:link w:val="BodyTextChar"/>
    <w:semiHidden/>
    <w:pPr>
      <w:shd w:val="clear" w:color="auto" w:fill="FFFFFF"/>
      <w:spacing w:line="224" w:lineRule="atLeast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Pr>
      <w:rFonts w:ascii="Arial" w:hAnsi="Arial" w:cs="Arial"/>
      <w:b/>
      <w:bCs/>
      <w:sz w:val="24"/>
      <w:szCs w:val="24"/>
      <w:shd w:val="clear" w:color="auto" w:fill="FFFFFF"/>
      <w:lang w:eastAsia="pt-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Theme="minorHAnsi" w:eastAsiaTheme="minorHAnsi" w:hAnsiTheme="minorHAnsi" w:cstheme="minorBidi"/>
      <w:sz w:val="22"/>
      <w:szCs w:val="22"/>
      <w:lang w:eastAsia="pt-PT"/>
    </w:rPr>
  </w:style>
  <w:style w:type="character" w:customStyle="1" w:styleId="tgc">
    <w:name w:val="_tgc"/>
    <w:basedOn w:val="DefaultParagraphFont"/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 w:line="240" w:lineRule="auto"/>
      <w:ind w:left="1440" w:right="720" w:hanging="1440"/>
      <w:jc w:val="both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0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6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5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9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8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9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D476D-B4F2-4D93-8ED1-57CDD43C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COT.DOTM</Template>
  <TotalTime>29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7785</CharactersWithSpaces>
  <SharedDoc>false</SharedDoc>
  <HLinks>
    <vt:vector size="330" baseType="variant">
      <vt:variant>
        <vt:i4>7602294</vt:i4>
      </vt:variant>
      <vt:variant>
        <vt:i4>318</vt:i4>
      </vt:variant>
      <vt:variant>
        <vt:i4>0</vt:i4>
      </vt:variant>
      <vt:variant>
        <vt:i4>5</vt:i4>
      </vt:variant>
      <vt:variant>
        <vt:lpwstr>http://www.dutchsecuritisation.nl/documentation</vt:lpwstr>
      </vt:variant>
      <vt:variant>
        <vt:lpwstr/>
      </vt:variant>
      <vt:variant>
        <vt:i4>1507396</vt:i4>
      </vt:variant>
      <vt:variant>
        <vt:i4>315</vt:i4>
      </vt:variant>
      <vt:variant>
        <vt:i4>0</vt:i4>
      </vt:variant>
      <vt:variant>
        <vt:i4>5</vt:i4>
      </vt:variant>
      <vt:variant>
        <vt:lpwstr>http://www.dutchsecuritisation.nl/investor-reporting</vt:lpwstr>
      </vt:variant>
      <vt:variant>
        <vt:lpwstr/>
      </vt:variant>
      <vt:variant>
        <vt:i4>1900597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_Toc421891915</vt:lpwstr>
      </vt:variant>
      <vt:variant>
        <vt:i4>1900597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_Toc421891914</vt:lpwstr>
      </vt:variant>
      <vt:variant>
        <vt:i4>1900597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_Toc421891913</vt:lpwstr>
      </vt:variant>
      <vt:variant>
        <vt:i4>1900597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_Toc421891912</vt:lpwstr>
      </vt:variant>
      <vt:variant>
        <vt:i4>1900597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_Toc421891911</vt:lpwstr>
      </vt:variant>
      <vt:variant>
        <vt:i4>1900597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_Toc421891910</vt:lpwstr>
      </vt:variant>
      <vt:variant>
        <vt:i4>1835061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_Toc421891909</vt:lpwstr>
      </vt:variant>
      <vt:variant>
        <vt:i4>1835061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_Toc421891908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_Toc421891907</vt:lpwstr>
      </vt:variant>
      <vt:variant>
        <vt:i4>1835061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_Toc421891906</vt:lpwstr>
      </vt:variant>
      <vt:variant>
        <vt:i4>1835061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_Toc421891905</vt:lpwstr>
      </vt:variant>
      <vt:variant>
        <vt:i4>1835061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_Toc421891904</vt:lpwstr>
      </vt:variant>
      <vt:variant>
        <vt:i4>1835061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_Toc421891903</vt:lpwstr>
      </vt:variant>
      <vt:variant>
        <vt:i4>1835061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_Toc421891902</vt:lpwstr>
      </vt:variant>
      <vt:variant>
        <vt:i4>1835061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_Toc421891901</vt:lpwstr>
      </vt:variant>
      <vt:variant>
        <vt:i4>1835061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_Toc421891900</vt:lpwstr>
      </vt:variant>
      <vt:variant>
        <vt:i4>1376308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_Toc421891899</vt:lpwstr>
      </vt:variant>
      <vt:variant>
        <vt:i4>1376308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_Toc421891898</vt:lpwstr>
      </vt:variant>
      <vt:variant>
        <vt:i4>1376308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_Toc421891897</vt:lpwstr>
      </vt:variant>
      <vt:variant>
        <vt:i4>1376308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_Toc421891896</vt:lpwstr>
      </vt:variant>
      <vt:variant>
        <vt:i4>1376308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_Toc421891895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_Toc421891894</vt:lpwstr>
      </vt:variant>
      <vt:variant>
        <vt:i4>1376308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_Toc421891893</vt:lpwstr>
      </vt:variant>
      <vt:variant>
        <vt:i4>1376308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_Toc421891892</vt:lpwstr>
      </vt:variant>
      <vt:variant>
        <vt:i4>1376308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_Toc421891891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_Toc421891890</vt:lpwstr>
      </vt:variant>
      <vt:variant>
        <vt:i4>1310772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_Toc421891889</vt:lpwstr>
      </vt:variant>
      <vt:variant>
        <vt:i4>1310772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_Toc421891888</vt:lpwstr>
      </vt:variant>
      <vt:variant>
        <vt:i4>1310772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_Toc421891887</vt:lpwstr>
      </vt:variant>
      <vt:variant>
        <vt:i4>1310772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_Toc421891886</vt:lpwstr>
      </vt:variant>
      <vt:variant>
        <vt:i4>1310772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_Toc421891885</vt:lpwstr>
      </vt:variant>
      <vt:variant>
        <vt:i4>1310772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_Toc421891884</vt:lpwstr>
      </vt:variant>
      <vt:variant>
        <vt:i4>1310772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_Toc421891883</vt:lpwstr>
      </vt:variant>
      <vt:variant>
        <vt:i4>1310772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_Toc421891882</vt:lpwstr>
      </vt:variant>
      <vt:variant>
        <vt:i4>1310772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_Toc421891881</vt:lpwstr>
      </vt:variant>
      <vt:variant>
        <vt:i4>1310772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_Toc421891880</vt:lpwstr>
      </vt:variant>
      <vt:variant>
        <vt:i4>1769524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_Toc421891879</vt:lpwstr>
      </vt:variant>
      <vt:variant>
        <vt:i4>1769524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_Toc421891878</vt:lpwstr>
      </vt:variant>
      <vt:variant>
        <vt:i4>1769524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_Toc421891877</vt:lpwstr>
      </vt:variant>
      <vt:variant>
        <vt:i4>1769524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_Toc421891876</vt:lpwstr>
      </vt:variant>
      <vt:variant>
        <vt:i4>1769524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_Toc421891875</vt:lpwstr>
      </vt:variant>
      <vt:variant>
        <vt:i4>1769524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_Toc421891874</vt:lpwstr>
      </vt:variant>
      <vt:variant>
        <vt:i4>1769524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_Toc421891873</vt:lpwstr>
      </vt:variant>
      <vt:variant>
        <vt:i4>1769524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_Toc421891872</vt:lpwstr>
      </vt:variant>
      <vt:variant>
        <vt:i4>1769524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_Toc421891871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_Toc421891870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_Toc421891869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_Toc421891868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_Toc421891867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_Toc421891866</vt:lpwstr>
      </vt:variant>
      <vt:variant>
        <vt:i4>1703988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_Toc421891865</vt:lpwstr>
      </vt:variant>
      <vt:variant>
        <vt:i4>3866627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http://ec.europa.eu/finance/insurance/docs/solvency/solvency2/delegated/141010-impact-assessment_en.pdf</vt:lpwstr>
      </vt:variant>
      <vt:variant>
        <vt:lpwstr/>
      </vt:variant>
      <vt:variant>
        <vt:i4>1703952</vt:i4>
      </vt:variant>
      <vt:variant>
        <vt:i4>0</vt:i4>
      </vt:variant>
      <vt:variant>
        <vt:i4>0</vt:i4>
      </vt:variant>
      <vt:variant>
        <vt:i4>5</vt:i4>
      </vt:variant>
      <vt:variant>
        <vt:lpwstr>http://www.bis.org/bcbs/publ/d304.pdf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19</cp:revision>
  <cp:lastPrinted>2015-06-16T13:11:00Z</cp:lastPrinted>
  <dcterms:created xsi:type="dcterms:W3CDTF">2015-09-21T12:18:00Z</dcterms:created>
  <dcterms:modified xsi:type="dcterms:W3CDTF">2015-10-09T13:07:00Z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Classification">
    <vt:lpwstr> </vt:lpwstr>
  </property>
  <property fmtid="{D5CDD505-2E9C-101B-9397-08002B2CF9AE}" pid="5" name="ELDocType">
    <vt:lpwstr>COT.DOT</vt:lpwstr>
  </property>
  <property fmtid="{D5CDD505-2E9C-101B-9397-08002B2CF9AE}" pid="6" name="Created using">
    <vt:lpwstr>3.0</vt:lpwstr>
  </property>
  <property fmtid="{D5CDD505-2E9C-101B-9397-08002B2CF9AE}" pid="7" name="Last edited using">
    <vt:lpwstr>EL </vt:lpwstr>
  </property>
  <property fmtid="{D5CDD505-2E9C-101B-9397-08002B2CF9AE}" pid="8" name="Formatting">
    <vt:lpwstr>4.1</vt:lpwstr>
  </property>
  <property fmtid="{D5CDD505-2E9C-101B-9397-08002B2CF9AE}" pid="9" name="DocStatus">
    <vt:lpwstr>Green</vt:lpwstr>
  </property>
  <property name="OP_sanitized" fmtid="{D5CDD505-2E9C-101B-9397-08002B2CF9AE}" pid="10">
    <vt:lpwstr>True</vt:lpwstr>
  </property>
</Properties>
</file>