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D9EE8" w14:textId="2206D8B3" w:rsidR="005E1E5E" w:rsidRPr="00C57330" w:rsidRDefault="00351031" w:rsidP="00351031">
      <w:pPr>
        <w:pStyle w:val="Pagedecouverture"/>
        <w:rPr>
          <w:noProof/>
        </w:rPr>
      </w:pPr>
      <w:r>
        <w:rPr>
          <w:noProof/>
        </w:rPr>
        <w:pict w14:anchorId="38507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C118A5F-A8D7-4543-B435-0008463FE81F" style="width:455.25pt;height:414pt">
            <v:imagedata r:id="rId11" o:title=""/>
          </v:shape>
        </w:pict>
      </w:r>
    </w:p>
    <w:p w14:paraId="2B35EE8B" w14:textId="77777777" w:rsidR="005E1E5E" w:rsidRPr="00C57330" w:rsidRDefault="005E1E5E" w:rsidP="005E1E5E">
      <w:pPr>
        <w:rPr>
          <w:noProof/>
        </w:rPr>
        <w:sectPr w:rsidR="005E1E5E" w:rsidRPr="00C57330" w:rsidSect="00351031">
          <w:footerReference w:type="default" r:id="rId12"/>
          <w:pgSz w:w="11907" w:h="16839"/>
          <w:pgMar w:top="1134" w:right="1417" w:bottom="1134" w:left="1417" w:header="709" w:footer="709" w:gutter="0"/>
          <w:pgNumType w:start="0"/>
          <w:cols w:space="720"/>
          <w:docGrid w:linePitch="360"/>
        </w:sectPr>
      </w:pPr>
    </w:p>
    <w:p w14:paraId="4F0D102E" w14:textId="77777777" w:rsidR="005E1E5E" w:rsidRPr="00C57330" w:rsidRDefault="005E1E5E" w:rsidP="00A103F4">
      <w:pPr>
        <w:pStyle w:val="Exposdesmotifstitre"/>
        <w:rPr>
          <w:noProof/>
        </w:rPr>
      </w:pPr>
      <w:bookmarkStart w:id="0" w:name="_GoBack"/>
      <w:bookmarkEnd w:id="0"/>
      <w:r w:rsidRPr="00C57330">
        <w:rPr>
          <w:noProof/>
        </w:rPr>
        <w:lastRenderedPageBreak/>
        <w:t>UZASADNIENIE</w:t>
      </w:r>
    </w:p>
    <w:p w14:paraId="4332A2B5" w14:textId="77777777" w:rsidR="005E1E5E" w:rsidRPr="00C57330" w:rsidRDefault="005E1E5E" w:rsidP="00A103F4">
      <w:pPr>
        <w:pStyle w:val="ManualHeading1"/>
        <w:rPr>
          <w:noProof/>
        </w:rPr>
      </w:pPr>
      <w:r w:rsidRPr="00C57330">
        <w:rPr>
          <w:noProof/>
        </w:rPr>
        <w:t>1.</w:t>
      </w:r>
      <w:r w:rsidRPr="00C57330">
        <w:rPr>
          <w:noProof/>
        </w:rPr>
        <w:tab/>
        <w:t>KONTEKST WNIOSKU</w:t>
      </w:r>
    </w:p>
    <w:p w14:paraId="0898C61C" w14:textId="05A965D1" w:rsidR="005E1E5E" w:rsidRPr="00C57330" w:rsidRDefault="005E1E5E" w:rsidP="00A103F4">
      <w:pPr>
        <w:pStyle w:val="ManualHeading2"/>
        <w:rPr>
          <w:noProof/>
        </w:rPr>
      </w:pPr>
      <w:r w:rsidRPr="00C57330">
        <w:rPr>
          <w:noProof/>
          <w:u w:color="000000"/>
          <w:bdr w:val="nil"/>
        </w:rPr>
        <w:t>•</w:t>
      </w:r>
      <w:r w:rsidRPr="00C57330">
        <w:rPr>
          <w:noProof/>
        </w:rPr>
        <w:tab/>
        <w:t>Przyczyny</w:t>
      </w:r>
      <w:r w:rsidR="006C5585" w:rsidRPr="00C57330">
        <w:rPr>
          <w:noProof/>
        </w:rPr>
        <w:t xml:space="preserve"> i</w:t>
      </w:r>
      <w:r w:rsidR="006C5585">
        <w:rPr>
          <w:noProof/>
        </w:rPr>
        <w:t> </w:t>
      </w:r>
      <w:r w:rsidR="006C5585" w:rsidRPr="00C57330">
        <w:rPr>
          <w:noProof/>
        </w:rPr>
        <w:t>cel</w:t>
      </w:r>
      <w:r w:rsidRPr="00C57330">
        <w:rPr>
          <w:noProof/>
        </w:rPr>
        <w:t>e wniosku</w:t>
      </w:r>
    </w:p>
    <w:p w14:paraId="67F4D72B" w14:textId="4C9F9536" w:rsidR="002D65D0" w:rsidRPr="00C57330" w:rsidRDefault="00641FFB" w:rsidP="001F4EF3">
      <w:pPr>
        <w:pStyle w:val="Text1"/>
        <w:rPr>
          <w:noProof/>
        </w:rPr>
      </w:pPr>
      <w:r w:rsidRPr="00C57330">
        <w:rPr>
          <w:noProof/>
        </w:rPr>
        <w:t>Rozporządzeniem Parlamentu Europejskiego</w:t>
      </w:r>
      <w:r w:rsidR="006C5585" w:rsidRPr="00C57330">
        <w:rPr>
          <w:noProof/>
        </w:rPr>
        <w:t xml:space="preserve"> i</w:t>
      </w:r>
      <w:r w:rsidR="006C5585">
        <w:rPr>
          <w:noProof/>
        </w:rPr>
        <w:t> </w:t>
      </w:r>
      <w:r w:rsidR="006C5585" w:rsidRPr="00C57330">
        <w:rPr>
          <w:noProof/>
        </w:rPr>
        <w:t>Rad</w:t>
      </w:r>
      <w:r w:rsidRPr="00C57330">
        <w:rPr>
          <w:noProof/>
        </w:rPr>
        <w:t>y (UE) 2017/745 (rozporządzenie MDR)</w:t>
      </w:r>
      <w:r w:rsidRPr="00C57330">
        <w:rPr>
          <w:rStyle w:val="FootnoteReference"/>
          <w:noProof/>
        </w:rPr>
        <w:footnoteReference w:id="2"/>
      </w:r>
      <w:r w:rsidR="006C5585" w:rsidRPr="00C57330">
        <w:rPr>
          <w:noProof/>
        </w:rPr>
        <w:t xml:space="preserve"> i</w:t>
      </w:r>
      <w:r w:rsidR="006C5585">
        <w:rPr>
          <w:noProof/>
        </w:rPr>
        <w:t> </w:t>
      </w:r>
      <w:r w:rsidR="006C5585" w:rsidRPr="00C57330">
        <w:rPr>
          <w:noProof/>
        </w:rPr>
        <w:t>roz</w:t>
      </w:r>
      <w:r w:rsidRPr="00C57330">
        <w:rPr>
          <w:noProof/>
        </w:rPr>
        <w:t>porządzeniem Parlamentu Europejskiego</w:t>
      </w:r>
      <w:r w:rsidR="006C5585" w:rsidRPr="00C57330">
        <w:rPr>
          <w:noProof/>
        </w:rPr>
        <w:t xml:space="preserve"> i</w:t>
      </w:r>
      <w:r w:rsidR="006C5585">
        <w:rPr>
          <w:noProof/>
        </w:rPr>
        <w:t> </w:t>
      </w:r>
      <w:r w:rsidR="006C5585" w:rsidRPr="00C57330">
        <w:rPr>
          <w:noProof/>
        </w:rPr>
        <w:t>Rad</w:t>
      </w:r>
      <w:r w:rsidRPr="00C57330">
        <w:rPr>
          <w:noProof/>
        </w:rPr>
        <w:t>y (UE) 2017/746 (rozporządzenie IVDR)</w:t>
      </w:r>
      <w:r w:rsidRPr="00C57330">
        <w:rPr>
          <w:rStyle w:val="FootnoteReference"/>
          <w:noProof/>
        </w:rPr>
        <w:footnoteReference w:id="3"/>
      </w:r>
      <w:r w:rsidRPr="00C57330">
        <w:rPr>
          <w:noProof/>
        </w:rPr>
        <w:t xml:space="preserve"> ustanowiono wzmocnione ramy regulacyjne dotyczące wyrobów medycznych oraz wyrobów medycznych do diagnostyki </w:t>
      </w:r>
      <w:r w:rsidRPr="00C57330">
        <w:rPr>
          <w:i/>
          <w:noProof/>
        </w:rPr>
        <w:t>in vitro</w:t>
      </w:r>
      <w:r w:rsidRPr="00C57330">
        <w:rPr>
          <w:noProof/>
        </w:rPr>
        <w:t>. Rozporządzenia te mają na celu zapewnienie wysokiego poziomu ochrony zdrowia pacjentów</w:t>
      </w:r>
      <w:r w:rsidR="006C5585" w:rsidRPr="00C57330">
        <w:rPr>
          <w:noProof/>
        </w:rPr>
        <w:t xml:space="preserve"> i</w:t>
      </w:r>
      <w:r w:rsidR="006C5585">
        <w:rPr>
          <w:noProof/>
        </w:rPr>
        <w:t> </w:t>
      </w:r>
      <w:r w:rsidR="006C5585" w:rsidRPr="00C57330">
        <w:rPr>
          <w:noProof/>
        </w:rPr>
        <w:t>uży</w:t>
      </w:r>
      <w:r w:rsidRPr="00C57330">
        <w:rPr>
          <w:noProof/>
        </w:rPr>
        <w:t>tkowników oraz sprawnego funkcjonowania rynku wewnętrznego</w:t>
      </w:r>
      <w:r w:rsidR="006C5585" w:rsidRPr="00C57330">
        <w:rPr>
          <w:noProof/>
        </w:rPr>
        <w:t xml:space="preserve"> w</w:t>
      </w:r>
      <w:r w:rsidR="006C5585">
        <w:rPr>
          <w:noProof/>
        </w:rPr>
        <w:t> </w:t>
      </w:r>
      <w:r w:rsidR="006C5585" w:rsidRPr="00C57330">
        <w:rPr>
          <w:noProof/>
        </w:rPr>
        <w:t>obs</w:t>
      </w:r>
      <w:r w:rsidRPr="00C57330">
        <w:rPr>
          <w:noProof/>
        </w:rPr>
        <w:t>zarze tych wyrobów. Aby osiągnąć te cele oraz rozwiązać stwierdzone problemy związane</w:t>
      </w:r>
      <w:r w:rsidR="006C5585" w:rsidRPr="00C57330">
        <w:rPr>
          <w:noProof/>
        </w:rPr>
        <w:t xml:space="preserve"> z</w:t>
      </w:r>
      <w:r w:rsidR="006C5585">
        <w:rPr>
          <w:noProof/>
        </w:rPr>
        <w:t> </w:t>
      </w:r>
      <w:r w:rsidR="006C5585" w:rsidRPr="00C57330">
        <w:rPr>
          <w:noProof/>
        </w:rPr>
        <w:t>pop</w:t>
      </w:r>
      <w:r w:rsidRPr="00C57330">
        <w:rPr>
          <w:noProof/>
        </w:rPr>
        <w:t>rzednimi ramami regulacyjnymi,</w:t>
      </w:r>
      <w:r w:rsidR="006C5585" w:rsidRPr="00C57330">
        <w:rPr>
          <w:noProof/>
        </w:rPr>
        <w:t xml:space="preserve"> w</w:t>
      </w:r>
      <w:r w:rsidR="006C5585">
        <w:rPr>
          <w:noProof/>
        </w:rPr>
        <w:t> </w:t>
      </w:r>
      <w:r w:rsidR="006C5585" w:rsidRPr="00C57330">
        <w:rPr>
          <w:noProof/>
        </w:rPr>
        <w:t>roz</w:t>
      </w:r>
      <w:r w:rsidRPr="00C57330">
        <w:rPr>
          <w:noProof/>
        </w:rPr>
        <w:t>porządzeniach ustanowiono skuteczniejszy system oceny zgodności</w:t>
      </w:r>
      <w:r w:rsidR="006C5585" w:rsidRPr="00C57330">
        <w:rPr>
          <w:noProof/>
        </w:rPr>
        <w:t xml:space="preserve"> w</w:t>
      </w:r>
      <w:r w:rsidR="006C5585">
        <w:rPr>
          <w:noProof/>
        </w:rPr>
        <w:t> </w:t>
      </w:r>
      <w:r w:rsidR="006C5585" w:rsidRPr="00C57330">
        <w:rPr>
          <w:noProof/>
        </w:rPr>
        <w:t>cel</w:t>
      </w:r>
      <w:r w:rsidRPr="00C57330">
        <w:rPr>
          <w:noProof/>
        </w:rPr>
        <w:t>u zapewnienia jakości, bezpieczeństwa</w:t>
      </w:r>
      <w:r w:rsidR="006C5585" w:rsidRPr="00C57330">
        <w:rPr>
          <w:noProof/>
        </w:rPr>
        <w:t xml:space="preserve"> i</w:t>
      </w:r>
      <w:r w:rsidR="006C5585">
        <w:rPr>
          <w:noProof/>
        </w:rPr>
        <w:t> </w:t>
      </w:r>
      <w:r w:rsidR="006C5585" w:rsidRPr="00C57330">
        <w:rPr>
          <w:noProof/>
        </w:rPr>
        <w:t>dzi</w:t>
      </w:r>
      <w:r w:rsidRPr="00C57330">
        <w:rPr>
          <w:noProof/>
        </w:rPr>
        <w:t xml:space="preserve">ałania wyrobów wprowadzanych do obrotu w UE. </w:t>
      </w:r>
    </w:p>
    <w:p w14:paraId="36EF72E6" w14:textId="46F73ACE" w:rsidR="00A90D06" w:rsidRPr="00C57330" w:rsidRDefault="00827D02" w:rsidP="001F4EF3">
      <w:pPr>
        <w:pStyle w:val="Text1"/>
        <w:rPr>
          <w:noProof/>
        </w:rPr>
      </w:pPr>
      <w:r w:rsidRPr="00C57330">
        <w:rPr>
          <w:noProof/>
        </w:rPr>
        <w:t xml:space="preserve">Rozporządzenie MDR obowiązuje </w:t>
      </w:r>
      <w:r w:rsidRPr="006C5585">
        <w:rPr>
          <w:noProof/>
        </w:rPr>
        <w:t>od</w:t>
      </w:r>
      <w:r w:rsidR="006C5585" w:rsidRPr="006C5585">
        <w:rPr>
          <w:noProof/>
        </w:rPr>
        <w:t> </w:t>
      </w:r>
      <w:r w:rsidRPr="006C5585">
        <w:rPr>
          <w:noProof/>
        </w:rPr>
        <w:t>2</w:t>
      </w:r>
      <w:r w:rsidRPr="00C57330">
        <w:rPr>
          <w:noProof/>
        </w:rPr>
        <w:t>6 maja 20</w:t>
      </w:r>
      <w:r w:rsidRPr="006C5585">
        <w:rPr>
          <w:noProof/>
        </w:rPr>
        <w:t>21</w:t>
      </w:r>
      <w:r w:rsidR="006C5585" w:rsidRPr="006C5585">
        <w:rPr>
          <w:noProof/>
        </w:rPr>
        <w:t> </w:t>
      </w:r>
      <w:r w:rsidRPr="006C5585">
        <w:rPr>
          <w:noProof/>
        </w:rPr>
        <w:t>r.</w:t>
      </w:r>
      <w:r w:rsidRPr="00C57330">
        <w:rPr>
          <w:rStyle w:val="FootnoteReference"/>
          <w:noProof/>
        </w:rPr>
        <w:footnoteReference w:id="4"/>
      </w:r>
      <w:r w:rsidRPr="00C57330">
        <w:rPr>
          <w:noProof/>
        </w:rPr>
        <w:t xml:space="preserve"> Okres przejściowy określony</w:t>
      </w:r>
      <w:r w:rsidR="006C5585" w:rsidRPr="00C57330">
        <w:rPr>
          <w:noProof/>
        </w:rPr>
        <w:t xml:space="preserve"> w</w:t>
      </w:r>
      <w:r w:rsidR="006C5585">
        <w:rPr>
          <w:noProof/>
        </w:rPr>
        <w:t> </w:t>
      </w:r>
      <w:r w:rsidR="006C5585" w:rsidRPr="006C5585">
        <w:rPr>
          <w:noProof/>
        </w:rPr>
        <w:t>art</w:t>
      </w:r>
      <w:r w:rsidRPr="006C5585">
        <w:rPr>
          <w:noProof/>
        </w:rPr>
        <w:t>.</w:t>
      </w:r>
      <w:r w:rsidR="006C5585" w:rsidRPr="006C5585">
        <w:rPr>
          <w:noProof/>
        </w:rPr>
        <w:t> </w:t>
      </w:r>
      <w:r w:rsidRPr="006C5585">
        <w:rPr>
          <w:noProof/>
        </w:rPr>
        <w:t>1</w:t>
      </w:r>
      <w:r w:rsidRPr="00C57330">
        <w:rPr>
          <w:noProof/>
        </w:rPr>
        <w:t xml:space="preserve">20 </w:t>
      </w:r>
      <w:r w:rsidRPr="006C5585">
        <w:rPr>
          <w:noProof/>
        </w:rPr>
        <w:t>ust.</w:t>
      </w:r>
      <w:r w:rsidR="006C5585" w:rsidRPr="006C5585">
        <w:rPr>
          <w:noProof/>
        </w:rPr>
        <w:t> </w:t>
      </w:r>
      <w:r w:rsidRPr="006C5585">
        <w:rPr>
          <w:noProof/>
        </w:rPr>
        <w:t>3</w:t>
      </w:r>
      <w:r w:rsidRPr="00C57330">
        <w:rPr>
          <w:noProof/>
        </w:rPr>
        <w:t xml:space="preserve"> zakończy </w:t>
      </w:r>
      <w:r w:rsidRPr="006C5585">
        <w:rPr>
          <w:noProof/>
        </w:rPr>
        <w:t>się</w:t>
      </w:r>
      <w:r w:rsidR="006C5585" w:rsidRPr="006C5585">
        <w:rPr>
          <w:noProof/>
        </w:rPr>
        <w:t> </w:t>
      </w:r>
      <w:r w:rsidRPr="006C5585">
        <w:rPr>
          <w:noProof/>
        </w:rPr>
        <w:t>2</w:t>
      </w:r>
      <w:r w:rsidRPr="00C57330">
        <w:rPr>
          <w:noProof/>
        </w:rPr>
        <w:t>6 maja 20</w:t>
      </w:r>
      <w:r w:rsidRPr="006C5585">
        <w:rPr>
          <w:noProof/>
        </w:rPr>
        <w:t>24</w:t>
      </w:r>
      <w:r w:rsidR="006C5585" w:rsidRPr="006C5585">
        <w:rPr>
          <w:noProof/>
        </w:rPr>
        <w:t> </w:t>
      </w:r>
      <w:r w:rsidRPr="006C5585">
        <w:rPr>
          <w:noProof/>
        </w:rPr>
        <w:t>r.</w:t>
      </w:r>
    </w:p>
    <w:p w14:paraId="1B17B913" w14:textId="529AF218" w:rsidR="00827D02" w:rsidRPr="00C57330" w:rsidRDefault="00827D02" w:rsidP="001F4EF3">
      <w:pPr>
        <w:pStyle w:val="Text1"/>
        <w:rPr>
          <w:noProof/>
        </w:rPr>
      </w:pPr>
      <w:r w:rsidRPr="00C57330">
        <w:rPr>
          <w:noProof/>
        </w:rPr>
        <w:t xml:space="preserve">Rozporządzenie IVDR obowiązuje </w:t>
      </w:r>
      <w:r w:rsidRPr="006C5585">
        <w:rPr>
          <w:noProof/>
        </w:rPr>
        <w:t>od</w:t>
      </w:r>
      <w:r w:rsidR="006C5585" w:rsidRPr="006C5585">
        <w:rPr>
          <w:noProof/>
        </w:rPr>
        <w:t> </w:t>
      </w:r>
      <w:r w:rsidRPr="006C5585">
        <w:rPr>
          <w:noProof/>
        </w:rPr>
        <w:t>2</w:t>
      </w:r>
      <w:r w:rsidRPr="00C57330">
        <w:rPr>
          <w:noProof/>
        </w:rPr>
        <w:t>6 maja 20</w:t>
      </w:r>
      <w:r w:rsidRPr="006C5585">
        <w:rPr>
          <w:noProof/>
        </w:rPr>
        <w:t>22</w:t>
      </w:r>
      <w:r w:rsidR="006C5585" w:rsidRPr="006C5585">
        <w:rPr>
          <w:noProof/>
        </w:rPr>
        <w:t> </w:t>
      </w:r>
      <w:r w:rsidRPr="006C5585">
        <w:rPr>
          <w:noProof/>
        </w:rPr>
        <w:t>r</w:t>
      </w:r>
      <w:r w:rsidR="006C5585" w:rsidRPr="006C5585">
        <w:rPr>
          <w:noProof/>
        </w:rPr>
        <w:t>.</w:t>
      </w:r>
      <w:r w:rsidR="006C5585" w:rsidRPr="00C57330">
        <w:rPr>
          <w:noProof/>
        </w:rPr>
        <w:t xml:space="preserve"> W</w:t>
      </w:r>
      <w:r w:rsidR="006C5585">
        <w:rPr>
          <w:noProof/>
        </w:rPr>
        <w:t> </w:t>
      </w:r>
      <w:r w:rsidR="006C5585" w:rsidRPr="00C57330">
        <w:rPr>
          <w:noProof/>
        </w:rPr>
        <w:t>sty</w:t>
      </w:r>
      <w:r w:rsidRPr="00C57330">
        <w:rPr>
          <w:noProof/>
        </w:rPr>
        <w:t>czniu 20</w:t>
      </w:r>
      <w:r w:rsidRPr="006C5585">
        <w:rPr>
          <w:noProof/>
        </w:rPr>
        <w:t>22</w:t>
      </w:r>
      <w:r w:rsidR="006C5585" w:rsidRPr="006C5585">
        <w:rPr>
          <w:noProof/>
        </w:rPr>
        <w:t> </w:t>
      </w:r>
      <w:r w:rsidRPr="006C5585">
        <w:rPr>
          <w:noProof/>
        </w:rPr>
        <w:t>r.</w:t>
      </w:r>
      <w:r w:rsidRPr="00C57330">
        <w:rPr>
          <w:noProof/>
        </w:rPr>
        <w:t xml:space="preserve"> Parlament Europejski</w:t>
      </w:r>
      <w:r w:rsidR="006C5585" w:rsidRPr="00C57330">
        <w:rPr>
          <w:noProof/>
        </w:rPr>
        <w:t xml:space="preserve"> i</w:t>
      </w:r>
      <w:r w:rsidR="006C5585">
        <w:rPr>
          <w:noProof/>
        </w:rPr>
        <w:t> </w:t>
      </w:r>
      <w:r w:rsidR="006C5585" w:rsidRPr="00C57330">
        <w:rPr>
          <w:noProof/>
        </w:rPr>
        <w:t>Rad</w:t>
      </w:r>
      <w:r w:rsidRPr="00C57330">
        <w:rPr>
          <w:noProof/>
        </w:rPr>
        <w:t>a przyjęły stopniowe przedłużenie okresu przejściowego, obejmujące ustanowienie następujących dat: 26 maja 20</w:t>
      </w:r>
      <w:r w:rsidRPr="006C5585">
        <w:rPr>
          <w:noProof/>
        </w:rPr>
        <w:t>25</w:t>
      </w:r>
      <w:r w:rsidR="006C5585" w:rsidRPr="006C5585">
        <w:rPr>
          <w:noProof/>
        </w:rPr>
        <w:t> </w:t>
      </w:r>
      <w:r w:rsidRPr="006C5585">
        <w:rPr>
          <w:noProof/>
        </w:rPr>
        <w:t>r.</w:t>
      </w:r>
      <w:r w:rsidR="006C5585" w:rsidRPr="00C57330">
        <w:rPr>
          <w:noProof/>
        </w:rPr>
        <w:t xml:space="preserve"> w</w:t>
      </w:r>
      <w:r w:rsidR="006C5585">
        <w:rPr>
          <w:noProof/>
        </w:rPr>
        <w:t> </w:t>
      </w:r>
      <w:r w:rsidR="006C5585" w:rsidRPr="00C57330">
        <w:rPr>
          <w:noProof/>
        </w:rPr>
        <w:t>prz</w:t>
      </w:r>
      <w:r w:rsidRPr="00C57330">
        <w:rPr>
          <w:noProof/>
        </w:rPr>
        <w:t xml:space="preserve">ypadku wyrobów wysokiego ryzyka do diagnostyki </w:t>
      </w:r>
      <w:r w:rsidRPr="00C57330">
        <w:rPr>
          <w:i/>
          <w:noProof/>
        </w:rPr>
        <w:t>in vitro</w:t>
      </w:r>
      <w:r w:rsidRPr="00C57330">
        <w:rPr>
          <w:noProof/>
        </w:rPr>
        <w:t>, 26 maja 20</w:t>
      </w:r>
      <w:r w:rsidRPr="006C5585">
        <w:rPr>
          <w:noProof/>
        </w:rPr>
        <w:t>27</w:t>
      </w:r>
      <w:r w:rsidR="006C5585" w:rsidRPr="006C5585">
        <w:rPr>
          <w:noProof/>
        </w:rPr>
        <w:t> </w:t>
      </w:r>
      <w:r w:rsidRPr="006C5585">
        <w:rPr>
          <w:noProof/>
        </w:rPr>
        <w:t>r.</w:t>
      </w:r>
      <w:r w:rsidR="006C5585" w:rsidRPr="00C57330">
        <w:rPr>
          <w:noProof/>
        </w:rPr>
        <w:t xml:space="preserve"> w</w:t>
      </w:r>
      <w:r w:rsidR="006C5585">
        <w:rPr>
          <w:noProof/>
        </w:rPr>
        <w:t> </w:t>
      </w:r>
      <w:r w:rsidR="006C5585" w:rsidRPr="00C57330">
        <w:rPr>
          <w:noProof/>
        </w:rPr>
        <w:t>prz</w:t>
      </w:r>
      <w:r w:rsidRPr="00C57330">
        <w:rPr>
          <w:noProof/>
        </w:rPr>
        <w:t xml:space="preserve">ypadku wyrobów do diagnostyki </w:t>
      </w:r>
      <w:r w:rsidRPr="00C57330">
        <w:rPr>
          <w:i/>
          <w:noProof/>
        </w:rPr>
        <w:t>in vitro</w:t>
      </w:r>
      <w:r w:rsidR="006C5585" w:rsidRPr="00C57330">
        <w:rPr>
          <w:noProof/>
        </w:rPr>
        <w:t xml:space="preserve"> o</w:t>
      </w:r>
      <w:r w:rsidR="006C5585">
        <w:rPr>
          <w:noProof/>
        </w:rPr>
        <w:t> </w:t>
      </w:r>
      <w:r w:rsidR="006C5585" w:rsidRPr="00C57330">
        <w:rPr>
          <w:noProof/>
        </w:rPr>
        <w:t>niż</w:t>
      </w:r>
      <w:r w:rsidRPr="00C57330">
        <w:rPr>
          <w:noProof/>
        </w:rPr>
        <w:t>szym ryzyku oraz 26 maja 20</w:t>
      </w:r>
      <w:r w:rsidRPr="006C5585">
        <w:rPr>
          <w:noProof/>
        </w:rPr>
        <w:t>28</w:t>
      </w:r>
      <w:r w:rsidR="006C5585" w:rsidRPr="006C5585">
        <w:rPr>
          <w:noProof/>
        </w:rPr>
        <w:t> </w:t>
      </w:r>
      <w:r w:rsidRPr="006C5585">
        <w:rPr>
          <w:noProof/>
        </w:rPr>
        <w:t>r.</w:t>
      </w:r>
      <w:r w:rsidR="006C5585" w:rsidRPr="00C57330">
        <w:rPr>
          <w:noProof/>
        </w:rPr>
        <w:t xml:space="preserve"> w</w:t>
      </w:r>
      <w:r w:rsidR="006C5585">
        <w:rPr>
          <w:noProof/>
        </w:rPr>
        <w:t> </w:t>
      </w:r>
      <w:r w:rsidR="006C5585" w:rsidRPr="00C57330">
        <w:rPr>
          <w:noProof/>
        </w:rPr>
        <w:t>prz</w:t>
      </w:r>
      <w:r w:rsidRPr="00C57330">
        <w:rPr>
          <w:noProof/>
        </w:rPr>
        <w:t>ypadku niektórych przepisów dotyczących wyrobów wytwarzanych</w:t>
      </w:r>
      <w:r w:rsidR="006C5585" w:rsidRPr="00C57330">
        <w:rPr>
          <w:noProof/>
        </w:rPr>
        <w:t xml:space="preserve"> i</w:t>
      </w:r>
      <w:r w:rsidR="006C5585">
        <w:rPr>
          <w:noProof/>
        </w:rPr>
        <w:t> </w:t>
      </w:r>
      <w:r w:rsidR="006C5585" w:rsidRPr="00C57330">
        <w:rPr>
          <w:noProof/>
        </w:rPr>
        <w:t>uży</w:t>
      </w:r>
      <w:r w:rsidRPr="00C57330">
        <w:rPr>
          <w:noProof/>
        </w:rPr>
        <w:t>wanych</w:t>
      </w:r>
      <w:r w:rsidR="006C5585" w:rsidRPr="00C57330">
        <w:rPr>
          <w:noProof/>
        </w:rPr>
        <w:t xml:space="preserve"> w</w:t>
      </w:r>
      <w:r w:rsidR="006C5585">
        <w:rPr>
          <w:noProof/>
        </w:rPr>
        <w:t> </w:t>
      </w:r>
      <w:r w:rsidR="006C5585" w:rsidRPr="00C57330">
        <w:rPr>
          <w:noProof/>
        </w:rPr>
        <w:t>ins</w:t>
      </w:r>
      <w:r w:rsidRPr="00C57330">
        <w:rPr>
          <w:noProof/>
        </w:rPr>
        <w:t>tytucjach zdrowia publicznego</w:t>
      </w:r>
      <w:r w:rsidRPr="00C57330">
        <w:rPr>
          <w:rStyle w:val="FootnoteReference"/>
          <w:noProof/>
        </w:rPr>
        <w:footnoteReference w:id="5"/>
      </w:r>
      <w:r w:rsidRPr="00C57330">
        <w:rPr>
          <w:noProof/>
        </w:rPr>
        <w:t>.</w:t>
      </w:r>
    </w:p>
    <w:p w14:paraId="7823C75F" w14:textId="135F5457" w:rsidR="00051A11" w:rsidRPr="00C57330" w:rsidRDefault="00051A11" w:rsidP="001F4EF3">
      <w:pPr>
        <w:pStyle w:val="Text1"/>
        <w:rPr>
          <w:noProof/>
        </w:rPr>
      </w:pPr>
      <w:r w:rsidRPr="00C57330">
        <w:rPr>
          <w:noProof/>
        </w:rPr>
        <w:t>Pomimo znacznych postępów poczynionych</w:t>
      </w:r>
      <w:r w:rsidR="006C5585" w:rsidRPr="00C57330">
        <w:rPr>
          <w:noProof/>
        </w:rPr>
        <w:t xml:space="preserve"> w</w:t>
      </w:r>
      <w:r w:rsidR="006C5585">
        <w:rPr>
          <w:noProof/>
        </w:rPr>
        <w:t> </w:t>
      </w:r>
      <w:r w:rsidR="006C5585" w:rsidRPr="00C57330">
        <w:rPr>
          <w:noProof/>
        </w:rPr>
        <w:t>ost</w:t>
      </w:r>
      <w:r w:rsidRPr="00C57330">
        <w:rPr>
          <w:noProof/>
        </w:rPr>
        <w:t>atnich latach ogólna zdolność jednostek oceniających zgodność („jednostki notyfikowane”) nadal jest niewystarczająca do wykonywania powierzonych im zadań. Wielu producentów nie jest ponadto wystarczająco przygotowanych do spełnienia zaostrzonych wymogów określonych</w:t>
      </w:r>
      <w:r w:rsidR="006C5585" w:rsidRPr="00C57330">
        <w:rPr>
          <w:noProof/>
        </w:rPr>
        <w:t xml:space="preserve"> w</w:t>
      </w:r>
      <w:r w:rsidR="006C5585">
        <w:rPr>
          <w:noProof/>
        </w:rPr>
        <w:t> </w:t>
      </w:r>
      <w:r w:rsidR="006C5585" w:rsidRPr="00C57330">
        <w:rPr>
          <w:noProof/>
        </w:rPr>
        <w:t>roz</w:t>
      </w:r>
      <w:r w:rsidRPr="00C57330">
        <w:rPr>
          <w:noProof/>
        </w:rPr>
        <w:t>porządzeniu MDR do końca okresu przejściowego. Taka sytuacja stwarza zagrożenie dla dostępności wyrobów medycznych na rynku UE.</w:t>
      </w:r>
    </w:p>
    <w:p w14:paraId="0FA46D91" w14:textId="488C6075" w:rsidR="00EF0E09" w:rsidRPr="00C57330" w:rsidDel="009B61A8" w:rsidRDefault="00EF0E09" w:rsidP="001F4EF3">
      <w:pPr>
        <w:pStyle w:val="Text1"/>
        <w:rPr>
          <w:noProof/>
        </w:rPr>
      </w:pPr>
      <w:r w:rsidRPr="00C57330">
        <w:rPr>
          <w:noProof/>
        </w:rPr>
        <w:t>Obecnie na podstawie rozporządzenia (UE) 2017/745 wyznaczonych jest 36 jednostek notyfikowanych. Trwa proces rozpatrywania kolejnych 26 wniosków</w:t>
      </w:r>
      <w:r w:rsidR="006C5585" w:rsidRPr="00C57330">
        <w:rPr>
          <w:noProof/>
        </w:rPr>
        <w:t xml:space="preserve"> o</w:t>
      </w:r>
      <w:r w:rsidR="006C5585">
        <w:rPr>
          <w:noProof/>
        </w:rPr>
        <w:t> </w:t>
      </w:r>
      <w:r w:rsidR="006C5585" w:rsidRPr="00C57330">
        <w:rPr>
          <w:noProof/>
        </w:rPr>
        <w:t>wyz</w:t>
      </w:r>
      <w:r w:rsidRPr="00C57330">
        <w:rPr>
          <w:noProof/>
        </w:rPr>
        <w:t>naczenie do pełnienia fu</w:t>
      </w:r>
      <w:r w:rsidR="00C57330" w:rsidRPr="00C57330">
        <w:rPr>
          <w:noProof/>
        </w:rPr>
        <w:t xml:space="preserve">nkcji jednostki notyfikowanej; </w:t>
      </w:r>
      <w:r w:rsidRPr="00C57330">
        <w:rPr>
          <w:noProof/>
        </w:rPr>
        <w:t>trzy</w:t>
      </w:r>
      <w:r w:rsidR="006C5585" w:rsidRPr="00C57330">
        <w:rPr>
          <w:noProof/>
        </w:rPr>
        <w:t xml:space="preserve"> z</w:t>
      </w:r>
      <w:r w:rsidR="006C5585">
        <w:rPr>
          <w:noProof/>
        </w:rPr>
        <w:t> </w:t>
      </w:r>
      <w:r w:rsidR="006C5585" w:rsidRPr="00C57330">
        <w:rPr>
          <w:noProof/>
        </w:rPr>
        <w:t>nic</w:t>
      </w:r>
      <w:r w:rsidRPr="00C57330">
        <w:rPr>
          <w:noProof/>
        </w:rPr>
        <w:t>h są na zaawansowanym etapie</w:t>
      </w:r>
      <w:r w:rsidRPr="00C57330">
        <w:rPr>
          <w:rStyle w:val="FootnoteReference"/>
          <w:noProof/>
        </w:rPr>
        <w:footnoteReference w:id="6"/>
      </w:r>
      <w:r w:rsidRPr="00C57330">
        <w:rPr>
          <w:noProof/>
        </w:rPr>
        <w:t xml:space="preserve">. </w:t>
      </w:r>
    </w:p>
    <w:p w14:paraId="320C1670" w14:textId="294FF5F0" w:rsidR="00EF0E09" w:rsidRPr="00C57330" w:rsidRDefault="00E16C3E" w:rsidP="001F4EF3">
      <w:pPr>
        <w:pStyle w:val="Text1"/>
        <w:rPr>
          <w:noProof/>
        </w:rPr>
      </w:pPr>
      <w:r w:rsidRPr="00C57330">
        <w:rPr>
          <w:noProof/>
        </w:rPr>
        <w:t>W październiku 20</w:t>
      </w:r>
      <w:r w:rsidRPr="006C5585">
        <w:rPr>
          <w:noProof/>
        </w:rPr>
        <w:t>22</w:t>
      </w:r>
      <w:r w:rsidR="006C5585" w:rsidRPr="006C5585">
        <w:rPr>
          <w:noProof/>
        </w:rPr>
        <w:t> </w:t>
      </w:r>
      <w:r w:rsidRPr="006C5585">
        <w:rPr>
          <w:noProof/>
        </w:rPr>
        <w:t>r.</w:t>
      </w:r>
      <w:r w:rsidRPr="00C57330">
        <w:rPr>
          <w:noProof/>
        </w:rPr>
        <w:t xml:space="preserve"> jednostki notyfikowane zgłosiły, że otrzymały łącznie 8 120 wniosków od producentów</w:t>
      </w:r>
      <w:r w:rsidR="006C5585" w:rsidRPr="00C57330">
        <w:rPr>
          <w:noProof/>
        </w:rPr>
        <w:t xml:space="preserve"> o</w:t>
      </w:r>
      <w:r w:rsidR="006C5585">
        <w:rPr>
          <w:noProof/>
        </w:rPr>
        <w:t> </w:t>
      </w:r>
      <w:r w:rsidR="006C5585" w:rsidRPr="00C57330">
        <w:rPr>
          <w:noProof/>
        </w:rPr>
        <w:t>cer</w:t>
      </w:r>
      <w:r w:rsidRPr="00C57330">
        <w:rPr>
          <w:noProof/>
        </w:rPr>
        <w:t>tyfikację na podstawie rozporządzenia MDR</w:t>
      </w:r>
      <w:r w:rsidR="006C5585" w:rsidRPr="00C57330">
        <w:rPr>
          <w:noProof/>
        </w:rPr>
        <w:t xml:space="preserve"> i</w:t>
      </w:r>
      <w:r w:rsidR="006C5585">
        <w:rPr>
          <w:noProof/>
        </w:rPr>
        <w:t> </w:t>
      </w:r>
      <w:r w:rsidR="006C5585" w:rsidRPr="00C57330">
        <w:rPr>
          <w:noProof/>
        </w:rPr>
        <w:t>wyd</w:t>
      </w:r>
      <w:r w:rsidRPr="00C57330">
        <w:rPr>
          <w:noProof/>
        </w:rPr>
        <w:t>ały na podstawie tego rozporządzenia 1 990 certyfikatów. Zgodnie</w:t>
      </w:r>
      <w:r w:rsidR="006C5585" w:rsidRPr="00C57330">
        <w:rPr>
          <w:noProof/>
        </w:rPr>
        <w:t xml:space="preserve"> z</w:t>
      </w:r>
      <w:r w:rsidR="006C5585">
        <w:rPr>
          <w:noProof/>
        </w:rPr>
        <w:t> </w:t>
      </w:r>
      <w:r w:rsidR="006C5585" w:rsidRPr="00C57330">
        <w:rPr>
          <w:noProof/>
        </w:rPr>
        <w:t>dan</w:t>
      </w:r>
      <w:r w:rsidRPr="00C57330">
        <w:rPr>
          <w:noProof/>
        </w:rPr>
        <w:t>ymi szacunkowymi przedstawionymi przez jednostki notyfikowane Grupie Koordynacyjnej ds. Wyrobów Medycznych (MDCG)</w:t>
      </w:r>
      <w:r w:rsidRPr="00C57330">
        <w:rPr>
          <w:rStyle w:val="FootnoteReference"/>
          <w:noProof/>
        </w:rPr>
        <w:footnoteReference w:id="7"/>
      </w:r>
      <w:r w:rsidRPr="00C57330">
        <w:rPr>
          <w:noProof/>
        </w:rPr>
        <w:t xml:space="preserve"> 17 listopada 20</w:t>
      </w:r>
      <w:r w:rsidRPr="006C5585">
        <w:rPr>
          <w:noProof/>
        </w:rPr>
        <w:t>22</w:t>
      </w:r>
      <w:r w:rsidR="006C5585" w:rsidRPr="006C5585">
        <w:rPr>
          <w:noProof/>
        </w:rPr>
        <w:t> </w:t>
      </w:r>
      <w:r w:rsidRPr="006C5585">
        <w:rPr>
          <w:noProof/>
        </w:rPr>
        <w:t>r.</w:t>
      </w:r>
      <w:r w:rsidRPr="00C57330">
        <w:rPr>
          <w:noProof/>
        </w:rPr>
        <w:t xml:space="preserve"> liczba certyfikatów wydanych do maja 20</w:t>
      </w:r>
      <w:r w:rsidRPr="006C5585">
        <w:rPr>
          <w:noProof/>
        </w:rPr>
        <w:t>24</w:t>
      </w:r>
      <w:r w:rsidR="006C5585" w:rsidRPr="006C5585">
        <w:rPr>
          <w:noProof/>
        </w:rPr>
        <w:t> </w:t>
      </w:r>
      <w:r w:rsidRPr="006C5585">
        <w:rPr>
          <w:noProof/>
        </w:rPr>
        <w:t>r.</w:t>
      </w:r>
      <w:r w:rsidRPr="00C57330">
        <w:rPr>
          <w:noProof/>
        </w:rPr>
        <w:t xml:space="preserve"> może wynieść około 7 000, jeżeli utrzyma się obecne tempo wydawania certyfikatów</w:t>
      </w:r>
      <w:r w:rsidR="006C5585" w:rsidRPr="00C57330">
        <w:rPr>
          <w:noProof/>
        </w:rPr>
        <w:t xml:space="preserve"> i</w:t>
      </w:r>
      <w:r w:rsidR="006C5585">
        <w:rPr>
          <w:noProof/>
        </w:rPr>
        <w:t> </w:t>
      </w:r>
      <w:r w:rsidR="006C5585" w:rsidRPr="00C57330">
        <w:rPr>
          <w:noProof/>
        </w:rPr>
        <w:t>nie</w:t>
      </w:r>
      <w:r w:rsidRPr="00C57330">
        <w:rPr>
          <w:noProof/>
        </w:rPr>
        <w:t xml:space="preserve"> nastąpią żadne zmiany</w:t>
      </w:r>
      <w:r w:rsidR="006C5585" w:rsidRPr="00C57330">
        <w:rPr>
          <w:noProof/>
        </w:rPr>
        <w:t xml:space="preserve"> w</w:t>
      </w:r>
      <w:r w:rsidR="006C5585">
        <w:rPr>
          <w:noProof/>
        </w:rPr>
        <w:t> </w:t>
      </w:r>
      <w:r w:rsidR="006C5585" w:rsidRPr="00C57330">
        <w:rPr>
          <w:noProof/>
        </w:rPr>
        <w:t>obe</w:t>
      </w:r>
      <w:r w:rsidRPr="00C57330">
        <w:rPr>
          <w:noProof/>
        </w:rPr>
        <w:t>cnych warunkach. Jednostki notyfikowane szacują, że proces przekształcania wszystkich certyfikatów wydanych na podstawie dyrektyw</w:t>
      </w:r>
      <w:r w:rsidR="006C5585" w:rsidRPr="00C57330">
        <w:rPr>
          <w:noProof/>
        </w:rPr>
        <w:t xml:space="preserve"> w</w:t>
      </w:r>
      <w:r w:rsidR="006C5585">
        <w:rPr>
          <w:noProof/>
        </w:rPr>
        <w:t> </w:t>
      </w:r>
      <w:r w:rsidR="006C5585" w:rsidRPr="00C57330">
        <w:rPr>
          <w:noProof/>
        </w:rPr>
        <w:t>cer</w:t>
      </w:r>
      <w:r w:rsidRPr="00C57330">
        <w:rPr>
          <w:noProof/>
        </w:rPr>
        <w:t>tyfikaty na podstawie rozporządzenia MDR mógłby prawdopodobnie zostać zakończony do grudnia 20</w:t>
      </w:r>
      <w:r w:rsidRPr="006C5585">
        <w:rPr>
          <w:noProof/>
        </w:rPr>
        <w:t>27</w:t>
      </w:r>
      <w:r w:rsidR="006C5585" w:rsidRPr="006C5585">
        <w:rPr>
          <w:noProof/>
        </w:rPr>
        <w:t> </w:t>
      </w:r>
      <w:r w:rsidRPr="006C5585">
        <w:rPr>
          <w:noProof/>
        </w:rPr>
        <w:t>r.</w:t>
      </w:r>
      <w:r w:rsidRPr="00C57330">
        <w:rPr>
          <w:rStyle w:val="FootnoteReference"/>
          <w:noProof/>
        </w:rPr>
        <w:footnoteReference w:id="8"/>
      </w:r>
    </w:p>
    <w:p w14:paraId="14C59A76" w14:textId="49A90761" w:rsidR="00CC26E0" w:rsidRPr="00C57330" w:rsidDel="009B61A8" w:rsidRDefault="00B16973" w:rsidP="00284712">
      <w:pPr>
        <w:pStyle w:val="Text1"/>
        <w:rPr>
          <w:noProof/>
        </w:rPr>
      </w:pPr>
      <w:r w:rsidRPr="00C57330">
        <w:rPr>
          <w:noProof/>
        </w:rPr>
        <w:tab/>
      </w:r>
      <w:r w:rsidR="00B96520" w:rsidRPr="00B96520">
        <w:rPr>
          <w:noProof/>
          <w:lang w:val="en-GB" w:eastAsia="en-GB"/>
        </w:rPr>
        <w:drawing>
          <wp:inline distT="0" distB="0" distL="0" distR="0" wp14:anchorId="5DD1FD48" wp14:editId="3A362152">
            <wp:extent cx="4580255" cy="35223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0255" cy="3522345"/>
                    </a:xfrm>
                    <a:prstGeom prst="rect">
                      <a:avLst/>
                    </a:prstGeom>
                    <a:noFill/>
                    <a:ln>
                      <a:noFill/>
                    </a:ln>
                  </pic:spPr>
                </pic:pic>
              </a:graphicData>
            </a:graphic>
          </wp:inline>
        </w:drawing>
      </w:r>
    </w:p>
    <w:p w14:paraId="7BC35730" w14:textId="3A2C9882" w:rsidR="00CC6A1D" w:rsidRPr="00C57330" w:rsidRDefault="00CC6A1D" w:rsidP="001F4EF3">
      <w:pPr>
        <w:pStyle w:val="Text1"/>
        <w:rPr>
          <w:noProof/>
          <w:sz w:val="18"/>
        </w:rPr>
      </w:pPr>
      <w:r w:rsidRPr="00C57330">
        <w:rPr>
          <w:noProof/>
          <w:sz w:val="18"/>
        </w:rPr>
        <w:t>Źródło: Komisja Europejska, na podstawie danych dostarczonych przez 30 jednostek notyfikowanych</w:t>
      </w:r>
      <w:r w:rsidR="006C5585" w:rsidRPr="00C57330">
        <w:rPr>
          <w:noProof/>
          <w:sz w:val="18"/>
        </w:rPr>
        <w:t xml:space="preserve"> w</w:t>
      </w:r>
      <w:r w:rsidR="006C5585">
        <w:rPr>
          <w:noProof/>
          <w:sz w:val="18"/>
        </w:rPr>
        <w:t> </w:t>
      </w:r>
      <w:r w:rsidR="006C5585" w:rsidRPr="00C57330">
        <w:rPr>
          <w:noProof/>
          <w:sz w:val="18"/>
        </w:rPr>
        <w:t>paź</w:t>
      </w:r>
      <w:r w:rsidRPr="00C57330">
        <w:rPr>
          <w:noProof/>
          <w:sz w:val="18"/>
        </w:rPr>
        <w:t>dzierniku 20</w:t>
      </w:r>
      <w:r w:rsidRPr="006C5585">
        <w:rPr>
          <w:noProof/>
          <w:sz w:val="18"/>
        </w:rPr>
        <w:t>22</w:t>
      </w:r>
      <w:r w:rsidR="006C5585" w:rsidRPr="006C5585">
        <w:rPr>
          <w:noProof/>
          <w:sz w:val="18"/>
        </w:rPr>
        <w:t> </w:t>
      </w:r>
      <w:r w:rsidRPr="006C5585">
        <w:rPr>
          <w:noProof/>
          <w:sz w:val="18"/>
        </w:rPr>
        <w:t>r.</w:t>
      </w:r>
    </w:p>
    <w:p w14:paraId="0FF4C0BB" w14:textId="78574BAF" w:rsidR="00C85970" w:rsidRPr="00C57330" w:rsidRDefault="00EF0E09" w:rsidP="001F4EF3">
      <w:pPr>
        <w:pStyle w:val="Text1"/>
        <w:rPr>
          <w:noProof/>
        </w:rPr>
      </w:pPr>
      <w:r w:rsidRPr="00C57330">
        <w:rPr>
          <w:noProof/>
        </w:rPr>
        <w:t>Stanowi to wyraźny kontrast</w:t>
      </w:r>
      <w:r w:rsidR="006C5585" w:rsidRPr="00C57330">
        <w:rPr>
          <w:noProof/>
        </w:rPr>
        <w:t xml:space="preserve"> z</w:t>
      </w:r>
      <w:r w:rsidR="006C5585">
        <w:rPr>
          <w:noProof/>
        </w:rPr>
        <w:t> </w:t>
      </w:r>
      <w:r w:rsidR="006C5585" w:rsidRPr="00C57330">
        <w:rPr>
          <w:noProof/>
        </w:rPr>
        <w:t>2</w:t>
      </w:r>
      <w:r w:rsidRPr="00C57330">
        <w:rPr>
          <w:noProof/>
        </w:rPr>
        <w:t>1 376 ważnymi certyfikatami wydanymi na podstawie dyrektywy Rady 90/385/EWG</w:t>
      </w:r>
      <w:r w:rsidR="006C5585" w:rsidRPr="00C57330">
        <w:rPr>
          <w:noProof/>
        </w:rPr>
        <w:t xml:space="preserve"> w</w:t>
      </w:r>
      <w:r w:rsidR="006C5585">
        <w:rPr>
          <w:noProof/>
        </w:rPr>
        <w:t> </w:t>
      </w:r>
      <w:r w:rsidR="006C5585" w:rsidRPr="00C57330">
        <w:rPr>
          <w:noProof/>
        </w:rPr>
        <w:t>spr</w:t>
      </w:r>
      <w:r w:rsidRPr="00C57330">
        <w:rPr>
          <w:noProof/>
        </w:rPr>
        <w:t>awie wyrobów medycznych aktywnego osadzania (dyrektywa AIMDD)</w:t>
      </w:r>
      <w:r w:rsidRPr="00C57330">
        <w:rPr>
          <w:rStyle w:val="FootnoteReference"/>
          <w:noProof/>
        </w:rPr>
        <w:footnoteReference w:id="9"/>
      </w:r>
      <w:r w:rsidR="006C5585" w:rsidRPr="00C57330">
        <w:rPr>
          <w:noProof/>
        </w:rPr>
        <w:t xml:space="preserve"> i</w:t>
      </w:r>
      <w:r w:rsidR="006C5585">
        <w:rPr>
          <w:noProof/>
        </w:rPr>
        <w:t> </w:t>
      </w:r>
      <w:r w:rsidR="006C5585" w:rsidRPr="00C57330">
        <w:rPr>
          <w:noProof/>
        </w:rPr>
        <w:t>dyr</w:t>
      </w:r>
      <w:r w:rsidRPr="00C57330">
        <w:rPr>
          <w:noProof/>
        </w:rPr>
        <w:t>ektywy Rady 93/42/EWG</w:t>
      </w:r>
      <w:r w:rsidR="006C5585" w:rsidRPr="00C57330">
        <w:rPr>
          <w:noProof/>
        </w:rPr>
        <w:t xml:space="preserve"> w</w:t>
      </w:r>
      <w:r w:rsidR="006C5585">
        <w:rPr>
          <w:noProof/>
        </w:rPr>
        <w:t> </w:t>
      </w:r>
      <w:r w:rsidR="006C5585" w:rsidRPr="00C57330">
        <w:rPr>
          <w:noProof/>
        </w:rPr>
        <w:t>spr</w:t>
      </w:r>
      <w:r w:rsidRPr="00C57330">
        <w:rPr>
          <w:noProof/>
        </w:rPr>
        <w:t>awie wyrobów medycznych (dyrektywa MDD)</w:t>
      </w:r>
      <w:r w:rsidRPr="00C57330">
        <w:rPr>
          <w:rStyle w:val="FootnoteReference"/>
          <w:noProof/>
        </w:rPr>
        <w:footnoteReference w:id="10"/>
      </w:r>
      <w:r w:rsidRPr="00C57330">
        <w:rPr>
          <w:noProof/>
        </w:rPr>
        <w:t>, które stracą ważność</w:t>
      </w:r>
      <w:r w:rsidR="006C5585" w:rsidRPr="00C57330">
        <w:rPr>
          <w:noProof/>
        </w:rPr>
        <w:t xml:space="preserve"> w</w:t>
      </w:r>
      <w:r w:rsidR="006C5585">
        <w:rPr>
          <w:noProof/>
        </w:rPr>
        <w:t> </w:t>
      </w:r>
      <w:r w:rsidR="006C5585" w:rsidRPr="00C57330">
        <w:rPr>
          <w:noProof/>
        </w:rPr>
        <w:t>okr</w:t>
      </w:r>
      <w:r w:rsidRPr="00C57330">
        <w:rPr>
          <w:noProof/>
        </w:rPr>
        <w:t>esie od stycznia 20</w:t>
      </w:r>
      <w:r w:rsidRPr="006C5585">
        <w:rPr>
          <w:noProof/>
        </w:rPr>
        <w:t>23</w:t>
      </w:r>
      <w:r w:rsidR="006C5585" w:rsidRPr="006C5585">
        <w:rPr>
          <w:noProof/>
        </w:rPr>
        <w:t> </w:t>
      </w:r>
      <w:r w:rsidRPr="006C5585">
        <w:rPr>
          <w:noProof/>
        </w:rPr>
        <w:t>r.</w:t>
      </w:r>
      <w:r w:rsidRPr="00C57330">
        <w:rPr>
          <w:noProof/>
        </w:rPr>
        <w:t xml:space="preserve"> </w:t>
      </w:r>
      <w:r w:rsidRPr="006C5585">
        <w:rPr>
          <w:noProof/>
        </w:rPr>
        <w:t>do</w:t>
      </w:r>
      <w:r w:rsidR="006C5585" w:rsidRPr="006C5585">
        <w:rPr>
          <w:noProof/>
        </w:rPr>
        <w:t> </w:t>
      </w:r>
      <w:r w:rsidRPr="006C5585">
        <w:rPr>
          <w:noProof/>
        </w:rPr>
        <w:t>2</w:t>
      </w:r>
      <w:r w:rsidRPr="00C57330">
        <w:rPr>
          <w:noProof/>
        </w:rPr>
        <w:t>6 maja 20</w:t>
      </w:r>
      <w:r w:rsidRPr="006C5585">
        <w:rPr>
          <w:noProof/>
        </w:rPr>
        <w:t>24</w:t>
      </w:r>
      <w:r w:rsidR="006C5585" w:rsidRPr="006C5585">
        <w:rPr>
          <w:noProof/>
        </w:rPr>
        <w:t> </w:t>
      </w:r>
      <w:r w:rsidRPr="006C5585">
        <w:rPr>
          <w:noProof/>
        </w:rPr>
        <w:t>r</w:t>
      </w:r>
      <w:r w:rsidR="006C5585" w:rsidRPr="006C5585">
        <w:rPr>
          <w:noProof/>
        </w:rPr>
        <w:t>.</w:t>
      </w:r>
      <w:r w:rsidR="006C5585" w:rsidRPr="00C57330">
        <w:rPr>
          <w:noProof/>
        </w:rPr>
        <w:t xml:space="preserve"> Z</w:t>
      </w:r>
      <w:r w:rsidR="006C5585">
        <w:rPr>
          <w:noProof/>
        </w:rPr>
        <w:t> </w:t>
      </w:r>
      <w:r w:rsidR="006C5585" w:rsidRPr="00C57330">
        <w:rPr>
          <w:noProof/>
        </w:rPr>
        <w:t>tyc</w:t>
      </w:r>
      <w:r w:rsidRPr="00C57330">
        <w:rPr>
          <w:noProof/>
        </w:rPr>
        <w:t>h 21 376 certyfikatów 4 311 certyfikatów straci ważność</w:t>
      </w:r>
      <w:r w:rsidR="006C5585" w:rsidRPr="00C57330">
        <w:rPr>
          <w:noProof/>
        </w:rPr>
        <w:t xml:space="preserve"> w</w:t>
      </w:r>
      <w:r w:rsidR="006C5585">
        <w:rPr>
          <w:noProof/>
        </w:rPr>
        <w:t> </w:t>
      </w:r>
      <w:r w:rsidR="006C5585" w:rsidRPr="00C57330">
        <w:rPr>
          <w:noProof/>
        </w:rPr>
        <w:t>2</w:t>
      </w:r>
      <w:r w:rsidRPr="00C57330">
        <w:rPr>
          <w:noProof/>
        </w:rPr>
        <w:t>0</w:t>
      </w:r>
      <w:r w:rsidRPr="006C5585">
        <w:rPr>
          <w:noProof/>
        </w:rPr>
        <w:t>23</w:t>
      </w:r>
      <w:r w:rsidR="006C5585" w:rsidRPr="006C5585">
        <w:rPr>
          <w:noProof/>
        </w:rPr>
        <w:t> </w:t>
      </w:r>
      <w:r w:rsidRPr="006C5585">
        <w:rPr>
          <w:noProof/>
        </w:rPr>
        <w:t>r.</w:t>
      </w:r>
      <w:r w:rsidRPr="00C57330">
        <w:rPr>
          <w:noProof/>
        </w:rPr>
        <w:t>,</w:t>
      </w:r>
      <w:r w:rsidR="006C5585" w:rsidRPr="00C57330">
        <w:rPr>
          <w:noProof/>
        </w:rPr>
        <w:t xml:space="preserve"> a</w:t>
      </w:r>
      <w:r w:rsidR="006C5585">
        <w:rPr>
          <w:noProof/>
        </w:rPr>
        <w:t> </w:t>
      </w:r>
      <w:r w:rsidR="006C5585" w:rsidRPr="00C57330">
        <w:rPr>
          <w:noProof/>
        </w:rPr>
        <w:t>1</w:t>
      </w:r>
      <w:r w:rsidRPr="00C57330">
        <w:rPr>
          <w:noProof/>
        </w:rPr>
        <w:t>7 095 certyfikatów straci ważność</w:t>
      </w:r>
      <w:r w:rsidR="006C5585" w:rsidRPr="00C57330">
        <w:rPr>
          <w:noProof/>
        </w:rPr>
        <w:t xml:space="preserve"> w</w:t>
      </w:r>
      <w:r w:rsidR="006C5585">
        <w:rPr>
          <w:noProof/>
        </w:rPr>
        <w:t> </w:t>
      </w:r>
      <w:r w:rsidR="006C5585" w:rsidRPr="00C57330">
        <w:rPr>
          <w:noProof/>
        </w:rPr>
        <w:t>pie</w:t>
      </w:r>
      <w:r w:rsidRPr="00C57330">
        <w:rPr>
          <w:noProof/>
        </w:rPr>
        <w:t>rwszych pięciu miesiącach 20</w:t>
      </w:r>
      <w:r w:rsidRPr="006C5585">
        <w:rPr>
          <w:noProof/>
        </w:rPr>
        <w:t>24</w:t>
      </w:r>
      <w:r w:rsidR="006C5585" w:rsidRPr="006C5585">
        <w:rPr>
          <w:noProof/>
        </w:rPr>
        <w:t> </w:t>
      </w:r>
      <w:r w:rsidRPr="006C5585">
        <w:rPr>
          <w:noProof/>
        </w:rPr>
        <w:t>r.</w:t>
      </w:r>
      <w:r w:rsidRPr="00C57330">
        <w:rPr>
          <w:noProof/>
        </w:rPr>
        <w:t xml:space="preserve"> Warto zauważyć, że 3 509 certyfikatów wydanych na podstawie dyrektywy AIMDD lub dyrektywy MDD straciło już ważność</w:t>
      </w:r>
      <w:r w:rsidR="006C5585" w:rsidRPr="00C57330">
        <w:rPr>
          <w:noProof/>
        </w:rPr>
        <w:t xml:space="preserve"> w</w:t>
      </w:r>
      <w:r w:rsidR="006C5585">
        <w:rPr>
          <w:noProof/>
        </w:rPr>
        <w:t> </w:t>
      </w:r>
      <w:r w:rsidR="006C5585" w:rsidRPr="00C57330">
        <w:rPr>
          <w:noProof/>
        </w:rPr>
        <w:t>okr</w:t>
      </w:r>
      <w:r w:rsidRPr="00C57330">
        <w:rPr>
          <w:noProof/>
        </w:rPr>
        <w:t>esie od maja 20</w:t>
      </w:r>
      <w:r w:rsidRPr="006C5585">
        <w:rPr>
          <w:noProof/>
        </w:rPr>
        <w:t>21</w:t>
      </w:r>
      <w:r w:rsidR="006C5585" w:rsidRPr="006C5585">
        <w:rPr>
          <w:noProof/>
        </w:rPr>
        <w:t> </w:t>
      </w:r>
      <w:r w:rsidRPr="006C5585">
        <w:rPr>
          <w:noProof/>
        </w:rPr>
        <w:t>r.</w:t>
      </w:r>
      <w:r w:rsidRPr="00C57330">
        <w:rPr>
          <w:noProof/>
        </w:rPr>
        <w:t xml:space="preserve"> do grudnia 20</w:t>
      </w:r>
      <w:r w:rsidRPr="006C5585">
        <w:rPr>
          <w:noProof/>
        </w:rPr>
        <w:t>22</w:t>
      </w:r>
      <w:r w:rsidR="006C5585" w:rsidRPr="006C5585">
        <w:rPr>
          <w:noProof/>
        </w:rPr>
        <w:t> </w:t>
      </w:r>
      <w:r w:rsidRPr="006C5585">
        <w:rPr>
          <w:noProof/>
        </w:rPr>
        <w:t>r.</w:t>
      </w:r>
    </w:p>
    <w:tbl>
      <w:tblPr>
        <w:tblStyle w:val="TableGrid"/>
        <w:tblW w:w="8269" w:type="dxa"/>
        <w:tblInd w:w="959" w:type="dxa"/>
        <w:tblLook w:val="04A0" w:firstRow="1" w:lastRow="0" w:firstColumn="1" w:lastColumn="0" w:noHBand="0" w:noVBand="1"/>
      </w:tblPr>
      <w:tblGrid>
        <w:gridCol w:w="4069"/>
        <w:gridCol w:w="4080"/>
        <w:gridCol w:w="120"/>
      </w:tblGrid>
      <w:tr w:rsidR="00C85970" w:rsidRPr="00C57330" w14:paraId="349B8A90" w14:textId="77777777" w:rsidTr="00A57CD2">
        <w:trPr>
          <w:gridAfter w:val="1"/>
          <w:wAfter w:w="120" w:type="dxa"/>
        </w:trPr>
        <w:tc>
          <w:tcPr>
            <w:tcW w:w="4069" w:type="dxa"/>
          </w:tcPr>
          <w:p w14:paraId="3B9275D0" w14:textId="77777777" w:rsidR="00C85970" w:rsidRPr="00C57330" w:rsidRDefault="00C85970" w:rsidP="00C85970">
            <w:pPr>
              <w:jc w:val="center"/>
              <w:rPr>
                <w:noProof/>
                <w:sz w:val="22"/>
              </w:rPr>
            </w:pPr>
            <w:r w:rsidRPr="00C57330">
              <w:rPr>
                <w:noProof/>
                <w:sz w:val="22"/>
              </w:rPr>
              <w:t>Rok wygaśnięcia</w:t>
            </w:r>
          </w:p>
        </w:tc>
        <w:tc>
          <w:tcPr>
            <w:tcW w:w="4080" w:type="dxa"/>
          </w:tcPr>
          <w:p w14:paraId="7CBE8905" w14:textId="389A4640" w:rsidR="00C85970" w:rsidRPr="00C57330" w:rsidRDefault="00C85970" w:rsidP="00C85970">
            <w:pPr>
              <w:jc w:val="center"/>
              <w:rPr>
                <w:noProof/>
                <w:sz w:val="22"/>
              </w:rPr>
            </w:pPr>
            <w:r w:rsidRPr="00C57330">
              <w:rPr>
                <w:noProof/>
                <w:sz w:val="22"/>
              </w:rPr>
              <w:t>Liczba certyfikatów, które straciły/stracą ważność, wydanych na podstawie dyrektyw Rady 90/385/EWG</w:t>
            </w:r>
            <w:r w:rsidR="006C5585" w:rsidRPr="00C57330">
              <w:rPr>
                <w:noProof/>
                <w:sz w:val="22"/>
              </w:rPr>
              <w:t xml:space="preserve"> i</w:t>
            </w:r>
            <w:r w:rsidR="006C5585">
              <w:rPr>
                <w:noProof/>
                <w:sz w:val="22"/>
              </w:rPr>
              <w:t> </w:t>
            </w:r>
            <w:r w:rsidR="006C5585" w:rsidRPr="00C57330">
              <w:rPr>
                <w:noProof/>
                <w:sz w:val="22"/>
              </w:rPr>
              <w:t>9</w:t>
            </w:r>
            <w:r w:rsidRPr="00C57330">
              <w:rPr>
                <w:noProof/>
                <w:sz w:val="22"/>
              </w:rPr>
              <w:t>3/42/EWG</w:t>
            </w:r>
          </w:p>
        </w:tc>
      </w:tr>
      <w:tr w:rsidR="00C85970" w:rsidRPr="00C57330" w14:paraId="1E975598" w14:textId="77777777" w:rsidTr="00A57CD2">
        <w:tc>
          <w:tcPr>
            <w:tcW w:w="4069" w:type="dxa"/>
          </w:tcPr>
          <w:p w14:paraId="4E1F98FE" w14:textId="23FD8F0A" w:rsidR="00C85970" w:rsidRPr="00C57330" w:rsidRDefault="00C85970" w:rsidP="00C85970">
            <w:pPr>
              <w:jc w:val="center"/>
              <w:rPr>
                <w:noProof/>
                <w:sz w:val="22"/>
              </w:rPr>
            </w:pPr>
            <w:r w:rsidRPr="00C57330">
              <w:rPr>
                <w:noProof/>
                <w:sz w:val="22"/>
              </w:rPr>
              <w:t>2021 (</w:t>
            </w:r>
            <w:r w:rsidRPr="006C5585">
              <w:rPr>
                <w:noProof/>
                <w:sz w:val="22"/>
              </w:rPr>
              <w:t>od</w:t>
            </w:r>
            <w:r w:rsidR="006C5585" w:rsidRPr="006C5585">
              <w:rPr>
                <w:noProof/>
                <w:sz w:val="22"/>
              </w:rPr>
              <w:t> </w:t>
            </w:r>
            <w:r w:rsidRPr="006C5585">
              <w:rPr>
                <w:noProof/>
                <w:sz w:val="22"/>
              </w:rPr>
              <w:t>2</w:t>
            </w:r>
            <w:r w:rsidRPr="00C57330">
              <w:rPr>
                <w:noProof/>
                <w:sz w:val="22"/>
              </w:rPr>
              <w:t>6 maja)</w:t>
            </w:r>
          </w:p>
        </w:tc>
        <w:tc>
          <w:tcPr>
            <w:tcW w:w="4200" w:type="dxa"/>
            <w:gridSpan w:val="2"/>
          </w:tcPr>
          <w:p w14:paraId="2D3D2A95" w14:textId="77777777" w:rsidR="00C85970" w:rsidRPr="00C57330" w:rsidRDefault="0046659B" w:rsidP="00DB4BB4">
            <w:pPr>
              <w:jc w:val="center"/>
              <w:rPr>
                <w:noProof/>
                <w:sz w:val="22"/>
                <w:highlight w:val="yellow"/>
              </w:rPr>
            </w:pPr>
            <w:r w:rsidRPr="00C57330">
              <w:rPr>
                <w:noProof/>
                <w:sz w:val="22"/>
              </w:rPr>
              <w:t>1 139</w:t>
            </w:r>
          </w:p>
        </w:tc>
      </w:tr>
      <w:tr w:rsidR="00C85970" w:rsidRPr="00C57330" w14:paraId="1F15E413" w14:textId="77777777" w:rsidTr="00A57CD2">
        <w:tc>
          <w:tcPr>
            <w:tcW w:w="4069" w:type="dxa"/>
          </w:tcPr>
          <w:p w14:paraId="2EBB7C4A" w14:textId="77777777" w:rsidR="00C85970" w:rsidRPr="00C57330" w:rsidRDefault="00C85970" w:rsidP="00C85970">
            <w:pPr>
              <w:jc w:val="center"/>
              <w:rPr>
                <w:noProof/>
                <w:sz w:val="22"/>
              </w:rPr>
            </w:pPr>
            <w:r w:rsidRPr="00C57330">
              <w:rPr>
                <w:noProof/>
                <w:sz w:val="22"/>
              </w:rPr>
              <w:t>2022</w:t>
            </w:r>
          </w:p>
        </w:tc>
        <w:tc>
          <w:tcPr>
            <w:tcW w:w="4200" w:type="dxa"/>
            <w:gridSpan w:val="2"/>
          </w:tcPr>
          <w:p w14:paraId="699BF514" w14:textId="77777777" w:rsidR="00C85970" w:rsidRPr="00C57330" w:rsidRDefault="0046659B" w:rsidP="00DB4BB4">
            <w:pPr>
              <w:jc w:val="center"/>
              <w:rPr>
                <w:noProof/>
                <w:sz w:val="22"/>
              </w:rPr>
            </w:pPr>
            <w:r w:rsidRPr="00C57330">
              <w:rPr>
                <w:noProof/>
                <w:sz w:val="22"/>
              </w:rPr>
              <w:t>2 370</w:t>
            </w:r>
          </w:p>
        </w:tc>
      </w:tr>
      <w:tr w:rsidR="00C85970" w:rsidRPr="00C57330" w14:paraId="42E64118" w14:textId="77777777" w:rsidTr="00A57CD2">
        <w:tc>
          <w:tcPr>
            <w:tcW w:w="4069" w:type="dxa"/>
          </w:tcPr>
          <w:p w14:paraId="25DB5E48" w14:textId="77777777" w:rsidR="00C85970" w:rsidRPr="00C57330" w:rsidRDefault="00C85970" w:rsidP="00C85970">
            <w:pPr>
              <w:jc w:val="center"/>
              <w:rPr>
                <w:noProof/>
                <w:sz w:val="22"/>
              </w:rPr>
            </w:pPr>
            <w:r w:rsidRPr="00C57330">
              <w:rPr>
                <w:noProof/>
                <w:sz w:val="22"/>
              </w:rPr>
              <w:t>2023</w:t>
            </w:r>
          </w:p>
        </w:tc>
        <w:tc>
          <w:tcPr>
            <w:tcW w:w="4200" w:type="dxa"/>
            <w:gridSpan w:val="2"/>
          </w:tcPr>
          <w:p w14:paraId="6BBCBE87" w14:textId="77777777" w:rsidR="00C85970" w:rsidRPr="00C57330" w:rsidRDefault="00C85970" w:rsidP="00C85970">
            <w:pPr>
              <w:jc w:val="center"/>
              <w:rPr>
                <w:noProof/>
                <w:sz w:val="22"/>
              </w:rPr>
            </w:pPr>
            <w:r w:rsidRPr="00C57330">
              <w:rPr>
                <w:noProof/>
                <w:sz w:val="22"/>
              </w:rPr>
              <w:t>4 311</w:t>
            </w:r>
          </w:p>
        </w:tc>
      </w:tr>
      <w:tr w:rsidR="00C85970" w:rsidRPr="00C57330" w14:paraId="2A408351" w14:textId="77777777" w:rsidTr="00A57CD2">
        <w:tc>
          <w:tcPr>
            <w:tcW w:w="4069" w:type="dxa"/>
          </w:tcPr>
          <w:p w14:paraId="165C1FE5" w14:textId="4A24AB37" w:rsidR="00C85970" w:rsidRPr="00C57330" w:rsidRDefault="006F5967" w:rsidP="00C85970">
            <w:pPr>
              <w:jc w:val="center"/>
              <w:rPr>
                <w:noProof/>
                <w:sz w:val="22"/>
              </w:rPr>
            </w:pPr>
            <w:r w:rsidRPr="00C57330">
              <w:rPr>
                <w:noProof/>
                <w:sz w:val="22"/>
              </w:rPr>
              <w:t>2024 (</w:t>
            </w:r>
            <w:r w:rsidRPr="006C5585">
              <w:rPr>
                <w:noProof/>
                <w:sz w:val="22"/>
              </w:rPr>
              <w:t>do</w:t>
            </w:r>
            <w:r w:rsidR="006C5585" w:rsidRPr="006C5585">
              <w:rPr>
                <w:noProof/>
                <w:sz w:val="22"/>
              </w:rPr>
              <w:t> </w:t>
            </w:r>
            <w:r w:rsidRPr="006C5585">
              <w:rPr>
                <w:noProof/>
                <w:sz w:val="22"/>
              </w:rPr>
              <w:t>2</w:t>
            </w:r>
            <w:r w:rsidRPr="00C57330">
              <w:rPr>
                <w:noProof/>
                <w:sz w:val="22"/>
              </w:rPr>
              <w:t>6 maja 20</w:t>
            </w:r>
            <w:r w:rsidRPr="006C5585">
              <w:rPr>
                <w:noProof/>
                <w:sz w:val="22"/>
              </w:rPr>
              <w:t>24</w:t>
            </w:r>
            <w:r w:rsidR="006C5585" w:rsidRPr="006C5585">
              <w:rPr>
                <w:noProof/>
                <w:sz w:val="22"/>
              </w:rPr>
              <w:t> </w:t>
            </w:r>
            <w:r w:rsidRPr="006C5585">
              <w:rPr>
                <w:noProof/>
                <w:sz w:val="22"/>
              </w:rPr>
              <w:t>r.</w:t>
            </w:r>
            <w:r w:rsidRPr="00C57330">
              <w:rPr>
                <w:noProof/>
                <w:sz w:val="22"/>
              </w:rPr>
              <w:t>)</w:t>
            </w:r>
          </w:p>
        </w:tc>
        <w:tc>
          <w:tcPr>
            <w:tcW w:w="4200" w:type="dxa"/>
            <w:gridSpan w:val="2"/>
          </w:tcPr>
          <w:p w14:paraId="6740566D" w14:textId="77777777" w:rsidR="00C85970" w:rsidRPr="00C57330" w:rsidRDefault="00C85970" w:rsidP="00C85970">
            <w:pPr>
              <w:jc w:val="center"/>
              <w:rPr>
                <w:noProof/>
                <w:sz w:val="22"/>
              </w:rPr>
            </w:pPr>
            <w:r w:rsidRPr="00C57330">
              <w:rPr>
                <w:noProof/>
                <w:sz w:val="22"/>
              </w:rPr>
              <w:t>17 095</w:t>
            </w:r>
          </w:p>
        </w:tc>
      </w:tr>
    </w:tbl>
    <w:p w14:paraId="07FA8D9A" w14:textId="6D8D37DC" w:rsidR="00BA2079" w:rsidRPr="00C57330" w:rsidRDefault="00BA2079" w:rsidP="001F4EF3">
      <w:pPr>
        <w:pStyle w:val="Text1"/>
        <w:rPr>
          <w:noProof/>
        </w:rPr>
      </w:pPr>
      <w:r w:rsidRPr="00C57330">
        <w:rPr>
          <w:noProof/>
          <w:sz w:val="18"/>
        </w:rPr>
        <w:t>Źródło: Komisja Europejska, na podstawie danych dostarczonych przez jednostki notyfikowane</w:t>
      </w:r>
      <w:r w:rsidR="006C5585" w:rsidRPr="00C57330">
        <w:rPr>
          <w:noProof/>
          <w:sz w:val="18"/>
        </w:rPr>
        <w:t xml:space="preserve"> w</w:t>
      </w:r>
      <w:r w:rsidR="006C5585">
        <w:rPr>
          <w:noProof/>
          <w:sz w:val="18"/>
        </w:rPr>
        <w:t> </w:t>
      </w:r>
      <w:r w:rsidR="006C5585" w:rsidRPr="00C57330">
        <w:rPr>
          <w:noProof/>
          <w:sz w:val="18"/>
        </w:rPr>
        <w:t>2</w:t>
      </w:r>
      <w:r w:rsidRPr="00C57330">
        <w:rPr>
          <w:noProof/>
          <w:sz w:val="18"/>
        </w:rPr>
        <w:t>0</w:t>
      </w:r>
      <w:r w:rsidRPr="006C5585">
        <w:rPr>
          <w:noProof/>
          <w:sz w:val="18"/>
        </w:rPr>
        <w:t>21</w:t>
      </w:r>
      <w:r w:rsidR="006C5585" w:rsidRPr="006C5585">
        <w:rPr>
          <w:noProof/>
          <w:sz w:val="18"/>
        </w:rPr>
        <w:t> </w:t>
      </w:r>
      <w:r w:rsidRPr="006C5585">
        <w:rPr>
          <w:noProof/>
          <w:sz w:val="18"/>
        </w:rPr>
        <w:t>r.</w:t>
      </w:r>
      <w:r w:rsidR="006C5585" w:rsidRPr="00C57330">
        <w:rPr>
          <w:noProof/>
          <w:sz w:val="18"/>
        </w:rPr>
        <w:t xml:space="preserve"> i</w:t>
      </w:r>
      <w:r w:rsidR="006C5585">
        <w:rPr>
          <w:noProof/>
          <w:sz w:val="18"/>
        </w:rPr>
        <w:t> </w:t>
      </w:r>
      <w:r w:rsidR="006C5585" w:rsidRPr="00C57330">
        <w:rPr>
          <w:noProof/>
          <w:sz w:val="18"/>
        </w:rPr>
        <w:t>2</w:t>
      </w:r>
      <w:r w:rsidRPr="00C57330">
        <w:rPr>
          <w:noProof/>
          <w:sz w:val="18"/>
        </w:rPr>
        <w:t>0</w:t>
      </w:r>
      <w:r w:rsidRPr="006C5585">
        <w:rPr>
          <w:noProof/>
          <w:sz w:val="18"/>
        </w:rPr>
        <w:t>22</w:t>
      </w:r>
      <w:r w:rsidR="006C5585" w:rsidRPr="006C5585">
        <w:rPr>
          <w:noProof/>
          <w:sz w:val="18"/>
        </w:rPr>
        <w:t> </w:t>
      </w:r>
      <w:r w:rsidRPr="006C5585">
        <w:rPr>
          <w:noProof/>
          <w:sz w:val="18"/>
        </w:rPr>
        <w:t>r.</w:t>
      </w:r>
      <w:r w:rsidRPr="00C57330">
        <w:rPr>
          <w:noProof/>
          <w:sz w:val="18"/>
        </w:rPr>
        <w:t xml:space="preserve"> </w:t>
      </w:r>
    </w:p>
    <w:p w14:paraId="3216F1E3" w14:textId="31F089F5" w:rsidR="00931DC9" w:rsidRPr="00C57330" w:rsidRDefault="00931DC9" w:rsidP="001F4EF3">
      <w:pPr>
        <w:pStyle w:val="Text1"/>
        <w:rPr>
          <w:noProof/>
        </w:rPr>
      </w:pPr>
      <w:r w:rsidRPr="00C57330">
        <w:rPr>
          <w:noProof/>
        </w:rPr>
        <w:t>Po upływie ważności certyfikatów wydanych na podstawie dyrektyw</w:t>
      </w:r>
      <w:r w:rsidR="006C5585" w:rsidRPr="00C57330">
        <w:rPr>
          <w:noProof/>
        </w:rPr>
        <w:t xml:space="preserve"> i</w:t>
      </w:r>
      <w:r w:rsidR="006C5585">
        <w:rPr>
          <w:noProof/>
        </w:rPr>
        <w:t> </w:t>
      </w:r>
      <w:r w:rsidR="006C5585" w:rsidRPr="00C57330">
        <w:rPr>
          <w:noProof/>
        </w:rPr>
        <w:t>bez</w:t>
      </w:r>
      <w:r w:rsidRPr="00C57330">
        <w:rPr>
          <w:noProof/>
        </w:rPr>
        <w:t xml:space="preserve"> ważnego certyfikatu wydanego na podstawie rozporządzenia MDR producenci nie mogą już wprowadzać do obrotu w UE wyrobów medycznych objętych tymi certyfikatami. Może to spowodować niedobory wyrobów medycznych, co stwarza zagrożenie dla bezpieczeństwa pacjentów. Prawdopodobnie</w:t>
      </w:r>
      <w:r w:rsidR="006C5585" w:rsidRPr="00C57330">
        <w:rPr>
          <w:noProof/>
        </w:rPr>
        <w:t xml:space="preserve"> w</w:t>
      </w:r>
      <w:r w:rsidR="006C5585">
        <w:rPr>
          <w:noProof/>
        </w:rPr>
        <w:t> </w:t>
      </w:r>
      <w:r w:rsidR="006C5585" w:rsidRPr="00C57330">
        <w:rPr>
          <w:noProof/>
        </w:rPr>
        <w:t>zna</w:t>
      </w:r>
      <w:r w:rsidRPr="00C57330">
        <w:rPr>
          <w:noProof/>
        </w:rPr>
        <w:t>cznym stopniu niekorzystnie wpłynie to również na innowacje</w:t>
      </w:r>
      <w:r w:rsidR="006C5585" w:rsidRPr="00C57330">
        <w:rPr>
          <w:noProof/>
        </w:rPr>
        <w:t xml:space="preserve"> i</w:t>
      </w:r>
      <w:r w:rsidR="006C5585">
        <w:rPr>
          <w:noProof/>
        </w:rPr>
        <w:t> </w:t>
      </w:r>
      <w:r w:rsidR="006C5585" w:rsidRPr="00C57330">
        <w:rPr>
          <w:noProof/>
        </w:rPr>
        <w:t>dzi</w:t>
      </w:r>
      <w:r w:rsidRPr="00C57330">
        <w:rPr>
          <w:noProof/>
        </w:rPr>
        <w:t>ałalność gospodarczą</w:t>
      </w:r>
      <w:r w:rsidR="006C5585" w:rsidRPr="00C57330">
        <w:rPr>
          <w:noProof/>
        </w:rPr>
        <w:t xml:space="preserve"> w</w:t>
      </w:r>
      <w:r w:rsidR="006C5585">
        <w:rPr>
          <w:noProof/>
        </w:rPr>
        <w:t> </w:t>
      </w:r>
      <w:r w:rsidR="006C5585" w:rsidRPr="00C57330">
        <w:rPr>
          <w:noProof/>
        </w:rPr>
        <w:t>sek</w:t>
      </w:r>
      <w:r w:rsidRPr="00C57330">
        <w:rPr>
          <w:noProof/>
        </w:rPr>
        <w:t>torze technologii medycznych w UE. Sytuację tę pogarsza wpływ pandemii COVID-19 na badania kliniczne, audyty na miejscu</w:t>
      </w:r>
      <w:r w:rsidR="006C5585" w:rsidRPr="00C57330">
        <w:rPr>
          <w:noProof/>
        </w:rPr>
        <w:t xml:space="preserve"> i</w:t>
      </w:r>
      <w:r w:rsidR="006C5585">
        <w:rPr>
          <w:noProof/>
        </w:rPr>
        <w:t> </w:t>
      </w:r>
      <w:r w:rsidR="006C5585" w:rsidRPr="00C57330">
        <w:rPr>
          <w:noProof/>
        </w:rPr>
        <w:t>glo</w:t>
      </w:r>
      <w:r w:rsidRPr="00C57330">
        <w:rPr>
          <w:noProof/>
        </w:rPr>
        <w:t>balne łańcuchy dostaw, na które dodatkowo negatywnie oddziałuje wojna napastnicza Rosji przeciwko Ukrainie.</w:t>
      </w:r>
    </w:p>
    <w:p w14:paraId="354A59FF" w14:textId="4365DA48" w:rsidR="009B61A8" w:rsidRPr="00C57330" w:rsidRDefault="009B61A8" w:rsidP="009B61A8">
      <w:pPr>
        <w:pStyle w:val="Text1"/>
        <w:rPr>
          <w:noProof/>
        </w:rPr>
      </w:pPr>
      <w:r w:rsidRPr="00C57330">
        <w:rPr>
          <w:noProof/>
        </w:rPr>
        <w:t>Ogólnym celem proponowanych zmian jest utrzymanie dostępu pacjentów do szerokiego zakresu wyrobów medycznych przy jednoczesnym zapewnieniu przejścia na stosowanie nowych ram. Przedłużenie będzie następowało stopniowo</w:t>
      </w:r>
      <w:r w:rsidR="006C5585" w:rsidRPr="00C57330">
        <w:rPr>
          <w:noProof/>
        </w:rPr>
        <w:t xml:space="preserve"> w</w:t>
      </w:r>
      <w:r w:rsidR="006C5585">
        <w:rPr>
          <w:noProof/>
        </w:rPr>
        <w:t> </w:t>
      </w:r>
      <w:r w:rsidR="006C5585" w:rsidRPr="00C57330">
        <w:rPr>
          <w:noProof/>
        </w:rPr>
        <w:t>zal</w:t>
      </w:r>
      <w:r w:rsidRPr="00C57330">
        <w:rPr>
          <w:noProof/>
        </w:rPr>
        <w:t>eżności od klasy ryzyka wyrobu, tj. do grudnia 20</w:t>
      </w:r>
      <w:r w:rsidRPr="006C5585">
        <w:rPr>
          <w:noProof/>
        </w:rPr>
        <w:t>27</w:t>
      </w:r>
      <w:r w:rsidR="006C5585" w:rsidRPr="006C5585">
        <w:rPr>
          <w:noProof/>
        </w:rPr>
        <w:t> </w:t>
      </w:r>
      <w:r w:rsidRPr="006C5585">
        <w:rPr>
          <w:noProof/>
        </w:rPr>
        <w:t>r.</w:t>
      </w:r>
      <w:r w:rsidR="006C5585" w:rsidRPr="00C57330">
        <w:rPr>
          <w:noProof/>
        </w:rPr>
        <w:t xml:space="preserve"> w</w:t>
      </w:r>
      <w:r w:rsidR="006C5585">
        <w:rPr>
          <w:noProof/>
        </w:rPr>
        <w:t> </w:t>
      </w:r>
      <w:r w:rsidR="006C5585" w:rsidRPr="00C57330">
        <w:rPr>
          <w:noProof/>
        </w:rPr>
        <w:t>prz</w:t>
      </w:r>
      <w:r w:rsidRPr="00C57330">
        <w:rPr>
          <w:noProof/>
        </w:rPr>
        <w:t>ypadku wyrobów</w:t>
      </w:r>
      <w:r w:rsidR="006C5585" w:rsidRPr="00C57330">
        <w:rPr>
          <w:noProof/>
        </w:rPr>
        <w:t xml:space="preserve"> o</w:t>
      </w:r>
      <w:r w:rsidR="006C5585">
        <w:rPr>
          <w:noProof/>
        </w:rPr>
        <w:t> </w:t>
      </w:r>
      <w:r w:rsidR="006C5585" w:rsidRPr="00C57330">
        <w:rPr>
          <w:noProof/>
        </w:rPr>
        <w:t>wyż</w:t>
      </w:r>
      <w:r w:rsidRPr="00C57330">
        <w:rPr>
          <w:noProof/>
        </w:rPr>
        <w:t>szym ryzyku i do grudnia 20</w:t>
      </w:r>
      <w:r w:rsidRPr="006C5585">
        <w:rPr>
          <w:noProof/>
        </w:rPr>
        <w:t>28</w:t>
      </w:r>
      <w:r w:rsidR="006C5585" w:rsidRPr="006C5585">
        <w:rPr>
          <w:noProof/>
        </w:rPr>
        <w:t> </w:t>
      </w:r>
      <w:r w:rsidRPr="006C5585">
        <w:rPr>
          <w:noProof/>
        </w:rPr>
        <w:t>r.</w:t>
      </w:r>
      <w:r w:rsidR="006C5585" w:rsidRPr="00C57330">
        <w:rPr>
          <w:noProof/>
        </w:rPr>
        <w:t xml:space="preserve"> w</w:t>
      </w:r>
      <w:r w:rsidR="006C5585">
        <w:rPr>
          <w:noProof/>
        </w:rPr>
        <w:t> </w:t>
      </w:r>
      <w:r w:rsidR="006C5585" w:rsidRPr="00C57330">
        <w:rPr>
          <w:noProof/>
        </w:rPr>
        <w:t>prz</w:t>
      </w:r>
      <w:r w:rsidRPr="00C57330">
        <w:rPr>
          <w:noProof/>
        </w:rPr>
        <w:t>ypadku wyrobów</w:t>
      </w:r>
      <w:r w:rsidR="006C5585" w:rsidRPr="00C57330">
        <w:rPr>
          <w:noProof/>
        </w:rPr>
        <w:t xml:space="preserve"> o</w:t>
      </w:r>
      <w:r w:rsidR="006C5585">
        <w:rPr>
          <w:noProof/>
        </w:rPr>
        <w:t> </w:t>
      </w:r>
      <w:r w:rsidR="006C5585" w:rsidRPr="00C57330">
        <w:rPr>
          <w:noProof/>
        </w:rPr>
        <w:t>śre</w:t>
      </w:r>
      <w:r w:rsidRPr="00C57330">
        <w:rPr>
          <w:noProof/>
        </w:rPr>
        <w:t>dnim</w:t>
      </w:r>
      <w:r w:rsidR="006C5585" w:rsidRPr="00C57330">
        <w:rPr>
          <w:noProof/>
        </w:rPr>
        <w:t xml:space="preserve"> i</w:t>
      </w:r>
      <w:r w:rsidR="006C5585">
        <w:rPr>
          <w:noProof/>
        </w:rPr>
        <w:t> </w:t>
      </w:r>
      <w:r w:rsidR="006C5585" w:rsidRPr="00C57330">
        <w:rPr>
          <w:noProof/>
        </w:rPr>
        <w:t>niż</w:t>
      </w:r>
      <w:r w:rsidRPr="00C57330">
        <w:rPr>
          <w:noProof/>
        </w:rPr>
        <w:t>szym ryzyku.</w:t>
      </w:r>
    </w:p>
    <w:p w14:paraId="006B5EE3" w14:textId="4A75B0E7" w:rsidR="009B61A8" w:rsidRPr="00C57330" w:rsidRDefault="009B61A8" w:rsidP="009B61A8">
      <w:pPr>
        <w:pStyle w:val="Text1"/>
        <w:rPr>
          <w:noProof/>
        </w:rPr>
      </w:pPr>
      <w:r w:rsidRPr="00C57330">
        <w:rPr>
          <w:noProof/>
        </w:rPr>
        <w:t>Niniejszy wniosek ma zatem na celu przedłużenie obecnego okresu przejściowego ustanowionego</w:t>
      </w:r>
      <w:r w:rsidR="006C5585" w:rsidRPr="00C57330">
        <w:rPr>
          <w:noProof/>
        </w:rPr>
        <w:t xml:space="preserve"> w</w:t>
      </w:r>
      <w:r w:rsidR="006C5585">
        <w:rPr>
          <w:noProof/>
        </w:rPr>
        <w:t> </w:t>
      </w:r>
      <w:r w:rsidR="006C5585" w:rsidRPr="006C5585">
        <w:rPr>
          <w:noProof/>
        </w:rPr>
        <w:t>art</w:t>
      </w:r>
      <w:r w:rsidRPr="006C5585">
        <w:rPr>
          <w:noProof/>
        </w:rPr>
        <w:t>.</w:t>
      </w:r>
      <w:r w:rsidR="006C5585" w:rsidRPr="006C5585">
        <w:rPr>
          <w:noProof/>
        </w:rPr>
        <w:t> </w:t>
      </w:r>
      <w:r w:rsidRPr="006C5585">
        <w:rPr>
          <w:noProof/>
        </w:rPr>
        <w:t>1</w:t>
      </w:r>
      <w:r w:rsidRPr="00C57330">
        <w:rPr>
          <w:noProof/>
        </w:rPr>
        <w:t>20 rozporządzenia MDR,</w:t>
      </w:r>
      <w:r w:rsidR="006C5585" w:rsidRPr="00C57330">
        <w:rPr>
          <w:noProof/>
        </w:rPr>
        <w:t xml:space="preserve"> z</w:t>
      </w:r>
      <w:r w:rsidR="006C5585">
        <w:rPr>
          <w:noProof/>
        </w:rPr>
        <w:t> </w:t>
      </w:r>
      <w:r w:rsidR="006C5585" w:rsidRPr="00C57330">
        <w:rPr>
          <w:noProof/>
        </w:rPr>
        <w:t>zas</w:t>
      </w:r>
      <w:r w:rsidRPr="00C57330">
        <w:rPr>
          <w:noProof/>
        </w:rPr>
        <w:t>trzeżeniem spełnienia pewnych warunków, tak aby umożliwić skorzystanie</w:t>
      </w:r>
      <w:r w:rsidR="006C5585" w:rsidRPr="00C57330">
        <w:rPr>
          <w:noProof/>
        </w:rPr>
        <w:t xml:space="preserve"> z</w:t>
      </w:r>
      <w:r w:rsidR="006C5585">
        <w:rPr>
          <w:noProof/>
        </w:rPr>
        <w:t> </w:t>
      </w:r>
      <w:r w:rsidR="006C5585" w:rsidRPr="00C57330">
        <w:rPr>
          <w:noProof/>
        </w:rPr>
        <w:t>dod</w:t>
      </w:r>
      <w:r w:rsidRPr="00C57330">
        <w:rPr>
          <w:noProof/>
        </w:rPr>
        <w:t>atkowego czasu jedynie</w:t>
      </w:r>
      <w:r w:rsidR="006C5585" w:rsidRPr="00C57330">
        <w:rPr>
          <w:noProof/>
        </w:rPr>
        <w:t xml:space="preserve"> w</w:t>
      </w:r>
      <w:r w:rsidR="006C5585">
        <w:rPr>
          <w:noProof/>
        </w:rPr>
        <w:t> </w:t>
      </w:r>
      <w:r w:rsidR="006C5585" w:rsidRPr="00C57330">
        <w:rPr>
          <w:noProof/>
        </w:rPr>
        <w:t>prz</w:t>
      </w:r>
      <w:r w:rsidRPr="00C57330">
        <w:rPr>
          <w:noProof/>
        </w:rPr>
        <w:t>ypadku wyrobów, które są bezpieczne</w:t>
      </w:r>
      <w:r w:rsidR="006C5585" w:rsidRPr="00C57330">
        <w:rPr>
          <w:noProof/>
        </w:rPr>
        <w:t xml:space="preserve"> i</w:t>
      </w:r>
      <w:r w:rsidR="006C5585">
        <w:rPr>
          <w:noProof/>
        </w:rPr>
        <w:t> </w:t>
      </w:r>
      <w:r w:rsidR="006C5585" w:rsidRPr="00C57330">
        <w:rPr>
          <w:noProof/>
        </w:rPr>
        <w:t>w</w:t>
      </w:r>
      <w:r w:rsidR="006C5585">
        <w:rPr>
          <w:noProof/>
        </w:rPr>
        <w:t> </w:t>
      </w:r>
      <w:r w:rsidR="006C5585" w:rsidRPr="00C57330">
        <w:rPr>
          <w:noProof/>
        </w:rPr>
        <w:t>odn</w:t>
      </w:r>
      <w:r w:rsidRPr="00C57330">
        <w:rPr>
          <w:noProof/>
        </w:rPr>
        <w:t>iesieniu do których producenci podjęli już kroki</w:t>
      </w:r>
      <w:r w:rsidR="006C5585" w:rsidRPr="00C57330">
        <w:rPr>
          <w:noProof/>
        </w:rPr>
        <w:t xml:space="preserve"> w</w:t>
      </w:r>
      <w:r w:rsidR="006C5585">
        <w:rPr>
          <w:noProof/>
        </w:rPr>
        <w:t> </w:t>
      </w:r>
      <w:r w:rsidR="006C5585" w:rsidRPr="00C57330">
        <w:rPr>
          <w:noProof/>
        </w:rPr>
        <w:t>cel</w:t>
      </w:r>
      <w:r w:rsidRPr="00C57330">
        <w:rPr>
          <w:noProof/>
        </w:rPr>
        <w:t>u przejścia na stosowanie rozporządzenia MDR. Dzięki temu producenci</w:t>
      </w:r>
      <w:r w:rsidR="006C5585" w:rsidRPr="00C57330">
        <w:rPr>
          <w:noProof/>
        </w:rPr>
        <w:t xml:space="preserve"> i</w:t>
      </w:r>
      <w:r w:rsidR="006C5585">
        <w:rPr>
          <w:noProof/>
        </w:rPr>
        <w:t> </w:t>
      </w:r>
      <w:r w:rsidR="006C5585" w:rsidRPr="00C57330">
        <w:rPr>
          <w:noProof/>
        </w:rPr>
        <w:t>jed</w:t>
      </w:r>
      <w:r w:rsidRPr="00C57330">
        <w:rPr>
          <w:noProof/>
        </w:rPr>
        <w:t>nostki notyfikowane mieliby więcej czasu na przeprowadzenie procedur oceny zgodności zgodnie</w:t>
      </w:r>
      <w:r w:rsidR="006C5585" w:rsidRPr="00C57330">
        <w:rPr>
          <w:noProof/>
        </w:rPr>
        <w:t xml:space="preserve"> z</w:t>
      </w:r>
      <w:r w:rsidR="006C5585">
        <w:rPr>
          <w:noProof/>
        </w:rPr>
        <w:t> </w:t>
      </w:r>
      <w:r w:rsidR="006C5585" w:rsidRPr="00C57330">
        <w:rPr>
          <w:noProof/>
        </w:rPr>
        <w:t>roz</w:t>
      </w:r>
      <w:r w:rsidRPr="00C57330">
        <w:rPr>
          <w:noProof/>
        </w:rPr>
        <w:t>porządzeniem MDR, jeżeli warunki te zostaną spełnione. We wniosku proponuje się również usunięcie terminu „wysprzedawania”</w:t>
      </w:r>
      <w:r w:rsidR="006C5585" w:rsidRPr="00C57330">
        <w:rPr>
          <w:noProof/>
        </w:rPr>
        <w:t xml:space="preserve"> z</w:t>
      </w:r>
      <w:r w:rsidR="006C5585">
        <w:rPr>
          <w:noProof/>
        </w:rPr>
        <w:t> </w:t>
      </w:r>
      <w:r w:rsidR="006C5585" w:rsidRPr="00C57330">
        <w:rPr>
          <w:noProof/>
        </w:rPr>
        <w:t>odp</w:t>
      </w:r>
      <w:r w:rsidRPr="00C57330">
        <w:rPr>
          <w:noProof/>
        </w:rPr>
        <w:t>owiednich przepisów rozporządzeń MDR i IVDR, tj. daty zakończenia dalszego udostępniania wyrobów, które zostały wprowadzone do obrotu przed okresem przejściowym lub</w:t>
      </w:r>
      <w:r w:rsidR="006C5585" w:rsidRPr="00C57330">
        <w:rPr>
          <w:noProof/>
        </w:rPr>
        <w:t xml:space="preserve"> w</w:t>
      </w:r>
      <w:r w:rsidR="006C5585">
        <w:rPr>
          <w:noProof/>
        </w:rPr>
        <w:t> </w:t>
      </w:r>
      <w:r w:rsidR="006C5585" w:rsidRPr="00C57330">
        <w:rPr>
          <w:noProof/>
        </w:rPr>
        <w:t>jeg</w:t>
      </w:r>
      <w:r w:rsidRPr="00C57330">
        <w:rPr>
          <w:noProof/>
        </w:rPr>
        <w:t>o trakcie</w:t>
      </w:r>
      <w:r w:rsidR="006C5585" w:rsidRPr="00C57330">
        <w:rPr>
          <w:noProof/>
        </w:rPr>
        <w:t xml:space="preserve"> i</w:t>
      </w:r>
      <w:r w:rsidR="006C5585">
        <w:rPr>
          <w:noProof/>
        </w:rPr>
        <w:t> </w:t>
      </w:r>
      <w:r w:rsidR="006C5585" w:rsidRPr="00C57330">
        <w:rPr>
          <w:noProof/>
        </w:rPr>
        <w:t>któ</w:t>
      </w:r>
      <w:r w:rsidRPr="00C57330">
        <w:rPr>
          <w:noProof/>
        </w:rPr>
        <w:t>re nadal znajdują się</w:t>
      </w:r>
      <w:r w:rsidR="006C5585" w:rsidRPr="00C57330">
        <w:rPr>
          <w:noProof/>
        </w:rPr>
        <w:t xml:space="preserve"> w</w:t>
      </w:r>
      <w:r w:rsidR="006C5585">
        <w:rPr>
          <w:noProof/>
        </w:rPr>
        <w:t> </w:t>
      </w:r>
      <w:r w:rsidR="006C5585" w:rsidRPr="00C57330">
        <w:rPr>
          <w:noProof/>
        </w:rPr>
        <w:t>łań</w:t>
      </w:r>
      <w:r w:rsidRPr="00C57330">
        <w:rPr>
          <w:noProof/>
        </w:rPr>
        <w:t>cuchu dostaw po upływie przedłużonego okresu przejściowego. Pozwoliłoby to zapobiec niepotrzebnemu usuwaniu bezpiecznych wyrobów medycznych, które są już na rynku, ale nie znajdują się jeszcze</w:t>
      </w:r>
      <w:r w:rsidR="006C5585" w:rsidRPr="00C57330">
        <w:rPr>
          <w:noProof/>
        </w:rPr>
        <w:t xml:space="preserve"> w</w:t>
      </w:r>
      <w:r w:rsidR="006C5585">
        <w:rPr>
          <w:noProof/>
        </w:rPr>
        <w:t> </w:t>
      </w:r>
      <w:r w:rsidR="006C5585" w:rsidRPr="00C57330">
        <w:rPr>
          <w:noProof/>
        </w:rPr>
        <w:t>pos</w:t>
      </w:r>
      <w:r w:rsidRPr="00C57330">
        <w:rPr>
          <w:noProof/>
        </w:rPr>
        <w:t>iadaniu użytkownika ostatecznego.</w:t>
      </w:r>
    </w:p>
    <w:p w14:paraId="3223D660" w14:textId="318E1B03" w:rsidR="009B61A8" w:rsidRPr="00C57330" w:rsidRDefault="009B61A8" w:rsidP="009B61A8">
      <w:pPr>
        <w:pStyle w:val="Text1"/>
        <w:rPr>
          <w:noProof/>
        </w:rPr>
      </w:pPr>
      <w:r w:rsidRPr="00C57330">
        <w:rPr>
          <w:noProof/>
        </w:rPr>
        <w:t>Uzupełnieniem przedłużenia okresu przejściowego jest przedłużenie ważności certyfikatów wydanych na podstawie poprzednich dyrektyw Rady 90/385/EWG</w:t>
      </w:r>
      <w:r w:rsidR="006C5585" w:rsidRPr="00C57330">
        <w:rPr>
          <w:noProof/>
        </w:rPr>
        <w:t xml:space="preserve"> i</w:t>
      </w:r>
      <w:r w:rsidR="006C5585">
        <w:rPr>
          <w:noProof/>
        </w:rPr>
        <w:t> </w:t>
      </w:r>
      <w:r w:rsidR="006C5585" w:rsidRPr="00C57330">
        <w:rPr>
          <w:noProof/>
        </w:rPr>
        <w:t>9</w:t>
      </w:r>
      <w:r w:rsidRPr="00C57330">
        <w:rPr>
          <w:noProof/>
        </w:rPr>
        <w:t>3/42/EWG</w:t>
      </w:r>
      <w:r w:rsidR="006C5585" w:rsidRPr="00C57330">
        <w:rPr>
          <w:noProof/>
        </w:rPr>
        <w:t xml:space="preserve"> w</w:t>
      </w:r>
      <w:r w:rsidR="006C5585">
        <w:rPr>
          <w:noProof/>
        </w:rPr>
        <w:t> </w:t>
      </w:r>
      <w:r w:rsidR="006C5585" w:rsidRPr="00C57330">
        <w:rPr>
          <w:noProof/>
        </w:rPr>
        <w:t>odn</w:t>
      </w:r>
      <w:r w:rsidRPr="00C57330">
        <w:rPr>
          <w:noProof/>
        </w:rPr>
        <w:t>iesieniu do wyrobów objętych przedłużonym okresem przejściowym. Przedłużona zostałaby również,</w:t>
      </w:r>
      <w:r w:rsidR="006C5585" w:rsidRPr="00C57330">
        <w:rPr>
          <w:noProof/>
        </w:rPr>
        <w:t xml:space="preserve"> z</w:t>
      </w:r>
      <w:r w:rsidR="006C5585">
        <w:rPr>
          <w:noProof/>
        </w:rPr>
        <w:t> </w:t>
      </w:r>
      <w:r w:rsidR="006C5585" w:rsidRPr="00C57330">
        <w:rPr>
          <w:noProof/>
        </w:rPr>
        <w:t>zas</w:t>
      </w:r>
      <w:r w:rsidRPr="00C57330">
        <w:rPr>
          <w:noProof/>
        </w:rPr>
        <w:t xml:space="preserve">trzeżeniem spełnienia określonych warunków, ważność certyfikatów, które nie są już ważne </w:t>
      </w:r>
      <w:r w:rsidRPr="006C5585">
        <w:rPr>
          <w:noProof/>
        </w:rPr>
        <w:t>od</w:t>
      </w:r>
      <w:r w:rsidR="006C5585" w:rsidRPr="006C5585">
        <w:rPr>
          <w:noProof/>
        </w:rPr>
        <w:t> </w:t>
      </w:r>
      <w:r w:rsidRPr="006C5585">
        <w:rPr>
          <w:noProof/>
        </w:rPr>
        <w:t>2</w:t>
      </w:r>
      <w:r w:rsidRPr="00C57330">
        <w:rPr>
          <w:noProof/>
        </w:rPr>
        <w:t>6 maja 20</w:t>
      </w:r>
      <w:r w:rsidRPr="006C5585">
        <w:rPr>
          <w:noProof/>
        </w:rPr>
        <w:t>21</w:t>
      </w:r>
      <w:r w:rsidR="006C5585" w:rsidRPr="006C5585">
        <w:rPr>
          <w:noProof/>
        </w:rPr>
        <w:t> </w:t>
      </w:r>
      <w:r w:rsidRPr="006C5585">
        <w:rPr>
          <w:noProof/>
        </w:rPr>
        <w:t>r.</w:t>
      </w:r>
      <w:r w:rsidRPr="00C57330">
        <w:rPr>
          <w:noProof/>
        </w:rPr>
        <w:t xml:space="preserve"> </w:t>
      </w:r>
    </w:p>
    <w:p w14:paraId="23E3E54A" w14:textId="0DD69911" w:rsidR="005E1E5E" w:rsidRPr="00C57330" w:rsidRDefault="005E1E5E" w:rsidP="00A103F4">
      <w:pPr>
        <w:pStyle w:val="ManualHeading2"/>
        <w:rPr>
          <w:noProof/>
          <w:u w:color="000000"/>
          <w:bdr w:val="nil"/>
        </w:rPr>
      </w:pPr>
      <w:r w:rsidRPr="00C57330">
        <w:rPr>
          <w:noProof/>
          <w:u w:color="000000"/>
          <w:bdr w:val="nil"/>
        </w:rPr>
        <w:t>•</w:t>
      </w:r>
      <w:r w:rsidRPr="00C57330">
        <w:rPr>
          <w:noProof/>
        </w:rPr>
        <w:tab/>
        <w:t>Spójność</w:t>
      </w:r>
      <w:r w:rsidR="006C5585" w:rsidRPr="00C57330">
        <w:rPr>
          <w:noProof/>
        </w:rPr>
        <w:t xml:space="preserve"> z</w:t>
      </w:r>
      <w:r w:rsidR="006C5585">
        <w:rPr>
          <w:noProof/>
        </w:rPr>
        <w:t> </w:t>
      </w:r>
      <w:r w:rsidR="006C5585" w:rsidRPr="00C57330">
        <w:rPr>
          <w:noProof/>
        </w:rPr>
        <w:t>prz</w:t>
      </w:r>
      <w:r w:rsidRPr="00C57330">
        <w:rPr>
          <w:noProof/>
        </w:rPr>
        <w:t>episami obowiązującymi</w:t>
      </w:r>
      <w:r w:rsidR="006C5585" w:rsidRPr="00C57330">
        <w:rPr>
          <w:noProof/>
        </w:rPr>
        <w:t xml:space="preserve"> w</w:t>
      </w:r>
      <w:r w:rsidR="006C5585">
        <w:rPr>
          <w:noProof/>
        </w:rPr>
        <w:t> </w:t>
      </w:r>
      <w:r w:rsidR="006C5585" w:rsidRPr="00C57330">
        <w:rPr>
          <w:noProof/>
        </w:rPr>
        <w:t>tym</w:t>
      </w:r>
      <w:r w:rsidRPr="00C57330">
        <w:rPr>
          <w:noProof/>
        </w:rPr>
        <w:t xml:space="preserve"> obszarze polityki</w:t>
      </w:r>
    </w:p>
    <w:p w14:paraId="78E000A3" w14:textId="3CA99B28" w:rsidR="00F0763B" w:rsidRPr="00C57330" w:rsidRDefault="003B1E04" w:rsidP="001F4EF3">
      <w:pPr>
        <w:pStyle w:val="Text1"/>
        <w:rPr>
          <w:noProof/>
        </w:rPr>
      </w:pPr>
      <w:r w:rsidRPr="00C57330">
        <w:rPr>
          <w:noProof/>
        </w:rPr>
        <w:t>Wniosek jest spójny</w:t>
      </w:r>
      <w:r w:rsidR="006C5585" w:rsidRPr="00C57330">
        <w:rPr>
          <w:noProof/>
        </w:rPr>
        <w:t xml:space="preserve"> z</w:t>
      </w:r>
      <w:r w:rsidR="006C5585">
        <w:rPr>
          <w:noProof/>
        </w:rPr>
        <w:t> </w:t>
      </w:r>
      <w:r w:rsidR="006C5585" w:rsidRPr="00C57330">
        <w:rPr>
          <w:noProof/>
        </w:rPr>
        <w:t>ist</w:t>
      </w:r>
      <w:r w:rsidRPr="00C57330">
        <w:rPr>
          <w:noProof/>
        </w:rPr>
        <w:t>niejącymi przepisami polityki, jak również</w:t>
      </w:r>
      <w:r w:rsidR="006C5585" w:rsidRPr="00C57330">
        <w:rPr>
          <w:noProof/>
        </w:rPr>
        <w:t xml:space="preserve"> z</w:t>
      </w:r>
      <w:r w:rsidR="006C5585">
        <w:rPr>
          <w:noProof/>
        </w:rPr>
        <w:t> </w:t>
      </w:r>
      <w:r w:rsidR="006C5585" w:rsidRPr="00C57330">
        <w:rPr>
          <w:noProof/>
        </w:rPr>
        <w:t>trw</w:t>
      </w:r>
      <w:r w:rsidRPr="00C57330">
        <w:rPr>
          <w:noProof/>
        </w:rPr>
        <w:t>ającymi działaniami</w:t>
      </w:r>
      <w:r w:rsidR="006C5585" w:rsidRPr="00C57330">
        <w:rPr>
          <w:noProof/>
        </w:rPr>
        <w:t xml:space="preserve"> o</w:t>
      </w:r>
      <w:r w:rsidR="006C5585">
        <w:rPr>
          <w:noProof/>
        </w:rPr>
        <w:t> </w:t>
      </w:r>
      <w:r w:rsidR="006C5585" w:rsidRPr="00C57330">
        <w:rPr>
          <w:noProof/>
        </w:rPr>
        <w:t>cha</w:t>
      </w:r>
      <w:r w:rsidRPr="00C57330">
        <w:rPr>
          <w:noProof/>
        </w:rPr>
        <w:t>rakterze nieustawodawczym, które będą stanowiły uzupełnienie proponowanej zmiany. 25 sierpnia 20</w:t>
      </w:r>
      <w:r w:rsidRPr="006C5585">
        <w:rPr>
          <w:noProof/>
        </w:rPr>
        <w:t>22</w:t>
      </w:r>
      <w:r w:rsidR="006C5585" w:rsidRPr="006C5585">
        <w:rPr>
          <w:noProof/>
        </w:rPr>
        <w:t> </w:t>
      </w:r>
      <w:r w:rsidRPr="006C5585">
        <w:rPr>
          <w:noProof/>
        </w:rPr>
        <w:t>r.</w:t>
      </w:r>
      <w:r w:rsidRPr="00C57330">
        <w:rPr>
          <w:noProof/>
        </w:rPr>
        <w:t xml:space="preserve"> MDCG zatwierdziła dokument przedstawiający jej stanowisko: </w:t>
      </w:r>
      <w:hyperlink r:id="rId14" w:history="1">
        <w:r w:rsidRPr="00C57330">
          <w:rPr>
            <w:rStyle w:val="Hyperlink"/>
            <w:noProof/>
            <w:u w:val="none"/>
          </w:rPr>
          <w:t>MDCG 2022-14</w:t>
        </w:r>
        <w:r w:rsidRPr="00C57330">
          <w:rPr>
            <w:rStyle w:val="FootnoteReference"/>
            <w:noProof/>
          </w:rPr>
          <w:footnoteReference w:id="11"/>
        </w:r>
      </w:hyperlink>
      <w:r w:rsidRPr="00C57330">
        <w:rPr>
          <w:noProof/>
        </w:rPr>
        <w:t xml:space="preserve">.W </w:t>
      </w:r>
      <w:r w:rsidRPr="00C57330">
        <w:rPr>
          <w:rStyle w:val="Hyperlink"/>
          <w:noProof/>
          <w:u w:val="none"/>
        </w:rPr>
        <w:t>dokumencie</w:t>
      </w:r>
      <w:r w:rsidRPr="00C57330">
        <w:rPr>
          <w:noProof/>
        </w:rPr>
        <w:t xml:space="preserve"> określono 19 działań</w:t>
      </w:r>
      <w:r w:rsidR="006C5585" w:rsidRPr="00C57330">
        <w:rPr>
          <w:noProof/>
        </w:rPr>
        <w:t xml:space="preserve"> o</w:t>
      </w:r>
      <w:r w:rsidR="006C5585">
        <w:rPr>
          <w:noProof/>
        </w:rPr>
        <w:t> </w:t>
      </w:r>
      <w:r w:rsidR="006C5585" w:rsidRPr="00C57330">
        <w:rPr>
          <w:noProof/>
        </w:rPr>
        <w:t>cha</w:t>
      </w:r>
      <w:r w:rsidRPr="00C57330">
        <w:rPr>
          <w:noProof/>
        </w:rPr>
        <w:t>rakterze nieustawodawczym służących poprawie zdolności jednostek notyfikowanych, zwiększeniu dostępu do nich oraz wzmocnieniu gotowości producentów,</w:t>
      </w:r>
      <w:r w:rsidR="006C5585" w:rsidRPr="00C57330">
        <w:rPr>
          <w:noProof/>
        </w:rPr>
        <w:t xml:space="preserve"> a</w:t>
      </w:r>
      <w:r w:rsidR="006C5585">
        <w:rPr>
          <w:noProof/>
        </w:rPr>
        <w:t> </w:t>
      </w:r>
      <w:r w:rsidR="006C5585" w:rsidRPr="00C57330">
        <w:rPr>
          <w:noProof/>
        </w:rPr>
        <w:t>tym</w:t>
      </w:r>
      <w:r w:rsidRPr="00C57330">
        <w:rPr>
          <w:noProof/>
        </w:rPr>
        <w:t xml:space="preserve"> samym wsparciu pomyślnego przejścia na stosowanie rozporządzeń MDR i IVDR. Kilka działań wymienionych w </w:t>
      </w:r>
      <w:hyperlink r:id="rId15" w:history="1">
        <w:r w:rsidRPr="00C57330">
          <w:rPr>
            <w:rStyle w:val="Hyperlink"/>
            <w:noProof/>
            <w:u w:val="none"/>
          </w:rPr>
          <w:t>MDCG 2022-14</w:t>
        </w:r>
      </w:hyperlink>
      <w:r w:rsidRPr="00C57330">
        <w:rPr>
          <w:noProof/>
        </w:rPr>
        <w:t xml:space="preserve"> zostało już wdrożonych, jak np. dokument przedstawiający stanowisko MDCG</w:t>
      </w:r>
      <w:r w:rsidR="006C5585" w:rsidRPr="00C57330">
        <w:rPr>
          <w:noProof/>
        </w:rPr>
        <w:t xml:space="preserve"> w</w:t>
      </w:r>
      <w:r w:rsidR="006C5585">
        <w:rPr>
          <w:noProof/>
        </w:rPr>
        <w:t> </w:t>
      </w:r>
      <w:r w:rsidR="006C5585" w:rsidRPr="00C57330">
        <w:rPr>
          <w:noProof/>
        </w:rPr>
        <w:t>spr</w:t>
      </w:r>
      <w:r w:rsidRPr="00C57330">
        <w:rPr>
          <w:noProof/>
        </w:rPr>
        <w:t>awie audytów hybrydowych</w:t>
      </w:r>
      <w:r w:rsidRPr="00C57330">
        <w:rPr>
          <w:rStyle w:val="FootnoteReference"/>
          <w:noProof/>
        </w:rPr>
        <w:footnoteReference w:id="12"/>
      </w:r>
      <w:r w:rsidRPr="00C57330">
        <w:rPr>
          <w:noProof/>
        </w:rPr>
        <w:t>, nowe wytyczne MDCG dotyczące odpowiedniego nadzoru</w:t>
      </w:r>
      <w:r w:rsidRPr="00C57330">
        <w:rPr>
          <w:rStyle w:val="FootnoteReference"/>
          <w:noProof/>
        </w:rPr>
        <w:footnoteReference w:id="13"/>
      </w:r>
      <w:r w:rsidRPr="00C57330">
        <w:rPr>
          <w:noProof/>
        </w:rPr>
        <w:t xml:space="preserve"> oraz przegląd MDCG 2019-6,</w:t>
      </w:r>
      <w:r w:rsidR="006C5585" w:rsidRPr="00C57330">
        <w:rPr>
          <w:noProof/>
        </w:rPr>
        <w:t xml:space="preserve"> w</w:t>
      </w:r>
      <w:r w:rsidR="006C5585">
        <w:rPr>
          <w:noProof/>
        </w:rPr>
        <w:t> </w:t>
      </w:r>
      <w:r w:rsidR="006C5585" w:rsidRPr="00C57330">
        <w:rPr>
          <w:noProof/>
        </w:rPr>
        <w:t>ram</w:t>
      </w:r>
      <w:r w:rsidRPr="00C57330">
        <w:rPr>
          <w:noProof/>
        </w:rPr>
        <w:t>ach którego usunięto przeszkody</w:t>
      </w:r>
      <w:r w:rsidR="006C5585" w:rsidRPr="00C57330">
        <w:rPr>
          <w:noProof/>
        </w:rPr>
        <w:t xml:space="preserve"> w</w:t>
      </w:r>
      <w:r w:rsidR="006C5585">
        <w:rPr>
          <w:noProof/>
        </w:rPr>
        <w:t> </w:t>
      </w:r>
      <w:r w:rsidR="006C5585" w:rsidRPr="00C57330">
        <w:rPr>
          <w:noProof/>
        </w:rPr>
        <w:t>zat</w:t>
      </w:r>
      <w:r w:rsidRPr="00C57330">
        <w:rPr>
          <w:noProof/>
        </w:rPr>
        <w:t>rudnianiu wykwalifikowanego personelu przez jednostki notyfikowane</w:t>
      </w:r>
      <w:r w:rsidRPr="00C57330">
        <w:rPr>
          <w:rStyle w:val="FootnoteReference"/>
          <w:noProof/>
        </w:rPr>
        <w:footnoteReference w:id="14"/>
      </w:r>
      <w:r w:rsidRPr="00C57330">
        <w:rPr>
          <w:noProof/>
        </w:rPr>
        <w:t>.</w:t>
      </w:r>
    </w:p>
    <w:p w14:paraId="448570FA" w14:textId="47EF128E" w:rsidR="00E16C3E" w:rsidRPr="00C57330" w:rsidRDefault="00B072EC" w:rsidP="001F4EF3">
      <w:pPr>
        <w:pStyle w:val="Text1"/>
        <w:rPr>
          <w:noProof/>
        </w:rPr>
      </w:pPr>
      <w:r w:rsidRPr="00C57330">
        <w:rPr>
          <w:noProof/>
        </w:rPr>
        <w:t>1 grudnia 20</w:t>
      </w:r>
      <w:r w:rsidRPr="006C5585">
        <w:rPr>
          <w:noProof/>
        </w:rPr>
        <w:t>22</w:t>
      </w:r>
      <w:r w:rsidR="006C5585" w:rsidRPr="006C5585">
        <w:rPr>
          <w:noProof/>
        </w:rPr>
        <w:t> </w:t>
      </w:r>
      <w:r w:rsidRPr="006C5585">
        <w:rPr>
          <w:noProof/>
        </w:rPr>
        <w:t>r.</w:t>
      </w:r>
      <w:r w:rsidRPr="00C57330">
        <w:rPr>
          <w:noProof/>
        </w:rPr>
        <w:t xml:space="preserve"> Komisja przyjęła dwa akty delegowane mające na celu odroczenie terminu pierwszej pełnej ponownej oceny jednostek notyfikowanych</w:t>
      </w:r>
      <w:r w:rsidRPr="00C57330">
        <w:rPr>
          <w:rStyle w:val="FootnoteReference"/>
          <w:noProof/>
        </w:rPr>
        <w:footnoteReference w:id="15"/>
      </w:r>
      <w:r w:rsidRPr="00C57330">
        <w:rPr>
          <w:noProof/>
        </w:rPr>
        <w:t>. Oczekuje się, że pozwoli to na zwiększenie zdolności zarówno organów wyznaczających, jak</w:t>
      </w:r>
      <w:r w:rsidR="006C5585" w:rsidRPr="00C57330">
        <w:rPr>
          <w:noProof/>
        </w:rPr>
        <w:t xml:space="preserve"> i</w:t>
      </w:r>
      <w:r w:rsidR="006C5585">
        <w:rPr>
          <w:noProof/>
        </w:rPr>
        <w:t> </w:t>
      </w:r>
      <w:r w:rsidR="006C5585" w:rsidRPr="00C57330">
        <w:rPr>
          <w:noProof/>
        </w:rPr>
        <w:t>jed</w:t>
      </w:r>
      <w:r w:rsidRPr="00C57330">
        <w:rPr>
          <w:noProof/>
        </w:rPr>
        <w:t xml:space="preserve">nostek notyfikowanych. </w:t>
      </w:r>
    </w:p>
    <w:p w14:paraId="4E4BFD83" w14:textId="6DB5BC40" w:rsidR="00F0763B" w:rsidRPr="00C57330" w:rsidRDefault="00B072EC" w:rsidP="001F4EF3">
      <w:pPr>
        <w:pStyle w:val="Text1"/>
        <w:rPr>
          <w:noProof/>
        </w:rPr>
      </w:pPr>
      <w:r w:rsidRPr="00C57330">
        <w:rPr>
          <w:noProof/>
        </w:rPr>
        <w:t>Trwają prace nad wdrożeniem pozostałych działań wymienionych</w:t>
      </w:r>
      <w:r w:rsidR="006C5585" w:rsidRPr="00C57330">
        <w:rPr>
          <w:noProof/>
        </w:rPr>
        <w:t xml:space="preserve"> w</w:t>
      </w:r>
      <w:r w:rsidR="006C5585">
        <w:rPr>
          <w:noProof/>
        </w:rPr>
        <w:t> </w:t>
      </w:r>
      <w:r w:rsidR="006C5585" w:rsidRPr="00C57330">
        <w:rPr>
          <w:noProof/>
        </w:rPr>
        <w:t>dok</w:t>
      </w:r>
      <w:r w:rsidRPr="00C57330">
        <w:rPr>
          <w:noProof/>
        </w:rPr>
        <w:t>umencie MDCG 2022-14, ponieważ nadal są one istotne, również</w:t>
      </w:r>
      <w:r w:rsidR="006C5585" w:rsidRPr="00C57330">
        <w:rPr>
          <w:noProof/>
        </w:rPr>
        <w:t xml:space="preserve"> w</w:t>
      </w:r>
      <w:r w:rsidR="006C5585">
        <w:rPr>
          <w:noProof/>
        </w:rPr>
        <w:t> </w:t>
      </w:r>
      <w:r w:rsidR="006C5585" w:rsidRPr="00C57330">
        <w:rPr>
          <w:noProof/>
        </w:rPr>
        <w:t>prz</w:t>
      </w:r>
      <w:r w:rsidRPr="00C57330">
        <w:rPr>
          <w:noProof/>
        </w:rPr>
        <w:t>ypadku przedłużenia okresu przejściowego.</w:t>
      </w:r>
    </w:p>
    <w:p w14:paraId="54496A7F" w14:textId="2203044A" w:rsidR="005E1E5E" w:rsidRPr="00C57330" w:rsidRDefault="009E13DB" w:rsidP="001F4EF3">
      <w:pPr>
        <w:pStyle w:val="Text1"/>
        <w:rPr>
          <w:noProof/>
        </w:rPr>
      </w:pPr>
      <w:r w:rsidRPr="00C57330">
        <w:rPr>
          <w:noProof/>
        </w:rPr>
        <w:t>Dalsze działania wspierające wdrożenie obu rozporządzeń są również (współ)finansowane</w:t>
      </w:r>
      <w:r w:rsidR="006C5585" w:rsidRPr="00C57330">
        <w:rPr>
          <w:noProof/>
        </w:rPr>
        <w:t xml:space="preserve"> w</w:t>
      </w:r>
      <w:r w:rsidR="006C5585">
        <w:rPr>
          <w:noProof/>
        </w:rPr>
        <w:t> </w:t>
      </w:r>
      <w:r w:rsidR="006C5585" w:rsidRPr="00C57330">
        <w:rPr>
          <w:noProof/>
        </w:rPr>
        <w:t>ram</w:t>
      </w:r>
      <w:r w:rsidRPr="00C57330">
        <w:rPr>
          <w:noProof/>
        </w:rPr>
        <w:t>ach programów prac na lata 2022</w:t>
      </w:r>
      <w:r w:rsidR="006C5585" w:rsidRPr="00C57330">
        <w:rPr>
          <w:noProof/>
        </w:rPr>
        <w:t xml:space="preserve"> i</w:t>
      </w:r>
      <w:r w:rsidR="006C5585">
        <w:rPr>
          <w:noProof/>
        </w:rPr>
        <w:t> </w:t>
      </w:r>
      <w:r w:rsidR="006C5585" w:rsidRPr="00C57330">
        <w:rPr>
          <w:noProof/>
        </w:rPr>
        <w:t>2</w:t>
      </w:r>
      <w:r w:rsidRPr="00C57330">
        <w:rPr>
          <w:noProof/>
        </w:rPr>
        <w:t>023 objętych Programem działań Unii</w:t>
      </w:r>
      <w:r w:rsidR="006C5585" w:rsidRPr="00C57330">
        <w:rPr>
          <w:noProof/>
        </w:rPr>
        <w:t xml:space="preserve"> w</w:t>
      </w:r>
      <w:r w:rsidR="006C5585">
        <w:rPr>
          <w:noProof/>
        </w:rPr>
        <w:t> </w:t>
      </w:r>
      <w:r w:rsidR="006C5585" w:rsidRPr="00C57330">
        <w:rPr>
          <w:noProof/>
        </w:rPr>
        <w:t>dzi</w:t>
      </w:r>
      <w:r w:rsidRPr="00C57330">
        <w:rPr>
          <w:noProof/>
        </w:rPr>
        <w:t>edzinie zdrowia</w:t>
      </w:r>
      <w:r w:rsidRPr="00C57330">
        <w:rPr>
          <w:rStyle w:val="FootnoteReference"/>
          <w:noProof/>
        </w:rPr>
        <w:footnoteReference w:id="16"/>
      </w:r>
      <w:r w:rsidRPr="00C57330">
        <w:rPr>
          <w:noProof/>
        </w:rPr>
        <w:t>.</w:t>
      </w:r>
    </w:p>
    <w:p w14:paraId="1F877729" w14:textId="6DB4B842" w:rsidR="00931DC9" w:rsidRPr="00C57330" w:rsidRDefault="00BF1134" w:rsidP="001F4EF3">
      <w:pPr>
        <w:pStyle w:val="Text1"/>
        <w:rPr>
          <w:noProof/>
        </w:rPr>
      </w:pPr>
      <w:r w:rsidRPr="00C57330">
        <w:rPr>
          <w:noProof/>
        </w:rPr>
        <w:t>9 grudnia 20</w:t>
      </w:r>
      <w:r w:rsidRPr="006C5585">
        <w:rPr>
          <w:noProof/>
        </w:rPr>
        <w:t>22</w:t>
      </w:r>
      <w:r w:rsidR="006C5585" w:rsidRPr="006C5585">
        <w:rPr>
          <w:noProof/>
        </w:rPr>
        <w:t> </w:t>
      </w:r>
      <w:r w:rsidRPr="006C5585">
        <w:rPr>
          <w:noProof/>
        </w:rPr>
        <w:t>r.</w:t>
      </w:r>
      <w:r w:rsidRPr="00C57330">
        <w:rPr>
          <w:noProof/>
        </w:rPr>
        <w:t xml:space="preserve"> MDCG wydała dokument przedstawiający stanowisko MDCG 2022-18</w:t>
      </w:r>
      <w:r w:rsidRPr="00C57330">
        <w:rPr>
          <w:rStyle w:val="FootnoteReference"/>
          <w:noProof/>
        </w:rPr>
        <w:footnoteReference w:id="17"/>
      </w:r>
      <w:r w:rsidRPr="00C57330">
        <w:rPr>
          <w:noProof/>
        </w:rPr>
        <w:t>,</w:t>
      </w:r>
      <w:r w:rsidR="006C5585" w:rsidRPr="00C57330">
        <w:rPr>
          <w:noProof/>
        </w:rPr>
        <w:t xml:space="preserve"> w</w:t>
      </w:r>
      <w:r w:rsidR="006C5585">
        <w:rPr>
          <w:noProof/>
        </w:rPr>
        <w:t> </w:t>
      </w:r>
      <w:r w:rsidR="006C5585" w:rsidRPr="00C57330">
        <w:rPr>
          <w:noProof/>
        </w:rPr>
        <w:t>któ</w:t>
      </w:r>
      <w:r w:rsidRPr="00C57330">
        <w:rPr>
          <w:noProof/>
        </w:rPr>
        <w:t>rym określono jednolite podejście właściwych organów do stosowania środków nadzoru rynku</w:t>
      </w:r>
      <w:r w:rsidR="006C5585" w:rsidRPr="00C57330">
        <w:rPr>
          <w:noProof/>
        </w:rPr>
        <w:t xml:space="preserve"> w</w:t>
      </w:r>
      <w:r w:rsidR="006C5585">
        <w:rPr>
          <w:noProof/>
        </w:rPr>
        <w:t> </w:t>
      </w:r>
      <w:r w:rsidR="006C5585" w:rsidRPr="00C57330">
        <w:rPr>
          <w:noProof/>
        </w:rPr>
        <w:t>cel</w:t>
      </w:r>
      <w:r w:rsidRPr="00C57330">
        <w:rPr>
          <w:noProof/>
        </w:rPr>
        <w:t>u wyeliminowania luki między upływem ważności certyfikatów wydanych na podstawie dyrektywy MDD lub dyrektywy AIMDD</w:t>
      </w:r>
      <w:r w:rsidR="006C5585" w:rsidRPr="00C57330">
        <w:rPr>
          <w:noProof/>
        </w:rPr>
        <w:t xml:space="preserve"> a</w:t>
      </w:r>
      <w:r w:rsidR="006C5585">
        <w:rPr>
          <w:noProof/>
        </w:rPr>
        <w:t> </w:t>
      </w:r>
      <w:r w:rsidR="006C5585" w:rsidRPr="00C57330">
        <w:rPr>
          <w:noProof/>
        </w:rPr>
        <w:t>wyd</w:t>
      </w:r>
      <w:r w:rsidRPr="00C57330">
        <w:rPr>
          <w:noProof/>
        </w:rPr>
        <w:t>aniem certyfikatów na podstawie rozporządzenia MDR. Takie podejście ma stanowić środek tymczasowy do czasu wejścia</w:t>
      </w:r>
      <w:r w:rsidR="006C5585" w:rsidRPr="00C57330">
        <w:rPr>
          <w:noProof/>
        </w:rPr>
        <w:t xml:space="preserve"> w</w:t>
      </w:r>
      <w:r w:rsidR="006C5585">
        <w:rPr>
          <w:noProof/>
        </w:rPr>
        <w:t> </w:t>
      </w:r>
      <w:r w:rsidR="006C5585" w:rsidRPr="00C57330">
        <w:rPr>
          <w:noProof/>
        </w:rPr>
        <w:t>życ</w:t>
      </w:r>
      <w:r w:rsidRPr="00C57330">
        <w:rPr>
          <w:noProof/>
        </w:rPr>
        <w:t>ie zmian legislacyjnych zaproponowanych</w:t>
      </w:r>
      <w:r w:rsidR="006C5585" w:rsidRPr="00C57330">
        <w:rPr>
          <w:noProof/>
        </w:rPr>
        <w:t xml:space="preserve"> w</w:t>
      </w:r>
      <w:r w:rsidR="006C5585">
        <w:rPr>
          <w:noProof/>
        </w:rPr>
        <w:t> </w:t>
      </w:r>
      <w:r w:rsidR="006C5585" w:rsidRPr="00C57330">
        <w:rPr>
          <w:noProof/>
        </w:rPr>
        <w:t>nin</w:t>
      </w:r>
      <w:r w:rsidRPr="00C57330">
        <w:rPr>
          <w:noProof/>
        </w:rPr>
        <w:t>iejszym wniosku. Przyczynia się ono do uniknięcia zakłóceń</w:t>
      </w:r>
      <w:r w:rsidR="006C5585" w:rsidRPr="00C57330">
        <w:rPr>
          <w:noProof/>
        </w:rPr>
        <w:t xml:space="preserve"> w</w:t>
      </w:r>
      <w:r w:rsidR="006C5585">
        <w:rPr>
          <w:noProof/>
        </w:rPr>
        <w:t> </w:t>
      </w:r>
      <w:r w:rsidR="006C5585" w:rsidRPr="00C57330">
        <w:rPr>
          <w:noProof/>
        </w:rPr>
        <w:t>dos</w:t>
      </w:r>
      <w:r w:rsidRPr="00C57330">
        <w:rPr>
          <w:noProof/>
        </w:rPr>
        <w:t>tawach wyrobów medycznych na rynku UE. Biorąc jednak pod uwagę liczbę certyfikatów, które tracą ważność</w:t>
      </w:r>
      <w:r w:rsidR="006C5585" w:rsidRPr="00C57330">
        <w:rPr>
          <w:noProof/>
        </w:rPr>
        <w:t xml:space="preserve"> w</w:t>
      </w:r>
      <w:r w:rsidR="006C5585">
        <w:rPr>
          <w:noProof/>
        </w:rPr>
        <w:t> </w:t>
      </w:r>
      <w:r w:rsidR="006C5585" w:rsidRPr="00C57330">
        <w:rPr>
          <w:noProof/>
        </w:rPr>
        <w:t>2</w:t>
      </w:r>
      <w:r w:rsidRPr="00C57330">
        <w:rPr>
          <w:noProof/>
        </w:rPr>
        <w:t>0</w:t>
      </w:r>
      <w:r w:rsidRPr="006C5585">
        <w:rPr>
          <w:noProof/>
        </w:rPr>
        <w:t>23</w:t>
      </w:r>
      <w:r w:rsidR="006C5585" w:rsidRPr="006C5585">
        <w:rPr>
          <w:noProof/>
        </w:rPr>
        <w:t> </w:t>
      </w:r>
      <w:r w:rsidRPr="006C5585">
        <w:rPr>
          <w:noProof/>
        </w:rPr>
        <w:t>r.</w:t>
      </w:r>
      <w:r w:rsidR="006C5585" w:rsidRPr="00C57330">
        <w:rPr>
          <w:noProof/>
        </w:rPr>
        <w:t xml:space="preserve"> i</w:t>
      </w:r>
      <w:r w:rsidR="006C5585">
        <w:rPr>
          <w:noProof/>
        </w:rPr>
        <w:t> </w:t>
      </w:r>
      <w:r w:rsidR="006C5585" w:rsidRPr="00C57330">
        <w:rPr>
          <w:noProof/>
        </w:rPr>
        <w:t>2</w:t>
      </w:r>
      <w:r w:rsidRPr="00C57330">
        <w:rPr>
          <w:noProof/>
        </w:rPr>
        <w:t>0</w:t>
      </w:r>
      <w:r w:rsidRPr="006C5585">
        <w:rPr>
          <w:noProof/>
        </w:rPr>
        <w:t>24</w:t>
      </w:r>
      <w:r w:rsidR="006C5585" w:rsidRPr="006C5585">
        <w:rPr>
          <w:noProof/>
        </w:rPr>
        <w:t> </w:t>
      </w:r>
      <w:r w:rsidRPr="006C5585">
        <w:rPr>
          <w:noProof/>
        </w:rPr>
        <w:t>r.</w:t>
      </w:r>
      <w:r w:rsidRPr="00C57330">
        <w:rPr>
          <w:noProof/>
        </w:rPr>
        <w:t>, podejście to nie jest uważane za trwałe rozwiązanie pozwalające na uniknięcie wąskiego gardła związanego</w:t>
      </w:r>
      <w:r w:rsidR="006C5585" w:rsidRPr="00C57330">
        <w:rPr>
          <w:noProof/>
        </w:rPr>
        <w:t xml:space="preserve"> z</w:t>
      </w:r>
      <w:r w:rsidR="006C5585">
        <w:rPr>
          <w:noProof/>
        </w:rPr>
        <w:t> </w:t>
      </w:r>
      <w:r w:rsidR="006C5585" w:rsidRPr="00C57330">
        <w:rPr>
          <w:noProof/>
        </w:rPr>
        <w:t>cer</w:t>
      </w:r>
      <w:r w:rsidRPr="00C57330">
        <w:rPr>
          <w:noProof/>
        </w:rPr>
        <w:t xml:space="preserve">tyfikatami, które stracą ważność </w:t>
      </w:r>
      <w:r w:rsidRPr="006C5585">
        <w:rPr>
          <w:noProof/>
        </w:rPr>
        <w:t>do</w:t>
      </w:r>
      <w:r w:rsidR="006C5585" w:rsidRPr="006C5585">
        <w:rPr>
          <w:noProof/>
        </w:rPr>
        <w:t> </w:t>
      </w:r>
      <w:r w:rsidRPr="006C5585">
        <w:rPr>
          <w:noProof/>
        </w:rPr>
        <w:t>2</w:t>
      </w:r>
      <w:r w:rsidRPr="00C57330">
        <w:rPr>
          <w:noProof/>
        </w:rPr>
        <w:t>6 maja 20</w:t>
      </w:r>
      <w:r w:rsidRPr="006C5585">
        <w:rPr>
          <w:noProof/>
        </w:rPr>
        <w:t>24</w:t>
      </w:r>
      <w:r w:rsidR="006C5585" w:rsidRPr="006C5585">
        <w:rPr>
          <w:noProof/>
        </w:rPr>
        <w:t> </w:t>
      </w:r>
      <w:r w:rsidRPr="006C5585">
        <w:rPr>
          <w:noProof/>
        </w:rPr>
        <w:t>r.</w:t>
      </w:r>
    </w:p>
    <w:p w14:paraId="2AF31E63" w14:textId="77777777" w:rsidR="005E1E5E" w:rsidRPr="00C57330" w:rsidRDefault="005E1E5E" w:rsidP="00A103F4">
      <w:pPr>
        <w:pStyle w:val="ManualHeading1"/>
        <w:rPr>
          <w:noProof/>
        </w:rPr>
      </w:pPr>
      <w:r w:rsidRPr="00C57330">
        <w:rPr>
          <w:noProof/>
        </w:rPr>
        <w:t>2.</w:t>
      </w:r>
      <w:r w:rsidRPr="00C57330">
        <w:rPr>
          <w:noProof/>
        </w:rPr>
        <w:tab/>
        <w:t>PODSTAWA PRAWNA, POMOCNICZOŚĆ I PROPORCJONALNOŚĆ</w:t>
      </w:r>
    </w:p>
    <w:p w14:paraId="4BE1822C" w14:textId="77777777" w:rsidR="005E1E5E" w:rsidRPr="00C57330" w:rsidRDefault="005E1E5E" w:rsidP="00A103F4">
      <w:pPr>
        <w:pStyle w:val="ManualHeading2"/>
        <w:rPr>
          <w:noProof/>
          <w:u w:color="000000"/>
          <w:bdr w:val="nil"/>
        </w:rPr>
      </w:pPr>
      <w:r w:rsidRPr="00C57330">
        <w:rPr>
          <w:noProof/>
          <w:u w:color="000000"/>
          <w:bdr w:val="nil"/>
        </w:rPr>
        <w:t>•</w:t>
      </w:r>
      <w:r w:rsidRPr="00C57330">
        <w:rPr>
          <w:noProof/>
        </w:rPr>
        <w:tab/>
      </w:r>
      <w:r w:rsidRPr="00C57330">
        <w:rPr>
          <w:noProof/>
          <w:u w:color="000000"/>
          <w:bdr w:val="nil"/>
        </w:rPr>
        <w:t>Podstawa prawna</w:t>
      </w:r>
    </w:p>
    <w:p w14:paraId="254BB365" w14:textId="6859BFEE" w:rsidR="00641FFB" w:rsidRPr="00C57330" w:rsidRDefault="00641FFB" w:rsidP="001F4EF3">
      <w:pPr>
        <w:pStyle w:val="Text1"/>
        <w:rPr>
          <w:noProof/>
        </w:rPr>
      </w:pPr>
      <w:r w:rsidRPr="00C57330">
        <w:rPr>
          <w:noProof/>
        </w:rPr>
        <w:t xml:space="preserve">Podstawą wniosku są </w:t>
      </w:r>
      <w:r w:rsidRPr="006C5585">
        <w:rPr>
          <w:noProof/>
        </w:rPr>
        <w:t>art.</w:t>
      </w:r>
      <w:r w:rsidR="006C5585" w:rsidRPr="006C5585">
        <w:rPr>
          <w:noProof/>
        </w:rPr>
        <w:t> </w:t>
      </w:r>
      <w:r w:rsidRPr="006C5585">
        <w:rPr>
          <w:noProof/>
        </w:rPr>
        <w:t>1</w:t>
      </w:r>
      <w:r w:rsidRPr="00C57330">
        <w:rPr>
          <w:noProof/>
        </w:rPr>
        <w:t>14</w:t>
      </w:r>
      <w:r w:rsidR="006C5585" w:rsidRPr="00C57330">
        <w:rPr>
          <w:noProof/>
        </w:rPr>
        <w:t xml:space="preserve"> i</w:t>
      </w:r>
      <w:r w:rsidR="006C5585">
        <w:rPr>
          <w:noProof/>
        </w:rPr>
        <w:t> </w:t>
      </w:r>
      <w:r w:rsidR="006C5585" w:rsidRPr="006C5585">
        <w:rPr>
          <w:noProof/>
        </w:rPr>
        <w:t>art</w:t>
      </w:r>
      <w:r w:rsidRPr="006C5585">
        <w:rPr>
          <w:noProof/>
        </w:rPr>
        <w:t>.</w:t>
      </w:r>
      <w:r w:rsidR="006C5585" w:rsidRPr="006C5585">
        <w:rPr>
          <w:noProof/>
        </w:rPr>
        <w:t> </w:t>
      </w:r>
      <w:r w:rsidRPr="006C5585">
        <w:rPr>
          <w:noProof/>
        </w:rPr>
        <w:t>1</w:t>
      </w:r>
      <w:r w:rsidRPr="00C57330">
        <w:rPr>
          <w:noProof/>
        </w:rPr>
        <w:t xml:space="preserve">68 </w:t>
      </w:r>
      <w:r w:rsidRPr="006C5585">
        <w:rPr>
          <w:noProof/>
        </w:rPr>
        <w:t>ust.</w:t>
      </w:r>
      <w:r w:rsidR="006C5585" w:rsidRPr="006C5585">
        <w:rPr>
          <w:noProof/>
        </w:rPr>
        <w:t> </w:t>
      </w:r>
      <w:r w:rsidRPr="006C5585">
        <w:rPr>
          <w:noProof/>
        </w:rPr>
        <w:t>4</w:t>
      </w:r>
      <w:r w:rsidRPr="00C57330">
        <w:rPr>
          <w:noProof/>
        </w:rPr>
        <w:t xml:space="preserve"> </w:t>
      </w:r>
      <w:r w:rsidRPr="006C5585">
        <w:rPr>
          <w:noProof/>
        </w:rPr>
        <w:t>lit.</w:t>
      </w:r>
      <w:r w:rsidR="006C5585" w:rsidRPr="006C5585">
        <w:rPr>
          <w:noProof/>
        </w:rPr>
        <w:t> </w:t>
      </w:r>
      <w:r w:rsidRPr="006C5585">
        <w:rPr>
          <w:noProof/>
        </w:rPr>
        <w:t>c)</w:t>
      </w:r>
      <w:r w:rsidRPr="00C57330">
        <w:rPr>
          <w:noProof/>
        </w:rPr>
        <w:t xml:space="preserve"> Traktatu</w:t>
      </w:r>
      <w:r w:rsidR="006C5585" w:rsidRPr="00C57330">
        <w:rPr>
          <w:noProof/>
        </w:rPr>
        <w:t xml:space="preserve"> o</w:t>
      </w:r>
      <w:r w:rsidR="006C5585">
        <w:rPr>
          <w:noProof/>
        </w:rPr>
        <w:t> </w:t>
      </w:r>
      <w:r w:rsidR="006C5585" w:rsidRPr="00C57330">
        <w:rPr>
          <w:noProof/>
        </w:rPr>
        <w:t>fun</w:t>
      </w:r>
      <w:r w:rsidRPr="00C57330">
        <w:rPr>
          <w:noProof/>
        </w:rPr>
        <w:t>kcjonowaniu Unii Europejskiej (TFUE).</w:t>
      </w:r>
    </w:p>
    <w:p w14:paraId="642DE243" w14:textId="77777777" w:rsidR="005E1E5E" w:rsidRPr="00C57330" w:rsidRDefault="005E1E5E" w:rsidP="00A103F4">
      <w:pPr>
        <w:pStyle w:val="ManualHeading2"/>
        <w:rPr>
          <w:noProof/>
          <w:u w:color="000000"/>
          <w:bdr w:val="nil"/>
        </w:rPr>
      </w:pPr>
      <w:r w:rsidRPr="00C57330">
        <w:rPr>
          <w:noProof/>
          <w:u w:color="000000"/>
          <w:bdr w:val="nil"/>
        </w:rPr>
        <w:t>•</w:t>
      </w:r>
      <w:r w:rsidRPr="00C57330">
        <w:rPr>
          <w:noProof/>
        </w:rPr>
        <w:tab/>
      </w:r>
      <w:r w:rsidRPr="00C57330">
        <w:rPr>
          <w:noProof/>
          <w:u w:color="000000"/>
          <w:bdr w:val="nil"/>
        </w:rPr>
        <w:t>Pomocniczość</w:t>
      </w:r>
    </w:p>
    <w:p w14:paraId="4F4E0380" w14:textId="129669FF" w:rsidR="005E1E5E" w:rsidRPr="00C57330" w:rsidRDefault="00641FFB" w:rsidP="001F4EF3">
      <w:pPr>
        <w:pStyle w:val="Text1"/>
        <w:rPr>
          <w:noProof/>
        </w:rPr>
      </w:pPr>
      <w:r w:rsidRPr="00C57330">
        <w:rPr>
          <w:noProof/>
        </w:rPr>
        <w:t>Zgodnie</w:t>
      </w:r>
      <w:r w:rsidR="006C5585" w:rsidRPr="00C57330">
        <w:rPr>
          <w:noProof/>
        </w:rPr>
        <w:t xml:space="preserve"> z</w:t>
      </w:r>
      <w:r w:rsidR="006C5585">
        <w:rPr>
          <w:noProof/>
        </w:rPr>
        <w:t> </w:t>
      </w:r>
      <w:r w:rsidR="006C5585" w:rsidRPr="00C57330">
        <w:rPr>
          <w:noProof/>
        </w:rPr>
        <w:t>zas</w:t>
      </w:r>
      <w:r w:rsidRPr="00C57330">
        <w:rPr>
          <w:noProof/>
        </w:rPr>
        <w:t>adą pomocniczości działanie na szczeblu UE można podjąć tylko wtedy, gdy cele zamierzonego działania nie mogą zostać osiągnięte przez państwa członkowskie działające indywidualnie. Zmieniane przepisy przyjęto na szczeblu UE zgodnie</w:t>
      </w:r>
      <w:r w:rsidR="006C5585" w:rsidRPr="00C57330">
        <w:rPr>
          <w:noProof/>
        </w:rPr>
        <w:t xml:space="preserve"> z</w:t>
      </w:r>
      <w:r w:rsidR="006C5585">
        <w:rPr>
          <w:noProof/>
        </w:rPr>
        <w:t> </w:t>
      </w:r>
      <w:r w:rsidR="006C5585" w:rsidRPr="00C57330">
        <w:rPr>
          <w:noProof/>
        </w:rPr>
        <w:t>zas</w:t>
      </w:r>
      <w:r w:rsidRPr="00C57330">
        <w:rPr>
          <w:noProof/>
        </w:rPr>
        <w:t>adą pomocniczości</w:t>
      </w:r>
      <w:r w:rsidR="006C5585" w:rsidRPr="00C57330">
        <w:rPr>
          <w:noProof/>
        </w:rPr>
        <w:t xml:space="preserve"> i</w:t>
      </w:r>
      <w:r w:rsidR="006C5585">
        <w:rPr>
          <w:noProof/>
        </w:rPr>
        <w:t> </w:t>
      </w:r>
      <w:r w:rsidR="006C5585" w:rsidRPr="00C57330">
        <w:rPr>
          <w:noProof/>
        </w:rPr>
        <w:t>wsz</w:t>
      </w:r>
      <w:r w:rsidRPr="00C57330">
        <w:rPr>
          <w:noProof/>
        </w:rPr>
        <w:t>elkie zmiany muszą być wprowadzane</w:t>
      </w:r>
      <w:r w:rsidR="006C5585" w:rsidRPr="00C57330">
        <w:rPr>
          <w:noProof/>
        </w:rPr>
        <w:t xml:space="preserve"> w</w:t>
      </w:r>
      <w:r w:rsidR="006C5585">
        <w:rPr>
          <w:noProof/>
        </w:rPr>
        <w:t> </w:t>
      </w:r>
      <w:r w:rsidR="006C5585" w:rsidRPr="00C57330">
        <w:rPr>
          <w:noProof/>
        </w:rPr>
        <w:t>dro</w:t>
      </w:r>
      <w:r w:rsidRPr="00C57330">
        <w:rPr>
          <w:noProof/>
        </w:rPr>
        <w:t>dze aktu przyjmowanego przez prawodawców Unii</w:t>
      </w:r>
      <w:r w:rsidR="006C5585" w:rsidRPr="00C57330">
        <w:rPr>
          <w:noProof/>
        </w:rPr>
        <w:t>. W</w:t>
      </w:r>
      <w:r w:rsidR="006C5585">
        <w:rPr>
          <w:noProof/>
        </w:rPr>
        <w:t> </w:t>
      </w:r>
      <w:r w:rsidR="006C5585" w:rsidRPr="00C57330">
        <w:rPr>
          <w:noProof/>
        </w:rPr>
        <w:t>prz</w:t>
      </w:r>
      <w:r w:rsidRPr="00C57330">
        <w:rPr>
          <w:noProof/>
        </w:rPr>
        <w:t>ypadku niniejszego wniosku dotyczącego zmiany konieczne jest podjęcie działań na szczeblu UE, aby uniknąć zakłóceń</w:t>
      </w:r>
      <w:r w:rsidR="006C5585" w:rsidRPr="00C57330">
        <w:rPr>
          <w:noProof/>
        </w:rPr>
        <w:t xml:space="preserve"> w</w:t>
      </w:r>
      <w:r w:rsidR="006C5585">
        <w:rPr>
          <w:noProof/>
        </w:rPr>
        <w:t> </w:t>
      </w:r>
      <w:r w:rsidR="006C5585" w:rsidRPr="00C57330">
        <w:rPr>
          <w:noProof/>
        </w:rPr>
        <w:t>dos</w:t>
      </w:r>
      <w:r w:rsidRPr="00C57330">
        <w:rPr>
          <w:noProof/>
        </w:rPr>
        <w:t>tawach wyrobów</w:t>
      </w:r>
      <w:r w:rsidR="006C5585" w:rsidRPr="00C57330">
        <w:rPr>
          <w:noProof/>
        </w:rPr>
        <w:t xml:space="preserve"> w</w:t>
      </w:r>
      <w:r w:rsidR="006C5585">
        <w:rPr>
          <w:noProof/>
        </w:rPr>
        <w:t> </w:t>
      </w:r>
      <w:r w:rsidR="006C5585" w:rsidRPr="00C57330">
        <w:rPr>
          <w:noProof/>
        </w:rPr>
        <w:t>cał</w:t>
      </w:r>
      <w:r w:rsidRPr="00C57330">
        <w:rPr>
          <w:noProof/>
        </w:rPr>
        <w:t>ej UE</w:t>
      </w:r>
      <w:r w:rsidR="006C5585" w:rsidRPr="00C57330">
        <w:rPr>
          <w:noProof/>
        </w:rPr>
        <w:t xml:space="preserve"> i</w:t>
      </w:r>
      <w:r w:rsidR="006C5585">
        <w:rPr>
          <w:noProof/>
        </w:rPr>
        <w:t> </w:t>
      </w:r>
      <w:r w:rsidR="006C5585" w:rsidRPr="00C57330">
        <w:rPr>
          <w:noProof/>
        </w:rPr>
        <w:t>zap</w:t>
      </w:r>
      <w:r w:rsidRPr="00C57330">
        <w:rPr>
          <w:noProof/>
        </w:rPr>
        <w:t>ewnić sprawne funkcjonowanie rynku wewnętrznego oraz wysoki poziom ochrony zdrowia pacjentów</w:t>
      </w:r>
      <w:r w:rsidR="006C5585" w:rsidRPr="00C57330">
        <w:rPr>
          <w:noProof/>
        </w:rPr>
        <w:t xml:space="preserve"> i</w:t>
      </w:r>
      <w:r w:rsidR="006C5585">
        <w:rPr>
          <w:noProof/>
        </w:rPr>
        <w:t> </w:t>
      </w:r>
      <w:r w:rsidR="006C5585" w:rsidRPr="00C57330">
        <w:rPr>
          <w:noProof/>
        </w:rPr>
        <w:t>uży</w:t>
      </w:r>
      <w:r w:rsidRPr="00C57330">
        <w:rPr>
          <w:noProof/>
        </w:rPr>
        <w:t>tkowników.</w:t>
      </w:r>
    </w:p>
    <w:p w14:paraId="7EE91332" w14:textId="77777777" w:rsidR="005E1E5E" w:rsidRPr="00C57330" w:rsidRDefault="005E1E5E" w:rsidP="00A103F4">
      <w:pPr>
        <w:pStyle w:val="ManualHeading2"/>
        <w:rPr>
          <w:noProof/>
          <w:u w:color="000000"/>
          <w:bdr w:val="nil"/>
        </w:rPr>
      </w:pPr>
      <w:r w:rsidRPr="00C57330">
        <w:rPr>
          <w:noProof/>
          <w:u w:color="000000"/>
          <w:bdr w:val="nil"/>
        </w:rPr>
        <w:t>•</w:t>
      </w:r>
      <w:r w:rsidRPr="00C57330">
        <w:rPr>
          <w:noProof/>
        </w:rPr>
        <w:tab/>
      </w:r>
      <w:r w:rsidRPr="00C57330">
        <w:rPr>
          <w:noProof/>
          <w:u w:color="000000"/>
          <w:bdr w:val="nil"/>
        </w:rPr>
        <w:t>Proporcjonalność</w:t>
      </w:r>
    </w:p>
    <w:p w14:paraId="4E92733A" w14:textId="0F1FB12E" w:rsidR="005E1E5E" w:rsidRPr="00C57330" w:rsidRDefault="002D554E" w:rsidP="001F4EF3">
      <w:pPr>
        <w:pStyle w:val="Text1"/>
        <w:rPr>
          <w:noProof/>
        </w:rPr>
      </w:pPr>
      <w:r w:rsidRPr="00C57330">
        <w:rPr>
          <w:noProof/>
        </w:rPr>
        <w:t>Proponowane działanie UE jest konieczne, aby zapobiec ryzyku niedoborów wyrobów medycznych</w:t>
      </w:r>
      <w:r w:rsidR="006C5585" w:rsidRPr="00C57330">
        <w:rPr>
          <w:noProof/>
        </w:rPr>
        <w:t xml:space="preserve"> w</w:t>
      </w:r>
      <w:r w:rsidR="006C5585">
        <w:rPr>
          <w:noProof/>
        </w:rPr>
        <w:t> </w:t>
      </w:r>
      <w:r w:rsidR="006C5585" w:rsidRPr="00C57330">
        <w:rPr>
          <w:noProof/>
        </w:rPr>
        <w:t>cał</w:t>
      </w:r>
      <w:r w:rsidRPr="00C57330">
        <w:rPr>
          <w:noProof/>
        </w:rPr>
        <w:t>ej UE. Proponowane zmiany mają na celu zapewnienie osiągnięcia zamierzonego celu rozporządzeń MDR i IVDR. Celem tym jest ustanowienie solidnych, przejrzystych, przewidywalnych</w:t>
      </w:r>
      <w:r w:rsidR="006C5585" w:rsidRPr="00C57330">
        <w:rPr>
          <w:noProof/>
        </w:rPr>
        <w:t xml:space="preserve"> i</w:t>
      </w:r>
      <w:r w:rsidR="006C5585">
        <w:rPr>
          <w:noProof/>
        </w:rPr>
        <w:t> </w:t>
      </w:r>
      <w:r w:rsidR="006C5585" w:rsidRPr="00C57330">
        <w:rPr>
          <w:noProof/>
        </w:rPr>
        <w:t>trw</w:t>
      </w:r>
      <w:r w:rsidRPr="00C57330">
        <w:rPr>
          <w:noProof/>
        </w:rPr>
        <w:t>ałych ram regulacyjnych dla wyrobów medycznych, które gwarantują wysoki poziom ochrony zdrowia publicznego</w:t>
      </w:r>
      <w:r w:rsidR="006C5585" w:rsidRPr="00C57330">
        <w:rPr>
          <w:noProof/>
        </w:rPr>
        <w:t xml:space="preserve"> i</w:t>
      </w:r>
      <w:r w:rsidR="006C5585">
        <w:rPr>
          <w:noProof/>
        </w:rPr>
        <w:t> </w:t>
      </w:r>
      <w:r w:rsidR="006C5585" w:rsidRPr="00C57330">
        <w:rPr>
          <w:noProof/>
        </w:rPr>
        <w:t>bez</w:t>
      </w:r>
      <w:r w:rsidRPr="00C57330">
        <w:rPr>
          <w:noProof/>
        </w:rPr>
        <w:t>pieczeństwa pacjentów oraz sprawne funkcjonowanie rynku wewnętrznego takich wyrobów. We wniosku utrzymano ogólny cel obu rozporządzeń, jakim jest zapewnienie wysokiego poziomu bezpieczeństwa</w:t>
      </w:r>
      <w:r w:rsidR="006C5585" w:rsidRPr="00C57330">
        <w:rPr>
          <w:noProof/>
        </w:rPr>
        <w:t xml:space="preserve"> i</w:t>
      </w:r>
      <w:r w:rsidR="006C5585">
        <w:rPr>
          <w:noProof/>
        </w:rPr>
        <w:t> </w:t>
      </w:r>
      <w:r w:rsidR="006C5585" w:rsidRPr="00C57330">
        <w:rPr>
          <w:noProof/>
        </w:rPr>
        <w:t>dzi</w:t>
      </w:r>
      <w:r w:rsidRPr="00C57330">
        <w:rPr>
          <w:noProof/>
        </w:rPr>
        <w:t>ałania wyrobów poprzez zwiększenie nadzoru sprawowanego nad nimi przez jednostki notyfikowane. Przewiduje on jedynie dodatkowy czas niezbędny do osiągnięcia tego celu. Wniosek jest proporcjonalny, ponieważ ma na celu rozwiązanie zidentyfikowanego problemu, jakim jest możliwość zniknięcia</w:t>
      </w:r>
      <w:r w:rsidR="006C5585" w:rsidRPr="00C57330">
        <w:rPr>
          <w:noProof/>
        </w:rPr>
        <w:t xml:space="preserve"> z</w:t>
      </w:r>
      <w:r w:rsidR="006C5585">
        <w:rPr>
          <w:noProof/>
        </w:rPr>
        <w:t> </w:t>
      </w:r>
      <w:r w:rsidR="006C5585" w:rsidRPr="00C57330">
        <w:rPr>
          <w:noProof/>
        </w:rPr>
        <w:t>ryn</w:t>
      </w:r>
      <w:r w:rsidRPr="00C57330">
        <w:rPr>
          <w:noProof/>
        </w:rPr>
        <w:t>ku dużej liczby istniejących wyrobów ze względu na brak zdolności jednostek notyfikowanych</w:t>
      </w:r>
      <w:r w:rsidR="006C5585" w:rsidRPr="00C57330">
        <w:rPr>
          <w:noProof/>
        </w:rPr>
        <w:t xml:space="preserve"> i</w:t>
      </w:r>
      <w:r w:rsidR="006C5585">
        <w:rPr>
          <w:noProof/>
        </w:rPr>
        <w:t> </w:t>
      </w:r>
      <w:r w:rsidR="006C5585" w:rsidRPr="00C57330">
        <w:rPr>
          <w:noProof/>
        </w:rPr>
        <w:t>nie</w:t>
      </w:r>
      <w:r w:rsidRPr="00C57330">
        <w:rPr>
          <w:noProof/>
        </w:rPr>
        <w:t>wystarczającą gotowość producentów. Proponowane zmiany rozporządzenia MDR dotyczą jedynie zatem umożliwienia stopniowego wprowadzania wymogów, ograniczonych do wyrobów „starszych”,</w:t>
      </w:r>
      <w:r w:rsidR="006C5585" w:rsidRPr="00C57330">
        <w:rPr>
          <w:noProof/>
        </w:rPr>
        <w:t xml:space="preserve"> w</w:t>
      </w:r>
      <w:r w:rsidR="006C5585">
        <w:rPr>
          <w:noProof/>
        </w:rPr>
        <w:t> </w:t>
      </w:r>
      <w:r w:rsidR="006C5585" w:rsidRPr="00C57330">
        <w:rPr>
          <w:noProof/>
        </w:rPr>
        <w:t>prz</w:t>
      </w:r>
      <w:r w:rsidRPr="00C57330">
        <w:rPr>
          <w:noProof/>
        </w:rPr>
        <w:t>ypadku których konieczny jest udział jednostki notyfikowanej</w:t>
      </w:r>
      <w:r w:rsidR="006C5585" w:rsidRPr="00C57330">
        <w:rPr>
          <w:noProof/>
        </w:rPr>
        <w:t xml:space="preserve"> w</w:t>
      </w:r>
      <w:r w:rsidR="006C5585">
        <w:rPr>
          <w:noProof/>
        </w:rPr>
        <w:t> </w:t>
      </w:r>
      <w:r w:rsidR="006C5585" w:rsidRPr="00C57330">
        <w:rPr>
          <w:noProof/>
        </w:rPr>
        <w:t>oce</w:t>
      </w:r>
      <w:r w:rsidRPr="00C57330">
        <w:rPr>
          <w:noProof/>
        </w:rPr>
        <w:t>nie zgodności, bez zmiany zasadniczej treści tych wymogów, oraz usunięcia terminu „wysprzedawania”. Zmiana rozporządzenia IVDR ogranicza się do usunięcia terminu „wysprzedawania”</w:t>
      </w:r>
      <w:r w:rsidR="006C5585" w:rsidRPr="00C57330">
        <w:rPr>
          <w:noProof/>
        </w:rPr>
        <w:t xml:space="preserve"> w</w:t>
      </w:r>
      <w:r w:rsidR="006C5585">
        <w:rPr>
          <w:noProof/>
        </w:rPr>
        <w:t> </w:t>
      </w:r>
      <w:r w:rsidR="006C5585" w:rsidRPr="00C57330">
        <w:rPr>
          <w:noProof/>
        </w:rPr>
        <w:t>cel</w:t>
      </w:r>
      <w:r w:rsidRPr="00C57330">
        <w:rPr>
          <w:noProof/>
        </w:rPr>
        <w:t>u zapewnienia spójności</w:t>
      </w:r>
      <w:r w:rsidR="006C5585" w:rsidRPr="00C57330">
        <w:rPr>
          <w:noProof/>
        </w:rPr>
        <w:t xml:space="preserve"> z</w:t>
      </w:r>
      <w:r w:rsidR="006C5585">
        <w:rPr>
          <w:noProof/>
        </w:rPr>
        <w:t> </w:t>
      </w:r>
      <w:r w:rsidR="006C5585" w:rsidRPr="00C57330">
        <w:rPr>
          <w:noProof/>
        </w:rPr>
        <w:t>pro</w:t>
      </w:r>
      <w:r w:rsidRPr="00C57330">
        <w:rPr>
          <w:noProof/>
        </w:rPr>
        <w:t>ponowaną zmianą rozporządzenia MDR. Komisja proponuje dokonanie rozróżnienia między wyrobami</w:t>
      </w:r>
      <w:r w:rsidR="006C5585" w:rsidRPr="00C57330">
        <w:rPr>
          <w:noProof/>
        </w:rPr>
        <w:t xml:space="preserve"> o</w:t>
      </w:r>
      <w:r w:rsidR="006C5585">
        <w:rPr>
          <w:noProof/>
        </w:rPr>
        <w:t> </w:t>
      </w:r>
      <w:r w:rsidR="006C5585" w:rsidRPr="00C57330">
        <w:rPr>
          <w:noProof/>
        </w:rPr>
        <w:t>wyż</w:t>
      </w:r>
      <w:r w:rsidRPr="00C57330">
        <w:rPr>
          <w:noProof/>
        </w:rPr>
        <w:t>szym ryzyku (tj. wyrobami klasy III</w:t>
      </w:r>
      <w:r w:rsidR="006C5585" w:rsidRPr="00C57330">
        <w:rPr>
          <w:noProof/>
        </w:rPr>
        <w:t xml:space="preserve"> i</w:t>
      </w:r>
      <w:r w:rsidR="006C5585">
        <w:rPr>
          <w:noProof/>
        </w:rPr>
        <w:t> </w:t>
      </w:r>
      <w:r w:rsidR="006C5585" w:rsidRPr="00C57330">
        <w:rPr>
          <w:noProof/>
        </w:rPr>
        <w:t>wyr</w:t>
      </w:r>
      <w:r w:rsidRPr="00C57330">
        <w:rPr>
          <w:noProof/>
        </w:rPr>
        <w:t>obami do implantacji klasy IIb)</w:t>
      </w:r>
      <w:r w:rsidR="006C5585" w:rsidRPr="00C57330">
        <w:rPr>
          <w:noProof/>
        </w:rPr>
        <w:t xml:space="preserve"> a</w:t>
      </w:r>
      <w:r w:rsidR="006C5585">
        <w:rPr>
          <w:noProof/>
        </w:rPr>
        <w:t> </w:t>
      </w:r>
      <w:r w:rsidR="006C5585" w:rsidRPr="00C57330">
        <w:rPr>
          <w:noProof/>
        </w:rPr>
        <w:t>wyr</w:t>
      </w:r>
      <w:r w:rsidRPr="00C57330">
        <w:rPr>
          <w:noProof/>
        </w:rPr>
        <w:t>obami</w:t>
      </w:r>
      <w:r w:rsidR="006C5585" w:rsidRPr="00C57330">
        <w:rPr>
          <w:noProof/>
        </w:rPr>
        <w:t xml:space="preserve"> o</w:t>
      </w:r>
      <w:r w:rsidR="006C5585">
        <w:rPr>
          <w:noProof/>
        </w:rPr>
        <w:t> </w:t>
      </w:r>
      <w:r w:rsidR="006C5585" w:rsidRPr="00C57330">
        <w:rPr>
          <w:noProof/>
        </w:rPr>
        <w:t>niż</w:t>
      </w:r>
      <w:r w:rsidRPr="00C57330">
        <w:rPr>
          <w:noProof/>
        </w:rPr>
        <w:t>szym ryzyku (tj. innymi wyrobami klasy IIb, wyrobami klasy IIa oraz wyrobami klasy Im, Is, Ir</w:t>
      </w:r>
      <w:r w:rsidRPr="00C57330">
        <w:rPr>
          <w:rStyle w:val="FootnoteReference"/>
          <w:noProof/>
        </w:rPr>
        <w:footnoteReference w:id="18"/>
      </w:r>
      <w:r w:rsidRPr="00C57330">
        <w:rPr>
          <w:noProof/>
        </w:rPr>
        <w:t>) poprzez wprowadzenie krótszych okresów przejściowych</w:t>
      </w:r>
      <w:r w:rsidR="006C5585" w:rsidRPr="00C57330">
        <w:rPr>
          <w:noProof/>
        </w:rPr>
        <w:t xml:space="preserve"> w</w:t>
      </w:r>
      <w:r w:rsidR="006C5585">
        <w:rPr>
          <w:noProof/>
        </w:rPr>
        <w:t> </w:t>
      </w:r>
      <w:r w:rsidR="006C5585" w:rsidRPr="00C57330">
        <w:rPr>
          <w:noProof/>
        </w:rPr>
        <w:t>odn</w:t>
      </w:r>
      <w:r w:rsidRPr="00C57330">
        <w:rPr>
          <w:noProof/>
        </w:rPr>
        <w:t>iesieniu do wyrobów</w:t>
      </w:r>
      <w:r w:rsidR="006C5585" w:rsidRPr="00C57330">
        <w:rPr>
          <w:noProof/>
        </w:rPr>
        <w:t xml:space="preserve"> o</w:t>
      </w:r>
      <w:r w:rsidR="006C5585">
        <w:rPr>
          <w:noProof/>
        </w:rPr>
        <w:t> </w:t>
      </w:r>
      <w:r w:rsidR="006C5585" w:rsidRPr="00C57330">
        <w:rPr>
          <w:noProof/>
        </w:rPr>
        <w:t>wyż</w:t>
      </w:r>
      <w:r w:rsidRPr="00C57330">
        <w:rPr>
          <w:noProof/>
        </w:rPr>
        <w:t>szym ryzyku</w:t>
      </w:r>
      <w:r w:rsidR="006C5585" w:rsidRPr="00C57330">
        <w:rPr>
          <w:noProof/>
        </w:rPr>
        <w:t xml:space="preserve"> i</w:t>
      </w:r>
      <w:r w:rsidR="006C5585">
        <w:rPr>
          <w:noProof/>
        </w:rPr>
        <w:t> </w:t>
      </w:r>
      <w:r w:rsidR="006C5585" w:rsidRPr="00C57330">
        <w:rPr>
          <w:noProof/>
        </w:rPr>
        <w:t>dłu</w:t>
      </w:r>
      <w:r w:rsidRPr="00C57330">
        <w:rPr>
          <w:noProof/>
        </w:rPr>
        <w:t>ższych</w:t>
      </w:r>
      <w:r w:rsidR="006C5585" w:rsidRPr="00C57330">
        <w:rPr>
          <w:noProof/>
        </w:rPr>
        <w:t xml:space="preserve"> w</w:t>
      </w:r>
      <w:r w:rsidR="006C5585">
        <w:rPr>
          <w:noProof/>
        </w:rPr>
        <w:t> </w:t>
      </w:r>
      <w:r w:rsidR="006C5585" w:rsidRPr="00C57330">
        <w:rPr>
          <w:noProof/>
        </w:rPr>
        <w:t>odn</w:t>
      </w:r>
      <w:r w:rsidRPr="00C57330">
        <w:rPr>
          <w:noProof/>
        </w:rPr>
        <w:t>iesieniu do wyrobów</w:t>
      </w:r>
      <w:r w:rsidR="006C5585" w:rsidRPr="00C57330">
        <w:rPr>
          <w:noProof/>
        </w:rPr>
        <w:t xml:space="preserve"> o</w:t>
      </w:r>
      <w:r w:rsidR="006C5585">
        <w:rPr>
          <w:noProof/>
        </w:rPr>
        <w:t> </w:t>
      </w:r>
      <w:r w:rsidR="006C5585" w:rsidRPr="00C57330">
        <w:rPr>
          <w:noProof/>
        </w:rPr>
        <w:t>niż</w:t>
      </w:r>
      <w:r w:rsidRPr="00C57330">
        <w:rPr>
          <w:noProof/>
        </w:rPr>
        <w:t>szym ryzyku. Podejście to ma na celu zrównoważenie dostępnych zdolności jednostek notyfikowanych oraz poziomu gotowości producentów</w:t>
      </w:r>
      <w:r w:rsidR="006C5585" w:rsidRPr="00C57330">
        <w:rPr>
          <w:noProof/>
        </w:rPr>
        <w:t xml:space="preserve"> z</w:t>
      </w:r>
      <w:r w:rsidR="006C5585">
        <w:rPr>
          <w:noProof/>
        </w:rPr>
        <w:t> </w:t>
      </w:r>
      <w:r w:rsidR="006C5585" w:rsidRPr="00C57330">
        <w:rPr>
          <w:noProof/>
        </w:rPr>
        <w:t>wys</w:t>
      </w:r>
      <w:r w:rsidRPr="00C57330">
        <w:rPr>
          <w:noProof/>
        </w:rPr>
        <w:t>okim poziomem ochrony zdrowia publicznego.</w:t>
      </w:r>
    </w:p>
    <w:p w14:paraId="635B60E5" w14:textId="77777777" w:rsidR="005E1E5E" w:rsidRPr="00C57330" w:rsidRDefault="005E1E5E" w:rsidP="00A103F4">
      <w:pPr>
        <w:pStyle w:val="ManualHeading2"/>
        <w:rPr>
          <w:noProof/>
          <w:u w:color="000000"/>
          <w:bdr w:val="nil"/>
        </w:rPr>
      </w:pPr>
      <w:r w:rsidRPr="00C57330">
        <w:rPr>
          <w:noProof/>
          <w:u w:color="000000"/>
          <w:bdr w:val="nil"/>
        </w:rPr>
        <w:t>•</w:t>
      </w:r>
      <w:r w:rsidRPr="00C57330">
        <w:rPr>
          <w:noProof/>
        </w:rPr>
        <w:tab/>
      </w:r>
      <w:r w:rsidRPr="00C57330">
        <w:rPr>
          <w:noProof/>
          <w:u w:color="000000"/>
          <w:bdr w:val="nil"/>
        </w:rPr>
        <w:t>Wybór instrumentu</w:t>
      </w:r>
    </w:p>
    <w:p w14:paraId="43A10F74" w14:textId="2E83EAFF" w:rsidR="005E1E5E" w:rsidRPr="00C57330" w:rsidRDefault="002D554E" w:rsidP="001F4EF3">
      <w:pPr>
        <w:pStyle w:val="Text1"/>
        <w:rPr>
          <w:noProof/>
        </w:rPr>
      </w:pPr>
      <w:r w:rsidRPr="00C57330">
        <w:rPr>
          <w:noProof/>
        </w:rPr>
        <w:t>Proponowany akt jest rozporządzeniem, które ma zostać przyjęte przez Parlament Europejski</w:t>
      </w:r>
      <w:r w:rsidR="006C5585" w:rsidRPr="00C57330">
        <w:rPr>
          <w:noProof/>
        </w:rPr>
        <w:t xml:space="preserve"> i</w:t>
      </w:r>
      <w:r w:rsidR="006C5585">
        <w:rPr>
          <w:noProof/>
        </w:rPr>
        <w:t> </w:t>
      </w:r>
      <w:r w:rsidR="006C5585" w:rsidRPr="00C57330">
        <w:rPr>
          <w:noProof/>
        </w:rPr>
        <w:t>Rad</w:t>
      </w:r>
      <w:r w:rsidRPr="00C57330">
        <w:rPr>
          <w:noProof/>
        </w:rPr>
        <w:t>ę, ponieważ aktami, które mają zostać zmienione, są rozporządzenia przyjęte przez Parlament Europejski</w:t>
      </w:r>
      <w:r w:rsidR="006C5585" w:rsidRPr="00C57330">
        <w:rPr>
          <w:noProof/>
        </w:rPr>
        <w:t xml:space="preserve"> i</w:t>
      </w:r>
      <w:r w:rsidR="006C5585">
        <w:rPr>
          <w:noProof/>
        </w:rPr>
        <w:t> </w:t>
      </w:r>
      <w:r w:rsidR="006C5585" w:rsidRPr="00C57330">
        <w:rPr>
          <w:noProof/>
        </w:rPr>
        <w:t>Rad</w:t>
      </w:r>
      <w:r w:rsidRPr="00C57330">
        <w:rPr>
          <w:noProof/>
        </w:rPr>
        <w:t>ę.</w:t>
      </w:r>
    </w:p>
    <w:p w14:paraId="14DA9BF3" w14:textId="77777777" w:rsidR="005E1E5E" w:rsidRPr="00C57330" w:rsidRDefault="005E1E5E" w:rsidP="00A103F4">
      <w:pPr>
        <w:pStyle w:val="ManualHeading1"/>
        <w:rPr>
          <w:noProof/>
        </w:rPr>
      </w:pPr>
      <w:r w:rsidRPr="00C57330">
        <w:rPr>
          <w:noProof/>
        </w:rPr>
        <w:t>3.</w:t>
      </w:r>
      <w:r w:rsidRPr="00C57330">
        <w:rPr>
          <w:noProof/>
        </w:rPr>
        <w:tab/>
        <w:t xml:space="preserve">WYNIKI OCEN </w:t>
      </w:r>
      <w:r w:rsidRPr="00C57330">
        <w:rPr>
          <w:i/>
          <w:iCs/>
          <w:noProof/>
        </w:rPr>
        <w:t>EX POST</w:t>
      </w:r>
      <w:r w:rsidRPr="00C57330">
        <w:rPr>
          <w:noProof/>
        </w:rPr>
        <w:t>, KONSULTACJI Z ZAINTERESOWANYMI STRONAMI I OCEN SKUTKÓW</w:t>
      </w:r>
    </w:p>
    <w:p w14:paraId="219D85B5" w14:textId="21030CCE" w:rsidR="00CB3DE1" w:rsidRPr="00C57330" w:rsidRDefault="003B1E04" w:rsidP="001F4EF3">
      <w:pPr>
        <w:pStyle w:val="Text1"/>
        <w:rPr>
          <w:noProof/>
        </w:rPr>
      </w:pPr>
      <w:r w:rsidRPr="00C57330">
        <w:rPr>
          <w:noProof/>
        </w:rPr>
        <w:t>Ze względu na pilny charakter niniejszego wniosku nie towarzyszy mu odnośna ocena skutków. Ocenę skutków przeprowadzono już podczas przygotowywania wniosków dotyczących rozporządzeń MDR i IVDR,</w:t>
      </w:r>
      <w:r w:rsidR="006C5585" w:rsidRPr="00C57330">
        <w:rPr>
          <w:noProof/>
        </w:rPr>
        <w:t xml:space="preserve"> a</w:t>
      </w:r>
      <w:r w:rsidR="006C5585">
        <w:rPr>
          <w:noProof/>
        </w:rPr>
        <w:t> </w:t>
      </w:r>
      <w:r w:rsidR="006C5585" w:rsidRPr="00C57330">
        <w:rPr>
          <w:noProof/>
        </w:rPr>
        <w:t>w</w:t>
      </w:r>
      <w:r w:rsidR="006C5585">
        <w:rPr>
          <w:noProof/>
        </w:rPr>
        <w:t> </w:t>
      </w:r>
      <w:r w:rsidR="006C5585" w:rsidRPr="00C57330">
        <w:rPr>
          <w:noProof/>
        </w:rPr>
        <w:t>nin</w:t>
      </w:r>
      <w:r w:rsidRPr="00C57330">
        <w:rPr>
          <w:noProof/>
        </w:rPr>
        <w:t>iejszym wniosku nie zmienia się istoty tych rozporządzeń ani nie nakłada się nowych obowiązków na zainteresowane strony. Ma on przede wszystkim na celu zmianę przepisów przejściowych, co pozwoli na zapewnienie dodatkowego czasu na przejście na stosowanie wymogów określonych</w:t>
      </w:r>
      <w:r w:rsidR="006C5585" w:rsidRPr="00C57330">
        <w:rPr>
          <w:noProof/>
        </w:rPr>
        <w:t xml:space="preserve"> w</w:t>
      </w:r>
      <w:r w:rsidR="006C5585">
        <w:rPr>
          <w:noProof/>
        </w:rPr>
        <w:t> </w:t>
      </w:r>
      <w:r w:rsidR="006C5585" w:rsidRPr="00C57330">
        <w:rPr>
          <w:noProof/>
        </w:rPr>
        <w:t>roz</w:t>
      </w:r>
      <w:r w:rsidRPr="00C57330">
        <w:rPr>
          <w:noProof/>
        </w:rPr>
        <w:t>porządzeniu MDR, aby uniknąć niedoborów. Konieczność szybkiego działania</w:t>
      </w:r>
      <w:r w:rsidR="006C5585" w:rsidRPr="00C57330">
        <w:rPr>
          <w:noProof/>
        </w:rPr>
        <w:t xml:space="preserve"> w</w:t>
      </w:r>
      <w:r w:rsidR="006C5585">
        <w:rPr>
          <w:noProof/>
        </w:rPr>
        <w:t> </w:t>
      </w:r>
      <w:r w:rsidR="006C5585" w:rsidRPr="00C57330">
        <w:rPr>
          <w:noProof/>
        </w:rPr>
        <w:t>cel</w:t>
      </w:r>
      <w:r w:rsidRPr="00C57330">
        <w:rPr>
          <w:noProof/>
        </w:rPr>
        <w:t>u zagwarantowania pewności przed końcem okresu przejściowego przewidzianego</w:t>
      </w:r>
      <w:r w:rsidR="006C5585" w:rsidRPr="00C57330">
        <w:rPr>
          <w:noProof/>
        </w:rPr>
        <w:t xml:space="preserve"> w</w:t>
      </w:r>
      <w:r w:rsidR="006C5585">
        <w:rPr>
          <w:noProof/>
        </w:rPr>
        <w:t> </w:t>
      </w:r>
      <w:r w:rsidR="006C5585" w:rsidRPr="00C57330">
        <w:rPr>
          <w:noProof/>
        </w:rPr>
        <w:t>roz</w:t>
      </w:r>
      <w:r w:rsidRPr="00C57330">
        <w:rPr>
          <w:noProof/>
        </w:rPr>
        <w:t>porządzeniu nie pozwoliła na przeprowadzenie szeroko zakrojonych konsultacji publicznych</w:t>
      </w:r>
      <w:r w:rsidR="006C5585" w:rsidRPr="00C57330">
        <w:rPr>
          <w:noProof/>
        </w:rPr>
        <w:t>. W</w:t>
      </w:r>
      <w:r w:rsidR="006C5585">
        <w:rPr>
          <w:noProof/>
        </w:rPr>
        <w:t> </w:t>
      </w:r>
      <w:r w:rsidR="006C5585" w:rsidRPr="00C57330">
        <w:rPr>
          <w:noProof/>
        </w:rPr>
        <w:t>zwi</w:t>
      </w:r>
      <w:r w:rsidRPr="00C57330">
        <w:rPr>
          <w:noProof/>
        </w:rPr>
        <w:t>ązku</w:t>
      </w:r>
      <w:r w:rsidR="006C5585" w:rsidRPr="00C57330">
        <w:rPr>
          <w:noProof/>
        </w:rPr>
        <w:t xml:space="preserve"> z</w:t>
      </w:r>
      <w:r w:rsidR="006C5585">
        <w:rPr>
          <w:noProof/>
        </w:rPr>
        <w:t> </w:t>
      </w:r>
      <w:r w:rsidR="006C5585" w:rsidRPr="00C57330">
        <w:rPr>
          <w:noProof/>
        </w:rPr>
        <w:t>tym</w:t>
      </w:r>
      <w:r w:rsidRPr="00C57330">
        <w:rPr>
          <w:noProof/>
        </w:rPr>
        <w:t xml:space="preserve"> Komisja zgromadziła niezbędne informacje od państw członkowskich</w:t>
      </w:r>
      <w:r w:rsidR="006C5585" w:rsidRPr="00C57330">
        <w:rPr>
          <w:noProof/>
        </w:rPr>
        <w:t xml:space="preserve"> i</w:t>
      </w:r>
      <w:r w:rsidR="006C5585">
        <w:rPr>
          <w:noProof/>
        </w:rPr>
        <w:t> </w:t>
      </w:r>
      <w:r w:rsidR="006C5585" w:rsidRPr="00C57330">
        <w:rPr>
          <w:noProof/>
        </w:rPr>
        <w:t>zai</w:t>
      </w:r>
      <w:r w:rsidRPr="00C57330">
        <w:rPr>
          <w:noProof/>
        </w:rPr>
        <w:t>nteresowanych stron</w:t>
      </w:r>
      <w:r w:rsidR="006C5585" w:rsidRPr="00C57330">
        <w:rPr>
          <w:noProof/>
        </w:rPr>
        <w:t xml:space="preserve"> w</w:t>
      </w:r>
      <w:r w:rsidR="006C5585">
        <w:rPr>
          <w:noProof/>
        </w:rPr>
        <w:t> </w:t>
      </w:r>
      <w:r w:rsidR="006C5585" w:rsidRPr="00C57330">
        <w:rPr>
          <w:noProof/>
        </w:rPr>
        <w:t>dro</w:t>
      </w:r>
      <w:r w:rsidRPr="00C57330">
        <w:rPr>
          <w:noProof/>
        </w:rPr>
        <w:t>dze ukierunkowanych wymian opinii.</w:t>
      </w:r>
    </w:p>
    <w:p w14:paraId="331F2EB9" w14:textId="0B756B8F" w:rsidR="00CB3DE1" w:rsidRPr="00C57330" w:rsidRDefault="00CB3DE1" w:rsidP="001F4EF3">
      <w:pPr>
        <w:pStyle w:val="Text1"/>
        <w:rPr>
          <w:noProof/>
        </w:rPr>
      </w:pPr>
      <w:r w:rsidRPr="00C57330">
        <w:rPr>
          <w:noProof/>
        </w:rPr>
        <w:t>Inicjatywa ma na celu zapewnienie pacjentom</w:t>
      </w:r>
      <w:r w:rsidR="006C5585" w:rsidRPr="00C57330">
        <w:rPr>
          <w:noProof/>
        </w:rPr>
        <w:t xml:space="preserve"> w</w:t>
      </w:r>
      <w:r w:rsidR="006C5585">
        <w:rPr>
          <w:noProof/>
        </w:rPr>
        <w:t> </w:t>
      </w:r>
      <w:r w:rsidR="006C5585" w:rsidRPr="00C57330">
        <w:rPr>
          <w:noProof/>
        </w:rPr>
        <w:t>cał</w:t>
      </w:r>
      <w:r w:rsidRPr="00C57330">
        <w:rPr>
          <w:noProof/>
        </w:rPr>
        <w:t xml:space="preserve">ej Europie dostępu do bezpiecznych wyrobów medycznych. Ponieważ coraz więcej certyfikatów będzie tracić ważność przed terminem wyznaczonym na </w:t>
      </w:r>
      <w:r w:rsidRPr="006C5585">
        <w:rPr>
          <w:noProof/>
        </w:rPr>
        <w:t>maj</w:t>
      </w:r>
      <w:r w:rsidR="006C5585" w:rsidRPr="006C5585">
        <w:rPr>
          <w:noProof/>
        </w:rPr>
        <w:t> </w:t>
      </w:r>
      <w:r w:rsidRPr="006C5585">
        <w:rPr>
          <w:noProof/>
        </w:rPr>
        <w:t>2</w:t>
      </w:r>
      <w:r w:rsidRPr="00C57330">
        <w:rPr>
          <w:noProof/>
        </w:rPr>
        <w:t>0</w:t>
      </w:r>
      <w:r w:rsidRPr="006C5585">
        <w:rPr>
          <w:noProof/>
        </w:rPr>
        <w:t>24</w:t>
      </w:r>
      <w:r w:rsidR="006C5585" w:rsidRPr="006C5585">
        <w:rPr>
          <w:noProof/>
        </w:rPr>
        <w:t> </w:t>
      </w:r>
      <w:r w:rsidRPr="006C5585">
        <w:rPr>
          <w:noProof/>
        </w:rPr>
        <w:t>r.</w:t>
      </w:r>
      <w:r w:rsidRPr="00C57330">
        <w:rPr>
          <w:noProof/>
        </w:rPr>
        <w:t>, Komisja zobowiązała się do przyjęcia wniosku</w:t>
      </w:r>
      <w:r w:rsidR="006C5585" w:rsidRPr="00C57330">
        <w:rPr>
          <w:noProof/>
        </w:rPr>
        <w:t xml:space="preserve"> w</w:t>
      </w:r>
      <w:r w:rsidR="006C5585">
        <w:rPr>
          <w:noProof/>
        </w:rPr>
        <w:t> </w:t>
      </w:r>
      <w:r w:rsidR="006C5585" w:rsidRPr="00C57330">
        <w:rPr>
          <w:noProof/>
        </w:rPr>
        <w:t>sty</w:t>
      </w:r>
      <w:r w:rsidRPr="00C57330">
        <w:rPr>
          <w:noProof/>
        </w:rPr>
        <w:t>czniu 20</w:t>
      </w:r>
      <w:r w:rsidRPr="006C5585">
        <w:rPr>
          <w:noProof/>
        </w:rPr>
        <w:t>23</w:t>
      </w:r>
      <w:r w:rsidR="006C5585" w:rsidRPr="006C5585">
        <w:rPr>
          <w:noProof/>
        </w:rPr>
        <w:t> </w:t>
      </w:r>
      <w:r w:rsidRPr="006C5585">
        <w:rPr>
          <w:noProof/>
        </w:rPr>
        <w:t>r.</w:t>
      </w:r>
      <w:r w:rsidRPr="00C57330">
        <w:rPr>
          <w:noProof/>
        </w:rPr>
        <w:t xml:space="preserve"> Poparte jest to pilnymi apelami Parlamentu Europejskiego, państw członkowskich</w:t>
      </w:r>
      <w:r w:rsidR="006C5585" w:rsidRPr="00C57330">
        <w:rPr>
          <w:noProof/>
        </w:rPr>
        <w:t xml:space="preserve"> i</w:t>
      </w:r>
      <w:r w:rsidR="006C5585">
        <w:rPr>
          <w:noProof/>
        </w:rPr>
        <w:t> </w:t>
      </w:r>
      <w:r w:rsidR="006C5585" w:rsidRPr="00C57330">
        <w:rPr>
          <w:noProof/>
        </w:rPr>
        <w:t>zai</w:t>
      </w:r>
      <w:r w:rsidRPr="00C57330">
        <w:rPr>
          <w:noProof/>
        </w:rPr>
        <w:t>nteresowanych stron,</w:t>
      </w:r>
      <w:r w:rsidR="006C5585" w:rsidRPr="00C57330">
        <w:rPr>
          <w:noProof/>
        </w:rPr>
        <w:t xml:space="preserve"> a</w:t>
      </w:r>
      <w:r w:rsidR="006C5585">
        <w:rPr>
          <w:noProof/>
        </w:rPr>
        <w:t> </w:t>
      </w:r>
      <w:r w:rsidR="006C5585" w:rsidRPr="00C57330">
        <w:rPr>
          <w:noProof/>
        </w:rPr>
        <w:t>mia</w:t>
      </w:r>
      <w:r w:rsidRPr="00C57330">
        <w:rPr>
          <w:noProof/>
        </w:rPr>
        <w:t>nowicie pracowników służby zdrowia, pacjentów, środowisk akademickich, jednostek naukowych, przemysłu</w:t>
      </w:r>
      <w:r w:rsidR="006C5585" w:rsidRPr="00C57330">
        <w:rPr>
          <w:noProof/>
        </w:rPr>
        <w:t xml:space="preserve"> i</w:t>
      </w:r>
      <w:r w:rsidR="006C5585">
        <w:rPr>
          <w:noProof/>
        </w:rPr>
        <w:t> </w:t>
      </w:r>
      <w:r w:rsidR="006C5585" w:rsidRPr="00C57330">
        <w:rPr>
          <w:noProof/>
        </w:rPr>
        <w:t>jed</w:t>
      </w:r>
      <w:r w:rsidRPr="00C57330">
        <w:rPr>
          <w:noProof/>
        </w:rPr>
        <w:t>nostek notyfikowanych. Zwrócono się</w:t>
      </w:r>
      <w:r w:rsidR="006C5585" w:rsidRPr="00C57330">
        <w:rPr>
          <w:noProof/>
        </w:rPr>
        <w:t xml:space="preserve"> o</w:t>
      </w:r>
      <w:r w:rsidR="006C5585">
        <w:rPr>
          <w:noProof/>
        </w:rPr>
        <w:t> </w:t>
      </w:r>
      <w:r w:rsidR="006C5585" w:rsidRPr="00C57330">
        <w:rPr>
          <w:noProof/>
        </w:rPr>
        <w:t>inf</w:t>
      </w:r>
      <w:r w:rsidRPr="00C57330">
        <w:rPr>
          <w:noProof/>
        </w:rPr>
        <w:t>ormacje do państw członkowskich</w:t>
      </w:r>
      <w:r w:rsidR="006C5585" w:rsidRPr="00C57330">
        <w:rPr>
          <w:noProof/>
        </w:rPr>
        <w:t xml:space="preserve"> i</w:t>
      </w:r>
      <w:r w:rsidR="006C5585">
        <w:rPr>
          <w:noProof/>
        </w:rPr>
        <w:t> </w:t>
      </w:r>
      <w:r w:rsidR="006C5585" w:rsidRPr="00C57330">
        <w:rPr>
          <w:noProof/>
        </w:rPr>
        <w:t>zai</w:t>
      </w:r>
      <w:r w:rsidRPr="00C57330">
        <w:rPr>
          <w:noProof/>
        </w:rPr>
        <w:t>nteresowanych stron</w:t>
      </w:r>
      <w:r w:rsidR="006C5585" w:rsidRPr="00C57330">
        <w:rPr>
          <w:noProof/>
        </w:rPr>
        <w:t xml:space="preserve"> w</w:t>
      </w:r>
      <w:r w:rsidR="006C5585">
        <w:rPr>
          <w:noProof/>
        </w:rPr>
        <w:t> </w:t>
      </w:r>
      <w:r w:rsidR="006C5585" w:rsidRPr="00C57330">
        <w:rPr>
          <w:noProof/>
        </w:rPr>
        <w:t>dro</w:t>
      </w:r>
      <w:r w:rsidRPr="00C57330">
        <w:rPr>
          <w:noProof/>
        </w:rPr>
        <w:t>dze ukierunkowanych interakcji, głównie</w:t>
      </w:r>
      <w:r w:rsidR="006C5585" w:rsidRPr="00C57330">
        <w:rPr>
          <w:noProof/>
        </w:rPr>
        <w:t xml:space="preserve"> w</w:t>
      </w:r>
      <w:r w:rsidR="006C5585">
        <w:rPr>
          <w:noProof/>
        </w:rPr>
        <w:t> </w:t>
      </w:r>
      <w:r w:rsidR="006C5585" w:rsidRPr="00C57330">
        <w:rPr>
          <w:noProof/>
        </w:rPr>
        <w:t>ram</w:t>
      </w:r>
      <w:r w:rsidRPr="00C57330">
        <w:rPr>
          <w:noProof/>
        </w:rPr>
        <w:t>ach Grupy Koordynacyjnej ds. Wyrobów Medycznych (MDCG), której posiedzenia</w:t>
      </w:r>
      <w:r w:rsidR="006C5585" w:rsidRPr="00C57330">
        <w:rPr>
          <w:noProof/>
        </w:rPr>
        <w:t xml:space="preserve"> w</w:t>
      </w:r>
      <w:r w:rsidR="006C5585">
        <w:rPr>
          <w:noProof/>
        </w:rPr>
        <w:t> </w:t>
      </w:r>
      <w:r w:rsidR="006C5585" w:rsidRPr="00C57330">
        <w:rPr>
          <w:noProof/>
        </w:rPr>
        <w:t>dni</w:t>
      </w:r>
      <w:r w:rsidRPr="00C57330">
        <w:rPr>
          <w:noProof/>
        </w:rPr>
        <w:t>ach 24–25 sierpnia, 24–25 października</w:t>
      </w:r>
      <w:r w:rsidR="006C5585" w:rsidRPr="00C57330">
        <w:rPr>
          <w:noProof/>
        </w:rPr>
        <w:t xml:space="preserve"> i</w:t>
      </w:r>
      <w:r w:rsidR="006C5585">
        <w:rPr>
          <w:noProof/>
        </w:rPr>
        <w:t> </w:t>
      </w:r>
      <w:r w:rsidR="006C5585" w:rsidRPr="00C57330">
        <w:rPr>
          <w:noProof/>
        </w:rPr>
        <w:t>1</w:t>
      </w:r>
      <w:r w:rsidRPr="00C57330">
        <w:rPr>
          <w:noProof/>
        </w:rPr>
        <w:t>7 listopada 20</w:t>
      </w:r>
      <w:r w:rsidRPr="006C5585">
        <w:rPr>
          <w:noProof/>
        </w:rPr>
        <w:t>22</w:t>
      </w:r>
      <w:r w:rsidR="006C5585" w:rsidRPr="006C5585">
        <w:rPr>
          <w:noProof/>
        </w:rPr>
        <w:t> </w:t>
      </w:r>
      <w:r w:rsidRPr="006C5585">
        <w:rPr>
          <w:noProof/>
        </w:rPr>
        <w:t>r.</w:t>
      </w:r>
      <w:r w:rsidRPr="00C57330">
        <w:rPr>
          <w:noProof/>
        </w:rPr>
        <w:t xml:space="preserve"> poświęcono kwestiom dotyczącym zdolności</w:t>
      </w:r>
      <w:r w:rsidR="006C5585" w:rsidRPr="00C57330">
        <w:rPr>
          <w:noProof/>
        </w:rPr>
        <w:t xml:space="preserve"> i</w:t>
      </w:r>
      <w:r w:rsidR="006C5585">
        <w:rPr>
          <w:noProof/>
        </w:rPr>
        <w:t> </w:t>
      </w:r>
      <w:r w:rsidR="006C5585" w:rsidRPr="00C57330">
        <w:rPr>
          <w:noProof/>
        </w:rPr>
        <w:t>got</w:t>
      </w:r>
      <w:r w:rsidRPr="00C57330">
        <w:rPr>
          <w:noProof/>
        </w:rPr>
        <w:t>owości. Po debacie</w:t>
      </w:r>
      <w:r w:rsidR="006C5585" w:rsidRPr="00C57330">
        <w:rPr>
          <w:noProof/>
        </w:rPr>
        <w:t xml:space="preserve"> w</w:t>
      </w:r>
      <w:r w:rsidR="006C5585">
        <w:rPr>
          <w:noProof/>
        </w:rPr>
        <w:t> </w:t>
      </w:r>
      <w:r w:rsidR="006C5585" w:rsidRPr="00C57330">
        <w:rPr>
          <w:noProof/>
        </w:rPr>
        <w:t>Par</w:t>
      </w:r>
      <w:r w:rsidRPr="00C57330">
        <w:rPr>
          <w:noProof/>
        </w:rPr>
        <w:t>lamencie Europejskim</w:t>
      </w:r>
      <w:r w:rsidR="006C5585" w:rsidRPr="00C57330">
        <w:rPr>
          <w:noProof/>
        </w:rPr>
        <w:t xml:space="preserve"> w</w:t>
      </w:r>
      <w:r w:rsidR="006C5585">
        <w:rPr>
          <w:noProof/>
        </w:rPr>
        <w:t> </w:t>
      </w:r>
      <w:r w:rsidR="006C5585" w:rsidRPr="00C57330">
        <w:rPr>
          <w:noProof/>
        </w:rPr>
        <w:t>dni</w:t>
      </w:r>
      <w:r w:rsidRPr="00C57330">
        <w:rPr>
          <w:noProof/>
        </w:rPr>
        <w:t>u 24 listopada 20</w:t>
      </w:r>
      <w:r w:rsidRPr="006C5585">
        <w:rPr>
          <w:noProof/>
        </w:rPr>
        <w:t>22</w:t>
      </w:r>
      <w:r w:rsidR="006C5585" w:rsidRPr="006C5585">
        <w:rPr>
          <w:noProof/>
        </w:rPr>
        <w:t> </w:t>
      </w:r>
      <w:r w:rsidRPr="006C5585">
        <w:rPr>
          <w:noProof/>
        </w:rPr>
        <w:t>r.</w:t>
      </w:r>
      <w:r w:rsidRPr="00C57330">
        <w:rPr>
          <w:noProof/>
        </w:rPr>
        <w:t xml:space="preserve"> (pytanie nr </w:t>
      </w:r>
      <w:hyperlink r:id="rId16" w:history="1">
        <w:r w:rsidRPr="00C57330">
          <w:rPr>
            <w:rStyle w:val="Hyperlink"/>
            <w:noProof/>
          </w:rPr>
          <w:t>O-43/2022</w:t>
        </w:r>
      </w:hyperlink>
      <w:r w:rsidRPr="00C57330">
        <w:rPr>
          <w:noProof/>
        </w:rPr>
        <w:t xml:space="preserve"> wymagające odpowiedzi ustnej) Komisja Ochrony Środowiska Naturalnego, Zdrowia Publicznego</w:t>
      </w:r>
      <w:r w:rsidR="006C5585" w:rsidRPr="00C57330">
        <w:rPr>
          <w:noProof/>
        </w:rPr>
        <w:t xml:space="preserve"> i</w:t>
      </w:r>
      <w:r w:rsidR="006C5585">
        <w:rPr>
          <w:noProof/>
        </w:rPr>
        <w:t> </w:t>
      </w:r>
      <w:r w:rsidR="006C5585" w:rsidRPr="00C57330">
        <w:rPr>
          <w:noProof/>
        </w:rPr>
        <w:t>Bez</w:t>
      </w:r>
      <w:r w:rsidRPr="00C57330">
        <w:rPr>
          <w:noProof/>
        </w:rPr>
        <w:t>pieczeństwa Żywności Parlamentu Europejskiego</w:t>
      </w:r>
      <w:r w:rsidR="006C5585" w:rsidRPr="00C57330">
        <w:rPr>
          <w:noProof/>
        </w:rPr>
        <w:t xml:space="preserve"> w</w:t>
      </w:r>
      <w:r w:rsidR="006C5585">
        <w:rPr>
          <w:noProof/>
        </w:rPr>
        <w:t> </w:t>
      </w:r>
      <w:r w:rsidR="006C5585" w:rsidRPr="00C57330">
        <w:rPr>
          <w:noProof/>
        </w:rPr>
        <w:t>piś</w:t>
      </w:r>
      <w:r w:rsidRPr="00C57330">
        <w:rPr>
          <w:noProof/>
        </w:rPr>
        <w:t>mie</w:t>
      </w:r>
      <w:r w:rsidR="006C5585" w:rsidRPr="00C57330">
        <w:rPr>
          <w:noProof/>
        </w:rPr>
        <w:t xml:space="preserve"> z</w:t>
      </w:r>
      <w:r w:rsidR="006C5585">
        <w:rPr>
          <w:noProof/>
        </w:rPr>
        <w:t> </w:t>
      </w:r>
      <w:r w:rsidR="006C5585" w:rsidRPr="00C57330">
        <w:rPr>
          <w:noProof/>
        </w:rPr>
        <w:t>5</w:t>
      </w:r>
      <w:r w:rsidRPr="00C57330">
        <w:rPr>
          <w:noProof/>
        </w:rPr>
        <w:t xml:space="preserve"> grudnia 20</w:t>
      </w:r>
      <w:r w:rsidRPr="006C5585">
        <w:rPr>
          <w:noProof/>
        </w:rPr>
        <w:t>22</w:t>
      </w:r>
      <w:r w:rsidR="006C5585" w:rsidRPr="006C5585">
        <w:rPr>
          <w:noProof/>
        </w:rPr>
        <w:t> </w:t>
      </w:r>
      <w:r w:rsidRPr="006C5585">
        <w:rPr>
          <w:noProof/>
        </w:rPr>
        <w:t>r.</w:t>
      </w:r>
      <w:r w:rsidRPr="00C57330">
        <w:rPr>
          <w:noProof/>
        </w:rPr>
        <w:t xml:space="preserve"> zwróciła się</w:t>
      </w:r>
      <w:r w:rsidR="006C5585" w:rsidRPr="00C57330">
        <w:rPr>
          <w:noProof/>
        </w:rPr>
        <w:t xml:space="preserve"> o</w:t>
      </w:r>
      <w:r w:rsidR="006C5585">
        <w:rPr>
          <w:noProof/>
        </w:rPr>
        <w:t> </w:t>
      </w:r>
      <w:r w:rsidR="006C5585" w:rsidRPr="00C57330">
        <w:rPr>
          <w:noProof/>
        </w:rPr>
        <w:t>pil</w:t>
      </w:r>
      <w:r w:rsidRPr="00C57330">
        <w:rPr>
          <w:noProof/>
        </w:rPr>
        <w:t>ne wprowadzenie ukierunkowanych zmian. 9 grudnia 20</w:t>
      </w:r>
      <w:r w:rsidRPr="006C5585">
        <w:rPr>
          <w:noProof/>
        </w:rPr>
        <w:t>22</w:t>
      </w:r>
      <w:r w:rsidR="006C5585" w:rsidRPr="006C5585">
        <w:rPr>
          <w:noProof/>
        </w:rPr>
        <w:t> </w:t>
      </w:r>
      <w:r w:rsidRPr="006C5585">
        <w:rPr>
          <w:noProof/>
        </w:rPr>
        <w:t>r.</w:t>
      </w:r>
      <w:r w:rsidRPr="00C57330">
        <w:rPr>
          <w:noProof/>
        </w:rPr>
        <w:t xml:space="preserve"> podczas posiedzenia Rady EPSCO ds. zdrowia odbyła się wymiana poglądów</w:t>
      </w:r>
      <w:r w:rsidR="006C5585" w:rsidRPr="00C57330">
        <w:rPr>
          <w:noProof/>
        </w:rPr>
        <w:t xml:space="preserve"> z</w:t>
      </w:r>
      <w:r w:rsidR="006C5585">
        <w:rPr>
          <w:noProof/>
        </w:rPr>
        <w:t> </w:t>
      </w:r>
      <w:r w:rsidR="006C5585" w:rsidRPr="00C57330">
        <w:rPr>
          <w:noProof/>
        </w:rPr>
        <w:t>udz</w:t>
      </w:r>
      <w:r w:rsidRPr="00C57330">
        <w:rPr>
          <w:noProof/>
        </w:rPr>
        <w:t>iałem państw członkowskich</w:t>
      </w:r>
      <w:r w:rsidRPr="00C57330">
        <w:rPr>
          <w:rStyle w:val="FootnoteReference"/>
          <w:noProof/>
        </w:rPr>
        <w:footnoteReference w:id="19"/>
      </w:r>
      <w:r w:rsidRPr="00C57330">
        <w:rPr>
          <w:noProof/>
        </w:rPr>
        <w:t>; prawie wszystkie państwa członkowskie zabrały głos</w:t>
      </w:r>
      <w:r w:rsidR="006C5585" w:rsidRPr="00C57330">
        <w:rPr>
          <w:noProof/>
        </w:rPr>
        <w:t xml:space="preserve"> i</w:t>
      </w:r>
      <w:r w:rsidR="006C5585">
        <w:rPr>
          <w:noProof/>
        </w:rPr>
        <w:t> </w:t>
      </w:r>
      <w:r w:rsidR="006C5585" w:rsidRPr="00C57330">
        <w:rPr>
          <w:noProof/>
        </w:rPr>
        <w:t>pop</w:t>
      </w:r>
      <w:r w:rsidRPr="00C57330">
        <w:rPr>
          <w:noProof/>
        </w:rPr>
        <w:t>arły pilne przyjęcie ukierunkowanych zmian do rozporządzeń MDR i IVDR zgodnie</w:t>
      </w:r>
      <w:r w:rsidR="006C5585" w:rsidRPr="00C57330">
        <w:rPr>
          <w:noProof/>
        </w:rPr>
        <w:t xml:space="preserve"> z</w:t>
      </w:r>
      <w:r w:rsidR="006C5585">
        <w:rPr>
          <w:noProof/>
        </w:rPr>
        <w:t> </w:t>
      </w:r>
      <w:r w:rsidR="006C5585" w:rsidRPr="00C57330">
        <w:rPr>
          <w:noProof/>
        </w:rPr>
        <w:t>wni</w:t>
      </w:r>
      <w:r w:rsidRPr="00C57330">
        <w:rPr>
          <w:noProof/>
        </w:rPr>
        <w:t>oskiem Komisji.</w:t>
      </w:r>
    </w:p>
    <w:p w14:paraId="4E502B00" w14:textId="2E2869CD" w:rsidR="002D554E" w:rsidRPr="00DA67F1" w:rsidRDefault="002D554E" w:rsidP="001F4EF3">
      <w:pPr>
        <w:pStyle w:val="Text1"/>
      </w:pPr>
      <w:r w:rsidRPr="00C57330">
        <w:rPr>
          <w:noProof/>
        </w:rPr>
        <w:t>Komisja będzie nadal ściśle monitorować rozwój sytuacji</w:t>
      </w:r>
      <w:r w:rsidR="006C5585" w:rsidRPr="00C57330">
        <w:rPr>
          <w:noProof/>
        </w:rPr>
        <w:t xml:space="preserve"> i</w:t>
      </w:r>
      <w:r w:rsidR="006C5585">
        <w:rPr>
          <w:noProof/>
        </w:rPr>
        <w:t> </w:t>
      </w:r>
      <w:r w:rsidR="006C5585" w:rsidRPr="00C57330">
        <w:rPr>
          <w:noProof/>
        </w:rPr>
        <w:t>wpł</w:t>
      </w:r>
      <w:r w:rsidRPr="00C57330">
        <w:rPr>
          <w:noProof/>
        </w:rPr>
        <w:t>yw proponowanych zmian na rynek. Przeprowadzi również konsultacje z MDCG</w:t>
      </w:r>
      <w:r w:rsidR="006C5585" w:rsidRPr="00C57330">
        <w:rPr>
          <w:noProof/>
        </w:rPr>
        <w:t xml:space="preserve"> i</w:t>
      </w:r>
      <w:r w:rsidR="006C5585">
        <w:rPr>
          <w:noProof/>
        </w:rPr>
        <w:t> </w:t>
      </w:r>
      <w:r w:rsidR="006C5585" w:rsidRPr="00C57330">
        <w:rPr>
          <w:noProof/>
        </w:rPr>
        <w:t>zai</w:t>
      </w:r>
      <w:r w:rsidRPr="00C57330">
        <w:rPr>
          <w:noProof/>
        </w:rPr>
        <w:t>nteresowanymi stronami na temat potrzeby działań uzupełniających.</w:t>
      </w:r>
    </w:p>
    <w:p w14:paraId="748E76E3" w14:textId="77777777" w:rsidR="005E1E5E" w:rsidRPr="00C57330" w:rsidRDefault="005E1E5E" w:rsidP="00A103F4">
      <w:pPr>
        <w:pStyle w:val="ManualHeading1"/>
        <w:rPr>
          <w:noProof/>
        </w:rPr>
      </w:pPr>
      <w:r w:rsidRPr="00C57330">
        <w:rPr>
          <w:noProof/>
        </w:rPr>
        <w:t>4.</w:t>
      </w:r>
      <w:r w:rsidRPr="00C57330">
        <w:rPr>
          <w:noProof/>
        </w:rPr>
        <w:tab/>
        <w:t>WPŁYW NA BUDŻET</w:t>
      </w:r>
    </w:p>
    <w:p w14:paraId="1873E524" w14:textId="77777777" w:rsidR="002D554E" w:rsidRPr="00C57330" w:rsidRDefault="002D554E" w:rsidP="001F4EF3">
      <w:pPr>
        <w:pStyle w:val="Text1"/>
        <w:rPr>
          <w:noProof/>
        </w:rPr>
      </w:pPr>
      <w:r w:rsidRPr="00C57330">
        <w:rPr>
          <w:noProof/>
        </w:rPr>
        <w:t>Działanie będące przedmiotem wniosku nie ma wpływu na budżet.</w:t>
      </w:r>
    </w:p>
    <w:p w14:paraId="312A6787" w14:textId="77777777" w:rsidR="005E1E5E" w:rsidRPr="00C57330" w:rsidRDefault="005E1E5E" w:rsidP="00A103F4">
      <w:pPr>
        <w:pStyle w:val="ManualHeading1"/>
        <w:rPr>
          <w:noProof/>
        </w:rPr>
      </w:pPr>
      <w:r w:rsidRPr="00C57330">
        <w:rPr>
          <w:noProof/>
        </w:rPr>
        <w:t>5.</w:t>
      </w:r>
      <w:r w:rsidRPr="00C57330">
        <w:rPr>
          <w:noProof/>
        </w:rPr>
        <w:tab/>
        <w:t>ELEMENTY FAKULTATYWNE</w:t>
      </w:r>
    </w:p>
    <w:p w14:paraId="42D26A87" w14:textId="77777777" w:rsidR="005E1E5E" w:rsidRPr="00C57330" w:rsidRDefault="005E1E5E" w:rsidP="00A103F4">
      <w:pPr>
        <w:pStyle w:val="ManualHeading2"/>
        <w:rPr>
          <w:noProof/>
          <w:u w:color="000000"/>
          <w:bdr w:val="nil"/>
        </w:rPr>
      </w:pPr>
      <w:r w:rsidRPr="00C57330">
        <w:rPr>
          <w:noProof/>
          <w:u w:color="000000"/>
          <w:bdr w:val="nil"/>
        </w:rPr>
        <w:t>•</w:t>
      </w:r>
      <w:r w:rsidRPr="00C57330">
        <w:rPr>
          <w:noProof/>
        </w:rPr>
        <w:tab/>
      </w:r>
      <w:r w:rsidRPr="00C57330">
        <w:rPr>
          <w:noProof/>
          <w:u w:color="000000"/>
          <w:bdr w:val="nil"/>
        </w:rPr>
        <w:t>Szczegółowe objaśnienia poszczególnych przepisów wniosku</w:t>
      </w:r>
    </w:p>
    <w:p w14:paraId="1D4D97A2" w14:textId="5054F1CC" w:rsidR="00A87052" w:rsidRPr="00C57330" w:rsidRDefault="00A87052" w:rsidP="001F4EF3">
      <w:pPr>
        <w:pStyle w:val="Text1"/>
        <w:rPr>
          <w:noProof/>
        </w:rPr>
      </w:pPr>
      <w:r w:rsidRPr="00C57330">
        <w:rPr>
          <w:noProof/>
        </w:rPr>
        <w:t xml:space="preserve">W </w:t>
      </w:r>
      <w:r w:rsidRPr="006C5585">
        <w:rPr>
          <w:noProof/>
        </w:rPr>
        <w:t>art.</w:t>
      </w:r>
      <w:r w:rsidR="006C5585" w:rsidRPr="006C5585">
        <w:rPr>
          <w:noProof/>
        </w:rPr>
        <w:t> </w:t>
      </w:r>
      <w:r w:rsidRPr="006C5585">
        <w:rPr>
          <w:noProof/>
        </w:rPr>
        <w:t>1</w:t>
      </w:r>
      <w:r w:rsidRPr="00C57330">
        <w:rPr>
          <w:noProof/>
        </w:rPr>
        <w:t xml:space="preserve"> przedstawiono proponowane zmiany </w:t>
      </w:r>
      <w:r w:rsidRPr="006C5585">
        <w:rPr>
          <w:noProof/>
        </w:rPr>
        <w:t>art.</w:t>
      </w:r>
      <w:r w:rsidR="006C5585" w:rsidRPr="006C5585">
        <w:rPr>
          <w:noProof/>
        </w:rPr>
        <w:t> </w:t>
      </w:r>
      <w:r w:rsidRPr="006C5585">
        <w:rPr>
          <w:noProof/>
        </w:rPr>
        <w:t>1</w:t>
      </w:r>
      <w:r w:rsidRPr="00C57330">
        <w:rPr>
          <w:noProof/>
        </w:rPr>
        <w:t xml:space="preserve">20 </w:t>
      </w:r>
      <w:r w:rsidRPr="006C5585">
        <w:rPr>
          <w:noProof/>
        </w:rPr>
        <w:t>ust.</w:t>
      </w:r>
      <w:r w:rsidR="006C5585" w:rsidRPr="006C5585">
        <w:rPr>
          <w:noProof/>
        </w:rPr>
        <w:t> </w:t>
      </w:r>
      <w:r w:rsidRPr="006C5585">
        <w:rPr>
          <w:noProof/>
        </w:rPr>
        <w:t>2</w:t>
      </w:r>
      <w:r w:rsidRPr="00C57330">
        <w:rPr>
          <w:noProof/>
        </w:rPr>
        <w:t>, 3</w:t>
      </w:r>
      <w:r w:rsidR="006C5585" w:rsidRPr="00C57330">
        <w:rPr>
          <w:noProof/>
        </w:rPr>
        <w:t xml:space="preserve"> i</w:t>
      </w:r>
      <w:r w:rsidR="006C5585">
        <w:rPr>
          <w:noProof/>
        </w:rPr>
        <w:t> </w:t>
      </w:r>
      <w:r w:rsidR="006C5585" w:rsidRPr="00C57330">
        <w:rPr>
          <w:noProof/>
        </w:rPr>
        <w:t>4</w:t>
      </w:r>
      <w:r w:rsidRPr="00C57330">
        <w:rPr>
          <w:noProof/>
        </w:rPr>
        <w:t xml:space="preserve"> oraz </w:t>
      </w:r>
      <w:r w:rsidRPr="006C5585">
        <w:rPr>
          <w:noProof/>
        </w:rPr>
        <w:t>art.</w:t>
      </w:r>
      <w:r w:rsidR="006C5585" w:rsidRPr="006C5585">
        <w:rPr>
          <w:noProof/>
        </w:rPr>
        <w:t> </w:t>
      </w:r>
      <w:r w:rsidRPr="006C5585">
        <w:rPr>
          <w:noProof/>
        </w:rPr>
        <w:t>1</w:t>
      </w:r>
      <w:r w:rsidRPr="00C57330">
        <w:rPr>
          <w:noProof/>
        </w:rPr>
        <w:t>22</w:t>
      </w:r>
      <w:r w:rsidR="006C5585" w:rsidRPr="00C57330">
        <w:rPr>
          <w:noProof/>
        </w:rPr>
        <w:t xml:space="preserve"> i</w:t>
      </w:r>
      <w:r w:rsidR="006C5585">
        <w:rPr>
          <w:noProof/>
        </w:rPr>
        <w:t> </w:t>
      </w:r>
      <w:r w:rsidR="006C5585" w:rsidRPr="00C57330">
        <w:rPr>
          <w:noProof/>
        </w:rPr>
        <w:t>1</w:t>
      </w:r>
      <w:r w:rsidRPr="00C57330">
        <w:rPr>
          <w:noProof/>
        </w:rPr>
        <w:t>23 rozporządzenia MDR</w:t>
      </w:r>
      <w:r w:rsidR="006C5585" w:rsidRPr="00C57330">
        <w:rPr>
          <w:noProof/>
        </w:rPr>
        <w:t>. W</w:t>
      </w:r>
      <w:r w:rsidR="006C5585">
        <w:rPr>
          <w:noProof/>
        </w:rPr>
        <w:t> </w:t>
      </w:r>
      <w:r w:rsidR="006C5585" w:rsidRPr="006C5585">
        <w:rPr>
          <w:noProof/>
        </w:rPr>
        <w:t>art</w:t>
      </w:r>
      <w:r w:rsidRPr="006C5585">
        <w:rPr>
          <w:noProof/>
        </w:rPr>
        <w:t>.</w:t>
      </w:r>
      <w:r w:rsidR="006C5585" w:rsidRPr="006C5585">
        <w:rPr>
          <w:noProof/>
        </w:rPr>
        <w:t> </w:t>
      </w:r>
      <w:r w:rsidRPr="006C5585">
        <w:rPr>
          <w:noProof/>
        </w:rPr>
        <w:t>2</w:t>
      </w:r>
      <w:r w:rsidRPr="00C57330">
        <w:rPr>
          <w:noProof/>
        </w:rPr>
        <w:t xml:space="preserve"> przedstawiono zmiany </w:t>
      </w:r>
      <w:r w:rsidRPr="006C5585">
        <w:rPr>
          <w:noProof/>
        </w:rPr>
        <w:t>art.</w:t>
      </w:r>
      <w:r w:rsidR="006C5585" w:rsidRPr="006C5585">
        <w:rPr>
          <w:noProof/>
        </w:rPr>
        <w:t> </w:t>
      </w:r>
      <w:r w:rsidRPr="006C5585">
        <w:rPr>
          <w:noProof/>
        </w:rPr>
        <w:t>1</w:t>
      </w:r>
      <w:r w:rsidRPr="00C57330">
        <w:rPr>
          <w:noProof/>
        </w:rPr>
        <w:t xml:space="preserve">10 </w:t>
      </w:r>
      <w:r w:rsidRPr="006C5585">
        <w:rPr>
          <w:noProof/>
        </w:rPr>
        <w:t>ust.</w:t>
      </w:r>
      <w:r w:rsidR="006C5585" w:rsidRPr="006C5585">
        <w:rPr>
          <w:noProof/>
        </w:rPr>
        <w:t> </w:t>
      </w:r>
      <w:r w:rsidRPr="006C5585">
        <w:rPr>
          <w:noProof/>
        </w:rPr>
        <w:t>4</w:t>
      </w:r>
      <w:r w:rsidR="006C5585" w:rsidRPr="00C57330">
        <w:rPr>
          <w:noProof/>
        </w:rPr>
        <w:t xml:space="preserve"> i</w:t>
      </w:r>
      <w:r w:rsidR="006C5585">
        <w:rPr>
          <w:noProof/>
        </w:rPr>
        <w:t> </w:t>
      </w:r>
      <w:r w:rsidR="006C5585" w:rsidRPr="006C5585">
        <w:rPr>
          <w:noProof/>
        </w:rPr>
        <w:t>art</w:t>
      </w:r>
      <w:r w:rsidRPr="006C5585">
        <w:rPr>
          <w:noProof/>
        </w:rPr>
        <w:t>.</w:t>
      </w:r>
      <w:r w:rsidR="006C5585" w:rsidRPr="006C5585">
        <w:rPr>
          <w:noProof/>
        </w:rPr>
        <w:t> </w:t>
      </w:r>
      <w:r w:rsidRPr="006C5585">
        <w:rPr>
          <w:noProof/>
        </w:rPr>
        <w:t>1</w:t>
      </w:r>
      <w:r w:rsidRPr="00C57330">
        <w:rPr>
          <w:noProof/>
        </w:rPr>
        <w:t>12 rozporządzenia IVDR.</w:t>
      </w:r>
    </w:p>
    <w:p w14:paraId="44BEEC7B" w14:textId="30B1296A" w:rsidR="009C63A6" w:rsidRPr="00C57330" w:rsidRDefault="001F4EF3" w:rsidP="001F4EF3">
      <w:pPr>
        <w:pStyle w:val="ManualHeading2"/>
        <w:rPr>
          <w:b w:val="0"/>
          <w:noProof/>
        </w:rPr>
      </w:pPr>
      <w:r w:rsidRPr="00C57330">
        <w:rPr>
          <w:noProof/>
          <w:u w:color="000000"/>
          <w:bdr w:val="nil"/>
        </w:rPr>
        <w:t>•</w:t>
      </w:r>
      <w:r w:rsidRPr="00C57330">
        <w:rPr>
          <w:noProof/>
        </w:rPr>
        <w:tab/>
      </w:r>
      <w:r w:rsidRPr="00C57330">
        <w:rPr>
          <w:noProof/>
          <w:u w:color="000000"/>
          <w:bdr w:val="nil"/>
        </w:rPr>
        <w:t>Art.</w:t>
      </w:r>
      <w:r w:rsidRPr="00C57330">
        <w:rPr>
          <w:noProof/>
        </w:rPr>
        <w:t xml:space="preserve"> 1 </w:t>
      </w:r>
      <w:r w:rsidRPr="006C5585">
        <w:rPr>
          <w:noProof/>
        </w:rPr>
        <w:t>pkt</w:t>
      </w:r>
      <w:r w:rsidR="006C5585" w:rsidRPr="006C5585">
        <w:rPr>
          <w:noProof/>
        </w:rPr>
        <w:t> </w:t>
      </w:r>
      <w:r w:rsidRPr="006C5585">
        <w:rPr>
          <w:noProof/>
        </w:rPr>
        <w:t>1</w:t>
      </w:r>
      <w:r w:rsidRPr="00C57330">
        <w:rPr>
          <w:noProof/>
        </w:rPr>
        <w:t xml:space="preserve"> </w:t>
      </w:r>
      <w:r w:rsidRPr="006C5585">
        <w:rPr>
          <w:noProof/>
        </w:rPr>
        <w:t>lit.</w:t>
      </w:r>
      <w:r w:rsidR="006C5585" w:rsidRPr="006C5585">
        <w:rPr>
          <w:noProof/>
        </w:rPr>
        <w:t> </w:t>
      </w:r>
      <w:r w:rsidRPr="006C5585">
        <w:rPr>
          <w:noProof/>
        </w:rPr>
        <w:t>a)</w:t>
      </w:r>
      <w:r w:rsidRPr="00C57330">
        <w:rPr>
          <w:noProof/>
        </w:rPr>
        <w:t xml:space="preserve"> wniosku – przedłużenie ważności certyfikatów</w:t>
      </w:r>
    </w:p>
    <w:p w14:paraId="6B830139" w14:textId="18AE579A" w:rsidR="009C63A6" w:rsidRPr="00C57330" w:rsidRDefault="009C63A6" w:rsidP="001F4EF3">
      <w:pPr>
        <w:pStyle w:val="Text1"/>
        <w:rPr>
          <w:noProof/>
        </w:rPr>
      </w:pPr>
      <w:r w:rsidRPr="00C57330">
        <w:rPr>
          <w:noProof/>
        </w:rPr>
        <w:t xml:space="preserve">W tym przepisie wprowadza się zmiany do </w:t>
      </w:r>
      <w:r w:rsidRPr="006C5585">
        <w:rPr>
          <w:noProof/>
        </w:rPr>
        <w:t>art.</w:t>
      </w:r>
      <w:r w:rsidR="006C5585" w:rsidRPr="006C5585">
        <w:rPr>
          <w:noProof/>
        </w:rPr>
        <w:t> </w:t>
      </w:r>
      <w:r w:rsidRPr="006C5585">
        <w:rPr>
          <w:noProof/>
        </w:rPr>
        <w:t>1</w:t>
      </w:r>
      <w:r w:rsidRPr="00C57330">
        <w:rPr>
          <w:noProof/>
        </w:rPr>
        <w:t xml:space="preserve">20 </w:t>
      </w:r>
      <w:r w:rsidRPr="006C5585">
        <w:rPr>
          <w:noProof/>
        </w:rPr>
        <w:t>ust.</w:t>
      </w:r>
      <w:r w:rsidR="006C5585" w:rsidRPr="006C5585">
        <w:rPr>
          <w:noProof/>
        </w:rPr>
        <w:t> </w:t>
      </w:r>
      <w:r w:rsidRPr="006C5585">
        <w:rPr>
          <w:noProof/>
        </w:rPr>
        <w:t>2</w:t>
      </w:r>
      <w:r w:rsidRPr="00C57330">
        <w:rPr>
          <w:noProof/>
        </w:rPr>
        <w:t xml:space="preserve"> rozporządzenia MDR. Przedłuża się</w:t>
      </w:r>
      <w:r w:rsidR="006C5585" w:rsidRPr="00C57330">
        <w:rPr>
          <w:noProof/>
        </w:rPr>
        <w:t xml:space="preserve"> w</w:t>
      </w:r>
      <w:r w:rsidR="006C5585">
        <w:rPr>
          <w:noProof/>
        </w:rPr>
        <w:t> </w:t>
      </w:r>
      <w:r w:rsidR="006C5585" w:rsidRPr="00C57330">
        <w:rPr>
          <w:noProof/>
        </w:rPr>
        <w:t>nim</w:t>
      </w:r>
      <w:r w:rsidRPr="00C57330">
        <w:rPr>
          <w:noProof/>
        </w:rPr>
        <w:t xml:space="preserve"> ważność certyfikatów wydanych na podstawie dyrektyw Rady 90/385/EWG </w:t>
      </w:r>
      <w:r w:rsidRPr="006C5585">
        <w:rPr>
          <w:noProof/>
        </w:rPr>
        <w:t>lub</w:t>
      </w:r>
      <w:r w:rsidR="006C5585" w:rsidRPr="006C5585">
        <w:rPr>
          <w:noProof/>
        </w:rPr>
        <w:t> </w:t>
      </w:r>
      <w:r w:rsidRPr="006C5585">
        <w:rPr>
          <w:noProof/>
        </w:rPr>
        <w:t>9</w:t>
      </w:r>
      <w:r w:rsidRPr="00C57330">
        <w:rPr>
          <w:noProof/>
        </w:rPr>
        <w:t>3/42/EWG, które były ważne</w:t>
      </w:r>
      <w:r w:rsidR="006C5585" w:rsidRPr="00C57330">
        <w:rPr>
          <w:noProof/>
        </w:rPr>
        <w:t xml:space="preserve"> w</w:t>
      </w:r>
      <w:r w:rsidR="006C5585">
        <w:rPr>
          <w:noProof/>
        </w:rPr>
        <w:t> </w:t>
      </w:r>
      <w:r w:rsidR="006C5585" w:rsidRPr="00C57330">
        <w:rPr>
          <w:noProof/>
        </w:rPr>
        <w:t>dni</w:t>
      </w:r>
      <w:r w:rsidRPr="00C57330">
        <w:rPr>
          <w:noProof/>
        </w:rPr>
        <w:t>u rozpoczęcia stosowania rozporządzenia MDR (26 maja 20</w:t>
      </w:r>
      <w:r w:rsidRPr="006C5585">
        <w:rPr>
          <w:noProof/>
        </w:rPr>
        <w:t>21</w:t>
      </w:r>
      <w:r w:rsidR="006C5585" w:rsidRPr="006C5585">
        <w:rPr>
          <w:noProof/>
        </w:rPr>
        <w:t> </w:t>
      </w:r>
      <w:r w:rsidRPr="006C5585">
        <w:rPr>
          <w:noProof/>
        </w:rPr>
        <w:t>r.</w:t>
      </w:r>
      <w:r w:rsidRPr="00C57330">
        <w:rPr>
          <w:noProof/>
        </w:rPr>
        <w:t>)</w:t>
      </w:r>
      <w:r w:rsidR="006C5585" w:rsidRPr="00C57330">
        <w:rPr>
          <w:noProof/>
        </w:rPr>
        <w:t xml:space="preserve"> i</w:t>
      </w:r>
      <w:r w:rsidR="006C5585">
        <w:rPr>
          <w:noProof/>
        </w:rPr>
        <w:t> </w:t>
      </w:r>
      <w:r w:rsidR="006C5585" w:rsidRPr="00C57330">
        <w:rPr>
          <w:noProof/>
        </w:rPr>
        <w:t>nie</w:t>
      </w:r>
      <w:r w:rsidRPr="00C57330">
        <w:rPr>
          <w:noProof/>
        </w:rPr>
        <w:t xml:space="preserve"> zostały wycofane przez jednostkę notyfikowaną. Przedłużenie ma bezpośrednie zastosowanie, zatem jednostki notyfikowane nie muszą zmieniać daty na poszczególnych certyfikatach. Okres przedłużenia ważności certyfikatu odpowiada długości przedłużonego okresu przejściowego określonego</w:t>
      </w:r>
      <w:r w:rsidR="006C5585" w:rsidRPr="00C57330">
        <w:rPr>
          <w:noProof/>
        </w:rPr>
        <w:t xml:space="preserve"> w</w:t>
      </w:r>
      <w:r w:rsidR="006C5585">
        <w:rPr>
          <w:noProof/>
        </w:rPr>
        <w:t> </w:t>
      </w:r>
      <w:r w:rsidR="006C5585" w:rsidRPr="00C57330">
        <w:rPr>
          <w:noProof/>
        </w:rPr>
        <w:t>pro</w:t>
      </w:r>
      <w:r w:rsidRPr="00C57330">
        <w:rPr>
          <w:noProof/>
        </w:rPr>
        <w:t xml:space="preserve">ponowanym </w:t>
      </w:r>
      <w:r w:rsidRPr="006C5585">
        <w:rPr>
          <w:noProof/>
        </w:rPr>
        <w:t>art.</w:t>
      </w:r>
      <w:r w:rsidR="006C5585" w:rsidRPr="006C5585">
        <w:rPr>
          <w:noProof/>
        </w:rPr>
        <w:t> </w:t>
      </w:r>
      <w:r w:rsidRPr="006C5585">
        <w:rPr>
          <w:noProof/>
        </w:rPr>
        <w:t>1</w:t>
      </w:r>
      <w:r w:rsidRPr="00C57330">
        <w:rPr>
          <w:noProof/>
        </w:rPr>
        <w:t xml:space="preserve">20 </w:t>
      </w:r>
      <w:r w:rsidRPr="006C5585">
        <w:rPr>
          <w:noProof/>
        </w:rPr>
        <w:t>ust.</w:t>
      </w:r>
      <w:r w:rsidR="006C5585" w:rsidRPr="006C5585">
        <w:rPr>
          <w:noProof/>
        </w:rPr>
        <w:t> </w:t>
      </w:r>
      <w:r w:rsidRPr="006C5585">
        <w:rPr>
          <w:noProof/>
        </w:rPr>
        <w:t>3</w:t>
      </w:r>
      <w:r w:rsidRPr="00C57330">
        <w:rPr>
          <w:noProof/>
        </w:rPr>
        <w:t>a–3c rozporządzenia MDR. Jeżeli chodzi</w:t>
      </w:r>
      <w:r w:rsidR="006C5585" w:rsidRPr="00C57330">
        <w:rPr>
          <w:noProof/>
        </w:rPr>
        <w:t xml:space="preserve"> o</w:t>
      </w:r>
      <w:r w:rsidR="006C5585">
        <w:rPr>
          <w:noProof/>
        </w:rPr>
        <w:t> </w:t>
      </w:r>
      <w:r w:rsidR="006C5585" w:rsidRPr="00C57330">
        <w:rPr>
          <w:noProof/>
        </w:rPr>
        <w:t>cer</w:t>
      </w:r>
      <w:r w:rsidRPr="00C57330">
        <w:rPr>
          <w:noProof/>
        </w:rPr>
        <w:t>tyfikaty, które straciły już ważność</w:t>
      </w:r>
      <w:r w:rsidR="006C5585" w:rsidRPr="00C57330">
        <w:rPr>
          <w:noProof/>
        </w:rPr>
        <w:t xml:space="preserve"> w</w:t>
      </w:r>
      <w:r w:rsidR="006C5585">
        <w:rPr>
          <w:noProof/>
        </w:rPr>
        <w:t> </w:t>
      </w:r>
      <w:r w:rsidR="006C5585" w:rsidRPr="00C57330">
        <w:rPr>
          <w:noProof/>
        </w:rPr>
        <w:t>mom</w:t>
      </w:r>
      <w:r w:rsidRPr="00C57330">
        <w:rPr>
          <w:noProof/>
        </w:rPr>
        <w:t>encie wejścia</w:t>
      </w:r>
      <w:r w:rsidR="006C5585" w:rsidRPr="00C57330">
        <w:rPr>
          <w:noProof/>
        </w:rPr>
        <w:t xml:space="preserve"> w</w:t>
      </w:r>
      <w:r w:rsidR="006C5585">
        <w:rPr>
          <w:noProof/>
        </w:rPr>
        <w:t> </w:t>
      </w:r>
      <w:r w:rsidR="006C5585" w:rsidRPr="00C57330">
        <w:rPr>
          <w:noProof/>
        </w:rPr>
        <w:t>życ</w:t>
      </w:r>
      <w:r w:rsidRPr="00C57330">
        <w:rPr>
          <w:noProof/>
        </w:rPr>
        <w:t>ie proponowanej zmiany, przedłużenie byłoby uzależnione od tego, czy</w:t>
      </w:r>
      <w:r w:rsidR="006C5585" w:rsidRPr="00C57330">
        <w:rPr>
          <w:noProof/>
        </w:rPr>
        <w:t xml:space="preserve"> w</w:t>
      </w:r>
      <w:r w:rsidR="006C5585">
        <w:rPr>
          <w:noProof/>
        </w:rPr>
        <w:t> </w:t>
      </w:r>
      <w:r w:rsidR="006C5585" w:rsidRPr="00C57330">
        <w:rPr>
          <w:noProof/>
        </w:rPr>
        <w:t>mom</w:t>
      </w:r>
      <w:r w:rsidRPr="00C57330">
        <w:rPr>
          <w:noProof/>
        </w:rPr>
        <w:t>encie upływu ważności producent podpisał umowę</w:t>
      </w:r>
      <w:r w:rsidR="006C5585" w:rsidRPr="00C57330">
        <w:rPr>
          <w:noProof/>
        </w:rPr>
        <w:t xml:space="preserve"> z</w:t>
      </w:r>
      <w:r w:rsidR="006C5585">
        <w:rPr>
          <w:noProof/>
        </w:rPr>
        <w:t> </w:t>
      </w:r>
      <w:r w:rsidR="006C5585" w:rsidRPr="00C57330">
        <w:rPr>
          <w:noProof/>
        </w:rPr>
        <w:t>jed</w:t>
      </w:r>
      <w:r w:rsidRPr="00C57330">
        <w:rPr>
          <w:noProof/>
        </w:rPr>
        <w:t>nostką notyfikowaną dotyczącą oceny zgodności danego wyrobu. Alternatywnie, jeżeli</w:t>
      </w:r>
      <w:r w:rsidR="006C5585" w:rsidRPr="00C57330">
        <w:rPr>
          <w:noProof/>
        </w:rPr>
        <w:t xml:space="preserve"> w</w:t>
      </w:r>
      <w:r w:rsidR="006C5585">
        <w:rPr>
          <w:noProof/>
        </w:rPr>
        <w:t> </w:t>
      </w:r>
      <w:r w:rsidR="006C5585" w:rsidRPr="00C57330">
        <w:rPr>
          <w:noProof/>
        </w:rPr>
        <w:t>chw</w:t>
      </w:r>
      <w:r w:rsidRPr="00C57330">
        <w:rPr>
          <w:noProof/>
        </w:rPr>
        <w:t>ili upływu ważności certyfikatu nie podpisano takiej umowy, właściwy organ krajowy może wcześniej przyznać odstępstwo od mającej zastosowanie procedury oceny zgodności zgodnie</w:t>
      </w:r>
      <w:r w:rsidR="006C5585" w:rsidRPr="00C57330">
        <w:rPr>
          <w:noProof/>
        </w:rPr>
        <w:t xml:space="preserve"> z</w:t>
      </w:r>
      <w:r w:rsidR="006C5585">
        <w:rPr>
          <w:noProof/>
        </w:rPr>
        <w:t> </w:t>
      </w:r>
      <w:r w:rsidR="006C5585" w:rsidRPr="006C5585">
        <w:rPr>
          <w:noProof/>
        </w:rPr>
        <w:t>art</w:t>
      </w:r>
      <w:r w:rsidRPr="006C5585">
        <w:rPr>
          <w:noProof/>
        </w:rPr>
        <w:t>.</w:t>
      </w:r>
      <w:r w:rsidR="006C5585" w:rsidRPr="006C5585">
        <w:rPr>
          <w:noProof/>
        </w:rPr>
        <w:t> </w:t>
      </w:r>
      <w:r w:rsidRPr="006C5585">
        <w:rPr>
          <w:noProof/>
        </w:rPr>
        <w:t>5</w:t>
      </w:r>
      <w:r w:rsidRPr="00C57330">
        <w:rPr>
          <w:noProof/>
        </w:rPr>
        <w:t>9 rozporządzenia MDR lub zobowiązać producenta do przeprowadzenia procedury oceny zgodności</w:t>
      </w:r>
      <w:r w:rsidR="006C5585" w:rsidRPr="00C57330">
        <w:rPr>
          <w:noProof/>
        </w:rPr>
        <w:t xml:space="preserve"> w</w:t>
      </w:r>
      <w:r w:rsidR="006C5585">
        <w:rPr>
          <w:noProof/>
        </w:rPr>
        <w:t> </w:t>
      </w:r>
      <w:r w:rsidR="006C5585" w:rsidRPr="00C57330">
        <w:rPr>
          <w:noProof/>
        </w:rPr>
        <w:t>okr</w:t>
      </w:r>
      <w:r w:rsidRPr="00C57330">
        <w:rPr>
          <w:noProof/>
        </w:rPr>
        <w:t>eślonym terminie zgodnie</w:t>
      </w:r>
      <w:r w:rsidR="006C5585" w:rsidRPr="00C57330">
        <w:rPr>
          <w:noProof/>
        </w:rPr>
        <w:t xml:space="preserve"> z</w:t>
      </w:r>
      <w:r w:rsidR="006C5585">
        <w:rPr>
          <w:noProof/>
        </w:rPr>
        <w:t> </w:t>
      </w:r>
      <w:r w:rsidR="006C5585" w:rsidRPr="006C5585">
        <w:rPr>
          <w:noProof/>
        </w:rPr>
        <w:t>art</w:t>
      </w:r>
      <w:r w:rsidR="00C57330" w:rsidRPr="006C5585">
        <w:rPr>
          <w:noProof/>
        </w:rPr>
        <w:t>.</w:t>
      </w:r>
      <w:r w:rsidR="006C5585" w:rsidRPr="006C5585">
        <w:rPr>
          <w:noProof/>
        </w:rPr>
        <w:t> </w:t>
      </w:r>
      <w:r w:rsidR="00C57330" w:rsidRPr="006C5585">
        <w:rPr>
          <w:noProof/>
        </w:rPr>
        <w:t>9</w:t>
      </w:r>
      <w:r w:rsidR="00C57330" w:rsidRPr="00C57330">
        <w:rPr>
          <w:noProof/>
        </w:rPr>
        <w:t>7 rozporządzenia MDR.</w:t>
      </w:r>
    </w:p>
    <w:p w14:paraId="1BD2E00B" w14:textId="5773E0AD" w:rsidR="009C63A6" w:rsidRPr="00C57330" w:rsidRDefault="001F4EF3" w:rsidP="001F4EF3">
      <w:pPr>
        <w:pStyle w:val="ManualHeading2"/>
        <w:rPr>
          <w:b w:val="0"/>
          <w:noProof/>
        </w:rPr>
      </w:pPr>
      <w:r w:rsidRPr="00C57330">
        <w:rPr>
          <w:noProof/>
          <w:u w:color="000000"/>
          <w:bdr w:val="nil"/>
        </w:rPr>
        <w:t>•</w:t>
      </w:r>
      <w:r w:rsidRPr="00C57330">
        <w:rPr>
          <w:noProof/>
        </w:rPr>
        <w:tab/>
        <w:t xml:space="preserve">Art. 1 </w:t>
      </w:r>
      <w:r w:rsidRPr="006C5585">
        <w:rPr>
          <w:noProof/>
        </w:rPr>
        <w:t>pkt</w:t>
      </w:r>
      <w:r w:rsidR="006C5585" w:rsidRPr="006C5585">
        <w:rPr>
          <w:noProof/>
        </w:rPr>
        <w:t> </w:t>
      </w:r>
      <w:r w:rsidRPr="006C5585">
        <w:rPr>
          <w:noProof/>
        </w:rPr>
        <w:t>1</w:t>
      </w:r>
      <w:r w:rsidRPr="00C57330">
        <w:rPr>
          <w:noProof/>
        </w:rPr>
        <w:t xml:space="preserve"> </w:t>
      </w:r>
      <w:r w:rsidRPr="006C5585">
        <w:rPr>
          <w:noProof/>
        </w:rPr>
        <w:t>lit.</w:t>
      </w:r>
      <w:r w:rsidR="006C5585" w:rsidRPr="006C5585">
        <w:rPr>
          <w:noProof/>
        </w:rPr>
        <w:t> </w:t>
      </w:r>
      <w:r w:rsidRPr="006C5585">
        <w:rPr>
          <w:noProof/>
        </w:rPr>
        <w:t>b)</w:t>
      </w:r>
      <w:r w:rsidRPr="00C57330">
        <w:rPr>
          <w:noProof/>
        </w:rPr>
        <w:t xml:space="preserve"> wniosku – przedłużenie okresu przejściowego</w:t>
      </w:r>
    </w:p>
    <w:p w14:paraId="03E9D50D" w14:textId="0B95F3DD" w:rsidR="00A63AA5" w:rsidRPr="00C57330" w:rsidRDefault="009C63A6" w:rsidP="001F4EF3">
      <w:pPr>
        <w:pStyle w:val="Text1"/>
        <w:rPr>
          <w:noProof/>
        </w:rPr>
      </w:pPr>
      <w:r w:rsidRPr="00C57330">
        <w:rPr>
          <w:noProof/>
        </w:rPr>
        <w:t xml:space="preserve">W tym przepisie wprowadza się zmiany do </w:t>
      </w:r>
      <w:r w:rsidRPr="006C5585">
        <w:rPr>
          <w:noProof/>
        </w:rPr>
        <w:t>art.</w:t>
      </w:r>
      <w:r w:rsidR="006C5585" w:rsidRPr="006C5585">
        <w:rPr>
          <w:noProof/>
        </w:rPr>
        <w:t> </w:t>
      </w:r>
      <w:r w:rsidRPr="006C5585">
        <w:rPr>
          <w:noProof/>
        </w:rPr>
        <w:t>1</w:t>
      </w:r>
      <w:r w:rsidRPr="00C57330">
        <w:rPr>
          <w:noProof/>
        </w:rPr>
        <w:t xml:space="preserve">20 </w:t>
      </w:r>
      <w:r w:rsidRPr="006C5585">
        <w:rPr>
          <w:noProof/>
        </w:rPr>
        <w:t>ust.</w:t>
      </w:r>
      <w:r w:rsidR="006C5585" w:rsidRPr="006C5585">
        <w:rPr>
          <w:noProof/>
        </w:rPr>
        <w:t> </w:t>
      </w:r>
      <w:r w:rsidRPr="006C5585">
        <w:rPr>
          <w:noProof/>
        </w:rPr>
        <w:t>3</w:t>
      </w:r>
      <w:r w:rsidRPr="00C57330">
        <w:rPr>
          <w:noProof/>
        </w:rPr>
        <w:t xml:space="preserve"> rozporządzenia MDR. Ze względu na długość przepisu </w:t>
      </w:r>
      <w:r w:rsidRPr="006C5585">
        <w:rPr>
          <w:noProof/>
        </w:rPr>
        <w:t>ust.</w:t>
      </w:r>
      <w:r w:rsidR="006C5585" w:rsidRPr="006C5585">
        <w:rPr>
          <w:noProof/>
        </w:rPr>
        <w:t> </w:t>
      </w:r>
      <w:r w:rsidRPr="006C5585">
        <w:rPr>
          <w:noProof/>
        </w:rPr>
        <w:t>3</w:t>
      </w:r>
      <w:r w:rsidRPr="00C57330">
        <w:rPr>
          <w:noProof/>
        </w:rPr>
        <w:t xml:space="preserve"> zastępuje się </w:t>
      </w:r>
      <w:r w:rsidRPr="006C5585">
        <w:rPr>
          <w:noProof/>
        </w:rPr>
        <w:t>ust.</w:t>
      </w:r>
      <w:r w:rsidR="006C5585" w:rsidRPr="006C5585">
        <w:rPr>
          <w:noProof/>
        </w:rPr>
        <w:t> </w:t>
      </w:r>
      <w:r w:rsidRPr="006C5585">
        <w:rPr>
          <w:noProof/>
        </w:rPr>
        <w:t>3</w:t>
      </w:r>
      <w:r w:rsidRPr="00C57330">
        <w:rPr>
          <w:noProof/>
        </w:rPr>
        <w:t>a–3g. Zakończenie okresu przejściowego zostaje przesunięte</w:t>
      </w:r>
      <w:r w:rsidR="006C5585" w:rsidRPr="00C57330">
        <w:rPr>
          <w:noProof/>
        </w:rPr>
        <w:t xml:space="preserve"> z</w:t>
      </w:r>
      <w:r w:rsidR="006C5585">
        <w:rPr>
          <w:noProof/>
        </w:rPr>
        <w:t> </w:t>
      </w:r>
      <w:r w:rsidR="006C5585" w:rsidRPr="00C57330">
        <w:rPr>
          <w:noProof/>
        </w:rPr>
        <w:t>2</w:t>
      </w:r>
      <w:r w:rsidRPr="00C57330">
        <w:rPr>
          <w:noProof/>
        </w:rPr>
        <w:t>6 maja 20</w:t>
      </w:r>
      <w:r w:rsidRPr="006C5585">
        <w:rPr>
          <w:noProof/>
        </w:rPr>
        <w:t>24</w:t>
      </w:r>
      <w:r w:rsidR="006C5585" w:rsidRPr="006C5585">
        <w:rPr>
          <w:noProof/>
        </w:rPr>
        <w:t> </w:t>
      </w:r>
      <w:r w:rsidRPr="006C5585">
        <w:rPr>
          <w:noProof/>
        </w:rPr>
        <w:t>r.</w:t>
      </w:r>
      <w:r w:rsidRPr="00C57330">
        <w:rPr>
          <w:noProof/>
        </w:rPr>
        <w:t xml:space="preserve"> </w:t>
      </w:r>
      <w:r w:rsidRPr="006C5585">
        <w:rPr>
          <w:noProof/>
        </w:rPr>
        <w:t>na</w:t>
      </w:r>
      <w:r w:rsidR="006C5585" w:rsidRPr="006C5585">
        <w:rPr>
          <w:noProof/>
        </w:rPr>
        <w:t> </w:t>
      </w:r>
      <w:r w:rsidRPr="006C5585">
        <w:rPr>
          <w:noProof/>
        </w:rPr>
        <w:t>3</w:t>
      </w:r>
      <w:r w:rsidRPr="00C57330">
        <w:rPr>
          <w:noProof/>
        </w:rPr>
        <w:t>1 grudnia 20</w:t>
      </w:r>
      <w:r w:rsidRPr="006C5585">
        <w:rPr>
          <w:noProof/>
        </w:rPr>
        <w:t>27</w:t>
      </w:r>
      <w:r w:rsidR="006C5585" w:rsidRPr="006C5585">
        <w:rPr>
          <w:noProof/>
        </w:rPr>
        <w:t> </w:t>
      </w:r>
      <w:r w:rsidRPr="006C5585">
        <w:rPr>
          <w:noProof/>
        </w:rPr>
        <w:t>r.</w:t>
      </w:r>
      <w:r w:rsidR="006C5585" w:rsidRPr="00C57330">
        <w:rPr>
          <w:noProof/>
        </w:rPr>
        <w:t xml:space="preserve"> w</w:t>
      </w:r>
      <w:r w:rsidR="006C5585">
        <w:rPr>
          <w:noProof/>
        </w:rPr>
        <w:t> </w:t>
      </w:r>
      <w:r w:rsidR="006C5585" w:rsidRPr="00C57330">
        <w:rPr>
          <w:noProof/>
        </w:rPr>
        <w:t>prz</w:t>
      </w:r>
      <w:r w:rsidRPr="00C57330">
        <w:rPr>
          <w:noProof/>
        </w:rPr>
        <w:t>ypadku wyrobów</w:t>
      </w:r>
      <w:r w:rsidR="006C5585" w:rsidRPr="00C57330">
        <w:rPr>
          <w:noProof/>
        </w:rPr>
        <w:t xml:space="preserve"> o</w:t>
      </w:r>
      <w:r w:rsidR="006C5585">
        <w:rPr>
          <w:noProof/>
        </w:rPr>
        <w:t> </w:t>
      </w:r>
      <w:r w:rsidR="006C5585" w:rsidRPr="00C57330">
        <w:rPr>
          <w:noProof/>
        </w:rPr>
        <w:t>wyż</w:t>
      </w:r>
      <w:r w:rsidRPr="00C57330">
        <w:rPr>
          <w:noProof/>
        </w:rPr>
        <w:t>szym ryzyku (wyroby klasy III</w:t>
      </w:r>
      <w:r w:rsidR="006C5585" w:rsidRPr="00C57330">
        <w:rPr>
          <w:noProof/>
        </w:rPr>
        <w:t xml:space="preserve"> i</w:t>
      </w:r>
      <w:r w:rsidR="006C5585">
        <w:rPr>
          <w:noProof/>
        </w:rPr>
        <w:t> </w:t>
      </w:r>
      <w:r w:rsidR="006C5585" w:rsidRPr="00C57330">
        <w:rPr>
          <w:noProof/>
        </w:rPr>
        <w:t>wyr</w:t>
      </w:r>
      <w:r w:rsidRPr="00C57330">
        <w:rPr>
          <w:noProof/>
        </w:rPr>
        <w:t>oby do implantacji klasy IIb,</w:t>
      </w:r>
      <w:r w:rsidR="006C5585" w:rsidRPr="00C57330">
        <w:rPr>
          <w:noProof/>
        </w:rPr>
        <w:t xml:space="preserve"> z</w:t>
      </w:r>
      <w:r w:rsidR="006C5585">
        <w:rPr>
          <w:noProof/>
        </w:rPr>
        <w:t> </w:t>
      </w:r>
      <w:r w:rsidR="006C5585" w:rsidRPr="00C57330">
        <w:rPr>
          <w:noProof/>
        </w:rPr>
        <w:t>wyj</w:t>
      </w:r>
      <w:r w:rsidRPr="00C57330">
        <w:rPr>
          <w:noProof/>
        </w:rPr>
        <w:t>ątkiem niektórych wyrobów,</w:t>
      </w:r>
      <w:r w:rsidR="006C5585" w:rsidRPr="00C57330">
        <w:rPr>
          <w:noProof/>
        </w:rPr>
        <w:t xml:space="preserve"> w</w:t>
      </w:r>
      <w:r w:rsidR="006C5585">
        <w:rPr>
          <w:noProof/>
        </w:rPr>
        <w:t> </w:t>
      </w:r>
      <w:r w:rsidR="006C5585" w:rsidRPr="00C57330">
        <w:rPr>
          <w:noProof/>
        </w:rPr>
        <w:t>odn</w:t>
      </w:r>
      <w:r w:rsidRPr="00C57330">
        <w:rPr>
          <w:noProof/>
        </w:rPr>
        <w:t>iesieniu do których</w:t>
      </w:r>
      <w:r w:rsidR="006C5585" w:rsidRPr="00C57330">
        <w:rPr>
          <w:noProof/>
        </w:rPr>
        <w:t xml:space="preserve"> w</w:t>
      </w:r>
      <w:r w:rsidR="006C5585">
        <w:rPr>
          <w:noProof/>
        </w:rPr>
        <w:t> </w:t>
      </w:r>
      <w:r w:rsidR="006C5585" w:rsidRPr="00C57330">
        <w:rPr>
          <w:noProof/>
        </w:rPr>
        <w:t>roz</w:t>
      </w:r>
      <w:r w:rsidRPr="00C57330">
        <w:rPr>
          <w:noProof/>
        </w:rPr>
        <w:t>porządzeniu MDR przewidziano wyłączenia</w:t>
      </w:r>
      <w:r w:rsidR="006C5585" w:rsidRPr="00C57330">
        <w:rPr>
          <w:noProof/>
        </w:rPr>
        <w:t xml:space="preserve"> z</w:t>
      </w:r>
      <w:r w:rsidR="006C5585">
        <w:rPr>
          <w:noProof/>
        </w:rPr>
        <w:t> </w:t>
      </w:r>
      <w:r w:rsidR="006C5585" w:rsidRPr="00C57330">
        <w:rPr>
          <w:noProof/>
        </w:rPr>
        <w:t>uwa</w:t>
      </w:r>
      <w:r w:rsidRPr="00C57330">
        <w:rPr>
          <w:noProof/>
        </w:rPr>
        <w:t>gi na fakt, że wyroby te uznaje się za opracowane</w:t>
      </w:r>
      <w:r w:rsidR="006C5585" w:rsidRPr="00C57330">
        <w:rPr>
          <w:noProof/>
        </w:rPr>
        <w:t xml:space="preserve"> w</w:t>
      </w:r>
      <w:r w:rsidR="006C5585">
        <w:rPr>
          <w:noProof/>
        </w:rPr>
        <w:t> </w:t>
      </w:r>
      <w:r w:rsidR="006C5585" w:rsidRPr="00C57330">
        <w:rPr>
          <w:noProof/>
        </w:rPr>
        <w:t>opa</w:t>
      </w:r>
      <w:r w:rsidRPr="00C57330">
        <w:rPr>
          <w:noProof/>
        </w:rPr>
        <w:t>rciu</w:t>
      </w:r>
      <w:r w:rsidR="006C5585" w:rsidRPr="00C57330">
        <w:rPr>
          <w:noProof/>
        </w:rPr>
        <w:t xml:space="preserve"> o</w:t>
      </w:r>
      <w:r w:rsidR="006C5585">
        <w:rPr>
          <w:noProof/>
        </w:rPr>
        <w:t> </w:t>
      </w:r>
      <w:r w:rsidR="006C5585" w:rsidRPr="00C57330">
        <w:rPr>
          <w:noProof/>
        </w:rPr>
        <w:t>ugr</w:t>
      </w:r>
      <w:r w:rsidRPr="00C57330">
        <w:rPr>
          <w:noProof/>
        </w:rPr>
        <w:t xml:space="preserve">untowane technologie) oraz </w:t>
      </w:r>
      <w:r w:rsidRPr="006C5585">
        <w:rPr>
          <w:noProof/>
        </w:rPr>
        <w:t>na</w:t>
      </w:r>
      <w:r w:rsidR="006C5585" w:rsidRPr="006C5585">
        <w:rPr>
          <w:noProof/>
        </w:rPr>
        <w:t> </w:t>
      </w:r>
      <w:r w:rsidRPr="006C5585">
        <w:rPr>
          <w:noProof/>
        </w:rPr>
        <w:t>3</w:t>
      </w:r>
      <w:r w:rsidRPr="00C57330">
        <w:rPr>
          <w:noProof/>
        </w:rPr>
        <w:t>1 grudnia 20</w:t>
      </w:r>
      <w:r w:rsidRPr="006C5585">
        <w:rPr>
          <w:noProof/>
        </w:rPr>
        <w:t>28</w:t>
      </w:r>
      <w:r w:rsidR="006C5585" w:rsidRPr="006C5585">
        <w:rPr>
          <w:noProof/>
        </w:rPr>
        <w:t> </w:t>
      </w:r>
      <w:r w:rsidRPr="006C5585">
        <w:rPr>
          <w:noProof/>
        </w:rPr>
        <w:t>r.</w:t>
      </w:r>
      <w:r w:rsidR="006C5585" w:rsidRPr="00C57330">
        <w:rPr>
          <w:noProof/>
        </w:rPr>
        <w:t xml:space="preserve"> w</w:t>
      </w:r>
      <w:r w:rsidR="006C5585">
        <w:rPr>
          <w:noProof/>
        </w:rPr>
        <w:t> </w:t>
      </w:r>
      <w:r w:rsidR="006C5585" w:rsidRPr="00C57330">
        <w:rPr>
          <w:noProof/>
        </w:rPr>
        <w:t>prz</w:t>
      </w:r>
      <w:r w:rsidRPr="00C57330">
        <w:rPr>
          <w:noProof/>
        </w:rPr>
        <w:t>ypadku wyrobów</w:t>
      </w:r>
      <w:r w:rsidR="006C5585" w:rsidRPr="00C57330">
        <w:rPr>
          <w:noProof/>
        </w:rPr>
        <w:t xml:space="preserve"> o</w:t>
      </w:r>
      <w:r w:rsidR="006C5585">
        <w:rPr>
          <w:noProof/>
        </w:rPr>
        <w:t> </w:t>
      </w:r>
      <w:r w:rsidR="006C5585" w:rsidRPr="00C57330">
        <w:rPr>
          <w:noProof/>
        </w:rPr>
        <w:t>śre</w:t>
      </w:r>
      <w:r w:rsidRPr="00C57330">
        <w:rPr>
          <w:noProof/>
        </w:rPr>
        <w:t>dnim</w:t>
      </w:r>
      <w:r w:rsidR="006C5585" w:rsidRPr="00C57330">
        <w:rPr>
          <w:noProof/>
        </w:rPr>
        <w:t xml:space="preserve"> i</w:t>
      </w:r>
      <w:r w:rsidR="006C5585">
        <w:rPr>
          <w:noProof/>
        </w:rPr>
        <w:t> </w:t>
      </w:r>
      <w:r w:rsidR="006C5585" w:rsidRPr="00C57330">
        <w:rPr>
          <w:noProof/>
        </w:rPr>
        <w:t>niż</w:t>
      </w:r>
      <w:r w:rsidRPr="00C57330">
        <w:rPr>
          <w:noProof/>
        </w:rPr>
        <w:t>szym ryzyku (inne wyroby klasy IIb oraz wyroby klasy IIa oraz klasy Im, Is i Ir).</w:t>
      </w:r>
    </w:p>
    <w:p w14:paraId="3C9EF90A" w14:textId="455E3747" w:rsidR="00A63AA5" w:rsidRPr="00C57330" w:rsidRDefault="003B1E04" w:rsidP="001F4EF3">
      <w:pPr>
        <w:pStyle w:val="Text1"/>
        <w:rPr>
          <w:noProof/>
        </w:rPr>
      </w:pPr>
      <w:r w:rsidRPr="00C57330">
        <w:rPr>
          <w:noProof/>
        </w:rPr>
        <w:t>Podobnie jak</w:t>
      </w:r>
      <w:r w:rsidR="006C5585" w:rsidRPr="00C57330">
        <w:rPr>
          <w:noProof/>
        </w:rPr>
        <w:t xml:space="preserve"> w</w:t>
      </w:r>
      <w:r w:rsidR="006C5585">
        <w:rPr>
          <w:noProof/>
        </w:rPr>
        <w:t> </w:t>
      </w:r>
      <w:r w:rsidR="006C5585" w:rsidRPr="00C57330">
        <w:rPr>
          <w:noProof/>
        </w:rPr>
        <w:t>prz</w:t>
      </w:r>
      <w:r w:rsidRPr="00C57330">
        <w:rPr>
          <w:noProof/>
        </w:rPr>
        <w:t xml:space="preserve">ypadku </w:t>
      </w:r>
      <w:r w:rsidRPr="006C5585">
        <w:rPr>
          <w:noProof/>
        </w:rPr>
        <w:t>art.</w:t>
      </w:r>
      <w:r w:rsidR="006C5585" w:rsidRPr="006C5585">
        <w:rPr>
          <w:noProof/>
        </w:rPr>
        <w:t> </w:t>
      </w:r>
      <w:r w:rsidRPr="006C5585">
        <w:rPr>
          <w:noProof/>
        </w:rPr>
        <w:t>1</w:t>
      </w:r>
      <w:r w:rsidRPr="00C57330">
        <w:rPr>
          <w:noProof/>
        </w:rPr>
        <w:t xml:space="preserve">20 </w:t>
      </w:r>
      <w:r w:rsidRPr="006C5585">
        <w:rPr>
          <w:noProof/>
        </w:rPr>
        <w:t>ust.</w:t>
      </w:r>
      <w:r w:rsidR="006C5585" w:rsidRPr="006C5585">
        <w:rPr>
          <w:noProof/>
        </w:rPr>
        <w:t> </w:t>
      </w:r>
      <w:r w:rsidRPr="006C5585">
        <w:rPr>
          <w:noProof/>
        </w:rPr>
        <w:t>3</w:t>
      </w:r>
      <w:r w:rsidRPr="00C57330">
        <w:rPr>
          <w:noProof/>
        </w:rPr>
        <w:t xml:space="preserve"> rozporządzenia MDR</w:t>
      </w:r>
      <w:r w:rsidR="006C5585" w:rsidRPr="00C57330">
        <w:rPr>
          <w:noProof/>
        </w:rPr>
        <w:t xml:space="preserve"> w</w:t>
      </w:r>
      <w:r w:rsidR="006C5585">
        <w:rPr>
          <w:noProof/>
        </w:rPr>
        <w:t> </w:t>
      </w:r>
      <w:r w:rsidR="006C5585" w:rsidRPr="00C57330">
        <w:rPr>
          <w:noProof/>
        </w:rPr>
        <w:t>obe</w:t>
      </w:r>
      <w:r w:rsidRPr="00C57330">
        <w:rPr>
          <w:noProof/>
        </w:rPr>
        <w:t xml:space="preserve">cnym brzemieniu przedłużony okres przejściowy ma zastosowanie wyłącznie do „starszych wyrobów”, tj. objętych certyfikatem lub deklaracją zgodności wydanymi na podstawie dyrektyw Rady 90/385/EWG </w:t>
      </w:r>
      <w:r w:rsidRPr="006C5585">
        <w:rPr>
          <w:noProof/>
        </w:rPr>
        <w:t>lub</w:t>
      </w:r>
      <w:r w:rsidR="006C5585" w:rsidRPr="006C5585">
        <w:rPr>
          <w:noProof/>
        </w:rPr>
        <w:t> </w:t>
      </w:r>
      <w:r w:rsidRPr="006C5585">
        <w:rPr>
          <w:noProof/>
        </w:rPr>
        <w:t>9</w:t>
      </w:r>
      <w:r w:rsidRPr="00C57330">
        <w:rPr>
          <w:noProof/>
        </w:rPr>
        <w:t>3/42/EWG przed 26 maja 20</w:t>
      </w:r>
      <w:r w:rsidRPr="006C5585">
        <w:rPr>
          <w:noProof/>
        </w:rPr>
        <w:t>21</w:t>
      </w:r>
      <w:r w:rsidR="006C5585" w:rsidRPr="006C5585">
        <w:rPr>
          <w:noProof/>
        </w:rPr>
        <w:t> </w:t>
      </w:r>
      <w:r w:rsidRPr="006C5585">
        <w:rPr>
          <w:noProof/>
        </w:rPr>
        <w:t>r.</w:t>
      </w:r>
    </w:p>
    <w:p w14:paraId="39C4B9A4" w14:textId="77777777" w:rsidR="00327560" w:rsidRPr="00C57330" w:rsidRDefault="00327560" w:rsidP="001F4EF3">
      <w:pPr>
        <w:pStyle w:val="Text1"/>
        <w:rPr>
          <w:noProof/>
        </w:rPr>
      </w:pPr>
      <w:r w:rsidRPr="00C57330">
        <w:rPr>
          <w:noProof/>
        </w:rPr>
        <w:t>Zastosowanie wydłużonego okresu przejściowego jest ponadto uzależnione od spełnienia łącznie kilku warunków:</w:t>
      </w:r>
    </w:p>
    <w:p w14:paraId="4B12AD95" w14:textId="267A9162" w:rsidR="001F4EF3" w:rsidRPr="00C57330" w:rsidRDefault="004E7E37" w:rsidP="004E7E37">
      <w:pPr>
        <w:pStyle w:val="Point1"/>
        <w:rPr>
          <w:noProof/>
        </w:rPr>
      </w:pPr>
      <w:r w:rsidRPr="00C57330">
        <w:rPr>
          <w:noProof/>
        </w:rPr>
        <w:t>●</w:t>
      </w:r>
      <w:r w:rsidRPr="00C57330">
        <w:rPr>
          <w:noProof/>
        </w:rPr>
        <w:tab/>
        <w:t>wyroby muszą nadal spełniać wymogi odpowiednio dyrektywy 90/385/EWG lub dyrektywy 93/42/EWG. Warunek ten jest już zawarty</w:t>
      </w:r>
      <w:r w:rsidR="006C5585" w:rsidRPr="00C57330">
        <w:rPr>
          <w:noProof/>
        </w:rPr>
        <w:t xml:space="preserve"> w</w:t>
      </w:r>
      <w:r w:rsidR="006C5585">
        <w:rPr>
          <w:noProof/>
        </w:rPr>
        <w:t> </w:t>
      </w:r>
      <w:r w:rsidR="006C5585" w:rsidRPr="00C57330">
        <w:rPr>
          <w:noProof/>
        </w:rPr>
        <w:t>obo</w:t>
      </w:r>
      <w:r w:rsidRPr="00C57330">
        <w:rPr>
          <w:noProof/>
        </w:rPr>
        <w:t xml:space="preserve">wiązującym </w:t>
      </w:r>
      <w:r w:rsidRPr="006C5585">
        <w:rPr>
          <w:noProof/>
        </w:rPr>
        <w:t>art.</w:t>
      </w:r>
      <w:r w:rsidR="006C5585" w:rsidRPr="006C5585">
        <w:rPr>
          <w:noProof/>
        </w:rPr>
        <w:t> </w:t>
      </w:r>
      <w:r w:rsidRPr="006C5585">
        <w:rPr>
          <w:noProof/>
        </w:rPr>
        <w:t>1</w:t>
      </w:r>
      <w:r w:rsidRPr="00C57330">
        <w:rPr>
          <w:noProof/>
        </w:rPr>
        <w:t xml:space="preserve">20 </w:t>
      </w:r>
      <w:r w:rsidRPr="006C5585">
        <w:rPr>
          <w:noProof/>
        </w:rPr>
        <w:t>ust.</w:t>
      </w:r>
      <w:r w:rsidR="006C5585" w:rsidRPr="006C5585">
        <w:rPr>
          <w:noProof/>
        </w:rPr>
        <w:t> </w:t>
      </w:r>
      <w:r w:rsidRPr="006C5585">
        <w:rPr>
          <w:noProof/>
        </w:rPr>
        <w:t>3</w:t>
      </w:r>
      <w:r w:rsidRPr="00C57330">
        <w:rPr>
          <w:noProof/>
        </w:rPr>
        <w:t xml:space="preserve"> rozporządzenia MDR;</w:t>
      </w:r>
    </w:p>
    <w:p w14:paraId="269A0146" w14:textId="5E1AF24D" w:rsidR="004E7E37" w:rsidRPr="00C57330" w:rsidRDefault="004E7E37" w:rsidP="004E7E37">
      <w:pPr>
        <w:pStyle w:val="Point1"/>
        <w:rPr>
          <w:noProof/>
        </w:rPr>
      </w:pPr>
      <w:r w:rsidRPr="00C57330">
        <w:rPr>
          <w:noProof/>
        </w:rPr>
        <w:t>●</w:t>
      </w:r>
      <w:r w:rsidRPr="00C57330">
        <w:rPr>
          <w:noProof/>
        </w:rPr>
        <w:tab/>
        <w:t>nie zaszły żadne istotne zmiany</w:t>
      </w:r>
      <w:r w:rsidR="006C5585" w:rsidRPr="00C57330">
        <w:rPr>
          <w:noProof/>
        </w:rPr>
        <w:t xml:space="preserve"> w</w:t>
      </w:r>
      <w:r w:rsidR="006C5585">
        <w:rPr>
          <w:noProof/>
        </w:rPr>
        <w:t> </w:t>
      </w:r>
      <w:r w:rsidR="006C5585" w:rsidRPr="00C57330">
        <w:rPr>
          <w:noProof/>
        </w:rPr>
        <w:t>pro</w:t>
      </w:r>
      <w:r w:rsidRPr="00C57330">
        <w:rPr>
          <w:noProof/>
        </w:rPr>
        <w:t>jekcie</w:t>
      </w:r>
      <w:r w:rsidR="006C5585" w:rsidRPr="00C57330">
        <w:rPr>
          <w:noProof/>
        </w:rPr>
        <w:t xml:space="preserve"> i</w:t>
      </w:r>
      <w:r w:rsidR="006C5585">
        <w:rPr>
          <w:noProof/>
        </w:rPr>
        <w:t> </w:t>
      </w:r>
      <w:r w:rsidR="006C5585" w:rsidRPr="00C57330">
        <w:rPr>
          <w:noProof/>
        </w:rPr>
        <w:t>prz</w:t>
      </w:r>
      <w:r w:rsidRPr="00C57330">
        <w:rPr>
          <w:noProof/>
        </w:rPr>
        <w:t>ewidzianym zastosowaniu wyrobów. Warunek ten jest już zawarty</w:t>
      </w:r>
      <w:r w:rsidR="006C5585" w:rsidRPr="00C57330">
        <w:rPr>
          <w:noProof/>
        </w:rPr>
        <w:t xml:space="preserve"> w</w:t>
      </w:r>
      <w:r w:rsidR="006C5585">
        <w:rPr>
          <w:noProof/>
        </w:rPr>
        <w:t> </w:t>
      </w:r>
      <w:r w:rsidR="006C5585" w:rsidRPr="00C57330">
        <w:rPr>
          <w:noProof/>
        </w:rPr>
        <w:t>obo</w:t>
      </w:r>
      <w:r w:rsidRPr="00C57330">
        <w:rPr>
          <w:noProof/>
        </w:rPr>
        <w:t xml:space="preserve">wiązującym </w:t>
      </w:r>
      <w:r w:rsidRPr="006C5585">
        <w:rPr>
          <w:noProof/>
        </w:rPr>
        <w:t>art.</w:t>
      </w:r>
      <w:r w:rsidR="006C5585" w:rsidRPr="006C5585">
        <w:rPr>
          <w:noProof/>
        </w:rPr>
        <w:t> </w:t>
      </w:r>
      <w:r w:rsidRPr="006C5585">
        <w:rPr>
          <w:noProof/>
        </w:rPr>
        <w:t>1</w:t>
      </w:r>
      <w:r w:rsidRPr="00C57330">
        <w:rPr>
          <w:noProof/>
        </w:rPr>
        <w:t xml:space="preserve">20 </w:t>
      </w:r>
      <w:r w:rsidRPr="006C5585">
        <w:rPr>
          <w:noProof/>
        </w:rPr>
        <w:t>ust.</w:t>
      </w:r>
      <w:r w:rsidR="006C5585" w:rsidRPr="006C5585">
        <w:rPr>
          <w:noProof/>
        </w:rPr>
        <w:t> </w:t>
      </w:r>
      <w:r w:rsidRPr="006C5585">
        <w:rPr>
          <w:noProof/>
        </w:rPr>
        <w:t>3</w:t>
      </w:r>
      <w:r w:rsidRPr="00C57330">
        <w:rPr>
          <w:noProof/>
        </w:rPr>
        <w:t xml:space="preserve"> rozporządzenia MDR;</w:t>
      </w:r>
    </w:p>
    <w:p w14:paraId="7D2FB397" w14:textId="0E36CA41" w:rsidR="004E7E37" w:rsidRPr="00C57330" w:rsidRDefault="004E7E37" w:rsidP="004E7E37">
      <w:pPr>
        <w:pStyle w:val="Point1"/>
        <w:rPr>
          <w:noProof/>
        </w:rPr>
      </w:pPr>
      <w:r w:rsidRPr="00C57330">
        <w:rPr>
          <w:noProof/>
        </w:rPr>
        <w:t>●</w:t>
      </w:r>
      <w:r w:rsidRPr="00C57330">
        <w:rPr>
          <w:noProof/>
        </w:rPr>
        <w:tab/>
        <w:t>wyroby nie mogą stwarzać niedopuszczalnego ryzyka dla zdrowia lub bezpieczeństwa pacjentów, użytkowników lub innych osób lub dla innych kwestii związanych</w:t>
      </w:r>
      <w:r w:rsidR="006C5585" w:rsidRPr="00C57330">
        <w:rPr>
          <w:noProof/>
        </w:rPr>
        <w:t xml:space="preserve"> z</w:t>
      </w:r>
      <w:r w:rsidR="006C5585">
        <w:rPr>
          <w:noProof/>
        </w:rPr>
        <w:t> </w:t>
      </w:r>
      <w:r w:rsidR="006C5585" w:rsidRPr="00C57330">
        <w:rPr>
          <w:noProof/>
        </w:rPr>
        <w:t>och</w:t>
      </w:r>
      <w:r w:rsidRPr="00C57330">
        <w:rPr>
          <w:noProof/>
        </w:rPr>
        <w:t>roną zdrowia publicznego. Pojęcie „niedopuszczalnego ryzyka dla zdrowia</w:t>
      </w:r>
      <w:r w:rsidR="006C5585" w:rsidRPr="00C57330">
        <w:rPr>
          <w:noProof/>
        </w:rPr>
        <w:t xml:space="preserve"> i</w:t>
      </w:r>
      <w:r w:rsidR="006C5585">
        <w:rPr>
          <w:noProof/>
        </w:rPr>
        <w:t> </w:t>
      </w:r>
      <w:r w:rsidR="006C5585" w:rsidRPr="00C57330">
        <w:rPr>
          <w:noProof/>
        </w:rPr>
        <w:t>bez</w:t>
      </w:r>
      <w:r w:rsidRPr="00C57330">
        <w:rPr>
          <w:noProof/>
        </w:rPr>
        <w:t>pieczeństwa” zostało określone</w:t>
      </w:r>
      <w:r w:rsidR="006C5585" w:rsidRPr="00C57330">
        <w:rPr>
          <w:noProof/>
        </w:rPr>
        <w:t xml:space="preserve"> w</w:t>
      </w:r>
      <w:r w:rsidR="006C5585">
        <w:rPr>
          <w:noProof/>
        </w:rPr>
        <w:t> </w:t>
      </w:r>
      <w:r w:rsidR="006C5585" w:rsidRPr="006C5585">
        <w:rPr>
          <w:noProof/>
        </w:rPr>
        <w:t>art</w:t>
      </w:r>
      <w:r w:rsidRPr="006C5585">
        <w:rPr>
          <w:noProof/>
        </w:rPr>
        <w:t>.</w:t>
      </w:r>
      <w:r w:rsidR="006C5585" w:rsidRPr="006C5585">
        <w:rPr>
          <w:noProof/>
        </w:rPr>
        <w:t> </w:t>
      </w:r>
      <w:r w:rsidRPr="006C5585">
        <w:rPr>
          <w:noProof/>
        </w:rPr>
        <w:t>9</w:t>
      </w:r>
      <w:r w:rsidRPr="00C57330">
        <w:rPr>
          <w:noProof/>
        </w:rPr>
        <w:t>4</w:t>
      </w:r>
      <w:r w:rsidR="006C5585" w:rsidRPr="00C57330">
        <w:rPr>
          <w:noProof/>
        </w:rPr>
        <w:t xml:space="preserve"> i</w:t>
      </w:r>
      <w:r w:rsidR="006C5585">
        <w:rPr>
          <w:noProof/>
        </w:rPr>
        <w:t> </w:t>
      </w:r>
      <w:r w:rsidR="006C5585" w:rsidRPr="00C57330">
        <w:rPr>
          <w:noProof/>
        </w:rPr>
        <w:t>9</w:t>
      </w:r>
      <w:r w:rsidRPr="00C57330">
        <w:rPr>
          <w:noProof/>
        </w:rPr>
        <w:t>5 rozporządzenia MDR. Nie jest wymagana systematyczna kontrola bezpieczeństwa wyrobu, ponieważ wyroby objęte certyfikatem wydanym na podstawie dyrektyw będą znajdowały się pod „odpowiednim nadzorem” jednostki, która wydała certyfikat, lub jednostki notyfikowanej wyznaczonej na podstawie rozporządzenia MDR</w:t>
      </w:r>
      <w:r w:rsidR="006C5585" w:rsidRPr="00C57330">
        <w:rPr>
          <w:noProof/>
        </w:rPr>
        <w:t>. W</w:t>
      </w:r>
      <w:r w:rsidR="006C5585">
        <w:rPr>
          <w:noProof/>
        </w:rPr>
        <w:t> </w:t>
      </w:r>
      <w:r w:rsidR="006C5585" w:rsidRPr="00C57330">
        <w:rPr>
          <w:noProof/>
        </w:rPr>
        <w:t>prz</w:t>
      </w:r>
      <w:r w:rsidRPr="00C57330">
        <w:rPr>
          <w:noProof/>
        </w:rPr>
        <w:t>ypadku gdy</w:t>
      </w:r>
      <w:r w:rsidR="006C5585" w:rsidRPr="00C57330">
        <w:rPr>
          <w:noProof/>
        </w:rPr>
        <w:t xml:space="preserve"> w</w:t>
      </w:r>
      <w:r w:rsidR="006C5585">
        <w:rPr>
          <w:noProof/>
        </w:rPr>
        <w:t> </w:t>
      </w:r>
      <w:r w:rsidR="006C5585" w:rsidRPr="00C57330">
        <w:rPr>
          <w:noProof/>
        </w:rPr>
        <w:t>ram</w:t>
      </w:r>
      <w:r w:rsidRPr="00C57330">
        <w:rPr>
          <w:noProof/>
        </w:rPr>
        <w:t>ach działań związanych</w:t>
      </w:r>
      <w:r w:rsidR="006C5585" w:rsidRPr="00C57330">
        <w:rPr>
          <w:noProof/>
        </w:rPr>
        <w:t xml:space="preserve"> z</w:t>
      </w:r>
      <w:r w:rsidR="006C5585">
        <w:rPr>
          <w:noProof/>
        </w:rPr>
        <w:t> </w:t>
      </w:r>
      <w:r w:rsidR="006C5585" w:rsidRPr="00C57330">
        <w:rPr>
          <w:noProof/>
        </w:rPr>
        <w:t>nad</w:t>
      </w:r>
      <w:r w:rsidRPr="00C57330">
        <w:rPr>
          <w:noProof/>
        </w:rPr>
        <w:t>zorem rynku właściwy organ stwierdzi, że wyrób stwarza niedopuszczalne ryzyko dla zdrowia lub bezpieczeństwa pacjentów, użytkowników lub innych osób lub dla innych kwestii związanych</w:t>
      </w:r>
      <w:r w:rsidR="006C5585" w:rsidRPr="00C57330">
        <w:rPr>
          <w:noProof/>
        </w:rPr>
        <w:t xml:space="preserve"> z</w:t>
      </w:r>
      <w:r w:rsidR="006C5585">
        <w:rPr>
          <w:noProof/>
        </w:rPr>
        <w:t> </w:t>
      </w:r>
      <w:r w:rsidR="006C5585" w:rsidRPr="00C57330">
        <w:rPr>
          <w:noProof/>
        </w:rPr>
        <w:t>och</w:t>
      </w:r>
      <w:r w:rsidRPr="00C57330">
        <w:rPr>
          <w:noProof/>
        </w:rPr>
        <w:t>roną zdrowia publicznego,</w:t>
      </w:r>
      <w:r w:rsidR="006C5585" w:rsidRPr="00C57330">
        <w:rPr>
          <w:noProof/>
        </w:rPr>
        <w:t xml:space="preserve"> w</w:t>
      </w:r>
      <w:r w:rsidR="006C5585">
        <w:rPr>
          <w:noProof/>
        </w:rPr>
        <w:t> </w:t>
      </w:r>
      <w:r w:rsidR="006C5585" w:rsidRPr="00C57330">
        <w:rPr>
          <w:noProof/>
        </w:rPr>
        <w:t>odn</w:t>
      </w:r>
      <w:r w:rsidRPr="00C57330">
        <w:rPr>
          <w:noProof/>
        </w:rPr>
        <w:t>iesieniu do tego wyrobu przestaje obowiązywać okres przejściowy;</w:t>
      </w:r>
    </w:p>
    <w:p w14:paraId="2A09ADE7" w14:textId="2290DFCB" w:rsidR="004E7E37" w:rsidRPr="00C57330" w:rsidRDefault="004E7E37" w:rsidP="004E7E37">
      <w:pPr>
        <w:pStyle w:val="Point1"/>
        <w:rPr>
          <w:noProof/>
        </w:rPr>
      </w:pPr>
      <w:r w:rsidRPr="00C57330">
        <w:rPr>
          <w:noProof/>
        </w:rPr>
        <w:t>●</w:t>
      </w:r>
      <w:r w:rsidRPr="00C57330">
        <w:rPr>
          <w:noProof/>
        </w:rPr>
        <w:tab/>
        <w:t>nie później niż 26 maja 20</w:t>
      </w:r>
      <w:r w:rsidRPr="006C5585">
        <w:rPr>
          <w:noProof/>
        </w:rPr>
        <w:t>24</w:t>
      </w:r>
      <w:r w:rsidR="006C5585" w:rsidRPr="006C5585">
        <w:rPr>
          <w:noProof/>
        </w:rPr>
        <w:t> </w:t>
      </w:r>
      <w:r w:rsidRPr="006C5585">
        <w:rPr>
          <w:noProof/>
        </w:rPr>
        <w:t>r.</w:t>
      </w:r>
      <w:r w:rsidRPr="00C57330">
        <w:rPr>
          <w:noProof/>
        </w:rPr>
        <w:t xml:space="preserve"> producent wprowadził system zarządzania jakością zgodnie</w:t>
      </w:r>
      <w:r w:rsidR="006C5585" w:rsidRPr="00C57330">
        <w:rPr>
          <w:noProof/>
        </w:rPr>
        <w:t xml:space="preserve"> z</w:t>
      </w:r>
      <w:r w:rsidR="006C5585">
        <w:rPr>
          <w:noProof/>
        </w:rPr>
        <w:t> </w:t>
      </w:r>
      <w:r w:rsidR="006C5585" w:rsidRPr="006C5585">
        <w:rPr>
          <w:noProof/>
        </w:rPr>
        <w:t>art</w:t>
      </w:r>
      <w:r w:rsidRPr="006C5585">
        <w:rPr>
          <w:noProof/>
        </w:rPr>
        <w:t>.</w:t>
      </w:r>
      <w:r w:rsidR="006C5585" w:rsidRPr="006C5585">
        <w:rPr>
          <w:noProof/>
        </w:rPr>
        <w:t> </w:t>
      </w:r>
      <w:r w:rsidRPr="006C5585">
        <w:rPr>
          <w:noProof/>
        </w:rPr>
        <w:t>1</w:t>
      </w:r>
      <w:r w:rsidRPr="00C57330">
        <w:rPr>
          <w:noProof/>
        </w:rPr>
        <w:t xml:space="preserve">0 </w:t>
      </w:r>
      <w:r w:rsidRPr="006C5585">
        <w:rPr>
          <w:noProof/>
        </w:rPr>
        <w:t>ust.</w:t>
      </w:r>
      <w:r w:rsidR="006C5585" w:rsidRPr="006C5585">
        <w:rPr>
          <w:noProof/>
        </w:rPr>
        <w:t> </w:t>
      </w:r>
      <w:r w:rsidRPr="006C5585">
        <w:rPr>
          <w:noProof/>
        </w:rPr>
        <w:t>9</w:t>
      </w:r>
      <w:r w:rsidRPr="00C57330">
        <w:rPr>
          <w:noProof/>
        </w:rPr>
        <w:t xml:space="preserve"> rozporządzenia MDR. Warunek ten ma na celu zapewnienie stopniowego przechodzenia producentów do zapewnienia pełnej zgodności</w:t>
      </w:r>
      <w:r w:rsidR="006C5585" w:rsidRPr="00C57330">
        <w:rPr>
          <w:noProof/>
        </w:rPr>
        <w:t xml:space="preserve"> z</w:t>
      </w:r>
      <w:r w:rsidR="006C5585">
        <w:rPr>
          <w:noProof/>
        </w:rPr>
        <w:t> </w:t>
      </w:r>
      <w:r w:rsidR="006C5585" w:rsidRPr="00C57330">
        <w:rPr>
          <w:noProof/>
        </w:rPr>
        <w:t>wym</w:t>
      </w:r>
      <w:r w:rsidRPr="00C57330">
        <w:rPr>
          <w:noProof/>
        </w:rPr>
        <w:t>ogami rozporządzenia MDR. Na tym etapie nie jest wymagane żadne szczególne poświadczenie, tj. deklaracja własna ani weryfikacja adekwatności systemu zarządzania jakością przez jednostkę notyfikowaną. Przedstawienie jednostce notyfikowanej wniosku</w:t>
      </w:r>
      <w:r w:rsidR="006C5585" w:rsidRPr="00C57330">
        <w:rPr>
          <w:noProof/>
        </w:rPr>
        <w:t xml:space="preserve"> o</w:t>
      </w:r>
      <w:r w:rsidR="006C5585">
        <w:rPr>
          <w:noProof/>
        </w:rPr>
        <w:t> </w:t>
      </w:r>
      <w:r w:rsidR="006C5585" w:rsidRPr="00C57330">
        <w:rPr>
          <w:noProof/>
        </w:rPr>
        <w:t>oce</w:t>
      </w:r>
      <w:r w:rsidRPr="00C57330">
        <w:rPr>
          <w:noProof/>
        </w:rPr>
        <w:t>nę zgodności (zob. następny warunek) stanowi jednak dorozumiane potwierdzenie przez producenta, że jego system zarządzania jakością jest zgodny</w:t>
      </w:r>
      <w:r w:rsidR="006C5585" w:rsidRPr="00C57330">
        <w:rPr>
          <w:noProof/>
        </w:rPr>
        <w:t xml:space="preserve"> z</w:t>
      </w:r>
      <w:r w:rsidR="006C5585">
        <w:rPr>
          <w:noProof/>
        </w:rPr>
        <w:t> </w:t>
      </w:r>
      <w:r w:rsidR="006C5585" w:rsidRPr="00C57330">
        <w:rPr>
          <w:noProof/>
        </w:rPr>
        <w:t>wym</w:t>
      </w:r>
      <w:r w:rsidRPr="00C57330">
        <w:rPr>
          <w:noProof/>
        </w:rPr>
        <w:t>ogami rozporządzenia MDR;</w:t>
      </w:r>
    </w:p>
    <w:p w14:paraId="50614F1C" w14:textId="76050519" w:rsidR="004E7E37" w:rsidRPr="00C57330" w:rsidRDefault="004E7E37" w:rsidP="004E7E37">
      <w:pPr>
        <w:pStyle w:val="Point1"/>
        <w:rPr>
          <w:noProof/>
        </w:rPr>
      </w:pPr>
      <w:r w:rsidRPr="00C57330">
        <w:rPr>
          <w:noProof/>
        </w:rPr>
        <w:t>●</w:t>
      </w:r>
      <w:r w:rsidRPr="00C57330">
        <w:rPr>
          <w:noProof/>
        </w:rPr>
        <w:tab/>
        <w:t xml:space="preserve">nie później niż </w:t>
      </w:r>
      <w:r w:rsidRPr="006C5585">
        <w:rPr>
          <w:noProof/>
        </w:rPr>
        <w:t>do</w:t>
      </w:r>
      <w:r w:rsidR="006C5585" w:rsidRPr="006C5585">
        <w:rPr>
          <w:noProof/>
        </w:rPr>
        <w:t> </w:t>
      </w:r>
      <w:r w:rsidRPr="006C5585">
        <w:rPr>
          <w:noProof/>
        </w:rPr>
        <w:t>2</w:t>
      </w:r>
      <w:r w:rsidRPr="00C57330">
        <w:rPr>
          <w:noProof/>
        </w:rPr>
        <w:t>6 maja 20</w:t>
      </w:r>
      <w:r w:rsidRPr="006C5585">
        <w:rPr>
          <w:noProof/>
        </w:rPr>
        <w:t>24</w:t>
      </w:r>
      <w:r w:rsidR="006C5585" w:rsidRPr="006C5585">
        <w:rPr>
          <w:noProof/>
        </w:rPr>
        <w:t> </w:t>
      </w:r>
      <w:r w:rsidRPr="006C5585">
        <w:rPr>
          <w:noProof/>
        </w:rPr>
        <w:t>r.</w:t>
      </w:r>
      <w:r w:rsidRPr="00C57330">
        <w:rPr>
          <w:noProof/>
        </w:rPr>
        <w:t xml:space="preserve"> producent lub jego upoważniony przedstawiciel złożył formalny wniosek zgodnie</w:t>
      </w:r>
      <w:r w:rsidR="006C5585" w:rsidRPr="00C57330">
        <w:rPr>
          <w:noProof/>
        </w:rPr>
        <w:t xml:space="preserve"> z</w:t>
      </w:r>
      <w:r w:rsidR="006C5585">
        <w:rPr>
          <w:noProof/>
        </w:rPr>
        <w:t> </w:t>
      </w:r>
      <w:r w:rsidR="006C5585" w:rsidRPr="00C57330">
        <w:rPr>
          <w:noProof/>
        </w:rPr>
        <w:t>sek</w:t>
      </w:r>
      <w:r w:rsidRPr="00C57330">
        <w:rPr>
          <w:noProof/>
        </w:rPr>
        <w:t>cją 4.3 załącznika VII do rozporządzenia MDR</w:t>
      </w:r>
      <w:r w:rsidR="006C5585" w:rsidRPr="00C57330">
        <w:rPr>
          <w:noProof/>
        </w:rPr>
        <w:t xml:space="preserve"> o</w:t>
      </w:r>
      <w:r w:rsidR="006C5585">
        <w:rPr>
          <w:noProof/>
        </w:rPr>
        <w:t> </w:t>
      </w:r>
      <w:r w:rsidR="006C5585" w:rsidRPr="00C57330">
        <w:rPr>
          <w:noProof/>
        </w:rPr>
        <w:t>prz</w:t>
      </w:r>
      <w:r w:rsidRPr="00C57330">
        <w:rPr>
          <w:noProof/>
        </w:rPr>
        <w:t>eprowadzenie oceny zgodności</w:t>
      </w:r>
      <w:r w:rsidR="006C5585" w:rsidRPr="00C57330">
        <w:rPr>
          <w:noProof/>
        </w:rPr>
        <w:t xml:space="preserve"> w</w:t>
      </w:r>
      <w:r w:rsidR="006C5585">
        <w:rPr>
          <w:noProof/>
        </w:rPr>
        <w:t> </w:t>
      </w:r>
      <w:r w:rsidR="006C5585" w:rsidRPr="00C57330">
        <w:rPr>
          <w:noProof/>
        </w:rPr>
        <w:t>odn</w:t>
      </w:r>
      <w:r w:rsidRPr="00C57330">
        <w:rPr>
          <w:noProof/>
        </w:rPr>
        <w:t>iesieniu do „starszego wyrobu” objętego certyfikatem lub deklaracją zgodności na podstawie dyrektywy lub</w:t>
      </w:r>
      <w:r w:rsidR="006C5585" w:rsidRPr="00C57330">
        <w:rPr>
          <w:noProof/>
        </w:rPr>
        <w:t xml:space="preserve"> w</w:t>
      </w:r>
      <w:r w:rsidR="006C5585">
        <w:rPr>
          <w:noProof/>
        </w:rPr>
        <w:t> </w:t>
      </w:r>
      <w:r w:rsidR="006C5585" w:rsidRPr="00C57330">
        <w:rPr>
          <w:noProof/>
        </w:rPr>
        <w:t>odn</w:t>
      </w:r>
      <w:r w:rsidRPr="00C57330">
        <w:rPr>
          <w:noProof/>
        </w:rPr>
        <w:t xml:space="preserve">iesieniu do wyrobu mającego zastąpić ten wyrób na podstawie rozporządzenia MDR, oraz nie później niż </w:t>
      </w:r>
      <w:r w:rsidRPr="006C5585">
        <w:rPr>
          <w:noProof/>
        </w:rPr>
        <w:t>do</w:t>
      </w:r>
      <w:r w:rsidR="006C5585" w:rsidRPr="006C5585">
        <w:rPr>
          <w:noProof/>
        </w:rPr>
        <w:t> </w:t>
      </w:r>
      <w:r w:rsidRPr="006C5585">
        <w:rPr>
          <w:noProof/>
        </w:rPr>
        <w:t>2</w:t>
      </w:r>
      <w:r w:rsidRPr="00C57330">
        <w:rPr>
          <w:noProof/>
        </w:rPr>
        <w:t>6 września 20</w:t>
      </w:r>
      <w:r w:rsidRPr="006C5585">
        <w:rPr>
          <w:noProof/>
        </w:rPr>
        <w:t>24</w:t>
      </w:r>
      <w:r w:rsidR="006C5585" w:rsidRPr="006C5585">
        <w:rPr>
          <w:noProof/>
        </w:rPr>
        <w:t> </w:t>
      </w:r>
      <w:r w:rsidRPr="006C5585">
        <w:rPr>
          <w:noProof/>
        </w:rPr>
        <w:t>r.</w:t>
      </w:r>
      <w:r w:rsidRPr="00C57330">
        <w:rPr>
          <w:noProof/>
        </w:rPr>
        <w:t xml:space="preserve"> jednostka notyfikowana</w:t>
      </w:r>
      <w:r w:rsidR="006C5585" w:rsidRPr="00C57330">
        <w:rPr>
          <w:noProof/>
        </w:rPr>
        <w:t xml:space="preserve"> i</w:t>
      </w:r>
      <w:r w:rsidR="006C5585">
        <w:rPr>
          <w:noProof/>
        </w:rPr>
        <w:t> </w:t>
      </w:r>
      <w:r w:rsidR="006C5585" w:rsidRPr="00C57330">
        <w:rPr>
          <w:noProof/>
        </w:rPr>
        <w:t>pro</w:t>
      </w:r>
      <w:r w:rsidRPr="00C57330">
        <w:rPr>
          <w:noProof/>
        </w:rPr>
        <w:t>ducent podpisali pisemną umowę zgodnie</w:t>
      </w:r>
      <w:r w:rsidR="006C5585" w:rsidRPr="00C57330">
        <w:rPr>
          <w:noProof/>
        </w:rPr>
        <w:t xml:space="preserve"> z</w:t>
      </w:r>
      <w:r w:rsidR="006C5585">
        <w:rPr>
          <w:noProof/>
        </w:rPr>
        <w:t> </w:t>
      </w:r>
      <w:r w:rsidR="006C5585" w:rsidRPr="00C57330">
        <w:rPr>
          <w:noProof/>
        </w:rPr>
        <w:t>sek</w:t>
      </w:r>
      <w:r w:rsidRPr="00C57330">
        <w:rPr>
          <w:noProof/>
        </w:rPr>
        <w:t>cją 4.3 załącznika VII do rozporządzenia MDR. Warunek ten ma na celu zapewnienie, aby przedłużonym okresem przejściowym objęte były tylko te wyroby,</w:t>
      </w:r>
      <w:r w:rsidR="006C5585" w:rsidRPr="00C57330">
        <w:rPr>
          <w:noProof/>
        </w:rPr>
        <w:t xml:space="preserve"> w</w:t>
      </w:r>
      <w:r w:rsidR="006C5585">
        <w:rPr>
          <w:noProof/>
        </w:rPr>
        <w:t> </w:t>
      </w:r>
      <w:r w:rsidR="006C5585" w:rsidRPr="00C57330">
        <w:rPr>
          <w:noProof/>
        </w:rPr>
        <w:t>prz</w:t>
      </w:r>
      <w:r w:rsidRPr="00C57330">
        <w:rPr>
          <w:noProof/>
        </w:rPr>
        <w:t>ypadku których producent zamierza przejść na stosowanie rozporządzenia MDR. Przedłużenie powinno jednak dotyczyć również „starszych wyrobów”, które producent zamierza zastąpić „nowym” wyrobem będącym przedmiotem jego wniosku</w:t>
      </w:r>
      <w:r w:rsidR="006C5585" w:rsidRPr="00C57330">
        <w:rPr>
          <w:noProof/>
        </w:rPr>
        <w:t xml:space="preserve"> o</w:t>
      </w:r>
      <w:r w:rsidR="006C5585">
        <w:rPr>
          <w:noProof/>
        </w:rPr>
        <w:t> </w:t>
      </w:r>
      <w:r w:rsidR="006C5585" w:rsidRPr="00C57330">
        <w:rPr>
          <w:noProof/>
        </w:rPr>
        <w:t>oce</w:t>
      </w:r>
      <w:r w:rsidRPr="00C57330">
        <w:rPr>
          <w:noProof/>
        </w:rPr>
        <w:t>nę zgodności złożonego przed 26 maja 20</w:t>
      </w:r>
      <w:r w:rsidRPr="006C5585">
        <w:rPr>
          <w:noProof/>
        </w:rPr>
        <w:t>24</w:t>
      </w:r>
      <w:r w:rsidR="006C5585" w:rsidRPr="006C5585">
        <w:rPr>
          <w:noProof/>
        </w:rPr>
        <w:t> </w:t>
      </w:r>
      <w:r w:rsidRPr="006C5585">
        <w:rPr>
          <w:noProof/>
        </w:rPr>
        <w:t>r.</w:t>
      </w:r>
      <w:r w:rsidRPr="00C57330">
        <w:rPr>
          <w:noProof/>
        </w:rPr>
        <w:t xml:space="preserve"> Pozwoli to uniknąć niepotrzebnych wniosków</w:t>
      </w:r>
      <w:r w:rsidR="006C5585" w:rsidRPr="00C57330">
        <w:rPr>
          <w:noProof/>
        </w:rPr>
        <w:t xml:space="preserve"> o</w:t>
      </w:r>
      <w:r w:rsidR="006C5585">
        <w:rPr>
          <w:noProof/>
        </w:rPr>
        <w:t> </w:t>
      </w:r>
      <w:r w:rsidR="006C5585" w:rsidRPr="00C57330">
        <w:rPr>
          <w:noProof/>
        </w:rPr>
        <w:t>cer</w:t>
      </w:r>
      <w:r w:rsidRPr="00C57330">
        <w:rPr>
          <w:noProof/>
        </w:rPr>
        <w:t>tyfikację wyrobów, które</w:t>
      </w:r>
      <w:r w:rsidR="006C5585" w:rsidRPr="00C57330">
        <w:rPr>
          <w:noProof/>
        </w:rPr>
        <w:t xml:space="preserve"> i</w:t>
      </w:r>
      <w:r w:rsidR="006C5585">
        <w:rPr>
          <w:noProof/>
        </w:rPr>
        <w:t> </w:t>
      </w:r>
      <w:r w:rsidR="006C5585" w:rsidRPr="00C57330">
        <w:rPr>
          <w:noProof/>
        </w:rPr>
        <w:t>tak</w:t>
      </w:r>
      <w:r w:rsidRPr="00C57330">
        <w:rPr>
          <w:noProof/>
        </w:rPr>
        <w:t xml:space="preserve"> będą stopniowo wycofywane</w:t>
      </w:r>
      <w:r w:rsidR="006C5585" w:rsidRPr="00C57330">
        <w:rPr>
          <w:noProof/>
        </w:rPr>
        <w:t xml:space="preserve"> i</w:t>
      </w:r>
      <w:r w:rsidR="006C5585">
        <w:rPr>
          <w:noProof/>
        </w:rPr>
        <w:t> </w:t>
      </w:r>
      <w:r w:rsidR="006C5585" w:rsidRPr="00C57330">
        <w:rPr>
          <w:noProof/>
        </w:rPr>
        <w:t>zos</w:t>
      </w:r>
      <w:r w:rsidRPr="00C57330">
        <w:rPr>
          <w:noProof/>
        </w:rPr>
        <w:t>taną zastąpione wyrobami nowej generacji, przy czym istniejące modele będą dostępne do końca okresu przejściowego.</w:t>
      </w:r>
    </w:p>
    <w:p w14:paraId="4024B6FE" w14:textId="06287710" w:rsidR="00FF60A9" w:rsidRPr="00C57330" w:rsidRDefault="00FF60A9" w:rsidP="001F4EF3">
      <w:pPr>
        <w:pStyle w:val="Text1"/>
        <w:rPr>
          <w:noProof/>
        </w:rPr>
      </w:pPr>
      <w:r w:rsidRPr="00C57330">
        <w:rPr>
          <w:noProof/>
        </w:rPr>
        <w:t>Wyroby objęte certyfikatem wydanym na podstawie dyrektywy AIMDD lub dyrektywy MDD nadal są objęte „odpowiednim nadzorem” przez jednostkę notyfikowaną, która wydała certyfikat. Alternatywnie producent może uzgodnić</w:t>
      </w:r>
      <w:r w:rsidR="006C5585" w:rsidRPr="00C57330">
        <w:rPr>
          <w:noProof/>
        </w:rPr>
        <w:t xml:space="preserve"> z</w:t>
      </w:r>
      <w:r w:rsidR="006C5585">
        <w:rPr>
          <w:noProof/>
        </w:rPr>
        <w:t> </w:t>
      </w:r>
      <w:r w:rsidR="006C5585" w:rsidRPr="00C57330">
        <w:rPr>
          <w:noProof/>
        </w:rPr>
        <w:t>jed</w:t>
      </w:r>
      <w:r w:rsidRPr="00C57330">
        <w:rPr>
          <w:noProof/>
        </w:rPr>
        <w:t>nostką notyfikowaną wyznaczoną na podstawie rozporządzenia MDR, że to ona będzie właściwa do sprawowania nadzoru. Najpóźniej</w:t>
      </w:r>
      <w:r w:rsidR="006C5585" w:rsidRPr="00C57330">
        <w:rPr>
          <w:noProof/>
        </w:rPr>
        <w:t xml:space="preserve"> w</w:t>
      </w:r>
      <w:r w:rsidR="006C5585">
        <w:rPr>
          <w:noProof/>
        </w:rPr>
        <w:t> </w:t>
      </w:r>
      <w:r w:rsidR="006C5585" w:rsidRPr="00C57330">
        <w:rPr>
          <w:noProof/>
        </w:rPr>
        <w:t>dni</w:t>
      </w:r>
      <w:r w:rsidRPr="00C57330">
        <w:rPr>
          <w:noProof/>
        </w:rPr>
        <w:t>u,</w:t>
      </w:r>
      <w:r w:rsidR="006C5585" w:rsidRPr="00C57330">
        <w:rPr>
          <w:noProof/>
        </w:rPr>
        <w:t xml:space="preserve"> w</w:t>
      </w:r>
      <w:r w:rsidR="006C5585">
        <w:rPr>
          <w:noProof/>
        </w:rPr>
        <w:t> </w:t>
      </w:r>
      <w:r w:rsidR="006C5585" w:rsidRPr="00C57330">
        <w:rPr>
          <w:noProof/>
        </w:rPr>
        <w:t>któ</w:t>
      </w:r>
      <w:r w:rsidRPr="00C57330">
        <w:rPr>
          <w:noProof/>
        </w:rPr>
        <w:t>rym należy podpisać pisemną umowę między producentem</w:t>
      </w:r>
      <w:r w:rsidR="006C5585" w:rsidRPr="00C57330">
        <w:rPr>
          <w:noProof/>
        </w:rPr>
        <w:t xml:space="preserve"> a</w:t>
      </w:r>
      <w:r w:rsidR="006C5585">
        <w:rPr>
          <w:noProof/>
        </w:rPr>
        <w:t> </w:t>
      </w:r>
      <w:r w:rsidR="006C5585" w:rsidRPr="00C57330">
        <w:rPr>
          <w:noProof/>
        </w:rPr>
        <w:t>jed</w:t>
      </w:r>
      <w:r w:rsidRPr="00C57330">
        <w:rPr>
          <w:noProof/>
        </w:rPr>
        <w:t xml:space="preserve">nostką notyfikowaną dotyczącą oceny zgodności na podstawie rozporządzenia MDR, ta jednostka notyfikowana stałaby się domyślnie właściwa do sprawowania odpowiedniego nadzoru. </w:t>
      </w:r>
    </w:p>
    <w:p w14:paraId="5B8D1599" w14:textId="3DE03F1A" w:rsidR="00C52194" w:rsidRPr="00C57330" w:rsidRDefault="00A63AA5" w:rsidP="001F4EF3">
      <w:pPr>
        <w:pStyle w:val="Text1"/>
        <w:rPr>
          <w:noProof/>
        </w:rPr>
      </w:pPr>
      <w:r w:rsidRPr="00C57330">
        <w:rPr>
          <w:noProof/>
        </w:rPr>
        <w:t xml:space="preserve">W ramach tej zmiany wprowadza się okres przejściowy </w:t>
      </w:r>
      <w:r w:rsidRPr="006C5585">
        <w:rPr>
          <w:noProof/>
        </w:rPr>
        <w:t>do</w:t>
      </w:r>
      <w:r w:rsidR="006C5585" w:rsidRPr="006C5585">
        <w:rPr>
          <w:noProof/>
        </w:rPr>
        <w:t> </w:t>
      </w:r>
      <w:r w:rsidRPr="006C5585">
        <w:rPr>
          <w:noProof/>
        </w:rPr>
        <w:t>2</w:t>
      </w:r>
      <w:r w:rsidRPr="00C57330">
        <w:rPr>
          <w:noProof/>
        </w:rPr>
        <w:t>6 maja 20</w:t>
      </w:r>
      <w:r w:rsidRPr="006C5585">
        <w:rPr>
          <w:noProof/>
        </w:rPr>
        <w:t>26</w:t>
      </w:r>
      <w:r w:rsidR="006C5585" w:rsidRPr="006C5585">
        <w:rPr>
          <w:noProof/>
        </w:rPr>
        <w:t> </w:t>
      </w:r>
      <w:r w:rsidRPr="006C5585">
        <w:rPr>
          <w:noProof/>
        </w:rPr>
        <w:t>r.</w:t>
      </w:r>
      <w:r w:rsidRPr="00C57330">
        <w:rPr>
          <w:noProof/>
        </w:rPr>
        <w:t xml:space="preserve"> również</w:t>
      </w:r>
      <w:r w:rsidR="006C5585" w:rsidRPr="00C57330">
        <w:rPr>
          <w:noProof/>
        </w:rPr>
        <w:t xml:space="preserve"> w</w:t>
      </w:r>
      <w:r w:rsidR="006C5585">
        <w:rPr>
          <w:noProof/>
        </w:rPr>
        <w:t> </w:t>
      </w:r>
      <w:r w:rsidR="006C5585" w:rsidRPr="00C57330">
        <w:rPr>
          <w:noProof/>
        </w:rPr>
        <w:t>odn</w:t>
      </w:r>
      <w:r w:rsidRPr="00C57330">
        <w:rPr>
          <w:noProof/>
        </w:rPr>
        <w:t xml:space="preserve">iesieniu do wykonanych na zamówienie wyrobów do implantacji klasy III, które obecnie nie są objęte </w:t>
      </w:r>
      <w:r w:rsidRPr="006C5585">
        <w:rPr>
          <w:noProof/>
        </w:rPr>
        <w:t>art.</w:t>
      </w:r>
      <w:r w:rsidR="006C5585" w:rsidRPr="006C5585">
        <w:rPr>
          <w:noProof/>
        </w:rPr>
        <w:t> </w:t>
      </w:r>
      <w:r w:rsidRPr="006C5585">
        <w:rPr>
          <w:noProof/>
        </w:rPr>
        <w:t>1</w:t>
      </w:r>
      <w:r w:rsidRPr="00C57330">
        <w:rPr>
          <w:noProof/>
        </w:rPr>
        <w:t xml:space="preserve">20 </w:t>
      </w:r>
      <w:r w:rsidRPr="006C5585">
        <w:rPr>
          <w:noProof/>
        </w:rPr>
        <w:t>ust.</w:t>
      </w:r>
      <w:r w:rsidR="006C5585" w:rsidRPr="006C5585">
        <w:rPr>
          <w:noProof/>
        </w:rPr>
        <w:t> </w:t>
      </w:r>
      <w:r w:rsidRPr="006C5585">
        <w:rPr>
          <w:noProof/>
        </w:rPr>
        <w:t>3</w:t>
      </w:r>
      <w:r w:rsidRPr="00C57330">
        <w:rPr>
          <w:noProof/>
        </w:rPr>
        <w:t xml:space="preserve"> rozporządzenia MDR. Chociaż producenci wykonanych na zamówienie wyrobów do implantacji klasy III są zobowiązani do przestrzegania wszystkich obowiązujących wymogów rozporządzenia MDR </w:t>
      </w:r>
      <w:r w:rsidRPr="006C5585">
        <w:rPr>
          <w:noProof/>
        </w:rPr>
        <w:t>od</w:t>
      </w:r>
      <w:r w:rsidR="006C5585" w:rsidRPr="006C5585">
        <w:rPr>
          <w:noProof/>
        </w:rPr>
        <w:t> </w:t>
      </w:r>
      <w:r w:rsidRPr="006C5585">
        <w:rPr>
          <w:noProof/>
        </w:rPr>
        <w:t>2</w:t>
      </w:r>
      <w:r w:rsidRPr="00C57330">
        <w:rPr>
          <w:noProof/>
        </w:rPr>
        <w:t>6 maja 20</w:t>
      </w:r>
      <w:r w:rsidRPr="006C5585">
        <w:rPr>
          <w:noProof/>
        </w:rPr>
        <w:t>21</w:t>
      </w:r>
      <w:r w:rsidR="006C5585" w:rsidRPr="006C5585">
        <w:rPr>
          <w:noProof/>
        </w:rPr>
        <w:t> </w:t>
      </w:r>
      <w:r w:rsidRPr="006C5585">
        <w:rPr>
          <w:noProof/>
        </w:rPr>
        <w:t>r.</w:t>
      </w:r>
      <w:r w:rsidRPr="00C57330">
        <w:rPr>
          <w:noProof/>
        </w:rPr>
        <w:t>, otrzymają teraz więcej czasu na uzyskanie certyfikacji ich systemów zarządzania jakością od jednostki notyfikowanej. Również</w:t>
      </w:r>
      <w:r w:rsidR="006C5585" w:rsidRPr="00C57330">
        <w:rPr>
          <w:noProof/>
        </w:rPr>
        <w:t xml:space="preserve"> w</w:t>
      </w:r>
      <w:r w:rsidR="006C5585">
        <w:rPr>
          <w:noProof/>
        </w:rPr>
        <w:t> </w:t>
      </w:r>
      <w:r w:rsidR="006C5585" w:rsidRPr="00C57330">
        <w:rPr>
          <w:noProof/>
        </w:rPr>
        <w:t>tym</w:t>
      </w:r>
      <w:r w:rsidRPr="00C57330">
        <w:rPr>
          <w:noProof/>
        </w:rPr>
        <w:t xml:space="preserve"> przypadku okres przejściowy ma zastosowanie tylko wtedy, gdy producent złożył wniosek przed 26 maja 20</w:t>
      </w:r>
      <w:r w:rsidRPr="006C5585">
        <w:rPr>
          <w:noProof/>
        </w:rPr>
        <w:t>24</w:t>
      </w:r>
      <w:r w:rsidR="006C5585" w:rsidRPr="006C5585">
        <w:rPr>
          <w:noProof/>
        </w:rPr>
        <w:t> </w:t>
      </w:r>
      <w:r w:rsidRPr="006C5585">
        <w:rPr>
          <w:noProof/>
        </w:rPr>
        <w:t>r.</w:t>
      </w:r>
      <w:r w:rsidRPr="00C57330">
        <w:rPr>
          <w:noProof/>
        </w:rPr>
        <w:t>, co skutkowało podpisaniem umowy</w:t>
      </w:r>
      <w:r w:rsidR="006C5585" w:rsidRPr="00C57330">
        <w:rPr>
          <w:noProof/>
        </w:rPr>
        <w:t xml:space="preserve"> z</w:t>
      </w:r>
      <w:r w:rsidR="006C5585">
        <w:rPr>
          <w:noProof/>
        </w:rPr>
        <w:t> </w:t>
      </w:r>
      <w:r w:rsidR="006C5585" w:rsidRPr="00C57330">
        <w:rPr>
          <w:noProof/>
        </w:rPr>
        <w:t>jed</w:t>
      </w:r>
      <w:r w:rsidRPr="00C57330">
        <w:rPr>
          <w:noProof/>
        </w:rPr>
        <w:t>nostką notyfikowaną przed 26 września 20</w:t>
      </w:r>
      <w:r w:rsidRPr="006C5585">
        <w:rPr>
          <w:noProof/>
        </w:rPr>
        <w:t>24</w:t>
      </w:r>
      <w:r w:rsidR="006C5585" w:rsidRPr="006C5585">
        <w:rPr>
          <w:noProof/>
        </w:rPr>
        <w:t> </w:t>
      </w:r>
      <w:r w:rsidRPr="006C5585">
        <w:rPr>
          <w:noProof/>
        </w:rPr>
        <w:t>r.</w:t>
      </w:r>
    </w:p>
    <w:p w14:paraId="4E827AEE" w14:textId="72FCC3A8" w:rsidR="00C52194" w:rsidRPr="00C57330" w:rsidRDefault="001F4EF3" w:rsidP="001F4EF3">
      <w:pPr>
        <w:pStyle w:val="ManualHeading2"/>
        <w:rPr>
          <w:b w:val="0"/>
          <w:noProof/>
        </w:rPr>
      </w:pPr>
      <w:r w:rsidRPr="00C57330">
        <w:rPr>
          <w:noProof/>
          <w:u w:color="000000"/>
          <w:bdr w:val="nil"/>
        </w:rPr>
        <w:t>•</w:t>
      </w:r>
      <w:r w:rsidRPr="00C57330">
        <w:rPr>
          <w:noProof/>
        </w:rPr>
        <w:tab/>
        <w:t xml:space="preserve">Art. 1 </w:t>
      </w:r>
      <w:r w:rsidRPr="006C5585">
        <w:rPr>
          <w:noProof/>
        </w:rPr>
        <w:t>pkt</w:t>
      </w:r>
      <w:r w:rsidR="006C5585" w:rsidRPr="006C5585">
        <w:rPr>
          <w:noProof/>
        </w:rPr>
        <w:t> </w:t>
      </w:r>
      <w:r w:rsidRPr="006C5585">
        <w:rPr>
          <w:noProof/>
        </w:rPr>
        <w:t>1</w:t>
      </w:r>
      <w:r w:rsidRPr="00C57330">
        <w:rPr>
          <w:noProof/>
        </w:rPr>
        <w:t xml:space="preserve"> </w:t>
      </w:r>
      <w:r w:rsidRPr="006C5585">
        <w:rPr>
          <w:noProof/>
        </w:rPr>
        <w:t>lit.</w:t>
      </w:r>
      <w:r w:rsidR="006C5585" w:rsidRPr="006C5585">
        <w:rPr>
          <w:noProof/>
        </w:rPr>
        <w:t> </w:t>
      </w:r>
      <w:r w:rsidRPr="006C5585">
        <w:rPr>
          <w:noProof/>
        </w:rPr>
        <w:t>c)</w:t>
      </w:r>
      <w:r w:rsidRPr="00C57330">
        <w:rPr>
          <w:noProof/>
        </w:rPr>
        <w:t xml:space="preserve"> wniosku – usunięcie terminu „wysprzedawania”</w:t>
      </w:r>
      <w:r w:rsidR="006C5585" w:rsidRPr="00C57330">
        <w:rPr>
          <w:noProof/>
        </w:rPr>
        <w:t xml:space="preserve"> w</w:t>
      </w:r>
      <w:r w:rsidR="006C5585">
        <w:rPr>
          <w:noProof/>
        </w:rPr>
        <w:t> </w:t>
      </w:r>
      <w:r w:rsidR="006C5585" w:rsidRPr="00C57330">
        <w:rPr>
          <w:noProof/>
        </w:rPr>
        <w:t>roz</w:t>
      </w:r>
      <w:r w:rsidRPr="00C57330">
        <w:rPr>
          <w:noProof/>
        </w:rPr>
        <w:t>porządzeniu MDR</w:t>
      </w:r>
    </w:p>
    <w:p w14:paraId="7EB2C8F6" w14:textId="0A2F8A97" w:rsidR="005E1E5E" w:rsidRPr="00C57330" w:rsidRDefault="00FF27B2" w:rsidP="001F4EF3">
      <w:pPr>
        <w:pStyle w:val="Text1"/>
        <w:rPr>
          <w:noProof/>
        </w:rPr>
      </w:pPr>
      <w:r w:rsidRPr="00C57330">
        <w:rPr>
          <w:noProof/>
        </w:rPr>
        <w:t>W przepisie tym usuwa się obecnie obowiązującą datę „wysprzedawania” (27 maja 20</w:t>
      </w:r>
      <w:r w:rsidRPr="006C5585">
        <w:rPr>
          <w:noProof/>
        </w:rPr>
        <w:t>25</w:t>
      </w:r>
      <w:r w:rsidR="006C5585" w:rsidRPr="006C5585">
        <w:rPr>
          <w:noProof/>
        </w:rPr>
        <w:t> </w:t>
      </w:r>
      <w:r w:rsidRPr="006C5585">
        <w:rPr>
          <w:noProof/>
        </w:rPr>
        <w:t>r.</w:t>
      </w:r>
      <w:r w:rsidRPr="00C57330">
        <w:rPr>
          <w:noProof/>
        </w:rPr>
        <w:t>)</w:t>
      </w:r>
      <w:r w:rsidR="006C5585" w:rsidRPr="00C57330">
        <w:rPr>
          <w:noProof/>
        </w:rPr>
        <w:t xml:space="preserve"> w</w:t>
      </w:r>
      <w:r w:rsidR="006C5585">
        <w:rPr>
          <w:noProof/>
        </w:rPr>
        <w:t> </w:t>
      </w:r>
      <w:r w:rsidR="006C5585" w:rsidRPr="006C5585">
        <w:rPr>
          <w:noProof/>
        </w:rPr>
        <w:t>art</w:t>
      </w:r>
      <w:r w:rsidRPr="006C5585">
        <w:rPr>
          <w:noProof/>
        </w:rPr>
        <w:t>.</w:t>
      </w:r>
      <w:r w:rsidR="006C5585" w:rsidRPr="006C5585">
        <w:rPr>
          <w:noProof/>
        </w:rPr>
        <w:t> </w:t>
      </w:r>
      <w:r w:rsidRPr="006C5585">
        <w:rPr>
          <w:noProof/>
        </w:rPr>
        <w:t>1</w:t>
      </w:r>
      <w:r w:rsidRPr="00C57330">
        <w:rPr>
          <w:noProof/>
        </w:rPr>
        <w:t xml:space="preserve">20 </w:t>
      </w:r>
      <w:r w:rsidRPr="006C5585">
        <w:rPr>
          <w:noProof/>
        </w:rPr>
        <w:t>ust.</w:t>
      </w:r>
      <w:r w:rsidR="006C5585" w:rsidRPr="006C5585">
        <w:rPr>
          <w:noProof/>
        </w:rPr>
        <w:t> </w:t>
      </w:r>
      <w:r w:rsidRPr="006C5585">
        <w:rPr>
          <w:noProof/>
        </w:rPr>
        <w:t>4</w:t>
      </w:r>
      <w:r w:rsidRPr="00C57330">
        <w:rPr>
          <w:noProof/>
        </w:rPr>
        <w:t xml:space="preserve"> rozporządzenia MDR</w:t>
      </w:r>
      <w:r w:rsidR="006C5585" w:rsidRPr="00C57330">
        <w:rPr>
          <w:noProof/>
        </w:rPr>
        <w:t>. W</w:t>
      </w:r>
      <w:r w:rsidR="006C5585">
        <w:rPr>
          <w:noProof/>
        </w:rPr>
        <w:t> </w:t>
      </w:r>
      <w:r w:rsidR="006C5585" w:rsidRPr="00C57330">
        <w:rPr>
          <w:noProof/>
        </w:rPr>
        <w:t>rez</w:t>
      </w:r>
      <w:r w:rsidRPr="00C57330">
        <w:rPr>
          <w:noProof/>
        </w:rPr>
        <w:t>ultacie wyroby wprowadzone do obrotu przed zakończeniem okresu przejściowego mogą być dalej udostępniane na rynku bez prawnego ograniczenia czasowego.</w:t>
      </w:r>
    </w:p>
    <w:p w14:paraId="2BD470AB" w14:textId="3C528E61" w:rsidR="00FF27B2" w:rsidRPr="00C57330" w:rsidRDefault="001F4EF3" w:rsidP="001F4EF3">
      <w:pPr>
        <w:pStyle w:val="ManualHeading2"/>
        <w:rPr>
          <w:b w:val="0"/>
          <w:noProof/>
        </w:rPr>
      </w:pPr>
      <w:r w:rsidRPr="00C57330">
        <w:rPr>
          <w:noProof/>
          <w:u w:color="000000"/>
          <w:bdr w:val="nil"/>
        </w:rPr>
        <w:t>•</w:t>
      </w:r>
      <w:r w:rsidRPr="00C57330">
        <w:rPr>
          <w:noProof/>
        </w:rPr>
        <w:tab/>
        <w:t xml:space="preserve">Art. 1 </w:t>
      </w:r>
      <w:r w:rsidRPr="006C5585">
        <w:rPr>
          <w:noProof/>
        </w:rPr>
        <w:t>pkt</w:t>
      </w:r>
      <w:r w:rsidR="006C5585" w:rsidRPr="006C5585">
        <w:rPr>
          <w:noProof/>
        </w:rPr>
        <w:t> </w:t>
      </w:r>
      <w:r w:rsidRPr="006C5585">
        <w:rPr>
          <w:noProof/>
        </w:rPr>
        <w:t>2</w:t>
      </w:r>
      <w:r w:rsidR="006C5585" w:rsidRPr="00C57330">
        <w:rPr>
          <w:noProof/>
        </w:rPr>
        <w:t xml:space="preserve"> i</w:t>
      </w:r>
      <w:r w:rsidR="006C5585">
        <w:rPr>
          <w:noProof/>
        </w:rPr>
        <w:t> </w:t>
      </w:r>
      <w:r w:rsidR="006C5585" w:rsidRPr="00C57330">
        <w:rPr>
          <w:noProof/>
        </w:rPr>
        <w:t>3</w:t>
      </w:r>
      <w:r w:rsidRPr="00C57330">
        <w:rPr>
          <w:noProof/>
        </w:rPr>
        <w:t xml:space="preserve"> wniosku – dostosowanie </w:t>
      </w:r>
      <w:r w:rsidRPr="006C5585">
        <w:rPr>
          <w:noProof/>
        </w:rPr>
        <w:t>art.</w:t>
      </w:r>
      <w:r w:rsidR="006C5585" w:rsidRPr="006C5585">
        <w:rPr>
          <w:noProof/>
        </w:rPr>
        <w:t> </w:t>
      </w:r>
      <w:r w:rsidRPr="006C5585">
        <w:rPr>
          <w:noProof/>
        </w:rPr>
        <w:t>1</w:t>
      </w:r>
      <w:r w:rsidRPr="00C57330">
        <w:rPr>
          <w:noProof/>
        </w:rPr>
        <w:t>22</w:t>
      </w:r>
      <w:r w:rsidR="006C5585" w:rsidRPr="00C57330">
        <w:rPr>
          <w:noProof/>
        </w:rPr>
        <w:t xml:space="preserve"> i</w:t>
      </w:r>
      <w:r w:rsidR="006C5585">
        <w:rPr>
          <w:noProof/>
        </w:rPr>
        <w:t> </w:t>
      </w:r>
      <w:r w:rsidR="006C5585" w:rsidRPr="00C57330">
        <w:rPr>
          <w:noProof/>
        </w:rPr>
        <w:t>1</w:t>
      </w:r>
      <w:r w:rsidRPr="00C57330">
        <w:rPr>
          <w:noProof/>
        </w:rPr>
        <w:t>23 rozporządzenia MDR</w:t>
      </w:r>
    </w:p>
    <w:p w14:paraId="0FF307CC" w14:textId="11981D1C" w:rsidR="00FF27B2" w:rsidRPr="00C57330" w:rsidRDefault="00FF27B2" w:rsidP="001F4EF3">
      <w:pPr>
        <w:pStyle w:val="Text1"/>
        <w:rPr>
          <w:noProof/>
        </w:rPr>
      </w:pPr>
      <w:r w:rsidRPr="00C57330">
        <w:rPr>
          <w:noProof/>
        </w:rPr>
        <w:t xml:space="preserve">W przepisie tym dostosowuje się </w:t>
      </w:r>
      <w:r w:rsidRPr="006C5585">
        <w:rPr>
          <w:noProof/>
        </w:rPr>
        <w:t>art.</w:t>
      </w:r>
      <w:r w:rsidR="006C5585" w:rsidRPr="006C5585">
        <w:rPr>
          <w:noProof/>
        </w:rPr>
        <w:t> </w:t>
      </w:r>
      <w:r w:rsidRPr="006C5585">
        <w:rPr>
          <w:noProof/>
        </w:rPr>
        <w:t>1</w:t>
      </w:r>
      <w:r w:rsidRPr="00C57330">
        <w:rPr>
          <w:noProof/>
        </w:rPr>
        <w:t>22</w:t>
      </w:r>
      <w:r w:rsidR="006C5585" w:rsidRPr="00C57330">
        <w:rPr>
          <w:noProof/>
        </w:rPr>
        <w:t xml:space="preserve"> i</w:t>
      </w:r>
      <w:r w:rsidR="006C5585">
        <w:rPr>
          <w:noProof/>
        </w:rPr>
        <w:t> </w:t>
      </w:r>
      <w:r w:rsidR="006C5585" w:rsidRPr="00C57330">
        <w:rPr>
          <w:noProof/>
        </w:rPr>
        <w:t>1</w:t>
      </w:r>
      <w:r w:rsidRPr="00C57330">
        <w:rPr>
          <w:noProof/>
        </w:rPr>
        <w:t>23 rozporządzenia MDR, aby odzwierciedlić przedłużony okres przejściowy</w:t>
      </w:r>
      <w:r w:rsidR="006C5585" w:rsidRPr="00C57330">
        <w:rPr>
          <w:noProof/>
        </w:rPr>
        <w:t xml:space="preserve"> i</w:t>
      </w:r>
      <w:r w:rsidR="006C5585">
        <w:rPr>
          <w:noProof/>
        </w:rPr>
        <w:t> </w:t>
      </w:r>
      <w:r w:rsidR="006C5585" w:rsidRPr="00C57330">
        <w:rPr>
          <w:noProof/>
        </w:rPr>
        <w:t>usu</w:t>
      </w:r>
      <w:r w:rsidRPr="00C57330">
        <w:rPr>
          <w:noProof/>
        </w:rPr>
        <w:t>nięcie terminu „wysprzedawania”.</w:t>
      </w:r>
    </w:p>
    <w:p w14:paraId="797ECF02" w14:textId="4BF31163" w:rsidR="00CC045C" w:rsidRPr="00C57330" w:rsidRDefault="001F4EF3" w:rsidP="001F4EF3">
      <w:pPr>
        <w:pStyle w:val="ManualHeading2"/>
        <w:rPr>
          <w:noProof/>
        </w:rPr>
      </w:pPr>
      <w:r w:rsidRPr="00C57330">
        <w:rPr>
          <w:noProof/>
          <w:u w:color="000000"/>
          <w:bdr w:val="nil"/>
        </w:rPr>
        <w:t>•</w:t>
      </w:r>
      <w:r w:rsidRPr="00C57330">
        <w:rPr>
          <w:noProof/>
        </w:rPr>
        <w:tab/>
        <w:t xml:space="preserve">Art. 2 </w:t>
      </w:r>
      <w:r w:rsidRPr="006C5585">
        <w:rPr>
          <w:noProof/>
        </w:rPr>
        <w:t>pkt</w:t>
      </w:r>
      <w:r w:rsidR="006C5585" w:rsidRPr="006C5585">
        <w:rPr>
          <w:noProof/>
        </w:rPr>
        <w:t> </w:t>
      </w:r>
      <w:r w:rsidRPr="006C5585">
        <w:rPr>
          <w:noProof/>
        </w:rPr>
        <w:t>1</w:t>
      </w:r>
      <w:r w:rsidRPr="00C57330">
        <w:rPr>
          <w:noProof/>
        </w:rPr>
        <w:t xml:space="preserve"> wniosku – usunięcie terminów „wysprzedawania”</w:t>
      </w:r>
      <w:r w:rsidR="006C5585" w:rsidRPr="00C57330">
        <w:rPr>
          <w:noProof/>
        </w:rPr>
        <w:t xml:space="preserve"> w</w:t>
      </w:r>
      <w:r w:rsidR="006C5585">
        <w:rPr>
          <w:noProof/>
        </w:rPr>
        <w:t> </w:t>
      </w:r>
      <w:r w:rsidR="006C5585" w:rsidRPr="00C57330">
        <w:rPr>
          <w:noProof/>
        </w:rPr>
        <w:t>roz</w:t>
      </w:r>
      <w:r w:rsidRPr="00C57330">
        <w:rPr>
          <w:noProof/>
        </w:rPr>
        <w:t>porządzeniu IVDR</w:t>
      </w:r>
    </w:p>
    <w:p w14:paraId="10D87EE2" w14:textId="5CF3A7F1" w:rsidR="00FF27B2" w:rsidRPr="00C57330" w:rsidRDefault="00CC045C" w:rsidP="001F4EF3">
      <w:pPr>
        <w:pStyle w:val="Text1"/>
        <w:rPr>
          <w:noProof/>
        </w:rPr>
      </w:pPr>
      <w:r w:rsidRPr="00C57330">
        <w:rPr>
          <w:noProof/>
        </w:rPr>
        <w:t>W przepisie tym usuwa się obecnie obowiązujące daty „wysprzedawania” (25 maja 20</w:t>
      </w:r>
      <w:r w:rsidRPr="006C5585">
        <w:rPr>
          <w:noProof/>
        </w:rPr>
        <w:t>25</w:t>
      </w:r>
      <w:r w:rsidR="006C5585" w:rsidRPr="006C5585">
        <w:rPr>
          <w:noProof/>
        </w:rPr>
        <w:t> </w:t>
      </w:r>
      <w:r w:rsidRPr="006C5585">
        <w:rPr>
          <w:noProof/>
        </w:rPr>
        <w:t>r.</w:t>
      </w:r>
      <w:r w:rsidRPr="00C57330">
        <w:rPr>
          <w:noProof/>
        </w:rPr>
        <w:t xml:space="preserve"> </w:t>
      </w:r>
      <w:r w:rsidRPr="006C5585">
        <w:rPr>
          <w:noProof/>
        </w:rPr>
        <w:t>do</w:t>
      </w:r>
      <w:r w:rsidR="006C5585" w:rsidRPr="006C5585">
        <w:rPr>
          <w:noProof/>
        </w:rPr>
        <w:t> </w:t>
      </w:r>
      <w:r w:rsidRPr="006C5585">
        <w:rPr>
          <w:noProof/>
        </w:rPr>
        <w:t>2</w:t>
      </w:r>
      <w:r w:rsidRPr="00C57330">
        <w:rPr>
          <w:noProof/>
        </w:rPr>
        <w:t>6 maja 20</w:t>
      </w:r>
      <w:r w:rsidRPr="006C5585">
        <w:rPr>
          <w:noProof/>
        </w:rPr>
        <w:t>28</w:t>
      </w:r>
      <w:r w:rsidR="006C5585" w:rsidRPr="006C5585">
        <w:rPr>
          <w:noProof/>
        </w:rPr>
        <w:t> </w:t>
      </w:r>
      <w:r w:rsidRPr="006C5585">
        <w:rPr>
          <w:noProof/>
        </w:rPr>
        <w:t>r.</w:t>
      </w:r>
      <w:r w:rsidRPr="00C57330">
        <w:rPr>
          <w:noProof/>
        </w:rPr>
        <w:t>)</w:t>
      </w:r>
      <w:r w:rsidR="006C5585" w:rsidRPr="00C57330">
        <w:rPr>
          <w:noProof/>
        </w:rPr>
        <w:t xml:space="preserve"> w</w:t>
      </w:r>
      <w:r w:rsidR="006C5585">
        <w:rPr>
          <w:noProof/>
        </w:rPr>
        <w:t> </w:t>
      </w:r>
      <w:r w:rsidR="006C5585" w:rsidRPr="006C5585">
        <w:rPr>
          <w:noProof/>
        </w:rPr>
        <w:t>art</w:t>
      </w:r>
      <w:r w:rsidRPr="006C5585">
        <w:rPr>
          <w:noProof/>
        </w:rPr>
        <w:t>.</w:t>
      </w:r>
      <w:r w:rsidR="006C5585" w:rsidRPr="006C5585">
        <w:rPr>
          <w:noProof/>
        </w:rPr>
        <w:t> </w:t>
      </w:r>
      <w:r w:rsidRPr="006C5585">
        <w:rPr>
          <w:noProof/>
        </w:rPr>
        <w:t>1</w:t>
      </w:r>
      <w:r w:rsidRPr="00C57330">
        <w:rPr>
          <w:noProof/>
        </w:rPr>
        <w:t xml:space="preserve">10 </w:t>
      </w:r>
      <w:r w:rsidRPr="006C5585">
        <w:rPr>
          <w:noProof/>
        </w:rPr>
        <w:t>ust.</w:t>
      </w:r>
      <w:r w:rsidR="006C5585" w:rsidRPr="006C5585">
        <w:rPr>
          <w:noProof/>
        </w:rPr>
        <w:t> </w:t>
      </w:r>
      <w:r w:rsidRPr="006C5585">
        <w:rPr>
          <w:noProof/>
        </w:rPr>
        <w:t>4</w:t>
      </w:r>
      <w:r w:rsidRPr="00C57330">
        <w:rPr>
          <w:noProof/>
        </w:rPr>
        <w:t xml:space="preserve"> rozporządzenia IVDR</w:t>
      </w:r>
      <w:r w:rsidR="006C5585" w:rsidRPr="00C57330">
        <w:rPr>
          <w:noProof/>
        </w:rPr>
        <w:t>. W</w:t>
      </w:r>
      <w:r w:rsidR="006C5585">
        <w:rPr>
          <w:noProof/>
        </w:rPr>
        <w:t> </w:t>
      </w:r>
      <w:r w:rsidR="006C5585" w:rsidRPr="00C57330">
        <w:rPr>
          <w:noProof/>
        </w:rPr>
        <w:t>rez</w:t>
      </w:r>
      <w:r w:rsidRPr="00C57330">
        <w:rPr>
          <w:noProof/>
        </w:rPr>
        <w:t>ultacie wyroby wprowadzone do obrotu przed zakończeniem okresu przejściowego określonego</w:t>
      </w:r>
      <w:r w:rsidR="006C5585" w:rsidRPr="00C57330">
        <w:rPr>
          <w:noProof/>
        </w:rPr>
        <w:t xml:space="preserve"> w</w:t>
      </w:r>
      <w:r w:rsidR="006C5585">
        <w:rPr>
          <w:noProof/>
        </w:rPr>
        <w:t> </w:t>
      </w:r>
      <w:r w:rsidR="006C5585" w:rsidRPr="006C5585">
        <w:rPr>
          <w:noProof/>
        </w:rPr>
        <w:t>art</w:t>
      </w:r>
      <w:r w:rsidRPr="006C5585">
        <w:rPr>
          <w:noProof/>
        </w:rPr>
        <w:t>.</w:t>
      </w:r>
      <w:r w:rsidR="006C5585" w:rsidRPr="006C5585">
        <w:rPr>
          <w:noProof/>
        </w:rPr>
        <w:t> </w:t>
      </w:r>
      <w:r w:rsidRPr="006C5585">
        <w:rPr>
          <w:noProof/>
        </w:rPr>
        <w:t>1</w:t>
      </w:r>
      <w:r w:rsidRPr="00C57330">
        <w:rPr>
          <w:noProof/>
        </w:rPr>
        <w:t xml:space="preserve">10 </w:t>
      </w:r>
      <w:r w:rsidRPr="006C5585">
        <w:rPr>
          <w:noProof/>
        </w:rPr>
        <w:t>ust.</w:t>
      </w:r>
      <w:r w:rsidR="006C5585" w:rsidRPr="006C5585">
        <w:rPr>
          <w:noProof/>
        </w:rPr>
        <w:t> </w:t>
      </w:r>
      <w:r w:rsidRPr="006C5585">
        <w:rPr>
          <w:noProof/>
        </w:rPr>
        <w:t>3</w:t>
      </w:r>
      <w:r w:rsidRPr="00C57330">
        <w:rPr>
          <w:noProof/>
        </w:rPr>
        <w:t xml:space="preserve"> rozporządzenia IVDR mogą być dalej udostępniane na rynku bez prawnego ograniczenia czasowego.</w:t>
      </w:r>
    </w:p>
    <w:p w14:paraId="5C886104" w14:textId="0FAE58B5" w:rsidR="00CC045C" w:rsidRPr="00C57330" w:rsidRDefault="001F4EF3" w:rsidP="001F4EF3">
      <w:pPr>
        <w:pStyle w:val="ManualHeading2"/>
        <w:rPr>
          <w:b w:val="0"/>
          <w:noProof/>
        </w:rPr>
      </w:pPr>
      <w:r w:rsidRPr="00C57330">
        <w:rPr>
          <w:noProof/>
          <w:u w:color="000000"/>
          <w:bdr w:val="nil"/>
        </w:rPr>
        <w:t>•</w:t>
      </w:r>
      <w:r w:rsidRPr="00C57330">
        <w:rPr>
          <w:noProof/>
        </w:rPr>
        <w:tab/>
        <w:t xml:space="preserve">Art. 2 </w:t>
      </w:r>
      <w:r w:rsidRPr="006C5585">
        <w:rPr>
          <w:noProof/>
        </w:rPr>
        <w:t>pkt</w:t>
      </w:r>
      <w:r w:rsidR="006C5585" w:rsidRPr="006C5585">
        <w:rPr>
          <w:noProof/>
        </w:rPr>
        <w:t> </w:t>
      </w:r>
      <w:r w:rsidRPr="006C5585">
        <w:rPr>
          <w:noProof/>
        </w:rPr>
        <w:t>2</w:t>
      </w:r>
      <w:r w:rsidRPr="00C57330">
        <w:rPr>
          <w:noProof/>
        </w:rPr>
        <w:t xml:space="preserve"> wniosku – dostosowanie </w:t>
      </w:r>
      <w:r w:rsidRPr="006C5585">
        <w:rPr>
          <w:noProof/>
        </w:rPr>
        <w:t>art.</w:t>
      </w:r>
      <w:r w:rsidR="006C5585" w:rsidRPr="006C5585">
        <w:rPr>
          <w:noProof/>
        </w:rPr>
        <w:t> </w:t>
      </w:r>
      <w:r w:rsidRPr="006C5585">
        <w:rPr>
          <w:noProof/>
        </w:rPr>
        <w:t>1</w:t>
      </w:r>
      <w:r w:rsidRPr="00C57330">
        <w:rPr>
          <w:noProof/>
        </w:rPr>
        <w:t>12 rozporządzenia IVDR</w:t>
      </w:r>
    </w:p>
    <w:p w14:paraId="76FECA24" w14:textId="11895ECC" w:rsidR="00CC045C" w:rsidRPr="00C57330" w:rsidRDefault="00CC045C" w:rsidP="001F4EF3">
      <w:pPr>
        <w:pStyle w:val="Text1"/>
        <w:rPr>
          <w:noProof/>
        </w:rPr>
      </w:pPr>
      <w:r w:rsidRPr="00C57330">
        <w:rPr>
          <w:noProof/>
        </w:rPr>
        <w:t xml:space="preserve">W przepisie tym dostosowuje się </w:t>
      </w:r>
      <w:r w:rsidRPr="006C5585">
        <w:rPr>
          <w:noProof/>
        </w:rPr>
        <w:t>art.</w:t>
      </w:r>
      <w:r w:rsidR="006C5585" w:rsidRPr="006C5585">
        <w:rPr>
          <w:noProof/>
        </w:rPr>
        <w:t> </w:t>
      </w:r>
      <w:r w:rsidRPr="006C5585">
        <w:rPr>
          <w:noProof/>
        </w:rPr>
        <w:t>1</w:t>
      </w:r>
      <w:r w:rsidRPr="00C57330">
        <w:rPr>
          <w:noProof/>
        </w:rPr>
        <w:t>12 rozporządzenia IVDR, aby odzwierciedlić usunięcie terminów „wysprzedawania”.</w:t>
      </w:r>
    </w:p>
    <w:p w14:paraId="279DB24D" w14:textId="77777777" w:rsidR="005115AF" w:rsidRPr="00C57330" w:rsidRDefault="005115AF" w:rsidP="00586A37">
      <w:pPr>
        <w:pStyle w:val="Statut"/>
        <w:rPr>
          <w:noProof/>
        </w:rPr>
        <w:sectPr w:rsidR="005115AF" w:rsidRPr="00C57330" w:rsidSect="00351031">
          <w:footerReference w:type="default" r:id="rId17"/>
          <w:footerReference w:type="first" r:id="rId18"/>
          <w:pgSz w:w="11907" w:h="16839"/>
          <w:pgMar w:top="1134" w:right="1417" w:bottom="1134" w:left="1417" w:header="709" w:footer="709" w:gutter="0"/>
          <w:cols w:space="708"/>
          <w:docGrid w:linePitch="360"/>
        </w:sectPr>
      </w:pPr>
    </w:p>
    <w:p w14:paraId="7FD072A4" w14:textId="32A86B71" w:rsidR="00D51013" w:rsidRDefault="00D51013" w:rsidP="00D51013">
      <w:pPr>
        <w:pStyle w:val="Rfrenceinterinstitutionnelle"/>
        <w:rPr>
          <w:noProof/>
        </w:rPr>
      </w:pPr>
      <w:r w:rsidRPr="00D51013">
        <w:t>2023/0005 (COD)</w:t>
      </w:r>
    </w:p>
    <w:p w14:paraId="67CE0B1D" w14:textId="35AE6E76" w:rsidR="005E1E5E" w:rsidRPr="00C57330" w:rsidRDefault="006C5585" w:rsidP="006C5585">
      <w:pPr>
        <w:pStyle w:val="Statut"/>
        <w:rPr>
          <w:noProof/>
        </w:rPr>
      </w:pPr>
      <w:r w:rsidRPr="006C5585">
        <w:rPr>
          <w:noProof/>
        </w:rPr>
        <w:t>Wniosek</w:t>
      </w:r>
    </w:p>
    <w:p w14:paraId="668D3AE3" w14:textId="3951A1C9" w:rsidR="005E1E5E" w:rsidRPr="00C57330" w:rsidRDefault="006C5585" w:rsidP="006C5585">
      <w:pPr>
        <w:pStyle w:val="Typedudocument"/>
        <w:rPr>
          <w:noProof/>
        </w:rPr>
      </w:pPr>
      <w:r w:rsidRPr="006C5585">
        <w:rPr>
          <w:noProof/>
        </w:rPr>
        <w:t>ROZPORZĄDZENIE PARLAMENTU EUROPEJSKIEGO I RADY</w:t>
      </w:r>
    </w:p>
    <w:p w14:paraId="5319111F" w14:textId="540C0169" w:rsidR="005E1E5E" w:rsidRPr="00C57330" w:rsidRDefault="006C5585" w:rsidP="006C5585">
      <w:pPr>
        <w:pStyle w:val="Titreobjet"/>
        <w:rPr>
          <w:noProof/>
        </w:rPr>
      </w:pPr>
      <w:r w:rsidRPr="006C5585">
        <w:rPr>
          <w:noProof/>
        </w:rPr>
        <w:t xml:space="preserve">zmieniające rozporządzenia (UE) 2017/745 i (UE) 2017/746 w odniesieniu do przepisów przejściowych dotyczących niektórych wyrobów medycznych i wyrobów medycznych do diagnostyki </w:t>
      </w:r>
      <w:r w:rsidRPr="006C5585">
        <w:rPr>
          <w:i/>
          <w:noProof/>
        </w:rPr>
        <w:t>in vitro</w:t>
      </w:r>
    </w:p>
    <w:p w14:paraId="03B2B95E" w14:textId="4C2CFB99" w:rsidR="005E1E5E" w:rsidRPr="00C57330" w:rsidRDefault="006C5585" w:rsidP="006C5585">
      <w:pPr>
        <w:pStyle w:val="IntrtEEE"/>
        <w:rPr>
          <w:noProof/>
        </w:rPr>
      </w:pPr>
      <w:r w:rsidRPr="006C5585">
        <w:rPr>
          <w:noProof/>
        </w:rPr>
        <w:t>(Tekst mający znaczenie dla EOG)</w:t>
      </w:r>
    </w:p>
    <w:p w14:paraId="7A7DFC39" w14:textId="77777777" w:rsidR="005E1E5E" w:rsidRPr="00C57330" w:rsidRDefault="005E1E5E" w:rsidP="00A103F4">
      <w:pPr>
        <w:pStyle w:val="Institutionquiagit"/>
        <w:rPr>
          <w:noProof/>
        </w:rPr>
      </w:pPr>
      <w:r w:rsidRPr="00C57330">
        <w:rPr>
          <w:noProof/>
        </w:rPr>
        <w:t>PARLAMENT EUROPEJSKI I RADA UNII EUROPEJSKIEJ,</w:t>
      </w:r>
    </w:p>
    <w:p w14:paraId="4E4215EF" w14:textId="0C017862" w:rsidR="00503693" w:rsidRPr="00C57330" w:rsidRDefault="00503693" w:rsidP="00503693">
      <w:pPr>
        <w:rPr>
          <w:noProof/>
          <w:color w:val="000000" w:themeColor="text1"/>
        </w:rPr>
      </w:pPr>
      <w:r w:rsidRPr="00C57330">
        <w:rPr>
          <w:noProof/>
          <w:color w:val="000000" w:themeColor="text1"/>
        </w:rPr>
        <w:t>uwzględniając Traktat</w:t>
      </w:r>
      <w:r w:rsidR="006C5585" w:rsidRPr="00C57330">
        <w:rPr>
          <w:noProof/>
          <w:color w:val="000000" w:themeColor="text1"/>
        </w:rPr>
        <w:t xml:space="preserve"> o</w:t>
      </w:r>
      <w:r w:rsidR="006C5585">
        <w:rPr>
          <w:noProof/>
          <w:color w:val="000000" w:themeColor="text1"/>
        </w:rPr>
        <w:t> </w:t>
      </w:r>
      <w:r w:rsidR="006C5585" w:rsidRPr="00C57330">
        <w:rPr>
          <w:noProof/>
          <w:color w:val="000000" w:themeColor="text1"/>
        </w:rPr>
        <w:t>fun</w:t>
      </w:r>
      <w:r w:rsidRPr="00C57330">
        <w:rPr>
          <w:noProof/>
          <w:color w:val="000000" w:themeColor="text1"/>
        </w:rPr>
        <w:t>kcjonowaniu Unii Europejskiej,</w:t>
      </w:r>
      <w:r w:rsidR="006C5585" w:rsidRPr="00C57330">
        <w:rPr>
          <w:noProof/>
          <w:color w:val="000000" w:themeColor="text1"/>
        </w:rPr>
        <w:t xml:space="preserve"> w</w:t>
      </w:r>
      <w:r w:rsidR="006C5585">
        <w:rPr>
          <w:noProof/>
          <w:color w:val="000000" w:themeColor="text1"/>
        </w:rPr>
        <w:t> </w:t>
      </w:r>
      <w:r w:rsidR="006C5585" w:rsidRPr="00C57330">
        <w:rPr>
          <w:noProof/>
          <w:color w:val="000000" w:themeColor="text1"/>
        </w:rPr>
        <w:t>szc</w:t>
      </w:r>
      <w:r w:rsidRPr="00C57330">
        <w:rPr>
          <w:noProof/>
          <w:color w:val="000000" w:themeColor="text1"/>
        </w:rPr>
        <w:t xml:space="preserve">zególności jego </w:t>
      </w:r>
      <w:r w:rsidRPr="006C5585">
        <w:rPr>
          <w:noProof/>
          <w:color w:val="000000" w:themeColor="text1"/>
        </w:rPr>
        <w:t>art.</w:t>
      </w:r>
      <w:r w:rsidR="006C5585" w:rsidRPr="006C5585">
        <w:rPr>
          <w:noProof/>
          <w:color w:val="000000" w:themeColor="text1"/>
        </w:rPr>
        <w:t> </w:t>
      </w:r>
      <w:r w:rsidRPr="006C5585">
        <w:rPr>
          <w:noProof/>
          <w:color w:val="000000" w:themeColor="text1"/>
        </w:rPr>
        <w:t>1</w:t>
      </w:r>
      <w:r w:rsidRPr="00C57330">
        <w:rPr>
          <w:noProof/>
          <w:color w:val="000000" w:themeColor="text1"/>
        </w:rPr>
        <w:t>14</w:t>
      </w:r>
      <w:r w:rsidR="006C5585" w:rsidRPr="00C57330">
        <w:rPr>
          <w:noProof/>
          <w:color w:val="000000" w:themeColor="text1"/>
        </w:rPr>
        <w:t xml:space="preserve"> i</w:t>
      </w:r>
      <w:r w:rsidR="006C5585">
        <w:rPr>
          <w:noProof/>
          <w:color w:val="000000" w:themeColor="text1"/>
        </w:rPr>
        <w:t> </w:t>
      </w:r>
      <w:r w:rsidR="006C5585" w:rsidRPr="006C5585">
        <w:rPr>
          <w:noProof/>
          <w:color w:val="000000" w:themeColor="text1"/>
        </w:rPr>
        <w:t>art</w:t>
      </w:r>
      <w:r w:rsidRPr="006C5585">
        <w:rPr>
          <w:noProof/>
          <w:color w:val="000000" w:themeColor="text1"/>
        </w:rPr>
        <w:t>.</w:t>
      </w:r>
      <w:r w:rsidR="006C5585" w:rsidRPr="006C5585">
        <w:rPr>
          <w:noProof/>
          <w:color w:val="000000" w:themeColor="text1"/>
        </w:rPr>
        <w:t> </w:t>
      </w:r>
      <w:r w:rsidRPr="006C5585">
        <w:rPr>
          <w:noProof/>
          <w:color w:val="000000" w:themeColor="text1"/>
        </w:rPr>
        <w:t>1</w:t>
      </w:r>
      <w:r w:rsidRPr="00C57330">
        <w:rPr>
          <w:noProof/>
          <w:color w:val="000000" w:themeColor="text1"/>
        </w:rPr>
        <w:t xml:space="preserve">68 </w:t>
      </w:r>
      <w:r w:rsidRPr="006C5585">
        <w:rPr>
          <w:noProof/>
          <w:color w:val="000000" w:themeColor="text1"/>
        </w:rPr>
        <w:t>ust.</w:t>
      </w:r>
      <w:r w:rsidR="006C5585" w:rsidRPr="006C5585">
        <w:rPr>
          <w:noProof/>
          <w:color w:val="000000" w:themeColor="text1"/>
        </w:rPr>
        <w:t> </w:t>
      </w:r>
      <w:r w:rsidRPr="006C5585">
        <w:rPr>
          <w:noProof/>
          <w:color w:val="000000" w:themeColor="text1"/>
        </w:rPr>
        <w:t>4</w:t>
      </w:r>
      <w:r w:rsidRPr="00C57330">
        <w:rPr>
          <w:noProof/>
          <w:color w:val="000000" w:themeColor="text1"/>
        </w:rPr>
        <w:t xml:space="preserve"> </w:t>
      </w:r>
      <w:r w:rsidRPr="006C5585">
        <w:rPr>
          <w:noProof/>
          <w:color w:val="000000" w:themeColor="text1"/>
        </w:rPr>
        <w:t>lit.</w:t>
      </w:r>
      <w:r w:rsidR="006C5585" w:rsidRPr="006C5585">
        <w:rPr>
          <w:noProof/>
          <w:color w:val="000000" w:themeColor="text1"/>
        </w:rPr>
        <w:t> </w:t>
      </w:r>
      <w:r w:rsidRPr="006C5585">
        <w:rPr>
          <w:noProof/>
          <w:color w:val="000000" w:themeColor="text1"/>
        </w:rPr>
        <w:t>c)</w:t>
      </w:r>
      <w:r w:rsidRPr="00C57330">
        <w:rPr>
          <w:noProof/>
          <w:color w:val="000000" w:themeColor="text1"/>
        </w:rPr>
        <w:t>,</w:t>
      </w:r>
    </w:p>
    <w:p w14:paraId="58505C25" w14:textId="77777777" w:rsidR="00503693" w:rsidRPr="00C57330" w:rsidRDefault="00503693" w:rsidP="00503693">
      <w:pPr>
        <w:rPr>
          <w:noProof/>
          <w:color w:val="000000" w:themeColor="text1"/>
        </w:rPr>
      </w:pPr>
      <w:r w:rsidRPr="00C57330">
        <w:rPr>
          <w:noProof/>
          <w:color w:val="000000" w:themeColor="text1"/>
        </w:rPr>
        <w:t>uwzględniając wniosek Komisji Europejskiej,</w:t>
      </w:r>
    </w:p>
    <w:p w14:paraId="1DEBEDFB" w14:textId="77777777" w:rsidR="00503693" w:rsidRPr="00C57330" w:rsidRDefault="00503693" w:rsidP="00503693">
      <w:pPr>
        <w:rPr>
          <w:noProof/>
          <w:color w:val="000000" w:themeColor="text1"/>
        </w:rPr>
      </w:pPr>
      <w:r w:rsidRPr="00C57330">
        <w:rPr>
          <w:noProof/>
          <w:color w:val="000000" w:themeColor="text1"/>
        </w:rPr>
        <w:t>po przekazaniu projektu aktu ustawodawczego parlamentom narodowym,</w:t>
      </w:r>
    </w:p>
    <w:p w14:paraId="7F15774B" w14:textId="542C6E63" w:rsidR="00503693" w:rsidRPr="00C57330" w:rsidRDefault="00503693" w:rsidP="00503693">
      <w:pPr>
        <w:rPr>
          <w:noProof/>
          <w:color w:val="000000" w:themeColor="text1"/>
        </w:rPr>
      </w:pPr>
      <w:r w:rsidRPr="00C57330">
        <w:rPr>
          <w:noProof/>
          <w:color w:val="000000" w:themeColor="text1"/>
        </w:rPr>
        <w:t>po konsultacji</w:t>
      </w:r>
      <w:r w:rsidR="006C5585" w:rsidRPr="00C57330">
        <w:rPr>
          <w:noProof/>
          <w:color w:val="000000" w:themeColor="text1"/>
        </w:rPr>
        <w:t xml:space="preserve"> z</w:t>
      </w:r>
      <w:r w:rsidR="006C5585">
        <w:rPr>
          <w:noProof/>
          <w:color w:val="000000" w:themeColor="text1"/>
        </w:rPr>
        <w:t> </w:t>
      </w:r>
      <w:r w:rsidR="006C5585" w:rsidRPr="00C57330">
        <w:rPr>
          <w:noProof/>
          <w:color w:val="000000" w:themeColor="text1"/>
        </w:rPr>
        <w:t>Eur</w:t>
      </w:r>
      <w:r w:rsidRPr="00C57330">
        <w:rPr>
          <w:noProof/>
          <w:color w:val="000000" w:themeColor="text1"/>
        </w:rPr>
        <w:t>opejskim Komitetem Ekonomiczno-Społecznym,</w:t>
      </w:r>
    </w:p>
    <w:p w14:paraId="758E7287" w14:textId="23EC2DA9" w:rsidR="00503693" w:rsidRPr="00C57330" w:rsidRDefault="00503693" w:rsidP="00503693">
      <w:pPr>
        <w:rPr>
          <w:noProof/>
          <w:color w:val="000000" w:themeColor="text1"/>
        </w:rPr>
      </w:pPr>
      <w:r w:rsidRPr="00C57330">
        <w:rPr>
          <w:noProof/>
        </w:rPr>
        <w:t>po konsultacji</w:t>
      </w:r>
      <w:r w:rsidR="006C5585" w:rsidRPr="00C57330">
        <w:rPr>
          <w:noProof/>
        </w:rPr>
        <w:t xml:space="preserve"> z</w:t>
      </w:r>
      <w:r w:rsidR="006C5585">
        <w:rPr>
          <w:noProof/>
        </w:rPr>
        <w:t> </w:t>
      </w:r>
      <w:r w:rsidR="006C5585" w:rsidRPr="00C57330">
        <w:rPr>
          <w:noProof/>
          <w:color w:val="000000" w:themeColor="text1"/>
        </w:rPr>
        <w:t>Kom</w:t>
      </w:r>
      <w:r w:rsidRPr="00C57330">
        <w:rPr>
          <w:noProof/>
          <w:color w:val="000000" w:themeColor="text1"/>
        </w:rPr>
        <w:t>itetem Regionów</w:t>
      </w:r>
      <w:r w:rsidRPr="00C57330">
        <w:rPr>
          <w:noProof/>
        </w:rPr>
        <w:t>,</w:t>
      </w:r>
    </w:p>
    <w:p w14:paraId="74CC8FAA" w14:textId="77777777" w:rsidR="005E1E5E" w:rsidRPr="00C57330" w:rsidRDefault="00503693" w:rsidP="00503693">
      <w:pPr>
        <w:rPr>
          <w:noProof/>
        </w:rPr>
      </w:pPr>
      <w:r w:rsidRPr="00C57330">
        <w:rPr>
          <w:noProof/>
          <w:color w:val="000000" w:themeColor="text1"/>
        </w:rPr>
        <w:t>stanowiąc zgodnie ze zwykłą procedurą ustawodawczą</w:t>
      </w:r>
      <w:r w:rsidRPr="00C57330">
        <w:rPr>
          <w:noProof/>
        </w:rPr>
        <w:t>,</w:t>
      </w:r>
    </w:p>
    <w:p w14:paraId="66B058E1" w14:textId="77777777" w:rsidR="005E1E5E" w:rsidRPr="00C57330" w:rsidRDefault="005E1E5E" w:rsidP="00A103F4">
      <w:pPr>
        <w:rPr>
          <w:noProof/>
        </w:rPr>
      </w:pPr>
      <w:r w:rsidRPr="00C57330">
        <w:rPr>
          <w:noProof/>
        </w:rPr>
        <w:t>a także mając na uwadze, co następuje:</w:t>
      </w:r>
    </w:p>
    <w:p w14:paraId="164E8DC7" w14:textId="74E107EA" w:rsidR="005E1E5E" w:rsidRPr="00C57330" w:rsidRDefault="000E65B6" w:rsidP="000E65B6">
      <w:pPr>
        <w:pStyle w:val="ManualConsidrant"/>
        <w:rPr>
          <w:noProof/>
        </w:rPr>
      </w:pPr>
      <w:r w:rsidRPr="000E65B6">
        <w:t>(1)</w:t>
      </w:r>
      <w:r w:rsidRPr="000E65B6">
        <w:tab/>
      </w:r>
      <w:r w:rsidR="007469A8" w:rsidRPr="00C57330">
        <w:rPr>
          <w:noProof/>
        </w:rPr>
        <w:t>W rozporządzeniach Parlamentu Europejskiego</w:t>
      </w:r>
      <w:r w:rsidR="006C5585" w:rsidRPr="00C57330">
        <w:rPr>
          <w:noProof/>
        </w:rPr>
        <w:t xml:space="preserve"> i</w:t>
      </w:r>
      <w:r w:rsidR="006C5585">
        <w:rPr>
          <w:noProof/>
        </w:rPr>
        <w:t> </w:t>
      </w:r>
      <w:r w:rsidR="006C5585" w:rsidRPr="00C57330">
        <w:rPr>
          <w:noProof/>
        </w:rPr>
        <w:t>Rad</w:t>
      </w:r>
      <w:r w:rsidR="007469A8" w:rsidRPr="00C57330">
        <w:rPr>
          <w:noProof/>
        </w:rPr>
        <w:t>y (UE) 2017/745</w:t>
      </w:r>
      <w:r w:rsidR="007469A8" w:rsidRPr="00C57330">
        <w:rPr>
          <w:rStyle w:val="FootnoteReference"/>
          <w:noProof/>
        </w:rPr>
        <w:footnoteReference w:id="20"/>
      </w:r>
      <w:r w:rsidR="007469A8" w:rsidRPr="00C57330">
        <w:rPr>
          <w:noProof/>
        </w:rPr>
        <w:t xml:space="preserve"> i (UE) 2017/746</w:t>
      </w:r>
      <w:r w:rsidR="007469A8" w:rsidRPr="00C57330">
        <w:rPr>
          <w:rStyle w:val="FootnoteReference"/>
          <w:noProof/>
        </w:rPr>
        <w:footnoteReference w:id="21"/>
      </w:r>
      <w:r w:rsidR="007469A8" w:rsidRPr="00C57330">
        <w:rPr>
          <w:noProof/>
        </w:rPr>
        <w:t xml:space="preserve"> ustanowiono nowe ramy regulacyjne, aby zapewnić sprawne funkcjonowanie rynku wewnętrznego</w:t>
      </w:r>
      <w:r w:rsidR="006C5585" w:rsidRPr="00C57330">
        <w:rPr>
          <w:noProof/>
        </w:rPr>
        <w:t xml:space="preserve"> w</w:t>
      </w:r>
      <w:r w:rsidR="006C5585">
        <w:rPr>
          <w:noProof/>
        </w:rPr>
        <w:t> </w:t>
      </w:r>
      <w:r w:rsidR="006C5585" w:rsidRPr="00C57330">
        <w:rPr>
          <w:noProof/>
        </w:rPr>
        <w:t>odn</w:t>
      </w:r>
      <w:r w:rsidR="007469A8" w:rsidRPr="00C57330">
        <w:rPr>
          <w:noProof/>
        </w:rPr>
        <w:t xml:space="preserve">iesieniu do wyrobów medycznych oraz wyrobów medycznych do diagnostyki </w:t>
      </w:r>
      <w:r w:rsidR="007469A8" w:rsidRPr="00C57330">
        <w:rPr>
          <w:i/>
          <w:noProof/>
        </w:rPr>
        <w:t>in vitro</w:t>
      </w:r>
      <w:r w:rsidR="007469A8" w:rsidRPr="00C57330">
        <w:rPr>
          <w:noProof/>
        </w:rPr>
        <w:t>, przyjmując jako podstawę wysoki poziom ochrony zdrowia pacjentów</w:t>
      </w:r>
      <w:r w:rsidR="006C5585" w:rsidRPr="00C57330">
        <w:rPr>
          <w:noProof/>
        </w:rPr>
        <w:t xml:space="preserve"> i</w:t>
      </w:r>
      <w:r w:rsidR="006C5585">
        <w:rPr>
          <w:noProof/>
        </w:rPr>
        <w:t> </w:t>
      </w:r>
      <w:r w:rsidR="006C5585" w:rsidRPr="00C57330">
        <w:rPr>
          <w:noProof/>
        </w:rPr>
        <w:t>uży</w:t>
      </w:r>
      <w:r w:rsidR="007469A8" w:rsidRPr="00C57330">
        <w:rPr>
          <w:noProof/>
        </w:rPr>
        <w:t>tkowników. Jednocześnie</w:t>
      </w:r>
      <w:r w:rsidR="006C5585" w:rsidRPr="00C57330">
        <w:rPr>
          <w:noProof/>
        </w:rPr>
        <w:t xml:space="preserve"> w</w:t>
      </w:r>
      <w:r w:rsidR="006C5585">
        <w:rPr>
          <w:noProof/>
        </w:rPr>
        <w:t> </w:t>
      </w:r>
      <w:r w:rsidR="006C5585" w:rsidRPr="00C57330">
        <w:rPr>
          <w:noProof/>
        </w:rPr>
        <w:t>roz</w:t>
      </w:r>
      <w:r w:rsidR="007469A8" w:rsidRPr="00C57330">
        <w:rPr>
          <w:noProof/>
        </w:rPr>
        <w:t>porządzeniach (UE) 2017/745 i (UE) 2017/746 ustanowiono wysokie normy jakości</w:t>
      </w:r>
      <w:r w:rsidR="006C5585" w:rsidRPr="00C57330">
        <w:rPr>
          <w:noProof/>
        </w:rPr>
        <w:t xml:space="preserve"> i</w:t>
      </w:r>
      <w:r w:rsidR="006C5585">
        <w:rPr>
          <w:noProof/>
        </w:rPr>
        <w:t> </w:t>
      </w:r>
      <w:r w:rsidR="006C5585" w:rsidRPr="00C57330">
        <w:rPr>
          <w:noProof/>
        </w:rPr>
        <w:t>bez</w:t>
      </w:r>
      <w:r w:rsidR="007469A8" w:rsidRPr="00C57330">
        <w:rPr>
          <w:noProof/>
        </w:rPr>
        <w:t xml:space="preserve">pieczeństwa dla wyrobów medycznych oraz wyrobów medycznych do diagnostyki </w:t>
      </w:r>
      <w:r w:rsidR="007469A8" w:rsidRPr="00C57330">
        <w:rPr>
          <w:i/>
          <w:noProof/>
        </w:rPr>
        <w:t>in vitro</w:t>
      </w:r>
      <w:r w:rsidR="006C5585" w:rsidRPr="00C57330">
        <w:rPr>
          <w:noProof/>
        </w:rPr>
        <w:t xml:space="preserve"> w</w:t>
      </w:r>
      <w:r w:rsidR="006C5585">
        <w:rPr>
          <w:noProof/>
        </w:rPr>
        <w:t> </w:t>
      </w:r>
      <w:r w:rsidR="006C5585" w:rsidRPr="00C57330">
        <w:rPr>
          <w:noProof/>
        </w:rPr>
        <w:t>odp</w:t>
      </w:r>
      <w:r w:rsidR="007469A8" w:rsidRPr="00C57330">
        <w:rPr>
          <w:noProof/>
        </w:rPr>
        <w:t>owiedzi na powszechne obawy związane</w:t>
      </w:r>
      <w:r w:rsidR="006C5585" w:rsidRPr="00C57330">
        <w:rPr>
          <w:noProof/>
        </w:rPr>
        <w:t xml:space="preserve"> z</w:t>
      </w:r>
      <w:r w:rsidR="006C5585">
        <w:rPr>
          <w:noProof/>
        </w:rPr>
        <w:t> </w:t>
      </w:r>
      <w:r w:rsidR="006C5585" w:rsidRPr="00C57330">
        <w:rPr>
          <w:noProof/>
        </w:rPr>
        <w:t>bez</w:t>
      </w:r>
      <w:r w:rsidR="007469A8" w:rsidRPr="00C57330">
        <w:rPr>
          <w:noProof/>
        </w:rPr>
        <w:t>pieczeństwem takich wyrobów. Oba rozporządzenia znacząco ulepszają ponadto kluczowe elementy poprzednich ram regulacyjnych określonych</w:t>
      </w:r>
      <w:r w:rsidR="006C5585" w:rsidRPr="00C57330">
        <w:rPr>
          <w:noProof/>
        </w:rPr>
        <w:t xml:space="preserve"> w</w:t>
      </w:r>
      <w:r w:rsidR="006C5585">
        <w:rPr>
          <w:noProof/>
        </w:rPr>
        <w:t> </w:t>
      </w:r>
      <w:r w:rsidR="006C5585" w:rsidRPr="00C57330">
        <w:rPr>
          <w:noProof/>
        </w:rPr>
        <w:t>dyr</w:t>
      </w:r>
      <w:r w:rsidR="007469A8" w:rsidRPr="00C57330">
        <w:rPr>
          <w:noProof/>
        </w:rPr>
        <w:t>ektywach Rady 90/385/EWG</w:t>
      </w:r>
      <w:r w:rsidR="007469A8" w:rsidRPr="00C57330">
        <w:rPr>
          <w:rStyle w:val="FootnoteReference"/>
          <w:noProof/>
        </w:rPr>
        <w:footnoteReference w:id="22"/>
      </w:r>
      <w:r w:rsidR="006C5585" w:rsidRPr="00C57330">
        <w:rPr>
          <w:noProof/>
        </w:rPr>
        <w:t xml:space="preserve"> i</w:t>
      </w:r>
      <w:r w:rsidR="006C5585">
        <w:rPr>
          <w:noProof/>
        </w:rPr>
        <w:t> </w:t>
      </w:r>
      <w:r w:rsidR="006C5585" w:rsidRPr="00C57330">
        <w:rPr>
          <w:noProof/>
        </w:rPr>
        <w:t>9</w:t>
      </w:r>
      <w:r w:rsidR="007469A8" w:rsidRPr="00C57330">
        <w:rPr>
          <w:noProof/>
        </w:rPr>
        <w:t>3/42/EWG</w:t>
      </w:r>
      <w:r w:rsidR="007469A8" w:rsidRPr="00C57330">
        <w:rPr>
          <w:rStyle w:val="FootnoteReference"/>
          <w:noProof/>
        </w:rPr>
        <w:footnoteReference w:id="23"/>
      </w:r>
      <w:r w:rsidR="007469A8" w:rsidRPr="00C57330">
        <w:rPr>
          <w:noProof/>
        </w:rPr>
        <w:t xml:space="preserve"> oraz dyrektywie 98/79/WE Parlamentu Europejskiego</w:t>
      </w:r>
      <w:r w:rsidR="006C5585" w:rsidRPr="00C57330">
        <w:rPr>
          <w:noProof/>
        </w:rPr>
        <w:t xml:space="preserve"> i</w:t>
      </w:r>
      <w:r w:rsidR="006C5585">
        <w:rPr>
          <w:noProof/>
        </w:rPr>
        <w:t> </w:t>
      </w:r>
      <w:r w:rsidR="006C5585" w:rsidRPr="00C57330">
        <w:rPr>
          <w:noProof/>
        </w:rPr>
        <w:t>Rad</w:t>
      </w:r>
      <w:r w:rsidR="007469A8" w:rsidRPr="00C57330">
        <w:rPr>
          <w:noProof/>
        </w:rPr>
        <w:t>y</w:t>
      </w:r>
      <w:r w:rsidR="007469A8" w:rsidRPr="00C57330">
        <w:rPr>
          <w:rStyle w:val="FootnoteReference"/>
          <w:noProof/>
        </w:rPr>
        <w:footnoteReference w:id="24"/>
      </w:r>
      <w:r w:rsidR="007469A8" w:rsidRPr="00C57330">
        <w:rPr>
          <w:noProof/>
        </w:rPr>
        <w:t>, takie jak nadzór nad jednostkami notyfikowanymi, procedury oceny zgodności, wymogi dotyczące dowodów klinicznych, obserwacja</w:t>
      </w:r>
      <w:r w:rsidR="006C5585" w:rsidRPr="00C57330">
        <w:rPr>
          <w:noProof/>
        </w:rPr>
        <w:t xml:space="preserve"> i</w:t>
      </w:r>
      <w:r w:rsidR="006C5585">
        <w:rPr>
          <w:noProof/>
        </w:rPr>
        <w:t> </w:t>
      </w:r>
      <w:r w:rsidR="006C5585" w:rsidRPr="00C57330">
        <w:rPr>
          <w:noProof/>
        </w:rPr>
        <w:t>nad</w:t>
      </w:r>
      <w:r w:rsidR="007469A8" w:rsidRPr="00C57330">
        <w:rPr>
          <w:noProof/>
        </w:rPr>
        <w:t>zór rynku,</w:t>
      </w:r>
      <w:r w:rsidR="006C5585" w:rsidRPr="00C57330">
        <w:rPr>
          <w:noProof/>
        </w:rPr>
        <w:t xml:space="preserve"> a</w:t>
      </w:r>
      <w:r w:rsidR="006C5585">
        <w:rPr>
          <w:noProof/>
        </w:rPr>
        <w:t> </w:t>
      </w:r>
      <w:r w:rsidR="006C5585" w:rsidRPr="00C57330">
        <w:rPr>
          <w:noProof/>
        </w:rPr>
        <w:t>jed</w:t>
      </w:r>
      <w:r w:rsidR="007469A8" w:rsidRPr="00C57330">
        <w:rPr>
          <w:noProof/>
        </w:rPr>
        <w:t>nocześnie wprowadzają przepisy zapewniające przejrzystość</w:t>
      </w:r>
      <w:r w:rsidR="006C5585" w:rsidRPr="00C57330">
        <w:rPr>
          <w:noProof/>
        </w:rPr>
        <w:t xml:space="preserve"> i</w:t>
      </w:r>
      <w:r w:rsidR="006C5585">
        <w:rPr>
          <w:noProof/>
        </w:rPr>
        <w:t> </w:t>
      </w:r>
      <w:r w:rsidR="006C5585" w:rsidRPr="00C57330">
        <w:rPr>
          <w:noProof/>
        </w:rPr>
        <w:t>ide</w:t>
      </w:r>
      <w:r w:rsidR="007469A8" w:rsidRPr="00C57330">
        <w:rPr>
          <w:noProof/>
        </w:rPr>
        <w:t>ntyfikowalność</w:t>
      </w:r>
      <w:r w:rsidR="006C5585" w:rsidRPr="00C57330">
        <w:rPr>
          <w:noProof/>
        </w:rPr>
        <w:t xml:space="preserve"> w</w:t>
      </w:r>
      <w:r w:rsidR="006C5585">
        <w:rPr>
          <w:noProof/>
        </w:rPr>
        <w:t> </w:t>
      </w:r>
      <w:r w:rsidR="006C5585" w:rsidRPr="00C57330">
        <w:rPr>
          <w:noProof/>
        </w:rPr>
        <w:t>odn</w:t>
      </w:r>
      <w:r w:rsidR="007469A8" w:rsidRPr="00C57330">
        <w:rPr>
          <w:noProof/>
        </w:rPr>
        <w:t xml:space="preserve">iesieniu do wyrobów medycznych oraz wyrobów medycznych do diagnostyki </w:t>
      </w:r>
      <w:r w:rsidR="007469A8" w:rsidRPr="00C57330">
        <w:rPr>
          <w:i/>
          <w:noProof/>
        </w:rPr>
        <w:t>in vitro</w:t>
      </w:r>
      <w:r w:rsidR="007469A8" w:rsidRPr="00C57330">
        <w:rPr>
          <w:noProof/>
        </w:rPr>
        <w:t>.</w:t>
      </w:r>
    </w:p>
    <w:p w14:paraId="5EA1BD32" w14:textId="5EF840F6" w:rsidR="0020057D" w:rsidRPr="00C57330" w:rsidRDefault="000E65B6" w:rsidP="000E65B6">
      <w:pPr>
        <w:pStyle w:val="ManualConsidrant"/>
        <w:rPr>
          <w:noProof/>
        </w:rPr>
      </w:pPr>
      <w:r w:rsidRPr="000E65B6">
        <w:t>(2)</w:t>
      </w:r>
      <w:r w:rsidRPr="000E65B6">
        <w:tab/>
      </w:r>
      <w:r w:rsidR="007469A8" w:rsidRPr="00C57330">
        <w:rPr>
          <w:noProof/>
        </w:rPr>
        <w:t>Ze względu na wpływ pandemii COVID-19 rozporządzeniem Parlamentu Europejskiego</w:t>
      </w:r>
      <w:r w:rsidR="006C5585" w:rsidRPr="00C57330">
        <w:rPr>
          <w:noProof/>
        </w:rPr>
        <w:t xml:space="preserve"> i</w:t>
      </w:r>
      <w:r w:rsidR="006C5585">
        <w:rPr>
          <w:noProof/>
        </w:rPr>
        <w:t> </w:t>
      </w:r>
      <w:r w:rsidR="006C5585" w:rsidRPr="00C57330">
        <w:rPr>
          <w:noProof/>
        </w:rPr>
        <w:t>Rad</w:t>
      </w:r>
      <w:r w:rsidR="007469A8" w:rsidRPr="00C57330">
        <w:rPr>
          <w:noProof/>
        </w:rPr>
        <w:t>y (UE) 2020/561</w:t>
      </w:r>
      <w:r w:rsidR="007469A8" w:rsidRPr="00C57330">
        <w:rPr>
          <w:rStyle w:val="FootnoteReference"/>
          <w:noProof/>
        </w:rPr>
        <w:footnoteReference w:id="25"/>
      </w:r>
      <w:r w:rsidR="007469A8" w:rsidRPr="00C57330">
        <w:rPr>
          <w:noProof/>
        </w:rPr>
        <w:t xml:space="preserve"> przesunięto</w:t>
      </w:r>
      <w:r w:rsidR="006C5585" w:rsidRPr="00C57330">
        <w:rPr>
          <w:noProof/>
        </w:rPr>
        <w:t xml:space="preserve"> o</w:t>
      </w:r>
      <w:r w:rsidR="006C5585">
        <w:rPr>
          <w:noProof/>
        </w:rPr>
        <w:t> </w:t>
      </w:r>
      <w:r w:rsidR="006C5585" w:rsidRPr="00C57330">
        <w:rPr>
          <w:noProof/>
        </w:rPr>
        <w:t>rok</w:t>
      </w:r>
      <w:r w:rsidR="007469A8" w:rsidRPr="00C57330">
        <w:rPr>
          <w:noProof/>
        </w:rPr>
        <w:t xml:space="preserve"> datę rozpoczęcia stosowania rozporządzenia (UE) 2017/745 na dzień 26 maja 20</w:t>
      </w:r>
      <w:r w:rsidR="007469A8" w:rsidRPr="006C5585">
        <w:rPr>
          <w:noProof/>
        </w:rPr>
        <w:t>21</w:t>
      </w:r>
      <w:r w:rsidR="006C5585" w:rsidRPr="006C5585">
        <w:rPr>
          <w:noProof/>
        </w:rPr>
        <w:t> </w:t>
      </w:r>
      <w:r w:rsidR="007469A8" w:rsidRPr="006C5585">
        <w:rPr>
          <w:noProof/>
        </w:rPr>
        <w:t>r.</w:t>
      </w:r>
      <w:r w:rsidR="007469A8" w:rsidRPr="00C57330">
        <w:rPr>
          <w:noProof/>
        </w:rPr>
        <w:t>, przy czym utrzymano datę 26 maja 20</w:t>
      </w:r>
      <w:r w:rsidR="007469A8" w:rsidRPr="006C5585">
        <w:rPr>
          <w:noProof/>
        </w:rPr>
        <w:t>24</w:t>
      </w:r>
      <w:r w:rsidR="006C5585" w:rsidRPr="006C5585">
        <w:rPr>
          <w:noProof/>
        </w:rPr>
        <w:t> </w:t>
      </w:r>
      <w:r w:rsidR="007469A8" w:rsidRPr="006C5585">
        <w:rPr>
          <w:noProof/>
        </w:rPr>
        <w:t>r.</w:t>
      </w:r>
      <w:r w:rsidR="007469A8" w:rsidRPr="00C57330">
        <w:rPr>
          <w:noProof/>
        </w:rPr>
        <w:t xml:space="preserve"> jako datę zakończenia okresu przejściowego,</w:t>
      </w:r>
      <w:r w:rsidR="006C5585" w:rsidRPr="00C57330">
        <w:rPr>
          <w:noProof/>
        </w:rPr>
        <w:t xml:space="preserve"> w</w:t>
      </w:r>
      <w:r w:rsidR="006C5585">
        <w:rPr>
          <w:noProof/>
        </w:rPr>
        <w:t> </w:t>
      </w:r>
      <w:r w:rsidR="006C5585" w:rsidRPr="00C57330">
        <w:rPr>
          <w:noProof/>
        </w:rPr>
        <w:t>któ</w:t>
      </w:r>
      <w:r w:rsidR="007469A8" w:rsidRPr="00C57330">
        <w:rPr>
          <w:noProof/>
        </w:rPr>
        <w:t>rym niektóre wyroby, nadal spełniające wymogi dyrektywy 90/385/EWG lub dyrektywy 93/42/EWG, mogą być wprowadzane do obrotu lub do używania.</w:t>
      </w:r>
    </w:p>
    <w:p w14:paraId="7DE3FFF3" w14:textId="01F2E999" w:rsidR="00C54DB5" w:rsidRPr="00C57330" w:rsidRDefault="000E65B6" w:rsidP="000E65B6">
      <w:pPr>
        <w:pStyle w:val="ManualConsidrant"/>
        <w:rPr>
          <w:noProof/>
        </w:rPr>
      </w:pPr>
      <w:r w:rsidRPr="000E65B6">
        <w:t>(3)</w:t>
      </w:r>
      <w:r w:rsidRPr="000E65B6">
        <w:tab/>
      </w:r>
      <w:r w:rsidR="00065AEA" w:rsidRPr="00C57330">
        <w:rPr>
          <w:noProof/>
        </w:rPr>
        <w:t>Również ze względu na wpływ pandemii COVID-19 okres przejściowy przewidziany</w:t>
      </w:r>
      <w:r w:rsidR="006C5585" w:rsidRPr="00C57330">
        <w:rPr>
          <w:noProof/>
        </w:rPr>
        <w:t xml:space="preserve"> w</w:t>
      </w:r>
      <w:r w:rsidR="006C5585">
        <w:rPr>
          <w:noProof/>
        </w:rPr>
        <w:t> </w:t>
      </w:r>
      <w:r w:rsidR="006C5585" w:rsidRPr="00C57330">
        <w:rPr>
          <w:noProof/>
        </w:rPr>
        <w:t>roz</w:t>
      </w:r>
      <w:r w:rsidR="00065AEA" w:rsidRPr="00C57330">
        <w:rPr>
          <w:noProof/>
        </w:rPr>
        <w:t>porządzeniu (UE) 2017/746 został już przedłużony rozporządzeniem Parlamentu Europejskiego</w:t>
      </w:r>
      <w:r w:rsidR="006C5585" w:rsidRPr="00C57330">
        <w:rPr>
          <w:noProof/>
        </w:rPr>
        <w:t xml:space="preserve"> i</w:t>
      </w:r>
      <w:r w:rsidR="006C5585">
        <w:rPr>
          <w:noProof/>
        </w:rPr>
        <w:t> </w:t>
      </w:r>
      <w:r w:rsidR="006C5585" w:rsidRPr="00C57330">
        <w:rPr>
          <w:noProof/>
        </w:rPr>
        <w:t>Rad</w:t>
      </w:r>
      <w:r w:rsidR="00065AEA" w:rsidRPr="00C57330">
        <w:rPr>
          <w:noProof/>
        </w:rPr>
        <w:t>y (UE) 2022/112</w:t>
      </w:r>
      <w:r w:rsidR="00065AEA" w:rsidRPr="00C57330">
        <w:rPr>
          <w:rStyle w:val="FootnoteReference"/>
          <w:noProof/>
        </w:rPr>
        <w:footnoteReference w:id="26"/>
      </w:r>
      <w:r w:rsidR="00C57330" w:rsidRPr="00C57330">
        <w:rPr>
          <w:noProof/>
        </w:rPr>
        <w:t xml:space="preserve">. </w:t>
      </w:r>
    </w:p>
    <w:p w14:paraId="2EDF16D9" w14:textId="231F46FC" w:rsidR="0020057D" w:rsidRPr="00C57330" w:rsidRDefault="000E65B6" w:rsidP="000E65B6">
      <w:pPr>
        <w:pStyle w:val="ManualConsidrant"/>
        <w:rPr>
          <w:noProof/>
        </w:rPr>
      </w:pPr>
      <w:r w:rsidRPr="000E65B6">
        <w:t>(4)</w:t>
      </w:r>
      <w:r w:rsidRPr="000E65B6">
        <w:tab/>
      </w:r>
      <w:r w:rsidR="000720BE" w:rsidRPr="00C57330">
        <w:rPr>
          <w:noProof/>
        </w:rPr>
        <w:t>Pomimo stałego wzrostu liczby jednostek notyfikowanych wyznaczonych zgodnie</w:t>
      </w:r>
      <w:r w:rsidR="006C5585" w:rsidRPr="00C57330">
        <w:rPr>
          <w:noProof/>
        </w:rPr>
        <w:t xml:space="preserve"> z</w:t>
      </w:r>
      <w:r w:rsidR="006C5585">
        <w:rPr>
          <w:noProof/>
        </w:rPr>
        <w:t> </w:t>
      </w:r>
      <w:r w:rsidR="006C5585" w:rsidRPr="00C57330">
        <w:rPr>
          <w:noProof/>
        </w:rPr>
        <w:t>roz</w:t>
      </w:r>
      <w:r w:rsidR="000720BE" w:rsidRPr="00C57330">
        <w:rPr>
          <w:noProof/>
        </w:rPr>
        <w:t>porządzeniem (UE) 2017/745 ogólna zdolność jednostek notyfikowanych jest nadal niewystarczająca, aby zapewnić ocenę zgodności dużej liczby wyrobów objętych certyfikatami wydanymi na podstawie dyrektywy 90/385/EWG lub dyrektywy 93/42/EWG przed 26 maja 20</w:t>
      </w:r>
      <w:r w:rsidR="000720BE" w:rsidRPr="006C5585">
        <w:rPr>
          <w:noProof/>
        </w:rPr>
        <w:t>24</w:t>
      </w:r>
      <w:r w:rsidR="006C5585" w:rsidRPr="006C5585">
        <w:rPr>
          <w:noProof/>
        </w:rPr>
        <w:t> </w:t>
      </w:r>
      <w:r w:rsidR="000720BE" w:rsidRPr="006C5585">
        <w:rPr>
          <w:noProof/>
        </w:rPr>
        <w:t>r.</w:t>
      </w:r>
      <w:r w:rsidR="000720BE" w:rsidRPr="00C57330">
        <w:rPr>
          <w:noProof/>
        </w:rPr>
        <w:t xml:space="preserve"> Wydaje się, że znaczna liczba producentów, zwłaszcza małych</w:t>
      </w:r>
      <w:r w:rsidR="006C5585" w:rsidRPr="00C57330">
        <w:rPr>
          <w:noProof/>
        </w:rPr>
        <w:t xml:space="preserve"> i</w:t>
      </w:r>
      <w:r w:rsidR="006C5585">
        <w:rPr>
          <w:noProof/>
        </w:rPr>
        <w:t> </w:t>
      </w:r>
      <w:r w:rsidR="006C5585" w:rsidRPr="00C57330">
        <w:rPr>
          <w:noProof/>
        </w:rPr>
        <w:t>śre</w:t>
      </w:r>
      <w:r w:rsidR="000720BE" w:rsidRPr="00C57330">
        <w:rPr>
          <w:noProof/>
        </w:rPr>
        <w:t>dnich przedsiębiorstw, nie jest wystarczająco przygotowana do wykazania zgodności</w:t>
      </w:r>
      <w:r w:rsidR="006C5585" w:rsidRPr="00C57330">
        <w:rPr>
          <w:noProof/>
        </w:rPr>
        <w:t xml:space="preserve"> z</w:t>
      </w:r>
      <w:r w:rsidR="006C5585">
        <w:rPr>
          <w:noProof/>
        </w:rPr>
        <w:t> </w:t>
      </w:r>
      <w:r w:rsidR="006C5585" w:rsidRPr="00C57330">
        <w:rPr>
          <w:noProof/>
        </w:rPr>
        <w:t>wym</w:t>
      </w:r>
      <w:r w:rsidR="000720BE" w:rsidRPr="00C57330">
        <w:rPr>
          <w:noProof/>
        </w:rPr>
        <w:t>ogami rozporządzenia (UE) 2017/745, biorąc pod uwagę również złożoność tych nowych wymogów</w:t>
      </w:r>
      <w:r w:rsidR="006C5585" w:rsidRPr="00C57330">
        <w:rPr>
          <w:noProof/>
        </w:rPr>
        <w:t>. W</w:t>
      </w:r>
      <w:r w:rsidR="006C5585">
        <w:rPr>
          <w:noProof/>
        </w:rPr>
        <w:t> </w:t>
      </w:r>
      <w:r w:rsidR="006C5585" w:rsidRPr="00C57330">
        <w:rPr>
          <w:noProof/>
        </w:rPr>
        <w:t>zwi</w:t>
      </w:r>
      <w:r w:rsidR="000720BE" w:rsidRPr="00C57330">
        <w:rPr>
          <w:noProof/>
        </w:rPr>
        <w:t>ązku</w:t>
      </w:r>
      <w:r w:rsidR="006C5585" w:rsidRPr="00C57330">
        <w:rPr>
          <w:noProof/>
        </w:rPr>
        <w:t xml:space="preserve"> z</w:t>
      </w:r>
      <w:r w:rsidR="006C5585">
        <w:rPr>
          <w:noProof/>
        </w:rPr>
        <w:t> </w:t>
      </w:r>
      <w:r w:rsidR="006C5585" w:rsidRPr="00C57330">
        <w:rPr>
          <w:noProof/>
        </w:rPr>
        <w:t>tym</w:t>
      </w:r>
      <w:r w:rsidR="000720BE" w:rsidRPr="00C57330">
        <w:rPr>
          <w:noProof/>
        </w:rPr>
        <w:t xml:space="preserve"> istnieje duże prawdopodobieństwo, że wiele wyrobów, które mogą być wprowadzane do obrotu zgodnie</w:t>
      </w:r>
      <w:r w:rsidR="006C5585" w:rsidRPr="00C57330">
        <w:rPr>
          <w:noProof/>
        </w:rPr>
        <w:t xml:space="preserve"> z</w:t>
      </w:r>
      <w:r w:rsidR="006C5585">
        <w:rPr>
          <w:noProof/>
        </w:rPr>
        <w:t> </w:t>
      </w:r>
      <w:r w:rsidR="006C5585" w:rsidRPr="00C57330">
        <w:rPr>
          <w:noProof/>
        </w:rPr>
        <w:t>prz</w:t>
      </w:r>
      <w:r w:rsidR="000720BE" w:rsidRPr="00C57330">
        <w:rPr>
          <w:noProof/>
        </w:rPr>
        <w:t>episami przejściowymi przewidzianymi</w:t>
      </w:r>
      <w:r w:rsidR="006C5585" w:rsidRPr="00C57330">
        <w:rPr>
          <w:noProof/>
        </w:rPr>
        <w:t xml:space="preserve"> w</w:t>
      </w:r>
      <w:r w:rsidR="006C5585">
        <w:rPr>
          <w:noProof/>
        </w:rPr>
        <w:t> </w:t>
      </w:r>
      <w:r w:rsidR="006C5585" w:rsidRPr="00C57330">
        <w:rPr>
          <w:noProof/>
        </w:rPr>
        <w:t>roz</w:t>
      </w:r>
      <w:r w:rsidR="000720BE" w:rsidRPr="00C57330">
        <w:rPr>
          <w:noProof/>
        </w:rPr>
        <w:t>porządzeniu (UE) 2017/745, nie uzyska certyfikacji zgodnie</w:t>
      </w:r>
      <w:r w:rsidR="006C5585" w:rsidRPr="00C57330">
        <w:rPr>
          <w:noProof/>
        </w:rPr>
        <w:t xml:space="preserve"> z</w:t>
      </w:r>
      <w:r w:rsidR="006C5585">
        <w:rPr>
          <w:noProof/>
        </w:rPr>
        <w:t> </w:t>
      </w:r>
      <w:r w:rsidR="006C5585" w:rsidRPr="00C57330">
        <w:rPr>
          <w:noProof/>
        </w:rPr>
        <w:t>tym</w:t>
      </w:r>
      <w:r w:rsidR="000720BE" w:rsidRPr="00C57330">
        <w:rPr>
          <w:noProof/>
        </w:rPr>
        <w:t xml:space="preserve"> rozporządzeniem przed zakończeniem okresu przejściowego, co powoduje ryzyko wystąpienia niedoborów wyrobów medycznych</w:t>
      </w:r>
      <w:r w:rsidR="006C5585" w:rsidRPr="00C57330">
        <w:rPr>
          <w:noProof/>
        </w:rPr>
        <w:t xml:space="preserve"> w</w:t>
      </w:r>
      <w:r w:rsidR="006C5585">
        <w:rPr>
          <w:noProof/>
        </w:rPr>
        <w:t> </w:t>
      </w:r>
      <w:r w:rsidR="006C5585" w:rsidRPr="00C57330">
        <w:rPr>
          <w:noProof/>
        </w:rPr>
        <w:t>Uni</w:t>
      </w:r>
      <w:r w:rsidR="000720BE" w:rsidRPr="00C57330">
        <w:rPr>
          <w:noProof/>
        </w:rPr>
        <w:t>i.</w:t>
      </w:r>
    </w:p>
    <w:p w14:paraId="3F7C4931" w14:textId="14588627" w:rsidR="007E629B" w:rsidRPr="00C57330" w:rsidRDefault="000E65B6" w:rsidP="000E65B6">
      <w:pPr>
        <w:pStyle w:val="ManualConsidrant"/>
        <w:rPr>
          <w:noProof/>
        </w:rPr>
      </w:pPr>
      <w:r w:rsidRPr="000E65B6">
        <w:t>(5)</w:t>
      </w:r>
      <w:r w:rsidRPr="000E65B6">
        <w:tab/>
      </w:r>
      <w:r w:rsidR="009D2318" w:rsidRPr="00C57330">
        <w:rPr>
          <w:noProof/>
        </w:rPr>
        <w:t>W związku ze zgłoszeniami pracowników służby zdrowia dotyczącymi bezpośredniego ryzyka wystąpienia niedoborów wyrobów medycznych konieczne jest przedłużenie</w:t>
      </w:r>
      <w:r w:rsidR="006C5585" w:rsidRPr="00C57330">
        <w:rPr>
          <w:noProof/>
        </w:rPr>
        <w:t xml:space="preserve"> w</w:t>
      </w:r>
      <w:r w:rsidR="006C5585">
        <w:rPr>
          <w:noProof/>
        </w:rPr>
        <w:t> </w:t>
      </w:r>
      <w:r w:rsidR="006C5585" w:rsidRPr="00C57330">
        <w:rPr>
          <w:noProof/>
        </w:rPr>
        <w:t>try</w:t>
      </w:r>
      <w:r w:rsidR="009D2318" w:rsidRPr="00C57330">
        <w:rPr>
          <w:noProof/>
        </w:rPr>
        <w:t>bie pilnym ważności certyfikatów wydanych na podstawie dyrektyw 90/385/EWG</w:t>
      </w:r>
      <w:r w:rsidR="006C5585" w:rsidRPr="00C57330">
        <w:rPr>
          <w:noProof/>
        </w:rPr>
        <w:t xml:space="preserve"> i</w:t>
      </w:r>
      <w:r w:rsidR="006C5585">
        <w:rPr>
          <w:noProof/>
        </w:rPr>
        <w:t> </w:t>
      </w:r>
      <w:r w:rsidR="006C5585" w:rsidRPr="00C57330">
        <w:rPr>
          <w:noProof/>
        </w:rPr>
        <w:t>9</w:t>
      </w:r>
      <w:r w:rsidR="009D2318" w:rsidRPr="00C57330">
        <w:rPr>
          <w:noProof/>
        </w:rPr>
        <w:t>3/42/EWG oraz przedłużenie okresu przejściowego,</w:t>
      </w:r>
      <w:r w:rsidR="006C5585" w:rsidRPr="00C57330">
        <w:rPr>
          <w:noProof/>
        </w:rPr>
        <w:t xml:space="preserve"> w</w:t>
      </w:r>
      <w:r w:rsidR="006C5585">
        <w:rPr>
          <w:noProof/>
        </w:rPr>
        <w:t> </w:t>
      </w:r>
      <w:r w:rsidR="006C5585" w:rsidRPr="00C57330">
        <w:rPr>
          <w:noProof/>
        </w:rPr>
        <w:t>któ</w:t>
      </w:r>
      <w:r w:rsidR="009D2318" w:rsidRPr="00C57330">
        <w:rPr>
          <w:noProof/>
        </w:rPr>
        <w:t>rym wyroby zgodne</w:t>
      </w:r>
      <w:r w:rsidR="006C5585" w:rsidRPr="00C57330">
        <w:rPr>
          <w:noProof/>
        </w:rPr>
        <w:t xml:space="preserve"> z</w:t>
      </w:r>
      <w:r w:rsidR="006C5585">
        <w:rPr>
          <w:noProof/>
        </w:rPr>
        <w:t> </w:t>
      </w:r>
      <w:r w:rsidR="006C5585" w:rsidRPr="00C57330">
        <w:rPr>
          <w:noProof/>
        </w:rPr>
        <w:t>tym</w:t>
      </w:r>
      <w:r w:rsidR="009D2318" w:rsidRPr="00C57330">
        <w:rPr>
          <w:noProof/>
        </w:rPr>
        <w:t>i dyrektywami mogą być wprowadzane do obrotu. Przedłużenie powinno być wystarczająco długie, aby zapewnić jednostkom notyfikowanym czas potrzebny na przeprowadzenie wymaganych ocen zgodności. Przedłużenie ma na celu zapewnienie wysokiego poziomu ochrony zdrowia publicznego,</w:t>
      </w:r>
      <w:r w:rsidR="006C5585" w:rsidRPr="00C57330">
        <w:rPr>
          <w:noProof/>
        </w:rPr>
        <w:t xml:space="preserve"> w</w:t>
      </w:r>
      <w:r w:rsidR="006C5585">
        <w:rPr>
          <w:noProof/>
        </w:rPr>
        <w:t> </w:t>
      </w:r>
      <w:r w:rsidR="006C5585" w:rsidRPr="00C57330">
        <w:rPr>
          <w:noProof/>
        </w:rPr>
        <w:t>tym</w:t>
      </w:r>
      <w:r w:rsidR="009D2318" w:rsidRPr="00C57330">
        <w:rPr>
          <w:noProof/>
        </w:rPr>
        <w:t xml:space="preserve"> bezpieczeństwa pacjentów, oraz uniknięcie niedoborów wyrobów medycznych potrzebnych do sprawnego funkcjonowania służby zdrowia, bez obniżania obecnych wymogów</w:t>
      </w:r>
      <w:r w:rsidR="006C5585" w:rsidRPr="00C57330">
        <w:rPr>
          <w:noProof/>
        </w:rPr>
        <w:t xml:space="preserve"> w</w:t>
      </w:r>
      <w:r w:rsidR="006C5585">
        <w:rPr>
          <w:noProof/>
        </w:rPr>
        <w:t> </w:t>
      </w:r>
      <w:r w:rsidR="006C5585" w:rsidRPr="00C57330">
        <w:rPr>
          <w:noProof/>
        </w:rPr>
        <w:t>zak</w:t>
      </w:r>
      <w:r w:rsidR="009D2318" w:rsidRPr="00C57330">
        <w:rPr>
          <w:noProof/>
        </w:rPr>
        <w:t>resie jakości</w:t>
      </w:r>
      <w:r w:rsidR="006C5585" w:rsidRPr="00C57330">
        <w:rPr>
          <w:noProof/>
        </w:rPr>
        <w:t xml:space="preserve"> i</w:t>
      </w:r>
      <w:r w:rsidR="006C5585">
        <w:rPr>
          <w:noProof/>
        </w:rPr>
        <w:t> </w:t>
      </w:r>
      <w:r w:rsidR="006C5585" w:rsidRPr="00C57330">
        <w:rPr>
          <w:noProof/>
        </w:rPr>
        <w:t>bez</w:t>
      </w:r>
      <w:r w:rsidR="009D2318" w:rsidRPr="00C57330">
        <w:rPr>
          <w:noProof/>
        </w:rPr>
        <w:t>pieczeństwa.</w:t>
      </w:r>
    </w:p>
    <w:p w14:paraId="1E10A5C9" w14:textId="63A03685" w:rsidR="00F159A6" w:rsidRPr="00C57330" w:rsidRDefault="000E65B6" w:rsidP="000E65B6">
      <w:pPr>
        <w:pStyle w:val="ManualConsidrant"/>
        <w:rPr>
          <w:noProof/>
        </w:rPr>
      </w:pPr>
      <w:r w:rsidRPr="000E65B6">
        <w:t>(6)</w:t>
      </w:r>
      <w:r w:rsidRPr="000E65B6">
        <w:tab/>
      </w:r>
      <w:r w:rsidR="003F1470" w:rsidRPr="00C57330">
        <w:rPr>
          <w:noProof/>
        </w:rPr>
        <w:t>Przedłużenie powinno być uzależnione od spełnienia określonych warunków, co zapewni, aby tym nowym okresem przejściowym były objęte wyłącznie wyroby, które są bezpieczne</w:t>
      </w:r>
      <w:r w:rsidR="006C5585" w:rsidRPr="00C57330">
        <w:rPr>
          <w:noProof/>
        </w:rPr>
        <w:t xml:space="preserve"> i</w:t>
      </w:r>
      <w:r w:rsidR="006C5585">
        <w:rPr>
          <w:noProof/>
        </w:rPr>
        <w:t> </w:t>
      </w:r>
      <w:r w:rsidR="006C5585" w:rsidRPr="00C57330">
        <w:rPr>
          <w:noProof/>
        </w:rPr>
        <w:t>w</w:t>
      </w:r>
      <w:r w:rsidR="006C5585">
        <w:rPr>
          <w:noProof/>
        </w:rPr>
        <w:t> </w:t>
      </w:r>
      <w:r w:rsidR="006C5585" w:rsidRPr="00C57330">
        <w:rPr>
          <w:noProof/>
        </w:rPr>
        <w:t>prz</w:t>
      </w:r>
      <w:r w:rsidR="003F1470" w:rsidRPr="00C57330">
        <w:rPr>
          <w:noProof/>
        </w:rPr>
        <w:t>ypadku których producenci podjęli działania mające na celu przejście na stosowanie wymogów rozporządzenia (UE) 2017/745.</w:t>
      </w:r>
    </w:p>
    <w:p w14:paraId="7FB4C058" w14:textId="2AC85CE3" w:rsidR="00570A5E" w:rsidRPr="00C57330" w:rsidRDefault="000E65B6" w:rsidP="000E65B6">
      <w:pPr>
        <w:pStyle w:val="ManualConsidrant"/>
        <w:rPr>
          <w:noProof/>
        </w:rPr>
      </w:pPr>
      <w:r w:rsidRPr="000E65B6">
        <w:t>(7)</w:t>
      </w:r>
      <w:r w:rsidRPr="000E65B6">
        <w:tab/>
      </w:r>
      <w:r w:rsidR="00570A5E" w:rsidRPr="00C57330">
        <w:rPr>
          <w:noProof/>
        </w:rPr>
        <w:t>Aby zapewnić stopniowe przechodzenie do stosowania rozporządzenia (UE) 2017/745, odpowiedzialność za sprawowanie odpowiedniego nadzoru nad wyrobami objętymi okresem przejściowym należy ostatecznie przenieść</w:t>
      </w:r>
      <w:r w:rsidR="006C5585" w:rsidRPr="00C57330">
        <w:rPr>
          <w:noProof/>
        </w:rPr>
        <w:t xml:space="preserve"> z</w:t>
      </w:r>
      <w:r w:rsidR="006C5585">
        <w:rPr>
          <w:noProof/>
        </w:rPr>
        <w:t> </w:t>
      </w:r>
      <w:r w:rsidR="006C5585" w:rsidRPr="00C57330">
        <w:rPr>
          <w:noProof/>
        </w:rPr>
        <w:t>jed</w:t>
      </w:r>
      <w:r w:rsidR="00570A5E" w:rsidRPr="00C57330">
        <w:rPr>
          <w:noProof/>
        </w:rPr>
        <w:t>nostki, która wydała certyfikat zgodnie</w:t>
      </w:r>
      <w:r w:rsidR="006C5585" w:rsidRPr="00C57330">
        <w:rPr>
          <w:noProof/>
        </w:rPr>
        <w:t xml:space="preserve"> z</w:t>
      </w:r>
      <w:r w:rsidR="006C5585">
        <w:rPr>
          <w:noProof/>
        </w:rPr>
        <w:t> </w:t>
      </w:r>
      <w:r w:rsidR="006C5585" w:rsidRPr="00C57330">
        <w:rPr>
          <w:noProof/>
        </w:rPr>
        <w:t>dyr</w:t>
      </w:r>
      <w:r w:rsidR="00570A5E" w:rsidRPr="00C57330">
        <w:rPr>
          <w:noProof/>
        </w:rPr>
        <w:t>ektywą 90/385/EWG lub dyrektywą 93/42/EWG, na jednostkę notyfikowaną wyznaczoną na podstawie rozporządzenia (UE) 2017/745. Mając na uwadze pewność prawa, należy określić, że jednostka notyfikowana nie powinna być odpowiedzialna za działania</w:t>
      </w:r>
      <w:r w:rsidR="006C5585" w:rsidRPr="00C57330">
        <w:rPr>
          <w:noProof/>
        </w:rPr>
        <w:t xml:space="preserve"> w</w:t>
      </w:r>
      <w:r w:rsidR="006C5585">
        <w:rPr>
          <w:noProof/>
        </w:rPr>
        <w:t> </w:t>
      </w:r>
      <w:r w:rsidR="006C5585" w:rsidRPr="00C57330">
        <w:rPr>
          <w:noProof/>
        </w:rPr>
        <w:t>ram</w:t>
      </w:r>
      <w:r w:rsidR="00570A5E" w:rsidRPr="00C57330">
        <w:rPr>
          <w:noProof/>
        </w:rPr>
        <w:t>ach oceny zgodności</w:t>
      </w:r>
      <w:r w:rsidR="006C5585" w:rsidRPr="00C57330">
        <w:rPr>
          <w:noProof/>
        </w:rPr>
        <w:t xml:space="preserve"> i</w:t>
      </w:r>
      <w:r w:rsidR="006C5585">
        <w:rPr>
          <w:noProof/>
        </w:rPr>
        <w:t> </w:t>
      </w:r>
      <w:r w:rsidR="006C5585" w:rsidRPr="00C57330">
        <w:rPr>
          <w:noProof/>
        </w:rPr>
        <w:t>nad</w:t>
      </w:r>
      <w:r w:rsidR="00570A5E" w:rsidRPr="00C57330">
        <w:rPr>
          <w:noProof/>
        </w:rPr>
        <w:t>zoru prowadzone</w:t>
      </w:r>
      <w:r w:rsidR="00C57330" w:rsidRPr="00C57330">
        <w:rPr>
          <w:noProof/>
        </w:rPr>
        <w:t xml:space="preserve"> przez jednostkę ustępującą.</w:t>
      </w:r>
    </w:p>
    <w:p w14:paraId="5443F63D" w14:textId="6F6903EC" w:rsidR="00962FD8" w:rsidRPr="00C57330" w:rsidRDefault="000E65B6" w:rsidP="000E65B6">
      <w:pPr>
        <w:pStyle w:val="ManualConsidrant"/>
        <w:rPr>
          <w:noProof/>
        </w:rPr>
      </w:pPr>
      <w:r w:rsidRPr="000E65B6">
        <w:t>(8)</w:t>
      </w:r>
      <w:r w:rsidRPr="000E65B6">
        <w:tab/>
      </w:r>
      <w:r w:rsidR="00962FD8" w:rsidRPr="00C57330">
        <w:rPr>
          <w:noProof/>
        </w:rPr>
        <w:t>W odniesieniu do okresu niezbędnego do zapewnienia producentom</w:t>
      </w:r>
      <w:r w:rsidR="006C5585" w:rsidRPr="00C57330">
        <w:rPr>
          <w:noProof/>
        </w:rPr>
        <w:t xml:space="preserve"> i</w:t>
      </w:r>
      <w:r w:rsidR="006C5585">
        <w:rPr>
          <w:noProof/>
        </w:rPr>
        <w:t> </w:t>
      </w:r>
      <w:r w:rsidR="006C5585" w:rsidRPr="00C57330">
        <w:rPr>
          <w:noProof/>
        </w:rPr>
        <w:t>jed</w:t>
      </w:r>
      <w:r w:rsidR="00962FD8" w:rsidRPr="00C57330">
        <w:rPr>
          <w:noProof/>
        </w:rPr>
        <w:t>nostkom notyfikowanym możliwości przeprowadzania oceny zgodności zgodnie</w:t>
      </w:r>
      <w:r w:rsidR="006C5585" w:rsidRPr="00C57330">
        <w:rPr>
          <w:noProof/>
        </w:rPr>
        <w:t xml:space="preserve"> z</w:t>
      </w:r>
      <w:r w:rsidR="006C5585">
        <w:rPr>
          <w:noProof/>
        </w:rPr>
        <w:t> </w:t>
      </w:r>
      <w:r w:rsidR="006C5585" w:rsidRPr="00C57330">
        <w:rPr>
          <w:noProof/>
        </w:rPr>
        <w:t>roz</w:t>
      </w:r>
      <w:r w:rsidR="00962FD8" w:rsidRPr="00C57330">
        <w:rPr>
          <w:noProof/>
        </w:rPr>
        <w:t>porządzeniem (UE) 2017/745</w:t>
      </w:r>
      <w:r w:rsidR="006C5585" w:rsidRPr="00C57330">
        <w:rPr>
          <w:noProof/>
        </w:rPr>
        <w:t xml:space="preserve"> w</w:t>
      </w:r>
      <w:r w:rsidR="006C5585">
        <w:rPr>
          <w:noProof/>
        </w:rPr>
        <w:t> </w:t>
      </w:r>
      <w:r w:rsidR="006C5585" w:rsidRPr="00C57330">
        <w:rPr>
          <w:noProof/>
        </w:rPr>
        <w:t>odn</w:t>
      </w:r>
      <w:r w:rsidR="00962FD8" w:rsidRPr="00C57330">
        <w:rPr>
          <w:noProof/>
        </w:rPr>
        <w:t>iesieniu do wyrobów medycznych, na których umieszczono oznakowanie CE zgodnie</w:t>
      </w:r>
      <w:r w:rsidR="006C5585" w:rsidRPr="00C57330">
        <w:rPr>
          <w:noProof/>
        </w:rPr>
        <w:t xml:space="preserve"> z</w:t>
      </w:r>
      <w:r w:rsidR="006C5585">
        <w:rPr>
          <w:noProof/>
        </w:rPr>
        <w:t> </w:t>
      </w:r>
      <w:r w:rsidR="006C5585" w:rsidRPr="00C57330">
        <w:rPr>
          <w:noProof/>
        </w:rPr>
        <w:t>dyr</w:t>
      </w:r>
      <w:r w:rsidR="00962FD8" w:rsidRPr="00C57330">
        <w:rPr>
          <w:noProof/>
        </w:rPr>
        <w:t>ektywą 90/385/EWG lub dyrektywą 93/42/EWG, należy dążyć do równowagi między ograniczonymi dostępnymi zdolnościami jednostek notyfikowanych</w:t>
      </w:r>
      <w:r w:rsidR="006C5585" w:rsidRPr="00C57330">
        <w:rPr>
          <w:noProof/>
        </w:rPr>
        <w:t xml:space="preserve"> a</w:t>
      </w:r>
      <w:r w:rsidR="006C5585">
        <w:rPr>
          <w:noProof/>
        </w:rPr>
        <w:t> </w:t>
      </w:r>
      <w:r w:rsidR="006C5585" w:rsidRPr="00C57330">
        <w:rPr>
          <w:noProof/>
        </w:rPr>
        <w:t>kon</w:t>
      </w:r>
      <w:r w:rsidR="00962FD8" w:rsidRPr="00C57330">
        <w:rPr>
          <w:noProof/>
        </w:rPr>
        <w:t>iecznością zagwarantowania wysokiego poziomu bezpieczeństwa pacjentów</w:t>
      </w:r>
      <w:r w:rsidR="006C5585" w:rsidRPr="00C57330">
        <w:rPr>
          <w:noProof/>
        </w:rPr>
        <w:t xml:space="preserve"> i</w:t>
      </w:r>
      <w:r w:rsidR="006C5585">
        <w:rPr>
          <w:noProof/>
        </w:rPr>
        <w:t> </w:t>
      </w:r>
      <w:r w:rsidR="006C5585" w:rsidRPr="00C57330">
        <w:rPr>
          <w:noProof/>
        </w:rPr>
        <w:t>och</w:t>
      </w:r>
      <w:r w:rsidR="00962FD8" w:rsidRPr="00C57330">
        <w:rPr>
          <w:noProof/>
        </w:rPr>
        <w:t>rony zdrowia publicznego. Długość okresu przejściowego powinna zatem zależeć od klasy ryzyka danego wyrobu medycznego, tak aby okres ten był krótszy</w:t>
      </w:r>
      <w:r w:rsidR="006C5585" w:rsidRPr="00C57330">
        <w:rPr>
          <w:noProof/>
        </w:rPr>
        <w:t xml:space="preserve"> w</w:t>
      </w:r>
      <w:r w:rsidR="006C5585">
        <w:rPr>
          <w:noProof/>
        </w:rPr>
        <w:t> </w:t>
      </w:r>
      <w:r w:rsidR="006C5585" w:rsidRPr="00C57330">
        <w:rPr>
          <w:noProof/>
        </w:rPr>
        <w:t>prz</w:t>
      </w:r>
      <w:r w:rsidR="00962FD8" w:rsidRPr="00C57330">
        <w:rPr>
          <w:noProof/>
        </w:rPr>
        <w:t>ypadku wyrobów należących do wyższej klasy ryzyka</w:t>
      </w:r>
      <w:r w:rsidR="006C5585" w:rsidRPr="00C57330">
        <w:rPr>
          <w:noProof/>
        </w:rPr>
        <w:t xml:space="preserve"> a</w:t>
      </w:r>
      <w:r w:rsidR="006C5585">
        <w:rPr>
          <w:noProof/>
        </w:rPr>
        <w:t> </w:t>
      </w:r>
      <w:r w:rsidR="006C5585" w:rsidRPr="00C57330">
        <w:rPr>
          <w:noProof/>
        </w:rPr>
        <w:t>dłu</w:t>
      </w:r>
      <w:r w:rsidR="00962FD8" w:rsidRPr="00C57330">
        <w:rPr>
          <w:noProof/>
        </w:rPr>
        <w:t>ższy</w:t>
      </w:r>
      <w:r w:rsidR="006C5585" w:rsidRPr="00C57330">
        <w:rPr>
          <w:noProof/>
        </w:rPr>
        <w:t xml:space="preserve"> w</w:t>
      </w:r>
      <w:r w:rsidR="006C5585">
        <w:rPr>
          <w:noProof/>
        </w:rPr>
        <w:t> </w:t>
      </w:r>
      <w:r w:rsidR="006C5585" w:rsidRPr="00C57330">
        <w:rPr>
          <w:noProof/>
        </w:rPr>
        <w:t>prz</w:t>
      </w:r>
      <w:r w:rsidR="00962FD8" w:rsidRPr="00C57330">
        <w:rPr>
          <w:noProof/>
        </w:rPr>
        <w:t>ypadku wyrobów należących do niższej klasy ryzyka.</w:t>
      </w:r>
    </w:p>
    <w:p w14:paraId="4E4A6F2E" w14:textId="4D23BF26" w:rsidR="00674F7B" w:rsidRPr="00C57330" w:rsidRDefault="000E65B6" w:rsidP="000E65B6">
      <w:pPr>
        <w:pStyle w:val="ManualConsidrant"/>
        <w:rPr>
          <w:noProof/>
        </w:rPr>
      </w:pPr>
      <w:r w:rsidRPr="000E65B6">
        <w:t>(9)</w:t>
      </w:r>
      <w:r w:rsidRPr="000E65B6">
        <w:tab/>
      </w:r>
      <w:r w:rsidR="00674F7B" w:rsidRPr="00C57330">
        <w:rPr>
          <w:noProof/>
        </w:rPr>
        <w:t>W przeciwieństwie do dyrektyw 90/385/EWG</w:t>
      </w:r>
      <w:r w:rsidR="006C5585" w:rsidRPr="00C57330">
        <w:rPr>
          <w:noProof/>
        </w:rPr>
        <w:t xml:space="preserve"> i</w:t>
      </w:r>
      <w:r w:rsidR="006C5585">
        <w:rPr>
          <w:noProof/>
        </w:rPr>
        <w:t> </w:t>
      </w:r>
      <w:r w:rsidR="006C5585" w:rsidRPr="00C57330">
        <w:rPr>
          <w:noProof/>
        </w:rPr>
        <w:t>9</w:t>
      </w:r>
      <w:r w:rsidR="00674F7B" w:rsidRPr="00C57330">
        <w:rPr>
          <w:noProof/>
        </w:rPr>
        <w:t>3/42/EWG</w:t>
      </w:r>
      <w:r w:rsidR="006C5585" w:rsidRPr="00C57330">
        <w:rPr>
          <w:noProof/>
        </w:rPr>
        <w:t xml:space="preserve"> w</w:t>
      </w:r>
      <w:r w:rsidR="006C5585">
        <w:rPr>
          <w:noProof/>
        </w:rPr>
        <w:t> </w:t>
      </w:r>
      <w:r w:rsidR="006C5585" w:rsidRPr="00C57330">
        <w:rPr>
          <w:noProof/>
        </w:rPr>
        <w:t>roz</w:t>
      </w:r>
      <w:r w:rsidR="00674F7B" w:rsidRPr="00C57330">
        <w:rPr>
          <w:noProof/>
        </w:rPr>
        <w:t>porządzeniu (UE) 2017/745 określono wymóg udziału jednostki notyfikowanej</w:t>
      </w:r>
      <w:r w:rsidR="006C5585" w:rsidRPr="00C57330">
        <w:rPr>
          <w:noProof/>
        </w:rPr>
        <w:t xml:space="preserve"> w</w:t>
      </w:r>
      <w:r w:rsidR="006C5585">
        <w:rPr>
          <w:noProof/>
        </w:rPr>
        <w:t> </w:t>
      </w:r>
      <w:r w:rsidR="006C5585" w:rsidRPr="00C57330">
        <w:rPr>
          <w:noProof/>
        </w:rPr>
        <w:t>oce</w:t>
      </w:r>
      <w:r w:rsidR="00674F7B" w:rsidRPr="00C57330">
        <w:rPr>
          <w:noProof/>
        </w:rPr>
        <w:t>nie zgodności wykonanych na zamówienie wyrobów do implantacji klasy III. Mając na uwadze niewystarczające zdolności jednostek notyfikowanych oraz fakt, że producentami wyrobów wykonanych na zamówienie są często małe lub średnie przedsiębiorstwa, które nie miały dostępu do jednostki notyfikowanej na podstawie dyrektyw 90/385/EWG</w:t>
      </w:r>
      <w:r w:rsidR="006C5585" w:rsidRPr="00C57330">
        <w:rPr>
          <w:noProof/>
        </w:rPr>
        <w:t xml:space="preserve"> i</w:t>
      </w:r>
      <w:r w:rsidR="006C5585">
        <w:rPr>
          <w:noProof/>
        </w:rPr>
        <w:t> </w:t>
      </w:r>
      <w:r w:rsidR="006C5585" w:rsidRPr="00C57330">
        <w:rPr>
          <w:noProof/>
        </w:rPr>
        <w:t>9</w:t>
      </w:r>
      <w:r w:rsidR="00674F7B" w:rsidRPr="00C57330">
        <w:rPr>
          <w:noProof/>
        </w:rPr>
        <w:t>3/42/EWG, należy przewidzieć okres przejściowy,</w:t>
      </w:r>
      <w:r w:rsidR="006C5585" w:rsidRPr="00C57330">
        <w:rPr>
          <w:noProof/>
        </w:rPr>
        <w:t xml:space="preserve"> w</w:t>
      </w:r>
      <w:r w:rsidR="006C5585">
        <w:rPr>
          <w:noProof/>
        </w:rPr>
        <w:t> </w:t>
      </w:r>
      <w:r w:rsidR="006C5585" w:rsidRPr="00C57330">
        <w:rPr>
          <w:noProof/>
        </w:rPr>
        <w:t>któ</w:t>
      </w:r>
      <w:r w:rsidR="00674F7B" w:rsidRPr="00C57330">
        <w:rPr>
          <w:noProof/>
        </w:rPr>
        <w:t>rym wykonane na zamówienie wyroby do implantacji klasy III mogą być wprowadzane do obrotu lub do używania bez certyfikatu wydanego przez jednostkę notyfikowa</w:t>
      </w:r>
      <w:r w:rsidR="00C57330" w:rsidRPr="00C57330">
        <w:rPr>
          <w:noProof/>
        </w:rPr>
        <w:t xml:space="preserve">ną. </w:t>
      </w:r>
    </w:p>
    <w:p w14:paraId="18981C91" w14:textId="56B08679" w:rsidR="00FF0A22" w:rsidRPr="00C57330" w:rsidRDefault="000E65B6" w:rsidP="000E65B6">
      <w:pPr>
        <w:pStyle w:val="ManualConsidrant"/>
        <w:rPr>
          <w:noProof/>
        </w:rPr>
      </w:pPr>
      <w:r w:rsidRPr="000E65B6">
        <w:t>(10)</w:t>
      </w:r>
      <w:r w:rsidRPr="000E65B6">
        <w:tab/>
      </w:r>
      <w:r w:rsidR="0082080A" w:rsidRPr="00C57330">
        <w:rPr>
          <w:noProof/>
        </w:rPr>
        <w:t xml:space="preserve">W </w:t>
      </w:r>
      <w:r w:rsidR="0082080A" w:rsidRPr="006C5585">
        <w:rPr>
          <w:noProof/>
        </w:rPr>
        <w:t>art.</w:t>
      </w:r>
      <w:r w:rsidR="006C5585" w:rsidRPr="006C5585">
        <w:rPr>
          <w:noProof/>
        </w:rPr>
        <w:t> </w:t>
      </w:r>
      <w:r w:rsidR="0082080A" w:rsidRPr="006C5585">
        <w:rPr>
          <w:noProof/>
        </w:rPr>
        <w:t>1</w:t>
      </w:r>
      <w:r w:rsidR="0082080A" w:rsidRPr="00C57330">
        <w:rPr>
          <w:noProof/>
        </w:rPr>
        <w:t xml:space="preserve">20 </w:t>
      </w:r>
      <w:r w:rsidR="0082080A" w:rsidRPr="006C5585">
        <w:rPr>
          <w:noProof/>
        </w:rPr>
        <w:t>ust.</w:t>
      </w:r>
      <w:r w:rsidR="006C5585" w:rsidRPr="006C5585">
        <w:rPr>
          <w:noProof/>
        </w:rPr>
        <w:t> </w:t>
      </w:r>
      <w:r w:rsidR="0082080A" w:rsidRPr="006C5585">
        <w:rPr>
          <w:noProof/>
        </w:rPr>
        <w:t>4</w:t>
      </w:r>
      <w:r w:rsidR="0082080A" w:rsidRPr="00C57330">
        <w:rPr>
          <w:noProof/>
        </w:rPr>
        <w:t xml:space="preserve"> rozporządzenia (UE) 2017/745</w:t>
      </w:r>
      <w:r w:rsidR="006C5585" w:rsidRPr="00C57330">
        <w:rPr>
          <w:noProof/>
        </w:rPr>
        <w:t xml:space="preserve"> i</w:t>
      </w:r>
      <w:r w:rsidR="006C5585">
        <w:rPr>
          <w:noProof/>
        </w:rPr>
        <w:t> </w:t>
      </w:r>
      <w:r w:rsidR="006C5585" w:rsidRPr="006C5585">
        <w:rPr>
          <w:noProof/>
        </w:rPr>
        <w:t>art</w:t>
      </w:r>
      <w:r w:rsidR="0082080A" w:rsidRPr="006C5585">
        <w:rPr>
          <w:noProof/>
        </w:rPr>
        <w:t>.</w:t>
      </w:r>
      <w:r w:rsidR="006C5585" w:rsidRPr="006C5585">
        <w:rPr>
          <w:noProof/>
        </w:rPr>
        <w:t> </w:t>
      </w:r>
      <w:r w:rsidR="0082080A" w:rsidRPr="006C5585">
        <w:rPr>
          <w:noProof/>
        </w:rPr>
        <w:t>1</w:t>
      </w:r>
      <w:r w:rsidR="0082080A" w:rsidRPr="00C57330">
        <w:rPr>
          <w:noProof/>
        </w:rPr>
        <w:t xml:space="preserve">10 </w:t>
      </w:r>
      <w:r w:rsidR="0082080A" w:rsidRPr="006C5585">
        <w:rPr>
          <w:noProof/>
        </w:rPr>
        <w:t>ust.</w:t>
      </w:r>
      <w:r w:rsidR="006C5585" w:rsidRPr="006C5585">
        <w:rPr>
          <w:noProof/>
        </w:rPr>
        <w:t> </w:t>
      </w:r>
      <w:r w:rsidR="0082080A" w:rsidRPr="006C5585">
        <w:rPr>
          <w:noProof/>
        </w:rPr>
        <w:t>4</w:t>
      </w:r>
      <w:r w:rsidR="0082080A" w:rsidRPr="00C57330">
        <w:rPr>
          <w:noProof/>
        </w:rPr>
        <w:t xml:space="preserve"> rozporządzenia (UE) 2017/746 zakazuje się dalszego udostępniania na rynku wyrobów, które zostały wprowadzone do obrotu przed końcem mającego zastosowanie okresu przejściowego</w:t>
      </w:r>
      <w:r w:rsidR="006C5585" w:rsidRPr="00C57330">
        <w:rPr>
          <w:noProof/>
        </w:rPr>
        <w:t xml:space="preserve"> i</w:t>
      </w:r>
      <w:r w:rsidR="006C5585">
        <w:rPr>
          <w:noProof/>
        </w:rPr>
        <w:t> </w:t>
      </w:r>
      <w:r w:rsidR="006C5585" w:rsidRPr="00C57330">
        <w:rPr>
          <w:noProof/>
        </w:rPr>
        <w:t>któ</w:t>
      </w:r>
      <w:r w:rsidR="0082080A" w:rsidRPr="00C57330">
        <w:rPr>
          <w:noProof/>
        </w:rPr>
        <w:t>re nadal znajdują się</w:t>
      </w:r>
      <w:r w:rsidR="006C5585" w:rsidRPr="00C57330">
        <w:rPr>
          <w:noProof/>
        </w:rPr>
        <w:t xml:space="preserve"> w</w:t>
      </w:r>
      <w:r w:rsidR="006C5585">
        <w:rPr>
          <w:noProof/>
        </w:rPr>
        <w:t> </w:t>
      </w:r>
      <w:r w:rsidR="006C5585" w:rsidRPr="00C57330">
        <w:rPr>
          <w:noProof/>
        </w:rPr>
        <w:t>łań</w:t>
      </w:r>
      <w:r w:rsidR="0082080A" w:rsidRPr="00C57330">
        <w:rPr>
          <w:noProof/>
        </w:rPr>
        <w:t>cuchu dostaw rok po zakończeniu tego okresu przejściowego. Aby zapobiec niepotrzebnemu usuwaniu bezpiecznych wyrobów medycznych</w:t>
      </w:r>
      <w:r w:rsidR="006C5585" w:rsidRPr="00C57330">
        <w:rPr>
          <w:noProof/>
        </w:rPr>
        <w:t xml:space="preserve"> i</w:t>
      </w:r>
      <w:r w:rsidR="006C5585">
        <w:rPr>
          <w:noProof/>
        </w:rPr>
        <w:t> </w:t>
      </w:r>
      <w:r w:rsidR="006C5585" w:rsidRPr="00C57330">
        <w:rPr>
          <w:noProof/>
        </w:rPr>
        <w:t>wyr</w:t>
      </w:r>
      <w:r w:rsidR="0082080A" w:rsidRPr="00C57330">
        <w:rPr>
          <w:noProof/>
        </w:rPr>
        <w:t xml:space="preserve">obów medycznych do diagnostyki </w:t>
      </w:r>
      <w:r w:rsidR="0082080A" w:rsidRPr="00C57330">
        <w:rPr>
          <w:i/>
          <w:noProof/>
        </w:rPr>
        <w:t>in vitro</w:t>
      </w:r>
      <w:r w:rsidR="0082080A" w:rsidRPr="00C57330">
        <w:rPr>
          <w:noProof/>
        </w:rPr>
        <w:t>, które nadal znajdują się</w:t>
      </w:r>
      <w:r w:rsidR="006C5585" w:rsidRPr="00C57330">
        <w:rPr>
          <w:noProof/>
        </w:rPr>
        <w:t xml:space="preserve"> w</w:t>
      </w:r>
      <w:r w:rsidR="006C5585">
        <w:rPr>
          <w:noProof/>
        </w:rPr>
        <w:t> </w:t>
      </w:r>
      <w:r w:rsidR="006C5585" w:rsidRPr="00C57330">
        <w:rPr>
          <w:noProof/>
        </w:rPr>
        <w:t>łań</w:t>
      </w:r>
      <w:r w:rsidR="0082080A" w:rsidRPr="00C57330">
        <w:rPr>
          <w:noProof/>
        </w:rPr>
        <w:t>cuchu dostaw,</w:t>
      </w:r>
      <w:r w:rsidR="006C5585" w:rsidRPr="00C57330">
        <w:rPr>
          <w:noProof/>
        </w:rPr>
        <w:t xml:space="preserve"> a</w:t>
      </w:r>
      <w:r w:rsidR="006C5585">
        <w:rPr>
          <w:noProof/>
        </w:rPr>
        <w:t> </w:t>
      </w:r>
      <w:r w:rsidR="006C5585" w:rsidRPr="00C57330">
        <w:rPr>
          <w:noProof/>
        </w:rPr>
        <w:t>tym</w:t>
      </w:r>
      <w:r w:rsidR="0082080A" w:rsidRPr="00C57330">
        <w:rPr>
          <w:noProof/>
        </w:rPr>
        <w:t xml:space="preserve"> samym zwiększaniu bezpośredniego ryzyka niedoborów tych wyrobów, takie dalsze udostępnianie wyrobów powinno być nieograniczone</w:t>
      </w:r>
      <w:r w:rsidR="006C5585" w:rsidRPr="00C57330">
        <w:rPr>
          <w:noProof/>
        </w:rPr>
        <w:t xml:space="preserve"> w</w:t>
      </w:r>
      <w:r w:rsidR="006C5585">
        <w:rPr>
          <w:noProof/>
        </w:rPr>
        <w:t> </w:t>
      </w:r>
      <w:r w:rsidR="006C5585" w:rsidRPr="00C57330">
        <w:rPr>
          <w:noProof/>
        </w:rPr>
        <w:t>cza</w:t>
      </w:r>
      <w:r w:rsidR="0082080A" w:rsidRPr="00C57330">
        <w:rPr>
          <w:noProof/>
        </w:rPr>
        <w:t>sie.</w:t>
      </w:r>
    </w:p>
    <w:p w14:paraId="1E8CACE3" w14:textId="3E9AE0D8" w:rsidR="00F159A6" w:rsidRPr="00C57330" w:rsidRDefault="000E65B6" w:rsidP="000E65B6">
      <w:pPr>
        <w:pStyle w:val="ManualConsidrant"/>
        <w:rPr>
          <w:noProof/>
        </w:rPr>
      </w:pPr>
      <w:r w:rsidRPr="000E65B6">
        <w:t>(11)</w:t>
      </w:r>
      <w:r w:rsidRPr="000E65B6">
        <w:tab/>
      </w:r>
      <w:r w:rsidR="00F159A6" w:rsidRPr="00C57330">
        <w:rPr>
          <w:noProof/>
        </w:rPr>
        <w:t>Przyjęcie niniejszego rozporządzenia następuje ze względu na wyjątkowe okoliczności wynikające</w:t>
      </w:r>
      <w:r w:rsidR="006C5585" w:rsidRPr="00C57330">
        <w:rPr>
          <w:noProof/>
        </w:rPr>
        <w:t xml:space="preserve"> z</w:t>
      </w:r>
      <w:r w:rsidR="006C5585">
        <w:rPr>
          <w:noProof/>
        </w:rPr>
        <w:t> </w:t>
      </w:r>
      <w:r w:rsidR="006C5585" w:rsidRPr="00C57330">
        <w:rPr>
          <w:noProof/>
        </w:rPr>
        <w:t>bez</w:t>
      </w:r>
      <w:r w:rsidR="00F159A6" w:rsidRPr="00C57330">
        <w:rPr>
          <w:noProof/>
        </w:rPr>
        <w:t>pośredniego ryzyka niedoboru wyrobów medycznych</w:t>
      </w:r>
      <w:r w:rsidR="006C5585" w:rsidRPr="00C57330">
        <w:rPr>
          <w:noProof/>
        </w:rPr>
        <w:t xml:space="preserve"> i</w:t>
      </w:r>
      <w:r w:rsidR="006C5585">
        <w:rPr>
          <w:noProof/>
        </w:rPr>
        <w:t> </w:t>
      </w:r>
      <w:r w:rsidR="006C5585" w:rsidRPr="00C57330">
        <w:rPr>
          <w:noProof/>
        </w:rPr>
        <w:t>zwi</w:t>
      </w:r>
      <w:r w:rsidR="00F159A6" w:rsidRPr="00C57330">
        <w:rPr>
          <w:noProof/>
        </w:rPr>
        <w:t>ązanego</w:t>
      </w:r>
      <w:r w:rsidR="006C5585" w:rsidRPr="00C57330">
        <w:rPr>
          <w:noProof/>
        </w:rPr>
        <w:t xml:space="preserve"> z</w:t>
      </w:r>
      <w:r w:rsidR="006C5585">
        <w:rPr>
          <w:noProof/>
        </w:rPr>
        <w:t> </w:t>
      </w:r>
      <w:r w:rsidR="006C5585" w:rsidRPr="00C57330">
        <w:rPr>
          <w:noProof/>
        </w:rPr>
        <w:t>nim</w:t>
      </w:r>
      <w:r w:rsidR="00F159A6" w:rsidRPr="00C57330">
        <w:rPr>
          <w:noProof/>
        </w:rPr>
        <w:t xml:space="preserve"> ryzyka kryzysu</w:t>
      </w:r>
      <w:r w:rsidR="006C5585" w:rsidRPr="00C57330">
        <w:rPr>
          <w:noProof/>
        </w:rPr>
        <w:t xml:space="preserve"> w</w:t>
      </w:r>
      <w:r w:rsidR="006C5585">
        <w:rPr>
          <w:noProof/>
        </w:rPr>
        <w:t> </w:t>
      </w:r>
      <w:r w:rsidR="006C5585" w:rsidRPr="00C57330">
        <w:rPr>
          <w:noProof/>
        </w:rPr>
        <w:t>dzi</w:t>
      </w:r>
      <w:r w:rsidR="00F159A6" w:rsidRPr="00C57330">
        <w:rPr>
          <w:noProof/>
        </w:rPr>
        <w:t>edzinie zdrowia publicznego. Aby osiągnąć zamierzony efekt zmian</w:t>
      </w:r>
      <w:r w:rsidR="006C5585" w:rsidRPr="00C57330">
        <w:rPr>
          <w:noProof/>
        </w:rPr>
        <w:t xml:space="preserve"> w</w:t>
      </w:r>
      <w:r w:rsidR="006C5585">
        <w:rPr>
          <w:noProof/>
        </w:rPr>
        <w:t> </w:t>
      </w:r>
      <w:r w:rsidR="006C5585" w:rsidRPr="00C57330">
        <w:rPr>
          <w:noProof/>
        </w:rPr>
        <w:t>roz</w:t>
      </w:r>
      <w:r w:rsidR="00F159A6" w:rsidRPr="00C57330">
        <w:rPr>
          <w:noProof/>
        </w:rPr>
        <w:t>porządzeniach (UE) 2017/745 i (UE) 2017/746 oraz aby zagwarantować dostępność wyrobów, których certyfikaty straciły już ważność lub stracą ważność przed 26 maja 20</w:t>
      </w:r>
      <w:r w:rsidR="00F159A6" w:rsidRPr="006C5585">
        <w:rPr>
          <w:noProof/>
        </w:rPr>
        <w:t>24</w:t>
      </w:r>
      <w:r w:rsidR="006C5585" w:rsidRPr="006C5585">
        <w:rPr>
          <w:noProof/>
        </w:rPr>
        <w:t> </w:t>
      </w:r>
      <w:r w:rsidR="00F159A6" w:rsidRPr="006C5585">
        <w:rPr>
          <w:noProof/>
        </w:rPr>
        <w:t>r.</w:t>
      </w:r>
      <w:r w:rsidR="00F159A6" w:rsidRPr="00C57330">
        <w:rPr>
          <w:noProof/>
        </w:rPr>
        <w:t>,</w:t>
      </w:r>
      <w:r w:rsidR="006C5585" w:rsidRPr="00C57330">
        <w:rPr>
          <w:noProof/>
        </w:rPr>
        <w:t xml:space="preserve"> i</w:t>
      </w:r>
      <w:r w:rsidR="006C5585">
        <w:rPr>
          <w:noProof/>
        </w:rPr>
        <w:t> </w:t>
      </w:r>
      <w:r w:rsidR="006C5585" w:rsidRPr="00C57330">
        <w:rPr>
          <w:noProof/>
        </w:rPr>
        <w:t>zap</w:t>
      </w:r>
      <w:r w:rsidR="00F159A6" w:rsidRPr="00C57330">
        <w:rPr>
          <w:noProof/>
        </w:rPr>
        <w:t>ewnić podmiotom gospodarczym</w:t>
      </w:r>
      <w:r w:rsidR="006C5585" w:rsidRPr="00C57330">
        <w:rPr>
          <w:noProof/>
        </w:rPr>
        <w:t xml:space="preserve"> i</w:t>
      </w:r>
      <w:r w:rsidR="006C5585">
        <w:rPr>
          <w:noProof/>
        </w:rPr>
        <w:t> </w:t>
      </w:r>
      <w:r w:rsidR="006C5585" w:rsidRPr="00C57330">
        <w:rPr>
          <w:noProof/>
        </w:rPr>
        <w:t>świ</w:t>
      </w:r>
      <w:r w:rsidR="00F159A6" w:rsidRPr="00C57330">
        <w:rPr>
          <w:noProof/>
        </w:rPr>
        <w:t>adczeniodawcom pewność prawa,</w:t>
      </w:r>
      <w:r w:rsidR="006C5585" w:rsidRPr="00C57330">
        <w:rPr>
          <w:noProof/>
        </w:rPr>
        <w:t xml:space="preserve"> a</w:t>
      </w:r>
      <w:r w:rsidR="006C5585">
        <w:rPr>
          <w:noProof/>
        </w:rPr>
        <w:t> </w:t>
      </w:r>
      <w:r w:rsidR="006C5585" w:rsidRPr="00C57330">
        <w:rPr>
          <w:noProof/>
        </w:rPr>
        <w:t>tak</w:t>
      </w:r>
      <w:r w:rsidR="00F159A6" w:rsidRPr="00C57330">
        <w:rPr>
          <w:noProof/>
        </w:rPr>
        <w:t>że mając na uwadze konieczność zachowania spójności</w:t>
      </w:r>
      <w:r w:rsidR="006C5585" w:rsidRPr="00C57330">
        <w:rPr>
          <w:noProof/>
        </w:rPr>
        <w:t xml:space="preserve"> w</w:t>
      </w:r>
      <w:r w:rsidR="006C5585">
        <w:rPr>
          <w:noProof/>
        </w:rPr>
        <w:t> </w:t>
      </w:r>
      <w:r w:rsidR="006C5585" w:rsidRPr="00C57330">
        <w:rPr>
          <w:noProof/>
        </w:rPr>
        <w:t>zak</w:t>
      </w:r>
      <w:r w:rsidR="00F159A6" w:rsidRPr="00C57330">
        <w:rPr>
          <w:noProof/>
        </w:rPr>
        <w:t>resie zmian</w:t>
      </w:r>
      <w:r w:rsidR="006C5585" w:rsidRPr="00C57330">
        <w:rPr>
          <w:noProof/>
        </w:rPr>
        <w:t xml:space="preserve"> w</w:t>
      </w:r>
      <w:r w:rsidR="006C5585">
        <w:rPr>
          <w:noProof/>
        </w:rPr>
        <w:t> </w:t>
      </w:r>
      <w:r w:rsidR="006C5585" w:rsidRPr="00C57330">
        <w:rPr>
          <w:noProof/>
        </w:rPr>
        <w:t>obu</w:t>
      </w:r>
      <w:r w:rsidR="00F159A6" w:rsidRPr="00C57330">
        <w:rPr>
          <w:noProof/>
        </w:rPr>
        <w:t xml:space="preserve"> rozporządzeniach, konieczne jest zapewnienie jak najszybszego wejścia</w:t>
      </w:r>
      <w:r w:rsidR="006C5585" w:rsidRPr="00C57330">
        <w:rPr>
          <w:noProof/>
        </w:rPr>
        <w:t xml:space="preserve"> w</w:t>
      </w:r>
      <w:r w:rsidR="006C5585">
        <w:rPr>
          <w:noProof/>
        </w:rPr>
        <w:t> </w:t>
      </w:r>
      <w:r w:rsidR="006C5585" w:rsidRPr="00C57330">
        <w:rPr>
          <w:noProof/>
        </w:rPr>
        <w:t>życ</w:t>
      </w:r>
      <w:r w:rsidR="00F159A6" w:rsidRPr="00C57330">
        <w:rPr>
          <w:noProof/>
        </w:rPr>
        <w:t>ie niniejszego rozporządzenia</w:t>
      </w:r>
      <w:r w:rsidR="006C5585" w:rsidRPr="00C57330">
        <w:rPr>
          <w:noProof/>
        </w:rPr>
        <w:t>. Z</w:t>
      </w:r>
      <w:r w:rsidR="006C5585">
        <w:rPr>
          <w:noProof/>
        </w:rPr>
        <w:t> </w:t>
      </w:r>
      <w:r w:rsidR="006C5585" w:rsidRPr="00C57330">
        <w:rPr>
          <w:noProof/>
        </w:rPr>
        <w:t>tyc</w:t>
      </w:r>
      <w:r w:rsidR="00F159A6" w:rsidRPr="00C57330">
        <w:rPr>
          <w:noProof/>
        </w:rPr>
        <w:t>h samych przyczyn należy również przewidzieć wyjątek od terminu ośmiu tygodni,</w:t>
      </w:r>
      <w:r w:rsidR="006C5585" w:rsidRPr="00C57330">
        <w:rPr>
          <w:noProof/>
        </w:rPr>
        <w:t xml:space="preserve"> o</w:t>
      </w:r>
      <w:r w:rsidR="006C5585">
        <w:rPr>
          <w:noProof/>
        </w:rPr>
        <w:t> </w:t>
      </w:r>
      <w:r w:rsidR="006C5585" w:rsidRPr="00C57330">
        <w:rPr>
          <w:noProof/>
        </w:rPr>
        <w:t>któ</w:t>
      </w:r>
      <w:r w:rsidR="00F159A6" w:rsidRPr="00C57330">
        <w:rPr>
          <w:noProof/>
        </w:rPr>
        <w:t>rym mowa</w:t>
      </w:r>
      <w:r w:rsidR="006C5585" w:rsidRPr="00C57330">
        <w:rPr>
          <w:noProof/>
        </w:rPr>
        <w:t xml:space="preserve"> w</w:t>
      </w:r>
      <w:r w:rsidR="006C5585">
        <w:rPr>
          <w:noProof/>
        </w:rPr>
        <w:t> </w:t>
      </w:r>
      <w:r w:rsidR="006C5585" w:rsidRPr="006C5585">
        <w:rPr>
          <w:noProof/>
        </w:rPr>
        <w:t>art</w:t>
      </w:r>
      <w:r w:rsidR="00F159A6" w:rsidRPr="006C5585">
        <w:rPr>
          <w:noProof/>
        </w:rPr>
        <w:t>.</w:t>
      </w:r>
      <w:r w:rsidR="006C5585" w:rsidRPr="006C5585">
        <w:rPr>
          <w:noProof/>
        </w:rPr>
        <w:t> </w:t>
      </w:r>
      <w:r w:rsidR="00F159A6" w:rsidRPr="006C5585">
        <w:rPr>
          <w:noProof/>
        </w:rPr>
        <w:t>4</w:t>
      </w:r>
      <w:r w:rsidR="00F159A6" w:rsidRPr="00C57330">
        <w:rPr>
          <w:noProof/>
        </w:rPr>
        <w:t xml:space="preserve"> Protokołu </w:t>
      </w:r>
      <w:r w:rsidR="00F159A6" w:rsidRPr="006C5585">
        <w:rPr>
          <w:noProof/>
        </w:rPr>
        <w:t>nr</w:t>
      </w:r>
      <w:r w:rsidR="006C5585" w:rsidRPr="006C5585">
        <w:rPr>
          <w:noProof/>
        </w:rPr>
        <w:t> </w:t>
      </w:r>
      <w:r w:rsidR="00F159A6" w:rsidRPr="006C5585">
        <w:rPr>
          <w:noProof/>
        </w:rPr>
        <w:t>1</w:t>
      </w:r>
      <w:r w:rsidR="006C5585" w:rsidRPr="00C57330">
        <w:rPr>
          <w:noProof/>
        </w:rPr>
        <w:t xml:space="preserve"> w</w:t>
      </w:r>
      <w:r w:rsidR="006C5585">
        <w:rPr>
          <w:noProof/>
        </w:rPr>
        <w:t> </w:t>
      </w:r>
      <w:r w:rsidR="006C5585" w:rsidRPr="00C57330">
        <w:rPr>
          <w:noProof/>
        </w:rPr>
        <w:t>spr</w:t>
      </w:r>
      <w:r w:rsidR="00F159A6" w:rsidRPr="00C57330">
        <w:rPr>
          <w:noProof/>
        </w:rPr>
        <w:t>awie roli parlamentów narodowych</w:t>
      </w:r>
      <w:r w:rsidR="006C5585" w:rsidRPr="00C57330">
        <w:rPr>
          <w:noProof/>
        </w:rPr>
        <w:t xml:space="preserve"> w</w:t>
      </w:r>
      <w:r w:rsidR="006C5585">
        <w:rPr>
          <w:noProof/>
        </w:rPr>
        <w:t> </w:t>
      </w:r>
      <w:r w:rsidR="006C5585" w:rsidRPr="00C57330">
        <w:rPr>
          <w:noProof/>
        </w:rPr>
        <w:t>Uni</w:t>
      </w:r>
      <w:r w:rsidR="00F159A6" w:rsidRPr="00C57330">
        <w:rPr>
          <w:noProof/>
        </w:rPr>
        <w:t>i Europejskiej, załączonego do Traktatu</w:t>
      </w:r>
      <w:r w:rsidR="006C5585" w:rsidRPr="00C57330">
        <w:rPr>
          <w:noProof/>
        </w:rPr>
        <w:t xml:space="preserve"> o</w:t>
      </w:r>
      <w:r w:rsidR="006C5585">
        <w:rPr>
          <w:noProof/>
        </w:rPr>
        <w:t> </w:t>
      </w:r>
      <w:r w:rsidR="006C5585" w:rsidRPr="00C57330">
        <w:rPr>
          <w:noProof/>
        </w:rPr>
        <w:t>Uni</w:t>
      </w:r>
      <w:r w:rsidR="00F159A6" w:rsidRPr="00C57330">
        <w:rPr>
          <w:noProof/>
        </w:rPr>
        <w:t>i Europejskiej, do Traktatu</w:t>
      </w:r>
      <w:r w:rsidR="006C5585" w:rsidRPr="00C57330">
        <w:rPr>
          <w:noProof/>
        </w:rPr>
        <w:t xml:space="preserve"> o</w:t>
      </w:r>
      <w:r w:rsidR="006C5585">
        <w:rPr>
          <w:noProof/>
        </w:rPr>
        <w:t> </w:t>
      </w:r>
      <w:r w:rsidR="006C5585" w:rsidRPr="00C57330">
        <w:rPr>
          <w:noProof/>
        </w:rPr>
        <w:t>fun</w:t>
      </w:r>
      <w:r w:rsidR="00F159A6" w:rsidRPr="00C57330">
        <w:rPr>
          <w:noProof/>
        </w:rPr>
        <w:t>kcjonowaniu Unii Europejskiej i do Traktatu ustanawiającego Europejską Wspólnotę Energii Atomowej,</w:t>
      </w:r>
    </w:p>
    <w:p w14:paraId="15D13B83" w14:textId="77777777" w:rsidR="005E1E5E" w:rsidRPr="00C57330" w:rsidRDefault="005E1E5E" w:rsidP="00A103F4">
      <w:pPr>
        <w:pStyle w:val="Formuledadoption"/>
        <w:rPr>
          <w:noProof/>
        </w:rPr>
      </w:pPr>
      <w:r w:rsidRPr="00C57330">
        <w:rPr>
          <w:noProof/>
        </w:rPr>
        <w:t>PRZYJMUJĄ NINIEJSZE ROZPORZĄDZENIE:</w:t>
      </w:r>
    </w:p>
    <w:p w14:paraId="16E4C92A" w14:textId="77777777" w:rsidR="005E1E5E" w:rsidRPr="00C57330" w:rsidRDefault="005E1E5E" w:rsidP="00A103F4">
      <w:pPr>
        <w:pStyle w:val="Titrearticle"/>
        <w:rPr>
          <w:noProof/>
        </w:rPr>
      </w:pPr>
      <w:r w:rsidRPr="00C57330">
        <w:rPr>
          <w:noProof/>
        </w:rPr>
        <w:t>Artykuł 1</w:t>
      </w:r>
    </w:p>
    <w:p w14:paraId="6206090D" w14:textId="77777777" w:rsidR="005E1E5E" w:rsidRPr="00C57330" w:rsidRDefault="00040257" w:rsidP="00A103F4">
      <w:pPr>
        <w:rPr>
          <w:noProof/>
        </w:rPr>
      </w:pPr>
      <w:r w:rsidRPr="00C57330">
        <w:rPr>
          <w:noProof/>
        </w:rPr>
        <w:t>W rozporządzeniu (UE) 2017/745 wprowadza się następujące zmiany:</w:t>
      </w:r>
    </w:p>
    <w:p w14:paraId="1C962BCA" w14:textId="7E842511" w:rsidR="00040257" w:rsidRPr="00C57330" w:rsidRDefault="006C5585" w:rsidP="006C5585">
      <w:pPr>
        <w:pStyle w:val="Point0"/>
        <w:rPr>
          <w:noProof/>
        </w:rPr>
      </w:pPr>
      <w:r>
        <w:rPr>
          <w:noProof/>
        </w:rPr>
        <w:t>1)</w:t>
      </w:r>
      <w:r>
        <w:rPr>
          <w:noProof/>
        </w:rPr>
        <w:tab/>
      </w:r>
      <w:r w:rsidR="00040257" w:rsidRPr="00C57330">
        <w:rPr>
          <w:noProof/>
        </w:rPr>
        <w:t xml:space="preserve">w </w:t>
      </w:r>
      <w:r w:rsidR="00040257" w:rsidRPr="006C5585">
        <w:rPr>
          <w:noProof/>
        </w:rPr>
        <w:t>art.</w:t>
      </w:r>
      <w:r w:rsidRPr="006C5585">
        <w:rPr>
          <w:noProof/>
        </w:rPr>
        <w:t> </w:t>
      </w:r>
      <w:r w:rsidR="00040257" w:rsidRPr="006C5585">
        <w:rPr>
          <w:noProof/>
        </w:rPr>
        <w:t>1</w:t>
      </w:r>
      <w:r w:rsidR="00040257" w:rsidRPr="00C57330">
        <w:rPr>
          <w:noProof/>
        </w:rPr>
        <w:t>20 wprowadza się następujące zmiany:</w:t>
      </w:r>
    </w:p>
    <w:p w14:paraId="481AA5B8" w14:textId="5FDFC9FD" w:rsidR="00040257" w:rsidRPr="00C57330" w:rsidRDefault="006C5585" w:rsidP="006C5585">
      <w:pPr>
        <w:pStyle w:val="Point1"/>
        <w:rPr>
          <w:noProof/>
        </w:rPr>
      </w:pPr>
      <w:r>
        <w:rPr>
          <w:noProof/>
        </w:rPr>
        <w:t>a)</w:t>
      </w:r>
      <w:r>
        <w:rPr>
          <w:noProof/>
        </w:rPr>
        <w:tab/>
      </w:r>
      <w:r w:rsidR="008C19C2" w:rsidRPr="006C5585">
        <w:rPr>
          <w:noProof/>
        </w:rPr>
        <w:t>ust.</w:t>
      </w:r>
      <w:r w:rsidRPr="006C5585">
        <w:rPr>
          <w:noProof/>
        </w:rPr>
        <w:t> </w:t>
      </w:r>
      <w:r w:rsidR="008C19C2" w:rsidRPr="006C5585">
        <w:rPr>
          <w:noProof/>
        </w:rPr>
        <w:t>2</w:t>
      </w:r>
      <w:r w:rsidR="008C19C2" w:rsidRPr="00C57330">
        <w:rPr>
          <w:noProof/>
        </w:rPr>
        <w:t xml:space="preserve"> akapit drugi otrzymuje brzmienie:</w:t>
      </w:r>
    </w:p>
    <w:p w14:paraId="41546CAB" w14:textId="4C7ACD8F" w:rsidR="000A7824" w:rsidRPr="00C57330" w:rsidRDefault="00D011DC" w:rsidP="00B73C62">
      <w:pPr>
        <w:pStyle w:val="Text2"/>
        <w:rPr>
          <w:noProof/>
        </w:rPr>
      </w:pPr>
      <w:r w:rsidRPr="00C57330">
        <w:rPr>
          <w:noProof/>
        </w:rPr>
        <w:t>„Certyfikaty wydane przez jednostki notyfikowane zgodnie</w:t>
      </w:r>
      <w:r w:rsidR="006C5585" w:rsidRPr="00C57330">
        <w:rPr>
          <w:noProof/>
        </w:rPr>
        <w:t xml:space="preserve"> z</w:t>
      </w:r>
      <w:r w:rsidR="006C5585">
        <w:rPr>
          <w:noProof/>
        </w:rPr>
        <w:t> </w:t>
      </w:r>
      <w:r w:rsidR="006C5585" w:rsidRPr="00C57330">
        <w:rPr>
          <w:noProof/>
        </w:rPr>
        <w:t>dyr</w:t>
      </w:r>
      <w:r w:rsidRPr="00C57330">
        <w:rPr>
          <w:noProof/>
        </w:rPr>
        <w:t>ektywami 90/385/EWG</w:t>
      </w:r>
      <w:r w:rsidR="006C5585" w:rsidRPr="00C57330">
        <w:rPr>
          <w:noProof/>
        </w:rPr>
        <w:t xml:space="preserve"> i</w:t>
      </w:r>
      <w:r w:rsidR="006C5585">
        <w:rPr>
          <w:noProof/>
        </w:rPr>
        <w:t> </w:t>
      </w:r>
      <w:r w:rsidR="006C5585" w:rsidRPr="00C57330">
        <w:rPr>
          <w:noProof/>
        </w:rPr>
        <w:t>9</w:t>
      </w:r>
      <w:r w:rsidRPr="00C57330">
        <w:rPr>
          <w:noProof/>
        </w:rPr>
        <w:t>3/42/EWG od dnia 25 maja 20</w:t>
      </w:r>
      <w:r w:rsidRPr="006C5585">
        <w:rPr>
          <w:noProof/>
        </w:rPr>
        <w:t>17</w:t>
      </w:r>
      <w:r w:rsidR="006C5585" w:rsidRPr="006C5585">
        <w:rPr>
          <w:noProof/>
        </w:rPr>
        <w:t> </w:t>
      </w:r>
      <w:r w:rsidRPr="006C5585">
        <w:rPr>
          <w:noProof/>
        </w:rPr>
        <w:t>r.</w:t>
      </w:r>
      <w:r w:rsidRPr="00C57330">
        <w:rPr>
          <w:noProof/>
        </w:rPr>
        <w:t>, które były ważne</w:t>
      </w:r>
      <w:r w:rsidR="006C5585" w:rsidRPr="00C57330">
        <w:rPr>
          <w:noProof/>
        </w:rPr>
        <w:t xml:space="preserve"> w</w:t>
      </w:r>
      <w:r w:rsidR="006C5585">
        <w:rPr>
          <w:noProof/>
        </w:rPr>
        <w:t> </w:t>
      </w:r>
      <w:r w:rsidR="006C5585" w:rsidRPr="00C57330">
        <w:rPr>
          <w:noProof/>
        </w:rPr>
        <w:t>dni</w:t>
      </w:r>
      <w:r w:rsidRPr="00C57330">
        <w:rPr>
          <w:noProof/>
        </w:rPr>
        <w:t>u 26 maja 20</w:t>
      </w:r>
      <w:r w:rsidRPr="006C5585">
        <w:rPr>
          <w:noProof/>
        </w:rPr>
        <w:t>21</w:t>
      </w:r>
      <w:r w:rsidR="006C5585" w:rsidRPr="006C5585">
        <w:rPr>
          <w:noProof/>
        </w:rPr>
        <w:t> </w:t>
      </w:r>
      <w:r w:rsidRPr="006C5585">
        <w:rPr>
          <w:noProof/>
        </w:rPr>
        <w:t>r.</w:t>
      </w:r>
      <w:r w:rsidR="006C5585" w:rsidRPr="00C57330">
        <w:rPr>
          <w:noProof/>
        </w:rPr>
        <w:t xml:space="preserve"> i</w:t>
      </w:r>
      <w:r w:rsidR="006C5585">
        <w:rPr>
          <w:noProof/>
        </w:rPr>
        <w:t> </w:t>
      </w:r>
      <w:r w:rsidR="006C5585" w:rsidRPr="00C57330">
        <w:rPr>
          <w:noProof/>
        </w:rPr>
        <w:t>któ</w:t>
      </w:r>
      <w:r w:rsidRPr="00C57330">
        <w:rPr>
          <w:noProof/>
        </w:rPr>
        <w:t>re nie zostały cofnięte po tym terminie, pozostają ważne po zakończeniu okresu wskazanego</w:t>
      </w:r>
      <w:r w:rsidR="006C5585" w:rsidRPr="00C57330">
        <w:rPr>
          <w:noProof/>
        </w:rPr>
        <w:t xml:space="preserve"> w</w:t>
      </w:r>
      <w:r w:rsidR="006C5585">
        <w:rPr>
          <w:noProof/>
        </w:rPr>
        <w:t> </w:t>
      </w:r>
      <w:r w:rsidR="006C5585" w:rsidRPr="00C57330">
        <w:rPr>
          <w:noProof/>
        </w:rPr>
        <w:t>cer</w:t>
      </w:r>
      <w:r w:rsidRPr="00C57330">
        <w:rPr>
          <w:noProof/>
        </w:rPr>
        <w:t>tyfikacie do dat określonych</w:t>
      </w:r>
      <w:r w:rsidR="006C5585" w:rsidRPr="00C57330">
        <w:rPr>
          <w:noProof/>
        </w:rPr>
        <w:t xml:space="preserve"> w</w:t>
      </w:r>
      <w:r w:rsidR="006C5585">
        <w:rPr>
          <w:noProof/>
        </w:rPr>
        <w:t> </w:t>
      </w:r>
      <w:r w:rsidR="006C5585" w:rsidRPr="006C5585">
        <w:rPr>
          <w:noProof/>
        </w:rPr>
        <w:t>ust</w:t>
      </w:r>
      <w:r w:rsidRPr="006C5585">
        <w:rPr>
          <w:noProof/>
        </w:rPr>
        <w:t>.</w:t>
      </w:r>
      <w:r w:rsidR="006C5585" w:rsidRPr="006C5585">
        <w:rPr>
          <w:noProof/>
        </w:rPr>
        <w:t> </w:t>
      </w:r>
      <w:r w:rsidRPr="006C5585">
        <w:rPr>
          <w:noProof/>
        </w:rPr>
        <w:t>3</w:t>
      </w:r>
      <w:r w:rsidRPr="00C57330">
        <w:rPr>
          <w:noProof/>
        </w:rPr>
        <w:t>b</w:t>
      </w:r>
      <w:r w:rsidR="006C5585" w:rsidRPr="00C57330">
        <w:rPr>
          <w:noProof/>
        </w:rPr>
        <w:t xml:space="preserve"> w</w:t>
      </w:r>
      <w:r w:rsidR="006C5585">
        <w:rPr>
          <w:noProof/>
        </w:rPr>
        <w:t> </w:t>
      </w:r>
      <w:r w:rsidR="006C5585" w:rsidRPr="00C57330">
        <w:rPr>
          <w:noProof/>
        </w:rPr>
        <w:t>odn</w:t>
      </w:r>
      <w:r w:rsidRPr="00C57330">
        <w:rPr>
          <w:noProof/>
        </w:rPr>
        <w:t>iesieniu do poszczególnych klas ryzyka wyrobów. Certyfikaty,</w:t>
      </w:r>
      <w:r w:rsidR="006C5585" w:rsidRPr="00C57330">
        <w:rPr>
          <w:noProof/>
        </w:rPr>
        <w:t xml:space="preserve"> o</w:t>
      </w:r>
      <w:r w:rsidR="006C5585">
        <w:rPr>
          <w:noProof/>
        </w:rPr>
        <w:t> </w:t>
      </w:r>
      <w:r w:rsidR="006C5585" w:rsidRPr="00C57330">
        <w:rPr>
          <w:noProof/>
        </w:rPr>
        <w:t>któ</w:t>
      </w:r>
      <w:r w:rsidRPr="00C57330">
        <w:rPr>
          <w:noProof/>
        </w:rPr>
        <w:t>rych mowa</w:t>
      </w:r>
      <w:r w:rsidR="006C5585" w:rsidRPr="00C57330">
        <w:rPr>
          <w:noProof/>
        </w:rPr>
        <w:t xml:space="preserve"> w</w:t>
      </w:r>
      <w:r w:rsidR="006C5585">
        <w:rPr>
          <w:noProof/>
        </w:rPr>
        <w:t> </w:t>
      </w:r>
      <w:r w:rsidR="006C5585" w:rsidRPr="00C57330">
        <w:rPr>
          <w:noProof/>
        </w:rPr>
        <w:t>zda</w:t>
      </w:r>
      <w:r w:rsidRPr="00C57330">
        <w:rPr>
          <w:noProof/>
        </w:rPr>
        <w:t>niu pierwszym, które utraciły ważność przed dniem [</w:t>
      </w:r>
      <w:r w:rsidRPr="00C57330">
        <w:rPr>
          <w:i/>
          <w:noProof/>
        </w:rPr>
        <w:t>Urząd Publikacji: proszę wstawić datę – data wejścia</w:t>
      </w:r>
      <w:r w:rsidR="006C5585" w:rsidRPr="00C57330">
        <w:rPr>
          <w:i/>
          <w:noProof/>
        </w:rPr>
        <w:t xml:space="preserve"> w</w:t>
      </w:r>
      <w:r w:rsidR="006C5585">
        <w:rPr>
          <w:i/>
          <w:noProof/>
        </w:rPr>
        <w:t> </w:t>
      </w:r>
      <w:r w:rsidR="006C5585" w:rsidRPr="00C57330">
        <w:rPr>
          <w:i/>
          <w:noProof/>
        </w:rPr>
        <w:t>życ</w:t>
      </w:r>
      <w:r w:rsidRPr="00C57330">
        <w:rPr>
          <w:i/>
          <w:noProof/>
        </w:rPr>
        <w:t>ie niniejszego rozporządzenia</w:t>
      </w:r>
      <w:r w:rsidRPr="00C57330">
        <w:rPr>
          <w:noProof/>
        </w:rPr>
        <w:t>] r., uznaje się za ważne do dat określonych</w:t>
      </w:r>
      <w:r w:rsidR="006C5585" w:rsidRPr="00C57330">
        <w:rPr>
          <w:noProof/>
        </w:rPr>
        <w:t xml:space="preserve"> w</w:t>
      </w:r>
      <w:r w:rsidR="006C5585">
        <w:rPr>
          <w:noProof/>
        </w:rPr>
        <w:t> </w:t>
      </w:r>
      <w:r w:rsidR="006C5585" w:rsidRPr="006C5585">
        <w:rPr>
          <w:noProof/>
        </w:rPr>
        <w:t>ust</w:t>
      </w:r>
      <w:r w:rsidRPr="006C5585">
        <w:rPr>
          <w:noProof/>
        </w:rPr>
        <w:t>.</w:t>
      </w:r>
      <w:r w:rsidR="006C5585" w:rsidRPr="006C5585">
        <w:rPr>
          <w:noProof/>
        </w:rPr>
        <w:t> </w:t>
      </w:r>
      <w:r w:rsidRPr="006C5585">
        <w:rPr>
          <w:noProof/>
        </w:rPr>
        <w:t>3</w:t>
      </w:r>
      <w:r w:rsidRPr="00C57330">
        <w:rPr>
          <w:noProof/>
        </w:rPr>
        <w:t>b wyłącznie wówczas, gdy spełniony jest jeden</w:t>
      </w:r>
      <w:r w:rsidR="006C5585" w:rsidRPr="00C57330">
        <w:rPr>
          <w:noProof/>
        </w:rPr>
        <w:t xml:space="preserve"> z</w:t>
      </w:r>
      <w:r w:rsidR="006C5585">
        <w:rPr>
          <w:noProof/>
        </w:rPr>
        <w:t> </w:t>
      </w:r>
      <w:r w:rsidR="006C5585" w:rsidRPr="00C57330">
        <w:rPr>
          <w:noProof/>
        </w:rPr>
        <w:t>nas</w:t>
      </w:r>
      <w:r w:rsidRPr="00C57330">
        <w:rPr>
          <w:noProof/>
        </w:rPr>
        <w:t xml:space="preserve">tępujących warunków: </w:t>
      </w:r>
    </w:p>
    <w:p w14:paraId="5ED9BA61" w14:textId="62DF484E" w:rsidR="000A7824" w:rsidRPr="00C57330" w:rsidRDefault="006C5585" w:rsidP="006C5585">
      <w:pPr>
        <w:pStyle w:val="Point2"/>
        <w:rPr>
          <w:noProof/>
        </w:rPr>
      </w:pPr>
      <w:r>
        <w:rPr>
          <w:noProof/>
        </w:rPr>
        <w:t>a)</w:t>
      </w:r>
      <w:r>
        <w:rPr>
          <w:noProof/>
        </w:rPr>
        <w:tab/>
      </w:r>
      <w:r w:rsidR="000213EA" w:rsidRPr="00C57330">
        <w:rPr>
          <w:noProof/>
        </w:rPr>
        <w:t>przed datą utraty ważności certyfikatu producent</w:t>
      </w:r>
      <w:r w:rsidRPr="00C57330">
        <w:rPr>
          <w:noProof/>
        </w:rPr>
        <w:t xml:space="preserve"> i</w:t>
      </w:r>
      <w:r>
        <w:rPr>
          <w:noProof/>
        </w:rPr>
        <w:t> </w:t>
      </w:r>
      <w:r w:rsidRPr="00C57330">
        <w:rPr>
          <w:noProof/>
        </w:rPr>
        <w:t>jed</w:t>
      </w:r>
      <w:r w:rsidR="000213EA" w:rsidRPr="00C57330">
        <w:rPr>
          <w:noProof/>
        </w:rPr>
        <w:t>nostka notyfikowana podpisali pisemną umowę – zgodnie</w:t>
      </w:r>
      <w:r w:rsidRPr="00C57330">
        <w:rPr>
          <w:noProof/>
        </w:rPr>
        <w:t xml:space="preserve"> z</w:t>
      </w:r>
      <w:r>
        <w:rPr>
          <w:noProof/>
        </w:rPr>
        <w:t> </w:t>
      </w:r>
      <w:r w:rsidRPr="00C57330">
        <w:rPr>
          <w:noProof/>
        </w:rPr>
        <w:t>zał</w:t>
      </w:r>
      <w:r w:rsidR="000213EA" w:rsidRPr="00C57330">
        <w:rPr>
          <w:noProof/>
        </w:rPr>
        <w:t>ącznikiem VII sekcja 4.3 akapit drugi – dotyczącą oceny zgodności</w:t>
      </w:r>
      <w:r w:rsidRPr="00C57330">
        <w:rPr>
          <w:noProof/>
        </w:rPr>
        <w:t xml:space="preserve"> w</w:t>
      </w:r>
      <w:r>
        <w:rPr>
          <w:noProof/>
        </w:rPr>
        <w:t> </w:t>
      </w:r>
      <w:r w:rsidRPr="00C57330">
        <w:rPr>
          <w:noProof/>
        </w:rPr>
        <w:t>odn</w:t>
      </w:r>
      <w:r w:rsidR="000213EA" w:rsidRPr="00C57330">
        <w:rPr>
          <w:noProof/>
        </w:rPr>
        <w:t>iesieniu do wyrobu objętego certyfikatem, który utracił ważność, lub</w:t>
      </w:r>
      <w:r w:rsidRPr="00C57330">
        <w:rPr>
          <w:noProof/>
        </w:rPr>
        <w:t xml:space="preserve"> w</w:t>
      </w:r>
      <w:r>
        <w:rPr>
          <w:noProof/>
        </w:rPr>
        <w:t> </w:t>
      </w:r>
      <w:r w:rsidRPr="00C57330">
        <w:rPr>
          <w:noProof/>
        </w:rPr>
        <w:t>odn</w:t>
      </w:r>
      <w:r w:rsidR="000213EA" w:rsidRPr="00C57330">
        <w:rPr>
          <w:noProof/>
        </w:rPr>
        <w:t xml:space="preserve">iesieniu do wyrobu mającego zastąpić ten wyrób; </w:t>
      </w:r>
    </w:p>
    <w:p w14:paraId="61D00868" w14:textId="2F28175D" w:rsidR="00E41168" w:rsidRPr="00C57330" w:rsidRDefault="006C5585" w:rsidP="006C5585">
      <w:pPr>
        <w:pStyle w:val="Point2"/>
        <w:rPr>
          <w:noProof/>
        </w:rPr>
      </w:pPr>
      <w:r>
        <w:rPr>
          <w:noProof/>
        </w:rPr>
        <w:t>b)</w:t>
      </w:r>
      <w:r>
        <w:rPr>
          <w:noProof/>
        </w:rPr>
        <w:tab/>
      </w:r>
      <w:r w:rsidR="000A7824" w:rsidRPr="00C57330">
        <w:rPr>
          <w:noProof/>
        </w:rPr>
        <w:t>właściwy organ państwa członkowskiego udzielił odstępstwa od mającej zastosowanie procedury oceny zgodności zgodnie</w:t>
      </w:r>
      <w:r w:rsidRPr="00C57330">
        <w:rPr>
          <w:noProof/>
        </w:rPr>
        <w:t xml:space="preserve"> z</w:t>
      </w:r>
      <w:r>
        <w:rPr>
          <w:noProof/>
        </w:rPr>
        <w:t> </w:t>
      </w:r>
      <w:r w:rsidRPr="006C5585">
        <w:rPr>
          <w:noProof/>
        </w:rPr>
        <w:t>art</w:t>
      </w:r>
      <w:r w:rsidR="000A7824" w:rsidRPr="006C5585">
        <w:rPr>
          <w:noProof/>
        </w:rPr>
        <w:t>.</w:t>
      </w:r>
      <w:r w:rsidRPr="006C5585">
        <w:rPr>
          <w:noProof/>
        </w:rPr>
        <w:t> </w:t>
      </w:r>
      <w:r w:rsidR="000A7824" w:rsidRPr="006C5585">
        <w:rPr>
          <w:noProof/>
        </w:rPr>
        <w:t>5</w:t>
      </w:r>
      <w:r w:rsidR="000A7824" w:rsidRPr="00C57330">
        <w:rPr>
          <w:noProof/>
        </w:rPr>
        <w:t xml:space="preserve">9 </w:t>
      </w:r>
      <w:r w:rsidR="000A7824" w:rsidRPr="006C5585">
        <w:rPr>
          <w:noProof/>
        </w:rPr>
        <w:t>ust.</w:t>
      </w:r>
      <w:r w:rsidRPr="006C5585">
        <w:rPr>
          <w:noProof/>
        </w:rPr>
        <w:t> </w:t>
      </w:r>
      <w:r w:rsidR="000A7824" w:rsidRPr="006C5585">
        <w:rPr>
          <w:noProof/>
        </w:rPr>
        <w:t>1</w:t>
      </w:r>
      <w:r w:rsidR="000A7824" w:rsidRPr="00C57330">
        <w:rPr>
          <w:noProof/>
        </w:rPr>
        <w:t xml:space="preserve"> lub zobowiązał producenta do przeprowadzenia mającej zastosowanie procedury oceny zgodności zgodnie</w:t>
      </w:r>
      <w:r w:rsidRPr="00C57330">
        <w:rPr>
          <w:noProof/>
        </w:rPr>
        <w:t xml:space="preserve"> z</w:t>
      </w:r>
      <w:r>
        <w:rPr>
          <w:noProof/>
        </w:rPr>
        <w:t> </w:t>
      </w:r>
      <w:r w:rsidRPr="006C5585">
        <w:rPr>
          <w:noProof/>
        </w:rPr>
        <w:t>art</w:t>
      </w:r>
      <w:r w:rsidR="000A7824" w:rsidRPr="006C5585">
        <w:rPr>
          <w:noProof/>
        </w:rPr>
        <w:t>.</w:t>
      </w:r>
      <w:r w:rsidRPr="006C5585">
        <w:rPr>
          <w:noProof/>
        </w:rPr>
        <w:t> </w:t>
      </w:r>
      <w:r w:rsidR="000A7824" w:rsidRPr="006C5585">
        <w:rPr>
          <w:noProof/>
        </w:rPr>
        <w:t>9</w:t>
      </w:r>
      <w:r w:rsidR="000A7824" w:rsidRPr="00C57330">
        <w:rPr>
          <w:noProof/>
        </w:rPr>
        <w:t xml:space="preserve">7 </w:t>
      </w:r>
      <w:r w:rsidR="000A7824" w:rsidRPr="006C5585">
        <w:rPr>
          <w:noProof/>
        </w:rPr>
        <w:t>ust.</w:t>
      </w:r>
      <w:r w:rsidRPr="006C5585">
        <w:rPr>
          <w:noProof/>
        </w:rPr>
        <w:t> </w:t>
      </w:r>
      <w:r w:rsidR="000A7824" w:rsidRPr="006C5585">
        <w:rPr>
          <w:noProof/>
        </w:rPr>
        <w:t>1</w:t>
      </w:r>
      <w:r w:rsidR="000A7824" w:rsidRPr="00C57330">
        <w:rPr>
          <w:noProof/>
        </w:rPr>
        <w:t>.”;</w:t>
      </w:r>
    </w:p>
    <w:p w14:paraId="04DF7093" w14:textId="2418170C" w:rsidR="007422D2" w:rsidRPr="00C57330" w:rsidRDefault="006C5585" w:rsidP="006C5585">
      <w:pPr>
        <w:pStyle w:val="Point1"/>
        <w:rPr>
          <w:noProof/>
        </w:rPr>
      </w:pPr>
      <w:r>
        <w:rPr>
          <w:noProof/>
        </w:rPr>
        <w:t>b)</w:t>
      </w:r>
      <w:r>
        <w:rPr>
          <w:noProof/>
        </w:rPr>
        <w:tab/>
      </w:r>
      <w:r w:rsidR="007422D2" w:rsidRPr="006C5585">
        <w:rPr>
          <w:noProof/>
        </w:rPr>
        <w:t>ust.</w:t>
      </w:r>
      <w:r w:rsidRPr="006C5585">
        <w:rPr>
          <w:noProof/>
        </w:rPr>
        <w:t> </w:t>
      </w:r>
      <w:r w:rsidR="007422D2" w:rsidRPr="006C5585">
        <w:rPr>
          <w:noProof/>
        </w:rPr>
        <w:t>3</w:t>
      </w:r>
      <w:r w:rsidR="007422D2" w:rsidRPr="00C57330">
        <w:rPr>
          <w:noProof/>
        </w:rPr>
        <w:t xml:space="preserve"> otrzymuje brzmienie:</w:t>
      </w:r>
    </w:p>
    <w:p w14:paraId="0AEE755F" w14:textId="20BB98E3" w:rsidR="00FE1A87" w:rsidRPr="00C57330" w:rsidRDefault="007422D2" w:rsidP="00FE1A87">
      <w:pPr>
        <w:pStyle w:val="Text2"/>
        <w:rPr>
          <w:noProof/>
        </w:rPr>
      </w:pPr>
      <w:r w:rsidRPr="00C57330">
        <w:rPr>
          <w:noProof/>
        </w:rPr>
        <w:t xml:space="preserve">„3a. Na zasadzie odstępstwa od </w:t>
      </w:r>
      <w:r w:rsidRPr="006C5585">
        <w:rPr>
          <w:noProof/>
        </w:rPr>
        <w:t>art.</w:t>
      </w:r>
      <w:r w:rsidR="006C5585" w:rsidRPr="006C5585">
        <w:rPr>
          <w:noProof/>
        </w:rPr>
        <w:t> </w:t>
      </w:r>
      <w:r w:rsidRPr="006C5585">
        <w:rPr>
          <w:noProof/>
        </w:rPr>
        <w:t>5</w:t>
      </w:r>
      <w:r w:rsidRPr="00C57330">
        <w:rPr>
          <w:noProof/>
        </w:rPr>
        <w:t xml:space="preserve"> oraz jeśli spełnione zostaną warunki określone</w:t>
      </w:r>
      <w:r w:rsidR="006C5585" w:rsidRPr="00C57330">
        <w:rPr>
          <w:noProof/>
        </w:rPr>
        <w:t xml:space="preserve"> w</w:t>
      </w:r>
      <w:r w:rsidR="006C5585">
        <w:rPr>
          <w:noProof/>
        </w:rPr>
        <w:t> </w:t>
      </w:r>
      <w:r w:rsidR="006C5585" w:rsidRPr="006C5585">
        <w:rPr>
          <w:noProof/>
        </w:rPr>
        <w:t>ust</w:t>
      </w:r>
      <w:r w:rsidRPr="006C5585">
        <w:rPr>
          <w:noProof/>
        </w:rPr>
        <w:t>.</w:t>
      </w:r>
      <w:r w:rsidR="006C5585" w:rsidRPr="006C5585">
        <w:rPr>
          <w:noProof/>
        </w:rPr>
        <w:t> </w:t>
      </w:r>
      <w:r w:rsidRPr="006C5585">
        <w:rPr>
          <w:noProof/>
        </w:rPr>
        <w:t>3</w:t>
      </w:r>
      <w:r w:rsidRPr="00C57330">
        <w:rPr>
          <w:noProof/>
        </w:rPr>
        <w:t>d niniejszego artykułu, wyroby,</w:t>
      </w:r>
      <w:r w:rsidR="006C5585" w:rsidRPr="00C57330">
        <w:rPr>
          <w:noProof/>
        </w:rPr>
        <w:t xml:space="preserve"> o</w:t>
      </w:r>
      <w:r w:rsidR="006C5585">
        <w:rPr>
          <w:noProof/>
        </w:rPr>
        <w:t> </w:t>
      </w:r>
      <w:r w:rsidR="006C5585" w:rsidRPr="00C57330">
        <w:rPr>
          <w:noProof/>
        </w:rPr>
        <w:t>któ</w:t>
      </w:r>
      <w:r w:rsidRPr="00C57330">
        <w:rPr>
          <w:noProof/>
        </w:rPr>
        <w:t>rych mowa</w:t>
      </w:r>
      <w:r w:rsidR="006C5585" w:rsidRPr="00C57330">
        <w:rPr>
          <w:noProof/>
        </w:rPr>
        <w:t xml:space="preserve"> w</w:t>
      </w:r>
      <w:r w:rsidR="006C5585">
        <w:rPr>
          <w:noProof/>
        </w:rPr>
        <w:t> </w:t>
      </w:r>
      <w:r w:rsidR="006C5585" w:rsidRPr="006C5585">
        <w:rPr>
          <w:noProof/>
        </w:rPr>
        <w:t>ust</w:t>
      </w:r>
      <w:r w:rsidRPr="006C5585">
        <w:rPr>
          <w:noProof/>
        </w:rPr>
        <w:t>.</w:t>
      </w:r>
      <w:r w:rsidR="006C5585" w:rsidRPr="006C5585">
        <w:rPr>
          <w:noProof/>
        </w:rPr>
        <w:t> </w:t>
      </w:r>
      <w:r w:rsidRPr="006C5585">
        <w:rPr>
          <w:noProof/>
        </w:rPr>
        <w:t>3</w:t>
      </w:r>
      <w:r w:rsidRPr="00C57330">
        <w:rPr>
          <w:noProof/>
        </w:rPr>
        <w:t>b</w:t>
      </w:r>
      <w:r w:rsidR="006C5585" w:rsidRPr="00C57330">
        <w:rPr>
          <w:noProof/>
        </w:rPr>
        <w:t xml:space="preserve"> i</w:t>
      </w:r>
      <w:r w:rsidR="006C5585">
        <w:rPr>
          <w:noProof/>
        </w:rPr>
        <w:t> </w:t>
      </w:r>
      <w:r w:rsidR="006C5585" w:rsidRPr="00C57330">
        <w:rPr>
          <w:noProof/>
        </w:rPr>
        <w:t>3</w:t>
      </w:r>
      <w:r w:rsidRPr="00C57330">
        <w:rPr>
          <w:noProof/>
        </w:rPr>
        <w:t>c niniejszego artykułu, mogą być wprowadzane do obrotu lub do używania do dat określonych</w:t>
      </w:r>
      <w:r w:rsidR="006C5585" w:rsidRPr="00C57330">
        <w:rPr>
          <w:noProof/>
        </w:rPr>
        <w:t xml:space="preserve"> w</w:t>
      </w:r>
      <w:r w:rsidR="006C5585">
        <w:rPr>
          <w:noProof/>
        </w:rPr>
        <w:t> </w:t>
      </w:r>
      <w:r w:rsidR="006C5585" w:rsidRPr="00C57330">
        <w:rPr>
          <w:noProof/>
        </w:rPr>
        <w:t>tyc</w:t>
      </w:r>
      <w:r w:rsidRPr="00C57330">
        <w:rPr>
          <w:noProof/>
        </w:rPr>
        <w:t>h ustępach.</w:t>
      </w:r>
    </w:p>
    <w:p w14:paraId="7919794D" w14:textId="131FED56" w:rsidR="003F7221" w:rsidRPr="00C57330" w:rsidRDefault="005305A2" w:rsidP="00141D69">
      <w:pPr>
        <w:pStyle w:val="Text2"/>
        <w:rPr>
          <w:noProof/>
        </w:rPr>
      </w:pPr>
      <w:r w:rsidRPr="00C57330">
        <w:rPr>
          <w:noProof/>
        </w:rPr>
        <w:t>3b. Wyroby posiadające certyfikat wydany zgodnie</w:t>
      </w:r>
      <w:r w:rsidR="006C5585" w:rsidRPr="00C57330">
        <w:rPr>
          <w:noProof/>
        </w:rPr>
        <w:t xml:space="preserve"> z</w:t>
      </w:r>
      <w:r w:rsidR="006C5585">
        <w:rPr>
          <w:noProof/>
        </w:rPr>
        <w:t> </w:t>
      </w:r>
      <w:r w:rsidR="006C5585" w:rsidRPr="00C57330">
        <w:rPr>
          <w:noProof/>
        </w:rPr>
        <w:t>dyr</w:t>
      </w:r>
      <w:r w:rsidRPr="00C57330">
        <w:rPr>
          <w:noProof/>
        </w:rPr>
        <w:t xml:space="preserve">ektywą 90/385/EWG lub dyrektywą 93/42/EWG, ważny na podstawie </w:t>
      </w:r>
      <w:r w:rsidRPr="006C5585">
        <w:rPr>
          <w:noProof/>
        </w:rPr>
        <w:t>ust.</w:t>
      </w:r>
      <w:r w:rsidR="006C5585" w:rsidRPr="006C5585">
        <w:rPr>
          <w:noProof/>
        </w:rPr>
        <w:t> </w:t>
      </w:r>
      <w:r w:rsidRPr="006C5585">
        <w:rPr>
          <w:noProof/>
        </w:rPr>
        <w:t>2</w:t>
      </w:r>
      <w:r w:rsidRPr="00C57330">
        <w:rPr>
          <w:noProof/>
        </w:rPr>
        <w:t xml:space="preserve"> niniejszego artykułu, mogą być wprowadzane do obrotu lub do używania do następujących dat:</w:t>
      </w:r>
    </w:p>
    <w:p w14:paraId="614F7D3A" w14:textId="1FF718AA" w:rsidR="00FE1A87" w:rsidRPr="00C57330" w:rsidRDefault="006C5585" w:rsidP="006C5585">
      <w:pPr>
        <w:pStyle w:val="Point2"/>
        <w:rPr>
          <w:noProof/>
        </w:rPr>
      </w:pPr>
      <w:r>
        <w:rPr>
          <w:noProof/>
        </w:rPr>
        <w:t>a)</w:t>
      </w:r>
      <w:r>
        <w:rPr>
          <w:noProof/>
        </w:rPr>
        <w:tab/>
      </w:r>
      <w:r w:rsidR="0087659F" w:rsidRPr="00C57330">
        <w:rPr>
          <w:noProof/>
        </w:rPr>
        <w:t>31 grudnia 20</w:t>
      </w:r>
      <w:r w:rsidR="0087659F" w:rsidRPr="006C5585">
        <w:rPr>
          <w:noProof/>
        </w:rPr>
        <w:t>27</w:t>
      </w:r>
      <w:r w:rsidRPr="006C5585">
        <w:rPr>
          <w:noProof/>
        </w:rPr>
        <w:t> </w:t>
      </w:r>
      <w:r w:rsidR="0087659F" w:rsidRPr="006C5585">
        <w:rPr>
          <w:noProof/>
        </w:rPr>
        <w:t>r.</w:t>
      </w:r>
      <w:r w:rsidRPr="00C57330">
        <w:rPr>
          <w:noProof/>
        </w:rPr>
        <w:t xml:space="preserve"> w</w:t>
      </w:r>
      <w:r>
        <w:rPr>
          <w:noProof/>
        </w:rPr>
        <w:t> </w:t>
      </w:r>
      <w:r w:rsidRPr="00C57330">
        <w:rPr>
          <w:noProof/>
        </w:rPr>
        <w:t>prz</w:t>
      </w:r>
      <w:r w:rsidR="0087659F" w:rsidRPr="00C57330">
        <w:rPr>
          <w:noProof/>
        </w:rPr>
        <w:t>ypadku wyrobów klasy III</w:t>
      </w:r>
      <w:r w:rsidRPr="00C57330">
        <w:rPr>
          <w:noProof/>
        </w:rPr>
        <w:t xml:space="preserve"> i</w:t>
      </w:r>
      <w:r>
        <w:rPr>
          <w:noProof/>
        </w:rPr>
        <w:t> </w:t>
      </w:r>
      <w:r w:rsidRPr="00C57330">
        <w:rPr>
          <w:noProof/>
        </w:rPr>
        <w:t>wyr</w:t>
      </w:r>
      <w:r w:rsidR="0087659F" w:rsidRPr="00C57330">
        <w:rPr>
          <w:noProof/>
        </w:rPr>
        <w:t>obów do implantacji klasy IIb,</w:t>
      </w:r>
      <w:r w:rsidRPr="00C57330">
        <w:rPr>
          <w:noProof/>
        </w:rPr>
        <w:t xml:space="preserve"> z</w:t>
      </w:r>
      <w:r>
        <w:rPr>
          <w:noProof/>
        </w:rPr>
        <w:t> </w:t>
      </w:r>
      <w:r w:rsidRPr="00C57330">
        <w:rPr>
          <w:noProof/>
        </w:rPr>
        <w:t>wyj</w:t>
      </w:r>
      <w:r w:rsidR="0087659F" w:rsidRPr="00C57330">
        <w:rPr>
          <w:noProof/>
        </w:rPr>
        <w:t>ątkiem szwów, zszywek, wypełnień dentystycznych, aparatów ortodontycznych, koron zębowych, śrub, klinów, płytek, drutów, gwoździ, klamer</w:t>
      </w:r>
      <w:r w:rsidRPr="00C57330">
        <w:rPr>
          <w:noProof/>
        </w:rPr>
        <w:t xml:space="preserve"> i</w:t>
      </w:r>
      <w:r>
        <w:rPr>
          <w:noProof/>
        </w:rPr>
        <w:t> </w:t>
      </w:r>
      <w:r w:rsidRPr="00C57330">
        <w:rPr>
          <w:noProof/>
        </w:rPr>
        <w:t>łąc</w:t>
      </w:r>
      <w:r w:rsidR="0087659F" w:rsidRPr="00C57330">
        <w:rPr>
          <w:noProof/>
        </w:rPr>
        <w:t>zników;</w:t>
      </w:r>
    </w:p>
    <w:p w14:paraId="4183F675" w14:textId="377A0EE7" w:rsidR="00FE1A87" w:rsidRPr="00C57330" w:rsidRDefault="006C5585" w:rsidP="006C5585">
      <w:pPr>
        <w:pStyle w:val="Point2"/>
        <w:rPr>
          <w:noProof/>
        </w:rPr>
      </w:pPr>
      <w:r>
        <w:rPr>
          <w:noProof/>
        </w:rPr>
        <w:t>b)</w:t>
      </w:r>
      <w:r>
        <w:rPr>
          <w:noProof/>
        </w:rPr>
        <w:tab/>
      </w:r>
      <w:r w:rsidR="0087659F" w:rsidRPr="00C57330">
        <w:rPr>
          <w:noProof/>
        </w:rPr>
        <w:t>31 grudnia 20</w:t>
      </w:r>
      <w:r w:rsidR="0087659F" w:rsidRPr="006C5585">
        <w:rPr>
          <w:noProof/>
        </w:rPr>
        <w:t>28</w:t>
      </w:r>
      <w:r w:rsidRPr="006C5585">
        <w:rPr>
          <w:noProof/>
        </w:rPr>
        <w:t> </w:t>
      </w:r>
      <w:r w:rsidR="0087659F" w:rsidRPr="006C5585">
        <w:rPr>
          <w:noProof/>
        </w:rPr>
        <w:t>r.</w:t>
      </w:r>
      <w:r w:rsidRPr="00C57330">
        <w:rPr>
          <w:noProof/>
        </w:rPr>
        <w:t xml:space="preserve"> w</w:t>
      </w:r>
      <w:r>
        <w:rPr>
          <w:noProof/>
        </w:rPr>
        <w:t> </w:t>
      </w:r>
      <w:r w:rsidRPr="00C57330">
        <w:rPr>
          <w:noProof/>
        </w:rPr>
        <w:t>prz</w:t>
      </w:r>
      <w:r w:rsidR="0087659F" w:rsidRPr="00C57330">
        <w:rPr>
          <w:noProof/>
        </w:rPr>
        <w:t xml:space="preserve">ypadku wyrobów klasy IIb innych niż wyroby objęte </w:t>
      </w:r>
      <w:r w:rsidR="0087659F" w:rsidRPr="006C5585">
        <w:rPr>
          <w:noProof/>
        </w:rPr>
        <w:t>lit.</w:t>
      </w:r>
      <w:r w:rsidRPr="006C5585">
        <w:rPr>
          <w:noProof/>
        </w:rPr>
        <w:t> </w:t>
      </w:r>
      <w:r w:rsidR="0087659F" w:rsidRPr="006C5585">
        <w:rPr>
          <w:noProof/>
        </w:rPr>
        <w:t>a)</w:t>
      </w:r>
      <w:r w:rsidR="0087659F" w:rsidRPr="00C57330">
        <w:rPr>
          <w:noProof/>
        </w:rPr>
        <w:t>,</w:t>
      </w:r>
      <w:r w:rsidRPr="00C57330">
        <w:rPr>
          <w:noProof/>
        </w:rPr>
        <w:t xml:space="preserve"> w</w:t>
      </w:r>
      <w:r>
        <w:rPr>
          <w:noProof/>
        </w:rPr>
        <w:t> </w:t>
      </w:r>
      <w:r w:rsidRPr="00C57330">
        <w:rPr>
          <w:noProof/>
        </w:rPr>
        <w:t>prz</w:t>
      </w:r>
      <w:r w:rsidR="0087659F" w:rsidRPr="00C57330">
        <w:rPr>
          <w:noProof/>
        </w:rPr>
        <w:t>ypadku wyrobów klasy IIa oraz</w:t>
      </w:r>
      <w:r w:rsidRPr="00C57330">
        <w:rPr>
          <w:noProof/>
        </w:rPr>
        <w:t xml:space="preserve"> w</w:t>
      </w:r>
      <w:r>
        <w:rPr>
          <w:noProof/>
        </w:rPr>
        <w:t> </w:t>
      </w:r>
      <w:r w:rsidRPr="00C57330">
        <w:rPr>
          <w:noProof/>
        </w:rPr>
        <w:t>prz</w:t>
      </w:r>
      <w:r w:rsidR="0087659F" w:rsidRPr="00C57330">
        <w:rPr>
          <w:noProof/>
        </w:rPr>
        <w:t>ypadku wyrobów klasy I wprowadzonych do obrotu</w:t>
      </w:r>
      <w:r w:rsidRPr="00C57330">
        <w:rPr>
          <w:noProof/>
        </w:rPr>
        <w:t xml:space="preserve"> w</w:t>
      </w:r>
      <w:r>
        <w:rPr>
          <w:noProof/>
        </w:rPr>
        <w:t> </w:t>
      </w:r>
      <w:r w:rsidRPr="00C57330">
        <w:rPr>
          <w:noProof/>
        </w:rPr>
        <w:t>sta</w:t>
      </w:r>
      <w:r w:rsidR="0087659F" w:rsidRPr="00C57330">
        <w:rPr>
          <w:noProof/>
        </w:rPr>
        <w:t>nie sterylnym lub wyrobów klasy I</w:t>
      </w:r>
      <w:r w:rsidRPr="00C57330">
        <w:rPr>
          <w:noProof/>
        </w:rPr>
        <w:t xml:space="preserve"> o</w:t>
      </w:r>
      <w:r>
        <w:rPr>
          <w:noProof/>
        </w:rPr>
        <w:t> </w:t>
      </w:r>
      <w:r w:rsidRPr="00C57330">
        <w:rPr>
          <w:noProof/>
        </w:rPr>
        <w:t>fun</w:t>
      </w:r>
      <w:r w:rsidR="0087659F" w:rsidRPr="00C57330">
        <w:rPr>
          <w:noProof/>
        </w:rPr>
        <w:t>kcji pomiarowej.</w:t>
      </w:r>
    </w:p>
    <w:p w14:paraId="7E92BEEA" w14:textId="3E1854A3" w:rsidR="003F7221" w:rsidRPr="00C57330" w:rsidRDefault="005305A2" w:rsidP="00B73C62">
      <w:pPr>
        <w:pStyle w:val="Text2"/>
        <w:rPr>
          <w:noProof/>
        </w:rPr>
      </w:pPr>
      <w:r w:rsidRPr="00C57330">
        <w:rPr>
          <w:noProof/>
        </w:rPr>
        <w:t>3c. Wyroby,</w:t>
      </w:r>
      <w:r w:rsidR="006C5585" w:rsidRPr="00C57330">
        <w:rPr>
          <w:noProof/>
        </w:rPr>
        <w:t xml:space="preserve"> w</w:t>
      </w:r>
      <w:r w:rsidR="006C5585">
        <w:rPr>
          <w:noProof/>
        </w:rPr>
        <w:t> </w:t>
      </w:r>
      <w:r w:rsidR="006C5585" w:rsidRPr="00C57330">
        <w:rPr>
          <w:noProof/>
        </w:rPr>
        <w:t>prz</w:t>
      </w:r>
      <w:r w:rsidRPr="00C57330">
        <w:rPr>
          <w:noProof/>
        </w:rPr>
        <w:t>ypadku których procedura oceny zgodności na podstawie dyrektywy 93/42/EWG nie wymagała udziału jednostki notyfikowanej,</w:t>
      </w:r>
      <w:r w:rsidR="006C5585" w:rsidRPr="00C57330">
        <w:rPr>
          <w:noProof/>
        </w:rPr>
        <w:t xml:space="preserve"> w</w:t>
      </w:r>
      <w:r w:rsidR="006C5585">
        <w:rPr>
          <w:noProof/>
        </w:rPr>
        <w:t> </w:t>
      </w:r>
      <w:r w:rsidR="006C5585" w:rsidRPr="00C57330">
        <w:rPr>
          <w:noProof/>
        </w:rPr>
        <w:t>prz</w:t>
      </w:r>
      <w:r w:rsidRPr="00C57330">
        <w:rPr>
          <w:noProof/>
        </w:rPr>
        <w:t>ypadku których deklaracja zgodności została sporządzona przed dniem 26 maja 20</w:t>
      </w:r>
      <w:r w:rsidRPr="006C5585">
        <w:rPr>
          <w:noProof/>
        </w:rPr>
        <w:t>21</w:t>
      </w:r>
      <w:r w:rsidR="006C5585" w:rsidRPr="006C5585">
        <w:rPr>
          <w:noProof/>
        </w:rPr>
        <w:t> </w:t>
      </w:r>
      <w:r w:rsidRPr="006C5585">
        <w:rPr>
          <w:noProof/>
        </w:rPr>
        <w:t>r.</w:t>
      </w:r>
      <w:r w:rsidR="006C5585" w:rsidRPr="00C57330">
        <w:rPr>
          <w:noProof/>
        </w:rPr>
        <w:t xml:space="preserve"> i</w:t>
      </w:r>
      <w:r w:rsidR="006C5585">
        <w:rPr>
          <w:noProof/>
        </w:rPr>
        <w:t> </w:t>
      </w:r>
      <w:r w:rsidR="006C5585" w:rsidRPr="00C57330">
        <w:rPr>
          <w:noProof/>
        </w:rPr>
        <w:t>w</w:t>
      </w:r>
      <w:r w:rsidR="006C5585">
        <w:rPr>
          <w:noProof/>
        </w:rPr>
        <w:t> </w:t>
      </w:r>
      <w:r w:rsidR="006C5585" w:rsidRPr="00C57330">
        <w:rPr>
          <w:noProof/>
        </w:rPr>
        <w:t>odn</w:t>
      </w:r>
      <w:r w:rsidRPr="00C57330">
        <w:rPr>
          <w:noProof/>
        </w:rPr>
        <w:t>iesieniu do których procedura oceny zgodności na podstawie niniejszego rozporządzenia wymaga udziału jednostki notyfikowanej, mogą być wprowadzane do obrotu lub wprowadzane do używania do dnia 31 grudnia 20</w:t>
      </w:r>
      <w:r w:rsidRPr="006C5585">
        <w:rPr>
          <w:noProof/>
        </w:rPr>
        <w:t>28</w:t>
      </w:r>
      <w:r w:rsidR="006C5585" w:rsidRPr="006C5585">
        <w:rPr>
          <w:noProof/>
        </w:rPr>
        <w:t> </w:t>
      </w:r>
      <w:r w:rsidRPr="006C5585">
        <w:rPr>
          <w:noProof/>
        </w:rPr>
        <w:t>r.</w:t>
      </w:r>
    </w:p>
    <w:p w14:paraId="5EB32419" w14:textId="5C629562" w:rsidR="0009180A" w:rsidRPr="00C57330" w:rsidRDefault="005305A2" w:rsidP="00B73C62">
      <w:pPr>
        <w:pStyle w:val="Text2"/>
        <w:rPr>
          <w:noProof/>
        </w:rPr>
      </w:pPr>
      <w:r w:rsidRPr="00C57330">
        <w:rPr>
          <w:noProof/>
        </w:rPr>
        <w:t>3d. Wyroby mogą być wprowadzane do obrotu lub do używania do dat,</w:t>
      </w:r>
      <w:r w:rsidR="006C5585" w:rsidRPr="00C57330">
        <w:rPr>
          <w:noProof/>
        </w:rPr>
        <w:t xml:space="preserve"> o</w:t>
      </w:r>
      <w:r w:rsidR="006C5585">
        <w:rPr>
          <w:noProof/>
        </w:rPr>
        <w:t> </w:t>
      </w:r>
      <w:r w:rsidR="006C5585" w:rsidRPr="00C57330">
        <w:rPr>
          <w:noProof/>
        </w:rPr>
        <w:t>któ</w:t>
      </w:r>
      <w:r w:rsidRPr="00C57330">
        <w:rPr>
          <w:noProof/>
        </w:rPr>
        <w:t>rych mowa</w:t>
      </w:r>
      <w:r w:rsidR="006C5585" w:rsidRPr="00C57330">
        <w:rPr>
          <w:noProof/>
        </w:rPr>
        <w:t xml:space="preserve"> w</w:t>
      </w:r>
      <w:r w:rsidR="006C5585">
        <w:rPr>
          <w:noProof/>
        </w:rPr>
        <w:t> </w:t>
      </w:r>
      <w:r w:rsidR="006C5585" w:rsidRPr="006C5585">
        <w:rPr>
          <w:noProof/>
        </w:rPr>
        <w:t>ust</w:t>
      </w:r>
      <w:r w:rsidRPr="006C5585">
        <w:rPr>
          <w:noProof/>
        </w:rPr>
        <w:t>.</w:t>
      </w:r>
      <w:r w:rsidR="006C5585" w:rsidRPr="006C5585">
        <w:rPr>
          <w:noProof/>
        </w:rPr>
        <w:t> </w:t>
      </w:r>
      <w:r w:rsidRPr="006C5585">
        <w:rPr>
          <w:noProof/>
        </w:rPr>
        <w:t>3</w:t>
      </w:r>
      <w:r w:rsidRPr="00C57330">
        <w:rPr>
          <w:noProof/>
        </w:rPr>
        <w:t>b</w:t>
      </w:r>
      <w:r w:rsidR="006C5585" w:rsidRPr="00C57330">
        <w:rPr>
          <w:noProof/>
        </w:rPr>
        <w:t xml:space="preserve"> i</w:t>
      </w:r>
      <w:r w:rsidR="006C5585">
        <w:rPr>
          <w:noProof/>
        </w:rPr>
        <w:t> </w:t>
      </w:r>
      <w:r w:rsidR="006C5585" w:rsidRPr="00C57330">
        <w:rPr>
          <w:noProof/>
        </w:rPr>
        <w:t>3</w:t>
      </w:r>
      <w:r w:rsidRPr="00C57330">
        <w:rPr>
          <w:noProof/>
        </w:rPr>
        <w:t>c niniejszego artykułu, wyłącznie jeśli spełnione są następujące warunki:</w:t>
      </w:r>
    </w:p>
    <w:p w14:paraId="197CAE1F" w14:textId="6B6DB6AD" w:rsidR="0009180A" w:rsidRPr="00C57330" w:rsidRDefault="006C5585" w:rsidP="006C5585">
      <w:pPr>
        <w:pStyle w:val="Point2"/>
        <w:rPr>
          <w:noProof/>
        </w:rPr>
      </w:pPr>
      <w:r>
        <w:rPr>
          <w:noProof/>
        </w:rPr>
        <w:t>a)</w:t>
      </w:r>
      <w:r>
        <w:rPr>
          <w:noProof/>
        </w:rPr>
        <w:tab/>
      </w:r>
      <w:r w:rsidR="008A402A" w:rsidRPr="00C57330">
        <w:rPr>
          <w:noProof/>
        </w:rPr>
        <w:t>wyroby te nadal spełniają wymogi odpowiednio dyrektywy 90/385/EWG lub dyrektywy 93/42/EWG;</w:t>
      </w:r>
    </w:p>
    <w:p w14:paraId="5F30A956" w14:textId="45BEA821" w:rsidR="0009180A" w:rsidRPr="00C57330" w:rsidRDefault="006C5585" w:rsidP="006C5585">
      <w:pPr>
        <w:pStyle w:val="Point2"/>
        <w:rPr>
          <w:noProof/>
        </w:rPr>
      </w:pPr>
      <w:r>
        <w:rPr>
          <w:noProof/>
        </w:rPr>
        <w:t>b)</w:t>
      </w:r>
      <w:r>
        <w:rPr>
          <w:noProof/>
        </w:rPr>
        <w:tab/>
      </w:r>
      <w:r w:rsidR="008A402A" w:rsidRPr="00C57330">
        <w:rPr>
          <w:noProof/>
        </w:rPr>
        <w:t>nie nastąpiły żadne istotne zmiany</w:t>
      </w:r>
      <w:r w:rsidRPr="00C57330">
        <w:rPr>
          <w:noProof/>
        </w:rPr>
        <w:t xml:space="preserve"> w</w:t>
      </w:r>
      <w:r>
        <w:rPr>
          <w:noProof/>
        </w:rPr>
        <w:t> </w:t>
      </w:r>
      <w:r w:rsidRPr="00C57330">
        <w:rPr>
          <w:noProof/>
        </w:rPr>
        <w:t>pro</w:t>
      </w:r>
      <w:r w:rsidR="008A402A" w:rsidRPr="00C57330">
        <w:rPr>
          <w:noProof/>
        </w:rPr>
        <w:t>jekcie</w:t>
      </w:r>
      <w:r w:rsidRPr="00C57330">
        <w:rPr>
          <w:noProof/>
        </w:rPr>
        <w:t xml:space="preserve"> i</w:t>
      </w:r>
      <w:r>
        <w:rPr>
          <w:noProof/>
        </w:rPr>
        <w:t> </w:t>
      </w:r>
      <w:r w:rsidRPr="00C57330">
        <w:rPr>
          <w:noProof/>
        </w:rPr>
        <w:t>prz</w:t>
      </w:r>
      <w:r w:rsidR="008A402A" w:rsidRPr="00C57330">
        <w:rPr>
          <w:noProof/>
        </w:rPr>
        <w:t>ewidzianym zastosowaniu;</w:t>
      </w:r>
    </w:p>
    <w:p w14:paraId="68DD2C6B" w14:textId="003711CA" w:rsidR="008A402A" w:rsidRPr="00C57330" w:rsidRDefault="006C5585" w:rsidP="006C5585">
      <w:pPr>
        <w:pStyle w:val="Point2"/>
        <w:rPr>
          <w:noProof/>
        </w:rPr>
      </w:pPr>
      <w:r>
        <w:rPr>
          <w:noProof/>
        </w:rPr>
        <w:t>c)</w:t>
      </w:r>
      <w:r>
        <w:rPr>
          <w:noProof/>
        </w:rPr>
        <w:tab/>
      </w:r>
      <w:r w:rsidR="008A402A" w:rsidRPr="00C57330">
        <w:rPr>
          <w:noProof/>
        </w:rPr>
        <w:t>wyroby nie stwarzają niedopuszczalnego ryzyka dla zdrowia lub bezpieczeństwa pacjentów, użytkowników lub innych osób lub dla innych kwestii związanych</w:t>
      </w:r>
      <w:r w:rsidRPr="00C57330">
        <w:rPr>
          <w:noProof/>
        </w:rPr>
        <w:t xml:space="preserve"> z</w:t>
      </w:r>
      <w:r>
        <w:rPr>
          <w:noProof/>
        </w:rPr>
        <w:t> </w:t>
      </w:r>
      <w:r w:rsidRPr="00C57330">
        <w:rPr>
          <w:noProof/>
        </w:rPr>
        <w:t>och</w:t>
      </w:r>
      <w:r w:rsidR="008A402A" w:rsidRPr="00C57330">
        <w:rPr>
          <w:noProof/>
        </w:rPr>
        <w:t>roną zdrowia publicznego;</w:t>
      </w:r>
    </w:p>
    <w:p w14:paraId="07FDFF75" w14:textId="12F8CF4C" w:rsidR="00E65938" w:rsidRPr="00C57330" w:rsidRDefault="006C5585" w:rsidP="006C5585">
      <w:pPr>
        <w:pStyle w:val="Point2"/>
        <w:rPr>
          <w:noProof/>
        </w:rPr>
      </w:pPr>
      <w:r>
        <w:rPr>
          <w:noProof/>
        </w:rPr>
        <w:t>d)</w:t>
      </w:r>
      <w:r>
        <w:rPr>
          <w:noProof/>
        </w:rPr>
        <w:tab/>
      </w:r>
      <w:r w:rsidR="00E65938" w:rsidRPr="00C57330">
        <w:rPr>
          <w:noProof/>
        </w:rPr>
        <w:t>nie później niż dnia 26 maja 20</w:t>
      </w:r>
      <w:r w:rsidR="00E65938" w:rsidRPr="006C5585">
        <w:rPr>
          <w:noProof/>
        </w:rPr>
        <w:t>24</w:t>
      </w:r>
      <w:r w:rsidRPr="006C5585">
        <w:rPr>
          <w:noProof/>
        </w:rPr>
        <w:t> </w:t>
      </w:r>
      <w:r w:rsidR="00E65938" w:rsidRPr="006C5585">
        <w:rPr>
          <w:noProof/>
        </w:rPr>
        <w:t>r.</w:t>
      </w:r>
      <w:r w:rsidR="00E65938" w:rsidRPr="00C57330">
        <w:rPr>
          <w:noProof/>
        </w:rPr>
        <w:t xml:space="preserve"> producent wprowadził system zarządzania jakością zgodnie</w:t>
      </w:r>
      <w:r w:rsidRPr="00C57330">
        <w:rPr>
          <w:noProof/>
        </w:rPr>
        <w:t xml:space="preserve"> z</w:t>
      </w:r>
      <w:r>
        <w:rPr>
          <w:noProof/>
        </w:rPr>
        <w:t> </w:t>
      </w:r>
      <w:r w:rsidRPr="006C5585">
        <w:rPr>
          <w:noProof/>
        </w:rPr>
        <w:t>art</w:t>
      </w:r>
      <w:r w:rsidR="00E65938" w:rsidRPr="006C5585">
        <w:rPr>
          <w:noProof/>
        </w:rPr>
        <w:t>.</w:t>
      </w:r>
      <w:r w:rsidRPr="006C5585">
        <w:rPr>
          <w:noProof/>
        </w:rPr>
        <w:t> </w:t>
      </w:r>
      <w:r w:rsidR="00E65938" w:rsidRPr="006C5585">
        <w:rPr>
          <w:noProof/>
        </w:rPr>
        <w:t>1</w:t>
      </w:r>
      <w:r w:rsidR="00E65938" w:rsidRPr="00C57330">
        <w:rPr>
          <w:noProof/>
        </w:rPr>
        <w:t xml:space="preserve">0 </w:t>
      </w:r>
      <w:r w:rsidR="00E65938" w:rsidRPr="006C5585">
        <w:rPr>
          <w:noProof/>
        </w:rPr>
        <w:t>ust.</w:t>
      </w:r>
      <w:r w:rsidRPr="006C5585">
        <w:rPr>
          <w:noProof/>
        </w:rPr>
        <w:t> </w:t>
      </w:r>
      <w:r w:rsidR="00E65938" w:rsidRPr="006C5585">
        <w:rPr>
          <w:noProof/>
        </w:rPr>
        <w:t>9</w:t>
      </w:r>
      <w:r w:rsidR="00E65938" w:rsidRPr="00C57330">
        <w:rPr>
          <w:noProof/>
        </w:rPr>
        <w:t>;</w:t>
      </w:r>
    </w:p>
    <w:p w14:paraId="363DE546" w14:textId="64444447" w:rsidR="001B4D06" w:rsidRPr="00C57330" w:rsidRDefault="006C5585" w:rsidP="006C5585">
      <w:pPr>
        <w:pStyle w:val="Point2"/>
        <w:rPr>
          <w:noProof/>
        </w:rPr>
      </w:pPr>
      <w:r>
        <w:rPr>
          <w:noProof/>
        </w:rPr>
        <w:t>e)</w:t>
      </w:r>
      <w:r>
        <w:rPr>
          <w:noProof/>
        </w:rPr>
        <w:tab/>
      </w:r>
      <w:r w:rsidR="009A3159" w:rsidRPr="00C57330">
        <w:rPr>
          <w:noProof/>
        </w:rPr>
        <w:t>nie później niż dnia 26 maja 20</w:t>
      </w:r>
      <w:r w:rsidR="009A3159" w:rsidRPr="006C5585">
        <w:rPr>
          <w:noProof/>
        </w:rPr>
        <w:t>24</w:t>
      </w:r>
      <w:r w:rsidRPr="006C5585">
        <w:rPr>
          <w:noProof/>
        </w:rPr>
        <w:t> </w:t>
      </w:r>
      <w:r w:rsidR="009A3159" w:rsidRPr="006C5585">
        <w:rPr>
          <w:noProof/>
        </w:rPr>
        <w:t>r.</w:t>
      </w:r>
      <w:r w:rsidR="009A3159" w:rsidRPr="00C57330">
        <w:rPr>
          <w:noProof/>
        </w:rPr>
        <w:t xml:space="preserve"> producent lub upoważniony przedstawiciel złożył formalny wniosek zgodnie</w:t>
      </w:r>
      <w:r w:rsidRPr="00C57330">
        <w:rPr>
          <w:noProof/>
        </w:rPr>
        <w:t xml:space="preserve"> z</w:t>
      </w:r>
      <w:r>
        <w:rPr>
          <w:noProof/>
        </w:rPr>
        <w:t> </w:t>
      </w:r>
      <w:r w:rsidRPr="00C57330">
        <w:rPr>
          <w:noProof/>
        </w:rPr>
        <w:t>zał</w:t>
      </w:r>
      <w:r w:rsidR="009A3159" w:rsidRPr="00C57330">
        <w:rPr>
          <w:noProof/>
        </w:rPr>
        <w:t>ącznikiem VII sekcja 4.3 akapit pierwszy</w:t>
      </w:r>
      <w:r w:rsidRPr="00C57330">
        <w:rPr>
          <w:noProof/>
        </w:rPr>
        <w:t xml:space="preserve"> o</w:t>
      </w:r>
      <w:r>
        <w:rPr>
          <w:noProof/>
        </w:rPr>
        <w:t> </w:t>
      </w:r>
      <w:r w:rsidRPr="00C57330">
        <w:rPr>
          <w:noProof/>
        </w:rPr>
        <w:t>prz</w:t>
      </w:r>
      <w:r w:rsidR="009A3159" w:rsidRPr="00C57330">
        <w:rPr>
          <w:noProof/>
        </w:rPr>
        <w:t>eprowadzenie oceny zgodności</w:t>
      </w:r>
      <w:r w:rsidRPr="00C57330">
        <w:rPr>
          <w:noProof/>
        </w:rPr>
        <w:t xml:space="preserve"> w</w:t>
      </w:r>
      <w:r>
        <w:rPr>
          <w:noProof/>
        </w:rPr>
        <w:t> </w:t>
      </w:r>
      <w:r w:rsidRPr="00C57330">
        <w:rPr>
          <w:noProof/>
        </w:rPr>
        <w:t>odn</w:t>
      </w:r>
      <w:r w:rsidR="009A3159" w:rsidRPr="00C57330">
        <w:rPr>
          <w:noProof/>
        </w:rPr>
        <w:t>iesieniu do wyrobu,</w:t>
      </w:r>
      <w:r w:rsidRPr="00C57330">
        <w:rPr>
          <w:noProof/>
        </w:rPr>
        <w:t xml:space="preserve"> o</w:t>
      </w:r>
      <w:r>
        <w:rPr>
          <w:noProof/>
        </w:rPr>
        <w:t> </w:t>
      </w:r>
      <w:r w:rsidRPr="00C57330">
        <w:rPr>
          <w:noProof/>
        </w:rPr>
        <w:t>któ</w:t>
      </w:r>
      <w:r w:rsidR="009A3159" w:rsidRPr="00C57330">
        <w:rPr>
          <w:noProof/>
        </w:rPr>
        <w:t>rym mowa</w:t>
      </w:r>
      <w:r w:rsidRPr="00C57330">
        <w:rPr>
          <w:noProof/>
        </w:rPr>
        <w:t xml:space="preserve"> w</w:t>
      </w:r>
      <w:r>
        <w:rPr>
          <w:noProof/>
        </w:rPr>
        <w:t> </w:t>
      </w:r>
      <w:r w:rsidRPr="006C5585">
        <w:rPr>
          <w:noProof/>
        </w:rPr>
        <w:t>ust</w:t>
      </w:r>
      <w:r w:rsidR="009A3159" w:rsidRPr="006C5585">
        <w:rPr>
          <w:noProof/>
        </w:rPr>
        <w:t>.</w:t>
      </w:r>
      <w:r w:rsidRPr="006C5585">
        <w:rPr>
          <w:noProof/>
        </w:rPr>
        <w:t> </w:t>
      </w:r>
      <w:r w:rsidR="009A3159" w:rsidRPr="006C5585">
        <w:rPr>
          <w:noProof/>
        </w:rPr>
        <w:t>3</w:t>
      </w:r>
      <w:r w:rsidR="009A3159" w:rsidRPr="00C57330">
        <w:rPr>
          <w:noProof/>
        </w:rPr>
        <w:t>b</w:t>
      </w:r>
      <w:r w:rsidRPr="00C57330">
        <w:rPr>
          <w:noProof/>
        </w:rPr>
        <w:t xml:space="preserve"> i</w:t>
      </w:r>
      <w:r>
        <w:rPr>
          <w:noProof/>
        </w:rPr>
        <w:t> </w:t>
      </w:r>
      <w:r w:rsidRPr="00C57330">
        <w:rPr>
          <w:noProof/>
        </w:rPr>
        <w:t>3</w:t>
      </w:r>
      <w:r w:rsidR="009A3159" w:rsidRPr="00C57330">
        <w:rPr>
          <w:noProof/>
        </w:rPr>
        <w:t>c niniejszego artykułu, lub</w:t>
      </w:r>
      <w:r w:rsidRPr="00C57330">
        <w:rPr>
          <w:noProof/>
        </w:rPr>
        <w:t xml:space="preserve"> w</w:t>
      </w:r>
      <w:r>
        <w:rPr>
          <w:noProof/>
        </w:rPr>
        <w:t> </w:t>
      </w:r>
      <w:r w:rsidRPr="00C57330">
        <w:rPr>
          <w:noProof/>
        </w:rPr>
        <w:t>odn</w:t>
      </w:r>
      <w:r w:rsidR="009A3159" w:rsidRPr="00C57330">
        <w:rPr>
          <w:noProof/>
        </w:rPr>
        <w:t>iesieniu do wyrobu mającego zastąpić ten wyrób, oraz nie później niż dnia 26 września 20</w:t>
      </w:r>
      <w:r w:rsidR="009A3159" w:rsidRPr="006C5585">
        <w:rPr>
          <w:noProof/>
        </w:rPr>
        <w:t>24</w:t>
      </w:r>
      <w:r w:rsidRPr="006C5585">
        <w:rPr>
          <w:noProof/>
        </w:rPr>
        <w:t> </w:t>
      </w:r>
      <w:r w:rsidR="009A3159" w:rsidRPr="006C5585">
        <w:rPr>
          <w:noProof/>
        </w:rPr>
        <w:t>r.</w:t>
      </w:r>
      <w:r w:rsidR="009A3159" w:rsidRPr="00C57330">
        <w:rPr>
          <w:noProof/>
        </w:rPr>
        <w:t xml:space="preserve"> jednostka notyfikowana</w:t>
      </w:r>
      <w:r w:rsidRPr="00C57330">
        <w:rPr>
          <w:noProof/>
        </w:rPr>
        <w:t xml:space="preserve"> i</w:t>
      </w:r>
      <w:r>
        <w:rPr>
          <w:noProof/>
        </w:rPr>
        <w:t> </w:t>
      </w:r>
      <w:r w:rsidRPr="00C57330">
        <w:rPr>
          <w:noProof/>
        </w:rPr>
        <w:t>pro</w:t>
      </w:r>
      <w:r w:rsidR="009A3159" w:rsidRPr="00C57330">
        <w:rPr>
          <w:noProof/>
        </w:rPr>
        <w:t>ducent podpisali pisemną umowę zgodnie</w:t>
      </w:r>
      <w:r w:rsidRPr="00C57330">
        <w:rPr>
          <w:noProof/>
        </w:rPr>
        <w:t xml:space="preserve"> z</w:t>
      </w:r>
      <w:r>
        <w:rPr>
          <w:noProof/>
        </w:rPr>
        <w:t> </w:t>
      </w:r>
      <w:r w:rsidRPr="00C57330">
        <w:rPr>
          <w:noProof/>
        </w:rPr>
        <w:t>zał</w:t>
      </w:r>
      <w:r w:rsidR="009A3159" w:rsidRPr="00C57330">
        <w:rPr>
          <w:noProof/>
        </w:rPr>
        <w:t>ącznikiem VII sekcja 4.3 akapit drugi.</w:t>
      </w:r>
    </w:p>
    <w:p w14:paraId="7F9189FD" w14:textId="73B5A958" w:rsidR="008A402A" w:rsidRPr="00C57330" w:rsidRDefault="005305A2" w:rsidP="00B73C62">
      <w:pPr>
        <w:pStyle w:val="Text2"/>
        <w:rPr>
          <w:noProof/>
        </w:rPr>
      </w:pPr>
      <w:r w:rsidRPr="00C57330">
        <w:rPr>
          <w:noProof/>
        </w:rPr>
        <w:t xml:space="preserve">3e. Na zasadzie odstępstwa od </w:t>
      </w:r>
      <w:r w:rsidRPr="006C5585">
        <w:rPr>
          <w:noProof/>
        </w:rPr>
        <w:t>ust.</w:t>
      </w:r>
      <w:r w:rsidR="006C5585" w:rsidRPr="006C5585">
        <w:rPr>
          <w:noProof/>
        </w:rPr>
        <w:t> </w:t>
      </w:r>
      <w:r w:rsidRPr="006C5585">
        <w:rPr>
          <w:noProof/>
        </w:rPr>
        <w:t>3</w:t>
      </w:r>
      <w:r w:rsidRPr="00C57330">
        <w:rPr>
          <w:noProof/>
        </w:rPr>
        <w:t>a określone</w:t>
      </w:r>
      <w:r w:rsidR="006C5585" w:rsidRPr="00C57330">
        <w:rPr>
          <w:noProof/>
        </w:rPr>
        <w:t xml:space="preserve"> w</w:t>
      </w:r>
      <w:r w:rsidR="006C5585">
        <w:rPr>
          <w:noProof/>
        </w:rPr>
        <w:t> </w:t>
      </w:r>
      <w:r w:rsidR="006C5585" w:rsidRPr="00C57330">
        <w:rPr>
          <w:noProof/>
        </w:rPr>
        <w:t>nin</w:t>
      </w:r>
      <w:r w:rsidRPr="00C57330">
        <w:rPr>
          <w:noProof/>
        </w:rPr>
        <w:t>iejszym rozporządzeniu wymogi dotyczące nadzoru po wprowadzeniu do obrotu, nadzoru rynku, obserwacji, rejestracji podmiotów gospodarczych</w:t>
      </w:r>
      <w:r w:rsidR="006C5585" w:rsidRPr="00C57330">
        <w:rPr>
          <w:noProof/>
        </w:rPr>
        <w:t xml:space="preserve"> i</w:t>
      </w:r>
      <w:r w:rsidR="006C5585">
        <w:rPr>
          <w:noProof/>
        </w:rPr>
        <w:t> </w:t>
      </w:r>
      <w:r w:rsidR="006C5585" w:rsidRPr="00C57330">
        <w:rPr>
          <w:noProof/>
        </w:rPr>
        <w:t>wyr</w:t>
      </w:r>
      <w:r w:rsidRPr="00C57330">
        <w:rPr>
          <w:noProof/>
        </w:rPr>
        <w:t>obów stosuje się wobec wyrobów,</w:t>
      </w:r>
      <w:r w:rsidR="006C5585" w:rsidRPr="00C57330">
        <w:rPr>
          <w:noProof/>
        </w:rPr>
        <w:t xml:space="preserve"> o</w:t>
      </w:r>
      <w:r w:rsidR="006C5585">
        <w:rPr>
          <w:noProof/>
        </w:rPr>
        <w:t> </w:t>
      </w:r>
      <w:r w:rsidR="006C5585" w:rsidRPr="00C57330">
        <w:rPr>
          <w:noProof/>
        </w:rPr>
        <w:t>któ</w:t>
      </w:r>
      <w:r w:rsidRPr="00C57330">
        <w:rPr>
          <w:noProof/>
        </w:rPr>
        <w:t>rych mowa</w:t>
      </w:r>
      <w:r w:rsidR="006C5585" w:rsidRPr="00C57330">
        <w:rPr>
          <w:noProof/>
        </w:rPr>
        <w:t xml:space="preserve"> w</w:t>
      </w:r>
      <w:r w:rsidR="006C5585">
        <w:rPr>
          <w:noProof/>
        </w:rPr>
        <w:t> </w:t>
      </w:r>
      <w:r w:rsidR="006C5585" w:rsidRPr="006C5585">
        <w:rPr>
          <w:noProof/>
        </w:rPr>
        <w:t>ust</w:t>
      </w:r>
      <w:r w:rsidRPr="006C5585">
        <w:rPr>
          <w:noProof/>
        </w:rPr>
        <w:t>.</w:t>
      </w:r>
      <w:r w:rsidR="006C5585" w:rsidRPr="006C5585">
        <w:rPr>
          <w:noProof/>
        </w:rPr>
        <w:t> </w:t>
      </w:r>
      <w:r w:rsidRPr="006C5585">
        <w:rPr>
          <w:noProof/>
        </w:rPr>
        <w:t>3</w:t>
      </w:r>
      <w:r w:rsidRPr="00C57330">
        <w:rPr>
          <w:noProof/>
        </w:rPr>
        <w:t>b</w:t>
      </w:r>
      <w:r w:rsidR="006C5585" w:rsidRPr="00C57330">
        <w:rPr>
          <w:noProof/>
        </w:rPr>
        <w:t xml:space="preserve"> i</w:t>
      </w:r>
      <w:r w:rsidR="006C5585">
        <w:rPr>
          <w:noProof/>
        </w:rPr>
        <w:t> </w:t>
      </w:r>
      <w:r w:rsidR="006C5585" w:rsidRPr="00C57330">
        <w:rPr>
          <w:noProof/>
        </w:rPr>
        <w:t>3</w:t>
      </w:r>
      <w:r w:rsidRPr="00C57330">
        <w:rPr>
          <w:noProof/>
        </w:rPr>
        <w:t>c niniejszego artykułu, zamiast odpowiadających im wymogów określonych</w:t>
      </w:r>
      <w:r w:rsidR="006C5585" w:rsidRPr="00C57330">
        <w:rPr>
          <w:noProof/>
        </w:rPr>
        <w:t xml:space="preserve"> w</w:t>
      </w:r>
      <w:r w:rsidR="006C5585">
        <w:rPr>
          <w:noProof/>
        </w:rPr>
        <w:t> </w:t>
      </w:r>
      <w:r w:rsidR="006C5585" w:rsidRPr="00C57330">
        <w:rPr>
          <w:noProof/>
        </w:rPr>
        <w:t>dyr</w:t>
      </w:r>
      <w:r w:rsidRPr="00C57330">
        <w:rPr>
          <w:noProof/>
        </w:rPr>
        <w:t>ektywach 90/385/EWG</w:t>
      </w:r>
      <w:r w:rsidR="006C5585" w:rsidRPr="00C57330">
        <w:rPr>
          <w:noProof/>
        </w:rPr>
        <w:t xml:space="preserve"> i</w:t>
      </w:r>
      <w:r w:rsidR="006C5585">
        <w:rPr>
          <w:noProof/>
        </w:rPr>
        <w:t> </w:t>
      </w:r>
      <w:r w:rsidR="006C5585" w:rsidRPr="00C57330">
        <w:rPr>
          <w:noProof/>
        </w:rPr>
        <w:t>9</w:t>
      </w:r>
      <w:r w:rsidRPr="00C57330">
        <w:rPr>
          <w:noProof/>
        </w:rPr>
        <w:t>3/42/EWG.</w:t>
      </w:r>
    </w:p>
    <w:p w14:paraId="0D67ADC4" w14:textId="1D01566B" w:rsidR="00DE1D96" w:rsidRPr="00C57330" w:rsidRDefault="005305A2" w:rsidP="00B73C62">
      <w:pPr>
        <w:pStyle w:val="Text2"/>
        <w:rPr>
          <w:noProof/>
        </w:rPr>
      </w:pPr>
      <w:r w:rsidRPr="00C57330">
        <w:rPr>
          <w:noProof/>
        </w:rPr>
        <w:t>3f</w:t>
      </w:r>
      <w:r w:rsidR="006C5585" w:rsidRPr="00C57330">
        <w:rPr>
          <w:noProof/>
        </w:rPr>
        <w:t>. Z</w:t>
      </w:r>
      <w:r w:rsidR="006C5585">
        <w:rPr>
          <w:noProof/>
        </w:rPr>
        <w:t> </w:t>
      </w:r>
      <w:r w:rsidR="006C5585" w:rsidRPr="00C57330">
        <w:rPr>
          <w:noProof/>
        </w:rPr>
        <w:t>zas</w:t>
      </w:r>
      <w:r w:rsidRPr="00C57330">
        <w:rPr>
          <w:noProof/>
        </w:rPr>
        <w:t>trzeżeniem rozdziału IV</w:t>
      </w:r>
      <w:r w:rsidR="006C5585" w:rsidRPr="00C57330">
        <w:rPr>
          <w:noProof/>
        </w:rPr>
        <w:t xml:space="preserve"> i</w:t>
      </w:r>
      <w:r w:rsidR="006C5585">
        <w:rPr>
          <w:noProof/>
        </w:rPr>
        <w:t> </w:t>
      </w:r>
      <w:r w:rsidR="006C5585" w:rsidRPr="00C57330">
        <w:rPr>
          <w:noProof/>
        </w:rPr>
        <w:t>ust</w:t>
      </w:r>
      <w:r w:rsidRPr="00C57330">
        <w:rPr>
          <w:noProof/>
        </w:rPr>
        <w:t>. 1 niniejszego artykułu jednostka notyfikowana, która wydała certyfikat,</w:t>
      </w:r>
      <w:r w:rsidR="006C5585" w:rsidRPr="00C57330">
        <w:rPr>
          <w:noProof/>
        </w:rPr>
        <w:t xml:space="preserve"> o</w:t>
      </w:r>
      <w:r w:rsidR="006C5585">
        <w:rPr>
          <w:noProof/>
        </w:rPr>
        <w:t> </w:t>
      </w:r>
      <w:r w:rsidR="006C5585" w:rsidRPr="00C57330">
        <w:rPr>
          <w:noProof/>
        </w:rPr>
        <w:t>któ</w:t>
      </w:r>
      <w:r w:rsidRPr="00C57330">
        <w:rPr>
          <w:noProof/>
        </w:rPr>
        <w:t>rym mowa</w:t>
      </w:r>
      <w:r w:rsidR="006C5585" w:rsidRPr="00C57330">
        <w:rPr>
          <w:noProof/>
        </w:rPr>
        <w:t xml:space="preserve"> w</w:t>
      </w:r>
      <w:r w:rsidR="006C5585">
        <w:rPr>
          <w:noProof/>
        </w:rPr>
        <w:t> </w:t>
      </w:r>
      <w:r w:rsidR="006C5585" w:rsidRPr="006C5585">
        <w:rPr>
          <w:noProof/>
        </w:rPr>
        <w:t>ust</w:t>
      </w:r>
      <w:r w:rsidRPr="006C5585">
        <w:rPr>
          <w:noProof/>
        </w:rPr>
        <w:t>.</w:t>
      </w:r>
      <w:r w:rsidR="006C5585" w:rsidRPr="006C5585">
        <w:rPr>
          <w:noProof/>
        </w:rPr>
        <w:t> </w:t>
      </w:r>
      <w:r w:rsidRPr="006C5585">
        <w:rPr>
          <w:noProof/>
        </w:rPr>
        <w:t>3</w:t>
      </w:r>
      <w:r w:rsidRPr="00C57330">
        <w:rPr>
          <w:noProof/>
        </w:rPr>
        <w:t>b niniejszego artykułu, pozostaje właściwa do sprawowania odpowiedniego nadzoru</w:t>
      </w:r>
      <w:r w:rsidR="006C5585" w:rsidRPr="00C57330">
        <w:rPr>
          <w:noProof/>
        </w:rPr>
        <w:t xml:space="preserve"> w</w:t>
      </w:r>
      <w:r w:rsidR="006C5585">
        <w:rPr>
          <w:noProof/>
        </w:rPr>
        <w:t> </w:t>
      </w:r>
      <w:r w:rsidR="006C5585" w:rsidRPr="00C57330">
        <w:rPr>
          <w:noProof/>
        </w:rPr>
        <w:t>odn</w:t>
      </w:r>
      <w:r w:rsidRPr="00C57330">
        <w:rPr>
          <w:noProof/>
        </w:rPr>
        <w:t>iesieniu do mających zastosowanie wymogów odnoszących się do wyrobów, które certyfikowała, chyba że producent uzgodnił</w:t>
      </w:r>
      <w:r w:rsidR="006C5585" w:rsidRPr="00C57330">
        <w:rPr>
          <w:noProof/>
        </w:rPr>
        <w:t xml:space="preserve"> z</w:t>
      </w:r>
      <w:r w:rsidR="006C5585">
        <w:rPr>
          <w:noProof/>
        </w:rPr>
        <w:t> </w:t>
      </w:r>
      <w:r w:rsidR="006C5585" w:rsidRPr="00C57330">
        <w:rPr>
          <w:noProof/>
        </w:rPr>
        <w:t>jed</w:t>
      </w:r>
      <w:r w:rsidRPr="00C57330">
        <w:rPr>
          <w:noProof/>
        </w:rPr>
        <w:t>nostką notyfikowaną wyznaczoną zgodnie</w:t>
      </w:r>
      <w:r w:rsidR="006C5585" w:rsidRPr="00C57330">
        <w:rPr>
          <w:noProof/>
        </w:rPr>
        <w:t xml:space="preserve"> z</w:t>
      </w:r>
      <w:r w:rsidR="006C5585">
        <w:rPr>
          <w:noProof/>
        </w:rPr>
        <w:t> </w:t>
      </w:r>
      <w:r w:rsidR="006C5585" w:rsidRPr="006C5585">
        <w:rPr>
          <w:noProof/>
        </w:rPr>
        <w:t>art</w:t>
      </w:r>
      <w:r w:rsidRPr="006C5585">
        <w:rPr>
          <w:noProof/>
        </w:rPr>
        <w:t>.</w:t>
      </w:r>
      <w:r w:rsidR="006C5585" w:rsidRPr="006C5585">
        <w:rPr>
          <w:noProof/>
        </w:rPr>
        <w:t> </w:t>
      </w:r>
      <w:r w:rsidRPr="006C5585">
        <w:rPr>
          <w:noProof/>
        </w:rPr>
        <w:t>4</w:t>
      </w:r>
      <w:r w:rsidRPr="00C57330">
        <w:rPr>
          <w:noProof/>
        </w:rPr>
        <w:t xml:space="preserve">2, że to ona będzie sprawować ten nadzór. </w:t>
      </w:r>
    </w:p>
    <w:p w14:paraId="5D81FF9C" w14:textId="01C3B810" w:rsidR="00DE1D96" w:rsidRPr="00C57330" w:rsidRDefault="00E02B98" w:rsidP="00B73C62">
      <w:pPr>
        <w:pStyle w:val="Text2"/>
        <w:rPr>
          <w:noProof/>
        </w:rPr>
      </w:pPr>
      <w:r w:rsidRPr="00C57330">
        <w:rPr>
          <w:noProof/>
        </w:rPr>
        <w:t>Nie później niż dnia 26 września 20</w:t>
      </w:r>
      <w:r w:rsidRPr="006C5585">
        <w:rPr>
          <w:noProof/>
        </w:rPr>
        <w:t>24</w:t>
      </w:r>
      <w:r w:rsidR="006C5585" w:rsidRPr="006C5585">
        <w:rPr>
          <w:noProof/>
        </w:rPr>
        <w:t> </w:t>
      </w:r>
      <w:r w:rsidRPr="006C5585">
        <w:rPr>
          <w:noProof/>
        </w:rPr>
        <w:t>r.</w:t>
      </w:r>
      <w:r w:rsidRPr="00C57330">
        <w:rPr>
          <w:noProof/>
        </w:rPr>
        <w:t xml:space="preserve"> jednostka notyfikowana, która podpisała umowę pisemną,</w:t>
      </w:r>
      <w:r w:rsidR="006C5585" w:rsidRPr="00C57330">
        <w:rPr>
          <w:noProof/>
        </w:rPr>
        <w:t xml:space="preserve"> o</w:t>
      </w:r>
      <w:r w:rsidR="006C5585">
        <w:rPr>
          <w:noProof/>
        </w:rPr>
        <w:t> </w:t>
      </w:r>
      <w:r w:rsidR="006C5585" w:rsidRPr="00C57330">
        <w:rPr>
          <w:noProof/>
        </w:rPr>
        <w:t>któ</w:t>
      </w:r>
      <w:r w:rsidRPr="00C57330">
        <w:rPr>
          <w:noProof/>
        </w:rPr>
        <w:t>rej mowa</w:t>
      </w:r>
      <w:r w:rsidR="006C5585" w:rsidRPr="00C57330">
        <w:rPr>
          <w:noProof/>
        </w:rPr>
        <w:t xml:space="preserve"> w</w:t>
      </w:r>
      <w:r w:rsidR="006C5585">
        <w:rPr>
          <w:noProof/>
        </w:rPr>
        <w:t> </w:t>
      </w:r>
      <w:r w:rsidR="006C5585" w:rsidRPr="006C5585">
        <w:rPr>
          <w:noProof/>
        </w:rPr>
        <w:t>ust</w:t>
      </w:r>
      <w:r w:rsidRPr="006C5585">
        <w:rPr>
          <w:noProof/>
        </w:rPr>
        <w:t>.</w:t>
      </w:r>
      <w:r w:rsidR="006C5585" w:rsidRPr="006C5585">
        <w:rPr>
          <w:noProof/>
        </w:rPr>
        <w:t> </w:t>
      </w:r>
      <w:r w:rsidRPr="006C5585">
        <w:rPr>
          <w:noProof/>
        </w:rPr>
        <w:t>3</w:t>
      </w:r>
      <w:r w:rsidRPr="00C57330">
        <w:rPr>
          <w:noProof/>
        </w:rPr>
        <w:t xml:space="preserve">d </w:t>
      </w:r>
      <w:r w:rsidRPr="006C5585">
        <w:rPr>
          <w:noProof/>
        </w:rPr>
        <w:t>lit.</w:t>
      </w:r>
      <w:r w:rsidR="006C5585" w:rsidRPr="006C5585">
        <w:rPr>
          <w:noProof/>
        </w:rPr>
        <w:t> </w:t>
      </w:r>
      <w:r w:rsidRPr="006C5585">
        <w:rPr>
          <w:noProof/>
        </w:rPr>
        <w:t>e)</w:t>
      </w:r>
      <w:r w:rsidRPr="00C57330">
        <w:rPr>
          <w:noProof/>
        </w:rPr>
        <w:t>, staje się właściwa do sprawowania nadzoru</w:t>
      </w:r>
      <w:r w:rsidR="006C5585" w:rsidRPr="00C57330">
        <w:rPr>
          <w:noProof/>
        </w:rPr>
        <w:t xml:space="preserve"> w</w:t>
      </w:r>
      <w:r w:rsidR="006C5585">
        <w:rPr>
          <w:noProof/>
        </w:rPr>
        <w:t> </w:t>
      </w:r>
      <w:r w:rsidR="006C5585" w:rsidRPr="00C57330">
        <w:rPr>
          <w:noProof/>
        </w:rPr>
        <w:t>odn</w:t>
      </w:r>
      <w:r w:rsidRPr="00C57330">
        <w:rPr>
          <w:noProof/>
        </w:rPr>
        <w:t>iesieniu do wyrobów objętych tą umową pisemną</w:t>
      </w:r>
      <w:r w:rsidR="006C5585" w:rsidRPr="00C57330">
        <w:rPr>
          <w:noProof/>
        </w:rPr>
        <w:t>. W</w:t>
      </w:r>
      <w:r w:rsidR="006C5585">
        <w:rPr>
          <w:noProof/>
        </w:rPr>
        <w:t> </w:t>
      </w:r>
      <w:r w:rsidR="006C5585" w:rsidRPr="00C57330">
        <w:rPr>
          <w:noProof/>
        </w:rPr>
        <w:t>prz</w:t>
      </w:r>
      <w:r w:rsidRPr="00C57330">
        <w:rPr>
          <w:noProof/>
        </w:rPr>
        <w:t>ypadku gdy umowa pisemna dotyczy wyrobu, który ma zastąpić wyrób objęty certyfikatem wydanym zgodnie</w:t>
      </w:r>
      <w:r w:rsidR="006C5585" w:rsidRPr="00C57330">
        <w:rPr>
          <w:noProof/>
        </w:rPr>
        <w:t xml:space="preserve"> z</w:t>
      </w:r>
      <w:r w:rsidR="006C5585">
        <w:rPr>
          <w:noProof/>
        </w:rPr>
        <w:t> </w:t>
      </w:r>
      <w:r w:rsidR="006C5585" w:rsidRPr="00C57330">
        <w:rPr>
          <w:noProof/>
        </w:rPr>
        <w:t>dyr</w:t>
      </w:r>
      <w:r w:rsidRPr="00C57330">
        <w:rPr>
          <w:noProof/>
        </w:rPr>
        <w:t>ektywą 90/385/EWG lub dyrektywą 93/42/EWG, nadzór jest sprawowany</w:t>
      </w:r>
      <w:r w:rsidR="006C5585" w:rsidRPr="00C57330">
        <w:rPr>
          <w:noProof/>
        </w:rPr>
        <w:t xml:space="preserve"> w</w:t>
      </w:r>
      <w:r w:rsidR="006C5585">
        <w:rPr>
          <w:noProof/>
        </w:rPr>
        <w:t> </w:t>
      </w:r>
      <w:r w:rsidR="006C5585" w:rsidRPr="00C57330">
        <w:rPr>
          <w:noProof/>
        </w:rPr>
        <w:t>odn</w:t>
      </w:r>
      <w:r w:rsidRPr="00C57330">
        <w:rPr>
          <w:noProof/>
        </w:rPr>
        <w:t xml:space="preserve">iesieniu do wyrobu, który zostaje zastąpiony. </w:t>
      </w:r>
    </w:p>
    <w:p w14:paraId="5F37E17B" w14:textId="0FADB8AC" w:rsidR="00310FC1" w:rsidRPr="00C57330" w:rsidRDefault="00C0213C" w:rsidP="00B73C62">
      <w:pPr>
        <w:pStyle w:val="Text2"/>
        <w:rPr>
          <w:noProof/>
        </w:rPr>
      </w:pPr>
      <w:r w:rsidRPr="00C57330">
        <w:rPr>
          <w:noProof/>
        </w:rPr>
        <w:t>Ustalenia dotyczące przeniesienia odpowiedzialności za sprawowanie nadzoru</w:t>
      </w:r>
      <w:r w:rsidR="006C5585" w:rsidRPr="00C57330">
        <w:rPr>
          <w:noProof/>
        </w:rPr>
        <w:t xml:space="preserve"> z</w:t>
      </w:r>
      <w:r w:rsidR="006C5585">
        <w:rPr>
          <w:noProof/>
        </w:rPr>
        <w:t> </w:t>
      </w:r>
      <w:r w:rsidR="006C5585" w:rsidRPr="00C57330">
        <w:rPr>
          <w:noProof/>
        </w:rPr>
        <w:t>jed</w:t>
      </w:r>
      <w:r w:rsidRPr="00C57330">
        <w:rPr>
          <w:noProof/>
        </w:rPr>
        <w:t>nostki notyfikowanej, która wydała świadectwo, na jednostkę notyfikowaną wyznaczoną zgodnie</w:t>
      </w:r>
      <w:r w:rsidR="006C5585" w:rsidRPr="00C57330">
        <w:rPr>
          <w:noProof/>
        </w:rPr>
        <w:t xml:space="preserve"> z</w:t>
      </w:r>
      <w:r w:rsidR="006C5585">
        <w:rPr>
          <w:noProof/>
        </w:rPr>
        <w:t> </w:t>
      </w:r>
      <w:r w:rsidR="006C5585" w:rsidRPr="006C5585">
        <w:rPr>
          <w:noProof/>
        </w:rPr>
        <w:t>art</w:t>
      </w:r>
      <w:r w:rsidRPr="006C5585">
        <w:rPr>
          <w:noProof/>
        </w:rPr>
        <w:t>.</w:t>
      </w:r>
      <w:r w:rsidR="006C5585" w:rsidRPr="006C5585">
        <w:rPr>
          <w:noProof/>
        </w:rPr>
        <w:t> </w:t>
      </w:r>
      <w:r w:rsidRPr="006C5585">
        <w:rPr>
          <w:noProof/>
        </w:rPr>
        <w:t>4</w:t>
      </w:r>
      <w:r w:rsidRPr="00C57330">
        <w:rPr>
          <w:noProof/>
        </w:rPr>
        <w:t>2 określa się</w:t>
      </w:r>
      <w:r w:rsidR="006C5585" w:rsidRPr="00C57330">
        <w:rPr>
          <w:noProof/>
        </w:rPr>
        <w:t xml:space="preserve"> w</w:t>
      </w:r>
      <w:r w:rsidR="006C5585">
        <w:rPr>
          <w:noProof/>
        </w:rPr>
        <w:t> </w:t>
      </w:r>
      <w:r w:rsidR="006C5585" w:rsidRPr="00C57330">
        <w:rPr>
          <w:noProof/>
        </w:rPr>
        <w:t>umo</w:t>
      </w:r>
      <w:r w:rsidRPr="00C57330">
        <w:rPr>
          <w:noProof/>
        </w:rPr>
        <w:t>wie między producentem, jednostką notyfikowaną wyznaczoną zgodnie</w:t>
      </w:r>
      <w:r w:rsidR="006C5585" w:rsidRPr="00C57330">
        <w:rPr>
          <w:noProof/>
        </w:rPr>
        <w:t xml:space="preserve"> z</w:t>
      </w:r>
      <w:r w:rsidR="006C5585">
        <w:rPr>
          <w:noProof/>
        </w:rPr>
        <w:t> </w:t>
      </w:r>
      <w:r w:rsidR="006C5585" w:rsidRPr="006C5585">
        <w:rPr>
          <w:noProof/>
        </w:rPr>
        <w:t>art</w:t>
      </w:r>
      <w:r w:rsidRPr="006C5585">
        <w:rPr>
          <w:noProof/>
        </w:rPr>
        <w:t>.</w:t>
      </w:r>
      <w:r w:rsidR="006C5585" w:rsidRPr="006C5585">
        <w:rPr>
          <w:noProof/>
        </w:rPr>
        <w:t> </w:t>
      </w:r>
      <w:r w:rsidRPr="006C5585">
        <w:rPr>
          <w:noProof/>
        </w:rPr>
        <w:t>4</w:t>
      </w:r>
      <w:r w:rsidRPr="00C57330">
        <w:rPr>
          <w:noProof/>
        </w:rPr>
        <w:t>2 oraz,</w:t>
      </w:r>
      <w:r w:rsidR="006C5585" w:rsidRPr="00C57330">
        <w:rPr>
          <w:noProof/>
        </w:rPr>
        <w:t xml:space="preserve"> w</w:t>
      </w:r>
      <w:r w:rsidR="006C5585">
        <w:rPr>
          <w:noProof/>
        </w:rPr>
        <w:t> </w:t>
      </w:r>
      <w:r w:rsidR="006C5585" w:rsidRPr="00C57330">
        <w:rPr>
          <w:noProof/>
        </w:rPr>
        <w:t>mia</w:t>
      </w:r>
      <w:r w:rsidRPr="00C57330">
        <w:rPr>
          <w:noProof/>
        </w:rPr>
        <w:t>rę możliwości, jednostką notyfikowaną, która wydała certyfikat. Jednostka notyfikowana wyznaczona zgodnie</w:t>
      </w:r>
      <w:r w:rsidR="006C5585" w:rsidRPr="00C57330">
        <w:rPr>
          <w:noProof/>
        </w:rPr>
        <w:t xml:space="preserve"> z</w:t>
      </w:r>
      <w:r w:rsidR="006C5585">
        <w:rPr>
          <w:noProof/>
        </w:rPr>
        <w:t> </w:t>
      </w:r>
      <w:r w:rsidR="006C5585" w:rsidRPr="006C5585">
        <w:rPr>
          <w:noProof/>
        </w:rPr>
        <w:t>art</w:t>
      </w:r>
      <w:r w:rsidRPr="006C5585">
        <w:rPr>
          <w:noProof/>
        </w:rPr>
        <w:t>.</w:t>
      </w:r>
      <w:r w:rsidR="006C5585" w:rsidRPr="006C5585">
        <w:rPr>
          <w:noProof/>
        </w:rPr>
        <w:t> </w:t>
      </w:r>
      <w:r w:rsidRPr="006C5585">
        <w:rPr>
          <w:noProof/>
        </w:rPr>
        <w:t>4</w:t>
      </w:r>
      <w:r w:rsidRPr="00C57330">
        <w:rPr>
          <w:noProof/>
        </w:rPr>
        <w:t>2 nie odpowiada za działania</w:t>
      </w:r>
      <w:r w:rsidR="006C5585" w:rsidRPr="00C57330">
        <w:rPr>
          <w:noProof/>
        </w:rPr>
        <w:t xml:space="preserve"> w</w:t>
      </w:r>
      <w:r w:rsidR="006C5585">
        <w:rPr>
          <w:noProof/>
        </w:rPr>
        <w:t> </w:t>
      </w:r>
      <w:r w:rsidR="006C5585" w:rsidRPr="00C57330">
        <w:rPr>
          <w:noProof/>
        </w:rPr>
        <w:t>ram</w:t>
      </w:r>
      <w:r w:rsidRPr="00C57330">
        <w:rPr>
          <w:noProof/>
        </w:rPr>
        <w:t>ach oceny zgodności prowadzone przez jednostkę notyfikowaną</w:t>
      </w:r>
      <w:r w:rsidR="00C57330" w:rsidRPr="00C57330">
        <w:rPr>
          <w:noProof/>
        </w:rPr>
        <w:t xml:space="preserve">, która wydała certyfikat. </w:t>
      </w:r>
    </w:p>
    <w:p w14:paraId="7DD21567" w14:textId="27BEE051" w:rsidR="00D00BEA" w:rsidRPr="00C57330" w:rsidRDefault="005305A2" w:rsidP="00B73C62">
      <w:pPr>
        <w:pStyle w:val="Text2"/>
        <w:rPr>
          <w:noProof/>
        </w:rPr>
      </w:pPr>
      <w:r w:rsidRPr="00C57330">
        <w:rPr>
          <w:noProof/>
        </w:rPr>
        <w:t xml:space="preserve">3g. Na zasadzie odstępstwa od </w:t>
      </w:r>
      <w:r w:rsidRPr="006C5585">
        <w:rPr>
          <w:noProof/>
        </w:rPr>
        <w:t>art.</w:t>
      </w:r>
      <w:r w:rsidR="006C5585" w:rsidRPr="006C5585">
        <w:rPr>
          <w:noProof/>
        </w:rPr>
        <w:t> </w:t>
      </w:r>
      <w:r w:rsidRPr="006C5585">
        <w:rPr>
          <w:noProof/>
        </w:rPr>
        <w:t>5</w:t>
      </w:r>
      <w:r w:rsidRPr="00C57330">
        <w:rPr>
          <w:noProof/>
        </w:rPr>
        <w:t xml:space="preserve"> wykonane na zamówienie wyroby do implantacji klasy III mogą być wprowadzane do obrotu lub do używania do dnia 26 maja 20</w:t>
      </w:r>
      <w:r w:rsidRPr="006C5585">
        <w:rPr>
          <w:noProof/>
        </w:rPr>
        <w:t>26</w:t>
      </w:r>
      <w:r w:rsidR="006C5585" w:rsidRPr="006C5585">
        <w:rPr>
          <w:noProof/>
        </w:rPr>
        <w:t> </w:t>
      </w:r>
      <w:r w:rsidRPr="006C5585">
        <w:rPr>
          <w:noProof/>
        </w:rPr>
        <w:t>r.</w:t>
      </w:r>
      <w:r w:rsidRPr="00C57330">
        <w:rPr>
          <w:noProof/>
        </w:rPr>
        <w:t xml:space="preserve"> bez certyfikatu wydanego przez jednostkę notyfikowaną zgodnie</w:t>
      </w:r>
      <w:r w:rsidR="006C5585" w:rsidRPr="00C57330">
        <w:rPr>
          <w:noProof/>
        </w:rPr>
        <w:t xml:space="preserve"> z</w:t>
      </w:r>
      <w:r w:rsidR="006C5585">
        <w:rPr>
          <w:noProof/>
        </w:rPr>
        <w:t> </w:t>
      </w:r>
      <w:r w:rsidR="006C5585" w:rsidRPr="00C57330">
        <w:rPr>
          <w:noProof/>
        </w:rPr>
        <w:t>pro</w:t>
      </w:r>
      <w:r w:rsidRPr="00C57330">
        <w:rPr>
          <w:noProof/>
        </w:rPr>
        <w:t>cedurą oceny zgodności,</w:t>
      </w:r>
      <w:r w:rsidR="006C5585" w:rsidRPr="00C57330">
        <w:rPr>
          <w:noProof/>
        </w:rPr>
        <w:t xml:space="preserve"> o</w:t>
      </w:r>
      <w:r w:rsidR="006C5585">
        <w:rPr>
          <w:noProof/>
        </w:rPr>
        <w:t> </w:t>
      </w:r>
      <w:r w:rsidR="006C5585" w:rsidRPr="00C57330">
        <w:rPr>
          <w:noProof/>
        </w:rPr>
        <w:t>któ</w:t>
      </w:r>
      <w:r w:rsidRPr="00C57330">
        <w:rPr>
          <w:noProof/>
        </w:rPr>
        <w:t>rej mowa</w:t>
      </w:r>
      <w:r w:rsidR="006C5585" w:rsidRPr="00C57330">
        <w:rPr>
          <w:noProof/>
        </w:rPr>
        <w:t xml:space="preserve"> w</w:t>
      </w:r>
      <w:r w:rsidR="006C5585">
        <w:rPr>
          <w:noProof/>
        </w:rPr>
        <w:t> </w:t>
      </w:r>
      <w:r w:rsidR="006C5585" w:rsidRPr="006C5585">
        <w:rPr>
          <w:noProof/>
        </w:rPr>
        <w:t>art</w:t>
      </w:r>
      <w:r w:rsidRPr="006C5585">
        <w:rPr>
          <w:noProof/>
        </w:rPr>
        <w:t>.</w:t>
      </w:r>
      <w:r w:rsidR="006C5585" w:rsidRPr="006C5585">
        <w:rPr>
          <w:noProof/>
        </w:rPr>
        <w:t> </w:t>
      </w:r>
      <w:r w:rsidRPr="006C5585">
        <w:rPr>
          <w:noProof/>
        </w:rPr>
        <w:t>5</w:t>
      </w:r>
      <w:r w:rsidRPr="00C57330">
        <w:rPr>
          <w:noProof/>
        </w:rPr>
        <w:t xml:space="preserve">2 </w:t>
      </w:r>
      <w:r w:rsidRPr="006C5585">
        <w:rPr>
          <w:noProof/>
        </w:rPr>
        <w:t>ust.</w:t>
      </w:r>
      <w:r w:rsidR="006C5585" w:rsidRPr="006C5585">
        <w:rPr>
          <w:noProof/>
        </w:rPr>
        <w:t> </w:t>
      </w:r>
      <w:r w:rsidRPr="006C5585">
        <w:rPr>
          <w:noProof/>
        </w:rPr>
        <w:t>8</w:t>
      </w:r>
      <w:r w:rsidRPr="00C57330">
        <w:rPr>
          <w:noProof/>
        </w:rPr>
        <w:t xml:space="preserve"> akapit drugi, pod warunkiem że nie później niż dnia 26 maja 20</w:t>
      </w:r>
      <w:r w:rsidRPr="006C5585">
        <w:rPr>
          <w:noProof/>
        </w:rPr>
        <w:t>24</w:t>
      </w:r>
      <w:r w:rsidR="006C5585" w:rsidRPr="006C5585">
        <w:rPr>
          <w:noProof/>
        </w:rPr>
        <w:t> </w:t>
      </w:r>
      <w:r w:rsidRPr="006C5585">
        <w:rPr>
          <w:noProof/>
        </w:rPr>
        <w:t>r.</w:t>
      </w:r>
      <w:r w:rsidRPr="00C57330">
        <w:rPr>
          <w:noProof/>
        </w:rPr>
        <w:t xml:space="preserve"> producent lub jego upoważniony przedstawiciel złożył formalny wniosek zgodnie</w:t>
      </w:r>
      <w:r w:rsidR="006C5585" w:rsidRPr="00C57330">
        <w:rPr>
          <w:noProof/>
        </w:rPr>
        <w:t xml:space="preserve"> z</w:t>
      </w:r>
      <w:r w:rsidR="006C5585">
        <w:rPr>
          <w:noProof/>
        </w:rPr>
        <w:t> </w:t>
      </w:r>
      <w:r w:rsidR="006C5585" w:rsidRPr="00C57330">
        <w:rPr>
          <w:noProof/>
        </w:rPr>
        <w:t>zał</w:t>
      </w:r>
      <w:r w:rsidRPr="00C57330">
        <w:rPr>
          <w:noProof/>
        </w:rPr>
        <w:t>ącznikiem VII sekcja 4.3 akapit pierwszy</w:t>
      </w:r>
      <w:r w:rsidR="006C5585" w:rsidRPr="00C57330">
        <w:rPr>
          <w:noProof/>
        </w:rPr>
        <w:t xml:space="preserve"> o</w:t>
      </w:r>
      <w:r w:rsidR="006C5585">
        <w:rPr>
          <w:noProof/>
        </w:rPr>
        <w:t> </w:t>
      </w:r>
      <w:r w:rsidR="006C5585" w:rsidRPr="00C57330">
        <w:rPr>
          <w:noProof/>
        </w:rPr>
        <w:t>prz</w:t>
      </w:r>
      <w:r w:rsidRPr="00C57330">
        <w:rPr>
          <w:noProof/>
        </w:rPr>
        <w:t>eprowadzenie odpowiedniej oceny zgodności oraz nie później niż dnia 26 września 20</w:t>
      </w:r>
      <w:r w:rsidRPr="006C5585">
        <w:rPr>
          <w:noProof/>
        </w:rPr>
        <w:t>24</w:t>
      </w:r>
      <w:r w:rsidR="006C5585" w:rsidRPr="006C5585">
        <w:rPr>
          <w:noProof/>
        </w:rPr>
        <w:t> </w:t>
      </w:r>
      <w:r w:rsidRPr="006C5585">
        <w:rPr>
          <w:noProof/>
        </w:rPr>
        <w:t>r.</w:t>
      </w:r>
      <w:r w:rsidRPr="00C57330">
        <w:rPr>
          <w:noProof/>
        </w:rPr>
        <w:t xml:space="preserve"> jednostka notyfikowana</w:t>
      </w:r>
      <w:r w:rsidR="006C5585" w:rsidRPr="00C57330">
        <w:rPr>
          <w:noProof/>
        </w:rPr>
        <w:t xml:space="preserve"> i</w:t>
      </w:r>
      <w:r w:rsidR="006C5585">
        <w:rPr>
          <w:noProof/>
        </w:rPr>
        <w:t> </w:t>
      </w:r>
      <w:r w:rsidR="006C5585" w:rsidRPr="00C57330">
        <w:rPr>
          <w:noProof/>
        </w:rPr>
        <w:t>pro</w:t>
      </w:r>
      <w:r w:rsidRPr="00C57330">
        <w:rPr>
          <w:noProof/>
        </w:rPr>
        <w:t>ducent podpisali pisemną umowę zgodnie</w:t>
      </w:r>
      <w:r w:rsidR="006C5585" w:rsidRPr="00C57330">
        <w:rPr>
          <w:noProof/>
        </w:rPr>
        <w:t xml:space="preserve"> z</w:t>
      </w:r>
      <w:r w:rsidR="006C5585">
        <w:rPr>
          <w:noProof/>
        </w:rPr>
        <w:t> </w:t>
      </w:r>
      <w:r w:rsidR="006C5585" w:rsidRPr="00C57330">
        <w:rPr>
          <w:noProof/>
        </w:rPr>
        <w:t>zał</w:t>
      </w:r>
      <w:r w:rsidRPr="00C57330">
        <w:rPr>
          <w:noProof/>
        </w:rPr>
        <w:t>ącznikiem VII sekcja 4.3 akapit drugi.”;</w:t>
      </w:r>
    </w:p>
    <w:p w14:paraId="7F8C1BEE" w14:textId="71D2CE4A" w:rsidR="00D011DC" w:rsidRPr="00C57330" w:rsidRDefault="006C5585" w:rsidP="006C5585">
      <w:pPr>
        <w:pStyle w:val="Point1"/>
        <w:rPr>
          <w:noProof/>
        </w:rPr>
      </w:pPr>
      <w:r>
        <w:rPr>
          <w:noProof/>
        </w:rPr>
        <w:t>c)</w:t>
      </w:r>
      <w:r>
        <w:rPr>
          <w:noProof/>
        </w:rPr>
        <w:tab/>
      </w:r>
      <w:r w:rsidR="00D011DC" w:rsidRPr="006C5585">
        <w:rPr>
          <w:noProof/>
        </w:rPr>
        <w:t>ust.</w:t>
      </w:r>
      <w:r w:rsidRPr="006C5585">
        <w:rPr>
          <w:noProof/>
        </w:rPr>
        <w:t> </w:t>
      </w:r>
      <w:r w:rsidR="00D011DC" w:rsidRPr="006C5585">
        <w:rPr>
          <w:noProof/>
        </w:rPr>
        <w:t>4</w:t>
      </w:r>
      <w:r w:rsidR="00D011DC" w:rsidRPr="00C57330">
        <w:rPr>
          <w:noProof/>
        </w:rPr>
        <w:t xml:space="preserve"> otrzymuje brzmienie:</w:t>
      </w:r>
    </w:p>
    <w:p w14:paraId="3D18820E" w14:textId="76A633E9" w:rsidR="00846499" w:rsidRPr="00C57330" w:rsidRDefault="00846499" w:rsidP="00141D69">
      <w:pPr>
        <w:pStyle w:val="Text2"/>
        <w:rPr>
          <w:noProof/>
        </w:rPr>
      </w:pPr>
      <w:r w:rsidRPr="00C57330">
        <w:rPr>
          <w:noProof/>
        </w:rPr>
        <w:t>„4. Wyroby, które zostały zgodnie</w:t>
      </w:r>
      <w:r w:rsidR="006C5585" w:rsidRPr="00C57330">
        <w:rPr>
          <w:noProof/>
        </w:rPr>
        <w:t xml:space="preserve"> z</w:t>
      </w:r>
      <w:r w:rsidR="006C5585">
        <w:rPr>
          <w:noProof/>
        </w:rPr>
        <w:t> </w:t>
      </w:r>
      <w:r w:rsidR="006C5585" w:rsidRPr="00C57330">
        <w:rPr>
          <w:noProof/>
        </w:rPr>
        <w:t>pra</w:t>
      </w:r>
      <w:r w:rsidRPr="00C57330">
        <w:rPr>
          <w:noProof/>
        </w:rPr>
        <w:t>wem wprowadzone do obrotu na podstawie dyrektyw 90/385/EWG</w:t>
      </w:r>
      <w:r w:rsidR="006C5585" w:rsidRPr="00C57330">
        <w:rPr>
          <w:noProof/>
        </w:rPr>
        <w:t xml:space="preserve"> i</w:t>
      </w:r>
      <w:r w:rsidR="006C5585">
        <w:rPr>
          <w:noProof/>
        </w:rPr>
        <w:t> </w:t>
      </w:r>
      <w:r w:rsidR="006C5585" w:rsidRPr="00C57330">
        <w:rPr>
          <w:noProof/>
        </w:rPr>
        <w:t>9</w:t>
      </w:r>
      <w:r w:rsidRPr="00C57330">
        <w:rPr>
          <w:noProof/>
        </w:rPr>
        <w:t>3/42/EWG przed dniem 26 maja 20</w:t>
      </w:r>
      <w:r w:rsidRPr="006C5585">
        <w:rPr>
          <w:noProof/>
        </w:rPr>
        <w:t>21</w:t>
      </w:r>
      <w:r w:rsidR="006C5585" w:rsidRPr="006C5585">
        <w:rPr>
          <w:noProof/>
        </w:rPr>
        <w:t> </w:t>
      </w:r>
      <w:r w:rsidRPr="006C5585">
        <w:rPr>
          <w:noProof/>
        </w:rPr>
        <w:t>r.</w:t>
      </w:r>
      <w:r w:rsidRPr="00C57330">
        <w:rPr>
          <w:noProof/>
        </w:rPr>
        <w:t>, oraz wyroby, które zostały wprowadzone do obrotu od dnia 26 maja 20</w:t>
      </w:r>
      <w:r w:rsidRPr="006C5585">
        <w:rPr>
          <w:noProof/>
        </w:rPr>
        <w:t>21</w:t>
      </w:r>
      <w:r w:rsidR="006C5585" w:rsidRPr="006C5585">
        <w:rPr>
          <w:noProof/>
        </w:rPr>
        <w:t> </w:t>
      </w:r>
      <w:r w:rsidRPr="006C5585">
        <w:rPr>
          <w:noProof/>
        </w:rPr>
        <w:t>r.</w:t>
      </w:r>
      <w:r w:rsidRPr="00C57330">
        <w:rPr>
          <w:noProof/>
        </w:rPr>
        <w:t xml:space="preserve"> zgodnie</w:t>
      </w:r>
      <w:r w:rsidR="006C5585" w:rsidRPr="00C57330">
        <w:rPr>
          <w:noProof/>
        </w:rPr>
        <w:t xml:space="preserve"> z</w:t>
      </w:r>
      <w:r w:rsidR="006C5585">
        <w:rPr>
          <w:noProof/>
        </w:rPr>
        <w:t> </w:t>
      </w:r>
      <w:r w:rsidR="006C5585" w:rsidRPr="00C57330">
        <w:rPr>
          <w:noProof/>
        </w:rPr>
        <w:t>ust</w:t>
      </w:r>
      <w:r w:rsidRPr="00C57330">
        <w:rPr>
          <w:noProof/>
        </w:rPr>
        <w:t>. 3a, 3b, 3c</w:t>
      </w:r>
      <w:r w:rsidR="006C5585" w:rsidRPr="00C57330">
        <w:rPr>
          <w:noProof/>
        </w:rPr>
        <w:t xml:space="preserve"> i</w:t>
      </w:r>
      <w:r w:rsidR="006C5585">
        <w:rPr>
          <w:noProof/>
        </w:rPr>
        <w:t> </w:t>
      </w:r>
      <w:r w:rsidR="006C5585" w:rsidRPr="00C57330">
        <w:rPr>
          <w:noProof/>
        </w:rPr>
        <w:t>3</w:t>
      </w:r>
      <w:r w:rsidRPr="00C57330">
        <w:rPr>
          <w:noProof/>
        </w:rPr>
        <w:t>g niniejszego artykułu, mogą być</w:t>
      </w:r>
      <w:r w:rsidR="006C5585" w:rsidRPr="00C57330">
        <w:rPr>
          <w:noProof/>
        </w:rPr>
        <w:t xml:space="preserve"> w</w:t>
      </w:r>
      <w:r w:rsidR="006C5585">
        <w:rPr>
          <w:noProof/>
        </w:rPr>
        <w:t> </w:t>
      </w:r>
      <w:r w:rsidR="006C5585" w:rsidRPr="00C57330">
        <w:rPr>
          <w:noProof/>
        </w:rPr>
        <w:t>dal</w:t>
      </w:r>
      <w:r w:rsidRPr="00C57330">
        <w:rPr>
          <w:noProof/>
        </w:rPr>
        <w:t>szym ciągu udostępniane na rynku lub wprowadzane do używania.”;</w:t>
      </w:r>
    </w:p>
    <w:p w14:paraId="70423204" w14:textId="14AFDE8E" w:rsidR="00D21133" w:rsidRPr="00C57330" w:rsidRDefault="006C5585" w:rsidP="006C5585">
      <w:pPr>
        <w:pStyle w:val="Point0"/>
        <w:rPr>
          <w:noProof/>
        </w:rPr>
      </w:pPr>
      <w:r>
        <w:rPr>
          <w:noProof/>
        </w:rPr>
        <w:t>2)</w:t>
      </w:r>
      <w:r>
        <w:rPr>
          <w:noProof/>
        </w:rPr>
        <w:tab/>
      </w:r>
      <w:r w:rsidR="00D00BEA" w:rsidRPr="00C57330">
        <w:rPr>
          <w:noProof/>
        </w:rPr>
        <w:t xml:space="preserve">w </w:t>
      </w:r>
      <w:r w:rsidR="00D00BEA" w:rsidRPr="006C5585">
        <w:rPr>
          <w:noProof/>
        </w:rPr>
        <w:t>art.</w:t>
      </w:r>
      <w:r w:rsidRPr="006C5585">
        <w:rPr>
          <w:noProof/>
        </w:rPr>
        <w:t> </w:t>
      </w:r>
      <w:r w:rsidR="00D00BEA" w:rsidRPr="006C5585">
        <w:rPr>
          <w:noProof/>
        </w:rPr>
        <w:t>1</w:t>
      </w:r>
      <w:r w:rsidR="00D00BEA" w:rsidRPr="00C57330">
        <w:rPr>
          <w:noProof/>
        </w:rPr>
        <w:t>22 wprowadza się następujące zmiany:</w:t>
      </w:r>
    </w:p>
    <w:p w14:paraId="3685C8FA" w14:textId="428AE79B" w:rsidR="00D21133" w:rsidRPr="00C57330" w:rsidRDefault="006C5585" w:rsidP="006C5585">
      <w:pPr>
        <w:pStyle w:val="Point1"/>
        <w:rPr>
          <w:noProof/>
        </w:rPr>
      </w:pPr>
      <w:r>
        <w:rPr>
          <w:noProof/>
        </w:rPr>
        <w:t>1)</w:t>
      </w:r>
      <w:r>
        <w:rPr>
          <w:noProof/>
        </w:rPr>
        <w:tab/>
      </w:r>
      <w:r w:rsidR="00D21133" w:rsidRPr="00C57330">
        <w:rPr>
          <w:noProof/>
        </w:rPr>
        <w:t>w akapicie pierwszym formuła wprowadzająca otrzymuje brzmienie:</w:t>
      </w:r>
    </w:p>
    <w:p w14:paraId="457BECAC" w14:textId="75314944" w:rsidR="00D21133" w:rsidRPr="00C57330" w:rsidRDefault="00D21133" w:rsidP="00141D69">
      <w:pPr>
        <w:pStyle w:val="Text2"/>
        <w:rPr>
          <w:noProof/>
        </w:rPr>
      </w:pPr>
      <w:r w:rsidRPr="00C57330">
        <w:rPr>
          <w:noProof/>
        </w:rPr>
        <w:t>„Bez uszczerbku dla art. 120 ust. 3a–3f</w:t>
      </w:r>
      <w:r w:rsidR="006C5585" w:rsidRPr="00C57330">
        <w:rPr>
          <w:noProof/>
        </w:rPr>
        <w:t xml:space="preserve"> i</w:t>
      </w:r>
      <w:r w:rsidR="006C5585">
        <w:rPr>
          <w:noProof/>
        </w:rPr>
        <w:t> </w:t>
      </w:r>
      <w:r w:rsidR="006C5585" w:rsidRPr="00C57330">
        <w:rPr>
          <w:noProof/>
        </w:rPr>
        <w:t>4</w:t>
      </w:r>
      <w:r w:rsidRPr="00C57330">
        <w:rPr>
          <w:noProof/>
        </w:rPr>
        <w:t> niniejszego rozporządzenia oraz bez uszczerbku dla obowiązków państw członkowskich</w:t>
      </w:r>
      <w:r w:rsidR="006C5585" w:rsidRPr="00C57330">
        <w:rPr>
          <w:noProof/>
        </w:rPr>
        <w:t xml:space="preserve"> i</w:t>
      </w:r>
      <w:r w:rsidR="006C5585">
        <w:rPr>
          <w:noProof/>
        </w:rPr>
        <w:t> </w:t>
      </w:r>
      <w:r w:rsidR="006C5585" w:rsidRPr="00C57330">
        <w:rPr>
          <w:noProof/>
        </w:rPr>
        <w:t>pro</w:t>
      </w:r>
      <w:r w:rsidRPr="00C57330">
        <w:rPr>
          <w:noProof/>
        </w:rPr>
        <w:t>ducentów</w:t>
      </w:r>
      <w:r w:rsidR="006C5585" w:rsidRPr="00C57330">
        <w:rPr>
          <w:noProof/>
        </w:rPr>
        <w:t xml:space="preserve"> w</w:t>
      </w:r>
      <w:r w:rsidR="006C5585">
        <w:rPr>
          <w:noProof/>
        </w:rPr>
        <w:t> </w:t>
      </w:r>
      <w:r w:rsidR="006C5585" w:rsidRPr="00C57330">
        <w:rPr>
          <w:noProof/>
        </w:rPr>
        <w:t>odn</w:t>
      </w:r>
      <w:r w:rsidRPr="00C57330">
        <w:rPr>
          <w:noProof/>
        </w:rPr>
        <w:t>iesieniu do obserwacji oraz obowiązków producentów</w:t>
      </w:r>
      <w:r w:rsidR="006C5585" w:rsidRPr="00C57330">
        <w:rPr>
          <w:noProof/>
        </w:rPr>
        <w:t xml:space="preserve"> w</w:t>
      </w:r>
      <w:r w:rsidR="006C5585">
        <w:rPr>
          <w:noProof/>
        </w:rPr>
        <w:t> </w:t>
      </w:r>
      <w:r w:rsidR="006C5585" w:rsidRPr="00C57330">
        <w:rPr>
          <w:noProof/>
        </w:rPr>
        <w:t>odn</w:t>
      </w:r>
      <w:r w:rsidRPr="00C57330">
        <w:rPr>
          <w:noProof/>
        </w:rPr>
        <w:t>iesieniu do udostępniania dokumentacji na podstawie dyrektywy 90/385/EWG</w:t>
      </w:r>
      <w:r w:rsidR="006C5585" w:rsidRPr="00C57330">
        <w:rPr>
          <w:noProof/>
        </w:rPr>
        <w:t xml:space="preserve"> i</w:t>
      </w:r>
      <w:r w:rsidR="006C5585">
        <w:rPr>
          <w:noProof/>
        </w:rPr>
        <w:t> </w:t>
      </w:r>
      <w:r w:rsidR="006C5585" w:rsidRPr="00C57330">
        <w:rPr>
          <w:noProof/>
        </w:rPr>
        <w:t>9</w:t>
      </w:r>
      <w:r w:rsidRPr="00C57330">
        <w:rPr>
          <w:noProof/>
        </w:rPr>
        <w:t>3/42/EWG, dyrektywy te tracą moc</w:t>
      </w:r>
      <w:r w:rsidR="006C5585" w:rsidRPr="00C57330">
        <w:rPr>
          <w:noProof/>
        </w:rPr>
        <w:t xml:space="preserve"> z</w:t>
      </w:r>
      <w:r w:rsidR="006C5585">
        <w:rPr>
          <w:noProof/>
        </w:rPr>
        <w:t> </w:t>
      </w:r>
      <w:r w:rsidR="006C5585" w:rsidRPr="00C57330">
        <w:rPr>
          <w:noProof/>
        </w:rPr>
        <w:t>dni</w:t>
      </w:r>
      <w:r w:rsidRPr="00C57330">
        <w:rPr>
          <w:noProof/>
        </w:rPr>
        <w:t>em 26 maja 20</w:t>
      </w:r>
      <w:r w:rsidRPr="006C5585">
        <w:rPr>
          <w:noProof/>
        </w:rPr>
        <w:t>21</w:t>
      </w:r>
      <w:r w:rsidR="006C5585" w:rsidRPr="006C5585">
        <w:rPr>
          <w:noProof/>
        </w:rPr>
        <w:t> </w:t>
      </w:r>
      <w:r w:rsidRPr="006C5585">
        <w:rPr>
          <w:noProof/>
        </w:rPr>
        <w:t>r.</w:t>
      </w:r>
      <w:r w:rsidR="006C5585" w:rsidRPr="00C57330">
        <w:rPr>
          <w:noProof/>
        </w:rPr>
        <w:t xml:space="preserve"> z</w:t>
      </w:r>
      <w:r w:rsidR="006C5585">
        <w:rPr>
          <w:noProof/>
        </w:rPr>
        <w:t> </w:t>
      </w:r>
      <w:r w:rsidR="006C5585" w:rsidRPr="00C57330">
        <w:rPr>
          <w:noProof/>
        </w:rPr>
        <w:t>wyj</w:t>
      </w:r>
      <w:r w:rsidRPr="00C57330">
        <w:rPr>
          <w:noProof/>
        </w:rPr>
        <w:t>ątkiem:”;</w:t>
      </w:r>
    </w:p>
    <w:p w14:paraId="3E3351C2" w14:textId="0BA169E4" w:rsidR="007422D2" w:rsidRPr="00C57330" w:rsidRDefault="006C5585" w:rsidP="006C5585">
      <w:pPr>
        <w:pStyle w:val="Point1"/>
        <w:rPr>
          <w:noProof/>
        </w:rPr>
      </w:pPr>
      <w:r>
        <w:rPr>
          <w:noProof/>
        </w:rPr>
        <w:t>2)</w:t>
      </w:r>
      <w:r>
        <w:rPr>
          <w:noProof/>
        </w:rPr>
        <w:tab/>
      </w:r>
      <w:r w:rsidR="00D00BEA" w:rsidRPr="00C57330">
        <w:rPr>
          <w:noProof/>
        </w:rPr>
        <w:t>akapit drugi otrzymuje brzmienie:</w:t>
      </w:r>
    </w:p>
    <w:p w14:paraId="51D4600F" w14:textId="290875A4" w:rsidR="007422D2" w:rsidRPr="00C57330" w:rsidRDefault="007422D2" w:rsidP="00141D69">
      <w:pPr>
        <w:pStyle w:val="Text2"/>
        <w:rPr>
          <w:noProof/>
        </w:rPr>
      </w:pPr>
      <w:r w:rsidRPr="00C57330">
        <w:rPr>
          <w:noProof/>
        </w:rPr>
        <w:t>„W przypadku wyrobów,</w:t>
      </w:r>
      <w:r w:rsidR="006C5585" w:rsidRPr="00C57330">
        <w:rPr>
          <w:noProof/>
        </w:rPr>
        <w:t xml:space="preserve"> o</w:t>
      </w:r>
      <w:r w:rsidR="006C5585">
        <w:rPr>
          <w:noProof/>
        </w:rPr>
        <w:t> </w:t>
      </w:r>
      <w:r w:rsidR="006C5585" w:rsidRPr="00C57330">
        <w:rPr>
          <w:noProof/>
        </w:rPr>
        <w:t>któ</w:t>
      </w:r>
      <w:r w:rsidRPr="00C57330">
        <w:rPr>
          <w:noProof/>
        </w:rPr>
        <w:t>rych mowa</w:t>
      </w:r>
      <w:r w:rsidR="006C5585" w:rsidRPr="00C57330">
        <w:rPr>
          <w:noProof/>
        </w:rPr>
        <w:t xml:space="preserve"> w</w:t>
      </w:r>
      <w:r w:rsidR="006C5585">
        <w:rPr>
          <w:noProof/>
        </w:rPr>
        <w:t> </w:t>
      </w:r>
      <w:r w:rsidR="006C5585" w:rsidRPr="00C57330">
        <w:rPr>
          <w:noProof/>
        </w:rPr>
        <w:t>art</w:t>
      </w:r>
      <w:r w:rsidRPr="00C57330">
        <w:rPr>
          <w:noProof/>
        </w:rPr>
        <w:t>. 120 ust. 3a–3f</w:t>
      </w:r>
      <w:r w:rsidR="006C5585" w:rsidRPr="00C57330">
        <w:rPr>
          <w:noProof/>
        </w:rPr>
        <w:t xml:space="preserve"> i</w:t>
      </w:r>
      <w:r w:rsidR="006C5585">
        <w:rPr>
          <w:noProof/>
        </w:rPr>
        <w:t> </w:t>
      </w:r>
      <w:r w:rsidR="006C5585" w:rsidRPr="00C57330">
        <w:rPr>
          <w:noProof/>
        </w:rPr>
        <w:t>4</w:t>
      </w:r>
      <w:r w:rsidRPr="00C57330">
        <w:rPr>
          <w:noProof/>
        </w:rPr>
        <w:t xml:space="preserve"> niniejszego rozporządzenia, dyrektywy,</w:t>
      </w:r>
      <w:r w:rsidR="006C5585" w:rsidRPr="00C57330">
        <w:rPr>
          <w:noProof/>
        </w:rPr>
        <w:t xml:space="preserve"> o</w:t>
      </w:r>
      <w:r w:rsidR="006C5585">
        <w:rPr>
          <w:noProof/>
        </w:rPr>
        <w:t> </w:t>
      </w:r>
      <w:r w:rsidR="006C5585" w:rsidRPr="00C57330">
        <w:rPr>
          <w:noProof/>
        </w:rPr>
        <w:t>któ</w:t>
      </w:r>
      <w:r w:rsidRPr="00C57330">
        <w:rPr>
          <w:noProof/>
        </w:rPr>
        <w:t>rych mowa</w:t>
      </w:r>
      <w:r w:rsidR="006C5585" w:rsidRPr="00C57330">
        <w:rPr>
          <w:noProof/>
        </w:rPr>
        <w:t xml:space="preserve"> w</w:t>
      </w:r>
      <w:r w:rsidR="006C5585">
        <w:rPr>
          <w:noProof/>
        </w:rPr>
        <w:t> </w:t>
      </w:r>
      <w:r w:rsidR="006C5585" w:rsidRPr="00C57330">
        <w:rPr>
          <w:noProof/>
        </w:rPr>
        <w:t>aka</w:t>
      </w:r>
      <w:r w:rsidRPr="00C57330">
        <w:rPr>
          <w:noProof/>
        </w:rPr>
        <w:t>picie pierwszym, stosuje się nadal</w:t>
      </w:r>
      <w:r w:rsidR="006C5585" w:rsidRPr="00C57330">
        <w:rPr>
          <w:noProof/>
        </w:rPr>
        <w:t xml:space="preserve"> w</w:t>
      </w:r>
      <w:r w:rsidR="006C5585">
        <w:rPr>
          <w:noProof/>
        </w:rPr>
        <w:t> </w:t>
      </w:r>
      <w:r w:rsidR="006C5585" w:rsidRPr="00C57330">
        <w:rPr>
          <w:noProof/>
        </w:rPr>
        <w:t>zak</w:t>
      </w:r>
      <w:r w:rsidRPr="00C57330">
        <w:rPr>
          <w:noProof/>
        </w:rPr>
        <w:t>resie niezbędnym do stosowania tych ustępów.”;</w:t>
      </w:r>
    </w:p>
    <w:p w14:paraId="5B75FE75" w14:textId="2D23A6F3" w:rsidR="0000465D" w:rsidRPr="00C57330" w:rsidRDefault="006C5585" w:rsidP="006C5585">
      <w:pPr>
        <w:pStyle w:val="Point0"/>
        <w:rPr>
          <w:noProof/>
        </w:rPr>
      </w:pPr>
      <w:r>
        <w:rPr>
          <w:noProof/>
        </w:rPr>
        <w:t>3)</w:t>
      </w:r>
      <w:r>
        <w:rPr>
          <w:noProof/>
        </w:rPr>
        <w:tab/>
      </w:r>
      <w:r w:rsidR="00475366" w:rsidRPr="006C5585">
        <w:rPr>
          <w:noProof/>
        </w:rPr>
        <w:t>art.</w:t>
      </w:r>
      <w:r w:rsidRPr="006C5585">
        <w:rPr>
          <w:noProof/>
        </w:rPr>
        <w:t> </w:t>
      </w:r>
      <w:r w:rsidR="00475366" w:rsidRPr="006C5585">
        <w:rPr>
          <w:noProof/>
        </w:rPr>
        <w:t>1</w:t>
      </w:r>
      <w:r w:rsidR="00475366" w:rsidRPr="00C57330">
        <w:rPr>
          <w:noProof/>
        </w:rPr>
        <w:t xml:space="preserve">23 </w:t>
      </w:r>
      <w:r w:rsidR="00475366" w:rsidRPr="006C5585">
        <w:rPr>
          <w:noProof/>
        </w:rPr>
        <w:t>ust.</w:t>
      </w:r>
      <w:r w:rsidRPr="006C5585">
        <w:rPr>
          <w:noProof/>
        </w:rPr>
        <w:t> </w:t>
      </w:r>
      <w:r w:rsidR="00475366" w:rsidRPr="006C5585">
        <w:rPr>
          <w:noProof/>
        </w:rPr>
        <w:t>3</w:t>
      </w:r>
      <w:r w:rsidR="00475366" w:rsidRPr="00C57330">
        <w:rPr>
          <w:noProof/>
        </w:rPr>
        <w:t xml:space="preserve"> </w:t>
      </w:r>
      <w:r w:rsidR="00475366" w:rsidRPr="006C5585">
        <w:rPr>
          <w:noProof/>
        </w:rPr>
        <w:t>lit.</w:t>
      </w:r>
      <w:r w:rsidRPr="006C5585">
        <w:rPr>
          <w:noProof/>
        </w:rPr>
        <w:t> </w:t>
      </w:r>
      <w:r w:rsidR="00475366" w:rsidRPr="006C5585">
        <w:rPr>
          <w:noProof/>
        </w:rPr>
        <w:t>d)</w:t>
      </w:r>
      <w:r w:rsidR="00475366" w:rsidRPr="00C57330">
        <w:rPr>
          <w:noProof/>
        </w:rPr>
        <w:t xml:space="preserve"> tiret dwudzieste czwarte otrzymuje brzmienie:</w:t>
      </w:r>
    </w:p>
    <w:p w14:paraId="58AFB4A1" w14:textId="7325202A" w:rsidR="00475366" w:rsidRPr="00C57330" w:rsidRDefault="00475366" w:rsidP="00B73C62">
      <w:pPr>
        <w:pStyle w:val="Text1"/>
        <w:rPr>
          <w:noProof/>
        </w:rPr>
      </w:pPr>
      <w:r w:rsidRPr="00C57330">
        <w:rPr>
          <w:noProof/>
        </w:rPr>
        <w:t xml:space="preserve">„– </w:t>
      </w:r>
      <w:r w:rsidRPr="006C5585">
        <w:rPr>
          <w:noProof/>
        </w:rPr>
        <w:t>art.</w:t>
      </w:r>
      <w:r w:rsidR="006C5585" w:rsidRPr="006C5585">
        <w:rPr>
          <w:noProof/>
        </w:rPr>
        <w:t> </w:t>
      </w:r>
      <w:r w:rsidRPr="006C5585">
        <w:rPr>
          <w:noProof/>
        </w:rPr>
        <w:t>1</w:t>
      </w:r>
      <w:r w:rsidRPr="00C57330">
        <w:rPr>
          <w:noProof/>
        </w:rPr>
        <w:t xml:space="preserve">20 </w:t>
      </w:r>
      <w:r w:rsidRPr="006C5585">
        <w:rPr>
          <w:noProof/>
        </w:rPr>
        <w:t>ust.</w:t>
      </w:r>
      <w:r w:rsidR="006C5585" w:rsidRPr="006C5585">
        <w:rPr>
          <w:noProof/>
        </w:rPr>
        <w:t> </w:t>
      </w:r>
      <w:r w:rsidRPr="006C5585">
        <w:rPr>
          <w:noProof/>
        </w:rPr>
        <w:t>3</w:t>
      </w:r>
      <w:r w:rsidRPr="00C57330">
        <w:rPr>
          <w:noProof/>
        </w:rPr>
        <w:t>e.”.</w:t>
      </w:r>
    </w:p>
    <w:p w14:paraId="67B1746E" w14:textId="77777777" w:rsidR="00040257" w:rsidRPr="00C57330" w:rsidRDefault="00040257" w:rsidP="00040257">
      <w:pPr>
        <w:pStyle w:val="Titrearticle"/>
        <w:rPr>
          <w:noProof/>
        </w:rPr>
      </w:pPr>
      <w:r w:rsidRPr="00C57330">
        <w:rPr>
          <w:noProof/>
        </w:rPr>
        <w:t>Artykuł 2</w:t>
      </w:r>
    </w:p>
    <w:p w14:paraId="1DCC880A" w14:textId="77777777" w:rsidR="00040257" w:rsidRPr="00C57330" w:rsidRDefault="00040257" w:rsidP="00B73C62">
      <w:pPr>
        <w:rPr>
          <w:noProof/>
        </w:rPr>
      </w:pPr>
      <w:r w:rsidRPr="00C57330">
        <w:rPr>
          <w:noProof/>
        </w:rPr>
        <w:t>W rozporządzeniu (UE) 2017/746 wprowadza się następujące zmiany:</w:t>
      </w:r>
    </w:p>
    <w:p w14:paraId="4A8BA692" w14:textId="2F631242" w:rsidR="00D00BEA" w:rsidRPr="00C57330" w:rsidRDefault="006C5585" w:rsidP="006C5585">
      <w:pPr>
        <w:pStyle w:val="Point0"/>
        <w:rPr>
          <w:noProof/>
        </w:rPr>
      </w:pPr>
      <w:r>
        <w:rPr>
          <w:noProof/>
        </w:rPr>
        <w:t>1)</w:t>
      </w:r>
      <w:r>
        <w:rPr>
          <w:noProof/>
        </w:rPr>
        <w:tab/>
      </w:r>
      <w:r w:rsidR="00D00BEA" w:rsidRPr="006C5585">
        <w:rPr>
          <w:noProof/>
        </w:rPr>
        <w:t>art.</w:t>
      </w:r>
      <w:r w:rsidRPr="006C5585">
        <w:rPr>
          <w:noProof/>
        </w:rPr>
        <w:t> </w:t>
      </w:r>
      <w:r w:rsidR="00D00BEA" w:rsidRPr="006C5585">
        <w:rPr>
          <w:noProof/>
        </w:rPr>
        <w:t>1</w:t>
      </w:r>
      <w:r w:rsidR="00D00BEA" w:rsidRPr="00C57330">
        <w:rPr>
          <w:noProof/>
        </w:rPr>
        <w:t xml:space="preserve">10 </w:t>
      </w:r>
      <w:r w:rsidR="00D00BEA" w:rsidRPr="006C5585">
        <w:rPr>
          <w:noProof/>
        </w:rPr>
        <w:t>ust.</w:t>
      </w:r>
      <w:r w:rsidRPr="006C5585">
        <w:rPr>
          <w:noProof/>
        </w:rPr>
        <w:t> </w:t>
      </w:r>
      <w:r w:rsidR="00D00BEA" w:rsidRPr="006C5585">
        <w:rPr>
          <w:noProof/>
        </w:rPr>
        <w:t>4</w:t>
      </w:r>
      <w:r w:rsidR="00D00BEA" w:rsidRPr="00C57330">
        <w:rPr>
          <w:noProof/>
        </w:rPr>
        <w:t xml:space="preserve"> otrzymuje brzmienie:</w:t>
      </w:r>
    </w:p>
    <w:p w14:paraId="6A821F0E" w14:textId="2A83005B" w:rsidR="00F221FB" w:rsidRPr="00C57330" w:rsidRDefault="00AA4D83" w:rsidP="00141D69">
      <w:pPr>
        <w:pStyle w:val="Text1"/>
        <w:rPr>
          <w:noProof/>
        </w:rPr>
      </w:pPr>
      <w:r w:rsidRPr="00C57330">
        <w:rPr>
          <w:noProof/>
        </w:rPr>
        <w:t>„4. Wyroby, które zostały zgodnie</w:t>
      </w:r>
      <w:r w:rsidR="006C5585" w:rsidRPr="00C57330">
        <w:rPr>
          <w:noProof/>
        </w:rPr>
        <w:t xml:space="preserve"> z</w:t>
      </w:r>
      <w:r w:rsidR="006C5585">
        <w:rPr>
          <w:noProof/>
        </w:rPr>
        <w:t> </w:t>
      </w:r>
      <w:r w:rsidR="006C5585" w:rsidRPr="00C57330">
        <w:rPr>
          <w:noProof/>
        </w:rPr>
        <w:t>pra</w:t>
      </w:r>
      <w:r w:rsidRPr="00C57330">
        <w:rPr>
          <w:noProof/>
        </w:rPr>
        <w:t>wem wprowadzone do obrotu na podstawie dyrektywy 98/79/WE przed dniem 26 maja 20</w:t>
      </w:r>
      <w:r w:rsidRPr="006C5585">
        <w:rPr>
          <w:noProof/>
        </w:rPr>
        <w:t>22</w:t>
      </w:r>
      <w:r w:rsidR="006C5585" w:rsidRPr="006C5585">
        <w:rPr>
          <w:noProof/>
        </w:rPr>
        <w:t> </w:t>
      </w:r>
      <w:r w:rsidRPr="006C5585">
        <w:rPr>
          <w:noProof/>
        </w:rPr>
        <w:t>r.</w:t>
      </w:r>
      <w:r w:rsidRPr="00C57330">
        <w:rPr>
          <w:noProof/>
        </w:rPr>
        <w:t>, oraz wyroby, które zostały zgodnie</w:t>
      </w:r>
      <w:r w:rsidR="006C5585" w:rsidRPr="00C57330">
        <w:rPr>
          <w:noProof/>
        </w:rPr>
        <w:t xml:space="preserve"> z</w:t>
      </w:r>
      <w:r w:rsidR="006C5585">
        <w:rPr>
          <w:noProof/>
        </w:rPr>
        <w:t> </w:t>
      </w:r>
      <w:r w:rsidR="006C5585" w:rsidRPr="00C57330">
        <w:rPr>
          <w:noProof/>
        </w:rPr>
        <w:t>pra</w:t>
      </w:r>
      <w:r w:rsidRPr="00C57330">
        <w:rPr>
          <w:noProof/>
        </w:rPr>
        <w:t>wem wprowadzone do obrotu od dnia 26 maja 20</w:t>
      </w:r>
      <w:r w:rsidRPr="006C5585">
        <w:rPr>
          <w:noProof/>
        </w:rPr>
        <w:t>22</w:t>
      </w:r>
      <w:r w:rsidR="006C5585" w:rsidRPr="006C5585">
        <w:rPr>
          <w:noProof/>
        </w:rPr>
        <w:t> </w:t>
      </w:r>
      <w:r w:rsidRPr="006C5585">
        <w:rPr>
          <w:noProof/>
        </w:rPr>
        <w:t>r.</w:t>
      </w:r>
      <w:r w:rsidRPr="00C57330">
        <w:rPr>
          <w:noProof/>
        </w:rPr>
        <w:t xml:space="preserve"> na podstawie </w:t>
      </w:r>
      <w:r w:rsidRPr="006C5585">
        <w:rPr>
          <w:noProof/>
        </w:rPr>
        <w:t>ust.</w:t>
      </w:r>
      <w:r w:rsidR="006C5585" w:rsidRPr="006C5585">
        <w:rPr>
          <w:noProof/>
        </w:rPr>
        <w:t> </w:t>
      </w:r>
      <w:r w:rsidRPr="006C5585">
        <w:rPr>
          <w:noProof/>
        </w:rPr>
        <w:t>3</w:t>
      </w:r>
      <w:r w:rsidRPr="00C57330">
        <w:rPr>
          <w:noProof/>
        </w:rPr>
        <w:t xml:space="preserve"> niniejszego artykułu, mogą być</w:t>
      </w:r>
      <w:r w:rsidR="006C5585" w:rsidRPr="00C57330">
        <w:rPr>
          <w:noProof/>
        </w:rPr>
        <w:t xml:space="preserve"> w</w:t>
      </w:r>
      <w:r w:rsidR="006C5585">
        <w:rPr>
          <w:noProof/>
        </w:rPr>
        <w:t> </w:t>
      </w:r>
      <w:r w:rsidR="006C5585" w:rsidRPr="00C57330">
        <w:rPr>
          <w:noProof/>
        </w:rPr>
        <w:t>dal</w:t>
      </w:r>
      <w:r w:rsidRPr="00C57330">
        <w:rPr>
          <w:noProof/>
        </w:rPr>
        <w:t>szym ciągu udostępniane na rynku lub wprowadzane do używania.”;</w:t>
      </w:r>
    </w:p>
    <w:p w14:paraId="1CEE4B22" w14:textId="19CF7612" w:rsidR="00EA3961" w:rsidRPr="00C57330" w:rsidRDefault="006C5585" w:rsidP="006C5585">
      <w:pPr>
        <w:pStyle w:val="Point0"/>
        <w:rPr>
          <w:noProof/>
        </w:rPr>
      </w:pPr>
      <w:r>
        <w:rPr>
          <w:noProof/>
        </w:rPr>
        <w:t>2)</w:t>
      </w:r>
      <w:r>
        <w:rPr>
          <w:noProof/>
        </w:rPr>
        <w:tab/>
      </w:r>
      <w:r w:rsidR="00592213" w:rsidRPr="00C57330">
        <w:rPr>
          <w:noProof/>
        </w:rPr>
        <w:t>art. 112 akapit drugi otrzymuje brzmienie:</w:t>
      </w:r>
    </w:p>
    <w:p w14:paraId="7CC5122B" w14:textId="1D2A1758" w:rsidR="00D00BEA" w:rsidRPr="00C57330" w:rsidRDefault="00D00BEA" w:rsidP="00B73C62">
      <w:pPr>
        <w:pStyle w:val="Text1"/>
        <w:rPr>
          <w:noProof/>
        </w:rPr>
      </w:pPr>
      <w:r w:rsidRPr="00C57330">
        <w:rPr>
          <w:noProof/>
        </w:rPr>
        <w:t>„W przypadku wyrobów,</w:t>
      </w:r>
      <w:r w:rsidR="006C5585" w:rsidRPr="00C57330">
        <w:rPr>
          <w:noProof/>
        </w:rPr>
        <w:t xml:space="preserve"> o</w:t>
      </w:r>
      <w:r w:rsidR="006C5585">
        <w:rPr>
          <w:noProof/>
        </w:rPr>
        <w:t> </w:t>
      </w:r>
      <w:r w:rsidR="006C5585" w:rsidRPr="00C57330">
        <w:rPr>
          <w:noProof/>
        </w:rPr>
        <w:t>któ</w:t>
      </w:r>
      <w:r w:rsidRPr="00C57330">
        <w:rPr>
          <w:noProof/>
        </w:rPr>
        <w:t>rych mowa</w:t>
      </w:r>
      <w:r w:rsidR="006C5585" w:rsidRPr="00C57330">
        <w:rPr>
          <w:noProof/>
        </w:rPr>
        <w:t xml:space="preserve"> w</w:t>
      </w:r>
      <w:r w:rsidR="006C5585">
        <w:rPr>
          <w:noProof/>
        </w:rPr>
        <w:t> </w:t>
      </w:r>
      <w:r w:rsidR="006C5585" w:rsidRPr="00C57330">
        <w:rPr>
          <w:noProof/>
        </w:rPr>
        <w:t>art</w:t>
      </w:r>
      <w:r w:rsidRPr="00C57330">
        <w:rPr>
          <w:noProof/>
        </w:rPr>
        <w:t>. 110 ust. 3</w:t>
      </w:r>
      <w:r w:rsidR="006C5585" w:rsidRPr="00C57330">
        <w:rPr>
          <w:noProof/>
        </w:rPr>
        <w:t xml:space="preserve"> i</w:t>
      </w:r>
      <w:r w:rsidR="006C5585">
        <w:rPr>
          <w:noProof/>
        </w:rPr>
        <w:t> </w:t>
      </w:r>
      <w:r w:rsidR="006C5585" w:rsidRPr="00C57330">
        <w:rPr>
          <w:noProof/>
        </w:rPr>
        <w:t>4</w:t>
      </w:r>
      <w:r w:rsidRPr="00C57330">
        <w:rPr>
          <w:noProof/>
        </w:rPr>
        <w:t xml:space="preserve"> niniejszego rozporządzenia, dyrektywę 98/79/WE stosuje się nadal</w:t>
      </w:r>
      <w:r w:rsidR="006C5585" w:rsidRPr="00C57330">
        <w:rPr>
          <w:noProof/>
        </w:rPr>
        <w:t xml:space="preserve"> w</w:t>
      </w:r>
      <w:r w:rsidR="006C5585">
        <w:rPr>
          <w:noProof/>
        </w:rPr>
        <w:t> </w:t>
      </w:r>
      <w:r w:rsidR="006C5585" w:rsidRPr="00C57330">
        <w:rPr>
          <w:noProof/>
        </w:rPr>
        <w:t>zak</w:t>
      </w:r>
      <w:r w:rsidRPr="00C57330">
        <w:rPr>
          <w:noProof/>
        </w:rPr>
        <w:t>resie niezbędnym do stosowania tych ustępów.”.</w:t>
      </w:r>
    </w:p>
    <w:p w14:paraId="2F56EC04" w14:textId="77777777" w:rsidR="005E1E5E" w:rsidRPr="00C57330" w:rsidRDefault="005E1E5E" w:rsidP="00A103F4">
      <w:pPr>
        <w:pStyle w:val="Titrearticle"/>
        <w:rPr>
          <w:noProof/>
        </w:rPr>
      </w:pPr>
      <w:r w:rsidRPr="00C57330">
        <w:rPr>
          <w:noProof/>
        </w:rPr>
        <w:t>Artykuł 3</w:t>
      </w:r>
    </w:p>
    <w:p w14:paraId="34A91A9D" w14:textId="6D9795B8" w:rsidR="005E1E5E" w:rsidRPr="00C57330" w:rsidRDefault="005E1E5E" w:rsidP="00A103F4">
      <w:pPr>
        <w:rPr>
          <w:noProof/>
        </w:rPr>
      </w:pPr>
      <w:r w:rsidRPr="00C57330">
        <w:rPr>
          <w:noProof/>
        </w:rPr>
        <w:t>Niniejsze rozporządzenie wchodzi</w:t>
      </w:r>
      <w:r w:rsidR="006C5585" w:rsidRPr="00C57330">
        <w:rPr>
          <w:noProof/>
        </w:rPr>
        <w:t xml:space="preserve"> w</w:t>
      </w:r>
      <w:r w:rsidR="006C5585">
        <w:rPr>
          <w:noProof/>
        </w:rPr>
        <w:t> </w:t>
      </w:r>
      <w:r w:rsidR="006C5585" w:rsidRPr="00C57330">
        <w:rPr>
          <w:noProof/>
        </w:rPr>
        <w:t>życ</w:t>
      </w:r>
      <w:r w:rsidRPr="00C57330">
        <w:rPr>
          <w:noProof/>
        </w:rPr>
        <w:t>ie</w:t>
      </w:r>
      <w:r w:rsidR="006C5585" w:rsidRPr="00C57330">
        <w:rPr>
          <w:noProof/>
        </w:rPr>
        <w:t xml:space="preserve"> z</w:t>
      </w:r>
      <w:r w:rsidR="006C5585">
        <w:rPr>
          <w:noProof/>
        </w:rPr>
        <w:t> </w:t>
      </w:r>
      <w:r w:rsidR="006C5585" w:rsidRPr="00C57330">
        <w:rPr>
          <w:noProof/>
        </w:rPr>
        <w:t>dni</w:t>
      </w:r>
      <w:r w:rsidRPr="00C57330">
        <w:rPr>
          <w:noProof/>
        </w:rPr>
        <w:t>em jego opublikowania</w:t>
      </w:r>
      <w:r w:rsidR="006C5585" w:rsidRPr="00C57330">
        <w:rPr>
          <w:noProof/>
        </w:rPr>
        <w:t xml:space="preserve"> w</w:t>
      </w:r>
      <w:r w:rsidR="006C5585">
        <w:rPr>
          <w:noProof/>
        </w:rPr>
        <w:t> </w:t>
      </w:r>
      <w:r w:rsidR="006C5585" w:rsidRPr="00C57330">
        <w:rPr>
          <w:i/>
          <w:noProof/>
        </w:rPr>
        <w:t>Dzi</w:t>
      </w:r>
      <w:r w:rsidRPr="00C57330">
        <w:rPr>
          <w:i/>
          <w:noProof/>
        </w:rPr>
        <w:t>enniku Urzędowym Unii Europejskiej</w:t>
      </w:r>
      <w:r w:rsidRPr="00C57330">
        <w:rPr>
          <w:noProof/>
        </w:rPr>
        <w:t>.</w:t>
      </w:r>
    </w:p>
    <w:p w14:paraId="566EC59C" w14:textId="1F8A2EAE" w:rsidR="005E1E5E" w:rsidRPr="00C57330" w:rsidRDefault="005E1E5E" w:rsidP="00A103F4">
      <w:pPr>
        <w:pStyle w:val="Applicationdirecte"/>
        <w:rPr>
          <w:noProof/>
        </w:rPr>
      </w:pPr>
      <w:r w:rsidRPr="00C57330">
        <w:rPr>
          <w:noProof/>
        </w:rPr>
        <w:t>Niniejsze rozporządzenie wiąże</w:t>
      </w:r>
      <w:r w:rsidR="006C5585" w:rsidRPr="00C57330">
        <w:rPr>
          <w:noProof/>
        </w:rPr>
        <w:t xml:space="preserve"> w</w:t>
      </w:r>
      <w:r w:rsidR="006C5585">
        <w:rPr>
          <w:noProof/>
        </w:rPr>
        <w:t> </w:t>
      </w:r>
      <w:r w:rsidR="006C5585" w:rsidRPr="00C57330">
        <w:rPr>
          <w:noProof/>
        </w:rPr>
        <w:t>cał</w:t>
      </w:r>
      <w:r w:rsidRPr="00C57330">
        <w:rPr>
          <w:noProof/>
        </w:rPr>
        <w:t>ości</w:t>
      </w:r>
      <w:r w:rsidR="006C5585" w:rsidRPr="00C57330">
        <w:rPr>
          <w:noProof/>
        </w:rPr>
        <w:t xml:space="preserve"> i</w:t>
      </w:r>
      <w:r w:rsidR="006C5585">
        <w:rPr>
          <w:noProof/>
        </w:rPr>
        <w:t> </w:t>
      </w:r>
      <w:r w:rsidR="006C5585" w:rsidRPr="00C57330">
        <w:rPr>
          <w:noProof/>
        </w:rPr>
        <w:t>jes</w:t>
      </w:r>
      <w:r w:rsidRPr="00C57330">
        <w:rPr>
          <w:noProof/>
        </w:rPr>
        <w:t>t bezpośrednio stosowane we wszystkich państwach członkowskich.</w:t>
      </w:r>
    </w:p>
    <w:p w14:paraId="729FE3EF" w14:textId="1FB11AB2" w:rsidR="005E1E5E" w:rsidRPr="00C57330" w:rsidRDefault="00BD0E4A" w:rsidP="00081ECB">
      <w:pPr>
        <w:pStyle w:val="Fait"/>
        <w:rPr>
          <w:noProof/>
        </w:rPr>
      </w:pPr>
      <w:r w:rsidRPr="00BD0E4A">
        <w:t xml:space="preserve">Sporządzono w Brukseli dnia </w:t>
      </w:r>
      <w:r w:rsidRPr="00BD0E4A">
        <w:rPr>
          <w:rStyle w:val="Marker"/>
        </w:rPr>
        <w:t>[…]</w:t>
      </w:r>
      <w:r w:rsidRPr="00BD0E4A">
        <w:t xml:space="preserve"> r.</w:t>
      </w:r>
    </w:p>
    <w:p w14:paraId="7AF84819" w14:textId="77777777" w:rsidR="005E1E5E" w:rsidRPr="00C57330" w:rsidRDefault="005E1E5E" w:rsidP="00081ECB">
      <w:pPr>
        <w:pStyle w:val="Institutionquisigne"/>
        <w:rPr>
          <w:noProof/>
        </w:rPr>
      </w:pPr>
      <w:r w:rsidRPr="00C57330">
        <w:rPr>
          <w:noProof/>
        </w:rPr>
        <w:t>W imieniu Parlamentu Europejskiego</w:t>
      </w:r>
      <w:r w:rsidRPr="00C57330">
        <w:rPr>
          <w:noProof/>
        </w:rPr>
        <w:tab/>
        <w:t>W imieniu Rady</w:t>
      </w:r>
    </w:p>
    <w:p w14:paraId="21F2E616" w14:textId="77777777" w:rsidR="005E1E5E" w:rsidRPr="00C57330" w:rsidRDefault="005E1E5E" w:rsidP="005E1E5E">
      <w:pPr>
        <w:pStyle w:val="Personnequisigne"/>
        <w:rPr>
          <w:noProof/>
        </w:rPr>
      </w:pPr>
      <w:r w:rsidRPr="00C57330">
        <w:rPr>
          <w:noProof/>
        </w:rPr>
        <w:t>Przewodnicząca</w:t>
      </w:r>
      <w:r w:rsidRPr="00C57330">
        <w:rPr>
          <w:noProof/>
        </w:rPr>
        <w:tab/>
        <w:t>Przewodniczący</w:t>
      </w:r>
    </w:p>
    <w:sectPr w:rsidR="005E1E5E" w:rsidRPr="00C57330" w:rsidSect="00351031">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4550C" w14:textId="77777777" w:rsidR="00AF19F6" w:rsidRDefault="00AF19F6" w:rsidP="005E1E5E">
      <w:pPr>
        <w:spacing w:before="0" w:after="0"/>
      </w:pPr>
      <w:r>
        <w:separator/>
      </w:r>
    </w:p>
  </w:endnote>
  <w:endnote w:type="continuationSeparator" w:id="0">
    <w:p w14:paraId="698B26F6" w14:textId="77777777" w:rsidR="00AF19F6" w:rsidRDefault="00AF19F6" w:rsidP="005E1E5E">
      <w:pPr>
        <w:spacing w:before="0" w:after="0"/>
      </w:pPr>
      <w:r>
        <w:continuationSeparator/>
      </w:r>
    </w:p>
  </w:endnote>
  <w:endnote w:type="continuationNotice" w:id="1">
    <w:p w14:paraId="561D948E" w14:textId="77777777" w:rsidR="00AF19F6" w:rsidRDefault="00AF19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96767" w14:textId="33E233E0" w:rsidR="00B96520" w:rsidRPr="00351031" w:rsidRDefault="00351031" w:rsidP="00351031">
    <w:pPr>
      <w:pStyle w:val="Footer"/>
      <w:rPr>
        <w:rFonts w:ascii="Arial" w:hAnsi="Arial" w:cs="Arial"/>
        <w:b/>
        <w:sz w:val="48"/>
      </w:rPr>
    </w:pPr>
    <w:r w:rsidRPr="00351031">
      <w:rPr>
        <w:rFonts w:ascii="Arial" w:hAnsi="Arial" w:cs="Arial"/>
        <w:b/>
        <w:sz w:val="48"/>
      </w:rPr>
      <w:t>PL</w:t>
    </w:r>
    <w:r w:rsidRPr="00351031">
      <w:rPr>
        <w:rFonts w:ascii="Arial" w:hAnsi="Arial" w:cs="Arial"/>
        <w:b/>
        <w:sz w:val="48"/>
      </w:rPr>
      <w:tab/>
    </w:r>
    <w:r w:rsidRPr="00351031">
      <w:rPr>
        <w:rFonts w:ascii="Arial" w:hAnsi="Arial" w:cs="Arial"/>
        <w:b/>
        <w:sz w:val="48"/>
      </w:rPr>
      <w:tab/>
    </w:r>
    <w:r w:rsidRPr="00351031">
      <w:tab/>
    </w:r>
    <w:r w:rsidRPr="00351031">
      <w:rPr>
        <w:rFonts w:ascii="Arial" w:hAnsi="Arial" w:cs="Arial"/>
        <w:b/>
        <w:sz w:val="48"/>
      </w:rPr>
      <w:t>PL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7ECE7" w14:textId="060AAF0E" w:rsidR="00351031" w:rsidRPr="00351031" w:rsidRDefault="00351031" w:rsidP="00351031">
    <w:pPr>
      <w:pStyle w:val="Footer"/>
      <w:rPr>
        <w:rFonts w:ascii="Arial" w:hAnsi="Arial" w:cs="Arial"/>
        <w:b/>
        <w:sz w:val="48"/>
      </w:rPr>
    </w:pPr>
    <w:r w:rsidRPr="00351031">
      <w:rPr>
        <w:rFonts w:ascii="Arial" w:hAnsi="Arial" w:cs="Arial"/>
        <w:b/>
        <w:sz w:val="48"/>
      </w:rPr>
      <w:t>PL</w:t>
    </w:r>
    <w:r w:rsidRPr="00351031">
      <w:rPr>
        <w:rFonts w:ascii="Arial" w:hAnsi="Arial" w:cs="Arial"/>
        <w:b/>
        <w:sz w:val="48"/>
      </w:rPr>
      <w:tab/>
    </w:r>
    <w:r>
      <w:fldChar w:fldCharType="begin"/>
    </w:r>
    <w:r>
      <w:instrText xml:space="preserve"> PAGE  \* MERGEFORMAT </w:instrText>
    </w:r>
    <w:r>
      <w:fldChar w:fldCharType="separate"/>
    </w:r>
    <w:r w:rsidR="00081ECB">
      <w:rPr>
        <w:noProof/>
      </w:rPr>
      <w:t>17</w:t>
    </w:r>
    <w:r>
      <w:fldChar w:fldCharType="end"/>
    </w:r>
    <w:r>
      <w:tab/>
    </w:r>
    <w:r w:rsidRPr="00351031">
      <w:tab/>
    </w:r>
    <w:r w:rsidRPr="00351031">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E642B" w14:textId="77777777" w:rsidR="00351031" w:rsidRPr="00351031" w:rsidRDefault="00351031" w:rsidP="00351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D1DC9" w14:textId="77777777" w:rsidR="00AF19F6" w:rsidRDefault="00AF19F6" w:rsidP="005E1E5E">
      <w:pPr>
        <w:spacing w:before="0" w:after="0"/>
      </w:pPr>
      <w:r>
        <w:separator/>
      </w:r>
    </w:p>
  </w:footnote>
  <w:footnote w:type="continuationSeparator" w:id="0">
    <w:p w14:paraId="5CA72B3F" w14:textId="77777777" w:rsidR="00AF19F6" w:rsidRDefault="00AF19F6" w:rsidP="005E1E5E">
      <w:pPr>
        <w:spacing w:before="0" w:after="0"/>
      </w:pPr>
      <w:r>
        <w:continuationSeparator/>
      </w:r>
    </w:p>
  </w:footnote>
  <w:footnote w:type="continuationNotice" w:id="1">
    <w:p w14:paraId="05285D9A" w14:textId="77777777" w:rsidR="00AF19F6" w:rsidRDefault="00AF19F6">
      <w:pPr>
        <w:spacing w:before="0" w:after="0"/>
      </w:pPr>
    </w:p>
  </w:footnote>
  <w:footnote w:id="2">
    <w:p w14:paraId="3BD5DA30" w14:textId="0F86262D" w:rsidR="00CF3207" w:rsidRPr="00C57330" w:rsidRDefault="00CF3207" w:rsidP="00827D02">
      <w:pPr>
        <w:pStyle w:val="FootnoteText"/>
      </w:pPr>
      <w:r>
        <w:rPr>
          <w:rStyle w:val="FootnoteReference"/>
        </w:rPr>
        <w:footnoteRef/>
      </w:r>
      <w:r w:rsidRPr="00C57330">
        <w:tab/>
        <w:t>Rozporządzenie Parlamentu Europejskiego</w:t>
      </w:r>
      <w:r w:rsidR="006C5585" w:rsidRPr="00C57330">
        <w:t xml:space="preserve"> i</w:t>
      </w:r>
      <w:r w:rsidR="006C5585">
        <w:t> </w:t>
      </w:r>
      <w:r w:rsidR="006C5585" w:rsidRPr="00C57330">
        <w:t>Rad</w:t>
      </w:r>
      <w:r w:rsidRPr="00C57330">
        <w:t>y (UE) 2017/745</w:t>
      </w:r>
      <w:r w:rsidR="006C5585" w:rsidRPr="00C57330">
        <w:t xml:space="preserve"> z</w:t>
      </w:r>
      <w:r w:rsidR="006C5585">
        <w:t> </w:t>
      </w:r>
      <w:r w:rsidR="006C5585" w:rsidRPr="00C57330">
        <w:t>dni</w:t>
      </w:r>
      <w:r w:rsidRPr="00C57330">
        <w:t>a 5 kwietnia 20</w:t>
      </w:r>
      <w:r w:rsidRPr="006C5585">
        <w:t>17</w:t>
      </w:r>
      <w:r w:rsidR="006C5585" w:rsidRPr="006C5585">
        <w:t> </w:t>
      </w:r>
      <w:r w:rsidRPr="006C5585">
        <w:t>r.</w:t>
      </w:r>
      <w:r w:rsidR="006C5585" w:rsidRPr="00C57330">
        <w:t xml:space="preserve"> w</w:t>
      </w:r>
      <w:r w:rsidR="006C5585">
        <w:t> </w:t>
      </w:r>
      <w:r w:rsidR="006C5585" w:rsidRPr="00C57330">
        <w:t>spr</w:t>
      </w:r>
      <w:r w:rsidRPr="00C57330">
        <w:t xml:space="preserve">awie wyrobów medycznych, zmiany dyrektywy 2001/83/WE, rozporządzenia (WE) </w:t>
      </w:r>
      <w:r w:rsidRPr="006C5585">
        <w:t>nr</w:t>
      </w:r>
      <w:r w:rsidR="006C5585" w:rsidRPr="006C5585">
        <w:t> </w:t>
      </w:r>
      <w:r w:rsidRPr="006C5585">
        <w:t>1</w:t>
      </w:r>
      <w:r w:rsidRPr="00C57330">
        <w:t>78/2002</w:t>
      </w:r>
      <w:r w:rsidR="006C5585" w:rsidRPr="00C57330">
        <w:t xml:space="preserve"> i</w:t>
      </w:r>
      <w:r w:rsidR="006C5585">
        <w:t> </w:t>
      </w:r>
      <w:r w:rsidR="006C5585" w:rsidRPr="00C57330">
        <w:t>roz</w:t>
      </w:r>
      <w:r w:rsidRPr="00C57330">
        <w:t xml:space="preserve">porządzenia (WE) </w:t>
      </w:r>
      <w:r w:rsidRPr="006C5585">
        <w:t>nr</w:t>
      </w:r>
      <w:r w:rsidR="006C5585" w:rsidRPr="006C5585">
        <w:t> </w:t>
      </w:r>
      <w:r w:rsidRPr="006C5585">
        <w:t>1</w:t>
      </w:r>
      <w:r w:rsidRPr="00C57330">
        <w:t>223/2009 oraz uchylenia dyrektyw Rady 90/385/EWG</w:t>
      </w:r>
      <w:r w:rsidR="006C5585" w:rsidRPr="00C57330">
        <w:t xml:space="preserve"> i</w:t>
      </w:r>
      <w:r w:rsidR="006C5585">
        <w:t> </w:t>
      </w:r>
      <w:r w:rsidR="006C5585" w:rsidRPr="00C57330">
        <w:t>9</w:t>
      </w:r>
      <w:r w:rsidRPr="00C57330">
        <w:t>3/42/EWG (Dz.U. L 117</w:t>
      </w:r>
      <w:r w:rsidR="006C5585" w:rsidRPr="00C57330">
        <w:t xml:space="preserve"> z</w:t>
      </w:r>
      <w:r w:rsidR="006C5585">
        <w:t> </w:t>
      </w:r>
      <w:r w:rsidR="006C5585" w:rsidRPr="00C57330">
        <w:t>5</w:t>
      </w:r>
      <w:r w:rsidRPr="00C57330">
        <w:t>.5.2017, s. 1).</w:t>
      </w:r>
    </w:p>
  </w:footnote>
  <w:footnote w:id="3">
    <w:p w14:paraId="16204705" w14:textId="20EE66DD" w:rsidR="00CF3207" w:rsidRPr="00C57330" w:rsidRDefault="00CF3207">
      <w:pPr>
        <w:pStyle w:val="FootnoteText"/>
      </w:pPr>
      <w:r>
        <w:rPr>
          <w:rStyle w:val="FootnoteReference"/>
        </w:rPr>
        <w:footnoteRef/>
      </w:r>
      <w:r w:rsidRPr="00C57330">
        <w:tab/>
        <w:t>Rozporządzenie Parlamentu Europejskiego</w:t>
      </w:r>
      <w:r w:rsidR="006C5585" w:rsidRPr="00C57330">
        <w:t xml:space="preserve"> i</w:t>
      </w:r>
      <w:r w:rsidR="006C5585">
        <w:t> </w:t>
      </w:r>
      <w:r w:rsidR="006C5585" w:rsidRPr="00C57330">
        <w:t>Rad</w:t>
      </w:r>
      <w:r w:rsidRPr="00C57330">
        <w:t>y (UE) 2017/746</w:t>
      </w:r>
      <w:r w:rsidR="006C5585" w:rsidRPr="00C57330">
        <w:t xml:space="preserve"> z</w:t>
      </w:r>
      <w:r w:rsidR="006C5585">
        <w:t> </w:t>
      </w:r>
      <w:r w:rsidR="006C5585" w:rsidRPr="00C57330">
        <w:t>dni</w:t>
      </w:r>
      <w:r w:rsidRPr="00C57330">
        <w:t>a 5 kwietnia 20</w:t>
      </w:r>
      <w:r w:rsidRPr="006C5585">
        <w:t>17</w:t>
      </w:r>
      <w:r w:rsidR="006C5585" w:rsidRPr="006C5585">
        <w:t> </w:t>
      </w:r>
      <w:r w:rsidRPr="006C5585">
        <w:t>r.</w:t>
      </w:r>
      <w:r w:rsidR="006C5585" w:rsidRPr="00C57330">
        <w:t xml:space="preserve"> w</w:t>
      </w:r>
      <w:r w:rsidR="006C5585">
        <w:t> </w:t>
      </w:r>
      <w:r w:rsidR="006C5585" w:rsidRPr="00C57330">
        <w:t>spr</w:t>
      </w:r>
      <w:r w:rsidRPr="00C57330">
        <w:t xml:space="preserve">awie wyrobów medycznych do diagnostyki </w:t>
      </w:r>
      <w:r w:rsidRPr="00C57330">
        <w:rPr>
          <w:i/>
        </w:rPr>
        <w:t>in vitro</w:t>
      </w:r>
      <w:r w:rsidRPr="00C57330">
        <w:t xml:space="preserve"> oraz uchylenia dyrektywy 98/79/WE</w:t>
      </w:r>
      <w:r w:rsidR="006C5585" w:rsidRPr="00C57330">
        <w:t xml:space="preserve"> i</w:t>
      </w:r>
      <w:r w:rsidR="006C5585">
        <w:t> </w:t>
      </w:r>
      <w:r w:rsidR="006C5585" w:rsidRPr="00C57330">
        <w:t>dec</w:t>
      </w:r>
      <w:r w:rsidRPr="00C57330">
        <w:t>yzji Komisji 2010/227/UE (</w:t>
      </w:r>
      <w:hyperlink r:id="rId1" w:history="1">
        <w:r w:rsidRPr="00C57330">
          <w:t>Dz.U. L 117</w:t>
        </w:r>
        <w:r w:rsidR="006C5585" w:rsidRPr="00C57330">
          <w:t xml:space="preserve"> z</w:t>
        </w:r>
        <w:r w:rsidR="006C5585">
          <w:t> </w:t>
        </w:r>
        <w:r w:rsidR="006C5585" w:rsidRPr="00C57330">
          <w:t>5</w:t>
        </w:r>
        <w:r w:rsidRPr="00C57330">
          <w:t>.5.2017, s. 176</w:t>
        </w:r>
      </w:hyperlink>
      <w:r w:rsidRPr="00C57330">
        <w:t>).</w:t>
      </w:r>
    </w:p>
  </w:footnote>
  <w:footnote w:id="4">
    <w:p w14:paraId="6F514DA6" w14:textId="29B3571E" w:rsidR="00CF3207" w:rsidRPr="00C57330" w:rsidRDefault="00CF3207">
      <w:pPr>
        <w:pStyle w:val="FootnoteText"/>
      </w:pPr>
      <w:r>
        <w:rPr>
          <w:rStyle w:val="FootnoteReference"/>
        </w:rPr>
        <w:footnoteRef/>
      </w:r>
      <w:r w:rsidRPr="00C57330">
        <w:tab/>
        <w:t>Rozporządzeniem Parlamentu Europejskiego</w:t>
      </w:r>
      <w:r w:rsidR="006C5585" w:rsidRPr="00C57330">
        <w:t xml:space="preserve"> i</w:t>
      </w:r>
      <w:r w:rsidR="006C5585">
        <w:t> </w:t>
      </w:r>
      <w:r w:rsidR="006C5585" w:rsidRPr="00C57330">
        <w:t>Rad</w:t>
      </w:r>
      <w:r w:rsidRPr="00C57330">
        <w:t>y (UE) 2020/561</w:t>
      </w:r>
      <w:r w:rsidR="006C5585" w:rsidRPr="00C57330">
        <w:t xml:space="preserve"> z</w:t>
      </w:r>
      <w:r w:rsidR="006C5585">
        <w:t> </w:t>
      </w:r>
      <w:r w:rsidR="006C5585" w:rsidRPr="00C57330">
        <w:t>dni</w:t>
      </w:r>
      <w:r w:rsidRPr="00C57330">
        <w:t>a 23 kwietnia 20</w:t>
      </w:r>
      <w:r w:rsidRPr="006C5585">
        <w:t>20</w:t>
      </w:r>
      <w:r w:rsidR="006C5585" w:rsidRPr="006C5585">
        <w:t> </w:t>
      </w:r>
      <w:r w:rsidRPr="006C5585">
        <w:t>r.</w:t>
      </w:r>
      <w:r w:rsidRPr="00C57330">
        <w:t xml:space="preserve"> zmieniającym rozporządzenie (UE) 2017/745</w:t>
      </w:r>
      <w:r w:rsidR="006C5585" w:rsidRPr="00C57330">
        <w:t xml:space="preserve"> w</w:t>
      </w:r>
      <w:r w:rsidR="006C5585">
        <w:t> </w:t>
      </w:r>
      <w:r w:rsidR="006C5585" w:rsidRPr="00C57330">
        <w:t>spr</w:t>
      </w:r>
      <w:r w:rsidRPr="00C57330">
        <w:t>awie wyrobów medycznych</w:t>
      </w:r>
      <w:r w:rsidR="006C5585" w:rsidRPr="00C57330">
        <w:t xml:space="preserve"> w</w:t>
      </w:r>
      <w:r w:rsidR="006C5585">
        <w:t> </w:t>
      </w:r>
      <w:r w:rsidR="006C5585" w:rsidRPr="00C57330">
        <w:t>odn</w:t>
      </w:r>
      <w:r w:rsidRPr="00C57330">
        <w:t>iesieniu do dat rozpoczęcia stosowania niektórych jego przepisów (Dz.U. L 130</w:t>
      </w:r>
      <w:r w:rsidR="006C5585" w:rsidRPr="00C57330">
        <w:t xml:space="preserve"> z</w:t>
      </w:r>
      <w:r w:rsidR="006C5585">
        <w:t> </w:t>
      </w:r>
      <w:r w:rsidR="006C5585" w:rsidRPr="00C57330">
        <w:t>2</w:t>
      </w:r>
      <w:r w:rsidRPr="00C57330">
        <w:t>4.4.2020, s. 18) przesunięto datę rozpoczęcia stosowania rozporządzenia (UE) 2017/745</w:t>
      </w:r>
      <w:r w:rsidR="006C5585" w:rsidRPr="00C57330">
        <w:t xml:space="preserve"> z</w:t>
      </w:r>
      <w:r w:rsidR="006C5585">
        <w:t> </w:t>
      </w:r>
      <w:r w:rsidR="006C5585" w:rsidRPr="00C57330">
        <w:t>2</w:t>
      </w:r>
      <w:r w:rsidRPr="00C57330">
        <w:t>6 maja 20</w:t>
      </w:r>
      <w:r w:rsidRPr="006C5585">
        <w:t>20</w:t>
      </w:r>
      <w:r w:rsidR="006C5585" w:rsidRPr="006C5585">
        <w:t> </w:t>
      </w:r>
      <w:r w:rsidRPr="006C5585">
        <w:t>r.</w:t>
      </w:r>
      <w:r w:rsidRPr="00C57330">
        <w:t xml:space="preserve"> </w:t>
      </w:r>
      <w:r w:rsidRPr="006C5585">
        <w:t>na</w:t>
      </w:r>
      <w:r w:rsidR="006C5585" w:rsidRPr="006C5585">
        <w:t> </w:t>
      </w:r>
      <w:r w:rsidRPr="006C5585">
        <w:t>2</w:t>
      </w:r>
      <w:r w:rsidRPr="00C57330">
        <w:t>6 maja 20</w:t>
      </w:r>
      <w:r w:rsidRPr="006C5585">
        <w:t>21</w:t>
      </w:r>
      <w:r w:rsidR="006C5585" w:rsidRPr="006C5585">
        <w:t> </w:t>
      </w:r>
      <w:r w:rsidRPr="006C5585">
        <w:t>r.</w:t>
      </w:r>
      <w:r w:rsidRPr="00C57330">
        <w:t xml:space="preserve"> ze względu na </w:t>
      </w:r>
      <w:r w:rsidRPr="00C57330">
        <w:rPr>
          <w:bdr w:val="none" w:sz="0" w:space="0" w:color="auto" w:frame="1"/>
        </w:rPr>
        <w:t>epidemię COVID-19</w:t>
      </w:r>
      <w:r w:rsidR="006C5585" w:rsidRPr="00C57330">
        <w:rPr>
          <w:bdr w:val="none" w:sz="0" w:space="0" w:color="auto" w:frame="1"/>
        </w:rPr>
        <w:t xml:space="preserve"> i</w:t>
      </w:r>
      <w:r w:rsidR="006C5585">
        <w:rPr>
          <w:bdr w:val="none" w:sz="0" w:space="0" w:color="auto" w:frame="1"/>
        </w:rPr>
        <w:t> </w:t>
      </w:r>
      <w:r w:rsidR="006C5585" w:rsidRPr="00C57330">
        <w:rPr>
          <w:bdr w:val="none" w:sz="0" w:space="0" w:color="auto" w:frame="1"/>
        </w:rPr>
        <w:t>zwi</w:t>
      </w:r>
      <w:r w:rsidRPr="00C57330">
        <w:rPr>
          <w:bdr w:val="none" w:sz="0" w:space="0" w:color="auto" w:frame="1"/>
        </w:rPr>
        <w:t>ązany</w:t>
      </w:r>
      <w:r w:rsidR="006C5585" w:rsidRPr="00C57330">
        <w:rPr>
          <w:bdr w:val="none" w:sz="0" w:space="0" w:color="auto" w:frame="1"/>
        </w:rPr>
        <w:t xml:space="preserve"> z</w:t>
      </w:r>
      <w:r w:rsidR="006C5585">
        <w:rPr>
          <w:bdr w:val="none" w:sz="0" w:space="0" w:color="auto" w:frame="1"/>
        </w:rPr>
        <w:t> </w:t>
      </w:r>
      <w:r w:rsidR="006C5585" w:rsidRPr="00C57330">
        <w:rPr>
          <w:bdr w:val="none" w:sz="0" w:space="0" w:color="auto" w:frame="1"/>
        </w:rPr>
        <w:t>nią</w:t>
      </w:r>
      <w:r w:rsidRPr="00C57330">
        <w:t xml:space="preserve"> kryzys</w:t>
      </w:r>
      <w:r w:rsidR="006C5585" w:rsidRPr="00C57330">
        <w:t xml:space="preserve"> w</w:t>
      </w:r>
      <w:r w:rsidR="006C5585">
        <w:t> </w:t>
      </w:r>
      <w:r w:rsidR="006C5585" w:rsidRPr="00C57330">
        <w:t>dzi</w:t>
      </w:r>
      <w:r w:rsidRPr="00C57330">
        <w:t>edzinie zdrowia publicznego.</w:t>
      </w:r>
    </w:p>
  </w:footnote>
  <w:footnote w:id="5">
    <w:p w14:paraId="1D1CDA69" w14:textId="69BF5031" w:rsidR="00CF3207" w:rsidRPr="00C57330" w:rsidRDefault="00CF3207">
      <w:pPr>
        <w:pStyle w:val="FootnoteText"/>
      </w:pPr>
      <w:r>
        <w:rPr>
          <w:rStyle w:val="FootnoteReference"/>
        </w:rPr>
        <w:footnoteRef/>
      </w:r>
      <w:r w:rsidRPr="00C57330">
        <w:tab/>
        <w:t>Rozporządzenie Parlamentu Europejskiego</w:t>
      </w:r>
      <w:r w:rsidR="006C5585" w:rsidRPr="00C57330">
        <w:t xml:space="preserve"> i</w:t>
      </w:r>
      <w:r w:rsidR="006C5585">
        <w:t> </w:t>
      </w:r>
      <w:r w:rsidR="006C5585" w:rsidRPr="00C57330">
        <w:t>Rad</w:t>
      </w:r>
      <w:r w:rsidRPr="00C57330">
        <w:t>y (UE) 2022/112</w:t>
      </w:r>
      <w:r w:rsidR="006C5585" w:rsidRPr="00C57330">
        <w:t xml:space="preserve"> z</w:t>
      </w:r>
      <w:r w:rsidR="006C5585">
        <w:t> </w:t>
      </w:r>
      <w:r w:rsidR="006C5585" w:rsidRPr="00C57330">
        <w:t>dni</w:t>
      </w:r>
      <w:r w:rsidRPr="00C57330">
        <w:t>a 25 stycznia 20</w:t>
      </w:r>
      <w:r w:rsidRPr="006C5585">
        <w:t>22</w:t>
      </w:r>
      <w:r w:rsidR="006C5585" w:rsidRPr="006C5585">
        <w:t> </w:t>
      </w:r>
      <w:r w:rsidRPr="006C5585">
        <w:t>r.</w:t>
      </w:r>
      <w:r w:rsidRPr="00C57330">
        <w:t xml:space="preserve"> zmieniające rozporządzenie (UE) 2017/746</w:t>
      </w:r>
      <w:r w:rsidR="006C5585" w:rsidRPr="00C57330">
        <w:t xml:space="preserve"> w</w:t>
      </w:r>
      <w:r w:rsidR="006C5585">
        <w:t> </w:t>
      </w:r>
      <w:r w:rsidR="006C5585" w:rsidRPr="00C57330">
        <w:t>odn</w:t>
      </w:r>
      <w:r w:rsidRPr="00C57330">
        <w:t xml:space="preserve">iesieniu do przepisów przejściowych dotyczących niektórych wyrobów medycznych do diagnostyki </w:t>
      </w:r>
      <w:r w:rsidRPr="00C57330">
        <w:rPr>
          <w:i/>
        </w:rPr>
        <w:t>in vitro</w:t>
      </w:r>
      <w:r w:rsidRPr="00C57330">
        <w:t xml:space="preserve"> oraz odroczonego stosowania warunków dotyczących wyrobów produkowanych</w:t>
      </w:r>
      <w:r w:rsidR="006C5585" w:rsidRPr="00C57330">
        <w:t xml:space="preserve"> w</w:t>
      </w:r>
      <w:r w:rsidR="006C5585">
        <w:t> </w:t>
      </w:r>
      <w:r w:rsidR="006C5585" w:rsidRPr="00C57330">
        <w:t>ram</w:t>
      </w:r>
      <w:r w:rsidRPr="00C57330">
        <w:t>ach instytucji zdrowia publicznego (Dz.U. L 9</w:t>
      </w:r>
      <w:r w:rsidR="006C5585" w:rsidRPr="00C57330">
        <w:t xml:space="preserve"> z</w:t>
      </w:r>
      <w:r w:rsidR="006C5585">
        <w:t> </w:t>
      </w:r>
      <w:r w:rsidR="006C5585" w:rsidRPr="00C57330">
        <w:t>2</w:t>
      </w:r>
      <w:r w:rsidRPr="00C57330">
        <w:t>8.1.2022, s. 3).</w:t>
      </w:r>
    </w:p>
  </w:footnote>
  <w:footnote w:id="6">
    <w:p w14:paraId="76F3A06B" w14:textId="2A6FE5FA" w:rsidR="00CF3207" w:rsidRPr="00C57330" w:rsidRDefault="00CF3207">
      <w:pPr>
        <w:pStyle w:val="FootnoteText"/>
      </w:pPr>
      <w:r>
        <w:rPr>
          <w:rStyle w:val="FootnoteReference"/>
        </w:rPr>
        <w:footnoteRef/>
      </w:r>
      <w:r w:rsidRPr="00C57330">
        <w:tab/>
        <w:t>W tych trzech przypadkach zespół ds. oceny wspólnej dokonał już przeglądu planu działań korygujących</w:t>
      </w:r>
      <w:r w:rsidR="006C5585" w:rsidRPr="00C57330">
        <w:t xml:space="preserve"> i</w:t>
      </w:r>
      <w:r w:rsidR="006C5585">
        <w:t> </w:t>
      </w:r>
      <w:r w:rsidR="006C5585" w:rsidRPr="00C57330">
        <w:t>zap</w:t>
      </w:r>
      <w:r w:rsidRPr="00C57330">
        <w:t>obiegawczych wnioskodawców. Czas trwania całego procesu wyznaczania różni się znacznie</w:t>
      </w:r>
      <w:r w:rsidR="006C5585" w:rsidRPr="00C57330">
        <w:t xml:space="preserve"> w</w:t>
      </w:r>
      <w:r w:rsidR="006C5585">
        <w:t> </w:t>
      </w:r>
      <w:r w:rsidR="006C5585" w:rsidRPr="00C57330">
        <w:t>zal</w:t>
      </w:r>
      <w:r w:rsidRPr="00C57330">
        <w:t>eżności od danego przypadku</w:t>
      </w:r>
      <w:r w:rsidR="006C5585" w:rsidRPr="00C57330">
        <w:t>. Z</w:t>
      </w:r>
      <w:r w:rsidR="006C5585">
        <w:t> </w:t>
      </w:r>
      <w:r w:rsidR="006C5585" w:rsidRPr="00C57330">
        <w:t>dan</w:t>
      </w:r>
      <w:r w:rsidRPr="00C57330">
        <w:t>ych</w:t>
      </w:r>
      <w:r w:rsidR="006C5585" w:rsidRPr="00C57330">
        <w:t xml:space="preserve"> z</w:t>
      </w:r>
      <w:r w:rsidR="006C5585">
        <w:t> </w:t>
      </w:r>
      <w:r w:rsidR="006C5585" w:rsidRPr="00C57330">
        <w:t>gru</w:t>
      </w:r>
      <w:r w:rsidRPr="00C57330">
        <w:t>dnia 20</w:t>
      </w:r>
      <w:r w:rsidRPr="006C5585">
        <w:t>21</w:t>
      </w:r>
      <w:r w:rsidR="006C5585" w:rsidRPr="006C5585">
        <w:t> </w:t>
      </w:r>
      <w:r w:rsidRPr="006C5585">
        <w:t>r.</w:t>
      </w:r>
      <w:r w:rsidRPr="00C57330">
        <w:t xml:space="preserve"> wynika, że średnia długość całego procesu wynosiła 842 dni</w:t>
      </w:r>
      <w:r w:rsidR="006C5585" w:rsidRPr="00C57330">
        <w:t xml:space="preserve"> w</w:t>
      </w:r>
      <w:r w:rsidR="006C5585">
        <w:t> </w:t>
      </w:r>
      <w:r w:rsidR="006C5585" w:rsidRPr="00C57330">
        <w:t>prz</w:t>
      </w:r>
      <w:r w:rsidRPr="00C57330">
        <w:t>ypadku wyznaczenia na podstawie rozporządzenia MDR.</w:t>
      </w:r>
    </w:p>
  </w:footnote>
  <w:footnote w:id="7">
    <w:p w14:paraId="7B5E2480" w14:textId="3442285E" w:rsidR="00CF3207" w:rsidRPr="00C57330" w:rsidRDefault="00CF3207">
      <w:pPr>
        <w:pStyle w:val="FootnoteText"/>
      </w:pPr>
      <w:r>
        <w:rPr>
          <w:rStyle w:val="FootnoteReference"/>
        </w:rPr>
        <w:footnoteRef/>
      </w:r>
      <w:r w:rsidRPr="00C57330">
        <w:tab/>
        <w:t xml:space="preserve">MDCG ustanowiono na mocy </w:t>
      </w:r>
      <w:r w:rsidRPr="006C5585">
        <w:t>art.</w:t>
      </w:r>
      <w:r w:rsidR="006C5585" w:rsidRPr="006C5585">
        <w:t> </w:t>
      </w:r>
      <w:r w:rsidRPr="006C5585">
        <w:t>1</w:t>
      </w:r>
      <w:r w:rsidRPr="00C57330">
        <w:t>03 rozporządzenia (UE) 2017/745. Składa się ona</w:t>
      </w:r>
      <w:r w:rsidR="006C5585" w:rsidRPr="00C57330">
        <w:t xml:space="preserve"> z</w:t>
      </w:r>
      <w:r w:rsidR="006C5585">
        <w:t> </w:t>
      </w:r>
      <w:r w:rsidR="006C5585" w:rsidRPr="00C57330">
        <w:t>prz</w:t>
      </w:r>
      <w:r w:rsidRPr="00C57330">
        <w:t>edstawicieli wyznaczonych przez państwa członkowskie,</w:t>
      </w:r>
      <w:r w:rsidR="006C5585" w:rsidRPr="00C57330">
        <w:t xml:space="preserve"> a</w:t>
      </w:r>
      <w:r w:rsidR="006C5585">
        <w:t> </w:t>
      </w:r>
      <w:r w:rsidR="006C5585" w:rsidRPr="00C57330">
        <w:t>prz</w:t>
      </w:r>
      <w:r w:rsidRPr="00C57330">
        <w:t xml:space="preserve">ewodzi jej przedstawiciel Komisji. MDCG figuruje w </w:t>
      </w:r>
      <w:hyperlink r:id="rId2" w:history="1">
        <w:r w:rsidRPr="00C57330">
          <w:rPr>
            <w:rStyle w:val="Hyperlink"/>
          </w:rPr>
          <w:t>rejestrze grup ekspertów Komisji</w:t>
        </w:r>
      </w:hyperlink>
      <w:r w:rsidR="006C5585" w:rsidRPr="00C57330">
        <w:t xml:space="preserve"> z</w:t>
      </w:r>
      <w:r w:rsidR="006C5585">
        <w:t> </w:t>
      </w:r>
      <w:r w:rsidR="006C5585" w:rsidRPr="00C57330">
        <w:t>prz</w:t>
      </w:r>
      <w:r w:rsidRPr="00C57330">
        <w:t xml:space="preserve">ypisanym kodem X03565. </w:t>
      </w:r>
    </w:p>
  </w:footnote>
  <w:footnote w:id="8">
    <w:p w14:paraId="65AB379C" w14:textId="66FB828F" w:rsidR="00CF3207" w:rsidRPr="00C57330" w:rsidRDefault="00CF3207" w:rsidP="003338E4">
      <w:pPr>
        <w:pStyle w:val="FootnoteText"/>
      </w:pPr>
      <w:r>
        <w:rPr>
          <w:rStyle w:val="FootnoteReference"/>
        </w:rPr>
        <w:footnoteRef/>
      </w:r>
      <w:r w:rsidRPr="00C57330">
        <w:tab/>
        <w:t>Na podstawie wyników badania przeprowadzonego wśród jednostek notyfikowanych na przełomie listopada</w:t>
      </w:r>
      <w:r w:rsidR="006C5585" w:rsidRPr="00C57330">
        <w:t xml:space="preserve"> i</w:t>
      </w:r>
      <w:r w:rsidR="006C5585">
        <w:t> </w:t>
      </w:r>
      <w:r w:rsidR="006C5585" w:rsidRPr="00C57330">
        <w:t>gru</w:t>
      </w:r>
      <w:r w:rsidRPr="00C57330">
        <w:t>dnia 20</w:t>
      </w:r>
      <w:r w:rsidRPr="006C5585">
        <w:t>22</w:t>
      </w:r>
      <w:r w:rsidR="006C5585" w:rsidRPr="006C5585">
        <w:t> </w:t>
      </w:r>
      <w:r w:rsidRPr="006C5585">
        <w:t>r.</w:t>
      </w:r>
      <w:r w:rsidRPr="00C57330">
        <w:t>; respondenci reprezentują jednostki notyfikowane, które wydały około 8</w:t>
      </w:r>
      <w:r w:rsidRPr="006C5585">
        <w:t>0</w:t>
      </w:r>
      <w:r w:rsidR="006C5585" w:rsidRPr="006C5585">
        <w:t> </w:t>
      </w:r>
      <w:r w:rsidRPr="006C5585">
        <w:t>%</w:t>
      </w:r>
      <w:r w:rsidRPr="00C57330">
        <w:t xml:space="preserve"> wszystkich certyfikatów wydanych na podstawie dyrektyw Rady 90/385/EWG</w:t>
      </w:r>
      <w:r w:rsidR="006C5585" w:rsidRPr="00C57330">
        <w:t xml:space="preserve"> i</w:t>
      </w:r>
      <w:r w:rsidR="006C5585">
        <w:t> </w:t>
      </w:r>
      <w:r w:rsidR="006C5585" w:rsidRPr="00C57330">
        <w:t>9</w:t>
      </w:r>
      <w:r w:rsidRPr="00C57330">
        <w:t>3/42/EWG</w:t>
      </w:r>
      <w:r w:rsidR="006C5585" w:rsidRPr="00C57330">
        <w:t xml:space="preserve"> i</w:t>
      </w:r>
      <w:r w:rsidR="006C5585">
        <w:t> </w:t>
      </w:r>
      <w:r w:rsidR="006C5585" w:rsidRPr="00C57330">
        <w:t>waż</w:t>
      </w:r>
      <w:r w:rsidRPr="00C57330">
        <w:t>nych</w:t>
      </w:r>
      <w:r w:rsidR="006C5585" w:rsidRPr="00C57330">
        <w:t xml:space="preserve"> w</w:t>
      </w:r>
      <w:r w:rsidR="006C5585">
        <w:t> </w:t>
      </w:r>
      <w:r w:rsidR="006C5585" w:rsidRPr="00C57330">
        <w:t>paź</w:t>
      </w:r>
      <w:r w:rsidRPr="00C57330">
        <w:t>dzierniku 20</w:t>
      </w:r>
      <w:r w:rsidRPr="006C5585">
        <w:t>22</w:t>
      </w:r>
      <w:r w:rsidR="006C5585" w:rsidRPr="006C5585">
        <w:t> </w:t>
      </w:r>
      <w:r w:rsidRPr="006C5585">
        <w:t>r.</w:t>
      </w:r>
      <w:r w:rsidRPr="00C57330">
        <w:t xml:space="preserve"> Szacunki te nie uwzględniają liczby pierwszych procesów certyfikacji wyrobów na podstawie rozporządzenia MDR,</w:t>
      </w:r>
      <w:r w:rsidR="006C5585" w:rsidRPr="00C57330">
        <w:t xml:space="preserve"> w</w:t>
      </w:r>
      <w:r w:rsidR="006C5585">
        <w:t> </w:t>
      </w:r>
      <w:r w:rsidR="006C5585" w:rsidRPr="00C57330">
        <w:t>ram</w:t>
      </w:r>
      <w:r w:rsidRPr="00C57330">
        <w:t>ach których nie wydano żadnych certyfikatów na podstawie dyrektyw Rady 90/385/EWG</w:t>
      </w:r>
      <w:r w:rsidR="006C5585" w:rsidRPr="00C57330">
        <w:t xml:space="preserve"> i</w:t>
      </w:r>
      <w:r w:rsidR="006C5585">
        <w:t> </w:t>
      </w:r>
      <w:r w:rsidR="006C5585" w:rsidRPr="00C57330">
        <w:t>9</w:t>
      </w:r>
      <w:r w:rsidRPr="00C57330">
        <w:t>3/42/EWG</w:t>
      </w:r>
      <w:r w:rsidR="006C5585" w:rsidRPr="00C57330">
        <w:t xml:space="preserve"> i</w:t>
      </w:r>
      <w:r w:rsidR="006C5585">
        <w:t> </w:t>
      </w:r>
      <w:r w:rsidR="006C5585" w:rsidRPr="00C57330">
        <w:t>któ</w:t>
      </w:r>
      <w:r w:rsidRPr="00C57330">
        <w:t>re wymagają udziału jednostki notyfikowanej na podstawie rozporządzenia MDR.</w:t>
      </w:r>
    </w:p>
  </w:footnote>
  <w:footnote w:id="9">
    <w:p w14:paraId="74815846" w14:textId="2673A25A" w:rsidR="00CF3207" w:rsidRPr="00C57330" w:rsidRDefault="00CF3207">
      <w:pPr>
        <w:pStyle w:val="FootnoteText"/>
      </w:pPr>
      <w:r>
        <w:rPr>
          <w:rStyle w:val="FootnoteReference"/>
        </w:rPr>
        <w:footnoteRef/>
      </w:r>
      <w:r w:rsidRPr="00C57330">
        <w:tab/>
        <w:t>Dyrektywa Rady 90/385/EWG</w:t>
      </w:r>
      <w:r w:rsidR="006C5585" w:rsidRPr="00C57330">
        <w:t xml:space="preserve"> z</w:t>
      </w:r>
      <w:r w:rsidR="006C5585">
        <w:t> </w:t>
      </w:r>
      <w:r w:rsidR="006C5585" w:rsidRPr="00C57330">
        <w:t>dni</w:t>
      </w:r>
      <w:r w:rsidRPr="00C57330">
        <w:t>a 20 czerwca 19</w:t>
      </w:r>
      <w:r w:rsidRPr="006C5585">
        <w:t>90</w:t>
      </w:r>
      <w:r w:rsidR="006C5585" w:rsidRPr="006C5585">
        <w:t> </w:t>
      </w:r>
      <w:r w:rsidRPr="006C5585">
        <w:t>r.</w:t>
      </w:r>
      <w:r w:rsidR="006C5585" w:rsidRPr="00C57330">
        <w:t xml:space="preserve"> w</w:t>
      </w:r>
      <w:r w:rsidR="006C5585">
        <w:t> </w:t>
      </w:r>
      <w:r w:rsidR="006C5585" w:rsidRPr="00C57330">
        <w:t>spr</w:t>
      </w:r>
      <w:r w:rsidRPr="00C57330">
        <w:t>awie zbliżenia ustawodawstw państw członkowskich odnoszących się do wyrobów medycznych aktywnego osadzania (Dz.U. L 189</w:t>
      </w:r>
      <w:r w:rsidR="006C5585" w:rsidRPr="00C57330">
        <w:t xml:space="preserve"> z</w:t>
      </w:r>
      <w:r w:rsidR="006C5585">
        <w:t> </w:t>
      </w:r>
      <w:r w:rsidR="006C5585" w:rsidRPr="00C57330">
        <w:t>2</w:t>
      </w:r>
      <w:r w:rsidRPr="00C57330">
        <w:t>0.7.1990, s. 17).</w:t>
      </w:r>
    </w:p>
  </w:footnote>
  <w:footnote w:id="10">
    <w:p w14:paraId="21247842" w14:textId="04B38BF7" w:rsidR="00CF3207" w:rsidRPr="00C57330" w:rsidRDefault="00CF3207">
      <w:pPr>
        <w:pStyle w:val="FootnoteText"/>
      </w:pPr>
      <w:r>
        <w:rPr>
          <w:rStyle w:val="FootnoteReference"/>
        </w:rPr>
        <w:footnoteRef/>
      </w:r>
      <w:r w:rsidRPr="00C57330">
        <w:tab/>
        <w:t>Dyrektywa Rady 93/42/EWG</w:t>
      </w:r>
      <w:r w:rsidR="006C5585" w:rsidRPr="00C57330">
        <w:t xml:space="preserve"> z</w:t>
      </w:r>
      <w:r w:rsidR="006C5585">
        <w:t> </w:t>
      </w:r>
      <w:r w:rsidR="006C5585" w:rsidRPr="00C57330">
        <w:t>dni</w:t>
      </w:r>
      <w:r w:rsidRPr="00C57330">
        <w:t>a 14 czerwca 19</w:t>
      </w:r>
      <w:r w:rsidRPr="006C5585">
        <w:t>93</w:t>
      </w:r>
      <w:r w:rsidR="006C5585" w:rsidRPr="006C5585">
        <w:t> </w:t>
      </w:r>
      <w:r w:rsidRPr="006C5585">
        <w:t>r.</w:t>
      </w:r>
      <w:r w:rsidRPr="00C57330">
        <w:t xml:space="preserve"> dotycząca wyrobów medycznych (Dz.U. L 169</w:t>
      </w:r>
      <w:r w:rsidR="006C5585" w:rsidRPr="00C57330">
        <w:t xml:space="preserve"> z</w:t>
      </w:r>
      <w:r w:rsidR="006C5585">
        <w:t> </w:t>
      </w:r>
      <w:r w:rsidR="006C5585" w:rsidRPr="00C57330">
        <w:t>1</w:t>
      </w:r>
      <w:r w:rsidRPr="00C57330">
        <w:t>2.7.1993, s. 1).</w:t>
      </w:r>
    </w:p>
  </w:footnote>
  <w:footnote w:id="11">
    <w:p w14:paraId="0F263526" w14:textId="723C1FE8" w:rsidR="00CF3207" w:rsidRPr="00C57330" w:rsidRDefault="00CF3207">
      <w:pPr>
        <w:pStyle w:val="FootnoteText"/>
      </w:pPr>
      <w:r>
        <w:rPr>
          <w:rStyle w:val="FootnoteReference"/>
        </w:rPr>
        <w:footnoteRef/>
      </w:r>
      <w:r w:rsidRPr="00C57330">
        <w:tab/>
      </w:r>
      <w:hyperlink r:id="rId3" w:history="1">
        <w:r w:rsidRPr="00C57330">
          <w:rPr>
            <w:rStyle w:val="Hyperlink"/>
          </w:rPr>
          <w:t>MDCG 2022–14</w:t>
        </w:r>
      </w:hyperlink>
      <w:r w:rsidRPr="00C57330">
        <w:t xml:space="preserve"> Dokument przedstawiający stanowisko MDCG</w:t>
      </w:r>
      <w:r w:rsidR="006C5585" w:rsidRPr="00C57330">
        <w:t xml:space="preserve"> w</w:t>
      </w:r>
      <w:r w:rsidR="006C5585">
        <w:t> </w:t>
      </w:r>
      <w:r w:rsidR="006C5585" w:rsidRPr="00C57330">
        <w:t>spr</w:t>
      </w:r>
      <w:r w:rsidRPr="00C57330">
        <w:t>awie przejścia na stosowanie rozporządzeń MDR i IVDR oraz zdolności jednostek notyfikowanych</w:t>
      </w:r>
      <w:r w:rsidR="006C5585" w:rsidRPr="00C57330">
        <w:t xml:space="preserve"> i</w:t>
      </w:r>
      <w:r w:rsidR="006C5585">
        <w:t> </w:t>
      </w:r>
      <w:r w:rsidR="006C5585" w:rsidRPr="00C57330">
        <w:t>dos</w:t>
      </w:r>
      <w:r w:rsidRPr="00C57330">
        <w:t>tępności wyrobów medycznych</w:t>
      </w:r>
      <w:r w:rsidR="006C5585" w:rsidRPr="00C57330">
        <w:t xml:space="preserve"> i</w:t>
      </w:r>
      <w:r w:rsidR="006C5585">
        <w:t> </w:t>
      </w:r>
      <w:r w:rsidR="006C5585" w:rsidRPr="00C57330">
        <w:t>wyr</w:t>
      </w:r>
      <w:r w:rsidRPr="00C57330">
        <w:t xml:space="preserve">obów medycznych do diagnostyki </w:t>
      </w:r>
      <w:r w:rsidRPr="00C57330">
        <w:rPr>
          <w:i/>
          <w:iCs/>
        </w:rPr>
        <w:t>in vitro</w:t>
      </w:r>
      <w:r w:rsidRPr="00C57330">
        <w:t xml:space="preserve"> (sierpień 20</w:t>
      </w:r>
      <w:r w:rsidRPr="006C5585">
        <w:t>22</w:t>
      </w:r>
      <w:r w:rsidR="006C5585" w:rsidRPr="006C5585">
        <w:t> </w:t>
      </w:r>
      <w:r w:rsidRPr="006C5585">
        <w:t>r.</w:t>
      </w:r>
      <w:r w:rsidRPr="00C57330">
        <w:t>).</w:t>
      </w:r>
    </w:p>
  </w:footnote>
  <w:footnote w:id="12">
    <w:p w14:paraId="47D1BCFC" w14:textId="494475E2" w:rsidR="00CF3207" w:rsidRPr="00C57330" w:rsidRDefault="00CF3207" w:rsidP="00B072EC">
      <w:pPr>
        <w:pStyle w:val="FootnoteText"/>
      </w:pPr>
      <w:r>
        <w:rPr>
          <w:rStyle w:val="FootnoteReference"/>
        </w:rPr>
        <w:footnoteRef/>
      </w:r>
      <w:r w:rsidRPr="00C57330">
        <w:tab/>
      </w:r>
      <w:hyperlink r:id="rId4" w:history="1">
        <w:r w:rsidRPr="00C57330">
          <w:rPr>
            <w:rStyle w:val="Hyperlink"/>
          </w:rPr>
          <w:t>MDCG 2022–17</w:t>
        </w:r>
      </w:hyperlink>
      <w:r w:rsidRPr="00C57330">
        <w:t xml:space="preserve"> Dokument przedstawiający stanowisko MDCG</w:t>
      </w:r>
      <w:r w:rsidR="006C5585" w:rsidRPr="00C57330">
        <w:t xml:space="preserve"> w</w:t>
      </w:r>
      <w:r w:rsidR="006C5585">
        <w:t> </w:t>
      </w:r>
      <w:r w:rsidR="006C5585" w:rsidRPr="00C57330">
        <w:t>spr</w:t>
      </w:r>
      <w:r w:rsidRPr="00C57330">
        <w:t>awie „audytów hybrydowych” (grudzień 20</w:t>
      </w:r>
      <w:r w:rsidRPr="006C5585">
        <w:t>22</w:t>
      </w:r>
      <w:r w:rsidR="006C5585" w:rsidRPr="006C5585">
        <w:t> </w:t>
      </w:r>
      <w:r w:rsidRPr="006C5585">
        <w:t>r.</w:t>
      </w:r>
      <w:r w:rsidRPr="00C57330">
        <w:t>).</w:t>
      </w:r>
    </w:p>
  </w:footnote>
  <w:footnote w:id="13">
    <w:p w14:paraId="544BE2A4" w14:textId="7FBB67D4" w:rsidR="00CF3207" w:rsidRPr="00C57330" w:rsidRDefault="00CF3207" w:rsidP="00B072EC">
      <w:pPr>
        <w:pStyle w:val="FootnoteText"/>
      </w:pPr>
      <w:r>
        <w:rPr>
          <w:rStyle w:val="FootnoteReference"/>
        </w:rPr>
        <w:footnoteRef/>
      </w:r>
      <w:r w:rsidRPr="00C57330">
        <w:tab/>
      </w:r>
      <w:hyperlink r:id="rId5" w:history="1">
        <w:r w:rsidRPr="00C57330">
          <w:rPr>
            <w:rStyle w:val="Hyperlink"/>
          </w:rPr>
          <w:t>MDCG 2022-15</w:t>
        </w:r>
      </w:hyperlink>
      <w:r w:rsidRPr="00C57330">
        <w:t xml:space="preserve"> Wytyczne dotyczące odpowiedniego nadzoru</w:t>
      </w:r>
      <w:r w:rsidR="006C5585" w:rsidRPr="00C57330">
        <w:t xml:space="preserve"> w</w:t>
      </w:r>
      <w:r w:rsidR="006C5585">
        <w:t> </w:t>
      </w:r>
      <w:r w:rsidR="006C5585" w:rsidRPr="00C57330">
        <w:t>zak</w:t>
      </w:r>
      <w:r w:rsidRPr="00C57330">
        <w:t xml:space="preserve">resie przepisów przejściowych na podstawie </w:t>
      </w:r>
      <w:r w:rsidRPr="006C5585">
        <w:t>art.</w:t>
      </w:r>
      <w:r w:rsidR="006C5585" w:rsidRPr="006C5585">
        <w:t> </w:t>
      </w:r>
      <w:r w:rsidRPr="006C5585">
        <w:t>1</w:t>
      </w:r>
      <w:r w:rsidRPr="00C57330">
        <w:t>10 rozporządzenia IVDR</w:t>
      </w:r>
      <w:r w:rsidR="006C5585" w:rsidRPr="00C57330">
        <w:t xml:space="preserve"> w</w:t>
      </w:r>
      <w:r w:rsidR="006C5585">
        <w:t> </w:t>
      </w:r>
      <w:r w:rsidR="006C5585" w:rsidRPr="00C57330">
        <w:t>odn</w:t>
      </w:r>
      <w:r w:rsidRPr="00C57330">
        <w:t>iesieniu do wyrobów objętych certyfikatami zgodnie</w:t>
      </w:r>
      <w:r w:rsidR="006C5585" w:rsidRPr="00C57330">
        <w:t xml:space="preserve"> z</w:t>
      </w:r>
      <w:r w:rsidR="006C5585">
        <w:t> </w:t>
      </w:r>
      <w:r w:rsidR="006C5585" w:rsidRPr="00C57330">
        <w:t>dyr</w:t>
      </w:r>
      <w:r w:rsidRPr="00C57330">
        <w:t>ektywą IVDD (wrzesień 20</w:t>
      </w:r>
      <w:r w:rsidRPr="006C5585">
        <w:t>22</w:t>
      </w:r>
      <w:r w:rsidR="006C5585" w:rsidRPr="006C5585">
        <w:t> </w:t>
      </w:r>
      <w:r w:rsidRPr="006C5585">
        <w:t>r.</w:t>
      </w:r>
      <w:r w:rsidRPr="00C57330">
        <w:t xml:space="preserve">); </w:t>
      </w:r>
      <w:hyperlink r:id="rId6" w:history="1">
        <w:r w:rsidRPr="00C57330">
          <w:rPr>
            <w:rStyle w:val="Hyperlink"/>
          </w:rPr>
          <w:t xml:space="preserve">MDCG 2022-4 </w:t>
        </w:r>
        <w:r w:rsidRPr="006C5585">
          <w:rPr>
            <w:rStyle w:val="Hyperlink"/>
          </w:rPr>
          <w:t>rev.</w:t>
        </w:r>
        <w:r w:rsidR="006C5585" w:rsidRPr="006C5585">
          <w:rPr>
            <w:rStyle w:val="Hyperlink"/>
          </w:rPr>
          <w:t> </w:t>
        </w:r>
        <w:r w:rsidRPr="006C5585">
          <w:rPr>
            <w:rStyle w:val="Hyperlink"/>
          </w:rPr>
          <w:t>1</w:t>
        </w:r>
      </w:hyperlink>
      <w:r w:rsidRPr="00C57330">
        <w:t xml:space="preserve"> Wytyczne dotyczące odpowiedniego nadzoru</w:t>
      </w:r>
      <w:r w:rsidR="006C5585" w:rsidRPr="00C57330">
        <w:t xml:space="preserve"> w</w:t>
      </w:r>
      <w:r w:rsidR="006C5585">
        <w:t> </w:t>
      </w:r>
      <w:r w:rsidR="006C5585" w:rsidRPr="00C57330">
        <w:t>zak</w:t>
      </w:r>
      <w:r w:rsidRPr="00C57330">
        <w:t xml:space="preserve">resie przepisów przejściowych na podstawie </w:t>
      </w:r>
      <w:r w:rsidRPr="006C5585">
        <w:t>art.</w:t>
      </w:r>
      <w:r w:rsidR="006C5585" w:rsidRPr="006C5585">
        <w:t> </w:t>
      </w:r>
      <w:r w:rsidRPr="006C5585">
        <w:t>1</w:t>
      </w:r>
      <w:r w:rsidRPr="00C57330">
        <w:t>20 rozporządzenia MDR</w:t>
      </w:r>
      <w:r w:rsidR="006C5585" w:rsidRPr="00C57330">
        <w:t xml:space="preserve"> w</w:t>
      </w:r>
      <w:r w:rsidR="006C5585">
        <w:t> </w:t>
      </w:r>
      <w:r w:rsidR="006C5585" w:rsidRPr="00C57330">
        <w:t>odn</w:t>
      </w:r>
      <w:r w:rsidRPr="00C57330">
        <w:t>iesieniu do wyrobów objętych certyfikatami zgodnie</w:t>
      </w:r>
      <w:r w:rsidR="006C5585" w:rsidRPr="00C57330">
        <w:t xml:space="preserve"> z</w:t>
      </w:r>
      <w:r w:rsidR="006C5585">
        <w:t> </w:t>
      </w:r>
      <w:r w:rsidR="006C5585" w:rsidRPr="00C57330">
        <w:t>dyr</w:t>
      </w:r>
      <w:r w:rsidRPr="00C57330">
        <w:t>ektywą MDD lub dyrektywą AIMDD (grudzień 20</w:t>
      </w:r>
      <w:r w:rsidRPr="006C5585">
        <w:t>22</w:t>
      </w:r>
      <w:r w:rsidR="006C5585" w:rsidRPr="006C5585">
        <w:t> </w:t>
      </w:r>
      <w:r w:rsidRPr="006C5585">
        <w:t>r.</w:t>
      </w:r>
      <w:r w:rsidRPr="00C57330">
        <w:t>).</w:t>
      </w:r>
    </w:p>
  </w:footnote>
  <w:footnote w:id="14">
    <w:p w14:paraId="7E429846" w14:textId="51941F19" w:rsidR="00CF3207" w:rsidRPr="00C57330" w:rsidRDefault="00CF3207" w:rsidP="00B072EC">
      <w:pPr>
        <w:pStyle w:val="FootnoteText"/>
      </w:pPr>
      <w:r>
        <w:rPr>
          <w:rStyle w:val="FootnoteReference"/>
        </w:rPr>
        <w:footnoteRef/>
      </w:r>
      <w:r w:rsidRPr="00C57330">
        <w:tab/>
      </w:r>
      <w:hyperlink r:id="rId7" w:history="1">
        <w:r w:rsidRPr="00C57330">
          <w:rPr>
            <w:rStyle w:val="Hyperlink"/>
          </w:rPr>
          <w:t>MDCG 2019–6 Rev.4</w:t>
        </w:r>
      </w:hyperlink>
      <w:r w:rsidRPr="00C57330">
        <w:t xml:space="preserve"> Pytania</w:t>
      </w:r>
      <w:r w:rsidR="006C5585" w:rsidRPr="00C57330">
        <w:t xml:space="preserve"> i</w:t>
      </w:r>
      <w:r w:rsidR="006C5585">
        <w:t> </w:t>
      </w:r>
      <w:r w:rsidR="006C5585" w:rsidRPr="00C57330">
        <w:t>odp</w:t>
      </w:r>
      <w:r w:rsidRPr="00C57330">
        <w:t xml:space="preserve">owiedzi: </w:t>
      </w:r>
      <w:r w:rsidRPr="00C57330">
        <w:rPr>
          <w:rStyle w:val="Strong"/>
          <w:b w:val="0"/>
        </w:rPr>
        <w:t>wymogi dotyczące jednostek notyfikowanych (październik 20</w:t>
      </w:r>
      <w:r w:rsidRPr="006C5585">
        <w:rPr>
          <w:rStyle w:val="Strong"/>
          <w:b w:val="0"/>
        </w:rPr>
        <w:t>22</w:t>
      </w:r>
      <w:r w:rsidR="006C5585" w:rsidRPr="006C5585">
        <w:rPr>
          <w:rStyle w:val="Strong"/>
          <w:b w:val="0"/>
        </w:rPr>
        <w:t> </w:t>
      </w:r>
      <w:r w:rsidRPr="006C5585">
        <w:rPr>
          <w:rStyle w:val="Strong"/>
          <w:b w:val="0"/>
        </w:rPr>
        <w:t>r.</w:t>
      </w:r>
      <w:r w:rsidRPr="00C57330">
        <w:rPr>
          <w:rStyle w:val="Strong"/>
          <w:b w:val="0"/>
        </w:rPr>
        <w:t>).</w:t>
      </w:r>
    </w:p>
  </w:footnote>
  <w:footnote w:id="15">
    <w:p w14:paraId="5BD8A871" w14:textId="41F2EAAA" w:rsidR="00CF3207" w:rsidRPr="00C57330" w:rsidRDefault="00CF3207" w:rsidP="00B072EC">
      <w:pPr>
        <w:pStyle w:val="FootnoteText"/>
      </w:pPr>
      <w:r>
        <w:rPr>
          <w:rStyle w:val="FootnoteReference"/>
        </w:rPr>
        <w:footnoteRef/>
      </w:r>
      <w:r w:rsidRPr="00C57330">
        <w:tab/>
        <w:t>Rozporządzenie delegowane Komisji (UE) .../...</w:t>
      </w:r>
      <w:r w:rsidR="006C5585" w:rsidRPr="00C57330">
        <w:t xml:space="preserve"> z</w:t>
      </w:r>
      <w:r w:rsidR="006C5585">
        <w:t> </w:t>
      </w:r>
      <w:r w:rsidR="006C5585" w:rsidRPr="00C57330">
        <w:t>dni</w:t>
      </w:r>
      <w:r w:rsidRPr="00C57330">
        <w:t>a 1 grudnia 20</w:t>
      </w:r>
      <w:r w:rsidRPr="006C5585">
        <w:t>22</w:t>
      </w:r>
      <w:r w:rsidR="006C5585" w:rsidRPr="006C5585">
        <w:t> </w:t>
      </w:r>
      <w:r w:rsidRPr="006C5585">
        <w:t>r.</w:t>
      </w:r>
      <w:r w:rsidRPr="00C57330">
        <w:t xml:space="preserve"> zmieniające rozporządzenie Parlamentu Europejskiego</w:t>
      </w:r>
      <w:r w:rsidR="006C5585" w:rsidRPr="00C57330">
        <w:t xml:space="preserve"> i</w:t>
      </w:r>
      <w:r w:rsidR="006C5585">
        <w:t> </w:t>
      </w:r>
      <w:r w:rsidR="006C5585" w:rsidRPr="00C57330">
        <w:t>Rad</w:t>
      </w:r>
      <w:r w:rsidRPr="00C57330">
        <w:t>y (UE) 2017/745</w:t>
      </w:r>
      <w:r w:rsidR="006C5585" w:rsidRPr="00C57330">
        <w:t xml:space="preserve"> w</w:t>
      </w:r>
      <w:r w:rsidR="006C5585">
        <w:t> </w:t>
      </w:r>
      <w:r w:rsidR="006C5585" w:rsidRPr="00C57330">
        <w:t>odn</w:t>
      </w:r>
      <w:r w:rsidRPr="00C57330">
        <w:t>iesieniu do częstotliwości przeprowadzania pełnej ponownej oceny jednostek notyfikowanych, C(2022) 8640, oraz rozporządzenie delegowane Komisji (UE) .../...</w:t>
      </w:r>
      <w:r w:rsidR="006C5585" w:rsidRPr="00C57330">
        <w:t xml:space="preserve"> z</w:t>
      </w:r>
      <w:r w:rsidR="006C5585">
        <w:t> </w:t>
      </w:r>
      <w:r w:rsidR="006C5585" w:rsidRPr="00C57330">
        <w:t>dni</w:t>
      </w:r>
      <w:r w:rsidRPr="00C57330">
        <w:t>a 1 grudnia 20</w:t>
      </w:r>
      <w:r w:rsidRPr="006C5585">
        <w:t>22</w:t>
      </w:r>
      <w:r w:rsidR="006C5585" w:rsidRPr="006C5585">
        <w:t> </w:t>
      </w:r>
      <w:r w:rsidRPr="006C5585">
        <w:t>r.</w:t>
      </w:r>
      <w:r w:rsidRPr="00C57330">
        <w:t xml:space="preserve"> zmieniające rozporządzenie Parlamentu Europejskiego</w:t>
      </w:r>
      <w:r w:rsidR="006C5585" w:rsidRPr="00C57330">
        <w:t xml:space="preserve"> i</w:t>
      </w:r>
      <w:r w:rsidR="006C5585">
        <w:t> </w:t>
      </w:r>
      <w:r w:rsidR="006C5585" w:rsidRPr="00C57330">
        <w:t>Rad</w:t>
      </w:r>
      <w:r w:rsidRPr="00C57330">
        <w:t>y (UE) 2017/746</w:t>
      </w:r>
      <w:r w:rsidR="006C5585" w:rsidRPr="00C57330">
        <w:t xml:space="preserve"> w</w:t>
      </w:r>
      <w:r w:rsidR="006C5585">
        <w:t> </w:t>
      </w:r>
      <w:r w:rsidR="006C5585" w:rsidRPr="00C57330">
        <w:t>odn</w:t>
      </w:r>
      <w:r w:rsidRPr="00C57330">
        <w:t xml:space="preserve">iesieniu do częstotliwości przeprowadzania pełnej ponownej oceny jednostek notyfikowanych, C(2022) 8649. Akty delegowane są dostępne w </w:t>
      </w:r>
      <w:hyperlink r:id="rId8" w:anchor=" " w:history="1">
        <w:r w:rsidRPr="00C57330">
          <w:rPr>
            <w:rStyle w:val="Hyperlink"/>
          </w:rPr>
          <w:t>Międzyinstytucjonalnym rejestrze aktów delegowanych</w:t>
        </w:r>
      </w:hyperlink>
      <w:r w:rsidRPr="00C57330">
        <w:t xml:space="preserve"> i są przedmiotem trzymiesięcznej procedury kontroli przeprowadzanej przez Parlament Europejski</w:t>
      </w:r>
      <w:r w:rsidR="006C5585" w:rsidRPr="00C57330">
        <w:t xml:space="preserve"> i</w:t>
      </w:r>
      <w:r w:rsidR="006C5585">
        <w:t> </w:t>
      </w:r>
      <w:r w:rsidR="006C5585" w:rsidRPr="00C57330">
        <w:t>Rad</w:t>
      </w:r>
      <w:r w:rsidRPr="00C57330">
        <w:t>ę.</w:t>
      </w:r>
    </w:p>
  </w:footnote>
  <w:footnote w:id="16">
    <w:p w14:paraId="21C2F05D" w14:textId="197B5BC3" w:rsidR="00CF3207" w:rsidRPr="00C57330" w:rsidRDefault="00CF3207" w:rsidP="0093311E">
      <w:pPr>
        <w:pStyle w:val="FootnoteText"/>
      </w:pPr>
      <w:r>
        <w:rPr>
          <w:rStyle w:val="FootnoteReference"/>
        </w:rPr>
        <w:footnoteRef/>
      </w:r>
      <w:r w:rsidRPr="00C57330">
        <w:tab/>
        <w:t>Np.</w:t>
      </w:r>
      <w:r w:rsidR="006C5585" w:rsidRPr="00C57330">
        <w:t xml:space="preserve"> w</w:t>
      </w:r>
      <w:r w:rsidR="006C5585">
        <w:t> </w:t>
      </w:r>
      <w:r w:rsidR="006C5585" w:rsidRPr="00C57330">
        <w:t>ram</w:t>
      </w:r>
      <w:r w:rsidRPr="00C57330">
        <w:t xml:space="preserve">ach </w:t>
      </w:r>
      <w:hyperlink r:id="rId9" w:anchor="files" w:history="1">
        <w:r w:rsidRPr="00C57330">
          <w:rPr>
            <w:rStyle w:val="Hyperlink"/>
          </w:rPr>
          <w:t>Programu działań Unii</w:t>
        </w:r>
        <w:r w:rsidR="006C5585" w:rsidRPr="00C57330">
          <w:rPr>
            <w:rStyle w:val="Hyperlink"/>
          </w:rPr>
          <w:t xml:space="preserve"> w</w:t>
        </w:r>
        <w:r w:rsidR="006C5585">
          <w:rPr>
            <w:rStyle w:val="Hyperlink"/>
          </w:rPr>
          <w:t> </w:t>
        </w:r>
        <w:r w:rsidR="006C5585" w:rsidRPr="00C57330">
          <w:rPr>
            <w:rStyle w:val="Hyperlink"/>
          </w:rPr>
          <w:t>dzi</w:t>
        </w:r>
        <w:r w:rsidRPr="00C57330">
          <w:rPr>
            <w:rStyle w:val="Hyperlink"/>
          </w:rPr>
          <w:t xml:space="preserve">edzinie zdrowia </w:t>
        </w:r>
        <w:r w:rsidRPr="006C5585">
          <w:rPr>
            <w:rStyle w:val="Hyperlink"/>
          </w:rPr>
          <w:t>na</w:t>
        </w:r>
        <w:r w:rsidR="006C5585" w:rsidRPr="006C5585">
          <w:rPr>
            <w:rStyle w:val="Hyperlink"/>
          </w:rPr>
          <w:t> </w:t>
        </w:r>
        <w:r w:rsidRPr="006C5585">
          <w:rPr>
            <w:rStyle w:val="Hyperlink"/>
          </w:rPr>
          <w:t>2</w:t>
        </w:r>
        <w:r w:rsidRPr="00C57330">
          <w:rPr>
            <w:rStyle w:val="Hyperlink"/>
          </w:rPr>
          <w:t>0</w:t>
        </w:r>
        <w:r w:rsidRPr="006C5585">
          <w:rPr>
            <w:rStyle w:val="Hyperlink"/>
          </w:rPr>
          <w:t>22</w:t>
        </w:r>
        <w:r w:rsidR="006C5585" w:rsidRPr="006C5585">
          <w:rPr>
            <w:rStyle w:val="Hyperlink"/>
          </w:rPr>
          <w:t> </w:t>
        </w:r>
        <w:r w:rsidRPr="006C5585">
          <w:rPr>
            <w:rStyle w:val="Hyperlink"/>
          </w:rPr>
          <w:t>r.</w:t>
        </w:r>
      </w:hyperlink>
      <w:r w:rsidRPr="00C57330">
        <w:t>:</w:t>
      </w:r>
      <w:r w:rsidRPr="00C57330">
        <w:rPr>
          <w:rStyle w:val="Hyperlink"/>
          <w:u w:val="none"/>
        </w:rPr>
        <w:t xml:space="preserve"> </w:t>
      </w:r>
      <w:r w:rsidRPr="00C57330">
        <w:t>zaproszenie do składania wniosków dotyczących projektów mających na celu wspieranie budowania zdolności istniejących</w:t>
      </w:r>
      <w:r w:rsidR="006C5585" w:rsidRPr="00C57330">
        <w:t xml:space="preserve"> i</w:t>
      </w:r>
      <w:r w:rsidR="006C5585">
        <w:t> </w:t>
      </w:r>
      <w:r w:rsidR="006C5585" w:rsidRPr="00C57330">
        <w:t>now</w:t>
      </w:r>
      <w:r w:rsidRPr="00C57330">
        <w:t>ych jednostek notyfikowanych, ułatwianie małym</w:t>
      </w:r>
      <w:r w:rsidR="006C5585" w:rsidRPr="00C57330">
        <w:t xml:space="preserve"> i</w:t>
      </w:r>
      <w:r w:rsidR="006C5585">
        <w:t> </w:t>
      </w:r>
      <w:r w:rsidR="006C5585" w:rsidRPr="00C57330">
        <w:t>śre</w:t>
      </w:r>
      <w:r w:rsidRPr="00C57330">
        <w:t>dnim przedsiębiorstwom (MŚP)</w:t>
      </w:r>
      <w:r w:rsidR="006C5585" w:rsidRPr="00C57330">
        <w:t xml:space="preserve"> i</w:t>
      </w:r>
      <w:r w:rsidR="006C5585">
        <w:t> </w:t>
      </w:r>
      <w:r w:rsidR="006C5585" w:rsidRPr="00C57330">
        <w:t>now</w:t>
      </w:r>
      <w:r w:rsidRPr="00C57330">
        <w:t xml:space="preserve">ym wnioskodawcom dostępu do jednostek notyfikowanych oraz zwiększanie gotowości producentów (zob. HS-g-22-19.03), </w:t>
      </w:r>
      <w:r w:rsidRPr="00C57330">
        <w:rPr>
          <w:rStyle w:val="Hyperlink"/>
          <w:u w:val="none"/>
        </w:rPr>
        <w:t xml:space="preserve">różne działania </w:t>
      </w:r>
      <w:r w:rsidRPr="00C57330">
        <w:t>wspierające wdrażanie rozporządzeń</w:t>
      </w:r>
      <w:r w:rsidR="006C5585" w:rsidRPr="00C57330">
        <w:t xml:space="preserve"> w</w:t>
      </w:r>
      <w:r w:rsidR="006C5585">
        <w:t> </w:t>
      </w:r>
      <w:r w:rsidR="006C5585" w:rsidRPr="00C57330">
        <w:t>spr</w:t>
      </w:r>
      <w:r w:rsidRPr="00C57330">
        <w:t>awie wyrobów medycznych</w:t>
      </w:r>
      <w:r w:rsidR="006C5585" w:rsidRPr="00C57330">
        <w:t xml:space="preserve"> i</w:t>
      </w:r>
      <w:r w:rsidR="006C5585">
        <w:t> </w:t>
      </w:r>
      <w:r w:rsidR="006C5585" w:rsidRPr="00C57330">
        <w:t>wyr</w:t>
      </w:r>
      <w:r w:rsidRPr="00C57330">
        <w:t xml:space="preserve">obów medycznych do diagnostyki </w:t>
      </w:r>
      <w:r w:rsidRPr="00C57330">
        <w:rPr>
          <w:i/>
        </w:rPr>
        <w:t>in vitro</w:t>
      </w:r>
      <w:r w:rsidRPr="00C57330">
        <w:t xml:space="preserve"> (zob. HS-p-22-19.04, 06, 07, 08, 09, 10</w:t>
      </w:r>
      <w:r w:rsidR="006C5585" w:rsidRPr="00C57330">
        <w:t xml:space="preserve"> i</w:t>
      </w:r>
      <w:r w:rsidR="006C5585">
        <w:t> </w:t>
      </w:r>
      <w:r w:rsidR="006C5585" w:rsidRPr="00C57330">
        <w:t>1</w:t>
      </w:r>
      <w:r w:rsidRPr="00C57330">
        <w:t>1)</w:t>
      </w:r>
      <w:r w:rsidRPr="00C57330">
        <w:rPr>
          <w:rStyle w:val="Hyperlink"/>
          <w:u w:val="none"/>
        </w:rPr>
        <w:t xml:space="preserve"> oraz </w:t>
      </w:r>
      <w:r w:rsidRPr="00C57330">
        <w:t>dotacje bezpośrednie dla organów państw członkowskich: zwiększony nadzór rynku wyrobów medycznych</w:t>
      </w:r>
      <w:r w:rsidR="006C5585" w:rsidRPr="00C57330">
        <w:t xml:space="preserve"> i</w:t>
      </w:r>
      <w:r w:rsidR="006C5585">
        <w:t> </w:t>
      </w:r>
      <w:r w:rsidR="006C5585" w:rsidRPr="00C57330">
        <w:t>wyr</w:t>
      </w:r>
      <w:r w:rsidRPr="00C57330">
        <w:t xml:space="preserve">obów medycznych do diagnostyki </w:t>
      </w:r>
      <w:r w:rsidRPr="00C57330">
        <w:rPr>
          <w:i/>
        </w:rPr>
        <w:t>in vitro</w:t>
      </w:r>
      <w:r w:rsidRPr="00C57330">
        <w:t xml:space="preserve"> (HS-g-22-19.01)</w:t>
      </w:r>
      <w:r w:rsidR="006C5585" w:rsidRPr="00C57330">
        <w:t>. W</w:t>
      </w:r>
      <w:r w:rsidR="006C5585">
        <w:t> </w:t>
      </w:r>
      <w:r w:rsidR="006C5585" w:rsidRPr="00C57330">
        <w:t>ram</w:t>
      </w:r>
      <w:r w:rsidRPr="00C57330">
        <w:t xml:space="preserve">ach </w:t>
      </w:r>
      <w:hyperlink r:id="rId10" w:history="1">
        <w:r w:rsidRPr="00C57330">
          <w:rPr>
            <w:rStyle w:val="Hyperlink"/>
          </w:rPr>
          <w:t>Programu działań Unii</w:t>
        </w:r>
        <w:r w:rsidR="006C5585" w:rsidRPr="00C57330">
          <w:rPr>
            <w:rStyle w:val="Hyperlink"/>
          </w:rPr>
          <w:t xml:space="preserve"> w</w:t>
        </w:r>
        <w:r w:rsidR="006C5585">
          <w:rPr>
            <w:rStyle w:val="Hyperlink"/>
          </w:rPr>
          <w:t> </w:t>
        </w:r>
        <w:r w:rsidR="006C5585" w:rsidRPr="00C57330">
          <w:rPr>
            <w:rStyle w:val="Hyperlink"/>
          </w:rPr>
          <w:t>dzi</w:t>
        </w:r>
        <w:r w:rsidRPr="00C57330">
          <w:rPr>
            <w:rStyle w:val="Hyperlink"/>
          </w:rPr>
          <w:t xml:space="preserve">edzinie zdrowia </w:t>
        </w:r>
        <w:r w:rsidRPr="006C5585">
          <w:rPr>
            <w:rStyle w:val="Hyperlink"/>
          </w:rPr>
          <w:t>na</w:t>
        </w:r>
        <w:r w:rsidR="006C5585" w:rsidRPr="006C5585">
          <w:rPr>
            <w:rStyle w:val="Hyperlink"/>
          </w:rPr>
          <w:t> </w:t>
        </w:r>
        <w:r w:rsidRPr="006C5585">
          <w:rPr>
            <w:rStyle w:val="Hyperlink"/>
          </w:rPr>
          <w:t>2</w:t>
        </w:r>
        <w:r w:rsidRPr="00C57330">
          <w:rPr>
            <w:rStyle w:val="Hyperlink"/>
          </w:rPr>
          <w:t>0</w:t>
        </w:r>
        <w:r w:rsidRPr="006C5585">
          <w:rPr>
            <w:rStyle w:val="Hyperlink"/>
          </w:rPr>
          <w:t>23</w:t>
        </w:r>
        <w:r w:rsidR="006C5585" w:rsidRPr="006C5585">
          <w:rPr>
            <w:rStyle w:val="Hyperlink"/>
          </w:rPr>
          <w:t> </w:t>
        </w:r>
        <w:r w:rsidRPr="006C5585">
          <w:rPr>
            <w:rStyle w:val="Hyperlink"/>
          </w:rPr>
          <w:t>r.</w:t>
        </w:r>
      </w:hyperlink>
      <w:r w:rsidRPr="00C57330">
        <w:t>: wsparcie sekretariatu technicznego grupy koordynacyjnej jednostek notyfikowanych (zob. HS-p-23-63) oraz zaproszenie do składania wniosków dotyczących programu</w:t>
      </w:r>
      <w:r w:rsidR="006C5585" w:rsidRPr="00C57330">
        <w:t xml:space="preserve"> w</w:t>
      </w:r>
      <w:r w:rsidR="006C5585">
        <w:t> </w:t>
      </w:r>
      <w:r w:rsidR="006C5585" w:rsidRPr="00C57330">
        <w:t>spr</w:t>
      </w:r>
      <w:r w:rsidRPr="00C57330">
        <w:t>awie sierocych wyrobów medycznych,</w:t>
      </w:r>
      <w:r w:rsidR="006C5585" w:rsidRPr="00C57330">
        <w:t xml:space="preserve"> w</w:t>
      </w:r>
      <w:r w:rsidR="006C5585">
        <w:t> </w:t>
      </w:r>
      <w:r w:rsidR="006C5585" w:rsidRPr="00C57330">
        <w:t>szc</w:t>
      </w:r>
      <w:r w:rsidRPr="00C57330">
        <w:t>zególności skierowanego do pacjentów pediatrycznych (zob. HS-g-23-65).</w:t>
      </w:r>
    </w:p>
  </w:footnote>
  <w:footnote w:id="17">
    <w:p w14:paraId="4E8BD62F" w14:textId="50118364" w:rsidR="00CF3207" w:rsidRPr="00C57330" w:rsidRDefault="00CF3207">
      <w:pPr>
        <w:pStyle w:val="FootnoteText"/>
      </w:pPr>
      <w:r>
        <w:rPr>
          <w:rStyle w:val="FootnoteReference"/>
        </w:rPr>
        <w:footnoteRef/>
      </w:r>
      <w:r w:rsidRPr="00C57330">
        <w:tab/>
      </w:r>
      <w:hyperlink r:id="rId11" w:history="1">
        <w:r w:rsidRPr="00C57330">
          <w:rPr>
            <w:rStyle w:val="Hyperlink"/>
          </w:rPr>
          <w:t>MDCG 2022-18</w:t>
        </w:r>
      </w:hyperlink>
      <w:r w:rsidRPr="00C57330">
        <w:t xml:space="preserve"> Dokument przedstawiający stanowisko MDCG</w:t>
      </w:r>
      <w:r w:rsidR="006C5585" w:rsidRPr="00C57330">
        <w:t xml:space="preserve"> w</w:t>
      </w:r>
      <w:r w:rsidR="006C5585">
        <w:t> </w:t>
      </w:r>
      <w:r w:rsidR="006C5585" w:rsidRPr="00C57330">
        <w:t>spr</w:t>
      </w:r>
      <w:r w:rsidRPr="00C57330">
        <w:t xml:space="preserve">awie zastosowania </w:t>
      </w:r>
      <w:r w:rsidRPr="006C5585">
        <w:t>art.</w:t>
      </w:r>
      <w:r w:rsidR="006C5585" w:rsidRPr="006C5585">
        <w:t> </w:t>
      </w:r>
      <w:r w:rsidRPr="006C5585">
        <w:t>9</w:t>
      </w:r>
      <w:r w:rsidRPr="00C57330">
        <w:t>7 rozporządzenia MDR do starszych wyrobów,</w:t>
      </w:r>
      <w:r w:rsidR="006C5585" w:rsidRPr="00C57330">
        <w:t xml:space="preserve"> w</w:t>
      </w:r>
      <w:r w:rsidR="006C5585">
        <w:t> </w:t>
      </w:r>
      <w:r w:rsidR="006C5585" w:rsidRPr="00C57330">
        <w:t>prz</w:t>
      </w:r>
      <w:r w:rsidRPr="00C57330">
        <w:t>ypadku których certyfikat wydany na podstawie dyrektywy MDD lub dyrektywy AIMDD traci ważność przed wydaniem certyfikatu na podstawie MDR.</w:t>
      </w:r>
    </w:p>
  </w:footnote>
  <w:footnote w:id="18">
    <w:p w14:paraId="65A49DF7" w14:textId="4FC7E6CE" w:rsidR="00CF3207" w:rsidRPr="00C57330" w:rsidRDefault="00CF3207">
      <w:pPr>
        <w:pStyle w:val="FootnoteText"/>
      </w:pPr>
      <w:r>
        <w:rPr>
          <w:rStyle w:val="FootnoteReference"/>
        </w:rPr>
        <w:footnoteRef/>
      </w:r>
      <w:r w:rsidRPr="00C57330">
        <w:tab/>
        <w:t>Klasa Im obejmuje wyroby klasy I</w:t>
      </w:r>
      <w:r w:rsidR="006C5585" w:rsidRPr="00C57330">
        <w:t xml:space="preserve"> o</w:t>
      </w:r>
      <w:r w:rsidR="006C5585">
        <w:t> </w:t>
      </w:r>
      <w:r w:rsidR="006C5585" w:rsidRPr="00C57330">
        <w:t>fun</w:t>
      </w:r>
      <w:r w:rsidRPr="00C57330">
        <w:t>kcji pomiarowej; klasa Is obejmuje wyroby klasy I, które są wprowadzane do obrotu</w:t>
      </w:r>
      <w:r w:rsidR="006C5585" w:rsidRPr="00C57330">
        <w:t xml:space="preserve"> w</w:t>
      </w:r>
      <w:r w:rsidR="006C5585">
        <w:t> </w:t>
      </w:r>
      <w:r w:rsidR="006C5585" w:rsidRPr="00C57330">
        <w:t>sta</w:t>
      </w:r>
      <w:r w:rsidRPr="00C57330">
        <w:t>nie sterylnym; klasa Ir obejmuje wyroby klasy I będące narzędziami chirurgicznymi wielokrotnego użytku.</w:t>
      </w:r>
    </w:p>
  </w:footnote>
  <w:footnote w:id="19">
    <w:p w14:paraId="774D0536" w14:textId="49A0D6FB" w:rsidR="00CF3207" w:rsidRPr="00C57330" w:rsidRDefault="00CF3207">
      <w:pPr>
        <w:pStyle w:val="FootnoteText"/>
      </w:pPr>
      <w:r>
        <w:rPr>
          <w:rStyle w:val="FootnoteReference"/>
        </w:rPr>
        <w:footnoteRef/>
      </w:r>
      <w:r w:rsidRPr="00C57330">
        <w:tab/>
        <w:t xml:space="preserve">Zob. nota informacyjna Komisji przekazana jako dokument Rady </w:t>
      </w:r>
      <w:hyperlink r:id="rId12" w:history="1">
        <w:r w:rsidRPr="00C57330">
          <w:rPr>
            <w:rStyle w:val="Hyperlink"/>
          </w:rPr>
          <w:t>15520/22</w:t>
        </w:r>
      </w:hyperlink>
      <w:r w:rsidR="006C5585" w:rsidRPr="00C57330">
        <w:t xml:space="preserve"> z</w:t>
      </w:r>
      <w:r w:rsidR="006C5585">
        <w:t> </w:t>
      </w:r>
      <w:r w:rsidR="006C5585" w:rsidRPr="00C57330">
        <w:t>6</w:t>
      </w:r>
      <w:r w:rsidRPr="00C57330">
        <w:t xml:space="preserve"> grudnia 20</w:t>
      </w:r>
      <w:r w:rsidRPr="006C5585">
        <w:t>22</w:t>
      </w:r>
      <w:r w:rsidR="006C5585" w:rsidRPr="006C5585">
        <w:t> </w:t>
      </w:r>
      <w:r w:rsidRPr="006C5585">
        <w:t>r.</w:t>
      </w:r>
    </w:p>
  </w:footnote>
  <w:footnote w:id="20">
    <w:p w14:paraId="60CDEBD1" w14:textId="3F522DDB" w:rsidR="00CF3207" w:rsidRPr="00C57330" w:rsidRDefault="00CF3207" w:rsidP="005E6F1E">
      <w:pPr>
        <w:pStyle w:val="FootnoteText"/>
      </w:pPr>
      <w:r>
        <w:rPr>
          <w:rStyle w:val="FootnoteReference"/>
        </w:rPr>
        <w:footnoteRef/>
      </w:r>
      <w:r w:rsidRPr="00C57330">
        <w:tab/>
        <w:t>Rozporządzenie Parlamentu Europejskiego</w:t>
      </w:r>
      <w:r w:rsidR="006C5585" w:rsidRPr="00C57330">
        <w:t xml:space="preserve"> i</w:t>
      </w:r>
      <w:r w:rsidR="006C5585">
        <w:t> </w:t>
      </w:r>
      <w:r w:rsidR="006C5585" w:rsidRPr="00C57330">
        <w:t>Rad</w:t>
      </w:r>
      <w:r w:rsidRPr="00C57330">
        <w:t>y (UE) 2017/745</w:t>
      </w:r>
      <w:r w:rsidR="006C5585" w:rsidRPr="00C57330">
        <w:t xml:space="preserve"> z</w:t>
      </w:r>
      <w:r w:rsidR="006C5585">
        <w:t> </w:t>
      </w:r>
      <w:r w:rsidR="006C5585" w:rsidRPr="00C57330">
        <w:t>dni</w:t>
      </w:r>
      <w:r w:rsidRPr="00C57330">
        <w:t>a 5 kwietnia 20</w:t>
      </w:r>
      <w:r w:rsidRPr="006C5585">
        <w:t>17</w:t>
      </w:r>
      <w:r w:rsidR="006C5585" w:rsidRPr="006C5585">
        <w:t> </w:t>
      </w:r>
      <w:r w:rsidRPr="006C5585">
        <w:t>r.</w:t>
      </w:r>
      <w:r w:rsidR="006C5585" w:rsidRPr="00C57330">
        <w:t xml:space="preserve"> w</w:t>
      </w:r>
      <w:r w:rsidR="006C5585">
        <w:t> </w:t>
      </w:r>
      <w:r w:rsidR="006C5585" w:rsidRPr="00C57330">
        <w:t>spr</w:t>
      </w:r>
      <w:r w:rsidRPr="00C57330">
        <w:t xml:space="preserve">awie wyrobów medycznych, zmiany dyrektywy 2001/83/WE, rozporządzenia (WE) </w:t>
      </w:r>
      <w:r w:rsidRPr="006C5585">
        <w:t>nr</w:t>
      </w:r>
      <w:r w:rsidR="006C5585" w:rsidRPr="006C5585">
        <w:t> </w:t>
      </w:r>
      <w:r w:rsidRPr="006C5585">
        <w:t>1</w:t>
      </w:r>
      <w:r w:rsidRPr="00C57330">
        <w:t>78/2002</w:t>
      </w:r>
      <w:r w:rsidR="006C5585" w:rsidRPr="00C57330">
        <w:t xml:space="preserve"> i</w:t>
      </w:r>
      <w:r w:rsidR="006C5585">
        <w:t> </w:t>
      </w:r>
      <w:r w:rsidR="006C5585" w:rsidRPr="00C57330">
        <w:t>roz</w:t>
      </w:r>
      <w:r w:rsidRPr="00C57330">
        <w:t xml:space="preserve">porządzenia (WE) </w:t>
      </w:r>
      <w:r w:rsidRPr="006C5585">
        <w:t>nr</w:t>
      </w:r>
      <w:r w:rsidR="006C5585" w:rsidRPr="006C5585">
        <w:t> </w:t>
      </w:r>
      <w:r w:rsidRPr="006C5585">
        <w:t>1</w:t>
      </w:r>
      <w:r w:rsidRPr="00C57330">
        <w:t>223/2009 oraz uchylenia dyrektyw Rady 90/385/EWG</w:t>
      </w:r>
      <w:r w:rsidR="006C5585" w:rsidRPr="00C57330">
        <w:t xml:space="preserve"> i</w:t>
      </w:r>
      <w:r w:rsidR="006C5585">
        <w:t> </w:t>
      </w:r>
      <w:r w:rsidR="006C5585" w:rsidRPr="00C57330">
        <w:t>9</w:t>
      </w:r>
      <w:r w:rsidRPr="00C57330">
        <w:t>3/42/EWG (Dz.U. L 117</w:t>
      </w:r>
      <w:r w:rsidR="006C5585" w:rsidRPr="00C57330">
        <w:t xml:space="preserve"> z</w:t>
      </w:r>
      <w:r w:rsidR="006C5585">
        <w:t> </w:t>
      </w:r>
      <w:r w:rsidR="006C5585" w:rsidRPr="00C57330">
        <w:t>5</w:t>
      </w:r>
      <w:r w:rsidRPr="00C57330">
        <w:t>.5.2017, s. 1).</w:t>
      </w:r>
    </w:p>
  </w:footnote>
  <w:footnote w:id="21">
    <w:p w14:paraId="56DC8CDD" w14:textId="55BD8745" w:rsidR="00CF3207" w:rsidRPr="00C57330" w:rsidRDefault="00CF3207" w:rsidP="005E6F1E">
      <w:pPr>
        <w:pStyle w:val="FootnoteText"/>
      </w:pPr>
      <w:r>
        <w:rPr>
          <w:rStyle w:val="FootnoteReference"/>
        </w:rPr>
        <w:footnoteRef/>
      </w:r>
      <w:r w:rsidRPr="00C57330">
        <w:tab/>
        <w:t>Rozporządzenie Parlamentu Europejskiego</w:t>
      </w:r>
      <w:r w:rsidR="006C5585" w:rsidRPr="00C57330">
        <w:t xml:space="preserve"> i</w:t>
      </w:r>
      <w:r w:rsidR="006C5585">
        <w:t> </w:t>
      </w:r>
      <w:r w:rsidR="006C5585" w:rsidRPr="00C57330">
        <w:t>Rad</w:t>
      </w:r>
      <w:r w:rsidRPr="00C57330">
        <w:t>y (UE) 2017/746</w:t>
      </w:r>
      <w:r w:rsidR="006C5585" w:rsidRPr="00C57330">
        <w:t xml:space="preserve"> z</w:t>
      </w:r>
      <w:r w:rsidR="006C5585">
        <w:t> </w:t>
      </w:r>
      <w:r w:rsidR="006C5585" w:rsidRPr="00C57330">
        <w:t>dni</w:t>
      </w:r>
      <w:r w:rsidRPr="00C57330">
        <w:t>a 5 kwietnia 20</w:t>
      </w:r>
      <w:r w:rsidRPr="006C5585">
        <w:t>17</w:t>
      </w:r>
      <w:r w:rsidR="006C5585" w:rsidRPr="006C5585">
        <w:t> </w:t>
      </w:r>
      <w:r w:rsidRPr="006C5585">
        <w:t>r.</w:t>
      </w:r>
      <w:r w:rsidR="006C5585" w:rsidRPr="00C57330">
        <w:t xml:space="preserve"> w</w:t>
      </w:r>
      <w:r w:rsidR="006C5585">
        <w:t> </w:t>
      </w:r>
      <w:r w:rsidR="006C5585" w:rsidRPr="00C57330">
        <w:t>spr</w:t>
      </w:r>
      <w:r w:rsidRPr="00C57330">
        <w:t xml:space="preserve">awie wyrobów medycznych do diagnostyki </w:t>
      </w:r>
      <w:r w:rsidRPr="00C57330">
        <w:rPr>
          <w:i/>
        </w:rPr>
        <w:t>in vitro</w:t>
      </w:r>
      <w:r w:rsidRPr="00C57330">
        <w:t xml:space="preserve"> oraz uchylenia dyrektywy 98/79/WE</w:t>
      </w:r>
      <w:r w:rsidR="006C5585" w:rsidRPr="00C57330">
        <w:t xml:space="preserve"> i</w:t>
      </w:r>
      <w:r w:rsidR="006C5585">
        <w:t> </w:t>
      </w:r>
      <w:r w:rsidR="006C5585" w:rsidRPr="00C57330">
        <w:t>dec</w:t>
      </w:r>
      <w:r w:rsidRPr="00C57330">
        <w:t>yzji Komisji 2010/227/UE (Dz.U. L 117</w:t>
      </w:r>
      <w:r w:rsidR="006C5585" w:rsidRPr="00C57330">
        <w:t xml:space="preserve"> z</w:t>
      </w:r>
      <w:r w:rsidR="006C5585">
        <w:t> </w:t>
      </w:r>
      <w:r w:rsidR="006C5585" w:rsidRPr="00C57330">
        <w:t>5</w:t>
      </w:r>
      <w:r w:rsidRPr="00C57330">
        <w:t>.5.2017, s. 176).</w:t>
      </w:r>
    </w:p>
  </w:footnote>
  <w:footnote w:id="22">
    <w:p w14:paraId="6614CF40" w14:textId="5E12D6A5" w:rsidR="00CF3207" w:rsidRPr="00C57330" w:rsidRDefault="00CF3207">
      <w:pPr>
        <w:pStyle w:val="FootnoteText"/>
      </w:pPr>
      <w:r>
        <w:rPr>
          <w:rStyle w:val="FootnoteReference"/>
        </w:rPr>
        <w:footnoteRef/>
      </w:r>
      <w:r w:rsidRPr="00C57330">
        <w:tab/>
        <w:t>Dyrektywa Rady 90/385/EWG</w:t>
      </w:r>
      <w:r w:rsidR="006C5585" w:rsidRPr="00C57330">
        <w:t xml:space="preserve"> z</w:t>
      </w:r>
      <w:r w:rsidR="006C5585">
        <w:t> </w:t>
      </w:r>
      <w:r w:rsidR="006C5585" w:rsidRPr="00C57330">
        <w:t>dni</w:t>
      </w:r>
      <w:r w:rsidRPr="00C57330">
        <w:t>a 20 czerwca 19</w:t>
      </w:r>
      <w:r w:rsidRPr="006C5585">
        <w:t>90</w:t>
      </w:r>
      <w:r w:rsidR="006C5585" w:rsidRPr="006C5585">
        <w:t> </w:t>
      </w:r>
      <w:r w:rsidRPr="006C5585">
        <w:t>r.</w:t>
      </w:r>
      <w:r w:rsidR="006C5585" w:rsidRPr="00C57330">
        <w:t xml:space="preserve"> w</w:t>
      </w:r>
      <w:r w:rsidR="006C5585">
        <w:t> </w:t>
      </w:r>
      <w:r w:rsidR="006C5585" w:rsidRPr="00C57330">
        <w:t>spr</w:t>
      </w:r>
      <w:r w:rsidRPr="00C57330">
        <w:t>awie zbliżenia ustawodawstw państw członkowskich odnoszących się do wyrobów medycznych aktywnego osadzania (Dz.U. L 189</w:t>
      </w:r>
      <w:r w:rsidR="006C5585" w:rsidRPr="00C57330">
        <w:t xml:space="preserve"> z</w:t>
      </w:r>
      <w:r w:rsidR="006C5585">
        <w:t> </w:t>
      </w:r>
      <w:r w:rsidR="006C5585" w:rsidRPr="00C57330">
        <w:t>2</w:t>
      </w:r>
      <w:r w:rsidRPr="00C57330">
        <w:t>0.7.1990, s. 17).</w:t>
      </w:r>
    </w:p>
  </w:footnote>
  <w:footnote w:id="23">
    <w:p w14:paraId="475FC9B4" w14:textId="4C60EF1F" w:rsidR="00CF3207" w:rsidRPr="00C57330" w:rsidRDefault="00CF3207">
      <w:pPr>
        <w:pStyle w:val="FootnoteText"/>
      </w:pPr>
      <w:r>
        <w:rPr>
          <w:rStyle w:val="FootnoteReference"/>
        </w:rPr>
        <w:footnoteRef/>
      </w:r>
      <w:r w:rsidRPr="00C57330">
        <w:tab/>
        <w:t>Dyrektywa Rady 93/42/EWG</w:t>
      </w:r>
      <w:r w:rsidR="006C5585" w:rsidRPr="00C57330">
        <w:t xml:space="preserve"> z</w:t>
      </w:r>
      <w:r w:rsidR="006C5585">
        <w:t> </w:t>
      </w:r>
      <w:r w:rsidR="006C5585" w:rsidRPr="00C57330">
        <w:t>dni</w:t>
      </w:r>
      <w:r w:rsidRPr="00C57330">
        <w:t>a 14 czerwca 19</w:t>
      </w:r>
      <w:r w:rsidRPr="006C5585">
        <w:t>93</w:t>
      </w:r>
      <w:r w:rsidR="006C5585" w:rsidRPr="006C5585">
        <w:t> </w:t>
      </w:r>
      <w:r w:rsidRPr="006C5585">
        <w:t>r.</w:t>
      </w:r>
      <w:r w:rsidRPr="00C57330">
        <w:t xml:space="preserve"> dotycząca wyrobów medycznych (Dz.U. L 169</w:t>
      </w:r>
      <w:r w:rsidR="006C5585" w:rsidRPr="00C57330">
        <w:t xml:space="preserve"> z</w:t>
      </w:r>
      <w:r w:rsidR="006C5585">
        <w:t> </w:t>
      </w:r>
      <w:r w:rsidR="006C5585" w:rsidRPr="00C57330">
        <w:t>1</w:t>
      </w:r>
      <w:r w:rsidRPr="00C57330">
        <w:t>2.7.1993, s. 1).</w:t>
      </w:r>
    </w:p>
  </w:footnote>
  <w:footnote w:id="24">
    <w:p w14:paraId="40C9D71B" w14:textId="488DFD49" w:rsidR="00CF3207" w:rsidRPr="00C57330" w:rsidRDefault="00CF3207">
      <w:pPr>
        <w:pStyle w:val="FootnoteText"/>
      </w:pPr>
      <w:r>
        <w:rPr>
          <w:rStyle w:val="FootnoteReference"/>
        </w:rPr>
        <w:footnoteRef/>
      </w:r>
      <w:r w:rsidRPr="00C57330">
        <w:tab/>
        <w:t>Dyrektywa 98/79/WE Parlamentu Europejskiego</w:t>
      </w:r>
      <w:r w:rsidR="006C5585" w:rsidRPr="00C57330">
        <w:t xml:space="preserve"> i</w:t>
      </w:r>
      <w:r w:rsidR="006C5585">
        <w:t> </w:t>
      </w:r>
      <w:r w:rsidR="006C5585" w:rsidRPr="00C57330">
        <w:t>Rad</w:t>
      </w:r>
      <w:r w:rsidRPr="00C57330">
        <w:t>y</w:t>
      </w:r>
      <w:r w:rsidR="006C5585" w:rsidRPr="00C57330">
        <w:t xml:space="preserve"> z</w:t>
      </w:r>
      <w:r w:rsidR="006C5585">
        <w:t> </w:t>
      </w:r>
      <w:r w:rsidR="006C5585" w:rsidRPr="00C57330">
        <w:t>dni</w:t>
      </w:r>
      <w:r w:rsidRPr="00C57330">
        <w:t>a 27 października 19</w:t>
      </w:r>
      <w:r w:rsidRPr="006C5585">
        <w:t>98</w:t>
      </w:r>
      <w:r w:rsidR="006C5585" w:rsidRPr="006C5585">
        <w:t> </w:t>
      </w:r>
      <w:r w:rsidRPr="006C5585">
        <w:t>r.</w:t>
      </w:r>
      <w:r w:rsidR="006C5585" w:rsidRPr="00C57330">
        <w:t xml:space="preserve"> w</w:t>
      </w:r>
      <w:r w:rsidR="006C5585">
        <w:t> </w:t>
      </w:r>
      <w:r w:rsidR="006C5585" w:rsidRPr="00C57330">
        <w:t>spr</w:t>
      </w:r>
      <w:r w:rsidRPr="00C57330">
        <w:t xml:space="preserve">awie wyrobów medycznych używanych do diagnozy </w:t>
      </w:r>
      <w:r w:rsidRPr="00C57330">
        <w:rPr>
          <w:i/>
        </w:rPr>
        <w:t>in vitro</w:t>
      </w:r>
      <w:r w:rsidRPr="00C57330">
        <w:t xml:space="preserve"> (Dz.U. L 331</w:t>
      </w:r>
      <w:r w:rsidR="006C5585" w:rsidRPr="00C57330">
        <w:t xml:space="preserve"> z</w:t>
      </w:r>
      <w:r w:rsidR="006C5585">
        <w:t> </w:t>
      </w:r>
      <w:r w:rsidR="006C5585" w:rsidRPr="00C57330">
        <w:t>7</w:t>
      </w:r>
      <w:r w:rsidRPr="00C57330">
        <w:t>.12.1998, s. 1).</w:t>
      </w:r>
    </w:p>
  </w:footnote>
  <w:footnote w:id="25">
    <w:p w14:paraId="1A4E030C" w14:textId="5AA88515" w:rsidR="00CF3207" w:rsidRPr="00C57330" w:rsidRDefault="00CF3207">
      <w:pPr>
        <w:pStyle w:val="FootnoteText"/>
      </w:pPr>
      <w:r>
        <w:rPr>
          <w:rStyle w:val="FootnoteReference"/>
        </w:rPr>
        <w:footnoteRef/>
      </w:r>
      <w:r w:rsidRPr="00C57330">
        <w:tab/>
        <w:t>Rozporządzenie Parlamentu Europejskiego</w:t>
      </w:r>
      <w:r w:rsidR="006C5585" w:rsidRPr="00C57330">
        <w:t xml:space="preserve"> i</w:t>
      </w:r>
      <w:r w:rsidR="006C5585">
        <w:t> </w:t>
      </w:r>
      <w:r w:rsidR="006C5585" w:rsidRPr="00C57330">
        <w:t>Rad</w:t>
      </w:r>
      <w:r w:rsidRPr="00C57330">
        <w:t>y (UE) 2020/561</w:t>
      </w:r>
      <w:r w:rsidR="006C5585" w:rsidRPr="00C57330">
        <w:t xml:space="preserve"> z</w:t>
      </w:r>
      <w:r w:rsidR="006C5585">
        <w:t> </w:t>
      </w:r>
      <w:r w:rsidR="006C5585" w:rsidRPr="00C57330">
        <w:t>dni</w:t>
      </w:r>
      <w:r w:rsidRPr="00C57330">
        <w:t>a 23 kwietnia 20</w:t>
      </w:r>
      <w:r w:rsidRPr="006C5585">
        <w:t>20</w:t>
      </w:r>
      <w:r w:rsidR="006C5585" w:rsidRPr="006C5585">
        <w:t> </w:t>
      </w:r>
      <w:r w:rsidRPr="006C5585">
        <w:t>r.</w:t>
      </w:r>
      <w:r w:rsidRPr="00C57330">
        <w:t xml:space="preserve"> zmieniające rozporządzenie (UE) 2017/745</w:t>
      </w:r>
      <w:r w:rsidR="006C5585" w:rsidRPr="00C57330">
        <w:t xml:space="preserve"> w</w:t>
      </w:r>
      <w:r w:rsidR="006C5585">
        <w:t> </w:t>
      </w:r>
      <w:r w:rsidR="006C5585" w:rsidRPr="00C57330">
        <w:t>spr</w:t>
      </w:r>
      <w:r w:rsidRPr="00C57330">
        <w:t>awie wyrobów medycznych</w:t>
      </w:r>
      <w:r w:rsidR="006C5585" w:rsidRPr="00C57330">
        <w:t xml:space="preserve"> w</w:t>
      </w:r>
      <w:r w:rsidR="006C5585">
        <w:t> </w:t>
      </w:r>
      <w:r w:rsidR="006C5585" w:rsidRPr="00C57330">
        <w:t>odn</w:t>
      </w:r>
      <w:r w:rsidRPr="00C57330">
        <w:t>iesieniu do dat rozpoczęcia stosowania niektórych jego przepisów (Dz.U. L 130</w:t>
      </w:r>
      <w:r w:rsidR="006C5585" w:rsidRPr="00C57330">
        <w:t xml:space="preserve"> z</w:t>
      </w:r>
      <w:r w:rsidR="006C5585">
        <w:t> </w:t>
      </w:r>
      <w:r w:rsidR="006C5585" w:rsidRPr="00C57330">
        <w:t>2</w:t>
      </w:r>
      <w:r w:rsidRPr="00C57330">
        <w:t>4.4.2020, s. 18).</w:t>
      </w:r>
    </w:p>
  </w:footnote>
  <w:footnote w:id="26">
    <w:p w14:paraId="3DD7ADD7" w14:textId="6CE67637" w:rsidR="00CF3207" w:rsidRPr="00C57330" w:rsidRDefault="00CF3207">
      <w:pPr>
        <w:pStyle w:val="FootnoteText"/>
      </w:pPr>
      <w:r>
        <w:rPr>
          <w:rStyle w:val="FootnoteReference"/>
        </w:rPr>
        <w:footnoteRef/>
      </w:r>
      <w:r w:rsidRPr="00C57330">
        <w:tab/>
        <w:t>Rozporządzenie Parlamentu Europejskiego</w:t>
      </w:r>
      <w:r w:rsidR="006C5585" w:rsidRPr="00C57330">
        <w:t xml:space="preserve"> i</w:t>
      </w:r>
      <w:r w:rsidR="006C5585">
        <w:t> </w:t>
      </w:r>
      <w:r w:rsidR="006C5585" w:rsidRPr="00C57330">
        <w:t>Rad</w:t>
      </w:r>
      <w:r w:rsidRPr="00C57330">
        <w:t>y (UE) 2022/112</w:t>
      </w:r>
      <w:r w:rsidR="006C5585" w:rsidRPr="00C57330">
        <w:t xml:space="preserve"> z</w:t>
      </w:r>
      <w:r w:rsidR="006C5585">
        <w:t> </w:t>
      </w:r>
      <w:r w:rsidR="006C5585" w:rsidRPr="00C57330">
        <w:t>dni</w:t>
      </w:r>
      <w:r w:rsidRPr="00C57330">
        <w:t>a 25 stycznia 20</w:t>
      </w:r>
      <w:r w:rsidRPr="006C5585">
        <w:t>22</w:t>
      </w:r>
      <w:r w:rsidR="006C5585" w:rsidRPr="006C5585">
        <w:t> </w:t>
      </w:r>
      <w:r w:rsidRPr="006C5585">
        <w:t>r.</w:t>
      </w:r>
      <w:r w:rsidRPr="00C57330">
        <w:t xml:space="preserve"> zmieniające rozporządzenie (UE) 2017/746</w:t>
      </w:r>
      <w:r w:rsidR="006C5585" w:rsidRPr="00C57330">
        <w:t xml:space="preserve"> w</w:t>
      </w:r>
      <w:r w:rsidR="006C5585">
        <w:t> </w:t>
      </w:r>
      <w:r w:rsidR="006C5585" w:rsidRPr="00C57330">
        <w:t>odn</w:t>
      </w:r>
      <w:r w:rsidRPr="00C57330">
        <w:t xml:space="preserve">iesieniu do przepisów przejściowych dotyczących niektórych wyrobów medycznych do diagnostyki </w:t>
      </w:r>
      <w:r w:rsidRPr="00C57330">
        <w:rPr>
          <w:i/>
        </w:rPr>
        <w:t>in vitro</w:t>
      </w:r>
      <w:r w:rsidRPr="00C57330">
        <w:t xml:space="preserve"> oraz odroczonego stosowania warunków dotyczących wyrobów produkowanych</w:t>
      </w:r>
      <w:r w:rsidR="006C5585" w:rsidRPr="00C57330">
        <w:t xml:space="preserve"> w</w:t>
      </w:r>
      <w:r w:rsidR="006C5585">
        <w:t> </w:t>
      </w:r>
      <w:r w:rsidR="006C5585" w:rsidRPr="00C57330">
        <w:t>ram</w:t>
      </w:r>
      <w:r w:rsidRPr="00C57330">
        <w:t>ach instytucji zdrowia publicznego (Dz.U. L 19</w:t>
      </w:r>
      <w:r w:rsidR="006C5585" w:rsidRPr="00C57330">
        <w:t xml:space="preserve"> z</w:t>
      </w:r>
      <w:r w:rsidR="006C5585">
        <w:t> </w:t>
      </w:r>
      <w:r w:rsidR="006C5585" w:rsidRPr="00C57330">
        <w:t>2</w:t>
      </w:r>
      <w:r w:rsidRPr="00C57330">
        <w:t>8.1.2022, s.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F707D1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18007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8CC943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364CE8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5452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63C167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91A8BA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0DE2E2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10819B8"/>
    <w:multiLevelType w:val="hybridMultilevel"/>
    <w:tmpl w:val="D1A2ED82"/>
    <w:styleLink w:val="ImportedStyle3"/>
    <w:lvl w:ilvl="0" w:tplc="25B038B6">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98C64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78928E">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D4264A">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FCD14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6A2AEE">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8DE5FAC">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7A1D7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380858">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7"/>
  </w:num>
  <w:num w:numId="3">
    <w:abstractNumId w:val="5"/>
  </w:num>
  <w:num w:numId="4">
    <w:abstractNumId w:val="3"/>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22"/>
  </w:num>
  <w:num w:numId="19">
    <w:abstractNumId w:val="11"/>
  </w:num>
  <w:num w:numId="20">
    <w:abstractNumId w:val="14"/>
  </w:num>
  <w:num w:numId="21">
    <w:abstractNumId w:val="15"/>
  </w:num>
  <w:num w:numId="22">
    <w:abstractNumId w:val="9"/>
  </w:num>
  <w:num w:numId="23">
    <w:abstractNumId w:val="21"/>
  </w:num>
  <w:num w:numId="24">
    <w:abstractNumId w:val="8"/>
  </w:num>
  <w:num w:numId="25">
    <w:abstractNumId w:val="16"/>
  </w:num>
  <w:num w:numId="26">
    <w:abstractNumId w:val="18"/>
  </w:num>
  <w:num w:numId="27">
    <w:abstractNumId w:val="19"/>
  </w:num>
  <w:num w:numId="28">
    <w:abstractNumId w:val="10"/>
  </w:num>
  <w:num w:numId="29">
    <w:abstractNumId w:val="17"/>
  </w:num>
  <w:num w:numId="30">
    <w:abstractNumId w:val="24"/>
  </w:num>
  <w:num w:numId="31">
    <w:abstractNumId w:val="20"/>
  </w:num>
  <w:num w:numId="32">
    <w:abstractNumId w:val="13"/>
  </w:num>
  <w:num w:numId="33">
    <w:abstractNumId w:val="22"/>
  </w:num>
  <w:num w:numId="34">
    <w:abstractNumId w:val="11"/>
  </w:num>
  <w:num w:numId="35">
    <w:abstractNumId w:val="14"/>
  </w:num>
  <w:num w:numId="36">
    <w:abstractNumId w:val="15"/>
  </w:num>
  <w:num w:numId="37">
    <w:abstractNumId w:val="9"/>
  </w:num>
  <w:num w:numId="38">
    <w:abstractNumId w:val="21"/>
  </w:num>
  <w:num w:numId="39">
    <w:abstractNumId w:val="8"/>
  </w:num>
  <w:num w:numId="40">
    <w:abstractNumId w:val="16"/>
  </w:num>
  <w:num w:numId="41">
    <w:abstractNumId w:val="18"/>
  </w:num>
  <w:num w:numId="42">
    <w:abstractNumId w:val="19"/>
  </w:num>
  <w:num w:numId="43">
    <w:abstractNumId w:val="10"/>
  </w:num>
  <w:num w:numId="44">
    <w:abstractNumId w:val="17"/>
  </w:num>
  <w:num w:numId="45">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IE"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1-20 17:27:54"/>
    <w:docVar w:name="DQCNUMB_1" w:val="126"/>
    <w:docVar w:name="DQCNUMB_2" w:val="12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DC118A5F-A8D7-4543-B435-0008463FE81F"/>
    <w:docVar w:name="LW_COVERPAGE_TYPE" w:val="1"/>
    <w:docVar w:name="LW_CROSSREFERENCE" w:val="&lt;UNUSED&gt;"/>
    <w:docVar w:name="LW_DocType" w:val="COM"/>
    <w:docVar w:name="LW_EMISSION" w:val="6.1.2023"/>
    <w:docVar w:name="LW_EMISSION_ISODATE" w:val="2023-01-06"/>
    <w:docVar w:name="LW_EMISSION_LOCATION" w:val="BRX"/>
    <w:docVar w:name="LW_EMISSION_PREFIX" w:val="Bruksela, dnia "/>
    <w:docVar w:name="LW_EMISSION_SUFFIX" w:val=" r."/>
    <w:docVar w:name="LW_ID_DOCMODEL" w:val="SJ-023"/>
    <w:docVar w:name="LW_ID_DOCSIGNATURE" w:val="SJ-023"/>
    <w:docVar w:name="LW_ID_DOCSTRUCTURE" w:val="COM/PL/ORG"/>
    <w:docVar w:name="LW_ID_DOCTYPE" w:val="SJ-023"/>
    <w:docVar w:name="LW_ID_STATUT" w:val="SJ-023"/>
    <w:docVar w:name="LW_INSERT_EXP.MOTIFS.NEW" w:val="1"/>
    <w:docVar w:name="LW_INTERETEEE.CP" w:val="(Tekst mają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005"/>
    <w:docVar w:name="LW_REF.II.NEW.CP_YEAR" w:val="2023"/>
    <w:docVar w:name="LW_REF.INST.NEW" w:val="COM"/>
    <w:docVar w:name="LW_REF.INST.NEW_ADOPTED" w:val="final"/>
    <w:docVar w:name="LW_REF.INST.NEW_TEXT" w:val="(2023)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zmieniające rozporządzenia (UE) 2017/745 i (UE) 2017/746 w odniesieniu do przepisów przejściowych dotyczących niektórych wyrobów medycznych i wyrobów medycznych do diagnostyki &lt;FMT:Italic&gt;in vitro&lt;/FMT&gt;"/>
    <w:docVar w:name="LW_TYPE.DOC.CP" w:val="ROZPORZĄDZENIE PARLAMENTU EUROPEJSKIEGO I RADY"/>
    <w:docVar w:name="LwApiVersions" w:val="LW4CoDe 1.23.2.0; LW 8.0, Build 20211117"/>
  </w:docVars>
  <w:rsids>
    <w:rsidRoot w:val="005E1E5E"/>
    <w:rsid w:val="0000020A"/>
    <w:rsid w:val="0000465D"/>
    <w:rsid w:val="00004F43"/>
    <w:rsid w:val="00007619"/>
    <w:rsid w:val="00012566"/>
    <w:rsid w:val="00015C29"/>
    <w:rsid w:val="0001696E"/>
    <w:rsid w:val="000213EA"/>
    <w:rsid w:val="00021884"/>
    <w:rsid w:val="000231AB"/>
    <w:rsid w:val="00023501"/>
    <w:rsid w:val="00026C6A"/>
    <w:rsid w:val="00027759"/>
    <w:rsid w:val="00036904"/>
    <w:rsid w:val="00040257"/>
    <w:rsid w:val="00040610"/>
    <w:rsid w:val="00041DD1"/>
    <w:rsid w:val="00043AE7"/>
    <w:rsid w:val="00045A2C"/>
    <w:rsid w:val="000467C0"/>
    <w:rsid w:val="00046B47"/>
    <w:rsid w:val="00051A11"/>
    <w:rsid w:val="00051F34"/>
    <w:rsid w:val="00056BF9"/>
    <w:rsid w:val="00064791"/>
    <w:rsid w:val="000653A2"/>
    <w:rsid w:val="00065AEA"/>
    <w:rsid w:val="00071069"/>
    <w:rsid w:val="00071544"/>
    <w:rsid w:val="000720BE"/>
    <w:rsid w:val="00075C55"/>
    <w:rsid w:val="000764C4"/>
    <w:rsid w:val="00081ECB"/>
    <w:rsid w:val="00082BF9"/>
    <w:rsid w:val="0009180A"/>
    <w:rsid w:val="00091C6F"/>
    <w:rsid w:val="000A1934"/>
    <w:rsid w:val="000A6614"/>
    <w:rsid w:val="000A7824"/>
    <w:rsid w:val="000B3E3E"/>
    <w:rsid w:val="000B63F1"/>
    <w:rsid w:val="000B6B65"/>
    <w:rsid w:val="000C3CC3"/>
    <w:rsid w:val="000C4B98"/>
    <w:rsid w:val="000C554F"/>
    <w:rsid w:val="000D1D55"/>
    <w:rsid w:val="000E65B6"/>
    <w:rsid w:val="000F4962"/>
    <w:rsid w:val="000F5F93"/>
    <w:rsid w:val="001065F5"/>
    <w:rsid w:val="0010711F"/>
    <w:rsid w:val="001116A9"/>
    <w:rsid w:val="0011605C"/>
    <w:rsid w:val="00121297"/>
    <w:rsid w:val="001238EF"/>
    <w:rsid w:val="00124E01"/>
    <w:rsid w:val="0012744A"/>
    <w:rsid w:val="00136233"/>
    <w:rsid w:val="00141D69"/>
    <w:rsid w:val="001448A6"/>
    <w:rsid w:val="00144B78"/>
    <w:rsid w:val="001454C1"/>
    <w:rsid w:val="0014617C"/>
    <w:rsid w:val="001467F0"/>
    <w:rsid w:val="00147089"/>
    <w:rsid w:val="00153BD2"/>
    <w:rsid w:val="00157A98"/>
    <w:rsid w:val="00162A24"/>
    <w:rsid w:val="00163DE2"/>
    <w:rsid w:val="0016789D"/>
    <w:rsid w:val="0017176A"/>
    <w:rsid w:val="00177568"/>
    <w:rsid w:val="00182EED"/>
    <w:rsid w:val="001866C8"/>
    <w:rsid w:val="00197613"/>
    <w:rsid w:val="001A149A"/>
    <w:rsid w:val="001A3053"/>
    <w:rsid w:val="001A3A66"/>
    <w:rsid w:val="001A4B64"/>
    <w:rsid w:val="001A5745"/>
    <w:rsid w:val="001A61EB"/>
    <w:rsid w:val="001B110F"/>
    <w:rsid w:val="001B4D06"/>
    <w:rsid w:val="001B4FBB"/>
    <w:rsid w:val="001B7241"/>
    <w:rsid w:val="001C1823"/>
    <w:rsid w:val="001D3DA7"/>
    <w:rsid w:val="001D3F7C"/>
    <w:rsid w:val="001D4C95"/>
    <w:rsid w:val="001D4C98"/>
    <w:rsid w:val="001E6FAF"/>
    <w:rsid w:val="001E7889"/>
    <w:rsid w:val="001F4EF3"/>
    <w:rsid w:val="0020057D"/>
    <w:rsid w:val="00200D25"/>
    <w:rsid w:val="002010DC"/>
    <w:rsid w:val="00202D5A"/>
    <w:rsid w:val="00203485"/>
    <w:rsid w:val="002034B5"/>
    <w:rsid w:val="0020740C"/>
    <w:rsid w:val="00211405"/>
    <w:rsid w:val="00211E7D"/>
    <w:rsid w:val="00216DD7"/>
    <w:rsid w:val="00217A7B"/>
    <w:rsid w:val="002239E2"/>
    <w:rsid w:val="00224227"/>
    <w:rsid w:val="00226CB7"/>
    <w:rsid w:val="00230248"/>
    <w:rsid w:val="00233DC7"/>
    <w:rsid w:val="00234855"/>
    <w:rsid w:val="00235718"/>
    <w:rsid w:val="0023716D"/>
    <w:rsid w:val="00247779"/>
    <w:rsid w:val="00261AEA"/>
    <w:rsid w:val="002633EB"/>
    <w:rsid w:val="002649B6"/>
    <w:rsid w:val="00267722"/>
    <w:rsid w:val="0027277C"/>
    <w:rsid w:val="00273D49"/>
    <w:rsid w:val="00277349"/>
    <w:rsid w:val="00280549"/>
    <w:rsid w:val="00281299"/>
    <w:rsid w:val="00284712"/>
    <w:rsid w:val="00285BEE"/>
    <w:rsid w:val="00286CF8"/>
    <w:rsid w:val="00286D55"/>
    <w:rsid w:val="002904C5"/>
    <w:rsid w:val="0029099A"/>
    <w:rsid w:val="00290A54"/>
    <w:rsid w:val="00291505"/>
    <w:rsid w:val="00292B5E"/>
    <w:rsid w:val="00293B90"/>
    <w:rsid w:val="002944EA"/>
    <w:rsid w:val="00294659"/>
    <w:rsid w:val="002949E3"/>
    <w:rsid w:val="0029533F"/>
    <w:rsid w:val="00297A58"/>
    <w:rsid w:val="00297D6E"/>
    <w:rsid w:val="002A0506"/>
    <w:rsid w:val="002A5670"/>
    <w:rsid w:val="002A71C0"/>
    <w:rsid w:val="002B0ED1"/>
    <w:rsid w:val="002B30AF"/>
    <w:rsid w:val="002B42DF"/>
    <w:rsid w:val="002B6E40"/>
    <w:rsid w:val="002C0395"/>
    <w:rsid w:val="002C4A51"/>
    <w:rsid w:val="002D554E"/>
    <w:rsid w:val="002D65D0"/>
    <w:rsid w:val="002E2695"/>
    <w:rsid w:val="002E3532"/>
    <w:rsid w:val="002E6026"/>
    <w:rsid w:val="002E7488"/>
    <w:rsid w:val="002E74B4"/>
    <w:rsid w:val="00300B19"/>
    <w:rsid w:val="0030529B"/>
    <w:rsid w:val="0030701B"/>
    <w:rsid w:val="00307495"/>
    <w:rsid w:val="00307773"/>
    <w:rsid w:val="00310FC1"/>
    <w:rsid w:val="00312DBA"/>
    <w:rsid w:val="00315696"/>
    <w:rsid w:val="0032684D"/>
    <w:rsid w:val="00327560"/>
    <w:rsid w:val="00327EF1"/>
    <w:rsid w:val="0033048C"/>
    <w:rsid w:val="0033199E"/>
    <w:rsid w:val="0033344A"/>
    <w:rsid w:val="003338E4"/>
    <w:rsid w:val="00333ACB"/>
    <w:rsid w:val="0033486B"/>
    <w:rsid w:val="003371B5"/>
    <w:rsid w:val="0034217C"/>
    <w:rsid w:val="00343D33"/>
    <w:rsid w:val="00345415"/>
    <w:rsid w:val="0035053B"/>
    <w:rsid w:val="003509CA"/>
    <w:rsid w:val="00351031"/>
    <w:rsid w:val="00354D8E"/>
    <w:rsid w:val="00356906"/>
    <w:rsid w:val="003618E1"/>
    <w:rsid w:val="003619E3"/>
    <w:rsid w:val="00365BF2"/>
    <w:rsid w:val="0036612F"/>
    <w:rsid w:val="00370944"/>
    <w:rsid w:val="00371FD0"/>
    <w:rsid w:val="00374272"/>
    <w:rsid w:val="00384F48"/>
    <w:rsid w:val="00385E7C"/>
    <w:rsid w:val="0039419B"/>
    <w:rsid w:val="00394431"/>
    <w:rsid w:val="003A0E83"/>
    <w:rsid w:val="003A1B14"/>
    <w:rsid w:val="003A5EAB"/>
    <w:rsid w:val="003B1E04"/>
    <w:rsid w:val="003B4C45"/>
    <w:rsid w:val="003B6DDE"/>
    <w:rsid w:val="003B6EAD"/>
    <w:rsid w:val="003C049B"/>
    <w:rsid w:val="003C2BEB"/>
    <w:rsid w:val="003C7B0B"/>
    <w:rsid w:val="003D30B0"/>
    <w:rsid w:val="003D7C57"/>
    <w:rsid w:val="003E0607"/>
    <w:rsid w:val="003E55B1"/>
    <w:rsid w:val="003E5A57"/>
    <w:rsid w:val="003F0BBD"/>
    <w:rsid w:val="003F1470"/>
    <w:rsid w:val="003F7221"/>
    <w:rsid w:val="00400756"/>
    <w:rsid w:val="004023A2"/>
    <w:rsid w:val="004030E6"/>
    <w:rsid w:val="004046F0"/>
    <w:rsid w:val="004047EE"/>
    <w:rsid w:val="00405582"/>
    <w:rsid w:val="0041295C"/>
    <w:rsid w:val="004147B5"/>
    <w:rsid w:val="00414EF2"/>
    <w:rsid w:val="0041650C"/>
    <w:rsid w:val="00423294"/>
    <w:rsid w:val="0042648E"/>
    <w:rsid w:val="004265CD"/>
    <w:rsid w:val="004303AF"/>
    <w:rsid w:val="00432091"/>
    <w:rsid w:val="00432959"/>
    <w:rsid w:val="00440730"/>
    <w:rsid w:val="00451DE9"/>
    <w:rsid w:val="00453CA5"/>
    <w:rsid w:val="00457A53"/>
    <w:rsid w:val="004637A3"/>
    <w:rsid w:val="004643F3"/>
    <w:rsid w:val="00465873"/>
    <w:rsid w:val="0046659B"/>
    <w:rsid w:val="00474391"/>
    <w:rsid w:val="00475366"/>
    <w:rsid w:val="00475DC2"/>
    <w:rsid w:val="00475ECD"/>
    <w:rsid w:val="00477A85"/>
    <w:rsid w:val="004808E4"/>
    <w:rsid w:val="00480FB7"/>
    <w:rsid w:val="004857FC"/>
    <w:rsid w:val="00486AFC"/>
    <w:rsid w:val="004877C0"/>
    <w:rsid w:val="00490400"/>
    <w:rsid w:val="004904F9"/>
    <w:rsid w:val="00491D89"/>
    <w:rsid w:val="004936D2"/>
    <w:rsid w:val="004A1A99"/>
    <w:rsid w:val="004A73BF"/>
    <w:rsid w:val="004B1DF5"/>
    <w:rsid w:val="004B4158"/>
    <w:rsid w:val="004B5489"/>
    <w:rsid w:val="004B6299"/>
    <w:rsid w:val="004B7857"/>
    <w:rsid w:val="004C494D"/>
    <w:rsid w:val="004C749B"/>
    <w:rsid w:val="004D185B"/>
    <w:rsid w:val="004D1E04"/>
    <w:rsid w:val="004D39C0"/>
    <w:rsid w:val="004D6F5F"/>
    <w:rsid w:val="004E017E"/>
    <w:rsid w:val="004E433B"/>
    <w:rsid w:val="004E7E37"/>
    <w:rsid w:val="004E7F54"/>
    <w:rsid w:val="004F0A9D"/>
    <w:rsid w:val="005000D9"/>
    <w:rsid w:val="0050140E"/>
    <w:rsid w:val="00501958"/>
    <w:rsid w:val="005027DB"/>
    <w:rsid w:val="00503693"/>
    <w:rsid w:val="0051077B"/>
    <w:rsid w:val="005108F0"/>
    <w:rsid w:val="005115AF"/>
    <w:rsid w:val="0051265B"/>
    <w:rsid w:val="005167DB"/>
    <w:rsid w:val="00516AF5"/>
    <w:rsid w:val="0052201F"/>
    <w:rsid w:val="0052232C"/>
    <w:rsid w:val="00527D4D"/>
    <w:rsid w:val="005305A2"/>
    <w:rsid w:val="005329F1"/>
    <w:rsid w:val="00533433"/>
    <w:rsid w:val="0053691A"/>
    <w:rsid w:val="00536FD4"/>
    <w:rsid w:val="0054196E"/>
    <w:rsid w:val="00544106"/>
    <w:rsid w:val="00551EF3"/>
    <w:rsid w:val="00552AA5"/>
    <w:rsid w:val="005575E3"/>
    <w:rsid w:val="005621A0"/>
    <w:rsid w:val="00570A5E"/>
    <w:rsid w:val="00570B35"/>
    <w:rsid w:val="00571DB6"/>
    <w:rsid w:val="00577DEB"/>
    <w:rsid w:val="00581A13"/>
    <w:rsid w:val="005847DC"/>
    <w:rsid w:val="00584A6B"/>
    <w:rsid w:val="00585B69"/>
    <w:rsid w:val="005869CC"/>
    <w:rsid w:val="00586A37"/>
    <w:rsid w:val="00592213"/>
    <w:rsid w:val="0059430C"/>
    <w:rsid w:val="00594E73"/>
    <w:rsid w:val="0059511C"/>
    <w:rsid w:val="00595FD4"/>
    <w:rsid w:val="005A0997"/>
    <w:rsid w:val="005A1F69"/>
    <w:rsid w:val="005A54A2"/>
    <w:rsid w:val="005A78DE"/>
    <w:rsid w:val="005A7E62"/>
    <w:rsid w:val="005B124F"/>
    <w:rsid w:val="005B1EB6"/>
    <w:rsid w:val="005B6953"/>
    <w:rsid w:val="005B7D6E"/>
    <w:rsid w:val="005C2D91"/>
    <w:rsid w:val="005D6BBC"/>
    <w:rsid w:val="005E02DA"/>
    <w:rsid w:val="005E03C2"/>
    <w:rsid w:val="005E0CB5"/>
    <w:rsid w:val="005E1C9A"/>
    <w:rsid w:val="005E1E5E"/>
    <w:rsid w:val="005E2985"/>
    <w:rsid w:val="005E68D1"/>
    <w:rsid w:val="005E6F1E"/>
    <w:rsid w:val="005E7A8C"/>
    <w:rsid w:val="005F1075"/>
    <w:rsid w:val="006034DC"/>
    <w:rsid w:val="00614F65"/>
    <w:rsid w:val="00616D57"/>
    <w:rsid w:val="00624D5B"/>
    <w:rsid w:val="00632FDC"/>
    <w:rsid w:val="00634758"/>
    <w:rsid w:val="00635D8A"/>
    <w:rsid w:val="00637B21"/>
    <w:rsid w:val="00641448"/>
    <w:rsid w:val="00641FFB"/>
    <w:rsid w:val="0064280B"/>
    <w:rsid w:val="006448DA"/>
    <w:rsid w:val="00650CB0"/>
    <w:rsid w:val="0066057E"/>
    <w:rsid w:val="00660E67"/>
    <w:rsid w:val="00666426"/>
    <w:rsid w:val="00667409"/>
    <w:rsid w:val="00673A73"/>
    <w:rsid w:val="00674409"/>
    <w:rsid w:val="00674F7B"/>
    <w:rsid w:val="006805FA"/>
    <w:rsid w:val="00680C39"/>
    <w:rsid w:val="00686C04"/>
    <w:rsid w:val="006900E3"/>
    <w:rsid w:val="00690748"/>
    <w:rsid w:val="006957A1"/>
    <w:rsid w:val="006A4459"/>
    <w:rsid w:val="006B00FB"/>
    <w:rsid w:val="006B1D8B"/>
    <w:rsid w:val="006B374E"/>
    <w:rsid w:val="006B5AB3"/>
    <w:rsid w:val="006B6BC7"/>
    <w:rsid w:val="006B793A"/>
    <w:rsid w:val="006C0219"/>
    <w:rsid w:val="006C124E"/>
    <w:rsid w:val="006C2B62"/>
    <w:rsid w:val="006C46E6"/>
    <w:rsid w:val="006C46FB"/>
    <w:rsid w:val="006C5585"/>
    <w:rsid w:val="006C5EC9"/>
    <w:rsid w:val="006C7FAB"/>
    <w:rsid w:val="006D0892"/>
    <w:rsid w:val="006D7E7B"/>
    <w:rsid w:val="006E0259"/>
    <w:rsid w:val="006E0BA6"/>
    <w:rsid w:val="006E1630"/>
    <w:rsid w:val="006F4AB8"/>
    <w:rsid w:val="006F5967"/>
    <w:rsid w:val="007075D9"/>
    <w:rsid w:val="007130AE"/>
    <w:rsid w:val="0071315C"/>
    <w:rsid w:val="00726C32"/>
    <w:rsid w:val="00730AD2"/>
    <w:rsid w:val="00733243"/>
    <w:rsid w:val="00733C56"/>
    <w:rsid w:val="00741618"/>
    <w:rsid w:val="007422D2"/>
    <w:rsid w:val="00742596"/>
    <w:rsid w:val="007456B8"/>
    <w:rsid w:val="00746471"/>
    <w:rsid w:val="007469A8"/>
    <w:rsid w:val="00753438"/>
    <w:rsid w:val="00754D98"/>
    <w:rsid w:val="00755E6D"/>
    <w:rsid w:val="007608AA"/>
    <w:rsid w:val="0076208D"/>
    <w:rsid w:val="00762C68"/>
    <w:rsid w:val="007652F9"/>
    <w:rsid w:val="007715DE"/>
    <w:rsid w:val="00771ED6"/>
    <w:rsid w:val="00773331"/>
    <w:rsid w:val="00777D38"/>
    <w:rsid w:val="00783CEA"/>
    <w:rsid w:val="00785A38"/>
    <w:rsid w:val="00787B1F"/>
    <w:rsid w:val="00792C35"/>
    <w:rsid w:val="007931A4"/>
    <w:rsid w:val="007932EF"/>
    <w:rsid w:val="007961D3"/>
    <w:rsid w:val="007A3EAD"/>
    <w:rsid w:val="007A5223"/>
    <w:rsid w:val="007A522D"/>
    <w:rsid w:val="007B01A1"/>
    <w:rsid w:val="007B58B4"/>
    <w:rsid w:val="007B6C3B"/>
    <w:rsid w:val="007C22F8"/>
    <w:rsid w:val="007C457F"/>
    <w:rsid w:val="007C49D4"/>
    <w:rsid w:val="007C5C44"/>
    <w:rsid w:val="007C7B8A"/>
    <w:rsid w:val="007D08F2"/>
    <w:rsid w:val="007D1886"/>
    <w:rsid w:val="007D5894"/>
    <w:rsid w:val="007D6DF7"/>
    <w:rsid w:val="007D7277"/>
    <w:rsid w:val="007D765F"/>
    <w:rsid w:val="007E05B0"/>
    <w:rsid w:val="007E1157"/>
    <w:rsid w:val="007E508D"/>
    <w:rsid w:val="007E629B"/>
    <w:rsid w:val="007F0ADC"/>
    <w:rsid w:val="007F0D45"/>
    <w:rsid w:val="007F1684"/>
    <w:rsid w:val="007F461D"/>
    <w:rsid w:val="007F4C45"/>
    <w:rsid w:val="007F4D27"/>
    <w:rsid w:val="007F4E2A"/>
    <w:rsid w:val="008022AC"/>
    <w:rsid w:val="00813F5A"/>
    <w:rsid w:val="0082080A"/>
    <w:rsid w:val="00822D03"/>
    <w:rsid w:val="0082617C"/>
    <w:rsid w:val="00827D02"/>
    <w:rsid w:val="00833BBD"/>
    <w:rsid w:val="00843647"/>
    <w:rsid w:val="0084433A"/>
    <w:rsid w:val="008448B0"/>
    <w:rsid w:val="00846499"/>
    <w:rsid w:val="00850ABC"/>
    <w:rsid w:val="00851634"/>
    <w:rsid w:val="0085231F"/>
    <w:rsid w:val="008523A3"/>
    <w:rsid w:val="008621F1"/>
    <w:rsid w:val="00862E73"/>
    <w:rsid w:val="00863D94"/>
    <w:rsid w:val="00867C80"/>
    <w:rsid w:val="00872044"/>
    <w:rsid w:val="00874D22"/>
    <w:rsid w:val="0087659F"/>
    <w:rsid w:val="00882269"/>
    <w:rsid w:val="008856E0"/>
    <w:rsid w:val="00886B06"/>
    <w:rsid w:val="0089183E"/>
    <w:rsid w:val="008A237B"/>
    <w:rsid w:val="008A26D4"/>
    <w:rsid w:val="008A2914"/>
    <w:rsid w:val="008A402A"/>
    <w:rsid w:val="008B2670"/>
    <w:rsid w:val="008B3DDB"/>
    <w:rsid w:val="008B5539"/>
    <w:rsid w:val="008C19C2"/>
    <w:rsid w:val="008C3DF2"/>
    <w:rsid w:val="008C42C5"/>
    <w:rsid w:val="008C72DC"/>
    <w:rsid w:val="008D7BBE"/>
    <w:rsid w:val="008E2B97"/>
    <w:rsid w:val="008E3AD1"/>
    <w:rsid w:val="008E47E9"/>
    <w:rsid w:val="008E4D8E"/>
    <w:rsid w:val="008E5AE7"/>
    <w:rsid w:val="008E625E"/>
    <w:rsid w:val="008E6761"/>
    <w:rsid w:val="008E7831"/>
    <w:rsid w:val="008E7E41"/>
    <w:rsid w:val="008F0B6A"/>
    <w:rsid w:val="008F1A4E"/>
    <w:rsid w:val="008F44AC"/>
    <w:rsid w:val="008F4C7D"/>
    <w:rsid w:val="008F51A4"/>
    <w:rsid w:val="008F7CCA"/>
    <w:rsid w:val="00903D17"/>
    <w:rsid w:val="00904A8C"/>
    <w:rsid w:val="00904DA0"/>
    <w:rsid w:val="009300C1"/>
    <w:rsid w:val="00931DC9"/>
    <w:rsid w:val="0093311E"/>
    <w:rsid w:val="00940E22"/>
    <w:rsid w:val="00944A94"/>
    <w:rsid w:val="00951A29"/>
    <w:rsid w:val="009560EF"/>
    <w:rsid w:val="00960528"/>
    <w:rsid w:val="009608E3"/>
    <w:rsid w:val="00962FD8"/>
    <w:rsid w:val="009635B7"/>
    <w:rsid w:val="0096400D"/>
    <w:rsid w:val="0096547E"/>
    <w:rsid w:val="0097255A"/>
    <w:rsid w:val="00986525"/>
    <w:rsid w:val="009900F6"/>
    <w:rsid w:val="0099183A"/>
    <w:rsid w:val="009938F5"/>
    <w:rsid w:val="009A00FA"/>
    <w:rsid w:val="009A024F"/>
    <w:rsid w:val="009A1100"/>
    <w:rsid w:val="009A1821"/>
    <w:rsid w:val="009A1A2C"/>
    <w:rsid w:val="009A2285"/>
    <w:rsid w:val="009A3159"/>
    <w:rsid w:val="009A3988"/>
    <w:rsid w:val="009B12CE"/>
    <w:rsid w:val="009B4D53"/>
    <w:rsid w:val="009B61A8"/>
    <w:rsid w:val="009C3678"/>
    <w:rsid w:val="009C4998"/>
    <w:rsid w:val="009C4E5E"/>
    <w:rsid w:val="009C5D60"/>
    <w:rsid w:val="009C63A6"/>
    <w:rsid w:val="009C76F2"/>
    <w:rsid w:val="009D02FE"/>
    <w:rsid w:val="009D1373"/>
    <w:rsid w:val="009D1CEF"/>
    <w:rsid w:val="009D2318"/>
    <w:rsid w:val="009D253B"/>
    <w:rsid w:val="009E13DB"/>
    <w:rsid w:val="009E47EA"/>
    <w:rsid w:val="009E4E86"/>
    <w:rsid w:val="009E5C53"/>
    <w:rsid w:val="009E634C"/>
    <w:rsid w:val="009E657B"/>
    <w:rsid w:val="009F6B56"/>
    <w:rsid w:val="00A012D2"/>
    <w:rsid w:val="00A06315"/>
    <w:rsid w:val="00A06A24"/>
    <w:rsid w:val="00A103F4"/>
    <w:rsid w:val="00A111F0"/>
    <w:rsid w:val="00A11E2C"/>
    <w:rsid w:val="00A20DB0"/>
    <w:rsid w:val="00A20F13"/>
    <w:rsid w:val="00A23288"/>
    <w:rsid w:val="00A337B2"/>
    <w:rsid w:val="00A36016"/>
    <w:rsid w:val="00A373D2"/>
    <w:rsid w:val="00A407E9"/>
    <w:rsid w:val="00A533F2"/>
    <w:rsid w:val="00A5646D"/>
    <w:rsid w:val="00A57CD2"/>
    <w:rsid w:val="00A63AA5"/>
    <w:rsid w:val="00A701A4"/>
    <w:rsid w:val="00A728EB"/>
    <w:rsid w:val="00A74C2F"/>
    <w:rsid w:val="00A80117"/>
    <w:rsid w:val="00A843FE"/>
    <w:rsid w:val="00A85D60"/>
    <w:rsid w:val="00A87052"/>
    <w:rsid w:val="00A90070"/>
    <w:rsid w:val="00A90D06"/>
    <w:rsid w:val="00A93C70"/>
    <w:rsid w:val="00AA2FF2"/>
    <w:rsid w:val="00AA4D83"/>
    <w:rsid w:val="00AA6EFE"/>
    <w:rsid w:val="00AB2EA1"/>
    <w:rsid w:val="00AB35FA"/>
    <w:rsid w:val="00AB3854"/>
    <w:rsid w:val="00AB4C35"/>
    <w:rsid w:val="00AC3A25"/>
    <w:rsid w:val="00AC47FE"/>
    <w:rsid w:val="00AD5455"/>
    <w:rsid w:val="00AD5D12"/>
    <w:rsid w:val="00AE63D8"/>
    <w:rsid w:val="00AF19F6"/>
    <w:rsid w:val="00AF2FE6"/>
    <w:rsid w:val="00AF33B8"/>
    <w:rsid w:val="00AF51FB"/>
    <w:rsid w:val="00AF59A0"/>
    <w:rsid w:val="00B0328A"/>
    <w:rsid w:val="00B072EC"/>
    <w:rsid w:val="00B1007F"/>
    <w:rsid w:val="00B15433"/>
    <w:rsid w:val="00B15579"/>
    <w:rsid w:val="00B16973"/>
    <w:rsid w:val="00B20746"/>
    <w:rsid w:val="00B23F11"/>
    <w:rsid w:val="00B24081"/>
    <w:rsid w:val="00B24F06"/>
    <w:rsid w:val="00B2572B"/>
    <w:rsid w:val="00B31092"/>
    <w:rsid w:val="00B314F5"/>
    <w:rsid w:val="00B34939"/>
    <w:rsid w:val="00B372B2"/>
    <w:rsid w:val="00B41FC7"/>
    <w:rsid w:val="00B4361E"/>
    <w:rsid w:val="00B43E5C"/>
    <w:rsid w:val="00B52469"/>
    <w:rsid w:val="00B52BBA"/>
    <w:rsid w:val="00B536F5"/>
    <w:rsid w:val="00B609DD"/>
    <w:rsid w:val="00B64984"/>
    <w:rsid w:val="00B6708B"/>
    <w:rsid w:val="00B70989"/>
    <w:rsid w:val="00B73C62"/>
    <w:rsid w:val="00B80CB5"/>
    <w:rsid w:val="00B81148"/>
    <w:rsid w:val="00B81A9F"/>
    <w:rsid w:val="00B826D4"/>
    <w:rsid w:val="00B8300C"/>
    <w:rsid w:val="00B84C25"/>
    <w:rsid w:val="00B84DCA"/>
    <w:rsid w:val="00B8736D"/>
    <w:rsid w:val="00B90599"/>
    <w:rsid w:val="00B96520"/>
    <w:rsid w:val="00B979C5"/>
    <w:rsid w:val="00BA2079"/>
    <w:rsid w:val="00BA5071"/>
    <w:rsid w:val="00BB25A7"/>
    <w:rsid w:val="00BB73D9"/>
    <w:rsid w:val="00BC05A7"/>
    <w:rsid w:val="00BC130C"/>
    <w:rsid w:val="00BC2E14"/>
    <w:rsid w:val="00BC4740"/>
    <w:rsid w:val="00BD0E4A"/>
    <w:rsid w:val="00BD1EF0"/>
    <w:rsid w:val="00BD2AF9"/>
    <w:rsid w:val="00BE5BE2"/>
    <w:rsid w:val="00BE5E8F"/>
    <w:rsid w:val="00BE65AD"/>
    <w:rsid w:val="00BE6BA0"/>
    <w:rsid w:val="00BF1134"/>
    <w:rsid w:val="00BF1F46"/>
    <w:rsid w:val="00BF4954"/>
    <w:rsid w:val="00C0213C"/>
    <w:rsid w:val="00C04EEF"/>
    <w:rsid w:val="00C06A23"/>
    <w:rsid w:val="00C06EC0"/>
    <w:rsid w:val="00C07153"/>
    <w:rsid w:val="00C10A6F"/>
    <w:rsid w:val="00C12301"/>
    <w:rsid w:val="00C137F7"/>
    <w:rsid w:val="00C140E3"/>
    <w:rsid w:val="00C156FF"/>
    <w:rsid w:val="00C17B63"/>
    <w:rsid w:val="00C22BC6"/>
    <w:rsid w:val="00C2539B"/>
    <w:rsid w:val="00C4714B"/>
    <w:rsid w:val="00C51D6B"/>
    <w:rsid w:val="00C52194"/>
    <w:rsid w:val="00C522CB"/>
    <w:rsid w:val="00C54DB5"/>
    <w:rsid w:val="00C57330"/>
    <w:rsid w:val="00C60571"/>
    <w:rsid w:val="00C61601"/>
    <w:rsid w:val="00C64B86"/>
    <w:rsid w:val="00C71AA6"/>
    <w:rsid w:val="00C75F8B"/>
    <w:rsid w:val="00C80168"/>
    <w:rsid w:val="00C83964"/>
    <w:rsid w:val="00C85970"/>
    <w:rsid w:val="00C90CE3"/>
    <w:rsid w:val="00C96BEE"/>
    <w:rsid w:val="00CA19AC"/>
    <w:rsid w:val="00CA7A36"/>
    <w:rsid w:val="00CB3DE1"/>
    <w:rsid w:val="00CB4873"/>
    <w:rsid w:val="00CC045C"/>
    <w:rsid w:val="00CC0CFC"/>
    <w:rsid w:val="00CC26E0"/>
    <w:rsid w:val="00CC4011"/>
    <w:rsid w:val="00CC5D48"/>
    <w:rsid w:val="00CC6444"/>
    <w:rsid w:val="00CC6A1D"/>
    <w:rsid w:val="00CC7037"/>
    <w:rsid w:val="00CC762D"/>
    <w:rsid w:val="00CD7D52"/>
    <w:rsid w:val="00CF064B"/>
    <w:rsid w:val="00CF3207"/>
    <w:rsid w:val="00D00BEA"/>
    <w:rsid w:val="00D011DC"/>
    <w:rsid w:val="00D07A81"/>
    <w:rsid w:val="00D07D36"/>
    <w:rsid w:val="00D12AC3"/>
    <w:rsid w:val="00D169A2"/>
    <w:rsid w:val="00D20381"/>
    <w:rsid w:val="00D21133"/>
    <w:rsid w:val="00D22DBD"/>
    <w:rsid w:val="00D24FDB"/>
    <w:rsid w:val="00D332DB"/>
    <w:rsid w:val="00D35A74"/>
    <w:rsid w:val="00D36076"/>
    <w:rsid w:val="00D36AAA"/>
    <w:rsid w:val="00D37DB9"/>
    <w:rsid w:val="00D412BE"/>
    <w:rsid w:val="00D43374"/>
    <w:rsid w:val="00D44373"/>
    <w:rsid w:val="00D51013"/>
    <w:rsid w:val="00D526E9"/>
    <w:rsid w:val="00D54A11"/>
    <w:rsid w:val="00D67937"/>
    <w:rsid w:val="00D719EC"/>
    <w:rsid w:val="00D755DA"/>
    <w:rsid w:val="00D7765D"/>
    <w:rsid w:val="00D80F95"/>
    <w:rsid w:val="00D87521"/>
    <w:rsid w:val="00D90BA0"/>
    <w:rsid w:val="00DA194D"/>
    <w:rsid w:val="00DA472A"/>
    <w:rsid w:val="00DA5000"/>
    <w:rsid w:val="00DA633C"/>
    <w:rsid w:val="00DA67F1"/>
    <w:rsid w:val="00DB47A0"/>
    <w:rsid w:val="00DB4BB4"/>
    <w:rsid w:val="00DB572B"/>
    <w:rsid w:val="00DC049A"/>
    <w:rsid w:val="00DC2C85"/>
    <w:rsid w:val="00DC5CAD"/>
    <w:rsid w:val="00DC62E1"/>
    <w:rsid w:val="00DC79E7"/>
    <w:rsid w:val="00DD084A"/>
    <w:rsid w:val="00DD0FFB"/>
    <w:rsid w:val="00DD2A3F"/>
    <w:rsid w:val="00DE18C2"/>
    <w:rsid w:val="00DE1D96"/>
    <w:rsid w:val="00DF045D"/>
    <w:rsid w:val="00DF253C"/>
    <w:rsid w:val="00E00ECB"/>
    <w:rsid w:val="00E02294"/>
    <w:rsid w:val="00E02B98"/>
    <w:rsid w:val="00E14B87"/>
    <w:rsid w:val="00E16C3E"/>
    <w:rsid w:val="00E179ED"/>
    <w:rsid w:val="00E17D59"/>
    <w:rsid w:val="00E20B86"/>
    <w:rsid w:val="00E2127D"/>
    <w:rsid w:val="00E21BB5"/>
    <w:rsid w:val="00E22492"/>
    <w:rsid w:val="00E22886"/>
    <w:rsid w:val="00E22D5F"/>
    <w:rsid w:val="00E24EF2"/>
    <w:rsid w:val="00E32FFA"/>
    <w:rsid w:val="00E35623"/>
    <w:rsid w:val="00E41168"/>
    <w:rsid w:val="00E423D2"/>
    <w:rsid w:val="00E42D56"/>
    <w:rsid w:val="00E46A7A"/>
    <w:rsid w:val="00E471C9"/>
    <w:rsid w:val="00E568B3"/>
    <w:rsid w:val="00E61F2C"/>
    <w:rsid w:val="00E65938"/>
    <w:rsid w:val="00E6610A"/>
    <w:rsid w:val="00E71D16"/>
    <w:rsid w:val="00E754BB"/>
    <w:rsid w:val="00E756BD"/>
    <w:rsid w:val="00E8037B"/>
    <w:rsid w:val="00E81C7D"/>
    <w:rsid w:val="00E91C69"/>
    <w:rsid w:val="00E925C7"/>
    <w:rsid w:val="00E96591"/>
    <w:rsid w:val="00EA091D"/>
    <w:rsid w:val="00EA3961"/>
    <w:rsid w:val="00EA4D76"/>
    <w:rsid w:val="00EA5F48"/>
    <w:rsid w:val="00EA7FEC"/>
    <w:rsid w:val="00EB287D"/>
    <w:rsid w:val="00EB4FC0"/>
    <w:rsid w:val="00EB72A6"/>
    <w:rsid w:val="00ED0421"/>
    <w:rsid w:val="00ED1B28"/>
    <w:rsid w:val="00ED4413"/>
    <w:rsid w:val="00EE4131"/>
    <w:rsid w:val="00EE5249"/>
    <w:rsid w:val="00EF0E09"/>
    <w:rsid w:val="00EF4882"/>
    <w:rsid w:val="00EF49C3"/>
    <w:rsid w:val="00EF6314"/>
    <w:rsid w:val="00F00165"/>
    <w:rsid w:val="00F00339"/>
    <w:rsid w:val="00F02B89"/>
    <w:rsid w:val="00F04F84"/>
    <w:rsid w:val="00F04FC9"/>
    <w:rsid w:val="00F0763B"/>
    <w:rsid w:val="00F13F30"/>
    <w:rsid w:val="00F14508"/>
    <w:rsid w:val="00F15267"/>
    <w:rsid w:val="00F159A6"/>
    <w:rsid w:val="00F17499"/>
    <w:rsid w:val="00F20EA7"/>
    <w:rsid w:val="00F221FB"/>
    <w:rsid w:val="00F22C35"/>
    <w:rsid w:val="00F2356C"/>
    <w:rsid w:val="00F2376B"/>
    <w:rsid w:val="00F30659"/>
    <w:rsid w:val="00F34AC2"/>
    <w:rsid w:val="00F34CEA"/>
    <w:rsid w:val="00F4019D"/>
    <w:rsid w:val="00F4480D"/>
    <w:rsid w:val="00F45EE2"/>
    <w:rsid w:val="00F46E4F"/>
    <w:rsid w:val="00F52691"/>
    <w:rsid w:val="00F57A86"/>
    <w:rsid w:val="00F65F87"/>
    <w:rsid w:val="00F70785"/>
    <w:rsid w:val="00F83380"/>
    <w:rsid w:val="00F84237"/>
    <w:rsid w:val="00F8494B"/>
    <w:rsid w:val="00F865A8"/>
    <w:rsid w:val="00F8774B"/>
    <w:rsid w:val="00F903E1"/>
    <w:rsid w:val="00F93A2C"/>
    <w:rsid w:val="00F94E0C"/>
    <w:rsid w:val="00FA1728"/>
    <w:rsid w:val="00FA35D7"/>
    <w:rsid w:val="00FA4ED5"/>
    <w:rsid w:val="00FA63D1"/>
    <w:rsid w:val="00FB1CD4"/>
    <w:rsid w:val="00FB597A"/>
    <w:rsid w:val="00FC01AA"/>
    <w:rsid w:val="00FC38F8"/>
    <w:rsid w:val="00FC5A05"/>
    <w:rsid w:val="00FC7122"/>
    <w:rsid w:val="00FC7ACD"/>
    <w:rsid w:val="00FD06AC"/>
    <w:rsid w:val="00FD3E3F"/>
    <w:rsid w:val="00FD7977"/>
    <w:rsid w:val="00FE1A87"/>
    <w:rsid w:val="00FE328C"/>
    <w:rsid w:val="00FE5DFF"/>
    <w:rsid w:val="00FF05B0"/>
    <w:rsid w:val="00FF0A22"/>
    <w:rsid w:val="00FF27B2"/>
    <w:rsid w:val="00FF3A41"/>
    <w:rsid w:val="00FF4EA2"/>
    <w:rsid w:val="00FF5F73"/>
    <w:rsid w:val="00FF60A9"/>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237771"/>
  <w15:docId w15:val="{7ABBE7E5-9735-448A-80DE-B40C0A9E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semiHidden/>
    <w:unhideWhenUsed/>
    <w:rsid w:val="00641FFB"/>
    <w:pPr>
      <w:numPr>
        <w:numId w:val="1"/>
      </w:numPr>
      <w:contextualSpacing/>
    </w:pPr>
  </w:style>
  <w:style w:type="paragraph" w:styleId="ListBullet">
    <w:name w:val="List Bullet"/>
    <w:basedOn w:val="Normal"/>
    <w:uiPriority w:val="99"/>
    <w:semiHidden/>
    <w:unhideWhenUsed/>
    <w:rsid w:val="0023716D"/>
    <w:pPr>
      <w:numPr>
        <w:numId w:val="2"/>
      </w:numPr>
      <w:contextualSpacing/>
    </w:pPr>
  </w:style>
  <w:style w:type="paragraph" w:styleId="ListBullet2">
    <w:name w:val="List Bullet 2"/>
    <w:basedOn w:val="Normal"/>
    <w:uiPriority w:val="99"/>
    <w:semiHidden/>
    <w:unhideWhenUsed/>
    <w:rsid w:val="0023716D"/>
    <w:pPr>
      <w:numPr>
        <w:numId w:val="3"/>
      </w:numPr>
      <w:contextualSpacing/>
    </w:pPr>
  </w:style>
  <w:style w:type="paragraph" w:styleId="ListBullet4">
    <w:name w:val="List Bullet 4"/>
    <w:basedOn w:val="Normal"/>
    <w:uiPriority w:val="99"/>
    <w:semiHidden/>
    <w:unhideWhenUsed/>
    <w:rsid w:val="0023716D"/>
    <w:pPr>
      <w:numPr>
        <w:numId w:val="4"/>
      </w:numPr>
      <w:contextualSpacing/>
    </w:pPr>
  </w:style>
  <w:style w:type="character" w:styleId="Emphasis">
    <w:name w:val="Emphasis"/>
    <w:basedOn w:val="DefaultParagraphFont"/>
    <w:uiPriority w:val="20"/>
    <w:qFormat/>
    <w:rsid w:val="0023716D"/>
    <w:rPr>
      <w:i/>
    </w:rPr>
  </w:style>
  <w:style w:type="character" w:styleId="Hyperlink">
    <w:name w:val="Hyperlink"/>
    <w:rsid w:val="00EF0E09"/>
    <w:rPr>
      <w:u w:val="single"/>
    </w:rPr>
  </w:style>
  <w:style w:type="numbering" w:customStyle="1" w:styleId="ImportedStyle3">
    <w:name w:val="Imported Style 3"/>
    <w:rsid w:val="00EF0E09"/>
    <w:pPr>
      <w:numPr>
        <w:numId w:val="5"/>
      </w:numPr>
    </w:pPr>
  </w:style>
  <w:style w:type="character" w:customStyle="1" w:styleId="oj-italic">
    <w:name w:val="oj-italic"/>
    <w:basedOn w:val="DefaultParagraphFont"/>
    <w:rsid w:val="00A90D06"/>
  </w:style>
  <w:style w:type="character" w:styleId="Strong">
    <w:name w:val="Strong"/>
    <w:basedOn w:val="DefaultParagraphFont"/>
    <w:uiPriority w:val="22"/>
    <w:qFormat/>
    <w:rsid w:val="00B072EC"/>
    <w:rPr>
      <w:b/>
    </w:rPr>
  </w:style>
  <w:style w:type="paragraph" w:styleId="ListParagraph">
    <w:name w:val="List Paragraph"/>
    <w:basedOn w:val="Normal"/>
    <w:uiPriority w:val="34"/>
    <w:qFormat/>
    <w:rsid w:val="00040257"/>
    <w:pPr>
      <w:ind w:left="720"/>
      <w:contextualSpacing/>
    </w:pPr>
  </w:style>
  <w:style w:type="character" w:styleId="CommentReference">
    <w:name w:val="annotation reference"/>
    <w:basedOn w:val="DefaultParagraphFont"/>
    <w:uiPriority w:val="99"/>
    <w:semiHidden/>
    <w:unhideWhenUsed/>
    <w:rsid w:val="00423294"/>
    <w:rPr>
      <w:sz w:val="16"/>
    </w:rPr>
  </w:style>
  <w:style w:type="paragraph" w:styleId="CommentText">
    <w:name w:val="annotation text"/>
    <w:basedOn w:val="Normal"/>
    <w:link w:val="CommentTextChar"/>
    <w:uiPriority w:val="99"/>
    <w:unhideWhenUsed/>
    <w:rsid w:val="00423294"/>
    <w:rPr>
      <w:sz w:val="20"/>
    </w:rPr>
  </w:style>
  <w:style w:type="character" w:customStyle="1" w:styleId="CommentTextChar">
    <w:name w:val="Comment Text Char"/>
    <w:basedOn w:val="DefaultParagraphFont"/>
    <w:link w:val="CommentText"/>
    <w:uiPriority w:val="99"/>
    <w:rsid w:val="00423294"/>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423294"/>
    <w:rPr>
      <w:b/>
    </w:rPr>
  </w:style>
  <w:style w:type="character" w:customStyle="1" w:styleId="CommentSubjectChar">
    <w:name w:val="Comment Subject Char"/>
    <w:basedOn w:val="CommentTextChar"/>
    <w:link w:val="CommentSubject"/>
    <w:uiPriority w:val="99"/>
    <w:semiHidden/>
    <w:rsid w:val="00423294"/>
    <w:rPr>
      <w:rFonts w:ascii="Times New Roman" w:hAnsi="Times New Roman" w:cs="Times New Roman"/>
      <w:b/>
      <w:sz w:val="20"/>
    </w:rPr>
  </w:style>
  <w:style w:type="paragraph" w:styleId="BalloonText">
    <w:name w:val="Balloon Text"/>
    <w:basedOn w:val="Normal"/>
    <w:link w:val="BalloonTextChar"/>
    <w:uiPriority w:val="99"/>
    <w:semiHidden/>
    <w:unhideWhenUsed/>
    <w:rsid w:val="00423294"/>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423294"/>
    <w:rPr>
      <w:rFonts w:ascii="Segoe UI" w:hAnsi="Segoe UI" w:cs="Segoe UI"/>
      <w:sz w:val="18"/>
    </w:rPr>
  </w:style>
  <w:style w:type="paragraph" w:customStyle="1" w:styleId="modref">
    <w:name w:val="modref"/>
    <w:basedOn w:val="Normal"/>
    <w:rsid w:val="008A402A"/>
    <w:pPr>
      <w:spacing w:before="100" w:beforeAutospacing="1" w:after="100" w:afterAutospacing="1"/>
      <w:jc w:val="left"/>
    </w:pPr>
  </w:style>
  <w:style w:type="paragraph" w:customStyle="1" w:styleId="norm">
    <w:name w:val="norm"/>
    <w:basedOn w:val="Normal"/>
    <w:rsid w:val="008A402A"/>
    <w:pPr>
      <w:spacing w:before="100" w:beforeAutospacing="1" w:after="100" w:afterAutospacing="1"/>
      <w:jc w:val="left"/>
    </w:pPr>
  </w:style>
  <w:style w:type="character" w:customStyle="1" w:styleId="boldface">
    <w:name w:val="boldface"/>
    <w:basedOn w:val="DefaultParagraphFont"/>
    <w:rsid w:val="00D00BEA"/>
  </w:style>
  <w:style w:type="table" w:styleId="TableGrid">
    <w:name w:val="Table Grid"/>
    <w:basedOn w:val="TableNormal"/>
    <w:uiPriority w:val="59"/>
    <w:rsid w:val="00C85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C2E14"/>
  </w:style>
  <w:style w:type="paragraph" w:customStyle="1" w:styleId="LegalNumPar">
    <w:name w:val="LegalNumPar"/>
    <w:basedOn w:val="Normal"/>
    <w:rsid w:val="001F4EF3"/>
    <w:pPr>
      <w:numPr>
        <w:numId w:val="7"/>
      </w:numPr>
      <w:spacing w:line="360" w:lineRule="auto"/>
    </w:pPr>
  </w:style>
  <w:style w:type="paragraph" w:customStyle="1" w:styleId="LegalNumPar2">
    <w:name w:val="LegalNumPar2"/>
    <w:basedOn w:val="Normal"/>
    <w:rsid w:val="001F4EF3"/>
    <w:pPr>
      <w:numPr>
        <w:ilvl w:val="1"/>
        <w:numId w:val="7"/>
      </w:numPr>
      <w:spacing w:line="360" w:lineRule="auto"/>
    </w:pPr>
  </w:style>
  <w:style w:type="paragraph" w:customStyle="1" w:styleId="LegalNumPar3">
    <w:name w:val="LegalNumPar3"/>
    <w:basedOn w:val="Normal"/>
    <w:rsid w:val="001F4EF3"/>
    <w:pPr>
      <w:numPr>
        <w:ilvl w:val="2"/>
        <w:numId w:val="7"/>
      </w:numPr>
      <w:spacing w:line="360" w:lineRule="auto"/>
    </w:pPr>
  </w:style>
  <w:style w:type="paragraph" w:styleId="Caption">
    <w:name w:val="caption"/>
    <w:basedOn w:val="Normal"/>
    <w:next w:val="Normal"/>
    <w:uiPriority w:val="35"/>
    <w:semiHidden/>
    <w:unhideWhenUsed/>
    <w:qFormat/>
    <w:rsid w:val="007D5894"/>
    <w:pPr>
      <w:spacing w:before="0" w:after="200"/>
    </w:pPr>
    <w:rPr>
      <w:i/>
      <w:color w:val="1F497D" w:themeColor="text2"/>
      <w:sz w:val="18"/>
    </w:rPr>
  </w:style>
  <w:style w:type="paragraph" w:styleId="TableofFigures">
    <w:name w:val="table of figures"/>
    <w:basedOn w:val="Normal"/>
    <w:next w:val="Normal"/>
    <w:uiPriority w:val="99"/>
    <w:semiHidden/>
    <w:unhideWhenUsed/>
    <w:rsid w:val="007D5894"/>
    <w:pPr>
      <w:spacing w:after="0"/>
    </w:pPr>
  </w:style>
  <w:style w:type="paragraph" w:styleId="ListNumber">
    <w:name w:val="List Number"/>
    <w:basedOn w:val="Normal"/>
    <w:uiPriority w:val="99"/>
    <w:semiHidden/>
    <w:unhideWhenUsed/>
    <w:rsid w:val="007D5894"/>
    <w:pPr>
      <w:numPr>
        <w:numId w:val="10"/>
      </w:numPr>
      <w:contextualSpacing/>
    </w:pPr>
  </w:style>
  <w:style w:type="paragraph" w:styleId="ListNumber2">
    <w:name w:val="List Number 2"/>
    <w:basedOn w:val="Normal"/>
    <w:uiPriority w:val="99"/>
    <w:semiHidden/>
    <w:unhideWhenUsed/>
    <w:rsid w:val="007D5894"/>
    <w:pPr>
      <w:numPr>
        <w:numId w:val="11"/>
      </w:numPr>
      <w:contextualSpacing/>
    </w:pPr>
  </w:style>
  <w:style w:type="paragraph" w:styleId="ListNumber3">
    <w:name w:val="List Number 3"/>
    <w:basedOn w:val="Normal"/>
    <w:uiPriority w:val="99"/>
    <w:semiHidden/>
    <w:unhideWhenUsed/>
    <w:rsid w:val="007D5894"/>
    <w:pPr>
      <w:numPr>
        <w:numId w:val="12"/>
      </w:numPr>
      <w:contextualSpacing/>
    </w:pPr>
  </w:style>
  <w:style w:type="paragraph" w:styleId="ListNumber4">
    <w:name w:val="List Number 4"/>
    <w:basedOn w:val="Normal"/>
    <w:uiPriority w:val="99"/>
    <w:semiHidden/>
    <w:unhideWhenUsed/>
    <w:rsid w:val="007D5894"/>
    <w:pPr>
      <w:numPr>
        <w:numId w:val="13"/>
      </w:numPr>
      <w:contextualSpacing/>
    </w:pPr>
  </w:style>
  <w:style w:type="paragraph" w:styleId="Revision">
    <w:name w:val="Revision"/>
    <w:hidden/>
    <w:uiPriority w:val="99"/>
    <w:semiHidden/>
    <w:rsid w:val="00A407E9"/>
    <w:pPr>
      <w:spacing w:after="0" w:line="240" w:lineRule="auto"/>
    </w:pPr>
    <w:rPr>
      <w:rFonts w:ascii="Times New Roman" w:hAnsi="Times New Roman" w:cs="Times New Roman"/>
      <w:sz w:val="24"/>
    </w:rPr>
  </w:style>
  <w:style w:type="character" w:customStyle="1" w:styleId="UnresolvedMention">
    <w:name w:val="Unresolved Mention"/>
    <w:basedOn w:val="DefaultParagraphFont"/>
    <w:uiPriority w:val="99"/>
    <w:semiHidden/>
    <w:unhideWhenUsed/>
    <w:rsid w:val="006957A1"/>
    <w:rPr>
      <w:color w:val="605E5C"/>
      <w:shd w:val="clear" w:color="auto" w:fill="E1DFDD"/>
    </w:rPr>
  </w:style>
  <w:style w:type="paragraph" w:styleId="Header">
    <w:name w:val="header"/>
    <w:basedOn w:val="Normal"/>
    <w:link w:val="HeaderChar"/>
    <w:uiPriority w:val="99"/>
    <w:unhideWhenUsed/>
    <w:rsid w:val="00351031"/>
    <w:pPr>
      <w:tabs>
        <w:tab w:val="center" w:pos="4535"/>
        <w:tab w:val="right" w:pos="9071"/>
      </w:tabs>
      <w:spacing w:before="0"/>
    </w:pPr>
  </w:style>
  <w:style w:type="character" w:customStyle="1" w:styleId="HeaderChar">
    <w:name w:val="Header Char"/>
    <w:basedOn w:val="DefaultParagraphFont"/>
    <w:link w:val="Header"/>
    <w:uiPriority w:val="99"/>
    <w:rsid w:val="00351031"/>
    <w:rPr>
      <w:rFonts w:ascii="Times New Roman" w:hAnsi="Times New Roman" w:cs="Times New Roman"/>
      <w:sz w:val="24"/>
      <w:lang w:val="pl-PL"/>
    </w:rPr>
  </w:style>
  <w:style w:type="paragraph" w:styleId="Footer">
    <w:name w:val="footer"/>
    <w:basedOn w:val="Normal"/>
    <w:link w:val="FooterChar"/>
    <w:uiPriority w:val="99"/>
    <w:unhideWhenUsed/>
    <w:rsid w:val="0035103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51031"/>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351031"/>
    <w:pPr>
      <w:tabs>
        <w:tab w:val="center" w:pos="7285"/>
        <w:tab w:val="right" w:pos="14003"/>
      </w:tabs>
      <w:spacing w:before="0"/>
    </w:pPr>
  </w:style>
  <w:style w:type="paragraph" w:customStyle="1" w:styleId="FooterLandscape">
    <w:name w:val="FooterLandscape"/>
    <w:basedOn w:val="Normal"/>
    <w:rsid w:val="0035103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5103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51031"/>
    <w:pPr>
      <w:spacing w:before="0"/>
      <w:jc w:val="right"/>
    </w:pPr>
    <w:rPr>
      <w:sz w:val="28"/>
    </w:rPr>
  </w:style>
  <w:style w:type="paragraph" w:customStyle="1" w:styleId="FooterSensitivity">
    <w:name w:val="Footer Sensitivity"/>
    <w:basedOn w:val="Normal"/>
    <w:rsid w:val="0035103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Tiret5">
    <w:name w:val="Tiret 5"/>
    <w:basedOn w:val="Point5"/>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NumPar5">
    <w:name w:val="NumPar 5"/>
    <w:basedOn w:val="Normal"/>
    <w:next w:val="Text2"/>
    <w:pPr>
      <w:numPr>
        <w:ilvl w:val="4"/>
        <w:numId w:val="37"/>
      </w:numPr>
    </w:pPr>
  </w:style>
  <w:style w:type="paragraph" w:customStyle="1" w:styleId="NumPar6">
    <w:name w:val="NumPar 6"/>
    <w:basedOn w:val="Normal"/>
    <w:next w:val="Text2"/>
    <w:pPr>
      <w:numPr>
        <w:ilvl w:val="5"/>
        <w:numId w:val="37"/>
      </w:numPr>
    </w:pPr>
  </w:style>
  <w:style w:type="paragraph" w:customStyle="1" w:styleId="NumPar7">
    <w:name w:val="NumPar 7"/>
    <w:basedOn w:val="Normal"/>
    <w:next w:val="Text2"/>
    <w:pPr>
      <w:numPr>
        <w:ilvl w:val="6"/>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DA67F1"/>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94316">
      <w:bodyDiv w:val="1"/>
      <w:marLeft w:val="0"/>
      <w:marRight w:val="0"/>
      <w:marTop w:val="0"/>
      <w:marBottom w:val="0"/>
      <w:divBdr>
        <w:top w:val="none" w:sz="0" w:space="0" w:color="auto"/>
        <w:left w:val="none" w:sz="0" w:space="0" w:color="auto"/>
        <w:bottom w:val="none" w:sz="0" w:space="0" w:color="auto"/>
        <w:right w:val="none" w:sz="0" w:space="0" w:color="auto"/>
      </w:divBdr>
    </w:div>
    <w:div w:id="19893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uroparl.europa.eu/doceo/document/O-9-2022-000043_PL.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health.ec.europa.eu/latest-updates/mdcg-2022-14-transition-mdr-and-ivdr-notified-body-capacity-and-availability-medical-devices-and-2022-08-26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ec.europa.eu/latest-updates/mdcg-2022-14-transition-mdr-and-ivdr-notified-body-capacity-and-availability-medical-devices-and-2022-08-26_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ebgate.ec.europa.eu/regdel/%23/home?lang=pl" TargetMode="External"/><Relationship Id="rId3" Type="http://schemas.openxmlformats.org/officeDocument/2006/relationships/hyperlink" Target="https://health.ec.europa.eu/system/files/2022-08/mdcg_2022-14_en.pdf" TargetMode="External"/><Relationship Id="rId7" Type="http://schemas.openxmlformats.org/officeDocument/2006/relationships/hyperlink" Target="https://health.ec.europa.eu/system/files/2022-10/md_mdcg_qa_requirements_notified_bodies_en.pdf" TargetMode="External"/><Relationship Id="rId12" Type="http://schemas.openxmlformats.org/officeDocument/2006/relationships/hyperlink" Target="https://data.consilium.europa.eu/doc/document/ST-15520-2022-INIT/en/pdf" TargetMode="External"/><Relationship Id="rId2" Type="http://schemas.openxmlformats.org/officeDocument/2006/relationships/hyperlink" Target="https://ec.europa.eu/transparency/expert-groups-register/screen/expert-groups/consult?lang=pl&amp;groupID=3565" TargetMode="External"/><Relationship Id="rId1" Type="http://schemas.openxmlformats.org/officeDocument/2006/relationships/hyperlink" Target="https://eur-lex.europa.eu/legal-content/PL/AUTO/?uri=OJ:L:2017:117:TOC" TargetMode="External"/><Relationship Id="rId6" Type="http://schemas.openxmlformats.org/officeDocument/2006/relationships/hyperlink" Target="https://health.ec.europa.eu/system/files/2022-12/mdcg_2022-4_en.pdf" TargetMode="External"/><Relationship Id="rId11" Type="http://schemas.openxmlformats.org/officeDocument/2006/relationships/hyperlink" Target="https://health.ec.europa.eu/system/files/2022-12/mdcg_2022-18_en.pdf" TargetMode="External"/><Relationship Id="rId5" Type="http://schemas.openxmlformats.org/officeDocument/2006/relationships/hyperlink" Target="https://health.ec.europa.eu/system/files/2022-09/mdcg_2022-15_en.pdf" TargetMode="External"/><Relationship Id="rId10" Type="http://schemas.openxmlformats.org/officeDocument/2006/relationships/hyperlink" Target="https://health.ec.europa.eu/publications/2023-eu4health-work-programme_en" TargetMode="External"/><Relationship Id="rId4" Type="http://schemas.openxmlformats.org/officeDocument/2006/relationships/hyperlink" Target="https://health.ec.europa.eu/system/files/2022-12/mdcg_2022-17_en_0.pdf" TargetMode="External"/><Relationship Id="rId9" Type="http://schemas.openxmlformats.org/officeDocument/2006/relationships/hyperlink" Target="https://health.ec.europa.eu/publications/2022-eu4health-work-programme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fdbef3ee50b1532340ce198a39db8051">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9995e571ff646e7c305483716c723bce"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A78FE-739E-4C66-8D58-6946DEC8345B}">
  <ds:schemaRefs>
    <ds:schemaRef ds:uri="http://schemas.microsoft.com/sharepoint/v3/fields"/>
    <ds:schemaRef ds:uri="http://purl.org/dc/elements/1.1/"/>
    <ds:schemaRef ds:uri="39d607b5-3019-4139-86e9-2e131faaffa8"/>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379e0a09-5deb-44c7-a703-b352a170740d"/>
    <ds:schemaRef ds:uri="http://www.w3.org/XML/1998/namespace"/>
  </ds:schemaRefs>
</ds:datastoreItem>
</file>

<file path=customXml/itemProps2.xml><?xml version="1.0" encoding="utf-8"?>
<ds:datastoreItem xmlns:ds="http://schemas.openxmlformats.org/officeDocument/2006/customXml" ds:itemID="{7871E691-303D-4402-8B59-0D00EB6C9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99E5F-2647-4D6F-AF12-6E37E2154A9C}">
  <ds:schemaRefs>
    <ds:schemaRef ds:uri="http://schemas.microsoft.com/sharepoint/v3/contenttype/forms"/>
  </ds:schemaRefs>
</ds:datastoreItem>
</file>

<file path=customXml/itemProps4.xml><?xml version="1.0" encoding="utf-8"?>
<ds:datastoreItem xmlns:ds="http://schemas.openxmlformats.org/officeDocument/2006/customXml" ds:itemID="{512C75A5-94FB-4F53-990B-FA7E6B5CA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25</TotalTime>
  <Pages>18</Pages>
  <Words>5490</Words>
  <Characters>34699</Characters>
  <Application>Microsoft Office Word</Application>
  <DocSecurity>0</DocSecurity>
  <Lines>630</Lines>
  <Paragraphs>164</Paragraphs>
  <ScaleCrop>false</ScaleCrop>
  <HeadingPairs>
    <vt:vector size="2" baseType="variant">
      <vt:variant>
        <vt:lpstr>Title</vt:lpstr>
      </vt:variant>
      <vt:variant>
        <vt:i4>1</vt:i4>
      </vt:variant>
    </vt:vector>
  </HeadingPairs>
  <TitlesOfParts>
    <vt:vector size="1" baseType="lpstr">
      <vt:lpstr>MDR IVDR amendment_Jan. 2023</vt:lpstr>
    </vt:vector>
  </TitlesOfParts>
  <Manager/>
  <Company/>
  <LinksUpToDate>false</LinksUpToDate>
  <CharactersWithSpaces>40025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 IVDR amendment_Jan. 2023</dc:title>
  <dc:subject>-</dc:subject>
  <dc:creator/>
  <cp:keywords/>
  <dc:description/>
  <cp:lastModifiedBy>EC CoDe</cp:lastModifiedBy>
  <cp:revision>51</cp:revision>
  <dcterms:created xsi:type="dcterms:W3CDTF">2023-01-03T10:59:00Z</dcterms:created>
  <dcterms:modified xsi:type="dcterms:W3CDTF">2023-01-20T16:27:00Z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2022-12-11T23:09:23Z</vt:lpwstr>
  </property>
  <property fmtid="{D5CDD505-2E9C-101B-9397-08002B2CF9AE}" pid="12" name="MSIP_Label_6bd9ddd1-4d20-43f6-abfa-fc3c07406f94_Method">
    <vt:lpwstr>Privileged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c5ce8669-43ea-4dfa-b95b-69cbdc5768ca</vt:lpwstr>
  </property>
  <property fmtid="{D5CDD505-2E9C-101B-9397-08002B2CF9AE}" pid="16" name="MSIP_Label_6bd9ddd1-4d20-43f6-abfa-fc3c07406f94_ContentBits">
    <vt:lpwstr>0</vt:lpwstr>
  </property>
  <property fmtid="{D5CDD505-2E9C-101B-9397-08002B2CF9AE}" pid="17" name="ContentTypeId">
    <vt:lpwstr>0x010100258AA79CEB83498886A3A086811232500033285A78CCB54F4DA2ECE5FA2B2AF218</vt:lpwstr>
  </property>
  <property fmtid="{D5CDD505-2E9C-101B-9397-08002B2CF9AE}" pid="18" name="_dlc_DocIdItemGuid">
    <vt:lpwstr>0aa60522-d8fd-4d1f-9322-0a94995ccca0</vt:lpwstr>
  </property>
  <property fmtid="{D5CDD505-2E9C-101B-9397-08002B2CF9AE}" pid="19" name="TaxKeyword">
    <vt:lpwstr/>
  </property>
  <property fmtid="{D5CDD505-2E9C-101B-9397-08002B2CF9AE}" pid="20" name="SANTEDomain">
    <vt:lpwstr>1;#Medical devices|d8868a03-f4b3-4b7e-969f-8b2af4756016</vt:lpwstr>
  </property>
  <property fmtid="{D5CDD505-2E9C-101B-9397-08002B2CF9AE}" pid="21" name="_CopySource">
    <vt:lpwstr>2022-12-19_draft proposal MDR IVDR amendment_for ISC.docx</vt:lpwstr>
  </property>
  <property fmtid="{D5CDD505-2E9C-101B-9397-08002B2CF9AE}" pid="22" name="DQCStatus">
    <vt:lpwstr>Green (DQC version 03)</vt:lpwstr>
  </property>
</Properties>
</file>