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F78E" w14:textId="3AF675A2" w:rsidR="00315818" w:rsidRPr="00BC0DDA" w:rsidRDefault="001D3709" w:rsidP="001D3709">
      <w:pPr>
        <w:pStyle w:val="Pagedecouverture"/>
        <w:rPr>
          <w:noProof/>
        </w:rPr>
      </w:pPr>
      <w:r>
        <w:rPr>
          <w:noProof/>
        </w:rPr>
        <w:pict w14:anchorId="1C07E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4FD8C89-0525-40D2-B9E2-CF383373DFEA" style="width:455.45pt;height:465.5pt">
            <v:imagedata r:id="rId8" o:title=""/>
          </v:shape>
        </w:pict>
      </w:r>
    </w:p>
    <w:p w14:paraId="7E09AB7E" w14:textId="77777777" w:rsidR="00315818" w:rsidRPr="00BC0DDA" w:rsidRDefault="00315818" w:rsidP="00D627E2">
      <w:pPr>
        <w:rPr>
          <w:noProof/>
        </w:rPr>
        <w:sectPr w:rsidR="00315818" w:rsidRPr="00BC0DDA" w:rsidSect="001D370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40507B8" w14:textId="77777777" w:rsidR="00315818" w:rsidRPr="00BC0DDA" w:rsidRDefault="00984988" w:rsidP="00D627E2">
      <w:pPr>
        <w:pStyle w:val="Exposdesmotifstitre"/>
        <w:rPr>
          <w:noProof/>
        </w:rPr>
      </w:pPr>
      <w:r w:rsidRPr="00BC0DDA">
        <w:rPr>
          <w:noProof/>
        </w:rPr>
        <w:lastRenderedPageBreak/>
        <w:t>UZASADNIENIE</w:t>
      </w:r>
    </w:p>
    <w:p w14:paraId="6005FCED" w14:textId="77777777" w:rsidR="00315818" w:rsidRPr="00BC0DDA" w:rsidRDefault="00984988" w:rsidP="00D627E2">
      <w:pPr>
        <w:pStyle w:val="ManualHeading1"/>
        <w:rPr>
          <w:noProof/>
        </w:rPr>
      </w:pPr>
      <w:r w:rsidRPr="00BC0DDA">
        <w:rPr>
          <w:noProof/>
        </w:rPr>
        <w:t>1.</w:t>
      </w:r>
      <w:r w:rsidRPr="00BC0DDA">
        <w:rPr>
          <w:noProof/>
        </w:rPr>
        <w:tab/>
        <w:t>KONTEKST WNIOSKU</w:t>
      </w:r>
    </w:p>
    <w:p w14:paraId="60C4FD31" w14:textId="0E5A74C1" w:rsidR="00315818" w:rsidRPr="00BC0DDA" w:rsidRDefault="00984988" w:rsidP="00D627E2">
      <w:pPr>
        <w:pStyle w:val="ManualHeading2"/>
        <w:rPr>
          <w:rFonts w:eastAsia="Arial Unicode MS"/>
          <w:noProof/>
        </w:rPr>
      </w:pPr>
      <w:r w:rsidRPr="00BC0DDA">
        <w:rPr>
          <w:noProof/>
          <w:color w:val="000000"/>
          <w:u w:color="000000"/>
          <w:bdr w:val="nil"/>
        </w:rPr>
        <w:t>•</w:t>
      </w:r>
      <w:r w:rsidRPr="00BC0DDA">
        <w:rPr>
          <w:noProof/>
          <w:color w:val="000000"/>
          <w:u w:color="000000"/>
          <w:bdr w:val="nil"/>
        </w:rPr>
        <w:tab/>
      </w:r>
      <w:r w:rsidRPr="00BC0DDA">
        <w:rPr>
          <w:noProof/>
        </w:rPr>
        <w:t>Przyczyny</w:t>
      </w:r>
      <w:r w:rsidR="00BC0DDA" w:rsidRPr="00BC0DDA">
        <w:rPr>
          <w:noProof/>
        </w:rPr>
        <w:t xml:space="preserve"> i</w:t>
      </w:r>
      <w:r w:rsidR="00BC0DDA">
        <w:rPr>
          <w:noProof/>
        </w:rPr>
        <w:t> </w:t>
      </w:r>
      <w:r w:rsidR="00BC0DDA" w:rsidRPr="00BC0DDA">
        <w:rPr>
          <w:noProof/>
        </w:rPr>
        <w:t>cel</w:t>
      </w:r>
      <w:r w:rsidRPr="00BC0DDA">
        <w:rPr>
          <w:noProof/>
        </w:rPr>
        <w:t>e wniosku</w:t>
      </w:r>
    </w:p>
    <w:p w14:paraId="00322CA0" w14:textId="4A423ABF" w:rsidR="00315818" w:rsidRPr="00BC0DDA" w:rsidRDefault="004857F5" w:rsidP="00D627E2">
      <w:pPr>
        <w:rPr>
          <w:noProof/>
        </w:rPr>
      </w:pPr>
      <w:r w:rsidRPr="00BC0DDA">
        <w:rPr>
          <w:noProof/>
        </w:rPr>
        <w:t>Rozporządzenie Rady (UE) 2021/1173</w:t>
      </w:r>
      <w:r w:rsidR="00984988" w:rsidRPr="00BC0DDA">
        <w:rPr>
          <w:rStyle w:val="FootnoteReference"/>
          <w:noProof/>
        </w:rPr>
        <w:footnoteReference w:id="2"/>
      </w:r>
      <w:r w:rsidRPr="00BC0DDA">
        <w:rPr>
          <w:noProof/>
        </w:rPr>
        <w:t xml:space="preserve"> uchylające rozporządzenie Rady (UE) 2018/1488</w:t>
      </w:r>
      <w:r w:rsidR="00CC10FF" w:rsidRPr="00BC0DDA">
        <w:rPr>
          <w:rStyle w:val="FootnoteReference"/>
          <w:noProof/>
        </w:rPr>
        <w:footnoteReference w:id="3"/>
      </w:r>
      <w:r w:rsidRPr="00BC0DDA">
        <w:rPr>
          <w:noProof/>
        </w:rPr>
        <w:t>, ustanawia Wspólne Przedsięwzięcie</w:t>
      </w:r>
      <w:r w:rsidR="00BC0DDA" w:rsidRPr="00BC0DDA">
        <w:rPr>
          <w:noProof/>
        </w:rPr>
        <w:t xml:space="preserve"> w</w:t>
      </w:r>
      <w:r w:rsidR="00BC0DDA">
        <w:rPr>
          <w:noProof/>
        </w:rPr>
        <w:t> </w:t>
      </w:r>
      <w:r w:rsidR="00BC0DDA" w:rsidRPr="00BC0DDA">
        <w:rPr>
          <w:noProof/>
        </w:rPr>
        <w:t>dzi</w:t>
      </w:r>
      <w:r w:rsidRPr="00BC0DDA">
        <w:rPr>
          <w:noProof/>
        </w:rPr>
        <w:t>edzinie Europejskich Obliczeń Wielkiej Skali,</w:t>
      </w:r>
      <w:r w:rsidR="00BC0DDA" w:rsidRPr="00BC0DDA">
        <w:rPr>
          <w:noProof/>
        </w:rPr>
        <w:t xml:space="preserve"> a</w:t>
      </w:r>
      <w:r w:rsidR="00BC0DDA">
        <w:rPr>
          <w:noProof/>
        </w:rPr>
        <w:t> </w:t>
      </w:r>
      <w:r w:rsidR="00BC0DDA" w:rsidRPr="00BC0DDA">
        <w:rPr>
          <w:noProof/>
        </w:rPr>
        <w:t>tak</w:t>
      </w:r>
      <w:r w:rsidRPr="00BC0DDA">
        <w:rPr>
          <w:noProof/>
        </w:rPr>
        <w:t>że jego misję</w:t>
      </w:r>
      <w:r w:rsidR="00BC0DDA" w:rsidRPr="00BC0DDA">
        <w:rPr>
          <w:noProof/>
        </w:rPr>
        <w:t xml:space="preserve"> i</w:t>
      </w:r>
      <w:r w:rsidR="00BC0DDA">
        <w:rPr>
          <w:noProof/>
        </w:rPr>
        <w:t> </w:t>
      </w:r>
      <w:r w:rsidR="00BC0DDA" w:rsidRPr="00BC0DDA">
        <w:rPr>
          <w:noProof/>
        </w:rPr>
        <w:t>cel</w:t>
      </w:r>
      <w:r w:rsidRPr="00BC0DDA">
        <w:rPr>
          <w:noProof/>
        </w:rPr>
        <w:t>e. Misją Wspólnego Przedsięwzięcia jest opracowanie, uruchomienie, rozszerzanie</w:t>
      </w:r>
      <w:r w:rsidR="00BC0DDA" w:rsidRPr="00BC0DDA">
        <w:rPr>
          <w:noProof/>
        </w:rPr>
        <w:t xml:space="preserve"> i</w:t>
      </w:r>
      <w:r w:rsidR="00BC0DDA">
        <w:rPr>
          <w:noProof/>
        </w:rPr>
        <w:t> </w:t>
      </w:r>
      <w:r w:rsidR="00BC0DDA" w:rsidRPr="00BC0DDA">
        <w:rPr>
          <w:noProof/>
        </w:rPr>
        <w:t>utr</w:t>
      </w:r>
      <w:r w:rsidRPr="00BC0DDA">
        <w:rPr>
          <w:noProof/>
        </w:rPr>
        <w:t>zymywanie</w:t>
      </w:r>
      <w:r w:rsidR="00BC0DDA" w:rsidRPr="00BC0DDA">
        <w:rPr>
          <w:noProof/>
        </w:rPr>
        <w:t xml:space="preserve"> w</w:t>
      </w:r>
      <w:r w:rsidR="00BC0DDA">
        <w:rPr>
          <w:noProof/>
        </w:rPr>
        <w:t> </w:t>
      </w:r>
      <w:r w:rsidR="00BC0DDA" w:rsidRPr="00BC0DDA">
        <w:rPr>
          <w:noProof/>
        </w:rPr>
        <w:t>Uni</w:t>
      </w:r>
      <w:r w:rsidRPr="00BC0DDA">
        <w:rPr>
          <w:noProof/>
        </w:rPr>
        <w:t>i przodującego</w:t>
      </w:r>
      <w:r w:rsidR="00BC0DDA" w:rsidRPr="00BC0DDA">
        <w:rPr>
          <w:noProof/>
        </w:rPr>
        <w:t xml:space="preserve"> w</w:t>
      </w:r>
      <w:r w:rsidR="00BC0DDA">
        <w:rPr>
          <w:noProof/>
        </w:rPr>
        <w:t> </w:t>
      </w:r>
      <w:r w:rsidR="00BC0DDA" w:rsidRPr="00BC0DDA">
        <w:rPr>
          <w:noProof/>
        </w:rPr>
        <w:t>ska</w:t>
      </w:r>
      <w:r w:rsidRPr="00BC0DDA">
        <w:rPr>
          <w:noProof/>
        </w:rPr>
        <w:t>li światowej, sfederowanego, bezpiecznego</w:t>
      </w:r>
      <w:r w:rsidR="00BC0DDA" w:rsidRPr="00BC0DDA">
        <w:rPr>
          <w:noProof/>
        </w:rPr>
        <w:t xml:space="preserve"> i</w:t>
      </w:r>
      <w:r w:rsidR="00BC0DDA">
        <w:rPr>
          <w:noProof/>
        </w:rPr>
        <w:t> </w:t>
      </w:r>
      <w:r w:rsidR="00BC0DDA" w:rsidRPr="00BC0DDA">
        <w:rPr>
          <w:noProof/>
        </w:rPr>
        <w:t>hip</w:t>
      </w:r>
      <w:r w:rsidRPr="00BC0DDA">
        <w:rPr>
          <w:noProof/>
        </w:rPr>
        <w:t>erpołączonego ekosystemu infrastruktury danych</w:t>
      </w:r>
      <w:r w:rsidR="00BC0DDA" w:rsidRPr="00BC0DDA">
        <w:rPr>
          <w:noProof/>
        </w:rPr>
        <w:t xml:space="preserve"> i</w:t>
      </w:r>
      <w:r w:rsidR="00BC0DDA">
        <w:rPr>
          <w:noProof/>
        </w:rPr>
        <w:t> </w:t>
      </w:r>
      <w:r w:rsidR="00BC0DDA" w:rsidRPr="00BC0DDA">
        <w:rPr>
          <w:noProof/>
        </w:rPr>
        <w:t>usł</w:t>
      </w:r>
      <w:r w:rsidRPr="00BC0DDA">
        <w:rPr>
          <w:noProof/>
        </w:rPr>
        <w:t>ug</w:t>
      </w:r>
      <w:r w:rsidR="00BC0DDA" w:rsidRPr="00BC0DDA">
        <w:rPr>
          <w:noProof/>
        </w:rPr>
        <w:t xml:space="preserve"> w</w:t>
      </w:r>
      <w:r w:rsidR="00BC0DDA">
        <w:rPr>
          <w:noProof/>
        </w:rPr>
        <w:t> </w:t>
      </w:r>
      <w:r w:rsidR="00BC0DDA" w:rsidRPr="00BC0DDA">
        <w:rPr>
          <w:noProof/>
        </w:rPr>
        <w:t>zak</w:t>
      </w:r>
      <w:r w:rsidRPr="00BC0DDA">
        <w:rPr>
          <w:noProof/>
        </w:rPr>
        <w:t>resie obliczeń superkomputerowych</w:t>
      </w:r>
      <w:r w:rsidR="00BC0DDA" w:rsidRPr="00BC0DDA">
        <w:rPr>
          <w:noProof/>
        </w:rPr>
        <w:t xml:space="preserve"> i</w:t>
      </w:r>
      <w:r w:rsidR="00BC0DDA">
        <w:rPr>
          <w:noProof/>
        </w:rPr>
        <w:t> </w:t>
      </w:r>
      <w:r w:rsidR="00BC0DDA" w:rsidRPr="00BC0DDA">
        <w:rPr>
          <w:noProof/>
        </w:rPr>
        <w:t>obl</w:t>
      </w:r>
      <w:r w:rsidRPr="00BC0DDA">
        <w:rPr>
          <w:noProof/>
        </w:rPr>
        <w:t>iczeń kwantowych; wspieranie rozwoju</w:t>
      </w:r>
      <w:r w:rsidR="00BC0DDA" w:rsidRPr="00BC0DDA">
        <w:rPr>
          <w:noProof/>
        </w:rPr>
        <w:t xml:space="preserve"> i</w:t>
      </w:r>
      <w:r w:rsidR="00BC0DDA">
        <w:rPr>
          <w:noProof/>
        </w:rPr>
        <w:t> </w:t>
      </w:r>
      <w:r w:rsidR="00BC0DDA" w:rsidRPr="00BC0DDA">
        <w:rPr>
          <w:noProof/>
        </w:rPr>
        <w:t>abs</w:t>
      </w:r>
      <w:r w:rsidRPr="00BC0DDA">
        <w:rPr>
          <w:noProof/>
        </w:rPr>
        <w:t>orpcji zorientowanych na popyt</w:t>
      </w:r>
      <w:r w:rsidR="00BC0DDA" w:rsidRPr="00BC0DDA">
        <w:rPr>
          <w:noProof/>
        </w:rPr>
        <w:t xml:space="preserve"> i</w:t>
      </w:r>
      <w:r w:rsidR="00BC0DDA">
        <w:rPr>
          <w:noProof/>
        </w:rPr>
        <w:t> </w:t>
      </w:r>
      <w:r w:rsidR="00BC0DDA" w:rsidRPr="00BC0DDA">
        <w:rPr>
          <w:noProof/>
        </w:rPr>
        <w:t>pot</w:t>
      </w:r>
      <w:r w:rsidRPr="00BC0DDA">
        <w:rPr>
          <w:noProof/>
        </w:rPr>
        <w:t>rzeby użytkowników innowacyjnych</w:t>
      </w:r>
      <w:r w:rsidR="00BC0DDA" w:rsidRPr="00BC0DDA">
        <w:rPr>
          <w:noProof/>
        </w:rPr>
        <w:t xml:space="preserve"> i</w:t>
      </w:r>
      <w:r w:rsidR="00BC0DDA">
        <w:rPr>
          <w:noProof/>
        </w:rPr>
        <w:t> </w:t>
      </w:r>
      <w:r w:rsidR="00BC0DDA" w:rsidRPr="00BC0DDA">
        <w:rPr>
          <w:noProof/>
        </w:rPr>
        <w:t>kon</w:t>
      </w:r>
      <w:r w:rsidRPr="00BC0DDA">
        <w:rPr>
          <w:noProof/>
        </w:rPr>
        <w:t>kurencyjnych systemów obliczeń superkomputerowych</w:t>
      </w:r>
      <w:r w:rsidR="00BC0DDA" w:rsidRPr="00BC0DDA">
        <w:rPr>
          <w:noProof/>
        </w:rPr>
        <w:t xml:space="preserve"> w</w:t>
      </w:r>
      <w:r w:rsidR="00BC0DDA">
        <w:rPr>
          <w:noProof/>
        </w:rPr>
        <w:t> </w:t>
      </w:r>
      <w:r w:rsidR="00BC0DDA" w:rsidRPr="00BC0DDA">
        <w:rPr>
          <w:noProof/>
        </w:rPr>
        <w:t>opa</w:t>
      </w:r>
      <w:r w:rsidRPr="00BC0DDA">
        <w:rPr>
          <w:noProof/>
        </w:rPr>
        <w:t>rciu</w:t>
      </w:r>
      <w:r w:rsidR="00BC0DDA" w:rsidRPr="00BC0DDA">
        <w:rPr>
          <w:noProof/>
        </w:rPr>
        <w:t xml:space="preserve"> o</w:t>
      </w:r>
      <w:r w:rsidR="00BC0DDA">
        <w:rPr>
          <w:noProof/>
        </w:rPr>
        <w:t> </w:t>
      </w:r>
      <w:r w:rsidR="00BC0DDA" w:rsidRPr="00BC0DDA">
        <w:rPr>
          <w:noProof/>
        </w:rPr>
        <w:t>łań</w:t>
      </w:r>
      <w:r w:rsidRPr="00BC0DDA">
        <w:rPr>
          <w:noProof/>
        </w:rPr>
        <w:t>cuch dostaw zapewniający dostępność komponentów, technologii</w:t>
      </w:r>
      <w:r w:rsidR="00BC0DDA" w:rsidRPr="00BC0DDA">
        <w:rPr>
          <w:noProof/>
        </w:rPr>
        <w:t xml:space="preserve"> i</w:t>
      </w:r>
      <w:r w:rsidR="00BC0DDA">
        <w:rPr>
          <w:noProof/>
        </w:rPr>
        <w:t> </w:t>
      </w:r>
      <w:r w:rsidR="00BC0DDA" w:rsidRPr="00BC0DDA">
        <w:rPr>
          <w:noProof/>
        </w:rPr>
        <w:t>wie</w:t>
      </w:r>
      <w:r w:rsidRPr="00BC0DDA">
        <w:rPr>
          <w:noProof/>
        </w:rPr>
        <w:t>dzy, ograniczający ryzyko zakłóceń oraz zapewniający rozwijanie szerokiej gamy zastosowań zoptymalizowanych pod kątem tych systemów;</w:t>
      </w:r>
      <w:r w:rsidR="00BC0DDA" w:rsidRPr="00BC0DDA">
        <w:rPr>
          <w:noProof/>
        </w:rPr>
        <w:t xml:space="preserve"> a</w:t>
      </w:r>
      <w:r w:rsidR="00BC0DDA">
        <w:rPr>
          <w:noProof/>
        </w:rPr>
        <w:t> </w:t>
      </w:r>
      <w:r w:rsidR="00BC0DDA" w:rsidRPr="00BC0DDA">
        <w:rPr>
          <w:noProof/>
        </w:rPr>
        <w:t>tak</w:t>
      </w:r>
      <w:r w:rsidRPr="00BC0DDA">
        <w:rPr>
          <w:noProof/>
        </w:rPr>
        <w:t>że szersze wykorzystywanie tej infrastruktury obliczeń superkomputerowych, tak by stosowała ją duża liczba użytkowników</w:t>
      </w:r>
      <w:r w:rsidR="00BC0DDA" w:rsidRPr="00BC0DDA">
        <w:rPr>
          <w:noProof/>
        </w:rPr>
        <w:t xml:space="preserve"> z</w:t>
      </w:r>
      <w:r w:rsidR="00BC0DDA">
        <w:rPr>
          <w:noProof/>
        </w:rPr>
        <w:t> </w:t>
      </w:r>
      <w:r w:rsidR="00BC0DDA" w:rsidRPr="00BC0DDA">
        <w:rPr>
          <w:noProof/>
        </w:rPr>
        <w:t>sek</w:t>
      </w:r>
      <w:r w:rsidRPr="00BC0DDA">
        <w:rPr>
          <w:noProof/>
        </w:rPr>
        <w:t>tora publicznego</w:t>
      </w:r>
      <w:r w:rsidR="00BC0DDA" w:rsidRPr="00BC0DDA">
        <w:rPr>
          <w:noProof/>
        </w:rPr>
        <w:t xml:space="preserve"> i</w:t>
      </w:r>
      <w:r w:rsidR="00BC0DDA">
        <w:rPr>
          <w:noProof/>
        </w:rPr>
        <w:t> </w:t>
      </w:r>
      <w:r w:rsidR="00BC0DDA" w:rsidRPr="00BC0DDA">
        <w:rPr>
          <w:noProof/>
        </w:rPr>
        <w:t>pry</w:t>
      </w:r>
      <w:r w:rsidRPr="00BC0DDA">
        <w:rPr>
          <w:noProof/>
        </w:rPr>
        <w:t>watnego, oraz wspieranie dwojakiej transformacji (ekologicznej</w:t>
      </w:r>
      <w:r w:rsidR="00BC0DDA" w:rsidRPr="00BC0DDA">
        <w:rPr>
          <w:noProof/>
        </w:rPr>
        <w:t xml:space="preserve"> i</w:t>
      </w:r>
      <w:r w:rsidR="00BC0DDA">
        <w:rPr>
          <w:noProof/>
        </w:rPr>
        <w:t> </w:t>
      </w:r>
      <w:r w:rsidR="00BC0DDA" w:rsidRPr="00BC0DDA">
        <w:rPr>
          <w:noProof/>
        </w:rPr>
        <w:t>cyf</w:t>
      </w:r>
      <w:r w:rsidRPr="00BC0DDA">
        <w:rPr>
          <w:noProof/>
        </w:rPr>
        <w:t>rowej)</w:t>
      </w:r>
      <w:r w:rsidR="00BC0DDA" w:rsidRPr="00BC0DDA">
        <w:rPr>
          <w:noProof/>
        </w:rPr>
        <w:t xml:space="preserve"> i</w:t>
      </w:r>
      <w:r w:rsidR="00BC0DDA">
        <w:rPr>
          <w:noProof/>
        </w:rPr>
        <w:t> </w:t>
      </w:r>
      <w:r w:rsidR="00BC0DDA" w:rsidRPr="00BC0DDA">
        <w:rPr>
          <w:noProof/>
        </w:rPr>
        <w:t>roz</w:t>
      </w:r>
      <w:r w:rsidRPr="00BC0DDA">
        <w:rPr>
          <w:noProof/>
        </w:rPr>
        <w:t>woju kluczowych umiejętności na potrzeby europejskiej nauki</w:t>
      </w:r>
      <w:r w:rsidR="00BC0DDA" w:rsidRPr="00BC0DDA">
        <w:rPr>
          <w:noProof/>
        </w:rPr>
        <w:t xml:space="preserve"> i</w:t>
      </w:r>
      <w:r w:rsidR="00BC0DDA">
        <w:rPr>
          <w:noProof/>
        </w:rPr>
        <w:t> </w:t>
      </w:r>
      <w:r w:rsidR="00BC0DDA" w:rsidRPr="00BC0DDA">
        <w:rPr>
          <w:noProof/>
        </w:rPr>
        <w:t>eur</w:t>
      </w:r>
      <w:r w:rsidRPr="00BC0DDA">
        <w:rPr>
          <w:noProof/>
        </w:rPr>
        <w:t>opejskiego przemysłu.</w:t>
      </w:r>
    </w:p>
    <w:p w14:paraId="1FE6B837" w14:textId="35B57B6D" w:rsidR="001061A9" w:rsidRPr="00BC0DDA" w:rsidRDefault="006A4CF0" w:rsidP="00D627E2">
      <w:pPr>
        <w:rPr>
          <w:noProof/>
          <w:color w:val="000000" w:themeColor="text1"/>
          <w:szCs w:val="24"/>
        </w:rPr>
      </w:pPr>
      <w:r w:rsidRPr="00BC0DDA">
        <w:rPr>
          <w:noProof/>
        </w:rPr>
        <w:t>W orędziu</w:t>
      </w:r>
      <w:r w:rsidR="00BC0DDA" w:rsidRPr="00BC0DDA">
        <w:rPr>
          <w:noProof/>
        </w:rPr>
        <w:t xml:space="preserve"> o</w:t>
      </w:r>
      <w:r w:rsidR="00BC0DDA">
        <w:rPr>
          <w:noProof/>
        </w:rPr>
        <w:t> </w:t>
      </w:r>
      <w:r w:rsidR="00BC0DDA" w:rsidRPr="00BC0DDA">
        <w:rPr>
          <w:noProof/>
        </w:rPr>
        <w:t>sta</w:t>
      </w:r>
      <w:r w:rsidRPr="00BC0DDA">
        <w:rPr>
          <w:noProof/>
        </w:rPr>
        <w:t>nie Unii</w:t>
      </w:r>
      <w:r w:rsidR="00BC0DDA" w:rsidRPr="00BC0DDA">
        <w:rPr>
          <w:noProof/>
        </w:rPr>
        <w:t xml:space="preserve"> z</w:t>
      </w:r>
      <w:r w:rsidR="00BC0DDA">
        <w:rPr>
          <w:noProof/>
        </w:rPr>
        <w:t> </w:t>
      </w:r>
      <w:r w:rsidR="00BC0DDA" w:rsidRPr="00BC0DDA">
        <w:rPr>
          <w:noProof/>
        </w:rPr>
        <w:t>2</w:t>
      </w:r>
      <w:r w:rsidRPr="00BC0DDA">
        <w:rPr>
          <w:noProof/>
        </w:rPr>
        <w:t>023 r.</w:t>
      </w:r>
      <w:r w:rsidR="00BF2DF1" w:rsidRPr="00BC0DDA">
        <w:rPr>
          <w:rStyle w:val="FootnoteReference"/>
          <w:noProof/>
        </w:rPr>
        <w:footnoteReference w:id="4"/>
      </w:r>
      <w:r w:rsidRPr="00BC0DDA">
        <w:rPr>
          <w:noProof/>
        </w:rPr>
        <w:t xml:space="preserve"> przewodnicząca Komisji Ursula von der Leyen zapowiedziała nową inicjatywę mającą na celu udostępnienie unijnych zdolności</w:t>
      </w:r>
      <w:r w:rsidR="00BC0DDA" w:rsidRPr="00BC0DDA">
        <w:rPr>
          <w:noProof/>
        </w:rPr>
        <w:t xml:space="preserve"> w</w:t>
      </w:r>
      <w:r w:rsidR="00BC0DDA">
        <w:rPr>
          <w:noProof/>
        </w:rPr>
        <w:t> </w:t>
      </w:r>
      <w:r w:rsidR="00BC0DDA" w:rsidRPr="00BC0DDA">
        <w:rPr>
          <w:noProof/>
        </w:rPr>
        <w:t>zak</w:t>
      </w:r>
      <w:r w:rsidRPr="00BC0DDA">
        <w:rPr>
          <w:noProof/>
        </w:rPr>
        <w:t xml:space="preserve">resie obliczeń superkomputerowych innowacyjnym europejskim przedsiębiorstwom typu start-up, aby mogły trenować swoje modele godnej zaufania AI. </w:t>
      </w:r>
      <w:r w:rsidRPr="00BC0DDA">
        <w:rPr>
          <w:noProof/>
          <w:color w:val="000000" w:themeColor="text1"/>
        </w:rPr>
        <w:t>Modele te wymagają znacznych ilości mocy obliczeniowej, aby trenować</w:t>
      </w:r>
      <w:r w:rsidR="00BC0DDA" w:rsidRPr="00BC0DDA">
        <w:rPr>
          <w:noProof/>
          <w:color w:val="000000" w:themeColor="text1"/>
        </w:rPr>
        <w:t xml:space="preserve"> i</w:t>
      </w:r>
      <w:r w:rsidR="00BC0DDA">
        <w:rPr>
          <w:noProof/>
          <w:color w:val="000000" w:themeColor="text1"/>
        </w:rPr>
        <w:t> </w:t>
      </w:r>
      <w:r w:rsidR="00BC0DDA" w:rsidRPr="00BC0DDA">
        <w:rPr>
          <w:noProof/>
          <w:color w:val="000000" w:themeColor="text1"/>
        </w:rPr>
        <w:t>dop</w:t>
      </w:r>
      <w:r w:rsidRPr="00BC0DDA">
        <w:rPr>
          <w:noProof/>
          <w:color w:val="000000" w:themeColor="text1"/>
        </w:rPr>
        <w:t>racować najbardziej zaawansowane systemy sztucznej inteligencji ogólnego przeznaczenia</w:t>
      </w:r>
      <w:r w:rsidR="00BC0DDA" w:rsidRPr="00BC0DDA">
        <w:rPr>
          <w:noProof/>
          <w:color w:val="000000" w:themeColor="text1"/>
        </w:rPr>
        <w:t xml:space="preserve"> w</w:t>
      </w:r>
      <w:r w:rsidR="00BC0DDA">
        <w:rPr>
          <w:noProof/>
          <w:color w:val="000000" w:themeColor="text1"/>
        </w:rPr>
        <w:t> </w:t>
      </w:r>
      <w:r w:rsidR="00BC0DDA" w:rsidRPr="00BC0DDA">
        <w:rPr>
          <w:noProof/>
          <w:color w:val="000000" w:themeColor="text1"/>
        </w:rPr>
        <w:t>cel</w:t>
      </w:r>
      <w:r w:rsidRPr="00BC0DDA">
        <w:rPr>
          <w:noProof/>
          <w:color w:val="000000" w:themeColor="text1"/>
        </w:rPr>
        <w:t>u uwolnienia pełnego potencjału AI, który to wymóg można spełnić jedynie za pomocą obliczeń superkomputerowych.</w:t>
      </w:r>
    </w:p>
    <w:p w14:paraId="7135D166" w14:textId="5EC3D775" w:rsidR="00243BD3" w:rsidRPr="00BC0DDA" w:rsidRDefault="00414AD0" w:rsidP="00D627E2">
      <w:pPr>
        <w:rPr>
          <w:noProof/>
        </w:rPr>
      </w:pPr>
      <w:r w:rsidRPr="00BC0DDA">
        <w:rPr>
          <w:noProof/>
        </w:rPr>
        <w:t>Biorąc pod uwagę, że największe zdolności Unii</w:t>
      </w:r>
      <w:r w:rsidR="00BC0DDA" w:rsidRPr="00BC0DDA">
        <w:rPr>
          <w:noProof/>
        </w:rPr>
        <w:t xml:space="preserve"> w</w:t>
      </w:r>
      <w:r w:rsidR="00BC0DDA">
        <w:rPr>
          <w:noProof/>
        </w:rPr>
        <w:t> </w:t>
      </w:r>
      <w:r w:rsidR="00BC0DDA" w:rsidRPr="00BC0DDA">
        <w:rPr>
          <w:noProof/>
        </w:rPr>
        <w:t>zak</w:t>
      </w:r>
      <w:r w:rsidRPr="00BC0DDA">
        <w:rPr>
          <w:noProof/>
        </w:rPr>
        <w:t>resie obliczeń superkomputerowych światowej klasy są zlokalizowane</w:t>
      </w:r>
      <w:r w:rsidR="00BC0DDA" w:rsidRPr="00BC0DDA">
        <w:rPr>
          <w:noProof/>
        </w:rPr>
        <w:t xml:space="preserve"> w</w:t>
      </w:r>
      <w:r w:rsidR="00BC0DDA">
        <w:rPr>
          <w:noProof/>
        </w:rPr>
        <w:t> </w:t>
      </w:r>
      <w:r w:rsidR="00BC0DDA" w:rsidRPr="00BC0DDA">
        <w:rPr>
          <w:noProof/>
        </w:rPr>
        <w:t>obi</w:t>
      </w:r>
      <w:r w:rsidRPr="00BC0DDA">
        <w:rPr>
          <w:noProof/>
        </w:rPr>
        <w:t>ektach Wspólnego Przedsięwzięcia</w:t>
      </w:r>
      <w:r w:rsidR="00BC0DDA" w:rsidRPr="00BC0DDA">
        <w:rPr>
          <w:noProof/>
        </w:rPr>
        <w:t xml:space="preserve"> w</w:t>
      </w:r>
      <w:r w:rsidR="00BC0DDA">
        <w:rPr>
          <w:noProof/>
        </w:rPr>
        <w:t> </w:t>
      </w:r>
      <w:r w:rsidR="00BC0DDA" w:rsidRPr="00BC0DDA">
        <w:rPr>
          <w:noProof/>
        </w:rPr>
        <w:t>dzi</w:t>
      </w:r>
      <w:r w:rsidRPr="00BC0DDA">
        <w:rPr>
          <w:noProof/>
        </w:rPr>
        <w:t>edzinie Europejskich Obliczeń Wielkiej Skali (EuroHPC) („Wspólne Przedsięwzięcie”), to właśnie te obiekty będą musiały zostać udostępnione, aby inicjatywa ta stała się rzeczywistością</w:t>
      </w:r>
      <w:r w:rsidR="00BC0DDA" w:rsidRPr="00BC0DDA">
        <w:rPr>
          <w:noProof/>
        </w:rPr>
        <w:t>. W</w:t>
      </w:r>
      <w:r w:rsidR="00BC0DDA">
        <w:rPr>
          <w:noProof/>
        </w:rPr>
        <w:t> </w:t>
      </w:r>
      <w:r w:rsidR="00BC0DDA" w:rsidRPr="00BC0DDA">
        <w:rPr>
          <w:noProof/>
        </w:rPr>
        <w:t>zwi</w:t>
      </w:r>
      <w:r w:rsidRPr="00BC0DDA">
        <w:rPr>
          <w:noProof/>
        </w:rPr>
        <w:t>ązku</w:t>
      </w:r>
      <w:r w:rsidR="00BC0DDA" w:rsidRPr="00BC0DDA">
        <w:rPr>
          <w:noProof/>
        </w:rPr>
        <w:t xml:space="preserve"> z</w:t>
      </w:r>
      <w:r w:rsidR="00BC0DDA">
        <w:rPr>
          <w:noProof/>
        </w:rPr>
        <w:t> </w:t>
      </w:r>
      <w:r w:rsidR="00BC0DDA" w:rsidRPr="00BC0DDA">
        <w:rPr>
          <w:noProof/>
        </w:rPr>
        <w:t>tym</w:t>
      </w:r>
      <w:r w:rsidRPr="00BC0DDA">
        <w:rPr>
          <w:noProof/>
        </w:rPr>
        <w:t xml:space="preserve"> proponuje się wprowadzenie kolejnego celu dla Wspólnego Przedsięwzięcia, który obejmie wkład superkomputerów w tę nową unijną inicjatywę</w:t>
      </w:r>
      <w:r w:rsidR="00BC0DDA" w:rsidRPr="00BC0DDA">
        <w:rPr>
          <w:noProof/>
        </w:rPr>
        <w:t xml:space="preserve"> w</w:t>
      </w:r>
      <w:r w:rsidR="00BC0DDA">
        <w:rPr>
          <w:noProof/>
        </w:rPr>
        <w:t> </w:t>
      </w:r>
      <w:r w:rsidR="00BC0DDA" w:rsidRPr="00BC0DDA">
        <w:rPr>
          <w:noProof/>
        </w:rPr>
        <w:t>zak</w:t>
      </w:r>
      <w:r w:rsidRPr="00BC0DDA">
        <w:rPr>
          <w:noProof/>
        </w:rPr>
        <w:t xml:space="preserve">resie AI. </w:t>
      </w:r>
    </w:p>
    <w:p w14:paraId="38AF1FDB" w14:textId="2AA0CF0B" w:rsidR="00AE1FD4" w:rsidRPr="00BC0DDA" w:rsidRDefault="005061BA" w:rsidP="00D627E2">
      <w:pPr>
        <w:rPr>
          <w:noProof/>
        </w:rPr>
      </w:pPr>
      <w:r w:rsidRPr="00BC0DDA">
        <w:rPr>
          <w:noProof/>
        </w:rPr>
        <w:t>Ten nowy cel pozwoli Wspólnemu Przedsięwzięciu na wspieranie dalszego rozwoju wysoce konkurencyjnego</w:t>
      </w:r>
      <w:r w:rsidR="00BC0DDA" w:rsidRPr="00BC0DDA">
        <w:rPr>
          <w:noProof/>
        </w:rPr>
        <w:t xml:space="preserve"> i</w:t>
      </w:r>
      <w:r w:rsidR="00BC0DDA">
        <w:rPr>
          <w:noProof/>
        </w:rPr>
        <w:t> </w:t>
      </w:r>
      <w:r w:rsidR="00BC0DDA" w:rsidRPr="00BC0DDA">
        <w:rPr>
          <w:noProof/>
        </w:rPr>
        <w:t>inn</w:t>
      </w:r>
      <w:r w:rsidRPr="00BC0DDA">
        <w:rPr>
          <w:noProof/>
        </w:rPr>
        <w:t>owacyjnego ekosystemu przedsiębiorstw typu start-up</w:t>
      </w:r>
      <w:r w:rsidR="00BC0DDA" w:rsidRPr="00BC0DDA">
        <w:rPr>
          <w:noProof/>
        </w:rPr>
        <w:t xml:space="preserve"> i</w:t>
      </w:r>
      <w:r w:rsidR="00BC0DDA">
        <w:rPr>
          <w:noProof/>
        </w:rPr>
        <w:t> </w:t>
      </w:r>
      <w:r w:rsidR="00BC0DDA" w:rsidRPr="00BC0DDA">
        <w:rPr>
          <w:noProof/>
        </w:rPr>
        <w:t>bad</w:t>
      </w:r>
      <w:r w:rsidRPr="00BC0DDA">
        <w:rPr>
          <w:noProof/>
        </w:rPr>
        <w:t>ań nad sztuczną inteligencją</w:t>
      </w:r>
      <w:r w:rsidR="00BC0DDA" w:rsidRPr="00BC0DDA">
        <w:rPr>
          <w:noProof/>
        </w:rPr>
        <w:t xml:space="preserve"> w</w:t>
      </w:r>
      <w:r w:rsidR="00BC0DDA">
        <w:rPr>
          <w:noProof/>
        </w:rPr>
        <w:t> </w:t>
      </w:r>
      <w:r w:rsidR="00BC0DDA" w:rsidRPr="00BC0DDA">
        <w:rPr>
          <w:noProof/>
        </w:rPr>
        <w:t>Eur</w:t>
      </w:r>
      <w:r w:rsidRPr="00BC0DDA">
        <w:rPr>
          <w:noProof/>
        </w:rPr>
        <w:t>opie,</w:t>
      </w:r>
      <w:r w:rsidR="00BC0DDA" w:rsidRPr="00BC0DDA">
        <w:rPr>
          <w:noProof/>
        </w:rPr>
        <w:t xml:space="preserve"> z</w:t>
      </w:r>
      <w:r w:rsidR="00BC0DDA">
        <w:rPr>
          <w:noProof/>
        </w:rPr>
        <w:t> </w:t>
      </w:r>
      <w:r w:rsidR="00BC0DDA" w:rsidRPr="00BC0DDA">
        <w:rPr>
          <w:noProof/>
        </w:rPr>
        <w:t>uwz</w:t>
      </w:r>
      <w:r w:rsidRPr="00BC0DDA">
        <w:rPr>
          <w:noProof/>
        </w:rPr>
        <w:t>ględnieniem rozwoju</w:t>
      </w:r>
      <w:r w:rsidR="00BC0DDA" w:rsidRPr="00BC0DDA">
        <w:rPr>
          <w:noProof/>
        </w:rPr>
        <w:t xml:space="preserve"> i</w:t>
      </w:r>
      <w:r w:rsidR="00BC0DDA">
        <w:rPr>
          <w:noProof/>
        </w:rPr>
        <w:t> </w:t>
      </w:r>
      <w:r w:rsidR="00BC0DDA" w:rsidRPr="00BC0DDA">
        <w:rPr>
          <w:noProof/>
        </w:rPr>
        <w:t>upo</w:t>
      </w:r>
      <w:r w:rsidRPr="00BC0DDA">
        <w:rPr>
          <w:noProof/>
        </w:rPr>
        <w:t>wszechniania europejskiego rozwiązania</w:t>
      </w:r>
      <w:r w:rsidR="00BC0DDA" w:rsidRPr="00BC0DDA">
        <w:rPr>
          <w:noProof/>
        </w:rPr>
        <w:t xml:space="preserve"> w</w:t>
      </w:r>
      <w:r w:rsidR="00BC0DDA">
        <w:rPr>
          <w:noProof/>
        </w:rPr>
        <w:t> </w:t>
      </w:r>
      <w:r w:rsidR="00BC0DDA" w:rsidRPr="00BC0DDA">
        <w:rPr>
          <w:noProof/>
        </w:rPr>
        <w:t>zak</w:t>
      </w:r>
      <w:r w:rsidRPr="00BC0DDA">
        <w:rPr>
          <w:noProof/>
        </w:rPr>
        <w:t>resie AI, poprzez eksploatację fabryk sztucznej inteligencji. Będzie to polegać na wdrażaniu</w:t>
      </w:r>
      <w:r w:rsidR="00BC0DDA" w:rsidRPr="00BC0DDA">
        <w:rPr>
          <w:noProof/>
        </w:rPr>
        <w:t xml:space="preserve"> i</w:t>
      </w:r>
      <w:r w:rsidR="00BC0DDA">
        <w:rPr>
          <w:noProof/>
        </w:rPr>
        <w:t> </w:t>
      </w:r>
      <w:r w:rsidR="00BC0DDA" w:rsidRPr="00BC0DDA">
        <w:rPr>
          <w:noProof/>
        </w:rPr>
        <w:t>eks</w:t>
      </w:r>
      <w:r w:rsidRPr="00BC0DDA">
        <w:rPr>
          <w:noProof/>
        </w:rPr>
        <w:t>ploatacji superkomputerów przeznaczonych na potrzeby sztucznej inteligencji zlokalizowanych</w:t>
      </w:r>
      <w:r w:rsidR="00BC0DDA" w:rsidRPr="00BC0DDA">
        <w:rPr>
          <w:noProof/>
        </w:rPr>
        <w:t xml:space="preserve"> w</w:t>
      </w:r>
      <w:r w:rsidR="00BC0DDA">
        <w:rPr>
          <w:noProof/>
        </w:rPr>
        <w:t> </w:t>
      </w:r>
      <w:r w:rsidR="00BC0DDA" w:rsidRPr="00BC0DDA">
        <w:rPr>
          <w:noProof/>
        </w:rPr>
        <w:t>tym</w:t>
      </w:r>
      <w:r w:rsidRPr="00BC0DDA">
        <w:rPr>
          <w:noProof/>
        </w:rPr>
        <w:t xml:space="preserve"> samym miejscu co duże ośrodki przetwarzania danych lub połączonych</w:t>
      </w:r>
      <w:r w:rsidR="00BC0DDA" w:rsidRPr="00BC0DDA">
        <w:rPr>
          <w:noProof/>
        </w:rPr>
        <w:t xml:space="preserve"> z</w:t>
      </w:r>
      <w:r w:rsidR="00BC0DDA">
        <w:rPr>
          <w:noProof/>
        </w:rPr>
        <w:t> </w:t>
      </w:r>
      <w:r w:rsidR="00BC0DDA" w:rsidRPr="00BC0DDA">
        <w:rPr>
          <w:noProof/>
        </w:rPr>
        <w:t>nim</w:t>
      </w:r>
      <w:r w:rsidRPr="00BC0DDA">
        <w:rPr>
          <w:noProof/>
        </w:rPr>
        <w:t>i za pośrednictwem bardzo szybkich sieci, co zwiększy wydajność tych superkomputerów dzięki regularnemu zwiększaniu ich zdolności</w:t>
      </w:r>
      <w:r w:rsidR="00BC0DDA" w:rsidRPr="00BC0DDA">
        <w:rPr>
          <w:noProof/>
        </w:rPr>
        <w:t xml:space="preserve"> w</w:t>
      </w:r>
      <w:r w:rsidR="00BC0DDA">
        <w:rPr>
          <w:noProof/>
        </w:rPr>
        <w:t> </w:t>
      </w:r>
      <w:r w:rsidR="00BC0DDA" w:rsidRPr="00BC0DDA">
        <w:rPr>
          <w:noProof/>
        </w:rPr>
        <w:t>zak</w:t>
      </w:r>
      <w:r w:rsidRPr="00BC0DDA">
        <w:rPr>
          <w:noProof/>
        </w:rPr>
        <w:t>resie sztucznej inteligencji; oraz świadczeniu specjalnych usług</w:t>
      </w:r>
      <w:r w:rsidR="00BC0DDA" w:rsidRPr="00BC0DDA">
        <w:rPr>
          <w:noProof/>
        </w:rPr>
        <w:t xml:space="preserve"> w</w:t>
      </w:r>
      <w:r w:rsidR="00BC0DDA">
        <w:rPr>
          <w:noProof/>
        </w:rPr>
        <w:t> </w:t>
      </w:r>
      <w:r w:rsidR="00BC0DDA" w:rsidRPr="00BC0DDA">
        <w:rPr>
          <w:noProof/>
        </w:rPr>
        <w:t>zak</w:t>
      </w:r>
      <w:r w:rsidRPr="00BC0DDA">
        <w:rPr>
          <w:noProof/>
        </w:rPr>
        <w:t xml:space="preserve">resie obliczeń superkomputerowych </w:t>
      </w:r>
      <w:r w:rsidRPr="00BC0DDA">
        <w:rPr>
          <w:noProof/>
        </w:rPr>
        <w:lastRenderedPageBreak/>
        <w:t>ukierunkowanych na AI</w:t>
      </w:r>
      <w:r w:rsidR="00BC0DDA" w:rsidRPr="00BC0DDA">
        <w:rPr>
          <w:noProof/>
        </w:rPr>
        <w:t xml:space="preserve"> w</w:t>
      </w:r>
      <w:r w:rsidR="00BC0DDA">
        <w:rPr>
          <w:noProof/>
        </w:rPr>
        <w:t> </w:t>
      </w:r>
      <w:r w:rsidR="00BC0DDA" w:rsidRPr="00BC0DDA">
        <w:rPr>
          <w:noProof/>
        </w:rPr>
        <w:t>cel</w:t>
      </w:r>
      <w:r w:rsidRPr="00BC0DDA">
        <w:rPr>
          <w:noProof/>
        </w:rPr>
        <w:t>u wsparcia ekosystemu przedsiębiorstw typu start-up, badań</w:t>
      </w:r>
      <w:r w:rsidR="00BC0DDA" w:rsidRPr="00BC0DDA">
        <w:rPr>
          <w:noProof/>
        </w:rPr>
        <w:t xml:space="preserve"> i</w:t>
      </w:r>
      <w:r w:rsidR="00BC0DDA">
        <w:rPr>
          <w:noProof/>
        </w:rPr>
        <w:t> </w:t>
      </w:r>
      <w:r w:rsidR="00BC0DDA" w:rsidRPr="00BC0DDA">
        <w:rPr>
          <w:noProof/>
        </w:rPr>
        <w:t>inn</w:t>
      </w:r>
      <w:r w:rsidRPr="00BC0DDA">
        <w:rPr>
          <w:noProof/>
        </w:rPr>
        <w:t>owacji</w:t>
      </w:r>
      <w:r w:rsidR="00BC0DDA" w:rsidRPr="00BC0DDA">
        <w:rPr>
          <w:noProof/>
        </w:rPr>
        <w:t xml:space="preserve"> w</w:t>
      </w:r>
      <w:r w:rsidR="00BC0DDA">
        <w:rPr>
          <w:noProof/>
        </w:rPr>
        <w:t> </w:t>
      </w:r>
      <w:r w:rsidR="00BC0DDA" w:rsidRPr="00BC0DDA">
        <w:rPr>
          <w:noProof/>
        </w:rPr>
        <w:t>dzi</w:t>
      </w:r>
      <w:r w:rsidRPr="00BC0DDA">
        <w:rPr>
          <w:noProof/>
        </w:rPr>
        <w:t>edzinie AI na potrzeby trenowania</w:t>
      </w:r>
      <w:r w:rsidR="00BC0DDA" w:rsidRPr="00BC0DDA">
        <w:rPr>
          <w:noProof/>
        </w:rPr>
        <w:t xml:space="preserve"> i</w:t>
      </w:r>
      <w:r w:rsidR="00BC0DDA">
        <w:rPr>
          <w:noProof/>
        </w:rPr>
        <w:t> </w:t>
      </w:r>
      <w:r w:rsidR="00BC0DDA" w:rsidRPr="00BC0DDA">
        <w:rPr>
          <w:noProof/>
        </w:rPr>
        <w:t>roz</w:t>
      </w:r>
      <w:r w:rsidRPr="00BC0DDA">
        <w:rPr>
          <w:noProof/>
        </w:rPr>
        <w:t>woju wiarygodnych</w:t>
      </w:r>
      <w:r w:rsidR="00BC0DDA" w:rsidRPr="00BC0DDA">
        <w:rPr>
          <w:noProof/>
        </w:rPr>
        <w:t xml:space="preserve"> i</w:t>
      </w:r>
      <w:r w:rsidR="00BC0DDA">
        <w:rPr>
          <w:noProof/>
        </w:rPr>
        <w:t> </w:t>
      </w:r>
      <w:r w:rsidR="00BC0DDA" w:rsidRPr="00BC0DDA">
        <w:rPr>
          <w:noProof/>
        </w:rPr>
        <w:t>ety</w:t>
      </w:r>
      <w:r w:rsidRPr="00BC0DDA">
        <w:rPr>
          <w:noProof/>
        </w:rPr>
        <w:t>cznych modeli</w:t>
      </w:r>
      <w:r w:rsidR="00BC0DDA" w:rsidRPr="00BC0DDA">
        <w:rPr>
          <w:noProof/>
        </w:rPr>
        <w:t xml:space="preserve"> i</w:t>
      </w:r>
      <w:r w:rsidR="00BC0DDA">
        <w:rPr>
          <w:noProof/>
        </w:rPr>
        <w:t> </w:t>
      </w:r>
      <w:r w:rsidR="00BC0DDA" w:rsidRPr="00BC0DDA">
        <w:rPr>
          <w:noProof/>
        </w:rPr>
        <w:t>sys</w:t>
      </w:r>
      <w:r w:rsidRPr="00BC0DDA">
        <w:rPr>
          <w:noProof/>
        </w:rPr>
        <w:t>temów sztucznej inteligencji ogólnego przeznaczenia na dużą skalę,</w:t>
      </w:r>
      <w:r w:rsidR="00BC0DDA" w:rsidRPr="00BC0DDA">
        <w:rPr>
          <w:noProof/>
        </w:rPr>
        <w:t xml:space="preserve"> a</w:t>
      </w:r>
      <w:r w:rsidR="00BC0DDA">
        <w:rPr>
          <w:noProof/>
        </w:rPr>
        <w:t> </w:t>
      </w:r>
      <w:r w:rsidR="00BC0DDA" w:rsidRPr="00BC0DDA">
        <w:rPr>
          <w:noProof/>
        </w:rPr>
        <w:t>tak</w:t>
      </w:r>
      <w:r w:rsidRPr="00BC0DDA">
        <w:rPr>
          <w:noProof/>
        </w:rPr>
        <w:t>że społeczności użytkowników AI do celów opracowywania, walidacji</w:t>
      </w:r>
      <w:r w:rsidR="00BC0DDA" w:rsidRPr="00BC0DDA">
        <w:rPr>
          <w:noProof/>
        </w:rPr>
        <w:t xml:space="preserve"> i</w:t>
      </w:r>
      <w:r w:rsidR="00BC0DDA">
        <w:rPr>
          <w:noProof/>
        </w:rPr>
        <w:t> </w:t>
      </w:r>
      <w:r w:rsidR="00BC0DDA" w:rsidRPr="00BC0DDA">
        <w:rPr>
          <w:noProof/>
        </w:rPr>
        <w:t>obs</w:t>
      </w:r>
      <w:r w:rsidRPr="00BC0DDA">
        <w:rPr>
          <w:noProof/>
        </w:rPr>
        <w:t>ługi pojawiających się zastosowań AI,</w:t>
      </w:r>
      <w:r w:rsidR="00BC0DDA" w:rsidRPr="00BC0DDA">
        <w:rPr>
          <w:noProof/>
        </w:rPr>
        <w:t xml:space="preserve"> w</w:t>
      </w:r>
      <w:r w:rsidR="00BC0DDA">
        <w:rPr>
          <w:noProof/>
        </w:rPr>
        <w:t> </w:t>
      </w:r>
      <w:r w:rsidR="00BC0DDA" w:rsidRPr="00BC0DDA">
        <w:rPr>
          <w:noProof/>
        </w:rPr>
        <w:t>szc</w:t>
      </w:r>
      <w:r w:rsidRPr="00BC0DDA">
        <w:rPr>
          <w:noProof/>
        </w:rPr>
        <w:t>zególności</w:t>
      </w:r>
      <w:r w:rsidR="00BC0DDA" w:rsidRPr="00BC0DDA">
        <w:rPr>
          <w:noProof/>
        </w:rPr>
        <w:t xml:space="preserve"> w</w:t>
      </w:r>
      <w:r w:rsidR="00BC0DDA">
        <w:rPr>
          <w:noProof/>
        </w:rPr>
        <w:t> </w:t>
      </w:r>
      <w:r w:rsidR="00BC0DDA" w:rsidRPr="00BC0DDA">
        <w:rPr>
          <w:noProof/>
        </w:rPr>
        <w:t>obs</w:t>
      </w:r>
      <w:r w:rsidRPr="00BC0DDA">
        <w:rPr>
          <w:noProof/>
        </w:rPr>
        <w:t>zarach zdrowia</w:t>
      </w:r>
      <w:r w:rsidR="00BC0DDA" w:rsidRPr="00BC0DDA">
        <w:rPr>
          <w:noProof/>
        </w:rPr>
        <w:t xml:space="preserve"> i</w:t>
      </w:r>
      <w:r w:rsidR="00BC0DDA">
        <w:rPr>
          <w:noProof/>
        </w:rPr>
        <w:t> </w:t>
      </w:r>
      <w:r w:rsidR="00BC0DDA" w:rsidRPr="00BC0DDA">
        <w:rPr>
          <w:noProof/>
        </w:rPr>
        <w:t>opi</w:t>
      </w:r>
      <w:r w:rsidRPr="00BC0DDA">
        <w:rPr>
          <w:noProof/>
        </w:rPr>
        <w:t>eki, zmiany klimatu, robotyki oraz kierowania pojazdami podłączonymi do internetu</w:t>
      </w:r>
      <w:r w:rsidR="00BC0DDA" w:rsidRPr="00BC0DDA">
        <w:rPr>
          <w:noProof/>
        </w:rPr>
        <w:t xml:space="preserve"> i</w:t>
      </w:r>
      <w:r w:rsidR="00BC0DDA">
        <w:rPr>
          <w:noProof/>
        </w:rPr>
        <w:t> </w:t>
      </w:r>
      <w:r w:rsidR="00BC0DDA" w:rsidRPr="00BC0DDA">
        <w:rPr>
          <w:noProof/>
        </w:rPr>
        <w:t>zau</w:t>
      </w:r>
      <w:r w:rsidRPr="00BC0DDA">
        <w:rPr>
          <w:noProof/>
        </w:rPr>
        <w:t>tomatyzowanymi. Będzie również wspierać pulę rozwoju talentów</w:t>
      </w:r>
      <w:r w:rsidR="00BC0DDA" w:rsidRPr="00BC0DDA">
        <w:rPr>
          <w:noProof/>
        </w:rPr>
        <w:t xml:space="preserve"> w</w:t>
      </w:r>
      <w:r w:rsidR="00BC0DDA">
        <w:rPr>
          <w:noProof/>
        </w:rPr>
        <w:t> </w:t>
      </w:r>
      <w:r w:rsidR="00BC0DDA" w:rsidRPr="00BC0DDA">
        <w:rPr>
          <w:noProof/>
        </w:rPr>
        <w:t>cel</w:t>
      </w:r>
      <w:r w:rsidRPr="00BC0DDA">
        <w:rPr>
          <w:noProof/>
        </w:rPr>
        <w:t>u zapewnienia odpowiednim zainteresowanym stronom</w:t>
      </w:r>
      <w:r w:rsidR="00BC0DDA" w:rsidRPr="00BC0DDA">
        <w:rPr>
          <w:noProof/>
        </w:rPr>
        <w:t xml:space="preserve"> w</w:t>
      </w:r>
      <w:r w:rsidR="00BC0DDA">
        <w:rPr>
          <w:noProof/>
        </w:rPr>
        <w:t> </w:t>
      </w:r>
      <w:r w:rsidR="00BC0DDA" w:rsidRPr="00BC0DDA">
        <w:rPr>
          <w:noProof/>
        </w:rPr>
        <w:t>zak</w:t>
      </w:r>
      <w:r w:rsidRPr="00BC0DDA">
        <w:rPr>
          <w:noProof/>
        </w:rPr>
        <w:t>resie AI zaawansowanych działań</w:t>
      </w:r>
      <w:r w:rsidR="00BC0DDA" w:rsidRPr="00BC0DDA">
        <w:rPr>
          <w:noProof/>
        </w:rPr>
        <w:t xml:space="preserve"> w</w:t>
      </w:r>
      <w:r w:rsidR="00BC0DDA">
        <w:rPr>
          <w:noProof/>
        </w:rPr>
        <w:t> </w:t>
      </w:r>
      <w:r w:rsidR="00BC0DDA" w:rsidRPr="00BC0DDA">
        <w:rPr>
          <w:noProof/>
        </w:rPr>
        <w:t>zak</w:t>
      </w:r>
      <w:r w:rsidRPr="00BC0DDA">
        <w:rPr>
          <w:noProof/>
        </w:rPr>
        <w:t>resie zaawansowanego kształcenia, szkolenia, podnoszenia kwalifikacji</w:t>
      </w:r>
      <w:r w:rsidR="00BC0DDA" w:rsidRPr="00BC0DDA">
        <w:rPr>
          <w:noProof/>
        </w:rPr>
        <w:t xml:space="preserve"> i</w:t>
      </w:r>
      <w:r w:rsidR="00BC0DDA">
        <w:rPr>
          <w:noProof/>
        </w:rPr>
        <w:t> </w:t>
      </w:r>
      <w:r w:rsidR="00BC0DDA" w:rsidRPr="00BC0DDA">
        <w:rPr>
          <w:noProof/>
        </w:rPr>
        <w:t>prz</w:t>
      </w:r>
      <w:r w:rsidRPr="00BC0DDA">
        <w:rPr>
          <w:noProof/>
        </w:rPr>
        <w:t>ekwalifikowania. Fabryki sztucznej inteligencji będą tworzyć efekty synergii na szczeblu UE</w:t>
      </w:r>
      <w:r w:rsidR="00BC0DDA" w:rsidRPr="00BC0DDA">
        <w:rPr>
          <w:noProof/>
        </w:rPr>
        <w:t xml:space="preserve"> i</w:t>
      </w:r>
      <w:r w:rsidR="00BC0DDA">
        <w:rPr>
          <w:noProof/>
        </w:rPr>
        <w:t> </w:t>
      </w:r>
      <w:r w:rsidR="00BC0DDA" w:rsidRPr="00BC0DDA">
        <w:rPr>
          <w:noProof/>
        </w:rPr>
        <w:t>wsp</w:t>
      </w:r>
      <w:r w:rsidRPr="00BC0DDA">
        <w:rPr>
          <w:noProof/>
        </w:rPr>
        <w:t>ółpracować oraz łączyć się</w:t>
      </w:r>
      <w:r w:rsidR="00BC0DDA" w:rsidRPr="00BC0DDA">
        <w:rPr>
          <w:noProof/>
        </w:rPr>
        <w:t xml:space="preserve"> z</w:t>
      </w:r>
      <w:r w:rsidR="00BC0DDA">
        <w:rPr>
          <w:noProof/>
        </w:rPr>
        <w:t> </w:t>
      </w:r>
      <w:r w:rsidR="00BC0DDA" w:rsidRPr="00BC0DDA">
        <w:rPr>
          <w:noProof/>
        </w:rPr>
        <w:t>inn</w:t>
      </w:r>
      <w:r w:rsidRPr="00BC0DDA">
        <w:rPr>
          <w:noProof/>
        </w:rPr>
        <w:t>ymi odpowiednimi unijnymi inicjatywami</w:t>
      </w:r>
      <w:r w:rsidR="00BC0DDA" w:rsidRPr="00BC0DDA">
        <w:rPr>
          <w:noProof/>
        </w:rPr>
        <w:t xml:space="preserve"> w</w:t>
      </w:r>
      <w:r w:rsidR="00BC0DDA">
        <w:rPr>
          <w:noProof/>
        </w:rPr>
        <w:t> </w:t>
      </w:r>
      <w:r w:rsidR="00BC0DDA" w:rsidRPr="00BC0DDA">
        <w:rPr>
          <w:noProof/>
        </w:rPr>
        <w:t>dzi</w:t>
      </w:r>
      <w:r w:rsidRPr="00BC0DDA">
        <w:rPr>
          <w:noProof/>
        </w:rPr>
        <w:t>edzinie AI, takimi jak platforma „Sztuczna inteligencja na żądanie”, ośrodki testowo-doświadczalne</w:t>
      </w:r>
      <w:r w:rsidR="00BC0DDA" w:rsidRPr="00BC0DDA">
        <w:rPr>
          <w:noProof/>
        </w:rPr>
        <w:t xml:space="preserve"> w</w:t>
      </w:r>
      <w:r w:rsidR="00BC0DDA">
        <w:rPr>
          <w:noProof/>
        </w:rPr>
        <w:t> </w:t>
      </w:r>
      <w:r w:rsidR="00BC0DDA" w:rsidRPr="00BC0DDA">
        <w:rPr>
          <w:noProof/>
        </w:rPr>
        <w:t>dzi</w:t>
      </w:r>
      <w:r w:rsidRPr="00BC0DDA">
        <w:rPr>
          <w:noProof/>
        </w:rPr>
        <w:t>edzinie AI, centra kompetencji EuroHPC, centra doskonałości EuroHPC oraz wszelkie inne powstające europejskie inicjatywy</w:t>
      </w:r>
      <w:r w:rsidR="00BC0DDA" w:rsidRPr="00BC0DDA">
        <w:rPr>
          <w:noProof/>
        </w:rPr>
        <w:t xml:space="preserve"> w</w:t>
      </w:r>
      <w:r w:rsidR="00BC0DDA">
        <w:rPr>
          <w:noProof/>
        </w:rPr>
        <w:t> </w:t>
      </w:r>
      <w:r w:rsidR="00BC0DDA" w:rsidRPr="00BC0DDA">
        <w:rPr>
          <w:noProof/>
        </w:rPr>
        <w:t>dzi</w:t>
      </w:r>
      <w:r w:rsidRPr="00BC0DDA">
        <w:rPr>
          <w:noProof/>
        </w:rPr>
        <w:t>edzinie AI. Zmiany te umożliwią Wspólnemu Przedsięwzięciu oferowanie dostosowanej do potrzeb mocy obliczeniowej</w:t>
      </w:r>
      <w:r w:rsidR="00BC0DDA" w:rsidRPr="00BC0DDA">
        <w:rPr>
          <w:noProof/>
        </w:rPr>
        <w:t xml:space="preserve"> i</w:t>
      </w:r>
      <w:r w:rsidR="00BC0DDA">
        <w:rPr>
          <w:noProof/>
        </w:rPr>
        <w:t> </w:t>
      </w:r>
      <w:r w:rsidR="00BC0DDA" w:rsidRPr="00BC0DDA">
        <w:rPr>
          <w:noProof/>
        </w:rPr>
        <w:t>usł</w:t>
      </w:r>
      <w:r w:rsidRPr="00BC0DDA">
        <w:rPr>
          <w:noProof/>
        </w:rPr>
        <w:t>ug obliczeniowych</w:t>
      </w:r>
      <w:r w:rsidR="00BC0DDA" w:rsidRPr="00BC0DDA">
        <w:rPr>
          <w:noProof/>
        </w:rPr>
        <w:t xml:space="preserve"> w</w:t>
      </w:r>
      <w:r w:rsidR="00BC0DDA">
        <w:rPr>
          <w:noProof/>
        </w:rPr>
        <w:t> </w:t>
      </w:r>
      <w:r w:rsidR="00BC0DDA" w:rsidRPr="00BC0DDA">
        <w:rPr>
          <w:noProof/>
        </w:rPr>
        <w:t>cel</w:t>
      </w:r>
      <w:r w:rsidRPr="00BC0DDA">
        <w:rPr>
          <w:noProof/>
        </w:rPr>
        <w:t>u wspierania szkolenia</w:t>
      </w:r>
      <w:r w:rsidR="00BC0DDA" w:rsidRPr="00BC0DDA">
        <w:rPr>
          <w:noProof/>
        </w:rPr>
        <w:t xml:space="preserve"> i</w:t>
      </w:r>
      <w:r w:rsidR="00BC0DDA">
        <w:rPr>
          <w:noProof/>
        </w:rPr>
        <w:t> </w:t>
      </w:r>
      <w:r w:rsidR="00BC0DDA" w:rsidRPr="00BC0DDA">
        <w:rPr>
          <w:noProof/>
        </w:rPr>
        <w:t>roz</w:t>
      </w:r>
      <w:r w:rsidRPr="00BC0DDA">
        <w:rPr>
          <w:noProof/>
        </w:rPr>
        <w:t>woju</w:t>
      </w:r>
      <w:r w:rsidR="00BC0DDA" w:rsidRPr="00BC0DDA">
        <w:rPr>
          <w:noProof/>
        </w:rPr>
        <w:t xml:space="preserve"> w</w:t>
      </w:r>
      <w:r w:rsidR="00BC0DDA">
        <w:rPr>
          <w:noProof/>
        </w:rPr>
        <w:t> </w:t>
      </w:r>
      <w:r w:rsidR="00BC0DDA" w:rsidRPr="00BC0DDA">
        <w:rPr>
          <w:noProof/>
        </w:rPr>
        <w:t>zak</w:t>
      </w:r>
      <w:r w:rsidRPr="00BC0DDA">
        <w:rPr>
          <w:noProof/>
        </w:rPr>
        <w:t>resie AI na dużą skalę oraz jej wykorzystania</w:t>
      </w:r>
      <w:r w:rsidR="00BC0DDA" w:rsidRPr="00BC0DDA">
        <w:rPr>
          <w:noProof/>
        </w:rPr>
        <w:t xml:space="preserve"> w</w:t>
      </w:r>
      <w:r w:rsidR="00BC0DDA">
        <w:rPr>
          <w:noProof/>
        </w:rPr>
        <w:t> </w:t>
      </w:r>
      <w:r w:rsidR="00BC0DDA" w:rsidRPr="00BC0DDA">
        <w:rPr>
          <w:noProof/>
        </w:rPr>
        <w:t>Uni</w:t>
      </w:r>
      <w:r w:rsidRPr="00BC0DDA">
        <w:rPr>
          <w:noProof/>
        </w:rPr>
        <w:t>i, czego</w:t>
      </w:r>
      <w:r w:rsidR="00BC0DDA" w:rsidRPr="00BC0DDA">
        <w:rPr>
          <w:noProof/>
        </w:rPr>
        <w:t xml:space="preserve"> w</w:t>
      </w:r>
      <w:r w:rsidR="00BC0DDA">
        <w:rPr>
          <w:noProof/>
        </w:rPr>
        <w:t> </w:t>
      </w:r>
      <w:r w:rsidR="00BC0DDA" w:rsidRPr="00BC0DDA">
        <w:rPr>
          <w:noProof/>
        </w:rPr>
        <w:t>obe</w:t>
      </w:r>
      <w:r w:rsidRPr="00BC0DDA">
        <w:rPr>
          <w:noProof/>
        </w:rPr>
        <w:t>cnym rozporządzeniu wyraźnie nie przewidziano.</w:t>
      </w:r>
    </w:p>
    <w:p w14:paraId="3165DA51" w14:textId="254B19DD" w:rsidR="00315818" w:rsidRPr="00BC0DDA" w:rsidRDefault="00984988" w:rsidP="00D627E2">
      <w:pPr>
        <w:pStyle w:val="ManualHeading2"/>
        <w:rPr>
          <w:rFonts w:eastAsia="Arial Unicode MS"/>
          <w:noProof/>
          <w:color w:val="000000"/>
          <w:u w:color="000000"/>
          <w:bdr w:val="nil"/>
        </w:rPr>
      </w:pPr>
      <w:r w:rsidRPr="00BC0DDA">
        <w:rPr>
          <w:noProof/>
          <w:color w:val="000000"/>
          <w:u w:color="000000"/>
          <w:bdr w:val="nil"/>
        </w:rPr>
        <w:t>•</w:t>
      </w:r>
      <w:r w:rsidRPr="00BC0DDA">
        <w:rPr>
          <w:noProof/>
          <w:color w:val="000000"/>
          <w:u w:color="000000"/>
          <w:bdr w:val="nil"/>
        </w:rPr>
        <w:tab/>
      </w:r>
      <w:r w:rsidRPr="00BC0DDA">
        <w:rPr>
          <w:noProof/>
        </w:rPr>
        <w:t>Spójność</w:t>
      </w:r>
      <w:r w:rsidR="00BC0DDA" w:rsidRPr="00BC0DDA">
        <w:rPr>
          <w:noProof/>
        </w:rPr>
        <w:t xml:space="preserve"> z</w:t>
      </w:r>
      <w:r w:rsidR="00BC0DDA">
        <w:rPr>
          <w:noProof/>
        </w:rPr>
        <w:t> </w:t>
      </w:r>
      <w:r w:rsidR="00BC0DDA" w:rsidRPr="00BC0DDA">
        <w:rPr>
          <w:noProof/>
        </w:rPr>
        <w:t>prz</w:t>
      </w:r>
      <w:r w:rsidRPr="00BC0DDA">
        <w:rPr>
          <w:noProof/>
        </w:rPr>
        <w:t>episami obowiązującymi</w:t>
      </w:r>
      <w:r w:rsidR="00BC0DDA" w:rsidRPr="00BC0DDA">
        <w:rPr>
          <w:noProof/>
        </w:rPr>
        <w:t xml:space="preserve"> w</w:t>
      </w:r>
      <w:r w:rsidR="00BC0DDA">
        <w:rPr>
          <w:noProof/>
        </w:rPr>
        <w:t> </w:t>
      </w:r>
      <w:r w:rsidR="00BC0DDA" w:rsidRPr="00BC0DDA">
        <w:rPr>
          <w:noProof/>
        </w:rPr>
        <w:t>tej</w:t>
      </w:r>
      <w:r w:rsidRPr="00BC0DDA">
        <w:rPr>
          <w:noProof/>
        </w:rPr>
        <w:t xml:space="preserve"> dziedzinie polityki</w:t>
      </w:r>
    </w:p>
    <w:p w14:paraId="2B753363" w14:textId="33B11612" w:rsidR="00315818" w:rsidRPr="00BC0DDA" w:rsidRDefault="00984988" w:rsidP="00D627E2">
      <w:pPr>
        <w:pBdr>
          <w:top w:val="nil"/>
          <w:left w:val="nil"/>
          <w:bottom w:val="nil"/>
          <w:right w:val="nil"/>
          <w:between w:val="nil"/>
          <w:bar w:val="nil"/>
        </w:pBdr>
        <w:spacing w:before="0" w:after="240"/>
        <w:rPr>
          <w:rFonts w:eastAsia="Arial Unicode MS"/>
          <w:noProof/>
        </w:rPr>
      </w:pPr>
      <w:r w:rsidRPr="00BC0DDA">
        <w:rPr>
          <w:noProof/>
        </w:rPr>
        <w:t>Celem niniejszego wniosku jest rozszerzenie zakresu rozporządzenia Rady (UE) 2021/1173</w:t>
      </w:r>
      <w:r w:rsidR="00BC0DDA" w:rsidRPr="00BC0DDA">
        <w:rPr>
          <w:noProof/>
        </w:rPr>
        <w:t xml:space="preserve"> z</w:t>
      </w:r>
      <w:r w:rsidR="00BC0DDA">
        <w:rPr>
          <w:noProof/>
        </w:rPr>
        <w:t> </w:t>
      </w:r>
      <w:r w:rsidR="00BC0DDA" w:rsidRPr="00BC0DDA">
        <w:rPr>
          <w:noProof/>
        </w:rPr>
        <w:t>dni</w:t>
      </w:r>
      <w:r w:rsidRPr="00BC0DDA">
        <w:rPr>
          <w:noProof/>
        </w:rPr>
        <w:t>a 13 lipca 2021</w:t>
      </w:r>
      <w:r w:rsidR="00BC0DDA" w:rsidRPr="00BC0DDA">
        <w:rPr>
          <w:noProof/>
        </w:rPr>
        <w:t> </w:t>
      </w:r>
      <w:r w:rsidRPr="00BC0DDA">
        <w:rPr>
          <w:noProof/>
        </w:rPr>
        <w:t>r.</w:t>
      </w:r>
      <w:r w:rsidR="00BC0DDA" w:rsidRPr="00BC0DDA">
        <w:rPr>
          <w:noProof/>
        </w:rPr>
        <w:t xml:space="preserve"> w</w:t>
      </w:r>
      <w:r w:rsidR="00BC0DDA">
        <w:rPr>
          <w:noProof/>
        </w:rPr>
        <w:t> </w:t>
      </w:r>
      <w:r w:rsidR="00BC0DDA" w:rsidRPr="00BC0DDA">
        <w:rPr>
          <w:noProof/>
        </w:rPr>
        <w:t>spr</w:t>
      </w:r>
      <w:r w:rsidRPr="00BC0DDA">
        <w:rPr>
          <w:noProof/>
        </w:rPr>
        <w:t>awie ustanowienia Wspólnego Przedsięwzięcia</w:t>
      </w:r>
      <w:r w:rsidR="00BC0DDA" w:rsidRPr="00BC0DDA">
        <w:rPr>
          <w:noProof/>
        </w:rPr>
        <w:t xml:space="preserve"> w</w:t>
      </w:r>
      <w:r w:rsidR="00BC0DDA">
        <w:rPr>
          <w:noProof/>
        </w:rPr>
        <w:t> </w:t>
      </w:r>
      <w:r w:rsidR="00BC0DDA" w:rsidRPr="00BC0DDA">
        <w:rPr>
          <w:noProof/>
        </w:rPr>
        <w:t>dzi</w:t>
      </w:r>
      <w:r w:rsidRPr="00BC0DDA">
        <w:rPr>
          <w:noProof/>
        </w:rPr>
        <w:t>edzinie Europejskich Obliczeń Wielkiej Skali</w:t>
      </w:r>
      <w:r w:rsidR="00BC0DDA" w:rsidRPr="00BC0DDA">
        <w:rPr>
          <w:noProof/>
        </w:rPr>
        <w:t xml:space="preserve"> i</w:t>
      </w:r>
      <w:r w:rsidR="00BC0DDA">
        <w:rPr>
          <w:noProof/>
        </w:rPr>
        <w:t> </w:t>
      </w:r>
      <w:r w:rsidR="00BC0DDA" w:rsidRPr="00BC0DDA">
        <w:rPr>
          <w:noProof/>
        </w:rPr>
        <w:t>uch</w:t>
      </w:r>
      <w:r w:rsidRPr="00BC0DDA">
        <w:rPr>
          <w:noProof/>
        </w:rPr>
        <w:t>ylającego rozporządzenie (UE) 2018/1488, aby umożliwić Unii reagowanie na najnowsze osiągnięcia technologiczne</w:t>
      </w:r>
      <w:r w:rsidR="00BC0DDA" w:rsidRPr="00BC0DDA">
        <w:rPr>
          <w:noProof/>
        </w:rPr>
        <w:t xml:space="preserve"> i</w:t>
      </w:r>
      <w:r w:rsidR="00BC0DDA">
        <w:rPr>
          <w:noProof/>
        </w:rPr>
        <w:t> </w:t>
      </w:r>
      <w:r w:rsidR="00BC0DDA" w:rsidRPr="00BC0DDA">
        <w:rPr>
          <w:noProof/>
        </w:rPr>
        <w:t>str</w:t>
      </w:r>
      <w:r w:rsidRPr="00BC0DDA">
        <w:rPr>
          <w:noProof/>
        </w:rPr>
        <w:t>ategiczne imperatywy, np. rozwój oprogramowania</w:t>
      </w:r>
      <w:r w:rsidR="00BC0DDA" w:rsidRPr="00BC0DDA">
        <w:rPr>
          <w:noProof/>
        </w:rPr>
        <w:t xml:space="preserve"> i</w:t>
      </w:r>
      <w:r w:rsidR="00BC0DDA">
        <w:rPr>
          <w:noProof/>
        </w:rPr>
        <w:t> </w:t>
      </w:r>
      <w:r w:rsidR="00BC0DDA" w:rsidRPr="00BC0DDA">
        <w:rPr>
          <w:noProof/>
        </w:rPr>
        <w:t>inf</w:t>
      </w:r>
      <w:r w:rsidRPr="00BC0DDA">
        <w:rPr>
          <w:noProof/>
        </w:rPr>
        <w:t>rastruktury AI, oraz na potrzebę otwarcia technologii obliczeń superkomputerowych dla przedsiębiorstw typu start-up.</w:t>
      </w:r>
    </w:p>
    <w:p w14:paraId="4A412E43" w14:textId="4EA1435F" w:rsidR="00315818" w:rsidRPr="00BC0DDA" w:rsidRDefault="00984988" w:rsidP="00D627E2">
      <w:pPr>
        <w:pStyle w:val="ManualHeading2"/>
        <w:rPr>
          <w:rFonts w:eastAsia="Arial Unicode MS"/>
          <w:noProof/>
        </w:rPr>
      </w:pPr>
      <w:r w:rsidRPr="00BC0DDA">
        <w:rPr>
          <w:noProof/>
          <w:color w:val="000000"/>
          <w:u w:color="000000"/>
          <w:bdr w:val="nil"/>
        </w:rPr>
        <w:t>•</w:t>
      </w:r>
      <w:r w:rsidRPr="00BC0DDA">
        <w:rPr>
          <w:noProof/>
          <w:color w:val="000000"/>
          <w:u w:color="000000"/>
          <w:bdr w:val="nil"/>
        </w:rPr>
        <w:tab/>
      </w:r>
      <w:r w:rsidRPr="00BC0DDA">
        <w:rPr>
          <w:noProof/>
        </w:rPr>
        <w:t>Spójność</w:t>
      </w:r>
      <w:r w:rsidR="00BC0DDA" w:rsidRPr="00BC0DDA">
        <w:rPr>
          <w:noProof/>
        </w:rPr>
        <w:t xml:space="preserve"> z</w:t>
      </w:r>
      <w:r w:rsidR="00BC0DDA">
        <w:rPr>
          <w:noProof/>
        </w:rPr>
        <w:t> </w:t>
      </w:r>
      <w:r w:rsidR="00BC0DDA" w:rsidRPr="00BC0DDA">
        <w:rPr>
          <w:noProof/>
        </w:rPr>
        <w:t>inn</w:t>
      </w:r>
      <w:r w:rsidRPr="00BC0DDA">
        <w:rPr>
          <w:noProof/>
        </w:rPr>
        <w:t>ymi politykami Unii</w:t>
      </w:r>
    </w:p>
    <w:p w14:paraId="41989D40" w14:textId="7369BEDD" w:rsidR="00315818" w:rsidRPr="00BC0DDA" w:rsidRDefault="00984988" w:rsidP="00D627E2">
      <w:pPr>
        <w:pBdr>
          <w:top w:val="nil"/>
          <w:left w:val="nil"/>
          <w:bottom w:val="nil"/>
          <w:right w:val="nil"/>
          <w:between w:val="nil"/>
          <w:bar w:val="nil"/>
        </w:pBdr>
        <w:spacing w:before="0" w:after="240"/>
        <w:rPr>
          <w:rFonts w:eastAsia="Arial Unicode MS"/>
          <w:noProof/>
        </w:rPr>
      </w:pPr>
      <w:r w:rsidRPr="00BC0DDA">
        <w:rPr>
          <w:noProof/>
        </w:rPr>
        <w:t>Niniejszy wniosek jest</w:t>
      </w:r>
      <w:r w:rsidR="00BC0DDA" w:rsidRPr="00BC0DDA">
        <w:rPr>
          <w:noProof/>
        </w:rPr>
        <w:t xml:space="preserve"> w</w:t>
      </w:r>
      <w:r w:rsidR="00BC0DDA">
        <w:rPr>
          <w:noProof/>
        </w:rPr>
        <w:t> </w:t>
      </w:r>
      <w:r w:rsidR="00BC0DDA" w:rsidRPr="00BC0DDA">
        <w:rPr>
          <w:noProof/>
        </w:rPr>
        <w:t>peł</w:t>
      </w:r>
      <w:r w:rsidRPr="00BC0DDA">
        <w:rPr>
          <w:noProof/>
        </w:rPr>
        <w:t>ni zgodny</w:t>
      </w:r>
      <w:r w:rsidR="00BC0DDA" w:rsidRPr="00BC0DDA">
        <w:rPr>
          <w:noProof/>
        </w:rPr>
        <w:t xml:space="preserve"> z</w:t>
      </w:r>
      <w:r w:rsidR="00BC0DDA">
        <w:rPr>
          <w:noProof/>
        </w:rPr>
        <w:t> </w:t>
      </w:r>
      <w:r w:rsidR="00BC0DDA" w:rsidRPr="00BC0DDA">
        <w:rPr>
          <w:noProof/>
        </w:rPr>
        <w:t>inn</w:t>
      </w:r>
      <w:r w:rsidRPr="00BC0DDA">
        <w:rPr>
          <w:noProof/>
        </w:rPr>
        <w:t>ymi politykami Unii, zwłaszcza</w:t>
      </w:r>
      <w:r w:rsidR="00BC0DDA" w:rsidRPr="00BC0DDA">
        <w:rPr>
          <w:noProof/>
        </w:rPr>
        <w:t xml:space="preserve"> z</w:t>
      </w:r>
      <w:r w:rsidR="00BC0DDA">
        <w:rPr>
          <w:noProof/>
        </w:rPr>
        <w:t> </w:t>
      </w:r>
      <w:r w:rsidR="00BC0DDA" w:rsidRPr="00BC0DDA">
        <w:rPr>
          <w:noProof/>
        </w:rPr>
        <w:t>pol</w:t>
      </w:r>
      <w:r w:rsidRPr="00BC0DDA">
        <w:rPr>
          <w:noProof/>
        </w:rPr>
        <w:t>itykami uchwalonymi</w:t>
      </w:r>
      <w:r w:rsidR="00BC0DDA" w:rsidRPr="00BC0DDA">
        <w:rPr>
          <w:noProof/>
        </w:rPr>
        <w:t xml:space="preserve"> w</w:t>
      </w:r>
      <w:r w:rsidR="00BC0DDA">
        <w:rPr>
          <w:noProof/>
        </w:rPr>
        <w:t> </w:t>
      </w:r>
      <w:r w:rsidR="00BC0DDA" w:rsidRPr="00BC0DDA">
        <w:rPr>
          <w:noProof/>
        </w:rPr>
        <w:t>ram</w:t>
      </w:r>
      <w:r w:rsidRPr="00BC0DDA">
        <w:rPr>
          <w:noProof/>
        </w:rPr>
        <w:t xml:space="preserve">ach priorytetu Komisji „Europa na miarę ery cyfrowej”. </w:t>
      </w:r>
    </w:p>
    <w:p w14:paraId="16D58315" w14:textId="77777777" w:rsidR="00315818" w:rsidRPr="00BC0DDA" w:rsidRDefault="00984988" w:rsidP="00D627E2">
      <w:pPr>
        <w:pStyle w:val="ManualHeading1"/>
        <w:rPr>
          <w:noProof/>
        </w:rPr>
      </w:pPr>
      <w:r w:rsidRPr="00BC0DDA">
        <w:rPr>
          <w:noProof/>
        </w:rPr>
        <w:t>2.</w:t>
      </w:r>
      <w:r w:rsidRPr="00BC0DDA">
        <w:rPr>
          <w:noProof/>
        </w:rPr>
        <w:tab/>
        <w:t>PODSTAWA PRAWNA, POMOCNICZOŚĆ I PROPORCJONALNOŚĆ</w:t>
      </w:r>
    </w:p>
    <w:p w14:paraId="18128683" w14:textId="77777777" w:rsidR="00315818" w:rsidRPr="00BC0DDA" w:rsidRDefault="00984988" w:rsidP="00D627E2">
      <w:pPr>
        <w:pStyle w:val="ManualHeading2"/>
        <w:rPr>
          <w:rFonts w:eastAsia="Arial Unicode MS"/>
          <w:noProof/>
          <w:u w:color="000000"/>
          <w:bdr w:val="nil"/>
        </w:rPr>
      </w:pPr>
      <w:r w:rsidRPr="00BC0DDA">
        <w:rPr>
          <w:noProof/>
          <w:u w:color="000000"/>
          <w:bdr w:val="nil"/>
        </w:rPr>
        <w:t>•</w:t>
      </w:r>
      <w:r w:rsidRPr="00BC0DDA">
        <w:rPr>
          <w:noProof/>
          <w:u w:color="000000"/>
          <w:bdr w:val="nil"/>
        </w:rPr>
        <w:tab/>
        <w:t>Podstawa prawna</w:t>
      </w:r>
    </w:p>
    <w:p w14:paraId="19BF06D1" w14:textId="01A5D7F7" w:rsidR="00502AB1" w:rsidRPr="00BC0DDA" w:rsidRDefault="00502AB1" w:rsidP="00D627E2">
      <w:pPr>
        <w:pStyle w:val="ManualHeading2"/>
        <w:ind w:left="0" w:firstLine="0"/>
        <w:rPr>
          <w:b w:val="0"/>
          <w:noProof/>
        </w:rPr>
      </w:pPr>
      <w:r w:rsidRPr="00BC0DDA">
        <w:rPr>
          <w:b w:val="0"/>
          <w:noProof/>
        </w:rPr>
        <w:t>Podstawę prawną zmienionego rozporządzenia, którego dotyczy wniosek, stanowi art.</w:t>
      </w:r>
      <w:r w:rsidR="00BC0DDA" w:rsidRPr="00BC0DDA">
        <w:rPr>
          <w:b w:val="0"/>
          <w:noProof/>
        </w:rPr>
        <w:t> </w:t>
      </w:r>
      <w:r w:rsidRPr="00BC0DDA">
        <w:rPr>
          <w:b w:val="0"/>
          <w:noProof/>
        </w:rPr>
        <w:t>187 oraz art.</w:t>
      </w:r>
      <w:r w:rsidR="00BC0DDA" w:rsidRPr="00BC0DDA">
        <w:rPr>
          <w:b w:val="0"/>
          <w:noProof/>
        </w:rPr>
        <w:t> </w:t>
      </w:r>
      <w:r w:rsidRPr="00BC0DDA">
        <w:rPr>
          <w:b w:val="0"/>
          <w:noProof/>
        </w:rPr>
        <w:t>188 akapit pierwszy Traktatu</w:t>
      </w:r>
      <w:r w:rsidR="00BC0DDA" w:rsidRPr="00BC0DDA">
        <w:rPr>
          <w:b w:val="0"/>
          <w:noProof/>
        </w:rPr>
        <w:t xml:space="preserve"> o</w:t>
      </w:r>
      <w:r w:rsidR="00BC0DDA">
        <w:rPr>
          <w:b w:val="0"/>
          <w:noProof/>
        </w:rPr>
        <w:t> </w:t>
      </w:r>
      <w:r w:rsidR="00BC0DDA" w:rsidRPr="00BC0DDA">
        <w:rPr>
          <w:b w:val="0"/>
          <w:noProof/>
        </w:rPr>
        <w:t>fun</w:t>
      </w:r>
      <w:r w:rsidRPr="00BC0DDA">
        <w:rPr>
          <w:b w:val="0"/>
          <w:noProof/>
        </w:rPr>
        <w:t xml:space="preserve">kcjonowaniu Unii Europejskiej. </w:t>
      </w:r>
    </w:p>
    <w:p w14:paraId="50752E61" w14:textId="77777777" w:rsidR="002D2335" w:rsidRPr="00BC0DDA" w:rsidRDefault="002D2335" w:rsidP="00D627E2">
      <w:pPr>
        <w:pStyle w:val="ManualHeading2"/>
        <w:rPr>
          <w:rFonts w:eastAsia="Arial Unicode MS"/>
          <w:noProof/>
          <w:u w:color="000000"/>
          <w:bdr w:val="nil"/>
        </w:rPr>
      </w:pPr>
      <w:r w:rsidRPr="00BC0DDA">
        <w:rPr>
          <w:noProof/>
          <w:u w:color="000000"/>
          <w:bdr w:val="nil"/>
        </w:rPr>
        <w:t>•</w:t>
      </w:r>
      <w:r w:rsidRPr="00BC0DDA">
        <w:rPr>
          <w:noProof/>
          <w:u w:color="000000"/>
          <w:bdr w:val="nil"/>
        </w:rPr>
        <w:tab/>
        <w:t xml:space="preserve">Pomocniczość </w:t>
      </w:r>
    </w:p>
    <w:p w14:paraId="3A8130C1" w14:textId="400A94AE" w:rsidR="00315818" w:rsidRPr="00BC0DDA" w:rsidRDefault="00984988" w:rsidP="00D627E2">
      <w:pPr>
        <w:rPr>
          <w:noProof/>
        </w:rPr>
      </w:pPr>
      <w:r w:rsidRPr="00BC0DDA">
        <w:rPr>
          <w:noProof/>
        </w:rPr>
        <w:t>Zasada pomocniczości ma zastosowanie,</w:t>
      </w:r>
      <w:r w:rsidR="00BC0DDA" w:rsidRPr="00BC0DDA">
        <w:rPr>
          <w:noProof/>
        </w:rPr>
        <w:t xml:space="preserve"> o</w:t>
      </w:r>
      <w:r w:rsidR="00BC0DDA">
        <w:rPr>
          <w:noProof/>
        </w:rPr>
        <w:t> </w:t>
      </w:r>
      <w:r w:rsidR="00BC0DDA" w:rsidRPr="00BC0DDA">
        <w:rPr>
          <w:noProof/>
        </w:rPr>
        <w:t>ile</w:t>
      </w:r>
      <w:r w:rsidRPr="00BC0DDA">
        <w:rPr>
          <w:noProof/>
        </w:rPr>
        <w:t xml:space="preserve"> wniosek nie wchodzi</w:t>
      </w:r>
      <w:r w:rsidR="00BC0DDA" w:rsidRPr="00BC0DDA">
        <w:rPr>
          <w:noProof/>
        </w:rPr>
        <w:t xml:space="preserve"> w</w:t>
      </w:r>
      <w:r w:rsidR="00BC0DDA">
        <w:rPr>
          <w:noProof/>
        </w:rPr>
        <w:t> </w:t>
      </w:r>
      <w:r w:rsidR="00BC0DDA" w:rsidRPr="00BC0DDA">
        <w:rPr>
          <w:noProof/>
        </w:rPr>
        <w:t>zak</w:t>
      </w:r>
      <w:r w:rsidRPr="00BC0DDA">
        <w:rPr>
          <w:noProof/>
        </w:rPr>
        <w:t>res wyłącznych kompetencji Unii.</w:t>
      </w:r>
    </w:p>
    <w:p w14:paraId="09383D13" w14:textId="4C414DA7" w:rsidR="00FE2183" w:rsidRPr="00BC0DDA" w:rsidRDefault="004C7E4B" w:rsidP="00D627E2">
      <w:pPr>
        <w:pStyle w:val="ManualHeading2"/>
        <w:tabs>
          <w:tab w:val="clear" w:pos="850"/>
        </w:tabs>
        <w:ind w:left="0" w:firstLine="0"/>
        <w:rPr>
          <w:b w:val="0"/>
          <w:noProof/>
        </w:rPr>
      </w:pPr>
      <w:r w:rsidRPr="00BC0DDA">
        <w:rPr>
          <w:b w:val="0"/>
          <w:noProof/>
        </w:rPr>
        <w:t>Rozporządzenie Rady (UE) 2021/1173 jest zgodne</w:t>
      </w:r>
      <w:r w:rsidR="00BC0DDA" w:rsidRPr="00BC0DDA">
        <w:rPr>
          <w:b w:val="0"/>
          <w:noProof/>
        </w:rPr>
        <w:t xml:space="preserve"> z</w:t>
      </w:r>
      <w:r w:rsidR="00BC0DDA">
        <w:rPr>
          <w:b w:val="0"/>
          <w:noProof/>
        </w:rPr>
        <w:t> </w:t>
      </w:r>
      <w:r w:rsidR="00BC0DDA" w:rsidRPr="00BC0DDA">
        <w:rPr>
          <w:b w:val="0"/>
          <w:noProof/>
        </w:rPr>
        <w:t>zas</w:t>
      </w:r>
      <w:r w:rsidRPr="00BC0DDA">
        <w:rPr>
          <w:b w:val="0"/>
          <w:noProof/>
        </w:rPr>
        <w:t>adą pomocniczości, ponieważ jego cele,</w:t>
      </w:r>
      <w:r w:rsidR="00BC0DDA" w:rsidRPr="00BC0DDA">
        <w:rPr>
          <w:b w:val="0"/>
          <w:noProof/>
        </w:rPr>
        <w:t xml:space="preserve"> a</w:t>
      </w:r>
      <w:r w:rsidR="00BC0DDA">
        <w:rPr>
          <w:b w:val="0"/>
          <w:noProof/>
        </w:rPr>
        <w:t> </w:t>
      </w:r>
      <w:r w:rsidR="00BC0DDA" w:rsidRPr="00BC0DDA">
        <w:rPr>
          <w:b w:val="0"/>
          <w:noProof/>
        </w:rPr>
        <w:t>mia</w:t>
      </w:r>
      <w:r w:rsidRPr="00BC0DDA">
        <w:rPr>
          <w:b w:val="0"/>
          <w:noProof/>
        </w:rPr>
        <w:t>nowicie wzmocnienie zdolności</w:t>
      </w:r>
      <w:r w:rsidR="00BC0DDA" w:rsidRPr="00BC0DDA">
        <w:rPr>
          <w:b w:val="0"/>
          <w:noProof/>
        </w:rPr>
        <w:t xml:space="preserve"> w</w:t>
      </w:r>
      <w:r w:rsidR="00BC0DDA">
        <w:rPr>
          <w:b w:val="0"/>
          <w:noProof/>
        </w:rPr>
        <w:t> </w:t>
      </w:r>
      <w:r w:rsidR="00BC0DDA" w:rsidRPr="00BC0DDA">
        <w:rPr>
          <w:b w:val="0"/>
          <w:noProof/>
        </w:rPr>
        <w:t>zak</w:t>
      </w:r>
      <w:r w:rsidRPr="00BC0DDA">
        <w:rPr>
          <w:b w:val="0"/>
          <w:noProof/>
        </w:rPr>
        <w:t>resie badań naukowych</w:t>
      </w:r>
      <w:r w:rsidR="00BC0DDA" w:rsidRPr="00BC0DDA">
        <w:rPr>
          <w:b w:val="0"/>
          <w:noProof/>
        </w:rPr>
        <w:t xml:space="preserve"> i</w:t>
      </w:r>
      <w:r w:rsidR="00BC0DDA">
        <w:rPr>
          <w:b w:val="0"/>
          <w:noProof/>
        </w:rPr>
        <w:t> </w:t>
      </w:r>
      <w:r w:rsidR="00BC0DDA" w:rsidRPr="00BC0DDA">
        <w:rPr>
          <w:b w:val="0"/>
          <w:noProof/>
        </w:rPr>
        <w:t>inn</w:t>
      </w:r>
      <w:r w:rsidRPr="00BC0DDA">
        <w:rPr>
          <w:b w:val="0"/>
          <w:noProof/>
        </w:rPr>
        <w:t>owacji, nabywanie superkomputerów</w:t>
      </w:r>
      <w:r w:rsidR="00BC0DDA" w:rsidRPr="00BC0DDA">
        <w:rPr>
          <w:b w:val="0"/>
          <w:noProof/>
        </w:rPr>
        <w:t xml:space="preserve"> i</w:t>
      </w:r>
      <w:r w:rsidR="00BC0DDA">
        <w:rPr>
          <w:b w:val="0"/>
          <w:noProof/>
        </w:rPr>
        <w:t> </w:t>
      </w:r>
      <w:r w:rsidR="00BC0DDA" w:rsidRPr="00BC0DDA">
        <w:rPr>
          <w:b w:val="0"/>
          <w:noProof/>
        </w:rPr>
        <w:t>kom</w:t>
      </w:r>
      <w:r w:rsidRPr="00BC0DDA">
        <w:rPr>
          <w:b w:val="0"/>
          <w:noProof/>
        </w:rPr>
        <w:t>puterów kwantowych oraz dostęp do infrastruktury obliczeń wielkiej skali, obliczeń kwantowych</w:t>
      </w:r>
      <w:r w:rsidR="00BC0DDA" w:rsidRPr="00BC0DDA">
        <w:rPr>
          <w:b w:val="0"/>
          <w:noProof/>
        </w:rPr>
        <w:t xml:space="preserve"> i</w:t>
      </w:r>
      <w:r w:rsidR="00BC0DDA">
        <w:rPr>
          <w:b w:val="0"/>
          <w:noProof/>
        </w:rPr>
        <w:t> </w:t>
      </w:r>
      <w:r w:rsidR="00BC0DDA" w:rsidRPr="00BC0DDA">
        <w:rPr>
          <w:b w:val="0"/>
          <w:noProof/>
        </w:rPr>
        <w:t>inf</w:t>
      </w:r>
      <w:r w:rsidRPr="00BC0DDA">
        <w:rPr>
          <w:b w:val="0"/>
          <w:noProof/>
        </w:rPr>
        <w:t>rastruktury danych</w:t>
      </w:r>
      <w:r w:rsidR="00BC0DDA" w:rsidRPr="00BC0DDA">
        <w:rPr>
          <w:b w:val="0"/>
          <w:noProof/>
        </w:rPr>
        <w:t xml:space="preserve"> w</w:t>
      </w:r>
      <w:r w:rsidR="00BC0DDA">
        <w:rPr>
          <w:b w:val="0"/>
          <w:noProof/>
        </w:rPr>
        <w:t> </w:t>
      </w:r>
      <w:r w:rsidR="00BC0DDA" w:rsidRPr="00BC0DDA">
        <w:rPr>
          <w:b w:val="0"/>
          <w:noProof/>
        </w:rPr>
        <w:t>cał</w:t>
      </w:r>
      <w:r w:rsidRPr="00BC0DDA">
        <w:rPr>
          <w:b w:val="0"/>
          <w:noProof/>
        </w:rPr>
        <w:t>ej Unii za pośrednictwem Wspólnego Przedsięwzięcia, nie mogą zostać osiągnięte</w:t>
      </w:r>
      <w:r w:rsidR="00BC0DDA" w:rsidRPr="00BC0DDA">
        <w:rPr>
          <w:b w:val="0"/>
          <w:noProof/>
        </w:rPr>
        <w:t xml:space="preserve"> w</w:t>
      </w:r>
      <w:r w:rsidR="00BC0DDA">
        <w:rPr>
          <w:b w:val="0"/>
          <w:noProof/>
        </w:rPr>
        <w:t> </w:t>
      </w:r>
      <w:r w:rsidR="00BC0DDA" w:rsidRPr="00BC0DDA">
        <w:rPr>
          <w:b w:val="0"/>
          <w:noProof/>
        </w:rPr>
        <w:t>spo</w:t>
      </w:r>
      <w:r w:rsidRPr="00BC0DDA">
        <w:rPr>
          <w:b w:val="0"/>
          <w:noProof/>
        </w:rPr>
        <w:t>sób wystarczający przez państwa członkowskie, natomiast ze względu na unikanie zbędnego powielania działań, zachowanie masy krytycznej</w:t>
      </w:r>
      <w:r w:rsidR="00BC0DDA" w:rsidRPr="00BC0DDA">
        <w:rPr>
          <w:b w:val="0"/>
          <w:noProof/>
        </w:rPr>
        <w:t xml:space="preserve"> i</w:t>
      </w:r>
      <w:r w:rsidR="00BC0DDA">
        <w:rPr>
          <w:b w:val="0"/>
          <w:noProof/>
        </w:rPr>
        <w:t> </w:t>
      </w:r>
      <w:r w:rsidR="00BC0DDA" w:rsidRPr="00BC0DDA">
        <w:rPr>
          <w:b w:val="0"/>
          <w:noProof/>
        </w:rPr>
        <w:t>zap</w:t>
      </w:r>
      <w:r w:rsidRPr="00BC0DDA">
        <w:rPr>
          <w:b w:val="0"/>
          <w:noProof/>
        </w:rPr>
        <w:t xml:space="preserve">ewnienie optymalnego wykorzystania finansowania publicznego możliwe jest lepsze ich osiągnięcie na poziomie UE. </w:t>
      </w:r>
    </w:p>
    <w:p w14:paraId="0584F17C" w14:textId="578D6459" w:rsidR="00042FEF" w:rsidRPr="00BC0DDA" w:rsidRDefault="00042FEF" w:rsidP="00D627E2">
      <w:pPr>
        <w:rPr>
          <w:noProof/>
          <w:color w:val="000000"/>
          <w:szCs w:val="24"/>
        </w:rPr>
      </w:pPr>
      <w:r w:rsidRPr="00BC0DDA">
        <w:rPr>
          <w:noProof/>
          <w:color w:val="000000"/>
        </w:rPr>
        <w:t>Wzrostowi znaczenia HPC dla nauki, sektora publicznego oraz sektora prywatnego</w:t>
      </w:r>
      <w:r w:rsidR="00BC0DDA" w:rsidRPr="00BC0DDA">
        <w:rPr>
          <w:noProof/>
          <w:color w:val="000000"/>
        </w:rPr>
        <w:t xml:space="preserve"> w</w:t>
      </w:r>
      <w:r w:rsidR="00BC0DDA">
        <w:rPr>
          <w:noProof/>
          <w:color w:val="000000"/>
        </w:rPr>
        <w:t> </w:t>
      </w:r>
      <w:r w:rsidR="00BC0DDA" w:rsidRPr="00BC0DDA">
        <w:rPr>
          <w:noProof/>
          <w:color w:val="000000"/>
        </w:rPr>
        <w:t>ost</w:t>
      </w:r>
      <w:r w:rsidRPr="00BC0DDA">
        <w:rPr>
          <w:noProof/>
          <w:color w:val="000000"/>
        </w:rPr>
        <w:t xml:space="preserve">atnich latach towarzyszył gwałtowny wzrost poziomu inwestycji wymaganych dla </w:t>
      </w:r>
      <w:r w:rsidRPr="00BC0DDA">
        <w:rPr>
          <w:noProof/>
          <w:color w:val="000000"/>
        </w:rPr>
        <w:lastRenderedPageBreak/>
        <w:t>zachowania konkurencyjności na poziomie ogólnoświatowym. Trudności te pogłębia niedawny gwałtowny wzrost kosztów akceleratorów niezbędny do utrzymania konkurencyjności na poziomie ogólnoświatowym</w:t>
      </w:r>
      <w:r w:rsidR="00BC0DDA" w:rsidRPr="00BC0DDA">
        <w:rPr>
          <w:noProof/>
          <w:color w:val="000000"/>
        </w:rPr>
        <w:t xml:space="preserve"> w</w:t>
      </w:r>
      <w:r w:rsidR="00BC0DDA">
        <w:rPr>
          <w:noProof/>
          <w:color w:val="000000"/>
        </w:rPr>
        <w:t> </w:t>
      </w:r>
      <w:r w:rsidR="00BC0DDA" w:rsidRPr="00BC0DDA">
        <w:rPr>
          <w:noProof/>
          <w:color w:val="000000"/>
        </w:rPr>
        <w:t>zak</w:t>
      </w:r>
      <w:r w:rsidRPr="00BC0DDA">
        <w:rPr>
          <w:noProof/>
          <w:color w:val="000000"/>
        </w:rPr>
        <w:t>resie opracowywania</w:t>
      </w:r>
      <w:r w:rsidR="00BC0DDA" w:rsidRPr="00BC0DDA">
        <w:rPr>
          <w:noProof/>
          <w:color w:val="000000"/>
        </w:rPr>
        <w:t xml:space="preserve"> i</w:t>
      </w:r>
      <w:r w:rsidR="00BC0DDA">
        <w:rPr>
          <w:noProof/>
          <w:color w:val="000000"/>
        </w:rPr>
        <w:t> </w:t>
      </w:r>
      <w:r w:rsidR="00BC0DDA" w:rsidRPr="00BC0DDA">
        <w:rPr>
          <w:noProof/>
          <w:color w:val="000000"/>
        </w:rPr>
        <w:t>tre</w:t>
      </w:r>
      <w:r w:rsidRPr="00BC0DDA">
        <w:rPr>
          <w:noProof/>
          <w:color w:val="000000"/>
        </w:rPr>
        <w:t>nowania dużych modeli sztucznej inteligencji. Doprowadziło to do powszechnego uznania, że zapewnienie wspólnej infrastruktury</w:t>
      </w:r>
      <w:r w:rsidR="00BC0DDA" w:rsidRPr="00BC0DDA">
        <w:rPr>
          <w:noProof/>
          <w:color w:val="000000"/>
        </w:rPr>
        <w:t xml:space="preserve"> i</w:t>
      </w:r>
      <w:r w:rsidR="00BC0DDA">
        <w:rPr>
          <w:noProof/>
          <w:color w:val="000000"/>
        </w:rPr>
        <w:t> </w:t>
      </w:r>
      <w:r w:rsidR="00BC0DDA" w:rsidRPr="00BC0DDA">
        <w:rPr>
          <w:noProof/>
          <w:color w:val="000000"/>
        </w:rPr>
        <w:t>wsp</w:t>
      </w:r>
      <w:r w:rsidRPr="00BC0DDA">
        <w:rPr>
          <w:noProof/>
          <w:color w:val="000000"/>
        </w:rPr>
        <w:t>ólne wykorzystanie istniejących zdolności przyniosłoby korzyści europejskiej społeczności zajmującej się sztuczną inteligencją we wszystkich państwach członkowskich. Dotyczy to również państw członkowskich, które mogą mieć problemy ze stworzeniem niezależnej krajowej infrastruktury HPC, one również mogłyby bowiem wnosić wartościowy wkład</w:t>
      </w:r>
      <w:r w:rsidR="00BC0DDA" w:rsidRPr="00BC0DDA">
        <w:rPr>
          <w:noProof/>
          <w:color w:val="000000"/>
        </w:rPr>
        <w:t xml:space="preserve"> w</w:t>
      </w:r>
      <w:r w:rsidR="00BC0DDA">
        <w:rPr>
          <w:noProof/>
          <w:color w:val="000000"/>
        </w:rPr>
        <w:t> </w:t>
      </w:r>
      <w:r w:rsidR="00BC0DDA" w:rsidRPr="00BC0DDA">
        <w:rPr>
          <w:noProof/>
          <w:color w:val="000000"/>
        </w:rPr>
        <w:t>two</w:t>
      </w:r>
      <w:r w:rsidRPr="00BC0DDA">
        <w:rPr>
          <w:noProof/>
          <w:color w:val="000000"/>
        </w:rPr>
        <w:t>rzenie sfederowanego</w:t>
      </w:r>
      <w:r w:rsidR="00BC0DDA" w:rsidRPr="00BC0DDA">
        <w:rPr>
          <w:noProof/>
          <w:color w:val="000000"/>
        </w:rPr>
        <w:t xml:space="preserve"> i</w:t>
      </w:r>
      <w:r w:rsidR="00BC0DDA">
        <w:rPr>
          <w:noProof/>
          <w:color w:val="000000"/>
        </w:rPr>
        <w:t> </w:t>
      </w:r>
      <w:r w:rsidR="00BC0DDA" w:rsidRPr="00BC0DDA">
        <w:rPr>
          <w:noProof/>
          <w:color w:val="000000"/>
        </w:rPr>
        <w:t>poł</w:t>
      </w:r>
      <w:r w:rsidRPr="00BC0DDA">
        <w:rPr>
          <w:noProof/>
          <w:color w:val="000000"/>
        </w:rPr>
        <w:t>ączonego potencjału HPC na szczeblu unijnym</w:t>
      </w:r>
      <w:r w:rsidR="00BC0DDA" w:rsidRPr="00BC0DDA">
        <w:rPr>
          <w:noProof/>
          <w:color w:val="000000"/>
        </w:rPr>
        <w:t xml:space="preserve"> i</w:t>
      </w:r>
      <w:r w:rsidR="00BC0DDA">
        <w:rPr>
          <w:noProof/>
          <w:color w:val="000000"/>
        </w:rPr>
        <w:t> </w:t>
      </w:r>
      <w:r w:rsidR="00BC0DDA" w:rsidRPr="00BC0DDA">
        <w:rPr>
          <w:noProof/>
          <w:color w:val="000000"/>
        </w:rPr>
        <w:t>kor</w:t>
      </w:r>
      <w:r w:rsidRPr="00BC0DDA">
        <w:rPr>
          <w:noProof/>
          <w:color w:val="000000"/>
        </w:rPr>
        <w:t>zystać</w:t>
      </w:r>
      <w:r w:rsidR="00BC0DDA" w:rsidRPr="00BC0DDA">
        <w:rPr>
          <w:noProof/>
          <w:color w:val="000000"/>
        </w:rPr>
        <w:t xml:space="preserve"> z</w:t>
      </w:r>
      <w:r w:rsidR="00BC0DDA">
        <w:rPr>
          <w:noProof/>
          <w:color w:val="000000"/>
        </w:rPr>
        <w:t> </w:t>
      </w:r>
      <w:r w:rsidR="00BC0DDA" w:rsidRPr="00BC0DDA">
        <w:rPr>
          <w:noProof/>
          <w:color w:val="000000"/>
        </w:rPr>
        <w:t>nie</w:t>
      </w:r>
      <w:r w:rsidRPr="00BC0DDA">
        <w:rPr>
          <w:noProof/>
          <w:color w:val="000000"/>
        </w:rPr>
        <w:t xml:space="preserve">go. </w:t>
      </w:r>
    </w:p>
    <w:p w14:paraId="4D8BB707" w14:textId="6E8F344A" w:rsidR="004C7E4B" w:rsidRPr="00BC0DDA" w:rsidRDefault="00313CD8" w:rsidP="00D627E2">
      <w:pPr>
        <w:pStyle w:val="ManualHeading2"/>
        <w:tabs>
          <w:tab w:val="clear" w:pos="850"/>
          <w:tab w:val="left" w:pos="0"/>
        </w:tabs>
        <w:ind w:left="0" w:firstLine="0"/>
        <w:rPr>
          <w:b w:val="0"/>
          <w:bCs/>
          <w:noProof/>
        </w:rPr>
      </w:pPr>
      <w:r w:rsidRPr="00BC0DDA">
        <w:rPr>
          <w:b w:val="0"/>
          <w:noProof/>
        </w:rPr>
        <w:t>Proponowana zmiana umożliwi Wspólnemu Przedsięwzięciu udostępnienie zdolności</w:t>
      </w:r>
      <w:r w:rsidR="00BC0DDA" w:rsidRPr="00BC0DDA">
        <w:rPr>
          <w:b w:val="0"/>
          <w:noProof/>
        </w:rPr>
        <w:t xml:space="preserve"> w</w:t>
      </w:r>
      <w:r w:rsidR="00BC0DDA">
        <w:rPr>
          <w:b w:val="0"/>
          <w:noProof/>
        </w:rPr>
        <w:t> </w:t>
      </w:r>
      <w:r w:rsidR="00BC0DDA" w:rsidRPr="00BC0DDA">
        <w:rPr>
          <w:b w:val="0"/>
          <w:noProof/>
        </w:rPr>
        <w:t>zak</w:t>
      </w:r>
      <w:r w:rsidRPr="00BC0DDA">
        <w:rPr>
          <w:b w:val="0"/>
          <w:noProof/>
        </w:rPr>
        <w:t>resie obliczeń superkomputerowych innowacyjnym europejskim przedsiębiorstwom typu start-up, aby wspierać rozwój, testowanie</w:t>
      </w:r>
      <w:r w:rsidR="00BC0DDA" w:rsidRPr="00BC0DDA">
        <w:rPr>
          <w:b w:val="0"/>
          <w:noProof/>
        </w:rPr>
        <w:t xml:space="preserve"> i</w:t>
      </w:r>
      <w:r w:rsidR="00BC0DDA">
        <w:rPr>
          <w:b w:val="0"/>
          <w:noProof/>
        </w:rPr>
        <w:t> </w:t>
      </w:r>
      <w:r w:rsidR="00BC0DDA" w:rsidRPr="00BC0DDA">
        <w:rPr>
          <w:b w:val="0"/>
          <w:noProof/>
        </w:rPr>
        <w:t>wal</w:t>
      </w:r>
      <w:r w:rsidRPr="00BC0DDA">
        <w:rPr>
          <w:b w:val="0"/>
          <w:noProof/>
        </w:rPr>
        <w:t>idację rozwiązań</w:t>
      </w:r>
      <w:r w:rsidR="00BC0DDA" w:rsidRPr="00BC0DDA">
        <w:rPr>
          <w:b w:val="0"/>
          <w:noProof/>
        </w:rPr>
        <w:t xml:space="preserve"> w</w:t>
      </w:r>
      <w:r w:rsidR="00BC0DDA">
        <w:rPr>
          <w:b w:val="0"/>
          <w:noProof/>
        </w:rPr>
        <w:t> </w:t>
      </w:r>
      <w:r w:rsidR="00BC0DDA" w:rsidRPr="00BC0DDA">
        <w:rPr>
          <w:b w:val="0"/>
          <w:noProof/>
        </w:rPr>
        <w:t>zak</w:t>
      </w:r>
      <w:r w:rsidRPr="00BC0DDA">
        <w:rPr>
          <w:b w:val="0"/>
          <w:noProof/>
        </w:rPr>
        <w:t>resie AI, umożliwić szkolenie na dużą skalę</w:t>
      </w:r>
      <w:r w:rsidR="00BC0DDA" w:rsidRPr="00BC0DDA">
        <w:rPr>
          <w:b w:val="0"/>
          <w:noProof/>
        </w:rPr>
        <w:t xml:space="preserve"> i</w:t>
      </w:r>
      <w:r w:rsidR="00BC0DDA">
        <w:rPr>
          <w:b w:val="0"/>
          <w:noProof/>
        </w:rPr>
        <w:t> </w:t>
      </w:r>
      <w:r w:rsidR="00BC0DDA" w:rsidRPr="00BC0DDA">
        <w:rPr>
          <w:b w:val="0"/>
          <w:noProof/>
        </w:rPr>
        <w:t>roz</w:t>
      </w:r>
      <w:r w:rsidRPr="00BC0DDA">
        <w:rPr>
          <w:b w:val="0"/>
          <w:noProof/>
        </w:rPr>
        <w:t>wój wiarygodnych</w:t>
      </w:r>
      <w:r w:rsidR="00BC0DDA" w:rsidRPr="00BC0DDA">
        <w:rPr>
          <w:b w:val="0"/>
          <w:noProof/>
        </w:rPr>
        <w:t xml:space="preserve"> i</w:t>
      </w:r>
      <w:r w:rsidR="00BC0DDA">
        <w:rPr>
          <w:b w:val="0"/>
          <w:noProof/>
        </w:rPr>
        <w:t> </w:t>
      </w:r>
      <w:r w:rsidR="00BC0DDA" w:rsidRPr="00BC0DDA">
        <w:rPr>
          <w:b w:val="0"/>
          <w:noProof/>
        </w:rPr>
        <w:t>ety</w:t>
      </w:r>
      <w:r w:rsidRPr="00BC0DDA">
        <w:rPr>
          <w:b w:val="0"/>
          <w:noProof/>
        </w:rPr>
        <w:t>cznych modeli</w:t>
      </w:r>
      <w:r w:rsidR="00BC0DDA" w:rsidRPr="00BC0DDA">
        <w:rPr>
          <w:b w:val="0"/>
          <w:noProof/>
        </w:rPr>
        <w:t xml:space="preserve"> i</w:t>
      </w:r>
      <w:r w:rsidR="00BC0DDA">
        <w:rPr>
          <w:b w:val="0"/>
          <w:noProof/>
        </w:rPr>
        <w:t> </w:t>
      </w:r>
      <w:r w:rsidR="00BC0DDA" w:rsidRPr="00BC0DDA">
        <w:rPr>
          <w:b w:val="0"/>
          <w:noProof/>
        </w:rPr>
        <w:t>sys</w:t>
      </w:r>
      <w:r w:rsidRPr="00BC0DDA">
        <w:rPr>
          <w:b w:val="0"/>
          <w:noProof/>
        </w:rPr>
        <w:t>temów AI ogólnego przeznaczenia,</w:t>
      </w:r>
      <w:r w:rsidR="00BC0DDA" w:rsidRPr="00BC0DDA">
        <w:rPr>
          <w:b w:val="0"/>
          <w:noProof/>
        </w:rPr>
        <w:t xml:space="preserve"> a</w:t>
      </w:r>
      <w:r w:rsidR="00BC0DDA">
        <w:rPr>
          <w:b w:val="0"/>
          <w:noProof/>
        </w:rPr>
        <w:t> </w:t>
      </w:r>
      <w:r w:rsidR="00BC0DDA" w:rsidRPr="00BC0DDA">
        <w:rPr>
          <w:b w:val="0"/>
          <w:noProof/>
        </w:rPr>
        <w:t>tym</w:t>
      </w:r>
      <w:r w:rsidRPr="00BC0DDA">
        <w:rPr>
          <w:b w:val="0"/>
          <w:noProof/>
        </w:rPr>
        <w:t xml:space="preserve"> samym wzmocnić konkurencyjność Europy</w:t>
      </w:r>
      <w:r w:rsidR="00BC0DDA" w:rsidRPr="00BC0DDA">
        <w:rPr>
          <w:b w:val="0"/>
          <w:noProof/>
        </w:rPr>
        <w:t xml:space="preserve"> i</w:t>
      </w:r>
      <w:r w:rsidR="00BC0DDA">
        <w:rPr>
          <w:b w:val="0"/>
          <w:noProof/>
        </w:rPr>
        <w:t> </w:t>
      </w:r>
      <w:r w:rsidR="00BC0DDA" w:rsidRPr="00BC0DDA">
        <w:rPr>
          <w:b w:val="0"/>
          <w:noProof/>
        </w:rPr>
        <w:t>baz</w:t>
      </w:r>
      <w:r w:rsidRPr="00BC0DDA">
        <w:rPr>
          <w:b w:val="0"/>
          <w:noProof/>
        </w:rPr>
        <w:t>ę przemysłową</w:t>
      </w:r>
      <w:r w:rsidR="00BC0DDA" w:rsidRPr="00BC0DDA">
        <w:rPr>
          <w:b w:val="0"/>
          <w:noProof/>
        </w:rPr>
        <w:t xml:space="preserve"> w</w:t>
      </w:r>
      <w:r w:rsidR="00BC0DDA">
        <w:rPr>
          <w:b w:val="0"/>
          <w:noProof/>
        </w:rPr>
        <w:t> </w:t>
      </w:r>
      <w:r w:rsidR="00BC0DDA" w:rsidRPr="00BC0DDA">
        <w:rPr>
          <w:b w:val="0"/>
          <w:noProof/>
        </w:rPr>
        <w:t>dzi</w:t>
      </w:r>
      <w:r w:rsidRPr="00BC0DDA">
        <w:rPr>
          <w:b w:val="0"/>
          <w:noProof/>
        </w:rPr>
        <w:t>edzinie AI. Jedynie wspólne działania tego rodzaju na szczeblu Unii mogą zwiększyć bezpieczeństwo gospodarcze</w:t>
      </w:r>
      <w:r w:rsidR="00BC0DDA" w:rsidRPr="00BC0DDA">
        <w:rPr>
          <w:b w:val="0"/>
          <w:noProof/>
        </w:rPr>
        <w:t xml:space="preserve"> i</w:t>
      </w:r>
      <w:r w:rsidR="00BC0DDA">
        <w:rPr>
          <w:b w:val="0"/>
          <w:noProof/>
        </w:rPr>
        <w:t> </w:t>
      </w:r>
      <w:r w:rsidR="00BC0DDA" w:rsidRPr="00BC0DDA">
        <w:rPr>
          <w:b w:val="0"/>
          <w:noProof/>
        </w:rPr>
        <w:t>suw</w:t>
      </w:r>
      <w:r w:rsidRPr="00BC0DDA">
        <w:rPr>
          <w:b w:val="0"/>
          <w:noProof/>
        </w:rPr>
        <w:t>erenność technologiczną Unii oraz wykorzystać jej narzędzia</w:t>
      </w:r>
      <w:r w:rsidR="00BC0DDA" w:rsidRPr="00BC0DDA">
        <w:rPr>
          <w:b w:val="0"/>
          <w:noProof/>
        </w:rPr>
        <w:t xml:space="preserve"> i</w:t>
      </w:r>
      <w:r w:rsidR="00BC0DDA">
        <w:rPr>
          <w:b w:val="0"/>
          <w:noProof/>
        </w:rPr>
        <w:t> </w:t>
      </w:r>
      <w:r w:rsidR="00BC0DDA" w:rsidRPr="00BC0DDA">
        <w:rPr>
          <w:b w:val="0"/>
          <w:noProof/>
        </w:rPr>
        <w:t>upr</w:t>
      </w:r>
      <w:r w:rsidRPr="00BC0DDA">
        <w:rPr>
          <w:b w:val="0"/>
          <w:noProof/>
        </w:rPr>
        <w:t>awnienia regulacyjne do kształtowania globalnych zasad</w:t>
      </w:r>
      <w:r w:rsidR="00BC0DDA" w:rsidRPr="00BC0DDA">
        <w:rPr>
          <w:b w:val="0"/>
          <w:noProof/>
        </w:rPr>
        <w:t xml:space="preserve"> i</w:t>
      </w:r>
      <w:r w:rsidR="00BC0DDA">
        <w:rPr>
          <w:b w:val="0"/>
          <w:noProof/>
        </w:rPr>
        <w:t> </w:t>
      </w:r>
      <w:r w:rsidR="00BC0DDA" w:rsidRPr="00BC0DDA">
        <w:rPr>
          <w:b w:val="0"/>
          <w:noProof/>
        </w:rPr>
        <w:t>nor</w:t>
      </w:r>
      <w:r w:rsidRPr="00BC0DDA">
        <w:rPr>
          <w:b w:val="0"/>
          <w:noProof/>
        </w:rPr>
        <w:t>m</w:t>
      </w:r>
      <w:r w:rsidR="00BC0DDA" w:rsidRPr="00BC0DDA">
        <w:rPr>
          <w:b w:val="0"/>
          <w:noProof/>
        </w:rPr>
        <w:t xml:space="preserve"> w</w:t>
      </w:r>
      <w:r w:rsidR="00BC0DDA">
        <w:rPr>
          <w:b w:val="0"/>
          <w:noProof/>
        </w:rPr>
        <w:t> </w:t>
      </w:r>
      <w:r w:rsidR="00BC0DDA" w:rsidRPr="00BC0DDA">
        <w:rPr>
          <w:b w:val="0"/>
          <w:noProof/>
        </w:rPr>
        <w:t>dzi</w:t>
      </w:r>
      <w:r w:rsidRPr="00BC0DDA">
        <w:rPr>
          <w:b w:val="0"/>
          <w:noProof/>
        </w:rPr>
        <w:t>edzinie sztucznej inteligencji,</w:t>
      </w:r>
      <w:r w:rsidR="00BC0DDA" w:rsidRPr="00BC0DDA">
        <w:rPr>
          <w:b w:val="0"/>
          <w:noProof/>
        </w:rPr>
        <w:t xml:space="preserve"> a</w:t>
      </w:r>
      <w:r w:rsidR="00BC0DDA">
        <w:rPr>
          <w:b w:val="0"/>
          <w:noProof/>
        </w:rPr>
        <w:t> </w:t>
      </w:r>
      <w:r w:rsidR="00BC0DDA" w:rsidRPr="00BC0DDA">
        <w:rPr>
          <w:b w:val="0"/>
          <w:noProof/>
        </w:rPr>
        <w:t>jed</w:t>
      </w:r>
      <w:r w:rsidRPr="00BC0DDA">
        <w:rPr>
          <w:b w:val="0"/>
          <w:noProof/>
        </w:rPr>
        <w:t>nocześnie znacząco przyczynić się do wykorzystania sztucznej inteligencji</w:t>
      </w:r>
      <w:r w:rsidR="00BC0DDA" w:rsidRPr="00BC0DDA">
        <w:rPr>
          <w:b w:val="0"/>
          <w:noProof/>
        </w:rPr>
        <w:t xml:space="preserve"> w</w:t>
      </w:r>
      <w:r w:rsidR="00BC0DDA">
        <w:rPr>
          <w:b w:val="0"/>
          <w:noProof/>
        </w:rPr>
        <w:t> </w:t>
      </w:r>
      <w:r w:rsidR="00BC0DDA" w:rsidRPr="00BC0DDA">
        <w:rPr>
          <w:b w:val="0"/>
          <w:noProof/>
        </w:rPr>
        <w:t>eur</w:t>
      </w:r>
      <w:r w:rsidRPr="00BC0DDA">
        <w:rPr>
          <w:b w:val="0"/>
          <w:noProof/>
        </w:rPr>
        <w:t>opejskim przemyśle, badaniach naukowych</w:t>
      </w:r>
      <w:r w:rsidR="00BC0DDA" w:rsidRPr="00BC0DDA">
        <w:rPr>
          <w:b w:val="0"/>
          <w:noProof/>
        </w:rPr>
        <w:t xml:space="preserve"> i</w:t>
      </w:r>
      <w:r w:rsidR="00BC0DDA">
        <w:rPr>
          <w:b w:val="0"/>
          <w:noProof/>
        </w:rPr>
        <w:t> </w:t>
      </w:r>
      <w:r w:rsidR="00BC0DDA" w:rsidRPr="00BC0DDA">
        <w:rPr>
          <w:b w:val="0"/>
          <w:noProof/>
        </w:rPr>
        <w:t>usł</w:t>
      </w:r>
      <w:r w:rsidRPr="00BC0DDA">
        <w:rPr>
          <w:b w:val="0"/>
          <w:noProof/>
        </w:rPr>
        <w:t>ugach publicznych.</w:t>
      </w:r>
    </w:p>
    <w:p w14:paraId="03F95912" w14:textId="77777777" w:rsidR="00315818" w:rsidRPr="00BC0DDA" w:rsidRDefault="00984988" w:rsidP="00D627E2">
      <w:pPr>
        <w:pStyle w:val="ManualHeading2"/>
        <w:rPr>
          <w:rFonts w:eastAsia="Arial Unicode MS"/>
          <w:noProof/>
          <w:u w:color="000000"/>
          <w:bdr w:val="nil"/>
        </w:rPr>
      </w:pPr>
      <w:r w:rsidRPr="00BC0DDA">
        <w:rPr>
          <w:noProof/>
          <w:u w:color="000000"/>
          <w:bdr w:val="nil"/>
        </w:rPr>
        <w:t>•</w:t>
      </w:r>
      <w:r w:rsidRPr="00BC0DDA">
        <w:rPr>
          <w:noProof/>
          <w:u w:color="000000"/>
          <w:bdr w:val="nil"/>
        </w:rPr>
        <w:tab/>
        <w:t>Proporcjonalność</w:t>
      </w:r>
    </w:p>
    <w:p w14:paraId="0FDAACA2" w14:textId="3CD74EB2" w:rsidR="00315818" w:rsidRPr="00BC0DDA" w:rsidRDefault="00042FEF" w:rsidP="00D627E2">
      <w:pPr>
        <w:pBdr>
          <w:top w:val="nil"/>
          <w:left w:val="nil"/>
          <w:bottom w:val="nil"/>
          <w:right w:val="nil"/>
          <w:between w:val="nil"/>
          <w:bar w:val="nil"/>
        </w:pBdr>
        <w:spacing w:before="0" w:after="240"/>
        <w:rPr>
          <w:noProof/>
        </w:rPr>
      </w:pPr>
      <w:r w:rsidRPr="00BC0DDA">
        <w:rPr>
          <w:noProof/>
        </w:rPr>
        <w:t>Wniosek jest zgodny</w:t>
      </w:r>
      <w:r w:rsidR="00BC0DDA" w:rsidRPr="00BC0DDA">
        <w:rPr>
          <w:noProof/>
        </w:rPr>
        <w:t xml:space="preserve"> z</w:t>
      </w:r>
      <w:r w:rsidR="00BC0DDA">
        <w:rPr>
          <w:noProof/>
        </w:rPr>
        <w:t> </w:t>
      </w:r>
      <w:r w:rsidR="00BC0DDA" w:rsidRPr="00BC0DDA">
        <w:rPr>
          <w:noProof/>
        </w:rPr>
        <w:t>zas</w:t>
      </w:r>
      <w:r w:rsidRPr="00BC0DDA">
        <w:rPr>
          <w:noProof/>
        </w:rPr>
        <w:t>adą proporcjonalności, określoną</w:t>
      </w:r>
      <w:r w:rsidR="00BC0DDA" w:rsidRPr="00BC0DDA">
        <w:rPr>
          <w:noProof/>
        </w:rPr>
        <w:t xml:space="preserve"> w</w:t>
      </w:r>
      <w:r w:rsidR="00BC0DDA">
        <w:rPr>
          <w:noProof/>
        </w:rPr>
        <w:t> </w:t>
      </w:r>
      <w:r w:rsidR="00BC0DDA" w:rsidRPr="00BC0DDA">
        <w:rPr>
          <w:noProof/>
        </w:rPr>
        <w:t>art</w:t>
      </w:r>
      <w:r w:rsidRPr="00BC0DDA">
        <w:rPr>
          <w:noProof/>
        </w:rPr>
        <w:t>.</w:t>
      </w:r>
      <w:r w:rsidR="00BC0DDA" w:rsidRPr="00BC0DDA">
        <w:rPr>
          <w:noProof/>
        </w:rPr>
        <w:t> </w:t>
      </w:r>
      <w:r w:rsidRPr="00BC0DDA">
        <w:rPr>
          <w:noProof/>
        </w:rPr>
        <w:t>5 Traktatu</w:t>
      </w:r>
      <w:r w:rsidR="00BC0DDA" w:rsidRPr="00BC0DDA">
        <w:rPr>
          <w:noProof/>
        </w:rPr>
        <w:t xml:space="preserve"> o</w:t>
      </w:r>
      <w:r w:rsidR="00BC0DDA">
        <w:rPr>
          <w:noProof/>
        </w:rPr>
        <w:t> </w:t>
      </w:r>
      <w:r w:rsidR="00BC0DDA" w:rsidRPr="00BC0DDA">
        <w:rPr>
          <w:noProof/>
        </w:rPr>
        <w:t>Uni</w:t>
      </w:r>
      <w:r w:rsidRPr="00BC0DDA">
        <w:rPr>
          <w:noProof/>
        </w:rPr>
        <w:t>i Europejskiej, gdyż zawiera skuteczne ramy współpracy, odpowiednie do wszystkich obszarów interwencji tej inicjatywy, nie wykracza poza to, co jest niezbędne do rozwiązania wskazanych problemów,</w:t>
      </w:r>
      <w:r w:rsidR="00BC0DDA" w:rsidRPr="00BC0DDA">
        <w:rPr>
          <w:noProof/>
        </w:rPr>
        <w:t xml:space="preserve"> i</w:t>
      </w:r>
      <w:r w:rsidR="00BC0DDA">
        <w:rPr>
          <w:noProof/>
        </w:rPr>
        <w:t> </w:t>
      </w:r>
      <w:r w:rsidR="00BC0DDA" w:rsidRPr="00BC0DDA">
        <w:rPr>
          <w:noProof/>
        </w:rPr>
        <w:t>jes</w:t>
      </w:r>
      <w:r w:rsidRPr="00BC0DDA">
        <w:rPr>
          <w:noProof/>
        </w:rPr>
        <w:t>t proporcjonalny</w:t>
      </w:r>
      <w:r w:rsidR="00BC0DDA" w:rsidRPr="00BC0DDA">
        <w:rPr>
          <w:noProof/>
        </w:rPr>
        <w:t xml:space="preserve"> w</w:t>
      </w:r>
      <w:r w:rsidR="00BC0DDA">
        <w:rPr>
          <w:noProof/>
        </w:rPr>
        <w:t> </w:t>
      </w:r>
      <w:r w:rsidR="00BC0DDA" w:rsidRPr="00BC0DDA">
        <w:rPr>
          <w:noProof/>
        </w:rPr>
        <w:t>sto</w:t>
      </w:r>
      <w:r w:rsidRPr="00BC0DDA">
        <w:rPr>
          <w:noProof/>
        </w:rPr>
        <w:t>sunku do celów.</w:t>
      </w:r>
    </w:p>
    <w:p w14:paraId="531D72F4" w14:textId="77777777" w:rsidR="00315818" w:rsidRPr="00BC0DDA" w:rsidRDefault="00984988" w:rsidP="00D627E2">
      <w:pPr>
        <w:pStyle w:val="ManualHeading2"/>
        <w:rPr>
          <w:rFonts w:eastAsia="Arial Unicode MS"/>
          <w:noProof/>
          <w:u w:color="000000"/>
          <w:bdr w:val="nil"/>
        </w:rPr>
      </w:pPr>
      <w:r w:rsidRPr="00BC0DDA">
        <w:rPr>
          <w:noProof/>
          <w:u w:color="000000"/>
          <w:bdr w:val="nil"/>
        </w:rPr>
        <w:t>•</w:t>
      </w:r>
      <w:r w:rsidRPr="00BC0DDA">
        <w:rPr>
          <w:noProof/>
          <w:u w:color="000000"/>
          <w:bdr w:val="nil"/>
        </w:rPr>
        <w:tab/>
        <w:t>Wybór instrumentu</w:t>
      </w:r>
    </w:p>
    <w:p w14:paraId="2BCFEC02" w14:textId="72D0957F" w:rsidR="009D7FA0" w:rsidRPr="00BC0DDA" w:rsidRDefault="009D7FA0" w:rsidP="00D627E2">
      <w:pPr>
        <w:pStyle w:val="ManualHeading1"/>
        <w:tabs>
          <w:tab w:val="clear" w:pos="850"/>
          <w:tab w:val="left" w:pos="0"/>
        </w:tabs>
        <w:ind w:left="0" w:firstLine="0"/>
        <w:rPr>
          <w:b w:val="0"/>
          <w:smallCaps w:val="0"/>
          <w:noProof/>
        </w:rPr>
      </w:pPr>
      <w:r w:rsidRPr="00BC0DDA">
        <w:rPr>
          <w:b w:val="0"/>
          <w:smallCaps w:val="0"/>
          <w:noProof/>
        </w:rPr>
        <w:t>Stworzenie</w:t>
      </w:r>
      <w:r w:rsidR="00BC0DDA" w:rsidRPr="00BC0DDA">
        <w:rPr>
          <w:b w:val="0"/>
          <w:smallCaps w:val="0"/>
          <w:noProof/>
        </w:rPr>
        <w:t xml:space="preserve"> i</w:t>
      </w:r>
      <w:r w:rsidR="00BC0DDA">
        <w:rPr>
          <w:b w:val="0"/>
          <w:smallCaps w:val="0"/>
          <w:noProof/>
        </w:rPr>
        <w:t> </w:t>
      </w:r>
      <w:r w:rsidR="00BC0DDA" w:rsidRPr="00BC0DDA">
        <w:rPr>
          <w:b w:val="0"/>
          <w:smallCaps w:val="0"/>
          <w:noProof/>
        </w:rPr>
        <w:t>fun</w:t>
      </w:r>
      <w:r w:rsidRPr="00BC0DDA">
        <w:rPr>
          <w:b w:val="0"/>
          <w:smallCaps w:val="0"/>
          <w:noProof/>
        </w:rPr>
        <w:t>kcjonowanie Wspólnego Przedsięwzięcia,</w:t>
      </w:r>
      <w:r w:rsidR="00BC0DDA" w:rsidRPr="00BC0DDA">
        <w:rPr>
          <w:b w:val="0"/>
          <w:smallCaps w:val="0"/>
          <w:noProof/>
        </w:rPr>
        <w:t xml:space="preserve"> w</w:t>
      </w:r>
      <w:r w:rsidR="00BC0DDA">
        <w:rPr>
          <w:b w:val="0"/>
          <w:smallCaps w:val="0"/>
          <w:noProof/>
        </w:rPr>
        <w:t> </w:t>
      </w:r>
      <w:r w:rsidR="00BC0DDA" w:rsidRPr="00BC0DDA">
        <w:rPr>
          <w:b w:val="0"/>
          <w:smallCaps w:val="0"/>
          <w:noProof/>
        </w:rPr>
        <w:t>któ</w:t>
      </w:r>
      <w:r w:rsidRPr="00BC0DDA">
        <w:rPr>
          <w:b w:val="0"/>
          <w:smallCaps w:val="0"/>
          <w:noProof/>
        </w:rPr>
        <w:t>rym uczestniczy Unia, wymaga rozporządzenia Rady, do którego obecnie proponuje się zmiany.</w:t>
      </w:r>
    </w:p>
    <w:p w14:paraId="629DDBBF" w14:textId="77777777" w:rsidR="00315818" w:rsidRPr="00BC0DDA" w:rsidRDefault="00984988" w:rsidP="00D627E2">
      <w:pPr>
        <w:pStyle w:val="ManualHeading1"/>
        <w:rPr>
          <w:noProof/>
        </w:rPr>
      </w:pPr>
      <w:r w:rsidRPr="00BC0DDA">
        <w:rPr>
          <w:noProof/>
        </w:rPr>
        <w:t>3.</w:t>
      </w:r>
      <w:r w:rsidRPr="00BC0DDA">
        <w:rPr>
          <w:noProof/>
        </w:rPr>
        <w:tab/>
        <w:t>WYNIKI OCEN EX POST, KONSULTACJI Z ZAINTERESOWANYMI STRONAMI I OCEN SKUTKÓW</w:t>
      </w:r>
    </w:p>
    <w:p w14:paraId="5D04121D" w14:textId="7D5EB3C8" w:rsidR="00315818" w:rsidRPr="00BC0DDA" w:rsidRDefault="00CE0A11" w:rsidP="00D627E2">
      <w:pPr>
        <w:rPr>
          <w:noProof/>
        </w:rPr>
      </w:pPr>
      <w:r w:rsidRPr="00BC0DDA">
        <w:rPr>
          <w:noProof/>
          <w:bdr w:val="nil"/>
        </w:rPr>
        <w:t>Nie dotyczy. Jest to zmiana obowiązującego rozporządzenia,</w:t>
      </w:r>
      <w:r w:rsidR="00BC0DDA" w:rsidRPr="00BC0DDA">
        <w:rPr>
          <w:noProof/>
          <w:bdr w:val="nil"/>
        </w:rPr>
        <w:t xml:space="preserve"> w</w:t>
      </w:r>
      <w:r w:rsidR="00BC0DDA">
        <w:rPr>
          <w:noProof/>
          <w:bdr w:val="nil"/>
        </w:rPr>
        <w:t> </w:t>
      </w:r>
      <w:r w:rsidR="00BC0DDA" w:rsidRPr="00BC0DDA">
        <w:rPr>
          <w:noProof/>
          <w:bdr w:val="nil"/>
        </w:rPr>
        <w:t>zwi</w:t>
      </w:r>
      <w:r w:rsidRPr="00BC0DDA">
        <w:rPr>
          <w:noProof/>
          <w:bdr w:val="nil"/>
        </w:rPr>
        <w:t>ązku</w:t>
      </w:r>
      <w:r w:rsidR="00BC0DDA" w:rsidRPr="00BC0DDA">
        <w:rPr>
          <w:noProof/>
          <w:bdr w:val="nil"/>
        </w:rPr>
        <w:t xml:space="preserve"> z</w:t>
      </w:r>
      <w:r w:rsidR="00BC0DDA">
        <w:rPr>
          <w:noProof/>
          <w:bdr w:val="nil"/>
        </w:rPr>
        <w:t> </w:t>
      </w:r>
      <w:r w:rsidR="00BC0DDA" w:rsidRPr="00BC0DDA">
        <w:rPr>
          <w:noProof/>
          <w:bdr w:val="nil"/>
        </w:rPr>
        <w:t>czy</w:t>
      </w:r>
      <w:r w:rsidRPr="00BC0DDA">
        <w:rPr>
          <w:noProof/>
          <w:bdr w:val="nil"/>
        </w:rPr>
        <w:t xml:space="preserve">m nie przeprowadzono oceny </w:t>
      </w:r>
      <w:r w:rsidRPr="00BC0DDA">
        <w:rPr>
          <w:i/>
          <w:iCs/>
          <w:noProof/>
          <w:bdr w:val="nil"/>
        </w:rPr>
        <w:t>ex post</w:t>
      </w:r>
      <w:r w:rsidRPr="00BC0DDA">
        <w:rPr>
          <w:noProof/>
          <w:bdr w:val="nil"/>
        </w:rPr>
        <w:t>, konsultacji</w:t>
      </w:r>
      <w:r w:rsidR="00BC0DDA" w:rsidRPr="00BC0DDA">
        <w:rPr>
          <w:noProof/>
          <w:bdr w:val="nil"/>
        </w:rPr>
        <w:t xml:space="preserve"> z</w:t>
      </w:r>
      <w:r w:rsidR="00BC0DDA">
        <w:rPr>
          <w:noProof/>
          <w:bdr w:val="nil"/>
        </w:rPr>
        <w:t> </w:t>
      </w:r>
      <w:r w:rsidR="00BC0DDA" w:rsidRPr="00BC0DDA">
        <w:rPr>
          <w:noProof/>
          <w:bdr w:val="nil"/>
        </w:rPr>
        <w:t>zai</w:t>
      </w:r>
      <w:r w:rsidRPr="00BC0DDA">
        <w:rPr>
          <w:noProof/>
          <w:bdr w:val="nil"/>
        </w:rPr>
        <w:t>nteresowanymi stronami ani oceny skutków.</w:t>
      </w:r>
    </w:p>
    <w:p w14:paraId="0037D9AD" w14:textId="77777777" w:rsidR="00315818" w:rsidRPr="00BC0DDA" w:rsidRDefault="00984988" w:rsidP="00D627E2">
      <w:pPr>
        <w:pStyle w:val="ManualHeading1"/>
        <w:rPr>
          <w:noProof/>
        </w:rPr>
      </w:pPr>
      <w:r w:rsidRPr="00BC0DDA">
        <w:rPr>
          <w:noProof/>
        </w:rPr>
        <w:t>4.</w:t>
      </w:r>
      <w:r w:rsidRPr="00BC0DDA">
        <w:rPr>
          <w:noProof/>
        </w:rPr>
        <w:tab/>
        <w:t>WPŁYW NA BUDŻET</w:t>
      </w:r>
    </w:p>
    <w:p w14:paraId="79A66DFA" w14:textId="0667ED7C" w:rsidR="00315818" w:rsidRPr="00BC0DDA" w:rsidRDefault="00984988" w:rsidP="00D627E2">
      <w:pPr>
        <w:pBdr>
          <w:top w:val="nil"/>
          <w:left w:val="nil"/>
          <w:bottom w:val="nil"/>
          <w:right w:val="nil"/>
          <w:between w:val="nil"/>
          <w:bar w:val="nil"/>
        </w:pBdr>
        <w:spacing w:before="0" w:after="240"/>
        <w:rPr>
          <w:noProof/>
        </w:rPr>
      </w:pPr>
      <w:r w:rsidRPr="00BC0DDA">
        <w:rPr>
          <w:noProof/>
        </w:rPr>
        <w:t>Nie będą potrzebne żadne dodatkowe zasoby</w:t>
      </w:r>
      <w:r w:rsidR="00BC0DDA" w:rsidRPr="00BC0DDA">
        <w:rPr>
          <w:noProof/>
        </w:rPr>
        <w:t xml:space="preserve"> z</w:t>
      </w:r>
      <w:r w:rsidR="00BC0DDA">
        <w:rPr>
          <w:noProof/>
        </w:rPr>
        <w:t> </w:t>
      </w:r>
      <w:r w:rsidR="00BC0DDA" w:rsidRPr="00BC0DDA">
        <w:rPr>
          <w:noProof/>
        </w:rPr>
        <w:t>bud</w:t>
      </w:r>
      <w:r w:rsidRPr="00BC0DDA">
        <w:rPr>
          <w:noProof/>
        </w:rPr>
        <w:t>żetu UE, ale proponowane środki dotyczą przesunięcia zasobów dostępnych</w:t>
      </w:r>
      <w:r w:rsidR="00BC0DDA" w:rsidRPr="00BC0DDA">
        <w:rPr>
          <w:noProof/>
        </w:rPr>
        <w:t xml:space="preserve"> w</w:t>
      </w:r>
      <w:r w:rsidR="00BC0DDA">
        <w:rPr>
          <w:noProof/>
        </w:rPr>
        <w:t> </w:t>
      </w:r>
      <w:r w:rsidR="00BC0DDA" w:rsidRPr="00BC0DDA">
        <w:rPr>
          <w:noProof/>
        </w:rPr>
        <w:t>ram</w:t>
      </w:r>
      <w:r w:rsidRPr="00BC0DDA">
        <w:rPr>
          <w:noProof/>
        </w:rPr>
        <w:t xml:space="preserve">ach Wspólnego Przedsięwzięcia. </w:t>
      </w:r>
    </w:p>
    <w:p w14:paraId="00D60F81" w14:textId="77777777" w:rsidR="00315818" w:rsidRPr="00BC0DDA" w:rsidRDefault="00984988" w:rsidP="00D627E2">
      <w:pPr>
        <w:pStyle w:val="ManualHeading1"/>
        <w:rPr>
          <w:noProof/>
        </w:rPr>
      </w:pPr>
      <w:r w:rsidRPr="00BC0DDA">
        <w:rPr>
          <w:noProof/>
        </w:rPr>
        <w:t>5.</w:t>
      </w:r>
      <w:r w:rsidRPr="00BC0DDA">
        <w:rPr>
          <w:noProof/>
        </w:rPr>
        <w:tab/>
        <w:t>ELEMENTY FAKULTATYWNE</w:t>
      </w:r>
    </w:p>
    <w:p w14:paraId="2F1D7725" w14:textId="77777777" w:rsidR="00315818" w:rsidRPr="00BC0DDA" w:rsidRDefault="00984988" w:rsidP="00D627E2">
      <w:pPr>
        <w:pStyle w:val="ManualHeading2"/>
        <w:rPr>
          <w:rFonts w:eastAsia="Arial Unicode MS"/>
          <w:b w:val="0"/>
          <w:bCs/>
          <w:noProof/>
          <w:u w:color="000000"/>
          <w:bdr w:val="nil"/>
        </w:rPr>
      </w:pPr>
      <w:r w:rsidRPr="00BC0DDA">
        <w:rPr>
          <w:b w:val="0"/>
          <w:noProof/>
          <w:u w:color="000000"/>
          <w:bdr w:val="nil"/>
        </w:rPr>
        <w:t>•</w:t>
      </w:r>
      <w:r w:rsidRPr="00BC0DDA">
        <w:rPr>
          <w:b w:val="0"/>
          <w:noProof/>
          <w:u w:color="000000"/>
          <w:bdr w:val="nil"/>
        </w:rPr>
        <w:tab/>
        <w:t>Szczegółowe objaśnienia poszczególnych przepisów wniosku</w:t>
      </w:r>
    </w:p>
    <w:p w14:paraId="18709186" w14:textId="77777777" w:rsidR="00315818" w:rsidRPr="00BC0DDA" w:rsidRDefault="00315818" w:rsidP="00D627E2">
      <w:pPr>
        <w:rPr>
          <w:noProof/>
        </w:rPr>
      </w:pPr>
    </w:p>
    <w:p w14:paraId="318B80CF" w14:textId="77BE03A2" w:rsidR="00300C27" w:rsidRPr="00BC0DDA" w:rsidRDefault="00CA3E9A" w:rsidP="00D627E2">
      <w:pPr>
        <w:rPr>
          <w:noProof/>
          <w:color w:val="000000"/>
          <w:bdr w:val="none" w:sz="0" w:space="0" w:color="auto" w:frame="1"/>
        </w:rPr>
      </w:pPr>
      <w:r w:rsidRPr="00BC0DDA">
        <w:rPr>
          <w:noProof/>
        </w:rPr>
        <w:t>Zmiana rozporządzenia zwiększa jego zakres, aby wprowadzić dodatkowy cel do obecnych sześciu celów Wspólnego Przedsięwzięcia:</w:t>
      </w:r>
      <w:r w:rsidRPr="00BC0DDA">
        <w:rPr>
          <w:rStyle w:val="normaltextrun"/>
          <w:noProof/>
          <w:color w:val="000000"/>
          <w:shd w:val="clear" w:color="auto" w:fill="FFFFFF"/>
        </w:rPr>
        <w:t xml:space="preserve"> </w:t>
      </w:r>
      <w:r w:rsidRPr="00BC0DDA">
        <w:rPr>
          <w:noProof/>
        </w:rPr>
        <w:t>rozwój</w:t>
      </w:r>
      <w:r w:rsidR="00BC0DDA" w:rsidRPr="00BC0DDA">
        <w:rPr>
          <w:noProof/>
        </w:rPr>
        <w:t xml:space="preserve"> i</w:t>
      </w:r>
      <w:r w:rsidR="00BC0DDA">
        <w:rPr>
          <w:noProof/>
        </w:rPr>
        <w:t> </w:t>
      </w:r>
      <w:r w:rsidR="00BC0DDA" w:rsidRPr="00BC0DDA">
        <w:rPr>
          <w:noProof/>
        </w:rPr>
        <w:t>eks</w:t>
      </w:r>
      <w:r w:rsidRPr="00BC0DDA">
        <w:rPr>
          <w:noProof/>
        </w:rPr>
        <w:t>ploatacja fabryk sztucznej inteligencji</w:t>
      </w:r>
      <w:r w:rsidR="00BC0DDA" w:rsidRPr="00BC0DDA">
        <w:rPr>
          <w:noProof/>
        </w:rPr>
        <w:t xml:space="preserve"> </w:t>
      </w:r>
      <w:r w:rsidR="00BC0DDA" w:rsidRPr="00BC0DDA">
        <w:rPr>
          <w:noProof/>
        </w:rPr>
        <w:lastRenderedPageBreak/>
        <w:t>w</w:t>
      </w:r>
      <w:r w:rsidR="00BC0DDA">
        <w:rPr>
          <w:noProof/>
        </w:rPr>
        <w:t> </w:t>
      </w:r>
      <w:r w:rsidR="00BC0DDA" w:rsidRPr="00BC0DDA">
        <w:rPr>
          <w:noProof/>
        </w:rPr>
        <w:t>cel</w:t>
      </w:r>
      <w:r w:rsidRPr="00BC0DDA">
        <w:rPr>
          <w:noProof/>
        </w:rPr>
        <w:t>u wsparcia dalszego rozwoju wysoce konkurencyjnego</w:t>
      </w:r>
      <w:r w:rsidR="00BC0DDA" w:rsidRPr="00BC0DDA">
        <w:rPr>
          <w:noProof/>
        </w:rPr>
        <w:t xml:space="preserve"> i</w:t>
      </w:r>
      <w:r w:rsidR="00BC0DDA">
        <w:rPr>
          <w:noProof/>
        </w:rPr>
        <w:t> </w:t>
      </w:r>
      <w:r w:rsidR="00BC0DDA" w:rsidRPr="00BC0DDA">
        <w:rPr>
          <w:noProof/>
        </w:rPr>
        <w:t>inn</w:t>
      </w:r>
      <w:r w:rsidRPr="00BC0DDA">
        <w:rPr>
          <w:noProof/>
        </w:rPr>
        <w:t>owacyjnego ekosystemu AI</w:t>
      </w:r>
      <w:r w:rsidR="00BC0DDA" w:rsidRPr="00BC0DDA">
        <w:rPr>
          <w:noProof/>
        </w:rPr>
        <w:t xml:space="preserve"> w</w:t>
      </w:r>
      <w:r w:rsidR="00BC0DDA">
        <w:rPr>
          <w:noProof/>
        </w:rPr>
        <w:t> </w:t>
      </w:r>
      <w:r w:rsidR="00BC0DDA" w:rsidRPr="00BC0DDA">
        <w:rPr>
          <w:noProof/>
        </w:rPr>
        <w:t>Uni</w:t>
      </w:r>
      <w:r w:rsidRPr="00BC0DDA">
        <w:rPr>
          <w:noProof/>
        </w:rPr>
        <w:t>i.</w:t>
      </w:r>
      <w:r w:rsidRPr="00BC0DDA">
        <w:rPr>
          <w:rStyle w:val="normaltextrun"/>
          <w:noProof/>
          <w:color w:val="000000"/>
          <w:bdr w:val="none" w:sz="0" w:space="0" w:color="auto" w:frame="1"/>
        </w:rPr>
        <w:t xml:space="preserve"> </w:t>
      </w:r>
      <w:r w:rsidRPr="00BC0DDA">
        <w:rPr>
          <w:b/>
          <w:noProof/>
          <w:color w:val="000000" w:themeColor="text1"/>
        </w:rPr>
        <w:t>Włączenie tego celu służy ujęciu wyjątkowych względów</w:t>
      </w:r>
      <w:r w:rsidR="00BC0DDA" w:rsidRPr="00BC0DDA">
        <w:rPr>
          <w:b/>
          <w:noProof/>
          <w:color w:val="000000" w:themeColor="text1"/>
        </w:rPr>
        <w:t xml:space="preserve"> i</w:t>
      </w:r>
      <w:r w:rsidR="00BC0DDA">
        <w:rPr>
          <w:b/>
          <w:noProof/>
          <w:color w:val="000000" w:themeColor="text1"/>
        </w:rPr>
        <w:t> </w:t>
      </w:r>
      <w:r w:rsidR="00BC0DDA" w:rsidRPr="00BC0DDA">
        <w:rPr>
          <w:b/>
          <w:noProof/>
          <w:color w:val="000000" w:themeColor="text1"/>
        </w:rPr>
        <w:t>wym</w:t>
      </w:r>
      <w:r w:rsidRPr="00BC0DDA">
        <w:rPr>
          <w:b/>
          <w:noProof/>
          <w:color w:val="000000" w:themeColor="text1"/>
        </w:rPr>
        <w:t>ogów związanych</w:t>
      </w:r>
      <w:r w:rsidR="00BC0DDA" w:rsidRPr="00BC0DDA">
        <w:rPr>
          <w:b/>
          <w:noProof/>
          <w:color w:val="000000" w:themeColor="text1"/>
        </w:rPr>
        <w:t xml:space="preserve"> z</w:t>
      </w:r>
      <w:r w:rsidR="00BC0DDA">
        <w:rPr>
          <w:b/>
          <w:noProof/>
          <w:color w:val="000000" w:themeColor="text1"/>
        </w:rPr>
        <w:t> </w:t>
      </w:r>
      <w:r w:rsidR="00BC0DDA" w:rsidRPr="00BC0DDA">
        <w:rPr>
          <w:b/>
          <w:noProof/>
          <w:color w:val="000000" w:themeColor="text1"/>
        </w:rPr>
        <w:t>wdr</w:t>
      </w:r>
      <w:r w:rsidRPr="00BC0DDA">
        <w:rPr>
          <w:b/>
          <w:noProof/>
          <w:color w:val="000000" w:themeColor="text1"/>
        </w:rPr>
        <w:t>ażaniem</w:t>
      </w:r>
      <w:r w:rsidR="00BC0DDA" w:rsidRPr="00BC0DDA">
        <w:rPr>
          <w:b/>
          <w:noProof/>
          <w:color w:val="000000" w:themeColor="text1"/>
        </w:rPr>
        <w:t xml:space="preserve"> i</w:t>
      </w:r>
      <w:r w:rsidR="00BC0DDA">
        <w:rPr>
          <w:b/>
          <w:noProof/>
          <w:color w:val="000000" w:themeColor="text1"/>
        </w:rPr>
        <w:t> </w:t>
      </w:r>
      <w:r w:rsidR="00BC0DDA" w:rsidRPr="00BC0DDA">
        <w:rPr>
          <w:b/>
          <w:noProof/>
          <w:color w:val="000000" w:themeColor="text1"/>
        </w:rPr>
        <w:t>eks</w:t>
      </w:r>
      <w:r w:rsidRPr="00BC0DDA">
        <w:rPr>
          <w:b/>
          <w:noProof/>
          <w:color w:val="000000" w:themeColor="text1"/>
        </w:rPr>
        <w:t>ploatacją systemów obliczeniowych wymaganych do opracowywania, trenowania</w:t>
      </w:r>
      <w:r w:rsidR="00BC0DDA" w:rsidRPr="00BC0DDA">
        <w:rPr>
          <w:b/>
          <w:noProof/>
          <w:color w:val="000000" w:themeColor="text1"/>
        </w:rPr>
        <w:t xml:space="preserve"> i</w:t>
      </w:r>
      <w:r w:rsidR="00BC0DDA">
        <w:rPr>
          <w:b/>
          <w:noProof/>
          <w:color w:val="000000" w:themeColor="text1"/>
        </w:rPr>
        <w:t> </w:t>
      </w:r>
      <w:r w:rsidR="00BC0DDA" w:rsidRPr="00BC0DDA">
        <w:rPr>
          <w:b/>
          <w:noProof/>
          <w:color w:val="000000" w:themeColor="text1"/>
        </w:rPr>
        <w:t>eks</w:t>
      </w:r>
      <w:r w:rsidRPr="00BC0DDA">
        <w:rPr>
          <w:b/>
          <w:noProof/>
          <w:color w:val="000000" w:themeColor="text1"/>
        </w:rPr>
        <w:t>ploatacji wielkoskalowych modeli AI. Należy wyjaśnić, że poprawka wprowadza jedną zmianę: włączenie fabryk sztucznej inteligencji do zakresu rozporządzenia.</w:t>
      </w:r>
    </w:p>
    <w:p w14:paraId="72C1018A" w14:textId="66F640A5" w:rsidR="0007586F" w:rsidRPr="00BC0DDA" w:rsidRDefault="00D57B91" w:rsidP="00D627E2">
      <w:pPr>
        <w:rPr>
          <w:rStyle w:val="normaltextrun"/>
          <w:noProof/>
          <w:color w:val="000000"/>
          <w:bdr w:val="none" w:sz="0" w:space="0" w:color="auto" w:frame="1"/>
        </w:rPr>
      </w:pPr>
      <w:r w:rsidRPr="00BC0DDA">
        <w:rPr>
          <w:rStyle w:val="normaltextrun"/>
          <w:noProof/>
          <w:color w:val="000000"/>
          <w:bdr w:val="none" w:sz="0" w:space="0" w:color="auto" w:frame="1"/>
        </w:rPr>
        <w:t>Jest to reakcja na istotne zmiany technologiczne</w:t>
      </w:r>
      <w:r w:rsidR="00BC0DDA" w:rsidRPr="00BC0DDA">
        <w:rPr>
          <w:rStyle w:val="normaltextrun"/>
          <w:noProof/>
          <w:color w:val="000000"/>
          <w:bdr w:val="none" w:sz="0" w:space="0" w:color="auto" w:frame="1"/>
        </w:rPr>
        <w:t xml:space="preserve"> i</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reg</w:t>
      </w:r>
      <w:r w:rsidRPr="00BC0DDA">
        <w:rPr>
          <w:rStyle w:val="normaltextrun"/>
          <w:noProof/>
          <w:color w:val="000000"/>
          <w:bdr w:val="none" w:sz="0" w:space="0" w:color="auto" w:frame="1"/>
        </w:rPr>
        <w:t>ulacyjne</w:t>
      </w:r>
      <w:r w:rsidR="00BC0DDA" w:rsidRPr="00BC0DDA">
        <w:rPr>
          <w:rStyle w:val="normaltextrun"/>
          <w:noProof/>
          <w:color w:val="000000"/>
          <w:bdr w:val="none" w:sz="0" w:space="0" w:color="auto" w:frame="1"/>
        </w:rPr>
        <w:t xml:space="preserve"> w</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dzi</w:t>
      </w:r>
      <w:r w:rsidRPr="00BC0DDA">
        <w:rPr>
          <w:rStyle w:val="normaltextrun"/>
          <w:noProof/>
          <w:color w:val="000000"/>
          <w:bdr w:val="none" w:sz="0" w:space="0" w:color="auto" w:frame="1"/>
        </w:rPr>
        <w:t>edzinie AI, które miały miejsce od czasu wejścia</w:t>
      </w:r>
      <w:r w:rsidR="00BC0DDA" w:rsidRPr="00BC0DDA">
        <w:rPr>
          <w:rStyle w:val="normaltextrun"/>
          <w:noProof/>
          <w:color w:val="000000"/>
          <w:bdr w:val="none" w:sz="0" w:space="0" w:color="auto" w:frame="1"/>
        </w:rPr>
        <w:t xml:space="preserve"> w</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życ</w:t>
      </w:r>
      <w:r w:rsidRPr="00BC0DDA">
        <w:rPr>
          <w:rStyle w:val="normaltextrun"/>
          <w:noProof/>
          <w:color w:val="000000"/>
          <w:bdr w:val="none" w:sz="0" w:space="0" w:color="auto" w:frame="1"/>
        </w:rPr>
        <w:t>ie pierwotnego rozporządzenia</w:t>
      </w:r>
      <w:r w:rsidR="00BC0DDA" w:rsidRPr="00BC0DDA">
        <w:rPr>
          <w:rStyle w:val="normaltextrun"/>
          <w:noProof/>
          <w:color w:val="000000"/>
          <w:bdr w:val="none" w:sz="0" w:space="0" w:color="auto" w:frame="1"/>
        </w:rPr>
        <w:t xml:space="preserve"> w</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2</w:t>
      </w:r>
      <w:r w:rsidRPr="00BC0DDA">
        <w:rPr>
          <w:rStyle w:val="normaltextrun"/>
          <w:noProof/>
          <w:color w:val="000000"/>
          <w:bdr w:val="none" w:sz="0" w:space="0" w:color="auto" w:frame="1"/>
        </w:rPr>
        <w:t>021</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r.</w:t>
      </w:r>
    </w:p>
    <w:p w14:paraId="4FD94D18" w14:textId="51B50B97" w:rsidR="00B07B9A" w:rsidRPr="00BC0DDA" w:rsidRDefault="0007586F" w:rsidP="00D627E2">
      <w:pPr>
        <w:rPr>
          <w:rStyle w:val="normaltextrun"/>
          <w:noProof/>
          <w:color w:val="000000"/>
          <w:bdr w:val="none" w:sz="0" w:space="0" w:color="auto" w:frame="1"/>
        </w:rPr>
      </w:pPr>
      <w:r w:rsidRPr="00BC0DDA">
        <w:rPr>
          <w:rStyle w:val="normaltextrun"/>
          <w:noProof/>
          <w:color w:val="000000"/>
          <w:bdr w:val="none" w:sz="0" w:space="0" w:color="auto" w:frame="1"/>
        </w:rPr>
        <w:t>Zmiana nie wpływa na obowiązki państw członkowskich uczestniczących we Wspólnym Przedsięwzięciu,</w:t>
      </w:r>
      <w:r w:rsidR="00BC0DDA" w:rsidRPr="00BC0DDA">
        <w:rPr>
          <w:rStyle w:val="normaltextrun"/>
          <w:noProof/>
          <w:color w:val="000000"/>
          <w:bdr w:val="none" w:sz="0" w:space="0" w:color="auto" w:frame="1"/>
        </w:rPr>
        <w:t xml:space="preserve"> w</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zak</w:t>
      </w:r>
      <w:r w:rsidRPr="00BC0DDA">
        <w:rPr>
          <w:rStyle w:val="normaltextrun"/>
          <w:noProof/>
          <w:color w:val="000000"/>
          <w:bdr w:val="none" w:sz="0" w:space="0" w:color="auto" w:frame="1"/>
        </w:rPr>
        <w:t xml:space="preserve">resie przestrzegania zasad pomocy państwa. </w:t>
      </w:r>
      <w:r w:rsidRPr="00BC0DDA">
        <w:rPr>
          <w:noProof/>
        </w:rPr>
        <w:t>Rozporządzenie Rady (UE) 2021/1173 zawiera już przepisy</w:t>
      </w:r>
      <w:r w:rsidR="00BC0DDA" w:rsidRPr="00BC0DDA">
        <w:rPr>
          <w:noProof/>
        </w:rPr>
        <w:t xml:space="preserve"> w</w:t>
      </w:r>
      <w:r w:rsidR="00BC0DDA">
        <w:rPr>
          <w:noProof/>
        </w:rPr>
        <w:t> </w:t>
      </w:r>
      <w:r w:rsidR="00BC0DDA" w:rsidRPr="00BC0DDA">
        <w:rPr>
          <w:noProof/>
        </w:rPr>
        <w:t>tym</w:t>
      </w:r>
      <w:r w:rsidRPr="00BC0DDA">
        <w:rPr>
          <w:noProof/>
        </w:rPr>
        <w:t xml:space="preserve"> zakresie: określa</w:t>
      </w:r>
      <w:r w:rsidR="00BC0DDA" w:rsidRPr="00BC0DDA">
        <w:rPr>
          <w:noProof/>
        </w:rPr>
        <w:t xml:space="preserve"> w</w:t>
      </w:r>
      <w:r w:rsidR="00BC0DDA">
        <w:rPr>
          <w:noProof/>
        </w:rPr>
        <w:t> </w:t>
      </w:r>
      <w:r w:rsidR="00BC0DDA" w:rsidRPr="00BC0DDA">
        <w:rPr>
          <w:noProof/>
        </w:rPr>
        <w:t>mot</w:t>
      </w:r>
      <w:r w:rsidRPr="00BC0DDA">
        <w:rPr>
          <w:noProof/>
        </w:rPr>
        <w:t>ywie 59, że wszelkie finansowanie</w:t>
      </w:r>
      <w:r w:rsidR="00BC0DDA" w:rsidRPr="00BC0DDA">
        <w:rPr>
          <w:noProof/>
        </w:rPr>
        <w:t xml:space="preserve"> w</w:t>
      </w:r>
      <w:r w:rsidR="00BC0DDA">
        <w:rPr>
          <w:noProof/>
        </w:rPr>
        <w:t> </w:t>
      </w:r>
      <w:r w:rsidR="00BC0DDA" w:rsidRPr="00BC0DDA">
        <w:rPr>
          <w:noProof/>
        </w:rPr>
        <w:t>ram</w:t>
      </w:r>
      <w:r w:rsidRPr="00BC0DDA">
        <w:rPr>
          <w:noProof/>
        </w:rPr>
        <w:t>ach programów unijnych powinno być zgodne</w:t>
      </w:r>
      <w:r w:rsidR="00BC0DDA" w:rsidRPr="00BC0DDA">
        <w:rPr>
          <w:noProof/>
        </w:rPr>
        <w:t xml:space="preserve"> z</w:t>
      </w:r>
      <w:r w:rsidR="00BC0DDA">
        <w:rPr>
          <w:noProof/>
        </w:rPr>
        <w:t> </w:t>
      </w:r>
      <w:r w:rsidR="00BC0DDA" w:rsidRPr="00BC0DDA">
        <w:rPr>
          <w:noProof/>
        </w:rPr>
        <w:t>zas</w:t>
      </w:r>
      <w:r w:rsidRPr="00BC0DDA">
        <w:rPr>
          <w:noProof/>
        </w:rPr>
        <w:t>adami</w:t>
      </w:r>
      <w:r w:rsidR="00BC0DDA" w:rsidRPr="00BC0DDA">
        <w:rPr>
          <w:noProof/>
        </w:rPr>
        <w:t xml:space="preserve"> w</w:t>
      </w:r>
      <w:r w:rsidR="00BC0DDA">
        <w:rPr>
          <w:noProof/>
        </w:rPr>
        <w:t> </w:t>
      </w:r>
      <w:r w:rsidR="00BC0DDA" w:rsidRPr="00BC0DDA">
        <w:rPr>
          <w:noProof/>
        </w:rPr>
        <w:t>zak</w:t>
      </w:r>
      <w:r w:rsidRPr="00BC0DDA">
        <w:rPr>
          <w:noProof/>
        </w:rPr>
        <w:t>resie pomocy państwa, aby zapewnić skuteczność wydatków publicznych</w:t>
      </w:r>
      <w:r w:rsidR="00BC0DDA" w:rsidRPr="00BC0DDA">
        <w:rPr>
          <w:noProof/>
        </w:rPr>
        <w:t xml:space="preserve"> i</w:t>
      </w:r>
      <w:r w:rsidR="00BC0DDA">
        <w:rPr>
          <w:noProof/>
        </w:rPr>
        <w:t> </w:t>
      </w:r>
      <w:r w:rsidR="00BC0DDA" w:rsidRPr="00BC0DDA">
        <w:rPr>
          <w:noProof/>
        </w:rPr>
        <w:t>zap</w:t>
      </w:r>
      <w:r w:rsidRPr="00BC0DDA">
        <w:rPr>
          <w:noProof/>
        </w:rPr>
        <w:t>obiec zakłóceniom na rynku;</w:t>
      </w:r>
      <w:r w:rsidR="00BC0DDA" w:rsidRPr="00BC0DDA">
        <w:rPr>
          <w:noProof/>
        </w:rPr>
        <w:t xml:space="preserve"> a</w:t>
      </w:r>
      <w:r w:rsidR="00BC0DDA">
        <w:rPr>
          <w:noProof/>
        </w:rPr>
        <w:t> </w:t>
      </w:r>
      <w:r w:rsidR="00BC0DDA" w:rsidRPr="00BC0DDA">
        <w:rPr>
          <w:noProof/>
        </w:rPr>
        <w:t>tak</w:t>
      </w:r>
      <w:r w:rsidRPr="00BC0DDA">
        <w:rPr>
          <w:noProof/>
        </w:rPr>
        <w:t>że określa</w:t>
      </w:r>
      <w:r w:rsidR="00BC0DDA" w:rsidRPr="00BC0DDA">
        <w:rPr>
          <w:noProof/>
        </w:rPr>
        <w:t xml:space="preserve"> w</w:t>
      </w:r>
      <w:r w:rsidR="00BC0DDA">
        <w:rPr>
          <w:noProof/>
        </w:rPr>
        <w:t> </w:t>
      </w:r>
      <w:r w:rsidR="00BC0DDA" w:rsidRPr="00BC0DDA">
        <w:rPr>
          <w:noProof/>
        </w:rPr>
        <w:t>art</w:t>
      </w:r>
      <w:r w:rsidRPr="00BC0DDA">
        <w:rPr>
          <w:noProof/>
        </w:rPr>
        <w:t>.</w:t>
      </w:r>
      <w:r w:rsidR="00BC0DDA" w:rsidRPr="00BC0DDA">
        <w:rPr>
          <w:noProof/>
        </w:rPr>
        <w:t> </w:t>
      </w:r>
      <w:r w:rsidRPr="00BC0DDA">
        <w:rPr>
          <w:noProof/>
        </w:rPr>
        <w:t>7, że wkłady państw członkowskich na rzecz beneficjentów powinny pozostawać bez uszczerbku dla zasad pomocy państwa.</w:t>
      </w:r>
    </w:p>
    <w:p w14:paraId="5E6F6347" w14:textId="152550E6" w:rsidR="00092807" w:rsidRPr="00BC0DDA" w:rsidRDefault="00342CB3" w:rsidP="00D627E2">
      <w:pPr>
        <w:rPr>
          <w:rStyle w:val="normaltextrun"/>
          <w:noProof/>
          <w:color w:val="000000"/>
          <w:bdr w:val="none" w:sz="0" w:space="0" w:color="auto" w:frame="1"/>
        </w:rPr>
      </w:pPr>
      <w:r w:rsidRPr="00BC0DDA">
        <w:rPr>
          <w:rStyle w:val="normaltextrun"/>
          <w:noProof/>
        </w:rPr>
        <w:t>W świetle tych zmian nowy proponowany art.</w:t>
      </w:r>
      <w:r w:rsidR="00BC0DDA" w:rsidRPr="00BC0DDA">
        <w:rPr>
          <w:rStyle w:val="normaltextrun"/>
          <w:noProof/>
        </w:rPr>
        <w:t> </w:t>
      </w:r>
      <w:r w:rsidRPr="00BC0DDA">
        <w:rPr>
          <w:rStyle w:val="normaltextrun"/>
          <w:noProof/>
        </w:rPr>
        <w:t>2 pkt</w:t>
      </w:r>
      <w:r w:rsidR="00BC0DDA" w:rsidRPr="00BC0DDA">
        <w:rPr>
          <w:rStyle w:val="normaltextrun"/>
          <w:noProof/>
        </w:rPr>
        <w:t> </w:t>
      </w:r>
      <w:r w:rsidRPr="00BC0DDA">
        <w:rPr>
          <w:rStyle w:val="normaltextrun"/>
          <w:noProof/>
        </w:rPr>
        <w:t>3b zawiera definicję superkomputera przeznaczonego na potrzeby sztucznej inteligencji,</w:t>
      </w:r>
      <w:r w:rsidR="00BC0DDA" w:rsidRPr="00BC0DDA">
        <w:rPr>
          <w:rStyle w:val="normaltextrun"/>
          <w:noProof/>
        </w:rPr>
        <w:t xml:space="preserve"> a</w:t>
      </w:r>
      <w:r w:rsidR="00BC0DDA">
        <w:rPr>
          <w:rStyle w:val="normaltextrun"/>
          <w:noProof/>
        </w:rPr>
        <w:t> </w:t>
      </w:r>
      <w:r w:rsidR="00BC0DDA" w:rsidRPr="00BC0DDA">
        <w:rPr>
          <w:rStyle w:val="normaltextrun"/>
          <w:noProof/>
        </w:rPr>
        <w:t>w</w:t>
      </w:r>
      <w:r w:rsidR="00BC0DDA">
        <w:rPr>
          <w:rStyle w:val="normaltextrun"/>
          <w:noProof/>
        </w:rPr>
        <w:t> </w:t>
      </w:r>
      <w:r w:rsidR="00BC0DDA" w:rsidRPr="00BC0DDA">
        <w:rPr>
          <w:rStyle w:val="normaltextrun"/>
          <w:noProof/>
        </w:rPr>
        <w:t>pkt </w:t>
      </w:r>
      <w:r w:rsidRPr="00BC0DDA">
        <w:rPr>
          <w:rStyle w:val="normaltextrun"/>
          <w:noProof/>
        </w:rPr>
        <w:t>3c tego artykułu przedstawiono definicję fabryki sztucznej inteligencji</w:t>
      </w:r>
      <w:r w:rsidR="00BC0DDA" w:rsidRPr="00BC0DDA">
        <w:rPr>
          <w:rStyle w:val="normaltextrun"/>
          <w:noProof/>
        </w:rPr>
        <w:t>.</w:t>
      </w:r>
      <w:r w:rsidR="00BC0DDA" w:rsidRPr="00BC0DDA">
        <w:rPr>
          <w:rStyle w:val="normaltextrun"/>
          <w:noProof/>
          <w:color w:val="000000"/>
          <w:bdr w:val="none" w:sz="0" w:space="0" w:color="auto" w:frame="1"/>
        </w:rPr>
        <w:t xml:space="preserve"> W</w:t>
      </w:r>
      <w:r w:rsidR="00BC0DDA">
        <w:rPr>
          <w:rStyle w:val="normaltextrun"/>
          <w:noProof/>
        </w:rPr>
        <w:t> </w:t>
      </w:r>
      <w:r w:rsidR="00BC0DDA" w:rsidRPr="00BC0DDA">
        <w:rPr>
          <w:rStyle w:val="normaltextrun"/>
          <w:noProof/>
          <w:color w:val="000000"/>
          <w:bdr w:val="none" w:sz="0" w:space="0" w:color="auto" w:frame="1"/>
        </w:rPr>
        <w:t>art</w:t>
      </w:r>
      <w:r w:rsidRPr="00BC0DDA">
        <w:rPr>
          <w:rStyle w:val="normaltextrun"/>
          <w:noProof/>
          <w:color w:val="000000"/>
          <w:bdr w:val="none" w:sz="0" w:space="0" w:color="auto" w:frame="1"/>
        </w:rPr>
        <w: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2 pkt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9 wprowadza się zmiany</w:t>
      </w:r>
      <w:r w:rsidR="00BC0DDA" w:rsidRPr="00BC0DDA">
        <w:rPr>
          <w:rStyle w:val="normaltextrun"/>
          <w:noProof/>
          <w:color w:val="000000"/>
          <w:bdr w:val="none" w:sz="0" w:space="0" w:color="auto" w:frame="1"/>
        </w:rPr>
        <w:t xml:space="preserve"> w</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cel</w:t>
      </w:r>
      <w:r w:rsidRPr="00BC0DDA">
        <w:rPr>
          <w:rStyle w:val="normaltextrun"/>
          <w:noProof/>
          <w:color w:val="000000"/>
          <w:bdr w:val="none" w:sz="0" w:space="0" w:color="auto" w:frame="1"/>
        </w:rPr>
        <w:t>u uwzględnienia superkomputerów przeznaczonych na potrzeby sztucznej inteligencji jako innej kategorii superkomputerów EuroHPC</w:t>
      </w:r>
      <w:r w:rsidR="00BC0DDA" w:rsidRPr="00BC0DDA">
        <w:rPr>
          <w:rStyle w:val="normaltextrun"/>
          <w:noProof/>
          <w:color w:val="000000"/>
          <w:bdr w:val="none" w:sz="0" w:space="0" w:color="auto" w:frame="1"/>
        </w:rPr>
        <w:t xml:space="preserve">. </w:t>
      </w:r>
      <w:r w:rsidR="00BC0DDA" w:rsidRPr="00BC0DDA">
        <w:rPr>
          <w:noProof/>
        </w:rPr>
        <w:t>W</w:t>
      </w:r>
      <w:r w:rsidR="00BC0DDA">
        <w:rPr>
          <w:rStyle w:val="normaltextrun"/>
          <w:noProof/>
          <w:color w:val="000000"/>
          <w:bdr w:val="none" w:sz="0" w:space="0" w:color="auto" w:frame="1"/>
        </w:rPr>
        <w:t> </w:t>
      </w:r>
      <w:r w:rsidR="00BC0DDA" w:rsidRPr="00BC0DDA">
        <w:rPr>
          <w:noProof/>
        </w:rPr>
        <w:t>now</w:t>
      </w:r>
      <w:r w:rsidRPr="00BC0DDA">
        <w:rPr>
          <w:noProof/>
        </w:rPr>
        <w:t>ej lit.</w:t>
      </w:r>
      <w:r w:rsidR="00BC0DDA" w:rsidRPr="00BC0DDA">
        <w:rPr>
          <w:noProof/>
        </w:rPr>
        <w:t> </w:t>
      </w:r>
      <w:r w:rsidRPr="00BC0DDA">
        <w:rPr>
          <w:noProof/>
        </w:rPr>
        <w:t>h) dodanej do art.</w:t>
      </w:r>
      <w:r w:rsidR="00BC0DDA" w:rsidRPr="00BC0DDA">
        <w:rPr>
          <w:noProof/>
        </w:rPr>
        <w:t> </w:t>
      </w:r>
      <w:r w:rsidRPr="00BC0DDA">
        <w:rPr>
          <w:noProof/>
        </w:rPr>
        <w:t>3 ust.</w:t>
      </w:r>
      <w:r w:rsidR="00BC0DDA" w:rsidRPr="00BC0DDA">
        <w:rPr>
          <w:noProof/>
        </w:rPr>
        <w:t> </w:t>
      </w:r>
      <w:r w:rsidRPr="00BC0DDA">
        <w:rPr>
          <w:noProof/>
        </w:rPr>
        <w:t>2 przedstawiono nowy cel Wspólnego Przedsięwzięcia polegający na utworzeniu</w:t>
      </w:r>
      <w:r w:rsidR="00BC0DDA" w:rsidRPr="00BC0DDA">
        <w:rPr>
          <w:noProof/>
        </w:rPr>
        <w:t xml:space="preserve"> i</w:t>
      </w:r>
      <w:r w:rsidR="00BC0DDA">
        <w:rPr>
          <w:noProof/>
        </w:rPr>
        <w:t> </w:t>
      </w:r>
      <w:r w:rsidR="00BC0DDA" w:rsidRPr="00BC0DDA">
        <w:rPr>
          <w:noProof/>
        </w:rPr>
        <w:t>eks</w:t>
      </w:r>
      <w:r w:rsidRPr="00BC0DDA">
        <w:rPr>
          <w:noProof/>
        </w:rPr>
        <w:t>ploatacji fabryk sztucznej inteligencji</w:t>
      </w:r>
      <w:r w:rsidR="00BC0DDA" w:rsidRPr="00BC0DDA">
        <w:rPr>
          <w:noProof/>
        </w:rPr>
        <w:t xml:space="preserve"> w</w:t>
      </w:r>
      <w:r w:rsidR="00BC0DDA">
        <w:rPr>
          <w:noProof/>
        </w:rPr>
        <w:t> </w:t>
      </w:r>
      <w:r w:rsidR="00BC0DDA" w:rsidRPr="00BC0DDA">
        <w:rPr>
          <w:noProof/>
        </w:rPr>
        <w:t>ram</w:t>
      </w:r>
      <w:r w:rsidRPr="00BC0DDA">
        <w:rPr>
          <w:noProof/>
        </w:rPr>
        <w:t>ach wsparcia dalszego rozwoju wysoce konkurencyjnego</w:t>
      </w:r>
      <w:r w:rsidR="00BC0DDA" w:rsidRPr="00BC0DDA">
        <w:rPr>
          <w:noProof/>
        </w:rPr>
        <w:t xml:space="preserve"> i</w:t>
      </w:r>
      <w:r w:rsidR="00BC0DDA">
        <w:rPr>
          <w:noProof/>
        </w:rPr>
        <w:t> </w:t>
      </w:r>
      <w:r w:rsidR="00BC0DDA" w:rsidRPr="00BC0DDA">
        <w:rPr>
          <w:noProof/>
        </w:rPr>
        <w:t>inn</w:t>
      </w:r>
      <w:r w:rsidRPr="00BC0DDA">
        <w:rPr>
          <w:noProof/>
        </w:rPr>
        <w:t>owacyjnego ekosystemu AI</w:t>
      </w:r>
      <w:r w:rsidR="00BC0DDA" w:rsidRPr="00BC0DDA">
        <w:rPr>
          <w:noProof/>
        </w:rPr>
        <w:t xml:space="preserve"> w</w:t>
      </w:r>
      <w:r w:rsidR="00BC0DDA">
        <w:rPr>
          <w:noProof/>
        </w:rPr>
        <w:t> </w:t>
      </w:r>
      <w:r w:rsidR="00BC0DDA" w:rsidRPr="00BC0DDA">
        <w:rPr>
          <w:noProof/>
        </w:rPr>
        <w:t>Uni</w:t>
      </w:r>
      <w:r w:rsidRPr="00BC0DDA">
        <w:rPr>
          <w:noProof/>
        </w:rPr>
        <w:t>i, natomiast</w:t>
      </w:r>
      <w:r w:rsidR="00BC0DDA" w:rsidRPr="00BC0DDA">
        <w:rPr>
          <w:noProof/>
        </w:rPr>
        <w:t xml:space="preserve"> w</w:t>
      </w:r>
      <w:r w:rsidR="00BC0DDA">
        <w:rPr>
          <w:noProof/>
        </w:rPr>
        <w:t> </w:t>
      </w:r>
      <w:r w:rsidR="00BC0DDA" w:rsidRPr="00BC0DDA">
        <w:rPr>
          <w:noProof/>
        </w:rPr>
        <w:t>art</w:t>
      </w:r>
      <w:r w:rsidRPr="00BC0DDA">
        <w:rPr>
          <w:noProof/>
        </w:rPr>
        <w:t>.</w:t>
      </w:r>
      <w:r w:rsidR="00BC0DDA" w:rsidRPr="00BC0DDA">
        <w:rPr>
          <w:noProof/>
        </w:rPr>
        <w:t> </w:t>
      </w:r>
      <w:r w:rsidRPr="00BC0DDA">
        <w:rPr>
          <w:noProof/>
        </w:rPr>
        <w:t>4 ust.</w:t>
      </w:r>
      <w:r w:rsidR="00BC0DDA" w:rsidRPr="00BC0DDA">
        <w:rPr>
          <w:noProof/>
        </w:rPr>
        <w:t> </w:t>
      </w:r>
      <w:r w:rsidRPr="00BC0DDA">
        <w:rPr>
          <w:noProof/>
        </w:rPr>
        <w:t>1 dodano nową lit.</w:t>
      </w:r>
      <w:r w:rsidR="00BC0DDA" w:rsidRPr="00BC0DDA">
        <w:rPr>
          <w:noProof/>
        </w:rPr>
        <w:t> </w:t>
      </w:r>
      <w:r w:rsidRPr="00BC0DDA">
        <w:rPr>
          <w:noProof/>
        </w:rPr>
        <w:t>h) określającą nowy ukierunkowany na AI filar działalności</w:t>
      </w:r>
      <w:r w:rsidR="00BC0DDA" w:rsidRPr="00BC0DDA">
        <w:rPr>
          <w:noProof/>
        </w:rPr>
        <w:t>.</w:t>
      </w:r>
      <w:r w:rsidR="00BC0DDA" w:rsidRPr="00BC0DDA">
        <w:rPr>
          <w:rStyle w:val="normaltextrun"/>
          <w:noProof/>
          <w:color w:val="000000"/>
          <w:bdr w:val="none" w:sz="0" w:space="0" w:color="auto" w:frame="1"/>
        </w:rPr>
        <w:t xml:space="preserve"> W</w:t>
      </w:r>
      <w:r w:rsidR="00BC0DDA">
        <w:rPr>
          <w:noProof/>
        </w:rPr>
        <w:t> </w:t>
      </w:r>
      <w:r w:rsidR="00BC0DDA" w:rsidRPr="00BC0DDA">
        <w:rPr>
          <w:rStyle w:val="normaltextrun"/>
          <w:noProof/>
          <w:color w:val="000000"/>
          <w:bdr w:val="none" w:sz="0" w:space="0" w:color="auto" w:frame="1"/>
        </w:rPr>
        <w:t>tym</w:t>
      </w:r>
      <w:r w:rsidRPr="00BC0DDA">
        <w:rPr>
          <w:rStyle w:val="normaltextrun"/>
          <w:noProof/>
          <w:color w:val="000000"/>
          <w:bdr w:val="none" w:sz="0" w:space="0" w:color="auto" w:frame="1"/>
        </w:rPr>
        <w:t xml:space="preserve"> względzie zmienia się również art.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9 ust.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5 lit.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g), art.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10 ust.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2 lit.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l), art.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16 ust.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1</w:t>
      </w:r>
      <w:r w:rsidR="00BC0DDA" w:rsidRPr="00BC0DDA">
        <w:rPr>
          <w:rStyle w:val="normaltextrun"/>
          <w:noProof/>
          <w:color w:val="000000"/>
          <w:bdr w:val="none" w:sz="0" w:space="0" w:color="auto" w:frame="1"/>
        </w:rPr>
        <w:t xml:space="preserve"> i</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art</w:t>
      </w:r>
      <w:r w:rsidRPr="00BC0DDA">
        <w:rPr>
          <w:rStyle w:val="normaltextrun"/>
          <w:noProof/>
          <w:color w:val="000000"/>
          <w:bdr w:val="none" w:sz="0" w:space="0" w:color="auto" w:frame="1"/>
        </w:rPr>
        <w: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17 ust.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1.</w:t>
      </w:r>
    </w:p>
    <w:p w14:paraId="72407CF2" w14:textId="26B78FD1" w:rsidR="00032E08" w:rsidRPr="00BC0DDA" w:rsidRDefault="490332F8" w:rsidP="00D627E2">
      <w:pPr>
        <w:rPr>
          <w:rStyle w:val="normaltextrun"/>
          <w:noProof/>
          <w:color w:val="000000"/>
          <w:bdr w:val="none" w:sz="0" w:space="0" w:color="auto" w:frame="1"/>
        </w:rPr>
      </w:pPr>
      <w:r w:rsidRPr="00BC0DDA">
        <w:rPr>
          <w:rStyle w:val="normaltextrun"/>
          <w:noProof/>
          <w:color w:val="000000"/>
          <w:bdr w:val="none" w:sz="0" w:space="0" w:color="auto" w:frame="1"/>
        </w:rPr>
        <w:t>Nowy art.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12</w:t>
      </w:r>
      <w:r w:rsidRPr="00BC0DDA">
        <w:rPr>
          <w:rStyle w:val="normaltextrun"/>
          <w:i/>
          <w:noProof/>
          <w:color w:val="000000"/>
          <w:bdr w:val="none" w:sz="0" w:space="0" w:color="auto" w:frame="1"/>
        </w:rPr>
        <w:t>a</w:t>
      </w:r>
      <w:r w:rsidRPr="00BC0DDA">
        <w:rPr>
          <w:rStyle w:val="normaltextrun"/>
          <w:noProof/>
          <w:color w:val="000000"/>
          <w:bdr w:val="none" w:sz="0" w:space="0" w:color="auto" w:frame="1"/>
        </w:rPr>
        <w:t xml:space="preserve"> obejmuje przepisy dotyczące nabywania</w:t>
      </w:r>
      <w:r w:rsidR="00BC0DDA" w:rsidRPr="00BC0DDA">
        <w:rPr>
          <w:rStyle w:val="normaltextrun"/>
          <w:noProof/>
          <w:color w:val="000000"/>
          <w:bdr w:val="none" w:sz="0" w:space="0" w:color="auto" w:frame="1"/>
        </w:rPr>
        <w:t xml:space="preserve"> i</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wła</w:t>
      </w:r>
      <w:r w:rsidRPr="00BC0DDA">
        <w:rPr>
          <w:rStyle w:val="normaltextrun"/>
          <w:noProof/>
          <w:color w:val="000000"/>
          <w:bdr w:val="none" w:sz="0" w:space="0" w:color="auto" w:frame="1"/>
        </w:rPr>
        <w:t>sności superkomputerów przeznaczonych na potrzeby sztucznej inteligencji przez Wspólne Przedsięwzięcie</w:t>
      </w:r>
      <w:r w:rsidR="00BC0DDA" w:rsidRPr="00BC0DDA">
        <w:rPr>
          <w:rStyle w:val="normaltextrun"/>
          <w:noProof/>
          <w:color w:val="000000"/>
          <w:bdr w:val="none" w:sz="0" w:space="0" w:color="auto" w:frame="1"/>
        </w:rPr>
        <w:t>. W</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art</w:t>
      </w:r>
      <w:r w:rsidRPr="00BC0DDA">
        <w:rPr>
          <w:rStyle w:val="normaltextrun"/>
          <w:noProof/>
          <w:color w:val="000000"/>
          <w:bdr w:val="none" w:sz="0" w:space="0" w:color="auto" w:frame="1"/>
        </w:rPr>
        <w: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16 ust.</w:t>
      </w:r>
      <w:r w:rsidR="00BC0DDA" w:rsidRPr="00BC0DDA">
        <w:rPr>
          <w:rStyle w:val="normaltextrun"/>
          <w:noProof/>
          <w:color w:val="000000"/>
          <w:bdr w:val="none" w:sz="0" w:space="0" w:color="auto" w:frame="1"/>
        </w:rPr>
        <w:t> </w:t>
      </w:r>
      <w:r w:rsidRPr="00BC0DDA">
        <w:rPr>
          <w:rStyle w:val="normaltextrun"/>
          <w:noProof/>
          <w:color w:val="000000"/>
          <w:bdr w:val="none" w:sz="0" w:space="0" w:color="auto" w:frame="1"/>
        </w:rPr>
        <w:t>1b</w:t>
      </w:r>
      <w:r w:rsidR="00BC0DDA" w:rsidRPr="00BC0DDA">
        <w:rPr>
          <w:rStyle w:val="normaltextrun"/>
          <w:noProof/>
          <w:color w:val="000000"/>
          <w:bdr w:val="none" w:sz="0" w:space="0" w:color="auto" w:frame="1"/>
        </w:rPr>
        <w:t xml:space="preserve"> i</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2</w:t>
      </w:r>
      <w:r w:rsidRPr="00BC0DDA">
        <w:rPr>
          <w:rStyle w:val="normaltextrun"/>
          <w:noProof/>
          <w:color w:val="000000"/>
          <w:bdr w:val="none" w:sz="0" w:space="0" w:color="auto" w:frame="1"/>
        </w:rPr>
        <w:t xml:space="preserve">b określono sposób wykorzystania tych superkomputerów oraz warunki dostępu do nich. </w:t>
      </w:r>
    </w:p>
    <w:p w14:paraId="110F545C" w14:textId="540FE962" w:rsidR="00BF50AE" w:rsidRPr="00BC0DDA" w:rsidRDefault="00BF50AE" w:rsidP="00D627E2">
      <w:pPr>
        <w:rPr>
          <w:noProof/>
        </w:rPr>
      </w:pPr>
      <w:r w:rsidRPr="00BC0DDA">
        <w:rPr>
          <w:rStyle w:val="normaltextrun"/>
          <w:noProof/>
          <w:color w:val="000000"/>
          <w:bdr w:val="none" w:sz="0" w:space="0" w:color="auto" w:frame="1"/>
        </w:rPr>
        <w:t>Art. 15 został dostosowany, aby zapewnić większą elastyczność</w:t>
      </w:r>
      <w:r w:rsidR="00BC0DDA" w:rsidRPr="00BC0DDA">
        <w:rPr>
          <w:rStyle w:val="normaltextrun"/>
          <w:noProof/>
          <w:color w:val="000000"/>
          <w:bdr w:val="none" w:sz="0" w:space="0" w:color="auto" w:frame="1"/>
        </w:rPr>
        <w:t xml:space="preserve"> w</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zak</w:t>
      </w:r>
      <w:r w:rsidRPr="00BC0DDA">
        <w:rPr>
          <w:rStyle w:val="normaltextrun"/>
          <w:noProof/>
          <w:color w:val="000000"/>
          <w:bdr w:val="none" w:sz="0" w:space="0" w:color="auto" w:frame="1"/>
        </w:rPr>
        <w:t>resie modernizacji istniejących superkomputerów EuroHPC, między innym</w:t>
      </w:r>
      <w:r w:rsidR="00BC0DDA" w:rsidRPr="00BC0DDA">
        <w:rPr>
          <w:rStyle w:val="normaltextrun"/>
          <w:noProof/>
          <w:color w:val="000000"/>
          <w:bdr w:val="none" w:sz="0" w:space="0" w:color="auto" w:frame="1"/>
        </w:rPr>
        <w:t xml:space="preserve"> w</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cel</w:t>
      </w:r>
      <w:r w:rsidRPr="00BC0DDA">
        <w:rPr>
          <w:rStyle w:val="normaltextrun"/>
          <w:noProof/>
          <w:color w:val="000000"/>
          <w:bdr w:val="none" w:sz="0" w:space="0" w:color="auto" w:frame="1"/>
        </w:rPr>
        <w:t>u zwiększenia ich zdolności</w:t>
      </w:r>
      <w:r w:rsidR="00BC0DDA" w:rsidRPr="00BC0DDA">
        <w:rPr>
          <w:rStyle w:val="normaltextrun"/>
          <w:noProof/>
          <w:color w:val="000000"/>
          <w:bdr w:val="none" w:sz="0" w:space="0" w:color="auto" w:frame="1"/>
        </w:rPr>
        <w:t xml:space="preserve"> w</w:t>
      </w:r>
      <w:r w:rsidR="00BC0DDA">
        <w:rPr>
          <w:rStyle w:val="normaltextrun"/>
          <w:noProof/>
          <w:color w:val="000000"/>
          <w:bdr w:val="none" w:sz="0" w:space="0" w:color="auto" w:frame="1"/>
        </w:rPr>
        <w:t> </w:t>
      </w:r>
      <w:r w:rsidR="00BC0DDA" w:rsidRPr="00BC0DDA">
        <w:rPr>
          <w:rStyle w:val="normaltextrun"/>
          <w:noProof/>
          <w:color w:val="000000"/>
          <w:bdr w:val="none" w:sz="0" w:space="0" w:color="auto" w:frame="1"/>
        </w:rPr>
        <w:t>zak</w:t>
      </w:r>
      <w:r w:rsidRPr="00BC0DDA">
        <w:rPr>
          <w:rStyle w:val="normaltextrun"/>
          <w:noProof/>
          <w:color w:val="000000"/>
          <w:bdr w:val="none" w:sz="0" w:space="0" w:color="auto" w:frame="1"/>
        </w:rPr>
        <w:t xml:space="preserve">resie sztucznej inteligencji. </w:t>
      </w:r>
      <w:r w:rsidRPr="00BC0DDA">
        <w:rPr>
          <w:noProof/>
          <w:color w:val="000000"/>
          <w:bdr w:val="none" w:sz="0" w:space="0" w:color="auto" w:frame="1"/>
        </w:rPr>
        <w:t>Art. 15 pierwotnego rozporządzenia EuroHPC miał umożliwić terminową modernizację superkomputerów</w:t>
      </w:r>
      <w:r w:rsidR="00BC0DDA" w:rsidRPr="00BC0DDA">
        <w:rPr>
          <w:noProof/>
          <w:color w:val="000000"/>
          <w:bdr w:val="none" w:sz="0" w:space="0" w:color="auto" w:frame="1"/>
        </w:rPr>
        <w:t xml:space="preserve"> w</w:t>
      </w:r>
      <w:r w:rsidR="00BC0DDA">
        <w:rPr>
          <w:noProof/>
          <w:color w:val="000000"/>
          <w:bdr w:val="none" w:sz="0" w:space="0" w:color="auto" w:frame="1"/>
        </w:rPr>
        <w:t> </w:t>
      </w:r>
      <w:r w:rsidR="00BC0DDA" w:rsidRPr="00BC0DDA">
        <w:rPr>
          <w:noProof/>
          <w:color w:val="000000"/>
          <w:bdr w:val="none" w:sz="0" w:space="0" w:color="auto" w:frame="1"/>
        </w:rPr>
        <w:t>cel</w:t>
      </w:r>
      <w:r w:rsidRPr="00BC0DDA">
        <w:rPr>
          <w:noProof/>
          <w:color w:val="000000"/>
          <w:bdr w:val="none" w:sz="0" w:space="0" w:color="auto" w:frame="1"/>
        </w:rPr>
        <w:t>u zwiększenia ich zdolności lub wydłużenia okresu eksploatacji. Wyznaczono wyraźne limity, aby utrzymać priorytety inwestycji</w:t>
      </w:r>
      <w:r w:rsidR="00BC0DDA" w:rsidRPr="00BC0DDA">
        <w:rPr>
          <w:noProof/>
          <w:color w:val="000000"/>
          <w:bdr w:val="none" w:sz="0" w:space="0" w:color="auto" w:frame="1"/>
        </w:rPr>
        <w:t xml:space="preserve"> w</w:t>
      </w:r>
      <w:r w:rsidR="00BC0DDA">
        <w:rPr>
          <w:noProof/>
          <w:color w:val="000000"/>
          <w:bdr w:val="none" w:sz="0" w:space="0" w:color="auto" w:frame="1"/>
        </w:rPr>
        <w:t> </w:t>
      </w:r>
      <w:r w:rsidR="00BC0DDA" w:rsidRPr="00BC0DDA">
        <w:rPr>
          <w:noProof/>
          <w:color w:val="000000"/>
          <w:bdr w:val="none" w:sz="0" w:space="0" w:color="auto" w:frame="1"/>
        </w:rPr>
        <w:t>nab</w:t>
      </w:r>
      <w:r w:rsidRPr="00BC0DDA">
        <w:rPr>
          <w:noProof/>
          <w:color w:val="000000"/>
          <w:bdr w:val="none" w:sz="0" w:space="0" w:color="auto" w:frame="1"/>
        </w:rPr>
        <w:t>ywanie nowych superkomputerów. Okazało się jednak, że nie pozwoliły one na optymalne wykorzystanie istniejących superkomputerów EuroHPC</w:t>
      </w:r>
      <w:r w:rsidR="00BC0DDA" w:rsidRPr="00BC0DDA">
        <w:rPr>
          <w:noProof/>
          <w:color w:val="000000"/>
          <w:bdr w:val="none" w:sz="0" w:space="0" w:color="auto" w:frame="1"/>
        </w:rPr>
        <w:t xml:space="preserve"> w</w:t>
      </w:r>
      <w:r w:rsidR="00BC0DDA">
        <w:rPr>
          <w:noProof/>
          <w:color w:val="000000"/>
          <w:bdr w:val="none" w:sz="0" w:space="0" w:color="auto" w:frame="1"/>
        </w:rPr>
        <w:t> </w:t>
      </w:r>
      <w:r w:rsidR="00BC0DDA" w:rsidRPr="00BC0DDA">
        <w:rPr>
          <w:noProof/>
          <w:color w:val="000000"/>
          <w:bdr w:val="none" w:sz="0" w:space="0" w:color="auto" w:frame="1"/>
        </w:rPr>
        <w:t>cel</w:t>
      </w:r>
      <w:r w:rsidRPr="00BC0DDA">
        <w:rPr>
          <w:noProof/>
          <w:color w:val="000000"/>
          <w:bdr w:val="none" w:sz="0" w:space="0" w:color="auto" w:frame="1"/>
        </w:rPr>
        <w:t>u maksymalizacji zwrotu</w:t>
      </w:r>
      <w:r w:rsidR="00BC0DDA" w:rsidRPr="00BC0DDA">
        <w:rPr>
          <w:noProof/>
          <w:color w:val="000000"/>
          <w:bdr w:val="none" w:sz="0" w:space="0" w:color="auto" w:frame="1"/>
        </w:rPr>
        <w:t xml:space="preserve"> z</w:t>
      </w:r>
      <w:r w:rsidR="00BC0DDA">
        <w:rPr>
          <w:noProof/>
          <w:color w:val="000000"/>
          <w:bdr w:val="none" w:sz="0" w:space="0" w:color="auto" w:frame="1"/>
        </w:rPr>
        <w:t> </w:t>
      </w:r>
      <w:r w:rsidR="00BC0DDA" w:rsidRPr="00BC0DDA">
        <w:rPr>
          <w:noProof/>
          <w:color w:val="000000"/>
          <w:bdr w:val="none" w:sz="0" w:space="0" w:color="auto" w:frame="1"/>
        </w:rPr>
        <w:t>inw</w:t>
      </w:r>
      <w:r w:rsidRPr="00BC0DDA">
        <w:rPr>
          <w:noProof/>
          <w:color w:val="000000"/>
          <w:bdr w:val="none" w:sz="0" w:space="0" w:color="auto" w:frame="1"/>
        </w:rPr>
        <w:t>estycji. Wdrożenie infrastruktury obliczeń superkomputerowych EuroHPC opóźniło się</w:t>
      </w:r>
      <w:r w:rsidR="00BC0DDA" w:rsidRPr="00BC0DDA">
        <w:rPr>
          <w:noProof/>
          <w:color w:val="000000"/>
          <w:bdr w:val="none" w:sz="0" w:space="0" w:color="auto" w:frame="1"/>
        </w:rPr>
        <w:t xml:space="preserve"> o</w:t>
      </w:r>
      <w:r w:rsidR="00BC0DDA">
        <w:rPr>
          <w:noProof/>
          <w:color w:val="000000"/>
          <w:bdr w:val="none" w:sz="0" w:space="0" w:color="auto" w:frame="1"/>
        </w:rPr>
        <w:t> </w:t>
      </w:r>
      <w:r w:rsidR="00BC0DDA" w:rsidRPr="00BC0DDA">
        <w:rPr>
          <w:noProof/>
          <w:color w:val="000000"/>
          <w:bdr w:val="none" w:sz="0" w:space="0" w:color="auto" w:frame="1"/>
        </w:rPr>
        <w:t>oko</w:t>
      </w:r>
      <w:r w:rsidRPr="00BC0DDA">
        <w:rPr>
          <w:noProof/>
          <w:color w:val="000000"/>
          <w:bdr w:val="none" w:sz="0" w:space="0" w:color="auto" w:frame="1"/>
        </w:rPr>
        <w:t>ło dwa lata</w:t>
      </w:r>
      <w:r w:rsidR="00BC0DDA" w:rsidRPr="00BC0DDA">
        <w:rPr>
          <w:noProof/>
          <w:color w:val="000000"/>
          <w:bdr w:val="none" w:sz="0" w:space="0" w:color="auto" w:frame="1"/>
        </w:rPr>
        <w:t xml:space="preserve"> z</w:t>
      </w:r>
      <w:r w:rsidR="00BC0DDA">
        <w:rPr>
          <w:noProof/>
          <w:color w:val="000000"/>
          <w:bdr w:val="none" w:sz="0" w:space="0" w:color="auto" w:frame="1"/>
        </w:rPr>
        <w:t> </w:t>
      </w:r>
      <w:r w:rsidR="00BC0DDA" w:rsidRPr="00BC0DDA">
        <w:rPr>
          <w:noProof/>
          <w:color w:val="000000"/>
          <w:bdr w:val="none" w:sz="0" w:space="0" w:color="auto" w:frame="1"/>
        </w:rPr>
        <w:t>pow</w:t>
      </w:r>
      <w:r w:rsidRPr="00BC0DDA">
        <w:rPr>
          <w:noProof/>
          <w:color w:val="000000"/>
          <w:bdr w:val="none" w:sz="0" w:space="0" w:color="auto" w:frame="1"/>
        </w:rPr>
        <w:t>odu kryzysu związanego z COVID-19,</w:t>
      </w:r>
      <w:r w:rsidR="00BC0DDA" w:rsidRPr="00BC0DDA">
        <w:rPr>
          <w:noProof/>
          <w:color w:val="000000"/>
          <w:bdr w:val="none" w:sz="0" w:space="0" w:color="auto" w:frame="1"/>
        </w:rPr>
        <w:t xml:space="preserve"> w</w:t>
      </w:r>
      <w:r w:rsidR="00BC0DDA">
        <w:rPr>
          <w:noProof/>
          <w:color w:val="000000"/>
          <w:bdr w:val="none" w:sz="0" w:space="0" w:color="auto" w:frame="1"/>
        </w:rPr>
        <w:t> </w:t>
      </w:r>
      <w:r w:rsidR="00BC0DDA" w:rsidRPr="00BC0DDA">
        <w:rPr>
          <w:noProof/>
          <w:color w:val="000000"/>
          <w:bdr w:val="none" w:sz="0" w:space="0" w:color="auto" w:frame="1"/>
        </w:rPr>
        <w:t>szc</w:t>
      </w:r>
      <w:r w:rsidRPr="00BC0DDA">
        <w:rPr>
          <w:noProof/>
          <w:color w:val="000000"/>
          <w:bdr w:val="none" w:sz="0" w:space="0" w:color="auto" w:frame="1"/>
        </w:rPr>
        <w:t>zególności</w:t>
      </w:r>
      <w:r w:rsidR="00BC0DDA" w:rsidRPr="00BC0DDA">
        <w:rPr>
          <w:noProof/>
          <w:color w:val="000000"/>
          <w:bdr w:val="none" w:sz="0" w:space="0" w:color="auto" w:frame="1"/>
        </w:rPr>
        <w:t xml:space="preserve"> z</w:t>
      </w:r>
      <w:r w:rsidR="00BC0DDA">
        <w:rPr>
          <w:noProof/>
          <w:color w:val="000000"/>
          <w:bdr w:val="none" w:sz="0" w:space="0" w:color="auto" w:frame="1"/>
        </w:rPr>
        <w:t> </w:t>
      </w:r>
      <w:r w:rsidR="00BC0DDA" w:rsidRPr="00BC0DDA">
        <w:rPr>
          <w:noProof/>
          <w:color w:val="000000"/>
          <w:bdr w:val="none" w:sz="0" w:space="0" w:color="auto" w:frame="1"/>
        </w:rPr>
        <w:t>pow</w:t>
      </w:r>
      <w:r w:rsidRPr="00BC0DDA">
        <w:rPr>
          <w:noProof/>
          <w:color w:val="000000"/>
          <w:bdr w:val="none" w:sz="0" w:space="0" w:color="auto" w:frame="1"/>
        </w:rPr>
        <w:t xml:space="preserve">odu niedoboru mikroprocesorów. </w:t>
      </w:r>
      <w:r w:rsidRPr="00BC0DDA">
        <w:rPr>
          <w:noProof/>
        </w:rPr>
        <w:t>Ponieważ superkomputery EuroHPC nie osiągnęły końca swojego okresu eksploatacji, znacznie bardziej opłacalne jest zwiększenie zdolności istniejących superkomputerów EuroHPC niż nabywanie nowych superkomputerów</w:t>
      </w:r>
      <w:r w:rsidR="00BC0DDA" w:rsidRPr="00BC0DDA">
        <w:rPr>
          <w:noProof/>
        </w:rPr>
        <w:t xml:space="preserve"> o</w:t>
      </w:r>
      <w:r w:rsidR="00BC0DDA">
        <w:rPr>
          <w:noProof/>
        </w:rPr>
        <w:t> </w:t>
      </w:r>
      <w:r w:rsidR="00BC0DDA" w:rsidRPr="00BC0DDA">
        <w:rPr>
          <w:noProof/>
        </w:rPr>
        <w:t>wys</w:t>
      </w:r>
      <w:r w:rsidRPr="00BC0DDA">
        <w:rPr>
          <w:noProof/>
        </w:rPr>
        <w:t>tarczającej mocy obliczeniowej.</w:t>
      </w:r>
    </w:p>
    <w:p w14:paraId="5CD909E5" w14:textId="0D5D86D0" w:rsidR="00315818" w:rsidRPr="00BC0DDA" w:rsidRDefault="00984988" w:rsidP="00D627E2">
      <w:pPr>
        <w:spacing w:before="0" w:after="200" w:line="276" w:lineRule="auto"/>
        <w:jc w:val="left"/>
        <w:rPr>
          <w:noProof/>
        </w:rPr>
      </w:pPr>
      <w:r w:rsidRPr="00BC0DDA">
        <w:rPr>
          <w:noProof/>
        </w:rPr>
        <w:br w:type="page"/>
      </w:r>
      <w:r w:rsidRPr="00BC0DDA">
        <w:rPr>
          <w:noProof/>
        </w:rPr>
        <w:lastRenderedPageBreak/>
        <w:br w:type="page"/>
      </w:r>
    </w:p>
    <w:p w14:paraId="63163E10" w14:textId="4FD8B0AC" w:rsidR="000939A0" w:rsidRPr="00BC0DDA" w:rsidRDefault="001D3709" w:rsidP="001D3709">
      <w:pPr>
        <w:pStyle w:val="Rfrenceinterinstitutionnelle"/>
        <w:rPr>
          <w:noProof/>
        </w:rPr>
      </w:pPr>
      <w:r w:rsidRPr="001D3709">
        <w:t>2024/0016 (NLE)</w:t>
      </w:r>
    </w:p>
    <w:p w14:paraId="486E39CC" w14:textId="31D387B9" w:rsidR="00315818" w:rsidRPr="00BC0DDA" w:rsidRDefault="001D3709" w:rsidP="001D3709">
      <w:pPr>
        <w:pStyle w:val="Statut"/>
        <w:rPr>
          <w:noProof/>
        </w:rPr>
      </w:pPr>
      <w:r w:rsidRPr="001D3709">
        <w:t>Wniosek</w:t>
      </w:r>
    </w:p>
    <w:p w14:paraId="47AC3494" w14:textId="7D11158F" w:rsidR="00315818" w:rsidRPr="00BC0DDA" w:rsidRDefault="001D3709" w:rsidP="001D3709">
      <w:pPr>
        <w:pStyle w:val="Typedudocument"/>
        <w:rPr>
          <w:noProof/>
        </w:rPr>
      </w:pPr>
      <w:r w:rsidRPr="001D3709">
        <w:t>ROZPORZĄDZENIE RADY</w:t>
      </w:r>
    </w:p>
    <w:p w14:paraId="3469FA11" w14:textId="0D93B454" w:rsidR="00315818" w:rsidRPr="00BC0DDA" w:rsidRDefault="001D3709" w:rsidP="001D3709">
      <w:pPr>
        <w:pStyle w:val="Titreobjet"/>
        <w:rPr>
          <w:noProof/>
        </w:rPr>
      </w:pPr>
      <w:r w:rsidRPr="001D3709">
        <w:t xml:space="preserve">zmieniające rozporządzenie (UE) 2021/1173 w odniesieniu do inicjatywy </w:t>
      </w:r>
      <w:proofErr w:type="spellStart"/>
      <w:r w:rsidRPr="001D3709">
        <w:t>EuroHPC</w:t>
      </w:r>
      <w:proofErr w:type="spellEnd"/>
      <w:r w:rsidRPr="001D3709">
        <w:t xml:space="preserve"> dla przedsiębiorstw typu start-</w:t>
      </w:r>
      <w:proofErr w:type="spellStart"/>
      <w:r w:rsidRPr="001D3709">
        <w:t>up</w:t>
      </w:r>
      <w:proofErr w:type="spellEnd"/>
      <w:r w:rsidRPr="001D3709">
        <w:t xml:space="preserve"> w celu wzmocnienia wiodącej pozycji Europy w dziedzinie godnej zaufania sztucznej inteligencji</w:t>
      </w:r>
    </w:p>
    <w:p w14:paraId="60AB3205" w14:textId="77777777" w:rsidR="00A2647E" w:rsidRPr="00BC0DDA" w:rsidRDefault="00A2647E" w:rsidP="00D627E2">
      <w:pPr>
        <w:pStyle w:val="Institutionquiagit"/>
        <w:rPr>
          <w:noProof/>
        </w:rPr>
      </w:pPr>
      <w:r w:rsidRPr="00BC0DDA">
        <w:rPr>
          <w:noProof/>
        </w:rPr>
        <w:t>RADA UNII EUROPEJSKIEJ,</w:t>
      </w:r>
    </w:p>
    <w:p w14:paraId="22AACD79" w14:textId="34E69430" w:rsidR="007F605E" w:rsidRPr="00BC0DDA" w:rsidRDefault="007F605E" w:rsidP="00D627E2">
      <w:pPr>
        <w:rPr>
          <w:noProof/>
        </w:rPr>
      </w:pPr>
      <w:r w:rsidRPr="00BC0DDA">
        <w:rPr>
          <w:noProof/>
        </w:rPr>
        <w:t>uwzględniając Traktat</w:t>
      </w:r>
      <w:r w:rsidR="00BC0DDA" w:rsidRPr="00BC0DDA">
        <w:rPr>
          <w:noProof/>
        </w:rPr>
        <w:t xml:space="preserve"> o</w:t>
      </w:r>
      <w:r w:rsidR="00BC0DDA">
        <w:rPr>
          <w:noProof/>
        </w:rPr>
        <w:t> </w:t>
      </w:r>
      <w:r w:rsidR="00BC0DDA" w:rsidRPr="00BC0DDA">
        <w:rPr>
          <w:noProof/>
        </w:rPr>
        <w:t>fun</w:t>
      </w:r>
      <w:r w:rsidRPr="00BC0DDA">
        <w:rPr>
          <w:noProof/>
        </w:rPr>
        <w:t>kcjonowaniu Unii Europejskiej,</w:t>
      </w:r>
      <w:r w:rsidR="00BC0DDA" w:rsidRPr="00BC0DDA">
        <w:rPr>
          <w:noProof/>
        </w:rPr>
        <w:t xml:space="preserve"> w</w:t>
      </w:r>
      <w:r w:rsidR="00BC0DDA">
        <w:rPr>
          <w:noProof/>
        </w:rPr>
        <w:t> </w:t>
      </w:r>
      <w:r w:rsidR="00BC0DDA" w:rsidRPr="00BC0DDA">
        <w:rPr>
          <w:noProof/>
        </w:rPr>
        <w:t>szc</w:t>
      </w:r>
      <w:r w:rsidRPr="00BC0DDA">
        <w:rPr>
          <w:noProof/>
        </w:rPr>
        <w:t>zególności jego art.</w:t>
      </w:r>
      <w:r w:rsidR="00BC0DDA" w:rsidRPr="00BC0DDA">
        <w:rPr>
          <w:noProof/>
        </w:rPr>
        <w:t> </w:t>
      </w:r>
      <w:r w:rsidRPr="00BC0DDA">
        <w:rPr>
          <w:noProof/>
        </w:rPr>
        <w:t>187</w:t>
      </w:r>
      <w:r w:rsidR="00BC0DDA" w:rsidRPr="00BC0DDA">
        <w:rPr>
          <w:noProof/>
        </w:rPr>
        <w:t xml:space="preserve"> i</w:t>
      </w:r>
      <w:r w:rsidR="00BC0DDA">
        <w:rPr>
          <w:noProof/>
        </w:rPr>
        <w:t> </w:t>
      </w:r>
      <w:r w:rsidR="00BC0DDA" w:rsidRPr="00BC0DDA">
        <w:rPr>
          <w:noProof/>
        </w:rPr>
        <w:t>art</w:t>
      </w:r>
      <w:r w:rsidRPr="00BC0DDA">
        <w:rPr>
          <w:noProof/>
        </w:rPr>
        <w:t>.</w:t>
      </w:r>
      <w:r w:rsidR="00BC0DDA" w:rsidRPr="00BC0DDA">
        <w:rPr>
          <w:noProof/>
        </w:rPr>
        <w:t> </w:t>
      </w:r>
      <w:r w:rsidRPr="00BC0DDA">
        <w:rPr>
          <w:noProof/>
        </w:rPr>
        <w:t>188 ust.</w:t>
      </w:r>
      <w:r w:rsidR="00BC0DDA" w:rsidRPr="00BC0DDA">
        <w:rPr>
          <w:noProof/>
        </w:rPr>
        <w:t> </w:t>
      </w:r>
      <w:r w:rsidRPr="00BC0DDA">
        <w:rPr>
          <w:noProof/>
        </w:rPr>
        <w:t>1,</w:t>
      </w:r>
    </w:p>
    <w:p w14:paraId="0D9964C4" w14:textId="77777777" w:rsidR="007F605E" w:rsidRPr="00BC0DDA" w:rsidRDefault="007F605E" w:rsidP="00D627E2">
      <w:pPr>
        <w:rPr>
          <w:noProof/>
        </w:rPr>
      </w:pPr>
      <w:r w:rsidRPr="00BC0DDA">
        <w:rPr>
          <w:noProof/>
        </w:rPr>
        <w:t>uwzględniając wniosek Komisji Europejskiej,</w:t>
      </w:r>
    </w:p>
    <w:p w14:paraId="50BB6375" w14:textId="77777777" w:rsidR="00A2647E" w:rsidRPr="00BC0DDA" w:rsidRDefault="00A2647E" w:rsidP="00D627E2">
      <w:pPr>
        <w:rPr>
          <w:noProof/>
        </w:rPr>
      </w:pPr>
      <w:r w:rsidRPr="00BC0DDA">
        <w:rPr>
          <w:noProof/>
        </w:rPr>
        <w:t>uwzględniając opinię Parlamentu Europejskiego</w:t>
      </w:r>
      <w:r w:rsidRPr="00BC0DDA">
        <w:rPr>
          <w:rStyle w:val="FootnoteReference"/>
          <w:noProof/>
        </w:rPr>
        <w:footnoteReference w:id="5"/>
      </w:r>
      <w:r w:rsidRPr="00BC0DDA">
        <w:rPr>
          <w:noProof/>
        </w:rPr>
        <w:t>,</w:t>
      </w:r>
    </w:p>
    <w:p w14:paraId="1EF79E62" w14:textId="77777777" w:rsidR="003437B8" w:rsidRPr="00BC0DDA" w:rsidRDefault="006356CA" w:rsidP="00D627E2">
      <w:pPr>
        <w:rPr>
          <w:noProof/>
        </w:rPr>
      </w:pPr>
      <w:r w:rsidRPr="00BC0DDA">
        <w:rPr>
          <w:noProof/>
        </w:rPr>
        <w:t>uwzględniając opinię Europejskiego Komitetu Ekonomiczno-Społecznego</w:t>
      </w:r>
      <w:r w:rsidRPr="00BC0DDA">
        <w:rPr>
          <w:rStyle w:val="FootnoteReference"/>
          <w:noProof/>
        </w:rPr>
        <w:footnoteReference w:id="6"/>
      </w:r>
      <w:r w:rsidRPr="00BC0DDA">
        <w:rPr>
          <w:noProof/>
        </w:rPr>
        <w:t>,</w:t>
      </w:r>
    </w:p>
    <w:p w14:paraId="3FE35872" w14:textId="0F8B0167" w:rsidR="00A2647E" w:rsidRPr="00BC0DDA" w:rsidRDefault="00A2647E" w:rsidP="00D627E2">
      <w:pPr>
        <w:rPr>
          <w:noProof/>
        </w:rPr>
      </w:pPr>
      <w:r w:rsidRPr="00BC0DDA">
        <w:rPr>
          <w:noProof/>
        </w:rPr>
        <w:t>stanowiąc zgodnie ze specjalną procedurą ustawodawczą,</w:t>
      </w:r>
    </w:p>
    <w:p w14:paraId="0FC4D832" w14:textId="77777777" w:rsidR="00A2647E" w:rsidRPr="00BC0DDA" w:rsidRDefault="00A2647E" w:rsidP="00D627E2">
      <w:pPr>
        <w:rPr>
          <w:noProof/>
        </w:rPr>
      </w:pPr>
      <w:r w:rsidRPr="00BC0DDA">
        <w:rPr>
          <w:noProof/>
        </w:rPr>
        <w:t>a także mając na uwadze, co następuje:</w:t>
      </w:r>
    </w:p>
    <w:p w14:paraId="0DA6B448" w14:textId="7DD7BD77" w:rsidR="00A2647E" w:rsidRPr="00BC0DDA" w:rsidRDefault="0018011B" w:rsidP="00D627E2">
      <w:pPr>
        <w:pStyle w:val="ManualConsidrant"/>
        <w:rPr>
          <w:noProof/>
        </w:rPr>
      </w:pPr>
      <w:r w:rsidRPr="00BC0DDA">
        <w:rPr>
          <w:noProof/>
        </w:rPr>
        <w:t>(1)</w:t>
      </w:r>
      <w:r w:rsidRPr="00BC0DDA">
        <w:rPr>
          <w:noProof/>
        </w:rPr>
        <w:tab/>
        <w:t>Rozporządzenie Parlamentu Europejskiego</w:t>
      </w:r>
      <w:r w:rsidR="00BC0DDA" w:rsidRPr="00BC0DDA">
        <w:rPr>
          <w:noProof/>
        </w:rPr>
        <w:t xml:space="preserve"> i</w:t>
      </w:r>
      <w:r w:rsidR="00BC0DDA">
        <w:rPr>
          <w:noProof/>
        </w:rPr>
        <w:t> </w:t>
      </w:r>
      <w:r w:rsidR="00BC0DDA" w:rsidRPr="00BC0DDA">
        <w:rPr>
          <w:noProof/>
        </w:rPr>
        <w:t>Rad</w:t>
      </w:r>
      <w:r w:rsidRPr="00BC0DDA">
        <w:rPr>
          <w:noProof/>
        </w:rPr>
        <w:t>y (UE) 2024/... ustanawiające zharmonizowane przepisy dotyczące sztucznej inteligencji</w:t>
      </w:r>
      <w:r w:rsidR="008E0A50" w:rsidRPr="00BC0DDA">
        <w:rPr>
          <w:rStyle w:val="FootnoteReference"/>
          <w:noProof/>
        </w:rPr>
        <w:footnoteReference w:id="7"/>
      </w:r>
      <w:r w:rsidRPr="00BC0DDA">
        <w:rPr>
          <w:noProof/>
        </w:rPr>
        <w:t xml:space="preserve"> („akt</w:t>
      </w:r>
      <w:r w:rsidR="00BC0DDA" w:rsidRPr="00BC0DDA">
        <w:rPr>
          <w:noProof/>
        </w:rPr>
        <w:t xml:space="preserve"> w</w:t>
      </w:r>
      <w:r w:rsidR="00BC0DDA">
        <w:rPr>
          <w:noProof/>
        </w:rPr>
        <w:t> </w:t>
      </w:r>
      <w:r w:rsidR="00BC0DDA" w:rsidRPr="00BC0DDA">
        <w:rPr>
          <w:noProof/>
        </w:rPr>
        <w:t>spr</w:t>
      </w:r>
      <w:r w:rsidRPr="00BC0DDA">
        <w:rPr>
          <w:noProof/>
        </w:rPr>
        <w:t>awie sztucznej inteligencji”) ma na celu poprawę funkcjo</w:t>
      </w:r>
      <w:r w:rsidRPr="00BC0DDA">
        <w:rPr>
          <w:rStyle w:val="normaltextrun"/>
          <w:noProof/>
        </w:rPr>
        <w:t>nowania rynku wewnętrzne</w:t>
      </w:r>
      <w:r w:rsidRPr="00BC0DDA">
        <w:rPr>
          <w:noProof/>
        </w:rPr>
        <w:t>go poprzez ustanowienie jednolitych ram prawnych,</w:t>
      </w:r>
      <w:r w:rsidR="00BC0DDA" w:rsidRPr="00BC0DDA">
        <w:rPr>
          <w:noProof/>
        </w:rPr>
        <w:t xml:space="preserve"> w</w:t>
      </w:r>
      <w:r w:rsidR="00BC0DDA">
        <w:rPr>
          <w:noProof/>
        </w:rPr>
        <w:t> </w:t>
      </w:r>
      <w:r w:rsidR="00BC0DDA" w:rsidRPr="00BC0DDA">
        <w:rPr>
          <w:noProof/>
        </w:rPr>
        <w:t>szc</w:t>
      </w:r>
      <w:r w:rsidRPr="00BC0DDA">
        <w:rPr>
          <w:noProof/>
        </w:rPr>
        <w:t>zególności dotyczących rozwoju, marketingu</w:t>
      </w:r>
      <w:r w:rsidR="00BC0DDA" w:rsidRPr="00BC0DDA">
        <w:rPr>
          <w:noProof/>
        </w:rPr>
        <w:t xml:space="preserve"> i</w:t>
      </w:r>
      <w:r w:rsidR="00BC0DDA">
        <w:rPr>
          <w:noProof/>
        </w:rPr>
        <w:t> </w:t>
      </w:r>
      <w:r w:rsidR="00BC0DDA" w:rsidRPr="00BC0DDA">
        <w:rPr>
          <w:noProof/>
        </w:rPr>
        <w:t>wyk</w:t>
      </w:r>
      <w:r w:rsidRPr="00BC0DDA">
        <w:rPr>
          <w:noProof/>
        </w:rPr>
        <w:t>orzystywania sztucznej inteligencji zgodnie</w:t>
      </w:r>
      <w:r w:rsidR="00BC0DDA" w:rsidRPr="00BC0DDA">
        <w:rPr>
          <w:noProof/>
        </w:rPr>
        <w:t xml:space="preserve"> z</w:t>
      </w:r>
      <w:r w:rsidR="00BC0DDA">
        <w:rPr>
          <w:noProof/>
        </w:rPr>
        <w:t> </w:t>
      </w:r>
      <w:r w:rsidR="00BC0DDA" w:rsidRPr="00BC0DDA">
        <w:rPr>
          <w:noProof/>
        </w:rPr>
        <w:t>war</w:t>
      </w:r>
      <w:r w:rsidRPr="00BC0DDA">
        <w:rPr>
          <w:noProof/>
        </w:rPr>
        <w:t xml:space="preserve">tościami Unii. </w:t>
      </w:r>
    </w:p>
    <w:p w14:paraId="4F5EF7E3" w14:textId="27BDC990" w:rsidR="00980053" w:rsidRPr="00BC0DDA" w:rsidRDefault="00980053" w:rsidP="00D627E2">
      <w:pPr>
        <w:pStyle w:val="ManualConsidrant"/>
        <w:rPr>
          <w:noProof/>
        </w:rPr>
      </w:pPr>
      <w:r w:rsidRPr="00BC0DDA">
        <w:rPr>
          <w:noProof/>
        </w:rPr>
        <w:t>(2)</w:t>
      </w:r>
      <w:r w:rsidRPr="00BC0DDA">
        <w:rPr>
          <w:noProof/>
        </w:rPr>
        <w:tab/>
        <w:t>Od 2021</w:t>
      </w:r>
      <w:r w:rsidR="00BC0DDA" w:rsidRPr="00BC0DDA">
        <w:rPr>
          <w:noProof/>
        </w:rPr>
        <w:t> </w:t>
      </w:r>
      <w:r w:rsidRPr="00BC0DDA">
        <w:rPr>
          <w:noProof/>
        </w:rPr>
        <w:t>r., kiedy przyjęto rozporządzenie Rady (UE) 2021/1173</w:t>
      </w:r>
      <w:r w:rsidR="00CA1C0E" w:rsidRPr="00BC0DDA">
        <w:rPr>
          <w:rStyle w:val="FootnoteReference"/>
          <w:noProof/>
        </w:rPr>
        <w:footnoteReference w:id="8"/>
      </w:r>
      <w:r w:rsidRPr="00BC0DDA">
        <w:rPr>
          <w:noProof/>
        </w:rPr>
        <w:t>,</w:t>
      </w:r>
      <w:r w:rsidR="00BC0DDA" w:rsidRPr="00BC0DDA">
        <w:rPr>
          <w:noProof/>
        </w:rPr>
        <w:t xml:space="preserve"> w</w:t>
      </w:r>
      <w:r w:rsidR="00BC0DDA">
        <w:rPr>
          <w:noProof/>
        </w:rPr>
        <w:t> </w:t>
      </w:r>
      <w:r w:rsidR="00BC0DDA" w:rsidRPr="00BC0DDA">
        <w:rPr>
          <w:noProof/>
        </w:rPr>
        <w:t>dzi</w:t>
      </w:r>
      <w:r w:rsidRPr="00BC0DDA">
        <w:rPr>
          <w:noProof/>
        </w:rPr>
        <w:t>edzinie sztucznej inteligencji (AI) odnotowano ogromny postęp techniczny</w:t>
      </w:r>
      <w:r w:rsidR="00BC0DDA" w:rsidRPr="00BC0DDA">
        <w:rPr>
          <w:noProof/>
        </w:rPr>
        <w:t xml:space="preserve"> i</w:t>
      </w:r>
      <w:r w:rsidR="00BC0DDA">
        <w:rPr>
          <w:noProof/>
        </w:rPr>
        <w:t> </w:t>
      </w:r>
      <w:r w:rsidR="00BC0DDA" w:rsidRPr="00BC0DDA">
        <w:rPr>
          <w:noProof/>
        </w:rPr>
        <w:t>sta</w:t>
      </w:r>
      <w:r w:rsidRPr="00BC0DDA">
        <w:rPr>
          <w:noProof/>
        </w:rPr>
        <w:t>ła się ona wysoce strategiczną</w:t>
      </w:r>
      <w:r w:rsidR="00BC0DDA" w:rsidRPr="00BC0DDA">
        <w:rPr>
          <w:noProof/>
        </w:rPr>
        <w:t xml:space="preserve"> i</w:t>
      </w:r>
      <w:r w:rsidR="00BC0DDA">
        <w:rPr>
          <w:noProof/>
        </w:rPr>
        <w:t> </w:t>
      </w:r>
      <w:r w:rsidR="00BC0DDA" w:rsidRPr="00BC0DDA">
        <w:rPr>
          <w:noProof/>
        </w:rPr>
        <w:t>spo</w:t>
      </w:r>
      <w:r w:rsidRPr="00BC0DDA">
        <w:rPr>
          <w:noProof/>
        </w:rPr>
        <w:t>rną dziedziną na całym świecie. Unia odgrywa wiodącą rolę</w:t>
      </w:r>
      <w:r w:rsidR="00BC0DDA" w:rsidRPr="00BC0DDA">
        <w:rPr>
          <w:noProof/>
        </w:rPr>
        <w:t xml:space="preserve"> w</w:t>
      </w:r>
      <w:r w:rsidR="00BC0DDA">
        <w:rPr>
          <w:noProof/>
        </w:rPr>
        <w:t> </w:t>
      </w:r>
      <w:r w:rsidR="00BC0DDA" w:rsidRPr="00BC0DDA">
        <w:rPr>
          <w:noProof/>
        </w:rPr>
        <w:t>sta</w:t>
      </w:r>
      <w:r w:rsidRPr="00BC0DDA">
        <w:rPr>
          <w:noProof/>
        </w:rPr>
        <w:t>raniach na rzecz wspierania odpowiedzialnych innowacji</w:t>
      </w:r>
      <w:r w:rsidR="00BC0DDA" w:rsidRPr="00BC0DDA">
        <w:rPr>
          <w:noProof/>
        </w:rPr>
        <w:t xml:space="preserve"> w</w:t>
      </w:r>
      <w:r w:rsidR="00BC0DDA">
        <w:rPr>
          <w:noProof/>
        </w:rPr>
        <w:t> </w:t>
      </w:r>
      <w:r w:rsidR="00BC0DDA" w:rsidRPr="00BC0DDA">
        <w:rPr>
          <w:noProof/>
        </w:rPr>
        <w:t>dzi</w:t>
      </w:r>
      <w:r w:rsidRPr="00BC0DDA">
        <w:rPr>
          <w:noProof/>
        </w:rPr>
        <w:t>edzinie godnej zaufania sztucznej inteligencji przy jednoczesnym ustanawianiu zabezpieczeń</w:t>
      </w:r>
      <w:r w:rsidR="00BC0DDA" w:rsidRPr="00BC0DDA">
        <w:rPr>
          <w:noProof/>
        </w:rPr>
        <w:t xml:space="preserve"> i</w:t>
      </w:r>
      <w:r w:rsidR="00BC0DDA">
        <w:rPr>
          <w:noProof/>
        </w:rPr>
        <w:t> </w:t>
      </w:r>
      <w:r w:rsidR="00BC0DDA" w:rsidRPr="00BC0DDA">
        <w:rPr>
          <w:noProof/>
        </w:rPr>
        <w:t>roz</w:t>
      </w:r>
      <w:r w:rsidRPr="00BC0DDA">
        <w:rPr>
          <w:noProof/>
        </w:rPr>
        <w:t>wijaniu skutecznego zarządzania.</w:t>
      </w:r>
    </w:p>
    <w:p w14:paraId="09588F1E" w14:textId="1A612595" w:rsidR="006D21BD" w:rsidRPr="00BC0DDA" w:rsidRDefault="00452298" w:rsidP="00D627E2">
      <w:pPr>
        <w:pStyle w:val="ManualConsidrant"/>
        <w:rPr>
          <w:rStyle w:val="eop"/>
          <w:noProof/>
        </w:rPr>
      </w:pPr>
      <w:r w:rsidRPr="00BC0DDA">
        <w:rPr>
          <w:noProof/>
        </w:rPr>
        <w:t>(3)</w:t>
      </w:r>
      <w:r w:rsidRPr="00BC0DDA">
        <w:rPr>
          <w:noProof/>
        </w:rPr>
        <w:tab/>
      </w:r>
      <w:r w:rsidRPr="00BC0DDA">
        <w:rPr>
          <w:rStyle w:val="normaltextrun"/>
          <w:noProof/>
        </w:rPr>
        <w:t>13 września 2023</w:t>
      </w:r>
      <w:r w:rsidR="00BC0DDA" w:rsidRPr="00BC0DDA">
        <w:rPr>
          <w:rStyle w:val="normaltextrun"/>
          <w:noProof/>
        </w:rPr>
        <w:t> </w:t>
      </w:r>
      <w:r w:rsidRPr="00BC0DDA">
        <w:rPr>
          <w:rStyle w:val="normaltextrun"/>
          <w:noProof/>
        </w:rPr>
        <w:t>r.,</w:t>
      </w:r>
      <w:r w:rsidR="00BC0DDA" w:rsidRPr="00BC0DDA">
        <w:rPr>
          <w:rStyle w:val="normaltextrun"/>
          <w:noProof/>
        </w:rPr>
        <w:t xml:space="preserve"> w</w:t>
      </w:r>
      <w:r w:rsidR="00BC0DDA">
        <w:rPr>
          <w:rStyle w:val="normaltextrun"/>
          <w:noProof/>
        </w:rPr>
        <w:t> </w:t>
      </w:r>
      <w:r w:rsidR="00BC0DDA" w:rsidRPr="00BC0DDA">
        <w:rPr>
          <w:rStyle w:val="normaltextrun"/>
          <w:noProof/>
        </w:rPr>
        <w:t>ram</w:t>
      </w:r>
      <w:r w:rsidRPr="00BC0DDA">
        <w:rPr>
          <w:rStyle w:val="normaltextrun"/>
          <w:noProof/>
        </w:rPr>
        <w:t>ach kompleksowego podejścia na rzecz wspierania odpowiedzialnych innowacji</w:t>
      </w:r>
      <w:r w:rsidR="00BC0DDA" w:rsidRPr="00BC0DDA">
        <w:rPr>
          <w:rStyle w:val="normaltextrun"/>
          <w:noProof/>
        </w:rPr>
        <w:t xml:space="preserve"> w</w:t>
      </w:r>
      <w:r w:rsidR="00BC0DDA">
        <w:rPr>
          <w:rStyle w:val="normaltextrun"/>
          <w:noProof/>
        </w:rPr>
        <w:t> </w:t>
      </w:r>
      <w:r w:rsidR="00BC0DDA" w:rsidRPr="00BC0DDA">
        <w:rPr>
          <w:rStyle w:val="normaltextrun"/>
          <w:noProof/>
        </w:rPr>
        <w:t>dzi</w:t>
      </w:r>
      <w:r w:rsidRPr="00BC0DDA">
        <w:rPr>
          <w:rStyle w:val="normaltextrun"/>
          <w:noProof/>
        </w:rPr>
        <w:t>edzinie AI, Komisja ogłosiła nową inicjatywę strategiczną mającą na celu udostępnienie zdolności Unii</w:t>
      </w:r>
      <w:r w:rsidR="00BC0DDA" w:rsidRPr="00BC0DDA">
        <w:rPr>
          <w:rStyle w:val="normaltextrun"/>
          <w:noProof/>
        </w:rPr>
        <w:t xml:space="preserve"> w</w:t>
      </w:r>
      <w:r w:rsidR="00BC0DDA">
        <w:rPr>
          <w:rStyle w:val="normaltextrun"/>
          <w:noProof/>
        </w:rPr>
        <w:t> </w:t>
      </w:r>
      <w:r w:rsidR="00BC0DDA" w:rsidRPr="00BC0DDA">
        <w:rPr>
          <w:rStyle w:val="normaltextrun"/>
          <w:noProof/>
        </w:rPr>
        <w:t>zak</w:t>
      </w:r>
      <w:r w:rsidRPr="00BC0DDA">
        <w:rPr>
          <w:rStyle w:val="normaltextrun"/>
          <w:noProof/>
        </w:rPr>
        <w:t>resie obliczeń wielkiej skali innowacyjnym europejskim przedsiębiorstwom typu start-up</w:t>
      </w:r>
      <w:r w:rsidR="00BC0DDA" w:rsidRPr="00BC0DDA">
        <w:rPr>
          <w:rStyle w:val="normaltextrun"/>
          <w:noProof/>
        </w:rPr>
        <w:t xml:space="preserve"> w</w:t>
      </w:r>
      <w:r w:rsidR="00BC0DDA">
        <w:rPr>
          <w:rStyle w:val="normaltextrun"/>
          <w:noProof/>
        </w:rPr>
        <w:t> </w:t>
      </w:r>
      <w:r w:rsidR="00BC0DDA" w:rsidRPr="00BC0DDA">
        <w:rPr>
          <w:rStyle w:val="normaltextrun"/>
          <w:noProof/>
        </w:rPr>
        <w:t>dzi</w:t>
      </w:r>
      <w:r w:rsidRPr="00BC0DDA">
        <w:rPr>
          <w:rStyle w:val="normaltextrun"/>
          <w:noProof/>
        </w:rPr>
        <w:t>edzinie godnej zaufania AI</w:t>
      </w:r>
      <w:r w:rsidR="00BC0DDA" w:rsidRPr="00BC0DDA">
        <w:rPr>
          <w:rStyle w:val="normaltextrun"/>
          <w:noProof/>
        </w:rPr>
        <w:t xml:space="preserve"> w</w:t>
      </w:r>
      <w:r w:rsidR="00BC0DDA">
        <w:rPr>
          <w:rStyle w:val="normaltextrun"/>
          <w:noProof/>
        </w:rPr>
        <w:t> </w:t>
      </w:r>
      <w:r w:rsidR="00BC0DDA" w:rsidRPr="00BC0DDA">
        <w:rPr>
          <w:rStyle w:val="normaltextrun"/>
          <w:noProof/>
        </w:rPr>
        <w:t>cel</w:t>
      </w:r>
      <w:r w:rsidRPr="00BC0DDA">
        <w:rPr>
          <w:rStyle w:val="normaltextrun"/>
          <w:noProof/>
        </w:rPr>
        <w:t>u trenowania ich modeli. Uzupełnia to prace nad stworzeniem zabezpieczeń AI na mocy rozporządzenia (UE) 2024/..., ustanawiającego struktury zarządzania</w:t>
      </w:r>
      <w:r w:rsidR="00BC0DDA" w:rsidRPr="00BC0DDA">
        <w:rPr>
          <w:rStyle w:val="normaltextrun"/>
          <w:noProof/>
        </w:rPr>
        <w:t xml:space="preserve"> i</w:t>
      </w:r>
      <w:r w:rsidR="00BC0DDA">
        <w:rPr>
          <w:rStyle w:val="normaltextrun"/>
          <w:noProof/>
        </w:rPr>
        <w:t> </w:t>
      </w:r>
      <w:r w:rsidR="00BC0DDA" w:rsidRPr="00BC0DDA">
        <w:rPr>
          <w:rStyle w:val="normaltextrun"/>
          <w:noProof/>
        </w:rPr>
        <w:t>wsp</w:t>
      </w:r>
      <w:r w:rsidRPr="00BC0DDA">
        <w:rPr>
          <w:rStyle w:val="normaltextrun"/>
          <w:noProof/>
        </w:rPr>
        <w:t>ieraniem innowacji za pośrednictwem skoordynowanego planu</w:t>
      </w:r>
      <w:r w:rsidR="00BC0DDA" w:rsidRPr="00BC0DDA">
        <w:rPr>
          <w:rStyle w:val="normaltextrun"/>
          <w:noProof/>
        </w:rPr>
        <w:t xml:space="preserve"> w</w:t>
      </w:r>
      <w:r w:rsidR="00BC0DDA">
        <w:rPr>
          <w:rStyle w:val="normaltextrun"/>
          <w:noProof/>
        </w:rPr>
        <w:t> </w:t>
      </w:r>
      <w:r w:rsidR="00BC0DDA" w:rsidRPr="00BC0DDA">
        <w:rPr>
          <w:rStyle w:val="normaltextrun"/>
          <w:noProof/>
        </w:rPr>
        <w:t>spr</w:t>
      </w:r>
      <w:r w:rsidRPr="00BC0DDA">
        <w:rPr>
          <w:rStyle w:val="normaltextrun"/>
          <w:noProof/>
        </w:rPr>
        <w:t>awie sztucznej inteligencji.</w:t>
      </w:r>
      <w:r w:rsidR="00BC0DDA" w:rsidRPr="00BC0DDA">
        <w:rPr>
          <w:rStyle w:val="normaltextrun"/>
          <w:noProof/>
        </w:rPr>
        <w:t xml:space="preserve"> </w:t>
      </w:r>
    </w:p>
    <w:p w14:paraId="25772899" w14:textId="3AC63FF4" w:rsidR="00DB17F9" w:rsidRPr="00BC0DDA" w:rsidRDefault="00E22099" w:rsidP="00D627E2">
      <w:pPr>
        <w:pStyle w:val="ManualConsidrant"/>
        <w:rPr>
          <w:noProof/>
        </w:rPr>
      </w:pPr>
      <w:r w:rsidRPr="00BC0DDA">
        <w:rPr>
          <w:noProof/>
        </w:rPr>
        <w:t>(4)</w:t>
      </w:r>
      <w:r w:rsidRPr="00BC0DDA">
        <w:rPr>
          <w:noProof/>
        </w:rPr>
        <w:tab/>
        <w:t>Biorąc pod uwagę, że największe zdolności Unii</w:t>
      </w:r>
      <w:r w:rsidR="00BC0DDA" w:rsidRPr="00BC0DDA">
        <w:rPr>
          <w:noProof/>
        </w:rPr>
        <w:t xml:space="preserve"> w</w:t>
      </w:r>
      <w:r w:rsidR="00BC0DDA">
        <w:rPr>
          <w:noProof/>
        </w:rPr>
        <w:t> </w:t>
      </w:r>
      <w:r w:rsidR="00BC0DDA" w:rsidRPr="00BC0DDA">
        <w:rPr>
          <w:noProof/>
        </w:rPr>
        <w:t>zak</w:t>
      </w:r>
      <w:r w:rsidRPr="00BC0DDA">
        <w:rPr>
          <w:noProof/>
        </w:rPr>
        <w:t>resie obliczeń superkomputerowych światowej klasy znajdują się</w:t>
      </w:r>
      <w:r w:rsidR="00BC0DDA" w:rsidRPr="00BC0DDA">
        <w:rPr>
          <w:noProof/>
        </w:rPr>
        <w:t xml:space="preserve"> w</w:t>
      </w:r>
      <w:r w:rsidR="00BC0DDA">
        <w:rPr>
          <w:noProof/>
        </w:rPr>
        <w:t> </w:t>
      </w:r>
      <w:r w:rsidR="00BC0DDA" w:rsidRPr="00BC0DDA">
        <w:rPr>
          <w:noProof/>
        </w:rPr>
        <w:t>obi</w:t>
      </w:r>
      <w:r w:rsidRPr="00BC0DDA">
        <w:rPr>
          <w:noProof/>
        </w:rPr>
        <w:t>ektach Wspólnego Przedsięwzięcia</w:t>
      </w:r>
      <w:r w:rsidR="00BC0DDA" w:rsidRPr="00BC0DDA">
        <w:rPr>
          <w:noProof/>
        </w:rPr>
        <w:t xml:space="preserve"> w</w:t>
      </w:r>
      <w:r w:rsidR="00BC0DDA">
        <w:rPr>
          <w:noProof/>
        </w:rPr>
        <w:t> </w:t>
      </w:r>
      <w:r w:rsidR="00BC0DDA" w:rsidRPr="00BC0DDA">
        <w:rPr>
          <w:noProof/>
        </w:rPr>
        <w:t>dzi</w:t>
      </w:r>
      <w:r w:rsidRPr="00BC0DDA">
        <w:rPr>
          <w:noProof/>
        </w:rPr>
        <w:t>edzinie Europejskich Obliczeń Wielkiej Skali (Wspólne Przedsięwzięcie), to właśnie te obiekty będą musiały zostać udostępnione, aby inicjatywa Komisji stała się rzeczywistością</w:t>
      </w:r>
      <w:r w:rsidR="00BC0DDA" w:rsidRPr="00BC0DDA">
        <w:rPr>
          <w:noProof/>
        </w:rPr>
        <w:t>. W</w:t>
      </w:r>
      <w:r w:rsidR="00BC0DDA">
        <w:rPr>
          <w:noProof/>
        </w:rPr>
        <w:t> </w:t>
      </w:r>
      <w:r w:rsidR="00BC0DDA" w:rsidRPr="00BC0DDA">
        <w:rPr>
          <w:noProof/>
        </w:rPr>
        <w:t>zwi</w:t>
      </w:r>
      <w:r w:rsidRPr="00BC0DDA">
        <w:rPr>
          <w:noProof/>
        </w:rPr>
        <w:t>ązku</w:t>
      </w:r>
      <w:r w:rsidR="00BC0DDA" w:rsidRPr="00BC0DDA">
        <w:rPr>
          <w:noProof/>
        </w:rPr>
        <w:t xml:space="preserve"> z</w:t>
      </w:r>
      <w:r w:rsidR="00BC0DDA">
        <w:rPr>
          <w:noProof/>
        </w:rPr>
        <w:t> </w:t>
      </w:r>
      <w:r w:rsidR="00BC0DDA" w:rsidRPr="00BC0DDA">
        <w:rPr>
          <w:noProof/>
        </w:rPr>
        <w:t>tym</w:t>
      </w:r>
      <w:r w:rsidRPr="00BC0DDA">
        <w:rPr>
          <w:noProof/>
        </w:rPr>
        <w:t xml:space="preserve"> konieczne jest wprowadzenie kolejnego celu, oprócz obecnych sześciu, dla Wspólnego Przedsięwzięcia, który to cel obejmie wkład superkomputerów</w:t>
      </w:r>
      <w:r w:rsidR="00BC0DDA" w:rsidRPr="00BC0DDA">
        <w:rPr>
          <w:noProof/>
        </w:rPr>
        <w:t xml:space="preserve"> w</w:t>
      </w:r>
      <w:r w:rsidR="00BC0DDA">
        <w:rPr>
          <w:noProof/>
        </w:rPr>
        <w:t> </w:t>
      </w:r>
      <w:r w:rsidR="00BC0DDA" w:rsidRPr="00BC0DDA">
        <w:rPr>
          <w:noProof/>
        </w:rPr>
        <w:t>now</w:t>
      </w:r>
      <w:r w:rsidRPr="00BC0DDA">
        <w:rPr>
          <w:noProof/>
        </w:rPr>
        <w:t>ą unijną inicjatywę</w:t>
      </w:r>
      <w:r w:rsidR="00BC0DDA" w:rsidRPr="00BC0DDA">
        <w:rPr>
          <w:noProof/>
        </w:rPr>
        <w:t xml:space="preserve"> w</w:t>
      </w:r>
      <w:r w:rsidR="00BC0DDA">
        <w:rPr>
          <w:noProof/>
        </w:rPr>
        <w:t> </w:t>
      </w:r>
      <w:r w:rsidR="00BC0DDA" w:rsidRPr="00BC0DDA">
        <w:rPr>
          <w:noProof/>
        </w:rPr>
        <w:t>zak</w:t>
      </w:r>
      <w:r w:rsidRPr="00BC0DDA">
        <w:rPr>
          <w:noProof/>
        </w:rPr>
        <w:t xml:space="preserve">resie AI. </w:t>
      </w:r>
    </w:p>
    <w:p w14:paraId="16E89A33" w14:textId="5BEB4C83" w:rsidR="00C53614" w:rsidRPr="00BC0DDA" w:rsidRDefault="007123C6" w:rsidP="00D627E2">
      <w:pPr>
        <w:pStyle w:val="ManualConsidrant"/>
        <w:rPr>
          <w:noProof/>
        </w:rPr>
      </w:pPr>
      <w:r w:rsidRPr="00BC0DDA">
        <w:rPr>
          <w:noProof/>
        </w:rPr>
        <w:t>(5)</w:t>
      </w:r>
      <w:r w:rsidRPr="00BC0DDA">
        <w:rPr>
          <w:noProof/>
        </w:rPr>
        <w:tab/>
        <w:t>Nowy cel umożliwiłby Wspólnemu Przedsięwzięciu prowadzenie działań</w:t>
      </w:r>
      <w:r w:rsidR="00BC0DDA" w:rsidRPr="00BC0DDA">
        <w:rPr>
          <w:noProof/>
        </w:rPr>
        <w:t xml:space="preserve"> w</w:t>
      </w:r>
      <w:r w:rsidR="00BC0DDA">
        <w:rPr>
          <w:noProof/>
        </w:rPr>
        <w:t> </w:t>
      </w:r>
      <w:r w:rsidR="00BC0DDA" w:rsidRPr="00BC0DDA">
        <w:rPr>
          <w:noProof/>
        </w:rPr>
        <w:t>dzi</w:t>
      </w:r>
      <w:r w:rsidRPr="00BC0DDA">
        <w:rPr>
          <w:noProof/>
        </w:rPr>
        <w:t>edzinach nabywania</w:t>
      </w:r>
      <w:r w:rsidR="00BC0DDA" w:rsidRPr="00BC0DDA">
        <w:rPr>
          <w:noProof/>
        </w:rPr>
        <w:t xml:space="preserve"> i</w:t>
      </w:r>
      <w:r w:rsidR="00BC0DDA">
        <w:rPr>
          <w:noProof/>
        </w:rPr>
        <w:t> </w:t>
      </w:r>
      <w:r w:rsidR="00BC0DDA" w:rsidRPr="00BC0DDA">
        <w:rPr>
          <w:noProof/>
        </w:rPr>
        <w:t>eks</w:t>
      </w:r>
      <w:r w:rsidRPr="00BC0DDA">
        <w:rPr>
          <w:noProof/>
        </w:rPr>
        <w:t>ploatacji superkomputerów przeznaczonych na potrzeby sztucznej inteligencji lub partycji superkomputerów, aby umożliwić szybkie uczenie się maszyn</w:t>
      </w:r>
      <w:r w:rsidR="00BC0DDA" w:rsidRPr="00BC0DDA">
        <w:rPr>
          <w:noProof/>
        </w:rPr>
        <w:t xml:space="preserve"> i</w:t>
      </w:r>
      <w:r w:rsidR="00BC0DDA">
        <w:rPr>
          <w:noProof/>
        </w:rPr>
        <w:t> </w:t>
      </w:r>
      <w:r w:rsidR="00BC0DDA" w:rsidRPr="00BC0DDA">
        <w:rPr>
          <w:noProof/>
        </w:rPr>
        <w:t>tre</w:t>
      </w:r>
      <w:r w:rsidRPr="00BC0DDA">
        <w:rPr>
          <w:noProof/>
        </w:rPr>
        <w:t>nowanie systemów sztucznej inteligencji ogólnego przeznaczenia. Wspólne Przedsięwzięcie powinno również mieć możliwość stworzenia nowego trybu dostępu do swoich zasobów obliczeniowych dla przedsiębiorstw typu start-up zajmujących się AI</w:t>
      </w:r>
      <w:r w:rsidR="00BC0DDA" w:rsidRPr="00BC0DDA">
        <w:rPr>
          <w:noProof/>
        </w:rPr>
        <w:t xml:space="preserve"> i</w:t>
      </w:r>
      <w:r w:rsidR="00BC0DDA">
        <w:rPr>
          <w:noProof/>
        </w:rPr>
        <w:t> </w:t>
      </w:r>
      <w:r w:rsidR="00BC0DDA" w:rsidRPr="00BC0DDA">
        <w:rPr>
          <w:noProof/>
        </w:rPr>
        <w:t>sze</w:t>
      </w:r>
      <w:r w:rsidRPr="00BC0DDA">
        <w:rPr>
          <w:noProof/>
        </w:rPr>
        <w:t>rszej społeczności naukowej zajmujących się AI oraz opracowania specjalnych zastosowań AI zoptymalizowanych na potrzeby eksploatacji na jego superkomputerach. Zmiany te umożliwią Wspólnemu Przedsięwzięciu oferowanie dostosowanej do potrzeb mocy obliczeniowej</w:t>
      </w:r>
      <w:r w:rsidR="00BC0DDA" w:rsidRPr="00BC0DDA">
        <w:rPr>
          <w:noProof/>
        </w:rPr>
        <w:t xml:space="preserve"> i</w:t>
      </w:r>
      <w:r w:rsidR="00BC0DDA">
        <w:rPr>
          <w:noProof/>
        </w:rPr>
        <w:t> </w:t>
      </w:r>
      <w:r w:rsidR="00BC0DDA" w:rsidRPr="00BC0DDA">
        <w:rPr>
          <w:noProof/>
        </w:rPr>
        <w:t>usł</w:t>
      </w:r>
      <w:r w:rsidRPr="00BC0DDA">
        <w:rPr>
          <w:noProof/>
        </w:rPr>
        <w:t>ug obliczeniowych</w:t>
      </w:r>
      <w:r w:rsidR="00BC0DDA" w:rsidRPr="00BC0DDA">
        <w:rPr>
          <w:noProof/>
        </w:rPr>
        <w:t xml:space="preserve"> w</w:t>
      </w:r>
      <w:r w:rsidR="00BC0DDA">
        <w:rPr>
          <w:noProof/>
        </w:rPr>
        <w:t> </w:t>
      </w:r>
      <w:r w:rsidR="00BC0DDA" w:rsidRPr="00BC0DDA">
        <w:rPr>
          <w:noProof/>
        </w:rPr>
        <w:t>cel</w:t>
      </w:r>
      <w:r w:rsidRPr="00BC0DDA">
        <w:rPr>
          <w:noProof/>
        </w:rPr>
        <w:t>u wspierania szkolenia</w:t>
      </w:r>
      <w:r w:rsidR="00BC0DDA" w:rsidRPr="00BC0DDA">
        <w:rPr>
          <w:noProof/>
        </w:rPr>
        <w:t xml:space="preserve"> i</w:t>
      </w:r>
      <w:r w:rsidR="00BC0DDA">
        <w:rPr>
          <w:noProof/>
        </w:rPr>
        <w:t> </w:t>
      </w:r>
      <w:r w:rsidR="00BC0DDA" w:rsidRPr="00BC0DDA">
        <w:rPr>
          <w:noProof/>
        </w:rPr>
        <w:t>roz</w:t>
      </w:r>
      <w:r w:rsidRPr="00BC0DDA">
        <w:rPr>
          <w:noProof/>
        </w:rPr>
        <w:t>woju</w:t>
      </w:r>
      <w:r w:rsidR="00BC0DDA" w:rsidRPr="00BC0DDA">
        <w:rPr>
          <w:noProof/>
        </w:rPr>
        <w:t xml:space="preserve"> w</w:t>
      </w:r>
      <w:r w:rsidR="00BC0DDA">
        <w:rPr>
          <w:noProof/>
        </w:rPr>
        <w:t> </w:t>
      </w:r>
      <w:r w:rsidR="00BC0DDA" w:rsidRPr="00BC0DDA">
        <w:rPr>
          <w:noProof/>
        </w:rPr>
        <w:t>zak</w:t>
      </w:r>
      <w:r w:rsidRPr="00BC0DDA">
        <w:rPr>
          <w:noProof/>
        </w:rPr>
        <w:t>resie AI na dużą skalę oraz jej wykorzystania</w:t>
      </w:r>
      <w:r w:rsidR="00BC0DDA" w:rsidRPr="00BC0DDA">
        <w:rPr>
          <w:noProof/>
        </w:rPr>
        <w:t xml:space="preserve"> w</w:t>
      </w:r>
      <w:r w:rsidR="00BC0DDA">
        <w:rPr>
          <w:noProof/>
        </w:rPr>
        <w:t> </w:t>
      </w:r>
      <w:r w:rsidR="00BC0DDA" w:rsidRPr="00BC0DDA">
        <w:rPr>
          <w:noProof/>
        </w:rPr>
        <w:t>Uni</w:t>
      </w:r>
      <w:r w:rsidRPr="00BC0DDA">
        <w:rPr>
          <w:noProof/>
        </w:rPr>
        <w:t>i, co nie jest wykonalne</w:t>
      </w:r>
      <w:r w:rsidR="00BC0DDA" w:rsidRPr="00BC0DDA">
        <w:rPr>
          <w:noProof/>
        </w:rPr>
        <w:t xml:space="preserve"> w</w:t>
      </w:r>
      <w:r w:rsidR="00BC0DDA">
        <w:rPr>
          <w:noProof/>
        </w:rPr>
        <w:t> </w:t>
      </w:r>
      <w:r w:rsidR="00BC0DDA" w:rsidRPr="00BC0DDA">
        <w:rPr>
          <w:noProof/>
        </w:rPr>
        <w:t>ram</w:t>
      </w:r>
      <w:r w:rsidRPr="00BC0DDA">
        <w:rPr>
          <w:noProof/>
        </w:rPr>
        <w:t xml:space="preserve">ach obecnego rozporządzenia. </w:t>
      </w:r>
    </w:p>
    <w:p w14:paraId="7F6C8E8B" w14:textId="573391CC" w:rsidR="00A2647E" w:rsidRPr="00BC0DDA" w:rsidRDefault="00A2647E" w:rsidP="00D627E2">
      <w:pPr>
        <w:pStyle w:val="ManualConsidrant"/>
        <w:rPr>
          <w:noProof/>
        </w:rPr>
      </w:pPr>
      <w:r w:rsidRPr="00BC0DDA">
        <w:rPr>
          <w:noProof/>
        </w:rPr>
        <w:t>(6)</w:t>
      </w:r>
      <w:r w:rsidRPr="00BC0DDA">
        <w:rPr>
          <w:noProof/>
        </w:rPr>
        <w:tab/>
        <w:t>Aby dostosować datę rozpoczęcia stosowania niniejszego rozporządzenia do daty rozpoczęcia stosowania przepisów rozporządzenia Parlamentu Europejskiego</w:t>
      </w:r>
      <w:r w:rsidR="00BC0DDA" w:rsidRPr="00BC0DDA">
        <w:rPr>
          <w:noProof/>
        </w:rPr>
        <w:t xml:space="preserve"> i</w:t>
      </w:r>
      <w:r w:rsidR="00BC0DDA">
        <w:rPr>
          <w:noProof/>
        </w:rPr>
        <w:t> </w:t>
      </w:r>
      <w:r w:rsidR="00BC0DDA" w:rsidRPr="00BC0DDA">
        <w:rPr>
          <w:noProof/>
        </w:rPr>
        <w:t>Rad</w:t>
      </w:r>
      <w:r w:rsidRPr="00BC0DDA">
        <w:rPr>
          <w:noProof/>
        </w:rPr>
        <w:t>y (UE) 2024/... ustanawiającego zharmonizowane przepisy dotyczące sztucznej inteligencji, niniejsze rozporządzenie powinno być stosowane bez zbędnej zwłoki.</w:t>
      </w:r>
    </w:p>
    <w:p w14:paraId="02A56F33" w14:textId="0DF12D2E" w:rsidR="001573D0" w:rsidRPr="00BC0DDA" w:rsidRDefault="00A2647E" w:rsidP="00D627E2">
      <w:pPr>
        <w:pStyle w:val="ManualConsidrant"/>
        <w:rPr>
          <w:noProof/>
        </w:rPr>
      </w:pPr>
      <w:r w:rsidRPr="00BC0DDA">
        <w:rPr>
          <w:noProof/>
        </w:rPr>
        <w:t>(7)</w:t>
      </w:r>
      <w:r w:rsidRPr="00BC0DDA">
        <w:rPr>
          <w:noProof/>
        </w:rPr>
        <w:tab/>
        <w:t>Należy zatem odpowiednio zmienić rozporządzenie (UE) 2021/1173,</w:t>
      </w:r>
    </w:p>
    <w:p w14:paraId="1FA79F04" w14:textId="77777777" w:rsidR="00A2647E" w:rsidRPr="00BC0DDA" w:rsidRDefault="00A2647E" w:rsidP="00D627E2">
      <w:pPr>
        <w:pStyle w:val="Formuledadoption"/>
        <w:rPr>
          <w:noProof/>
        </w:rPr>
      </w:pPr>
      <w:r w:rsidRPr="00BC0DDA">
        <w:rPr>
          <w:noProof/>
        </w:rPr>
        <w:t>PRZYJMUJE NINIEJSZE ROZPORZĄDZENIE:</w:t>
      </w:r>
    </w:p>
    <w:p w14:paraId="7C8C2BBA" w14:textId="77777777" w:rsidR="003B73A5" w:rsidRPr="00BC0DDA" w:rsidRDefault="003B73A5" w:rsidP="00D627E2">
      <w:pPr>
        <w:pStyle w:val="Titrearticle"/>
        <w:rPr>
          <w:noProof/>
        </w:rPr>
      </w:pPr>
      <w:r w:rsidRPr="00BC0DDA">
        <w:rPr>
          <w:noProof/>
        </w:rPr>
        <w:t>Artykuł 1</w:t>
      </w:r>
    </w:p>
    <w:p w14:paraId="28767628" w14:textId="785EE50C" w:rsidR="00A93C71" w:rsidRPr="00BC0DDA" w:rsidRDefault="3D110B81" w:rsidP="00D627E2">
      <w:pPr>
        <w:rPr>
          <w:noProof/>
        </w:rPr>
      </w:pPr>
      <w:r w:rsidRPr="00BC0DDA">
        <w:rPr>
          <w:noProof/>
        </w:rPr>
        <w:t xml:space="preserve">W rozporządzeniu (UE) 2021/1173 wprowadza się następujące zmiany: </w:t>
      </w:r>
    </w:p>
    <w:p w14:paraId="639FB279" w14:textId="77777777" w:rsidR="00A0358B" w:rsidRPr="00BC0DDA" w:rsidRDefault="00A0358B" w:rsidP="00D627E2">
      <w:pPr>
        <w:pStyle w:val="ListParagraph"/>
        <w:ind w:left="1080"/>
        <w:rPr>
          <w:noProof/>
        </w:rPr>
      </w:pPr>
    </w:p>
    <w:p w14:paraId="008EB2EA" w14:textId="074B729A" w:rsidR="00C306C8" w:rsidRPr="00BC0DDA" w:rsidRDefault="00257FBA" w:rsidP="00D627E2">
      <w:pPr>
        <w:pStyle w:val="Point0"/>
        <w:rPr>
          <w:noProof/>
        </w:rPr>
      </w:pPr>
      <w:r w:rsidRPr="00BC0DDA">
        <w:rPr>
          <w:noProof/>
        </w:rPr>
        <w:t>1)</w:t>
      </w:r>
      <w:r w:rsidRPr="00BC0DDA">
        <w:rPr>
          <w:noProof/>
        </w:rPr>
        <w:tab/>
        <w:t>w art.</w:t>
      </w:r>
      <w:r w:rsidR="00BC0DDA" w:rsidRPr="00BC0DDA">
        <w:rPr>
          <w:noProof/>
        </w:rPr>
        <w:t> </w:t>
      </w:r>
      <w:r w:rsidRPr="00BC0DDA">
        <w:rPr>
          <w:noProof/>
        </w:rPr>
        <w:t>2 wprowadza się następujące zmiany:</w:t>
      </w:r>
    </w:p>
    <w:p w14:paraId="7D725E25" w14:textId="5CDDB2A1" w:rsidR="00C306C8" w:rsidRPr="00BC0DDA" w:rsidRDefault="00C306C8" w:rsidP="00D627E2">
      <w:pPr>
        <w:pStyle w:val="Point0"/>
        <w:rPr>
          <w:noProof/>
        </w:rPr>
      </w:pPr>
      <w:r w:rsidRPr="00BC0DDA">
        <w:rPr>
          <w:noProof/>
        </w:rPr>
        <w:t>a)</w:t>
      </w:r>
      <w:r w:rsidRPr="00BC0DDA">
        <w:rPr>
          <w:noProof/>
        </w:rPr>
        <w:tab/>
        <w:t>dodaje się pkt</w:t>
      </w:r>
      <w:r w:rsidR="00BC0DDA" w:rsidRPr="00BC0DDA">
        <w:rPr>
          <w:noProof/>
        </w:rPr>
        <w:t> </w:t>
      </w:r>
      <w:r w:rsidRPr="00BC0DDA">
        <w:rPr>
          <w:noProof/>
        </w:rPr>
        <w:t>3a</w:t>
      </w:r>
      <w:r w:rsidR="00BC0DDA" w:rsidRPr="00BC0DDA">
        <w:rPr>
          <w:noProof/>
        </w:rPr>
        <w:t xml:space="preserve"> i</w:t>
      </w:r>
      <w:r w:rsidR="00BC0DDA">
        <w:rPr>
          <w:noProof/>
        </w:rPr>
        <w:t> </w:t>
      </w:r>
      <w:r w:rsidR="00BC0DDA" w:rsidRPr="00BC0DDA">
        <w:rPr>
          <w:noProof/>
        </w:rPr>
        <w:t>3</w:t>
      </w:r>
      <w:r w:rsidRPr="00BC0DDA">
        <w:rPr>
          <w:noProof/>
        </w:rPr>
        <w:t>b</w:t>
      </w:r>
      <w:r w:rsidR="00BC0DDA" w:rsidRPr="00BC0DDA">
        <w:rPr>
          <w:noProof/>
        </w:rPr>
        <w:t xml:space="preserve"> w</w:t>
      </w:r>
      <w:r w:rsidR="00BC0DDA">
        <w:rPr>
          <w:noProof/>
        </w:rPr>
        <w:t> </w:t>
      </w:r>
      <w:r w:rsidR="00BC0DDA" w:rsidRPr="00BC0DDA">
        <w:rPr>
          <w:noProof/>
        </w:rPr>
        <w:t>brz</w:t>
      </w:r>
      <w:r w:rsidRPr="00BC0DDA">
        <w:rPr>
          <w:noProof/>
        </w:rPr>
        <w:t>mieniu:</w:t>
      </w:r>
    </w:p>
    <w:p w14:paraId="2792B8EA" w14:textId="3F2A4D1D" w:rsidR="00113505" w:rsidRPr="00BC0DDA" w:rsidRDefault="00E419D3" w:rsidP="00D627E2">
      <w:pPr>
        <w:pStyle w:val="ListParagraph"/>
        <w:rPr>
          <w:noProof/>
        </w:rPr>
      </w:pPr>
      <w:r w:rsidRPr="00BC0DDA">
        <w:rPr>
          <w:noProof/>
        </w:rPr>
        <w:t>„3b) »superkomputer przeznaczony na potrzeby sztucznej inteligencji« oznacza superkomputer, który jest zaprojektowany głównie do celów trenowania wielkoskalowych modeli sztucznej inteligencji ogólnego przeznaczenia i do celów nowych zastosowań sztucznej inteligencji;</w:t>
      </w:r>
    </w:p>
    <w:p w14:paraId="42ACA3E7" w14:textId="6A47BBD4" w:rsidR="007F2E42" w:rsidRPr="00BC0DDA" w:rsidRDefault="00A2459F" w:rsidP="00D627E2">
      <w:pPr>
        <w:pStyle w:val="ListParagraph"/>
        <w:rPr>
          <w:noProof/>
        </w:rPr>
      </w:pPr>
      <w:r w:rsidRPr="00BC0DDA">
        <w:rPr>
          <w:noProof/>
        </w:rPr>
        <w:t>3c) »fabryka sztucznej inteligencji« oznacza scentralizowany lub rozproszony podmiot zapewniający infrastrukturę usług obliczeń superkomputerowych sztucznej inteligencji,</w:t>
      </w:r>
      <w:r w:rsidR="00BC0DDA" w:rsidRPr="00BC0DDA">
        <w:rPr>
          <w:noProof/>
        </w:rPr>
        <w:t xml:space="preserve"> w</w:t>
      </w:r>
      <w:r w:rsidR="00BC0DDA">
        <w:rPr>
          <w:noProof/>
        </w:rPr>
        <w:t> </w:t>
      </w:r>
      <w:r w:rsidR="00BC0DDA" w:rsidRPr="00BC0DDA">
        <w:rPr>
          <w:noProof/>
        </w:rPr>
        <w:t>skł</w:t>
      </w:r>
      <w:r w:rsidRPr="00BC0DDA">
        <w:rPr>
          <w:noProof/>
        </w:rPr>
        <w:t>ad którego wchodzą: superkomputer przeznaczony na potrzeby sztucznej inteligencji lub partycja superkomputera przeznaczona na potrzeby sztucznej inteligencji, powiązane centrum danych, specjalny dostęp</w:t>
      </w:r>
      <w:r w:rsidR="00BC0DDA" w:rsidRPr="00BC0DDA">
        <w:rPr>
          <w:noProof/>
        </w:rPr>
        <w:t xml:space="preserve"> i</w:t>
      </w:r>
      <w:r w:rsidR="00BC0DDA">
        <w:rPr>
          <w:noProof/>
        </w:rPr>
        <w:t> </w:t>
      </w:r>
      <w:r w:rsidR="00BC0DDA" w:rsidRPr="00BC0DDA">
        <w:rPr>
          <w:noProof/>
        </w:rPr>
        <w:t>usł</w:t>
      </w:r>
      <w:r w:rsidRPr="00BC0DDA">
        <w:rPr>
          <w:noProof/>
        </w:rPr>
        <w:t>ugi obliczeń superkomputerowych ukierunkowane na sztuczną inteligencję oraz przyciąganie</w:t>
      </w:r>
      <w:r w:rsidR="00BC0DDA" w:rsidRPr="00BC0DDA">
        <w:rPr>
          <w:noProof/>
        </w:rPr>
        <w:t xml:space="preserve"> i</w:t>
      </w:r>
      <w:r w:rsidR="00BC0DDA">
        <w:rPr>
          <w:noProof/>
        </w:rPr>
        <w:t> </w:t>
      </w:r>
      <w:r w:rsidR="00BC0DDA" w:rsidRPr="00BC0DDA">
        <w:rPr>
          <w:noProof/>
        </w:rPr>
        <w:t>two</w:t>
      </w:r>
      <w:r w:rsidRPr="00BC0DDA">
        <w:rPr>
          <w:noProof/>
        </w:rPr>
        <w:t>rzenie puli talentów</w:t>
      </w:r>
      <w:r w:rsidR="00BC0DDA" w:rsidRPr="00BC0DDA">
        <w:rPr>
          <w:noProof/>
        </w:rPr>
        <w:t xml:space="preserve"> w</w:t>
      </w:r>
      <w:r w:rsidR="00BC0DDA">
        <w:rPr>
          <w:noProof/>
        </w:rPr>
        <w:t> </w:t>
      </w:r>
      <w:r w:rsidR="00BC0DDA" w:rsidRPr="00BC0DDA">
        <w:rPr>
          <w:noProof/>
        </w:rPr>
        <w:t>cel</w:t>
      </w:r>
      <w:r w:rsidRPr="00BC0DDA">
        <w:rPr>
          <w:noProof/>
        </w:rPr>
        <w:t>u zapewnienia kompetencji koniecznych do wykorzystywania superkomputerów na potrzeby sztucznej inteligencji;”;</w:t>
      </w:r>
    </w:p>
    <w:p w14:paraId="7418B2A7" w14:textId="62CAFB01" w:rsidR="007F2E42" w:rsidRPr="00BC0DDA" w:rsidRDefault="007F2E42" w:rsidP="00D627E2">
      <w:pPr>
        <w:pStyle w:val="Point0"/>
        <w:rPr>
          <w:noProof/>
        </w:rPr>
      </w:pPr>
      <w:r w:rsidRPr="00BC0DDA">
        <w:rPr>
          <w:noProof/>
        </w:rPr>
        <w:t>b)</w:t>
      </w:r>
      <w:r w:rsidRPr="00BC0DDA">
        <w:rPr>
          <w:noProof/>
        </w:rPr>
        <w:tab/>
        <w:t>pkt</w:t>
      </w:r>
      <w:r w:rsidR="00BC0DDA" w:rsidRPr="00BC0DDA">
        <w:rPr>
          <w:noProof/>
        </w:rPr>
        <w:t> </w:t>
      </w:r>
      <w:r w:rsidRPr="00BC0DDA">
        <w:rPr>
          <w:noProof/>
        </w:rPr>
        <w:t>9 otrzymuje brzmienie:</w:t>
      </w:r>
    </w:p>
    <w:p w14:paraId="728A936C" w14:textId="1A16A884" w:rsidR="007F2E42" w:rsidRPr="00BC0DDA" w:rsidRDefault="00835644" w:rsidP="00D627E2">
      <w:pPr>
        <w:pStyle w:val="ListParagraph"/>
        <w:rPr>
          <w:noProof/>
        </w:rPr>
      </w:pPr>
      <w:r w:rsidRPr="00BC0DDA">
        <w:rPr>
          <w:noProof/>
        </w:rPr>
        <w:t>„9) »superkomputer EuroHPC« oznacza każdy system obliczeniowy</w:t>
      </w:r>
      <w:r w:rsidR="00BC0DDA" w:rsidRPr="00BC0DDA">
        <w:rPr>
          <w:noProof/>
        </w:rPr>
        <w:t xml:space="preserve"> w</w:t>
      </w:r>
      <w:r w:rsidR="00BC0DDA">
        <w:rPr>
          <w:noProof/>
        </w:rPr>
        <w:t> </w:t>
      </w:r>
      <w:r w:rsidR="00BC0DDA" w:rsidRPr="00BC0DDA">
        <w:rPr>
          <w:noProof/>
        </w:rPr>
        <w:t>cał</w:t>
      </w:r>
      <w:r w:rsidRPr="00BC0DDA">
        <w:rPr>
          <w:noProof/>
        </w:rPr>
        <w:t>ości posiadany przez Wspólne Przedsięwzięcie lub posiadany wspólnie</w:t>
      </w:r>
      <w:r w:rsidR="00BC0DDA" w:rsidRPr="00BC0DDA">
        <w:rPr>
          <w:noProof/>
        </w:rPr>
        <w:t xml:space="preserve"> z</w:t>
      </w:r>
      <w:r w:rsidR="00BC0DDA">
        <w:rPr>
          <w:noProof/>
        </w:rPr>
        <w:t> </w:t>
      </w:r>
      <w:r w:rsidR="00BC0DDA" w:rsidRPr="00BC0DDA">
        <w:rPr>
          <w:noProof/>
        </w:rPr>
        <w:t>inn</w:t>
      </w:r>
      <w:r w:rsidRPr="00BC0DDA">
        <w:rPr>
          <w:noProof/>
        </w:rPr>
        <w:t>ymi państwami uczestniczącymi lub</w:t>
      </w:r>
      <w:r w:rsidR="00BC0DDA" w:rsidRPr="00BC0DDA">
        <w:rPr>
          <w:noProof/>
        </w:rPr>
        <w:t xml:space="preserve"> z</w:t>
      </w:r>
      <w:r w:rsidR="00BC0DDA">
        <w:rPr>
          <w:noProof/>
        </w:rPr>
        <w:t> </w:t>
      </w:r>
      <w:r w:rsidR="00BC0DDA" w:rsidRPr="00BC0DDA">
        <w:rPr>
          <w:noProof/>
        </w:rPr>
        <w:t>kon</w:t>
      </w:r>
      <w:r w:rsidRPr="00BC0DDA">
        <w:rPr>
          <w:noProof/>
        </w:rPr>
        <w:t>sorcjum partnerów prywatnych; który może być superkomputerem klasycznym (superkomputer wysokiej klasy, superkomputer klasy przemysłowej, superkomputer przeznaczony na potrzeby sztucznej inteligencji lub superkomputer średniej klasy), hybrydowym komputerem klasyczno-kwantowym, komputerem kwantowym lub symulatorem kwantowym;”;</w:t>
      </w:r>
    </w:p>
    <w:p w14:paraId="49467FA9" w14:textId="77777777" w:rsidR="00BB6894" w:rsidRPr="00BC0DDA" w:rsidRDefault="00BB6894" w:rsidP="00D627E2">
      <w:pPr>
        <w:pStyle w:val="ListParagraph"/>
        <w:rPr>
          <w:noProof/>
        </w:rPr>
      </w:pPr>
    </w:p>
    <w:p w14:paraId="309C3FC0" w14:textId="33CBFB97" w:rsidR="00F174D0" w:rsidRPr="00BC0DDA" w:rsidRDefault="00C71E77" w:rsidP="00D627E2">
      <w:pPr>
        <w:pStyle w:val="Point0"/>
        <w:rPr>
          <w:noProof/>
        </w:rPr>
      </w:pPr>
      <w:r w:rsidRPr="00BC0DDA">
        <w:rPr>
          <w:noProof/>
        </w:rPr>
        <w:t>2)</w:t>
      </w:r>
      <w:r w:rsidRPr="00BC0DDA">
        <w:rPr>
          <w:noProof/>
        </w:rPr>
        <w:tab/>
        <w:t>w art.</w:t>
      </w:r>
      <w:r w:rsidR="00BC0DDA" w:rsidRPr="00BC0DDA">
        <w:rPr>
          <w:noProof/>
        </w:rPr>
        <w:t> </w:t>
      </w:r>
      <w:r w:rsidRPr="00BC0DDA">
        <w:rPr>
          <w:noProof/>
        </w:rPr>
        <w:t>3 ust.</w:t>
      </w:r>
      <w:r w:rsidR="00BC0DDA" w:rsidRPr="00BC0DDA">
        <w:rPr>
          <w:noProof/>
        </w:rPr>
        <w:t> </w:t>
      </w:r>
      <w:r w:rsidRPr="00BC0DDA">
        <w:rPr>
          <w:noProof/>
        </w:rPr>
        <w:t>2 dodaje się lit.</w:t>
      </w:r>
      <w:r w:rsidR="00BC0DDA" w:rsidRPr="00BC0DDA">
        <w:rPr>
          <w:noProof/>
        </w:rPr>
        <w:t> </w:t>
      </w:r>
      <w:r w:rsidRPr="00BC0DDA">
        <w:rPr>
          <w:noProof/>
        </w:rPr>
        <w:t>h)</w:t>
      </w:r>
      <w:r w:rsidR="00BC0DDA" w:rsidRPr="00BC0DDA">
        <w:rPr>
          <w:noProof/>
        </w:rPr>
        <w:t xml:space="preserve"> w</w:t>
      </w:r>
      <w:r w:rsidR="00BC0DDA">
        <w:rPr>
          <w:noProof/>
        </w:rPr>
        <w:t> </w:t>
      </w:r>
      <w:r w:rsidR="00BC0DDA" w:rsidRPr="00BC0DDA">
        <w:rPr>
          <w:noProof/>
        </w:rPr>
        <w:t>brz</w:t>
      </w:r>
      <w:r w:rsidRPr="00BC0DDA">
        <w:rPr>
          <w:noProof/>
        </w:rPr>
        <w:t>mieniu:</w:t>
      </w:r>
    </w:p>
    <w:p w14:paraId="75467BEB" w14:textId="6F76AE1D" w:rsidR="00835644" w:rsidRPr="00BC0DDA" w:rsidRDefault="00F62D34" w:rsidP="00D627E2">
      <w:pPr>
        <w:pStyle w:val="Point1"/>
        <w:spacing w:before="0"/>
        <w:rPr>
          <w:noProof/>
        </w:rPr>
      </w:pPr>
      <w:r w:rsidRPr="00BC0DDA">
        <w:rPr>
          <w:noProof/>
        </w:rPr>
        <w:t xml:space="preserve">„h) </w:t>
      </w:r>
      <w:r w:rsidRPr="00BC0DDA">
        <w:rPr>
          <w:noProof/>
        </w:rPr>
        <w:tab/>
        <w:t>rozwój</w:t>
      </w:r>
      <w:r w:rsidR="00BC0DDA" w:rsidRPr="00BC0DDA">
        <w:rPr>
          <w:noProof/>
        </w:rPr>
        <w:t xml:space="preserve"> i</w:t>
      </w:r>
      <w:r w:rsidR="00BC0DDA">
        <w:rPr>
          <w:noProof/>
        </w:rPr>
        <w:t> </w:t>
      </w:r>
      <w:r w:rsidR="00BC0DDA" w:rsidRPr="00BC0DDA">
        <w:rPr>
          <w:noProof/>
        </w:rPr>
        <w:t>eks</w:t>
      </w:r>
      <w:r w:rsidRPr="00BC0DDA">
        <w:rPr>
          <w:noProof/>
        </w:rPr>
        <w:t>ploatacja fabryk sztucznej inteligencji</w:t>
      </w:r>
      <w:r w:rsidR="00BC0DDA" w:rsidRPr="00BC0DDA">
        <w:rPr>
          <w:noProof/>
        </w:rPr>
        <w:t xml:space="preserve"> w</w:t>
      </w:r>
      <w:r w:rsidR="00BC0DDA">
        <w:rPr>
          <w:noProof/>
        </w:rPr>
        <w:t> </w:t>
      </w:r>
      <w:r w:rsidR="00BC0DDA" w:rsidRPr="00BC0DDA">
        <w:rPr>
          <w:noProof/>
        </w:rPr>
        <w:t>cel</w:t>
      </w:r>
      <w:r w:rsidRPr="00BC0DDA">
        <w:rPr>
          <w:noProof/>
        </w:rPr>
        <w:t>u wsparcia dalszego rozwoju wysoce konkurencyjnego</w:t>
      </w:r>
      <w:r w:rsidR="00BC0DDA" w:rsidRPr="00BC0DDA">
        <w:rPr>
          <w:noProof/>
        </w:rPr>
        <w:t xml:space="preserve"> i</w:t>
      </w:r>
      <w:r w:rsidR="00BC0DDA">
        <w:rPr>
          <w:noProof/>
        </w:rPr>
        <w:t> </w:t>
      </w:r>
      <w:r w:rsidR="00BC0DDA" w:rsidRPr="00BC0DDA">
        <w:rPr>
          <w:noProof/>
        </w:rPr>
        <w:t>inn</w:t>
      </w:r>
      <w:r w:rsidRPr="00BC0DDA">
        <w:rPr>
          <w:noProof/>
        </w:rPr>
        <w:t>owacyjnego ekosystemu sztucznej inteligencji</w:t>
      </w:r>
      <w:r w:rsidR="00BC0DDA" w:rsidRPr="00BC0DDA">
        <w:rPr>
          <w:noProof/>
        </w:rPr>
        <w:t xml:space="preserve"> w</w:t>
      </w:r>
      <w:r w:rsidR="00BC0DDA">
        <w:rPr>
          <w:noProof/>
        </w:rPr>
        <w:t> </w:t>
      </w:r>
      <w:r w:rsidR="00BC0DDA" w:rsidRPr="00BC0DDA">
        <w:rPr>
          <w:noProof/>
        </w:rPr>
        <w:t>Uni</w:t>
      </w:r>
      <w:r w:rsidRPr="00BC0DDA">
        <w:rPr>
          <w:noProof/>
        </w:rPr>
        <w:t>i.”;</w:t>
      </w:r>
    </w:p>
    <w:p w14:paraId="03C8C03E" w14:textId="04F09A1D" w:rsidR="00BB6894" w:rsidRPr="00BC0DDA" w:rsidRDefault="001528B0" w:rsidP="00D627E2">
      <w:pPr>
        <w:pStyle w:val="Point0"/>
        <w:rPr>
          <w:noProof/>
        </w:rPr>
      </w:pPr>
      <w:r w:rsidRPr="00BC0DDA">
        <w:rPr>
          <w:noProof/>
        </w:rPr>
        <w:t>3)</w:t>
      </w:r>
      <w:r w:rsidRPr="00BC0DDA">
        <w:rPr>
          <w:noProof/>
        </w:rPr>
        <w:tab/>
        <w:t>w art.</w:t>
      </w:r>
      <w:r w:rsidR="00BC0DDA" w:rsidRPr="00BC0DDA">
        <w:rPr>
          <w:noProof/>
        </w:rPr>
        <w:t> </w:t>
      </w:r>
      <w:r w:rsidRPr="00BC0DDA">
        <w:rPr>
          <w:noProof/>
        </w:rPr>
        <w:t>4 ust.</w:t>
      </w:r>
      <w:r w:rsidR="00BC0DDA" w:rsidRPr="00BC0DDA">
        <w:rPr>
          <w:noProof/>
        </w:rPr>
        <w:t> </w:t>
      </w:r>
      <w:r w:rsidRPr="00BC0DDA">
        <w:rPr>
          <w:noProof/>
        </w:rPr>
        <w:t>1 dodaje się lit.</w:t>
      </w:r>
      <w:r w:rsidR="00BC0DDA" w:rsidRPr="00BC0DDA">
        <w:rPr>
          <w:noProof/>
        </w:rPr>
        <w:t> </w:t>
      </w:r>
      <w:r w:rsidRPr="00BC0DDA">
        <w:rPr>
          <w:noProof/>
        </w:rPr>
        <w:t>h)</w:t>
      </w:r>
      <w:r w:rsidR="00BC0DDA" w:rsidRPr="00BC0DDA">
        <w:rPr>
          <w:noProof/>
        </w:rPr>
        <w:t xml:space="preserve"> w</w:t>
      </w:r>
      <w:r w:rsidR="00BC0DDA">
        <w:rPr>
          <w:noProof/>
        </w:rPr>
        <w:t> </w:t>
      </w:r>
      <w:r w:rsidR="00BC0DDA" w:rsidRPr="00BC0DDA">
        <w:rPr>
          <w:noProof/>
        </w:rPr>
        <w:t>brz</w:t>
      </w:r>
      <w:r w:rsidRPr="00BC0DDA">
        <w:rPr>
          <w:noProof/>
        </w:rPr>
        <w:t>mieniu:</w:t>
      </w:r>
    </w:p>
    <w:p w14:paraId="4783BE60" w14:textId="63A86AFC" w:rsidR="00835644" w:rsidRPr="00BC0DDA" w:rsidRDefault="00BE7181" w:rsidP="00D627E2">
      <w:pPr>
        <w:pStyle w:val="Point1"/>
        <w:rPr>
          <w:noProof/>
        </w:rPr>
      </w:pPr>
      <w:r w:rsidRPr="00BC0DDA">
        <w:rPr>
          <w:noProof/>
        </w:rPr>
        <w:t>„h) filar dotyczący fabryk sztucznej inteligencji służący wiarygodnej</w:t>
      </w:r>
      <w:r w:rsidR="00BC0DDA" w:rsidRPr="00BC0DDA">
        <w:rPr>
          <w:noProof/>
        </w:rPr>
        <w:t xml:space="preserve"> i</w:t>
      </w:r>
      <w:r w:rsidR="00BC0DDA">
        <w:rPr>
          <w:noProof/>
        </w:rPr>
        <w:t> </w:t>
      </w:r>
      <w:r w:rsidR="00BC0DDA" w:rsidRPr="00BC0DDA">
        <w:rPr>
          <w:noProof/>
        </w:rPr>
        <w:t>ety</w:t>
      </w:r>
      <w:r w:rsidRPr="00BC0DDA">
        <w:rPr>
          <w:noProof/>
        </w:rPr>
        <w:t>cznej sztucznej inteligencji, obejmujący działania mające na celu zapewnienie ukierunkowanej na sztuczną inteligencję infrastruktury usług obliczeń superkomputerowych, której celem jest dalszy rozwój zdolności</w:t>
      </w:r>
      <w:r w:rsidR="00BC0DDA" w:rsidRPr="00BC0DDA">
        <w:rPr>
          <w:noProof/>
        </w:rPr>
        <w:t xml:space="preserve"> i</w:t>
      </w:r>
      <w:r w:rsidR="00BC0DDA">
        <w:rPr>
          <w:noProof/>
        </w:rPr>
        <w:t> </w:t>
      </w:r>
      <w:r w:rsidR="00BC0DDA" w:rsidRPr="00BC0DDA">
        <w:rPr>
          <w:noProof/>
        </w:rPr>
        <w:t>umi</w:t>
      </w:r>
      <w:r w:rsidRPr="00BC0DDA">
        <w:rPr>
          <w:noProof/>
        </w:rPr>
        <w:t>ejętności ekosystemu sztucznej inteligencji</w:t>
      </w:r>
      <w:r w:rsidR="00BC0DDA" w:rsidRPr="00BC0DDA">
        <w:rPr>
          <w:noProof/>
        </w:rPr>
        <w:t xml:space="preserve"> w</w:t>
      </w:r>
      <w:r w:rsidR="00BC0DDA">
        <w:rPr>
          <w:noProof/>
        </w:rPr>
        <w:t> </w:t>
      </w:r>
      <w:r w:rsidR="00BC0DDA" w:rsidRPr="00BC0DDA">
        <w:rPr>
          <w:noProof/>
        </w:rPr>
        <w:t>zak</w:t>
      </w:r>
      <w:r w:rsidRPr="00BC0DDA">
        <w:rPr>
          <w:noProof/>
        </w:rPr>
        <w:t>resie innowacji; Obejmuje on następujące działania:</w:t>
      </w:r>
    </w:p>
    <w:p w14:paraId="242B3707" w14:textId="6DD2EA1A" w:rsidR="00835644" w:rsidRPr="00BC0DDA" w:rsidRDefault="00835644" w:rsidP="00D627E2">
      <w:pPr>
        <w:pStyle w:val="Point2"/>
        <w:spacing w:before="0"/>
        <w:rPr>
          <w:noProof/>
        </w:rPr>
      </w:pPr>
      <w:r w:rsidRPr="00BC0DDA">
        <w:rPr>
          <w:noProof/>
        </w:rPr>
        <w:t>(i)</w:t>
      </w:r>
      <w:r w:rsidRPr="00BC0DDA">
        <w:rPr>
          <w:noProof/>
        </w:rPr>
        <w:tab/>
        <w:t>nabywanie</w:t>
      </w:r>
      <w:r w:rsidR="00BC0DDA" w:rsidRPr="00BC0DDA">
        <w:rPr>
          <w:noProof/>
        </w:rPr>
        <w:t xml:space="preserve"> i</w:t>
      </w:r>
      <w:r w:rsidR="00BC0DDA">
        <w:rPr>
          <w:noProof/>
        </w:rPr>
        <w:t> </w:t>
      </w:r>
      <w:r w:rsidR="00BC0DDA" w:rsidRPr="00BC0DDA">
        <w:rPr>
          <w:noProof/>
        </w:rPr>
        <w:t>eks</w:t>
      </w:r>
      <w:r w:rsidRPr="00BC0DDA">
        <w:rPr>
          <w:noProof/>
        </w:rPr>
        <w:t>ploatacja superkomputerów przeznaczonych na potrzeby sztucznej inteligencji, zlokalizowanych</w:t>
      </w:r>
      <w:r w:rsidR="00BC0DDA" w:rsidRPr="00BC0DDA">
        <w:rPr>
          <w:noProof/>
        </w:rPr>
        <w:t xml:space="preserve"> w</w:t>
      </w:r>
      <w:r w:rsidR="00BC0DDA">
        <w:rPr>
          <w:noProof/>
        </w:rPr>
        <w:t> </w:t>
      </w:r>
      <w:r w:rsidR="00BC0DDA" w:rsidRPr="00BC0DDA">
        <w:rPr>
          <w:noProof/>
        </w:rPr>
        <w:t>tyc</w:t>
      </w:r>
      <w:r w:rsidRPr="00BC0DDA">
        <w:rPr>
          <w:noProof/>
        </w:rPr>
        <w:t>h samych miejscach co duże centra danych lub połączonych</w:t>
      </w:r>
      <w:r w:rsidR="00BC0DDA" w:rsidRPr="00BC0DDA">
        <w:rPr>
          <w:noProof/>
        </w:rPr>
        <w:t xml:space="preserve"> z</w:t>
      </w:r>
      <w:r w:rsidR="00BC0DDA">
        <w:rPr>
          <w:noProof/>
        </w:rPr>
        <w:t> </w:t>
      </w:r>
      <w:r w:rsidR="00BC0DDA" w:rsidRPr="00BC0DDA">
        <w:rPr>
          <w:noProof/>
        </w:rPr>
        <w:t>cen</w:t>
      </w:r>
      <w:r w:rsidRPr="00BC0DDA">
        <w:rPr>
          <w:noProof/>
        </w:rPr>
        <w:t>trami danych za pośrednictwem bardzo szybkich sieci;</w:t>
      </w:r>
    </w:p>
    <w:p w14:paraId="28EACC54" w14:textId="1995D7FD" w:rsidR="00835644" w:rsidRPr="00BC0DDA" w:rsidRDefault="00835644" w:rsidP="00D627E2">
      <w:pPr>
        <w:pStyle w:val="Point2"/>
        <w:spacing w:before="0"/>
        <w:rPr>
          <w:noProof/>
        </w:rPr>
      </w:pPr>
      <w:r w:rsidRPr="00BC0DDA">
        <w:rPr>
          <w:noProof/>
        </w:rPr>
        <w:t>(ii)</w:t>
      </w:r>
      <w:r w:rsidRPr="00BC0DDA">
        <w:rPr>
          <w:noProof/>
        </w:rPr>
        <w:tab/>
        <w:t>modernizacja istniejących superkomputerów EuroHPC poprzez dodanie zdolności</w:t>
      </w:r>
      <w:r w:rsidR="00BC0DDA" w:rsidRPr="00BC0DDA">
        <w:rPr>
          <w:noProof/>
        </w:rPr>
        <w:t xml:space="preserve"> w</w:t>
      </w:r>
      <w:r w:rsidR="00BC0DDA">
        <w:rPr>
          <w:noProof/>
        </w:rPr>
        <w:t> </w:t>
      </w:r>
      <w:r w:rsidR="00BC0DDA" w:rsidRPr="00BC0DDA">
        <w:rPr>
          <w:noProof/>
        </w:rPr>
        <w:t>zak</w:t>
      </w:r>
      <w:r w:rsidRPr="00BC0DDA">
        <w:rPr>
          <w:noProof/>
        </w:rPr>
        <w:t>resie sztucznej inteligencji;</w:t>
      </w:r>
    </w:p>
    <w:p w14:paraId="52AD829D" w14:textId="31B2661E" w:rsidR="00835644" w:rsidRPr="00BC0DDA" w:rsidRDefault="00835644" w:rsidP="00D627E2">
      <w:pPr>
        <w:pStyle w:val="Point2"/>
        <w:spacing w:before="0"/>
        <w:rPr>
          <w:noProof/>
        </w:rPr>
      </w:pPr>
      <w:r w:rsidRPr="00BC0DDA">
        <w:rPr>
          <w:noProof/>
        </w:rPr>
        <w:t>(iii)</w:t>
      </w:r>
      <w:r w:rsidRPr="00BC0DDA">
        <w:rPr>
          <w:noProof/>
        </w:rPr>
        <w:tab/>
        <w:t>zapewnienie dostępu do superkomputerów przeznaczonych na potrzeby sztucznej inteligencji lub superkomputerów EuroHPC zmodernizowanych na potrzeby sztucznej inteligencji,</w:t>
      </w:r>
      <w:r w:rsidR="00BC0DDA" w:rsidRPr="00BC0DDA">
        <w:rPr>
          <w:noProof/>
        </w:rPr>
        <w:t xml:space="preserve"> w</w:t>
      </w:r>
      <w:r w:rsidR="00BC0DDA">
        <w:rPr>
          <w:noProof/>
        </w:rPr>
        <w:t> </w:t>
      </w:r>
      <w:r w:rsidR="00BC0DDA" w:rsidRPr="00BC0DDA">
        <w:rPr>
          <w:noProof/>
        </w:rPr>
        <w:t>tym</w:t>
      </w:r>
      <w:r w:rsidRPr="00BC0DDA">
        <w:rPr>
          <w:noProof/>
        </w:rPr>
        <w:t xml:space="preserve"> rozszerzenie ich wykorzystania na dużą liczbę użytkowników publicznych</w:t>
      </w:r>
      <w:r w:rsidR="00BC0DDA" w:rsidRPr="00BC0DDA">
        <w:rPr>
          <w:noProof/>
        </w:rPr>
        <w:t xml:space="preserve"> i</w:t>
      </w:r>
      <w:r w:rsidR="00BC0DDA">
        <w:rPr>
          <w:noProof/>
        </w:rPr>
        <w:t> </w:t>
      </w:r>
      <w:r w:rsidR="00BC0DDA" w:rsidRPr="00BC0DDA">
        <w:rPr>
          <w:noProof/>
        </w:rPr>
        <w:t>pry</w:t>
      </w:r>
      <w:r w:rsidRPr="00BC0DDA">
        <w:rPr>
          <w:noProof/>
        </w:rPr>
        <w:t>watnych,</w:t>
      </w:r>
      <w:r w:rsidR="00BC0DDA" w:rsidRPr="00BC0DDA">
        <w:rPr>
          <w:noProof/>
        </w:rPr>
        <w:t xml:space="preserve"> w</w:t>
      </w:r>
      <w:r w:rsidR="00BC0DDA">
        <w:rPr>
          <w:noProof/>
        </w:rPr>
        <w:t> </w:t>
      </w:r>
      <w:r w:rsidR="00BC0DDA" w:rsidRPr="00BC0DDA">
        <w:rPr>
          <w:noProof/>
        </w:rPr>
        <w:t>tym</w:t>
      </w:r>
      <w:r w:rsidRPr="00BC0DDA">
        <w:rPr>
          <w:noProof/>
        </w:rPr>
        <w:t xml:space="preserve"> przedsiębiorstwa typu start-up oraz małe</w:t>
      </w:r>
      <w:r w:rsidR="00BC0DDA" w:rsidRPr="00BC0DDA">
        <w:rPr>
          <w:noProof/>
        </w:rPr>
        <w:t xml:space="preserve"> i</w:t>
      </w:r>
      <w:r w:rsidR="00BC0DDA">
        <w:rPr>
          <w:noProof/>
        </w:rPr>
        <w:t> </w:t>
      </w:r>
      <w:r w:rsidR="00BC0DDA" w:rsidRPr="00BC0DDA">
        <w:rPr>
          <w:noProof/>
        </w:rPr>
        <w:t>śre</w:t>
      </w:r>
      <w:r w:rsidRPr="00BC0DDA">
        <w:rPr>
          <w:noProof/>
        </w:rPr>
        <w:t xml:space="preserve">dnie przedsiębiorstwa; </w:t>
      </w:r>
    </w:p>
    <w:p w14:paraId="40A1906A" w14:textId="356C2A14" w:rsidR="00657635" w:rsidRPr="00BC0DDA" w:rsidRDefault="00835644" w:rsidP="00D627E2">
      <w:pPr>
        <w:pStyle w:val="Point2"/>
        <w:spacing w:before="0"/>
        <w:rPr>
          <w:noProof/>
        </w:rPr>
      </w:pPr>
      <w:r w:rsidRPr="00BC0DDA">
        <w:rPr>
          <w:noProof/>
        </w:rPr>
        <w:t>(iv)</w:t>
      </w:r>
      <w:r w:rsidRPr="00BC0DDA">
        <w:rPr>
          <w:noProof/>
        </w:rPr>
        <w:tab/>
        <w:t>funkcjonowanie scentralizowanych lub rozproszonych centrów usług</w:t>
      </w:r>
      <w:r w:rsidR="00BC0DDA" w:rsidRPr="00BC0DDA">
        <w:rPr>
          <w:noProof/>
        </w:rPr>
        <w:t xml:space="preserve"> w</w:t>
      </w:r>
      <w:r w:rsidR="00BC0DDA">
        <w:rPr>
          <w:noProof/>
        </w:rPr>
        <w:t> </w:t>
      </w:r>
      <w:r w:rsidR="00BC0DDA" w:rsidRPr="00BC0DDA">
        <w:rPr>
          <w:noProof/>
        </w:rPr>
        <w:t>zak</w:t>
      </w:r>
      <w:r w:rsidRPr="00BC0DDA">
        <w:rPr>
          <w:noProof/>
        </w:rPr>
        <w:t>resie obliczeń superkomputerowych</w:t>
      </w:r>
      <w:r w:rsidR="00BC0DDA" w:rsidRPr="00BC0DDA">
        <w:rPr>
          <w:noProof/>
        </w:rPr>
        <w:t xml:space="preserve"> w</w:t>
      </w:r>
      <w:r w:rsidR="00BC0DDA">
        <w:rPr>
          <w:noProof/>
        </w:rPr>
        <w:t> </w:t>
      </w:r>
      <w:r w:rsidR="00BC0DDA" w:rsidRPr="00BC0DDA">
        <w:rPr>
          <w:noProof/>
        </w:rPr>
        <w:t>cel</w:t>
      </w:r>
      <w:r w:rsidRPr="00BC0DDA">
        <w:rPr>
          <w:noProof/>
        </w:rPr>
        <w:t>u wsparcia przedsiębiorstw typu start-up oraz ekosystemu badań naukowych</w:t>
      </w:r>
      <w:r w:rsidR="00BC0DDA" w:rsidRPr="00BC0DDA">
        <w:rPr>
          <w:noProof/>
        </w:rPr>
        <w:t xml:space="preserve"> i</w:t>
      </w:r>
      <w:r w:rsidR="00BC0DDA">
        <w:rPr>
          <w:noProof/>
        </w:rPr>
        <w:t> </w:t>
      </w:r>
      <w:r w:rsidR="00BC0DDA" w:rsidRPr="00BC0DDA">
        <w:rPr>
          <w:noProof/>
        </w:rPr>
        <w:t>inn</w:t>
      </w:r>
      <w:r w:rsidRPr="00BC0DDA">
        <w:rPr>
          <w:noProof/>
        </w:rPr>
        <w:t>owacji</w:t>
      </w:r>
      <w:r w:rsidR="00BC0DDA" w:rsidRPr="00BC0DDA">
        <w:rPr>
          <w:noProof/>
        </w:rPr>
        <w:t xml:space="preserve"> w</w:t>
      </w:r>
      <w:r w:rsidR="00BC0DDA">
        <w:rPr>
          <w:noProof/>
        </w:rPr>
        <w:t> </w:t>
      </w:r>
      <w:r w:rsidR="00BC0DDA" w:rsidRPr="00BC0DDA">
        <w:rPr>
          <w:noProof/>
        </w:rPr>
        <w:t>dzi</w:t>
      </w:r>
      <w:r w:rsidRPr="00BC0DDA">
        <w:rPr>
          <w:noProof/>
        </w:rPr>
        <w:t>edzinie sztucznej inteligencji, zapewniających wsparcie</w:t>
      </w:r>
      <w:r w:rsidR="00BC0DDA" w:rsidRPr="00BC0DDA">
        <w:rPr>
          <w:noProof/>
        </w:rPr>
        <w:t xml:space="preserve"> w</w:t>
      </w:r>
      <w:r w:rsidR="00BC0DDA">
        <w:rPr>
          <w:noProof/>
        </w:rPr>
        <w:t> </w:t>
      </w:r>
      <w:r w:rsidR="00BC0DDA" w:rsidRPr="00BC0DDA">
        <w:rPr>
          <w:noProof/>
        </w:rPr>
        <w:t>zak</w:t>
      </w:r>
      <w:r w:rsidRPr="00BC0DDA">
        <w:rPr>
          <w:noProof/>
        </w:rPr>
        <w:t>resie algorytmów, wsparcie dla dalszego rozwoju, szkolenia, testowania, oceny</w:t>
      </w:r>
      <w:r w:rsidR="00BC0DDA" w:rsidRPr="00BC0DDA">
        <w:rPr>
          <w:noProof/>
        </w:rPr>
        <w:t xml:space="preserve"> i</w:t>
      </w:r>
      <w:r w:rsidR="00BC0DDA">
        <w:rPr>
          <w:noProof/>
        </w:rPr>
        <w:t> </w:t>
      </w:r>
      <w:r w:rsidR="00BC0DDA" w:rsidRPr="00BC0DDA">
        <w:rPr>
          <w:noProof/>
        </w:rPr>
        <w:t>wal</w:t>
      </w:r>
      <w:r w:rsidRPr="00BC0DDA">
        <w:rPr>
          <w:noProof/>
        </w:rPr>
        <w:t>idacji modeli</w:t>
      </w:r>
      <w:r w:rsidR="00BC0DDA" w:rsidRPr="00BC0DDA">
        <w:rPr>
          <w:noProof/>
        </w:rPr>
        <w:t xml:space="preserve"> i</w:t>
      </w:r>
      <w:r w:rsidR="00BC0DDA">
        <w:rPr>
          <w:noProof/>
        </w:rPr>
        <w:t> </w:t>
      </w:r>
      <w:r w:rsidR="00BC0DDA" w:rsidRPr="00BC0DDA">
        <w:rPr>
          <w:noProof/>
        </w:rPr>
        <w:t>sys</w:t>
      </w:r>
      <w:r w:rsidRPr="00BC0DDA">
        <w:rPr>
          <w:noProof/>
        </w:rPr>
        <w:t>temów trenowania sztucznej inteligencji oraz wspieranie rozwoju powstających zastosowań sztucznej inteligencji na dużą skalę</w:t>
      </w:r>
      <w:r w:rsidR="00BC0DDA" w:rsidRPr="00BC0DDA">
        <w:rPr>
          <w:noProof/>
        </w:rPr>
        <w:t xml:space="preserve"> w</w:t>
      </w:r>
      <w:r w:rsidR="00BC0DDA">
        <w:rPr>
          <w:noProof/>
        </w:rPr>
        <w:t> </w:t>
      </w:r>
      <w:r w:rsidR="00BC0DDA" w:rsidRPr="00BC0DDA">
        <w:rPr>
          <w:noProof/>
        </w:rPr>
        <w:t>str</w:t>
      </w:r>
      <w:r w:rsidRPr="00BC0DDA">
        <w:rPr>
          <w:noProof/>
        </w:rPr>
        <w:t>ategicznych obszarach, takich jak zdrowie</w:t>
      </w:r>
      <w:r w:rsidR="00BC0DDA" w:rsidRPr="00BC0DDA">
        <w:rPr>
          <w:noProof/>
        </w:rPr>
        <w:t xml:space="preserve"> i</w:t>
      </w:r>
      <w:r w:rsidR="00BC0DDA">
        <w:rPr>
          <w:noProof/>
        </w:rPr>
        <w:t> </w:t>
      </w:r>
      <w:r w:rsidR="00BC0DDA" w:rsidRPr="00BC0DDA">
        <w:rPr>
          <w:noProof/>
        </w:rPr>
        <w:t>opi</w:t>
      </w:r>
      <w:r w:rsidRPr="00BC0DDA">
        <w:rPr>
          <w:noProof/>
        </w:rPr>
        <w:t xml:space="preserve">eka, zmiana klimatu, robotyka lub kierowanie pojazdami podłączonymi do internetu bądź zautomatyzowane kierowanie pojazdami. </w:t>
      </w:r>
    </w:p>
    <w:p w14:paraId="7E9E3245" w14:textId="32544713" w:rsidR="00657635" w:rsidRPr="00BC0DDA" w:rsidRDefault="00657635" w:rsidP="00D627E2">
      <w:pPr>
        <w:pStyle w:val="Point2"/>
        <w:spacing w:before="0"/>
        <w:rPr>
          <w:noProof/>
        </w:rPr>
      </w:pPr>
      <w:r w:rsidRPr="00BC0DDA">
        <w:rPr>
          <w:noProof/>
        </w:rPr>
        <w:t>(v)</w:t>
      </w:r>
      <w:r w:rsidRPr="00BC0DDA">
        <w:rPr>
          <w:noProof/>
        </w:rPr>
        <w:tab/>
        <w:t>eksploatacja przyjaznego superkomputerom zaplecza programistycznego,</w:t>
      </w:r>
      <w:r w:rsidR="00BC0DDA" w:rsidRPr="00BC0DDA">
        <w:rPr>
          <w:noProof/>
        </w:rPr>
        <w:t xml:space="preserve"> w</w:t>
      </w:r>
      <w:r w:rsidR="00BC0DDA">
        <w:rPr>
          <w:noProof/>
        </w:rPr>
        <w:t> </w:t>
      </w:r>
      <w:r w:rsidR="00BC0DDA" w:rsidRPr="00BC0DDA">
        <w:rPr>
          <w:noProof/>
        </w:rPr>
        <w:t>tym</w:t>
      </w:r>
      <w:r w:rsidRPr="00BC0DDA">
        <w:rPr>
          <w:noProof/>
        </w:rPr>
        <w:t xml:space="preserve"> na potrzeby wprowadzania obliczeń równoległych do zastosowań sztucznej inteligencji</w:t>
      </w:r>
      <w:r w:rsidR="00BC0DDA" w:rsidRPr="00BC0DDA">
        <w:rPr>
          <w:noProof/>
        </w:rPr>
        <w:t xml:space="preserve"> w</w:t>
      </w:r>
      <w:r w:rsidR="00BC0DDA">
        <w:rPr>
          <w:noProof/>
        </w:rPr>
        <w:t> </w:t>
      </w:r>
      <w:r w:rsidR="00BC0DDA" w:rsidRPr="00BC0DDA">
        <w:rPr>
          <w:noProof/>
        </w:rPr>
        <w:t>cel</w:t>
      </w:r>
      <w:r w:rsidRPr="00BC0DDA">
        <w:rPr>
          <w:noProof/>
        </w:rPr>
        <w:t>u optymalizacji wykorzystania zdolności</w:t>
      </w:r>
      <w:r w:rsidR="00BC0DDA" w:rsidRPr="00BC0DDA">
        <w:rPr>
          <w:noProof/>
        </w:rPr>
        <w:t xml:space="preserve"> w</w:t>
      </w:r>
      <w:r w:rsidR="00BC0DDA">
        <w:rPr>
          <w:noProof/>
        </w:rPr>
        <w:t> </w:t>
      </w:r>
      <w:r w:rsidR="00BC0DDA" w:rsidRPr="00BC0DDA">
        <w:rPr>
          <w:noProof/>
        </w:rPr>
        <w:t>zak</w:t>
      </w:r>
      <w:r w:rsidRPr="00BC0DDA">
        <w:rPr>
          <w:noProof/>
        </w:rPr>
        <w:t xml:space="preserve">resie obliczeń superkomputerowych; </w:t>
      </w:r>
    </w:p>
    <w:p w14:paraId="6578A18A" w14:textId="29B39001" w:rsidR="00835644" w:rsidRPr="00BC0DDA" w:rsidRDefault="00657635" w:rsidP="00D627E2">
      <w:pPr>
        <w:pStyle w:val="Point2"/>
        <w:spacing w:before="0"/>
        <w:rPr>
          <w:noProof/>
        </w:rPr>
      </w:pPr>
      <w:r w:rsidRPr="00BC0DDA">
        <w:rPr>
          <w:noProof/>
        </w:rPr>
        <w:t>(vi)</w:t>
      </w:r>
      <w:r w:rsidRPr="00BC0DDA">
        <w:rPr>
          <w:noProof/>
        </w:rPr>
        <w:tab/>
        <w:t>świadczenie innych usług</w:t>
      </w:r>
      <w:r w:rsidR="00BC0DDA" w:rsidRPr="00BC0DDA">
        <w:rPr>
          <w:noProof/>
        </w:rPr>
        <w:t xml:space="preserve"> w</w:t>
      </w:r>
      <w:r w:rsidR="00BC0DDA">
        <w:rPr>
          <w:noProof/>
        </w:rPr>
        <w:t> </w:t>
      </w:r>
      <w:r w:rsidR="00BC0DDA" w:rsidRPr="00BC0DDA">
        <w:rPr>
          <w:noProof/>
        </w:rPr>
        <w:t>zak</w:t>
      </w:r>
      <w:r w:rsidRPr="00BC0DDA">
        <w:rPr>
          <w:noProof/>
        </w:rPr>
        <w:t>resie obliczeń superkomputerowych wspierających sztuczną inteligencję;</w:t>
      </w:r>
    </w:p>
    <w:p w14:paraId="4F785704" w14:textId="68FBB60D" w:rsidR="009B41DF" w:rsidRPr="00BC0DDA" w:rsidRDefault="004F1554" w:rsidP="00D627E2">
      <w:pPr>
        <w:pStyle w:val="Point2"/>
        <w:spacing w:before="0"/>
        <w:rPr>
          <w:noProof/>
          <w:color w:val="000000" w:themeColor="text1"/>
        </w:rPr>
      </w:pPr>
      <w:r w:rsidRPr="00BC0DDA">
        <w:rPr>
          <w:noProof/>
        </w:rPr>
        <w:t>(vii) przyciąganie, tworzenie puli</w:t>
      </w:r>
      <w:r w:rsidR="00BC0DDA" w:rsidRPr="00BC0DDA">
        <w:rPr>
          <w:noProof/>
        </w:rPr>
        <w:t xml:space="preserve"> i</w:t>
      </w:r>
      <w:r w:rsidR="00BC0DDA">
        <w:rPr>
          <w:noProof/>
        </w:rPr>
        <w:t> </w:t>
      </w:r>
      <w:r w:rsidR="00BC0DDA" w:rsidRPr="00BC0DDA">
        <w:rPr>
          <w:noProof/>
        </w:rPr>
        <w:t>szk</w:t>
      </w:r>
      <w:r w:rsidRPr="00BC0DDA">
        <w:rPr>
          <w:noProof/>
        </w:rPr>
        <w:t>olenie talentów</w:t>
      </w:r>
      <w:r w:rsidR="00BC0DDA" w:rsidRPr="00BC0DDA">
        <w:rPr>
          <w:noProof/>
        </w:rPr>
        <w:t xml:space="preserve"> w</w:t>
      </w:r>
      <w:r w:rsidR="00BC0DDA">
        <w:rPr>
          <w:noProof/>
        </w:rPr>
        <w:t> </w:t>
      </w:r>
      <w:r w:rsidR="00BC0DDA" w:rsidRPr="00BC0DDA">
        <w:rPr>
          <w:noProof/>
        </w:rPr>
        <w:t>cel</w:t>
      </w:r>
      <w:r w:rsidRPr="00BC0DDA">
        <w:rPr>
          <w:noProof/>
        </w:rPr>
        <w:t>u rozwijania ich kompetencji</w:t>
      </w:r>
      <w:r w:rsidR="00BC0DDA" w:rsidRPr="00BC0DDA">
        <w:rPr>
          <w:noProof/>
        </w:rPr>
        <w:t xml:space="preserve"> i</w:t>
      </w:r>
      <w:r w:rsidR="00BC0DDA">
        <w:rPr>
          <w:noProof/>
        </w:rPr>
        <w:t> </w:t>
      </w:r>
      <w:r w:rsidR="00BC0DDA" w:rsidRPr="00BC0DDA">
        <w:rPr>
          <w:noProof/>
        </w:rPr>
        <w:t>umi</w:t>
      </w:r>
      <w:r w:rsidRPr="00BC0DDA">
        <w:rPr>
          <w:noProof/>
        </w:rPr>
        <w:t>ejętności</w:t>
      </w:r>
      <w:r w:rsidR="00BC0DDA" w:rsidRPr="00BC0DDA">
        <w:rPr>
          <w:noProof/>
        </w:rPr>
        <w:t xml:space="preserve"> w</w:t>
      </w:r>
      <w:r w:rsidR="00BC0DDA">
        <w:rPr>
          <w:noProof/>
        </w:rPr>
        <w:t> </w:t>
      </w:r>
      <w:r w:rsidR="00BC0DDA" w:rsidRPr="00BC0DDA">
        <w:rPr>
          <w:noProof/>
        </w:rPr>
        <w:t>zak</w:t>
      </w:r>
      <w:r w:rsidRPr="00BC0DDA">
        <w:rPr>
          <w:noProof/>
        </w:rPr>
        <w:t>resie wykorzystywania superkomputerów EuroHPC na potrzeby sztucznej inteligencji;</w:t>
      </w:r>
    </w:p>
    <w:p w14:paraId="234F393E" w14:textId="056D7540" w:rsidR="00782DB3" w:rsidRPr="00BC0DDA" w:rsidRDefault="004E2173" w:rsidP="00D627E2">
      <w:pPr>
        <w:pStyle w:val="Point2"/>
        <w:spacing w:before="0"/>
        <w:rPr>
          <w:noProof/>
        </w:rPr>
      </w:pPr>
      <w:r w:rsidRPr="00BC0DDA">
        <w:rPr>
          <w:noProof/>
        </w:rPr>
        <w:t>(viii) współdziałanie</w:t>
      </w:r>
      <w:r w:rsidR="00BC0DDA" w:rsidRPr="00BC0DDA">
        <w:rPr>
          <w:noProof/>
        </w:rPr>
        <w:t xml:space="preserve"> z</w:t>
      </w:r>
      <w:r w:rsidR="00BC0DDA">
        <w:rPr>
          <w:noProof/>
        </w:rPr>
        <w:t> </w:t>
      </w:r>
      <w:r w:rsidR="00BC0DDA" w:rsidRPr="00BC0DDA">
        <w:rPr>
          <w:noProof/>
        </w:rPr>
        <w:t>inn</w:t>
      </w:r>
      <w:r w:rsidRPr="00BC0DDA">
        <w:rPr>
          <w:noProof/>
        </w:rPr>
        <w:t>ymi fabrykami sztucznej inteligencji, udostępnianie ich usług</w:t>
      </w:r>
      <w:r w:rsidR="00BC0DDA" w:rsidRPr="00BC0DDA">
        <w:rPr>
          <w:noProof/>
        </w:rPr>
        <w:t xml:space="preserve"> w</w:t>
      </w:r>
      <w:r w:rsidR="00BC0DDA">
        <w:rPr>
          <w:noProof/>
        </w:rPr>
        <w:t> </w:t>
      </w:r>
      <w:r w:rsidR="00BC0DDA" w:rsidRPr="00BC0DDA">
        <w:rPr>
          <w:noProof/>
        </w:rPr>
        <w:t>cał</w:t>
      </w:r>
      <w:r w:rsidRPr="00BC0DDA">
        <w:rPr>
          <w:noProof/>
        </w:rPr>
        <w:t>ej Europie oraz współpraca</w:t>
      </w:r>
      <w:r w:rsidR="00BC0DDA" w:rsidRPr="00BC0DDA">
        <w:rPr>
          <w:noProof/>
        </w:rPr>
        <w:t xml:space="preserve"> z</w:t>
      </w:r>
      <w:r w:rsidR="00BC0DDA">
        <w:rPr>
          <w:noProof/>
        </w:rPr>
        <w:t> </w:t>
      </w:r>
      <w:r w:rsidR="00BC0DDA" w:rsidRPr="00BC0DDA">
        <w:rPr>
          <w:noProof/>
        </w:rPr>
        <w:t>cen</w:t>
      </w:r>
      <w:r w:rsidRPr="00BC0DDA">
        <w:rPr>
          <w:noProof/>
        </w:rPr>
        <w:t>trami kompetencji</w:t>
      </w:r>
      <w:r w:rsidR="00BC0DDA" w:rsidRPr="00BC0DDA">
        <w:rPr>
          <w:noProof/>
        </w:rPr>
        <w:t xml:space="preserve"> i</w:t>
      </w:r>
      <w:r w:rsidR="00BC0DDA">
        <w:rPr>
          <w:noProof/>
        </w:rPr>
        <w:t> </w:t>
      </w:r>
      <w:r w:rsidR="00BC0DDA" w:rsidRPr="00BC0DDA">
        <w:rPr>
          <w:noProof/>
        </w:rPr>
        <w:t>cen</w:t>
      </w:r>
      <w:r w:rsidRPr="00BC0DDA">
        <w:rPr>
          <w:noProof/>
        </w:rPr>
        <w:t>trami doskonałości EuroHPC,</w:t>
      </w:r>
      <w:r w:rsidR="00BC0DDA" w:rsidRPr="00BC0DDA">
        <w:rPr>
          <w:noProof/>
        </w:rPr>
        <w:t xml:space="preserve"> a</w:t>
      </w:r>
      <w:r w:rsidR="00BC0DDA">
        <w:rPr>
          <w:noProof/>
        </w:rPr>
        <w:t> </w:t>
      </w:r>
      <w:r w:rsidR="00BC0DDA" w:rsidRPr="00BC0DDA">
        <w:rPr>
          <w:noProof/>
        </w:rPr>
        <w:t>tak</w:t>
      </w:r>
      <w:r w:rsidRPr="00BC0DDA">
        <w:rPr>
          <w:noProof/>
        </w:rPr>
        <w:t>że</w:t>
      </w:r>
      <w:r w:rsidR="00BC0DDA" w:rsidRPr="00BC0DDA">
        <w:rPr>
          <w:noProof/>
        </w:rPr>
        <w:t xml:space="preserve"> z</w:t>
      </w:r>
      <w:r w:rsidR="00BC0DDA">
        <w:rPr>
          <w:noProof/>
        </w:rPr>
        <w:t> </w:t>
      </w:r>
      <w:r w:rsidR="00BC0DDA" w:rsidRPr="00BC0DDA">
        <w:rPr>
          <w:noProof/>
        </w:rPr>
        <w:t>odp</w:t>
      </w:r>
      <w:r w:rsidRPr="00BC0DDA">
        <w:rPr>
          <w:noProof/>
        </w:rPr>
        <w:t>owiednimi inicjatywami Unii</w:t>
      </w:r>
      <w:r w:rsidR="00BC0DDA" w:rsidRPr="00BC0DDA">
        <w:rPr>
          <w:noProof/>
        </w:rPr>
        <w:t xml:space="preserve"> w</w:t>
      </w:r>
      <w:r w:rsidR="00BC0DDA">
        <w:rPr>
          <w:noProof/>
        </w:rPr>
        <w:t> </w:t>
      </w:r>
      <w:r w:rsidR="00BC0DDA" w:rsidRPr="00BC0DDA">
        <w:rPr>
          <w:noProof/>
        </w:rPr>
        <w:t>zak</w:t>
      </w:r>
      <w:r w:rsidRPr="00BC0DDA">
        <w:rPr>
          <w:noProof/>
        </w:rPr>
        <w:t>resie sztucznej inteligencji, takimi jak centra przedsiębiorstw typu start-up zajmujących się sztuczną inteligencją, ekosystemy sztucznej inteligencji</w:t>
      </w:r>
      <w:r w:rsidR="00BC0DDA" w:rsidRPr="00BC0DDA">
        <w:rPr>
          <w:noProof/>
        </w:rPr>
        <w:t xml:space="preserve"> i</w:t>
      </w:r>
      <w:r w:rsidR="00BC0DDA">
        <w:rPr>
          <w:noProof/>
        </w:rPr>
        <w:t> </w:t>
      </w:r>
      <w:r w:rsidR="00BC0DDA" w:rsidRPr="00BC0DDA">
        <w:rPr>
          <w:noProof/>
        </w:rPr>
        <w:t>dan</w:t>
      </w:r>
      <w:r w:rsidRPr="00BC0DDA">
        <w:rPr>
          <w:noProof/>
        </w:rPr>
        <w:t>ych, ośrodki testowo-doświadczalne</w:t>
      </w:r>
      <w:r w:rsidR="00BC0DDA" w:rsidRPr="00BC0DDA">
        <w:rPr>
          <w:noProof/>
        </w:rPr>
        <w:t xml:space="preserve"> w</w:t>
      </w:r>
      <w:r w:rsidR="00BC0DDA">
        <w:rPr>
          <w:noProof/>
        </w:rPr>
        <w:t> </w:t>
      </w:r>
      <w:r w:rsidR="00BC0DDA" w:rsidRPr="00BC0DDA">
        <w:rPr>
          <w:noProof/>
        </w:rPr>
        <w:t>dzi</w:t>
      </w:r>
      <w:r w:rsidRPr="00BC0DDA">
        <w:rPr>
          <w:noProof/>
        </w:rPr>
        <w:t>edzinie sztucznej inteligencji, europejska centralna platforma sztucznej inteligencji, centra innowacji cyfrowych ukierunkowanych na sztuczną inteligencję, związane ze sztuczną inteligencją Wspólnoty Wiedzy</w:t>
      </w:r>
      <w:r w:rsidR="00BC0DDA" w:rsidRPr="00BC0DDA">
        <w:rPr>
          <w:noProof/>
        </w:rPr>
        <w:t xml:space="preserve"> i</w:t>
      </w:r>
      <w:r w:rsidR="00BC0DDA">
        <w:rPr>
          <w:noProof/>
        </w:rPr>
        <w:t> </w:t>
      </w:r>
      <w:r w:rsidR="00BC0DDA" w:rsidRPr="00BC0DDA">
        <w:rPr>
          <w:noProof/>
        </w:rPr>
        <w:t>Inn</w:t>
      </w:r>
      <w:r w:rsidRPr="00BC0DDA">
        <w:rPr>
          <w:noProof/>
        </w:rPr>
        <w:t>owacji Europejskiego Instytutu Innowacji</w:t>
      </w:r>
      <w:r w:rsidR="00BC0DDA" w:rsidRPr="00BC0DDA">
        <w:rPr>
          <w:noProof/>
        </w:rPr>
        <w:t xml:space="preserve"> i</w:t>
      </w:r>
      <w:r w:rsidR="00BC0DDA">
        <w:rPr>
          <w:noProof/>
        </w:rPr>
        <w:t> </w:t>
      </w:r>
      <w:r w:rsidR="00BC0DDA" w:rsidRPr="00BC0DDA">
        <w:rPr>
          <w:noProof/>
        </w:rPr>
        <w:t>Tec</w:t>
      </w:r>
      <w:r w:rsidRPr="00BC0DDA">
        <w:rPr>
          <w:noProof/>
        </w:rPr>
        <w:t>hnologii, odpowiednie europejskie infrastruktury badawcze</w:t>
      </w:r>
      <w:r w:rsidR="00BC0DDA" w:rsidRPr="00BC0DDA">
        <w:rPr>
          <w:noProof/>
        </w:rPr>
        <w:t xml:space="preserve"> i</w:t>
      </w:r>
      <w:r w:rsidR="00BC0DDA">
        <w:rPr>
          <w:noProof/>
        </w:rPr>
        <w:t> </w:t>
      </w:r>
      <w:r w:rsidR="00BC0DDA" w:rsidRPr="00BC0DDA">
        <w:rPr>
          <w:noProof/>
        </w:rPr>
        <w:t>inn</w:t>
      </w:r>
      <w:r w:rsidRPr="00BC0DDA">
        <w:rPr>
          <w:noProof/>
        </w:rPr>
        <w:t>e powiązane inicjatywy.”;</w:t>
      </w:r>
    </w:p>
    <w:p w14:paraId="2F8D190E" w14:textId="57BBAF3A" w:rsidR="00835644" w:rsidRPr="00BC0DDA" w:rsidRDefault="008E1F03" w:rsidP="00D627E2">
      <w:pPr>
        <w:pStyle w:val="Point0"/>
        <w:rPr>
          <w:noProof/>
        </w:rPr>
      </w:pPr>
      <w:r w:rsidRPr="00BC0DDA">
        <w:rPr>
          <w:noProof/>
        </w:rPr>
        <w:t>4)</w:t>
      </w:r>
      <w:r w:rsidRPr="00BC0DDA">
        <w:rPr>
          <w:noProof/>
        </w:rPr>
        <w:tab/>
        <w:t>w art.</w:t>
      </w:r>
      <w:r w:rsidR="00BC0DDA" w:rsidRPr="00BC0DDA">
        <w:rPr>
          <w:noProof/>
        </w:rPr>
        <w:t> </w:t>
      </w:r>
      <w:r w:rsidRPr="00BC0DDA">
        <w:rPr>
          <w:noProof/>
        </w:rPr>
        <w:t>9 ust.</w:t>
      </w:r>
      <w:r w:rsidR="00BC0DDA" w:rsidRPr="00BC0DDA">
        <w:rPr>
          <w:noProof/>
        </w:rPr>
        <w:t> </w:t>
      </w:r>
      <w:r w:rsidRPr="00BC0DDA">
        <w:rPr>
          <w:noProof/>
        </w:rPr>
        <w:t>5 dodaje się lit.</w:t>
      </w:r>
      <w:r w:rsidR="00BC0DDA" w:rsidRPr="00BC0DDA">
        <w:rPr>
          <w:noProof/>
        </w:rPr>
        <w:t> </w:t>
      </w:r>
      <w:r w:rsidRPr="00BC0DDA">
        <w:rPr>
          <w:noProof/>
        </w:rPr>
        <w:t>g)</w:t>
      </w:r>
      <w:r w:rsidR="00BC0DDA" w:rsidRPr="00BC0DDA">
        <w:rPr>
          <w:noProof/>
        </w:rPr>
        <w:t xml:space="preserve"> w</w:t>
      </w:r>
      <w:r w:rsidR="00BC0DDA">
        <w:rPr>
          <w:noProof/>
        </w:rPr>
        <w:t> </w:t>
      </w:r>
      <w:r w:rsidR="00BC0DDA" w:rsidRPr="00BC0DDA">
        <w:rPr>
          <w:noProof/>
        </w:rPr>
        <w:t>brz</w:t>
      </w:r>
      <w:r w:rsidRPr="00BC0DDA">
        <w:rPr>
          <w:noProof/>
        </w:rPr>
        <w:t xml:space="preserve">mieniu: </w:t>
      </w:r>
    </w:p>
    <w:p w14:paraId="5306F5DE" w14:textId="7DABE9D1" w:rsidR="00C444A5" w:rsidRPr="00BC0DDA" w:rsidRDefault="00C444A5" w:rsidP="00D627E2">
      <w:pPr>
        <w:pStyle w:val="Point1"/>
        <w:rPr>
          <w:noProof/>
        </w:rPr>
      </w:pPr>
      <w:r w:rsidRPr="00BC0DDA">
        <w:rPr>
          <w:noProof/>
        </w:rPr>
        <w:t>„g)</w:t>
      </w:r>
      <w:r w:rsidR="00BC0DDA" w:rsidRPr="00BC0DDA">
        <w:rPr>
          <w:noProof/>
        </w:rPr>
        <w:t xml:space="preserve"> w</w:t>
      </w:r>
      <w:r w:rsidR="00BC0DDA">
        <w:rPr>
          <w:noProof/>
        </w:rPr>
        <w:t> </w:t>
      </w:r>
      <w:r w:rsidR="00BC0DDA" w:rsidRPr="00BC0DDA">
        <w:rPr>
          <w:noProof/>
        </w:rPr>
        <w:t>prz</w:t>
      </w:r>
      <w:r w:rsidRPr="00BC0DDA">
        <w:rPr>
          <w:noProof/>
        </w:rPr>
        <w:t>ypadku superkomputerów przeznaczonych na potrzeby sztucznej inteligencji do jednostek przyjmujących zastosowanie mają następujące dodatkowe kryteria wyboru:</w:t>
      </w:r>
    </w:p>
    <w:p w14:paraId="4D131FF0" w14:textId="1888405E" w:rsidR="00C444A5" w:rsidRPr="00BC0DDA" w:rsidRDefault="00C444A5" w:rsidP="00D627E2">
      <w:pPr>
        <w:pStyle w:val="Point1"/>
        <w:tabs>
          <w:tab w:val="left" w:pos="1843"/>
        </w:tabs>
        <w:spacing w:before="0"/>
        <w:ind w:left="1418" w:firstLine="0"/>
        <w:rPr>
          <w:noProof/>
        </w:rPr>
      </w:pPr>
      <w:r w:rsidRPr="00BC0DDA">
        <w:rPr>
          <w:noProof/>
        </w:rPr>
        <w:t>(i)</w:t>
      </w:r>
      <w:r w:rsidRPr="00BC0DDA">
        <w:rPr>
          <w:noProof/>
        </w:rPr>
        <w:tab/>
        <w:t>bliskość</w:t>
      </w:r>
      <w:r w:rsidR="00BC0DDA" w:rsidRPr="00BC0DDA">
        <w:rPr>
          <w:noProof/>
        </w:rPr>
        <w:t xml:space="preserve"> z</w:t>
      </w:r>
      <w:r w:rsidR="00BC0DDA">
        <w:rPr>
          <w:noProof/>
        </w:rPr>
        <w:t> </w:t>
      </w:r>
      <w:r w:rsidR="00BC0DDA" w:rsidRPr="00BC0DDA">
        <w:rPr>
          <w:noProof/>
        </w:rPr>
        <w:t>ust</w:t>
      </w:r>
      <w:r w:rsidRPr="00BC0DDA">
        <w:rPr>
          <w:noProof/>
        </w:rPr>
        <w:t>anowionym ośrodkiem przetwarzania danych;</w:t>
      </w:r>
    </w:p>
    <w:p w14:paraId="71BD0F4E" w14:textId="5277AC98" w:rsidR="00C444A5" w:rsidRPr="00BC0DDA" w:rsidRDefault="00C444A5" w:rsidP="00D627E2">
      <w:pPr>
        <w:pStyle w:val="Point1"/>
        <w:tabs>
          <w:tab w:val="left" w:pos="1843"/>
        </w:tabs>
        <w:spacing w:before="0"/>
        <w:ind w:left="1843" w:hanging="425"/>
        <w:rPr>
          <w:noProof/>
        </w:rPr>
      </w:pPr>
      <w:r w:rsidRPr="00BC0DDA">
        <w:rPr>
          <w:noProof/>
        </w:rPr>
        <w:t>(ii)</w:t>
      </w:r>
      <w:r w:rsidRPr="00BC0DDA">
        <w:rPr>
          <w:noProof/>
        </w:rPr>
        <w:tab/>
        <w:t>wizja, plany</w:t>
      </w:r>
      <w:r w:rsidR="00BC0DDA" w:rsidRPr="00BC0DDA">
        <w:rPr>
          <w:noProof/>
        </w:rPr>
        <w:t xml:space="preserve"> i</w:t>
      </w:r>
      <w:r w:rsidR="00BC0DDA">
        <w:rPr>
          <w:noProof/>
        </w:rPr>
        <w:t> </w:t>
      </w:r>
      <w:r w:rsidR="00BC0DDA" w:rsidRPr="00BC0DDA">
        <w:rPr>
          <w:noProof/>
        </w:rPr>
        <w:t>zdo</w:t>
      </w:r>
      <w:r w:rsidRPr="00BC0DDA">
        <w:rPr>
          <w:noProof/>
        </w:rPr>
        <w:t>lność jednostki przyjmującej do sprostania wyzwaniom związanym</w:t>
      </w:r>
      <w:r w:rsidR="00BC0DDA" w:rsidRPr="00BC0DDA">
        <w:rPr>
          <w:noProof/>
        </w:rPr>
        <w:t xml:space="preserve"> z</w:t>
      </w:r>
      <w:r w:rsidR="00BC0DDA">
        <w:rPr>
          <w:noProof/>
        </w:rPr>
        <w:t> </w:t>
      </w:r>
      <w:r w:rsidR="00BC0DDA" w:rsidRPr="00BC0DDA">
        <w:rPr>
          <w:noProof/>
        </w:rPr>
        <w:t>eko</w:t>
      </w:r>
      <w:r w:rsidRPr="00BC0DDA">
        <w:rPr>
          <w:noProof/>
        </w:rPr>
        <w:t>systemem przedsiębiorstw typu start-up</w:t>
      </w:r>
      <w:r w:rsidR="00BC0DDA" w:rsidRPr="00BC0DDA">
        <w:rPr>
          <w:noProof/>
        </w:rPr>
        <w:t xml:space="preserve"> i</w:t>
      </w:r>
      <w:r w:rsidR="00BC0DDA">
        <w:rPr>
          <w:noProof/>
        </w:rPr>
        <w:t> </w:t>
      </w:r>
      <w:r w:rsidR="00BC0DDA" w:rsidRPr="00BC0DDA">
        <w:rPr>
          <w:noProof/>
        </w:rPr>
        <w:t>bad</w:t>
      </w:r>
      <w:r w:rsidRPr="00BC0DDA">
        <w:rPr>
          <w:noProof/>
        </w:rPr>
        <w:t>ań naukowych oraz innowacji</w:t>
      </w:r>
      <w:r w:rsidR="00BC0DDA" w:rsidRPr="00BC0DDA">
        <w:rPr>
          <w:noProof/>
        </w:rPr>
        <w:t xml:space="preserve"> w</w:t>
      </w:r>
      <w:r w:rsidR="00BC0DDA">
        <w:rPr>
          <w:noProof/>
        </w:rPr>
        <w:t> </w:t>
      </w:r>
      <w:r w:rsidR="00BC0DDA" w:rsidRPr="00BC0DDA">
        <w:rPr>
          <w:noProof/>
        </w:rPr>
        <w:t>zak</w:t>
      </w:r>
      <w:r w:rsidRPr="00BC0DDA">
        <w:rPr>
          <w:noProof/>
        </w:rPr>
        <w:t>resie sztucznej inteligencji oraz społecznością użytkowników sztucznej inteligencji,</w:t>
      </w:r>
      <w:r w:rsidR="00BC0DDA" w:rsidRPr="00BC0DDA">
        <w:rPr>
          <w:noProof/>
        </w:rPr>
        <w:t xml:space="preserve"> a</w:t>
      </w:r>
      <w:r w:rsidR="00BC0DDA">
        <w:rPr>
          <w:noProof/>
        </w:rPr>
        <w:t> </w:t>
      </w:r>
      <w:r w:rsidR="00BC0DDA" w:rsidRPr="00BC0DDA">
        <w:rPr>
          <w:noProof/>
        </w:rPr>
        <w:t>tak</w:t>
      </w:r>
      <w:r w:rsidRPr="00BC0DDA">
        <w:rPr>
          <w:noProof/>
        </w:rPr>
        <w:t>że zapewniania wspierającej scentralizowanej lub rozproszonej usługi obliczeń superkomputerowych ukierunkowanej na sztuczną inteligencję;</w:t>
      </w:r>
    </w:p>
    <w:p w14:paraId="7D010A5C" w14:textId="136B3CE0" w:rsidR="00C444A5" w:rsidRPr="00BC0DDA" w:rsidRDefault="00C444A5" w:rsidP="00D627E2">
      <w:pPr>
        <w:pStyle w:val="Point1"/>
        <w:tabs>
          <w:tab w:val="left" w:pos="1843"/>
        </w:tabs>
        <w:spacing w:before="0"/>
        <w:ind w:left="1843" w:hanging="425"/>
        <w:rPr>
          <w:noProof/>
        </w:rPr>
      </w:pPr>
      <w:r w:rsidRPr="00BC0DDA">
        <w:rPr>
          <w:noProof/>
        </w:rPr>
        <w:t>(iii)</w:t>
      </w:r>
      <w:r w:rsidRPr="00BC0DDA">
        <w:rPr>
          <w:noProof/>
        </w:rPr>
        <w:tab/>
        <w:t>jakość</w:t>
      </w:r>
      <w:r w:rsidR="00BC0DDA" w:rsidRPr="00BC0DDA">
        <w:rPr>
          <w:noProof/>
        </w:rPr>
        <w:t xml:space="preserve"> i</w:t>
      </w:r>
      <w:r w:rsidR="00BC0DDA">
        <w:rPr>
          <w:noProof/>
        </w:rPr>
        <w:t> </w:t>
      </w:r>
      <w:r w:rsidR="00BC0DDA" w:rsidRPr="00BC0DDA">
        <w:rPr>
          <w:noProof/>
        </w:rPr>
        <w:t>zna</w:t>
      </w:r>
      <w:r w:rsidRPr="00BC0DDA">
        <w:rPr>
          <w:noProof/>
        </w:rPr>
        <w:t>czenie doświadczenia</w:t>
      </w:r>
      <w:r w:rsidR="00BC0DDA" w:rsidRPr="00BC0DDA">
        <w:rPr>
          <w:noProof/>
        </w:rPr>
        <w:t xml:space="preserve"> i</w:t>
      </w:r>
      <w:r w:rsidR="00BC0DDA">
        <w:rPr>
          <w:noProof/>
        </w:rPr>
        <w:t> </w:t>
      </w:r>
      <w:r w:rsidR="00BC0DDA" w:rsidRPr="00BC0DDA">
        <w:rPr>
          <w:noProof/>
        </w:rPr>
        <w:t>wie</w:t>
      </w:r>
      <w:r w:rsidRPr="00BC0DDA">
        <w:rPr>
          <w:noProof/>
        </w:rPr>
        <w:t>dzy fachowej dostępnych</w:t>
      </w:r>
      <w:r w:rsidR="00BC0DDA" w:rsidRPr="00BC0DDA">
        <w:rPr>
          <w:noProof/>
        </w:rPr>
        <w:t xml:space="preserve"> w</w:t>
      </w:r>
      <w:r w:rsidR="00BC0DDA">
        <w:rPr>
          <w:noProof/>
        </w:rPr>
        <w:t> </w:t>
      </w:r>
      <w:r w:rsidR="00BC0DDA" w:rsidRPr="00BC0DDA">
        <w:rPr>
          <w:noProof/>
        </w:rPr>
        <w:t>pla</w:t>
      </w:r>
      <w:r w:rsidRPr="00BC0DDA">
        <w:rPr>
          <w:noProof/>
        </w:rPr>
        <w:t>nowanym zespole, który byłby odpowiedzialny za wspierające środowisko usług superkomputerowych ukierunkowanych na sztuczną inteligencję;</w:t>
      </w:r>
    </w:p>
    <w:p w14:paraId="2BF76256" w14:textId="3555984F" w:rsidR="004F1554" w:rsidRPr="00BC0DDA" w:rsidRDefault="00C444A5" w:rsidP="00D627E2">
      <w:pPr>
        <w:pStyle w:val="Point1"/>
        <w:tabs>
          <w:tab w:val="left" w:pos="1843"/>
        </w:tabs>
        <w:spacing w:before="0"/>
        <w:ind w:left="1843" w:hanging="425"/>
        <w:rPr>
          <w:noProof/>
        </w:rPr>
      </w:pPr>
      <w:r w:rsidRPr="00BC0DDA">
        <w:rPr>
          <w:noProof/>
        </w:rPr>
        <w:t>(iv) plany interakcji</w:t>
      </w:r>
      <w:r w:rsidR="00BC0DDA" w:rsidRPr="00BC0DDA">
        <w:rPr>
          <w:noProof/>
        </w:rPr>
        <w:t xml:space="preserve"> i</w:t>
      </w:r>
      <w:r w:rsidR="00BC0DDA">
        <w:rPr>
          <w:noProof/>
        </w:rPr>
        <w:t> </w:t>
      </w:r>
      <w:r w:rsidR="00BC0DDA" w:rsidRPr="00BC0DDA">
        <w:rPr>
          <w:noProof/>
        </w:rPr>
        <w:t>wsp</w:t>
      </w:r>
      <w:r w:rsidRPr="00BC0DDA">
        <w:rPr>
          <w:noProof/>
        </w:rPr>
        <w:t>ółpracy</w:t>
      </w:r>
      <w:r w:rsidR="00BC0DDA" w:rsidRPr="00BC0DDA">
        <w:rPr>
          <w:noProof/>
        </w:rPr>
        <w:t xml:space="preserve"> z</w:t>
      </w:r>
      <w:r w:rsidR="00BC0DDA">
        <w:rPr>
          <w:noProof/>
        </w:rPr>
        <w:t> </w:t>
      </w:r>
      <w:r w:rsidR="00BC0DDA" w:rsidRPr="00BC0DDA">
        <w:rPr>
          <w:noProof/>
        </w:rPr>
        <w:t>inn</w:t>
      </w:r>
      <w:r w:rsidRPr="00BC0DDA">
        <w:rPr>
          <w:noProof/>
        </w:rPr>
        <w:t>ymi fabrykami sztucznej inteligencji, centrami kompetencji EuroHPC</w:t>
      </w:r>
      <w:r w:rsidR="00BC0DDA" w:rsidRPr="00BC0DDA">
        <w:rPr>
          <w:noProof/>
        </w:rPr>
        <w:t xml:space="preserve"> i</w:t>
      </w:r>
      <w:r w:rsidR="00BC0DDA">
        <w:rPr>
          <w:noProof/>
        </w:rPr>
        <w:t> </w:t>
      </w:r>
      <w:r w:rsidR="00BC0DDA" w:rsidRPr="00BC0DDA">
        <w:rPr>
          <w:noProof/>
        </w:rPr>
        <w:t>cen</w:t>
      </w:r>
      <w:r w:rsidRPr="00BC0DDA">
        <w:rPr>
          <w:noProof/>
        </w:rPr>
        <w:t>trami doskonałości EuroHPC oraz</w:t>
      </w:r>
      <w:r w:rsidR="00BC0DDA" w:rsidRPr="00BC0DDA">
        <w:rPr>
          <w:noProof/>
        </w:rPr>
        <w:t xml:space="preserve"> z</w:t>
      </w:r>
      <w:r w:rsidR="00BC0DDA">
        <w:rPr>
          <w:noProof/>
        </w:rPr>
        <w:t> </w:t>
      </w:r>
      <w:r w:rsidR="00BC0DDA" w:rsidRPr="00BC0DDA">
        <w:rPr>
          <w:noProof/>
        </w:rPr>
        <w:t>odp</w:t>
      </w:r>
      <w:r w:rsidRPr="00BC0DDA">
        <w:rPr>
          <w:noProof/>
        </w:rPr>
        <w:t>owiednimi działaniami</w:t>
      </w:r>
      <w:r w:rsidR="00BC0DDA" w:rsidRPr="00BC0DDA">
        <w:rPr>
          <w:noProof/>
        </w:rPr>
        <w:t xml:space="preserve"> w</w:t>
      </w:r>
      <w:r w:rsidR="00BC0DDA">
        <w:rPr>
          <w:noProof/>
        </w:rPr>
        <w:t> </w:t>
      </w:r>
      <w:r w:rsidR="00BC0DDA" w:rsidRPr="00BC0DDA">
        <w:rPr>
          <w:noProof/>
        </w:rPr>
        <w:t>zak</w:t>
      </w:r>
      <w:r w:rsidRPr="00BC0DDA">
        <w:rPr>
          <w:noProof/>
        </w:rPr>
        <w:t>resie sztucznej inteligencji, takimi jak centra przedsiębiorstw typu start-up zajmujących się sztuczną inteligencją, ekosystemy sztucznej inteligencji</w:t>
      </w:r>
      <w:r w:rsidR="00BC0DDA" w:rsidRPr="00BC0DDA">
        <w:rPr>
          <w:noProof/>
        </w:rPr>
        <w:t xml:space="preserve"> i</w:t>
      </w:r>
      <w:r w:rsidR="00BC0DDA">
        <w:rPr>
          <w:noProof/>
        </w:rPr>
        <w:t> </w:t>
      </w:r>
      <w:r w:rsidR="00BC0DDA" w:rsidRPr="00BC0DDA">
        <w:rPr>
          <w:noProof/>
        </w:rPr>
        <w:t>dan</w:t>
      </w:r>
      <w:r w:rsidRPr="00BC0DDA">
        <w:rPr>
          <w:noProof/>
        </w:rPr>
        <w:t>ych, ośrodki testowo-doświadczalne</w:t>
      </w:r>
      <w:r w:rsidR="00BC0DDA" w:rsidRPr="00BC0DDA">
        <w:rPr>
          <w:noProof/>
        </w:rPr>
        <w:t xml:space="preserve"> w</w:t>
      </w:r>
      <w:r w:rsidR="00BC0DDA">
        <w:rPr>
          <w:noProof/>
        </w:rPr>
        <w:t> </w:t>
      </w:r>
      <w:r w:rsidR="00BC0DDA" w:rsidRPr="00BC0DDA">
        <w:rPr>
          <w:noProof/>
        </w:rPr>
        <w:t>dzi</w:t>
      </w:r>
      <w:r w:rsidRPr="00BC0DDA">
        <w:rPr>
          <w:noProof/>
        </w:rPr>
        <w:t>edzinie AI, europejska centralna platforma sztucznej inteligencji, centra innowacji cyfrowych ukierunkowanych na sztuczną inteligencję</w:t>
      </w:r>
      <w:r w:rsidR="00BC0DDA" w:rsidRPr="00BC0DDA">
        <w:rPr>
          <w:noProof/>
        </w:rPr>
        <w:t xml:space="preserve"> i</w:t>
      </w:r>
      <w:r w:rsidR="00BC0DDA">
        <w:rPr>
          <w:noProof/>
        </w:rPr>
        <w:t> </w:t>
      </w:r>
      <w:r w:rsidR="00BC0DDA" w:rsidRPr="00BC0DDA">
        <w:rPr>
          <w:noProof/>
        </w:rPr>
        <w:t>inn</w:t>
      </w:r>
      <w:r w:rsidRPr="00BC0DDA">
        <w:rPr>
          <w:noProof/>
        </w:rPr>
        <w:t>e powiązane inicjatywy;</w:t>
      </w:r>
    </w:p>
    <w:p w14:paraId="4C843AE8" w14:textId="5903EA0D" w:rsidR="004E5105" w:rsidRPr="00BC0DDA" w:rsidRDefault="004F1554" w:rsidP="00D627E2">
      <w:pPr>
        <w:pStyle w:val="Point1"/>
        <w:tabs>
          <w:tab w:val="left" w:pos="1843"/>
        </w:tabs>
        <w:spacing w:before="0"/>
        <w:ind w:left="1843" w:hanging="425"/>
        <w:rPr>
          <w:noProof/>
        </w:rPr>
      </w:pPr>
      <w:r w:rsidRPr="00BC0DDA">
        <w:rPr>
          <w:noProof/>
        </w:rPr>
        <w:t>(v) istniejące zdolności</w:t>
      </w:r>
      <w:r w:rsidR="00BC0DDA" w:rsidRPr="00BC0DDA">
        <w:rPr>
          <w:noProof/>
        </w:rPr>
        <w:t xml:space="preserve"> i</w:t>
      </w:r>
      <w:r w:rsidR="00BC0DDA">
        <w:rPr>
          <w:noProof/>
        </w:rPr>
        <w:t> </w:t>
      </w:r>
      <w:r w:rsidR="00BC0DDA" w:rsidRPr="00BC0DDA">
        <w:rPr>
          <w:noProof/>
        </w:rPr>
        <w:t>prz</w:t>
      </w:r>
      <w:r w:rsidRPr="00BC0DDA">
        <w:rPr>
          <w:noProof/>
        </w:rPr>
        <w:t>yszłe plany jednostki przyjmującej</w:t>
      </w:r>
      <w:r w:rsidR="00BC0DDA" w:rsidRPr="00BC0DDA">
        <w:rPr>
          <w:noProof/>
        </w:rPr>
        <w:t xml:space="preserve"> w</w:t>
      </w:r>
      <w:r w:rsidR="00BC0DDA">
        <w:rPr>
          <w:noProof/>
        </w:rPr>
        <w:t> </w:t>
      </w:r>
      <w:r w:rsidR="00BC0DDA" w:rsidRPr="00BC0DDA">
        <w:rPr>
          <w:noProof/>
        </w:rPr>
        <w:t>cel</w:t>
      </w:r>
      <w:r w:rsidRPr="00BC0DDA">
        <w:rPr>
          <w:noProof/>
        </w:rPr>
        <w:t>u przyczynienia się do rozwoju puli talentów.”;</w:t>
      </w:r>
    </w:p>
    <w:p w14:paraId="4653865F" w14:textId="37C91C75" w:rsidR="00F954CF" w:rsidRPr="00BC0DDA" w:rsidRDefault="00F954CF" w:rsidP="00D627E2">
      <w:pPr>
        <w:pStyle w:val="Point0"/>
        <w:ind w:hanging="708"/>
        <w:rPr>
          <w:noProof/>
        </w:rPr>
      </w:pPr>
      <w:r w:rsidRPr="00BC0DDA">
        <w:rPr>
          <w:noProof/>
        </w:rPr>
        <w:t>5)</w:t>
      </w:r>
      <w:r w:rsidRPr="00BC0DDA">
        <w:rPr>
          <w:noProof/>
        </w:rPr>
        <w:tab/>
        <w:t>w art.</w:t>
      </w:r>
      <w:r w:rsidR="00BC0DDA" w:rsidRPr="00BC0DDA">
        <w:rPr>
          <w:noProof/>
        </w:rPr>
        <w:t> </w:t>
      </w:r>
      <w:r w:rsidRPr="00BC0DDA">
        <w:rPr>
          <w:noProof/>
        </w:rPr>
        <w:t>9 dodaje się ust.</w:t>
      </w:r>
      <w:r w:rsidR="00BC0DDA" w:rsidRPr="00BC0DDA">
        <w:rPr>
          <w:noProof/>
        </w:rPr>
        <w:t> </w:t>
      </w:r>
      <w:r w:rsidRPr="00BC0DDA">
        <w:rPr>
          <w:noProof/>
        </w:rPr>
        <w:t>6a</w:t>
      </w:r>
      <w:r w:rsidR="00BC0DDA" w:rsidRPr="00BC0DDA">
        <w:rPr>
          <w:noProof/>
        </w:rPr>
        <w:t xml:space="preserve"> w</w:t>
      </w:r>
      <w:r w:rsidR="00BC0DDA">
        <w:rPr>
          <w:noProof/>
        </w:rPr>
        <w:t> </w:t>
      </w:r>
      <w:r w:rsidR="00BC0DDA" w:rsidRPr="00BC0DDA">
        <w:rPr>
          <w:noProof/>
        </w:rPr>
        <w:t>brz</w:t>
      </w:r>
      <w:r w:rsidRPr="00BC0DDA">
        <w:rPr>
          <w:noProof/>
        </w:rPr>
        <w:t>mieniu:</w:t>
      </w:r>
    </w:p>
    <w:p w14:paraId="3F0EC635" w14:textId="69D3DC13" w:rsidR="00F954CF" w:rsidRPr="00BC0DDA" w:rsidRDefault="00F954CF" w:rsidP="00D627E2">
      <w:pPr>
        <w:pStyle w:val="Point2"/>
        <w:ind w:left="1276" w:hanging="425"/>
        <w:rPr>
          <w:i/>
          <w:iCs/>
          <w:noProof/>
        </w:rPr>
      </w:pPr>
      <w:r w:rsidRPr="00BC0DDA">
        <w:rPr>
          <w:noProof/>
        </w:rPr>
        <w:t>„6a</w:t>
      </w:r>
      <w:r w:rsidR="00BC0DDA" w:rsidRPr="00BC0DDA">
        <w:rPr>
          <w:noProof/>
        </w:rPr>
        <w:t>. W</w:t>
      </w:r>
      <w:r w:rsidR="00BC0DDA">
        <w:rPr>
          <w:noProof/>
        </w:rPr>
        <w:t> </w:t>
      </w:r>
      <w:r w:rsidR="00BC0DDA" w:rsidRPr="00BC0DDA">
        <w:rPr>
          <w:noProof/>
        </w:rPr>
        <w:t>prz</w:t>
      </w:r>
      <w:r w:rsidRPr="00BC0DDA">
        <w:rPr>
          <w:noProof/>
        </w:rPr>
        <w:t>ypadku superkomputerów przeznaczonych na potrzeby sztucznej inteligencji,</w:t>
      </w:r>
      <w:r w:rsidR="00BC0DDA" w:rsidRPr="00BC0DDA">
        <w:rPr>
          <w:noProof/>
        </w:rPr>
        <w:t xml:space="preserve"> o</w:t>
      </w:r>
      <w:r w:rsidR="00BC0DDA">
        <w:rPr>
          <w:noProof/>
        </w:rPr>
        <w:t> </w:t>
      </w:r>
      <w:r w:rsidR="00BC0DDA" w:rsidRPr="00BC0DDA">
        <w:rPr>
          <w:noProof/>
        </w:rPr>
        <w:t>któ</w:t>
      </w:r>
      <w:r w:rsidRPr="00BC0DDA">
        <w:rPr>
          <w:noProof/>
        </w:rPr>
        <w:t>rych mowa</w:t>
      </w:r>
      <w:r w:rsidR="00BC0DDA" w:rsidRPr="00BC0DDA">
        <w:rPr>
          <w:noProof/>
        </w:rPr>
        <w:t xml:space="preserve"> w</w:t>
      </w:r>
      <w:r w:rsidR="00BC0DDA">
        <w:rPr>
          <w:noProof/>
        </w:rPr>
        <w:t> </w:t>
      </w:r>
      <w:r w:rsidR="00BC0DDA" w:rsidRPr="00BC0DDA">
        <w:rPr>
          <w:noProof/>
        </w:rPr>
        <w:t>art</w:t>
      </w:r>
      <w:r w:rsidRPr="00BC0DDA">
        <w:rPr>
          <w:noProof/>
        </w:rPr>
        <w:t>.</w:t>
      </w:r>
      <w:r w:rsidR="00BC0DDA" w:rsidRPr="00BC0DDA">
        <w:rPr>
          <w:noProof/>
        </w:rPr>
        <w:t> </w:t>
      </w:r>
      <w:r w:rsidRPr="00BC0DDA">
        <w:rPr>
          <w:noProof/>
        </w:rPr>
        <w:t>12a, jednostka przyjmująca tworzy punkt kompleksowej obsługi dla przedsiębiorstw typu start-up</w:t>
      </w:r>
      <w:r w:rsidR="00BC0DDA" w:rsidRPr="00BC0DDA">
        <w:rPr>
          <w:noProof/>
        </w:rPr>
        <w:t xml:space="preserve"> i</w:t>
      </w:r>
      <w:r w:rsidR="00BC0DDA">
        <w:rPr>
          <w:noProof/>
        </w:rPr>
        <w:t> </w:t>
      </w:r>
      <w:r w:rsidR="00BC0DDA" w:rsidRPr="00BC0DDA">
        <w:rPr>
          <w:noProof/>
        </w:rPr>
        <w:t>inn</w:t>
      </w:r>
      <w:r w:rsidRPr="00BC0DDA">
        <w:rPr>
          <w:noProof/>
        </w:rPr>
        <w:t>ych użytkowników</w:t>
      </w:r>
      <w:r w:rsidR="00BC0DDA" w:rsidRPr="00BC0DDA">
        <w:rPr>
          <w:noProof/>
        </w:rPr>
        <w:t xml:space="preserve"> w</w:t>
      </w:r>
      <w:r w:rsidR="00BC0DDA">
        <w:rPr>
          <w:noProof/>
        </w:rPr>
        <w:t> </w:t>
      </w:r>
      <w:r w:rsidR="00BC0DDA" w:rsidRPr="00BC0DDA">
        <w:rPr>
          <w:noProof/>
        </w:rPr>
        <w:t>cel</w:t>
      </w:r>
      <w:r w:rsidRPr="00BC0DDA">
        <w:rPr>
          <w:noProof/>
        </w:rPr>
        <w:t>u ułatwiania dostępu do swoich usług wsparcia.”;</w:t>
      </w:r>
    </w:p>
    <w:p w14:paraId="0846E67A" w14:textId="53E3D38E" w:rsidR="00C444A5" w:rsidRPr="00BC0DDA" w:rsidRDefault="003F77B9" w:rsidP="00D627E2">
      <w:pPr>
        <w:pStyle w:val="Point0"/>
        <w:rPr>
          <w:noProof/>
        </w:rPr>
      </w:pPr>
      <w:r w:rsidRPr="00BC0DDA">
        <w:rPr>
          <w:noProof/>
        </w:rPr>
        <w:t>6)</w:t>
      </w:r>
      <w:r w:rsidRPr="00BC0DDA">
        <w:rPr>
          <w:noProof/>
        </w:rPr>
        <w:tab/>
        <w:t>art. 10 ust. 2 lit. l) otrzymuje brzmienie:</w:t>
      </w:r>
    </w:p>
    <w:p w14:paraId="23048AC6" w14:textId="43EC108F" w:rsidR="00096489" w:rsidRPr="00BC0DDA" w:rsidRDefault="00C444A5" w:rsidP="00D627E2">
      <w:pPr>
        <w:pStyle w:val="Point2"/>
        <w:ind w:left="1276" w:hanging="425"/>
        <w:rPr>
          <w:i/>
          <w:iCs/>
          <w:noProof/>
        </w:rPr>
      </w:pPr>
      <w:r w:rsidRPr="00BC0DDA">
        <w:rPr>
          <w:noProof/>
        </w:rPr>
        <w:t>„l) specjalne warunki mające zastosowanie</w:t>
      </w:r>
      <w:r w:rsidR="00BC0DDA" w:rsidRPr="00BC0DDA">
        <w:rPr>
          <w:noProof/>
        </w:rPr>
        <w:t xml:space="preserve"> w</w:t>
      </w:r>
      <w:r w:rsidR="00BC0DDA">
        <w:rPr>
          <w:noProof/>
        </w:rPr>
        <w:t> </w:t>
      </w:r>
      <w:r w:rsidR="00BC0DDA" w:rsidRPr="00BC0DDA">
        <w:rPr>
          <w:noProof/>
        </w:rPr>
        <w:t>prz</w:t>
      </w:r>
      <w:r w:rsidRPr="00BC0DDA">
        <w:rPr>
          <w:noProof/>
        </w:rPr>
        <w:t xml:space="preserve">ypadku, gdy jednostka przyjmująca eksploatuje superkomputer EuroHPC do celów przemysłowych </w:t>
      </w:r>
      <w:r w:rsidRPr="00BC0DDA">
        <w:rPr>
          <w:i/>
          <w:noProof/>
        </w:rPr>
        <w:t>lub superkomputer przeznaczony na potrzeby sztucznej inteligencji.</w:t>
      </w:r>
      <w:r w:rsidRPr="00BC0DDA">
        <w:rPr>
          <w:noProof/>
        </w:rPr>
        <w:t>”;</w:t>
      </w:r>
    </w:p>
    <w:p w14:paraId="12E7BAA1" w14:textId="37983611" w:rsidR="00556F7F" w:rsidRPr="00BC0DDA" w:rsidRDefault="001715DD" w:rsidP="00D627E2">
      <w:pPr>
        <w:pStyle w:val="Point0"/>
        <w:rPr>
          <w:noProof/>
        </w:rPr>
      </w:pPr>
      <w:r w:rsidRPr="00BC0DDA">
        <w:rPr>
          <w:noProof/>
        </w:rPr>
        <w:t>7)</w:t>
      </w:r>
      <w:r w:rsidRPr="00BC0DDA">
        <w:rPr>
          <w:noProof/>
        </w:rPr>
        <w:tab/>
        <w:t>dodaje się art.</w:t>
      </w:r>
      <w:r w:rsidR="00BC0DDA" w:rsidRPr="00BC0DDA">
        <w:rPr>
          <w:noProof/>
        </w:rPr>
        <w:t> </w:t>
      </w:r>
      <w:r w:rsidRPr="00BC0DDA">
        <w:rPr>
          <w:noProof/>
        </w:rPr>
        <w:t>12a</w:t>
      </w:r>
      <w:r w:rsidR="00BC0DDA" w:rsidRPr="00BC0DDA">
        <w:rPr>
          <w:noProof/>
        </w:rPr>
        <w:t xml:space="preserve"> w</w:t>
      </w:r>
      <w:r w:rsidR="00BC0DDA">
        <w:rPr>
          <w:noProof/>
        </w:rPr>
        <w:t> </w:t>
      </w:r>
      <w:r w:rsidR="00BC0DDA" w:rsidRPr="00BC0DDA">
        <w:rPr>
          <w:noProof/>
        </w:rPr>
        <w:t>brz</w:t>
      </w:r>
      <w:r w:rsidRPr="00BC0DDA">
        <w:rPr>
          <w:noProof/>
        </w:rPr>
        <w:t>mieniu:</w:t>
      </w:r>
    </w:p>
    <w:p w14:paraId="5EEF5F38" w14:textId="6464097A" w:rsidR="00096489" w:rsidRPr="00BC0DDA" w:rsidRDefault="00096489" w:rsidP="00D627E2">
      <w:pPr>
        <w:pStyle w:val="Point2"/>
        <w:ind w:left="720" w:firstLine="0"/>
        <w:rPr>
          <w:noProof/>
        </w:rPr>
      </w:pPr>
      <w:r w:rsidRPr="00BC0DDA">
        <w:rPr>
          <w:noProof/>
        </w:rPr>
        <w:t>„</w:t>
      </w:r>
      <w:r w:rsidRPr="00BC0DDA">
        <w:rPr>
          <w:i/>
          <w:noProof/>
        </w:rPr>
        <w:t>Artykuł 12a</w:t>
      </w:r>
    </w:p>
    <w:p w14:paraId="2024E069" w14:textId="1F50FA6A" w:rsidR="00096489" w:rsidRPr="00BC0DDA" w:rsidRDefault="00096489" w:rsidP="00D627E2">
      <w:pPr>
        <w:pStyle w:val="Point2"/>
        <w:ind w:left="720" w:firstLine="0"/>
        <w:rPr>
          <w:noProof/>
        </w:rPr>
      </w:pPr>
      <w:r w:rsidRPr="00BC0DDA">
        <w:rPr>
          <w:noProof/>
        </w:rPr>
        <w:t>Nabycie</w:t>
      </w:r>
      <w:r w:rsidR="00BC0DDA" w:rsidRPr="00BC0DDA">
        <w:rPr>
          <w:noProof/>
        </w:rPr>
        <w:t xml:space="preserve"> i</w:t>
      </w:r>
      <w:r w:rsidR="00BC0DDA">
        <w:rPr>
          <w:noProof/>
        </w:rPr>
        <w:t> </w:t>
      </w:r>
      <w:r w:rsidR="00BC0DDA" w:rsidRPr="00BC0DDA">
        <w:rPr>
          <w:noProof/>
        </w:rPr>
        <w:t>wła</w:t>
      </w:r>
      <w:r w:rsidRPr="00BC0DDA">
        <w:rPr>
          <w:noProof/>
        </w:rPr>
        <w:t>sność superkomputerów przeznaczonych na potrzeby sztucznej inteligencji</w:t>
      </w:r>
    </w:p>
    <w:p w14:paraId="41C1EBDE" w14:textId="2D43C65B" w:rsidR="00096489" w:rsidRPr="00BC0DDA" w:rsidRDefault="00096489" w:rsidP="00D627E2">
      <w:pPr>
        <w:pStyle w:val="ManualNumPar1"/>
        <w:rPr>
          <w:noProof/>
        </w:rPr>
      </w:pPr>
      <w:r w:rsidRPr="00BC0DDA">
        <w:rPr>
          <w:noProof/>
        </w:rPr>
        <w:t>1.</w:t>
      </w:r>
      <w:r w:rsidRPr="00BC0DDA">
        <w:rPr>
          <w:noProof/>
        </w:rPr>
        <w:tab/>
        <w:t>Wspólne Przedsięwzięcie nabywa superkomputery przeznaczone na potrzeby sztucznej inteligencji</w:t>
      </w:r>
      <w:r w:rsidR="00BC0DDA" w:rsidRPr="00BC0DDA">
        <w:rPr>
          <w:noProof/>
        </w:rPr>
        <w:t xml:space="preserve"> i</w:t>
      </w:r>
      <w:r w:rsidR="00BC0DDA">
        <w:rPr>
          <w:noProof/>
        </w:rPr>
        <w:t> </w:t>
      </w:r>
      <w:r w:rsidR="00BC0DDA" w:rsidRPr="00BC0DDA">
        <w:rPr>
          <w:noProof/>
        </w:rPr>
        <w:t>jes</w:t>
      </w:r>
      <w:r w:rsidRPr="00BC0DDA">
        <w:rPr>
          <w:noProof/>
        </w:rPr>
        <w:t>t ich właścicielem.</w:t>
      </w:r>
    </w:p>
    <w:p w14:paraId="478287AD" w14:textId="4566430B" w:rsidR="00096489" w:rsidRPr="00BC0DDA" w:rsidRDefault="00096489" w:rsidP="00D627E2">
      <w:pPr>
        <w:pStyle w:val="ManualNumPar1"/>
        <w:rPr>
          <w:noProof/>
        </w:rPr>
      </w:pPr>
      <w:r w:rsidRPr="00BC0DDA">
        <w:rPr>
          <w:noProof/>
        </w:rPr>
        <w:t>2.</w:t>
      </w:r>
      <w:r w:rsidRPr="00BC0DDA">
        <w:rPr>
          <w:noProof/>
        </w:rPr>
        <w:tab/>
        <w:t>Wkład finansowy Unii,</w:t>
      </w:r>
      <w:r w:rsidR="00BC0DDA" w:rsidRPr="00BC0DDA">
        <w:rPr>
          <w:noProof/>
        </w:rPr>
        <w:t xml:space="preserve"> o</w:t>
      </w:r>
      <w:r w:rsidR="00BC0DDA">
        <w:rPr>
          <w:noProof/>
        </w:rPr>
        <w:t> </w:t>
      </w:r>
      <w:r w:rsidR="00BC0DDA" w:rsidRPr="00BC0DDA">
        <w:rPr>
          <w:noProof/>
        </w:rPr>
        <w:t>któ</w:t>
      </w:r>
      <w:r w:rsidRPr="00BC0DDA">
        <w:rPr>
          <w:noProof/>
        </w:rPr>
        <w:t>rym mowa</w:t>
      </w:r>
      <w:r w:rsidR="00BC0DDA" w:rsidRPr="00BC0DDA">
        <w:rPr>
          <w:noProof/>
        </w:rPr>
        <w:t xml:space="preserve"> w</w:t>
      </w:r>
      <w:r w:rsidR="00BC0DDA">
        <w:rPr>
          <w:noProof/>
        </w:rPr>
        <w:t> </w:t>
      </w:r>
      <w:r w:rsidR="00BC0DDA" w:rsidRPr="00BC0DDA">
        <w:rPr>
          <w:noProof/>
        </w:rPr>
        <w:t>art</w:t>
      </w:r>
      <w:r w:rsidRPr="00BC0DDA">
        <w:rPr>
          <w:noProof/>
        </w:rPr>
        <w:t>. 5 ust. 1, pokrywa maksymalnie 50 % kosztów nabycia plus maksymalnie 50 % kosztów eksploatacyjnych superkomputerów przeznaczonych na potrzeby sztucznej inteligencji.</w:t>
      </w:r>
    </w:p>
    <w:p w14:paraId="759BE47E" w14:textId="4654D95C" w:rsidR="00096489" w:rsidRPr="00BC0DDA" w:rsidRDefault="00096489" w:rsidP="00D627E2">
      <w:pPr>
        <w:pStyle w:val="Text1"/>
        <w:rPr>
          <w:noProof/>
        </w:rPr>
      </w:pPr>
      <w:r w:rsidRPr="00BC0DDA">
        <w:rPr>
          <w:noProof/>
        </w:rPr>
        <w:t>Pozostała część całkowitego kosztu własności superkomputerów przeznaczonych na potrzeby sztucznej inteligencji jest pokrywana przez państwo uczestniczące,</w:t>
      </w:r>
      <w:r w:rsidR="00BC0DDA" w:rsidRPr="00BC0DDA">
        <w:rPr>
          <w:noProof/>
        </w:rPr>
        <w:t xml:space="preserve"> w</w:t>
      </w:r>
      <w:r w:rsidR="00BC0DDA">
        <w:rPr>
          <w:noProof/>
        </w:rPr>
        <w:t> </w:t>
      </w:r>
      <w:r w:rsidR="00BC0DDA" w:rsidRPr="00BC0DDA">
        <w:rPr>
          <w:noProof/>
        </w:rPr>
        <w:t>któ</w:t>
      </w:r>
      <w:r w:rsidRPr="00BC0DDA">
        <w:rPr>
          <w:noProof/>
        </w:rPr>
        <w:t>rym jednostka przyjmująca ma siedzibę, lub przez państwa uczestniczące należące do konsorcjum przyjmującego</w:t>
      </w:r>
      <w:r w:rsidR="00BC0DDA" w:rsidRPr="00BC0DDA">
        <w:rPr>
          <w:noProof/>
        </w:rPr>
        <w:t xml:space="preserve"> i</w:t>
      </w:r>
      <w:r w:rsidR="00BC0DDA">
        <w:rPr>
          <w:noProof/>
        </w:rPr>
        <w:t> </w:t>
      </w:r>
      <w:r w:rsidR="00BC0DDA" w:rsidRPr="00BC0DDA">
        <w:rPr>
          <w:noProof/>
        </w:rPr>
        <w:t>ewe</w:t>
      </w:r>
      <w:r w:rsidRPr="00BC0DDA">
        <w:rPr>
          <w:noProof/>
        </w:rPr>
        <w:t>ntualnie uzupełniana wkładami,</w:t>
      </w:r>
      <w:r w:rsidR="00BC0DDA" w:rsidRPr="00BC0DDA">
        <w:rPr>
          <w:noProof/>
        </w:rPr>
        <w:t xml:space="preserve"> o</w:t>
      </w:r>
      <w:r w:rsidR="00BC0DDA">
        <w:rPr>
          <w:noProof/>
        </w:rPr>
        <w:t> </w:t>
      </w:r>
      <w:r w:rsidR="00BC0DDA" w:rsidRPr="00BC0DDA">
        <w:rPr>
          <w:noProof/>
        </w:rPr>
        <w:t>któ</w:t>
      </w:r>
      <w:r w:rsidRPr="00BC0DDA">
        <w:rPr>
          <w:noProof/>
        </w:rPr>
        <w:t>rych mowa</w:t>
      </w:r>
      <w:r w:rsidR="00BC0DDA" w:rsidRPr="00BC0DDA">
        <w:rPr>
          <w:noProof/>
        </w:rPr>
        <w:t xml:space="preserve"> w</w:t>
      </w:r>
      <w:r w:rsidR="00BC0DDA">
        <w:rPr>
          <w:noProof/>
        </w:rPr>
        <w:t> </w:t>
      </w:r>
      <w:r w:rsidR="00BC0DDA" w:rsidRPr="00BC0DDA">
        <w:rPr>
          <w:noProof/>
        </w:rPr>
        <w:t>art</w:t>
      </w:r>
      <w:r w:rsidRPr="00BC0DDA">
        <w:rPr>
          <w:noProof/>
        </w:rPr>
        <w:t>. 6.</w:t>
      </w:r>
    </w:p>
    <w:p w14:paraId="78999E25" w14:textId="7C5B8397" w:rsidR="00096489" w:rsidRPr="00BC0DDA" w:rsidRDefault="00096489" w:rsidP="00D627E2">
      <w:pPr>
        <w:pStyle w:val="ManualNumPar1"/>
        <w:rPr>
          <w:noProof/>
        </w:rPr>
      </w:pPr>
      <w:r w:rsidRPr="00BC0DDA">
        <w:rPr>
          <w:noProof/>
        </w:rPr>
        <w:t>3.</w:t>
      </w:r>
      <w:r w:rsidRPr="00BC0DDA">
        <w:rPr>
          <w:noProof/>
        </w:rPr>
        <w:tab/>
        <w:t>Wybór dostawcy superkomputera przeznaczonego na potrzeby sztucznej inteligencji odbywa się na podstawie dostosowanych do popytu specyfikacji istotnych warunków zamówienia, uwzględnia wymagania użytkowników</w:t>
      </w:r>
      <w:r w:rsidR="00BC0DDA" w:rsidRPr="00BC0DDA">
        <w:rPr>
          <w:noProof/>
        </w:rPr>
        <w:t xml:space="preserve"> i</w:t>
      </w:r>
      <w:r w:rsidR="00BC0DDA">
        <w:rPr>
          <w:noProof/>
        </w:rPr>
        <w:t> </w:t>
      </w:r>
      <w:r w:rsidR="00BC0DDA" w:rsidRPr="00BC0DDA">
        <w:rPr>
          <w:noProof/>
        </w:rPr>
        <w:t>ogó</w:t>
      </w:r>
      <w:r w:rsidRPr="00BC0DDA">
        <w:rPr>
          <w:noProof/>
        </w:rPr>
        <w:t>lne specyfikacje systemu przedstawione przez wybraną jednostkę przyjmującą we wniosku</w:t>
      </w:r>
      <w:r w:rsidR="00BC0DDA" w:rsidRPr="00BC0DDA">
        <w:rPr>
          <w:noProof/>
        </w:rPr>
        <w:t xml:space="preserve"> o</w:t>
      </w:r>
      <w:r w:rsidR="00BC0DDA">
        <w:rPr>
          <w:noProof/>
        </w:rPr>
        <w:t> </w:t>
      </w:r>
      <w:r w:rsidR="00BC0DDA" w:rsidRPr="00BC0DDA">
        <w:rPr>
          <w:noProof/>
        </w:rPr>
        <w:t>zap</w:t>
      </w:r>
      <w:r w:rsidRPr="00BC0DDA">
        <w:rPr>
          <w:noProof/>
        </w:rPr>
        <w:t>roszenie do wyrażenia zainteresowania. Przy wyborze uwzględnia się również kwestię bezpieczeństwa łańcucha dostaw.</w:t>
      </w:r>
    </w:p>
    <w:p w14:paraId="3854F2B2" w14:textId="4C8E25D1" w:rsidR="00096489" w:rsidRPr="00BC0DDA" w:rsidRDefault="00096489" w:rsidP="00D627E2">
      <w:pPr>
        <w:pStyle w:val="ManualNumPar1"/>
        <w:rPr>
          <w:noProof/>
        </w:rPr>
      </w:pPr>
      <w:r w:rsidRPr="00BC0DDA">
        <w:rPr>
          <w:noProof/>
        </w:rPr>
        <w:t>4.</w:t>
      </w:r>
      <w:r w:rsidRPr="00BC0DDA">
        <w:rPr>
          <w:noProof/>
        </w:rPr>
        <w:tab/>
        <w:t>Wspólne Przedsięwzięcie może funkcjonować jako pierwszy użytkownik superkomputerów przeznaczonych na potrzeby sztucznej inteligencji, które integrują technologie opracowane</w:t>
      </w:r>
      <w:r w:rsidR="00BC0DDA" w:rsidRPr="00BC0DDA">
        <w:rPr>
          <w:noProof/>
        </w:rPr>
        <w:t xml:space="preserve"> w</w:t>
      </w:r>
      <w:r w:rsidR="00BC0DDA">
        <w:rPr>
          <w:noProof/>
        </w:rPr>
        <w:t> </w:t>
      </w:r>
      <w:r w:rsidR="00BC0DDA" w:rsidRPr="00BC0DDA">
        <w:rPr>
          <w:noProof/>
        </w:rPr>
        <w:t>głó</w:t>
      </w:r>
      <w:r w:rsidRPr="00BC0DDA">
        <w:rPr>
          <w:noProof/>
        </w:rPr>
        <w:t>wnej mierze</w:t>
      </w:r>
      <w:r w:rsidR="00BC0DDA" w:rsidRPr="00BC0DDA">
        <w:rPr>
          <w:noProof/>
        </w:rPr>
        <w:t xml:space="preserve"> w</w:t>
      </w:r>
      <w:r w:rsidR="00BC0DDA">
        <w:rPr>
          <w:noProof/>
        </w:rPr>
        <w:t> </w:t>
      </w:r>
      <w:r w:rsidR="00BC0DDA" w:rsidRPr="00BC0DDA">
        <w:rPr>
          <w:noProof/>
        </w:rPr>
        <w:t>Uni</w:t>
      </w:r>
      <w:r w:rsidRPr="00BC0DDA">
        <w:rPr>
          <w:noProof/>
        </w:rPr>
        <w:t>i.</w:t>
      </w:r>
    </w:p>
    <w:p w14:paraId="2DEF56E1" w14:textId="21DDABA8" w:rsidR="00096489" w:rsidRPr="00BC0DDA" w:rsidRDefault="00096489" w:rsidP="00D627E2">
      <w:pPr>
        <w:pStyle w:val="ManualNumPar1"/>
        <w:rPr>
          <w:noProof/>
        </w:rPr>
      </w:pPr>
      <w:r w:rsidRPr="00BC0DDA">
        <w:rPr>
          <w:noProof/>
        </w:rPr>
        <w:t>5.</w:t>
      </w:r>
      <w:r w:rsidRPr="00BC0DDA">
        <w:rPr>
          <w:noProof/>
        </w:rPr>
        <w:tab/>
        <w:t>Rada Zarządzająca może – jeżeli jest to należycie uzasadnione względami bezpieczeństwa – określić</w:t>
      </w:r>
      <w:r w:rsidR="00BC0DDA" w:rsidRPr="00BC0DDA">
        <w:rPr>
          <w:noProof/>
        </w:rPr>
        <w:t xml:space="preserve"> w</w:t>
      </w:r>
      <w:r w:rsidR="00BC0DDA">
        <w:rPr>
          <w:noProof/>
        </w:rPr>
        <w:t> </w:t>
      </w:r>
      <w:r w:rsidR="00BC0DDA" w:rsidRPr="00BC0DDA">
        <w:rPr>
          <w:noProof/>
        </w:rPr>
        <w:t>pro</w:t>
      </w:r>
      <w:r w:rsidRPr="00BC0DDA">
        <w:rPr>
          <w:noProof/>
        </w:rPr>
        <w:t>gramie prac warunki udziału dostawców</w:t>
      </w:r>
      <w:r w:rsidR="00BC0DDA" w:rsidRPr="00BC0DDA">
        <w:rPr>
          <w:noProof/>
        </w:rPr>
        <w:t xml:space="preserve"> w</w:t>
      </w:r>
      <w:r w:rsidR="00BC0DDA">
        <w:rPr>
          <w:noProof/>
        </w:rPr>
        <w:t> </w:t>
      </w:r>
      <w:r w:rsidR="00BC0DDA" w:rsidRPr="00BC0DDA">
        <w:rPr>
          <w:noProof/>
        </w:rPr>
        <w:t>nab</w:t>
      </w:r>
      <w:r w:rsidRPr="00BC0DDA">
        <w:rPr>
          <w:noProof/>
        </w:rPr>
        <w:t>ywaniu superkomputerów przeznaczonych na potrzeby sztucznej inteligencji zgodnie</w:t>
      </w:r>
      <w:r w:rsidR="00BC0DDA" w:rsidRPr="00BC0DDA">
        <w:rPr>
          <w:noProof/>
        </w:rPr>
        <w:t xml:space="preserve"> z</w:t>
      </w:r>
      <w:r w:rsidR="00BC0DDA">
        <w:rPr>
          <w:noProof/>
        </w:rPr>
        <w:t> </w:t>
      </w:r>
      <w:r w:rsidR="00BC0DDA" w:rsidRPr="00BC0DDA">
        <w:rPr>
          <w:noProof/>
        </w:rPr>
        <w:t>art</w:t>
      </w:r>
      <w:r w:rsidRPr="00BC0DDA">
        <w:rPr>
          <w:noProof/>
        </w:rPr>
        <w:t>. 12 ust. 6 rozporządzenia (UE) 2021/694 lub postanowić</w:t>
      </w:r>
      <w:r w:rsidR="00BC0DDA" w:rsidRPr="00BC0DDA">
        <w:rPr>
          <w:noProof/>
        </w:rPr>
        <w:t xml:space="preserve"> o</w:t>
      </w:r>
      <w:r w:rsidR="00BC0DDA">
        <w:rPr>
          <w:noProof/>
        </w:rPr>
        <w:t> </w:t>
      </w:r>
      <w:r w:rsidR="00BC0DDA" w:rsidRPr="00BC0DDA">
        <w:rPr>
          <w:noProof/>
        </w:rPr>
        <w:t>ogr</w:t>
      </w:r>
      <w:r w:rsidRPr="00BC0DDA">
        <w:rPr>
          <w:noProof/>
        </w:rPr>
        <w:t>aniczeniu udziału dostawców ze względów bezpieczeństwa lub</w:t>
      </w:r>
      <w:r w:rsidR="00BC0DDA" w:rsidRPr="00BC0DDA">
        <w:rPr>
          <w:noProof/>
        </w:rPr>
        <w:t xml:space="preserve"> z</w:t>
      </w:r>
      <w:r w:rsidR="00BC0DDA">
        <w:rPr>
          <w:noProof/>
        </w:rPr>
        <w:t> </w:t>
      </w:r>
      <w:r w:rsidR="00BC0DDA" w:rsidRPr="00BC0DDA">
        <w:rPr>
          <w:noProof/>
        </w:rPr>
        <w:t>uwa</w:t>
      </w:r>
      <w:r w:rsidRPr="00BC0DDA">
        <w:rPr>
          <w:noProof/>
        </w:rPr>
        <w:t>gi na działania bezpośrednio związane ze strategiczną autonomią UE, zgodnie</w:t>
      </w:r>
      <w:r w:rsidR="00BC0DDA" w:rsidRPr="00BC0DDA">
        <w:rPr>
          <w:noProof/>
        </w:rPr>
        <w:t xml:space="preserve"> z</w:t>
      </w:r>
      <w:r w:rsidR="00BC0DDA">
        <w:rPr>
          <w:noProof/>
        </w:rPr>
        <w:t> </w:t>
      </w:r>
      <w:r w:rsidR="00BC0DDA" w:rsidRPr="00BC0DDA">
        <w:rPr>
          <w:noProof/>
        </w:rPr>
        <w:t>art</w:t>
      </w:r>
      <w:r w:rsidRPr="00BC0DDA">
        <w:rPr>
          <w:noProof/>
        </w:rPr>
        <w:t>. 18 ust. 4 tego rozporządzenia.</w:t>
      </w:r>
    </w:p>
    <w:p w14:paraId="51E4C2C4" w14:textId="056F9638" w:rsidR="00096489" w:rsidRPr="00BC0DDA" w:rsidRDefault="00096489" w:rsidP="00D627E2">
      <w:pPr>
        <w:pStyle w:val="ManualNumPar1"/>
        <w:rPr>
          <w:noProof/>
        </w:rPr>
      </w:pPr>
      <w:r w:rsidRPr="00BC0DDA">
        <w:rPr>
          <w:noProof/>
        </w:rPr>
        <w:t>6.</w:t>
      </w:r>
      <w:r w:rsidRPr="00BC0DDA">
        <w:rPr>
          <w:noProof/>
        </w:rPr>
        <w:tab/>
        <w:t>Superkomputery przeznaczone na potrzeby sztucznej inteligencji znajdują się</w:t>
      </w:r>
      <w:r w:rsidR="00BC0DDA" w:rsidRPr="00BC0DDA">
        <w:rPr>
          <w:noProof/>
        </w:rPr>
        <w:t xml:space="preserve"> w</w:t>
      </w:r>
      <w:r w:rsidR="00BC0DDA">
        <w:rPr>
          <w:noProof/>
        </w:rPr>
        <w:t> </w:t>
      </w:r>
      <w:r w:rsidR="00BC0DDA" w:rsidRPr="00BC0DDA">
        <w:rPr>
          <w:noProof/>
        </w:rPr>
        <w:t>jed</w:t>
      </w:r>
      <w:r w:rsidRPr="00BC0DDA">
        <w:rPr>
          <w:noProof/>
        </w:rPr>
        <w:t xml:space="preserve">nostce przyjmującej superkomputer EuroHPC zlokalizowanej na terenie Unii. </w:t>
      </w:r>
    </w:p>
    <w:p w14:paraId="5010A88D" w14:textId="6EBB2937" w:rsidR="00C71116" w:rsidRPr="00BC0DDA" w:rsidRDefault="00C71116" w:rsidP="00D627E2">
      <w:pPr>
        <w:pStyle w:val="ManualNumPar1"/>
        <w:rPr>
          <w:noProof/>
        </w:rPr>
      </w:pPr>
      <w:r w:rsidRPr="00BC0DDA">
        <w:rPr>
          <w:noProof/>
        </w:rPr>
        <w:t>7.</w:t>
      </w:r>
      <w:r w:rsidRPr="00BC0DDA">
        <w:rPr>
          <w:noProof/>
        </w:rPr>
        <w:tab/>
        <w:t>Bez uszczerbku dla likwidacji Wspólnego Przedsięwzięcia,</w:t>
      </w:r>
      <w:r w:rsidR="00BC0DDA" w:rsidRPr="00BC0DDA">
        <w:rPr>
          <w:noProof/>
        </w:rPr>
        <w:t xml:space="preserve"> o</w:t>
      </w:r>
      <w:r w:rsidR="00BC0DDA">
        <w:rPr>
          <w:noProof/>
        </w:rPr>
        <w:t> </w:t>
      </w:r>
      <w:r w:rsidR="00BC0DDA" w:rsidRPr="00BC0DDA">
        <w:rPr>
          <w:noProof/>
        </w:rPr>
        <w:t>któ</w:t>
      </w:r>
      <w:r w:rsidRPr="00BC0DDA">
        <w:rPr>
          <w:noProof/>
        </w:rPr>
        <w:t>rej mowa</w:t>
      </w:r>
      <w:r w:rsidR="00BC0DDA" w:rsidRPr="00BC0DDA">
        <w:rPr>
          <w:noProof/>
        </w:rPr>
        <w:t xml:space="preserve"> w</w:t>
      </w:r>
      <w:r w:rsidR="00BC0DDA">
        <w:rPr>
          <w:noProof/>
        </w:rPr>
        <w:t> </w:t>
      </w:r>
      <w:r w:rsidR="00BC0DDA" w:rsidRPr="00BC0DDA">
        <w:rPr>
          <w:noProof/>
        </w:rPr>
        <w:t>art</w:t>
      </w:r>
      <w:r w:rsidRPr="00BC0DDA">
        <w:rPr>
          <w:noProof/>
        </w:rPr>
        <w:t>. 23 ust. 4 statutu, najwcześniej po upływie czterech lat od zakończenia przez Wspólne Przedsięwzięcie</w:t>
      </w:r>
      <w:r w:rsidR="00BC0DDA" w:rsidRPr="00BC0DDA">
        <w:rPr>
          <w:noProof/>
        </w:rPr>
        <w:t xml:space="preserve"> z</w:t>
      </w:r>
      <w:r w:rsidR="00BC0DDA">
        <w:rPr>
          <w:noProof/>
        </w:rPr>
        <w:t> </w:t>
      </w:r>
      <w:r w:rsidR="00BC0DDA" w:rsidRPr="00BC0DDA">
        <w:rPr>
          <w:noProof/>
        </w:rPr>
        <w:t>pom</w:t>
      </w:r>
      <w:r w:rsidRPr="00BC0DDA">
        <w:rPr>
          <w:noProof/>
        </w:rPr>
        <w:t>yślnym wynikiem testu odbiorczego superkomputera przeznaczonego na potrzeby sztucznej inteligencji zainstalowanego</w:t>
      </w:r>
      <w:r w:rsidR="00BC0DDA" w:rsidRPr="00BC0DDA">
        <w:rPr>
          <w:noProof/>
        </w:rPr>
        <w:t xml:space="preserve"> w</w:t>
      </w:r>
      <w:r w:rsidR="00BC0DDA">
        <w:rPr>
          <w:noProof/>
        </w:rPr>
        <w:t> </w:t>
      </w:r>
      <w:r w:rsidR="00BC0DDA" w:rsidRPr="00BC0DDA">
        <w:rPr>
          <w:noProof/>
        </w:rPr>
        <w:t>jed</w:t>
      </w:r>
      <w:r w:rsidRPr="00BC0DDA">
        <w:rPr>
          <w:noProof/>
        </w:rPr>
        <w:t>nostce przyjmującej, własność superkomputera przeznaczonego na potrzeby sztucznej inteligencji może decyzją Rady Zarządzającej</w:t>
      </w:r>
      <w:r w:rsidR="00BC0DDA" w:rsidRPr="00BC0DDA">
        <w:rPr>
          <w:noProof/>
        </w:rPr>
        <w:t xml:space="preserve"> i</w:t>
      </w:r>
      <w:r w:rsidR="00BC0DDA">
        <w:rPr>
          <w:noProof/>
        </w:rPr>
        <w:t> </w:t>
      </w:r>
      <w:r w:rsidR="00BC0DDA" w:rsidRPr="00BC0DDA">
        <w:rPr>
          <w:noProof/>
        </w:rPr>
        <w:t>zgo</w:t>
      </w:r>
      <w:r w:rsidRPr="00BC0DDA">
        <w:rPr>
          <w:noProof/>
        </w:rPr>
        <w:t>dnie</w:t>
      </w:r>
      <w:r w:rsidR="00BC0DDA" w:rsidRPr="00BC0DDA">
        <w:rPr>
          <w:noProof/>
        </w:rPr>
        <w:t xml:space="preserve"> z</w:t>
      </w:r>
      <w:r w:rsidR="00BC0DDA">
        <w:rPr>
          <w:noProof/>
        </w:rPr>
        <w:t> </w:t>
      </w:r>
      <w:r w:rsidR="00BC0DDA" w:rsidRPr="00BC0DDA">
        <w:rPr>
          <w:noProof/>
        </w:rPr>
        <w:t>umo</w:t>
      </w:r>
      <w:r w:rsidRPr="00BC0DDA">
        <w:rPr>
          <w:noProof/>
        </w:rPr>
        <w:t>wą</w:t>
      </w:r>
      <w:r w:rsidR="00BC0DDA" w:rsidRPr="00BC0DDA">
        <w:rPr>
          <w:noProof/>
        </w:rPr>
        <w:t xml:space="preserve"> o</w:t>
      </w:r>
      <w:r w:rsidR="00BC0DDA">
        <w:rPr>
          <w:noProof/>
        </w:rPr>
        <w:t> </w:t>
      </w:r>
      <w:r w:rsidR="00BC0DDA" w:rsidRPr="00BC0DDA">
        <w:rPr>
          <w:noProof/>
        </w:rPr>
        <w:t>prz</w:t>
      </w:r>
      <w:r w:rsidRPr="00BC0DDA">
        <w:rPr>
          <w:noProof/>
        </w:rPr>
        <w:t>yjęcie zostać przeniesiona na tę jednostkę przyjmującą lub superkomputer może zostać sprzedany innej jednostce bądź wycofany</w:t>
      </w:r>
      <w:r w:rsidR="00BC0DDA" w:rsidRPr="00BC0DDA">
        <w:rPr>
          <w:noProof/>
        </w:rPr>
        <w:t xml:space="preserve"> z</w:t>
      </w:r>
      <w:r w:rsidR="00BC0DDA">
        <w:rPr>
          <w:noProof/>
        </w:rPr>
        <w:t> </w:t>
      </w:r>
      <w:r w:rsidR="00BC0DDA" w:rsidRPr="00BC0DDA">
        <w:rPr>
          <w:noProof/>
        </w:rPr>
        <w:t>eks</w:t>
      </w:r>
      <w:r w:rsidRPr="00BC0DDA">
        <w:rPr>
          <w:noProof/>
        </w:rPr>
        <w:t>ploatacji</w:t>
      </w:r>
      <w:r w:rsidR="00BC0DDA" w:rsidRPr="00BC0DDA">
        <w:rPr>
          <w:noProof/>
        </w:rPr>
        <w:t>. W</w:t>
      </w:r>
      <w:r w:rsidR="00BC0DDA">
        <w:rPr>
          <w:noProof/>
        </w:rPr>
        <w:t> </w:t>
      </w:r>
      <w:r w:rsidR="00BC0DDA" w:rsidRPr="00BC0DDA">
        <w:rPr>
          <w:noProof/>
        </w:rPr>
        <w:t>prz</w:t>
      </w:r>
      <w:r w:rsidRPr="00BC0DDA">
        <w:rPr>
          <w:noProof/>
        </w:rPr>
        <w:t>ypadku przeniesienia własności superkomputera przeznaczonego na potrzeby sztucznej inteligencji jednostka przyjmująca zwraca Wspólnemu Przedsięwzięciu kwotę odpowiadającą wartości końcowej superkomputera, którego własność podlega przeniesieniu. Jeśli nie dokonuje się przeniesienia własności na jednostkę przyjmującą, ale podjęto decyzję</w:t>
      </w:r>
      <w:r w:rsidR="00BC0DDA" w:rsidRPr="00BC0DDA">
        <w:rPr>
          <w:noProof/>
        </w:rPr>
        <w:t xml:space="preserve"> o</w:t>
      </w:r>
      <w:r w:rsidR="00BC0DDA">
        <w:rPr>
          <w:noProof/>
        </w:rPr>
        <w:t> </w:t>
      </w:r>
      <w:r w:rsidR="00BC0DDA" w:rsidRPr="00BC0DDA">
        <w:rPr>
          <w:noProof/>
        </w:rPr>
        <w:t>wyc</w:t>
      </w:r>
      <w:r w:rsidRPr="00BC0DDA">
        <w:rPr>
          <w:noProof/>
        </w:rPr>
        <w:t>ofaniu</w:t>
      </w:r>
      <w:r w:rsidR="00BC0DDA" w:rsidRPr="00BC0DDA">
        <w:rPr>
          <w:noProof/>
        </w:rPr>
        <w:t xml:space="preserve"> z</w:t>
      </w:r>
      <w:r w:rsidR="00BC0DDA">
        <w:rPr>
          <w:noProof/>
        </w:rPr>
        <w:t> </w:t>
      </w:r>
      <w:r w:rsidR="00BC0DDA" w:rsidRPr="00BC0DDA">
        <w:rPr>
          <w:noProof/>
        </w:rPr>
        <w:t>eks</w:t>
      </w:r>
      <w:r w:rsidRPr="00BC0DDA">
        <w:rPr>
          <w:noProof/>
        </w:rPr>
        <w:t>ploatacji, stosowne koszty są dzielone równo między Wspólne Przedsięwzięcie</w:t>
      </w:r>
      <w:r w:rsidR="00BC0DDA" w:rsidRPr="00BC0DDA">
        <w:rPr>
          <w:noProof/>
        </w:rPr>
        <w:t xml:space="preserve"> a</w:t>
      </w:r>
      <w:r w:rsidR="00BC0DDA">
        <w:rPr>
          <w:noProof/>
        </w:rPr>
        <w:t> </w:t>
      </w:r>
      <w:r w:rsidR="00BC0DDA" w:rsidRPr="00BC0DDA">
        <w:rPr>
          <w:noProof/>
        </w:rPr>
        <w:t>jed</w:t>
      </w:r>
      <w:r w:rsidRPr="00BC0DDA">
        <w:rPr>
          <w:noProof/>
        </w:rPr>
        <w:t>nostkę przyjmującą. Wspólne Przedsięwzięcie nie ponosi odpowiedzialności za żadne koszty powstałe po przeniesieniu własności superkomputera przeznaczonego na potrzeby sztucznej inteligencji lub po jego sprzedaży lub wycofaniu</w:t>
      </w:r>
      <w:r w:rsidR="00BC0DDA" w:rsidRPr="00BC0DDA">
        <w:rPr>
          <w:noProof/>
        </w:rPr>
        <w:t xml:space="preserve"> z</w:t>
      </w:r>
      <w:r w:rsidR="00BC0DDA">
        <w:rPr>
          <w:noProof/>
        </w:rPr>
        <w:t> </w:t>
      </w:r>
      <w:r w:rsidR="00BC0DDA" w:rsidRPr="00BC0DDA">
        <w:rPr>
          <w:noProof/>
        </w:rPr>
        <w:t>eks</w:t>
      </w:r>
      <w:r w:rsidRPr="00BC0DDA">
        <w:rPr>
          <w:noProof/>
        </w:rPr>
        <w:t>ploatacji.”;</w:t>
      </w:r>
    </w:p>
    <w:p w14:paraId="04D356D2" w14:textId="46670B1E" w:rsidR="007F692C" w:rsidRPr="00BC0DDA" w:rsidRDefault="00AD02C7" w:rsidP="00D627E2">
      <w:pPr>
        <w:pStyle w:val="Point0"/>
        <w:rPr>
          <w:noProof/>
        </w:rPr>
      </w:pPr>
      <w:r w:rsidRPr="00BC0DDA">
        <w:rPr>
          <w:noProof/>
        </w:rPr>
        <w:t>8)</w:t>
      </w:r>
      <w:r w:rsidRPr="00BC0DDA">
        <w:rPr>
          <w:noProof/>
        </w:rPr>
        <w:tab/>
        <w:t>w art.</w:t>
      </w:r>
      <w:r w:rsidR="00BC0DDA" w:rsidRPr="00BC0DDA">
        <w:rPr>
          <w:noProof/>
        </w:rPr>
        <w:t> </w:t>
      </w:r>
      <w:r w:rsidRPr="00BC0DDA">
        <w:rPr>
          <w:noProof/>
        </w:rPr>
        <w:t>15 wprowadza się następujące zmiany:</w:t>
      </w:r>
    </w:p>
    <w:p w14:paraId="3AB6766E" w14:textId="12955EF2" w:rsidR="00397C5C" w:rsidRPr="00BC0DDA" w:rsidRDefault="00170C40" w:rsidP="00D627E2">
      <w:pPr>
        <w:pStyle w:val="Point0"/>
        <w:rPr>
          <w:noProof/>
        </w:rPr>
      </w:pPr>
      <w:r w:rsidRPr="00BC0DDA">
        <w:rPr>
          <w:noProof/>
        </w:rPr>
        <w:t>a)</w:t>
      </w:r>
      <w:r w:rsidRPr="00BC0DDA">
        <w:rPr>
          <w:noProof/>
        </w:rPr>
        <w:tab/>
        <w:t>ust.</w:t>
      </w:r>
      <w:r w:rsidR="00BC0DDA" w:rsidRPr="00BC0DDA">
        <w:rPr>
          <w:noProof/>
        </w:rPr>
        <w:t> </w:t>
      </w:r>
      <w:r w:rsidRPr="00BC0DDA">
        <w:rPr>
          <w:noProof/>
        </w:rPr>
        <w:t>1 otrzymuje brzmienie:</w:t>
      </w:r>
    </w:p>
    <w:p w14:paraId="24DB334A" w14:textId="54047EDE" w:rsidR="00AD02C7" w:rsidRPr="00BC0DDA" w:rsidRDefault="005B2CBB" w:rsidP="00D627E2">
      <w:pPr>
        <w:pStyle w:val="Text1"/>
        <w:ind w:left="720"/>
        <w:rPr>
          <w:noProof/>
        </w:rPr>
      </w:pPr>
      <w:r w:rsidRPr="00BC0DDA">
        <w:rPr>
          <w:noProof/>
        </w:rPr>
        <w:t>„1. Wspólne Przedsięwzięcie może ogłosić zaproszenie do wyrażenia zainteresowania</w:t>
      </w:r>
      <w:r w:rsidR="00BC0DDA" w:rsidRPr="00BC0DDA">
        <w:rPr>
          <w:noProof/>
        </w:rPr>
        <w:t xml:space="preserve"> w</w:t>
      </w:r>
      <w:r w:rsidR="00BC0DDA">
        <w:rPr>
          <w:noProof/>
        </w:rPr>
        <w:t> </w:t>
      </w:r>
      <w:r w:rsidR="00BC0DDA" w:rsidRPr="00BC0DDA">
        <w:rPr>
          <w:noProof/>
        </w:rPr>
        <w:t>cel</w:t>
      </w:r>
      <w:r w:rsidRPr="00BC0DDA">
        <w:rPr>
          <w:noProof/>
        </w:rPr>
        <w:t>u modernizacji superkomputerów EuroHPC, których jest właścicielem lub współwłaścicielem,</w:t>
      </w:r>
      <w:r w:rsidR="00BC0DDA" w:rsidRPr="00BC0DDA">
        <w:rPr>
          <w:noProof/>
        </w:rPr>
        <w:t xml:space="preserve"> </w:t>
      </w:r>
      <w:r w:rsidR="00BC0DDA" w:rsidRPr="00BC0DDA">
        <w:rPr>
          <w:i/>
          <w:noProof/>
        </w:rPr>
        <w:t>w</w:t>
      </w:r>
      <w:r w:rsidR="00BC0DDA">
        <w:rPr>
          <w:noProof/>
        </w:rPr>
        <w:t> </w:t>
      </w:r>
      <w:r w:rsidR="00BC0DDA" w:rsidRPr="00BC0DDA">
        <w:rPr>
          <w:i/>
          <w:noProof/>
        </w:rPr>
        <w:t>cel</w:t>
      </w:r>
      <w:r w:rsidRPr="00BC0DDA">
        <w:rPr>
          <w:i/>
          <w:noProof/>
        </w:rPr>
        <w:t>u podniesienia poziomu osiągów superkomputera blisko poziomu eksaskalowego lub zwiększenia zdolności superkomputera</w:t>
      </w:r>
      <w:r w:rsidR="00BC0DDA" w:rsidRPr="00BC0DDA">
        <w:rPr>
          <w:i/>
          <w:noProof/>
        </w:rPr>
        <w:t xml:space="preserve"> w</w:t>
      </w:r>
      <w:r w:rsidR="00BC0DDA">
        <w:rPr>
          <w:i/>
          <w:noProof/>
        </w:rPr>
        <w:t> </w:t>
      </w:r>
      <w:r w:rsidR="00BC0DDA" w:rsidRPr="00BC0DDA">
        <w:rPr>
          <w:i/>
          <w:noProof/>
        </w:rPr>
        <w:t>zak</w:t>
      </w:r>
      <w:r w:rsidRPr="00BC0DDA">
        <w:rPr>
          <w:i/>
          <w:noProof/>
        </w:rPr>
        <w:t>resie sztucznej inteligencji, lub</w:t>
      </w:r>
      <w:r w:rsidR="00BC0DDA" w:rsidRPr="00BC0DDA">
        <w:rPr>
          <w:i/>
          <w:noProof/>
        </w:rPr>
        <w:t xml:space="preserve"> w</w:t>
      </w:r>
      <w:r w:rsidR="00BC0DDA">
        <w:rPr>
          <w:i/>
          <w:noProof/>
        </w:rPr>
        <w:t> </w:t>
      </w:r>
      <w:r w:rsidR="00BC0DDA" w:rsidRPr="00BC0DDA">
        <w:rPr>
          <w:i/>
          <w:noProof/>
        </w:rPr>
        <w:t>cel</w:t>
      </w:r>
      <w:r w:rsidRPr="00BC0DDA">
        <w:rPr>
          <w:i/>
          <w:noProof/>
        </w:rPr>
        <w:t>u zwiększenia wydajności operacyjnej superkomputera</w:t>
      </w:r>
      <w:r w:rsidR="00BC0DDA" w:rsidRPr="00BC0DDA">
        <w:rPr>
          <w:i/>
          <w:noProof/>
        </w:rPr>
        <w:t xml:space="preserve"> w</w:t>
      </w:r>
      <w:r w:rsidR="00BC0DDA">
        <w:rPr>
          <w:i/>
          <w:noProof/>
        </w:rPr>
        <w:t> </w:t>
      </w:r>
      <w:r w:rsidR="00BC0DDA" w:rsidRPr="00BC0DDA">
        <w:rPr>
          <w:i/>
          <w:noProof/>
        </w:rPr>
        <w:t>jak</w:t>
      </w:r>
      <w:r w:rsidRPr="00BC0DDA">
        <w:rPr>
          <w:i/>
          <w:noProof/>
        </w:rPr>
        <w:t>ikolwiek inny sposób,</w:t>
      </w:r>
      <w:r w:rsidR="00BC0DDA" w:rsidRPr="00BC0DDA">
        <w:rPr>
          <w:i/>
          <w:noProof/>
        </w:rPr>
        <w:t xml:space="preserve"> w</w:t>
      </w:r>
      <w:r w:rsidR="00BC0DDA">
        <w:rPr>
          <w:i/>
          <w:noProof/>
        </w:rPr>
        <w:t> </w:t>
      </w:r>
      <w:r w:rsidR="00BC0DDA" w:rsidRPr="00BC0DDA">
        <w:rPr>
          <w:i/>
          <w:noProof/>
        </w:rPr>
        <w:t>tym</w:t>
      </w:r>
      <w:r w:rsidRPr="00BC0DDA">
        <w:rPr>
          <w:i/>
          <w:noProof/>
        </w:rPr>
        <w:t xml:space="preserve"> za pomocą akceleratorów kwantowych.</w:t>
      </w:r>
      <w:r w:rsidRPr="00BC0DDA">
        <w:rPr>
          <w:noProof/>
        </w:rPr>
        <w:t>”; uchyla się ust.</w:t>
      </w:r>
      <w:r w:rsidR="00BC0DDA" w:rsidRPr="00BC0DDA">
        <w:rPr>
          <w:noProof/>
        </w:rPr>
        <w:t> </w:t>
      </w:r>
      <w:r w:rsidRPr="00BC0DDA">
        <w:rPr>
          <w:noProof/>
        </w:rPr>
        <w:t>2;</w:t>
      </w:r>
    </w:p>
    <w:p w14:paraId="084B5EB3" w14:textId="238B13E7" w:rsidR="00A00E7A" w:rsidRPr="00BC0DDA" w:rsidRDefault="00AD02C7" w:rsidP="00D627E2">
      <w:pPr>
        <w:pStyle w:val="Point0"/>
        <w:rPr>
          <w:noProof/>
        </w:rPr>
      </w:pPr>
      <w:r w:rsidRPr="00BC0DDA">
        <w:rPr>
          <w:noProof/>
        </w:rPr>
        <w:t>b)</w:t>
      </w:r>
      <w:r w:rsidRPr="00BC0DDA">
        <w:rPr>
          <w:noProof/>
        </w:rPr>
        <w:tab/>
        <w:t xml:space="preserve"> ust.</w:t>
      </w:r>
      <w:r w:rsidR="00BC0DDA" w:rsidRPr="00BC0DDA">
        <w:rPr>
          <w:noProof/>
        </w:rPr>
        <w:t> </w:t>
      </w:r>
      <w:r w:rsidRPr="00BC0DDA">
        <w:rPr>
          <w:noProof/>
        </w:rPr>
        <w:t>5 otrzymuje brzmienie:</w:t>
      </w:r>
    </w:p>
    <w:p w14:paraId="4E7CB113" w14:textId="53161B83" w:rsidR="00392FBD" w:rsidRPr="00BC0DDA" w:rsidRDefault="00FB0F8D" w:rsidP="00D627E2">
      <w:pPr>
        <w:pStyle w:val="Text1"/>
        <w:ind w:left="720"/>
        <w:rPr>
          <w:noProof/>
        </w:rPr>
      </w:pPr>
      <w:r w:rsidRPr="00BC0DDA">
        <w:rPr>
          <w:noProof/>
        </w:rPr>
        <w:t>„5. Udział procentowy wkładu finansowego Unii</w:t>
      </w:r>
      <w:r w:rsidR="00BC0DDA" w:rsidRPr="00BC0DDA">
        <w:rPr>
          <w:noProof/>
        </w:rPr>
        <w:t xml:space="preserve"> w</w:t>
      </w:r>
      <w:r w:rsidR="00BC0DDA">
        <w:rPr>
          <w:noProof/>
        </w:rPr>
        <w:t> </w:t>
      </w:r>
      <w:r w:rsidR="00BC0DDA" w:rsidRPr="00BC0DDA">
        <w:rPr>
          <w:noProof/>
        </w:rPr>
        <w:t>kos</w:t>
      </w:r>
      <w:r w:rsidRPr="00BC0DDA">
        <w:rPr>
          <w:noProof/>
        </w:rPr>
        <w:t>zty nabycia modernizacji musi być taki sam jak udział procentowy wkładu finansowego Unii na rzecz pierwotnego superkomputera EuroHPC, amortyzowany</w:t>
      </w:r>
      <w:r w:rsidR="00BC0DDA" w:rsidRPr="00BC0DDA">
        <w:rPr>
          <w:noProof/>
        </w:rPr>
        <w:t xml:space="preserve"> w</w:t>
      </w:r>
      <w:r w:rsidR="00BC0DDA">
        <w:rPr>
          <w:noProof/>
        </w:rPr>
        <w:t> </w:t>
      </w:r>
      <w:r w:rsidR="00BC0DDA" w:rsidRPr="00BC0DDA">
        <w:rPr>
          <w:noProof/>
        </w:rPr>
        <w:t>ocz</w:t>
      </w:r>
      <w:r w:rsidRPr="00BC0DDA">
        <w:rPr>
          <w:noProof/>
        </w:rPr>
        <w:t>ekiwanym pozostałym okresie eksploatacji pierwotnego superkomputera. Udział procentowy wkładu finansowego Unii</w:t>
      </w:r>
      <w:r w:rsidR="00BC0DDA" w:rsidRPr="00BC0DDA">
        <w:rPr>
          <w:noProof/>
        </w:rPr>
        <w:t xml:space="preserve"> w</w:t>
      </w:r>
      <w:r w:rsidR="00BC0DDA">
        <w:rPr>
          <w:noProof/>
        </w:rPr>
        <w:t> </w:t>
      </w:r>
      <w:r w:rsidR="00BC0DDA" w:rsidRPr="00BC0DDA">
        <w:rPr>
          <w:noProof/>
        </w:rPr>
        <w:t>dod</w:t>
      </w:r>
      <w:r w:rsidRPr="00BC0DDA">
        <w:rPr>
          <w:noProof/>
        </w:rPr>
        <w:t>atkowe koszty operacyjne związane</w:t>
      </w:r>
      <w:r w:rsidR="00BC0DDA" w:rsidRPr="00BC0DDA">
        <w:rPr>
          <w:noProof/>
        </w:rPr>
        <w:t xml:space="preserve"> z</w:t>
      </w:r>
      <w:r w:rsidR="00BC0DDA">
        <w:rPr>
          <w:noProof/>
        </w:rPr>
        <w:t> </w:t>
      </w:r>
      <w:r w:rsidR="00BC0DDA" w:rsidRPr="00BC0DDA">
        <w:rPr>
          <w:noProof/>
        </w:rPr>
        <w:t>mod</w:t>
      </w:r>
      <w:r w:rsidRPr="00BC0DDA">
        <w:rPr>
          <w:noProof/>
        </w:rPr>
        <w:t>ernizacją musi być taki sam jak udział procentowy wkładu finansowego Unii na rzecz pierwotnego superkomputera EuroHPC.”;</w:t>
      </w:r>
    </w:p>
    <w:p w14:paraId="0119767E" w14:textId="44E9FC96" w:rsidR="00BB6894" w:rsidRPr="00BC0DDA" w:rsidRDefault="00BB6894" w:rsidP="00D627E2">
      <w:pPr>
        <w:pStyle w:val="Point0"/>
        <w:rPr>
          <w:noProof/>
        </w:rPr>
      </w:pPr>
      <w:r w:rsidRPr="00BC0DDA">
        <w:rPr>
          <w:noProof/>
        </w:rPr>
        <w:t>9)</w:t>
      </w:r>
      <w:r w:rsidRPr="00BC0DDA">
        <w:rPr>
          <w:noProof/>
        </w:rPr>
        <w:tab/>
        <w:t>w art.</w:t>
      </w:r>
      <w:r w:rsidR="00BC0DDA" w:rsidRPr="00BC0DDA">
        <w:rPr>
          <w:noProof/>
        </w:rPr>
        <w:t> </w:t>
      </w:r>
      <w:r w:rsidRPr="00BC0DDA">
        <w:rPr>
          <w:noProof/>
        </w:rPr>
        <w:t>16 wprowadza się następujące zmiany:</w:t>
      </w:r>
    </w:p>
    <w:p w14:paraId="48E37E7D" w14:textId="7D2E0F30" w:rsidR="00392FBD" w:rsidRPr="00BC0DDA" w:rsidRDefault="00392FBD" w:rsidP="00D627E2">
      <w:pPr>
        <w:pStyle w:val="Point0"/>
        <w:rPr>
          <w:noProof/>
        </w:rPr>
      </w:pPr>
      <w:r w:rsidRPr="00BC0DDA">
        <w:rPr>
          <w:noProof/>
        </w:rPr>
        <w:t>a)</w:t>
      </w:r>
      <w:r w:rsidRPr="00BC0DDA">
        <w:rPr>
          <w:noProof/>
        </w:rPr>
        <w:tab/>
        <w:t>dodaje się ust.</w:t>
      </w:r>
      <w:r w:rsidR="00BC0DDA" w:rsidRPr="00BC0DDA">
        <w:rPr>
          <w:noProof/>
        </w:rPr>
        <w:t> </w:t>
      </w:r>
      <w:r w:rsidRPr="00BC0DDA">
        <w:rPr>
          <w:noProof/>
        </w:rPr>
        <w:t>1b</w:t>
      </w:r>
      <w:r w:rsidR="00BC0DDA" w:rsidRPr="00BC0DDA">
        <w:rPr>
          <w:noProof/>
        </w:rPr>
        <w:t xml:space="preserve"> w</w:t>
      </w:r>
      <w:r w:rsidR="00BC0DDA">
        <w:rPr>
          <w:noProof/>
        </w:rPr>
        <w:t> </w:t>
      </w:r>
      <w:r w:rsidR="00BC0DDA" w:rsidRPr="00BC0DDA">
        <w:rPr>
          <w:noProof/>
        </w:rPr>
        <w:t>brz</w:t>
      </w:r>
      <w:r w:rsidRPr="00BC0DDA">
        <w:rPr>
          <w:noProof/>
        </w:rPr>
        <w:t>mieniu:</w:t>
      </w:r>
    </w:p>
    <w:p w14:paraId="5A785C86" w14:textId="41067D19" w:rsidR="00096489" w:rsidRPr="00BC0DDA" w:rsidRDefault="00096489" w:rsidP="00D627E2">
      <w:pPr>
        <w:pStyle w:val="Text1"/>
        <w:ind w:left="720"/>
        <w:rPr>
          <w:i/>
          <w:iCs/>
          <w:noProof/>
        </w:rPr>
      </w:pPr>
      <w:r w:rsidRPr="00BC0DDA">
        <w:rPr>
          <w:noProof/>
        </w:rPr>
        <w:t>„1b. Superkomputery przeznaczone na potrzeby sztucznej inteligencji</w:t>
      </w:r>
      <w:r w:rsidR="00BC0DDA" w:rsidRPr="00BC0DDA">
        <w:rPr>
          <w:noProof/>
        </w:rPr>
        <w:t xml:space="preserve"> i</w:t>
      </w:r>
      <w:r w:rsidR="00BC0DDA">
        <w:rPr>
          <w:noProof/>
        </w:rPr>
        <w:t> </w:t>
      </w:r>
      <w:r w:rsidR="00BC0DDA" w:rsidRPr="00BC0DDA">
        <w:rPr>
          <w:noProof/>
        </w:rPr>
        <w:t>sup</w:t>
      </w:r>
      <w:r w:rsidRPr="00BC0DDA">
        <w:rPr>
          <w:noProof/>
        </w:rPr>
        <w:t>erkomputery EuroHPC zmodernizowane na potrzeby zdolności</w:t>
      </w:r>
      <w:r w:rsidR="00BC0DDA" w:rsidRPr="00BC0DDA">
        <w:rPr>
          <w:noProof/>
        </w:rPr>
        <w:t xml:space="preserve"> w</w:t>
      </w:r>
      <w:r w:rsidR="00BC0DDA">
        <w:rPr>
          <w:noProof/>
        </w:rPr>
        <w:t> </w:t>
      </w:r>
      <w:r w:rsidR="00BC0DDA" w:rsidRPr="00BC0DDA">
        <w:rPr>
          <w:noProof/>
        </w:rPr>
        <w:t>zak</w:t>
      </w:r>
      <w:r w:rsidRPr="00BC0DDA">
        <w:rPr>
          <w:noProof/>
        </w:rPr>
        <w:t>resie sztucznej inteligencji wykorzystuje się przede wszystkim do opracowywania, testowania, oceny</w:t>
      </w:r>
      <w:r w:rsidR="00BC0DDA" w:rsidRPr="00BC0DDA">
        <w:rPr>
          <w:noProof/>
        </w:rPr>
        <w:t xml:space="preserve"> i</w:t>
      </w:r>
      <w:r w:rsidR="00BC0DDA">
        <w:rPr>
          <w:noProof/>
        </w:rPr>
        <w:t> </w:t>
      </w:r>
      <w:r w:rsidR="00BC0DDA" w:rsidRPr="00BC0DDA">
        <w:rPr>
          <w:noProof/>
        </w:rPr>
        <w:t>wal</w:t>
      </w:r>
      <w:r w:rsidRPr="00BC0DDA">
        <w:rPr>
          <w:noProof/>
        </w:rPr>
        <w:t>idacji wielkoskalowych modeli trenowania sztucznej inteligencji ogólnego przeznaczenia</w:t>
      </w:r>
      <w:r w:rsidR="00BC0DDA" w:rsidRPr="00BC0DDA">
        <w:rPr>
          <w:noProof/>
        </w:rPr>
        <w:t xml:space="preserve"> i</w:t>
      </w:r>
      <w:r w:rsidR="00BC0DDA">
        <w:rPr>
          <w:noProof/>
        </w:rPr>
        <w:t> </w:t>
      </w:r>
      <w:r w:rsidR="00BC0DDA" w:rsidRPr="00BC0DDA">
        <w:rPr>
          <w:noProof/>
        </w:rPr>
        <w:t>now</w:t>
      </w:r>
      <w:r w:rsidRPr="00BC0DDA">
        <w:rPr>
          <w:noProof/>
        </w:rPr>
        <w:t>ych zastosowań sztucznej inteligencji,</w:t>
      </w:r>
      <w:r w:rsidR="00BC0DDA" w:rsidRPr="00BC0DDA">
        <w:rPr>
          <w:noProof/>
        </w:rPr>
        <w:t xml:space="preserve"> a</w:t>
      </w:r>
      <w:r w:rsidR="00BC0DDA">
        <w:rPr>
          <w:noProof/>
        </w:rPr>
        <w:t> </w:t>
      </w:r>
      <w:r w:rsidR="00BC0DDA" w:rsidRPr="00BC0DDA">
        <w:rPr>
          <w:noProof/>
        </w:rPr>
        <w:t>tak</w:t>
      </w:r>
      <w:r w:rsidRPr="00BC0DDA">
        <w:rPr>
          <w:noProof/>
        </w:rPr>
        <w:t>że do dalszego rozwoju rozwiązań</w:t>
      </w:r>
      <w:r w:rsidR="00BC0DDA" w:rsidRPr="00BC0DDA">
        <w:rPr>
          <w:noProof/>
        </w:rPr>
        <w:t xml:space="preserve"> w</w:t>
      </w:r>
      <w:r w:rsidR="00BC0DDA">
        <w:rPr>
          <w:noProof/>
        </w:rPr>
        <w:t> </w:t>
      </w:r>
      <w:r w:rsidR="00BC0DDA" w:rsidRPr="00BC0DDA">
        <w:rPr>
          <w:noProof/>
        </w:rPr>
        <w:t>zak</w:t>
      </w:r>
      <w:r w:rsidRPr="00BC0DDA">
        <w:rPr>
          <w:noProof/>
        </w:rPr>
        <w:t>resie sztucznej inteligencji</w:t>
      </w:r>
      <w:r w:rsidR="00BC0DDA" w:rsidRPr="00BC0DDA">
        <w:rPr>
          <w:noProof/>
        </w:rPr>
        <w:t xml:space="preserve"> w</w:t>
      </w:r>
      <w:r w:rsidR="00BC0DDA">
        <w:rPr>
          <w:noProof/>
        </w:rPr>
        <w:t> </w:t>
      </w:r>
      <w:r w:rsidR="00BC0DDA" w:rsidRPr="00BC0DDA">
        <w:rPr>
          <w:noProof/>
        </w:rPr>
        <w:t>Uni</w:t>
      </w:r>
      <w:r w:rsidRPr="00BC0DDA">
        <w:rPr>
          <w:noProof/>
        </w:rPr>
        <w:t>i wymagających obliczeń wielkiej skali</w:t>
      </w:r>
      <w:r w:rsidR="00BC0DDA" w:rsidRPr="00BC0DDA">
        <w:rPr>
          <w:noProof/>
        </w:rPr>
        <w:t xml:space="preserve"> i</w:t>
      </w:r>
      <w:r w:rsidR="00BC0DDA">
        <w:rPr>
          <w:noProof/>
        </w:rPr>
        <w:t> </w:t>
      </w:r>
      <w:r w:rsidR="00BC0DDA" w:rsidRPr="00BC0DDA">
        <w:rPr>
          <w:noProof/>
        </w:rPr>
        <w:t>wdr</w:t>
      </w:r>
      <w:r w:rsidRPr="00BC0DDA">
        <w:rPr>
          <w:noProof/>
        </w:rPr>
        <w:t>ażania wielkoskalowych algorytmów sztucznej inteligencji</w:t>
      </w:r>
      <w:r w:rsidR="00BC0DDA" w:rsidRPr="00BC0DDA">
        <w:rPr>
          <w:noProof/>
        </w:rPr>
        <w:t xml:space="preserve"> w</w:t>
      </w:r>
      <w:r w:rsidR="00BC0DDA">
        <w:rPr>
          <w:noProof/>
        </w:rPr>
        <w:t> </w:t>
      </w:r>
      <w:r w:rsidR="00BC0DDA" w:rsidRPr="00BC0DDA">
        <w:rPr>
          <w:noProof/>
        </w:rPr>
        <w:t>cel</w:t>
      </w:r>
      <w:r w:rsidRPr="00BC0DDA">
        <w:rPr>
          <w:noProof/>
        </w:rPr>
        <w:t>u rozwiązywania problemów naukowych.”;</w:t>
      </w:r>
    </w:p>
    <w:p w14:paraId="56826130" w14:textId="792E103D" w:rsidR="00096489" w:rsidRPr="00BC0DDA" w:rsidRDefault="00096489" w:rsidP="00D627E2">
      <w:pPr>
        <w:pStyle w:val="Point0"/>
        <w:rPr>
          <w:noProof/>
        </w:rPr>
      </w:pPr>
      <w:r w:rsidRPr="00BC0DDA">
        <w:rPr>
          <w:noProof/>
        </w:rPr>
        <w:t>b)</w:t>
      </w:r>
      <w:r w:rsidRPr="00BC0DDA">
        <w:rPr>
          <w:noProof/>
        </w:rPr>
        <w:tab/>
        <w:t>dodaje się ust.</w:t>
      </w:r>
      <w:r w:rsidR="00BC0DDA" w:rsidRPr="00BC0DDA">
        <w:rPr>
          <w:noProof/>
        </w:rPr>
        <w:t> </w:t>
      </w:r>
      <w:r w:rsidRPr="00BC0DDA">
        <w:rPr>
          <w:noProof/>
        </w:rPr>
        <w:t>2b</w:t>
      </w:r>
      <w:r w:rsidR="00BC0DDA" w:rsidRPr="00BC0DDA">
        <w:rPr>
          <w:noProof/>
        </w:rPr>
        <w:t xml:space="preserve"> w</w:t>
      </w:r>
      <w:r w:rsidR="00BC0DDA">
        <w:rPr>
          <w:noProof/>
        </w:rPr>
        <w:t> </w:t>
      </w:r>
      <w:r w:rsidR="00BC0DDA" w:rsidRPr="00BC0DDA">
        <w:rPr>
          <w:noProof/>
        </w:rPr>
        <w:t>brz</w:t>
      </w:r>
      <w:r w:rsidRPr="00BC0DDA">
        <w:rPr>
          <w:noProof/>
        </w:rPr>
        <w:t>mieniu:</w:t>
      </w:r>
    </w:p>
    <w:p w14:paraId="62D7467A" w14:textId="467A2670" w:rsidR="00A30C8C" w:rsidRPr="00BC0DDA" w:rsidRDefault="008047C6" w:rsidP="00D627E2">
      <w:pPr>
        <w:pStyle w:val="Text1"/>
        <w:ind w:left="720"/>
        <w:rPr>
          <w:noProof/>
        </w:rPr>
      </w:pPr>
      <w:r w:rsidRPr="00BC0DDA">
        <w:rPr>
          <w:noProof/>
        </w:rPr>
        <w:t>„2b. Rada Zarządzająca określa specjalne warunki dostępu do superkomputerów przeznaczonych na potrzeby sztucznej inteligencji</w:t>
      </w:r>
      <w:r w:rsidR="00BC0DDA" w:rsidRPr="00BC0DDA">
        <w:rPr>
          <w:noProof/>
        </w:rPr>
        <w:t xml:space="preserve"> i</w:t>
      </w:r>
      <w:r w:rsidR="00BC0DDA">
        <w:rPr>
          <w:noProof/>
        </w:rPr>
        <w:t> </w:t>
      </w:r>
      <w:r w:rsidR="00BC0DDA" w:rsidRPr="00BC0DDA">
        <w:rPr>
          <w:noProof/>
        </w:rPr>
        <w:t>sup</w:t>
      </w:r>
      <w:r w:rsidRPr="00BC0DDA">
        <w:rPr>
          <w:noProof/>
        </w:rPr>
        <w:t>erkomputerów EuroHPC zmodernizowanych na potrzeby zdolności</w:t>
      </w:r>
      <w:r w:rsidR="00BC0DDA" w:rsidRPr="00BC0DDA">
        <w:rPr>
          <w:noProof/>
        </w:rPr>
        <w:t xml:space="preserve"> w</w:t>
      </w:r>
      <w:r w:rsidR="00BC0DDA">
        <w:rPr>
          <w:noProof/>
        </w:rPr>
        <w:t> </w:t>
      </w:r>
      <w:r w:rsidR="00BC0DDA" w:rsidRPr="00BC0DDA">
        <w:rPr>
          <w:noProof/>
        </w:rPr>
        <w:t>zak</w:t>
      </w:r>
      <w:r w:rsidRPr="00BC0DDA">
        <w:rPr>
          <w:noProof/>
        </w:rPr>
        <w:t>resie sztucznej inteligencji zgodnie</w:t>
      </w:r>
      <w:r w:rsidR="00BC0DDA" w:rsidRPr="00BC0DDA">
        <w:rPr>
          <w:noProof/>
        </w:rPr>
        <w:t xml:space="preserve"> z</w:t>
      </w:r>
      <w:r w:rsidR="00BC0DDA">
        <w:rPr>
          <w:noProof/>
        </w:rPr>
        <w:t> </w:t>
      </w:r>
      <w:r w:rsidR="00BC0DDA" w:rsidRPr="00BC0DDA">
        <w:rPr>
          <w:noProof/>
        </w:rPr>
        <w:t>art</w:t>
      </w:r>
      <w:r w:rsidRPr="00BC0DDA">
        <w:rPr>
          <w:noProof/>
        </w:rPr>
        <w:t>.</w:t>
      </w:r>
      <w:r w:rsidR="00BC0DDA" w:rsidRPr="00BC0DDA">
        <w:rPr>
          <w:noProof/>
        </w:rPr>
        <w:t> </w:t>
      </w:r>
      <w:r w:rsidRPr="00BC0DDA">
        <w:rPr>
          <w:noProof/>
        </w:rPr>
        <w:t>17, uwzględniając szczególne potrzeby ekosystemu przedsiębiorstw typu start-up</w:t>
      </w:r>
      <w:r w:rsidR="00BC0DDA" w:rsidRPr="00BC0DDA">
        <w:rPr>
          <w:noProof/>
        </w:rPr>
        <w:t xml:space="preserve"> i</w:t>
      </w:r>
      <w:r w:rsidR="00BC0DDA">
        <w:rPr>
          <w:noProof/>
        </w:rPr>
        <w:t> </w:t>
      </w:r>
      <w:r w:rsidR="00BC0DDA" w:rsidRPr="00BC0DDA">
        <w:rPr>
          <w:noProof/>
        </w:rPr>
        <w:t>bad</w:t>
      </w:r>
      <w:r w:rsidRPr="00BC0DDA">
        <w:rPr>
          <w:noProof/>
        </w:rPr>
        <w:t>ań</w:t>
      </w:r>
      <w:r w:rsidR="00BC0DDA" w:rsidRPr="00BC0DDA">
        <w:rPr>
          <w:noProof/>
        </w:rPr>
        <w:t xml:space="preserve"> w</w:t>
      </w:r>
      <w:r w:rsidR="00BC0DDA">
        <w:rPr>
          <w:noProof/>
        </w:rPr>
        <w:t> </w:t>
      </w:r>
      <w:r w:rsidR="00BC0DDA" w:rsidRPr="00BC0DDA">
        <w:rPr>
          <w:noProof/>
        </w:rPr>
        <w:t>dzi</w:t>
      </w:r>
      <w:r w:rsidRPr="00BC0DDA">
        <w:rPr>
          <w:noProof/>
        </w:rPr>
        <w:t>edzinie sztucznej inteligencji. Obejmuje to specjalny dostęp dla przedsiębiorstw typu start-up. Jedynie wnioski dotyczące opracowania wiarygodnych</w:t>
      </w:r>
      <w:r w:rsidR="00BC0DDA" w:rsidRPr="00BC0DDA">
        <w:rPr>
          <w:noProof/>
        </w:rPr>
        <w:t xml:space="preserve"> i</w:t>
      </w:r>
      <w:r w:rsidR="00BC0DDA">
        <w:rPr>
          <w:noProof/>
        </w:rPr>
        <w:t> </w:t>
      </w:r>
      <w:r w:rsidR="00BC0DDA" w:rsidRPr="00BC0DDA">
        <w:rPr>
          <w:noProof/>
        </w:rPr>
        <w:t>ety</w:t>
      </w:r>
      <w:r w:rsidRPr="00BC0DDA">
        <w:rPr>
          <w:noProof/>
        </w:rPr>
        <w:t>cznych modeli, systemów</w:t>
      </w:r>
      <w:r w:rsidR="00BC0DDA" w:rsidRPr="00BC0DDA">
        <w:rPr>
          <w:noProof/>
        </w:rPr>
        <w:t xml:space="preserve"> i</w:t>
      </w:r>
      <w:r w:rsidR="00BC0DDA">
        <w:rPr>
          <w:noProof/>
        </w:rPr>
        <w:t> </w:t>
      </w:r>
      <w:r w:rsidR="00BC0DDA" w:rsidRPr="00BC0DDA">
        <w:rPr>
          <w:noProof/>
        </w:rPr>
        <w:t>zas</w:t>
      </w:r>
      <w:r w:rsidRPr="00BC0DDA">
        <w:rPr>
          <w:noProof/>
        </w:rPr>
        <w:t>tosowań sztucznej inteligencji, które są zgodne</w:t>
      </w:r>
      <w:r w:rsidR="00BC0DDA" w:rsidRPr="00BC0DDA">
        <w:rPr>
          <w:noProof/>
        </w:rPr>
        <w:t xml:space="preserve"> z</w:t>
      </w:r>
      <w:r w:rsidR="00BC0DDA">
        <w:rPr>
          <w:noProof/>
        </w:rPr>
        <w:t> </w:t>
      </w:r>
      <w:r w:rsidR="00BC0DDA" w:rsidRPr="00BC0DDA">
        <w:rPr>
          <w:noProof/>
        </w:rPr>
        <w:t>war</w:t>
      </w:r>
      <w:r w:rsidRPr="00BC0DDA">
        <w:rPr>
          <w:noProof/>
        </w:rPr>
        <w:t>tościami UE, kwalifikują się do dostępu.”;</w:t>
      </w:r>
    </w:p>
    <w:p w14:paraId="5A97CA3E" w14:textId="4B8069A8" w:rsidR="00096399" w:rsidRPr="00BC0DDA" w:rsidRDefault="007F692C" w:rsidP="00D627E2">
      <w:pPr>
        <w:pStyle w:val="Point0"/>
        <w:rPr>
          <w:noProof/>
        </w:rPr>
      </w:pPr>
      <w:r w:rsidRPr="00BC0DDA">
        <w:rPr>
          <w:noProof/>
        </w:rPr>
        <w:t>10)</w:t>
      </w:r>
      <w:r w:rsidRPr="00BC0DDA">
        <w:rPr>
          <w:noProof/>
        </w:rPr>
        <w:tab/>
        <w:t>art.</w:t>
      </w:r>
      <w:r w:rsidR="00BC0DDA" w:rsidRPr="00BC0DDA">
        <w:rPr>
          <w:noProof/>
        </w:rPr>
        <w:t> </w:t>
      </w:r>
      <w:r w:rsidRPr="00BC0DDA">
        <w:rPr>
          <w:noProof/>
        </w:rPr>
        <w:t>17 ust.</w:t>
      </w:r>
      <w:r w:rsidR="00BC0DDA" w:rsidRPr="00BC0DDA">
        <w:rPr>
          <w:noProof/>
        </w:rPr>
        <w:t> </w:t>
      </w:r>
      <w:r w:rsidRPr="00BC0DDA">
        <w:rPr>
          <w:noProof/>
        </w:rPr>
        <w:t>1 otrzymuje brzmienie:</w:t>
      </w:r>
    </w:p>
    <w:p w14:paraId="0C369833" w14:textId="5C5ED1B3" w:rsidR="0012683C" w:rsidRPr="00BC0DDA" w:rsidRDefault="00B54D10" w:rsidP="00D627E2">
      <w:pPr>
        <w:pStyle w:val="Text1"/>
        <w:ind w:left="720"/>
        <w:rPr>
          <w:noProof/>
        </w:rPr>
      </w:pPr>
      <w:r w:rsidRPr="00BC0DDA">
        <w:rPr>
          <w:noProof/>
        </w:rPr>
        <w:t>„1. Udział</w:t>
      </w:r>
      <w:r w:rsidR="00BC0DDA" w:rsidRPr="00BC0DDA">
        <w:rPr>
          <w:noProof/>
        </w:rPr>
        <w:t xml:space="preserve"> w</w:t>
      </w:r>
      <w:r w:rsidR="00BC0DDA">
        <w:rPr>
          <w:noProof/>
        </w:rPr>
        <w:t> </w:t>
      </w:r>
      <w:r w:rsidR="00BC0DDA" w:rsidRPr="00BC0DDA">
        <w:rPr>
          <w:noProof/>
        </w:rPr>
        <w:t>prz</w:t>
      </w:r>
      <w:r w:rsidRPr="00BC0DDA">
        <w:rPr>
          <w:noProof/>
        </w:rPr>
        <w:t>ynależnym Unii czasie dostępu do każdego superkomputera EuroHPC wysokiej klasy, kwantowego</w:t>
      </w:r>
      <w:r w:rsidR="00BC0DDA" w:rsidRPr="00BC0DDA">
        <w:rPr>
          <w:noProof/>
        </w:rPr>
        <w:t xml:space="preserve"> i</w:t>
      </w:r>
      <w:r w:rsidR="00BC0DDA">
        <w:rPr>
          <w:noProof/>
        </w:rPr>
        <w:t> </w:t>
      </w:r>
      <w:r w:rsidR="00BC0DDA" w:rsidRPr="00BC0DDA">
        <w:rPr>
          <w:i/>
          <w:noProof/>
        </w:rPr>
        <w:t>sup</w:t>
      </w:r>
      <w:r w:rsidRPr="00BC0DDA">
        <w:rPr>
          <w:i/>
          <w:noProof/>
        </w:rPr>
        <w:t>erkomputera przeznaczonego na potrzeby sztucznej inteligencji EuroHPC</w:t>
      </w:r>
      <w:r w:rsidRPr="00BC0DDA">
        <w:rPr>
          <w:noProof/>
        </w:rPr>
        <w:t xml:space="preserve"> jest wprost proporcjonalny do wkładu finansowego Unii,</w:t>
      </w:r>
      <w:r w:rsidR="00BC0DDA" w:rsidRPr="00BC0DDA">
        <w:rPr>
          <w:noProof/>
        </w:rPr>
        <w:t xml:space="preserve"> o</w:t>
      </w:r>
      <w:r w:rsidR="00BC0DDA">
        <w:rPr>
          <w:noProof/>
        </w:rPr>
        <w:t> </w:t>
      </w:r>
      <w:r w:rsidR="00BC0DDA" w:rsidRPr="00BC0DDA">
        <w:rPr>
          <w:noProof/>
        </w:rPr>
        <w:t>któ</w:t>
      </w:r>
      <w:r w:rsidRPr="00BC0DDA">
        <w:rPr>
          <w:noProof/>
        </w:rPr>
        <w:t>rym mowa</w:t>
      </w:r>
      <w:r w:rsidR="00BC0DDA" w:rsidRPr="00BC0DDA">
        <w:rPr>
          <w:noProof/>
        </w:rPr>
        <w:t xml:space="preserve"> w</w:t>
      </w:r>
      <w:r w:rsidR="00BC0DDA">
        <w:rPr>
          <w:noProof/>
        </w:rPr>
        <w:t> </w:t>
      </w:r>
      <w:r w:rsidR="00BC0DDA" w:rsidRPr="00BC0DDA">
        <w:rPr>
          <w:noProof/>
        </w:rPr>
        <w:t>art</w:t>
      </w:r>
      <w:r w:rsidRPr="00BC0DDA">
        <w:rPr>
          <w:noProof/>
        </w:rPr>
        <w:t>. 5 ust. 1,</w:t>
      </w:r>
      <w:r w:rsidR="00BC0DDA" w:rsidRPr="00BC0DDA">
        <w:rPr>
          <w:noProof/>
        </w:rPr>
        <w:t xml:space="preserve"> w</w:t>
      </w:r>
      <w:r w:rsidR="00BC0DDA">
        <w:rPr>
          <w:noProof/>
        </w:rPr>
        <w:t> </w:t>
      </w:r>
      <w:r w:rsidR="00BC0DDA" w:rsidRPr="00BC0DDA">
        <w:rPr>
          <w:noProof/>
        </w:rPr>
        <w:t>cał</w:t>
      </w:r>
      <w:r w:rsidRPr="00BC0DDA">
        <w:rPr>
          <w:noProof/>
        </w:rPr>
        <w:t>kowity koszt własności danego superkomputera EuroHPC,</w:t>
      </w:r>
      <w:r w:rsidR="00BC0DDA" w:rsidRPr="00BC0DDA">
        <w:rPr>
          <w:noProof/>
        </w:rPr>
        <w:t xml:space="preserve"> a</w:t>
      </w:r>
      <w:r w:rsidR="00BC0DDA">
        <w:rPr>
          <w:noProof/>
        </w:rPr>
        <w:t> </w:t>
      </w:r>
      <w:r w:rsidR="00BC0DDA" w:rsidRPr="00BC0DDA">
        <w:rPr>
          <w:noProof/>
        </w:rPr>
        <w:t>zat</w:t>
      </w:r>
      <w:r w:rsidRPr="00BC0DDA">
        <w:rPr>
          <w:noProof/>
        </w:rPr>
        <w:t>em nie może przekraczać 50 % całkowitego czasu dostępu do tego superkomputera.</w:t>
      </w:r>
    </w:p>
    <w:p w14:paraId="3D1377D2" w14:textId="213C64D7" w:rsidR="002F600E" w:rsidRPr="00BC0DDA" w:rsidRDefault="00E82F9A" w:rsidP="00D627E2">
      <w:pPr>
        <w:pStyle w:val="Titrearticle"/>
        <w:rPr>
          <w:noProof/>
        </w:rPr>
      </w:pPr>
      <w:r w:rsidRPr="00BC0DDA">
        <w:rPr>
          <w:noProof/>
        </w:rPr>
        <w:tab/>
        <w:t>Artykuł 2</w:t>
      </w:r>
    </w:p>
    <w:p w14:paraId="4AC19652" w14:textId="5464AE9E" w:rsidR="00A25889" w:rsidRPr="00BC0DDA" w:rsidRDefault="00A25889" w:rsidP="00D627E2">
      <w:pPr>
        <w:rPr>
          <w:noProof/>
        </w:rPr>
      </w:pPr>
      <w:r w:rsidRPr="00BC0DDA">
        <w:rPr>
          <w:noProof/>
        </w:rPr>
        <w:t>Niniejsze rozporządzenie wchodzi</w:t>
      </w:r>
      <w:r w:rsidR="00BC0DDA" w:rsidRPr="00BC0DDA">
        <w:rPr>
          <w:noProof/>
        </w:rPr>
        <w:t xml:space="preserve"> w</w:t>
      </w:r>
      <w:r w:rsidR="00BC0DDA">
        <w:rPr>
          <w:noProof/>
        </w:rPr>
        <w:t> </w:t>
      </w:r>
      <w:r w:rsidR="00BC0DDA" w:rsidRPr="00BC0DDA">
        <w:rPr>
          <w:noProof/>
        </w:rPr>
        <w:t>życ</w:t>
      </w:r>
      <w:r w:rsidRPr="00BC0DDA">
        <w:rPr>
          <w:noProof/>
        </w:rPr>
        <w:t>ie dwudziestego dnia po jego opublikowaniu</w:t>
      </w:r>
      <w:r w:rsidR="00BC0DDA" w:rsidRPr="00BC0DDA">
        <w:rPr>
          <w:noProof/>
        </w:rPr>
        <w:t xml:space="preserve"> w</w:t>
      </w:r>
      <w:r w:rsidR="00BC0DDA">
        <w:rPr>
          <w:noProof/>
        </w:rPr>
        <w:t> </w:t>
      </w:r>
      <w:r w:rsidR="00BC0DDA" w:rsidRPr="00BC0DDA">
        <w:rPr>
          <w:i/>
          <w:noProof/>
        </w:rPr>
        <w:t>Dzi</w:t>
      </w:r>
      <w:r w:rsidRPr="00BC0DDA">
        <w:rPr>
          <w:i/>
          <w:noProof/>
        </w:rPr>
        <w:t>enniku Urzędowym Unii Europejskiej</w:t>
      </w:r>
      <w:r w:rsidRPr="00BC0DDA">
        <w:rPr>
          <w:noProof/>
        </w:rPr>
        <w:t>.</w:t>
      </w:r>
    </w:p>
    <w:p w14:paraId="12604B70" w14:textId="7B55E41F" w:rsidR="002F600E" w:rsidRPr="00BC0DDA" w:rsidRDefault="002F600E" w:rsidP="00D627E2">
      <w:pPr>
        <w:pStyle w:val="Applicationdirecte"/>
        <w:rPr>
          <w:noProof/>
        </w:rPr>
      </w:pPr>
      <w:r w:rsidRPr="00BC0DDA">
        <w:rPr>
          <w:noProof/>
        </w:rPr>
        <w:t>Niniejsze rozporządzenie wiąże</w:t>
      </w:r>
      <w:r w:rsidR="00BC0DDA" w:rsidRPr="00BC0DDA">
        <w:rPr>
          <w:noProof/>
        </w:rPr>
        <w:t xml:space="preserve"> w</w:t>
      </w:r>
      <w:r w:rsidR="00BC0DDA">
        <w:rPr>
          <w:noProof/>
        </w:rPr>
        <w:t> </w:t>
      </w:r>
      <w:r w:rsidR="00BC0DDA" w:rsidRPr="00BC0DDA">
        <w:rPr>
          <w:noProof/>
        </w:rPr>
        <w:t>cał</w:t>
      </w:r>
      <w:r w:rsidRPr="00BC0DDA">
        <w:rPr>
          <w:noProof/>
        </w:rPr>
        <w:t>ości</w:t>
      </w:r>
      <w:r w:rsidR="00BC0DDA" w:rsidRPr="00BC0DDA">
        <w:rPr>
          <w:noProof/>
        </w:rPr>
        <w:t xml:space="preserve"> i</w:t>
      </w:r>
      <w:r w:rsidR="00BC0DDA">
        <w:rPr>
          <w:noProof/>
        </w:rPr>
        <w:t> </w:t>
      </w:r>
      <w:r w:rsidR="00BC0DDA" w:rsidRPr="00BC0DDA">
        <w:rPr>
          <w:noProof/>
        </w:rPr>
        <w:t>jes</w:t>
      </w:r>
      <w:r w:rsidRPr="00BC0DDA">
        <w:rPr>
          <w:noProof/>
        </w:rPr>
        <w:t>t bezpośrednio stosowane we wszystkich państwach członkowskich.</w:t>
      </w:r>
    </w:p>
    <w:p w14:paraId="257990AE" w14:textId="33A76433" w:rsidR="00E82F9A" w:rsidRPr="00BC0DDA" w:rsidRDefault="001D3709" w:rsidP="001D3709">
      <w:pPr>
        <w:pStyle w:val="Fait"/>
        <w:rPr>
          <w:noProof/>
        </w:rPr>
      </w:pPr>
      <w:r w:rsidRPr="001D3709">
        <w:t xml:space="preserve">Sporządzono w Brukseli dnia </w:t>
      </w:r>
      <w:r w:rsidRPr="001D3709">
        <w:rPr>
          <w:rStyle w:val="Marker"/>
        </w:rPr>
        <w:t>[…]</w:t>
      </w:r>
      <w:r w:rsidRPr="001D3709">
        <w:t xml:space="preserve"> r.</w:t>
      </w:r>
    </w:p>
    <w:p w14:paraId="43B026DF" w14:textId="18426089" w:rsidR="00C13136" w:rsidRPr="00BC0DDA" w:rsidRDefault="00C13136" w:rsidP="00F10CF2">
      <w:pPr>
        <w:pStyle w:val="Institutionquisigne"/>
        <w:rPr>
          <w:noProof/>
        </w:rPr>
      </w:pPr>
      <w:r w:rsidRPr="00BC0DDA">
        <w:rPr>
          <w:noProof/>
        </w:rPr>
        <w:tab/>
        <w:t>W imieniu Rady</w:t>
      </w:r>
    </w:p>
    <w:p w14:paraId="57D013AC" w14:textId="457E2609" w:rsidR="00C13136" w:rsidRPr="00BC0DDA" w:rsidRDefault="00C13136" w:rsidP="00D627E2">
      <w:pPr>
        <w:pStyle w:val="Personnequisigne"/>
        <w:jc w:val="both"/>
        <w:rPr>
          <w:noProof/>
        </w:rPr>
      </w:pPr>
      <w:r w:rsidRPr="00BC0DDA">
        <w:rPr>
          <w:noProof/>
        </w:rPr>
        <w:tab/>
        <w:t>Przewodniczący</w:t>
      </w:r>
    </w:p>
    <w:sectPr w:rsidR="00C13136" w:rsidRPr="00BC0DDA" w:rsidSect="001D3709">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53E" w14:textId="77777777" w:rsidR="009D1F66" w:rsidRPr="00BC0DDA" w:rsidRDefault="009D1F66">
      <w:pPr>
        <w:spacing w:before="0" w:after="0"/>
      </w:pPr>
      <w:r w:rsidRPr="00BC0DDA">
        <w:separator/>
      </w:r>
    </w:p>
  </w:endnote>
  <w:endnote w:type="continuationSeparator" w:id="0">
    <w:p w14:paraId="5E93B8E8" w14:textId="77777777" w:rsidR="009D1F66" w:rsidRPr="00BC0DDA" w:rsidRDefault="009D1F66">
      <w:pPr>
        <w:spacing w:before="0" w:after="0"/>
      </w:pPr>
      <w:r w:rsidRPr="00BC0DDA">
        <w:continuationSeparator/>
      </w:r>
    </w:p>
  </w:endnote>
  <w:endnote w:type="continuationNotice" w:id="1">
    <w:p w14:paraId="26B668A6" w14:textId="77777777" w:rsidR="009D1F66" w:rsidRPr="00BC0DDA" w:rsidRDefault="009D1F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F55A" w14:textId="69382989" w:rsidR="00672BA7" w:rsidRPr="001D3709" w:rsidRDefault="001D3709" w:rsidP="001D3709">
    <w:pPr>
      <w:pStyle w:val="Footer"/>
      <w:rPr>
        <w:rFonts w:ascii="Arial" w:hAnsi="Arial" w:cs="Arial"/>
        <w:b/>
        <w:sz w:val="48"/>
      </w:rPr>
    </w:pPr>
    <w:r w:rsidRPr="001D3709">
      <w:rPr>
        <w:rFonts w:ascii="Arial" w:hAnsi="Arial" w:cs="Arial"/>
        <w:b/>
        <w:sz w:val="48"/>
      </w:rPr>
      <w:t>PL</w:t>
    </w:r>
    <w:r w:rsidRPr="001D3709">
      <w:rPr>
        <w:rFonts w:ascii="Arial" w:hAnsi="Arial" w:cs="Arial"/>
        <w:b/>
        <w:sz w:val="48"/>
      </w:rPr>
      <w:tab/>
    </w:r>
    <w:r w:rsidRPr="001D3709">
      <w:rPr>
        <w:rFonts w:ascii="Arial" w:hAnsi="Arial" w:cs="Arial"/>
        <w:b/>
        <w:sz w:val="48"/>
      </w:rPr>
      <w:tab/>
    </w:r>
    <w:r w:rsidRPr="001D3709">
      <w:tab/>
    </w:r>
    <w:r w:rsidRPr="001D3709">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486A" w14:textId="70FB9DE3" w:rsidR="00672BA7" w:rsidRPr="001D3709" w:rsidRDefault="001D3709" w:rsidP="001D3709">
    <w:pPr>
      <w:pStyle w:val="Footer"/>
      <w:rPr>
        <w:rFonts w:ascii="Arial" w:hAnsi="Arial" w:cs="Arial"/>
        <w:b/>
        <w:sz w:val="48"/>
      </w:rPr>
    </w:pPr>
    <w:r w:rsidRPr="001D3709">
      <w:rPr>
        <w:rFonts w:ascii="Arial" w:hAnsi="Arial" w:cs="Arial"/>
        <w:b/>
        <w:sz w:val="48"/>
      </w:rPr>
      <w:t>PL</w:t>
    </w:r>
    <w:r w:rsidRPr="001D3709">
      <w:rPr>
        <w:rFonts w:ascii="Arial" w:hAnsi="Arial" w:cs="Arial"/>
        <w:b/>
        <w:sz w:val="48"/>
      </w:rPr>
      <w:tab/>
    </w:r>
    <w:r w:rsidRPr="001D3709">
      <w:rPr>
        <w:rFonts w:ascii="Arial" w:hAnsi="Arial" w:cs="Arial"/>
        <w:b/>
        <w:sz w:val="48"/>
      </w:rPr>
      <w:tab/>
    </w:r>
    <w:r w:rsidRPr="001D3709">
      <w:tab/>
    </w:r>
    <w:r w:rsidRPr="001D3709">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462B" w14:textId="77777777" w:rsidR="001D3709" w:rsidRPr="001D3709" w:rsidRDefault="001D3709" w:rsidP="001D37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88F3" w14:textId="4CC8E9ED" w:rsidR="001D3709" w:rsidRPr="001D3709" w:rsidRDefault="001D3709" w:rsidP="001D3709">
    <w:pPr>
      <w:pStyle w:val="Footer"/>
      <w:rPr>
        <w:rFonts w:ascii="Arial" w:hAnsi="Arial" w:cs="Arial"/>
        <w:b/>
        <w:sz w:val="48"/>
      </w:rPr>
    </w:pPr>
    <w:r w:rsidRPr="001D3709">
      <w:rPr>
        <w:rFonts w:ascii="Arial" w:hAnsi="Arial" w:cs="Arial"/>
        <w:b/>
        <w:sz w:val="48"/>
      </w:rPr>
      <w:t>PL</w:t>
    </w:r>
    <w:r w:rsidRPr="001D370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D3709">
      <w:tab/>
    </w:r>
    <w:r w:rsidRPr="001D3709">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3D19" w14:textId="77777777" w:rsidR="001D3709" w:rsidRPr="001D3709" w:rsidRDefault="001D3709" w:rsidP="001D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F397" w14:textId="77777777" w:rsidR="009D1F66" w:rsidRPr="00BC0DDA" w:rsidRDefault="009D1F66">
      <w:pPr>
        <w:spacing w:before="0" w:after="0"/>
      </w:pPr>
      <w:r w:rsidRPr="00BC0DDA">
        <w:separator/>
      </w:r>
    </w:p>
  </w:footnote>
  <w:footnote w:type="continuationSeparator" w:id="0">
    <w:p w14:paraId="5DFC2F9F" w14:textId="77777777" w:rsidR="009D1F66" w:rsidRPr="00BC0DDA" w:rsidRDefault="009D1F66">
      <w:pPr>
        <w:spacing w:before="0" w:after="0"/>
      </w:pPr>
      <w:r w:rsidRPr="00BC0DDA">
        <w:continuationSeparator/>
      </w:r>
    </w:p>
  </w:footnote>
  <w:footnote w:type="continuationNotice" w:id="1">
    <w:p w14:paraId="77C0F89C" w14:textId="77777777" w:rsidR="009D1F66" w:rsidRPr="00BC0DDA" w:rsidRDefault="009D1F66">
      <w:pPr>
        <w:spacing w:before="0" w:after="0"/>
      </w:pPr>
    </w:p>
  </w:footnote>
  <w:footnote w:id="2">
    <w:p w14:paraId="17A0331E" w14:textId="4C49BC11" w:rsidR="00315818" w:rsidRPr="00BC0DDA" w:rsidRDefault="00984988" w:rsidP="00C310E8">
      <w:pPr>
        <w:pStyle w:val="FootnoteText"/>
      </w:pPr>
      <w:r w:rsidRPr="00BC0DDA">
        <w:rPr>
          <w:rStyle w:val="FootnoteReference"/>
        </w:rPr>
        <w:footnoteRef/>
      </w:r>
      <w:r w:rsidRPr="00BC0DDA">
        <w:tab/>
        <w:t>Rozporządzenie Rady (UE) 2021/1173</w:t>
      </w:r>
      <w:r w:rsidR="00BC0DDA" w:rsidRPr="00BC0DDA">
        <w:t xml:space="preserve"> z</w:t>
      </w:r>
      <w:r w:rsidR="00BC0DDA">
        <w:t> </w:t>
      </w:r>
      <w:r w:rsidR="00BC0DDA" w:rsidRPr="00BC0DDA">
        <w:t>dni</w:t>
      </w:r>
      <w:r w:rsidRPr="00BC0DDA">
        <w:t>a 13 lipca 2021</w:t>
      </w:r>
      <w:r w:rsidR="00BC0DDA" w:rsidRPr="00BC0DDA">
        <w:t> </w:t>
      </w:r>
      <w:r w:rsidRPr="00BC0DDA">
        <w:t>r.</w:t>
      </w:r>
      <w:r w:rsidR="00BC0DDA" w:rsidRPr="00BC0DDA">
        <w:t xml:space="preserve"> w</w:t>
      </w:r>
      <w:r w:rsidR="00BC0DDA">
        <w:t> </w:t>
      </w:r>
      <w:r w:rsidR="00BC0DDA" w:rsidRPr="00BC0DDA">
        <w:t>spr</w:t>
      </w:r>
      <w:r w:rsidRPr="00BC0DDA">
        <w:t>awie ustanowienia Wspólnego Przedsięwzięcia</w:t>
      </w:r>
      <w:r w:rsidR="00BC0DDA" w:rsidRPr="00BC0DDA">
        <w:t xml:space="preserve"> w</w:t>
      </w:r>
      <w:r w:rsidR="00BC0DDA">
        <w:t> </w:t>
      </w:r>
      <w:r w:rsidR="00BC0DDA" w:rsidRPr="00BC0DDA">
        <w:t>dzi</w:t>
      </w:r>
      <w:r w:rsidRPr="00BC0DDA">
        <w:t>edzinie Europejskich Obliczeń Wielkiej Skali</w:t>
      </w:r>
      <w:r w:rsidR="00BC0DDA" w:rsidRPr="00BC0DDA">
        <w:t xml:space="preserve"> i</w:t>
      </w:r>
      <w:r w:rsidR="00BC0DDA">
        <w:t> </w:t>
      </w:r>
      <w:r w:rsidR="00BC0DDA" w:rsidRPr="00BC0DDA">
        <w:t>uch</w:t>
      </w:r>
      <w:r w:rsidRPr="00BC0DDA">
        <w:t>ylające rozporządzenie (UE) 2018/1488 (Dz.U. L 256</w:t>
      </w:r>
      <w:r w:rsidR="00BC0DDA" w:rsidRPr="00BC0DDA">
        <w:t xml:space="preserve"> z</w:t>
      </w:r>
      <w:r w:rsidR="00BC0DDA">
        <w:t> </w:t>
      </w:r>
      <w:r w:rsidR="00BC0DDA" w:rsidRPr="00BC0DDA">
        <w:t>1</w:t>
      </w:r>
      <w:r w:rsidRPr="00BC0DDA">
        <w:t>9.7.2021, s. 3).</w:t>
      </w:r>
    </w:p>
  </w:footnote>
  <w:footnote w:id="3">
    <w:p w14:paraId="77D5C057" w14:textId="5DDC5518" w:rsidR="00CC10FF" w:rsidRPr="00BC0DDA" w:rsidRDefault="00CC10FF">
      <w:pPr>
        <w:pStyle w:val="FootnoteText"/>
      </w:pPr>
      <w:r w:rsidRPr="00BC0DDA">
        <w:rPr>
          <w:rStyle w:val="FootnoteReference"/>
        </w:rPr>
        <w:footnoteRef/>
      </w:r>
      <w:r w:rsidRPr="00BC0DDA">
        <w:tab/>
        <w:t>Rozporządzenie Rady (UE) 2018/1488</w:t>
      </w:r>
      <w:r w:rsidR="00BC0DDA" w:rsidRPr="00BC0DDA">
        <w:t xml:space="preserve"> z</w:t>
      </w:r>
      <w:r w:rsidR="00BC0DDA">
        <w:t> </w:t>
      </w:r>
      <w:r w:rsidR="00BC0DDA" w:rsidRPr="00BC0DDA">
        <w:t>dni</w:t>
      </w:r>
      <w:r w:rsidRPr="00BC0DDA">
        <w:t>a 28 września 2018 r.</w:t>
      </w:r>
      <w:r w:rsidR="00BC0DDA" w:rsidRPr="00BC0DDA">
        <w:t xml:space="preserve"> w</w:t>
      </w:r>
      <w:r w:rsidR="00BC0DDA">
        <w:t> </w:t>
      </w:r>
      <w:r w:rsidR="00BC0DDA" w:rsidRPr="00BC0DDA">
        <w:t>spr</w:t>
      </w:r>
      <w:r w:rsidRPr="00BC0DDA">
        <w:t>awie ustanowienia Wspólnego Przedsięwzięcia</w:t>
      </w:r>
      <w:r w:rsidR="00BC0DDA" w:rsidRPr="00BC0DDA">
        <w:t xml:space="preserve"> w</w:t>
      </w:r>
      <w:r w:rsidR="00BC0DDA">
        <w:t> </w:t>
      </w:r>
      <w:r w:rsidR="00BC0DDA" w:rsidRPr="00BC0DDA">
        <w:t>dzi</w:t>
      </w:r>
      <w:r w:rsidRPr="00BC0DDA">
        <w:t>edzinie Europejskich Obliczeń Wielkiej Skali (Dz.U. L 252</w:t>
      </w:r>
      <w:r w:rsidR="00BC0DDA" w:rsidRPr="00BC0DDA">
        <w:t xml:space="preserve"> z</w:t>
      </w:r>
      <w:r w:rsidR="00BC0DDA">
        <w:t> </w:t>
      </w:r>
      <w:r w:rsidR="00BC0DDA" w:rsidRPr="00BC0DDA">
        <w:t>8</w:t>
      </w:r>
      <w:r w:rsidRPr="00BC0DDA">
        <w:t>.10.2018, s. 1).</w:t>
      </w:r>
    </w:p>
  </w:footnote>
  <w:footnote w:id="4">
    <w:p w14:paraId="5E40BD85" w14:textId="77777777" w:rsidR="00BF2DF1" w:rsidRPr="00BC0DDA" w:rsidRDefault="00BF2DF1">
      <w:pPr>
        <w:pStyle w:val="FootnoteText"/>
      </w:pPr>
      <w:r w:rsidRPr="00BC0DDA">
        <w:rPr>
          <w:rStyle w:val="FootnoteReference"/>
        </w:rPr>
        <w:footnoteRef/>
      </w:r>
      <w:r w:rsidRPr="00BC0DDA">
        <w:tab/>
        <w:t>https://ec.europa.eu/commission/presscorner/detail/en/speech_23_4426</w:t>
      </w:r>
    </w:p>
  </w:footnote>
  <w:footnote w:id="5">
    <w:p w14:paraId="74B37127" w14:textId="77777777" w:rsidR="00A2647E" w:rsidRPr="00BC0DDA" w:rsidRDefault="00A2647E" w:rsidP="00A2647E">
      <w:pPr>
        <w:pStyle w:val="FootnoteText"/>
      </w:pPr>
      <w:r w:rsidRPr="00BC0DDA">
        <w:rPr>
          <w:rStyle w:val="FootnoteReference"/>
        </w:rPr>
        <w:footnoteRef/>
      </w:r>
      <w:r w:rsidRPr="00BC0DDA">
        <w:tab/>
        <w:t>Dz.U. C [...] z [...] s. [...].</w:t>
      </w:r>
    </w:p>
  </w:footnote>
  <w:footnote w:id="6">
    <w:p w14:paraId="3FE8E03C" w14:textId="5A125E67" w:rsidR="006356CA" w:rsidRPr="00BC0DDA" w:rsidRDefault="006356CA" w:rsidP="006356CA">
      <w:pPr>
        <w:pStyle w:val="FootnoteText"/>
      </w:pPr>
      <w:r w:rsidRPr="00BC0DDA">
        <w:rPr>
          <w:rStyle w:val="FootnoteReference"/>
        </w:rPr>
        <w:footnoteRef/>
      </w:r>
      <w:r w:rsidRPr="00BC0DDA">
        <w:tab/>
        <w:t>Opinia [...], Dz.U. C [...] z [...], s. [...].</w:t>
      </w:r>
    </w:p>
  </w:footnote>
  <w:footnote w:id="7">
    <w:p w14:paraId="25DD7819" w14:textId="5E5A4F95" w:rsidR="008E0A50" w:rsidRPr="00BC0DDA" w:rsidRDefault="008E0A50">
      <w:pPr>
        <w:pStyle w:val="FootnoteText"/>
      </w:pPr>
      <w:r w:rsidRPr="00BC0DDA">
        <w:rPr>
          <w:rStyle w:val="FootnoteReference"/>
        </w:rPr>
        <w:footnoteRef/>
      </w:r>
      <w:r w:rsidRPr="00BC0DDA">
        <w:tab/>
      </w:r>
      <w:r w:rsidRPr="00BC0DDA">
        <w:rPr>
          <w:rStyle w:val="normaltextrun"/>
        </w:rPr>
        <w:t>Rozporządzenie Parlamentu Europejskiego</w:t>
      </w:r>
      <w:r w:rsidR="00BC0DDA" w:rsidRPr="00BC0DDA">
        <w:rPr>
          <w:rStyle w:val="normaltextrun"/>
        </w:rPr>
        <w:t xml:space="preserve"> i</w:t>
      </w:r>
      <w:r w:rsidR="00BC0DDA">
        <w:rPr>
          <w:rStyle w:val="normaltextrun"/>
        </w:rPr>
        <w:t> </w:t>
      </w:r>
      <w:r w:rsidR="00BC0DDA" w:rsidRPr="00BC0DDA">
        <w:rPr>
          <w:rStyle w:val="normaltextrun"/>
        </w:rPr>
        <w:t>Rad</w:t>
      </w:r>
      <w:r w:rsidRPr="00BC0DDA">
        <w:rPr>
          <w:rStyle w:val="normaltextrun"/>
        </w:rPr>
        <w:t>y (UE) 2024/... ustanawiające zharmonizowane przepisy dotyczące sztucznej inteligencji (akt</w:t>
      </w:r>
      <w:r w:rsidR="00BC0DDA" w:rsidRPr="00BC0DDA">
        <w:rPr>
          <w:rStyle w:val="normaltextrun"/>
        </w:rPr>
        <w:t xml:space="preserve"> w</w:t>
      </w:r>
      <w:r w:rsidR="00BC0DDA">
        <w:rPr>
          <w:rStyle w:val="normaltextrun"/>
        </w:rPr>
        <w:t> </w:t>
      </w:r>
      <w:r w:rsidR="00BC0DDA" w:rsidRPr="00BC0DDA">
        <w:rPr>
          <w:rStyle w:val="normaltextrun"/>
        </w:rPr>
        <w:t>spr</w:t>
      </w:r>
      <w:r w:rsidRPr="00BC0DDA">
        <w:rPr>
          <w:rStyle w:val="normaltextrun"/>
        </w:rPr>
        <w:t>awie sztucznej inteligencji)</w:t>
      </w:r>
      <w:r w:rsidR="00BC0DDA" w:rsidRPr="00BC0DDA">
        <w:rPr>
          <w:rStyle w:val="normaltextrun"/>
        </w:rPr>
        <w:t xml:space="preserve"> i</w:t>
      </w:r>
      <w:r w:rsidR="00BC0DDA">
        <w:rPr>
          <w:rStyle w:val="normaltextrun"/>
        </w:rPr>
        <w:t> </w:t>
      </w:r>
      <w:r w:rsidR="00BC0DDA" w:rsidRPr="00BC0DDA">
        <w:rPr>
          <w:rStyle w:val="normaltextrun"/>
        </w:rPr>
        <w:t>zmi</w:t>
      </w:r>
      <w:r w:rsidRPr="00BC0DDA">
        <w:rPr>
          <w:rStyle w:val="normaltextrun"/>
        </w:rPr>
        <w:t>eniające niektóre akty ustawodawcze Unii (Dz.U. L ...).</w:t>
      </w:r>
    </w:p>
  </w:footnote>
  <w:footnote w:id="8">
    <w:p w14:paraId="030CDD02" w14:textId="4E139A25" w:rsidR="00CA1C0E" w:rsidRPr="00BC0DDA" w:rsidRDefault="00CA1C0E" w:rsidP="00E10F4D">
      <w:pPr>
        <w:pStyle w:val="FootnoteText"/>
      </w:pPr>
      <w:r w:rsidRPr="00BC0DDA">
        <w:rPr>
          <w:rStyle w:val="FootnoteReference"/>
        </w:rPr>
        <w:footnoteRef/>
      </w:r>
      <w:r w:rsidRPr="00BC0DDA">
        <w:tab/>
        <w:t>Rozporządzenie Rady (UE) 2021/1173</w:t>
      </w:r>
      <w:r w:rsidR="00BC0DDA" w:rsidRPr="00BC0DDA">
        <w:t xml:space="preserve"> z</w:t>
      </w:r>
      <w:r w:rsidR="00BC0DDA">
        <w:t> </w:t>
      </w:r>
      <w:r w:rsidR="00BC0DDA" w:rsidRPr="00BC0DDA">
        <w:t>dni</w:t>
      </w:r>
      <w:r w:rsidRPr="00BC0DDA">
        <w:t>a 13 lipca 2021</w:t>
      </w:r>
      <w:r w:rsidR="00BC0DDA" w:rsidRPr="00BC0DDA">
        <w:t> </w:t>
      </w:r>
      <w:r w:rsidRPr="00BC0DDA">
        <w:t>r.</w:t>
      </w:r>
      <w:r w:rsidR="00BC0DDA" w:rsidRPr="00BC0DDA">
        <w:t xml:space="preserve"> w</w:t>
      </w:r>
      <w:r w:rsidR="00BC0DDA">
        <w:t> </w:t>
      </w:r>
      <w:r w:rsidR="00BC0DDA" w:rsidRPr="00BC0DDA">
        <w:t>spr</w:t>
      </w:r>
      <w:r w:rsidRPr="00BC0DDA">
        <w:t>awie ustanowienia Wspólnego Przedsięwzięcia</w:t>
      </w:r>
      <w:r w:rsidR="00BC0DDA" w:rsidRPr="00BC0DDA">
        <w:t xml:space="preserve"> w</w:t>
      </w:r>
      <w:r w:rsidR="00BC0DDA">
        <w:t> </w:t>
      </w:r>
      <w:r w:rsidR="00BC0DDA" w:rsidRPr="00BC0DDA">
        <w:t>dzi</w:t>
      </w:r>
      <w:r w:rsidRPr="00BC0DDA">
        <w:t>edzinie Europejskich Obliczeń Wielkiej Skali</w:t>
      </w:r>
      <w:r w:rsidR="00BC0DDA" w:rsidRPr="00BC0DDA">
        <w:t xml:space="preserve"> i</w:t>
      </w:r>
      <w:r w:rsidR="00BC0DDA">
        <w:t> </w:t>
      </w:r>
      <w:r w:rsidR="00BC0DDA" w:rsidRPr="00BC0DDA">
        <w:t>uch</w:t>
      </w:r>
      <w:r w:rsidRPr="00BC0DDA">
        <w:t>ylające rozporządzenie (UE) 2018/1488 (Dz.U. L 256</w:t>
      </w:r>
      <w:r w:rsidR="00BC0DDA" w:rsidRPr="00BC0DDA">
        <w:t xml:space="preserve"> z</w:t>
      </w:r>
      <w:r w:rsidR="00BC0DDA">
        <w:t> </w:t>
      </w:r>
      <w:r w:rsidR="00BC0DDA" w:rsidRPr="00BC0DDA">
        <w:t>1</w:t>
      </w:r>
      <w:r w:rsidRPr="00BC0DDA">
        <w:t xml:space="preserve">9.7.2021, s. 3, ELI: </w:t>
      </w:r>
      <w:hyperlink r:id="rId1" w:history="1">
        <w:r w:rsidRPr="00BC0DDA">
          <w:rPr>
            <w:rStyle w:val="Hyperlink"/>
          </w:rPr>
          <w:t>http://data.europa.eu/eli/reg/2021/1173/oj</w:t>
        </w:r>
      </w:hyperlink>
      <w:r w:rsidRPr="00BC0DD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5BA5" w14:textId="77777777" w:rsidR="001D3709" w:rsidRPr="001D3709" w:rsidRDefault="001D3709" w:rsidP="001D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FF6F" w14:textId="77777777" w:rsidR="001D3709" w:rsidRPr="001D3709" w:rsidRDefault="001D3709" w:rsidP="001D3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F524" w14:textId="77777777" w:rsidR="001D3709" w:rsidRPr="001D3709" w:rsidRDefault="001D3709" w:rsidP="001D3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35EDF1C"/>
    <w:lvl w:ilvl="0">
      <w:start w:val="1"/>
      <w:numFmt w:val="decimal"/>
      <w:pStyle w:val="ListNumber4"/>
      <w:lvlText w:val="%1."/>
      <w:lvlJc w:val="left"/>
      <w:pPr>
        <w:tabs>
          <w:tab w:val="num" w:pos="838"/>
        </w:tabs>
        <w:ind w:left="838" w:hanging="360"/>
      </w:pPr>
    </w:lvl>
  </w:abstractNum>
  <w:abstractNum w:abstractNumId="1" w15:restartNumberingAfterBreak="0">
    <w:nsid w:val="FFFFFF7E"/>
    <w:multiLevelType w:val="singleLevel"/>
    <w:tmpl w:val="5F023A1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272712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0EAB2E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BA4D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C1AB3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1D0B6A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D82C19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719789970">
    <w:abstractNumId w:val="7"/>
  </w:num>
  <w:num w:numId="2" w16cid:durableId="2143959864">
    <w:abstractNumId w:val="5"/>
  </w:num>
  <w:num w:numId="3" w16cid:durableId="815685453">
    <w:abstractNumId w:val="4"/>
  </w:num>
  <w:num w:numId="4" w16cid:durableId="1137257420">
    <w:abstractNumId w:val="3"/>
  </w:num>
  <w:num w:numId="5" w16cid:durableId="2021273114">
    <w:abstractNumId w:val="6"/>
  </w:num>
  <w:num w:numId="6" w16cid:durableId="58482118">
    <w:abstractNumId w:val="2"/>
  </w:num>
  <w:num w:numId="7" w16cid:durableId="493642835">
    <w:abstractNumId w:val="1"/>
  </w:num>
  <w:num w:numId="8" w16cid:durableId="1918200745">
    <w:abstractNumId w:val="0"/>
  </w:num>
  <w:num w:numId="9" w16cid:durableId="1018232987">
    <w:abstractNumId w:val="12"/>
  </w:num>
  <w:num w:numId="10" w16cid:durableId="1864978567">
    <w:abstractNumId w:val="20"/>
  </w:num>
  <w:num w:numId="11" w16cid:durableId="104547988">
    <w:abstractNumId w:val="13"/>
  </w:num>
  <w:num w:numId="12" w16cid:durableId="1136028077">
    <w:abstractNumId w:val="22"/>
  </w:num>
  <w:num w:numId="13" w16cid:durableId="1668632384">
    <w:abstractNumId w:val="11"/>
  </w:num>
  <w:num w:numId="14" w16cid:durableId="1749233091">
    <w:abstractNumId w:val="14"/>
  </w:num>
  <w:num w:numId="15" w16cid:durableId="557937485">
    <w:abstractNumId w:val="15"/>
  </w:num>
  <w:num w:numId="16" w16cid:durableId="1761411953">
    <w:abstractNumId w:val="9"/>
  </w:num>
  <w:num w:numId="17" w16cid:durableId="1467090856">
    <w:abstractNumId w:val="21"/>
  </w:num>
  <w:num w:numId="18" w16cid:durableId="213080762">
    <w:abstractNumId w:val="8"/>
  </w:num>
  <w:num w:numId="19" w16cid:durableId="1576474287">
    <w:abstractNumId w:val="16"/>
  </w:num>
  <w:num w:numId="20" w16cid:durableId="1117605352">
    <w:abstractNumId w:val="18"/>
  </w:num>
  <w:num w:numId="21" w16cid:durableId="730035758">
    <w:abstractNumId w:val="19"/>
  </w:num>
  <w:num w:numId="22" w16cid:durableId="959918761">
    <w:abstractNumId w:val="10"/>
  </w:num>
  <w:num w:numId="23" w16cid:durableId="1527863532">
    <w:abstractNumId w:val="17"/>
  </w:num>
  <w:num w:numId="24" w16cid:durableId="209481865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PersonalInformation/>
  <w:removeDateAndTime/>
  <w:displayBackgroundShape/>
  <w:hideSpellingErrors/>
  <w:hideGrammaticalErrors/>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02-12 14:38: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COM(2024)29 final of 24.1.2024_x000b_Concerns all languages versions _x000b_Change of interinstitutional acronym_x000b_The text shall read as follows:_x000b_"/>
    <w:docVar w:name="LW_COVERPAGE_EXISTS" w:val="True"/>
    <w:docVar w:name="LW_COVERPAGE_GUID" w:val="D4FD8C89-0525-40D2-B9E2-CF383373DFEA"/>
    <w:docVar w:name="LW_COVERPAGE_TYPE" w:val="1"/>
    <w:docVar w:name="LW_CROSSREFERENCE" w:val="&lt;UNUSED&gt;"/>
    <w:docVar w:name="LW_DocType" w:val="COM"/>
    <w:docVar w:name="LW_EMISSION" w:val="16.2.2024"/>
    <w:docVar w:name="LW_EMISSION_ISODATE" w:val="2024-02-16"/>
    <w:docVar w:name="LW_EMISSION_LOCATION" w:val="BRX"/>
    <w:docVar w:name="LW_EMISSION_PREFIX" w:val="Bruksela, dnia "/>
    <w:docVar w:name="LW_EMISSION_SUFFIX" w:val=" r."/>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NLE"/>
    <w:docVar w:name="LW_REF.II.NEW.CP_NUMBER" w:val="0016"/>
    <w:docVar w:name="LW_REF.II.NEW.CP_YEAR" w:val="2024"/>
    <w:docVar w:name="LW_REF.INST.NEW" w:val="COM"/>
    <w:docVar w:name="LW_REF.INST.NEW_ADOPTED" w:val="final/2"/>
    <w:docVar w:name="LW_REF.INST.NEW_TEXT" w:val="(2024) 2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u261?ce rozporz\u261?dzenie (UE) 2021/1173 w odniesieniu do inicjatywy EuroHPC dla przedsi\u281?biorstw typu start-up w celu wzmocnienia wiod\u261?cej pozycji Europy w dziedzinie godnej zaufania sztucznej inteligencji"/>
    <w:docVar w:name="LW_TYPE.DOC.CP" w:val="ROZPORZ\u260?DZENIE RADY"/>
    <w:docVar w:name="LwApiVersions" w:val="LW4CoDe 1.24.4.0; LW 9.0, Build 20240125"/>
  </w:docVars>
  <w:rsids>
    <w:rsidRoot w:val="00315818"/>
    <w:rsid w:val="000019EE"/>
    <w:rsid w:val="00005DCB"/>
    <w:rsid w:val="00007D88"/>
    <w:rsid w:val="00010685"/>
    <w:rsid w:val="00011127"/>
    <w:rsid w:val="00011720"/>
    <w:rsid w:val="000145DC"/>
    <w:rsid w:val="0001484F"/>
    <w:rsid w:val="0001630B"/>
    <w:rsid w:val="00020237"/>
    <w:rsid w:val="00021B9C"/>
    <w:rsid w:val="00022185"/>
    <w:rsid w:val="00026ABE"/>
    <w:rsid w:val="00027205"/>
    <w:rsid w:val="00027856"/>
    <w:rsid w:val="00032E08"/>
    <w:rsid w:val="000344E6"/>
    <w:rsid w:val="000354AF"/>
    <w:rsid w:val="00036C33"/>
    <w:rsid w:val="00036F3E"/>
    <w:rsid w:val="000400D8"/>
    <w:rsid w:val="00042218"/>
    <w:rsid w:val="00042459"/>
    <w:rsid w:val="00042FEF"/>
    <w:rsid w:val="000430A8"/>
    <w:rsid w:val="00046B25"/>
    <w:rsid w:val="0005060E"/>
    <w:rsid w:val="00050DED"/>
    <w:rsid w:val="00053574"/>
    <w:rsid w:val="00054AB0"/>
    <w:rsid w:val="00055658"/>
    <w:rsid w:val="0005718C"/>
    <w:rsid w:val="000574A6"/>
    <w:rsid w:val="000615C5"/>
    <w:rsid w:val="00061E0D"/>
    <w:rsid w:val="000638AB"/>
    <w:rsid w:val="00063C22"/>
    <w:rsid w:val="000655AC"/>
    <w:rsid w:val="000663A4"/>
    <w:rsid w:val="000673F2"/>
    <w:rsid w:val="000678D5"/>
    <w:rsid w:val="00070177"/>
    <w:rsid w:val="00071314"/>
    <w:rsid w:val="00071981"/>
    <w:rsid w:val="00072969"/>
    <w:rsid w:val="00073559"/>
    <w:rsid w:val="00074210"/>
    <w:rsid w:val="0007532C"/>
    <w:rsid w:val="0007586F"/>
    <w:rsid w:val="000760B7"/>
    <w:rsid w:val="000763D0"/>
    <w:rsid w:val="000764FC"/>
    <w:rsid w:val="00076EAD"/>
    <w:rsid w:val="00077CBA"/>
    <w:rsid w:val="00081F00"/>
    <w:rsid w:val="0008377F"/>
    <w:rsid w:val="000917A5"/>
    <w:rsid w:val="00091F55"/>
    <w:rsid w:val="00092807"/>
    <w:rsid w:val="000939A0"/>
    <w:rsid w:val="00094705"/>
    <w:rsid w:val="00096399"/>
    <w:rsid w:val="00096489"/>
    <w:rsid w:val="00096D98"/>
    <w:rsid w:val="00097F33"/>
    <w:rsid w:val="000A772E"/>
    <w:rsid w:val="000B1D79"/>
    <w:rsid w:val="000B4679"/>
    <w:rsid w:val="000B5CC3"/>
    <w:rsid w:val="000B6914"/>
    <w:rsid w:val="000B6F25"/>
    <w:rsid w:val="000C1FC8"/>
    <w:rsid w:val="000C304D"/>
    <w:rsid w:val="000C3E09"/>
    <w:rsid w:val="000C54F6"/>
    <w:rsid w:val="000C602E"/>
    <w:rsid w:val="000C64D3"/>
    <w:rsid w:val="000C7436"/>
    <w:rsid w:val="000C7D42"/>
    <w:rsid w:val="000D0EB3"/>
    <w:rsid w:val="000D37D7"/>
    <w:rsid w:val="000D4919"/>
    <w:rsid w:val="000D49D6"/>
    <w:rsid w:val="000E1B79"/>
    <w:rsid w:val="000E346E"/>
    <w:rsid w:val="000F00B2"/>
    <w:rsid w:val="000F05A1"/>
    <w:rsid w:val="000F158C"/>
    <w:rsid w:val="000F21A3"/>
    <w:rsid w:val="000F2B65"/>
    <w:rsid w:val="000F493D"/>
    <w:rsid w:val="000F5467"/>
    <w:rsid w:val="000F5813"/>
    <w:rsid w:val="000F69A8"/>
    <w:rsid w:val="001004D7"/>
    <w:rsid w:val="0010183A"/>
    <w:rsid w:val="0010244C"/>
    <w:rsid w:val="0010276C"/>
    <w:rsid w:val="00103841"/>
    <w:rsid w:val="001061A9"/>
    <w:rsid w:val="00106C79"/>
    <w:rsid w:val="00106FBF"/>
    <w:rsid w:val="00110E55"/>
    <w:rsid w:val="0011208F"/>
    <w:rsid w:val="00113505"/>
    <w:rsid w:val="0011479A"/>
    <w:rsid w:val="001211F8"/>
    <w:rsid w:val="001252ED"/>
    <w:rsid w:val="0012683C"/>
    <w:rsid w:val="001308AF"/>
    <w:rsid w:val="001324BE"/>
    <w:rsid w:val="0013388F"/>
    <w:rsid w:val="00133B09"/>
    <w:rsid w:val="00133C0D"/>
    <w:rsid w:val="00133D87"/>
    <w:rsid w:val="0013491E"/>
    <w:rsid w:val="00134A41"/>
    <w:rsid w:val="00136449"/>
    <w:rsid w:val="00140137"/>
    <w:rsid w:val="001428C3"/>
    <w:rsid w:val="001435F0"/>
    <w:rsid w:val="001468C6"/>
    <w:rsid w:val="0014744A"/>
    <w:rsid w:val="00150972"/>
    <w:rsid w:val="00152353"/>
    <w:rsid w:val="001528B0"/>
    <w:rsid w:val="00153580"/>
    <w:rsid w:val="00153F5F"/>
    <w:rsid w:val="0015581C"/>
    <w:rsid w:val="00156E11"/>
    <w:rsid w:val="001570F2"/>
    <w:rsid w:val="001573D0"/>
    <w:rsid w:val="00160229"/>
    <w:rsid w:val="0016293E"/>
    <w:rsid w:val="00163333"/>
    <w:rsid w:val="00164744"/>
    <w:rsid w:val="00167F55"/>
    <w:rsid w:val="00170C40"/>
    <w:rsid w:val="001715DD"/>
    <w:rsid w:val="00173D70"/>
    <w:rsid w:val="00174373"/>
    <w:rsid w:val="001748B4"/>
    <w:rsid w:val="001750DB"/>
    <w:rsid w:val="0017614C"/>
    <w:rsid w:val="0018011B"/>
    <w:rsid w:val="00180131"/>
    <w:rsid w:val="001802B6"/>
    <w:rsid w:val="001818C4"/>
    <w:rsid w:val="00185C08"/>
    <w:rsid w:val="00187F38"/>
    <w:rsid w:val="00190912"/>
    <w:rsid w:val="00191478"/>
    <w:rsid w:val="001924DE"/>
    <w:rsid w:val="001926C2"/>
    <w:rsid w:val="001A0ABC"/>
    <w:rsid w:val="001A3743"/>
    <w:rsid w:val="001A3A69"/>
    <w:rsid w:val="001A49F8"/>
    <w:rsid w:val="001A4E29"/>
    <w:rsid w:val="001A526C"/>
    <w:rsid w:val="001A53CB"/>
    <w:rsid w:val="001A5626"/>
    <w:rsid w:val="001A5ACC"/>
    <w:rsid w:val="001A6296"/>
    <w:rsid w:val="001A6455"/>
    <w:rsid w:val="001A685E"/>
    <w:rsid w:val="001A722D"/>
    <w:rsid w:val="001A7784"/>
    <w:rsid w:val="001A7D5F"/>
    <w:rsid w:val="001B0899"/>
    <w:rsid w:val="001B092B"/>
    <w:rsid w:val="001B2F90"/>
    <w:rsid w:val="001B380A"/>
    <w:rsid w:val="001B43B7"/>
    <w:rsid w:val="001B4567"/>
    <w:rsid w:val="001B4E8F"/>
    <w:rsid w:val="001B5D20"/>
    <w:rsid w:val="001B78C2"/>
    <w:rsid w:val="001C4732"/>
    <w:rsid w:val="001C4A36"/>
    <w:rsid w:val="001C6BB0"/>
    <w:rsid w:val="001D0032"/>
    <w:rsid w:val="001D004C"/>
    <w:rsid w:val="001D1A3F"/>
    <w:rsid w:val="001D2B58"/>
    <w:rsid w:val="001D3709"/>
    <w:rsid w:val="001D7C01"/>
    <w:rsid w:val="001D7D39"/>
    <w:rsid w:val="001E099A"/>
    <w:rsid w:val="001E0ABA"/>
    <w:rsid w:val="001E0AF6"/>
    <w:rsid w:val="001E1A2D"/>
    <w:rsid w:val="001E2F4B"/>
    <w:rsid w:val="001E3644"/>
    <w:rsid w:val="001E4A42"/>
    <w:rsid w:val="001E66FA"/>
    <w:rsid w:val="001E731A"/>
    <w:rsid w:val="001E7526"/>
    <w:rsid w:val="001E7973"/>
    <w:rsid w:val="001E7D34"/>
    <w:rsid w:val="001F299C"/>
    <w:rsid w:val="001F3431"/>
    <w:rsid w:val="001F4458"/>
    <w:rsid w:val="002026A7"/>
    <w:rsid w:val="00204EFF"/>
    <w:rsid w:val="0020512B"/>
    <w:rsid w:val="00205DB3"/>
    <w:rsid w:val="00210529"/>
    <w:rsid w:val="00210550"/>
    <w:rsid w:val="00210B4E"/>
    <w:rsid w:val="00210C54"/>
    <w:rsid w:val="00211FFF"/>
    <w:rsid w:val="0021271E"/>
    <w:rsid w:val="00217AC0"/>
    <w:rsid w:val="00217D7C"/>
    <w:rsid w:val="00222983"/>
    <w:rsid w:val="0022327C"/>
    <w:rsid w:val="00223DCE"/>
    <w:rsid w:val="002242D1"/>
    <w:rsid w:val="00224B25"/>
    <w:rsid w:val="0023042E"/>
    <w:rsid w:val="00231A6F"/>
    <w:rsid w:val="00232B66"/>
    <w:rsid w:val="00232BF3"/>
    <w:rsid w:val="002340C7"/>
    <w:rsid w:val="00235255"/>
    <w:rsid w:val="00237550"/>
    <w:rsid w:val="0024078D"/>
    <w:rsid w:val="00241054"/>
    <w:rsid w:val="00241FC1"/>
    <w:rsid w:val="00242122"/>
    <w:rsid w:val="00243BD3"/>
    <w:rsid w:val="002479B2"/>
    <w:rsid w:val="0025186D"/>
    <w:rsid w:val="00256677"/>
    <w:rsid w:val="00257573"/>
    <w:rsid w:val="00257FBA"/>
    <w:rsid w:val="00262E06"/>
    <w:rsid w:val="002679C3"/>
    <w:rsid w:val="00273995"/>
    <w:rsid w:val="00273BBC"/>
    <w:rsid w:val="00273CC9"/>
    <w:rsid w:val="00275139"/>
    <w:rsid w:val="00275A61"/>
    <w:rsid w:val="00276822"/>
    <w:rsid w:val="00276C0F"/>
    <w:rsid w:val="00277DDA"/>
    <w:rsid w:val="00283B4A"/>
    <w:rsid w:val="00283EDC"/>
    <w:rsid w:val="00284ACD"/>
    <w:rsid w:val="00286A2E"/>
    <w:rsid w:val="00292DE5"/>
    <w:rsid w:val="00296BF6"/>
    <w:rsid w:val="00296E59"/>
    <w:rsid w:val="002A06FB"/>
    <w:rsid w:val="002A593E"/>
    <w:rsid w:val="002B3CBC"/>
    <w:rsid w:val="002B6B14"/>
    <w:rsid w:val="002C2377"/>
    <w:rsid w:val="002C3889"/>
    <w:rsid w:val="002C3D71"/>
    <w:rsid w:val="002C59E9"/>
    <w:rsid w:val="002C6172"/>
    <w:rsid w:val="002D050C"/>
    <w:rsid w:val="002D19E6"/>
    <w:rsid w:val="002D2315"/>
    <w:rsid w:val="002D2335"/>
    <w:rsid w:val="002D2920"/>
    <w:rsid w:val="002D3F55"/>
    <w:rsid w:val="002D402B"/>
    <w:rsid w:val="002D575E"/>
    <w:rsid w:val="002D5F10"/>
    <w:rsid w:val="002D6474"/>
    <w:rsid w:val="002D6D1D"/>
    <w:rsid w:val="002D790A"/>
    <w:rsid w:val="002D7FA5"/>
    <w:rsid w:val="002E036C"/>
    <w:rsid w:val="002E1108"/>
    <w:rsid w:val="002E1D67"/>
    <w:rsid w:val="002E3D2D"/>
    <w:rsid w:val="002E5422"/>
    <w:rsid w:val="002E6FFA"/>
    <w:rsid w:val="002E76CC"/>
    <w:rsid w:val="002E779E"/>
    <w:rsid w:val="002F1E0B"/>
    <w:rsid w:val="002F47DD"/>
    <w:rsid w:val="002F600E"/>
    <w:rsid w:val="002F6928"/>
    <w:rsid w:val="00300C27"/>
    <w:rsid w:val="0030364B"/>
    <w:rsid w:val="003053D4"/>
    <w:rsid w:val="00312567"/>
    <w:rsid w:val="00312676"/>
    <w:rsid w:val="00313CD8"/>
    <w:rsid w:val="00315818"/>
    <w:rsid w:val="00315D26"/>
    <w:rsid w:val="00321A5F"/>
    <w:rsid w:val="00322B4D"/>
    <w:rsid w:val="00325C5C"/>
    <w:rsid w:val="00331814"/>
    <w:rsid w:val="003338A1"/>
    <w:rsid w:val="00333E7B"/>
    <w:rsid w:val="0033644C"/>
    <w:rsid w:val="00340CF9"/>
    <w:rsid w:val="00342CB3"/>
    <w:rsid w:val="003437B8"/>
    <w:rsid w:val="00343981"/>
    <w:rsid w:val="00345E66"/>
    <w:rsid w:val="0035132E"/>
    <w:rsid w:val="003515C0"/>
    <w:rsid w:val="003534F6"/>
    <w:rsid w:val="0035547E"/>
    <w:rsid w:val="00355546"/>
    <w:rsid w:val="00356731"/>
    <w:rsid w:val="0035760C"/>
    <w:rsid w:val="003608DE"/>
    <w:rsid w:val="0036132B"/>
    <w:rsid w:val="003618A3"/>
    <w:rsid w:val="00361AE9"/>
    <w:rsid w:val="0036331C"/>
    <w:rsid w:val="003646E2"/>
    <w:rsid w:val="00371971"/>
    <w:rsid w:val="00374646"/>
    <w:rsid w:val="00375459"/>
    <w:rsid w:val="00375A8A"/>
    <w:rsid w:val="00376793"/>
    <w:rsid w:val="00377B2A"/>
    <w:rsid w:val="0038258D"/>
    <w:rsid w:val="00383857"/>
    <w:rsid w:val="00384815"/>
    <w:rsid w:val="00385D34"/>
    <w:rsid w:val="003862ED"/>
    <w:rsid w:val="0038697D"/>
    <w:rsid w:val="00387540"/>
    <w:rsid w:val="00390625"/>
    <w:rsid w:val="00390A75"/>
    <w:rsid w:val="00390FB2"/>
    <w:rsid w:val="003915D6"/>
    <w:rsid w:val="003918BE"/>
    <w:rsid w:val="00392FBD"/>
    <w:rsid w:val="00394AAD"/>
    <w:rsid w:val="0039574A"/>
    <w:rsid w:val="00395C92"/>
    <w:rsid w:val="0039682B"/>
    <w:rsid w:val="00397AEC"/>
    <w:rsid w:val="00397C5C"/>
    <w:rsid w:val="00397E19"/>
    <w:rsid w:val="003A061A"/>
    <w:rsid w:val="003A19CB"/>
    <w:rsid w:val="003A3A92"/>
    <w:rsid w:val="003A57B8"/>
    <w:rsid w:val="003B0703"/>
    <w:rsid w:val="003B0D16"/>
    <w:rsid w:val="003B3EB5"/>
    <w:rsid w:val="003B40B4"/>
    <w:rsid w:val="003B68B2"/>
    <w:rsid w:val="003B73A5"/>
    <w:rsid w:val="003C09EA"/>
    <w:rsid w:val="003D0235"/>
    <w:rsid w:val="003D095F"/>
    <w:rsid w:val="003D2B10"/>
    <w:rsid w:val="003D387F"/>
    <w:rsid w:val="003D5F42"/>
    <w:rsid w:val="003D6471"/>
    <w:rsid w:val="003D797C"/>
    <w:rsid w:val="003D7CFC"/>
    <w:rsid w:val="003E19F3"/>
    <w:rsid w:val="003E3998"/>
    <w:rsid w:val="003E4814"/>
    <w:rsid w:val="003E73FA"/>
    <w:rsid w:val="003F0804"/>
    <w:rsid w:val="003F0D1C"/>
    <w:rsid w:val="003F1612"/>
    <w:rsid w:val="003F2734"/>
    <w:rsid w:val="003F2AE1"/>
    <w:rsid w:val="003F3090"/>
    <w:rsid w:val="003F7188"/>
    <w:rsid w:val="003F77B9"/>
    <w:rsid w:val="003F7A1F"/>
    <w:rsid w:val="004000B7"/>
    <w:rsid w:val="00400BE1"/>
    <w:rsid w:val="00400FE0"/>
    <w:rsid w:val="00401ABB"/>
    <w:rsid w:val="004037BC"/>
    <w:rsid w:val="0040530B"/>
    <w:rsid w:val="00406D80"/>
    <w:rsid w:val="00406EC6"/>
    <w:rsid w:val="00410C55"/>
    <w:rsid w:val="0041150E"/>
    <w:rsid w:val="00414AD0"/>
    <w:rsid w:val="00420A82"/>
    <w:rsid w:val="00422665"/>
    <w:rsid w:val="0042379D"/>
    <w:rsid w:val="00424ACA"/>
    <w:rsid w:val="0042519A"/>
    <w:rsid w:val="00426CD4"/>
    <w:rsid w:val="004270D3"/>
    <w:rsid w:val="00431207"/>
    <w:rsid w:val="004343B4"/>
    <w:rsid w:val="00435203"/>
    <w:rsid w:val="00435545"/>
    <w:rsid w:val="00436FCA"/>
    <w:rsid w:val="00440E7B"/>
    <w:rsid w:val="00440E7C"/>
    <w:rsid w:val="00441068"/>
    <w:rsid w:val="00446561"/>
    <w:rsid w:val="00446733"/>
    <w:rsid w:val="00446F46"/>
    <w:rsid w:val="004502A6"/>
    <w:rsid w:val="00451868"/>
    <w:rsid w:val="00452298"/>
    <w:rsid w:val="0045348F"/>
    <w:rsid w:val="004548ED"/>
    <w:rsid w:val="00464480"/>
    <w:rsid w:val="00465DB0"/>
    <w:rsid w:val="00465DC8"/>
    <w:rsid w:val="00470188"/>
    <w:rsid w:val="00470DA3"/>
    <w:rsid w:val="00471443"/>
    <w:rsid w:val="0047187B"/>
    <w:rsid w:val="004733B4"/>
    <w:rsid w:val="0047573A"/>
    <w:rsid w:val="00477C0A"/>
    <w:rsid w:val="00480CC0"/>
    <w:rsid w:val="00481BD8"/>
    <w:rsid w:val="00481CE1"/>
    <w:rsid w:val="00483F78"/>
    <w:rsid w:val="004840B6"/>
    <w:rsid w:val="004857F5"/>
    <w:rsid w:val="00485E48"/>
    <w:rsid w:val="00487B1E"/>
    <w:rsid w:val="00494F8B"/>
    <w:rsid w:val="004A12B6"/>
    <w:rsid w:val="004A2251"/>
    <w:rsid w:val="004A2EEC"/>
    <w:rsid w:val="004A794F"/>
    <w:rsid w:val="004B0E6D"/>
    <w:rsid w:val="004B3076"/>
    <w:rsid w:val="004B36B0"/>
    <w:rsid w:val="004B386B"/>
    <w:rsid w:val="004B57BA"/>
    <w:rsid w:val="004B5A05"/>
    <w:rsid w:val="004C193F"/>
    <w:rsid w:val="004C3BEF"/>
    <w:rsid w:val="004C5EA9"/>
    <w:rsid w:val="004C67E6"/>
    <w:rsid w:val="004C7E4B"/>
    <w:rsid w:val="004D1614"/>
    <w:rsid w:val="004D2D81"/>
    <w:rsid w:val="004D412C"/>
    <w:rsid w:val="004E0676"/>
    <w:rsid w:val="004E0E07"/>
    <w:rsid w:val="004E10FC"/>
    <w:rsid w:val="004E2173"/>
    <w:rsid w:val="004E28E5"/>
    <w:rsid w:val="004E5105"/>
    <w:rsid w:val="004F1554"/>
    <w:rsid w:val="004F5EC1"/>
    <w:rsid w:val="004F7316"/>
    <w:rsid w:val="004F77A4"/>
    <w:rsid w:val="00502AB1"/>
    <w:rsid w:val="00503041"/>
    <w:rsid w:val="00505E56"/>
    <w:rsid w:val="005061BA"/>
    <w:rsid w:val="00506F1D"/>
    <w:rsid w:val="0050717C"/>
    <w:rsid w:val="00507655"/>
    <w:rsid w:val="00507E62"/>
    <w:rsid w:val="005100B1"/>
    <w:rsid w:val="00510B97"/>
    <w:rsid w:val="0051396B"/>
    <w:rsid w:val="00513AC3"/>
    <w:rsid w:val="00520B84"/>
    <w:rsid w:val="00521D95"/>
    <w:rsid w:val="00523E5E"/>
    <w:rsid w:val="00524F5B"/>
    <w:rsid w:val="00525BBA"/>
    <w:rsid w:val="00526CAE"/>
    <w:rsid w:val="00527B34"/>
    <w:rsid w:val="00530DE0"/>
    <w:rsid w:val="00531136"/>
    <w:rsid w:val="00532EA1"/>
    <w:rsid w:val="00534FC6"/>
    <w:rsid w:val="005359B2"/>
    <w:rsid w:val="00537441"/>
    <w:rsid w:val="00541719"/>
    <w:rsid w:val="00541918"/>
    <w:rsid w:val="005451EE"/>
    <w:rsid w:val="005516E6"/>
    <w:rsid w:val="00556339"/>
    <w:rsid w:val="00556F7F"/>
    <w:rsid w:val="00561DC3"/>
    <w:rsid w:val="005665DE"/>
    <w:rsid w:val="00570CE1"/>
    <w:rsid w:val="00571F08"/>
    <w:rsid w:val="0057351A"/>
    <w:rsid w:val="005746FE"/>
    <w:rsid w:val="00577841"/>
    <w:rsid w:val="00577FC9"/>
    <w:rsid w:val="005806C2"/>
    <w:rsid w:val="00581C59"/>
    <w:rsid w:val="00582E89"/>
    <w:rsid w:val="005843E2"/>
    <w:rsid w:val="0058600D"/>
    <w:rsid w:val="005878DB"/>
    <w:rsid w:val="005925E5"/>
    <w:rsid w:val="00592C45"/>
    <w:rsid w:val="00594FA8"/>
    <w:rsid w:val="005957B0"/>
    <w:rsid w:val="005969DE"/>
    <w:rsid w:val="005A2A03"/>
    <w:rsid w:val="005A4FF7"/>
    <w:rsid w:val="005A7870"/>
    <w:rsid w:val="005B095D"/>
    <w:rsid w:val="005B1AB9"/>
    <w:rsid w:val="005B2CBB"/>
    <w:rsid w:val="005B2FBB"/>
    <w:rsid w:val="005B40E8"/>
    <w:rsid w:val="005B6C0F"/>
    <w:rsid w:val="005B70BC"/>
    <w:rsid w:val="005B761D"/>
    <w:rsid w:val="005B7BF2"/>
    <w:rsid w:val="005C0012"/>
    <w:rsid w:val="005C0617"/>
    <w:rsid w:val="005C0937"/>
    <w:rsid w:val="005C0B26"/>
    <w:rsid w:val="005C0CA6"/>
    <w:rsid w:val="005C2C77"/>
    <w:rsid w:val="005C304D"/>
    <w:rsid w:val="005C3419"/>
    <w:rsid w:val="005C4123"/>
    <w:rsid w:val="005C7885"/>
    <w:rsid w:val="005D0FDC"/>
    <w:rsid w:val="005D3F2D"/>
    <w:rsid w:val="005D45AB"/>
    <w:rsid w:val="005D51A5"/>
    <w:rsid w:val="005D6115"/>
    <w:rsid w:val="005E06FA"/>
    <w:rsid w:val="005E12AA"/>
    <w:rsid w:val="005E259A"/>
    <w:rsid w:val="005E3240"/>
    <w:rsid w:val="005E47CB"/>
    <w:rsid w:val="005F0C53"/>
    <w:rsid w:val="005F27DD"/>
    <w:rsid w:val="005F2910"/>
    <w:rsid w:val="005F39FA"/>
    <w:rsid w:val="005F5792"/>
    <w:rsid w:val="005F5B9D"/>
    <w:rsid w:val="005F649A"/>
    <w:rsid w:val="005F7E7C"/>
    <w:rsid w:val="00600777"/>
    <w:rsid w:val="00601F2C"/>
    <w:rsid w:val="00602614"/>
    <w:rsid w:val="006031CD"/>
    <w:rsid w:val="00606A61"/>
    <w:rsid w:val="00607BD9"/>
    <w:rsid w:val="00610134"/>
    <w:rsid w:val="00610175"/>
    <w:rsid w:val="00611F56"/>
    <w:rsid w:val="006158EF"/>
    <w:rsid w:val="00617284"/>
    <w:rsid w:val="006176BB"/>
    <w:rsid w:val="00621059"/>
    <w:rsid w:val="006230F5"/>
    <w:rsid w:val="0063287B"/>
    <w:rsid w:val="00632D31"/>
    <w:rsid w:val="006356CA"/>
    <w:rsid w:val="006364FC"/>
    <w:rsid w:val="00636A13"/>
    <w:rsid w:val="00640C7F"/>
    <w:rsid w:val="00641250"/>
    <w:rsid w:val="00646033"/>
    <w:rsid w:val="006467F6"/>
    <w:rsid w:val="00647885"/>
    <w:rsid w:val="00652A10"/>
    <w:rsid w:val="00652E2B"/>
    <w:rsid w:val="006549A2"/>
    <w:rsid w:val="00657635"/>
    <w:rsid w:val="00660211"/>
    <w:rsid w:val="00665977"/>
    <w:rsid w:val="00665D97"/>
    <w:rsid w:val="00665FCA"/>
    <w:rsid w:val="006669D0"/>
    <w:rsid w:val="00666D2C"/>
    <w:rsid w:val="00667DC3"/>
    <w:rsid w:val="00670293"/>
    <w:rsid w:val="0067034E"/>
    <w:rsid w:val="00672BA7"/>
    <w:rsid w:val="0067373D"/>
    <w:rsid w:val="00673B17"/>
    <w:rsid w:val="00673D19"/>
    <w:rsid w:val="006768DE"/>
    <w:rsid w:val="00677225"/>
    <w:rsid w:val="00677546"/>
    <w:rsid w:val="00680BB3"/>
    <w:rsid w:val="00681099"/>
    <w:rsid w:val="00684D23"/>
    <w:rsid w:val="00687B1F"/>
    <w:rsid w:val="0069228A"/>
    <w:rsid w:val="006A2E12"/>
    <w:rsid w:val="006A4CF0"/>
    <w:rsid w:val="006A4E76"/>
    <w:rsid w:val="006A58DA"/>
    <w:rsid w:val="006A6049"/>
    <w:rsid w:val="006A6906"/>
    <w:rsid w:val="006A6A1F"/>
    <w:rsid w:val="006A7D7B"/>
    <w:rsid w:val="006B0C51"/>
    <w:rsid w:val="006B2255"/>
    <w:rsid w:val="006B35E4"/>
    <w:rsid w:val="006C2BB1"/>
    <w:rsid w:val="006C5015"/>
    <w:rsid w:val="006C63AB"/>
    <w:rsid w:val="006C6F34"/>
    <w:rsid w:val="006C731D"/>
    <w:rsid w:val="006D169D"/>
    <w:rsid w:val="006D21BD"/>
    <w:rsid w:val="006D33E0"/>
    <w:rsid w:val="006D77B7"/>
    <w:rsid w:val="006D7989"/>
    <w:rsid w:val="006E01EB"/>
    <w:rsid w:val="006E2ED5"/>
    <w:rsid w:val="006E3924"/>
    <w:rsid w:val="006E5B5F"/>
    <w:rsid w:val="006E7DAF"/>
    <w:rsid w:val="006F0E5B"/>
    <w:rsid w:val="006F1E7A"/>
    <w:rsid w:val="006F2562"/>
    <w:rsid w:val="006F40C0"/>
    <w:rsid w:val="006F5C7B"/>
    <w:rsid w:val="006F7C1B"/>
    <w:rsid w:val="00701475"/>
    <w:rsid w:val="00701762"/>
    <w:rsid w:val="00703845"/>
    <w:rsid w:val="007042AE"/>
    <w:rsid w:val="0070518B"/>
    <w:rsid w:val="007052B1"/>
    <w:rsid w:val="00705DB8"/>
    <w:rsid w:val="00705FD3"/>
    <w:rsid w:val="00707B47"/>
    <w:rsid w:val="007121BE"/>
    <w:rsid w:val="007123C6"/>
    <w:rsid w:val="00712CA0"/>
    <w:rsid w:val="00713A6F"/>
    <w:rsid w:val="00713E7B"/>
    <w:rsid w:val="007142BB"/>
    <w:rsid w:val="007150D6"/>
    <w:rsid w:val="00715439"/>
    <w:rsid w:val="007156A0"/>
    <w:rsid w:val="00716909"/>
    <w:rsid w:val="00716A2E"/>
    <w:rsid w:val="007174AD"/>
    <w:rsid w:val="007204F4"/>
    <w:rsid w:val="007208EE"/>
    <w:rsid w:val="0072130F"/>
    <w:rsid w:val="007219DC"/>
    <w:rsid w:val="00724F49"/>
    <w:rsid w:val="00732139"/>
    <w:rsid w:val="0073256E"/>
    <w:rsid w:val="00733011"/>
    <w:rsid w:val="007333C8"/>
    <w:rsid w:val="00733DD3"/>
    <w:rsid w:val="00734DBF"/>
    <w:rsid w:val="007363AF"/>
    <w:rsid w:val="0073646A"/>
    <w:rsid w:val="00737A1D"/>
    <w:rsid w:val="00737BCD"/>
    <w:rsid w:val="007405CA"/>
    <w:rsid w:val="0074604B"/>
    <w:rsid w:val="0074649B"/>
    <w:rsid w:val="00754C96"/>
    <w:rsid w:val="00755639"/>
    <w:rsid w:val="0075591E"/>
    <w:rsid w:val="00757099"/>
    <w:rsid w:val="00757586"/>
    <w:rsid w:val="00757A56"/>
    <w:rsid w:val="00761D86"/>
    <w:rsid w:val="00763529"/>
    <w:rsid w:val="007635A7"/>
    <w:rsid w:val="00763D6C"/>
    <w:rsid w:val="00763F6F"/>
    <w:rsid w:val="00764015"/>
    <w:rsid w:val="007653FC"/>
    <w:rsid w:val="00765425"/>
    <w:rsid w:val="00766644"/>
    <w:rsid w:val="00766FAE"/>
    <w:rsid w:val="007679EA"/>
    <w:rsid w:val="0077305C"/>
    <w:rsid w:val="007746C1"/>
    <w:rsid w:val="00775CEA"/>
    <w:rsid w:val="00777C0E"/>
    <w:rsid w:val="00782704"/>
    <w:rsid w:val="00782DB3"/>
    <w:rsid w:val="00783E8F"/>
    <w:rsid w:val="00783F33"/>
    <w:rsid w:val="007919BD"/>
    <w:rsid w:val="00793218"/>
    <w:rsid w:val="00793347"/>
    <w:rsid w:val="00793D48"/>
    <w:rsid w:val="007958F7"/>
    <w:rsid w:val="00797D24"/>
    <w:rsid w:val="007A4EF1"/>
    <w:rsid w:val="007A52C4"/>
    <w:rsid w:val="007A6B3B"/>
    <w:rsid w:val="007A7AED"/>
    <w:rsid w:val="007A7DD9"/>
    <w:rsid w:val="007B1937"/>
    <w:rsid w:val="007B34D4"/>
    <w:rsid w:val="007B3F21"/>
    <w:rsid w:val="007B5C09"/>
    <w:rsid w:val="007C2499"/>
    <w:rsid w:val="007C3017"/>
    <w:rsid w:val="007C5A39"/>
    <w:rsid w:val="007C5BAC"/>
    <w:rsid w:val="007C7384"/>
    <w:rsid w:val="007D0141"/>
    <w:rsid w:val="007D04FC"/>
    <w:rsid w:val="007D0704"/>
    <w:rsid w:val="007D786A"/>
    <w:rsid w:val="007E2BD2"/>
    <w:rsid w:val="007E5269"/>
    <w:rsid w:val="007E59E4"/>
    <w:rsid w:val="007E6D18"/>
    <w:rsid w:val="007E7599"/>
    <w:rsid w:val="007F031F"/>
    <w:rsid w:val="007F0A55"/>
    <w:rsid w:val="007F2E42"/>
    <w:rsid w:val="007F395A"/>
    <w:rsid w:val="007F3BD3"/>
    <w:rsid w:val="007F605E"/>
    <w:rsid w:val="007F67FF"/>
    <w:rsid w:val="007F692C"/>
    <w:rsid w:val="007F6D05"/>
    <w:rsid w:val="00800A5B"/>
    <w:rsid w:val="00800B31"/>
    <w:rsid w:val="008018CC"/>
    <w:rsid w:val="008023B7"/>
    <w:rsid w:val="008023CC"/>
    <w:rsid w:val="0080273E"/>
    <w:rsid w:val="008047C6"/>
    <w:rsid w:val="008113BB"/>
    <w:rsid w:val="008120AB"/>
    <w:rsid w:val="008131C8"/>
    <w:rsid w:val="00816C74"/>
    <w:rsid w:val="00817599"/>
    <w:rsid w:val="008203A5"/>
    <w:rsid w:val="00820615"/>
    <w:rsid w:val="00820AC8"/>
    <w:rsid w:val="008222E4"/>
    <w:rsid w:val="008228EA"/>
    <w:rsid w:val="00830200"/>
    <w:rsid w:val="00832A05"/>
    <w:rsid w:val="00833708"/>
    <w:rsid w:val="00833CFD"/>
    <w:rsid w:val="0083528C"/>
    <w:rsid w:val="00835644"/>
    <w:rsid w:val="00840826"/>
    <w:rsid w:val="008408CE"/>
    <w:rsid w:val="00844C15"/>
    <w:rsid w:val="0085164F"/>
    <w:rsid w:val="0085169D"/>
    <w:rsid w:val="00851F9D"/>
    <w:rsid w:val="00852DD7"/>
    <w:rsid w:val="008550EA"/>
    <w:rsid w:val="00856EB3"/>
    <w:rsid w:val="00857697"/>
    <w:rsid w:val="008608B2"/>
    <w:rsid w:val="00860D33"/>
    <w:rsid w:val="00861A38"/>
    <w:rsid w:val="008627C6"/>
    <w:rsid w:val="008641A2"/>
    <w:rsid w:val="00865F6D"/>
    <w:rsid w:val="00866092"/>
    <w:rsid w:val="008666A3"/>
    <w:rsid w:val="0087021F"/>
    <w:rsid w:val="00870845"/>
    <w:rsid w:val="008740E5"/>
    <w:rsid w:val="008740F3"/>
    <w:rsid w:val="00875E04"/>
    <w:rsid w:val="008761A9"/>
    <w:rsid w:val="008767F9"/>
    <w:rsid w:val="00882B30"/>
    <w:rsid w:val="00883D32"/>
    <w:rsid w:val="008859CA"/>
    <w:rsid w:val="008876F3"/>
    <w:rsid w:val="00890DFD"/>
    <w:rsid w:val="00892C97"/>
    <w:rsid w:val="008932C5"/>
    <w:rsid w:val="00894036"/>
    <w:rsid w:val="00894EB3"/>
    <w:rsid w:val="008970A9"/>
    <w:rsid w:val="008A2003"/>
    <w:rsid w:val="008A3290"/>
    <w:rsid w:val="008A3B11"/>
    <w:rsid w:val="008A5A18"/>
    <w:rsid w:val="008A5CAE"/>
    <w:rsid w:val="008A61D0"/>
    <w:rsid w:val="008A7664"/>
    <w:rsid w:val="008A7AA7"/>
    <w:rsid w:val="008B135C"/>
    <w:rsid w:val="008B3B4D"/>
    <w:rsid w:val="008B61C6"/>
    <w:rsid w:val="008B6FE0"/>
    <w:rsid w:val="008C1F5D"/>
    <w:rsid w:val="008C21D9"/>
    <w:rsid w:val="008C2AD1"/>
    <w:rsid w:val="008C3134"/>
    <w:rsid w:val="008C3BBC"/>
    <w:rsid w:val="008C42C9"/>
    <w:rsid w:val="008C49AD"/>
    <w:rsid w:val="008C598D"/>
    <w:rsid w:val="008D0970"/>
    <w:rsid w:val="008D1E9E"/>
    <w:rsid w:val="008D2439"/>
    <w:rsid w:val="008D2659"/>
    <w:rsid w:val="008D586A"/>
    <w:rsid w:val="008E0A50"/>
    <w:rsid w:val="008E1F03"/>
    <w:rsid w:val="008E2F9A"/>
    <w:rsid w:val="008E394B"/>
    <w:rsid w:val="008E56E5"/>
    <w:rsid w:val="008E6DD2"/>
    <w:rsid w:val="008F4DDC"/>
    <w:rsid w:val="008F59D4"/>
    <w:rsid w:val="008F7BC6"/>
    <w:rsid w:val="0090060B"/>
    <w:rsid w:val="009039B1"/>
    <w:rsid w:val="00904160"/>
    <w:rsid w:val="009059F5"/>
    <w:rsid w:val="00905F64"/>
    <w:rsid w:val="00905FFE"/>
    <w:rsid w:val="0090600B"/>
    <w:rsid w:val="0090689B"/>
    <w:rsid w:val="00906DCA"/>
    <w:rsid w:val="009115DF"/>
    <w:rsid w:val="0091245E"/>
    <w:rsid w:val="009159B5"/>
    <w:rsid w:val="00915D11"/>
    <w:rsid w:val="009214F7"/>
    <w:rsid w:val="009221AF"/>
    <w:rsid w:val="0092538D"/>
    <w:rsid w:val="00931C9C"/>
    <w:rsid w:val="00932C1C"/>
    <w:rsid w:val="00935BF5"/>
    <w:rsid w:val="009371AC"/>
    <w:rsid w:val="00937E7E"/>
    <w:rsid w:val="009439BB"/>
    <w:rsid w:val="009441E6"/>
    <w:rsid w:val="00944ACE"/>
    <w:rsid w:val="00947C9B"/>
    <w:rsid w:val="0095142D"/>
    <w:rsid w:val="00954041"/>
    <w:rsid w:val="00956EAF"/>
    <w:rsid w:val="00956FCE"/>
    <w:rsid w:val="00956FE3"/>
    <w:rsid w:val="00957D73"/>
    <w:rsid w:val="009620D2"/>
    <w:rsid w:val="009632EE"/>
    <w:rsid w:val="00965C49"/>
    <w:rsid w:val="00966E50"/>
    <w:rsid w:val="009677A4"/>
    <w:rsid w:val="0097340B"/>
    <w:rsid w:val="009753D4"/>
    <w:rsid w:val="009754A8"/>
    <w:rsid w:val="00980053"/>
    <w:rsid w:val="00984988"/>
    <w:rsid w:val="0098544C"/>
    <w:rsid w:val="0098559F"/>
    <w:rsid w:val="009860E1"/>
    <w:rsid w:val="009904B0"/>
    <w:rsid w:val="009907A7"/>
    <w:rsid w:val="00990EED"/>
    <w:rsid w:val="0099179E"/>
    <w:rsid w:val="00994A52"/>
    <w:rsid w:val="009974F0"/>
    <w:rsid w:val="009A1021"/>
    <w:rsid w:val="009A26A0"/>
    <w:rsid w:val="009A26ED"/>
    <w:rsid w:val="009A39D3"/>
    <w:rsid w:val="009A4A8B"/>
    <w:rsid w:val="009A67D9"/>
    <w:rsid w:val="009B07E8"/>
    <w:rsid w:val="009B41DF"/>
    <w:rsid w:val="009B576E"/>
    <w:rsid w:val="009C0451"/>
    <w:rsid w:val="009C307E"/>
    <w:rsid w:val="009C5D98"/>
    <w:rsid w:val="009D1F66"/>
    <w:rsid w:val="009D3C2D"/>
    <w:rsid w:val="009D3D8B"/>
    <w:rsid w:val="009D4067"/>
    <w:rsid w:val="009D50DC"/>
    <w:rsid w:val="009D5368"/>
    <w:rsid w:val="009D53B6"/>
    <w:rsid w:val="009D7FA0"/>
    <w:rsid w:val="009E1991"/>
    <w:rsid w:val="009E273B"/>
    <w:rsid w:val="009E2A68"/>
    <w:rsid w:val="009E561B"/>
    <w:rsid w:val="009E58F7"/>
    <w:rsid w:val="009F223D"/>
    <w:rsid w:val="009F27A6"/>
    <w:rsid w:val="009F2E70"/>
    <w:rsid w:val="009F323A"/>
    <w:rsid w:val="009F5EC9"/>
    <w:rsid w:val="009F5EE7"/>
    <w:rsid w:val="009F72BD"/>
    <w:rsid w:val="00A005C2"/>
    <w:rsid w:val="00A00C40"/>
    <w:rsid w:val="00A00E7A"/>
    <w:rsid w:val="00A00ED0"/>
    <w:rsid w:val="00A0130E"/>
    <w:rsid w:val="00A0358B"/>
    <w:rsid w:val="00A03E29"/>
    <w:rsid w:val="00A04817"/>
    <w:rsid w:val="00A0555A"/>
    <w:rsid w:val="00A065CF"/>
    <w:rsid w:val="00A06D9F"/>
    <w:rsid w:val="00A1283C"/>
    <w:rsid w:val="00A12A05"/>
    <w:rsid w:val="00A13460"/>
    <w:rsid w:val="00A139C8"/>
    <w:rsid w:val="00A1473D"/>
    <w:rsid w:val="00A156C1"/>
    <w:rsid w:val="00A15B18"/>
    <w:rsid w:val="00A2008E"/>
    <w:rsid w:val="00A2013E"/>
    <w:rsid w:val="00A20576"/>
    <w:rsid w:val="00A21322"/>
    <w:rsid w:val="00A21A8F"/>
    <w:rsid w:val="00A23BF8"/>
    <w:rsid w:val="00A2459F"/>
    <w:rsid w:val="00A2470B"/>
    <w:rsid w:val="00A2563C"/>
    <w:rsid w:val="00A25889"/>
    <w:rsid w:val="00A25E32"/>
    <w:rsid w:val="00A2647E"/>
    <w:rsid w:val="00A30C8C"/>
    <w:rsid w:val="00A31963"/>
    <w:rsid w:val="00A320D5"/>
    <w:rsid w:val="00A323DB"/>
    <w:rsid w:val="00A344D5"/>
    <w:rsid w:val="00A346D8"/>
    <w:rsid w:val="00A3478F"/>
    <w:rsid w:val="00A4230C"/>
    <w:rsid w:val="00A42BD2"/>
    <w:rsid w:val="00A4311A"/>
    <w:rsid w:val="00A44DEE"/>
    <w:rsid w:val="00A601DD"/>
    <w:rsid w:val="00A6507A"/>
    <w:rsid w:val="00A65270"/>
    <w:rsid w:val="00A6566D"/>
    <w:rsid w:val="00A67446"/>
    <w:rsid w:val="00A705E9"/>
    <w:rsid w:val="00A7699B"/>
    <w:rsid w:val="00A76C8E"/>
    <w:rsid w:val="00A80482"/>
    <w:rsid w:val="00A851CB"/>
    <w:rsid w:val="00A873D8"/>
    <w:rsid w:val="00A90878"/>
    <w:rsid w:val="00A91483"/>
    <w:rsid w:val="00A9245B"/>
    <w:rsid w:val="00A93C71"/>
    <w:rsid w:val="00A94867"/>
    <w:rsid w:val="00A94B8F"/>
    <w:rsid w:val="00A9553F"/>
    <w:rsid w:val="00A95DA8"/>
    <w:rsid w:val="00A964B0"/>
    <w:rsid w:val="00A9763B"/>
    <w:rsid w:val="00A97E3B"/>
    <w:rsid w:val="00AA1BB5"/>
    <w:rsid w:val="00AA7E7A"/>
    <w:rsid w:val="00AB0CDC"/>
    <w:rsid w:val="00AB14D9"/>
    <w:rsid w:val="00AB62A5"/>
    <w:rsid w:val="00AC1015"/>
    <w:rsid w:val="00AC2029"/>
    <w:rsid w:val="00AC22F6"/>
    <w:rsid w:val="00AC2EBB"/>
    <w:rsid w:val="00AC2F0D"/>
    <w:rsid w:val="00AC407E"/>
    <w:rsid w:val="00AC51EB"/>
    <w:rsid w:val="00AC5CAC"/>
    <w:rsid w:val="00AC7BF1"/>
    <w:rsid w:val="00AD02C7"/>
    <w:rsid w:val="00AD20B3"/>
    <w:rsid w:val="00AD2660"/>
    <w:rsid w:val="00AD276C"/>
    <w:rsid w:val="00AD2F31"/>
    <w:rsid w:val="00AD40ED"/>
    <w:rsid w:val="00AD6A86"/>
    <w:rsid w:val="00AE09FE"/>
    <w:rsid w:val="00AE0DFC"/>
    <w:rsid w:val="00AE1FD4"/>
    <w:rsid w:val="00AE4D10"/>
    <w:rsid w:val="00AE538D"/>
    <w:rsid w:val="00AE7872"/>
    <w:rsid w:val="00AE7E4B"/>
    <w:rsid w:val="00AF202F"/>
    <w:rsid w:val="00AF2ED4"/>
    <w:rsid w:val="00AF4000"/>
    <w:rsid w:val="00AF4ED4"/>
    <w:rsid w:val="00AF5078"/>
    <w:rsid w:val="00B0060C"/>
    <w:rsid w:val="00B00797"/>
    <w:rsid w:val="00B0491C"/>
    <w:rsid w:val="00B06077"/>
    <w:rsid w:val="00B07B9A"/>
    <w:rsid w:val="00B1246B"/>
    <w:rsid w:val="00B1264B"/>
    <w:rsid w:val="00B144C8"/>
    <w:rsid w:val="00B15C6C"/>
    <w:rsid w:val="00B16778"/>
    <w:rsid w:val="00B17DEE"/>
    <w:rsid w:val="00B201A7"/>
    <w:rsid w:val="00B205D5"/>
    <w:rsid w:val="00B20DDB"/>
    <w:rsid w:val="00B26525"/>
    <w:rsid w:val="00B26923"/>
    <w:rsid w:val="00B26EF3"/>
    <w:rsid w:val="00B318D6"/>
    <w:rsid w:val="00B32388"/>
    <w:rsid w:val="00B326D9"/>
    <w:rsid w:val="00B3616E"/>
    <w:rsid w:val="00B375FE"/>
    <w:rsid w:val="00B40296"/>
    <w:rsid w:val="00B427D4"/>
    <w:rsid w:val="00B428BE"/>
    <w:rsid w:val="00B4292E"/>
    <w:rsid w:val="00B45103"/>
    <w:rsid w:val="00B45F39"/>
    <w:rsid w:val="00B45FB7"/>
    <w:rsid w:val="00B47234"/>
    <w:rsid w:val="00B527A6"/>
    <w:rsid w:val="00B52945"/>
    <w:rsid w:val="00B54451"/>
    <w:rsid w:val="00B54D10"/>
    <w:rsid w:val="00B552BB"/>
    <w:rsid w:val="00B62135"/>
    <w:rsid w:val="00B63C24"/>
    <w:rsid w:val="00B65319"/>
    <w:rsid w:val="00B66D1C"/>
    <w:rsid w:val="00B67024"/>
    <w:rsid w:val="00B67F65"/>
    <w:rsid w:val="00B7005C"/>
    <w:rsid w:val="00B73AAE"/>
    <w:rsid w:val="00B75F68"/>
    <w:rsid w:val="00B8019E"/>
    <w:rsid w:val="00B80221"/>
    <w:rsid w:val="00B80D99"/>
    <w:rsid w:val="00B8183B"/>
    <w:rsid w:val="00B82249"/>
    <w:rsid w:val="00B84384"/>
    <w:rsid w:val="00B8444A"/>
    <w:rsid w:val="00B864EA"/>
    <w:rsid w:val="00B875F0"/>
    <w:rsid w:val="00B87851"/>
    <w:rsid w:val="00B87CF9"/>
    <w:rsid w:val="00B9255B"/>
    <w:rsid w:val="00B92E67"/>
    <w:rsid w:val="00B9360B"/>
    <w:rsid w:val="00B9667C"/>
    <w:rsid w:val="00B97F78"/>
    <w:rsid w:val="00BA47E7"/>
    <w:rsid w:val="00BA634A"/>
    <w:rsid w:val="00BB1814"/>
    <w:rsid w:val="00BB23B4"/>
    <w:rsid w:val="00BB277A"/>
    <w:rsid w:val="00BB612A"/>
    <w:rsid w:val="00BB6894"/>
    <w:rsid w:val="00BB6912"/>
    <w:rsid w:val="00BB728E"/>
    <w:rsid w:val="00BC0DDA"/>
    <w:rsid w:val="00BC1085"/>
    <w:rsid w:val="00BC40D9"/>
    <w:rsid w:val="00BC4855"/>
    <w:rsid w:val="00BC4E5B"/>
    <w:rsid w:val="00BC510F"/>
    <w:rsid w:val="00BC6C45"/>
    <w:rsid w:val="00BC7958"/>
    <w:rsid w:val="00BC7A2A"/>
    <w:rsid w:val="00BD0700"/>
    <w:rsid w:val="00BD2B44"/>
    <w:rsid w:val="00BD401F"/>
    <w:rsid w:val="00BD45CE"/>
    <w:rsid w:val="00BD4C1B"/>
    <w:rsid w:val="00BD5F01"/>
    <w:rsid w:val="00BD61DC"/>
    <w:rsid w:val="00BD6CDF"/>
    <w:rsid w:val="00BD6EA0"/>
    <w:rsid w:val="00BD7E22"/>
    <w:rsid w:val="00BE08FC"/>
    <w:rsid w:val="00BE3196"/>
    <w:rsid w:val="00BE34B6"/>
    <w:rsid w:val="00BE5C0B"/>
    <w:rsid w:val="00BE7181"/>
    <w:rsid w:val="00BE793A"/>
    <w:rsid w:val="00BF0AE5"/>
    <w:rsid w:val="00BF0FC7"/>
    <w:rsid w:val="00BF2DF1"/>
    <w:rsid w:val="00BF3678"/>
    <w:rsid w:val="00BF50AE"/>
    <w:rsid w:val="00BF639F"/>
    <w:rsid w:val="00BF697C"/>
    <w:rsid w:val="00BF6AA3"/>
    <w:rsid w:val="00C034FB"/>
    <w:rsid w:val="00C07D17"/>
    <w:rsid w:val="00C11FD2"/>
    <w:rsid w:val="00C13136"/>
    <w:rsid w:val="00C13A11"/>
    <w:rsid w:val="00C13D7E"/>
    <w:rsid w:val="00C15C56"/>
    <w:rsid w:val="00C16438"/>
    <w:rsid w:val="00C17458"/>
    <w:rsid w:val="00C1799D"/>
    <w:rsid w:val="00C20B5C"/>
    <w:rsid w:val="00C23A06"/>
    <w:rsid w:val="00C306C8"/>
    <w:rsid w:val="00C310AB"/>
    <w:rsid w:val="00C310E8"/>
    <w:rsid w:val="00C31EBC"/>
    <w:rsid w:val="00C33D07"/>
    <w:rsid w:val="00C341C3"/>
    <w:rsid w:val="00C34C9D"/>
    <w:rsid w:val="00C35238"/>
    <w:rsid w:val="00C352E1"/>
    <w:rsid w:val="00C37763"/>
    <w:rsid w:val="00C41FE2"/>
    <w:rsid w:val="00C4236C"/>
    <w:rsid w:val="00C42E85"/>
    <w:rsid w:val="00C444A5"/>
    <w:rsid w:val="00C45403"/>
    <w:rsid w:val="00C45B2C"/>
    <w:rsid w:val="00C46DA9"/>
    <w:rsid w:val="00C51C75"/>
    <w:rsid w:val="00C526CA"/>
    <w:rsid w:val="00C53614"/>
    <w:rsid w:val="00C537E7"/>
    <w:rsid w:val="00C54173"/>
    <w:rsid w:val="00C5686E"/>
    <w:rsid w:val="00C56AEF"/>
    <w:rsid w:val="00C57006"/>
    <w:rsid w:val="00C57A47"/>
    <w:rsid w:val="00C63CAF"/>
    <w:rsid w:val="00C65350"/>
    <w:rsid w:val="00C66117"/>
    <w:rsid w:val="00C66443"/>
    <w:rsid w:val="00C67209"/>
    <w:rsid w:val="00C679F1"/>
    <w:rsid w:val="00C71116"/>
    <w:rsid w:val="00C71E77"/>
    <w:rsid w:val="00C72ED8"/>
    <w:rsid w:val="00C755BF"/>
    <w:rsid w:val="00C773B6"/>
    <w:rsid w:val="00C77FA2"/>
    <w:rsid w:val="00C827BB"/>
    <w:rsid w:val="00C828D2"/>
    <w:rsid w:val="00C86DE7"/>
    <w:rsid w:val="00C879BA"/>
    <w:rsid w:val="00C910D5"/>
    <w:rsid w:val="00C94225"/>
    <w:rsid w:val="00C94937"/>
    <w:rsid w:val="00C94C05"/>
    <w:rsid w:val="00C94C11"/>
    <w:rsid w:val="00C94D09"/>
    <w:rsid w:val="00C963F1"/>
    <w:rsid w:val="00C9745E"/>
    <w:rsid w:val="00CA044F"/>
    <w:rsid w:val="00CA1C0E"/>
    <w:rsid w:val="00CA30EE"/>
    <w:rsid w:val="00CA3E9A"/>
    <w:rsid w:val="00CA69F4"/>
    <w:rsid w:val="00CA6A2C"/>
    <w:rsid w:val="00CB2F75"/>
    <w:rsid w:val="00CB31BA"/>
    <w:rsid w:val="00CB425A"/>
    <w:rsid w:val="00CB7991"/>
    <w:rsid w:val="00CC10FF"/>
    <w:rsid w:val="00CC13F3"/>
    <w:rsid w:val="00CC255B"/>
    <w:rsid w:val="00CC2860"/>
    <w:rsid w:val="00CC630C"/>
    <w:rsid w:val="00CC719D"/>
    <w:rsid w:val="00CC7311"/>
    <w:rsid w:val="00CD325F"/>
    <w:rsid w:val="00CD50D1"/>
    <w:rsid w:val="00CD7A08"/>
    <w:rsid w:val="00CE0A11"/>
    <w:rsid w:val="00CE1737"/>
    <w:rsid w:val="00CE34C9"/>
    <w:rsid w:val="00CE3EA0"/>
    <w:rsid w:val="00CE74B5"/>
    <w:rsid w:val="00CE7FBD"/>
    <w:rsid w:val="00CF1AA2"/>
    <w:rsid w:val="00CF2092"/>
    <w:rsid w:val="00CF523F"/>
    <w:rsid w:val="00CF5CF8"/>
    <w:rsid w:val="00CF693B"/>
    <w:rsid w:val="00CF70EF"/>
    <w:rsid w:val="00CF7166"/>
    <w:rsid w:val="00CF746F"/>
    <w:rsid w:val="00D01D2F"/>
    <w:rsid w:val="00D026B9"/>
    <w:rsid w:val="00D02FA9"/>
    <w:rsid w:val="00D1177B"/>
    <w:rsid w:val="00D11AB9"/>
    <w:rsid w:val="00D12646"/>
    <w:rsid w:val="00D12973"/>
    <w:rsid w:val="00D1326E"/>
    <w:rsid w:val="00D138A4"/>
    <w:rsid w:val="00D14204"/>
    <w:rsid w:val="00D14DD2"/>
    <w:rsid w:val="00D1522B"/>
    <w:rsid w:val="00D15353"/>
    <w:rsid w:val="00D17A3F"/>
    <w:rsid w:val="00D21B99"/>
    <w:rsid w:val="00D223C9"/>
    <w:rsid w:val="00D22428"/>
    <w:rsid w:val="00D2267C"/>
    <w:rsid w:val="00D234FB"/>
    <w:rsid w:val="00D240C3"/>
    <w:rsid w:val="00D254B3"/>
    <w:rsid w:val="00D25AC7"/>
    <w:rsid w:val="00D2665A"/>
    <w:rsid w:val="00D2670A"/>
    <w:rsid w:val="00D27C7C"/>
    <w:rsid w:val="00D30C48"/>
    <w:rsid w:val="00D31A88"/>
    <w:rsid w:val="00D330FF"/>
    <w:rsid w:val="00D37AA9"/>
    <w:rsid w:val="00D428A0"/>
    <w:rsid w:val="00D42C36"/>
    <w:rsid w:val="00D42E53"/>
    <w:rsid w:val="00D43507"/>
    <w:rsid w:val="00D43FA9"/>
    <w:rsid w:val="00D443DC"/>
    <w:rsid w:val="00D52876"/>
    <w:rsid w:val="00D5355E"/>
    <w:rsid w:val="00D558CA"/>
    <w:rsid w:val="00D5728D"/>
    <w:rsid w:val="00D57B91"/>
    <w:rsid w:val="00D627E2"/>
    <w:rsid w:val="00D6319E"/>
    <w:rsid w:val="00D643F7"/>
    <w:rsid w:val="00D6545B"/>
    <w:rsid w:val="00D654A3"/>
    <w:rsid w:val="00D66A68"/>
    <w:rsid w:val="00D752C1"/>
    <w:rsid w:val="00D7540D"/>
    <w:rsid w:val="00D7695D"/>
    <w:rsid w:val="00D77040"/>
    <w:rsid w:val="00D82A26"/>
    <w:rsid w:val="00D869CC"/>
    <w:rsid w:val="00D87DD0"/>
    <w:rsid w:val="00D900CE"/>
    <w:rsid w:val="00D92CD2"/>
    <w:rsid w:val="00D94896"/>
    <w:rsid w:val="00D94BAB"/>
    <w:rsid w:val="00D94DD5"/>
    <w:rsid w:val="00D953C5"/>
    <w:rsid w:val="00D96352"/>
    <w:rsid w:val="00DA0AD7"/>
    <w:rsid w:val="00DA25D1"/>
    <w:rsid w:val="00DA3A83"/>
    <w:rsid w:val="00DA55DB"/>
    <w:rsid w:val="00DB0C9C"/>
    <w:rsid w:val="00DB17F9"/>
    <w:rsid w:val="00DB1E22"/>
    <w:rsid w:val="00DB4B56"/>
    <w:rsid w:val="00DC024E"/>
    <w:rsid w:val="00DC0AAD"/>
    <w:rsid w:val="00DC272B"/>
    <w:rsid w:val="00DC44AF"/>
    <w:rsid w:val="00DD09BB"/>
    <w:rsid w:val="00DD4C90"/>
    <w:rsid w:val="00DE5641"/>
    <w:rsid w:val="00DE6AE1"/>
    <w:rsid w:val="00DE72F7"/>
    <w:rsid w:val="00DE7F58"/>
    <w:rsid w:val="00DF00E9"/>
    <w:rsid w:val="00DF1EF5"/>
    <w:rsid w:val="00DF25FB"/>
    <w:rsid w:val="00DF485C"/>
    <w:rsid w:val="00DF4F55"/>
    <w:rsid w:val="00DF545B"/>
    <w:rsid w:val="00DF587C"/>
    <w:rsid w:val="00E0009C"/>
    <w:rsid w:val="00E02471"/>
    <w:rsid w:val="00E02ECF"/>
    <w:rsid w:val="00E02EEC"/>
    <w:rsid w:val="00E0468D"/>
    <w:rsid w:val="00E06072"/>
    <w:rsid w:val="00E07829"/>
    <w:rsid w:val="00E10F4D"/>
    <w:rsid w:val="00E17AF7"/>
    <w:rsid w:val="00E17F89"/>
    <w:rsid w:val="00E22099"/>
    <w:rsid w:val="00E24482"/>
    <w:rsid w:val="00E24E13"/>
    <w:rsid w:val="00E25D38"/>
    <w:rsid w:val="00E25FDC"/>
    <w:rsid w:val="00E261C2"/>
    <w:rsid w:val="00E26B43"/>
    <w:rsid w:val="00E30F00"/>
    <w:rsid w:val="00E365CD"/>
    <w:rsid w:val="00E369BE"/>
    <w:rsid w:val="00E36E65"/>
    <w:rsid w:val="00E415E7"/>
    <w:rsid w:val="00E417C2"/>
    <w:rsid w:val="00E419D3"/>
    <w:rsid w:val="00E43688"/>
    <w:rsid w:val="00E43FD1"/>
    <w:rsid w:val="00E4581B"/>
    <w:rsid w:val="00E502A8"/>
    <w:rsid w:val="00E50CBB"/>
    <w:rsid w:val="00E534EC"/>
    <w:rsid w:val="00E565C8"/>
    <w:rsid w:val="00E5775D"/>
    <w:rsid w:val="00E61681"/>
    <w:rsid w:val="00E63779"/>
    <w:rsid w:val="00E6610E"/>
    <w:rsid w:val="00E66F56"/>
    <w:rsid w:val="00E674A9"/>
    <w:rsid w:val="00E73EDF"/>
    <w:rsid w:val="00E74F44"/>
    <w:rsid w:val="00E751B7"/>
    <w:rsid w:val="00E76FD1"/>
    <w:rsid w:val="00E77396"/>
    <w:rsid w:val="00E81500"/>
    <w:rsid w:val="00E82F9A"/>
    <w:rsid w:val="00E84648"/>
    <w:rsid w:val="00E84B63"/>
    <w:rsid w:val="00E850E9"/>
    <w:rsid w:val="00E861D6"/>
    <w:rsid w:val="00E9162B"/>
    <w:rsid w:val="00E96536"/>
    <w:rsid w:val="00E96D6A"/>
    <w:rsid w:val="00E96E9D"/>
    <w:rsid w:val="00EA4A2F"/>
    <w:rsid w:val="00EB1D5A"/>
    <w:rsid w:val="00EB2BAB"/>
    <w:rsid w:val="00EB405C"/>
    <w:rsid w:val="00EB43E9"/>
    <w:rsid w:val="00EB5347"/>
    <w:rsid w:val="00EC19C7"/>
    <w:rsid w:val="00EC4E9E"/>
    <w:rsid w:val="00EC5D97"/>
    <w:rsid w:val="00ED0377"/>
    <w:rsid w:val="00ED10CC"/>
    <w:rsid w:val="00ED2B3A"/>
    <w:rsid w:val="00ED3235"/>
    <w:rsid w:val="00ED359D"/>
    <w:rsid w:val="00ED49F6"/>
    <w:rsid w:val="00ED681A"/>
    <w:rsid w:val="00ED6FEF"/>
    <w:rsid w:val="00EE00CC"/>
    <w:rsid w:val="00EE1250"/>
    <w:rsid w:val="00EE1959"/>
    <w:rsid w:val="00EE1A5A"/>
    <w:rsid w:val="00EE221A"/>
    <w:rsid w:val="00EE288B"/>
    <w:rsid w:val="00EE645B"/>
    <w:rsid w:val="00EE6EB0"/>
    <w:rsid w:val="00EF1E2A"/>
    <w:rsid w:val="00EF2463"/>
    <w:rsid w:val="00EF2828"/>
    <w:rsid w:val="00EF4184"/>
    <w:rsid w:val="00EF466F"/>
    <w:rsid w:val="00EF7905"/>
    <w:rsid w:val="00F001ED"/>
    <w:rsid w:val="00F0128D"/>
    <w:rsid w:val="00F015DD"/>
    <w:rsid w:val="00F04C19"/>
    <w:rsid w:val="00F10803"/>
    <w:rsid w:val="00F10CF2"/>
    <w:rsid w:val="00F12C6A"/>
    <w:rsid w:val="00F13D6C"/>
    <w:rsid w:val="00F14809"/>
    <w:rsid w:val="00F174D0"/>
    <w:rsid w:val="00F17B8E"/>
    <w:rsid w:val="00F20C6D"/>
    <w:rsid w:val="00F21C12"/>
    <w:rsid w:val="00F23EDD"/>
    <w:rsid w:val="00F24FB2"/>
    <w:rsid w:val="00F25EA0"/>
    <w:rsid w:val="00F31867"/>
    <w:rsid w:val="00F32C9A"/>
    <w:rsid w:val="00F33009"/>
    <w:rsid w:val="00F33E6E"/>
    <w:rsid w:val="00F346EC"/>
    <w:rsid w:val="00F34FD9"/>
    <w:rsid w:val="00F365D2"/>
    <w:rsid w:val="00F36977"/>
    <w:rsid w:val="00F36E91"/>
    <w:rsid w:val="00F3791B"/>
    <w:rsid w:val="00F4180D"/>
    <w:rsid w:val="00F42645"/>
    <w:rsid w:val="00F430B7"/>
    <w:rsid w:val="00F4514A"/>
    <w:rsid w:val="00F46A6C"/>
    <w:rsid w:val="00F46E54"/>
    <w:rsid w:val="00F47C16"/>
    <w:rsid w:val="00F505E4"/>
    <w:rsid w:val="00F505F3"/>
    <w:rsid w:val="00F5097D"/>
    <w:rsid w:val="00F51CD0"/>
    <w:rsid w:val="00F520DC"/>
    <w:rsid w:val="00F52C65"/>
    <w:rsid w:val="00F52E9E"/>
    <w:rsid w:val="00F550FF"/>
    <w:rsid w:val="00F56F65"/>
    <w:rsid w:val="00F57601"/>
    <w:rsid w:val="00F61E5D"/>
    <w:rsid w:val="00F6217F"/>
    <w:rsid w:val="00F6243C"/>
    <w:rsid w:val="00F62D34"/>
    <w:rsid w:val="00F64295"/>
    <w:rsid w:val="00F672EF"/>
    <w:rsid w:val="00F71344"/>
    <w:rsid w:val="00F7272A"/>
    <w:rsid w:val="00F73D61"/>
    <w:rsid w:val="00F742D9"/>
    <w:rsid w:val="00F754ED"/>
    <w:rsid w:val="00F7619D"/>
    <w:rsid w:val="00F8000F"/>
    <w:rsid w:val="00F82771"/>
    <w:rsid w:val="00F8373A"/>
    <w:rsid w:val="00F8433A"/>
    <w:rsid w:val="00F85BA1"/>
    <w:rsid w:val="00F86D6E"/>
    <w:rsid w:val="00F92452"/>
    <w:rsid w:val="00F929BD"/>
    <w:rsid w:val="00F93B00"/>
    <w:rsid w:val="00F944DD"/>
    <w:rsid w:val="00F954CF"/>
    <w:rsid w:val="00FA0493"/>
    <w:rsid w:val="00FA09E1"/>
    <w:rsid w:val="00FA0E86"/>
    <w:rsid w:val="00FA1165"/>
    <w:rsid w:val="00FA2EEC"/>
    <w:rsid w:val="00FA3125"/>
    <w:rsid w:val="00FA428D"/>
    <w:rsid w:val="00FA5A96"/>
    <w:rsid w:val="00FA6E55"/>
    <w:rsid w:val="00FB0F8D"/>
    <w:rsid w:val="00FB10F5"/>
    <w:rsid w:val="00FB3AF4"/>
    <w:rsid w:val="00FB4E2A"/>
    <w:rsid w:val="00FB503D"/>
    <w:rsid w:val="00FB7C03"/>
    <w:rsid w:val="00FB7C43"/>
    <w:rsid w:val="00FC123B"/>
    <w:rsid w:val="00FC7CF5"/>
    <w:rsid w:val="00FD40B9"/>
    <w:rsid w:val="00FD4D73"/>
    <w:rsid w:val="00FD509F"/>
    <w:rsid w:val="00FD7386"/>
    <w:rsid w:val="00FE2183"/>
    <w:rsid w:val="00FE22C3"/>
    <w:rsid w:val="00FE2FA3"/>
    <w:rsid w:val="00FE3F85"/>
    <w:rsid w:val="00FE469C"/>
    <w:rsid w:val="00FE486F"/>
    <w:rsid w:val="00FE6EBA"/>
    <w:rsid w:val="00FF1D5E"/>
    <w:rsid w:val="00FF3B1C"/>
    <w:rsid w:val="00FF6266"/>
    <w:rsid w:val="00FF746F"/>
    <w:rsid w:val="00FF74C7"/>
    <w:rsid w:val="0186ABEA"/>
    <w:rsid w:val="01C89DEF"/>
    <w:rsid w:val="0346BA08"/>
    <w:rsid w:val="0353471E"/>
    <w:rsid w:val="03A12A8C"/>
    <w:rsid w:val="03DD794B"/>
    <w:rsid w:val="03EFEDAA"/>
    <w:rsid w:val="043F246C"/>
    <w:rsid w:val="04E8E3B7"/>
    <w:rsid w:val="069DEBAC"/>
    <w:rsid w:val="0856C94C"/>
    <w:rsid w:val="09B327E5"/>
    <w:rsid w:val="0B20819F"/>
    <w:rsid w:val="0BDF6A11"/>
    <w:rsid w:val="0C145981"/>
    <w:rsid w:val="0FFA6126"/>
    <w:rsid w:val="117074A3"/>
    <w:rsid w:val="11D04969"/>
    <w:rsid w:val="130C4504"/>
    <w:rsid w:val="14A81565"/>
    <w:rsid w:val="17D2F351"/>
    <w:rsid w:val="19F88E9B"/>
    <w:rsid w:val="1A8C8317"/>
    <w:rsid w:val="1B131911"/>
    <w:rsid w:val="1B9F2450"/>
    <w:rsid w:val="1E4BB3D7"/>
    <w:rsid w:val="1EBCD454"/>
    <w:rsid w:val="207B772D"/>
    <w:rsid w:val="2239DA57"/>
    <w:rsid w:val="229276B0"/>
    <w:rsid w:val="230D17E5"/>
    <w:rsid w:val="2344053B"/>
    <w:rsid w:val="2596711E"/>
    <w:rsid w:val="2962A535"/>
    <w:rsid w:val="2A073B48"/>
    <w:rsid w:val="2A9B4EEF"/>
    <w:rsid w:val="2B831C88"/>
    <w:rsid w:val="2BB7D0CE"/>
    <w:rsid w:val="2BE10C14"/>
    <w:rsid w:val="2EEF9CBF"/>
    <w:rsid w:val="2F15384C"/>
    <w:rsid w:val="3021F0CB"/>
    <w:rsid w:val="30E67D7F"/>
    <w:rsid w:val="3299EF59"/>
    <w:rsid w:val="34AE9D5F"/>
    <w:rsid w:val="36E4BA4F"/>
    <w:rsid w:val="37156B7B"/>
    <w:rsid w:val="377E29F9"/>
    <w:rsid w:val="37B9AD79"/>
    <w:rsid w:val="38228E03"/>
    <w:rsid w:val="38D5F21E"/>
    <w:rsid w:val="38E9899D"/>
    <w:rsid w:val="3A3493B1"/>
    <w:rsid w:val="3AD81B5F"/>
    <w:rsid w:val="3BBC1FCE"/>
    <w:rsid w:val="3BC6F0A3"/>
    <w:rsid w:val="3BDE7DAA"/>
    <w:rsid w:val="3C73EBC0"/>
    <w:rsid w:val="3CB49D0B"/>
    <w:rsid w:val="3D110B81"/>
    <w:rsid w:val="3DF11E79"/>
    <w:rsid w:val="3F166A24"/>
    <w:rsid w:val="40AF65DB"/>
    <w:rsid w:val="4138C500"/>
    <w:rsid w:val="4385918C"/>
    <w:rsid w:val="43C1AB15"/>
    <w:rsid w:val="450FE66E"/>
    <w:rsid w:val="4643FE85"/>
    <w:rsid w:val="46473410"/>
    <w:rsid w:val="47974670"/>
    <w:rsid w:val="47A4326C"/>
    <w:rsid w:val="47FC63CB"/>
    <w:rsid w:val="490332F8"/>
    <w:rsid w:val="4946A334"/>
    <w:rsid w:val="49C3D640"/>
    <w:rsid w:val="4A5D9E2F"/>
    <w:rsid w:val="4B230DC6"/>
    <w:rsid w:val="4B867381"/>
    <w:rsid w:val="5042D67E"/>
    <w:rsid w:val="51A2B4EC"/>
    <w:rsid w:val="52381B43"/>
    <w:rsid w:val="52674E53"/>
    <w:rsid w:val="52F505F4"/>
    <w:rsid w:val="53B20D55"/>
    <w:rsid w:val="548C751A"/>
    <w:rsid w:val="552C620C"/>
    <w:rsid w:val="5596DE6C"/>
    <w:rsid w:val="55FC575E"/>
    <w:rsid w:val="56E75037"/>
    <w:rsid w:val="5A596AAC"/>
    <w:rsid w:val="5B401615"/>
    <w:rsid w:val="5C9526A0"/>
    <w:rsid w:val="5D0741CA"/>
    <w:rsid w:val="5D3BAB7B"/>
    <w:rsid w:val="5D464650"/>
    <w:rsid w:val="5EE2880B"/>
    <w:rsid w:val="5F253CA0"/>
    <w:rsid w:val="60F3F350"/>
    <w:rsid w:val="61AEBE06"/>
    <w:rsid w:val="64004CF2"/>
    <w:rsid w:val="640BC432"/>
    <w:rsid w:val="673C3443"/>
    <w:rsid w:val="6AA1CB79"/>
    <w:rsid w:val="6AAC6609"/>
    <w:rsid w:val="6B472A17"/>
    <w:rsid w:val="6C160136"/>
    <w:rsid w:val="6CABE630"/>
    <w:rsid w:val="6E4DDBE0"/>
    <w:rsid w:val="6F35363B"/>
    <w:rsid w:val="7172C8DB"/>
    <w:rsid w:val="74B93830"/>
    <w:rsid w:val="74C2E13C"/>
    <w:rsid w:val="74F2EBD8"/>
    <w:rsid w:val="75E5A42C"/>
    <w:rsid w:val="76853C84"/>
    <w:rsid w:val="76E974A5"/>
    <w:rsid w:val="772A901F"/>
    <w:rsid w:val="77B3EC76"/>
    <w:rsid w:val="79843576"/>
    <w:rsid w:val="7C993CD7"/>
    <w:rsid w:val="7CEDB2B6"/>
    <w:rsid w:val="7DC21D89"/>
    <w:rsid w:val="7F85BC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D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00D240C3"/>
  </w:style>
  <w:style w:type="paragraph" w:styleId="ListParagraph">
    <w:name w:val="List Paragraph"/>
    <w:basedOn w:val="Normal"/>
    <w:uiPriority w:val="34"/>
    <w:qFormat/>
    <w:rsid w:val="002F1E0B"/>
    <w:pPr>
      <w:ind w:left="720"/>
      <w:contextualSpacing/>
    </w:pPr>
  </w:style>
  <w:style w:type="character" w:customStyle="1" w:styleId="eop">
    <w:name w:val="eop"/>
    <w:basedOn w:val="DefaultParagraphFont"/>
    <w:rsid w:val="00F23EDD"/>
  </w:style>
  <w:style w:type="paragraph" w:customStyle="1" w:styleId="LegalNumPar">
    <w:name w:val="LegalNumPar"/>
    <w:basedOn w:val="Normal"/>
    <w:rsid w:val="006D21BD"/>
    <w:pPr>
      <w:numPr>
        <w:numId w:val="9"/>
      </w:numPr>
      <w:spacing w:line="360" w:lineRule="auto"/>
    </w:pPr>
  </w:style>
  <w:style w:type="paragraph" w:customStyle="1" w:styleId="LegalNumPar2">
    <w:name w:val="LegalNumPar2"/>
    <w:basedOn w:val="Normal"/>
    <w:rsid w:val="006D21BD"/>
    <w:pPr>
      <w:numPr>
        <w:ilvl w:val="1"/>
        <w:numId w:val="9"/>
      </w:numPr>
      <w:spacing w:line="360" w:lineRule="auto"/>
    </w:pPr>
  </w:style>
  <w:style w:type="paragraph" w:customStyle="1" w:styleId="LegalNumPar3">
    <w:name w:val="LegalNumPar3"/>
    <w:basedOn w:val="Normal"/>
    <w:rsid w:val="006D21BD"/>
    <w:pPr>
      <w:numPr>
        <w:ilvl w:val="2"/>
        <w:numId w:val="9"/>
      </w:numPr>
      <w:spacing w:line="360" w:lineRule="auto"/>
    </w:pPr>
  </w:style>
  <w:style w:type="paragraph" w:styleId="NormalWeb">
    <w:name w:val="Normal (Web)"/>
    <w:basedOn w:val="Normal"/>
    <w:uiPriority w:val="99"/>
    <w:unhideWhenUsed/>
    <w:rsid w:val="009039B1"/>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sid w:val="009039B1"/>
    <w:rPr>
      <w:b/>
      <w:bCs/>
    </w:rPr>
  </w:style>
  <w:style w:type="character" w:customStyle="1" w:styleId="UnresolvedMention1">
    <w:name w:val="Unresolved Mention1"/>
    <w:basedOn w:val="DefaultParagraphFont"/>
    <w:uiPriority w:val="99"/>
    <w:semiHidden/>
    <w:unhideWhenUsed/>
    <w:rsid w:val="00374646"/>
    <w:rPr>
      <w:color w:val="605E5C"/>
      <w:shd w:val="clear" w:color="auto" w:fill="E1DFDD"/>
    </w:rPr>
  </w:style>
  <w:style w:type="character" w:customStyle="1" w:styleId="UnresolvedMention2">
    <w:name w:val="Unresolved Mention2"/>
    <w:basedOn w:val="DefaultParagraphFont"/>
    <w:uiPriority w:val="99"/>
    <w:semiHidden/>
    <w:unhideWhenUsed/>
    <w:rsid w:val="00ED6FEF"/>
    <w:rPr>
      <w:color w:val="605E5C"/>
      <w:shd w:val="clear" w:color="auto" w:fill="E1DFDD"/>
    </w:rPr>
  </w:style>
  <w:style w:type="character" w:customStyle="1" w:styleId="HeaderChar">
    <w:name w:val="Header Char"/>
    <w:basedOn w:val="DefaultParagraphFont"/>
    <w:link w:val="Header"/>
    <w:uiPriority w:val="99"/>
    <w:rsid w:val="001D3709"/>
    <w:rPr>
      <w:rFonts w:ascii="Times New Roman" w:hAnsi="Times New Roman" w:cs="Times New Roman"/>
      <w:sz w:val="24"/>
      <w:lang w:val="pl-PL"/>
    </w:rPr>
  </w:style>
  <w:style w:type="character" w:customStyle="1" w:styleId="FooterChar">
    <w:name w:val="Footer Char"/>
    <w:basedOn w:val="DefaultParagraphFont"/>
    <w:link w:val="Footer"/>
    <w:uiPriority w:val="99"/>
    <w:rsid w:val="001D370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D370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D3709"/>
    <w:pPr>
      <w:spacing w:before="0"/>
      <w:jc w:val="right"/>
    </w:pPr>
    <w:rPr>
      <w:sz w:val="28"/>
    </w:rPr>
  </w:style>
  <w:style w:type="paragraph" w:customStyle="1" w:styleId="FooterSensitivity">
    <w:name w:val="Footer Sensitivity"/>
    <w:basedOn w:val="Normal"/>
    <w:rsid w:val="001D370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1D3709"/>
    <w:pPr>
      <w:tabs>
        <w:tab w:val="center" w:pos="4535"/>
        <w:tab w:val="right" w:pos="9071"/>
      </w:tabs>
      <w:spacing w:before="0"/>
    </w:pPr>
  </w:style>
  <w:style w:type="paragraph" w:customStyle="1" w:styleId="HeaderLandscape">
    <w:name w:val="HeaderLandscape"/>
    <w:basedOn w:val="Normal"/>
    <w:rsid w:val="001D3709"/>
    <w:pPr>
      <w:tabs>
        <w:tab w:val="center" w:pos="7285"/>
        <w:tab w:val="right" w:pos="14003"/>
      </w:tabs>
      <w:spacing w:before="0"/>
    </w:pPr>
  </w:style>
  <w:style w:type="paragraph" w:styleId="Footer">
    <w:name w:val="footer"/>
    <w:basedOn w:val="Normal"/>
    <w:link w:val="FooterChar"/>
    <w:uiPriority w:val="99"/>
    <w:unhideWhenUsed/>
    <w:rsid w:val="001D3709"/>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1D3709"/>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330">
      <w:bodyDiv w:val="1"/>
      <w:marLeft w:val="0"/>
      <w:marRight w:val="0"/>
      <w:marTop w:val="0"/>
      <w:marBottom w:val="0"/>
      <w:divBdr>
        <w:top w:val="none" w:sz="0" w:space="0" w:color="auto"/>
        <w:left w:val="none" w:sz="0" w:space="0" w:color="auto"/>
        <w:bottom w:val="none" w:sz="0" w:space="0" w:color="auto"/>
        <w:right w:val="none" w:sz="0" w:space="0" w:color="auto"/>
      </w:divBdr>
    </w:div>
    <w:div w:id="88427198">
      <w:bodyDiv w:val="1"/>
      <w:marLeft w:val="0"/>
      <w:marRight w:val="0"/>
      <w:marTop w:val="0"/>
      <w:marBottom w:val="0"/>
      <w:divBdr>
        <w:top w:val="none" w:sz="0" w:space="0" w:color="auto"/>
        <w:left w:val="none" w:sz="0" w:space="0" w:color="auto"/>
        <w:bottom w:val="none" w:sz="0" w:space="0" w:color="auto"/>
        <w:right w:val="none" w:sz="0" w:space="0" w:color="auto"/>
      </w:divBdr>
    </w:div>
    <w:div w:id="106899393">
      <w:bodyDiv w:val="1"/>
      <w:marLeft w:val="0"/>
      <w:marRight w:val="0"/>
      <w:marTop w:val="0"/>
      <w:marBottom w:val="0"/>
      <w:divBdr>
        <w:top w:val="none" w:sz="0" w:space="0" w:color="auto"/>
        <w:left w:val="none" w:sz="0" w:space="0" w:color="auto"/>
        <w:bottom w:val="none" w:sz="0" w:space="0" w:color="auto"/>
        <w:right w:val="none" w:sz="0" w:space="0" w:color="auto"/>
      </w:divBdr>
    </w:div>
    <w:div w:id="302396204">
      <w:bodyDiv w:val="1"/>
      <w:marLeft w:val="0"/>
      <w:marRight w:val="0"/>
      <w:marTop w:val="0"/>
      <w:marBottom w:val="0"/>
      <w:divBdr>
        <w:top w:val="none" w:sz="0" w:space="0" w:color="auto"/>
        <w:left w:val="none" w:sz="0" w:space="0" w:color="auto"/>
        <w:bottom w:val="none" w:sz="0" w:space="0" w:color="auto"/>
        <w:right w:val="none" w:sz="0" w:space="0" w:color="auto"/>
      </w:divBdr>
    </w:div>
    <w:div w:id="327489401">
      <w:bodyDiv w:val="1"/>
      <w:marLeft w:val="0"/>
      <w:marRight w:val="0"/>
      <w:marTop w:val="0"/>
      <w:marBottom w:val="0"/>
      <w:divBdr>
        <w:top w:val="none" w:sz="0" w:space="0" w:color="auto"/>
        <w:left w:val="none" w:sz="0" w:space="0" w:color="auto"/>
        <w:bottom w:val="none" w:sz="0" w:space="0" w:color="auto"/>
        <w:right w:val="none" w:sz="0" w:space="0" w:color="auto"/>
      </w:divBdr>
    </w:div>
    <w:div w:id="341474279">
      <w:bodyDiv w:val="1"/>
      <w:marLeft w:val="0"/>
      <w:marRight w:val="0"/>
      <w:marTop w:val="0"/>
      <w:marBottom w:val="0"/>
      <w:divBdr>
        <w:top w:val="none" w:sz="0" w:space="0" w:color="auto"/>
        <w:left w:val="none" w:sz="0" w:space="0" w:color="auto"/>
        <w:bottom w:val="none" w:sz="0" w:space="0" w:color="auto"/>
        <w:right w:val="none" w:sz="0" w:space="0" w:color="auto"/>
      </w:divBdr>
    </w:div>
    <w:div w:id="443889429">
      <w:bodyDiv w:val="1"/>
      <w:marLeft w:val="0"/>
      <w:marRight w:val="0"/>
      <w:marTop w:val="0"/>
      <w:marBottom w:val="0"/>
      <w:divBdr>
        <w:top w:val="none" w:sz="0" w:space="0" w:color="auto"/>
        <w:left w:val="none" w:sz="0" w:space="0" w:color="auto"/>
        <w:bottom w:val="none" w:sz="0" w:space="0" w:color="auto"/>
        <w:right w:val="none" w:sz="0" w:space="0" w:color="auto"/>
      </w:divBdr>
    </w:div>
    <w:div w:id="672686899">
      <w:bodyDiv w:val="1"/>
      <w:marLeft w:val="0"/>
      <w:marRight w:val="0"/>
      <w:marTop w:val="0"/>
      <w:marBottom w:val="0"/>
      <w:divBdr>
        <w:top w:val="none" w:sz="0" w:space="0" w:color="auto"/>
        <w:left w:val="none" w:sz="0" w:space="0" w:color="auto"/>
        <w:bottom w:val="none" w:sz="0" w:space="0" w:color="auto"/>
        <w:right w:val="none" w:sz="0" w:space="0" w:color="auto"/>
      </w:divBdr>
    </w:div>
    <w:div w:id="766315680">
      <w:bodyDiv w:val="1"/>
      <w:marLeft w:val="0"/>
      <w:marRight w:val="0"/>
      <w:marTop w:val="0"/>
      <w:marBottom w:val="0"/>
      <w:divBdr>
        <w:top w:val="none" w:sz="0" w:space="0" w:color="auto"/>
        <w:left w:val="none" w:sz="0" w:space="0" w:color="auto"/>
        <w:bottom w:val="none" w:sz="0" w:space="0" w:color="auto"/>
        <w:right w:val="none" w:sz="0" w:space="0" w:color="auto"/>
      </w:divBdr>
    </w:div>
    <w:div w:id="829060501">
      <w:bodyDiv w:val="1"/>
      <w:marLeft w:val="0"/>
      <w:marRight w:val="0"/>
      <w:marTop w:val="0"/>
      <w:marBottom w:val="0"/>
      <w:divBdr>
        <w:top w:val="none" w:sz="0" w:space="0" w:color="auto"/>
        <w:left w:val="none" w:sz="0" w:space="0" w:color="auto"/>
        <w:bottom w:val="none" w:sz="0" w:space="0" w:color="auto"/>
        <w:right w:val="none" w:sz="0" w:space="0" w:color="auto"/>
      </w:divBdr>
    </w:div>
    <w:div w:id="942959802">
      <w:bodyDiv w:val="1"/>
      <w:marLeft w:val="0"/>
      <w:marRight w:val="0"/>
      <w:marTop w:val="0"/>
      <w:marBottom w:val="0"/>
      <w:divBdr>
        <w:top w:val="none" w:sz="0" w:space="0" w:color="auto"/>
        <w:left w:val="none" w:sz="0" w:space="0" w:color="auto"/>
        <w:bottom w:val="none" w:sz="0" w:space="0" w:color="auto"/>
        <w:right w:val="none" w:sz="0" w:space="0" w:color="auto"/>
      </w:divBdr>
      <w:divsChild>
        <w:div w:id="670061762">
          <w:marLeft w:val="0"/>
          <w:marRight w:val="0"/>
          <w:marTop w:val="0"/>
          <w:marBottom w:val="0"/>
          <w:divBdr>
            <w:top w:val="none" w:sz="0" w:space="0" w:color="auto"/>
            <w:left w:val="none" w:sz="0" w:space="0" w:color="auto"/>
            <w:bottom w:val="none" w:sz="0" w:space="0" w:color="auto"/>
            <w:right w:val="none" w:sz="0" w:space="0" w:color="auto"/>
          </w:divBdr>
        </w:div>
        <w:div w:id="1130324515">
          <w:marLeft w:val="0"/>
          <w:marRight w:val="0"/>
          <w:marTop w:val="0"/>
          <w:marBottom w:val="0"/>
          <w:divBdr>
            <w:top w:val="single" w:sz="2" w:space="0" w:color="D9D9E3"/>
            <w:left w:val="single" w:sz="2" w:space="0" w:color="D9D9E3"/>
            <w:bottom w:val="single" w:sz="2" w:space="0" w:color="D9D9E3"/>
            <w:right w:val="single" w:sz="2" w:space="0" w:color="D9D9E3"/>
          </w:divBdr>
          <w:divsChild>
            <w:div w:id="1968125514">
              <w:marLeft w:val="0"/>
              <w:marRight w:val="0"/>
              <w:marTop w:val="0"/>
              <w:marBottom w:val="0"/>
              <w:divBdr>
                <w:top w:val="single" w:sz="2" w:space="0" w:color="D9D9E3"/>
                <w:left w:val="single" w:sz="2" w:space="0" w:color="D9D9E3"/>
                <w:bottom w:val="single" w:sz="2" w:space="0" w:color="D9D9E3"/>
                <w:right w:val="single" w:sz="2" w:space="0" w:color="D9D9E3"/>
              </w:divBdr>
              <w:divsChild>
                <w:div w:id="795876874">
                  <w:marLeft w:val="0"/>
                  <w:marRight w:val="0"/>
                  <w:marTop w:val="0"/>
                  <w:marBottom w:val="0"/>
                  <w:divBdr>
                    <w:top w:val="single" w:sz="2" w:space="0" w:color="D9D9E3"/>
                    <w:left w:val="single" w:sz="2" w:space="0" w:color="D9D9E3"/>
                    <w:bottom w:val="single" w:sz="2" w:space="0" w:color="D9D9E3"/>
                    <w:right w:val="single" w:sz="2" w:space="0" w:color="D9D9E3"/>
                  </w:divBdr>
                  <w:divsChild>
                    <w:div w:id="1962615651">
                      <w:marLeft w:val="0"/>
                      <w:marRight w:val="0"/>
                      <w:marTop w:val="0"/>
                      <w:marBottom w:val="0"/>
                      <w:divBdr>
                        <w:top w:val="single" w:sz="2" w:space="0" w:color="D9D9E3"/>
                        <w:left w:val="single" w:sz="2" w:space="0" w:color="D9D9E3"/>
                        <w:bottom w:val="single" w:sz="2" w:space="0" w:color="D9D9E3"/>
                        <w:right w:val="single" w:sz="2" w:space="0" w:color="D9D9E3"/>
                      </w:divBdr>
                      <w:divsChild>
                        <w:div w:id="433289291">
                          <w:marLeft w:val="0"/>
                          <w:marRight w:val="0"/>
                          <w:marTop w:val="0"/>
                          <w:marBottom w:val="0"/>
                          <w:divBdr>
                            <w:top w:val="single" w:sz="2" w:space="0" w:color="D9D9E3"/>
                            <w:left w:val="single" w:sz="2" w:space="0" w:color="D9D9E3"/>
                            <w:bottom w:val="single" w:sz="2" w:space="0" w:color="D9D9E3"/>
                            <w:right w:val="single" w:sz="2" w:space="0" w:color="D9D9E3"/>
                          </w:divBdr>
                          <w:divsChild>
                            <w:div w:id="925111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340874">
                                  <w:marLeft w:val="0"/>
                                  <w:marRight w:val="0"/>
                                  <w:marTop w:val="0"/>
                                  <w:marBottom w:val="0"/>
                                  <w:divBdr>
                                    <w:top w:val="single" w:sz="2" w:space="0" w:color="D9D9E3"/>
                                    <w:left w:val="single" w:sz="2" w:space="0" w:color="D9D9E3"/>
                                    <w:bottom w:val="single" w:sz="2" w:space="0" w:color="D9D9E3"/>
                                    <w:right w:val="single" w:sz="2" w:space="0" w:color="D9D9E3"/>
                                  </w:divBdr>
                                  <w:divsChild>
                                    <w:div w:id="696197172">
                                      <w:marLeft w:val="0"/>
                                      <w:marRight w:val="0"/>
                                      <w:marTop w:val="0"/>
                                      <w:marBottom w:val="0"/>
                                      <w:divBdr>
                                        <w:top w:val="single" w:sz="2" w:space="0" w:color="D9D9E3"/>
                                        <w:left w:val="single" w:sz="2" w:space="0" w:color="D9D9E3"/>
                                        <w:bottom w:val="single" w:sz="2" w:space="0" w:color="D9D9E3"/>
                                        <w:right w:val="single" w:sz="2" w:space="0" w:color="D9D9E3"/>
                                      </w:divBdr>
                                      <w:divsChild>
                                        <w:div w:id="174730661">
                                          <w:marLeft w:val="0"/>
                                          <w:marRight w:val="0"/>
                                          <w:marTop w:val="0"/>
                                          <w:marBottom w:val="0"/>
                                          <w:divBdr>
                                            <w:top w:val="single" w:sz="2" w:space="0" w:color="D9D9E3"/>
                                            <w:left w:val="single" w:sz="2" w:space="0" w:color="D9D9E3"/>
                                            <w:bottom w:val="single" w:sz="2" w:space="0" w:color="D9D9E3"/>
                                            <w:right w:val="single" w:sz="2" w:space="0" w:color="D9D9E3"/>
                                          </w:divBdr>
                                          <w:divsChild>
                                            <w:div w:id="1442147613">
                                              <w:marLeft w:val="0"/>
                                              <w:marRight w:val="0"/>
                                              <w:marTop w:val="0"/>
                                              <w:marBottom w:val="0"/>
                                              <w:divBdr>
                                                <w:top w:val="single" w:sz="2" w:space="0" w:color="D9D9E3"/>
                                                <w:left w:val="single" w:sz="2" w:space="0" w:color="D9D9E3"/>
                                                <w:bottom w:val="single" w:sz="2" w:space="0" w:color="D9D9E3"/>
                                                <w:right w:val="single" w:sz="2" w:space="0" w:color="D9D9E3"/>
                                              </w:divBdr>
                                              <w:divsChild>
                                                <w:div w:id="1835023340">
                                                  <w:marLeft w:val="0"/>
                                                  <w:marRight w:val="0"/>
                                                  <w:marTop w:val="0"/>
                                                  <w:marBottom w:val="0"/>
                                                  <w:divBdr>
                                                    <w:top w:val="single" w:sz="2" w:space="0" w:color="D9D9E3"/>
                                                    <w:left w:val="single" w:sz="2" w:space="0" w:color="D9D9E3"/>
                                                    <w:bottom w:val="single" w:sz="2" w:space="0" w:color="D9D9E3"/>
                                                    <w:right w:val="single" w:sz="2" w:space="0" w:color="D9D9E3"/>
                                                  </w:divBdr>
                                                  <w:divsChild>
                                                    <w:div w:id="1572042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96705111">
      <w:bodyDiv w:val="1"/>
      <w:marLeft w:val="0"/>
      <w:marRight w:val="0"/>
      <w:marTop w:val="0"/>
      <w:marBottom w:val="0"/>
      <w:divBdr>
        <w:top w:val="none" w:sz="0" w:space="0" w:color="auto"/>
        <w:left w:val="none" w:sz="0" w:space="0" w:color="auto"/>
        <w:bottom w:val="none" w:sz="0" w:space="0" w:color="auto"/>
        <w:right w:val="none" w:sz="0" w:space="0" w:color="auto"/>
      </w:divBdr>
    </w:div>
    <w:div w:id="1725903677">
      <w:bodyDiv w:val="1"/>
      <w:marLeft w:val="0"/>
      <w:marRight w:val="0"/>
      <w:marTop w:val="0"/>
      <w:marBottom w:val="0"/>
      <w:divBdr>
        <w:top w:val="none" w:sz="0" w:space="0" w:color="auto"/>
        <w:left w:val="none" w:sz="0" w:space="0" w:color="auto"/>
        <w:bottom w:val="none" w:sz="0" w:space="0" w:color="auto"/>
        <w:right w:val="none" w:sz="0" w:space="0" w:color="auto"/>
      </w:divBdr>
    </w:div>
    <w:div w:id="1798602349">
      <w:bodyDiv w:val="1"/>
      <w:marLeft w:val="0"/>
      <w:marRight w:val="0"/>
      <w:marTop w:val="0"/>
      <w:marBottom w:val="0"/>
      <w:divBdr>
        <w:top w:val="none" w:sz="0" w:space="0" w:color="auto"/>
        <w:left w:val="none" w:sz="0" w:space="0" w:color="auto"/>
        <w:bottom w:val="none" w:sz="0" w:space="0" w:color="auto"/>
        <w:right w:val="none" w:sz="0" w:space="0" w:color="auto"/>
      </w:divBdr>
      <w:divsChild>
        <w:div w:id="512107275">
          <w:marLeft w:val="0"/>
          <w:marRight w:val="0"/>
          <w:marTop w:val="0"/>
          <w:marBottom w:val="0"/>
          <w:divBdr>
            <w:top w:val="none" w:sz="0" w:space="0" w:color="auto"/>
            <w:left w:val="none" w:sz="0" w:space="0" w:color="auto"/>
            <w:bottom w:val="none" w:sz="0" w:space="0" w:color="auto"/>
            <w:right w:val="none" w:sz="0" w:space="0" w:color="auto"/>
          </w:divBdr>
        </w:div>
        <w:div w:id="1692947858">
          <w:marLeft w:val="0"/>
          <w:marRight w:val="0"/>
          <w:marTop w:val="0"/>
          <w:marBottom w:val="0"/>
          <w:divBdr>
            <w:top w:val="single" w:sz="2" w:space="0" w:color="D9D9E3"/>
            <w:left w:val="single" w:sz="2" w:space="0" w:color="D9D9E3"/>
            <w:bottom w:val="single" w:sz="2" w:space="0" w:color="D9D9E3"/>
            <w:right w:val="single" w:sz="2" w:space="0" w:color="D9D9E3"/>
          </w:divBdr>
          <w:divsChild>
            <w:div w:id="423040661">
              <w:marLeft w:val="0"/>
              <w:marRight w:val="0"/>
              <w:marTop w:val="0"/>
              <w:marBottom w:val="0"/>
              <w:divBdr>
                <w:top w:val="single" w:sz="2" w:space="0" w:color="D9D9E3"/>
                <w:left w:val="single" w:sz="2" w:space="0" w:color="D9D9E3"/>
                <w:bottom w:val="single" w:sz="2" w:space="0" w:color="D9D9E3"/>
                <w:right w:val="single" w:sz="2" w:space="0" w:color="D9D9E3"/>
              </w:divBdr>
              <w:divsChild>
                <w:div w:id="582878005">
                  <w:marLeft w:val="0"/>
                  <w:marRight w:val="0"/>
                  <w:marTop w:val="0"/>
                  <w:marBottom w:val="0"/>
                  <w:divBdr>
                    <w:top w:val="single" w:sz="2" w:space="0" w:color="D9D9E3"/>
                    <w:left w:val="single" w:sz="2" w:space="0" w:color="D9D9E3"/>
                    <w:bottom w:val="single" w:sz="2" w:space="0" w:color="D9D9E3"/>
                    <w:right w:val="single" w:sz="2" w:space="0" w:color="D9D9E3"/>
                  </w:divBdr>
                  <w:divsChild>
                    <w:div w:id="869491720">
                      <w:marLeft w:val="0"/>
                      <w:marRight w:val="0"/>
                      <w:marTop w:val="0"/>
                      <w:marBottom w:val="0"/>
                      <w:divBdr>
                        <w:top w:val="single" w:sz="2" w:space="0" w:color="D9D9E3"/>
                        <w:left w:val="single" w:sz="2" w:space="0" w:color="D9D9E3"/>
                        <w:bottom w:val="single" w:sz="2" w:space="0" w:color="D9D9E3"/>
                        <w:right w:val="single" w:sz="2" w:space="0" w:color="D9D9E3"/>
                      </w:divBdr>
                      <w:divsChild>
                        <w:div w:id="1523321908">
                          <w:marLeft w:val="0"/>
                          <w:marRight w:val="0"/>
                          <w:marTop w:val="0"/>
                          <w:marBottom w:val="0"/>
                          <w:divBdr>
                            <w:top w:val="single" w:sz="2" w:space="0" w:color="D9D9E3"/>
                            <w:left w:val="single" w:sz="2" w:space="0" w:color="D9D9E3"/>
                            <w:bottom w:val="single" w:sz="2" w:space="0" w:color="D9D9E3"/>
                            <w:right w:val="single" w:sz="2" w:space="0" w:color="D9D9E3"/>
                          </w:divBdr>
                          <w:divsChild>
                            <w:div w:id="2124759464">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483066">
                                  <w:marLeft w:val="0"/>
                                  <w:marRight w:val="0"/>
                                  <w:marTop w:val="0"/>
                                  <w:marBottom w:val="0"/>
                                  <w:divBdr>
                                    <w:top w:val="single" w:sz="2" w:space="0" w:color="D9D9E3"/>
                                    <w:left w:val="single" w:sz="2" w:space="0" w:color="D9D9E3"/>
                                    <w:bottom w:val="single" w:sz="2" w:space="0" w:color="D9D9E3"/>
                                    <w:right w:val="single" w:sz="2" w:space="0" w:color="D9D9E3"/>
                                  </w:divBdr>
                                  <w:divsChild>
                                    <w:div w:id="364841014">
                                      <w:marLeft w:val="0"/>
                                      <w:marRight w:val="0"/>
                                      <w:marTop w:val="0"/>
                                      <w:marBottom w:val="0"/>
                                      <w:divBdr>
                                        <w:top w:val="single" w:sz="2" w:space="0" w:color="D9D9E3"/>
                                        <w:left w:val="single" w:sz="2" w:space="0" w:color="D9D9E3"/>
                                        <w:bottom w:val="single" w:sz="2" w:space="0" w:color="D9D9E3"/>
                                        <w:right w:val="single" w:sz="2" w:space="0" w:color="D9D9E3"/>
                                      </w:divBdr>
                                      <w:divsChild>
                                        <w:div w:id="539171098">
                                          <w:marLeft w:val="0"/>
                                          <w:marRight w:val="0"/>
                                          <w:marTop w:val="0"/>
                                          <w:marBottom w:val="0"/>
                                          <w:divBdr>
                                            <w:top w:val="single" w:sz="2" w:space="0" w:color="D9D9E3"/>
                                            <w:left w:val="single" w:sz="2" w:space="0" w:color="D9D9E3"/>
                                            <w:bottom w:val="single" w:sz="2" w:space="0" w:color="D9D9E3"/>
                                            <w:right w:val="single" w:sz="2" w:space="0" w:color="D9D9E3"/>
                                          </w:divBdr>
                                          <w:divsChild>
                                            <w:div w:id="366562547">
                                              <w:marLeft w:val="0"/>
                                              <w:marRight w:val="0"/>
                                              <w:marTop w:val="0"/>
                                              <w:marBottom w:val="0"/>
                                              <w:divBdr>
                                                <w:top w:val="single" w:sz="2" w:space="0" w:color="D9D9E3"/>
                                                <w:left w:val="single" w:sz="2" w:space="0" w:color="D9D9E3"/>
                                                <w:bottom w:val="single" w:sz="2" w:space="0" w:color="D9D9E3"/>
                                                <w:right w:val="single" w:sz="2" w:space="0" w:color="D9D9E3"/>
                                              </w:divBdr>
                                              <w:divsChild>
                                                <w:div w:id="575552950">
                                                  <w:marLeft w:val="0"/>
                                                  <w:marRight w:val="0"/>
                                                  <w:marTop w:val="0"/>
                                                  <w:marBottom w:val="0"/>
                                                  <w:divBdr>
                                                    <w:top w:val="single" w:sz="2" w:space="0" w:color="D9D9E3"/>
                                                    <w:left w:val="single" w:sz="2" w:space="0" w:color="D9D9E3"/>
                                                    <w:bottom w:val="single" w:sz="2" w:space="0" w:color="D9D9E3"/>
                                                    <w:right w:val="single" w:sz="2" w:space="0" w:color="D9D9E3"/>
                                                  </w:divBdr>
                                                  <w:divsChild>
                                                    <w:div w:id="164751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00189785">
      <w:bodyDiv w:val="1"/>
      <w:marLeft w:val="0"/>
      <w:marRight w:val="0"/>
      <w:marTop w:val="0"/>
      <w:marBottom w:val="0"/>
      <w:divBdr>
        <w:top w:val="none" w:sz="0" w:space="0" w:color="auto"/>
        <w:left w:val="none" w:sz="0" w:space="0" w:color="auto"/>
        <w:bottom w:val="none" w:sz="0" w:space="0" w:color="auto"/>
        <w:right w:val="none" w:sz="0" w:space="0" w:color="auto"/>
      </w:divBdr>
    </w:div>
    <w:div w:id="2053653233">
      <w:bodyDiv w:val="1"/>
      <w:marLeft w:val="0"/>
      <w:marRight w:val="0"/>
      <w:marTop w:val="0"/>
      <w:marBottom w:val="0"/>
      <w:divBdr>
        <w:top w:val="none" w:sz="0" w:space="0" w:color="auto"/>
        <w:left w:val="none" w:sz="0" w:space="0" w:color="auto"/>
        <w:bottom w:val="none" w:sz="0" w:space="0" w:color="auto"/>
        <w:right w:val="none" w:sz="0" w:space="0" w:color="auto"/>
      </w:divBdr>
    </w:div>
    <w:div w:id="21290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21/1173/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A3CDB4-CA27-4461-966A-E91186C3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13</Pages>
  <Words>3720</Words>
  <Characters>26381</Characters>
  <Application>Microsoft Office Word</Application>
  <DocSecurity>0</DocSecurity>
  <Lines>447</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29972</CharactersWithSpaces>
  <SharedDoc>false</SharedDoc>
  <HLinks>
    <vt:vector size="6" baseType="variant">
      <vt:variant>
        <vt:i4>7274606</vt:i4>
      </vt:variant>
      <vt:variant>
        <vt:i4>0</vt:i4>
      </vt:variant>
      <vt:variant>
        <vt:i4>0</vt:i4>
      </vt:variant>
      <vt:variant>
        <vt:i4>5</vt:i4>
      </vt:variant>
      <vt:variant>
        <vt:lpwstr>http://data.europa.eu/eli/reg/2021/1173/oj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2024-02-16T12:27:00Z</dcterms:created>
  <dcterms:modified xsi:type="dcterms:W3CDTF">2024-02-16T12:27:00Z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2024-01-20T21:29:44Z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53d3c991-9fe5-4f2c-acc9-0062603cab76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SJ-016</vt:lpwstr>
  </property>
  <property fmtid="{D5CDD505-2E9C-101B-9397-08002B2CF9AE}" pid="15" name="Created using">
    <vt:lpwstr>LW 9.0, Build 20230317</vt:lpwstr>
  </property>
  <property fmtid="{D5CDD505-2E9C-101B-9397-08002B2CF9AE}" pid="16" name="DQCStatus">
    <vt:lpwstr>Yellow (DQC version 03)</vt:lpwstr>
  </property>
</Properties>
</file>