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6776" w:rsidR="00327157" w:rsidP="006521F3" w:rsidRDefault="00E1222B" w14:paraId="4CD9C7A7" w14:textId="2695AA81">
      <w:pPr>
        <w:suppressAutoHyphens/>
        <w:jc w:val="center"/>
        <w:rPr>
          <w:b/>
        </w:rPr>
      </w:pPr>
      <w:r w:rsidRPr="00936776">
        <w:drawing>
          <wp:inline distT="0" distB="0" distL="0" distR="0" wp14:anchorId="3C864968" wp14:editId="4FB9D10C">
            <wp:extent cx="1792605" cy="1239520"/>
            <wp:effectExtent l="0" t="0" r="0" b="0"/>
            <wp:docPr id="1" name="Picture 1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776" w:rsidR="00327157">
        <w:rPr>
          <w:b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56BAD4FA" wp14:anchorId="6946DC9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36776" w:rsidR="00327157" w:rsidP="00327157" w:rsidRDefault="00327157" w14:paraId="785DBF8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936776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46DC9A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936776" w:rsidR="00327157" w:rsidP="00327157" w:rsidRDefault="00327157" w14:paraId="785DBF8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936776"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936776" w:rsidR="00327157" w:rsidP="006521F3" w:rsidRDefault="00327157" w14:paraId="59CD3E76" w14:textId="77777777">
      <w:pPr>
        <w:suppressAutoHyphens/>
        <w:jc w:val="left"/>
        <w:rPr>
          <w:bCs/>
        </w:rPr>
      </w:pPr>
    </w:p>
    <w:p w:rsidRPr="00936776" w:rsidR="00327157" w:rsidP="006521F3" w:rsidRDefault="00327157" w14:paraId="39E62095" w14:textId="77777777">
      <w:pPr>
        <w:suppressAutoHyphens/>
        <w:jc w:val="right"/>
      </w:pPr>
      <w:r w:rsidRPr="00936776">
        <w:rPr>
          <w:b/>
        </w:rPr>
        <w:t>SOC/769</w:t>
      </w:r>
    </w:p>
    <w:p w:rsidRPr="00936776" w:rsidR="00327157" w:rsidP="006521F3" w:rsidRDefault="00327157" w14:paraId="4C7CC9C6" w14:textId="77777777">
      <w:pPr>
        <w:suppressAutoHyphens/>
        <w:jc w:val="right"/>
      </w:pPr>
      <w:r w:rsidRPr="00936776">
        <w:rPr>
          <w:b/>
        </w:rPr>
        <w:t>Wpływ edukacji na wynagrodzenia i wydajność pracy</w:t>
      </w:r>
    </w:p>
    <w:p w:rsidRPr="00936776" w:rsidR="00327157" w:rsidP="006521F3" w:rsidRDefault="00327157" w14:paraId="17BDE871" w14:textId="77777777">
      <w:pPr>
        <w:suppressAutoHyphens/>
      </w:pPr>
    </w:p>
    <w:p w:rsidRPr="00936776" w:rsidR="00327157" w:rsidP="006521F3" w:rsidRDefault="00327157" w14:paraId="6B8AFA2F" w14:textId="77777777">
      <w:pPr>
        <w:suppressAutoHyphens/>
      </w:pPr>
    </w:p>
    <w:p w:rsidRPr="00936776" w:rsidR="002D79A6" w:rsidP="006521F3" w:rsidRDefault="003670EC" w14:paraId="00000007" w14:textId="3E7183DC">
      <w:pPr>
        <w:suppressAutoHyphens/>
        <w:jc w:val="center"/>
        <w:rPr>
          <w:b/>
        </w:rPr>
      </w:pPr>
      <w:r w:rsidRPr="00936776">
        <w:rPr>
          <w:b/>
          <w:sz w:val="28"/>
          <w:szCs w:val="28"/>
        </w:rPr>
        <w:t>OPINIA</w:t>
      </w:r>
    </w:p>
    <w:p w:rsidRPr="00936776" w:rsidR="002D79A6" w:rsidP="006521F3" w:rsidRDefault="002D79A6" w14:paraId="00000008" w14:textId="77777777">
      <w:pPr>
        <w:suppressAutoHyphens/>
        <w:jc w:val="center"/>
      </w:pPr>
    </w:p>
    <w:p w:rsidRPr="00936776" w:rsidR="002D79A6" w:rsidP="006521F3" w:rsidRDefault="009772FB" w14:paraId="00000009" w14:textId="77777777">
      <w:pPr>
        <w:suppressAutoHyphens/>
        <w:jc w:val="center"/>
      </w:pPr>
      <w:r w:rsidRPr="00936776">
        <w:t>Sekcja Zatrudnienia, Spraw Społecznych i Obywatelstwa</w:t>
      </w:r>
    </w:p>
    <w:p w:rsidRPr="00936776" w:rsidR="002D79A6" w:rsidP="006521F3" w:rsidRDefault="002D79A6" w14:paraId="0000000A" w14:textId="77777777">
      <w:pPr>
        <w:suppressAutoHyphens/>
        <w:jc w:val="center"/>
      </w:pPr>
    </w:p>
    <w:p w:rsidRPr="00936776" w:rsidR="002D79A6" w:rsidP="006521F3" w:rsidRDefault="00AD5A03" w14:paraId="0000000B" w14:textId="6D2DF67A">
      <w:pPr>
        <w:suppressAutoHyphens/>
        <w:jc w:val="center"/>
        <w:rPr>
          <w:b/>
        </w:rPr>
      </w:pPr>
      <w:r w:rsidRPr="00936776">
        <w:rPr>
          <w:b/>
        </w:rPr>
        <w:t>Wpływ edukacji na wynagrodzenia i wydajność pracy</w:t>
      </w:r>
    </w:p>
    <w:p w:rsidRPr="00936776" w:rsidR="002D79A6" w:rsidP="006521F3" w:rsidRDefault="009772FB" w14:paraId="0000000C" w14:textId="1F74CF5D">
      <w:pPr>
        <w:suppressAutoHyphens/>
        <w:jc w:val="center"/>
      </w:pPr>
      <w:r w:rsidRPr="00936776">
        <w:t>(opinia z inicjatywy własnej)</w:t>
      </w:r>
    </w:p>
    <w:p w:rsidRPr="00936776" w:rsidR="002D79A6" w:rsidP="006521F3" w:rsidRDefault="002D79A6" w14:paraId="0000000D" w14:textId="22AE7ACE">
      <w:pPr>
        <w:suppressAutoHyphens/>
        <w:jc w:val="center"/>
      </w:pPr>
    </w:p>
    <w:p w:rsidRPr="00936776" w:rsidR="00327157" w:rsidP="00936776" w:rsidRDefault="004F4977" w14:paraId="429D1183" w14:textId="5E034D02">
      <w:pPr>
        <w:suppressAutoHyphens/>
        <w:jc w:val="center"/>
        <w:rPr>
          <w:b/>
        </w:rPr>
      </w:pPr>
      <w:r w:rsidRPr="00936776">
        <w:t xml:space="preserve">Sprawozdawczyni: </w:t>
      </w:r>
      <w:r w:rsidRPr="00936776">
        <w:rPr>
          <w:b/>
        </w:rPr>
        <w:t>Linda ROMELE</w:t>
      </w: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936776" w:rsidR="00327157" w:rsidTr="002B2CE7" w14:paraId="685ACD60" w14:textId="77777777">
        <w:tc>
          <w:tcPr>
            <w:tcW w:w="3085" w:type="dxa"/>
          </w:tcPr>
          <w:p w:rsidRPr="00936776" w:rsidR="00327157" w:rsidP="006521F3" w:rsidRDefault="00327157" w14:paraId="2DCCBAA5" w14:textId="77777777">
            <w:pPr>
              <w:suppressAutoHyphens/>
            </w:pPr>
            <w:r w:rsidRPr="00936776">
              <w:t>Kontakt</w:t>
            </w:r>
          </w:p>
        </w:tc>
        <w:tc>
          <w:tcPr>
            <w:tcW w:w="6204" w:type="dxa"/>
          </w:tcPr>
          <w:p w:rsidRPr="00936776" w:rsidR="00327157" w:rsidP="006521F3" w:rsidRDefault="00654B23" w14:paraId="222108C9" w14:textId="278E2491">
            <w:pPr>
              <w:suppressAutoHyphens/>
            </w:pPr>
            <w:hyperlink w:history="1" r:id="rId12">
              <w:r w:rsidRPr="00936776" w:rsidR="008A1356">
                <w:rPr>
                  <w:rStyle w:val="Hyperlink"/>
                </w:rPr>
                <w:t>soc@eesc.europa.eu</w:t>
              </w:r>
            </w:hyperlink>
          </w:p>
        </w:tc>
      </w:tr>
      <w:tr w:rsidRPr="00936776" w:rsidR="00327157" w:rsidTr="002B2CE7" w14:paraId="2B720B41" w14:textId="77777777">
        <w:tc>
          <w:tcPr>
            <w:tcW w:w="3085" w:type="dxa"/>
          </w:tcPr>
          <w:p w:rsidRPr="00936776" w:rsidR="00327157" w:rsidP="006521F3" w:rsidRDefault="00327157" w14:paraId="7E85CB37" w14:textId="77777777">
            <w:pPr>
              <w:suppressAutoHyphens/>
            </w:pPr>
            <w:r w:rsidRPr="00936776">
              <w:t>Administratorka</w:t>
            </w:r>
          </w:p>
        </w:tc>
        <w:tc>
          <w:tcPr>
            <w:tcW w:w="6204" w:type="dxa"/>
          </w:tcPr>
          <w:p w:rsidRPr="00936776" w:rsidR="00327157" w:rsidP="006521F3" w:rsidRDefault="00327157" w14:paraId="6DD1FA09" w14:textId="0616F8C7">
            <w:pPr>
              <w:suppressAutoHyphens/>
            </w:pPr>
            <w:r w:rsidRPr="00936776">
              <w:t xml:space="preserve">Sabrina </w:t>
            </w:r>
            <w:r w:rsidRPr="00936776" w:rsidR="002D0B87">
              <w:t>BORG</w:t>
            </w:r>
          </w:p>
        </w:tc>
      </w:tr>
      <w:tr w:rsidRPr="00936776" w:rsidR="00327157" w:rsidTr="002B2CE7" w14:paraId="46314FAA" w14:textId="77777777">
        <w:tc>
          <w:tcPr>
            <w:tcW w:w="3085" w:type="dxa"/>
          </w:tcPr>
          <w:p w:rsidRPr="00936776" w:rsidR="00327157" w:rsidP="006521F3" w:rsidRDefault="00327157" w14:paraId="51268A50" w14:textId="77777777">
            <w:pPr>
              <w:suppressAutoHyphens/>
            </w:pPr>
            <w:r w:rsidRPr="00936776">
              <w:t>Data dokumentu</w:t>
            </w:r>
          </w:p>
        </w:tc>
        <w:tc>
          <w:tcPr>
            <w:tcW w:w="6204" w:type="dxa"/>
          </w:tcPr>
          <w:p w:rsidRPr="00936776" w:rsidR="00327157" w:rsidP="006521F3" w:rsidRDefault="00F57239" w14:paraId="4E9506C3" w14:textId="23DC5894">
            <w:pPr>
              <w:suppressAutoHyphens/>
            </w:pPr>
            <w:r w:rsidRPr="00936776">
              <w:t>09/10/2023</w:t>
            </w:r>
          </w:p>
        </w:tc>
      </w:tr>
    </w:tbl>
    <w:p w:rsidRPr="00936776" w:rsidR="004F09B7" w:rsidP="006521F3" w:rsidRDefault="004F09B7" w14:paraId="589CF44D" w14:textId="77777777">
      <w:pPr>
        <w:suppressAutoHyphens/>
        <w:rPr>
          <w:bCs/>
        </w:rPr>
      </w:pPr>
    </w:p>
    <w:p w:rsidRPr="00936776" w:rsidR="004F09B7" w:rsidP="006521F3" w:rsidRDefault="004F09B7" w14:paraId="6AB2392A" w14:textId="77777777">
      <w:pPr>
        <w:suppressAutoHyphens/>
        <w:rPr>
          <w:b/>
        </w:rPr>
        <w:sectPr w:rsidRPr="00936776" w:rsidR="004F09B7" w:rsidSect="009367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509"/>
        <w:gridCol w:w="5780"/>
      </w:tblGrid>
      <w:tr w:rsidRPr="00936776" w:rsidR="002D79A6" w:rsidTr="002D0B87" w14:paraId="776CD941" w14:textId="77777777">
        <w:tc>
          <w:tcPr>
            <w:tcW w:w="1889" w:type="pct"/>
          </w:tcPr>
          <w:p w:rsidRPr="00936776" w:rsidR="002D79A6" w:rsidP="006521F3" w:rsidRDefault="009772FB" w14:paraId="00000039" w14:textId="77777777">
            <w:pPr>
              <w:suppressAutoHyphens/>
              <w:jc w:val="left"/>
            </w:pPr>
            <w:r w:rsidRPr="00936776">
              <w:lastRenderedPageBreak/>
              <w:t>Decyzja Zgromadzenia Plenarnego</w:t>
            </w:r>
          </w:p>
        </w:tc>
        <w:tc>
          <w:tcPr>
            <w:tcW w:w="3111" w:type="pct"/>
          </w:tcPr>
          <w:p w:rsidRPr="00936776" w:rsidR="002D79A6" w:rsidP="006521F3" w:rsidRDefault="009772FB" w14:paraId="0000003A" w14:textId="77777777">
            <w:pPr>
              <w:suppressAutoHyphens/>
              <w:jc w:val="left"/>
            </w:pPr>
            <w:r w:rsidRPr="00936776">
              <w:t>25/1/2023</w:t>
            </w:r>
          </w:p>
        </w:tc>
      </w:tr>
      <w:tr w:rsidRPr="00936776" w:rsidR="002D79A6" w:rsidTr="002D0B87" w14:paraId="25D778BE" w14:textId="77777777">
        <w:tc>
          <w:tcPr>
            <w:tcW w:w="1889" w:type="pct"/>
          </w:tcPr>
          <w:p w:rsidRPr="00936776" w:rsidR="002D79A6" w:rsidP="006521F3" w:rsidRDefault="009772FB" w14:paraId="0000003B" w14:textId="77777777">
            <w:pPr>
              <w:suppressAutoHyphens/>
              <w:jc w:val="left"/>
            </w:pPr>
            <w:r w:rsidRPr="00936776">
              <w:t>Podstawa prawna</w:t>
            </w:r>
          </w:p>
        </w:tc>
        <w:tc>
          <w:tcPr>
            <w:tcW w:w="3111" w:type="pct"/>
          </w:tcPr>
          <w:p w:rsidRPr="00936776" w:rsidR="002D79A6" w:rsidP="006521F3" w:rsidRDefault="009772FB" w14:paraId="0000003C" w14:textId="77777777">
            <w:pPr>
              <w:suppressAutoHyphens/>
              <w:jc w:val="left"/>
            </w:pPr>
            <w:r w:rsidRPr="00936776">
              <w:t>Art. 52 ust. 2 regulaminu wewnętrznego</w:t>
            </w:r>
          </w:p>
        </w:tc>
      </w:tr>
      <w:tr w:rsidRPr="00936776" w:rsidR="002D79A6" w:rsidTr="002D0B87" w14:paraId="563FDAAD" w14:textId="77777777">
        <w:tc>
          <w:tcPr>
            <w:tcW w:w="1889" w:type="pct"/>
          </w:tcPr>
          <w:p w:rsidRPr="00936776" w:rsidR="002D79A6" w:rsidP="006521F3" w:rsidRDefault="002D79A6" w14:paraId="0000003D" w14:textId="77777777">
            <w:pPr>
              <w:suppressAutoHyphens/>
              <w:jc w:val="left"/>
            </w:pPr>
          </w:p>
        </w:tc>
        <w:tc>
          <w:tcPr>
            <w:tcW w:w="3111" w:type="pct"/>
          </w:tcPr>
          <w:p w:rsidRPr="00936776" w:rsidR="002D79A6" w:rsidP="006521F3" w:rsidRDefault="009772FB" w14:paraId="0000003E" w14:textId="77777777">
            <w:pPr>
              <w:suppressAutoHyphens/>
              <w:jc w:val="left"/>
            </w:pPr>
            <w:r w:rsidRPr="00936776">
              <w:t>Opinia z inicjatywy własnej</w:t>
            </w:r>
          </w:p>
        </w:tc>
      </w:tr>
      <w:tr w:rsidRPr="00936776" w:rsidR="002D79A6" w:rsidTr="002D0B87" w14:paraId="6AB50DE4" w14:textId="77777777">
        <w:tc>
          <w:tcPr>
            <w:tcW w:w="1889" w:type="pct"/>
          </w:tcPr>
          <w:p w:rsidRPr="00936776" w:rsidR="002D79A6" w:rsidP="006521F3" w:rsidRDefault="002D79A6" w14:paraId="0000003F" w14:textId="77777777">
            <w:pPr>
              <w:suppressAutoHyphens/>
              <w:jc w:val="left"/>
            </w:pPr>
          </w:p>
        </w:tc>
        <w:tc>
          <w:tcPr>
            <w:tcW w:w="3111" w:type="pct"/>
          </w:tcPr>
          <w:p w:rsidRPr="00936776" w:rsidR="002D79A6" w:rsidP="006521F3" w:rsidRDefault="002D79A6" w14:paraId="00000040" w14:textId="77777777">
            <w:pPr>
              <w:suppressAutoHyphens/>
              <w:jc w:val="left"/>
            </w:pPr>
          </w:p>
        </w:tc>
      </w:tr>
      <w:tr w:rsidRPr="00936776" w:rsidR="002D79A6" w:rsidTr="002D0B87" w14:paraId="3EE2C503" w14:textId="77777777">
        <w:tc>
          <w:tcPr>
            <w:tcW w:w="1889" w:type="pct"/>
          </w:tcPr>
          <w:p w:rsidRPr="00936776" w:rsidR="002D79A6" w:rsidP="006521F3" w:rsidRDefault="009772FB" w14:paraId="00000041" w14:textId="77777777">
            <w:pPr>
              <w:suppressAutoHyphens/>
              <w:jc w:val="left"/>
            </w:pPr>
            <w:r w:rsidRPr="00936776">
              <w:t>Sekcja odpowiedzialna</w:t>
            </w:r>
          </w:p>
        </w:tc>
        <w:tc>
          <w:tcPr>
            <w:tcW w:w="3111" w:type="pct"/>
          </w:tcPr>
          <w:p w:rsidRPr="00936776" w:rsidR="002D79A6" w:rsidP="006521F3" w:rsidRDefault="009772FB" w14:paraId="00000042" w14:textId="77777777">
            <w:pPr>
              <w:suppressAutoHyphens/>
              <w:jc w:val="left"/>
            </w:pPr>
            <w:r w:rsidRPr="00936776">
              <w:t>Sekcja Zatrudnienia, Spraw Społecznych i Obywatelstwa</w:t>
            </w:r>
          </w:p>
        </w:tc>
      </w:tr>
      <w:tr w:rsidRPr="00936776" w:rsidR="002D79A6" w:rsidTr="002D0B87" w14:paraId="1CACCE1F" w14:textId="77777777">
        <w:tc>
          <w:tcPr>
            <w:tcW w:w="1889" w:type="pct"/>
          </w:tcPr>
          <w:p w:rsidRPr="00936776" w:rsidR="002D79A6" w:rsidP="006521F3" w:rsidRDefault="009772FB" w14:paraId="00000043" w14:textId="77777777">
            <w:pPr>
              <w:suppressAutoHyphens/>
              <w:jc w:val="left"/>
            </w:pPr>
            <w:r w:rsidRPr="00936776">
              <w:t>Data przyjęcia przez sekcję</w:t>
            </w:r>
          </w:p>
        </w:tc>
        <w:tc>
          <w:tcPr>
            <w:tcW w:w="3111" w:type="pct"/>
          </w:tcPr>
          <w:p w:rsidRPr="00936776" w:rsidR="002D79A6" w:rsidP="006521F3" w:rsidRDefault="00380D0C" w14:paraId="00000044" w14:textId="3F969332">
            <w:pPr>
              <w:suppressAutoHyphens/>
              <w:jc w:val="left"/>
            </w:pPr>
            <w:r w:rsidRPr="00936776">
              <w:t>04/10/2023</w:t>
            </w:r>
          </w:p>
        </w:tc>
      </w:tr>
      <w:tr w:rsidRPr="00936776" w:rsidR="002D79A6" w:rsidTr="002D0B87" w14:paraId="2C6C406C" w14:textId="77777777">
        <w:tc>
          <w:tcPr>
            <w:tcW w:w="1889" w:type="pct"/>
          </w:tcPr>
          <w:p w:rsidRPr="00936776" w:rsidR="002D79A6" w:rsidP="006521F3" w:rsidRDefault="009772FB" w14:paraId="00000045" w14:textId="216C25C5">
            <w:pPr>
              <w:suppressAutoHyphens/>
              <w:jc w:val="left"/>
            </w:pPr>
            <w:r w:rsidRPr="00936776">
              <w:t>Wynik głosowania</w:t>
            </w:r>
            <w:r w:rsidRPr="00936776">
              <w:br/>
              <w:t>(za/przeciw/wstrzymało się)</w:t>
            </w:r>
          </w:p>
        </w:tc>
        <w:tc>
          <w:tcPr>
            <w:tcW w:w="3111" w:type="pct"/>
            <w:vAlign w:val="bottom"/>
          </w:tcPr>
          <w:p w:rsidRPr="00936776" w:rsidR="002D79A6" w:rsidP="006521F3" w:rsidRDefault="00FC69E5" w14:paraId="00000046" w14:textId="04E574E8">
            <w:pPr>
              <w:suppressAutoHyphens/>
              <w:jc w:val="left"/>
            </w:pPr>
            <w:r w:rsidRPr="00936776">
              <w:t>80/0/4</w:t>
            </w:r>
          </w:p>
        </w:tc>
      </w:tr>
      <w:tr w:rsidRPr="00936776" w:rsidR="002D79A6" w:rsidTr="002D0B87" w14:paraId="4FF03BCF" w14:textId="77777777">
        <w:tc>
          <w:tcPr>
            <w:tcW w:w="1889" w:type="pct"/>
          </w:tcPr>
          <w:p w:rsidRPr="00936776" w:rsidR="002D79A6" w:rsidP="006521F3" w:rsidRDefault="009772FB" w14:paraId="00000047" w14:textId="77777777">
            <w:pPr>
              <w:suppressAutoHyphens/>
              <w:jc w:val="left"/>
            </w:pPr>
            <w:r w:rsidRPr="00936776">
              <w:t>Data przyjęcia na sesji plenarnej</w:t>
            </w:r>
          </w:p>
        </w:tc>
        <w:tc>
          <w:tcPr>
            <w:tcW w:w="3111" w:type="pct"/>
          </w:tcPr>
          <w:p w:rsidRPr="00936776" w:rsidR="002D79A6" w:rsidP="006521F3" w:rsidRDefault="009772FB" w14:paraId="00000048" w14:textId="77777777">
            <w:pPr>
              <w:suppressAutoHyphens/>
              <w:jc w:val="left"/>
            </w:pPr>
            <w:r w:rsidRPr="00936776">
              <w:t>DD/MM/YYYY</w:t>
            </w:r>
          </w:p>
        </w:tc>
      </w:tr>
      <w:tr w:rsidRPr="00936776" w:rsidR="002D79A6" w:rsidTr="002D0B87" w14:paraId="4E336677" w14:textId="77777777">
        <w:tc>
          <w:tcPr>
            <w:tcW w:w="1889" w:type="pct"/>
          </w:tcPr>
          <w:p w:rsidRPr="00936776" w:rsidR="002D79A6" w:rsidP="006521F3" w:rsidRDefault="009772FB" w14:paraId="00000049" w14:textId="77777777">
            <w:pPr>
              <w:suppressAutoHyphens/>
              <w:jc w:val="left"/>
            </w:pPr>
            <w:r w:rsidRPr="00936776">
              <w:t>Sesja plenarna nr</w:t>
            </w:r>
          </w:p>
        </w:tc>
        <w:tc>
          <w:tcPr>
            <w:tcW w:w="3111" w:type="pct"/>
          </w:tcPr>
          <w:p w:rsidRPr="00936776" w:rsidR="002D79A6" w:rsidP="006521F3" w:rsidRDefault="009772FB" w14:paraId="0000004A" w14:textId="77777777">
            <w:pPr>
              <w:suppressAutoHyphens/>
              <w:jc w:val="left"/>
            </w:pPr>
            <w:r w:rsidRPr="00936776">
              <w:t>…</w:t>
            </w:r>
          </w:p>
        </w:tc>
      </w:tr>
      <w:tr w:rsidRPr="00936776" w:rsidR="002D79A6" w:rsidTr="002D0B87" w14:paraId="24EEBD25" w14:textId="77777777">
        <w:tc>
          <w:tcPr>
            <w:tcW w:w="1889" w:type="pct"/>
          </w:tcPr>
          <w:p w:rsidRPr="00936776" w:rsidR="002D79A6" w:rsidP="006521F3" w:rsidRDefault="009772FB" w14:paraId="0000004B" w14:textId="63FF75DC">
            <w:pPr>
              <w:suppressAutoHyphens/>
              <w:jc w:val="left"/>
            </w:pPr>
            <w:r w:rsidRPr="00936776">
              <w:t>Wynik głosowania</w:t>
            </w:r>
            <w:r w:rsidRPr="00936776">
              <w:br/>
              <w:t>(za/przeciw/wstrzymało się)</w:t>
            </w:r>
          </w:p>
        </w:tc>
        <w:tc>
          <w:tcPr>
            <w:tcW w:w="3111" w:type="pct"/>
            <w:vAlign w:val="bottom"/>
          </w:tcPr>
          <w:p w:rsidRPr="00936776" w:rsidR="002D79A6" w:rsidP="006521F3" w:rsidRDefault="009772FB" w14:paraId="0000004C" w14:textId="77777777">
            <w:pPr>
              <w:suppressAutoHyphens/>
              <w:jc w:val="left"/>
            </w:pPr>
            <w:r w:rsidRPr="00936776">
              <w:t>.../.../...</w:t>
            </w:r>
          </w:p>
        </w:tc>
      </w:tr>
    </w:tbl>
    <w:p w:rsidRPr="00936776" w:rsidR="002D79A6" w:rsidP="006521F3" w:rsidRDefault="009772FB" w14:paraId="0000004E" w14:textId="77777777">
      <w:pPr>
        <w:suppressAutoHyphens/>
      </w:pPr>
      <w:r w:rsidRPr="00936776">
        <w:br w:type="page"/>
      </w:r>
    </w:p>
    <w:p w:rsidRPr="00936776" w:rsidR="002D79A6" w:rsidP="006521F3" w:rsidRDefault="009772FB" w14:paraId="0000004F" w14:textId="77777777">
      <w:pPr>
        <w:pStyle w:val="Heading1"/>
        <w:numPr>
          <w:ilvl w:val="0"/>
          <w:numId w:val="3"/>
        </w:numPr>
        <w:suppressAutoHyphens/>
        <w:ind w:left="567" w:hanging="567"/>
        <w:rPr>
          <w:b/>
        </w:rPr>
      </w:pPr>
      <w:r w:rsidRPr="00936776">
        <w:rPr>
          <w:b/>
        </w:rPr>
        <w:lastRenderedPageBreak/>
        <w:t>Wnioski i zalecenia</w:t>
      </w:r>
    </w:p>
    <w:p w:rsidRPr="00936776" w:rsidR="004F1806" w:rsidP="006521F3" w:rsidRDefault="004F1806" w14:paraId="037A6BF5" w14:textId="77777777">
      <w:pPr>
        <w:suppressAutoHyphens/>
      </w:pPr>
    </w:p>
    <w:p w:rsidRPr="00936776" w:rsidR="004F1806" w:rsidP="006521F3" w:rsidRDefault="004F1806" w14:paraId="1E373629" w14:textId="5D1A00DB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rPr>
          <w:b/>
        </w:rPr>
        <w:t>EKES z zadowoleniem przyjmuje Europejski Rok Umiejętności</w:t>
      </w:r>
      <w:r w:rsidRPr="00936776">
        <w:t>, którego celem jest zwiększenie konkurencyjności i uczestnictwa oraz wspieranie talentów i dopasowywania umiejętności. Zgadza się, że wykwalifikowani pracownicy będą mieli większe możliwości zatrudnienia i w pełni zaangażują się w życie społeczne. Poziom wykształcenia, a zwłaszcza wykształcenie wyższe, zapewnia obywatelom lepsze możliwości pod względem zdolności do zatrudnienia. Istnieje silny związek między poziomem wykształcenia a uczestnictwem w rynku pracy, niezależnie od tego, czy jest on mierzony wskaźnikami zatrudnienia, bezrobocia czy bierności zawodowej.</w:t>
      </w:r>
    </w:p>
    <w:p w:rsidRPr="00936776" w:rsidR="00E30656" w:rsidP="00936776" w:rsidRDefault="00E30656" w14:paraId="424A6197" w14:textId="3992AC9F"/>
    <w:p w:rsidRPr="00936776" w:rsidR="00101D53" w:rsidP="006521F3" w:rsidRDefault="00101D53" w14:paraId="4AF5264E" w14:textId="36BA241D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w pełni popiera europejski program na rzecz umiejętności służący zrównoważonej konkurencyjności, sprawiedliwości i odporności i wzywa do opracowania planu działania w</w:t>
      </w:r>
      <w:r w:rsidR="001679B2">
        <w:t> </w:t>
      </w:r>
      <w:r w:rsidRPr="00936776">
        <w:t xml:space="preserve">celu jego właściwego wdrożenia. W związku z tym z zadowoleniem przyjmuje </w:t>
      </w:r>
      <w:r w:rsidRPr="00936776">
        <w:rPr>
          <w:b/>
        </w:rPr>
        <w:t>deklarację z</w:t>
      </w:r>
      <w:r w:rsidR="001679B2">
        <w:t> </w:t>
      </w:r>
      <w:r w:rsidRPr="00936776">
        <w:rPr>
          <w:b/>
        </w:rPr>
        <w:t>Porto przyjętą przez szefów państw w 2020 r. i potwierdzoną w jej rocznicę w 2023 r.</w:t>
      </w:r>
      <w:r w:rsidRPr="00936776">
        <w:t>, a</w:t>
      </w:r>
      <w:r w:rsidR="001679B2">
        <w:t> </w:t>
      </w:r>
      <w:r w:rsidRPr="00936776">
        <w:t>także zobowiązanie do umieszczenia edukacji i umiejętności w centrum wszystkich strategii politycznych.</w:t>
      </w:r>
    </w:p>
    <w:p w:rsidRPr="00936776" w:rsidR="00E30656" w:rsidP="00936776" w:rsidRDefault="00E30656" w14:paraId="1C780815" w14:textId="77777777"/>
    <w:p w:rsidRPr="00936776" w:rsidR="002A04CB" w:rsidP="006521F3" w:rsidRDefault="002A04CB" w14:paraId="384A6733" w14:textId="775AA65E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 xml:space="preserve">Komitet zgadza się, że w obliczu dwojakiej transformacji głównym motorem zrównoważonego wzrostu gospodarczego są umiejętności, zwłaszcza cyfrowe, ekologiczne i przekrojowe. Uważa, że sprostanie wyzwaniom związanym z umiejętnościami będzie wymagało </w:t>
      </w:r>
      <w:r w:rsidRPr="00936776">
        <w:rPr>
          <w:b/>
        </w:rPr>
        <w:t>znacznych wysiłków politycznych i systemowych reform w dziedzinie kształcenia i szkolenia oraz inteligentnych inwestycji w kapitał ludzki zarówno ze źródeł publicznych, jak i</w:t>
      </w:r>
      <w:r w:rsidR="001679B2">
        <w:t> </w:t>
      </w:r>
      <w:r w:rsidRPr="00936776">
        <w:rPr>
          <w:b/>
        </w:rPr>
        <w:t>prywatnych</w:t>
      </w:r>
      <w:r w:rsidRPr="00936776">
        <w:t>. Powodzenie zależy od zaangażowania wielu podmiotów: rządów krajowych, regionów, władz lokalnych, przedsiębiorstw, pracodawców, pracowników oraz samych ludzi.</w:t>
      </w:r>
    </w:p>
    <w:p w:rsidRPr="00936776" w:rsidR="00327157" w:rsidP="006521F3" w:rsidRDefault="00327157" w14:paraId="0A40497C" w14:textId="77777777">
      <w:pPr>
        <w:suppressAutoHyphens/>
      </w:pPr>
    </w:p>
    <w:p w:rsidRPr="00936776" w:rsidR="002A04CB" w:rsidP="006521F3" w:rsidRDefault="00370B8B" w14:paraId="01C65708" w14:textId="72BBB85F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 xml:space="preserve">EKES ponownie zwraca się do państw członkowskich, aby połączyły inicjatywy dotyczące indywidualnych rachunków szkoleniowych i mikropoświadczeń z wdrażaniem </w:t>
      </w:r>
      <w:hyperlink w:history="1" r:id="rId19">
        <w:r w:rsidRPr="00936776">
          <w:rPr>
            <w:rStyle w:val="Hyperlink"/>
            <w:i/>
          </w:rPr>
          <w:t>zalecenia Rady z</w:t>
        </w:r>
        <w:r w:rsidR="003302CE">
          <w:rPr>
            <w:rStyle w:val="Hyperlink"/>
            <w:i/>
          </w:rPr>
          <w:t> </w:t>
        </w:r>
        <w:r w:rsidRPr="00936776">
          <w:rPr>
            <w:rStyle w:val="Hyperlink"/>
            <w:i/>
          </w:rPr>
          <w:t>19 grudnia 2016 r. w sprawie ścieżek poprawy umiejętności: nowe możliwości dla dorosłych</w:t>
        </w:r>
        <w:r w:rsidRPr="00936776">
          <w:rPr>
            <w:rStyle w:val="FootnoteReference"/>
            <w:color w:val="0000FF"/>
            <w:u w:val="single"/>
          </w:rPr>
          <w:footnoteReference w:id="1"/>
        </w:r>
      </w:hyperlink>
      <w:r w:rsidRPr="00936776">
        <w:t>. Indywidualne rachunki szkoleniowe oraz podobne systemy finansowania powinny ułatwiać dostęp do uznanych i zatwierdzonych kursów szkoleniowych oraz umożliwiać pracownikom udział w procesach walidacji ich umiejętności i doświadczenia zawodowego.</w:t>
      </w:r>
    </w:p>
    <w:p w:rsidRPr="00936776" w:rsidR="00327157" w:rsidP="006521F3" w:rsidRDefault="00327157" w14:paraId="2F017346" w14:textId="58CAF7E3">
      <w:pPr>
        <w:suppressAutoHyphens/>
      </w:pPr>
    </w:p>
    <w:p w:rsidRPr="00936776" w:rsidR="00E30656" w:rsidP="006521F3" w:rsidRDefault="00370B8B" w14:paraId="2D49B485" w14:textId="6B2634F5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 xml:space="preserve">Zdaniem EKES-u ze względu na wpływ edukacji na płace i wydajność należy wziąć pod uwagę trzy ważne podstawowe kryteria: </w:t>
      </w:r>
      <w:r w:rsidRPr="00936776">
        <w:rPr>
          <w:b/>
        </w:rPr>
        <w:t>jakość dostępnej edukacji, dostęp do edukacji i wskaźnik zdolności do zatrudnienia</w:t>
      </w:r>
      <w:r w:rsidRPr="00936776">
        <w:t>. Wymaga to odpowiednich inwestycji w celu zaspokojenia zapotrzebowania na umiejętności. W całej Europie istnieje wiele narzędzi i dobrych praktyk (na</w:t>
      </w:r>
      <w:r w:rsidR="003302CE">
        <w:t> </w:t>
      </w:r>
      <w:r w:rsidRPr="00936776">
        <w:t>mocy prawa lub układów zbiorowych) – urlopy naukowe/szkoleniowe, osobiste rachunki szkoleniowe lub fundusze szkoleniowe (międzybranżowe lub sektorowe), bony, przeznaczanie pewnej części wynagrodzenia na szkolenie itp., które mają określone cele i grupy docelowe</w:t>
      </w:r>
      <w:r w:rsidRPr="00936776" w:rsidR="00D45BD0">
        <w:rPr>
          <w:rStyle w:val="FootnoteReference"/>
        </w:rPr>
        <w:footnoteReference w:id="2"/>
      </w:r>
      <w:r w:rsidRPr="00936776">
        <w:t>. Te</w:t>
      </w:r>
      <w:r w:rsidR="003302CE">
        <w:t> </w:t>
      </w:r>
      <w:r w:rsidRPr="00936776">
        <w:t>przykłady mogłyby zostać uwzględnione w wykazie środków, sporządzonym w</w:t>
      </w:r>
      <w:r w:rsidR="003302CE">
        <w:t> </w:t>
      </w:r>
      <w:r w:rsidRPr="00936776">
        <w:t>porozumieniu z</w:t>
      </w:r>
      <w:r w:rsidR="001679B2">
        <w:t> </w:t>
      </w:r>
      <w:r w:rsidRPr="00936776">
        <w:t xml:space="preserve">partnerami społecznymi, który państwa członkowskie muszą przedłożyć Komisji Europejskiej </w:t>
      </w:r>
      <w:r w:rsidRPr="00936776">
        <w:lastRenderedPageBreak/>
        <w:t>zgodnie z zaleceniem w sprawie wzmacniania dialogu społecznego</w:t>
      </w:r>
      <w:r w:rsidRPr="00936776" w:rsidR="00F54565">
        <w:rPr>
          <w:rStyle w:val="FootnoteReference"/>
        </w:rPr>
        <w:footnoteReference w:id="3"/>
      </w:r>
      <w:r w:rsidRPr="00936776">
        <w:t>. Ukazywałyby one wiele możliwych programów finansowania wspierających powszechne kształcenie i szkolenie. Należy podnieść kwestię zachęt dla pracodawców, np. ulg podatkowych dla przedsiębiorstw oferujących szkolenia. Należy usprawnić inicjatywy UE i państw członkowskich – z udziałem partnerów społecznych – dotyczące szkolenia pracowników w</w:t>
      </w:r>
      <w:r w:rsidR="00E45FC4">
        <w:t> </w:t>
      </w:r>
      <w:r w:rsidRPr="00936776">
        <w:t>miejscu pracy, tworząc odpowiednie zachęty dla pracodawców do dalszego inwestowania w</w:t>
      </w:r>
      <w:r w:rsidR="00E45FC4">
        <w:t> </w:t>
      </w:r>
      <w:r w:rsidRPr="00936776">
        <w:t>szkolenie swoich pracowników, przy jednoczesnym poszanowaniu autonomii dialogu społecznego i układów zbiorowych na szczeblu krajowym, sektorowym i na poziomie przedsiębiorstwa.</w:t>
      </w:r>
    </w:p>
    <w:p w:rsidRPr="00936776" w:rsidR="00E30656" w:rsidP="00936776" w:rsidRDefault="00E30656" w14:paraId="7F9F1021" w14:textId="77777777"/>
    <w:p w:rsidRPr="00936776" w:rsidR="006933FD" w:rsidP="006521F3" w:rsidRDefault="006933FD" w14:paraId="648F5ABE" w14:textId="03B38D24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Partnerzy społeczni, organizatorzy kształcenia i organizacje społeczeństwa obywatelskiego powinni ściślej współpracować w celu opracowania strategii w zakresie umiejętności, które to strategie najlepiej odpowiadałyby potrzebom świata pracy i społeczeństwa w szerszym ujęciu. Należy dobrze określić zaangażowanie i role każdej ze stron. Jednocześnie MŚP powinny mieć łatwiejszy dostęp do finansowania, ponieważ to one zatrudniają większość pracowników.</w:t>
      </w:r>
    </w:p>
    <w:p w:rsidRPr="00936776" w:rsidR="009E475C" w:rsidP="00936776" w:rsidRDefault="009E475C" w14:paraId="5D0AF9B2" w14:textId="77777777"/>
    <w:p w:rsidRPr="00936776" w:rsidR="009E475C" w:rsidP="006521F3" w:rsidRDefault="009E475C" w14:paraId="230A4BCF" w14:textId="14B2037E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Chociaż dyskusje i pomiary stopy zwrotu dotyczą głównie szkolnictwa wyższego, kształcenie wstępne odgrywa kluczową rolę – na kolejnych poziomach edukacji będziemy czerpać korzyści z fundamentów, które dziś kładziemy. Dlatego ważne jest zapewnienie dobrej jakości kształcenia wstępnego wspomaganego przez lepsze doradztwo szkolne, aby wspierać osoby uczące się i przygotować je do wejścia do świata pracy, w odpowiednich przypadkach z</w:t>
      </w:r>
      <w:r w:rsidR="001679B2">
        <w:t> </w:t>
      </w:r>
      <w:r w:rsidRPr="00936776">
        <w:t>wykorzystaniem dualnych systemów kształcenia. Istotne jest dalsze wzmacnianie roli i profilu kształcenia i szkolenia zawodowego (VET) w celu dalszego rozwoju systemów dualnych jako sposobu szkolenia osób w zakresie umiejętności podstawowych, przekrojowych i STEM.</w:t>
      </w:r>
    </w:p>
    <w:p w:rsidRPr="00936776" w:rsidR="00370B8B" w:rsidP="006521F3" w:rsidRDefault="00370B8B" w14:paraId="62EDE30A" w14:textId="77777777">
      <w:pPr>
        <w:suppressAutoHyphens/>
      </w:pPr>
    </w:p>
    <w:p w:rsidRPr="00936776" w:rsidR="00370B8B" w:rsidP="006521F3" w:rsidRDefault="00370B8B" w14:paraId="5B2BF410" w14:textId="0E606BE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zaleca, by polityka dotycząca różnorodności, równości płci, młodzieży i</w:t>
      </w:r>
      <w:r w:rsidR="001679B2">
        <w:t> </w:t>
      </w:r>
      <w:r w:rsidRPr="00936776">
        <w:t>niepełnosprawności konsekwentnie odzwierciedlała nowy paradygmat rozwoju umiejętności w</w:t>
      </w:r>
      <w:r w:rsidR="001679B2">
        <w:t> </w:t>
      </w:r>
      <w:r w:rsidRPr="00936776">
        <w:t>Europie.</w:t>
      </w:r>
    </w:p>
    <w:p w:rsidRPr="00936776" w:rsidR="00370B8B" w:rsidP="006521F3" w:rsidRDefault="00370B8B" w14:paraId="403EE633" w14:textId="77777777">
      <w:pPr>
        <w:suppressAutoHyphens/>
      </w:pPr>
    </w:p>
    <w:p w:rsidRPr="00936776" w:rsidR="00370B8B" w:rsidP="006521F3" w:rsidRDefault="00370B8B" w14:paraId="3CEEF288" w14:textId="567D771E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Komitet apeluje, by polityka UE w zakresie legalnej migracji przekształciła się w model oparty na koordynacji krajowych polityk imigracyjnych. Takie podejście umożliwiłoby państwom członkowskim zaspokojenie ich zróżnicowanych potrzeb w zakresie wykwalifikowanych pracowników migrujących w sposób ogólnie skoordynowany na poziomie UE.</w:t>
      </w:r>
    </w:p>
    <w:p w:rsidRPr="00936776" w:rsidR="00E30656" w:rsidP="006521F3" w:rsidRDefault="00E30656" w14:paraId="29C42336" w14:textId="77777777">
      <w:pPr>
        <w:suppressAutoHyphens/>
      </w:pPr>
    </w:p>
    <w:p w:rsidRPr="00936776" w:rsidR="002D79A6" w:rsidP="006521F3" w:rsidRDefault="00E30656" w14:paraId="00000051" w14:textId="0E46A3D8">
      <w:pPr>
        <w:pStyle w:val="Heading1"/>
        <w:numPr>
          <w:ilvl w:val="0"/>
          <w:numId w:val="3"/>
        </w:numPr>
        <w:suppressAutoHyphens/>
        <w:ind w:left="567" w:hanging="567"/>
        <w:rPr>
          <w:b/>
        </w:rPr>
      </w:pPr>
      <w:r w:rsidRPr="00936776">
        <w:rPr>
          <w:b/>
        </w:rPr>
        <w:t>Uwagi ogólne</w:t>
      </w:r>
    </w:p>
    <w:p w:rsidRPr="00936776" w:rsidR="002D79A6" w:rsidP="00936776" w:rsidRDefault="002D79A6" w14:paraId="00000056" w14:textId="77777777"/>
    <w:p w:rsidRPr="00936776" w:rsidR="002D79A6" w:rsidP="006521F3" w:rsidRDefault="009772FB" w14:paraId="00000057" w14:textId="3F023C65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Choć nie jest to powszechna opinia, pracownicy – zwłaszcza wysoko wykwalifikowani – rywalizują o stanowiska. Ponadto na rynku pojawiają się nowe miejsca pracy, w szczególności związane ze sztuczną inteligencją, które wymagają wysokiego poziomu umiejętności cyfrowych w ramach nowych modeli biznesowych. Mimo to występuje również duże niedopasowanie umiejętności, zwłaszcza w obszarach umiejętności ekologicznych i cyfrowych. Wpływa to na konkurencję i wynagrodzenia pracowników o wysokich kwalifikacjach i umiejętnościach w</w:t>
      </w:r>
      <w:r w:rsidR="001679B2">
        <w:t> </w:t>
      </w:r>
      <w:r w:rsidRPr="00936776">
        <w:t xml:space="preserve">odróżnieniu od osób o niskich umiejętnościach zawodowych. </w:t>
      </w:r>
    </w:p>
    <w:p w:rsidRPr="00936776" w:rsidR="002D79A6" w:rsidP="006521F3" w:rsidRDefault="002D79A6" w14:paraId="00000058" w14:textId="77777777">
      <w:pPr>
        <w:suppressAutoHyphens/>
      </w:pPr>
    </w:p>
    <w:p w:rsidRPr="00936776" w:rsidR="002D79A6" w:rsidP="006521F3" w:rsidRDefault="009772FB" w14:paraId="00000059" w14:textId="754C239E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lastRenderedPageBreak/>
        <w:t>EKES dostrzega duże zapotrzebowanie wśród grup pracowników wysoko wykwalifikowanych</w:t>
      </w:r>
      <w:r w:rsidRPr="00936776" w:rsidR="001A5CE9">
        <w:rPr>
          <w:rStyle w:val="FootnoteReference"/>
        </w:rPr>
        <w:footnoteReference w:id="4"/>
      </w:r>
      <w:r w:rsidRPr="00936776">
        <w:t>. Zauważono, że osoby o wyższych kwalifikacjach i umiejętnościach również w późniejszych latach życia częściej uczestniczą w kształceniu i szkoleniu. Ta korelacja wskazuje, iż im dłużej ktoś się kształci, tym bardziej prawdopodobne jest, że będzie brać udział w innych formach kształcenia ustawicznego i uczenia się przez całe życie, co z kolei zwiększa szanse tej osoby na wyższe wynagrodzenie. Dane wskazują jednak, że osoby korzystające ze szkoleń są już wykwalifikowane i że nie docieramy do osób niekształcących się i niepracujących ani do pracowników niewykwalifikowanych.</w:t>
      </w:r>
      <w:r w:rsidRPr="00936776">
        <w:rPr>
          <w:color w:val="000000"/>
        </w:rPr>
        <w:t xml:space="preserve"> </w:t>
      </w:r>
      <w:r w:rsidRPr="00936776">
        <w:t>Europejski program na rzecz umiejętności</w:t>
      </w:r>
      <w:r w:rsidRPr="00936776" w:rsidR="004137AA">
        <w:rPr>
          <w:rStyle w:val="FootnoteReference"/>
        </w:rPr>
        <w:footnoteReference w:id="5"/>
      </w:r>
      <w:r w:rsidRPr="00936776">
        <w:t xml:space="preserve">, czyli pięcioletni plan mający pomóc przedsiębiorstwom i osobom fizycznym w rozwijaniu liczniejszych i lepszych umiejętności, jest narzędziem, które powinno zwiększyć konkurencyjność i zapewnić sprawiedliwość społeczną. </w:t>
      </w:r>
    </w:p>
    <w:p w:rsidRPr="00936776" w:rsidR="002D79A6" w:rsidP="006521F3" w:rsidRDefault="002D79A6" w14:paraId="0000005A" w14:textId="77777777">
      <w:pPr>
        <w:suppressAutoHyphens/>
      </w:pPr>
    </w:p>
    <w:p w:rsidRPr="00936776" w:rsidR="002D79A6" w:rsidP="006521F3" w:rsidRDefault="009772FB" w14:paraId="0000005B" w14:textId="3998585C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uważa, że brakuje nie tylko wysoko wykwalifikowanych pracowników, ale także pracowników o niskich umiejętnościach, którzy również są niezbędni. W komunikacie Komisji Europejskiej w sprawie Nowego europejskiego programu na rzecz umiejętności wyraźnie podkreślono, że „rozwiązywanie problemów związanych z umiejętnościami będzie wymagało podjęcia znacznych wysiłków w zakresie polityki i wdrożenia systemowych reform kształcenia i szkolenia. Konieczne będzie inteligentne inwestowanie w kapitał ludzki zarówno z</w:t>
      </w:r>
      <w:r w:rsidR="001679B2">
        <w:t> </w:t>
      </w:r>
      <w:r w:rsidRPr="00936776">
        <w:t>publicznych, jak i prywatnych źródeł (...). Powodzenie zależy od zaangażowania i wiedzy fachowej wielu podmiotów: rządów krajowych, regionów, władz lokalnych, przedsiębiorstw, pracodawców, pracowników oraz samych ludzi”</w:t>
      </w:r>
      <w:r w:rsidRPr="00936776" w:rsidR="00777D6E">
        <w:rPr>
          <w:rStyle w:val="FootnoteReference"/>
        </w:rPr>
        <w:footnoteReference w:id="6"/>
      </w:r>
      <w:r w:rsidRPr="00936776">
        <w:t>. Inwestycje pracodawców w szkolenie pracowników są bardzo zróżnicowane w poszczególnych państwach członkowskich Unii Europejskiej – w niektórych krajach pracodawcy za mało inwestują w szkolenie pracowników. Natomiast w innych krajach pracodawcy są bardzo zaangażowani w szkolenia związane z pracą i w pełni popierają cel, którym jest zmiana i podnoszenie kwalifikacji w odpowiedzi na dwojaką transformację i niedopasowanie umiejętności</w:t>
      </w:r>
      <w:r w:rsidRPr="00936776" w:rsidR="00593834">
        <w:rPr>
          <w:rStyle w:val="FootnoteReference"/>
        </w:rPr>
        <w:footnoteReference w:id="7"/>
      </w:r>
      <w:r w:rsidRPr="00936776">
        <w:t>. Przedsiębiorstwa i pracownicy najlepiej wiedzą, jak zmieniają się zadania pracowników.</w:t>
      </w:r>
    </w:p>
    <w:p w:rsidRPr="00936776" w:rsidR="006B73EB" w:rsidP="00936776" w:rsidRDefault="006B73EB" w14:paraId="01C453EE" w14:textId="3F3CACDC"/>
    <w:p w:rsidRPr="00936776" w:rsidR="002D79A6" w:rsidP="006521F3" w:rsidRDefault="009772FB" w14:paraId="0000005D" w14:textId="0D1DC765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Odsetek osób z wykształceniem wyższym w wieku od 25 do 64 lat rośnie z roku na rok. Ma to również wpływ na rynek pracy, ponieważ zwiększa się rywalizacja o stanowiska wymagające kwalifikacji zawodowych. Odsetek osób zatrudnionych z wykształceniem wyższym różni się jednak w zależności od kraju oraz sektora i można stwierdzić, że we wszystkich sektorach podaż nie odpowiada popytowi.</w:t>
      </w:r>
    </w:p>
    <w:p w:rsidRPr="00936776" w:rsidR="00DB44FB" w:rsidP="006521F3" w:rsidRDefault="00DB44FB" w14:paraId="4B207777" w14:textId="3793F9F5">
      <w:pPr>
        <w:suppressAutoHyphens/>
      </w:pPr>
    </w:p>
    <w:p w:rsidRPr="00936776" w:rsidR="00DB44FB" w:rsidP="006521F3" w:rsidRDefault="00DB44FB" w14:paraId="42E8EACB" w14:textId="45E15E09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 xml:space="preserve">Osoby z wykształceniem średnim II stopnia i policealnym zarabiają o około jedną trzecią mniej niż osoby posiadające wykształcenie wyższe. Potencjalne zwiększenie zarobków w trakcie kariery zawodowej może stanowić ważną zachętę dla poszczególnych osób do kontynuowania kształcenia i szkolenia. Przewaga zarobkowa pracowników z wykształceniem wyższym różni </w:t>
      </w:r>
      <w:r w:rsidRPr="00936776">
        <w:lastRenderedPageBreak/>
        <w:t>się znacznie w zależności od poziomów wykształcenia wyższego w poszczególnych branżach w</w:t>
      </w:r>
      <w:r w:rsidR="001679B2">
        <w:t> </w:t>
      </w:r>
      <w:r w:rsidRPr="00936776">
        <w:t>Europie. Wysoka stopa zwrotu ze szkolnictwa wyższego może wskazywać na znaczne różnice w wynagrodzeniu.</w:t>
      </w:r>
    </w:p>
    <w:p w:rsidRPr="00936776" w:rsidR="002D79A6" w:rsidP="006521F3" w:rsidRDefault="002D79A6" w14:paraId="0000005E" w14:textId="77777777">
      <w:pPr>
        <w:suppressAutoHyphens/>
      </w:pPr>
    </w:p>
    <w:p w:rsidRPr="00936776" w:rsidR="002D79A6" w:rsidP="006521F3" w:rsidRDefault="009772FB" w14:paraId="00000063" w14:textId="28804621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Badania pokazują, że średnia prywatna globalna stopa zwrotu z jednego dodatkowego roku nauki szkolnej wynosi około 9 % rocznie i w ciągu dziesięcioleci pozostaje na bardzo stabilnym poziomie: „Prywatny zwrot z inwestycji w wykształcenie wyższe wzrasta z biegiem czasu, co rodzi problemy związane z finansowaniem i kapitałem. Społeczne zyski z nauki szkolnej utrzymują się na wysokim poziomie i wynoszą powyżej 10 %, jeżeli chodzi o kształcenie średnie i szkolnictwo wyższe”</w:t>
      </w:r>
      <w:r w:rsidRPr="00936776">
        <w:rPr>
          <w:sz w:val="24"/>
          <w:vertAlign w:val="superscript"/>
        </w:rPr>
        <w:footnoteReference w:id="8"/>
      </w:r>
      <w:r w:rsidRPr="00936776">
        <w:t>.</w:t>
      </w:r>
    </w:p>
    <w:p w:rsidRPr="00936776" w:rsidR="002D79A6" w:rsidP="006521F3" w:rsidRDefault="002D79A6" w14:paraId="00000064" w14:textId="77777777">
      <w:pPr>
        <w:suppressAutoHyphens/>
      </w:pPr>
    </w:p>
    <w:p w:rsidRPr="00936776" w:rsidR="002D79A6" w:rsidP="006521F3" w:rsidRDefault="009772FB" w14:paraId="00000065" w14:textId="742D432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Różnic w płacach nie można tłumaczyć jedynie różnym poziomem wykształcenia. Także nierówne traktowanie ze względu na płeć lub wiek odgrywa ważną rolę, w większości przypadków zmniejszającą się wraz ze wzrostem poziomu wykształcenia. Również różnice między krajami, nawet w Europie, mają duży wpływ na różnice w wynagrodzeniach: na południu i na wschodzie Europy dochody przy tym samym poziomie wykształcenia są niższe</w:t>
      </w:r>
      <w:r w:rsidRPr="00936776" w:rsidR="008739D2">
        <w:rPr>
          <w:rStyle w:val="FootnoteReference"/>
        </w:rPr>
        <w:footnoteReference w:id="9"/>
      </w:r>
      <w:r w:rsidRPr="00936776">
        <w:t>.</w:t>
      </w:r>
    </w:p>
    <w:p w:rsidRPr="00936776" w:rsidR="002D79A6" w:rsidP="006521F3" w:rsidRDefault="002D79A6" w14:paraId="00000066" w14:textId="77777777">
      <w:pPr>
        <w:suppressAutoHyphens/>
      </w:pPr>
    </w:p>
    <w:p w:rsidRPr="00936776" w:rsidR="002D79A6" w:rsidP="006521F3" w:rsidRDefault="009772FB" w14:paraId="00000067" w14:textId="3CA17C2B">
      <w:pPr>
        <w:pStyle w:val="Heading1"/>
        <w:numPr>
          <w:ilvl w:val="0"/>
          <w:numId w:val="3"/>
        </w:numPr>
        <w:suppressAutoHyphens/>
        <w:ind w:left="567" w:hanging="567"/>
        <w:rPr>
          <w:b/>
        </w:rPr>
      </w:pPr>
      <w:r w:rsidRPr="00936776">
        <w:rPr>
          <w:b/>
        </w:rPr>
        <w:t>Umiejętności jako siła napędowa konkurencyjności, sprawiedliwości i odporności</w:t>
      </w:r>
    </w:p>
    <w:p w:rsidRPr="00936776" w:rsidR="002D79A6" w:rsidP="006521F3" w:rsidRDefault="002D79A6" w14:paraId="00000068" w14:textId="77777777">
      <w:pPr>
        <w:suppressAutoHyphens/>
      </w:pPr>
    </w:p>
    <w:p w:rsidRPr="00936776" w:rsidR="002D79A6" w:rsidP="006521F3" w:rsidRDefault="009772FB" w14:paraId="00000069" w14:textId="4B04C32C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Europejskie Centrum Rozwoju Kształcenia Zawodowego (Cedefop) wskazuje, że widoczne są oznaki coraz większego niedopasowania umiejętności w Europie w wyniku pandemii COVID</w:t>
      </w:r>
      <w:r w:rsidR="001679B2">
        <w:noBreakHyphen/>
      </w:r>
      <w:r w:rsidRPr="00936776">
        <w:t>19. 77 % unijnych przedsiębiorstw zgłasza trudności ze znalezieniem pracowników posiadających niezbędne umiejętności, natomiast OECD wskazuje, że średnio w UE 15,3 % siły roboczej ma za wysokie kwalifikacje w stosunku do wykonywanej pracy, a 16,8 % – za niskie kwalifikacje. Wpływa to na wzrost gospodarczy i konkurencyjność Unii. Zdaniem Cedefop</w:t>
      </w:r>
      <w:r w:rsidRPr="00936776" w:rsidR="00DB44FB">
        <w:rPr>
          <w:rStyle w:val="FootnoteReference"/>
        </w:rPr>
        <w:footnoteReference w:id="10"/>
      </w:r>
      <w:r w:rsidRPr="00936776">
        <w:t xml:space="preserve"> powinniśmy przyjrzeć się nie tylko uzyskiwanym dochodom, ale również warunkom pracy; płatny urlop na szkolenie związane z pracą jest niezwykle ważny w przypadku indywidualnych rachunków szkoleniowych i mikropoświadczeń. Transgraniczny płatny urlop na szkolenie związane z pracą może być dostępny w przypadku ofert szkoleniowych dla osób mieszkających w pobliżu granic sąsiednich krajów; nie uwzględniono natomiast jeszcze uczestnictwa w</w:t>
      </w:r>
      <w:r w:rsidR="001679B2">
        <w:t> </w:t>
      </w:r>
      <w:r w:rsidRPr="00936776">
        <w:t>szkoleniach online. Należy jednak położyć nacisk głównie na to, aby państwa członkowskie dalej rozwijały swoje podejście do szkoleń, z uwzględnieniem roli funduszy szkoleniowych lub innych preferowanych rozwiązań krajowych.</w:t>
      </w:r>
    </w:p>
    <w:p w:rsidRPr="00936776" w:rsidR="002D79A6" w:rsidP="006521F3" w:rsidRDefault="002D79A6" w14:paraId="0000006A" w14:textId="77777777">
      <w:pPr>
        <w:suppressAutoHyphens/>
      </w:pPr>
    </w:p>
    <w:p w:rsidRPr="00936776" w:rsidR="002D79A6" w:rsidP="006521F3" w:rsidRDefault="009772FB" w14:paraId="0000006B" w14:textId="4A9B78D3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Według Cedefop w 2019 r. 25 % młodych absolwentów szkół wyższych w UE miało zbyt wysokie kwalifikacje w stosunku do wykonywanej pracy, a odsetek unijnych pracowników posiadających umiejętności niedopasowane do wykonywanej pracy sięgał 45 %. Spadek wydajności gospodarki UE z powodu niedopasowania umiejętności w 2019 r. wyniósł 2 %</w:t>
      </w:r>
      <w:r w:rsidRPr="00936776">
        <w:rPr>
          <w:sz w:val="24"/>
          <w:vertAlign w:val="superscript"/>
        </w:rPr>
        <w:footnoteReference w:id="11"/>
      </w:r>
      <w:r w:rsidRPr="00936776">
        <w:t>.</w:t>
      </w:r>
    </w:p>
    <w:p w:rsidRPr="00936776" w:rsidR="00EB0DD0" w:rsidP="006521F3" w:rsidRDefault="00EB0DD0" w14:paraId="0A6E1957" w14:textId="77777777">
      <w:pPr>
        <w:suppressAutoHyphens/>
      </w:pPr>
    </w:p>
    <w:p w:rsidRPr="00936776" w:rsidR="002D79A6" w:rsidP="006521F3" w:rsidRDefault="00EB0DD0" w14:paraId="00000072" w14:textId="29D9E0FA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Inną inicjatywą jest cyfrowy kompas na 2030 r., w ramach którego wyznaczono cel, aby w UE co najmniej 80 % osób dorosłych posiadało podstawowe umiejętności cyfrowe i zatrudnionych było 20 mln specjalistów w dziedzinie ICT. Założeniem cyfrowego kompasu jest wzmocnienie pozycji przedsiębiorstw i jednostek w ukierunkowanej na człowieka, zrównoważonej i bardziej dostatniej cyfrowej przyszłości. Uważa się, że przyczyni się to do rozwoju umiejętności, ale głównie wśród wykwalifikowanych pracowników.</w:t>
      </w:r>
    </w:p>
    <w:p w:rsidRPr="00936776" w:rsidR="002D79A6" w:rsidP="006521F3" w:rsidRDefault="002D79A6" w14:paraId="00000074" w14:textId="77777777">
      <w:pPr>
        <w:suppressAutoHyphens/>
      </w:pPr>
    </w:p>
    <w:p w:rsidRPr="00936776" w:rsidR="002D79A6" w:rsidP="006521F3" w:rsidRDefault="00DB44FB" w14:paraId="00000075" w14:textId="24D5A14A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Jak wskazuje Eurostat, istnieje wyraźna różnica w wynagrodzeniach i zatrudnieniu osób z</w:t>
      </w:r>
      <w:r w:rsidR="001679B2">
        <w:t> </w:t>
      </w:r>
      <w:r w:rsidRPr="00936776">
        <w:t>wykształceniem wyższym i średnim</w:t>
      </w:r>
      <w:r w:rsidRPr="00936776">
        <w:rPr>
          <w:rStyle w:val="FootnoteReference"/>
        </w:rPr>
        <w:footnoteReference w:id="12"/>
      </w:r>
      <w:r w:rsidRPr="00936776">
        <w:t>. Polityka edukacyjna i program na rzecz umiejętności powinny być w stanie wykorzystać postęp technologiczny. W tym kontekście wzrost w każdym państwie członkowskim UE zależy od zdolności do stworzenia polityki w zakresie umiejętności odpowiadającej potrzebom gospodarki krajowej oraz od tego, czy pracownicy będą w stanie realizować tę politykę w zakresie umiejętności.</w:t>
      </w:r>
    </w:p>
    <w:p w:rsidRPr="00936776" w:rsidR="002D79A6" w:rsidP="006521F3" w:rsidRDefault="002D79A6" w14:paraId="00000076" w14:textId="77777777">
      <w:pPr>
        <w:suppressAutoHyphens/>
      </w:pPr>
    </w:p>
    <w:p w:rsidRPr="00936776" w:rsidR="002D79A6" w:rsidP="006521F3" w:rsidRDefault="009772FB" w14:paraId="00000077" w14:textId="01D5D3B9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 rezolucji Rady w sprawie nowej europejskiej agendy w zakresie uczenia się dorosłych na lata 2021–2030 (zwanej dalej „rezolucją Rady”) uznano, że „nowa kultura uczenia się powinna kłaść nacisk na znaczenie umiejętności podstawowych dla wszystkich i ciągłego zdobywania, przez całe życie, odpowiedniej wiedzy oraz odpowiednich umiejętności i kompetencji”</w:t>
      </w:r>
      <w:r w:rsidRPr="00936776">
        <w:rPr>
          <w:sz w:val="24"/>
          <w:vertAlign w:val="superscript"/>
        </w:rPr>
        <w:footnoteReference w:id="13"/>
      </w:r>
      <w:r w:rsidRPr="00936776">
        <w:t>.</w:t>
      </w:r>
    </w:p>
    <w:p w:rsidRPr="00936776" w:rsidR="007739FC" w:rsidP="006521F3" w:rsidRDefault="007739FC" w14:paraId="6665C51A" w14:textId="77777777">
      <w:pPr>
        <w:suppressAutoHyphens/>
      </w:pPr>
    </w:p>
    <w:p w:rsidRPr="00936776" w:rsidR="00DD61A8" w:rsidP="006521F3" w:rsidRDefault="009772FB" w14:paraId="0037744E" w14:textId="75DE3128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 rezolucji Rady stwierdzono, że uczenie się dorosłych może mieć wkład w wydajność, włączenie społeczne, równość płci, kreatywność, innowacyjność i przedsiębiorczość. Nie odniesiono się w niej jednak wyraźnie do partnerów społecznych, choć zwrócono uwagę na znaczenie współpracy państw członkowskich z odpowiednimi zainteresowanymi stronami w</w:t>
      </w:r>
      <w:r w:rsidR="001679B2">
        <w:t> </w:t>
      </w:r>
      <w:r w:rsidRPr="00936776">
        <w:t>ponownym przyciąganiu do uczenia się niezaangażowanych osób dorosłych w konkretnych grupach docelowych. W rezolucji nie podkreślono roli i odpowiedzialności partnerów społecznych w zakresie kształcenia dorosłych. Promowałoby to również kulturę uczenia się przez całe życie i zaangażowanie dorosłych w edukację oraz zwiększyłoby rolę i</w:t>
      </w:r>
      <w:r w:rsidR="001679B2">
        <w:t> </w:t>
      </w:r>
      <w:r w:rsidRPr="00936776">
        <w:t>odpowiedzialność partnerów społecznych w zarządzaniu systemami kształcenia i szkolenia, w</w:t>
      </w:r>
      <w:r w:rsidR="001679B2">
        <w:t> </w:t>
      </w:r>
      <w:r w:rsidRPr="00936776">
        <w:t>tym w odniesieniu do aktualizacji programów nauczania, tak aby lepiej odpowiadały zmieniającym się potrzebom rynku pracy, z uwzględnieniem istniejących praktyk krajowych.</w:t>
      </w:r>
    </w:p>
    <w:p w:rsidRPr="00936776" w:rsidR="00DD61A8" w:rsidP="00936776" w:rsidRDefault="00DD61A8" w14:paraId="3AB13F2F" w14:textId="77777777"/>
    <w:p w:rsidRPr="00936776" w:rsidR="002D79A6" w:rsidP="006521F3" w:rsidRDefault="00842629" w14:paraId="00000079" w14:textId="5B0E871C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Kultura uczenia się przez całe życie powinna również odzwierciedlać potrzeby społeczeństwa w</w:t>
      </w:r>
      <w:r w:rsidR="001679B2">
        <w:t> </w:t>
      </w:r>
      <w:r w:rsidRPr="00936776">
        <w:t xml:space="preserve">perspektywie krótko- i długoterminowej. Na przykład inicjatywy rządów krajowych lub układy zbiorowe mogłyby zapewnić pracownikom prawo do co najmniej jednego płatnego dnia w roku na udział w szkoleniu zawodowym związanym z wykonywaną pracą. Przedsiębiorstwa potrzebują skutecznego wsparcia, aby wzmacniać i finansować swoje strategie w zakresie podnoszenia i zmiany kwalifikacji pracowników z myślą o zachęcaniu do wprowadzania innowacji. </w:t>
      </w:r>
      <w:r w:rsidRPr="00936776">
        <w:rPr>
          <w:b/>
        </w:rPr>
        <w:t xml:space="preserve">Europejscy partnerzy społeczni w swoim programie prac na lata 2022–2024 </w:t>
      </w:r>
      <w:r w:rsidRPr="00936776">
        <w:rPr>
          <w:b/>
        </w:rPr>
        <w:lastRenderedPageBreak/>
        <w:t>zamierzają zrealizować projekt dotyczący dopasowywania umiejętności do potrzeb rynku pracy.</w:t>
      </w:r>
    </w:p>
    <w:p w:rsidRPr="00936776" w:rsidR="002D79A6" w:rsidP="006521F3" w:rsidRDefault="002D79A6" w14:paraId="0000007A" w14:textId="77777777">
      <w:pPr>
        <w:suppressAutoHyphens/>
      </w:pPr>
    </w:p>
    <w:p w:rsidRPr="00936776" w:rsidR="002D79A6" w:rsidP="006521F3" w:rsidRDefault="009772FB" w14:paraId="0000007B" w14:textId="0BF0C9B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E.A. Hanushek (2016 r.)</w:t>
      </w:r>
      <w:r w:rsidRPr="00936776">
        <w:rPr>
          <w:sz w:val="24"/>
          <w:vertAlign w:val="superscript"/>
        </w:rPr>
        <w:footnoteReference w:id="14"/>
      </w:r>
      <w:r w:rsidRPr="00936776">
        <w:t xml:space="preserve"> sugeruje, że jakość podstawowych umiejętności ma kluczowe znaczenie oraz że jeżeli nie ma się dobrych umiejętności podstawowych, to dalsze kształcenie na poziomie wyższym nie przynosi korzyści. Dodatkowe lata kształcenia w szkolnictwie wyższym nie dają tak dużego efektu jak dodatkowe lata kształcenia w szkolnictwie podstawowym.</w:t>
      </w:r>
    </w:p>
    <w:p w:rsidRPr="00936776" w:rsidR="002D79A6" w:rsidP="006521F3" w:rsidRDefault="002D79A6" w14:paraId="0000007C" w14:textId="77777777">
      <w:pPr>
        <w:suppressAutoHyphens/>
      </w:pPr>
    </w:p>
    <w:p w:rsidRPr="00936776" w:rsidR="002D79A6" w:rsidP="006521F3" w:rsidRDefault="009772FB" w14:paraId="0000007D" w14:textId="61DBA3C9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Chociaż jedna z metod pomiaru jakości edukacji danej osoby obejmuje liczbę lat nauki szkolnej, w ostatnich latach jakość edukacji i wskaźnik zdolności do zatrudnienia były ważniejsze niż liczba lat nauki, ponieważ systemy oświatowe i jakość edukacji różnią się nie tylko między krajami, ale również w obrębie tego samego kraju</w:t>
      </w:r>
      <w:r w:rsidRPr="00936776" w:rsidR="00E258D7">
        <w:rPr>
          <w:rStyle w:val="FootnoteReference"/>
        </w:rPr>
        <w:footnoteReference w:id="15"/>
      </w:r>
      <w:r w:rsidRPr="00936776">
        <w:t>.</w:t>
      </w:r>
    </w:p>
    <w:p w:rsidRPr="00936776" w:rsidR="002D79A6" w:rsidP="006521F3" w:rsidRDefault="002D79A6" w14:paraId="00000080" w14:textId="77777777">
      <w:pPr>
        <w:suppressAutoHyphens/>
      </w:pPr>
    </w:p>
    <w:p w:rsidRPr="00936776" w:rsidR="00CF166F" w:rsidP="006521F3" w:rsidRDefault="009772FB" w14:paraId="4AD58B30" w14:textId="41104D15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ma nadzieję, że indywidualne rachunki szkoleniowe będą wspierać rozwój umiejętności pracowników we właściwym kierunku, czyli zgodnie z potrzebami rynku pracy i zdolnościami pracownika. Nie powinniśmy zapominać o pragnieniach, potrzebach i odpowiedzialności samych jednostek. Samorozwój pracowników może przyczynić się do ich zadowolenia i</w:t>
      </w:r>
      <w:r w:rsidR="001679B2">
        <w:t> </w:t>
      </w:r>
      <w:r w:rsidRPr="00936776">
        <w:t>wydajności.</w:t>
      </w:r>
    </w:p>
    <w:p w:rsidRPr="00936776" w:rsidR="00CF166F" w:rsidP="006521F3" w:rsidRDefault="00CF166F" w14:paraId="099833FA" w14:textId="77777777">
      <w:pPr>
        <w:suppressAutoHyphens/>
      </w:pPr>
    </w:p>
    <w:p w:rsidRPr="00936776" w:rsidR="008B5667" w:rsidP="006521F3" w:rsidRDefault="00842629" w14:paraId="2535CBBF" w14:textId="1A114196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Inwestowanie w kapitał ludzki jest kluczową inwestycją, którą wielu pracodawców może wykorzystać. Indywidualne rachunki szkoleniowe zapewnią osobom dorosłym więcej możliwości udziału w szkoleniach, a także pozwolą na śledzenie historii uczestnictwa w</w:t>
      </w:r>
      <w:r w:rsidR="001679B2">
        <w:t> </w:t>
      </w:r>
      <w:r w:rsidRPr="00936776">
        <w:t>szkoleniach i treści szkoleń. Ponadto będą użyteczne dla wielu pracodawców. Francja jest jedynym państwem członkowskim, w którym takie rachunki szkoleniowe są tworzone i</w:t>
      </w:r>
      <w:r w:rsidR="001679B2">
        <w:t> </w:t>
      </w:r>
      <w:r w:rsidRPr="00936776">
        <w:t>prowadzone w oparciu o współpracę między pracodawcami i związkami zawodowymi. Samo posiadanie takich rachunków szkoleniowych jest jednak niewystarczające, gdyż trzeba zapewnić informacje o tej możliwości oraz o sposobie uzyskania do niej dostępu, a także doradztwo. Ponadto w związku z rachunkami szkoleniowymi należy pamiętać o wyzwaniach polegających na tym, jak zbliżyć szkolenia do potrzeb rynku pracy.</w:t>
      </w:r>
    </w:p>
    <w:p w:rsidRPr="00936776" w:rsidR="00CF166F" w:rsidP="006521F3" w:rsidRDefault="00CF166F" w14:paraId="75C2382C" w14:textId="77777777">
      <w:pPr>
        <w:suppressAutoHyphens/>
      </w:pPr>
    </w:p>
    <w:p w:rsidRPr="00936776" w:rsidR="002D79A6" w:rsidP="006521F3" w:rsidRDefault="009772FB" w14:paraId="00000083" w14:textId="60CE178C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Uczenie się przez całe życie i rozwój umiejętności są zasadniczymi elementami wzrostu gospodarczego i spójności społecznej. Uczenie się może odbywać się w różnych okolicznościach, niezależnie od tego, czy chodzi o formalne, pozaformalne czy nieformalne środowiska edukacyjne, które są równie ważne i mają pozytywny wpływ na poszczególne osoby. Istotne jest jednak rozróżnienie między umiejętnościami przekrojowymi a konkretnymi umiejętnościami związanymi z pracą lub umiejętnościami technicznymi. Niezbędne jest dalsze wzmacnianie roli oraz profilu kształcenia i szkolenia zawodowego w celu dalszego rozwoju systemów dualnych jako sposobu nauczania umiejętności podstawowych, przekrojowych i</w:t>
      </w:r>
      <w:r w:rsidR="001679B2">
        <w:t> </w:t>
      </w:r>
      <w:r w:rsidRPr="00936776">
        <w:t xml:space="preserve">STEM. Chociaż na rynku pracy niezbędne są konkretne umiejętności zawodowe, ogólne umiejętności mogą zwiększać motywację i pewność siebie danej osoby w taki sposób, że </w:t>
      </w:r>
      <w:r w:rsidRPr="00936776">
        <w:lastRenderedPageBreak/>
        <w:t>pośrednio wpływają na wyniki jej pracy na rzecz rozwoju gospodarczego. Oba rodzaje umiejętności uzupełniają się wzajemnie i przyczyniają się do ogólnego rozwoju danej osoby.</w:t>
      </w:r>
    </w:p>
    <w:p w:rsidRPr="00936776" w:rsidR="002D79A6" w:rsidP="006521F3" w:rsidRDefault="002D79A6" w14:paraId="00000084" w14:textId="77777777">
      <w:pPr>
        <w:suppressAutoHyphens/>
      </w:pPr>
    </w:p>
    <w:p w:rsidRPr="00936776" w:rsidR="002D79A6" w:rsidP="006521F3" w:rsidRDefault="009772FB" w14:paraId="00000085" w14:textId="3B132D07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Zaangażowanie partnerów społecznych ma zasadnicze znaczenie dla promowania uczestnictwa dorosłych w kształceniu i szkoleniu, na przykład poprzez indywidualne rachunki szkoleniowe we Francji, fundusze na rzecz umiejętności w Danii czy urlopy szkoleniowe w Belgii. Partnerzy społeczni mogą choćby uwzględnić prawo pracowników do szkoleń na szczeblu przedsiębiorstwa podczas negocjowania układów zbiorowych. Są oni bardzo ważni, ale niestety brakuje zorganizowanego dialogu społecznego, zwłaszcza w dziedzinie kształcenia pozaformalnego; w części krajów nauczyciele pracują głównie na własny rachunek, w</w:t>
      </w:r>
      <w:r w:rsidR="001679B2">
        <w:t> </w:t>
      </w:r>
      <w:r w:rsidRPr="00936776">
        <w:t>niektórych przypadkach ich warunki pracy są nieodpowiednie i nie mają oni możliwości tworzenia związków zawodowych. Jest to kwestia poprawy nie tylko warunków pracy organizatorów kształcenia i ich pracowników, ale także jakości świadczonych przez nich usług. Problem wiąże się również z finansowaniem, ponieważ w niektórych krajach edukacja opiera się głównie na projektach, ale nie ma zapewnionych świadczeń społecznych ani infrastruktury.</w:t>
      </w:r>
    </w:p>
    <w:p w:rsidRPr="00936776" w:rsidR="00783950" w:rsidP="006521F3" w:rsidRDefault="00783950" w14:paraId="35B0C867" w14:textId="77777777">
      <w:pPr>
        <w:suppressAutoHyphens/>
      </w:pPr>
    </w:p>
    <w:p w:rsidRPr="00936776" w:rsidR="00636E0C" w:rsidP="006521F3" w:rsidRDefault="00BE01EB" w14:paraId="642AD205" w14:textId="3FC113F3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Organizacje społeczeństwa obywatelskiego odgrywają istotną rolę w zapewnianiu kształcenia pozaformalnego. Ponadto mają one swój udział nie tylko we wdrażaniu kształcenia pozaformalnego, ale również w jego promowaniu, zwłaszcza wśród organizacji młodzieżowych, a także w docieraniu do osób, do których trudno dotrzeć i które znajdują się w większym oddaleniu. Obecnie kształcenie i szkolenie pozaformalne stają się coraz popularniejsze, zwłaszcza wśród młodych osób. Zawsze była to preferowana forma kształcenia dla dorosłych mających negatywne doświadczenia związane z kształceniem formalnym. W związku z tym należy ogólnie promować uznawanie kształcenia pozaformalnego, zwłaszcza dla młodych ludzi.</w:t>
      </w:r>
    </w:p>
    <w:p w:rsidRPr="00936776" w:rsidR="00636E0C" w:rsidP="006521F3" w:rsidRDefault="00636E0C" w14:paraId="36D25C3D" w14:textId="77777777">
      <w:pPr>
        <w:suppressAutoHyphens/>
      </w:pPr>
    </w:p>
    <w:p w:rsidRPr="00936776" w:rsidR="002D79A6" w:rsidP="006521F3" w:rsidRDefault="009772FB" w14:paraId="00000087" w14:textId="603487E0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Ważnymi zainteresowanymi stronami są również władze lokalne i różni organizatorzy kształcenia. Oczywiste jest, że edukacja dobrze działa, gdy współpracują ze sobą wszyscy zainteresowani – władze lokalne, służby socjalne, służby mieszkaniowe, pracodawcy i</w:t>
      </w:r>
      <w:r w:rsidR="001679B2">
        <w:t> </w:t>
      </w:r>
      <w:r w:rsidRPr="00936776">
        <w:t xml:space="preserve">organizacje partnerów społecznych, którzy wiedzą, kto potrzebuje szkoleń. Dlatego też przydatnym instrumentem mogłyby być ośrodki społeczne zajmujące się uczeniem się przez całe życie. Istnieją one w niektórych państwach członkowskich i powinny być promowane oraz finansowane w całej Europie z wykorzystaniem dostępnych unijnych i krajowych instrumentów finansowych. Inny dobry przykład to </w:t>
      </w:r>
      <w:r w:rsidRPr="00936776">
        <w:rPr>
          <w:i/>
          <w:iCs/>
        </w:rPr>
        <w:t>cités des métiers</w:t>
      </w:r>
      <w:r w:rsidRPr="00936776">
        <w:t>, czyli wielopoziomowe partnerstwa publiczno-prywatne na szczeblu lokalnym wspierające zmianę i podnoszenie kwalifikacji pracowników</w:t>
      </w:r>
      <w:r w:rsidRPr="00936776" w:rsidR="008B5667">
        <w:rPr>
          <w:rStyle w:val="FootnoteReference"/>
        </w:rPr>
        <w:footnoteReference w:id="16"/>
      </w:r>
      <w:r w:rsidRPr="00936776">
        <w:t>.</w:t>
      </w:r>
    </w:p>
    <w:p w:rsidRPr="00936776" w:rsidR="002D79A6" w:rsidP="006521F3" w:rsidRDefault="002D79A6" w14:paraId="00000088" w14:textId="77777777">
      <w:pPr>
        <w:suppressAutoHyphens/>
      </w:pPr>
    </w:p>
    <w:p w:rsidRPr="00936776" w:rsidR="002D79A6" w:rsidP="006521F3" w:rsidRDefault="009772FB" w14:paraId="00000089" w14:textId="7B33954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apeluje, by zwrócić uwagę na małe i średnie przedsiębiorstwa, które mają mniejsze możliwości kształcenia pracowników. Sytuacja nie jest jednak jednoznaczna, ponieważ dzięki wsparciu z unijnych funduszy strukturalnych MŚP otrzymują również pomoc ze strony stowarzyszeń, które tworzą specjalne programy edukacyjne. Należy lepiej uwzględniać te możliwości w całej Europie, lepiej informować o nich MŚP i lepiej je wykorzystywać.</w:t>
      </w:r>
    </w:p>
    <w:p w:rsidRPr="00936776" w:rsidR="002D79A6" w:rsidP="006521F3" w:rsidRDefault="002D79A6" w14:paraId="0000008C" w14:textId="77777777">
      <w:pPr>
        <w:suppressAutoHyphens/>
      </w:pPr>
    </w:p>
    <w:p w:rsidRPr="00936776" w:rsidR="002D79A6" w:rsidP="00C83450" w:rsidRDefault="009772FB" w14:paraId="0000008D" w14:textId="08B48508">
      <w:pPr>
        <w:pStyle w:val="Heading1"/>
        <w:keepNext/>
        <w:keepLines/>
        <w:numPr>
          <w:ilvl w:val="0"/>
          <w:numId w:val="3"/>
        </w:numPr>
        <w:suppressAutoHyphens/>
        <w:ind w:left="567" w:hanging="567"/>
      </w:pPr>
      <w:r w:rsidRPr="00936776">
        <w:rPr>
          <w:b/>
        </w:rPr>
        <w:lastRenderedPageBreak/>
        <w:t>Zwrot z inwestycji i wydajność</w:t>
      </w:r>
    </w:p>
    <w:p w:rsidRPr="00936776" w:rsidR="002D79A6" w:rsidP="00C83450" w:rsidRDefault="002D79A6" w14:paraId="0000008E" w14:textId="77777777">
      <w:pPr>
        <w:keepNext/>
        <w:keepLines/>
        <w:suppressAutoHyphens/>
      </w:pPr>
    </w:p>
    <w:p w:rsidRPr="00936776" w:rsidR="002D79A6" w:rsidP="006521F3" w:rsidRDefault="009772FB" w14:paraId="0000008F" w14:textId="04F204E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Ponieważ edukacja jest coraz częściej uważana za inwestycję w ludzi, logiczne jest dążenie do empirycznego pomiaru zwrotu z tej inwestycji. Dlatego należy promować inwestycje w kapitał ludzki wśród wszystkich zainteresowanych stron – państwa, pracodawców i osób dorosłych. Inwestycje publiczne powinny zwiększać wydajność pracy, a jednocześnie uwzględniać takie kwestie jak demografia.</w:t>
      </w:r>
    </w:p>
    <w:p w:rsidRPr="00936776" w:rsidR="002D79A6" w:rsidP="006521F3" w:rsidRDefault="002D79A6" w14:paraId="00000090" w14:textId="77777777">
      <w:pPr>
        <w:suppressAutoHyphens/>
      </w:pPr>
    </w:p>
    <w:p w:rsidRPr="00936776" w:rsidR="002D79A6" w:rsidP="006521F3" w:rsidRDefault="009772FB" w14:paraId="00000091" w14:textId="216044EE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Osoby pracujące w sektorze ICT zarabiają niemal 37 % więcej, niż pracownicy w sektorze edukacji</w:t>
      </w:r>
      <w:r w:rsidRPr="00936776" w:rsidR="007B0D1E">
        <w:rPr>
          <w:rStyle w:val="FootnoteReference"/>
        </w:rPr>
        <w:footnoteReference w:id="17"/>
      </w:r>
      <w:r w:rsidRPr="00936776">
        <w:t>. Chociaż inwestycje w możliwości uczenia się mogą być równoważne i uwzględniać takie parametry, jak czas poświęcony na uczenie się, dochody utracone w trakcie nauki, wydatki na naukę, premie płacowe podczas pandemii COVID-19 itp., to zwrot z inwestycji w pierwszym przypadku (w przeliczeniu na euro) jest znacznie wyższy niż w drugim przypadku.</w:t>
      </w:r>
    </w:p>
    <w:p w:rsidRPr="00936776" w:rsidR="002D79A6" w:rsidP="006521F3" w:rsidRDefault="002D79A6" w14:paraId="00000092" w14:textId="77777777">
      <w:pPr>
        <w:suppressAutoHyphens/>
      </w:pPr>
    </w:p>
    <w:p w:rsidRPr="00936776" w:rsidR="002D79A6" w:rsidP="006521F3" w:rsidRDefault="009772FB" w14:paraId="00000093" w14:textId="78133285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Jeśli chodzi o podział ze względu na płeć, to wskaźnik zatrudnienia jest bardziej wyrównany niż wskaźnik wynagrodzeń, gdyż wskaźnik płac dla osób zarówno z wykształceniem średnim, jak i</w:t>
      </w:r>
      <w:r w:rsidR="001679B2">
        <w:t> </w:t>
      </w:r>
      <w:r w:rsidRPr="00936776">
        <w:t>wyższym wynosi w UE średnio nieco powyżej 32 %, co oznacza bardzo duże nierówności między kobietami a mężczyznami</w:t>
      </w:r>
      <w:r w:rsidRPr="00936776" w:rsidR="00B42778">
        <w:rPr>
          <w:rStyle w:val="FootnoteReference"/>
        </w:rPr>
        <w:footnoteReference w:id="18"/>
      </w:r>
      <w:r w:rsidRPr="00936776">
        <w:t>. Chociaż kobiet z wykształceniem wyższym jest o</w:t>
      </w:r>
      <w:r w:rsidR="001679B2">
        <w:t> </w:t>
      </w:r>
      <w:r w:rsidRPr="00936776">
        <w:t>5,4 %</w:t>
      </w:r>
      <w:r w:rsidR="001679B2">
        <w:t> </w:t>
      </w:r>
      <w:r w:rsidRPr="00936776">
        <w:t>więcej niż mężczyzn z takim wykształceniem, średnie wynagrodzenie kobiet w UE stanowi 79 % wynagrodzenia mężczyzn</w:t>
      </w:r>
      <w:r w:rsidRPr="00936776" w:rsidR="00293307">
        <w:rPr>
          <w:rStyle w:val="FootnoteReference"/>
        </w:rPr>
        <w:footnoteReference w:id="19"/>
      </w:r>
      <w:r w:rsidRPr="00936776">
        <w:t>.</w:t>
      </w:r>
    </w:p>
    <w:p w:rsidRPr="00936776" w:rsidR="002D79A6" w:rsidP="006521F3" w:rsidRDefault="002D79A6" w14:paraId="00000094" w14:textId="77777777">
      <w:pPr>
        <w:suppressAutoHyphens/>
      </w:pPr>
    </w:p>
    <w:p w:rsidRPr="00936776" w:rsidR="002D79A6" w:rsidP="006521F3" w:rsidRDefault="008A0914" w14:paraId="00000095" w14:textId="234127C8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„Niedawne badanie zlecone przez Europejski Komitet Ekonomiczno-Społeczny pokazuje, że gospodarka europejska traci co roku ponad 2 % swojej wydajności z powodu niedopasowania umiejętności. Oznacza to stratę w wysokości 80 eurocentów za każdą godzinę pracy. Sytuacja pogorszy się jeszcze bardziej w przyszłości z powodu tendencji demograficznych i ciągłego postępu technologicznego, jeżeli nie zostaną podjęte żadne reformy”</w:t>
      </w:r>
      <w:r w:rsidRPr="00936776">
        <w:rPr>
          <w:sz w:val="24"/>
          <w:vertAlign w:val="superscript"/>
        </w:rPr>
        <w:footnoteReference w:id="20"/>
      </w:r>
      <w:r w:rsidRPr="00936776">
        <w:t>. Powodzenie rozwoju przemysłowego i wzrostu gospodarczego zależy od jakości zasobów ludzkich. Badania pokazują, że edukacja ma bezpośredni wpływ na wydajność pracy, co z kolei powoduje reakcję łańcuchową, tzn. wzrost wydajności pracy wpływa na ogólne wyniki danej branży. Z</w:t>
      </w:r>
      <w:r w:rsidR="001679B2">
        <w:t> </w:t>
      </w:r>
      <w:r w:rsidRPr="00936776">
        <w:t>perspektywy rynku pracy inwestycje w edukację powinny koncentrować się na sektorach, które przynoszą najwyższy zwrot z inwestycji.</w:t>
      </w:r>
    </w:p>
    <w:p w:rsidRPr="00936776" w:rsidR="002D79A6" w:rsidP="006521F3" w:rsidRDefault="002D79A6" w14:paraId="00000096" w14:textId="0F3855EA">
      <w:pPr>
        <w:suppressAutoHyphens/>
      </w:pPr>
    </w:p>
    <w:p w:rsidRPr="00936776" w:rsidR="002D79A6" w:rsidP="006521F3" w:rsidRDefault="009772FB" w14:paraId="00000099" w14:textId="02184C1C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Wyższe wynagrodzenia zachęcają młodych ludzi do zdobywania wyższego wykształcenia i</w:t>
      </w:r>
      <w:r w:rsidR="001679B2">
        <w:t> </w:t>
      </w:r>
      <w:r w:rsidRPr="00936776">
        <w:t>dalszego szkolenia. Według OECD rozpiętość płac zwiększa się z biegiem czasu, na co wpływ mają również rozwój technologiczny i globalizacja</w:t>
      </w:r>
      <w:r w:rsidRPr="00936776" w:rsidR="007B0D1E">
        <w:rPr>
          <w:rStyle w:val="FootnoteReference"/>
        </w:rPr>
        <w:footnoteReference w:id="21"/>
      </w:r>
      <w:r w:rsidRPr="00936776">
        <w:t>.</w:t>
      </w:r>
    </w:p>
    <w:p w:rsidRPr="00936776" w:rsidR="002D79A6" w:rsidP="006521F3" w:rsidRDefault="002D79A6" w14:paraId="0000009A" w14:textId="77777777">
      <w:pPr>
        <w:suppressAutoHyphens/>
      </w:pPr>
    </w:p>
    <w:p w:rsidRPr="00936776" w:rsidR="002D79A6" w:rsidP="006521F3" w:rsidRDefault="009772FB" w14:paraId="0000009B" w14:textId="6E0BF773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lastRenderedPageBreak/>
        <w:t>Zrównoważoną konkurencyjność można osiągnąć poprzez inwestycje w ludzi. W 2020 r. pracodawcy przeznaczyli na kształcenie i szkolenie około 1,5 % całkowitych kosztów pracy wszystkich przedsiębiorstw, czyli o 0,2 % mniej niż w poprzednim roku badawczym (2015 r.). Wśród krajów wiodących w tym zakresie należy wymienić Niderlandy (2,4 %), Francję (2,1 %) i Irlandię (1,9 %), w porównaniu z Grecją (0,3 %), Łotwą, Polską i Rumunią (0,6 %). W wyżej wymienionej rezolucji Rady zwrócono się do państw członkowskich, by wzmocniły skuteczną komunikację między odpowiednimi ministerstwami, a także z zainteresowanymi stronami, takimi jak partnerzy społeczni, przedsiębiorstwa, organizacje pozarządowe i organizacje społeczeństwa obywatelskiego działające na rzecz pracowników, aby wspierać konkurencyjność i poprawić spójność między polityką w dziedzinie uczenia się dorosłych a szeroko pojętą polityką społeczno-gospodarczą. Podejście do finansowania oparte na wspólnej odpowiedzialności zainteresowanych stron publicznych i prywatnych może przyczynić się do zwiększenia zasobów</w:t>
      </w:r>
      <w:r w:rsidRPr="00936776" w:rsidR="007B0D1E">
        <w:rPr>
          <w:rStyle w:val="FootnoteReference"/>
        </w:rPr>
        <w:footnoteReference w:id="22"/>
      </w:r>
      <w:r w:rsidRPr="00936776">
        <w:t>.</w:t>
      </w:r>
    </w:p>
    <w:p w:rsidRPr="00936776" w:rsidR="002D79A6" w:rsidP="006521F3" w:rsidRDefault="002D79A6" w14:paraId="0000009C" w14:textId="77777777">
      <w:pPr>
        <w:suppressAutoHyphens/>
      </w:pPr>
    </w:p>
    <w:p w:rsidRPr="00936776" w:rsidR="002D79A6" w:rsidP="006521F3" w:rsidRDefault="009772FB" w14:paraId="0000009D" w14:textId="3C95CE4F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Jednym z priorytetów europejskiego programu na rzecz umiejętności jest wspieranie zrównoważonej konkurencyjności. „Umiejętności i uczenie się przez całe życie mają zasadnicze znaczenie dla długoterminowego i zrównoważonego wzrostu, produktywności i innowacji”, a</w:t>
      </w:r>
      <w:r w:rsidR="001679B2">
        <w:t> </w:t>
      </w:r>
      <w:r w:rsidRPr="00936776">
        <w:t>badania naukowe pokazują, że poświadczenia w dziedzinie kształcenia mają jeszcze większy wpływ na wydajność niż na koszty wynagrodzeń. Wyniki badań wskazują, że zyski za godzinę pracy rosną średnio o 6,2 % w perspektywie długoterminowej (3,4 % w perspektywie krótkoterminowej), jeżeli odsetek dobrze wykształconych pracowników w przedsiębiorstwie wzrośnie o 10 % (i będzie to zrównoważone proporcjonalnym spadkiem odsetka pracowników słabo wykształconych)</w:t>
      </w:r>
      <w:r w:rsidRPr="00936776">
        <w:rPr>
          <w:sz w:val="24"/>
          <w:vertAlign w:val="superscript"/>
        </w:rPr>
        <w:footnoteReference w:id="23"/>
      </w:r>
      <w:r w:rsidRPr="00936776">
        <w:t>.</w:t>
      </w:r>
    </w:p>
    <w:p w:rsidRPr="00936776" w:rsidR="002D79A6" w:rsidP="006521F3" w:rsidRDefault="002D79A6" w14:paraId="000000A0" w14:textId="77777777">
      <w:pPr>
        <w:suppressAutoHyphens/>
      </w:pPr>
    </w:p>
    <w:p w:rsidRPr="00936776" w:rsidR="002D79A6" w:rsidP="006521F3" w:rsidRDefault="00DE7584" w14:paraId="000000A2" w14:textId="08FD9056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W dobie szybko zmieniającej się technologii najlepszym sposobem na nadążenie za postępem jest zdobywanie wiedzy w miejscu pracy. Należy zachęcać pracodawców do opracowania lub dalszej poprawy strategii w zakresie umiejętności w przedsiębiorstwie, tak aby każdy pracownik był zainteresowany podnoszeniem lub zmianą kwalifikacji, czuł się za nią odpowiedzialny i</w:t>
      </w:r>
      <w:r w:rsidR="001679B2">
        <w:t> </w:t>
      </w:r>
      <w:r w:rsidRPr="00936776">
        <w:t>miał do niej motywację.</w:t>
      </w:r>
    </w:p>
    <w:p w:rsidRPr="00936776" w:rsidR="00B62DF7" w:rsidP="006521F3" w:rsidRDefault="00B62DF7" w14:paraId="0F7BB75C" w14:textId="77777777">
      <w:pPr>
        <w:suppressAutoHyphens/>
      </w:pPr>
    </w:p>
    <w:p w:rsidRPr="00936776" w:rsidR="002D79A6" w:rsidP="006521F3" w:rsidRDefault="009772FB" w14:paraId="000000A5" w14:textId="77777777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OECD szacuje, że około 30 % różnic między krajami w zagregowanej wydajności pracy można wytłumaczyć poziomem umiejętności wykorzystywanych przez pracowników w pracy. Oznacza to, że zarówno lepsze umiejętności, jak i maksymalizacja ich wykorzystania w miejscu pracy są istotne dla wydajności.</w:t>
      </w:r>
    </w:p>
    <w:p w:rsidRPr="00936776" w:rsidR="002D79A6" w:rsidP="006521F3" w:rsidRDefault="002D79A6" w14:paraId="000000A6" w14:textId="77777777">
      <w:pPr>
        <w:suppressAutoHyphens/>
      </w:pPr>
    </w:p>
    <w:p w:rsidRPr="00936776" w:rsidR="002D79A6" w:rsidP="006521F3" w:rsidRDefault="009772FB" w14:paraId="000000AB" w14:textId="52C92557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Zgodnie z wynikami uzyskanymi w Hiszpanii wzrost liczby osób z wykształceniem średnim o</w:t>
      </w:r>
      <w:r w:rsidR="001679B2">
        <w:t> </w:t>
      </w:r>
      <w:r w:rsidRPr="00936776">
        <w:t>10 % zwiększa wzrost gospodarczy o 1,5 %, natomiast wzrost liczby osób z wykształceniem wyższym o 10 % zwiększa wzrost gospodarczy o 0,9 %, jeżeli wszystkie inne czynniki pozostają niezmienione</w:t>
      </w:r>
      <w:r w:rsidRPr="00936776">
        <w:rPr>
          <w:sz w:val="24"/>
          <w:vertAlign w:val="superscript"/>
        </w:rPr>
        <w:footnoteReference w:id="24"/>
      </w:r>
      <w:r w:rsidRPr="00936776">
        <w:t>.</w:t>
      </w:r>
    </w:p>
    <w:p w:rsidRPr="00936776" w:rsidR="002D79A6" w:rsidP="006521F3" w:rsidRDefault="002D79A6" w14:paraId="000000AC" w14:textId="77777777">
      <w:pPr>
        <w:suppressAutoHyphens/>
      </w:pPr>
    </w:p>
    <w:p w:rsidRPr="00936776" w:rsidR="002D79A6" w:rsidP="006521F3" w:rsidRDefault="009772FB" w14:paraId="000000AD" w14:textId="590EAE5D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Jak wynika z publikacji „Going for Growth” z 2019 r., w państwach OECD najwięcej priorytetów reform (16,9 %) według obszaru polityki było związanych z kapitałem ludzkim, a</w:t>
      </w:r>
      <w:r w:rsidR="001679B2">
        <w:t> </w:t>
      </w:r>
      <w:r w:rsidRPr="00936776">
        <w:t>na dalszych miejscach uplasowały się takie priorytety, jak regulacja rynku produktów, konkurencja, otwartość na handel i bezpośrednie inwestycje zagraniczne (14,9 %), struktura podatkowa i efektywność podatkowa (10,4 %)</w:t>
      </w:r>
      <w:r w:rsidRPr="00936776" w:rsidR="00F7737B">
        <w:rPr>
          <w:rStyle w:val="FootnoteReference"/>
        </w:rPr>
        <w:footnoteReference w:id="25"/>
      </w:r>
      <w:r w:rsidRPr="00936776">
        <w:t>.</w:t>
      </w:r>
    </w:p>
    <w:p w:rsidRPr="00936776" w:rsidR="00B56922" w:rsidP="006521F3" w:rsidRDefault="00B56922" w14:paraId="51F38524" w14:textId="77777777">
      <w:pPr>
        <w:suppressAutoHyphens/>
      </w:pPr>
    </w:p>
    <w:p w:rsidRPr="00936776" w:rsidR="00B56922" w:rsidP="006521F3" w:rsidRDefault="00B56922" w14:paraId="4D044B96" w14:textId="06338D5A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EKES uważa, że chociaż ekonomiści od dawna uznają umiejętności za przyczynę wzrostu wydajności i siłę napędową wzrostu gospodarczego, to potrzebne są dalsze badania nad tym, jak osiągnąć jeszcze większy rozwój przemysłu w oparciu o inwestycje w umiejętności i wiedzę.</w:t>
      </w:r>
    </w:p>
    <w:p w:rsidRPr="00936776" w:rsidR="00B56922" w:rsidP="00936776" w:rsidRDefault="00B56922" w14:paraId="1F426F61" w14:textId="77777777"/>
    <w:p w:rsidRPr="00936776" w:rsidR="00B56922" w:rsidP="006521F3" w:rsidRDefault="00B56922" w14:paraId="2D972012" w14:textId="00AE89C2">
      <w:pPr>
        <w:pStyle w:val="Heading2"/>
        <w:numPr>
          <w:ilvl w:val="1"/>
          <w:numId w:val="3"/>
        </w:numPr>
        <w:suppressAutoHyphens/>
        <w:ind w:left="567" w:hanging="567"/>
      </w:pPr>
      <w:r w:rsidRPr="00936776">
        <w:t>Komitet jest zdania, że ścisła współpraca między rządami, władzami lokalnymi i regionalnymi, organizatorami kształcenia i szkolenia, przedsiębiorstwami i partnerami społecznymi, organizacjami społeczeństwa obywatelskiego, publicznymi służbami zatrudnienia i służbami socjalnymi może zaowocować odpowiednimi umiejętnościami potrzebnymi na rynku pracy. W</w:t>
      </w:r>
      <w:r w:rsidR="001679B2">
        <w:t> </w:t>
      </w:r>
      <w:r w:rsidRPr="00936776">
        <w:t>świetle Nowego europejskiego programu na rzecz umiejętności służącego zrównoważonej konkurencyjności, sprawiedliwości społecznej i odporności EKES zaleca opracowanie planu działania w celu właściwego wdrożenia dwunastu proponowanych działań oraz znalezienia głównych rozwiązań niezbędnych do sprostania obecnym wyzwaniom.</w:t>
      </w:r>
    </w:p>
    <w:p w:rsidRPr="00936776" w:rsidR="005F3E1E" w:rsidP="006521F3" w:rsidRDefault="005F3E1E" w14:paraId="4CA14F25" w14:textId="77781DF0">
      <w:pPr>
        <w:suppressAutoHyphens/>
      </w:pPr>
    </w:p>
    <w:p w:rsidRPr="00936776" w:rsidR="00380D0C" w:rsidP="006521F3" w:rsidRDefault="00380D0C" w14:paraId="5627C822" w14:textId="7664D841">
      <w:pPr>
        <w:suppressAutoHyphens/>
      </w:pPr>
      <w:r w:rsidRPr="00936776">
        <w:t>Bruksela, dnia 4 października 2023 r.</w:t>
      </w:r>
    </w:p>
    <w:p w:rsidRPr="00936776" w:rsidR="00380D0C" w:rsidP="006521F3" w:rsidRDefault="00380D0C" w14:paraId="4F35AC2D" w14:textId="284D80C5">
      <w:pPr>
        <w:suppressAutoHyphens/>
      </w:pPr>
    </w:p>
    <w:p w:rsidR="00F57239" w:rsidP="006521F3" w:rsidRDefault="00F57239" w14:paraId="4051CB66" w14:textId="0AF614BA">
      <w:pPr>
        <w:suppressAutoHyphens/>
      </w:pPr>
    </w:p>
    <w:p w:rsidRPr="00936776" w:rsidR="002D0B87" w:rsidP="006521F3" w:rsidRDefault="002D0B87" w14:paraId="1D85D94C" w14:textId="77777777">
      <w:pPr>
        <w:suppressAutoHyphens/>
      </w:pPr>
    </w:p>
    <w:p w:rsidRPr="00936776" w:rsidR="00F57239" w:rsidP="006521F3" w:rsidRDefault="00F57239" w14:paraId="7B344CB8" w14:textId="77777777">
      <w:pPr>
        <w:suppressAutoHyphens/>
      </w:pPr>
    </w:p>
    <w:p w:rsidRPr="00936776" w:rsidR="00380D0C" w:rsidP="006521F3" w:rsidRDefault="00380D0C" w14:paraId="591B07E6" w14:textId="77777777">
      <w:pPr>
        <w:suppressAutoHyphens/>
      </w:pPr>
      <w:r w:rsidRPr="00936776">
        <w:t>Cinzia DEL RIO</w:t>
      </w:r>
    </w:p>
    <w:p w:rsidRPr="00936776" w:rsidR="00380D0C" w:rsidP="006521F3" w:rsidRDefault="00380D0C" w14:paraId="7D0ADC51" w14:textId="77777777">
      <w:pPr>
        <w:suppressAutoHyphens/>
      </w:pPr>
      <w:r w:rsidRPr="00936776">
        <w:t>Przewodnicząca Sekcji Zatrudnienia, Spraw Społecznych i Obywatelstwa</w:t>
      </w:r>
    </w:p>
    <w:p w:rsidRPr="00936776" w:rsidR="00380D0C" w:rsidP="006521F3" w:rsidRDefault="00380D0C" w14:paraId="769A32E6" w14:textId="77777777">
      <w:pPr>
        <w:suppressAutoHyphens/>
      </w:pPr>
    </w:p>
    <w:p w:rsidRPr="00936776" w:rsidR="002D79A6" w:rsidP="006521F3" w:rsidRDefault="009772FB" w14:paraId="000000AF" w14:textId="77777777">
      <w:pPr>
        <w:suppressAutoHyphens/>
        <w:jc w:val="center"/>
      </w:pPr>
      <w:r w:rsidRPr="00936776">
        <w:t>_____________</w:t>
      </w:r>
    </w:p>
    <w:sectPr w:rsidRPr="00936776" w:rsidR="002D79A6" w:rsidSect="009367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298B" w14:textId="77777777" w:rsidR="00EE1325" w:rsidRDefault="00EE1325">
      <w:pPr>
        <w:spacing w:line="240" w:lineRule="auto"/>
      </w:pPr>
      <w:r>
        <w:separator/>
      </w:r>
    </w:p>
  </w:endnote>
  <w:endnote w:type="continuationSeparator" w:id="0">
    <w:p w14:paraId="5EF84240" w14:textId="77777777" w:rsidR="00EE1325" w:rsidRDefault="00EE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6C40" w14:textId="77777777" w:rsidR="00936776" w:rsidRPr="00936776" w:rsidRDefault="00936776" w:rsidP="00936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4239B207" w:rsidR="00D3748E" w:rsidRPr="00936776" w:rsidRDefault="00936776" w:rsidP="00936776">
    <w:pPr>
      <w:pStyle w:val="Footer"/>
    </w:pPr>
    <w:r>
      <w:t xml:space="preserve">SOC/769 – EESC-2023-01972-00-00-AS-TRA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EF103A">
        <w:rPr>
          <w:noProof/>
        </w:rPr>
        <w:instrText>12</w:instrText>
      </w:r>
    </w:fldSimple>
    <w:r>
      <w:instrText xml:space="preserve"> -0 </w:instrText>
    </w:r>
    <w:r>
      <w:fldChar w:fldCharType="separate"/>
    </w:r>
    <w:r w:rsidR="00EF103A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CF4B" w14:textId="77777777" w:rsidR="00936776" w:rsidRPr="00936776" w:rsidRDefault="00936776" w:rsidP="00936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0B5A" w14:textId="77777777" w:rsidR="003147E6" w:rsidRPr="00936776" w:rsidRDefault="003147E6" w:rsidP="009367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95BE" w14:textId="6C2E68A0" w:rsidR="003147E6" w:rsidRPr="00936776" w:rsidRDefault="00936776" w:rsidP="00936776">
    <w:pPr>
      <w:pStyle w:val="Footer"/>
    </w:pPr>
    <w:r>
      <w:t xml:space="preserve">SOC/769 – EESC-2023-01972-00-00-AS-TRA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EF103A">
        <w:rPr>
          <w:noProof/>
        </w:rPr>
        <w:instrText>12</w:instrText>
      </w:r>
    </w:fldSimple>
    <w:r>
      <w:instrText xml:space="preserve"> -0 </w:instrText>
    </w:r>
    <w:r>
      <w:fldChar w:fldCharType="separate"/>
    </w:r>
    <w:r w:rsidR="00EF103A">
      <w:rPr>
        <w:noProof/>
      </w:rP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8A9" w14:textId="77777777" w:rsidR="003147E6" w:rsidRPr="00936776" w:rsidRDefault="003147E6" w:rsidP="00936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1CEA" w14:textId="77777777" w:rsidR="00EE1325" w:rsidRDefault="00EE1325">
      <w:pPr>
        <w:spacing w:line="240" w:lineRule="auto"/>
      </w:pPr>
      <w:r>
        <w:separator/>
      </w:r>
    </w:p>
  </w:footnote>
  <w:footnote w:type="continuationSeparator" w:id="0">
    <w:p w14:paraId="5AB743C8" w14:textId="77777777" w:rsidR="00EE1325" w:rsidRDefault="00EE1325">
      <w:pPr>
        <w:spacing w:line="240" w:lineRule="auto"/>
      </w:pPr>
      <w:r>
        <w:continuationSeparator/>
      </w:r>
    </w:p>
  </w:footnote>
  <w:footnote w:id="1">
    <w:p w14:paraId="30C220F5" w14:textId="287DF906" w:rsidR="00370B8B" w:rsidRPr="00936776" w:rsidRDefault="00370B8B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</w:r>
      <w:hyperlink r:id="rId1" w:history="1">
        <w:r w:rsidRPr="00936776">
          <w:rPr>
            <w:rStyle w:val="Hyperlink"/>
          </w:rPr>
          <w:t>Dz.U. C 323 z 26.8.2022, s. 62</w:t>
        </w:r>
      </w:hyperlink>
      <w:r w:rsidRPr="00936776">
        <w:t>.</w:t>
      </w:r>
    </w:p>
  </w:footnote>
  <w:footnote w:id="2">
    <w:p w14:paraId="743442B6" w14:textId="7FE145E9" w:rsidR="00D45BD0" w:rsidRPr="00936776" w:rsidRDefault="00D45BD0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Zalecenia partnerów społecznych w sprawie umiejętności, innowacji oraz zapewniania szkoleń i dostępu do nich – rozdział dotyczący zachęt finansowych i inwestycji w umiejętności, 2021.</w:t>
      </w:r>
    </w:p>
  </w:footnote>
  <w:footnote w:id="3">
    <w:p w14:paraId="52E7D0A4" w14:textId="6A2BB0E9" w:rsidR="00F54565" w:rsidRPr="00936776" w:rsidRDefault="00F54565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Wniosek dotyczący zalecenia Rady w sprawie wzmacniania dialogu społecznego w Unii Europejskiej, 25 stycznia 2023</w:t>
      </w:r>
      <w:r w:rsidR="00C26962">
        <w:t> </w:t>
      </w:r>
      <w:r w:rsidRPr="00936776">
        <w:t>r.</w:t>
      </w:r>
    </w:p>
  </w:footnote>
  <w:footnote w:id="4">
    <w:p w14:paraId="081C7A72" w14:textId="1DD60E50" w:rsidR="001A5CE9" w:rsidRPr="00936776" w:rsidRDefault="001A5CE9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</w:r>
      <w:hyperlink r:id="rId2" w:history="1">
        <w:r w:rsidRPr="00936776">
          <w:rPr>
            <w:rStyle w:val="Hyperlink"/>
          </w:rPr>
          <w:t>Dz.U. C 486 z 21.12.2022, s. 161</w:t>
        </w:r>
      </w:hyperlink>
      <w:r w:rsidRPr="00936776">
        <w:t>.</w:t>
      </w:r>
    </w:p>
  </w:footnote>
  <w:footnote w:id="5">
    <w:p w14:paraId="2D853EF0" w14:textId="37EFD094" w:rsidR="004137AA" w:rsidRPr="00936776" w:rsidRDefault="004137AA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 xml:space="preserve">Europejski program na rzecz umiejętności: </w:t>
      </w:r>
      <w:hyperlink r:id="rId3" w:history="1">
        <w:r w:rsidRPr="00936776">
          <w:rPr>
            <w:rStyle w:val="Hyperlink"/>
          </w:rPr>
          <w:t>https://ec.europa.eu/social/main.jsp?catId=1223&amp;langId=pl</w:t>
        </w:r>
      </w:hyperlink>
      <w:r w:rsidRPr="00936776">
        <w:t>.</w:t>
      </w:r>
    </w:p>
  </w:footnote>
  <w:footnote w:id="6">
    <w:p w14:paraId="1AC6648F" w14:textId="6A4A0F70" w:rsidR="00777D6E" w:rsidRPr="00936776" w:rsidRDefault="00777D6E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Komunikat Komisji do Parlamentu Europejskiego, Rady, Europejskiego Komitetu Ekonomiczno-Społecznego i Komitetu Regionów „Nowy europejski program na rzecz umiejętności. Wspólne działania na rzecz wzmocnienia kapitału ludzkiego, zwiększania szans na zatrudnienie i konkurencyjności”. (</w:t>
      </w:r>
      <w:hyperlink r:id="rId4" w:history="1">
        <w:r w:rsidRPr="00936776">
          <w:rPr>
            <w:rStyle w:val="Hyperlink"/>
          </w:rPr>
          <w:t>COM(2016) 381 final</w:t>
        </w:r>
      </w:hyperlink>
      <w:r w:rsidRPr="00936776">
        <w:t>).</w:t>
      </w:r>
    </w:p>
  </w:footnote>
  <w:footnote w:id="7">
    <w:p w14:paraId="5CA4B2EC" w14:textId="5D0827BC" w:rsidR="00593834" w:rsidRPr="00936776" w:rsidRDefault="00593834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 xml:space="preserve">Zgodnie z danymi Eurostatu (z 2020 r.) kraje, w których udział kosztów ustawicznego szkolenia zawodowego w całkowitych kosztach pracy znajduje się na poziomie powyżej średniej UE to: Francja, Irlandia, Włochy, Estonia, Niemcy, Szwecja, Luksemburg: </w:t>
      </w:r>
      <w:hyperlink r:id="rId5" w:history="1">
        <w:r w:rsidRPr="00936776">
          <w:rPr>
            <w:rStyle w:val="Hyperlink"/>
          </w:rPr>
          <w:t>https://ec.europa.eu/eurostat/databrowser/view/TRNG_CVT_16S/default/table?lang=en</w:t>
        </w:r>
      </w:hyperlink>
      <w:r w:rsidRPr="00936776">
        <w:t>.</w:t>
      </w:r>
    </w:p>
  </w:footnote>
  <w:footnote w:id="8">
    <w:p w14:paraId="000000B3" w14:textId="77777777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sz w:val="16"/>
        </w:rPr>
        <w:tab/>
      </w:r>
      <w:proofErr w:type="spellStart"/>
      <w:r w:rsidRPr="00936776">
        <w:rPr>
          <w:sz w:val="16"/>
        </w:rPr>
        <w:t>Psacharopoulos</w:t>
      </w:r>
      <w:proofErr w:type="spellEnd"/>
      <w:r w:rsidRPr="00936776">
        <w:rPr>
          <w:sz w:val="16"/>
        </w:rPr>
        <w:t xml:space="preserve">, George &amp; </w:t>
      </w:r>
      <w:proofErr w:type="spellStart"/>
      <w:r w:rsidRPr="00936776">
        <w:rPr>
          <w:sz w:val="16"/>
        </w:rPr>
        <w:t>Patrinos</w:t>
      </w:r>
      <w:proofErr w:type="spellEnd"/>
      <w:r w:rsidRPr="00936776">
        <w:rPr>
          <w:sz w:val="16"/>
        </w:rPr>
        <w:t>, Harry Anthony, „</w:t>
      </w:r>
      <w:proofErr w:type="spellStart"/>
      <w:r w:rsidRPr="00936776">
        <w:rPr>
          <w:sz w:val="16"/>
        </w:rPr>
        <w:t>Returns</w:t>
      </w:r>
      <w:proofErr w:type="spellEnd"/>
      <w:r w:rsidRPr="00936776">
        <w:rPr>
          <w:sz w:val="16"/>
        </w:rPr>
        <w:t xml:space="preserve"> to investment in </w:t>
      </w:r>
      <w:proofErr w:type="spellStart"/>
      <w:r w:rsidRPr="00936776">
        <w:rPr>
          <w:sz w:val="16"/>
        </w:rPr>
        <w:t>education</w:t>
      </w:r>
      <w:proofErr w:type="spellEnd"/>
      <w:r w:rsidRPr="00936776">
        <w:rPr>
          <w:sz w:val="16"/>
        </w:rPr>
        <w:t xml:space="preserve">: a </w:t>
      </w:r>
      <w:proofErr w:type="spellStart"/>
      <w:r w:rsidRPr="00936776">
        <w:rPr>
          <w:sz w:val="16"/>
        </w:rPr>
        <w:t>decennial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review</w:t>
      </w:r>
      <w:proofErr w:type="spellEnd"/>
      <w:r w:rsidRPr="00936776">
        <w:rPr>
          <w:sz w:val="16"/>
        </w:rPr>
        <w:t xml:space="preserve"> of the </w:t>
      </w:r>
      <w:proofErr w:type="spellStart"/>
      <w:r w:rsidRPr="00936776">
        <w:rPr>
          <w:sz w:val="16"/>
        </w:rPr>
        <w:t>global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literature</w:t>
      </w:r>
      <w:proofErr w:type="spellEnd"/>
      <w:r w:rsidRPr="00936776">
        <w:rPr>
          <w:sz w:val="16"/>
        </w:rPr>
        <w:t xml:space="preserve">”, Policy </w:t>
      </w:r>
      <w:proofErr w:type="spellStart"/>
      <w:r w:rsidRPr="00936776">
        <w:rPr>
          <w:sz w:val="16"/>
        </w:rPr>
        <w:t>Research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Working</w:t>
      </w:r>
      <w:proofErr w:type="spellEnd"/>
      <w:r w:rsidRPr="00936776">
        <w:rPr>
          <w:sz w:val="16"/>
        </w:rPr>
        <w:t xml:space="preserve"> Paper Series 8402, Bank Światowy, 2018.</w:t>
      </w:r>
    </w:p>
  </w:footnote>
  <w:footnote w:id="9">
    <w:p w14:paraId="5FB1F143" w14:textId="4A46D4DD" w:rsidR="008739D2" w:rsidRPr="00936776" w:rsidRDefault="008739D2" w:rsidP="002D0B87">
      <w:pPr>
        <w:pStyle w:val="FootnoteText"/>
        <w:keepLines w:val="0"/>
        <w:suppressAutoHyphens/>
        <w:jc w:val="left"/>
      </w:pPr>
      <w:r w:rsidRPr="00936776">
        <w:rPr>
          <w:rStyle w:val="FootnoteReference"/>
        </w:rPr>
        <w:footnoteRef/>
      </w:r>
      <w:r w:rsidRPr="00936776">
        <w:tab/>
        <w:t xml:space="preserve">Średnie roczne zarobki według płci, działalności gospodarczej i poziomu wykształcenia: </w:t>
      </w:r>
      <w:hyperlink r:id="rId6" w:history="1">
        <w:r w:rsidRPr="00936776">
          <w:rPr>
            <w:rStyle w:val="Hyperlink"/>
          </w:rPr>
          <w:t>https://ec.europa.eu/eurostat/databrowser/view/EARN_SES18_30/default/table?lang=en</w:t>
        </w:r>
      </w:hyperlink>
      <w:r w:rsidRPr="00936776">
        <w:t>.</w:t>
      </w:r>
    </w:p>
  </w:footnote>
  <w:footnote w:id="10">
    <w:p w14:paraId="507D6B5F" w14:textId="4F4F6CBA" w:rsidR="00DB44FB" w:rsidRPr="00936776" w:rsidRDefault="00DB44FB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 xml:space="preserve">Cedefop, 2018. Definicja niedoboru wykwalifikowanej siły roboczej: popyt na umiejętności przewyższa podaż w większości warunków płacowych i warunków pracy. </w:t>
      </w:r>
      <w:proofErr w:type="spellStart"/>
      <w:r w:rsidRPr="00936776">
        <w:rPr>
          <w:i/>
        </w:rPr>
        <w:t>Insights</w:t>
      </w:r>
      <w:proofErr w:type="spellEnd"/>
      <w:r w:rsidRPr="00936776">
        <w:rPr>
          <w:i/>
        </w:rPr>
        <w:t xml:space="preserve"> </w:t>
      </w:r>
      <w:proofErr w:type="spellStart"/>
      <w:r w:rsidRPr="00936776">
        <w:rPr>
          <w:i/>
        </w:rPr>
        <w:t>into</w:t>
      </w:r>
      <w:proofErr w:type="spellEnd"/>
      <w:r w:rsidRPr="00936776">
        <w:rPr>
          <w:i/>
        </w:rPr>
        <w:t xml:space="preserve"> </w:t>
      </w:r>
      <w:proofErr w:type="spellStart"/>
      <w:r w:rsidRPr="00936776">
        <w:rPr>
          <w:i/>
        </w:rPr>
        <w:t>skill</w:t>
      </w:r>
      <w:proofErr w:type="spellEnd"/>
      <w:r w:rsidRPr="00936776">
        <w:rPr>
          <w:i/>
        </w:rPr>
        <w:t xml:space="preserve"> </w:t>
      </w:r>
      <w:proofErr w:type="spellStart"/>
      <w:r w:rsidRPr="00936776">
        <w:rPr>
          <w:i/>
        </w:rPr>
        <w:t>shortages</w:t>
      </w:r>
      <w:proofErr w:type="spellEnd"/>
      <w:r w:rsidRPr="00936776">
        <w:rPr>
          <w:i/>
        </w:rPr>
        <w:t xml:space="preserve"> and </w:t>
      </w:r>
      <w:proofErr w:type="spellStart"/>
      <w:r w:rsidRPr="00936776">
        <w:rPr>
          <w:i/>
        </w:rPr>
        <w:t>skill</w:t>
      </w:r>
      <w:proofErr w:type="spellEnd"/>
      <w:r w:rsidRPr="00936776">
        <w:rPr>
          <w:i/>
        </w:rPr>
        <w:t xml:space="preserve"> </w:t>
      </w:r>
      <w:proofErr w:type="spellStart"/>
      <w:r w:rsidRPr="00936776">
        <w:rPr>
          <w:i/>
        </w:rPr>
        <w:t>mismatch</w:t>
      </w:r>
      <w:proofErr w:type="spellEnd"/>
      <w:r w:rsidRPr="00936776">
        <w:t xml:space="preserve">: </w:t>
      </w:r>
      <w:hyperlink r:id="rId7" w:history="1">
        <w:proofErr w:type="spellStart"/>
        <w:r w:rsidRPr="00936776">
          <w:rPr>
            <w:rStyle w:val="Hyperlink"/>
          </w:rPr>
          <w:t>Insights</w:t>
        </w:r>
        <w:proofErr w:type="spellEnd"/>
        <w:r w:rsidRPr="00936776">
          <w:rPr>
            <w:rStyle w:val="Hyperlink"/>
          </w:rPr>
          <w:t xml:space="preserve"> </w:t>
        </w:r>
        <w:proofErr w:type="spellStart"/>
        <w:r w:rsidRPr="00936776">
          <w:rPr>
            <w:rStyle w:val="Hyperlink"/>
          </w:rPr>
          <w:t>into</w:t>
        </w:r>
        <w:proofErr w:type="spellEnd"/>
        <w:r w:rsidRPr="00936776">
          <w:rPr>
            <w:rStyle w:val="Hyperlink"/>
          </w:rPr>
          <w:t xml:space="preserve"> </w:t>
        </w:r>
        <w:proofErr w:type="spellStart"/>
        <w:r w:rsidRPr="00936776">
          <w:rPr>
            <w:rStyle w:val="Hyperlink"/>
          </w:rPr>
          <w:t>skill</w:t>
        </w:r>
        <w:proofErr w:type="spellEnd"/>
        <w:r w:rsidRPr="00936776">
          <w:rPr>
            <w:rStyle w:val="Hyperlink"/>
          </w:rPr>
          <w:t xml:space="preserve"> </w:t>
        </w:r>
        <w:proofErr w:type="spellStart"/>
        <w:r w:rsidRPr="00936776">
          <w:rPr>
            <w:rStyle w:val="Hyperlink"/>
          </w:rPr>
          <w:t>shortages</w:t>
        </w:r>
        <w:proofErr w:type="spellEnd"/>
        <w:r w:rsidRPr="00936776">
          <w:rPr>
            <w:rStyle w:val="Hyperlink"/>
          </w:rPr>
          <w:t xml:space="preserve"> and </w:t>
        </w:r>
        <w:proofErr w:type="spellStart"/>
        <w:r w:rsidRPr="00936776">
          <w:rPr>
            <w:rStyle w:val="Hyperlink"/>
          </w:rPr>
          <w:t>skill</w:t>
        </w:r>
        <w:proofErr w:type="spellEnd"/>
        <w:r w:rsidRPr="00936776">
          <w:rPr>
            <w:rStyle w:val="Hyperlink"/>
          </w:rPr>
          <w:t xml:space="preserve"> </w:t>
        </w:r>
        <w:proofErr w:type="spellStart"/>
        <w:r w:rsidRPr="00936776">
          <w:rPr>
            <w:rStyle w:val="Hyperlink"/>
          </w:rPr>
          <w:t>mismatch</w:t>
        </w:r>
        <w:proofErr w:type="spellEnd"/>
        <w:r w:rsidRPr="00936776">
          <w:rPr>
            <w:rStyle w:val="Hyperlink"/>
          </w:rPr>
          <w:t>, Cedefop</w:t>
        </w:r>
      </w:hyperlink>
      <w:r w:rsidRPr="00936776">
        <w:t>.</w:t>
      </w:r>
    </w:p>
  </w:footnote>
  <w:footnote w:id="11">
    <w:p w14:paraId="000000B4" w14:textId="76DECEF6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color w:val="000000"/>
          <w:sz w:val="16"/>
        </w:rPr>
        <w:tab/>
      </w:r>
      <w:hyperlink r:id="rId8" w:history="1">
        <w:r w:rsidRPr="00936776">
          <w:rPr>
            <w:rStyle w:val="Hyperlink"/>
            <w:sz w:val="16"/>
          </w:rPr>
          <w:t>https://www.cedefop.europa.eu/pl/themes/matching-skills-and-jobs</w:t>
        </w:r>
      </w:hyperlink>
    </w:p>
  </w:footnote>
  <w:footnote w:id="12">
    <w:p w14:paraId="7C266B93" w14:textId="308BBF02" w:rsidR="00DB44FB" w:rsidRPr="00936776" w:rsidRDefault="00DB44FB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Według danych Eurostatu średnie miesięczne zarobki pracowników z wyższym wykształceniem na poziomie ISCED 5–8 są o 48 % wyższe niż średnie miesięczne zarobki pracowników z wykształceniem wyższym na poziomie ISCED 3–4. Ponadto w 2021 r. wskaźnik zatrudnienia wśród osób z wykształceniem średnim II stopnia i policealnym wynosił 71 %. Dla porównania w tym samym roku wskaźnik zatrudnienia osób z wykształceniem wyższym wynosił w UE-27 średnio 84,9 %.</w:t>
      </w:r>
      <w:r w:rsidR="00C26962">
        <w:tab/>
      </w:r>
      <w:r w:rsidR="00C26962">
        <w:br/>
      </w:r>
      <w:hyperlink r:id="rId9" w:history="1">
        <w:r w:rsidR="00E1222B" w:rsidRPr="00936776">
          <w:rPr>
            <w:rStyle w:val="Hyperlink"/>
          </w:rPr>
          <w:t>https://ec.europa.eu/eurostat/databrowser/view/EARN_SES18_23/default/table?lang=en</w:t>
        </w:r>
      </w:hyperlink>
    </w:p>
  </w:footnote>
  <w:footnote w:id="13">
    <w:p w14:paraId="000000B7" w14:textId="1A256540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color w:val="000000"/>
          <w:sz w:val="16"/>
        </w:rPr>
        <w:tab/>
      </w:r>
      <w:hyperlink r:id="rId10" w:history="1">
        <w:r w:rsidRPr="00936776">
          <w:rPr>
            <w:rStyle w:val="Hyperlink"/>
            <w:sz w:val="16"/>
          </w:rPr>
          <w:t>Dz.U. C 504 z 14.12.2021, s. 9</w:t>
        </w:r>
      </w:hyperlink>
      <w:r w:rsidRPr="00936776">
        <w:rPr>
          <w:sz w:val="16"/>
        </w:rPr>
        <w:t>.</w:t>
      </w:r>
    </w:p>
  </w:footnote>
  <w:footnote w:id="14">
    <w:p w14:paraId="000000B8" w14:textId="31A5020B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sz w:val="16"/>
        </w:rPr>
        <w:tab/>
        <w:t>Hanushek, E.A., „</w:t>
      </w:r>
      <w:proofErr w:type="spellStart"/>
      <w:r w:rsidRPr="00936776">
        <w:rPr>
          <w:sz w:val="16"/>
        </w:rPr>
        <w:t>Will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more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higher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education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improve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economic</w:t>
      </w:r>
      <w:proofErr w:type="spellEnd"/>
      <w:r w:rsidRPr="00936776">
        <w:rPr>
          <w:sz w:val="16"/>
        </w:rPr>
        <w:t xml:space="preserve"> </w:t>
      </w:r>
      <w:proofErr w:type="spellStart"/>
      <w:r w:rsidRPr="00936776">
        <w:rPr>
          <w:sz w:val="16"/>
        </w:rPr>
        <w:t>growth</w:t>
      </w:r>
      <w:proofErr w:type="spellEnd"/>
      <w:r w:rsidRPr="00936776">
        <w:rPr>
          <w:sz w:val="16"/>
        </w:rPr>
        <w:t xml:space="preserve">?”, </w:t>
      </w:r>
      <w:r w:rsidRPr="00936776">
        <w:rPr>
          <w:i/>
          <w:iCs/>
          <w:sz w:val="16"/>
        </w:rPr>
        <w:t xml:space="preserve">Oxford </w:t>
      </w:r>
      <w:proofErr w:type="spellStart"/>
      <w:r w:rsidRPr="00936776">
        <w:rPr>
          <w:i/>
          <w:iCs/>
          <w:sz w:val="16"/>
        </w:rPr>
        <w:t>Review</w:t>
      </w:r>
      <w:proofErr w:type="spellEnd"/>
      <w:r w:rsidRPr="00936776">
        <w:rPr>
          <w:i/>
          <w:iCs/>
          <w:sz w:val="16"/>
        </w:rPr>
        <w:t xml:space="preserve"> of </w:t>
      </w:r>
      <w:proofErr w:type="spellStart"/>
      <w:r w:rsidRPr="00936776">
        <w:rPr>
          <w:i/>
          <w:iCs/>
          <w:sz w:val="16"/>
        </w:rPr>
        <w:t>Economic</w:t>
      </w:r>
      <w:proofErr w:type="spellEnd"/>
      <w:r w:rsidRPr="00936776">
        <w:rPr>
          <w:i/>
          <w:iCs/>
          <w:sz w:val="16"/>
        </w:rPr>
        <w:t xml:space="preserve"> Policy 32</w:t>
      </w:r>
      <w:r w:rsidRPr="00936776">
        <w:rPr>
          <w:sz w:val="16"/>
        </w:rPr>
        <w:t>, nr 4, 2016, s.</w:t>
      </w:r>
      <w:r w:rsidR="00C83450">
        <w:rPr>
          <w:sz w:val="16"/>
        </w:rPr>
        <w:t> </w:t>
      </w:r>
      <w:r w:rsidRPr="00936776">
        <w:rPr>
          <w:sz w:val="16"/>
        </w:rPr>
        <w:t>538.</w:t>
      </w:r>
    </w:p>
  </w:footnote>
  <w:footnote w:id="15">
    <w:p w14:paraId="22E3E876" w14:textId="7E9D25A4" w:rsidR="00E258D7" w:rsidRPr="00936776" w:rsidRDefault="00E258D7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Hanushek, E.A., „</w:t>
      </w:r>
      <w:proofErr w:type="spellStart"/>
      <w:r w:rsidRPr="00936776">
        <w:t>Will</w:t>
      </w:r>
      <w:proofErr w:type="spellEnd"/>
      <w:r w:rsidRPr="00936776">
        <w:t xml:space="preserve"> </w:t>
      </w:r>
      <w:proofErr w:type="spellStart"/>
      <w:r w:rsidRPr="00936776">
        <w:t>more</w:t>
      </w:r>
      <w:proofErr w:type="spellEnd"/>
      <w:r w:rsidRPr="00936776">
        <w:t xml:space="preserve"> </w:t>
      </w:r>
      <w:proofErr w:type="spellStart"/>
      <w:r w:rsidRPr="00936776">
        <w:t>higher</w:t>
      </w:r>
      <w:proofErr w:type="spellEnd"/>
      <w:r w:rsidRPr="00936776">
        <w:t xml:space="preserve"> </w:t>
      </w:r>
      <w:proofErr w:type="spellStart"/>
      <w:r w:rsidRPr="00936776">
        <w:t>education</w:t>
      </w:r>
      <w:proofErr w:type="spellEnd"/>
      <w:r w:rsidRPr="00936776">
        <w:t xml:space="preserve"> </w:t>
      </w:r>
      <w:proofErr w:type="spellStart"/>
      <w:r w:rsidRPr="00936776">
        <w:t>improve</w:t>
      </w:r>
      <w:proofErr w:type="spellEnd"/>
      <w:r w:rsidRPr="00936776">
        <w:t xml:space="preserve"> </w:t>
      </w:r>
      <w:proofErr w:type="spellStart"/>
      <w:r w:rsidRPr="00936776">
        <w:t>economic</w:t>
      </w:r>
      <w:proofErr w:type="spellEnd"/>
      <w:r w:rsidRPr="00936776">
        <w:t xml:space="preserve"> </w:t>
      </w:r>
      <w:proofErr w:type="spellStart"/>
      <w:r w:rsidRPr="00936776">
        <w:t>growth</w:t>
      </w:r>
      <w:proofErr w:type="spellEnd"/>
      <w:r w:rsidRPr="00936776">
        <w:t xml:space="preserve">?”, </w:t>
      </w:r>
      <w:r w:rsidRPr="00936776">
        <w:rPr>
          <w:i/>
          <w:iCs/>
        </w:rPr>
        <w:t xml:space="preserve">Oxford </w:t>
      </w:r>
      <w:proofErr w:type="spellStart"/>
      <w:r w:rsidRPr="00936776">
        <w:rPr>
          <w:i/>
          <w:iCs/>
        </w:rPr>
        <w:t>Review</w:t>
      </w:r>
      <w:proofErr w:type="spellEnd"/>
      <w:r w:rsidRPr="00936776">
        <w:rPr>
          <w:i/>
          <w:iCs/>
        </w:rPr>
        <w:t xml:space="preserve"> of </w:t>
      </w:r>
      <w:proofErr w:type="spellStart"/>
      <w:r w:rsidRPr="00936776">
        <w:rPr>
          <w:i/>
          <w:iCs/>
        </w:rPr>
        <w:t>Economic</w:t>
      </w:r>
      <w:proofErr w:type="spellEnd"/>
      <w:r w:rsidRPr="00936776">
        <w:rPr>
          <w:i/>
          <w:iCs/>
        </w:rPr>
        <w:t xml:space="preserve"> Policy 32</w:t>
      </w:r>
      <w:r w:rsidRPr="00936776">
        <w:t>, nr 4, 2016, s.</w:t>
      </w:r>
      <w:r w:rsidR="00C83450">
        <w:t> </w:t>
      </w:r>
      <w:r w:rsidRPr="00936776">
        <w:t>538.</w:t>
      </w:r>
    </w:p>
  </w:footnote>
  <w:footnote w:id="16">
    <w:p w14:paraId="03159632" w14:textId="3BA6C479" w:rsidR="00D3748E" w:rsidRPr="00936776" w:rsidRDefault="00D3748E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</w:r>
      <w:hyperlink r:id="rId11" w:history="1">
        <w:r w:rsidRPr="00936776">
          <w:rPr>
            <w:rStyle w:val="Hyperlink"/>
          </w:rPr>
          <w:t>https://lllplatform.eu/news/briefing-paper-community-lifelong-learning-centres/</w:t>
        </w:r>
      </w:hyperlink>
    </w:p>
  </w:footnote>
  <w:footnote w:id="17">
    <w:p w14:paraId="2A77A48A" w14:textId="57B05A88" w:rsidR="007B0D1E" w:rsidRPr="00936776" w:rsidRDefault="007B0D1E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Szacunki autora na podstawie danych Eurostatu:</w:t>
      </w:r>
      <w:r w:rsidR="00C83450">
        <w:tab/>
      </w:r>
      <w:r w:rsidR="00C83450">
        <w:br/>
      </w:r>
      <w:hyperlink r:id="rId12" w:history="1">
        <w:r w:rsidR="00C83450" w:rsidRPr="009B29A9">
          <w:rPr>
            <w:rStyle w:val="Hyperlink"/>
          </w:rPr>
          <w:t>https://ec.europa.eu/eurostat/databrowser/view/EARN_SES18_20__custom_7099054/default/table?lang=en</w:t>
        </w:r>
      </w:hyperlink>
      <w:r w:rsidR="00C83450" w:rsidRPr="00936776">
        <w:t>.</w:t>
      </w:r>
    </w:p>
  </w:footnote>
  <w:footnote w:id="18">
    <w:p w14:paraId="091E54F3" w14:textId="637C5620" w:rsidR="00B42778" w:rsidRPr="00936776" w:rsidRDefault="00B42778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Średnie miesięczne zarobki według płci, działalności gospodarczej i poziomu wykształcenia:</w:t>
      </w:r>
      <w:r w:rsidR="00C83450">
        <w:tab/>
      </w:r>
      <w:r w:rsidR="00C83450">
        <w:br/>
      </w:r>
      <w:hyperlink r:id="rId13" w:history="1">
        <w:r w:rsidRPr="00936776">
          <w:rPr>
            <w:rStyle w:val="Hyperlink"/>
          </w:rPr>
          <w:t>https://ec.europa.eu/eurostat/databrowser/view/EARN_SES18_23/default/table?lang=en</w:t>
        </w:r>
      </w:hyperlink>
      <w:r w:rsidRPr="00936776">
        <w:t>.</w:t>
      </w:r>
    </w:p>
  </w:footnote>
  <w:footnote w:id="19">
    <w:p w14:paraId="28D2867F" w14:textId="2242B3E3" w:rsidR="00293307" w:rsidRPr="00936776" w:rsidRDefault="00293307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Populacja według poziomu wykształcenia, płci, wieku i stopnia urbanizacji (%):</w:t>
      </w:r>
      <w:r w:rsidR="00C83450">
        <w:tab/>
      </w:r>
      <w:r w:rsidR="00C83450">
        <w:br/>
      </w:r>
      <w:hyperlink r:id="rId14" w:history="1">
        <w:r w:rsidRPr="00936776">
          <w:rPr>
            <w:rStyle w:val="Hyperlink"/>
          </w:rPr>
          <w:t>https://ec.europa.eu/eurostat/databrowser/view/EDAT_LFS_9913__custom_6585685/default/table?lang=en</w:t>
        </w:r>
      </w:hyperlink>
      <w:r w:rsidRPr="00936776">
        <w:t>.</w:t>
      </w:r>
    </w:p>
  </w:footnote>
  <w:footnote w:id="20">
    <w:p w14:paraId="79C84F88" w14:textId="5E019347" w:rsidR="008A0914" w:rsidRPr="00936776" w:rsidRDefault="008A0914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color w:val="000000"/>
          <w:sz w:val="16"/>
        </w:rPr>
        <w:tab/>
      </w:r>
      <w:hyperlink r:id="rId15" w:history="1">
        <w:r w:rsidRPr="00936776">
          <w:rPr>
            <w:rStyle w:val="Hyperlink"/>
            <w:sz w:val="16"/>
            <w:highlight w:val="white"/>
          </w:rPr>
          <w:t>https://www.eesc.europa.eu/pl/news-media/press-releases/skills-mismatches-eu-businesses-are-losing-millions-and-will-be-losing-even-more</w:t>
        </w:r>
      </w:hyperlink>
    </w:p>
  </w:footnote>
  <w:footnote w:id="21">
    <w:p w14:paraId="36BC4121" w14:textId="1E0490D8" w:rsidR="007B0D1E" w:rsidRPr="00936776" w:rsidRDefault="007B0D1E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</w:r>
      <w:proofErr w:type="spellStart"/>
      <w:r w:rsidRPr="00936776">
        <w:rPr>
          <w:i/>
          <w:iCs/>
        </w:rPr>
        <w:t>Does</w:t>
      </w:r>
      <w:proofErr w:type="spellEnd"/>
      <w:r w:rsidRPr="00936776">
        <w:rPr>
          <w:i/>
          <w:iCs/>
        </w:rPr>
        <w:t xml:space="preserve"> </w:t>
      </w:r>
      <w:proofErr w:type="spellStart"/>
      <w:r w:rsidRPr="00936776">
        <w:rPr>
          <w:i/>
          <w:iCs/>
        </w:rPr>
        <w:t>Inequality</w:t>
      </w:r>
      <w:proofErr w:type="spellEnd"/>
      <w:r w:rsidRPr="00936776">
        <w:rPr>
          <w:i/>
          <w:iCs/>
        </w:rPr>
        <w:t xml:space="preserve"> </w:t>
      </w:r>
      <w:proofErr w:type="spellStart"/>
      <w:r w:rsidRPr="00936776">
        <w:rPr>
          <w:i/>
          <w:iCs/>
        </w:rPr>
        <w:t>Matter</w:t>
      </w:r>
      <w:proofErr w:type="spellEnd"/>
      <w:r w:rsidRPr="00936776">
        <w:rPr>
          <w:i/>
          <w:iCs/>
        </w:rPr>
        <w:t>?</w:t>
      </w:r>
      <w:r w:rsidRPr="00936776">
        <w:t xml:space="preserve"> </w:t>
      </w:r>
      <w:hyperlink r:id="rId16" w:history="1">
        <w:r w:rsidRPr="00936776">
          <w:rPr>
            <w:rStyle w:val="Hyperlink"/>
          </w:rPr>
          <w:t>Https://www.oecd.org/wise/does-inequality-matter-3023ed40-en.htm</w:t>
        </w:r>
      </w:hyperlink>
      <w:r w:rsidRPr="00936776">
        <w:t xml:space="preserve"> OECD, 2021.</w:t>
      </w:r>
    </w:p>
  </w:footnote>
  <w:footnote w:id="22">
    <w:p w14:paraId="03C3C924" w14:textId="324FCD4A" w:rsidR="007B0D1E" w:rsidRPr="00936776" w:rsidRDefault="007B0D1E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  <w:t>Według Eurostatu największą część PKB na edukację (wydatki publiczne od edukacji przedszkolnej po wyższą) przeznaczają Szwecja (7,34 %), Dania (6,86 %), Belgia (6,81 %) i Finlandia (6,27 %), natomiast najmniejszą – Rumunia (3,14 %), Chorwacja (3,80 %), Węgry (3,83 %) i Luksemburg (3,84 %).</w:t>
      </w:r>
    </w:p>
  </w:footnote>
  <w:footnote w:id="23">
    <w:p w14:paraId="000000BA" w14:textId="3A836B85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color w:val="000000"/>
          <w:sz w:val="16"/>
        </w:rPr>
        <w:tab/>
      </w:r>
      <w:proofErr w:type="spellStart"/>
      <w:r w:rsidRPr="00936776">
        <w:rPr>
          <w:color w:val="000000"/>
          <w:sz w:val="16"/>
        </w:rPr>
        <w:t>Rycx</w:t>
      </w:r>
      <w:proofErr w:type="spellEnd"/>
      <w:r w:rsidRPr="00936776">
        <w:rPr>
          <w:color w:val="000000"/>
          <w:sz w:val="16"/>
        </w:rPr>
        <w:t xml:space="preserve">, F., </w:t>
      </w:r>
      <w:proofErr w:type="spellStart"/>
      <w:r w:rsidRPr="00936776">
        <w:rPr>
          <w:color w:val="000000"/>
          <w:sz w:val="16"/>
        </w:rPr>
        <w:t>Saks</w:t>
      </w:r>
      <w:proofErr w:type="spellEnd"/>
      <w:r w:rsidRPr="00936776">
        <w:rPr>
          <w:color w:val="000000"/>
          <w:sz w:val="16"/>
        </w:rPr>
        <w:t xml:space="preserve">, Y., </w:t>
      </w:r>
      <w:proofErr w:type="spellStart"/>
      <w:r w:rsidRPr="00936776">
        <w:rPr>
          <w:color w:val="000000"/>
          <w:sz w:val="16"/>
        </w:rPr>
        <w:t>Tojerow</w:t>
      </w:r>
      <w:proofErr w:type="spellEnd"/>
      <w:r w:rsidRPr="00936776">
        <w:rPr>
          <w:color w:val="000000"/>
          <w:sz w:val="16"/>
        </w:rPr>
        <w:t xml:space="preserve">, I., </w:t>
      </w:r>
      <w:proofErr w:type="spellStart"/>
      <w:r w:rsidRPr="00936776">
        <w:rPr>
          <w:i/>
          <w:color w:val="000000"/>
          <w:sz w:val="16"/>
        </w:rPr>
        <w:t>Does</w:t>
      </w:r>
      <w:proofErr w:type="spellEnd"/>
      <w:r w:rsidRPr="00936776">
        <w:rPr>
          <w:i/>
          <w:color w:val="000000"/>
          <w:sz w:val="16"/>
        </w:rPr>
        <w:t xml:space="preserve"> Education </w:t>
      </w:r>
      <w:proofErr w:type="spellStart"/>
      <w:r w:rsidRPr="00936776">
        <w:rPr>
          <w:i/>
          <w:color w:val="000000"/>
          <w:sz w:val="16"/>
        </w:rPr>
        <w:t>Raise</w:t>
      </w:r>
      <w:proofErr w:type="spellEnd"/>
      <w:r w:rsidRPr="00936776">
        <w:rPr>
          <w:i/>
          <w:color w:val="000000"/>
          <w:sz w:val="16"/>
        </w:rPr>
        <w:t xml:space="preserve"> Productivity and </w:t>
      </w:r>
      <w:proofErr w:type="spellStart"/>
      <w:r w:rsidRPr="00936776">
        <w:rPr>
          <w:i/>
          <w:color w:val="000000"/>
          <w:sz w:val="16"/>
        </w:rPr>
        <w:t>Wages</w:t>
      </w:r>
      <w:proofErr w:type="spellEnd"/>
      <w:r w:rsidRPr="00936776">
        <w:rPr>
          <w:i/>
          <w:color w:val="000000"/>
          <w:sz w:val="16"/>
        </w:rPr>
        <w:t xml:space="preserve"> </w:t>
      </w:r>
      <w:proofErr w:type="spellStart"/>
      <w:r w:rsidRPr="00936776">
        <w:rPr>
          <w:i/>
          <w:color w:val="000000"/>
          <w:sz w:val="16"/>
        </w:rPr>
        <w:t>Equally</w:t>
      </w:r>
      <w:proofErr w:type="spellEnd"/>
      <w:r w:rsidRPr="00936776">
        <w:rPr>
          <w:i/>
          <w:color w:val="000000"/>
          <w:sz w:val="16"/>
        </w:rPr>
        <w:t xml:space="preserve">? The </w:t>
      </w:r>
      <w:proofErr w:type="spellStart"/>
      <w:r w:rsidRPr="00936776">
        <w:rPr>
          <w:i/>
          <w:color w:val="000000"/>
          <w:sz w:val="16"/>
        </w:rPr>
        <w:t>Moderating</w:t>
      </w:r>
      <w:proofErr w:type="spellEnd"/>
      <w:r w:rsidRPr="00936776">
        <w:rPr>
          <w:i/>
          <w:color w:val="000000"/>
          <w:sz w:val="16"/>
        </w:rPr>
        <w:t xml:space="preserve"> </w:t>
      </w:r>
      <w:proofErr w:type="spellStart"/>
      <w:r w:rsidRPr="00936776">
        <w:rPr>
          <w:i/>
          <w:color w:val="000000"/>
          <w:sz w:val="16"/>
        </w:rPr>
        <w:t>Roles</w:t>
      </w:r>
      <w:proofErr w:type="spellEnd"/>
      <w:r w:rsidRPr="00936776">
        <w:rPr>
          <w:i/>
          <w:color w:val="000000"/>
          <w:sz w:val="16"/>
        </w:rPr>
        <w:t xml:space="preserve"> of Age, </w:t>
      </w:r>
      <w:proofErr w:type="spellStart"/>
      <w:r w:rsidRPr="00936776">
        <w:rPr>
          <w:i/>
          <w:color w:val="000000"/>
          <w:sz w:val="16"/>
        </w:rPr>
        <w:t>Gender</w:t>
      </w:r>
      <w:proofErr w:type="spellEnd"/>
      <w:r w:rsidRPr="00936776">
        <w:rPr>
          <w:i/>
          <w:color w:val="000000"/>
          <w:sz w:val="16"/>
        </w:rPr>
        <w:t xml:space="preserve"> and </w:t>
      </w:r>
      <w:proofErr w:type="spellStart"/>
      <w:r w:rsidRPr="00936776">
        <w:rPr>
          <w:i/>
          <w:color w:val="000000"/>
          <w:sz w:val="16"/>
        </w:rPr>
        <w:t>Industry</w:t>
      </w:r>
      <w:proofErr w:type="spellEnd"/>
      <w:r w:rsidRPr="00936776">
        <w:rPr>
          <w:color w:val="000000"/>
          <w:sz w:val="16"/>
        </w:rPr>
        <w:t xml:space="preserve">, IZA </w:t>
      </w:r>
      <w:proofErr w:type="spellStart"/>
      <w:r w:rsidRPr="00936776">
        <w:rPr>
          <w:color w:val="000000"/>
          <w:sz w:val="16"/>
        </w:rPr>
        <w:t>discussion</w:t>
      </w:r>
      <w:proofErr w:type="spellEnd"/>
      <w:r w:rsidRPr="00936776">
        <w:rPr>
          <w:color w:val="000000"/>
          <w:sz w:val="16"/>
        </w:rPr>
        <w:t xml:space="preserve"> </w:t>
      </w:r>
      <w:proofErr w:type="spellStart"/>
      <w:r w:rsidRPr="00936776">
        <w:rPr>
          <w:color w:val="000000"/>
          <w:sz w:val="16"/>
        </w:rPr>
        <w:t>paper</w:t>
      </w:r>
      <w:proofErr w:type="spellEnd"/>
      <w:r w:rsidRPr="00936776">
        <w:rPr>
          <w:color w:val="000000"/>
          <w:sz w:val="16"/>
        </w:rPr>
        <w:t xml:space="preserve">, 2015. </w:t>
      </w:r>
      <w:hyperlink r:id="rId17" w:history="1">
        <w:r w:rsidRPr="00936776">
          <w:rPr>
            <w:rStyle w:val="Hyperlink"/>
            <w:sz w:val="16"/>
          </w:rPr>
          <w:t>https://docs.iza.org/dp9043.pdf</w:t>
        </w:r>
      </w:hyperlink>
      <w:r w:rsidRPr="00936776">
        <w:rPr>
          <w:sz w:val="16"/>
        </w:rPr>
        <w:t>.</w:t>
      </w:r>
    </w:p>
  </w:footnote>
  <w:footnote w:id="24">
    <w:p w14:paraId="000000BB" w14:textId="7428F43B" w:rsidR="00D3748E" w:rsidRPr="00936776" w:rsidRDefault="00D3748E" w:rsidP="002D0B87">
      <w:pPr>
        <w:pBdr>
          <w:top w:val="nil"/>
          <w:left w:val="nil"/>
          <w:bottom w:val="nil"/>
          <w:right w:val="nil"/>
          <w:between w:val="nil"/>
        </w:pBdr>
        <w:suppressAutoHyphens/>
        <w:spacing w:after="60" w:line="240" w:lineRule="auto"/>
        <w:ind w:left="567" w:hanging="567"/>
        <w:rPr>
          <w:color w:val="000000"/>
          <w:sz w:val="16"/>
          <w:szCs w:val="16"/>
        </w:rPr>
      </w:pPr>
      <w:r w:rsidRPr="00936776">
        <w:rPr>
          <w:rStyle w:val="FootnoteReference"/>
        </w:rPr>
        <w:footnoteRef/>
      </w:r>
      <w:r w:rsidRPr="00936776">
        <w:rPr>
          <w:color w:val="000000"/>
          <w:sz w:val="16"/>
        </w:rPr>
        <w:tab/>
        <w:t xml:space="preserve">Marquez-Ramos, L. i </w:t>
      </w:r>
      <w:proofErr w:type="spellStart"/>
      <w:r w:rsidRPr="00936776">
        <w:rPr>
          <w:color w:val="000000"/>
          <w:sz w:val="16"/>
        </w:rPr>
        <w:t>Mourelle</w:t>
      </w:r>
      <w:proofErr w:type="spellEnd"/>
      <w:r w:rsidRPr="00936776">
        <w:rPr>
          <w:color w:val="000000"/>
          <w:sz w:val="16"/>
        </w:rPr>
        <w:t xml:space="preserve">, E., „Education and </w:t>
      </w:r>
      <w:proofErr w:type="spellStart"/>
      <w:r w:rsidRPr="00936776">
        <w:rPr>
          <w:color w:val="000000"/>
          <w:sz w:val="16"/>
        </w:rPr>
        <w:t>economic</w:t>
      </w:r>
      <w:proofErr w:type="spellEnd"/>
      <w:r w:rsidRPr="00936776">
        <w:rPr>
          <w:color w:val="000000"/>
          <w:sz w:val="16"/>
        </w:rPr>
        <w:t xml:space="preserve"> </w:t>
      </w:r>
      <w:proofErr w:type="spellStart"/>
      <w:r w:rsidRPr="00936776">
        <w:rPr>
          <w:color w:val="000000"/>
          <w:sz w:val="16"/>
        </w:rPr>
        <w:t>growth</w:t>
      </w:r>
      <w:proofErr w:type="spellEnd"/>
      <w:r w:rsidRPr="00936776">
        <w:rPr>
          <w:color w:val="000000"/>
          <w:sz w:val="16"/>
        </w:rPr>
        <w:t xml:space="preserve">: </w:t>
      </w:r>
      <w:proofErr w:type="spellStart"/>
      <w:r w:rsidRPr="00936776">
        <w:rPr>
          <w:color w:val="000000"/>
          <w:sz w:val="16"/>
        </w:rPr>
        <w:t>an</w:t>
      </w:r>
      <w:proofErr w:type="spellEnd"/>
      <w:r w:rsidRPr="00936776">
        <w:rPr>
          <w:color w:val="000000"/>
          <w:sz w:val="16"/>
        </w:rPr>
        <w:t xml:space="preserve"> </w:t>
      </w:r>
      <w:proofErr w:type="spellStart"/>
      <w:r w:rsidRPr="00936776">
        <w:rPr>
          <w:color w:val="000000"/>
          <w:sz w:val="16"/>
        </w:rPr>
        <w:t>empirical</w:t>
      </w:r>
      <w:proofErr w:type="spellEnd"/>
      <w:r w:rsidRPr="00936776">
        <w:rPr>
          <w:color w:val="000000"/>
          <w:sz w:val="16"/>
        </w:rPr>
        <w:t xml:space="preserve"> </w:t>
      </w:r>
      <w:proofErr w:type="spellStart"/>
      <w:r w:rsidRPr="00936776">
        <w:rPr>
          <w:color w:val="000000"/>
          <w:sz w:val="16"/>
        </w:rPr>
        <w:t>analysis</w:t>
      </w:r>
      <w:proofErr w:type="spellEnd"/>
      <w:r w:rsidRPr="00936776">
        <w:rPr>
          <w:color w:val="000000"/>
          <w:sz w:val="16"/>
        </w:rPr>
        <w:t xml:space="preserve"> of </w:t>
      </w:r>
      <w:proofErr w:type="spellStart"/>
      <w:r w:rsidRPr="00936776">
        <w:rPr>
          <w:color w:val="000000"/>
          <w:sz w:val="16"/>
        </w:rPr>
        <w:t>nonlinearities</w:t>
      </w:r>
      <w:proofErr w:type="spellEnd"/>
      <w:r w:rsidRPr="00936776">
        <w:rPr>
          <w:color w:val="000000"/>
          <w:sz w:val="16"/>
        </w:rPr>
        <w:t xml:space="preserve">”, </w:t>
      </w:r>
      <w:r w:rsidRPr="00936776">
        <w:rPr>
          <w:i/>
          <w:color w:val="000000"/>
          <w:sz w:val="16"/>
        </w:rPr>
        <w:t xml:space="preserve">Applied </w:t>
      </w:r>
      <w:proofErr w:type="spellStart"/>
      <w:r w:rsidRPr="00936776">
        <w:rPr>
          <w:i/>
          <w:color w:val="000000"/>
          <w:sz w:val="16"/>
        </w:rPr>
        <w:t>Economic</w:t>
      </w:r>
      <w:proofErr w:type="spellEnd"/>
      <w:r w:rsidRPr="00936776">
        <w:rPr>
          <w:i/>
          <w:color w:val="000000"/>
          <w:sz w:val="16"/>
        </w:rPr>
        <w:t xml:space="preserve"> Analysis</w:t>
      </w:r>
      <w:r w:rsidRPr="00936776">
        <w:rPr>
          <w:color w:val="000000"/>
          <w:sz w:val="16"/>
        </w:rPr>
        <w:t xml:space="preserve">, t. 27, nr 79, 2019, s. 21–45, </w:t>
      </w:r>
      <w:hyperlink r:id="rId18" w:history="1">
        <w:r w:rsidRPr="00936776">
          <w:rPr>
            <w:rStyle w:val="Hyperlink"/>
            <w:sz w:val="16"/>
          </w:rPr>
          <w:t>https://doi.org/10.1108/AEA-06-2019-0005</w:t>
        </w:r>
      </w:hyperlink>
      <w:r w:rsidRPr="00936776">
        <w:rPr>
          <w:color w:val="000000"/>
          <w:sz w:val="16"/>
        </w:rPr>
        <w:t>.</w:t>
      </w:r>
    </w:p>
  </w:footnote>
  <w:footnote w:id="25">
    <w:p w14:paraId="6BE1066E" w14:textId="0B27EF4D" w:rsidR="00F7737B" w:rsidRPr="00936776" w:rsidRDefault="00F7737B" w:rsidP="002D0B87">
      <w:pPr>
        <w:pStyle w:val="FootnoteText"/>
        <w:keepLines w:val="0"/>
        <w:suppressAutoHyphens/>
      </w:pPr>
      <w:r w:rsidRPr="00936776">
        <w:rPr>
          <w:rStyle w:val="FootnoteReference"/>
        </w:rPr>
        <w:footnoteRef/>
      </w:r>
      <w:r w:rsidRPr="00936776">
        <w:tab/>
      </w:r>
      <w:hyperlink r:id="rId19" w:history="1">
        <w:r w:rsidRPr="00936776">
          <w:rPr>
            <w:rStyle w:val="Hyperlink"/>
          </w:rPr>
          <w:t xml:space="preserve">Going for Growth 2019 </w:t>
        </w:r>
        <w:proofErr w:type="spellStart"/>
        <w:r w:rsidRPr="00936776">
          <w:rPr>
            <w:rStyle w:val="Hyperlink"/>
          </w:rPr>
          <w:t>Executive</w:t>
        </w:r>
        <w:proofErr w:type="spellEnd"/>
        <w:r w:rsidRPr="00936776">
          <w:rPr>
            <w:rStyle w:val="Hyperlink"/>
          </w:rPr>
          <w:t xml:space="preserve"> </w:t>
        </w:r>
        <w:proofErr w:type="spellStart"/>
        <w:r w:rsidRPr="00936776">
          <w:rPr>
            <w:rStyle w:val="Hyperlink"/>
          </w:rPr>
          <w:t>Summary</w:t>
        </w:r>
        <w:proofErr w:type="spellEnd"/>
      </w:hyperlink>
      <w:r w:rsidRPr="0093677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2FD0" w14:textId="77777777" w:rsidR="00936776" w:rsidRPr="00936776" w:rsidRDefault="00936776" w:rsidP="00936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A415" w14:textId="77777777" w:rsidR="00936776" w:rsidRPr="00936776" w:rsidRDefault="00936776" w:rsidP="00936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4984" w14:textId="77777777" w:rsidR="00936776" w:rsidRPr="00936776" w:rsidRDefault="00936776" w:rsidP="009367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EF8E" w14:textId="77777777" w:rsidR="003147E6" w:rsidRPr="00936776" w:rsidRDefault="003147E6" w:rsidP="009367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EA13" w14:textId="13FEC543" w:rsidR="003147E6" w:rsidRPr="00936776" w:rsidRDefault="003147E6" w:rsidP="0093677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4580" w14:textId="77777777" w:rsidR="003147E6" w:rsidRPr="00936776" w:rsidRDefault="003147E6" w:rsidP="00936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AF7CBE"/>
    <w:multiLevelType w:val="multilevel"/>
    <w:tmpl w:val="CD666E9E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3EA2208C"/>
    <w:multiLevelType w:val="multilevel"/>
    <w:tmpl w:val="C958D2B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465C79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376F9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622E5844"/>
    <w:multiLevelType w:val="multilevel"/>
    <w:tmpl w:val="047E8D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EB48F1"/>
    <w:multiLevelType w:val="multilevel"/>
    <w:tmpl w:val="2D94F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A6"/>
    <w:rsid w:val="000403E1"/>
    <w:rsid w:val="000572D1"/>
    <w:rsid w:val="00077AD7"/>
    <w:rsid w:val="00086F0E"/>
    <w:rsid w:val="00092EB7"/>
    <w:rsid w:val="000B13EF"/>
    <w:rsid w:val="000B7BF9"/>
    <w:rsid w:val="000C193B"/>
    <w:rsid w:val="000C4D18"/>
    <w:rsid w:val="000D0F01"/>
    <w:rsid w:val="000D1C00"/>
    <w:rsid w:val="000F1D3E"/>
    <w:rsid w:val="00101D53"/>
    <w:rsid w:val="001022A3"/>
    <w:rsid w:val="00104181"/>
    <w:rsid w:val="001152DB"/>
    <w:rsid w:val="00116A69"/>
    <w:rsid w:val="001679B2"/>
    <w:rsid w:val="001715BF"/>
    <w:rsid w:val="001734BE"/>
    <w:rsid w:val="00175A02"/>
    <w:rsid w:val="00191025"/>
    <w:rsid w:val="001A5CE9"/>
    <w:rsid w:val="001B4AAD"/>
    <w:rsid w:val="001B5A4B"/>
    <w:rsid w:val="001C729F"/>
    <w:rsid w:val="001C7885"/>
    <w:rsid w:val="001D234A"/>
    <w:rsid w:val="00205308"/>
    <w:rsid w:val="00212609"/>
    <w:rsid w:val="0025346A"/>
    <w:rsid w:val="00260FF1"/>
    <w:rsid w:val="002625CE"/>
    <w:rsid w:val="00272CFD"/>
    <w:rsid w:val="00292C7E"/>
    <w:rsid w:val="00293307"/>
    <w:rsid w:val="002A04CB"/>
    <w:rsid w:val="002B1B99"/>
    <w:rsid w:val="002B2CE7"/>
    <w:rsid w:val="002C52F2"/>
    <w:rsid w:val="002C77C0"/>
    <w:rsid w:val="002D0B87"/>
    <w:rsid w:val="002D79A6"/>
    <w:rsid w:val="002E0ACE"/>
    <w:rsid w:val="002E4E2F"/>
    <w:rsid w:val="002E7A2D"/>
    <w:rsid w:val="002F3ECC"/>
    <w:rsid w:val="002F6B78"/>
    <w:rsid w:val="003147E6"/>
    <w:rsid w:val="00327157"/>
    <w:rsid w:val="003302CE"/>
    <w:rsid w:val="00336632"/>
    <w:rsid w:val="003633C0"/>
    <w:rsid w:val="003670EC"/>
    <w:rsid w:val="00370B8B"/>
    <w:rsid w:val="00380D0C"/>
    <w:rsid w:val="00391085"/>
    <w:rsid w:val="003B1641"/>
    <w:rsid w:val="003B53BF"/>
    <w:rsid w:val="003C0B8F"/>
    <w:rsid w:val="003E284C"/>
    <w:rsid w:val="004048EA"/>
    <w:rsid w:val="004137AA"/>
    <w:rsid w:val="00433110"/>
    <w:rsid w:val="00466134"/>
    <w:rsid w:val="00476975"/>
    <w:rsid w:val="00480A0E"/>
    <w:rsid w:val="004825D3"/>
    <w:rsid w:val="0048737E"/>
    <w:rsid w:val="004915E5"/>
    <w:rsid w:val="004B6D2E"/>
    <w:rsid w:val="004C62AF"/>
    <w:rsid w:val="004D00A7"/>
    <w:rsid w:val="004E761F"/>
    <w:rsid w:val="004F09B7"/>
    <w:rsid w:val="004F1806"/>
    <w:rsid w:val="004F4977"/>
    <w:rsid w:val="0050678A"/>
    <w:rsid w:val="00510359"/>
    <w:rsid w:val="0051244D"/>
    <w:rsid w:val="00530A70"/>
    <w:rsid w:val="00536238"/>
    <w:rsid w:val="00540EBE"/>
    <w:rsid w:val="00544E79"/>
    <w:rsid w:val="00555D72"/>
    <w:rsid w:val="00556C2C"/>
    <w:rsid w:val="00560787"/>
    <w:rsid w:val="00571CDB"/>
    <w:rsid w:val="00585A37"/>
    <w:rsid w:val="00593441"/>
    <w:rsid w:val="00593834"/>
    <w:rsid w:val="005A77AD"/>
    <w:rsid w:val="005C5F33"/>
    <w:rsid w:val="005D0DC7"/>
    <w:rsid w:val="005E1A57"/>
    <w:rsid w:val="005E62E7"/>
    <w:rsid w:val="005F3E1E"/>
    <w:rsid w:val="005F4F97"/>
    <w:rsid w:val="00616913"/>
    <w:rsid w:val="00622C27"/>
    <w:rsid w:val="006277D0"/>
    <w:rsid w:val="00631E02"/>
    <w:rsid w:val="00636E0C"/>
    <w:rsid w:val="00640FCE"/>
    <w:rsid w:val="00641B60"/>
    <w:rsid w:val="006521F3"/>
    <w:rsid w:val="00652C46"/>
    <w:rsid w:val="00654B23"/>
    <w:rsid w:val="00671F27"/>
    <w:rsid w:val="00681775"/>
    <w:rsid w:val="006933FD"/>
    <w:rsid w:val="006B02FE"/>
    <w:rsid w:val="006B73EB"/>
    <w:rsid w:val="006D340A"/>
    <w:rsid w:val="006D617C"/>
    <w:rsid w:val="007067AC"/>
    <w:rsid w:val="00715D9B"/>
    <w:rsid w:val="007213B6"/>
    <w:rsid w:val="00730707"/>
    <w:rsid w:val="007520E0"/>
    <w:rsid w:val="00762E67"/>
    <w:rsid w:val="00766D82"/>
    <w:rsid w:val="007732D0"/>
    <w:rsid w:val="007739FC"/>
    <w:rsid w:val="00775114"/>
    <w:rsid w:val="00776E1D"/>
    <w:rsid w:val="00777D6E"/>
    <w:rsid w:val="00783950"/>
    <w:rsid w:val="007967C9"/>
    <w:rsid w:val="007B097D"/>
    <w:rsid w:val="007B0D1E"/>
    <w:rsid w:val="007B1FDF"/>
    <w:rsid w:val="007C4569"/>
    <w:rsid w:val="007D06BC"/>
    <w:rsid w:val="007E1BC3"/>
    <w:rsid w:val="007E5278"/>
    <w:rsid w:val="008022B5"/>
    <w:rsid w:val="00822E03"/>
    <w:rsid w:val="00842629"/>
    <w:rsid w:val="008739D2"/>
    <w:rsid w:val="008A0914"/>
    <w:rsid w:val="008A1356"/>
    <w:rsid w:val="008A32BE"/>
    <w:rsid w:val="008A3A0C"/>
    <w:rsid w:val="008A5463"/>
    <w:rsid w:val="008B5667"/>
    <w:rsid w:val="008C7B59"/>
    <w:rsid w:val="008D3A55"/>
    <w:rsid w:val="008D4A92"/>
    <w:rsid w:val="009013E1"/>
    <w:rsid w:val="0092342D"/>
    <w:rsid w:val="00933D00"/>
    <w:rsid w:val="00936776"/>
    <w:rsid w:val="00965221"/>
    <w:rsid w:val="009772FB"/>
    <w:rsid w:val="009847B0"/>
    <w:rsid w:val="009915F7"/>
    <w:rsid w:val="00993C1C"/>
    <w:rsid w:val="0099506C"/>
    <w:rsid w:val="009A3F2D"/>
    <w:rsid w:val="009C0300"/>
    <w:rsid w:val="009D4448"/>
    <w:rsid w:val="009E45A7"/>
    <w:rsid w:val="009E475C"/>
    <w:rsid w:val="009E6E70"/>
    <w:rsid w:val="009F42A8"/>
    <w:rsid w:val="009F4693"/>
    <w:rsid w:val="009F5C16"/>
    <w:rsid w:val="00A0146C"/>
    <w:rsid w:val="00A02530"/>
    <w:rsid w:val="00A10CFA"/>
    <w:rsid w:val="00A11B9C"/>
    <w:rsid w:val="00A47B30"/>
    <w:rsid w:val="00A86CDF"/>
    <w:rsid w:val="00A949DE"/>
    <w:rsid w:val="00A95568"/>
    <w:rsid w:val="00A96ADC"/>
    <w:rsid w:val="00A9742B"/>
    <w:rsid w:val="00AB1E91"/>
    <w:rsid w:val="00AD5A03"/>
    <w:rsid w:val="00AD66AF"/>
    <w:rsid w:val="00AD6E75"/>
    <w:rsid w:val="00AE08C6"/>
    <w:rsid w:val="00AF31DE"/>
    <w:rsid w:val="00AF5487"/>
    <w:rsid w:val="00B153AB"/>
    <w:rsid w:val="00B20CFE"/>
    <w:rsid w:val="00B21173"/>
    <w:rsid w:val="00B34CE8"/>
    <w:rsid w:val="00B368DB"/>
    <w:rsid w:val="00B42778"/>
    <w:rsid w:val="00B45C6C"/>
    <w:rsid w:val="00B53432"/>
    <w:rsid w:val="00B55DAB"/>
    <w:rsid w:val="00B56922"/>
    <w:rsid w:val="00B62DF7"/>
    <w:rsid w:val="00B948EE"/>
    <w:rsid w:val="00BA412D"/>
    <w:rsid w:val="00BB5554"/>
    <w:rsid w:val="00BE01EB"/>
    <w:rsid w:val="00C00938"/>
    <w:rsid w:val="00C02F3F"/>
    <w:rsid w:val="00C0491A"/>
    <w:rsid w:val="00C1698C"/>
    <w:rsid w:val="00C262F6"/>
    <w:rsid w:val="00C265AF"/>
    <w:rsid w:val="00C26962"/>
    <w:rsid w:val="00C33576"/>
    <w:rsid w:val="00C34285"/>
    <w:rsid w:val="00C425D1"/>
    <w:rsid w:val="00C47CD3"/>
    <w:rsid w:val="00C63B1A"/>
    <w:rsid w:val="00C70897"/>
    <w:rsid w:val="00C826C9"/>
    <w:rsid w:val="00C83450"/>
    <w:rsid w:val="00C87E54"/>
    <w:rsid w:val="00C9531D"/>
    <w:rsid w:val="00CA1ED5"/>
    <w:rsid w:val="00CD06CC"/>
    <w:rsid w:val="00CE68E7"/>
    <w:rsid w:val="00CF166F"/>
    <w:rsid w:val="00D02E2A"/>
    <w:rsid w:val="00D076B2"/>
    <w:rsid w:val="00D11487"/>
    <w:rsid w:val="00D33685"/>
    <w:rsid w:val="00D3748E"/>
    <w:rsid w:val="00D45BD0"/>
    <w:rsid w:val="00D45E56"/>
    <w:rsid w:val="00D4649B"/>
    <w:rsid w:val="00D75C44"/>
    <w:rsid w:val="00D81E15"/>
    <w:rsid w:val="00D9040C"/>
    <w:rsid w:val="00DA32E5"/>
    <w:rsid w:val="00DA6D76"/>
    <w:rsid w:val="00DB44FB"/>
    <w:rsid w:val="00DC1C85"/>
    <w:rsid w:val="00DC4437"/>
    <w:rsid w:val="00DD61A8"/>
    <w:rsid w:val="00DE7584"/>
    <w:rsid w:val="00E06CB3"/>
    <w:rsid w:val="00E1222B"/>
    <w:rsid w:val="00E13650"/>
    <w:rsid w:val="00E258D7"/>
    <w:rsid w:val="00E2631D"/>
    <w:rsid w:val="00E30656"/>
    <w:rsid w:val="00E43726"/>
    <w:rsid w:val="00E45FC4"/>
    <w:rsid w:val="00E505CC"/>
    <w:rsid w:val="00E57D4D"/>
    <w:rsid w:val="00E60901"/>
    <w:rsid w:val="00E72094"/>
    <w:rsid w:val="00E73B09"/>
    <w:rsid w:val="00E914A0"/>
    <w:rsid w:val="00E93E26"/>
    <w:rsid w:val="00EB0DD0"/>
    <w:rsid w:val="00EC79B0"/>
    <w:rsid w:val="00EE1325"/>
    <w:rsid w:val="00EE2E49"/>
    <w:rsid w:val="00EE55E7"/>
    <w:rsid w:val="00EF103A"/>
    <w:rsid w:val="00F003CA"/>
    <w:rsid w:val="00F26C19"/>
    <w:rsid w:val="00F3021C"/>
    <w:rsid w:val="00F40E04"/>
    <w:rsid w:val="00F54565"/>
    <w:rsid w:val="00F55196"/>
    <w:rsid w:val="00F57239"/>
    <w:rsid w:val="00F607DE"/>
    <w:rsid w:val="00F7737B"/>
    <w:rsid w:val="00F811E3"/>
    <w:rsid w:val="00F851A2"/>
    <w:rsid w:val="00F91153"/>
    <w:rsid w:val="00FB2C5E"/>
    <w:rsid w:val="00FB717E"/>
    <w:rsid w:val="00FC12F4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8716C"/>
  <w15:docId w15:val="{7E5FF436-9C38-3C4E-A5D0-E5C84449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GB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DE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31DE"/>
    <w:pPr>
      <w:numPr>
        <w:numId w:val="13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F31DE"/>
    <w:pPr>
      <w:numPr>
        <w:ilvl w:val="1"/>
        <w:numId w:val="13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F31DE"/>
    <w:pPr>
      <w:numPr>
        <w:ilvl w:val="2"/>
        <w:numId w:val="13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F31DE"/>
    <w:pPr>
      <w:numPr>
        <w:ilvl w:val="3"/>
        <w:numId w:val="13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F31DE"/>
    <w:pPr>
      <w:numPr>
        <w:ilvl w:val="4"/>
        <w:numId w:val="13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F31DE"/>
    <w:pPr>
      <w:numPr>
        <w:ilvl w:val="5"/>
        <w:numId w:val="13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F31DE"/>
    <w:pPr>
      <w:numPr>
        <w:ilvl w:val="6"/>
        <w:numId w:val="13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F31DE"/>
    <w:pPr>
      <w:numPr>
        <w:ilvl w:val="7"/>
        <w:numId w:val="13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F31DE"/>
    <w:pPr>
      <w:numPr>
        <w:ilvl w:val="8"/>
        <w:numId w:val="13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val="pl-PL" w:eastAsia="en-US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val="pl-PL" w:eastAsia="en-US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val="pl-PL" w:eastAsia="en-US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val="pl-PL" w:eastAsia="en-US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val="pl-PL" w:eastAsia="en-US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val="pl-PL" w:eastAsia="en-US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val="pl-PL" w:eastAsia="en-US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val="pl-PL" w:eastAsia="en-US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val="pl-PL" w:eastAsia="en-US"/>
    </w:rPr>
  </w:style>
  <w:style w:type="paragraph" w:styleId="Footer">
    <w:name w:val="footer"/>
    <w:basedOn w:val="Normal"/>
    <w:link w:val="FooterChar"/>
    <w:qFormat/>
    <w:rsid w:val="00AF31DE"/>
  </w:style>
  <w:style w:type="character" w:customStyle="1" w:styleId="FooterChar">
    <w:name w:val="Footer Char"/>
    <w:basedOn w:val="DefaultParagraphFont"/>
    <w:link w:val="Footer"/>
    <w:locked/>
    <w:rsid w:val="00CB1536"/>
    <w:rPr>
      <w:lang w:val="pl-PL" w:eastAsia="en-US"/>
    </w:rPr>
  </w:style>
  <w:style w:type="paragraph" w:styleId="FootnoteText">
    <w:name w:val="footnote text"/>
    <w:basedOn w:val="Normal"/>
    <w:link w:val="FootnoteTextChar"/>
    <w:qFormat/>
    <w:rsid w:val="00AF31DE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val="pl-PL" w:eastAsia="en-US"/>
    </w:rPr>
  </w:style>
  <w:style w:type="paragraph" w:styleId="Header">
    <w:name w:val="header"/>
    <w:basedOn w:val="Normal"/>
    <w:link w:val="HeaderChar"/>
    <w:qFormat/>
    <w:rsid w:val="00AF31DE"/>
  </w:style>
  <w:style w:type="character" w:customStyle="1" w:styleId="HeaderChar">
    <w:name w:val="Header Char"/>
    <w:basedOn w:val="DefaultParagraphFont"/>
    <w:link w:val="Header"/>
    <w:locked/>
    <w:rsid w:val="00CB1536"/>
    <w:rPr>
      <w:lang w:val="pl-PL" w:eastAsia="en-US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F31D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character" w:styleId="UnresolvedMention">
    <w:name w:val="Unresolved Mention"/>
    <w:basedOn w:val="DefaultParagraphFont"/>
    <w:uiPriority w:val="99"/>
    <w:semiHidden/>
    <w:unhideWhenUsed/>
    <w:rsid w:val="00C834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93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8737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37E"/>
    <w:rPr>
      <w:sz w:val="20"/>
      <w:szCs w:val="20"/>
      <w:lang w:val="pl-PL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8737E"/>
    <w:rPr>
      <w:vertAlign w:val="superscript"/>
    </w:rPr>
  </w:style>
  <w:style w:type="table" w:styleId="TableGrid">
    <w:name w:val="Table Grid"/>
    <w:basedOn w:val="TableNormal"/>
    <w:uiPriority w:val="39"/>
    <w:rsid w:val="00D45B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mailto:soc@eesc.europa.eu" TargetMode="Externa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PL/TXT/?uri=OJ%3AJOC_2016_484_R_0001." TargetMode="External"/><Relationship Id="rId31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edefop.europa.eu/pl/themes/matching-skills-and-jobs" TargetMode="External"/><Relationship Id="rId13" Type="http://schemas.openxmlformats.org/officeDocument/2006/relationships/hyperlink" Target="https://ec.europa.eu/eurostat/databrowser/view/EARN_SES18_23/default/table?lang=en" TargetMode="External"/><Relationship Id="rId18" Type="http://schemas.openxmlformats.org/officeDocument/2006/relationships/hyperlink" Target="https://doi.org/10.1108/AEA-06-2019-0005" TargetMode="External"/><Relationship Id="rId3" Type="http://schemas.openxmlformats.org/officeDocument/2006/relationships/hyperlink" Target="https://ec.europa.eu/social/main.jsp?catId=1223&amp;langId=pl" TargetMode="External"/><Relationship Id="rId7" Type="http://schemas.openxmlformats.org/officeDocument/2006/relationships/hyperlink" Target="https://www.cedefop.europa.eu/pl/publications/3075" TargetMode="External"/><Relationship Id="rId12" Type="http://schemas.openxmlformats.org/officeDocument/2006/relationships/hyperlink" Target="https://ec.europa.eu/eurostat/databrowser/view/EARN_SES18_20__custom_7099054/default/table?lang=en" TargetMode="External"/><Relationship Id="rId17" Type="http://schemas.openxmlformats.org/officeDocument/2006/relationships/hyperlink" Target="https://docs.iza.org/dp9043.pdf" TargetMode="External"/><Relationship Id="rId2" Type="http://schemas.openxmlformats.org/officeDocument/2006/relationships/hyperlink" Target="https://eur-lex.europa.eu/LexUriServ/LexUriServ.do?uri=OJ:C:2022:486:SOM:pl:HTML" TargetMode="External"/><Relationship Id="rId16" Type="http://schemas.openxmlformats.org/officeDocument/2006/relationships/hyperlink" Target="https://www.oecd.org/wise/does-inequality-matter-3023ed40-en.htm" TargetMode="External"/><Relationship Id="rId1" Type="http://schemas.openxmlformats.org/officeDocument/2006/relationships/hyperlink" Target="https://eur-lex.europa.eu/LexUriServ/LexUriServ.do?uri=OJ:C:2022:323:SOM:pl:HTML" TargetMode="External"/><Relationship Id="rId6" Type="http://schemas.openxmlformats.org/officeDocument/2006/relationships/hyperlink" Target="https://ec.europa.eu/eurostat/databrowser/view/EARN_SES18_30/default/table?lang=en" TargetMode="External"/><Relationship Id="rId11" Type="http://schemas.openxmlformats.org/officeDocument/2006/relationships/hyperlink" Target="https://lllplatform.eu/news/briefing-paper-community-lifelong-learning-centres/" TargetMode="External"/><Relationship Id="rId5" Type="http://schemas.openxmlformats.org/officeDocument/2006/relationships/hyperlink" Target="https://ec.europa.eu/eurostat/databrowser/view/TRNG_CVT_16S/default/table?lang=en" TargetMode="External"/><Relationship Id="rId15" Type="http://schemas.openxmlformats.org/officeDocument/2006/relationships/hyperlink" Target="https://www.eesc.europa.eu/pl/news-media/press-releases/skills-mismatches-eu-businesses-are-losing-millions-and-will-be-losing-even-more" TargetMode="External"/><Relationship Id="rId10" Type="http://schemas.openxmlformats.org/officeDocument/2006/relationships/hyperlink" Target="https://eur-lex.europa.eu/LexUriServ/LexUriServ.do?uri=OJ:C:2021:504:SOM:PL:HTML" TargetMode="External"/><Relationship Id="rId19" Type="http://schemas.openxmlformats.org/officeDocument/2006/relationships/hyperlink" Target="https://issuu.com/oecd.publishing/docs/gfg_es_brochure_ws" TargetMode="External"/><Relationship Id="rId4" Type="http://schemas.openxmlformats.org/officeDocument/2006/relationships/hyperlink" Target="https://eur-lex.europa.eu/legal-content/PL/TXT/?qid=1694337870450&amp;uri=CELEX%3A52016DC0381" TargetMode="External"/><Relationship Id="rId9" Type="http://schemas.openxmlformats.org/officeDocument/2006/relationships/hyperlink" Target="https://ec.europa.eu/eurostat/databrowser/view/EARN_SES18_23/default/table?lang=en" TargetMode="External"/><Relationship Id="rId14" Type="http://schemas.openxmlformats.org/officeDocument/2006/relationships/hyperlink" Target="https://ec.europa.eu/eurostat/databrowser/view/EDAT_LFS_9913__custom_6585685/default/table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XMKEDVFMMJCW-1587818345-11258</_dlc_DocId>
    <_dlc_DocIdUrl xmlns="56a5413d-c261-4a00-870c-a20d3379ae6d">
      <Url>http://dm/eesc/2023/_layouts/15/DocIdRedir.aspx?ID=XMKEDVFMMJCW-1587818345-11258</Url>
      <Description>XMKEDVFMMJCW-1587818345-11258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2023-10-09T12:00:00+00:00</ProductionDate>
    <DocumentNumber xmlns="5e8f28df-38cd-4f6e-b090-faa878e96575">1972</DocumentNumber>
    <FicheYear xmlns="56a5413d-c261-4a00-870c-a20d3379ae6d" xsi:nil="true"/>
    <DossierNumber xmlns="56a5413d-c261-4a00-870c-a20d3379ae6d">769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6a5413d-c261-4a00-870c-a20d3379ae6d">2023-10-25T12:00:00+00:00</MeetingDate>
    <TaxCatchAll xmlns="56a5413d-c261-4a00-870c-a20d3379ae6d">
      <Value>132</Value>
      <Value>59</Value>
      <Value>49</Value>
      <Value>47</Value>
      <Value>46</Value>
      <Value>45</Value>
      <Value>44</Value>
      <Value>43</Value>
      <Value>42</Value>
      <Value>41</Value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Rapporteur xmlns="56a5413d-c261-4a00-870c-a20d3379ae6d">ROMELE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6a5413d-c261-4a00-870c-a20d3379ae6d">2023</DocumentYear>
    <FicheNumber xmlns="56a5413d-c261-4a00-870c-a20d3379ae6d">8546</FicheNumber>
    <OriginalSender xmlns="56a5413d-c261-4a00-870c-a20d3379ae6d">
      <UserInfo>
        <DisplayName>Wisniewska Malgorzata</DisplayName>
        <AccountId>1665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Emploi, affaires sociales, citoyenneté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5e8f28df-38cd-4f6e-b090-faa878e96575">582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6a5413d-c261-4a00-870c-a20d3379ae6d">0</DocumentVersion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B0B8D40B797884EA0DC4175FDD89B23" ma:contentTypeVersion="6" ma:contentTypeDescription="Defines the documents for Document Manager V2" ma:contentTypeScope="" ma:versionID="3bab42cb3fd862bf32970f12e4f09b6f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5e8f28df-38cd-4f6e-b090-faa878e96575" targetNamespace="http://schemas.microsoft.com/office/2006/metadata/properties" ma:root="true" ma:fieldsID="e0275e36629fc8936d82a9e7d2462530" ns2:_="" ns3:_="" ns4:_="">
    <xsd:import namespace="56a5413d-c261-4a00-870c-a20d3379ae6d"/>
    <xsd:import namespace="http://schemas.microsoft.com/sharepoint/v3/fields"/>
    <xsd:import namespace="5e8f28df-38cd-4f6e-b090-faa878e965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28df-38cd-4f6e-b090-faa878e96575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9DA71-4F01-4314-BDAF-12475EF3714A}"/>
</file>

<file path=customXml/itemProps2.xml><?xml version="1.0" encoding="utf-8"?>
<ds:datastoreItem xmlns:ds="http://schemas.openxmlformats.org/officeDocument/2006/customXml" ds:itemID="{B515156C-46FD-47E9-B81A-B797A46CE4D4}"/>
</file>

<file path=customXml/itemProps3.xml><?xml version="1.0" encoding="utf-8"?>
<ds:datastoreItem xmlns:ds="http://schemas.openxmlformats.org/officeDocument/2006/customXml" ds:itemID="{B0EEB1FB-27E3-40D7-8142-58E3B2BC297C}"/>
</file>

<file path=customXml/itemProps4.xml><?xml version="1.0" encoding="utf-8"?>
<ds:datastoreItem xmlns:ds="http://schemas.openxmlformats.org/officeDocument/2006/customXml" ds:itemID="{DA47572A-A731-4137-A676-94220FFA8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impact of education on wages and labour productivity</vt:lpstr>
    </vt:vector>
  </TitlesOfParts>
  <Company/>
  <LinksUpToDate>false</LinksUpToDate>
  <CharactersWithSpaces>27881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Wpływ edukacji na wynagrodzenia i wydajność pracy</dc:title>
  <dc:subject>AS</dc:subject>
  <dc:creator/>
  <cp:keywords>EESC-2023-01972-00-00-AS-TRA-EN</cp:keywords>
  <dc:description>Rapporteur: ROMELE - Original language: EN - Date of document: 09 10 2023 - Date of meeting: 30 25 2023 14:30 - External documents:  - Administrator:  BORG Sabrina</dc:description>
  <cp:lastModifiedBy/>
  <cp:revision>16</cp:revision>
  <dcterms:created xsi:type="dcterms:W3CDTF">2023-10-04T15:30:00Z</dcterms:created>
  <dcterms:modified xsi:type="dcterms:W3CDTF">2023-10-09T06:44:00Z</dcterms:modified>
  <cp:category>SOC/769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04/10/2023, 20/09/2023, 11/09/2023, 30/06/2023, 27/06/2023, 26/05/2023, 24/03/2023, 17/05/2022, 04/11/2015, 27/10/2015, 19/10/2015, 09/10/2015, 05/10/2015, 05/10/2015, 26/08/2015, 26/08/2015, 25/08/2015</vt:lpwstr>
  </property>
  <property fmtid="{D5CDD505-2E9C-101B-9397-08002B2CF9AE}" pid="4" name="Pref_Time">
    <vt:lpwstr>17:25:08, 15:44:48, 15:02:58, 15:05:16, 17:25:29, 11:19:58, 17:10:38, 12:59:17, 12/10/07, 14:44:02, 16/04/16, 14:09:30, 16:24:55, 16:04:02, 08:56:14, 07:27:56, 17:31:53</vt:lpwstr>
  </property>
  <property fmtid="{D5CDD505-2E9C-101B-9397-08002B2CF9AE}" pid="5" name="Pref_User">
    <vt:lpwstr>pacup, amett, amett, pacup, pacup, pacup, amett, enied, ssex, enied, amett, tvoc, mreg, mreg, amett, enied, ssex</vt:lpwstr>
  </property>
  <property fmtid="{D5CDD505-2E9C-101B-9397-08002B2CF9AE}" pid="6" name="Pref_FileName">
    <vt:lpwstr>EESC-2023-01972-00-00-AS-TRA-EN-CRR.docx, EESC-2023-01972-00-01-PA-ORI.docx, EESC-2023-01972-00-00-PA-ORI.docx, EESC-2023-01972-00-01-APA-TRA.docx, EESC-2023-01972-00-00-APA-TRA.docx, EESC-2023-01972-00-00-DT-TRA.docx, EESC-2023-00732-00-00-DT-TRA-FR-CRR.</vt:lpwstr>
  </property>
  <property fmtid="{D5CDD505-2E9C-101B-9397-08002B2CF9AE}" pid="7" name="ContentTypeId">
    <vt:lpwstr>0x010100EA97B91038054C99906057A708A1480A002B0B8D40B797884EA0DC4175FDD89B23</vt:lpwstr>
  </property>
  <property fmtid="{D5CDD505-2E9C-101B-9397-08002B2CF9AE}" pid="8" name="_dlc_DocIdItemGuid">
    <vt:lpwstr>baab6763-cb78-4476-8c8f-1c1a0379e470</vt:lpwstr>
  </property>
  <property fmtid="{D5CDD505-2E9C-101B-9397-08002B2CF9AE}" pid="9" name="AvailableTranslations">
    <vt:lpwstr>45;#ET|ff6c3f4c-b02c-4c3c-ab07-2c37995a7a0a;#46;#HR|2f555653-ed1a-4fe6-8362-9082d95989e5;#39;#LT|a7ff5ce7-6123-4f68-865a-a57c31810414;#38;#EL|6d4f4d51-af9b-4650-94b4-4276bee85c91;#25;#ES|e7a6b05b-ae16-40c8-add9-68b64b03aeba;#24;#PL|1e03da61-4678-4e07-b136-b5024ca9197b;#49;#GA|762d2456-c427-4ecb-b312-af3dad8e258c;#16;#DE|f6b31e5a-26fa-4935-b661-318e46daf27e;#43;#DA|5d49c027-8956-412b-aa16-e85a0f96ad0e;#34;#SK|46d9fce0-ef79-4f71-b89b-cd6aa82426b8;#32;#PT|50ccc04a-eadd-42ae-a0cb-acaf45f812ba;#41;#HU|6b229040-c589-4408-b4c1-4285663d20a8;#37;#CS|72f9705b-0217-4fd3-bea2-cbc7ed80e26e;#10;#FR|d2afafd3-4c81-4f60-8f52-ee33f2f54ff3;#42;#FI|87606a43-d45f-42d6-b8c9-e1a3457db5b7;#35;#SL|98a412ae-eb01-49e9-ae3d-585a81724cfc;#36;#MT|7df99101-6854-4a26-b53a-b88c0da02c26;#21;#SV|c2ed69e7-a339-43d7-8f22-d93680a92aa0;#5;#EN|f2175f21-25d7-44a3-96da-d6a61b075e1b;#40;#RO|feb747a2-64cd-4299-af12-4833ddc30497;#31;#NL|55c6556c-b4f4-441d-9acf-c498d4f838bd;#33;#LV|46f7e311-5d9f-4663-b433-18aeccb7ace7;#44;#BG|1a1b3951-7821-4e6a-85f5-5673fc08bd2c;#30;#IT|0774613c-01ed-4e5d-a25d-11d2388de825</vt:lpwstr>
  </property>
  <property fmtid="{D5CDD505-2E9C-101B-9397-08002B2CF9AE}" pid="10" name="DocumentType_0">
    <vt:lpwstr>AS|c7a748eb-f6f2-4d9d-8b5a-af0cafebc224</vt:lpwstr>
  </property>
  <property fmtid="{D5CDD505-2E9C-101B-9397-08002B2CF9AE}" pid="11" name="MeetingNumber">
    <vt:i4>582</vt:i4>
  </property>
  <property fmtid="{D5CDD505-2E9C-101B-9397-08002B2CF9AE}" pid="12" name="DossierName_0">
    <vt:lpwstr>SOC|13795804-ecbd-4ce5-9693-9b8be1981b20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1972</vt:i4>
  </property>
  <property fmtid="{D5CDD505-2E9C-101B-9397-08002B2CF9AE}" pid="15" name="DocumentVersion">
    <vt:i4>0</vt:i4>
  </property>
  <property fmtid="{D5CDD505-2E9C-101B-9397-08002B2CF9AE}" pid="16" name="DossierNumber">
    <vt:i4>769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>47;#SOC|13795804-ecbd-4ce5-9693-9b8be1981b20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9;#Unrestricted|826e22d7-d029-4ec0-a450-0c28ff673572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59;#SPL-CES|32d8cb1f-c9ec-4365-95c7-8385a18618ac</vt:lpwstr>
  </property>
  <property fmtid="{D5CDD505-2E9C-101B-9397-08002B2CF9AE}" pid="25" name="MeetingDate">
    <vt:filetime>2023-10-25T12:00:00Z</vt:filetime>
  </property>
  <property fmtid="{D5CDD505-2E9C-101B-9397-08002B2CF9AE}" pid="26" name="AvailableTranslations_0">
    <vt:lpwstr>ES|e7a6b05b-ae16-40c8-add9-68b64b03aeba;GA|762d2456-c427-4ecb-b312-af3dad8e258c;SK|46d9fce0-ef79-4f71-b89b-cd6aa82426b8;SL|98a412ae-eb01-49e9-ae3d-585a81724cfc;SV|c2ed69e7-a339-43d7-8f22-d93680a92aa0;EN|f2175f21-25d7-44a3-96da-d6a61b075e1b;RO|feb747a2-64cd-4299-af12-4833ddc30497;IT|0774613c-01ed-4e5d-a25d-11d2388de825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35;#SL|98a412ae-eb01-49e9-ae3d-585a81724cfc;#34;#SK|46d9fce0-ef79-4f71-b89b-cd6aa82426b8;#40;#RO|feb747a2-64cd-4299-af12-4833ddc30497;#25;#ES|e7a6b05b-ae16-40c8-add9-68b64b03aeba;#59;#SPL-CES|32d8cb1f-c9ec-4365-95c7-8385a18618ac;#132;#AS|c7a748eb-f6f2-4d9d-8b5a-af0cafebc224;#21;#SV|c2ed69e7-a339-43d7-8f22-d93680a92aa0;#49;#GA|762d2456-c427-4ecb-b312-af3dad8e258c;#47;#SOC|13795804-ecbd-4ce5-9693-9b8be1981b20;#9;#Unrestricted|826e22d7-d029-4ec0-a450-0c28ff673572;#7;#Final|ea5e6674-7b27-4bac-b091-73adbb394efe;#5;#EN|f2175f21-25d7-44a3-96da-d6a61b075e1b;#3;#TRA|150d2a88-1431-44e6-a8ca-0bb753ab8672;#1;#EESC|422833ec-8d7e-4e65-8e4e-8bed07ffb729;#30;#IT|0774613c-01ed-4e5d-a25d-11d2388de825</vt:lpwstr>
  </property>
  <property fmtid="{D5CDD505-2E9C-101B-9397-08002B2CF9AE}" pid="30" name="Rapporteur">
    <vt:lpwstr>ROMELE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2023</vt:i4>
  </property>
  <property fmtid="{D5CDD505-2E9C-101B-9397-08002B2CF9AE}" pid="34" name="FicheNumber">
    <vt:i4>8546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8" name="DocumentType">
    <vt:lpwstr>132;#AS|c7a748eb-f6f2-4d9d-8b5a-af0cafebc224</vt:lpwstr>
  </property>
  <property fmtid="{D5CDD505-2E9C-101B-9397-08002B2CF9AE}" pid="39" name="DocumentLanguage">
    <vt:lpwstr>24;#PL|1e03da61-4678-4e07-b136-b5024ca9197b</vt:lpwstr>
  </property>
  <property fmtid="{D5CDD505-2E9C-101B-9397-08002B2CF9AE}" pid="40" name="_docset_NoMedatataSyncRequired">
    <vt:lpwstr>False</vt:lpwstr>
  </property>
  <property name="OP_sanitized" fmtid="{D5CDD505-2E9C-101B-9397-08002B2CF9AE}" pid="40">
    <vt:lpwstr>True</vt:lpwstr>
  </property>
</Properties>
</file>