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5229C8" w14:textId="1F06F527" w:rsidR="00563C84" w:rsidRPr="00C72A9B" w:rsidRDefault="009A5936" w:rsidP="0046504D">
      <w:pPr>
        <w:suppressAutoHyphens/>
        <w:overflowPunct/>
        <w:adjustRightInd/>
        <w:jc w:val="center"/>
        <w:textAlignment w:val="auto"/>
      </w:pPr>
      <w:r w:rsidRPr="00C72A9B">
        <w:rPr>
          <w:lang w:eastAsia="en-US" w:bidi="ar-SA"/>
        </w:rPr>
        <w:drawing>
          <wp:inline distT="0" distB="0" distL="0" distR="0" wp14:anchorId="6B48342B" wp14:editId="601F0FA7">
            <wp:extent cx="1792605" cy="1241425"/>
            <wp:effectExtent l="0" t="0" r="0" b="0"/>
            <wp:docPr id="5" name="Picture 5" title="EESCLogo_PL"/>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1">
                      <a:extLst>
                        <a:ext uri="{28A0092B-C50C-407E-A947-70E740481C1C}">
                          <a14:useLocalDpi xmlns:a14="http://schemas.microsoft.com/office/drawing/2010/main" val="0"/>
                        </a:ext>
                      </a:extLst>
                    </a:blip>
                    <a:stretch>
                      <a:fillRect/>
                    </a:stretch>
                  </pic:blipFill>
                  <pic:spPr>
                    <a:xfrm>
                      <a:off x="0" y="0"/>
                      <a:ext cx="1792605" cy="1241425"/>
                    </a:xfrm>
                    <a:prstGeom prst="rect">
                      <a:avLst/>
                    </a:prstGeom>
                  </pic:spPr>
                </pic:pic>
              </a:graphicData>
            </a:graphic>
          </wp:inline>
        </w:drawing>
      </w:r>
      <w:r w:rsidR="00DF2916" w:rsidRPr="00C72A9B">
        <w:rPr>
          <w:sz w:val="20"/>
          <w:lang w:eastAsia="en-US" w:bidi="ar-SA"/>
        </w:rPr>
        <mc:AlternateContent>
          <mc:Choice Requires="wps">
            <w:drawing>
              <wp:anchor distT="0" distB="0" distL="114300" distR="114300" simplePos="0" relativeHeight="251661824" behindDoc="1" locked="0" layoutInCell="0" allowOverlap="1" wp14:anchorId="31C3E31C" wp14:editId="68F79A34">
                <wp:simplePos x="0" y="0"/>
                <wp:positionH relativeFrom="page">
                  <wp:posOffset>6769100</wp:posOffset>
                </wp:positionH>
                <wp:positionV relativeFrom="page">
                  <wp:posOffset>10081260</wp:posOffset>
                </wp:positionV>
                <wp:extent cx="647700" cy="396240"/>
                <wp:effectExtent l="0" t="3810" r="3175" b="0"/>
                <wp:wrapNone/>
                <wp:docPr id="8"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D9D93" w14:textId="77777777" w:rsidR="00E552A3" w:rsidRPr="00C72A9B" w:rsidRDefault="00E552A3">
                            <w:pPr>
                              <w:jc w:val="center"/>
                              <w:rPr>
                                <w:rFonts w:ascii="Arial" w:hAnsi="Arial" w:cs="Arial"/>
                                <w:b/>
                                <w:bCs/>
                                <w:sz w:val="48"/>
                              </w:rPr>
                            </w:pPr>
                            <w:r w:rsidRPr="00C72A9B">
                              <w:rPr>
                                <w:rFonts w:ascii="Arial" w:hAnsi="Arial"/>
                                <w:b/>
                                <w:bCs/>
                                <w:sz w:val="48"/>
                              </w:rPr>
                              <w:t>PL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C3E31C" id="_x0000_t202" coordsize="21600,21600" o:spt="202" path="m,l,21600r21600,l21600,xe">
                <v:stroke joinstyle="miter"/>
                <v:path gradientshapeok="t" o:connecttype="rect"/>
              </v:shapetype>
              <v:shape id="Text Box 29" o:spid="_x0000_s1026" type="#_x0000_t202" style="position:absolute;left:0;text-align:left;margin-left:533pt;margin-top:793.8pt;width:51pt;height:31.2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6OntQIAALkFAAAOAAAAZHJzL2Uyb0RvYy54bWysVNtunDAQfa/Uf7D8TrjUyy4obJQsS1Up&#10;vUhJP8ALZrEKNrW9C2nVf+/Y7C3JS9WWB2R7xmcu53iub8auRXumNJciw+FVgBETpay42Gb462Ph&#10;LTDShoqKtlKwDD8xjW+Wb99cD33KItnItmIKAYjQ6dBnuDGmT31flw3rqL6SPRNgrKXqqIGt2vqV&#10;ogOgd60fBUHsD1JVvZIl0xpO88mIlw6/rllpPte1Zga1GYbcjPsr99/Yv7+8pulW0b7h5SEN+hdZ&#10;dJQLCHqCyqmhaKf4K6iOl0pqWZurUna+rGteMlcDVBMGL6p5aGjPXC3QHN2f2qT/H2z5af9FIV5l&#10;GIgStAOKHtlo0J0cUZTY9gy9TsHroQc/M8I50OxK1f29LL9pJOSqoWLLbpWSQ8NoBemF9qZ/cXXC&#10;0RZkM3yUFcShOyMd0FirzvYOuoEAHWh6OlFjcynhMCbzeQCWEkzvkjgijjqfpsfLvdLmPZMdsosM&#10;K2DegdP9vTY2GZoeXWwsIQveto79Vjw7AMfpBELDVWuzSTgyfyZBsl6sF8QjUbz2SJDn3m2xIl5c&#10;hPNZ/i5frfLwl40bkrThVcWEDXMUVkj+jLiDxCdJnKSlZcsrC2dT0mq7WbUK7SkIu3CfazlYzm7+&#10;8zRcE6CWFyWF0My7KPGKeDH3SEFmXjIPFl4QJndJHJCE5MXzku65YP9eEhoynMyi2aSlc9Ivagvc&#10;97o2mnbcwOhoeQfaPTnR1CpwLSpHraG8ndYXrbDpn1sBdB+Jdnq1Ep3EasbNCChWxBtZPYFylQRl&#10;gQhh3sGikeoHRgPMjgzr7zuqGEbtBwHqT0IC+kTGbchsHsFGXVo2lxYqSoDKsMFoWq7MNKB2veLb&#10;BiJN703IW3gxNXdqPmd1eGcwH1xRh1lmB9Dl3nmdJ+7yNwAAAP//AwBQSwMEFAAGAAgAAAAhAOtU&#10;MVreAAAADwEAAA8AAABkcnMvZG93bnJldi54bWxMT0FOwzAQvCPxB2uRuFG7iJgQ4lQIxBVEgUq9&#10;ufE2iYjXUew24fdsT/Q2szOanSlXs+/FEcfYBTKwXCgQSHVwHTUGvj5fb3IQMVlytg+EBn4xwqq6&#10;vCht4cJEH3hcp0ZwCMXCGmhTGgopY92it3ERBiTW9mH0NjEdG+lGO3G47+WtUlp62xF/aO2Azy3W&#10;P+uDN/D9tt9u7tR78+KzYQqzkuQfpDHXV/PTI4iEc/o3w6k+V4eKO+3CgVwUPXOlNY9JjLL8XoM4&#10;eZY659uOkc6UAlmV8nxH9QcAAP//AwBQSwECLQAUAAYACAAAACEAtoM4kv4AAADhAQAAEwAAAAAA&#10;AAAAAAAAAAAAAAAAW0NvbnRlbnRfVHlwZXNdLnhtbFBLAQItABQABgAIAAAAIQA4/SH/1gAAAJQB&#10;AAALAAAAAAAAAAAAAAAAAC8BAABfcmVscy8ucmVsc1BLAQItABQABgAIAAAAIQCZK6OntQIAALkF&#10;AAAOAAAAAAAAAAAAAAAAAC4CAABkcnMvZTJvRG9jLnhtbFBLAQItABQABgAIAAAAIQDrVDFa3gAA&#10;AA8BAAAPAAAAAAAAAAAAAAAAAA8FAABkcnMvZG93bnJldi54bWxQSwUGAAAAAAQABADzAAAAGgYA&#10;AAAA&#10;" o:allowincell="f" filled="f" stroked="f">
                <v:textbox>
                  <w:txbxContent>
                    <w:p w14:paraId="2FFD9D93" w14:textId="77777777" w:rsidR="00E552A3" w:rsidRPr="00C72A9B" w:rsidRDefault="00E552A3">
                      <w:pPr>
                        <w:jc w:val="center"/>
                        <w:rPr>
                          <w:rFonts w:ascii="Arial" w:hAnsi="Arial" w:cs="Arial"/>
                          <w:b/>
                          <w:bCs/>
                          <w:sz w:val="48"/>
                        </w:rPr>
                      </w:pPr>
                      <w:r w:rsidRPr="00C72A9B">
                        <w:rPr>
                          <w:rFonts w:ascii="Arial" w:hAnsi="Arial"/>
                          <w:b/>
                          <w:bCs/>
                          <w:sz w:val="48"/>
                        </w:rPr>
                        <w:t>PL</w:t>
                      </w:r>
                    </w:p>
                  </w:txbxContent>
                </v:textbox>
                <w10:wrap anchorx="page" anchory="page"/>
              </v:shape>
            </w:pict>
          </mc:Fallback>
        </mc:AlternateContent>
      </w:r>
    </w:p>
    <w:p w14:paraId="6E5229C9" w14:textId="77777777" w:rsidR="00646AC2" w:rsidRPr="00C72A9B" w:rsidRDefault="00646AC2" w:rsidP="0046504D">
      <w:pPr>
        <w:suppressAutoHyphens/>
        <w:overflowPunct/>
        <w:adjustRightInd/>
        <w:textAlignment w:val="auto"/>
      </w:pPr>
    </w:p>
    <w:p w14:paraId="6E5229CA" w14:textId="42A73E12" w:rsidR="00646AC2" w:rsidRPr="00C72A9B" w:rsidRDefault="00E76754" w:rsidP="0046504D">
      <w:pPr>
        <w:suppressAutoHyphens/>
        <w:overflowPunct/>
        <w:adjustRightInd/>
        <w:jc w:val="right"/>
        <w:textAlignment w:val="auto"/>
      </w:pPr>
      <w:r w:rsidRPr="00C72A9B">
        <w:rPr>
          <w:b/>
        </w:rPr>
        <w:t>NAT/801</w:t>
      </w:r>
    </w:p>
    <w:p w14:paraId="1654B856" w14:textId="77777777" w:rsidR="00A51A5A" w:rsidRPr="00C72A9B" w:rsidRDefault="00A51A5A" w:rsidP="0046504D">
      <w:pPr>
        <w:suppressAutoHyphens/>
        <w:overflowPunct/>
        <w:adjustRightInd/>
        <w:jc w:val="right"/>
        <w:textAlignment w:val="auto"/>
        <w:rPr>
          <w:b/>
        </w:rPr>
      </w:pPr>
      <w:r w:rsidRPr="00C72A9B">
        <w:rPr>
          <w:b/>
        </w:rPr>
        <w:t>Zaktualizowany plan działania w ramach strategii morskiej na rzecz Oceanu Atlantyckiego</w:t>
      </w:r>
    </w:p>
    <w:p w14:paraId="6E5229CC" w14:textId="5E9F8BB2" w:rsidR="009B30AA" w:rsidRPr="00C72A9B" w:rsidRDefault="009B30AA" w:rsidP="0046504D">
      <w:pPr>
        <w:suppressAutoHyphens/>
        <w:overflowPunct/>
        <w:adjustRightInd/>
        <w:textAlignment w:val="auto"/>
      </w:pPr>
    </w:p>
    <w:p w14:paraId="6E5229CD" w14:textId="77777777" w:rsidR="009B30AA" w:rsidRPr="00C72A9B" w:rsidRDefault="009B30AA" w:rsidP="0046504D">
      <w:pPr>
        <w:suppressAutoHyphens/>
        <w:overflowPunct/>
        <w:adjustRightInd/>
        <w:textAlignment w:val="auto"/>
      </w:pPr>
    </w:p>
    <w:p w14:paraId="6E5229CE" w14:textId="2AA0BCFA" w:rsidR="00646AC2" w:rsidRPr="00C72A9B" w:rsidRDefault="00CB7F96" w:rsidP="0046504D">
      <w:pPr>
        <w:suppressAutoHyphens/>
        <w:overflowPunct/>
        <w:adjustRightInd/>
        <w:jc w:val="center"/>
        <w:textAlignment w:val="auto"/>
      </w:pPr>
      <w:r w:rsidRPr="00C72A9B">
        <w:rPr>
          <w:b/>
          <w:sz w:val="28"/>
        </w:rPr>
        <w:t>OPINIA</w:t>
      </w:r>
      <w:r w:rsidRPr="00C72A9B">
        <w:br/>
      </w:r>
      <w:r w:rsidRPr="00C72A9B">
        <w:br/>
        <w:t>Sekcja Rolnictwa, Rozwoju Wsi i Środowiska Naturalnego</w:t>
      </w:r>
      <w:r w:rsidRPr="00C72A9B">
        <w:br/>
      </w:r>
      <w:r w:rsidRPr="00C72A9B">
        <w:br/>
      </w:r>
      <w:r w:rsidRPr="00C72A9B">
        <w:rPr>
          <w:b/>
        </w:rPr>
        <w:t>Komunikat Komisji do Parlamentu Europejskiego, Rady,</w:t>
      </w:r>
      <w:r w:rsidRPr="00C72A9B">
        <w:rPr>
          <w:b/>
        </w:rPr>
        <w:br/>
        <w:t>Europejskiego Komitetu Ekonomiczno-Społecznego i Komitetu Regionów</w:t>
      </w:r>
      <w:r w:rsidRPr="00C72A9B">
        <w:rPr>
          <w:b/>
        </w:rPr>
        <w:br/>
        <w:t xml:space="preserve">„Nowe podejście do strategii morskiej na rzecz Oceanu Atlantyckiego – </w:t>
      </w:r>
      <w:r w:rsidR="0046504D" w:rsidRPr="00C72A9B">
        <w:rPr>
          <w:b/>
        </w:rPr>
        <w:br/>
      </w:r>
      <w:r w:rsidRPr="00C72A9B">
        <w:rPr>
          <w:b/>
        </w:rPr>
        <w:t xml:space="preserve">plan działania na rzecz Oceanu Atlantyckiego 2.0. Zaktualizowany plan działania </w:t>
      </w:r>
      <w:r w:rsidR="0046504D" w:rsidRPr="00C72A9B">
        <w:rPr>
          <w:b/>
        </w:rPr>
        <w:br/>
      </w:r>
      <w:r w:rsidRPr="00C72A9B">
        <w:rPr>
          <w:b/>
        </w:rPr>
        <w:t xml:space="preserve">na rzecz zrównoważonej, odpornej i konkurencyjnej niebieskiej gospodarki </w:t>
      </w:r>
      <w:r w:rsidR="0046504D" w:rsidRPr="00C72A9B">
        <w:rPr>
          <w:b/>
        </w:rPr>
        <w:br/>
      </w:r>
      <w:r w:rsidRPr="00C72A9B">
        <w:rPr>
          <w:b/>
        </w:rPr>
        <w:t>w regionie Oceanu Atlantyckiego Unii Europejskiej”</w:t>
      </w:r>
      <w:r w:rsidRPr="00C72A9B">
        <w:br/>
        <w:t>[COM(2020) 329]</w:t>
      </w:r>
    </w:p>
    <w:p w14:paraId="6E5229CF" w14:textId="77777777" w:rsidR="009B30AA" w:rsidRPr="00C72A9B" w:rsidRDefault="009B30AA" w:rsidP="0046504D">
      <w:pPr>
        <w:suppressAutoHyphens/>
        <w:overflowPunct/>
        <w:adjustRightInd/>
        <w:jc w:val="center"/>
        <w:textAlignment w:val="auto"/>
      </w:pPr>
    </w:p>
    <w:tbl>
      <w:tblPr>
        <w:tblpPr w:leftFromText="181" w:rightFromText="181" w:tblpYSpec="bottom"/>
        <w:tblOverlap w:val="never"/>
        <w:tblW w:w="9289" w:type="dxa"/>
        <w:tblLayout w:type="fixed"/>
        <w:tblLook w:val="04A0" w:firstRow="1" w:lastRow="0" w:firstColumn="1" w:lastColumn="0" w:noHBand="0" w:noVBand="1"/>
      </w:tblPr>
      <w:tblGrid>
        <w:gridCol w:w="3085"/>
        <w:gridCol w:w="6204"/>
      </w:tblGrid>
      <w:tr w:rsidR="007F5E0D" w:rsidRPr="00C72A9B" w14:paraId="6E5229D9" w14:textId="77777777" w:rsidTr="00EE5F06">
        <w:tc>
          <w:tcPr>
            <w:tcW w:w="3085" w:type="dxa"/>
          </w:tcPr>
          <w:p w14:paraId="6E5229D7" w14:textId="77777777" w:rsidR="007F5E0D" w:rsidRPr="00C72A9B" w:rsidRDefault="007F5E0D" w:rsidP="0046504D">
            <w:pPr>
              <w:suppressAutoHyphens/>
              <w:overflowPunct/>
              <w:adjustRightInd/>
              <w:jc w:val="left"/>
              <w:textAlignment w:val="auto"/>
              <w:rPr>
                <w:szCs w:val="22"/>
              </w:rPr>
            </w:pPr>
            <w:r w:rsidRPr="00C72A9B">
              <w:t>Kontakt</w:t>
            </w:r>
          </w:p>
        </w:tc>
        <w:tc>
          <w:tcPr>
            <w:tcW w:w="6204" w:type="dxa"/>
          </w:tcPr>
          <w:p w14:paraId="6E5229D8" w14:textId="42573A98" w:rsidR="007F5E0D" w:rsidRPr="00C72A9B" w:rsidRDefault="00E552A3" w:rsidP="00C72A9B">
            <w:pPr>
              <w:suppressAutoHyphens/>
              <w:overflowPunct/>
              <w:adjustRightInd/>
              <w:jc w:val="left"/>
              <w:textAlignment w:val="auto"/>
              <w:rPr>
                <w:szCs w:val="22"/>
              </w:rPr>
            </w:pPr>
            <w:hyperlink r:id="rId12" w:history="1">
              <w:r w:rsidR="00813860" w:rsidRPr="00C72A9B">
                <w:rPr>
                  <w:rStyle w:val="Hyperlink"/>
                </w:rPr>
                <w:t>nat@eesc.europa.eu</w:t>
              </w:r>
            </w:hyperlink>
            <w:r w:rsidR="00813860" w:rsidRPr="00C72A9B">
              <w:t xml:space="preserve"> </w:t>
            </w:r>
          </w:p>
        </w:tc>
      </w:tr>
      <w:tr w:rsidR="007F5E0D" w:rsidRPr="00C72A9B" w14:paraId="6E5229DC" w14:textId="77777777" w:rsidTr="00EE5F06">
        <w:tc>
          <w:tcPr>
            <w:tcW w:w="3085" w:type="dxa"/>
          </w:tcPr>
          <w:p w14:paraId="6E5229DA" w14:textId="2301A163" w:rsidR="007F5E0D" w:rsidRPr="00C72A9B" w:rsidRDefault="007F5E0D" w:rsidP="0046504D">
            <w:pPr>
              <w:suppressAutoHyphens/>
              <w:overflowPunct/>
              <w:adjustRightInd/>
              <w:jc w:val="left"/>
              <w:textAlignment w:val="auto"/>
              <w:rPr>
                <w:szCs w:val="22"/>
              </w:rPr>
            </w:pPr>
            <w:r w:rsidRPr="00C72A9B">
              <w:t>Administratorka</w:t>
            </w:r>
          </w:p>
        </w:tc>
        <w:tc>
          <w:tcPr>
            <w:tcW w:w="6204" w:type="dxa"/>
          </w:tcPr>
          <w:p w14:paraId="6E5229DB" w14:textId="3A848D20" w:rsidR="007F5E0D" w:rsidRPr="00C72A9B" w:rsidRDefault="00E76754" w:rsidP="0046504D">
            <w:pPr>
              <w:suppressAutoHyphens/>
              <w:overflowPunct/>
              <w:adjustRightInd/>
              <w:jc w:val="left"/>
              <w:textAlignment w:val="auto"/>
              <w:rPr>
                <w:szCs w:val="22"/>
              </w:rPr>
            </w:pPr>
            <w:r w:rsidRPr="00C72A9B">
              <w:t xml:space="preserve">Anna </w:t>
            </w:r>
            <w:r w:rsidR="0046504D" w:rsidRPr="00C72A9B">
              <w:t>CAMERON</w:t>
            </w:r>
          </w:p>
        </w:tc>
      </w:tr>
      <w:tr w:rsidR="007F5E0D" w:rsidRPr="00C72A9B" w14:paraId="6E5229DF" w14:textId="77777777" w:rsidTr="00EE5F06">
        <w:tc>
          <w:tcPr>
            <w:tcW w:w="3085" w:type="dxa"/>
          </w:tcPr>
          <w:p w14:paraId="6E5229DD" w14:textId="77777777" w:rsidR="007F5E0D" w:rsidRPr="00C72A9B" w:rsidRDefault="007F5E0D" w:rsidP="0046504D">
            <w:pPr>
              <w:suppressAutoHyphens/>
              <w:overflowPunct/>
              <w:adjustRightInd/>
              <w:jc w:val="left"/>
              <w:textAlignment w:val="auto"/>
              <w:rPr>
                <w:szCs w:val="22"/>
              </w:rPr>
            </w:pPr>
            <w:r w:rsidRPr="00C72A9B">
              <w:t>Data dokumentu</w:t>
            </w:r>
          </w:p>
        </w:tc>
        <w:tc>
          <w:tcPr>
            <w:tcW w:w="6204" w:type="dxa"/>
          </w:tcPr>
          <w:p w14:paraId="6E5229DE" w14:textId="32A2E370" w:rsidR="007F5E0D" w:rsidRPr="00C72A9B" w:rsidRDefault="0014277E" w:rsidP="0046504D">
            <w:pPr>
              <w:suppressAutoHyphens/>
              <w:overflowPunct/>
              <w:adjustRightInd/>
              <w:jc w:val="left"/>
              <w:textAlignment w:val="auto"/>
              <w:rPr>
                <w:szCs w:val="22"/>
              </w:rPr>
            </w:pPr>
            <w:r w:rsidRPr="00C72A9B">
              <w:t>12/01/2021</w:t>
            </w:r>
          </w:p>
        </w:tc>
      </w:tr>
    </w:tbl>
    <w:p w14:paraId="6E5229E1" w14:textId="599D36DF" w:rsidR="00704FBB" w:rsidRPr="00C72A9B" w:rsidRDefault="007F5E0D" w:rsidP="0046504D">
      <w:pPr>
        <w:suppressAutoHyphens/>
        <w:overflowPunct/>
        <w:adjustRightInd/>
        <w:jc w:val="center"/>
        <w:textAlignment w:val="auto"/>
      </w:pPr>
      <w:r w:rsidRPr="00C72A9B">
        <w:t xml:space="preserve">Sprawozdawca: </w:t>
      </w:r>
      <w:r w:rsidRPr="00C72A9B">
        <w:rPr>
          <w:b/>
          <w:color w:val="000000"/>
          <w:szCs w:val="21"/>
        </w:rPr>
        <w:t>Carlos Manuel TRINDADE (PT-II)</w:t>
      </w:r>
    </w:p>
    <w:p w14:paraId="6E5229E2" w14:textId="77777777" w:rsidR="00646AC2" w:rsidRPr="00C72A9B" w:rsidRDefault="00646AC2" w:rsidP="0046504D">
      <w:pPr>
        <w:suppressAutoHyphens/>
        <w:overflowPunct/>
        <w:adjustRightInd/>
        <w:textAlignment w:val="auto"/>
      </w:pPr>
    </w:p>
    <w:p w14:paraId="6E5229E3" w14:textId="77777777" w:rsidR="00646AC2" w:rsidRPr="00C72A9B" w:rsidRDefault="00646AC2" w:rsidP="0046504D">
      <w:pPr>
        <w:suppressAutoHyphens/>
        <w:overflowPunct/>
        <w:adjustRightInd/>
        <w:textAlignment w:val="auto"/>
        <w:sectPr w:rsidR="00646AC2" w:rsidRPr="00C72A9B" w:rsidSect="00C72A9B">
          <w:headerReference w:type="even" r:id="rId13"/>
          <w:headerReference w:type="default" r:id="rId14"/>
          <w:footerReference w:type="even" r:id="rId15"/>
          <w:footerReference w:type="default" r:id="rId16"/>
          <w:headerReference w:type="first" r:id="rId17"/>
          <w:footerReference w:type="first" r:id="rId18"/>
          <w:pgSz w:w="11907" w:h="16839" w:code="9"/>
          <w:pgMar w:top="1417" w:right="1417" w:bottom="1417" w:left="1417" w:header="709" w:footer="709" w:gutter="0"/>
          <w:pgNumType w:start="1"/>
          <w:cols w:space="720"/>
          <w:docGrid w:linePitch="299"/>
        </w:sectPr>
      </w:pPr>
    </w:p>
    <w:tbl>
      <w:tblPr>
        <w:tblW w:w="0" w:type="auto"/>
        <w:tblLook w:val="04A0" w:firstRow="1" w:lastRow="0" w:firstColumn="1" w:lastColumn="0" w:noHBand="0" w:noVBand="1"/>
      </w:tblPr>
      <w:tblGrid>
        <w:gridCol w:w="3227"/>
        <w:gridCol w:w="5846"/>
      </w:tblGrid>
      <w:tr w:rsidR="0011656A" w:rsidRPr="00C72A9B" w14:paraId="6E522A03" w14:textId="77777777" w:rsidTr="0046504D">
        <w:tc>
          <w:tcPr>
            <w:tcW w:w="3227" w:type="dxa"/>
          </w:tcPr>
          <w:p w14:paraId="6E522A01" w14:textId="77777777" w:rsidR="0011656A" w:rsidRPr="00C72A9B" w:rsidRDefault="0090053A" w:rsidP="00C72A9B">
            <w:pPr>
              <w:suppressAutoHyphens/>
              <w:overflowPunct/>
              <w:adjustRightInd/>
              <w:jc w:val="left"/>
              <w:textAlignment w:val="auto"/>
              <w:rPr>
                <w:szCs w:val="22"/>
              </w:rPr>
            </w:pPr>
            <w:r w:rsidRPr="00C72A9B">
              <w:lastRenderedPageBreak/>
              <w:t xml:space="preserve">Wniosek o konsultację </w:t>
            </w:r>
          </w:p>
        </w:tc>
        <w:tc>
          <w:tcPr>
            <w:tcW w:w="5846" w:type="dxa"/>
          </w:tcPr>
          <w:p w14:paraId="6E522A02" w14:textId="46E8B769" w:rsidR="0011656A" w:rsidRPr="00C72A9B" w:rsidRDefault="00E76754" w:rsidP="0046504D">
            <w:pPr>
              <w:suppressAutoHyphens/>
              <w:overflowPunct/>
              <w:adjustRightInd/>
              <w:jc w:val="left"/>
              <w:textAlignment w:val="auto"/>
              <w:rPr>
                <w:szCs w:val="22"/>
              </w:rPr>
            </w:pPr>
            <w:r w:rsidRPr="00C72A9B">
              <w:t>Komisja, 23/09/2020</w:t>
            </w:r>
          </w:p>
        </w:tc>
      </w:tr>
      <w:tr w:rsidR="0016503F" w:rsidRPr="00C72A9B" w14:paraId="6E522A06" w14:textId="77777777" w:rsidTr="0046504D">
        <w:trPr>
          <w:trHeight w:val="251"/>
        </w:trPr>
        <w:tc>
          <w:tcPr>
            <w:tcW w:w="3227" w:type="dxa"/>
          </w:tcPr>
          <w:p w14:paraId="6E522A04" w14:textId="77777777" w:rsidR="0016503F" w:rsidRPr="00C72A9B" w:rsidRDefault="0016503F" w:rsidP="0046504D">
            <w:pPr>
              <w:suppressAutoHyphens/>
              <w:overflowPunct/>
              <w:adjustRightInd/>
              <w:jc w:val="left"/>
              <w:textAlignment w:val="auto"/>
              <w:rPr>
                <w:szCs w:val="22"/>
              </w:rPr>
            </w:pPr>
            <w:r w:rsidRPr="00C72A9B">
              <w:t>Podstawa prawna</w:t>
            </w:r>
          </w:p>
        </w:tc>
        <w:tc>
          <w:tcPr>
            <w:tcW w:w="5846" w:type="dxa"/>
          </w:tcPr>
          <w:p w14:paraId="6E522A05" w14:textId="7204B104" w:rsidR="0016503F" w:rsidRPr="00C72A9B" w:rsidRDefault="00E76754" w:rsidP="0046504D">
            <w:pPr>
              <w:suppressAutoHyphens/>
              <w:overflowPunct/>
              <w:adjustRightInd/>
              <w:jc w:val="left"/>
              <w:textAlignment w:val="auto"/>
              <w:rPr>
                <w:szCs w:val="22"/>
              </w:rPr>
            </w:pPr>
            <w:r w:rsidRPr="00C72A9B">
              <w:t>Art. 304 Traktatu o funkcjonowaniu Unii Europejskiej</w:t>
            </w:r>
          </w:p>
        </w:tc>
      </w:tr>
      <w:tr w:rsidR="0016503F" w:rsidRPr="00C72A9B" w14:paraId="6E522A09" w14:textId="77777777" w:rsidTr="0046504D">
        <w:trPr>
          <w:trHeight w:val="250"/>
        </w:trPr>
        <w:tc>
          <w:tcPr>
            <w:tcW w:w="3227" w:type="dxa"/>
          </w:tcPr>
          <w:p w14:paraId="6E522A07" w14:textId="77777777" w:rsidR="0016503F" w:rsidRPr="00C72A9B" w:rsidRDefault="0016503F" w:rsidP="0046504D">
            <w:pPr>
              <w:suppressAutoHyphens/>
              <w:overflowPunct/>
              <w:adjustRightInd/>
              <w:jc w:val="left"/>
              <w:textAlignment w:val="auto"/>
              <w:rPr>
                <w:szCs w:val="22"/>
              </w:rPr>
            </w:pPr>
          </w:p>
        </w:tc>
        <w:tc>
          <w:tcPr>
            <w:tcW w:w="5846" w:type="dxa"/>
          </w:tcPr>
          <w:p w14:paraId="6E522A08" w14:textId="77777777" w:rsidR="0016503F" w:rsidRPr="00C72A9B" w:rsidRDefault="0016503F" w:rsidP="0046504D">
            <w:pPr>
              <w:suppressAutoHyphens/>
              <w:overflowPunct/>
              <w:adjustRightInd/>
              <w:jc w:val="left"/>
              <w:textAlignment w:val="auto"/>
              <w:rPr>
                <w:szCs w:val="22"/>
              </w:rPr>
            </w:pPr>
          </w:p>
        </w:tc>
      </w:tr>
      <w:tr w:rsidR="00BA1290" w:rsidRPr="00C72A9B" w14:paraId="6E522A1E" w14:textId="77777777" w:rsidTr="0046504D">
        <w:tc>
          <w:tcPr>
            <w:tcW w:w="3227" w:type="dxa"/>
          </w:tcPr>
          <w:p w14:paraId="6E522A1C" w14:textId="77777777" w:rsidR="00BA1290" w:rsidRPr="00C72A9B" w:rsidRDefault="00BA1290" w:rsidP="0046504D">
            <w:pPr>
              <w:suppressAutoHyphens/>
              <w:overflowPunct/>
              <w:adjustRightInd/>
              <w:jc w:val="left"/>
              <w:textAlignment w:val="auto"/>
            </w:pPr>
          </w:p>
        </w:tc>
        <w:tc>
          <w:tcPr>
            <w:tcW w:w="5846" w:type="dxa"/>
          </w:tcPr>
          <w:p w14:paraId="6E522A1D" w14:textId="77777777" w:rsidR="00BA1290" w:rsidRPr="00C72A9B" w:rsidRDefault="00BA1290" w:rsidP="0046504D">
            <w:pPr>
              <w:suppressAutoHyphens/>
              <w:overflowPunct/>
              <w:adjustRightInd/>
              <w:jc w:val="left"/>
              <w:textAlignment w:val="auto"/>
            </w:pPr>
          </w:p>
        </w:tc>
      </w:tr>
      <w:tr w:rsidR="00DF5B64" w:rsidRPr="00C72A9B" w14:paraId="6E522A21" w14:textId="77777777" w:rsidTr="0046504D">
        <w:tc>
          <w:tcPr>
            <w:tcW w:w="3227" w:type="dxa"/>
          </w:tcPr>
          <w:p w14:paraId="6E522A1F" w14:textId="77777777" w:rsidR="00DF5B64" w:rsidRPr="00C72A9B" w:rsidRDefault="00AD4B4F" w:rsidP="0046504D">
            <w:pPr>
              <w:suppressAutoHyphens/>
              <w:overflowPunct/>
              <w:adjustRightInd/>
              <w:jc w:val="left"/>
              <w:textAlignment w:val="auto"/>
              <w:rPr>
                <w:szCs w:val="22"/>
              </w:rPr>
            </w:pPr>
            <w:r w:rsidRPr="00C72A9B">
              <w:t>Sekcja odpowiedzialna</w:t>
            </w:r>
          </w:p>
        </w:tc>
        <w:tc>
          <w:tcPr>
            <w:tcW w:w="5846" w:type="dxa"/>
          </w:tcPr>
          <w:p w14:paraId="6E522A20" w14:textId="68D123F0" w:rsidR="00DF5B64" w:rsidRPr="00C72A9B" w:rsidRDefault="00303A27" w:rsidP="0046504D">
            <w:pPr>
              <w:suppressAutoHyphens/>
              <w:overflowPunct/>
              <w:adjustRightInd/>
              <w:jc w:val="left"/>
              <w:textAlignment w:val="auto"/>
              <w:rPr>
                <w:szCs w:val="22"/>
              </w:rPr>
            </w:pPr>
            <w:r w:rsidRPr="00C72A9B">
              <w:t>Sekcja Rolnictwa, Rozwoju Wsi i Środowiska Naturalnego</w:t>
            </w:r>
          </w:p>
        </w:tc>
      </w:tr>
      <w:tr w:rsidR="00A156E6" w:rsidRPr="00C72A9B" w14:paraId="6E522A24" w14:textId="77777777" w:rsidTr="0046504D">
        <w:tc>
          <w:tcPr>
            <w:tcW w:w="3227" w:type="dxa"/>
          </w:tcPr>
          <w:p w14:paraId="6E522A22" w14:textId="77777777" w:rsidR="00A156E6" w:rsidRPr="00C72A9B" w:rsidRDefault="00A156E6" w:rsidP="0046504D">
            <w:pPr>
              <w:suppressAutoHyphens/>
              <w:overflowPunct/>
              <w:adjustRightInd/>
              <w:jc w:val="left"/>
              <w:textAlignment w:val="auto"/>
              <w:rPr>
                <w:szCs w:val="22"/>
              </w:rPr>
            </w:pPr>
            <w:r w:rsidRPr="00C72A9B">
              <w:t>Data przyjęcia przez sekcję</w:t>
            </w:r>
          </w:p>
        </w:tc>
        <w:tc>
          <w:tcPr>
            <w:tcW w:w="5846" w:type="dxa"/>
          </w:tcPr>
          <w:p w14:paraId="6E522A23" w14:textId="29092630" w:rsidR="00A156E6" w:rsidRPr="00C72A9B" w:rsidRDefault="0014277E" w:rsidP="0046504D">
            <w:pPr>
              <w:suppressAutoHyphens/>
              <w:overflowPunct/>
              <w:adjustRightInd/>
              <w:jc w:val="left"/>
              <w:textAlignment w:val="auto"/>
              <w:rPr>
                <w:szCs w:val="22"/>
              </w:rPr>
            </w:pPr>
            <w:r w:rsidRPr="00C72A9B">
              <w:t>11/01/2021</w:t>
            </w:r>
          </w:p>
        </w:tc>
      </w:tr>
      <w:tr w:rsidR="00A156E6" w:rsidRPr="00C72A9B" w14:paraId="6E522A27" w14:textId="77777777" w:rsidTr="0046504D">
        <w:tc>
          <w:tcPr>
            <w:tcW w:w="3227" w:type="dxa"/>
          </w:tcPr>
          <w:p w14:paraId="6E522A25" w14:textId="77777777" w:rsidR="00A156E6" w:rsidRPr="00C72A9B" w:rsidRDefault="00A156E6" w:rsidP="0046504D">
            <w:pPr>
              <w:suppressAutoHyphens/>
              <w:overflowPunct/>
              <w:adjustRightInd/>
              <w:jc w:val="left"/>
              <w:textAlignment w:val="auto"/>
              <w:rPr>
                <w:szCs w:val="22"/>
              </w:rPr>
            </w:pPr>
            <w:r w:rsidRPr="00C72A9B">
              <w:t>Data przyjęcia na sesji plenarnej</w:t>
            </w:r>
          </w:p>
        </w:tc>
        <w:tc>
          <w:tcPr>
            <w:tcW w:w="5846" w:type="dxa"/>
          </w:tcPr>
          <w:p w14:paraId="6E522A26" w14:textId="77777777" w:rsidR="00A156E6" w:rsidRPr="00C72A9B" w:rsidRDefault="003439AB" w:rsidP="0046504D">
            <w:pPr>
              <w:suppressAutoHyphens/>
              <w:overflowPunct/>
              <w:adjustRightInd/>
              <w:jc w:val="left"/>
              <w:textAlignment w:val="auto"/>
              <w:rPr>
                <w:szCs w:val="22"/>
              </w:rPr>
            </w:pPr>
            <w:r w:rsidRPr="00C72A9B">
              <w:t>DD/MM/YYYY</w:t>
            </w:r>
          </w:p>
        </w:tc>
      </w:tr>
      <w:tr w:rsidR="00BA1290" w:rsidRPr="00C72A9B" w14:paraId="6E522A2A" w14:textId="77777777" w:rsidTr="0046504D">
        <w:tc>
          <w:tcPr>
            <w:tcW w:w="3227" w:type="dxa"/>
          </w:tcPr>
          <w:p w14:paraId="6E522A28" w14:textId="77777777" w:rsidR="00BA1290" w:rsidRPr="00C72A9B" w:rsidRDefault="00BA1290" w:rsidP="0046504D">
            <w:pPr>
              <w:suppressAutoHyphens/>
              <w:overflowPunct/>
              <w:adjustRightInd/>
              <w:jc w:val="left"/>
              <w:textAlignment w:val="auto"/>
              <w:rPr>
                <w:szCs w:val="22"/>
              </w:rPr>
            </w:pPr>
            <w:r w:rsidRPr="00C72A9B">
              <w:t>Sesja plenarna nr</w:t>
            </w:r>
          </w:p>
        </w:tc>
        <w:tc>
          <w:tcPr>
            <w:tcW w:w="5846" w:type="dxa"/>
          </w:tcPr>
          <w:p w14:paraId="6E522A29" w14:textId="77777777" w:rsidR="00BA1290" w:rsidRPr="00C72A9B" w:rsidRDefault="00BA1290" w:rsidP="0046504D">
            <w:pPr>
              <w:suppressAutoHyphens/>
              <w:overflowPunct/>
              <w:adjustRightInd/>
              <w:jc w:val="left"/>
              <w:textAlignment w:val="auto"/>
              <w:rPr>
                <w:szCs w:val="22"/>
              </w:rPr>
            </w:pPr>
            <w:r w:rsidRPr="00C72A9B">
              <w:t>…</w:t>
            </w:r>
          </w:p>
        </w:tc>
      </w:tr>
      <w:tr w:rsidR="00A156E6" w:rsidRPr="00C72A9B" w14:paraId="6E522A2D" w14:textId="77777777" w:rsidTr="0046504D">
        <w:tc>
          <w:tcPr>
            <w:tcW w:w="3227" w:type="dxa"/>
          </w:tcPr>
          <w:p w14:paraId="6E522A2B" w14:textId="05BEB715" w:rsidR="00D423D4" w:rsidRPr="00C72A9B" w:rsidRDefault="0046504D" w:rsidP="0046504D">
            <w:pPr>
              <w:suppressAutoHyphens/>
              <w:overflowPunct/>
              <w:adjustRightInd/>
              <w:jc w:val="left"/>
            </w:pPr>
            <w:r w:rsidRPr="00C72A9B">
              <w:t>Wynik głosowania</w:t>
            </w:r>
            <w:r w:rsidR="0043024C" w:rsidRPr="00C72A9B">
              <w:br/>
              <w:t>(za/przeciw/wstrzymało się)</w:t>
            </w:r>
          </w:p>
        </w:tc>
        <w:tc>
          <w:tcPr>
            <w:tcW w:w="5846" w:type="dxa"/>
            <w:vAlign w:val="bottom"/>
          </w:tcPr>
          <w:p w14:paraId="6E522A2C" w14:textId="77777777" w:rsidR="00A156E6" w:rsidRPr="00C72A9B" w:rsidRDefault="00A156E6" w:rsidP="0046504D">
            <w:pPr>
              <w:suppressAutoHyphens/>
              <w:overflowPunct/>
              <w:adjustRightInd/>
              <w:jc w:val="left"/>
              <w:textAlignment w:val="auto"/>
              <w:rPr>
                <w:szCs w:val="22"/>
              </w:rPr>
            </w:pPr>
            <w:r w:rsidRPr="00C72A9B">
              <w:t>…/…/…</w:t>
            </w:r>
          </w:p>
        </w:tc>
      </w:tr>
    </w:tbl>
    <w:p w14:paraId="6E522A2F" w14:textId="77777777" w:rsidR="00646AC2" w:rsidRPr="00C72A9B" w:rsidRDefault="00646AC2" w:rsidP="0046504D">
      <w:pPr>
        <w:suppressAutoHyphens/>
        <w:overflowPunct/>
        <w:adjustRightInd/>
        <w:textAlignment w:val="auto"/>
      </w:pPr>
      <w:r w:rsidRPr="00C72A9B">
        <w:br w:type="page"/>
      </w:r>
    </w:p>
    <w:p w14:paraId="6E522A30" w14:textId="77777777" w:rsidR="00194B36" w:rsidRPr="00C72A9B" w:rsidRDefault="00194B36" w:rsidP="0046504D">
      <w:pPr>
        <w:pStyle w:val="Heading1"/>
        <w:suppressAutoHyphens/>
        <w:ind w:left="567" w:hanging="567"/>
      </w:pPr>
      <w:r w:rsidRPr="00C72A9B">
        <w:rPr>
          <w:b/>
        </w:rPr>
        <w:lastRenderedPageBreak/>
        <w:t>Wnioski i zalecenia</w:t>
      </w:r>
    </w:p>
    <w:p w14:paraId="22B606D9" w14:textId="77777777" w:rsidR="0013666D" w:rsidRPr="00C72A9B" w:rsidRDefault="0013666D" w:rsidP="0046504D">
      <w:pPr>
        <w:suppressAutoHyphens/>
        <w:overflowPunct/>
        <w:adjustRightInd/>
        <w:ind w:left="142" w:hanging="142"/>
        <w:jc w:val="left"/>
        <w:textAlignment w:val="auto"/>
      </w:pPr>
    </w:p>
    <w:p w14:paraId="6E522A32" w14:textId="53101675" w:rsidR="00194B36" w:rsidRPr="00C72A9B" w:rsidRDefault="0013666D" w:rsidP="0046504D">
      <w:pPr>
        <w:pStyle w:val="Heading2"/>
        <w:suppressAutoHyphens/>
        <w:ind w:left="567" w:hanging="567"/>
      </w:pPr>
      <w:r w:rsidRPr="00C72A9B">
        <w:t>EKES zgadza się z oceną Komisji, zgodnie z którą atlantycki obszar morski podlegający jurysdykcji państw członkowskich UE jest kluczowym czynnikiem rozwoju gospodarczego i</w:t>
      </w:r>
      <w:r w:rsidR="00C72A9B">
        <w:t> </w:t>
      </w:r>
      <w:r w:rsidRPr="00C72A9B">
        <w:t>społecznego tych państw i całej UE. Zgodnie z najnowszymi dostępnymi danymi przedstawionymi w komunikacie Komisji niebieska gospodarka w rejonie Oceanu Atlantyckiego wygenerowała w 2017 r. wartość dodaną brutto w wysokości 73,4 mld EUR i</w:t>
      </w:r>
      <w:r w:rsidR="00C72A9B">
        <w:t> </w:t>
      </w:r>
      <w:r w:rsidRPr="00C72A9B">
        <w:t>pozwoliła stworzyć 1,2 mln miejsc pracy</w:t>
      </w:r>
      <w:r w:rsidRPr="00C72A9B">
        <w:rPr>
          <w:rStyle w:val="FootnoteReference"/>
          <w:szCs w:val="18"/>
        </w:rPr>
        <w:footnoteReference w:id="1"/>
      </w:r>
      <w:r w:rsidRPr="00C72A9B">
        <w:t>.</w:t>
      </w:r>
    </w:p>
    <w:p w14:paraId="58FF50D0" w14:textId="77777777" w:rsidR="0013666D" w:rsidRPr="00C72A9B" w:rsidRDefault="0013666D" w:rsidP="0046504D">
      <w:pPr>
        <w:suppressAutoHyphens/>
      </w:pPr>
    </w:p>
    <w:p w14:paraId="1341BA70" w14:textId="14317870" w:rsidR="0013666D" w:rsidRPr="00C72A9B" w:rsidRDefault="0013666D" w:rsidP="0046504D">
      <w:pPr>
        <w:pStyle w:val="Heading2"/>
        <w:suppressAutoHyphens/>
        <w:ind w:left="567" w:hanging="567"/>
      </w:pPr>
      <w:r w:rsidRPr="00C72A9B">
        <w:t>EKES podkreśla również, że na szczeblu UE i ONZ uznaje się – w odniesieniu do zrównoważenia środowiskowego – kluczową rolę oceanów w dekarbonizacji, produkcji tlenu, zapewnianiu żywności dla ludzi oraz przeciwdziałaniu zmianie klimatu i zakwaszeniu.</w:t>
      </w:r>
    </w:p>
    <w:p w14:paraId="62419BBE" w14:textId="366473F4" w:rsidR="0013666D" w:rsidRPr="00C72A9B" w:rsidRDefault="0013666D" w:rsidP="0046504D">
      <w:pPr>
        <w:suppressAutoHyphens/>
      </w:pPr>
    </w:p>
    <w:p w14:paraId="5EBD9151" w14:textId="28F88237" w:rsidR="0013666D" w:rsidRPr="00C72A9B" w:rsidRDefault="0013666D" w:rsidP="0046504D">
      <w:pPr>
        <w:pStyle w:val="Heading2"/>
        <w:suppressAutoHyphens/>
        <w:ind w:left="567" w:hanging="567"/>
      </w:pPr>
      <w:r w:rsidRPr="00C72A9B">
        <w:t>W kontekście kryzysu związanego z COVID-19 rozpoznaje się coraz większe znaczenie niebieskiej gospodarki dla ożywienia gospodarczego w Europie oraz ochrony i tworzenia miejsc pracy.</w:t>
      </w:r>
    </w:p>
    <w:p w14:paraId="74869FDD" w14:textId="77777777" w:rsidR="0013666D" w:rsidRPr="00C72A9B" w:rsidRDefault="0013666D" w:rsidP="0046504D">
      <w:pPr>
        <w:suppressAutoHyphens/>
      </w:pPr>
    </w:p>
    <w:p w14:paraId="297CC218" w14:textId="60AA055D" w:rsidR="0013666D" w:rsidRPr="00C72A9B" w:rsidRDefault="0013666D" w:rsidP="0046504D">
      <w:pPr>
        <w:pStyle w:val="Heading2"/>
        <w:suppressAutoHyphens/>
        <w:ind w:left="567" w:hanging="567"/>
      </w:pPr>
      <w:r w:rsidRPr="00C72A9B">
        <w:t>EKES z zadowoleniem przyjmuje stworzenie planu działania na rzecz Oceanu Atlantyckiego 2.0, gdyż przyczyni się on do ożywienia gospodarczego, utrzymania i tworzenia miejsc pracy, a</w:t>
      </w:r>
      <w:r w:rsidR="00C72A9B">
        <w:t> </w:t>
      </w:r>
      <w:r w:rsidRPr="00C72A9B">
        <w:t>jednocześnie pomoże lepiej chronić ekosystemy przybrzeżne i morskie oraz wniesie wkład w</w:t>
      </w:r>
      <w:r w:rsidR="00C72A9B">
        <w:t> </w:t>
      </w:r>
      <w:r w:rsidRPr="00C72A9B">
        <w:t>łagodzenie zmiany klimatu i przystosowanie się do niej.</w:t>
      </w:r>
    </w:p>
    <w:p w14:paraId="5F91CACE" w14:textId="77777777" w:rsidR="0013666D" w:rsidRPr="00C72A9B" w:rsidRDefault="0013666D" w:rsidP="0046504D">
      <w:pPr>
        <w:suppressAutoHyphens/>
      </w:pPr>
    </w:p>
    <w:p w14:paraId="322EDB40" w14:textId="48E61849" w:rsidR="0013666D" w:rsidRPr="00C72A9B" w:rsidRDefault="0013666D" w:rsidP="0046504D">
      <w:pPr>
        <w:pStyle w:val="Heading2"/>
        <w:suppressAutoHyphens/>
        <w:ind w:left="567" w:hanging="567"/>
      </w:pPr>
      <w:r w:rsidRPr="00C72A9B">
        <w:t>Powiązanie planu działania 2.0 z zasadami Europejskiego Zielonego Ładu uwypukla kluczową rolę niebieskiej gospodarki w osiąganiu celów z zakresu zrównoważonego rozwoju.</w:t>
      </w:r>
    </w:p>
    <w:p w14:paraId="29B0962F" w14:textId="77777777" w:rsidR="0013666D" w:rsidRPr="00C72A9B" w:rsidRDefault="0013666D" w:rsidP="0046504D">
      <w:pPr>
        <w:suppressAutoHyphens/>
      </w:pPr>
    </w:p>
    <w:p w14:paraId="4A9DF97F" w14:textId="2ED9A55C" w:rsidR="0013666D" w:rsidRPr="00C72A9B" w:rsidRDefault="0013666D" w:rsidP="0046504D">
      <w:pPr>
        <w:pStyle w:val="Heading2"/>
        <w:suppressAutoHyphens/>
        <w:ind w:left="567" w:hanging="567"/>
      </w:pPr>
      <w:r w:rsidRPr="00C72A9B">
        <w:t>EKES z zadowoleniem przyjmuje również podejście Komisji Europejskiej do Oceanu Atlantyckiego, które obejmuje następujące elementy: rolę portów w zrównoważonym rozwoju turystyki przybrzeżnej, w dziedzinie akwakultury, w odniesieniu do przemysłu stoczniowego, w</w:t>
      </w:r>
      <w:r w:rsidR="00C72A9B">
        <w:t> </w:t>
      </w:r>
      <w:r w:rsidRPr="00C72A9B">
        <w:t>sektorze energii z morskich źródeł odnawialnych oraz innowacji; rozwój niebieskich umiejętności poprzez położenie nacisku na wysokiej jakości wiedzę na temat oceanów; rolę energii z morskich źródeł odnawialnych jako narzędzia transformacji energetycznej; oraz zaangażowanie na rzecz zdrowych oceanów i odpornych wybrzeży.</w:t>
      </w:r>
    </w:p>
    <w:p w14:paraId="3F7D8980" w14:textId="77777777" w:rsidR="0013666D" w:rsidRPr="00C72A9B" w:rsidRDefault="0013666D" w:rsidP="0046504D">
      <w:pPr>
        <w:suppressAutoHyphens/>
      </w:pPr>
    </w:p>
    <w:p w14:paraId="29794F69" w14:textId="185D2742" w:rsidR="0013666D" w:rsidRPr="00C72A9B" w:rsidRDefault="0013666D" w:rsidP="0046504D">
      <w:pPr>
        <w:pStyle w:val="Heading2"/>
        <w:suppressAutoHyphens/>
        <w:ind w:left="567" w:hanging="567"/>
      </w:pPr>
      <w:r w:rsidRPr="00C72A9B">
        <w:t>EKES proponuje jednak bardziej kompleksową wizję umożliwiającą projekty pozwalające na naturalną interakcję między obszarami odpowiadającymi poszczególnym filarom.</w:t>
      </w:r>
    </w:p>
    <w:p w14:paraId="48B7D4F6" w14:textId="77777777" w:rsidR="0013666D" w:rsidRPr="00C72A9B" w:rsidRDefault="0013666D" w:rsidP="0046504D">
      <w:pPr>
        <w:suppressAutoHyphens/>
      </w:pPr>
    </w:p>
    <w:p w14:paraId="2DE8338E" w14:textId="3D9EEA1E" w:rsidR="0013666D" w:rsidRPr="00C72A9B" w:rsidRDefault="0013666D" w:rsidP="0046504D">
      <w:pPr>
        <w:pStyle w:val="Heading2"/>
        <w:suppressAutoHyphens/>
        <w:ind w:left="567" w:hanging="567"/>
      </w:pPr>
      <w:r w:rsidRPr="00C72A9B">
        <w:t>Komitet zaleca również położenie nacisku na planowanie przestrzenne obszarów morskich i</w:t>
      </w:r>
      <w:r w:rsidR="00C72A9B">
        <w:t> </w:t>
      </w:r>
      <w:r w:rsidRPr="00C72A9B">
        <w:t xml:space="preserve">zarządzanie nimi, ponieważ bez odpowiednio zorganizowanej przestrzeni morskiej trudno będzie zapewnić zrównoważony rozwój niebieskiej gospodarki zarówno z punktu widzenia ochrony środowiska, jak i inwestycji w projekty. EKES uważa, że właściwe planowanie przestrzenne obszarów morskich (PPOM) sprzyja zrównoważonemu wzrostowi gospodarki morskiej i wykorzystywaniu zasobów morskich poprzez lepsze zarządzanie konfliktami między poszczególnymi rodzajami działalności i większą synergię między różnymi rodzajami </w:t>
      </w:r>
      <w:r w:rsidRPr="00C72A9B">
        <w:lastRenderedPageBreak/>
        <w:t xml:space="preserve">działalności morskiej zgodnie z rezolucją przyjętą przez Parlament Europejski 15 stycznia 2020 r. w celu nadania Europejskiemu Zielonemu Ładowi niebieskiego wymiaru. </w:t>
      </w:r>
    </w:p>
    <w:p w14:paraId="6B5A4453" w14:textId="77777777" w:rsidR="0013666D" w:rsidRPr="00C72A9B" w:rsidRDefault="0013666D" w:rsidP="0046504D">
      <w:pPr>
        <w:suppressAutoHyphens/>
      </w:pPr>
    </w:p>
    <w:p w14:paraId="7D2DEE87" w14:textId="137A48A9" w:rsidR="0013666D" w:rsidRPr="00C72A9B" w:rsidRDefault="0013666D" w:rsidP="0046504D">
      <w:pPr>
        <w:pStyle w:val="Heading2"/>
        <w:suppressAutoHyphens/>
        <w:ind w:left="567" w:hanging="567"/>
      </w:pPr>
      <w:r w:rsidRPr="00C72A9B">
        <w:t>Ponieważ basen Oceanu Atlantyckiego ma kilka wybrzeży, a ocean nie ma granic, EKES sądzi, że plan działania powinien zawierać ogólne wytyczne dotyczące partnerstw w kontekście transatlantyckim, mimo że rozwój niebieskiej gospodarki ma na celu promowanie projektów w</w:t>
      </w:r>
      <w:r w:rsidR="00C72A9B">
        <w:t> </w:t>
      </w:r>
      <w:r w:rsidRPr="00C72A9B">
        <w:t>przestrzeni morskiej pod zwierzchnictwem państw nadbrzeżnych UE.</w:t>
      </w:r>
    </w:p>
    <w:p w14:paraId="0986E19C" w14:textId="77777777" w:rsidR="0013666D" w:rsidRPr="00C72A9B" w:rsidRDefault="0013666D" w:rsidP="0046504D">
      <w:pPr>
        <w:suppressAutoHyphens/>
      </w:pPr>
    </w:p>
    <w:p w14:paraId="27A532C5" w14:textId="605973FC" w:rsidR="00C116A5" w:rsidRPr="00C72A9B" w:rsidRDefault="00C116A5" w:rsidP="0046504D">
      <w:pPr>
        <w:pStyle w:val="Heading2"/>
        <w:suppressAutoHyphens/>
        <w:ind w:left="567" w:hanging="567"/>
      </w:pPr>
      <w:r w:rsidRPr="00C72A9B">
        <w:t>EKES negatywnie ocenia również brak celów i środków związanych z rybołówstwem i</w:t>
      </w:r>
      <w:r w:rsidR="00C72A9B">
        <w:t> </w:t>
      </w:r>
      <w:r w:rsidRPr="00C72A9B">
        <w:t>turystyką i zaleca, by Komisja przywiązywała większą wagę do tych działań.</w:t>
      </w:r>
    </w:p>
    <w:p w14:paraId="74AF0187" w14:textId="77777777" w:rsidR="00C116A5" w:rsidRPr="00C72A9B" w:rsidRDefault="00C116A5" w:rsidP="0046504D">
      <w:pPr>
        <w:suppressAutoHyphens/>
      </w:pPr>
    </w:p>
    <w:p w14:paraId="3F618B6D" w14:textId="6053DB43" w:rsidR="00C116A5" w:rsidRPr="00C72A9B" w:rsidRDefault="00C116A5" w:rsidP="0046504D">
      <w:pPr>
        <w:pStyle w:val="Heading2"/>
        <w:suppressAutoHyphens/>
        <w:ind w:left="567" w:hanging="567"/>
      </w:pPr>
      <w:r w:rsidRPr="00C72A9B">
        <w:t>EKES ubolewa również, iż Komisja nie określiła konkretnych środków i celów dla archipelagów, ponieważ są to regiony najbardziej oddalone, w których znaczenie gospodarki morskiej jest jeszcze większe niż w pozostałej części regionu atlantyckiego. W związku z tym zaleca Komisji uwzględnienie takich środków w planie.</w:t>
      </w:r>
    </w:p>
    <w:p w14:paraId="5C2B9B6A" w14:textId="77777777" w:rsidR="00C116A5" w:rsidRPr="00C72A9B" w:rsidRDefault="00C116A5" w:rsidP="0046504D">
      <w:pPr>
        <w:suppressAutoHyphens/>
      </w:pPr>
    </w:p>
    <w:p w14:paraId="6624ACE6" w14:textId="322DF2CC" w:rsidR="0013666D" w:rsidRPr="00C72A9B" w:rsidRDefault="0013666D" w:rsidP="0046504D">
      <w:pPr>
        <w:pStyle w:val="Heading2"/>
        <w:suppressAutoHyphens/>
        <w:ind w:left="567" w:hanging="567"/>
      </w:pPr>
      <w:r w:rsidRPr="00C72A9B">
        <w:t>Jeśli chodzi o partnerstwa między państwami członkowskimi i na szczeblu międzynarodowym, zdaniem EKES-u należy jasno określić ich cele i zasady. Komitet uważa, że oprócz przepisów między państwami członkowskimi należy położyć szczególny nacisk na ramy partnerstwa z</w:t>
      </w:r>
      <w:r w:rsidR="00C72A9B">
        <w:t> </w:t>
      </w:r>
      <w:r w:rsidRPr="00C72A9B">
        <w:t>europejskimi państwami trzecimi, Zjednoczonym Królestwem, Norwegią i Islandią. Jest zdania, że zwłaszcza w przypadku Zjednoczonego Królestwa należy zwrócić szczególną uwagę na środki, które pozwolą zapobiec utracie informacji lub które utrudniają współpracę.</w:t>
      </w:r>
    </w:p>
    <w:p w14:paraId="104314CB" w14:textId="77777777" w:rsidR="0013666D" w:rsidRPr="00C72A9B" w:rsidRDefault="0013666D" w:rsidP="0046504D">
      <w:pPr>
        <w:suppressAutoHyphens/>
      </w:pPr>
    </w:p>
    <w:p w14:paraId="1CE9CD56" w14:textId="40FFA038" w:rsidR="00C116A5" w:rsidRPr="00C72A9B" w:rsidRDefault="0013666D" w:rsidP="0046504D">
      <w:pPr>
        <w:pStyle w:val="Heading2"/>
        <w:suppressAutoHyphens/>
        <w:ind w:left="567" w:hanging="567"/>
      </w:pPr>
      <w:r w:rsidRPr="00C72A9B">
        <w:t xml:space="preserve">W odniesieniu do finansowania EKES uważa, że w dokumencie strategicznym takim jak strategia morska na rzecz Oceanu Atlantyckiego oprócz zwykłego wykazu źródeł finansowania należy również określić ogólne wytyczne dotyczące zatwierdzania projektów. </w:t>
      </w:r>
    </w:p>
    <w:p w14:paraId="1F406C76" w14:textId="77777777" w:rsidR="00C116A5" w:rsidRPr="00C72A9B" w:rsidRDefault="00C116A5" w:rsidP="0046504D">
      <w:pPr>
        <w:suppressAutoHyphens/>
      </w:pPr>
    </w:p>
    <w:p w14:paraId="2809D723" w14:textId="4054B470" w:rsidR="0013666D" w:rsidRPr="00C72A9B" w:rsidRDefault="0013666D" w:rsidP="0046504D">
      <w:pPr>
        <w:pStyle w:val="Heading2"/>
        <w:suppressAutoHyphens/>
        <w:ind w:left="567" w:hanging="567"/>
      </w:pPr>
      <w:r w:rsidRPr="00C72A9B">
        <w:t>EKES proponuje, by przy podejmowaniu decyzji o finansowaniu rozważać takie elementy jak innowacje, badania naukowe, zrównoważoność ekologiczna, wkład w rozwój społeczny i</w:t>
      </w:r>
      <w:r w:rsidR="00C72A9B">
        <w:t> </w:t>
      </w:r>
      <w:r w:rsidRPr="00C72A9B">
        <w:t>lokalizacja na właściwie zagospodarowanym obszarze morskim, zgodnie z matrycą zawierającą dobrze zdefiniowane wskaźniki.</w:t>
      </w:r>
    </w:p>
    <w:p w14:paraId="348F291D" w14:textId="77777777" w:rsidR="0013666D" w:rsidRPr="00C72A9B" w:rsidRDefault="0013666D" w:rsidP="0046504D">
      <w:pPr>
        <w:suppressAutoHyphens/>
      </w:pPr>
    </w:p>
    <w:p w14:paraId="1C8F1C8E" w14:textId="09CC4656" w:rsidR="0013666D" w:rsidRPr="00C72A9B" w:rsidRDefault="0013666D" w:rsidP="0046504D">
      <w:pPr>
        <w:pStyle w:val="Heading2"/>
        <w:suppressAutoHyphens/>
        <w:ind w:left="567" w:hanging="567"/>
      </w:pPr>
      <w:r w:rsidRPr="00C72A9B">
        <w:t>Komitet zdecydowanie zaleca utworzenie specjalnej linii finansowania dla projektów opracowywanych w ramach planu działania 2.0, tak jak ma to miejsce w przypadku innych sektorów działalności korzystających z europejskiego finansowania publicznego, gdyż w</w:t>
      </w:r>
      <w:r w:rsidR="00C72A9B">
        <w:t> </w:t>
      </w:r>
      <w:r w:rsidRPr="00C72A9B">
        <w:t>przeciwnym razie istnieje ryzyko, że będą one relegowane na drugi plan przy składaniu wniosków w ramach systemów finansowania, w których nie stanowią centralnych elementów.</w:t>
      </w:r>
    </w:p>
    <w:p w14:paraId="7E9042F1" w14:textId="77777777" w:rsidR="0013666D" w:rsidRPr="00C72A9B" w:rsidRDefault="0013666D" w:rsidP="0046504D">
      <w:pPr>
        <w:suppressAutoHyphens/>
      </w:pPr>
    </w:p>
    <w:p w14:paraId="394727F6" w14:textId="4AFDD4C4" w:rsidR="0013666D" w:rsidRPr="00C72A9B" w:rsidRDefault="0013666D" w:rsidP="0046504D">
      <w:pPr>
        <w:pStyle w:val="Heading2"/>
        <w:suppressAutoHyphens/>
        <w:ind w:left="567" w:hanging="567"/>
      </w:pPr>
      <w:r w:rsidRPr="00C72A9B">
        <w:t>EKES jest zdania, że uwzględnienie zawartych w niniejszej opinii zaleceń dotyczących oceny i</w:t>
      </w:r>
      <w:r w:rsidR="00C72A9B">
        <w:t> </w:t>
      </w:r>
      <w:r w:rsidRPr="00C72A9B">
        <w:t>finansowania projektów oraz ich monitorowania i działań następczych przyczyni się do poprawy jakości i skali wyników społecznych, gospodarczych i środowiskowych, które mają zostać osiągnięte dzięki realizacji planu działania na rzecz Oceanu Atlantyckiego 2.0.</w:t>
      </w:r>
    </w:p>
    <w:p w14:paraId="5F04433A" w14:textId="77777777" w:rsidR="0013666D" w:rsidRPr="00C72A9B" w:rsidRDefault="0013666D" w:rsidP="0046504D">
      <w:pPr>
        <w:suppressAutoHyphens/>
      </w:pPr>
    </w:p>
    <w:p w14:paraId="46C127AA" w14:textId="4D630C09" w:rsidR="0013666D" w:rsidRPr="00C72A9B" w:rsidRDefault="0013666D" w:rsidP="0046504D">
      <w:pPr>
        <w:pStyle w:val="Heading2"/>
        <w:suppressAutoHyphens/>
        <w:ind w:left="567" w:hanging="567"/>
      </w:pPr>
      <w:r w:rsidRPr="00C72A9B">
        <w:t>Na koniec Komitet uważa, że zastosowanie zaleceń sformułowanych we wcześniejszych opiniach EKES-u zwiększa szanse powodzenia we wdrażaniu planu, zwłaszcza jeśli chodzi o</w:t>
      </w:r>
      <w:r w:rsidR="00C72A9B">
        <w:t> </w:t>
      </w:r>
      <w:r w:rsidRPr="00C72A9B">
        <w:t xml:space="preserve">utworzenie makroregionu atlantyckiego i ożywienie Forum Atlantyckiego. </w:t>
      </w:r>
    </w:p>
    <w:p w14:paraId="6E522A37" w14:textId="77777777" w:rsidR="00194B36" w:rsidRPr="00C72A9B" w:rsidRDefault="00194B36" w:rsidP="0046504D">
      <w:pPr>
        <w:suppressAutoHyphens/>
      </w:pPr>
    </w:p>
    <w:p w14:paraId="6E522A38" w14:textId="56E73D45" w:rsidR="00194B36" w:rsidRPr="00C72A9B" w:rsidRDefault="0013666D" w:rsidP="0046504D">
      <w:pPr>
        <w:pStyle w:val="Heading1"/>
        <w:suppressAutoHyphens/>
        <w:ind w:left="567" w:hanging="567"/>
      </w:pPr>
      <w:r w:rsidRPr="00C72A9B">
        <w:rPr>
          <w:b/>
          <w:bCs/>
        </w:rPr>
        <w:t>Kontekst i ramy</w:t>
      </w:r>
    </w:p>
    <w:p w14:paraId="6E522A39" w14:textId="77777777" w:rsidR="00194B36" w:rsidRPr="00C72A9B" w:rsidRDefault="00194B36" w:rsidP="0046504D">
      <w:pPr>
        <w:suppressAutoHyphens/>
        <w:overflowPunct/>
        <w:adjustRightInd/>
        <w:textAlignment w:val="auto"/>
      </w:pPr>
    </w:p>
    <w:p w14:paraId="4BA20453" w14:textId="11FB1EDE" w:rsidR="0013666D" w:rsidRPr="00C72A9B" w:rsidRDefault="0013666D" w:rsidP="0046504D">
      <w:pPr>
        <w:pStyle w:val="Heading2"/>
        <w:suppressAutoHyphens/>
        <w:ind w:left="567" w:hanging="567"/>
      </w:pPr>
      <w:r w:rsidRPr="00C72A9B">
        <w:t>Strategia morska na rzecz Oceanu Atlantyckiego</w:t>
      </w:r>
      <w:r w:rsidRPr="00C72A9B">
        <w:rPr>
          <w:rStyle w:val="FootnoteReference"/>
          <w:color w:val="000000"/>
          <w:szCs w:val="18"/>
        </w:rPr>
        <w:footnoteReference w:id="2"/>
      </w:r>
      <w:r w:rsidRPr="00C72A9B">
        <w:t xml:space="preserve"> została przyjęta w 2011 r. w celu wspierania zrównoważonego rozwoju niebieskiej gospodarki w państwach członkowskich UE leżących na wybrzeżach Atlantyku. Z myślą o wdrożeniu tej strategii Komisja Europejska przedstawiła w</w:t>
      </w:r>
      <w:r w:rsidR="00C72A9B">
        <w:t> </w:t>
      </w:r>
      <w:r w:rsidRPr="00C72A9B">
        <w:t>2013 r. plan działania na rzecz Oceanu Atlantyckiego</w:t>
      </w:r>
      <w:r w:rsidR="00C116A5" w:rsidRPr="00C72A9B">
        <w:rPr>
          <w:rStyle w:val="FootnoteReference"/>
          <w:szCs w:val="24"/>
        </w:rPr>
        <w:footnoteReference w:id="3"/>
      </w:r>
      <w:r w:rsidRPr="00C72A9B">
        <w:t>.</w:t>
      </w:r>
    </w:p>
    <w:p w14:paraId="20A79FEF" w14:textId="77777777" w:rsidR="0013666D" w:rsidRPr="00C72A9B" w:rsidRDefault="0013666D" w:rsidP="0046504D">
      <w:pPr>
        <w:suppressAutoHyphens/>
      </w:pPr>
    </w:p>
    <w:p w14:paraId="2E2DF8C9" w14:textId="75D7A6A9" w:rsidR="0013666D" w:rsidRPr="00C72A9B" w:rsidRDefault="0013666D" w:rsidP="0046504D">
      <w:pPr>
        <w:pStyle w:val="Heading2"/>
        <w:suppressAutoHyphens/>
        <w:ind w:left="567" w:hanging="567"/>
      </w:pPr>
      <w:r w:rsidRPr="00C72A9B">
        <w:t>EKES przeanalizował każdy z tych instrumentów i wydał dwie opinie zawierające odpowiednie wnioski i zalecenia</w:t>
      </w:r>
      <w:r w:rsidRPr="00C72A9B">
        <w:rPr>
          <w:rStyle w:val="FootnoteReference"/>
          <w:szCs w:val="24"/>
        </w:rPr>
        <w:footnoteReference w:id="4"/>
      </w:r>
      <w:r w:rsidRPr="00C72A9B">
        <w:t>, z których część ma strategiczne znaczenie dla rozwoju gospodarczego, społecznego i środowiskowego Europy, np. propozycja utworzenia makroregionu atlantyckiego na wzór regionu Morza Bałtyckiego i regionu Dunaju. Wnioski te są nadal aktualne i istotne.</w:t>
      </w:r>
    </w:p>
    <w:p w14:paraId="65FA6A27" w14:textId="77777777" w:rsidR="0013666D" w:rsidRPr="00C72A9B" w:rsidRDefault="0013666D" w:rsidP="0046504D">
      <w:pPr>
        <w:suppressAutoHyphens/>
      </w:pPr>
    </w:p>
    <w:p w14:paraId="34ADFD01" w14:textId="0D4C8D73" w:rsidR="0013666D" w:rsidRPr="00C72A9B" w:rsidRDefault="0013666D" w:rsidP="0046504D">
      <w:pPr>
        <w:pStyle w:val="Heading2"/>
        <w:suppressAutoHyphens/>
        <w:ind w:left="567" w:hanging="567"/>
      </w:pPr>
      <w:r w:rsidRPr="00C72A9B">
        <w:t>Od tego czasu określono szereg strategii sektorowych, które wpłynęły na zdolność do realizacji celów strategii morskiej na rzecz obszaru Oceanu Atlantyckiego i na urzeczywistnienie jej planu działania: m.in. Europejski Zielony Ład</w:t>
      </w:r>
      <w:r w:rsidRPr="00C72A9B">
        <w:rPr>
          <w:rStyle w:val="FootnoteReference"/>
          <w:szCs w:val="24"/>
        </w:rPr>
        <w:footnoteReference w:id="5"/>
      </w:r>
      <w:r w:rsidRPr="00C72A9B">
        <w:t xml:space="preserve"> przyjęty przez Komisję Europejską w grudniu 2019 r.; nowa unijna strategia na rzecz bioróżnorodności 2030</w:t>
      </w:r>
      <w:r w:rsidRPr="00C72A9B">
        <w:rPr>
          <w:rStyle w:val="FootnoteReference"/>
          <w:szCs w:val="24"/>
        </w:rPr>
        <w:footnoteReference w:id="6"/>
      </w:r>
      <w:r w:rsidRPr="00C72A9B">
        <w:t xml:space="preserve"> oraz strategia „od pola do stołu”</w:t>
      </w:r>
      <w:r w:rsidRPr="00C72A9B">
        <w:rPr>
          <w:rStyle w:val="FootnoteReference"/>
          <w:szCs w:val="24"/>
        </w:rPr>
        <w:footnoteReference w:id="7"/>
      </w:r>
      <w:r w:rsidRPr="00C72A9B">
        <w:t>.</w:t>
      </w:r>
    </w:p>
    <w:p w14:paraId="54E75375" w14:textId="77777777" w:rsidR="0013666D" w:rsidRPr="00C72A9B" w:rsidRDefault="0013666D" w:rsidP="0046504D">
      <w:pPr>
        <w:suppressAutoHyphens/>
      </w:pPr>
    </w:p>
    <w:p w14:paraId="11CFDBDE" w14:textId="4FE0138B" w:rsidR="0013666D" w:rsidRPr="00C72A9B" w:rsidRDefault="0013666D" w:rsidP="0046504D">
      <w:pPr>
        <w:pStyle w:val="Heading2"/>
        <w:suppressAutoHyphens/>
        <w:ind w:left="567" w:hanging="567"/>
      </w:pPr>
      <w:r w:rsidRPr="00C72A9B">
        <w:t>W świetle tych wydarzeń oraz w celu zareagowania na bezprecedensowy kryzys społeczno-gospodarczy wywołany pandemią COVID-19 Komisja Europejska uważa za konieczne uaktualnienie priorytetów współpracy regionalnej i nadanie nowego impulsu zrównoważonej gospodarce morskiej zdolnej do generowania zatrudnienia.</w:t>
      </w:r>
    </w:p>
    <w:p w14:paraId="7C98D8DC" w14:textId="77777777" w:rsidR="0013666D" w:rsidRPr="00C72A9B" w:rsidRDefault="0013666D" w:rsidP="0046504D">
      <w:pPr>
        <w:suppressAutoHyphens/>
      </w:pPr>
    </w:p>
    <w:p w14:paraId="6E329894" w14:textId="5BFAB9F9" w:rsidR="0013666D" w:rsidRPr="00C72A9B" w:rsidRDefault="0013666D" w:rsidP="0046504D">
      <w:pPr>
        <w:pStyle w:val="Heading2"/>
        <w:suppressAutoHyphens/>
        <w:ind w:left="567" w:hanging="567"/>
      </w:pPr>
      <w:r w:rsidRPr="00C72A9B">
        <w:t>W tym kontekście Komisja przyjęła środki mające na celu naprawę szkód społecznych i</w:t>
      </w:r>
      <w:r w:rsidR="00C72A9B">
        <w:t> </w:t>
      </w:r>
      <w:r w:rsidRPr="00C72A9B">
        <w:t>gospodarczych, ożywienie gospodarki w Europie oraz ochronę i tworzenie miejsc pracy, a</w:t>
      </w:r>
      <w:r w:rsidR="00C72A9B">
        <w:t> </w:t>
      </w:r>
      <w:r w:rsidRPr="00C72A9B">
        <w:t>także przedstawiła nowe narzędzie służące odbudowie Next Generation EU</w:t>
      </w:r>
      <w:r w:rsidRPr="00C72A9B">
        <w:rPr>
          <w:rStyle w:val="FootnoteReference"/>
          <w:szCs w:val="24"/>
        </w:rPr>
        <w:footnoteReference w:id="8"/>
      </w:r>
      <w:r w:rsidRPr="00C72A9B">
        <w:t>.</w:t>
      </w:r>
    </w:p>
    <w:p w14:paraId="46E036A9" w14:textId="77777777" w:rsidR="0013666D" w:rsidRPr="00C72A9B" w:rsidRDefault="0013666D" w:rsidP="0046504D">
      <w:pPr>
        <w:suppressAutoHyphens/>
      </w:pPr>
    </w:p>
    <w:p w14:paraId="26146A2A" w14:textId="0DAFC248" w:rsidR="0013666D" w:rsidRPr="00C72A9B" w:rsidRDefault="0013666D" w:rsidP="0046504D">
      <w:pPr>
        <w:pStyle w:val="Heading2"/>
        <w:suppressAutoHyphens/>
        <w:ind w:left="567" w:hanging="567"/>
      </w:pPr>
      <w:r w:rsidRPr="00C72A9B">
        <w:t>EKES podkreśla, że wysiłki UE koncentrują się na koncepcji zrównoważonego rozwoju w celu uczynienia Europy do 2050 r. pierwszym kontynentem neutralnym dla klimatu.</w:t>
      </w:r>
    </w:p>
    <w:p w14:paraId="7852B157" w14:textId="77777777" w:rsidR="0013666D" w:rsidRPr="00C72A9B" w:rsidRDefault="0013666D" w:rsidP="0046504D">
      <w:pPr>
        <w:suppressAutoHyphens/>
      </w:pPr>
    </w:p>
    <w:p w14:paraId="7839A598" w14:textId="4909BE22" w:rsidR="0013666D" w:rsidRPr="00C72A9B" w:rsidRDefault="0013666D" w:rsidP="0046504D">
      <w:pPr>
        <w:pStyle w:val="Heading2"/>
        <w:suppressAutoHyphens/>
        <w:ind w:left="567" w:hanging="567"/>
      </w:pPr>
      <w:r w:rsidRPr="00C72A9B">
        <w:t xml:space="preserve">Nowe strategie sektorowe ukazują centralną rolę niebieskiej gospodarki jako siły napędowej zrównoważonego rozwoju UE i planety oraz dla łagodzenia skutków zmiany klimatu. </w:t>
      </w:r>
    </w:p>
    <w:p w14:paraId="175EA10B" w14:textId="77777777" w:rsidR="0013666D" w:rsidRPr="00C72A9B" w:rsidRDefault="0013666D" w:rsidP="0046504D">
      <w:pPr>
        <w:suppressAutoHyphens/>
      </w:pPr>
    </w:p>
    <w:p w14:paraId="5692BE57" w14:textId="3A4407A6" w:rsidR="0013666D" w:rsidRPr="00C72A9B" w:rsidRDefault="0013666D" w:rsidP="00E552A3">
      <w:pPr>
        <w:pStyle w:val="Heading2"/>
        <w:keepLines/>
        <w:suppressAutoHyphens/>
        <w:ind w:left="567" w:hanging="567"/>
        <w:rPr>
          <w:b/>
          <w:bCs/>
        </w:rPr>
      </w:pPr>
      <w:r w:rsidRPr="00C72A9B">
        <w:t xml:space="preserve">Komunikat Komisji do Parlamentu Europejskiego, Rady, Europejskiego Komitetu Ekonomiczno-Społecznego i Komitetu Regionów „Nowe podejście do strategii morskiej na rzecz Oceanu Atlantyckiego – plan działania na rzecz Oceanu Atlantyckiego 2.0” obejmuje </w:t>
      </w:r>
      <w:r w:rsidRPr="00C72A9B">
        <w:lastRenderedPageBreak/>
        <w:t>zaktualizowany plan działania na rzecz zrównoważonej, odpornej i konkurencyjnej niebieskiej gospodarki w regionie Oceanu Atlantyckiego Unii Europejskiej</w:t>
      </w:r>
      <w:r w:rsidRPr="00C72A9B">
        <w:rPr>
          <w:rStyle w:val="FootnoteReference"/>
          <w:szCs w:val="18"/>
        </w:rPr>
        <w:footnoteReference w:id="9"/>
      </w:r>
      <w:r w:rsidRPr="00C72A9B">
        <w:rPr>
          <w:rStyle w:val="FootnoteReference"/>
          <w:szCs w:val="18"/>
        </w:rPr>
        <w:footnoteReference w:id="10"/>
      </w:r>
      <w:r w:rsidRPr="00C72A9B">
        <w:rPr>
          <w:rStyle w:val="FootnoteReference"/>
          <w:b/>
          <w:bCs/>
        </w:rPr>
        <w:t xml:space="preserve"> </w:t>
      </w:r>
    </w:p>
    <w:p w14:paraId="17FF6ADA" w14:textId="77777777" w:rsidR="0013666D" w:rsidRPr="00C72A9B" w:rsidRDefault="0013666D" w:rsidP="0046504D">
      <w:pPr>
        <w:suppressAutoHyphens/>
      </w:pPr>
      <w:bookmarkStart w:id="0" w:name="_heading=h.x22v6ylddyau"/>
      <w:bookmarkStart w:id="1" w:name="_heading=h.ce5my3ohj08o"/>
      <w:bookmarkStart w:id="2" w:name="_heading=h.j8tp2zo7qeei"/>
      <w:bookmarkStart w:id="3" w:name="_heading=h.lnd2pbk3lcps"/>
      <w:bookmarkEnd w:id="0"/>
      <w:bookmarkEnd w:id="1"/>
      <w:bookmarkEnd w:id="2"/>
      <w:bookmarkEnd w:id="3"/>
    </w:p>
    <w:p w14:paraId="5D8382C6" w14:textId="224627C9" w:rsidR="0013666D" w:rsidRPr="00C72A9B" w:rsidRDefault="007854A2" w:rsidP="0046504D">
      <w:pPr>
        <w:pStyle w:val="Heading2"/>
        <w:suppressAutoHyphens/>
        <w:ind w:left="567" w:hanging="567"/>
      </w:pPr>
      <w:r w:rsidRPr="00C72A9B">
        <w:t>Ponadto Komisja informuje, że zmieniony plan działania opiera się na ocenie śródokresowej</w:t>
      </w:r>
      <w:r w:rsidRPr="00C72A9B">
        <w:rPr>
          <w:rStyle w:val="FootnoteReference"/>
        </w:rPr>
        <w:footnoteReference w:id="11"/>
      </w:r>
      <w:r w:rsidRPr="00C72A9B">
        <w:t xml:space="preserve"> poprzedniego planu działania oraz na konsultacjach z zainteresowanymi stronami i państwami członkowskimi rejonu Oceanu Atlantyckiego. Ocena ta wykazała, że w wyniku poprzedniego planu powstało ponad 1200 projektów morskich, a inwestycje – głównie ze środków UE – wyniosły ok. 6 mld EUR.</w:t>
      </w:r>
    </w:p>
    <w:p w14:paraId="295A5AD1" w14:textId="77777777" w:rsidR="0013666D" w:rsidRPr="00C72A9B" w:rsidRDefault="0013666D" w:rsidP="0046504D">
      <w:pPr>
        <w:suppressAutoHyphens/>
      </w:pPr>
    </w:p>
    <w:p w14:paraId="6E522A3A" w14:textId="0EBAA7CB" w:rsidR="00194B36" w:rsidRPr="00C72A9B" w:rsidRDefault="0013666D" w:rsidP="0046504D">
      <w:pPr>
        <w:pStyle w:val="Heading2"/>
        <w:suppressAutoHyphens/>
        <w:ind w:left="567" w:hanging="567"/>
      </w:pPr>
      <w:r w:rsidRPr="00C72A9B">
        <w:t>EKES z zainteresowaniem odnotowuje, że jednym z wniosków z tej oceny była potrzeba „wprowadzenia ulepszeń dotyczących tematycznego ukierunkowania planu i struktury zarządzania nim oraz opracowania ram monitorowania”</w:t>
      </w:r>
      <w:r w:rsidRPr="00C72A9B">
        <w:rPr>
          <w:sz w:val="24"/>
          <w:szCs w:val="24"/>
          <w:vertAlign w:val="superscript"/>
        </w:rPr>
        <w:footnoteReference w:id="12"/>
      </w:r>
      <w:r w:rsidRPr="00C72A9B">
        <w:t>, o co Komitet wnioskował we wspomnianych wyżej opiniach.</w:t>
      </w:r>
    </w:p>
    <w:p w14:paraId="6E522A3B" w14:textId="77777777" w:rsidR="00194B36" w:rsidRPr="00C72A9B" w:rsidRDefault="00194B36" w:rsidP="0046504D">
      <w:pPr>
        <w:suppressAutoHyphens/>
      </w:pPr>
    </w:p>
    <w:p w14:paraId="6E522A40" w14:textId="77D13C10" w:rsidR="00194B36" w:rsidRPr="00C72A9B" w:rsidRDefault="00AE305F" w:rsidP="0046504D">
      <w:pPr>
        <w:pStyle w:val="Heading1"/>
        <w:suppressAutoHyphens/>
        <w:ind w:left="567" w:hanging="567"/>
        <w:rPr>
          <w:b/>
        </w:rPr>
      </w:pPr>
      <w:r w:rsidRPr="00C72A9B">
        <w:rPr>
          <w:b/>
        </w:rPr>
        <w:t>Nowe podejście do strategii morskiej na rzecz Oceanu Atlantyckiego – plan działania na rzecz Oceanu Atlantyckiego 2.0</w:t>
      </w:r>
    </w:p>
    <w:p w14:paraId="6E522A41" w14:textId="5BCD88EB" w:rsidR="001B2D02" w:rsidRPr="00C72A9B" w:rsidRDefault="001B2D02" w:rsidP="0046504D">
      <w:pPr>
        <w:suppressAutoHyphens/>
      </w:pPr>
    </w:p>
    <w:p w14:paraId="6F0E8611" w14:textId="66B962AA" w:rsidR="00AE305F" w:rsidRPr="00C72A9B" w:rsidRDefault="00AE305F" w:rsidP="0046504D">
      <w:pPr>
        <w:pStyle w:val="Heading2"/>
        <w:suppressAutoHyphens/>
        <w:ind w:left="567" w:hanging="567"/>
      </w:pPr>
      <w:r w:rsidRPr="00C72A9B">
        <w:t>Komisja Europejska uznaje za główny cel planu działania na rzecz Oceanu Atlantyckiego 2.0 wzrost i uwolnienie potencjału niebieskiej gospodarki w obszarze Oceanu Atlantyckiego, mając na uwadze duży potencjał tworzenia miejsc pracy w społecznościach przybrzeżnych, przy jednoczesnej ochronie ekosystemów morskich oraz wniesieniu wkładu w łagodzenie skutków zmiany klimatu zgodnie z globalnymi zobowiązaniami na rzecz zrównoważonego rozwoju i</w:t>
      </w:r>
      <w:r w:rsidR="00C72A9B">
        <w:t> </w:t>
      </w:r>
      <w:r w:rsidRPr="00C72A9B">
        <w:t>priorytetami politycznymi na lata 2019–2024, zwłaszcza Europejskim Zielonym Ładem.</w:t>
      </w:r>
    </w:p>
    <w:p w14:paraId="28A01853" w14:textId="77777777" w:rsidR="00AE305F" w:rsidRPr="00C72A9B" w:rsidRDefault="00AE305F" w:rsidP="0046504D">
      <w:pPr>
        <w:suppressAutoHyphens/>
      </w:pPr>
    </w:p>
    <w:p w14:paraId="239F2FD5" w14:textId="03290248" w:rsidR="00AE305F" w:rsidRPr="00C72A9B" w:rsidRDefault="005463DE" w:rsidP="0046504D">
      <w:pPr>
        <w:pStyle w:val="Heading2"/>
        <w:suppressAutoHyphens/>
        <w:ind w:left="567" w:hanging="567"/>
      </w:pPr>
      <w:r w:rsidRPr="00C72A9B">
        <w:t>Plan działania 2.0 składa się z czterech filarów tematycznych i dąży do osiągnięcia siedmiu celów poprzez konkretne działania mobilizujące wszystkie zainteresowane strony z regionu Oceanu Atlantyckiego.</w:t>
      </w:r>
    </w:p>
    <w:p w14:paraId="6D021656" w14:textId="77777777" w:rsidR="00AE305F" w:rsidRPr="00C72A9B" w:rsidRDefault="00AE305F" w:rsidP="0046504D">
      <w:pPr>
        <w:suppressAutoHyphens/>
      </w:pPr>
    </w:p>
    <w:p w14:paraId="2CFAC650" w14:textId="57493037" w:rsidR="00AE305F" w:rsidRPr="00C72A9B" w:rsidRDefault="00AE305F" w:rsidP="0046504D">
      <w:pPr>
        <w:pStyle w:val="Heading2"/>
        <w:suppressAutoHyphens/>
        <w:ind w:left="567" w:hanging="567"/>
      </w:pPr>
      <w:r w:rsidRPr="00C72A9B">
        <w:rPr>
          <w:u w:val="single"/>
        </w:rPr>
        <w:t>Filar I</w:t>
      </w:r>
      <w:r w:rsidRPr="00C72A9B">
        <w:t xml:space="preserve"> dotyczy promowania portów atlantyckich jako bram i ośrodków niebieskiej gospodarki.</w:t>
      </w:r>
    </w:p>
    <w:p w14:paraId="7444F1C5" w14:textId="77777777" w:rsidR="00AE305F" w:rsidRPr="00C72A9B" w:rsidRDefault="00AE305F" w:rsidP="0046504D">
      <w:pPr>
        <w:suppressAutoHyphens/>
      </w:pPr>
    </w:p>
    <w:p w14:paraId="2B96ACED" w14:textId="1719B7FC" w:rsidR="00AE305F" w:rsidRPr="00C72A9B" w:rsidRDefault="00AE305F" w:rsidP="0046504D">
      <w:pPr>
        <w:pStyle w:val="Heading3"/>
        <w:suppressAutoHyphens/>
        <w:ind w:left="567" w:hanging="567"/>
      </w:pPr>
      <w:r w:rsidRPr="00C72A9B">
        <w:t>W tym filarze zakłada się, że porty i operatorzy portów odgrywają ważną rolę w</w:t>
      </w:r>
      <w:r w:rsidR="00C72A9B">
        <w:t> </w:t>
      </w:r>
      <w:r w:rsidRPr="00C72A9B">
        <w:t>zrównoważonym rozwoju centralnej działalności niebieskiej gospodarki, do której należą turystyka przybrzeżna, akwakultura, przemysł stoczniowy oraz rozwijające się gałęzie przemysłu takie jak sektor energii z morskich źródeł odnawialnych. Porty mogą pełnić ważną funkcję katalizatorów innowacji w tych i innych dziedzinach niebieskiej działalności.</w:t>
      </w:r>
    </w:p>
    <w:p w14:paraId="139C0191" w14:textId="77777777" w:rsidR="00AE305F" w:rsidRPr="00C72A9B" w:rsidRDefault="00AE305F" w:rsidP="0046504D">
      <w:pPr>
        <w:suppressAutoHyphens/>
      </w:pPr>
    </w:p>
    <w:p w14:paraId="4E74CCF9" w14:textId="10C3A04A" w:rsidR="00AE305F" w:rsidRPr="00C72A9B" w:rsidRDefault="00AE305F" w:rsidP="0046504D">
      <w:pPr>
        <w:pStyle w:val="Heading3"/>
        <w:suppressAutoHyphens/>
        <w:ind w:left="567" w:hanging="567"/>
      </w:pPr>
      <w:r w:rsidRPr="00C72A9B">
        <w:t>Przyjmuje się, że porty, współpracując ze sobą, będą w stanie zmobilizować środki finansowe na inteligentną infrastrukturę i przyczynić się do obniżenia emisyjności źródeł morskich.</w:t>
      </w:r>
    </w:p>
    <w:p w14:paraId="3BE8E6FD" w14:textId="77777777" w:rsidR="00AE305F" w:rsidRPr="00C72A9B" w:rsidRDefault="00AE305F" w:rsidP="0046504D">
      <w:pPr>
        <w:suppressAutoHyphens/>
      </w:pPr>
    </w:p>
    <w:p w14:paraId="71E8543B" w14:textId="331A34DA" w:rsidR="00AE305F" w:rsidRPr="00C72A9B" w:rsidRDefault="00AE305F" w:rsidP="0046504D">
      <w:pPr>
        <w:pStyle w:val="Heading3"/>
        <w:suppressAutoHyphens/>
        <w:ind w:left="567" w:hanging="567"/>
      </w:pPr>
      <w:r w:rsidRPr="00C72A9B">
        <w:lastRenderedPageBreak/>
        <w:t>W planie stwierdzono, że poprzez konkretne działania należy osiągnąć dwa cele szczegółowe: „porty jako bramy dla handlu w obrębie Atlantyku” i „porty jako katalizatory działalności gospodarczej”.</w:t>
      </w:r>
    </w:p>
    <w:p w14:paraId="7235B1FA" w14:textId="77777777" w:rsidR="00AE305F" w:rsidRPr="00C72A9B" w:rsidRDefault="00AE305F" w:rsidP="0046504D">
      <w:pPr>
        <w:suppressAutoHyphens/>
      </w:pPr>
    </w:p>
    <w:p w14:paraId="78F44B39" w14:textId="2DCB8055" w:rsidR="00AE305F" w:rsidRPr="00C72A9B" w:rsidRDefault="00AE305F" w:rsidP="0046504D">
      <w:pPr>
        <w:pStyle w:val="Heading2"/>
        <w:suppressAutoHyphens/>
        <w:ind w:left="567" w:hanging="567"/>
      </w:pPr>
      <w:r w:rsidRPr="00C72A9B">
        <w:rPr>
          <w:u w:val="single"/>
        </w:rPr>
        <w:t>Filar II</w:t>
      </w:r>
      <w:r w:rsidRPr="00C72A9B">
        <w:t xml:space="preserve"> koncentruje się na stworzeniu odpowiedniego zestawu przyszłościowych niebieskich umiejętności oraz wiedzy na temat oceanów jako sposobu na przyciągnięcie młodych talentów do niebieskiej gospodarki oraz zwiększenia konkurencyjności.</w:t>
      </w:r>
    </w:p>
    <w:p w14:paraId="2CA09DAF" w14:textId="77777777" w:rsidR="00AE305F" w:rsidRPr="00C72A9B" w:rsidRDefault="00AE305F" w:rsidP="0046504D">
      <w:pPr>
        <w:suppressAutoHyphens/>
      </w:pPr>
    </w:p>
    <w:p w14:paraId="4EF6CA35" w14:textId="1D9D781B" w:rsidR="00AE305F" w:rsidRPr="00C72A9B" w:rsidRDefault="00AE305F" w:rsidP="0046504D">
      <w:pPr>
        <w:pStyle w:val="Heading3"/>
        <w:suppressAutoHyphens/>
        <w:ind w:left="567" w:hanging="567"/>
      </w:pPr>
      <w:r w:rsidRPr="00C72A9B">
        <w:t>Istotą tego filaru jest potrzeba zapewnienia lepiej wykształconych i lepiej poinformowanych pokoleń.</w:t>
      </w:r>
    </w:p>
    <w:p w14:paraId="3D155FC0" w14:textId="77777777" w:rsidR="00AE305F" w:rsidRPr="00C72A9B" w:rsidRDefault="00AE305F" w:rsidP="0046504D">
      <w:pPr>
        <w:suppressAutoHyphens/>
      </w:pPr>
    </w:p>
    <w:p w14:paraId="6CB840DF" w14:textId="703F376E" w:rsidR="00AE305F" w:rsidRPr="00C72A9B" w:rsidRDefault="00AE305F" w:rsidP="0046504D">
      <w:pPr>
        <w:pStyle w:val="Heading3"/>
        <w:suppressAutoHyphens/>
        <w:ind w:left="567" w:hanging="567"/>
      </w:pPr>
      <w:r w:rsidRPr="00C72A9B">
        <w:t>W tym celu plan działania 2.0 określa jako cele szczegółowe dla tego filaru „edukację o</w:t>
      </w:r>
      <w:r w:rsidR="00C72A9B">
        <w:t> </w:t>
      </w:r>
      <w:r w:rsidRPr="00C72A9B">
        <w:t>wysokiej jakości, szkolenie i uczenie się przez całe życie” oraz „wiedzę na temat oceanów”.</w:t>
      </w:r>
    </w:p>
    <w:p w14:paraId="7AEF9A5D" w14:textId="77777777" w:rsidR="00AE305F" w:rsidRPr="00C72A9B" w:rsidRDefault="00AE305F" w:rsidP="0046504D">
      <w:pPr>
        <w:suppressAutoHyphens/>
      </w:pPr>
    </w:p>
    <w:p w14:paraId="739DA13F" w14:textId="7306F8E5" w:rsidR="00AE305F" w:rsidRPr="00C72A9B" w:rsidRDefault="00AE305F" w:rsidP="0046504D">
      <w:pPr>
        <w:pStyle w:val="Heading2"/>
        <w:suppressAutoHyphens/>
        <w:ind w:left="567" w:hanging="567"/>
      </w:pPr>
      <w:r w:rsidRPr="00C72A9B">
        <w:rPr>
          <w:u w:val="single"/>
        </w:rPr>
        <w:t>Filar III</w:t>
      </w:r>
      <w:r w:rsidRPr="00C72A9B">
        <w:t xml:space="preserve"> koncentruje się na energii z morskich źródeł odnawialnych jako głównym elemencie przechodzenia na gospodarkę neutralną dla klimatu.</w:t>
      </w:r>
    </w:p>
    <w:p w14:paraId="6D8663C0" w14:textId="77777777" w:rsidR="00AE305F" w:rsidRPr="00C72A9B" w:rsidRDefault="00AE305F" w:rsidP="0046504D">
      <w:pPr>
        <w:suppressAutoHyphens/>
      </w:pPr>
    </w:p>
    <w:p w14:paraId="013FE002" w14:textId="623165C1" w:rsidR="00AE305F" w:rsidRPr="00C72A9B" w:rsidRDefault="00AE305F" w:rsidP="0046504D">
      <w:pPr>
        <w:pStyle w:val="Heading3"/>
        <w:suppressAutoHyphens/>
        <w:ind w:left="567" w:hanging="567"/>
      </w:pPr>
      <w:r w:rsidRPr="00C72A9B">
        <w:t>W komunikacie stwierdzono, że unijny obszar Oceanu Atlantyckiego jest liderem oraz polem badawczym rozwoju nowych morskich odnawialnych źródeł energii oraz że w celu „osiągnięcia kolejnego etapu rozwoju, mianowicie dojrzałości komercyjnej udanych prototypów, najważniejsze jest utrzymanie wiodącej pozycji technologicznej, zatrzymanie talentów oraz zapewnianie czystej energii po przystępnej cenie przy jednoczesnym uwzględnieniu potencjalnych skutków dla środowiska morskiego oraz sposobu ich łagodzenia”.</w:t>
      </w:r>
    </w:p>
    <w:p w14:paraId="47C642C3" w14:textId="77777777" w:rsidR="00AE305F" w:rsidRPr="00C72A9B" w:rsidRDefault="00AE305F" w:rsidP="0046504D">
      <w:pPr>
        <w:suppressAutoHyphens/>
      </w:pPr>
    </w:p>
    <w:p w14:paraId="0A81526B" w14:textId="1CFA2682" w:rsidR="00AE305F" w:rsidRPr="00C72A9B" w:rsidRDefault="00AE305F" w:rsidP="0046504D">
      <w:pPr>
        <w:pStyle w:val="Heading3"/>
        <w:suppressAutoHyphens/>
        <w:ind w:left="567" w:hanging="567"/>
      </w:pPr>
      <w:r w:rsidRPr="00C72A9B">
        <w:t>Plan działania 2.0 stanowi, że poprzez określone konkretne działania osiągnięty ma zostać cel szczegółowy dotyczący „promowania neutralności emisyjnej dzięki energii z morskich źródeł odnawialnych”.</w:t>
      </w:r>
    </w:p>
    <w:p w14:paraId="75DEFE30" w14:textId="77777777" w:rsidR="004D5465" w:rsidRPr="00C72A9B" w:rsidRDefault="004D5465" w:rsidP="0046504D">
      <w:pPr>
        <w:suppressAutoHyphens/>
      </w:pPr>
    </w:p>
    <w:p w14:paraId="1E43945D" w14:textId="6D8755FC" w:rsidR="00AE305F" w:rsidRPr="00C72A9B" w:rsidRDefault="00AE305F" w:rsidP="0046504D">
      <w:pPr>
        <w:pStyle w:val="Heading2"/>
        <w:suppressAutoHyphens/>
        <w:ind w:left="567" w:hanging="567"/>
      </w:pPr>
      <w:r w:rsidRPr="00C72A9B">
        <w:rPr>
          <w:u w:val="single"/>
        </w:rPr>
        <w:t>Filar IV</w:t>
      </w:r>
      <w:r w:rsidRPr="00C72A9B">
        <w:t xml:space="preserve"> jest ukierunkowany na zdrowe oceany i odporne wybrzeża.</w:t>
      </w:r>
    </w:p>
    <w:p w14:paraId="36AD9D90" w14:textId="77777777" w:rsidR="00AE305F" w:rsidRPr="00C72A9B" w:rsidRDefault="00AE305F" w:rsidP="0046504D">
      <w:pPr>
        <w:suppressAutoHyphens/>
      </w:pPr>
    </w:p>
    <w:p w14:paraId="219F6953" w14:textId="2BF276F2" w:rsidR="00AE305F" w:rsidRPr="00C72A9B" w:rsidRDefault="00AE305F" w:rsidP="0046504D">
      <w:pPr>
        <w:pStyle w:val="Heading3"/>
        <w:suppressAutoHyphens/>
        <w:ind w:left="567" w:hanging="567"/>
      </w:pPr>
      <w:r w:rsidRPr="00C72A9B">
        <w:t xml:space="preserve">Wybrzeże Atlantyku w UE jest obszarem szczególnie narażonym ze względu na dużą intensywność działalności człowieka. </w:t>
      </w:r>
    </w:p>
    <w:p w14:paraId="0FC9E73A" w14:textId="77777777" w:rsidR="00AE305F" w:rsidRPr="00C72A9B" w:rsidRDefault="00AE305F" w:rsidP="0046504D">
      <w:pPr>
        <w:suppressAutoHyphens/>
      </w:pPr>
    </w:p>
    <w:p w14:paraId="7B985374" w14:textId="6675B13F" w:rsidR="00AE305F" w:rsidRPr="00C72A9B" w:rsidRDefault="00AE305F" w:rsidP="0046504D">
      <w:pPr>
        <w:pStyle w:val="Heading3"/>
        <w:suppressAutoHyphens/>
        <w:ind w:left="567" w:hanging="567"/>
      </w:pPr>
      <w:r w:rsidRPr="00C72A9B">
        <w:t>Sytuację pogarszają negatywne skutki intensywnych burz, powodzi, erozji oraz ciągłego i coraz szybszego podnoszenia się poziomu mórz, które nasilają się w wyniku zmiany klimatu powodującej wzrost ekstremalnych zjawisk pogodowych.</w:t>
      </w:r>
    </w:p>
    <w:p w14:paraId="4C1DA4C3" w14:textId="77777777" w:rsidR="00AE305F" w:rsidRPr="00C72A9B" w:rsidRDefault="00AE305F" w:rsidP="0046504D">
      <w:pPr>
        <w:suppressAutoHyphens/>
      </w:pPr>
    </w:p>
    <w:p w14:paraId="1DC6777A" w14:textId="43A3FB94" w:rsidR="00AE305F" w:rsidRPr="00C72A9B" w:rsidRDefault="00AE305F" w:rsidP="0046504D">
      <w:pPr>
        <w:pStyle w:val="Heading3"/>
        <w:suppressAutoHyphens/>
        <w:ind w:left="567" w:hanging="567"/>
      </w:pPr>
      <w:r w:rsidRPr="00C72A9B">
        <w:t>Hałas i zanieczyszczenie mórz, zwłaszcza tworzywami sztucznymi, osiągają bardzo wysokie poziomy, osłabiając kapitał naturalny i działalność gospodarczą.</w:t>
      </w:r>
    </w:p>
    <w:p w14:paraId="06F2E125" w14:textId="77777777" w:rsidR="00AE305F" w:rsidRPr="00C72A9B" w:rsidRDefault="00AE305F" w:rsidP="0046504D">
      <w:pPr>
        <w:suppressAutoHyphens/>
      </w:pPr>
    </w:p>
    <w:p w14:paraId="61E23598" w14:textId="11073DB9" w:rsidR="00AE305F" w:rsidRPr="00C72A9B" w:rsidRDefault="00AE305F" w:rsidP="00E552A3">
      <w:pPr>
        <w:pStyle w:val="Heading3"/>
        <w:keepLines/>
        <w:suppressAutoHyphens/>
        <w:ind w:left="567" w:hanging="567"/>
      </w:pPr>
      <w:r w:rsidRPr="00C72A9B">
        <w:t>W planie działania wskazano, jako zasady przewodnie korzystne dla rozwoju i zatrudnienia, na potrzebę przyjęcia środków zarządzania ryzykiem klimatycznym i dostosowania się do niego, jak również środków wspierania gospodarki o obiegu zamkniętym, strategii „zero zanieczyszczeń”, efektywności energetycznej i ochrony różnorodności biologicznej.</w:t>
      </w:r>
    </w:p>
    <w:p w14:paraId="5DD78A84" w14:textId="77777777" w:rsidR="00AE305F" w:rsidRPr="00C72A9B" w:rsidRDefault="00AE305F" w:rsidP="0046504D">
      <w:pPr>
        <w:suppressAutoHyphens/>
      </w:pPr>
    </w:p>
    <w:p w14:paraId="3E2F03DA" w14:textId="40F56B1E" w:rsidR="00AE305F" w:rsidRPr="00C72A9B" w:rsidRDefault="00AE305F" w:rsidP="0046504D">
      <w:pPr>
        <w:pStyle w:val="Heading3"/>
        <w:suppressAutoHyphens/>
        <w:ind w:left="567" w:hanging="567"/>
      </w:pPr>
      <w:r w:rsidRPr="00C72A9B">
        <w:lastRenderedPageBreak/>
        <w:t>W ramach tego podejścia w planie działania 2.0 jako cele szczegółowe tego filaru wskazano „większą odporność wybrzeży” oraz „walkę z zanieczyszczeniem morza”.</w:t>
      </w:r>
    </w:p>
    <w:p w14:paraId="641E643E" w14:textId="77777777" w:rsidR="00AE305F" w:rsidRPr="00C72A9B" w:rsidRDefault="00AE305F" w:rsidP="0046504D">
      <w:pPr>
        <w:suppressAutoHyphens/>
      </w:pPr>
    </w:p>
    <w:p w14:paraId="2CB390CC" w14:textId="38900139" w:rsidR="00AE305F" w:rsidRPr="00C72A9B" w:rsidRDefault="00AE305F" w:rsidP="0046504D">
      <w:pPr>
        <w:pStyle w:val="Heading2"/>
        <w:suppressAutoHyphens/>
        <w:ind w:left="567" w:hanging="567"/>
      </w:pPr>
      <w:r w:rsidRPr="00C72A9B">
        <w:t xml:space="preserve">W odniesieniu do </w:t>
      </w:r>
      <w:r w:rsidRPr="00C72A9B">
        <w:rPr>
          <w:u w:val="single"/>
        </w:rPr>
        <w:t>zarządzania planem działania</w:t>
      </w:r>
      <w:r w:rsidRPr="00C72A9B">
        <w:t xml:space="preserve"> ustanawia się środki w zakresie zarządzania, wdrażania i sprawozdawczości oraz uruchamiania środków i finansowania.</w:t>
      </w:r>
    </w:p>
    <w:p w14:paraId="0E2C7584" w14:textId="77777777" w:rsidR="00AE305F" w:rsidRPr="00C72A9B" w:rsidRDefault="00AE305F" w:rsidP="0046504D">
      <w:pPr>
        <w:suppressAutoHyphens/>
      </w:pPr>
    </w:p>
    <w:p w14:paraId="7FC6AA56" w14:textId="6E618077" w:rsidR="00AE305F" w:rsidRPr="00C72A9B" w:rsidRDefault="00AE305F" w:rsidP="0046504D">
      <w:pPr>
        <w:pStyle w:val="Heading3"/>
        <w:suppressAutoHyphens/>
        <w:ind w:left="567" w:hanging="567"/>
      </w:pPr>
      <w:r w:rsidRPr="00C72A9B">
        <w:t xml:space="preserve">Jeśli chodzi o </w:t>
      </w:r>
      <w:r w:rsidRPr="00C72A9B">
        <w:rPr>
          <w:u w:val="single"/>
        </w:rPr>
        <w:t>koordynację</w:t>
      </w:r>
      <w:r w:rsidRPr="00C72A9B">
        <w:t>, istnieją dwa poziomy: koordynacja polityczna, za którą odpowiadają ministrowie odpowiedzialni za gospodarkę morską wyznaczeni przez państwa w</w:t>
      </w:r>
      <w:r w:rsidR="00C72A9B">
        <w:t> </w:t>
      </w:r>
      <w:r w:rsidRPr="00C72A9B">
        <w:t>rejonie Oceanu Atlantyckiego, oraz koordynacja regionalna zapewniana przez komitet ds.</w:t>
      </w:r>
      <w:r w:rsidR="00C72A9B">
        <w:t> </w:t>
      </w:r>
      <w:r w:rsidRPr="00C72A9B">
        <w:t>strategii na rzecz Atlantyku, w którym mogą uczestniczyć przedstawiciele regionów przybrzeżnych lub inne osoby.</w:t>
      </w:r>
    </w:p>
    <w:p w14:paraId="48F3D47A" w14:textId="77777777" w:rsidR="00AE305F" w:rsidRPr="00C72A9B" w:rsidRDefault="00AE305F" w:rsidP="0046504D">
      <w:pPr>
        <w:suppressAutoHyphens/>
      </w:pPr>
    </w:p>
    <w:p w14:paraId="0381A958" w14:textId="6451A0DC" w:rsidR="00AE305F" w:rsidRPr="00C72A9B" w:rsidRDefault="00AE305F" w:rsidP="0046504D">
      <w:pPr>
        <w:pStyle w:val="Heading3"/>
        <w:suppressAutoHyphens/>
        <w:ind w:left="567" w:hanging="567"/>
      </w:pPr>
      <w:r w:rsidRPr="00C72A9B">
        <w:t xml:space="preserve">W odniesieniu do </w:t>
      </w:r>
      <w:r w:rsidRPr="00C72A9B">
        <w:rPr>
          <w:u w:val="single"/>
        </w:rPr>
        <w:t>wdrażania i sprawozdawczości</w:t>
      </w:r>
      <w:r w:rsidRPr="00C72A9B">
        <w:t xml:space="preserve"> ustanawia się zasady mające na celu wyjaśnienie procedur.</w:t>
      </w:r>
    </w:p>
    <w:p w14:paraId="163EE4F4" w14:textId="77777777" w:rsidR="00AE305F" w:rsidRPr="00C72A9B" w:rsidRDefault="00AE305F" w:rsidP="0046504D">
      <w:pPr>
        <w:suppressAutoHyphens/>
      </w:pPr>
    </w:p>
    <w:p w14:paraId="204A5170" w14:textId="14B21612" w:rsidR="00AE305F" w:rsidRPr="00C72A9B" w:rsidRDefault="00AE305F" w:rsidP="0046504D">
      <w:pPr>
        <w:pStyle w:val="Heading4"/>
        <w:suppressAutoHyphens/>
        <w:ind w:left="567" w:hanging="567"/>
      </w:pPr>
      <w:r w:rsidRPr="00C72A9B">
        <w:t>Przedstawiono zestaw warunków wstępnych dla realizacji planu działania oraz dla mechanizmu monitorowania i udzielania informacji zarówno dla podmiotów publicznych, jak i</w:t>
      </w:r>
      <w:r w:rsidR="00C72A9B">
        <w:t> </w:t>
      </w:r>
      <w:r w:rsidRPr="00C72A9B">
        <w:t>prywatnych, a także podkreślono wspólną odpowiedzialność UE i zaangażowanych państw członkowskich.</w:t>
      </w:r>
    </w:p>
    <w:p w14:paraId="3628F90F" w14:textId="77777777" w:rsidR="00F41D08" w:rsidRPr="00C72A9B" w:rsidRDefault="00F41D08" w:rsidP="0046504D">
      <w:pPr>
        <w:suppressAutoHyphens/>
      </w:pPr>
    </w:p>
    <w:p w14:paraId="5E22FF91" w14:textId="79DBD80D" w:rsidR="00AE305F" w:rsidRPr="00C72A9B" w:rsidRDefault="00AE305F" w:rsidP="0046504D">
      <w:pPr>
        <w:pStyle w:val="Heading4"/>
        <w:suppressAutoHyphens/>
        <w:ind w:left="567" w:hanging="567"/>
      </w:pPr>
      <w:r w:rsidRPr="00C72A9B">
        <w:t>Celem mechanizmu monitorowania i oceny jest śledzenie i szacowanie postępów w realizacji planu, co pozwoli na dokonywanie ewentualnych zmian w planie działania w przyszłości.</w:t>
      </w:r>
    </w:p>
    <w:p w14:paraId="7F25B718" w14:textId="77777777" w:rsidR="00F41D08" w:rsidRPr="00C72A9B" w:rsidRDefault="00F41D08" w:rsidP="0046504D">
      <w:pPr>
        <w:suppressAutoHyphens/>
      </w:pPr>
    </w:p>
    <w:p w14:paraId="7FB33B42" w14:textId="63B49524" w:rsidR="00AE305F" w:rsidRPr="00C72A9B" w:rsidRDefault="00AE305F" w:rsidP="0046504D">
      <w:pPr>
        <w:pStyle w:val="Heading3"/>
        <w:suppressAutoHyphens/>
        <w:ind w:left="567" w:hanging="567"/>
      </w:pPr>
      <w:r w:rsidRPr="00C72A9B">
        <w:t xml:space="preserve">W odniesieniu do </w:t>
      </w:r>
      <w:r w:rsidRPr="00C72A9B">
        <w:rPr>
          <w:u w:val="single"/>
        </w:rPr>
        <w:t>uruchamiania środków oraz finansowania</w:t>
      </w:r>
      <w:r w:rsidRPr="00C72A9B">
        <w:t xml:space="preserve"> poczyniono szereg uwag, na które należy zwrócić uwagę.</w:t>
      </w:r>
    </w:p>
    <w:p w14:paraId="5D47B69D" w14:textId="77777777" w:rsidR="00F41D08" w:rsidRPr="00C72A9B" w:rsidRDefault="00F41D08" w:rsidP="0046504D">
      <w:pPr>
        <w:suppressAutoHyphens/>
      </w:pPr>
    </w:p>
    <w:p w14:paraId="19F54E29" w14:textId="73DFFD02" w:rsidR="00AE305F" w:rsidRPr="00C72A9B" w:rsidRDefault="00AE305F" w:rsidP="0046504D">
      <w:pPr>
        <w:pStyle w:val="Heading4"/>
        <w:suppressAutoHyphens/>
        <w:ind w:left="567" w:hanging="567"/>
      </w:pPr>
      <w:r w:rsidRPr="00C72A9B">
        <w:t>W budżecie UE nie przydzielono żadnych środków na realizację planu działania na rzecz Oceanu Atlantyckiego. Wdrożenie planu będzie zależeć głównie od środków i instrumentów finansowania możliwych do uruchomienia na szczeblu krajowym i unijnym.</w:t>
      </w:r>
    </w:p>
    <w:p w14:paraId="72FA1E2D" w14:textId="77777777" w:rsidR="005E0AE7" w:rsidRPr="00C72A9B" w:rsidRDefault="005E0AE7" w:rsidP="0046504D">
      <w:pPr>
        <w:suppressAutoHyphens/>
      </w:pPr>
    </w:p>
    <w:p w14:paraId="72C4460B" w14:textId="49745253" w:rsidR="00AE305F" w:rsidRPr="00C72A9B" w:rsidRDefault="00AE305F" w:rsidP="0046504D">
      <w:pPr>
        <w:pStyle w:val="Heading4"/>
        <w:suppressAutoHyphens/>
        <w:ind w:left="567" w:hanging="567"/>
      </w:pPr>
      <w:r w:rsidRPr="00C72A9B">
        <w:t>Wymieniono środki, programy i mechanizmy, z których mogą korzystać państwa członkowskie UE i regiony przybrzeżne.</w:t>
      </w:r>
    </w:p>
    <w:p w14:paraId="780AA910" w14:textId="77777777" w:rsidR="00F41D08" w:rsidRPr="00C72A9B" w:rsidRDefault="00F41D08" w:rsidP="0046504D">
      <w:pPr>
        <w:suppressAutoHyphens/>
      </w:pPr>
    </w:p>
    <w:p w14:paraId="6EC01B50" w14:textId="0835EE01" w:rsidR="00AE305F" w:rsidRPr="00C72A9B" w:rsidRDefault="00DF154F" w:rsidP="0046504D">
      <w:pPr>
        <w:pStyle w:val="Heading1"/>
        <w:suppressAutoHyphens/>
        <w:ind w:left="567" w:hanging="567"/>
        <w:rPr>
          <w:b/>
        </w:rPr>
      </w:pPr>
      <w:r w:rsidRPr="00C72A9B">
        <w:rPr>
          <w:b/>
        </w:rPr>
        <w:t>Uwagi ogólne</w:t>
      </w:r>
    </w:p>
    <w:p w14:paraId="007303B2" w14:textId="77777777" w:rsidR="00F41D08" w:rsidRPr="00C72A9B" w:rsidRDefault="00F41D08" w:rsidP="0046504D">
      <w:pPr>
        <w:suppressAutoHyphens/>
      </w:pPr>
    </w:p>
    <w:p w14:paraId="5AE4CE10" w14:textId="6CFCD53F" w:rsidR="00AE305F" w:rsidRPr="00C72A9B" w:rsidRDefault="00AE305F" w:rsidP="0046504D">
      <w:pPr>
        <w:pStyle w:val="Heading2"/>
        <w:suppressAutoHyphens/>
        <w:ind w:left="567" w:hanging="567"/>
      </w:pPr>
      <w:r w:rsidRPr="00C72A9B">
        <w:t>EKES docenia przedstawienie przez Komisję zaktualizowanego planu działania na rzecz Oceanu Atlantyckiego uwzględniającego różne niedawno przyjęte europejskie strategie sektorowe.</w:t>
      </w:r>
    </w:p>
    <w:p w14:paraId="3A8DC61A" w14:textId="77777777" w:rsidR="00F41D08" w:rsidRPr="00C72A9B" w:rsidRDefault="00F41D08" w:rsidP="0046504D">
      <w:pPr>
        <w:suppressAutoHyphens/>
      </w:pPr>
    </w:p>
    <w:p w14:paraId="16C21B59" w14:textId="268C8884" w:rsidR="00AE305F" w:rsidRPr="00C72A9B" w:rsidRDefault="00AE305F" w:rsidP="00E552A3">
      <w:pPr>
        <w:pStyle w:val="Heading2"/>
        <w:keepLines/>
        <w:suppressAutoHyphens/>
        <w:ind w:left="567" w:hanging="567"/>
      </w:pPr>
      <w:r w:rsidRPr="00C72A9B">
        <w:t>EKES z zadowoleniem przyjmuje fakt, że Komisja uwzględniła w zmienionym planie uwagi i</w:t>
      </w:r>
      <w:r w:rsidR="00C72A9B">
        <w:t> </w:t>
      </w:r>
      <w:r w:rsidRPr="00C72A9B">
        <w:t>zalecenia sformułowane przez Komitet w opiniach w sprawie strategii morskiej na rzecz Oceanu Atlantyckiego i poprzedniego planu działania, zwłaszcza w odniesieniu do ukierunkowania tematycznego, struktury zarządzania i ram monitorowania.</w:t>
      </w:r>
    </w:p>
    <w:p w14:paraId="472ADBC8" w14:textId="77777777" w:rsidR="00F41D08" w:rsidRPr="00C72A9B" w:rsidRDefault="00F41D08" w:rsidP="0046504D">
      <w:pPr>
        <w:suppressAutoHyphens/>
      </w:pPr>
    </w:p>
    <w:p w14:paraId="2F9FEF83" w14:textId="784AD032" w:rsidR="00AE305F" w:rsidRPr="00C72A9B" w:rsidRDefault="00AE305F" w:rsidP="0046504D">
      <w:pPr>
        <w:pStyle w:val="Heading2"/>
        <w:suppressAutoHyphens/>
        <w:ind w:left="567" w:hanging="567"/>
      </w:pPr>
      <w:r w:rsidRPr="00C72A9B">
        <w:lastRenderedPageBreak/>
        <w:t>EKES z zadowoleniem przyjmuje bardziej ustrukturyzowane podejście zawarte w planie działania 2.0 i korzystanie z podejścia tematycznego do określania działań, które należy wdrożyć, w wyniku śródokresowej oceny konsultacji oddolnych.</w:t>
      </w:r>
    </w:p>
    <w:p w14:paraId="59918B1B" w14:textId="77777777" w:rsidR="00F41D08" w:rsidRPr="00C72A9B" w:rsidRDefault="00F41D08" w:rsidP="0046504D">
      <w:pPr>
        <w:suppressAutoHyphens/>
      </w:pPr>
    </w:p>
    <w:p w14:paraId="25B447B0" w14:textId="2B485065" w:rsidR="00AE305F" w:rsidRPr="00C72A9B" w:rsidRDefault="00AE305F" w:rsidP="0046504D">
      <w:pPr>
        <w:pStyle w:val="Heading2"/>
        <w:suppressAutoHyphens/>
        <w:ind w:left="567" w:hanging="567"/>
      </w:pPr>
      <w:r w:rsidRPr="00C72A9B">
        <w:t>EKES podkreśla, że obszary tematyczne są zgodne z europejskimi celami w zakresie zrównoważonego rozwoju w odniesieniu do rozbudowy działalności w ramach niebieskiej gospodarki, tworzenia miejsc pracy wymagających wysokich kwalifikacji i zapewniania wiedzy na temat oceanów, promowania dekarbonizacji i przejścia na czystą energię oraz odbudowy i</w:t>
      </w:r>
      <w:r w:rsidR="00C72A9B">
        <w:t> </w:t>
      </w:r>
      <w:r w:rsidRPr="00C72A9B">
        <w:t>ochrony kapitału naturalnego i ekosystemów przybrzeżnych.</w:t>
      </w:r>
    </w:p>
    <w:p w14:paraId="46EA63E4" w14:textId="77777777" w:rsidR="00F41D08" w:rsidRPr="00C72A9B" w:rsidRDefault="00F41D08" w:rsidP="0046504D">
      <w:pPr>
        <w:suppressAutoHyphens/>
      </w:pPr>
    </w:p>
    <w:p w14:paraId="2461D382" w14:textId="27FB2AB1" w:rsidR="005463DE" w:rsidRPr="00C72A9B" w:rsidRDefault="005463DE" w:rsidP="0046504D">
      <w:pPr>
        <w:pStyle w:val="Heading2"/>
        <w:suppressAutoHyphens/>
        <w:ind w:left="567" w:hanging="567"/>
      </w:pPr>
      <w:r w:rsidRPr="00C72A9B">
        <w:t>EKES zaleca, by w odniesieniu do tworzenia niebieskich umiejętności wprowadzić środki mające na celu lepsze wykorzystanie doświadczenia zawodowego przy określaniu programów nauczania zawodów związanych z morzem.</w:t>
      </w:r>
    </w:p>
    <w:p w14:paraId="69A18B5C" w14:textId="77777777" w:rsidR="005463DE" w:rsidRPr="00C72A9B" w:rsidRDefault="005463DE" w:rsidP="0046504D">
      <w:pPr>
        <w:suppressAutoHyphens/>
      </w:pPr>
    </w:p>
    <w:p w14:paraId="0CAA5954" w14:textId="58A6AA5F" w:rsidR="005463DE" w:rsidRPr="00C72A9B" w:rsidRDefault="005463DE" w:rsidP="0046504D">
      <w:pPr>
        <w:pStyle w:val="Heading2"/>
        <w:suppressAutoHyphens/>
        <w:ind w:left="567" w:hanging="567"/>
      </w:pPr>
      <w:r w:rsidRPr="00C72A9B">
        <w:t>Niemniej EKES negatywnie ocenia brak celów i środków związanych z rybołówstwem i</w:t>
      </w:r>
      <w:r w:rsidR="00C72A9B">
        <w:t> </w:t>
      </w:r>
      <w:r w:rsidRPr="00C72A9B">
        <w:t>turystyką, ponieważ są to dwa rodzaje działalności niebieskiej gospodarki, które w</w:t>
      </w:r>
      <w:r w:rsidR="00C72A9B">
        <w:t> </w:t>
      </w:r>
      <w:r w:rsidRPr="00C72A9B">
        <w:t>największym stopniu przyczyniają się do wzrostu wartości dodanej brutto i tworzenia miejsc pracy, także ze względu na ich wpływ na ekosystem morski na obszarach bezpośrednio należących do regionu atlantyckiego. Zaleca Komisji większe uwypuklenie w planie działania tych rodzajów działalności w celu zaradzenia temu brakowi.</w:t>
      </w:r>
    </w:p>
    <w:p w14:paraId="479CDA8B" w14:textId="77777777" w:rsidR="005463DE" w:rsidRPr="00C72A9B" w:rsidRDefault="005463DE" w:rsidP="0046504D">
      <w:pPr>
        <w:suppressAutoHyphens/>
      </w:pPr>
    </w:p>
    <w:p w14:paraId="2197D491" w14:textId="291E4460" w:rsidR="005463DE" w:rsidRPr="00C72A9B" w:rsidRDefault="005463DE" w:rsidP="0046504D">
      <w:pPr>
        <w:pStyle w:val="Heading2"/>
        <w:suppressAutoHyphens/>
        <w:ind w:left="567" w:hanging="567"/>
      </w:pPr>
      <w:r w:rsidRPr="00C72A9B">
        <w:t>EKES ubolewa również, iż Komisja nie określiła konkretnych środków i celów dla archipelagów, ponieważ są to regiony najbardziej oddalone, w których znaczenie gospodarki morskiej jest jeszcze większe niż w pozostałej części regionu atlantyckiego. W związku z tym zaleca Komisji uwzględnienie takich środków w planie.</w:t>
      </w:r>
    </w:p>
    <w:p w14:paraId="0931E986" w14:textId="77777777" w:rsidR="005463DE" w:rsidRPr="00C72A9B" w:rsidRDefault="005463DE" w:rsidP="0046504D">
      <w:pPr>
        <w:suppressAutoHyphens/>
      </w:pPr>
    </w:p>
    <w:p w14:paraId="102EEF46" w14:textId="367E2D2C" w:rsidR="00AE305F" w:rsidRPr="00C72A9B" w:rsidRDefault="00AE305F" w:rsidP="0046504D">
      <w:pPr>
        <w:pStyle w:val="Heading2"/>
        <w:suppressAutoHyphens/>
        <w:ind w:left="567" w:hanging="567"/>
      </w:pPr>
      <w:r w:rsidRPr="00C72A9B">
        <w:t>Komitet podkreśla wzrost jakości i przejrzystości wynikający z wprowadzenia ram monitorowania, które umożliwią dostosowanie przyszłych zmian planu w świetle rzeczywistej realizacji i stopnia, w jakim cele zostały osiągnięte.</w:t>
      </w:r>
    </w:p>
    <w:p w14:paraId="57F2764D" w14:textId="77777777" w:rsidR="00F41D08" w:rsidRPr="00C72A9B" w:rsidRDefault="00F41D08" w:rsidP="0046504D">
      <w:pPr>
        <w:suppressAutoHyphens/>
      </w:pPr>
    </w:p>
    <w:p w14:paraId="739E1D14" w14:textId="216D5471" w:rsidR="00AE305F" w:rsidRPr="00C72A9B" w:rsidRDefault="00AE305F" w:rsidP="0046504D">
      <w:pPr>
        <w:pStyle w:val="Heading2"/>
        <w:suppressAutoHyphens/>
        <w:ind w:left="567" w:hanging="567"/>
      </w:pPr>
      <w:r w:rsidRPr="00C72A9B">
        <w:t>EKES ubolewa nad tym, że Komisja nie uwzględniła zaleceń zawartych we wcześniejszych opiniach Komitetu dotyczących rozwoju makroregionu atlantyckiego na wzór regionu Dunaju i</w:t>
      </w:r>
      <w:r w:rsidR="00C72A9B">
        <w:t> </w:t>
      </w:r>
      <w:r w:rsidRPr="00C72A9B">
        <w:t>regionu Morza Bałtyckiego, a także kontynuowania Forum Atlantyckiego.</w:t>
      </w:r>
    </w:p>
    <w:p w14:paraId="313EE0D4" w14:textId="77777777" w:rsidR="00F41D08" w:rsidRPr="00C72A9B" w:rsidRDefault="00F41D08" w:rsidP="0046504D">
      <w:pPr>
        <w:suppressAutoHyphens/>
      </w:pPr>
    </w:p>
    <w:p w14:paraId="13CE8181" w14:textId="17F86259" w:rsidR="00AE305F" w:rsidRPr="00C72A9B" w:rsidRDefault="00DF154F" w:rsidP="00E552A3">
      <w:pPr>
        <w:pStyle w:val="Heading1"/>
        <w:keepNext/>
        <w:keepLines/>
        <w:suppressAutoHyphens/>
        <w:ind w:left="567" w:hanging="567"/>
        <w:rPr>
          <w:b/>
        </w:rPr>
      </w:pPr>
      <w:r w:rsidRPr="00C72A9B">
        <w:rPr>
          <w:b/>
        </w:rPr>
        <w:t>Uwagi szczegółowe</w:t>
      </w:r>
    </w:p>
    <w:p w14:paraId="07E479F2" w14:textId="77777777" w:rsidR="00F41D08" w:rsidRPr="00C72A9B" w:rsidRDefault="00F41D08" w:rsidP="00E552A3">
      <w:pPr>
        <w:keepNext/>
        <w:keepLines/>
        <w:suppressAutoHyphens/>
      </w:pPr>
    </w:p>
    <w:p w14:paraId="744AE171" w14:textId="5D3D24E2" w:rsidR="00AE305F" w:rsidRPr="00C72A9B" w:rsidRDefault="00AE305F" w:rsidP="00E552A3">
      <w:pPr>
        <w:pStyle w:val="Heading2"/>
        <w:keepNext/>
        <w:keepLines/>
        <w:suppressAutoHyphens/>
        <w:ind w:left="567" w:hanging="567"/>
      </w:pPr>
      <w:r w:rsidRPr="00C72A9B">
        <w:t xml:space="preserve">Komitet uznaje za konieczne zbadanie zgodności planu działania 2.0 z europejską strategią morską: </w:t>
      </w:r>
      <w:r w:rsidRPr="00C72A9B">
        <w:rPr>
          <w:u w:val="single"/>
        </w:rPr>
        <w:t>zintegrowaną polityką morską</w:t>
      </w:r>
      <w:r w:rsidRPr="00C72A9B">
        <w:t xml:space="preserve"> Unii Europejskiej (PMI)</w:t>
      </w:r>
      <w:r w:rsidRPr="00C72A9B">
        <w:rPr>
          <w:rStyle w:val="FootnoteReference"/>
          <w:szCs w:val="18"/>
        </w:rPr>
        <w:footnoteReference w:id="13"/>
      </w:r>
      <w:r w:rsidRPr="00C72A9B">
        <w:t>.</w:t>
      </w:r>
    </w:p>
    <w:p w14:paraId="1AEEFC62" w14:textId="77777777" w:rsidR="00F41D08" w:rsidRPr="00C72A9B" w:rsidRDefault="00F41D08" w:rsidP="00E552A3">
      <w:pPr>
        <w:keepNext/>
        <w:keepLines/>
        <w:suppressAutoHyphens/>
      </w:pPr>
    </w:p>
    <w:p w14:paraId="77B79300" w14:textId="0E871AAA" w:rsidR="00AE305F" w:rsidRPr="00C72A9B" w:rsidRDefault="00AE305F" w:rsidP="0046504D">
      <w:pPr>
        <w:pStyle w:val="Heading2"/>
        <w:suppressAutoHyphens/>
        <w:ind w:left="567" w:hanging="567"/>
      </w:pPr>
      <w:r w:rsidRPr="00C72A9B">
        <w:t>Zintegrowana polityka morska stanowi ramy polityczne mające na celu promowanie zrównoważonego rozwoju wszystkich rodzajów działalności morskiej i działalności regionów przybrzeżnych poprzez poprawę koordynacji polityk dotyczących oceanów, mórz, wysp, regionów przybrzeżnych i najbardziej oddalonych oraz sektorów gospodarki morskiej, a także poprzez opracowanie instrumentów przekrojowych.</w:t>
      </w:r>
    </w:p>
    <w:p w14:paraId="20CF4421" w14:textId="77777777" w:rsidR="00F41D08" w:rsidRPr="00C72A9B" w:rsidRDefault="00F41D08" w:rsidP="0046504D">
      <w:pPr>
        <w:suppressAutoHyphens/>
      </w:pPr>
    </w:p>
    <w:p w14:paraId="588F5704" w14:textId="2E50F1C2" w:rsidR="00AE305F" w:rsidRPr="00C72A9B" w:rsidRDefault="00AE305F" w:rsidP="0046504D">
      <w:pPr>
        <w:pStyle w:val="Heading2"/>
        <w:suppressAutoHyphens/>
        <w:ind w:left="567" w:hanging="567"/>
      </w:pPr>
      <w:r w:rsidRPr="00C72A9B">
        <w:t>Główne cele i odnośne obszary działań PMI to: poprawa zrównoważonego wykorzystania mórz i oceanów; stworzenie bazy wiedzy i innowacji na potrzeby polityki morskiej; poprawa jakości życia w regionach przybrzeżnych; promowanie przywództwa UE w dziedzinie międzynarodowych spraw morskich dzięki ściślejszej współpracy w zakresie międzynarodowego zarządzania oceanami oraz – na szczeblu europejskim – poprzez europejską politykę sąsiedztwa; zwiększenie widoczności morskiego wymiaru Europy.</w:t>
      </w:r>
    </w:p>
    <w:p w14:paraId="5097C4D0" w14:textId="77777777" w:rsidR="00F41D08" w:rsidRPr="00C72A9B" w:rsidRDefault="00F41D08" w:rsidP="0046504D">
      <w:pPr>
        <w:suppressAutoHyphens/>
      </w:pPr>
    </w:p>
    <w:p w14:paraId="0E0A2393" w14:textId="53A9EA64" w:rsidR="00AE305F" w:rsidRPr="00C72A9B" w:rsidRDefault="00AE305F" w:rsidP="0046504D">
      <w:pPr>
        <w:pStyle w:val="Heading2"/>
        <w:suppressAutoHyphens/>
        <w:ind w:left="567" w:hanging="567"/>
      </w:pPr>
      <w:r w:rsidRPr="00C72A9B">
        <w:t>PMI obejmuje następujące zbieżne obszary polityki: niebieski wzrost</w:t>
      </w:r>
      <w:r w:rsidRPr="00C72A9B">
        <w:rPr>
          <w:rStyle w:val="FootnoteReference"/>
          <w:szCs w:val="18"/>
        </w:rPr>
        <w:footnoteReference w:id="14"/>
      </w:r>
      <w:r w:rsidRPr="00C72A9B">
        <w:t>, wiedza i dane na temat środowiska morskiego</w:t>
      </w:r>
      <w:r w:rsidRPr="00C72A9B">
        <w:rPr>
          <w:rStyle w:val="FootnoteReference"/>
          <w:szCs w:val="18"/>
        </w:rPr>
        <w:footnoteReference w:id="15"/>
      </w:r>
      <w:r w:rsidRPr="00C72A9B">
        <w:t>, planowanie przestrzenne obszarów morskich i zintegrowany nadzór morski.</w:t>
      </w:r>
    </w:p>
    <w:p w14:paraId="3C90D1DD" w14:textId="77777777" w:rsidR="00F41D08" w:rsidRPr="00C72A9B" w:rsidRDefault="00F41D08" w:rsidP="0046504D">
      <w:pPr>
        <w:suppressAutoHyphens/>
      </w:pPr>
    </w:p>
    <w:p w14:paraId="5A52D271" w14:textId="2F537DF8" w:rsidR="005463DE" w:rsidRPr="00C72A9B" w:rsidRDefault="005463DE" w:rsidP="0046504D">
      <w:pPr>
        <w:pStyle w:val="Heading2"/>
        <w:suppressAutoHyphens/>
        <w:ind w:left="567" w:hanging="567"/>
      </w:pPr>
      <w:r w:rsidRPr="00C72A9B">
        <w:t>EKES zaleca, by informacje, dane i wiedza opracowane w tym kontekście były swobodnie dostępne i bezpłatne dla organizacji, instytucji nauki i edukacji oraz projektów związanych z</w:t>
      </w:r>
      <w:r w:rsidR="00C72A9B">
        <w:t> </w:t>
      </w:r>
      <w:r w:rsidRPr="00C72A9B">
        <w:t>morzem, niemniej z zachowaniem kryteriów poufności lub zastrzeżenia w stosownych przypadkach. W tym kontekście zaleca większą koordynację między różnymi organami monitorującymi w regionie atlantyckim w celu stworzenia wydajnych, dostępnych i</w:t>
      </w:r>
      <w:r w:rsidR="00C72A9B">
        <w:t> </w:t>
      </w:r>
      <w:r w:rsidRPr="00C72A9B">
        <w:t>interoperacyjnych baz danych.</w:t>
      </w:r>
    </w:p>
    <w:p w14:paraId="012CDC83" w14:textId="77777777" w:rsidR="005463DE" w:rsidRPr="00C72A9B" w:rsidRDefault="005463DE" w:rsidP="0046504D">
      <w:pPr>
        <w:suppressAutoHyphens/>
      </w:pPr>
    </w:p>
    <w:p w14:paraId="36038031" w14:textId="01FF2761" w:rsidR="00AE305F" w:rsidRPr="00C72A9B" w:rsidRDefault="00AE305F" w:rsidP="0046504D">
      <w:pPr>
        <w:pStyle w:val="Heading2"/>
        <w:suppressAutoHyphens/>
        <w:ind w:left="567" w:hanging="567"/>
      </w:pPr>
      <w:r w:rsidRPr="00C72A9B">
        <w:t>EKES uważa, że dokument strategiczny taki jak strategia morska na rzecz Oceanu Atlantyckiego musi być jasny i zwięzły w odniesieniu do celów i sposobu ich realizacji. W</w:t>
      </w:r>
      <w:r w:rsidR="00C72A9B">
        <w:t> </w:t>
      </w:r>
      <w:r w:rsidRPr="00C72A9B">
        <w:t>związku z tym zaleca dalsze rozwinięcie tego dokumentu w odniesieniu do kwestii, które wydają się kluczowe dla tego rodzaju dokumentu strategicznego.</w:t>
      </w:r>
    </w:p>
    <w:p w14:paraId="21710987" w14:textId="77777777" w:rsidR="00F41D08" w:rsidRPr="00C72A9B" w:rsidRDefault="00F41D08" w:rsidP="0046504D">
      <w:pPr>
        <w:suppressAutoHyphens/>
      </w:pPr>
    </w:p>
    <w:p w14:paraId="3F599DB6" w14:textId="1FD6159C" w:rsidR="00AE305F" w:rsidRPr="00C72A9B" w:rsidRDefault="00AE305F" w:rsidP="0046504D">
      <w:pPr>
        <w:pStyle w:val="Heading2"/>
        <w:suppressAutoHyphens/>
        <w:ind w:left="567" w:hanging="567"/>
      </w:pPr>
      <w:r w:rsidRPr="00C72A9B">
        <w:t>EKES uważa, że plan działania 2.0 kładzie silny nacisk na niebieską gospodarkę i wiedzę, co jest pozytywnym aspektem. Zaleca się jednak zwrócenie należytej uwagi na znaczenie planowania przestrzennego obszarów morskich i zarządzania nimi oraz partnerstw międzynarodowych.</w:t>
      </w:r>
    </w:p>
    <w:p w14:paraId="1CB37ABA" w14:textId="77777777" w:rsidR="00F41D08" w:rsidRPr="00C72A9B" w:rsidRDefault="00F41D08" w:rsidP="0046504D">
      <w:pPr>
        <w:suppressAutoHyphens/>
      </w:pPr>
    </w:p>
    <w:p w14:paraId="6C0414A6" w14:textId="375CC50D" w:rsidR="00AE305F" w:rsidRPr="00C72A9B" w:rsidRDefault="00AE305F" w:rsidP="00E552A3">
      <w:pPr>
        <w:pStyle w:val="Heading2"/>
        <w:keepLines/>
        <w:suppressAutoHyphens/>
        <w:ind w:left="567" w:hanging="567"/>
      </w:pPr>
      <w:r w:rsidRPr="00C72A9B">
        <w:t xml:space="preserve">W odniesieniu do </w:t>
      </w:r>
      <w:r w:rsidRPr="00C72A9B">
        <w:rPr>
          <w:u w:val="single"/>
        </w:rPr>
        <w:t>planowania przestrzennego obszarów morskich i zarządzania nimi</w:t>
      </w:r>
      <w:r w:rsidRPr="00C72A9B">
        <w:t xml:space="preserve"> zwiększenie oddziaływania człowieka na oceany, wraz z szybkim wzrostem popytu i</w:t>
      </w:r>
      <w:r w:rsidR="00C72A9B">
        <w:t> </w:t>
      </w:r>
      <w:r w:rsidRPr="00C72A9B">
        <w:t>konkurencją o przestrzeń morską do różnych celów takich jak działalność połowowa, morskie instalacje energii odnawialnej i ochrona ekosystemu uwypukliły pilną potrzebę zintegrowanego zarządzania oceanami i ustanowienia ram planowania przestrzennego obszarów morskich</w:t>
      </w:r>
      <w:r w:rsidRPr="00C72A9B">
        <w:rPr>
          <w:rStyle w:val="FootnoteReference"/>
        </w:rPr>
        <w:footnoteReference w:id="16"/>
      </w:r>
      <w:r w:rsidRPr="00C72A9B">
        <w:t>.</w:t>
      </w:r>
    </w:p>
    <w:p w14:paraId="64363988" w14:textId="77777777" w:rsidR="00F41D08" w:rsidRPr="00C72A9B" w:rsidRDefault="00F41D08" w:rsidP="0046504D">
      <w:pPr>
        <w:suppressAutoHyphens/>
      </w:pPr>
    </w:p>
    <w:p w14:paraId="739913B8" w14:textId="077B7680" w:rsidR="00AE305F" w:rsidRPr="00C72A9B" w:rsidRDefault="00AE305F" w:rsidP="0046504D">
      <w:pPr>
        <w:pStyle w:val="Heading3"/>
        <w:suppressAutoHyphens/>
        <w:ind w:left="567" w:hanging="567"/>
      </w:pPr>
      <w:r w:rsidRPr="00C72A9B">
        <w:t>EKES uważa, że właściwe planowanie przestrzenne obszarów morskich (PPOM) sprzyja zrównoważonemu wzrostowi gospodarki morskiej i wykorzystywaniu zasobów morskich poprzez lepsze zarządzanie konfliktami i większą synergię między różnymi rodzajami działalności morskiej, zgodnie z rezolucją przyjętą przez Parlament Europejski 15 stycznia 2020 r. w celu nadania Europejskiemu Zielonemu Ładowi niebieskiego wymiaru.</w:t>
      </w:r>
    </w:p>
    <w:p w14:paraId="77D38977" w14:textId="77777777" w:rsidR="00F41D08" w:rsidRPr="00C72A9B" w:rsidRDefault="00F41D08" w:rsidP="0046504D">
      <w:pPr>
        <w:suppressAutoHyphens/>
      </w:pPr>
    </w:p>
    <w:p w14:paraId="52967DF1" w14:textId="4A2BBB45" w:rsidR="00AE305F" w:rsidRPr="00C72A9B" w:rsidRDefault="00AE305F" w:rsidP="0046504D">
      <w:pPr>
        <w:pStyle w:val="Heading3"/>
        <w:suppressAutoHyphens/>
        <w:ind w:left="567" w:hanging="567"/>
      </w:pPr>
      <w:r w:rsidRPr="00C72A9B">
        <w:lastRenderedPageBreak/>
        <w:t>Stworzenie wspólnych europejskich ram PPOM przynosi szereg korzyści: pomaga ograniczyć konflikty między sektorami i tworzy synergie między różnymi działaniami; zachęca do inwestycji poprzez zapewnienie przewidywalności, przejrzystości i jasnych zasad; zwiększa współpracę transgraniczną między państwami członkowskimi w celu rozwoju sieci i platform produkcji energii, szlaków morskich, rurociągów, podmorskich kabli i innych działań, a także w</w:t>
      </w:r>
      <w:r w:rsidR="00C72A9B">
        <w:t> </w:t>
      </w:r>
      <w:r w:rsidRPr="00C72A9B">
        <w:t>celu rozwijania spójnych sieci obszarów chronionych; chroni środowisko poprzez wczesne rozpoznanie wpływu i możliwości wielorakiego wykorzystania przestrzeni.</w:t>
      </w:r>
    </w:p>
    <w:p w14:paraId="5504E9F3" w14:textId="77777777" w:rsidR="00F41D08" w:rsidRPr="00C72A9B" w:rsidRDefault="00F41D08" w:rsidP="0046504D">
      <w:pPr>
        <w:suppressAutoHyphens/>
      </w:pPr>
    </w:p>
    <w:p w14:paraId="726A6961" w14:textId="3A72E501" w:rsidR="00AE305F" w:rsidRPr="00C72A9B" w:rsidRDefault="00AE305F" w:rsidP="0046504D">
      <w:pPr>
        <w:pStyle w:val="Heading3"/>
        <w:suppressAutoHyphens/>
        <w:ind w:left="567" w:hanging="567"/>
      </w:pPr>
      <w:r w:rsidRPr="00C72A9B">
        <w:t>Promowanie planów zagospodarowania przestrzennego obszarów morskich, poprawa PPOM poprzez dotrzymanie terminu jego opracowania, wyznaczonego na 2021 r., a także koordynacja między poszczególnymi państwami członkowskimi przyczyniają się do realizacji wszystkich celów strategii morskiej na rzecz Oceanu Atlantyckiego i zintegrowanej polityki morskiej w</w:t>
      </w:r>
      <w:r w:rsidR="00C72A9B">
        <w:t> </w:t>
      </w:r>
      <w:r w:rsidRPr="00C72A9B">
        <w:t>zakresie zrównoważonego rozwoju środowiskowego, społecznego i gospodarczego.</w:t>
      </w:r>
    </w:p>
    <w:p w14:paraId="4676B49B" w14:textId="77777777" w:rsidR="00910AC8" w:rsidRPr="00C72A9B" w:rsidRDefault="00910AC8" w:rsidP="0046504D">
      <w:pPr>
        <w:suppressAutoHyphens/>
      </w:pPr>
    </w:p>
    <w:p w14:paraId="77599E7A" w14:textId="0E0A4604" w:rsidR="00AE305F" w:rsidRPr="00C72A9B" w:rsidRDefault="00AE305F" w:rsidP="0046504D">
      <w:pPr>
        <w:pStyle w:val="Heading3"/>
        <w:suppressAutoHyphens/>
        <w:ind w:left="567" w:hanging="567"/>
      </w:pPr>
      <w:r w:rsidRPr="00C72A9B">
        <w:t>W tym kontekście EKES jest zdania, że w planie działania 2.0 dotyczącym strategii morskiej na rzecz Oceanu Atlantyckiego należy uwzględnić tę kwestię, bez której trudno byłoby zapewnić zrównoważony rozwój niebieskiej gospodarki zarówno z perspektywy ekologicznej i</w:t>
      </w:r>
      <w:r w:rsidR="00C72A9B">
        <w:t> </w:t>
      </w:r>
      <w:r w:rsidRPr="00C72A9B">
        <w:t>społecznej, jak i z punktu widzenia inwestycji w projekty.</w:t>
      </w:r>
    </w:p>
    <w:p w14:paraId="2A06113B" w14:textId="77777777" w:rsidR="00F41D08" w:rsidRPr="00C72A9B" w:rsidRDefault="00F41D08" w:rsidP="0046504D">
      <w:pPr>
        <w:suppressAutoHyphens/>
      </w:pPr>
    </w:p>
    <w:p w14:paraId="4421B26B" w14:textId="26F65099" w:rsidR="00AE305F" w:rsidRPr="00C72A9B" w:rsidRDefault="00AE305F" w:rsidP="0046504D">
      <w:pPr>
        <w:pStyle w:val="Heading3"/>
        <w:suppressAutoHyphens/>
        <w:ind w:left="567" w:hanging="567"/>
      </w:pPr>
      <w:r w:rsidRPr="00C72A9B">
        <w:t>Komitet zaleca, by w planie działania 2.0 położono większy nacisk na znaczenie planowania przestrzennego obszarów morskich dla rozwoju niebieskiej gospodarki, w szczególności w</w:t>
      </w:r>
      <w:r w:rsidR="00C72A9B">
        <w:t> </w:t>
      </w:r>
      <w:r w:rsidRPr="00C72A9B">
        <w:t>odniesieniu do filarów I, II i IV.</w:t>
      </w:r>
    </w:p>
    <w:p w14:paraId="5E9D079B" w14:textId="77777777" w:rsidR="00F41D08" w:rsidRPr="00C72A9B" w:rsidRDefault="00F41D08" w:rsidP="0046504D">
      <w:pPr>
        <w:suppressAutoHyphens/>
      </w:pPr>
    </w:p>
    <w:p w14:paraId="5BC695B3" w14:textId="7BCB582B" w:rsidR="00AE305F" w:rsidRPr="00C72A9B" w:rsidRDefault="00AE305F" w:rsidP="0046504D">
      <w:pPr>
        <w:pStyle w:val="Heading3"/>
        <w:suppressAutoHyphens/>
        <w:ind w:left="567" w:hanging="567"/>
      </w:pPr>
      <w:r w:rsidRPr="00C72A9B">
        <w:t>EKES zaleca również, by przewidywane monitorowanie i ocena były przeprowadzane w</w:t>
      </w:r>
      <w:r w:rsidR="00C72A9B">
        <w:t> </w:t>
      </w:r>
      <w:r w:rsidRPr="00C72A9B">
        <w:t>kontekście PPOM zgodnie z odpowiednimi wskaźnikami, a wstępnym warunkiem przy dostępie do finansowania musi być istnienie projektów zlokalizowanych na odpowiednio zagospodarowanym obszarze morskim.</w:t>
      </w:r>
    </w:p>
    <w:p w14:paraId="5FBBA346" w14:textId="77777777" w:rsidR="00F41D08" w:rsidRPr="00C72A9B" w:rsidRDefault="00F41D08" w:rsidP="0046504D">
      <w:pPr>
        <w:suppressAutoHyphens/>
      </w:pPr>
    </w:p>
    <w:p w14:paraId="6C69E444" w14:textId="36897AE1" w:rsidR="00AE305F" w:rsidRPr="00C72A9B" w:rsidRDefault="00AE305F" w:rsidP="0046504D">
      <w:pPr>
        <w:pStyle w:val="Heading2"/>
        <w:suppressAutoHyphens/>
        <w:ind w:left="567" w:hanging="567"/>
      </w:pPr>
      <w:r w:rsidRPr="00C72A9B">
        <w:t xml:space="preserve">Jeśli chodzi o </w:t>
      </w:r>
      <w:r w:rsidRPr="00C72A9B">
        <w:rPr>
          <w:u w:val="single"/>
        </w:rPr>
        <w:t>partnerstwa między państwami członkowskimi i na szczeblu międzynarodowym</w:t>
      </w:r>
      <w:r w:rsidRPr="00C72A9B">
        <w:t>, zdaniem EKES-u należy jasno określić cele i zasady.</w:t>
      </w:r>
    </w:p>
    <w:p w14:paraId="3DD05271" w14:textId="77777777" w:rsidR="00F41D08" w:rsidRPr="00C72A9B" w:rsidRDefault="00F41D08" w:rsidP="0046504D">
      <w:pPr>
        <w:suppressAutoHyphens/>
      </w:pPr>
    </w:p>
    <w:p w14:paraId="356708A7" w14:textId="34901C73" w:rsidR="00AE305F" w:rsidRPr="00C72A9B" w:rsidRDefault="00AE305F" w:rsidP="0046504D">
      <w:pPr>
        <w:pStyle w:val="Heading3"/>
        <w:suppressAutoHyphens/>
        <w:ind w:left="567" w:hanging="567"/>
      </w:pPr>
      <w:r w:rsidRPr="00C72A9B">
        <w:t>Basen Oceanu Atlantyckiego ma kilka wybrzeży, a ocean nie ma granic, w związku z czym EKES uważa, że partnerstwa społeczne, środowiskowe i gospodarcze, a także w ramach innowacji i badań naukowych, należy rozpatrywać w ramach czterech filarów planu działania 2.0.</w:t>
      </w:r>
    </w:p>
    <w:p w14:paraId="3D942D14" w14:textId="77777777" w:rsidR="00F41D08" w:rsidRPr="00C72A9B" w:rsidRDefault="00F41D08" w:rsidP="0046504D">
      <w:pPr>
        <w:suppressAutoHyphens/>
      </w:pPr>
    </w:p>
    <w:p w14:paraId="4CC3C390" w14:textId="1F4C1D1E" w:rsidR="00AE305F" w:rsidRPr="00C72A9B" w:rsidRDefault="005463DE" w:rsidP="0046504D">
      <w:pPr>
        <w:pStyle w:val="Heading3"/>
        <w:suppressAutoHyphens/>
        <w:ind w:left="567" w:hanging="567"/>
      </w:pPr>
      <w:r w:rsidRPr="00C72A9B">
        <w:t>Komitet uważa, że oprócz przepisów między państwami członkowskimi należy położyć szczególny nacisk na ramy partnerstwa z europejskimi państwami trzecimi, Zjednoczonym Królestwem, Norwegią i Islandią. Uważa, że zwłaszcza w przypadku Zjednoczonego Królestwa należy zwrócić szczególną uwagę na środki, które pozwolą zapobiec utracie informacji lub które utrudniają współpracę.</w:t>
      </w:r>
    </w:p>
    <w:p w14:paraId="3476D199" w14:textId="77777777" w:rsidR="00F41D08" w:rsidRPr="00C72A9B" w:rsidRDefault="00F41D08" w:rsidP="0046504D">
      <w:pPr>
        <w:suppressAutoHyphens/>
      </w:pPr>
    </w:p>
    <w:p w14:paraId="0D323D70" w14:textId="668D310D" w:rsidR="00AE305F" w:rsidRPr="00C72A9B" w:rsidRDefault="00AE305F" w:rsidP="0046504D">
      <w:pPr>
        <w:pStyle w:val="Heading3"/>
        <w:suppressAutoHyphens/>
        <w:ind w:left="567" w:hanging="567"/>
      </w:pPr>
      <w:r w:rsidRPr="00C72A9B">
        <w:t xml:space="preserve">EKES zaleca, by – mimo że rozwój niebieskiej gospodarki ma na celu promowanie projektów w przestrzeni morskiej pod zwierzchnictwem państw nadbrzeżnych UE – plan działania dotyczący strategii morskiej na rzecz Oceanu Atlantyckiego zawierał ogólne wytyczne dla </w:t>
      </w:r>
      <w:r w:rsidRPr="00C72A9B">
        <w:lastRenderedPageBreak/>
        <w:t>partnerstw transatlantyckich zarówno w zakresie tworzenia partnerstw z państwami przybrzeżnymi na atlantyckich wybrzeżach Ameryk, jak i z krajami afrykańskimi</w:t>
      </w:r>
      <w:r w:rsidR="000F0676" w:rsidRPr="00C72A9B">
        <w:rPr>
          <w:rStyle w:val="FootnoteReference"/>
        </w:rPr>
        <w:footnoteReference w:id="17"/>
      </w:r>
      <w:r w:rsidRPr="00C72A9B">
        <w:t>.</w:t>
      </w:r>
    </w:p>
    <w:p w14:paraId="73630140" w14:textId="77777777" w:rsidR="00F41D08" w:rsidRPr="00C72A9B" w:rsidRDefault="00F41D08" w:rsidP="0046504D">
      <w:pPr>
        <w:suppressAutoHyphens/>
      </w:pPr>
    </w:p>
    <w:p w14:paraId="5B6BA829" w14:textId="1A210EC1" w:rsidR="00AE305F" w:rsidRPr="00C72A9B" w:rsidRDefault="00AE305F" w:rsidP="0046504D">
      <w:pPr>
        <w:pStyle w:val="Heading2"/>
        <w:suppressAutoHyphens/>
        <w:ind w:left="567" w:hanging="567"/>
      </w:pPr>
      <w:r w:rsidRPr="00C72A9B">
        <w:t xml:space="preserve">W odniesieniu do </w:t>
      </w:r>
      <w:r w:rsidRPr="00C72A9B">
        <w:rPr>
          <w:u w:val="single"/>
        </w:rPr>
        <w:t>uruchamiania środków i finansowania</w:t>
      </w:r>
      <w:r w:rsidRPr="00C72A9B">
        <w:t xml:space="preserve"> EKES zaleca, by plan działania 2.0 jasno i jednoznacznie określał źródła finansowania, zasady przyznawania środków oraz sposób monitorowania i oceny wyników projektów.</w:t>
      </w:r>
    </w:p>
    <w:p w14:paraId="013FCA33" w14:textId="77777777" w:rsidR="00F41D08" w:rsidRPr="00C72A9B" w:rsidRDefault="00F41D08" w:rsidP="0046504D">
      <w:pPr>
        <w:suppressAutoHyphens/>
      </w:pPr>
    </w:p>
    <w:p w14:paraId="343B0972" w14:textId="4C33ADF8" w:rsidR="000F0676" w:rsidRPr="00C72A9B" w:rsidRDefault="00AE305F" w:rsidP="0046504D">
      <w:pPr>
        <w:pStyle w:val="Heading3"/>
        <w:suppressAutoHyphens/>
        <w:ind w:left="567" w:hanging="567"/>
      </w:pPr>
      <w:r w:rsidRPr="00C72A9B">
        <w:t xml:space="preserve">EKES z zadowoleniem przyjmuje fakt, że – jak stwierdzono w komunikacie Komisji Europejskiej – pomyślne wdrożenie intencji planu działania będzie wymagało połączenia inwestycji publicznych z budżetów krajowych i unijnych z funduszami prywatnymi. </w:t>
      </w:r>
    </w:p>
    <w:p w14:paraId="75A5DFA1" w14:textId="77777777" w:rsidR="000F0676" w:rsidRPr="00C72A9B" w:rsidRDefault="000F0676" w:rsidP="0046504D">
      <w:pPr>
        <w:suppressAutoHyphens/>
      </w:pPr>
    </w:p>
    <w:p w14:paraId="4C1F08C2" w14:textId="0EECC05C" w:rsidR="00AE305F" w:rsidRPr="00C72A9B" w:rsidRDefault="000F0676" w:rsidP="0046504D">
      <w:pPr>
        <w:pStyle w:val="Heading3"/>
        <w:suppressAutoHyphens/>
        <w:ind w:left="567" w:hanging="567"/>
      </w:pPr>
      <w:r w:rsidRPr="00C72A9B">
        <w:t>W tym celu przedstawiono wykaz funduszy i programów dostępnych dla państw członkowskich i ich regionów przybrzeżnych. EKES zaleca, by wykaz ten był wyczerpujący i</w:t>
      </w:r>
      <w:r w:rsidR="00C72A9B">
        <w:t> </w:t>
      </w:r>
      <w:r w:rsidRPr="00C72A9B">
        <w:t>obejmował inne mechanizmy finansowania, takie jak mechanizm grantów EOG</w:t>
      </w:r>
      <w:r w:rsidRPr="00C72A9B">
        <w:rPr>
          <w:rStyle w:val="FootnoteReference"/>
          <w:szCs w:val="24"/>
        </w:rPr>
        <w:footnoteReference w:id="18"/>
      </w:r>
      <w:r w:rsidRPr="00C72A9B">
        <w:t>, co będzie szczególnie przydatne w przyszłych partnerstwach z państwami trzecimi w Europie.</w:t>
      </w:r>
    </w:p>
    <w:p w14:paraId="258F7012" w14:textId="77777777" w:rsidR="00F41D08" w:rsidRPr="00C72A9B" w:rsidRDefault="00F41D08" w:rsidP="0046504D">
      <w:pPr>
        <w:suppressAutoHyphens/>
      </w:pPr>
    </w:p>
    <w:p w14:paraId="5D9FC87A" w14:textId="77906501" w:rsidR="00AE305F" w:rsidRPr="00C72A9B" w:rsidRDefault="00AE305F" w:rsidP="0046504D">
      <w:pPr>
        <w:pStyle w:val="Heading3"/>
        <w:suppressAutoHyphens/>
        <w:ind w:left="567" w:hanging="567"/>
      </w:pPr>
      <w:r w:rsidRPr="00C72A9B">
        <w:t>EKES uważa, że w dokumencie strategicznym takim jak strategia morska na rzecz Oceanu Atlantyckiego oprócz zwykłego wykazu źródeł finansowania należy również określić ogólne wytyczne dotyczące zatwierdzania projektów.</w:t>
      </w:r>
    </w:p>
    <w:p w14:paraId="797FCDBF" w14:textId="77777777" w:rsidR="00F41D08" w:rsidRPr="00C72A9B" w:rsidRDefault="00F41D08" w:rsidP="0046504D">
      <w:pPr>
        <w:suppressAutoHyphens/>
      </w:pPr>
    </w:p>
    <w:p w14:paraId="55DACD88" w14:textId="12A44CA7" w:rsidR="00AE305F" w:rsidRPr="00C72A9B" w:rsidRDefault="00AE305F" w:rsidP="0046504D">
      <w:pPr>
        <w:pStyle w:val="Heading3"/>
        <w:suppressAutoHyphens/>
        <w:ind w:left="567" w:hanging="567"/>
      </w:pPr>
      <w:r w:rsidRPr="00C72A9B">
        <w:t>EKES zaleca ustanowienie matrycy monitorowania i oceny zawierającej dobrze zdefiniowane wskaźniki dotyczące m.in. innowacji, badań naukowych, zrównoważoności ekologicznej, wkładu w rozwój społeczny i lokalizacji na zagospodarowanym obszarze morskim, która będzie punktem odniesienia dla decyzji w sprawie finansowania.</w:t>
      </w:r>
    </w:p>
    <w:p w14:paraId="572C2B75" w14:textId="77777777" w:rsidR="00F41D08" w:rsidRPr="00C72A9B" w:rsidRDefault="00F41D08" w:rsidP="0046504D">
      <w:pPr>
        <w:suppressAutoHyphens/>
      </w:pPr>
    </w:p>
    <w:p w14:paraId="460BB2BF" w14:textId="7ACA5175" w:rsidR="00AE305F" w:rsidRPr="00C72A9B" w:rsidRDefault="00630BF8" w:rsidP="00E552A3">
      <w:pPr>
        <w:pStyle w:val="Heading3"/>
        <w:keepLines/>
        <w:suppressAutoHyphens/>
        <w:ind w:left="567" w:hanging="567"/>
      </w:pPr>
      <w:r w:rsidRPr="00C72A9B">
        <w:rPr>
          <w:u w:val="single"/>
        </w:rPr>
        <w:t>EKES zdecydowanie zaleca utworzenie specjalnej linii finans</w:t>
      </w:r>
      <w:r w:rsidR="00C72A9B">
        <w:rPr>
          <w:u w:val="single"/>
        </w:rPr>
        <w:t>owania, tak jak ma to miejsce w </w:t>
      </w:r>
      <w:r w:rsidRPr="00C72A9B">
        <w:rPr>
          <w:u w:val="single"/>
        </w:rPr>
        <w:t>przypadku innych basenów europejskich i innych sektoró</w:t>
      </w:r>
      <w:r w:rsidR="00C72A9B">
        <w:rPr>
          <w:u w:val="single"/>
        </w:rPr>
        <w:t>w działalności korzystających z </w:t>
      </w:r>
      <w:r w:rsidRPr="00C72A9B">
        <w:rPr>
          <w:u w:val="single"/>
        </w:rPr>
        <w:t>europejskich funduszy publicznych</w:t>
      </w:r>
      <w:r w:rsidRPr="00C72A9B">
        <w:t>.</w:t>
      </w:r>
      <w:r w:rsidRPr="00C72A9B">
        <w:rPr>
          <w:sz w:val="23"/>
          <w:szCs w:val="23"/>
        </w:rPr>
        <w:t xml:space="preserve"> </w:t>
      </w:r>
      <w:r w:rsidRPr="00C72A9B">
        <w:t>Realizacja planu działania na rzecz Oceanu Atlantyckiego nie jest głównym celem żadnego z wymienionych funduszy i programów, co negatywnie wpływa na zdolność do jego urzeczywistnienia.</w:t>
      </w:r>
    </w:p>
    <w:p w14:paraId="0E7F01F3" w14:textId="6A870EAE" w:rsidR="005E0AE7" w:rsidRPr="00C72A9B" w:rsidRDefault="005E0AE7" w:rsidP="0046504D">
      <w:pPr>
        <w:suppressAutoHyphens/>
      </w:pPr>
    </w:p>
    <w:p w14:paraId="5A4B279D" w14:textId="196A1306" w:rsidR="0014277E" w:rsidRPr="00C72A9B" w:rsidRDefault="0014277E" w:rsidP="0046504D">
      <w:pPr>
        <w:suppressAutoHyphens/>
      </w:pPr>
    </w:p>
    <w:p w14:paraId="156894D1" w14:textId="4793445D" w:rsidR="0014277E" w:rsidRPr="00C72A9B" w:rsidRDefault="0014277E" w:rsidP="0046504D">
      <w:pPr>
        <w:suppressAutoHyphens/>
      </w:pPr>
    </w:p>
    <w:p w14:paraId="77B26F62" w14:textId="20F024D4" w:rsidR="0014277E" w:rsidRPr="00C72A9B" w:rsidRDefault="0014277E" w:rsidP="0046504D">
      <w:pPr>
        <w:suppressAutoHyphens/>
      </w:pPr>
    </w:p>
    <w:p w14:paraId="37C1A5F8" w14:textId="1C19BFE5" w:rsidR="0014277E" w:rsidRPr="00C72A9B" w:rsidRDefault="0014277E" w:rsidP="0046504D">
      <w:pPr>
        <w:suppressAutoHyphens/>
      </w:pPr>
      <w:r w:rsidRPr="00C72A9B">
        <w:t>Peter SCHMIDT</w:t>
      </w:r>
    </w:p>
    <w:p w14:paraId="22E36426" w14:textId="43558E3C" w:rsidR="0014277E" w:rsidRDefault="0014277E" w:rsidP="0046504D">
      <w:pPr>
        <w:suppressAutoHyphens/>
      </w:pPr>
      <w:r w:rsidRPr="00C72A9B">
        <w:t>Przewodniczący Sekcji Rolnictwa, Rozwoju Wsi i Środowiska Naturalnego</w:t>
      </w:r>
    </w:p>
    <w:p w14:paraId="443E628C" w14:textId="77777777" w:rsidR="00E4328B" w:rsidRPr="00C72A9B" w:rsidRDefault="00E4328B" w:rsidP="0046504D">
      <w:pPr>
        <w:suppressAutoHyphens/>
      </w:pPr>
    </w:p>
    <w:p w14:paraId="16A2EC6C" w14:textId="77777777" w:rsidR="00C72A9B" w:rsidRDefault="00C72A9B" w:rsidP="0046504D">
      <w:pPr>
        <w:suppressAutoHyphens/>
        <w:overflowPunct/>
        <w:adjustRightInd/>
        <w:jc w:val="center"/>
        <w:textAlignment w:val="auto"/>
      </w:pPr>
    </w:p>
    <w:p w14:paraId="67F3BC28" w14:textId="77777777" w:rsidR="00FE6499" w:rsidRDefault="00FE6499">
      <w:pPr>
        <w:jc w:val="center"/>
      </w:pPr>
      <w:r>
        <w:t>*</w:t>
      </w:r>
    </w:p>
    <w:p w14:paraId="0C862BDE" w14:textId="77777777" w:rsidR="00FE6499" w:rsidRDefault="00FE6499">
      <w:pPr>
        <w:jc w:val="center"/>
      </w:pPr>
    </w:p>
    <w:p w14:paraId="124D9541" w14:textId="77777777" w:rsidR="00FE6499" w:rsidRPr="00AE57B9" w:rsidRDefault="00FE6499">
      <w:pPr>
        <w:jc w:val="center"/>
        <w:rPr>
          <w:lang w:val="nl-BE"/>
        </w:rPr>
      </w:pPr>
      <w:r>
        <w:t>*</w:t>
      </w:r>
      <w:r>
        <w:tab/>
        <w:t>*</w:t>
      </w:r>
    </w:p>
    <w:p w14:paraId="64307A78" w14:textId="2572581B" w:rsidR="0014277E" w:rsidRPr="00C72A9B" w:rsidRDefault="0014277E" w:rsidP="00E552A3">
      <w:pPr>
        <w:suppressAutoHyphens/>
        <w:overflowPunct/>
        <w:adjustRightInd/>
        <w:textAlignment w:val="auto"/>
      </w:pPr>
    </w:p>
    <w:p w14:paraId="49F10DED" w14:textId="7149BF9B" w:rsidR="0014277E" w:rsidRPr="00C72A9B" w:rsidRDefault="0014277E" w:rsidP="00E552A3">
      <w:pPr>
        <w:suppressAutoHyphens/>
        <w:overflowPunct/>
        <w:adjustRightInd/>
        <w:textAlignment w:val="auto"/>
      </w:pPr>
    </w:p>
    <w:p w14:paraId="35489CB0" w14:textId="5DA627F5" w:rsidR="0014277E" w:rsidRPr="00C72A9B" w:rsidRDefault="00FE6499" w:rsidP="0046504D">
      <w:pPr>
        <w:suppressAutoHyphens/>
        <w:overflowPunct/>
        <w:adjustRightInd/>
        <w:jc w:val="left"/>
        <w:textAlignment w:val="auto"/>
      </w:pPr>
      <w:r w:rsidRPr="00FE6499">
        <w:rPr>
          <w:b/>
        </w:rPr>
        <w:t>UWAGA:</w:t>
      </w:r>
      <w:r>
        <w:t xml:space="preserve"> </w:t>
      </w:r>
      <w:r w:rsidR="004A0E59" w:rsidRPr="00C72A9B">
        <w:t>Załącznik</w:t>
      </w:r>
      <w:r>
        <w:t>i na kolejnych stronach</w:t>
      </w:r>
    </w:p>
    <w:p w14:paraId="7AB25462" w14:textId="1DD04573" w:rsidR="004326AC" w:rsidRPr="00C72A9B" w:rsidRDefault="004326AC" w:rsidP="0046504D">
      <w:pPr>
        <w:suppressAutoHyphens/>
        <w:overflowPunct/>
        <w:autoSpaceDE/>
        <w:autoSpaceDN/>
        <w:adjustRightInd/>
        <w:jc w:val="left"/>
        <w:textAlignment w:val="auto"/>
      </w:pPr>
      <w:r w:rsidRPr="00C72A9B">
        <w:br w:type="page"/>
      </w:r>
    </w:p>
    <w:p w14:paraId="1AF552C1" w14:textId="77777777" w:rsidR="004A0E59" w:rsidRPr="00C72A9B" w:rsidRDefault="004A0E59" w:rsidP="00C72A9B"/>
    <w:p w14:paraId="4D013F91" w14:textId="547EAE66" w:rsidR="004A0E59" w:rsidRPr="00C72A9B" w:rsidRDefault="004A0E59" w:rsidP="0046504D">
      <w:pPr>
        <w:pStyle w:val="ListParagraph"/>
        <w:suppressAutoHyphens/>
        <w:spacing w:before="0" w:line="288" w:lineRule="auto"/>
        <w:ind w:left="0"/>
        <w:contextualSpacing w:val="0"/>
        <w:jc w:val="center"/>
        <w:rPr>
          <w:u w:val="single"/>
        </w:rPr>
      </w:pPr>
      <w:r w:rsidRPr="00C72A9B">
        <w:rPr>
          <w:u w:val="single"/>
        </w:rPr>
        <w:t>ZAŁĄCZNIK I</w:t>
      </w:r>
    </w:p>
    <w:p w14:paraId="43F08693" w14:textId="76393920" w:rsidR="004A0E59" w:rsidRDefault="004A0E59" w:rsidP="0046504D">
      <w:pPr>
        <w:pStyle w:val="ListParagraph"/>
        <w:suppressAutoHyphens/>
        <w:spacing w:before="0" w:line="288" w:lineRule="auto"/>
        <w:ind w:left="0"/>
        <w:contextualSpacing w:val="0"/>
        <w:jc w:val="center"/>
      </w:pPr>
      <w:r w:rsidRPr="00C72A9B">
        <w:t>REGION OCEANU ATLANTYCKIEGO</w:t>
      </w:r>
      <w:r w:rsidRPr="00E552A3">
        <w:rPr>
          <w:rStyle w:val="FootnoteReference"/>
          <w:rFonts w:ascii="Times New Roman" w:hAnsi="Times New Roman" w:cs="Times New Roman"/>
        </w:rPr>
        <w:footnoteReference w:id="19"/>
      </w:r>
    </w:p>
    <w:p w14:paraId="0C51869A" w14:textId="77777777" w:rsidR="00E4328B" w:rsidRPr="00C72A9B" w:rsidRDefault="00E4328B" w:rsidP="0046504D">
      <w:pPr>
        <w:pStyle w:val="ListParagraph"/>
        <w:suppressAutoHyphens/>
        <w:spacing w:before="0" w:line="288" w:lineRule="auto"/>
        <w:ind w:left="0"/>
        <w:contextualSpacing w:val="0"/>
        <w:jc w:val="center"/>
      </w:pPr>
    </w:p>
    <w:p w14:paraId="7D679AA1" w14:textId="061963B7" w:rsidR="004A0E59" w:rsidRPr="00C72A9B" w:rsidRDefault="004A0E59" w:rsidP="0046504D">
      <w:pPr>
        <w:pStyle w:val="ListParagraph"/>
        <w:suppressAutoHyphens/>
        <w:spacing w:before="0" w:line="288" w:lineRule="auto"/>
        <w:ind w:left="0"/>
        <w:contextualSpacing w:val="0"/>
        <w:jc w:val="center"/>
      </w:pPr>
      <w:r w:rsidRPr="00C72A9B">
        <w:drawing>
          <wp:inline distT="0" distB="0" distL="0" distR="0" wp14:anchorId="56410D98" wp14:editId="18B35BDC">
            <wp:extent cx="4762500" cy="5572125"/>
            <wp:effectExtent l="0" t="0" r="0" b="9525"/>
            <wp:docPr id="1" name="Imagem 1" descr="Uma imagem com map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gião Atlântica.jpg"/>
                    <pic:cNvPicPr/>
                  </pic:nvPicPr>
                  <pic:blipFill>
                    <a:blip r:embed="rId19">
                      <a:extLst>
                        <a:ext uri="{28A0092B-C50C-407E-A947-70E740481C1C}">
                          <a14:useLocalDpi xmlns:a14="http://schemas.microsoft.com/office/drawing/2010/main" val="0"/>
                        </a:ext>
                      </a:extLst>
                    </a:blip>
                    <a:stretch>
                      <a:fillRect/>
                    </a:stretch>
                  </pic:blipFill>
                  <pic:spPr>
                    <a:xfrm>
                      <a:off x="0" y="0"/>
                      <a:ext cx="4762500" cy="5572125"/>
                    </a:xfrm>
                    <a:prstGeom prst="rect">
                      <a:avLst/>
                    </a:prstGeom>
                  </pic:spPr>
                </pic:pic>
              </a:graphicData>
            </a:graphic>
          </wp:inline>
        </w:drawing>
      </w:r>
    </w:p>
    <w:p w14:paraId="0AA3FB8B" w14:textId="77777777" w:rsidR="004A0E59" w:rsidRPr="00C72A9B" w:rsidRDefault="004A0E59" w:rsidP="0046504D">
      <w:pPr>
        <w:suppressAutoHyphens/>
      </w:pPr>
      <w:r w:rsidRPr="00C72A9B">
        <w:br w:type="page"/>
      </w:r>
    </w:p>
    <w:p w14:paraId="4FF5AA15" w14:textId="77777777" w:rsidR="004A0E59" w:rsidRPr="00C72A9B" w:rsidRDefault="004A0E59" w:rsidP="0046504D">
      <w:pPr>
        <w:pStyle w:val="ListParagraph"/>
        <w:suppressAutoHyphens/>
        <w:spacing w:before="0" w:line="288" w:lineRule="auto"/>
        <w:ind w:left="0"/>
        <w:contextualSpacing w:val="0"/>
        <w:jc w:val="center"/>
        <w:rPr>
          <w:u w:val="single"/>
        </w:rPr>
      </w:pPr>
      <w:r w:rsidRPr="00C72A9B">
        <w:rPr>
          <w:u w:val="single"/>
        </w:rPr>
        <w:lastRenderedPageBreak/>
        <w:t>ZAŁĄCZNIK I (cd.)</w:t>
      </w:r>
    </w:p>
    <w:p w14:paraId="1E8AD660" w14:textId="77777777" w:rsidR="004A0E59" w:rsidRPr="00C72A9B" w:rsidRDefault="004A0E59" w:rsidP="0046504D">
      <w:pPr>
        <w:pStyle w:val="ListParagraph"/>
        <w:suppressAutoHyphens/>
        <w:spacing w:before="0" w:line="288" w:lineRule="auto"/>
        <w:ind w:left="0"/>
        <w:contextualSpacing w:val="0"/>
        <w:jc w:val="center"/>
      </w:pPr>
      <w:r w:rsidRPr="00C72A9B">
        <w:t>REGION OCEANU ATLANTYCKIEGO – regiony najbardziej oddalone</w:t>
      </w:r>
    </w:p>
    <w:p w14:paraId="4F4EE62F" w14:textId="77777777" w:rsidR="004A0E59" w:rsidRPr="00C72A9B" w:rsidRDefault="004A0E59" w:rsidP="0046504D">
      <w:pPr>
        <w:suppressAutoHyphens/>
      </w:pPr>
    </w:p>
    <w:p w14:paraId="20E17397" w14:textId="672BD216" w:rsidR="004A0E59" w:rsidRPr="00C72A9B" w:rsidRDefault="004A0E59" w:rsidP="0046504D">
      <w:pPr>
        <w:pStyle w:val="ListParagraph"/>
        <w:suppressAutoHyphens/>
        <w:spacing w:before="0" w:line="288" w:lineRule="auto"/>
        <w:ind w:left="0"/>
        <w:contextualSpacing w:val="0"/>
        <w:jc w:val="center"/>
      </w:pPr>
      <w:r w:rsidRPr="00C72A9B">
        <w:drawing>
          <wp:inline distT="0" distB="0" distL="0" distR="0" wp14:anchorId="33D7C005" wp14:editId="76EE4306">
            <wp:extent cx="4762500" cy="3790950"/>
            <wp:effectExtent l="0" t="0" r="0" b="0"/>
            <wp:docPr id="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gião Atlântica Ultra periférica.jpg"/>
                    <pic:cNvPicPr/>
                  </pic:nvPicPr>
                  <pic:blipFill>
                    <a:blip r:embed="rId20">
                      <a:extLst>
                        <a:ext uri="{28A0092B-C50C-407E-A947-70E740481C1C}">
                          <a14:useLocalDpi xmlns:a14="http://schemas.microsoft.com/office/drawing/2010/main" val="0"/>
                        </a:ext>
                      </a:extLst>
                    </a:blip>
                    <a:stretch>
                      <a:fillRect/>
                    </a:stretch>
                  </pic:blipFill>
                  <pic:spPr>
                    <a:xfrm>
                      <a:off x="0" y="0"/>
                      <a:ext cx="4762500" cy="3790950"/>
                    </a:xfrm>
                    <a:prstGeom prst="rect">
                      <a:avLst/>
                    </a:prstGeom>
                  </pic:spPr>
                </pic:pic>
              </a:graphicData>
            </a:graphic>
          </wp:inline>
        </w:drawing>
      </w:r>
    </w:p>
    <w:p w14:paraId="041C2B85" w14:textId="77777777" w:rsidR="004A0E59" w:rsidRPr="00C72A9B" w:rsidRDefault="004A0E59" w:rsidP="0046504D">
      <w:pPr>
        <w:suppressAutoHyphens/>
      </w:pPr>
      <w:r w:rsidRPr="00C72A9B">
        <w:br w:type="page"/>
      </w:r>
    </w:p>
    <w:p w14:paraId="47BE419E" w14:textId="77777777" w:rsidR="004A0E59" w:rsidRPr="00C72A9B" w:rsidRDefault="004A0E59" w:rsidP="0046504D">
      <w:pPr>
        <w:pStyle w:val="ListParagraph"/>
        <w:suppressAutoHyphens/>
        <w:spacing w:before="0" w:line="288" w:lineRule="auto"/>
        <w:ind w:left="0"/>
        <w:contextualSpacing w:val="0"/>
        <w:jc w:val="center"/>
        <w:rPr>
          <w:u w:val="single"/>
        </w:rPr>
      </w:pPr>
      <w:r w:rsidRPr="00C72A9B">
        <w:rPr>
          <w:u w:val="single"/>
        </w:rPr>
        <w:lastRenderedPageBreak/>
        <w:t>ZAŁĄCZNIK II</w:t>
      </w:r>
    </w:p>
    <w:p w14:paraId="68E81BFE" w14:textId="77777777" w:rsidR="004A0E59" w:rsidRPr="00C72A9B" w:rsidRDefault="004A0E59" w:rsidP="0046504D">
      <w:pPr>
        <w:pStyle w:val="ListParagraph"/>
        <w:suppressAutoHyphens/>
        <w:spacing w:before="0" w:line="288" w:lineRule="auto"/>
        <w:ind w:left="0"/>
        <w:contextualSpacing w:val="0"/>
        <w:jc w:val="center"/>
      </w:pPr>
      <w:r w:rsidRPr="00C72A9B">
        <w:t>Regionalny PKB (NUTS 2) na mieszkańca</w:t>
      </w:r>
    </w:p>
    <w:p w14:paraId="2B86D80F" w14:textId="77777777" w:rsidR="004A0E59" w:rsidRPr="00C72A9B" w:rsidRDefault="004A0E59" w:rsidP="0046504D">
      <w:pPr>
        <w:pStyle w:val="ListParagraph"/>
        <w:suppressAutoHyphens/>
        <w:spacing w:before="0" w:line="288" w:lineRule="auto"/>
        <w:ind w:left="0"/>
        <w:contextualSpacing w:val="0"/>
        <w:jc w:val="center"/>
      </w:pPr>
      <w:r w:rsidRPr="00C72A9B">
        <w:t>PPS, UE-28</w:t>
      </w:r>
    </w:p>
    <w:p w14:paraId="6F1B89CB" w14:textId="77777777" w:rsidR="004A0E59" w:rsidRPr="00C72A9B" w:rsidRDefault="004A0E59" w:rsidP="0046504D">
      <w:pPr>
        <w:suppressAutoHyphens/>
        <w:rPr>
          <w:rFonts w:eastAsia="SimSun"/>
          <w:b/>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792"/>
        <w:gridCol w:w="2126"/>
        <w:gridCol w:w="2126"/>
      </w:tblGrid>
      <w:tr w:rsidR="004A0E59" w:rsidRPr="00C72A9B" w14:paraId="714364FE" w14:textId="77777777" w:rsidTr="00E552A3">
        <w:trPr>
          <w:jc w:val="center"/>
        </w:trPr>
        <w:tc>
          <w:tcPr>
            <w:tcW w:w="3792" w:type="dxa"/>
            <w:shd w:val="clear" w:color="auto" w:fill="DDD9C3" w:themeFill="background2" w:themeFillShade="E6"/>
          </w:tcPr>
          <w:p w14:paraId="0E82227E" w14:textId="77777777" w:rsidR="004A0E59" w:rsidRPr="00C72A9B" w:rsidRDefault="004A0E59" w:rsidP="00E552A3">
            <w:pPr>
              <w:suppressAutoHyphens/>
              <w:spacing w:line="240" w:lineRule="auto"/>
              <w:jc w:val="center"/>
              <w:rPr>
                <w:rFonts w:eastAsia="SimSun"/>
                <w:b/>
                <w:szCs w:val="24"/>
              </w:rPr>
            </w:pPr>
            <w:r w:rsidRPr="00C72A9B">
              <w:rPr>
                <w:b/>
                <w:szCs w:val="24"/>
              </w:rPr>
              <w:t>REGION</w:t>
            </w:r>
          </w:p>
        </w:tc>
        <w:tc>
          <w:tcPr>
            <w:tcW w:w="2126" w:type="dxa"/>
            <w:shd w:val="clear" w:color="auto" w:fill="DDD9C3" w:themeFill="background2" w:themeFillShade="E6"/>
          </w:tcPr>
          <w:p w14:paraId="3171E50F" w14:textId="77777777" w:rsidR="004A0E59" w:rsidRPr="00C72A9B" w:rsidRDefault="004A0E59" w:rsidP="00E552A3">
            <w:pPr>
              <w:suppressAutoHyphens/>
              <w:spacing w:line="240" w:lineRule="auto"/>
              <w:jc w:val="center"/>
              <w:rPr>
                <w:rFonts w:eastAsia="SimSun"/>
                <w:b/>
                <w:szCs w:val="24"/>
              </w:rPr>
            </w:pPr>
            <w:r w:rsidRPr="00C72A9B">
              <w:rPr>
                <w:b/>
                <w:szCs w:val="24"/>
              </w:rPr>
              <w:t>2009</w:t>
            </w:r>
          </w:p>
        </w:tc>
        <w:tc>
          <w:tcPr>
            <w:tcW w:w="2126" w:type="dxa"/>
            <w:shd w:val="clear" w:color="auto" w:fill="DDD9C3" w:themeFill="background2" w:themeFillShade="E6"/>
          </w:tcPr>
          <w:p w14:paraId="796D4D82" w14:textId="77777777" w:rsidR="004A0E59" w:rsidRPr="00C72A9B" w:rsidRDefault="004A0E59" w:rsidP="00E552A3">
            <w:pPr>
              <w:suppressAutoHyphens/>
              <w:spacing w:line="240" w:lineRule="auto"/>
              <w:jc w:val="center"/>
              <w:rPr>
                <w:rFonts w:eastAsia="SimSun"/>
                <w:b/>
                <w:szCs w:val="24"/>
              </w:rPr>
            </w:pPr>
            <w:r w:rsidRPr="00C72A9B">
              <w:rPr>
                <w:b/>
                <w:szCs w:val="24"/>
              </w:rPr>
              <w:t>2017</w:t>
            </w:r>
          </w:p>
        </w:tc>
      </w:tr>
      <w:tr w:rsidR="004A0E59" w:rsidRPr="00C72A9B" w14:paraId="6D240A95" w14:textId="77777777" w:rsidTr="00E552A3">
        <w:trPr>
          <w:jc w:val="center"/>
        </w:trPr>
        <w:tc>
          <w:tcPr>
            <w:tcW w:w="3792" w:type="dxa"/>
            <w:shd w:val="clear" w:color="auto" w:fill="DBE5F1" w:themeFill="accent1" w:themeFillTint="33"/>
          </w:tcPr>
          <w:p w14:paraId="41864C59" w14:textId="77777777" w:rsidR="004A0E59" w:rsidRPr="00C72A9B" w:rsidRDefault="004A0E59" w:rsidP="00E552A3">
            <w:pPr>
              <w:suppressAutoHyphens/>
              <w:spacing w:line="240" w:lineRule="auto"/>
              <w:rPr>
                <w:rFonts w:eastAsia="SimSun"/>
                <w:szCs w:val="24"/>
              </w:rPr>
            </w:pPr>
            <w:r w:rsidRPr="00C72A9B">
              <w:rPr>
                <w:b/>
                <w:szCs w:val="24"/>
              </w:rPr>
              <w:t>PORTUGALIA</w:t>
            </w:r>
          </w:p>
        </w:tc>
        <w:tc>
          <w:tcPr>
            <w:tcW w:w="2126" w:type="dxa"/>
            <w:shd w:val="clear" w:color="auto" w:fill="DBE5F1" w:themeFill="accent1" w:themeFillTint="33"/>
          </w:tcPr>
          <w:p w14:paraId="582BD7B5" w14:textId="77777777" w:rsidR="004A0E59" w:rsidRPr="00C72A9B" w:rsidRDefault="004A0E59" w:rsidP="00E552A3">
            <w:pPr>
              <w:suppressAutoHyphens/>
              <w:spacing w:line="240" w:lineRule="auto"/>
              <w:jc w:val="center"/>
              <w:rPr>
                <w:rFonts w:eastAsia="SimSun"/>
                <w:szCs w:val="24"/>
              </w:rPr>
            </w:pPr>
          </w:p>
        </w:tc>
        <w:tc>
          <w:tcPr>
            <w:tcW w:w="2126" w:type="dxa"/>
            <w:shd w:val="clear" w:color="auto" w:fill="DBE5F1" w:themeFill="accent1" w:themeFillTint="33"/>
          </w:tcPr>
          <w:p w14:paraId="24FF31BE" w14:textId="77777777" w:rsidR="004A0E59" w:rsidRPr="00C72A9B" w:rsidRDefault="004A0E59" w:rsidP="00E552A3">
            <w:pPr>
              <w:suppressAutoHyphens/>
              <w:spacing w:line="240" w:lineRule="auto"/>
              <w:jc w:val="center"/>
              <w:rPr>
                <w:rFonts w:eastAsia="SimSun"/>
                <w:b/>
                <w:szCs w:val="24"/>
              </w:rPr>
            </w:pPr>
          </w:p>
        </w:tc>
      </w:tr>
      <w:tr w:rsidR="004A0E59" w:rsidRPr="00C72A9B" w14:paraId="67E22442" w14:textId="77777777" w:rsidTr="00E552A3">
        <w:trPr>
          <w:jc w:val="center"/>
        </w:trPr>
        <w:tc>
          <w:tcPr>
            <w:tcW w:w="3792" w:type="dxa"/>
          </w:tcPr>
          <w:p w14:paraId="1AB6D7B0" w14:textId="77777777" w:rsidR="004A0E59" w:rsidRPr="00C72A9B" w:rsidRDefault="004A0E59" w:rsidP="00E552A3">
            <w:pPr>
              <w:suppressAutoHyphens/>
              <w:spacing w:line="240" w:lineRule="auto"/>
              <w:rPr>
                <w:rFonts w:eastAsia="SimSun"/>
                <w:szCs w:val="24"/>
              </w:rPr>
            </w:pPr>
            <w:r w:rsidRPr="00C72A9B">
              <w:t>Północ</w:t>
            </w:r>
          </w:p>
        </w:tc>
        <w:tc>
          <w:tcPr>
            <w:tcW w:w="2126" w:type="dxa"/>
          </w:tcPr>
          <w:p w14:paraId="737D4198" w14:textId="77777777" w:rsidR="004A0E59" w:rsidRPr="00C72A9B" w:rsidRDefault="004A0E59" w:rsidP="00E552A3">
            <w:pPr>
              <w:suppressAutoHyphens/>
              <w:spacing w:line="240" w:lineRule="auto"/>
              <w:jc w:val="center"/>
              <w:rPr>
                <w:rFonts w:eastAsia="SimSun"/>
                <w:szCs w:val="24"/>
              </w:rPr>
            </w:pPr>
            <w:r w:rsidRPr="00C72A9B">
              <w:t>63,6</w:t>
            </w:r>
          </w:p>
        </w:tc>
        <w:tc>
          <w:tcPr>
            <w:tcW w:w="2126" w:type="dxa"/>
          </w:tcPr>
          <w:p w14:paraId="274A4913" w14:textId="77777777" w:rsidR="004A0E59" w:rsidRPr="00C72A9B" w:rsidRDefault="004A0E59" w:rsidP="00E552A3">
            <w:pPr>
              <w:suppressAutoHyphens/>
              <w:spacing w:line="240" w:lineRule="auto"/>
              <w:jc w:val="center"/>
              <w:rPr>
                <w:rFonts w:eastAsia="SimSun"/>
                <w:szCs w:val="24"/>
              </w:rPr>
            </w:pPr>
            <w:r w:rsidRPr="00C72A9B">
              <w:t>65</w:t>
            </w:r>
          </w:p>
        </w:tc>
      </w:tr>
      <w:tr w:rsidR="004A0E59" w:rsidRPr="00C72A9B" w14:paraId="5FD686E0" w14:textId="77777777" w:rsidTr="00E552A3">
        <w:trPr>
          <w:jc w:val="center"/>
        </w:trPr>
        <w:tc>
          <w:tcPr>
            <w:tcW w:w="3792" w:type="dxa"/>
          </w:tcPr>
          <w:p w14:paraId="6995E751" w14:textId="77777777" w:rsidR="004A0E59" w:rsidRPr="00C72A9B" w:rsidRDefault="004A0E59" w:rsidP="00E552A3">
            <w:pPr>
              <w:suppressAutoHyphens/>
              <w:spacing w:line="240" w:lineRule="auto"/>
              <w:rPr>
                <w:rFonts w:eastAsia="SimSun"/>
                <w:szCs w:val="24"/>
              </w:rPr>
            </w:pPr>
            <w:r w:rsidRPr="00C72A9B">
              <w:t>Algarve</w:t>
            </w:r>
          </w:p>
        </w:tc>
        <w:tc>
          <w:tcPr>
            <w:tcW w:w="2126" w:type="dxa"/>
          </w:tcPr>
          <w:p w14:paraId="36D80B7B" w14:textId="77777777" w:rsidR="004A0E59" w:rsidRPr="00C72A9B" w:rsidRDefault="004A0E59" w:rsidP="00E552A3">
            <w:pPr>
              <w:suppressAutoHyphens/>
              <w:spacing w:line="240" w:lineRule="auto"/>
              <w:jc w:val="center"/>
              <w:rPr>
                <w:rFonts w:eastAsia="SimSun"/>
                <w:szCs w:val="24"/>
              </w:rPr>
            </w:pPr>
            <w:r w:rsidRPr="00C72A9B">
              <w:t>84,6</w:t>
            </w:r>
          </w:p>
        </w:tc>
        <w:tc>
          <w:tcPr>
            <w:tcW w:w="2126" w:type="dxa"/>
          </w:tcPr>
          <w:p w14:paraId="193D4D98" w14:textId="77777777" w:rsidR="004A0E59" w:rsidRPr="00C72A9B" w:rsidRDefault="004A0E59" w:rsidP="00E552A3">
            <w:pPr>
              <w:suppressAutoHyphens/>
              <w:spacing w:line="240" w:lineRule="auto"/>
              <w:jc w:val="center"/>
              <w:rPr>
                <w:rFonts w:eastAsia="SimSun"/>
                <w:szCs w:val="24"/>
              </w:rPr>
            </w:pPr>
            <w:r w:rsidRPr="00C72A9B">
              <w:t>83</w:t>
            </w:r>
          </w:p>
        </w:tc>
      </w:tr>
      <w:tr w:rsidR="004A0E59" w:rsidRPr="00C72A9B" w14:paraId="470CBF7B" w14:textId="77777777" w:rsidTr="00E552A3">
        <w:trPr>
          <w:jc w:val="center"/>
        </w:trPr>
        <w:tc>
          <w:tcPr>
            <w:tcW w:w="3792" w:type="dxa"/>
          </w:tcPr>
          <w:p w14:paraId="4401243B" w14:textId="77777777" w:rsidR="004A0E59" w:rsidRPr="00C72A9B" w:rsidRDefault="004A0E59" w:rsidP="00E552A3">
            <w:pPr>
              <w:suppressAutoHyphens/>
              <w:spacing w:line="240" w:lineRule="auto"/>
              <w:rPr>
                <w:rFonts w:eastAsia="SimSun"/>
                <w:szCs w:val="24"/>
              </w:rPr>
            </w:pPr>
            <w:r w:rsidRPr="00C72A9B">
              <w:t>Centrum</w:t>
            </w:r>
          </w:p>
        </w:tc>
        <w:tc>
          <w:tcPr>
            <w:tcW w:w="2126" w:type="dxa"/>
          </w:tcPr>
          <w:p w14:paraId="7AD7B1A3" w14:textId="77777777" w:rsidR="004A0E59" w:rsidRPr="00C72A9B" w:rsidRDefault="004A0E59" w:rsidP="00E552A3">
            <w:pPr>
              <w:suppressAutoHyphens/>
              <w:spacing w:line="240" w:lineRule="auto"/>
              <w:jc w:val="center"/>
              <w:rPr>
                <w:rFonts w:eastAsia="SimSun"/>
                <w:szCs w:val="24"/>
              </w:rPr>
            </w:pPr>
            <w:r w:rsidRPr="00C72A9B">
              <w:t>66,5</w:t>
            </w:r>
          </w:p>
        </w:tc>
        <w:tc>
          <w:tcPr>
            <w:tcW w:w="2126" w:type="dxa"/>
          </w:tcPr>
          <w:p w14:paraId="3FC6C1FC" w14:textId="77777777" w:rsidR="004A0E59" w:rsidRPr="00C72A9B" w:rsidRDefault="004A0E59" w:rsidP="00E552A3">
            <w:pPr>
              <w:suppressAutoHyphens/>
              <w:spacing w:line="240" w:lineRule="auto"/>
              <w:jc w:val="center"/>
              <w:rPr>
                <w:rFonts w:eastAsia="SimSun"/>
                <w:szCs w:val="24"/>
              </w:rPr>
            </w:pPr>
            <w:r w:rsidRPr="00C72A9B">
              <w:t>67</w:t>
            </w:r>
          </w:p>
        </w:tc>
      </w:tr>
      <w:tr w:rsidR="004A0E59" w:rsidRPr="00C72A9B" w14:paraId="494F839D" w14:textId="77777777" w:rsidTr="00E552A3">
        <w:trPr>
          <w:jc w:val="center"/>
        </w:trPr>
        <w:tc>
          <w:tcPr>
            <w:tcW w:w="3792" w:type="dxa"/>
          </w:tcPr>
          <w:p w14:paraId="4F1AB0D8" w14:textId="77777777" w:rsidR="004A0E59" w:rsidRPr="00C72A9B" w:rsidRDefault="004A0E59" w:rsidP="00E552A3">
            <w:pPr>
              <w:suppressAutoHyphens/>
              <w:spacing w:line="240" w:lineRule="auto"/>
              <w:rPr>
                <w:rFonts w:eastAsia="SimSun"/>
                <w:szCs w:val="24"/>
              </w:rPr>
            </w:pPr>
            <w:r w:rsidRPr="00C72A9B">
              <w:t>Lizbona</w:t>
            </w:r>
          </w:p>
        </w:tc>
        <w:tc>
          <w:tcPr>
            <w:tcW w:w="2126" w:type="dxa"/>
          </w:tcPr>
          <w:p w14:paraId="4DFF1C2B" w14:textId="77777777" w:rsidR="004A0E59" w:rsidRPr="00C72A9B" w:rsidRDefault="004A0E59" w:rsidP="00E552A3">
            <w:pPr>
              <w:suppressAutoHyphens/>
              <w:spacing w:line="240" w:lineRule="auto"/>
              <w:jc w:val="center"/>
              <w:rPr>
                <w:rFonts w:eastAsia="SimSun"/>
                <w:szCs w:val="24"/>
              </w:rPr>
            </w:pPr>
            <w:r w:rsidRPr="00C72A9B">
              <w:t>112,4</w:t>
            </w:r>
          </w:p>
        </w:tc>
        <w:tc>
          <w:tcPr>
            <w:tcW w:w="2126" w:type="dxa"/>
          </w:tcPr>
          <w:p w14:paraId="4EE88552" w14:textId="77777777" w:rsidR="004A0E59" w:rsidRPr="00C72A9B" w:rsidRDefault="004A0E59" w:rsidP="00E552A3">
            <w:pPr>
              <w:suppressAutoHyphens/>
              <w:spacing w:line="240" w:lineRule="auto"/>
              <w:jc w:val="center"/>
              <w:rPr>
                <w:rFonts w:eastAsia="SimSun"/>
                <w:szCs w:val="24"/>
              </w:rPr>
            </w:pPr>
            <w:r w:rsidRPr="00C72A9B">
              <w:t>100</w:t>
            </w:r>
          </w:p>
        </w:tc>
      </w:tr>
      <w:tr w:rsidR="004A0E59" w:rsidRPr="00C72A9B" w14:paraId="1C678EF1" w14:textId="77777777" w:rsidTr="00E552A3">
        <w:trPr>
          <w:jc w:val="center"/>
        </w:trPr>
        <w:tc>
          <w:tcPr>
            <w:tcW w:w="3792" w:type="dxa"/>
          </w:tcPr>
          <w:p w14:paraId="0A78FC4C" w14:textId="77777777" w:rsidR="004A0E59" w:rsidRPr="00C72A9B" w:rsidRDefault="004A0E59" w:rsidP="00E552A3">
            <w:pPr>
              <w:suppressAutoHyphens/>
              <w:spacing w:line="240" w:lineRule="auto"/>
              <w:rPr>
                <w:rFonts w:eastAsia="SimSun"/>
                <w:szCs w:val="24"/>
              </w:rPr>
            </w:pPr>
            <w:r w:rsidRPr="00C72A9B">
              <w:t>Alentejo</w:t>
            </w:r>
          </w:p>
        </w:tc>
        <w:tc>
          <w:tcPr>
            <w:tcW w:w="2126" w:type="dxa"/>
          </w:tcPr>
          <w:p w14:paraId="5E73B66A" w14:textId="77777777" w:rsidR="004A0E59" w:rsidRPr="00C72A9B" w:rsidRDefault="004A0E59" w:rsidP="00E552A3">
            <w:pPr>
              <w:suppressAutoHyphens/>
              <w:spacing w:line="240" w:lineRule="auto"/>
              <w:jc w:val="center"/>
              <w:rPr>
                <w:rFonts w:eastAsia="SimSun"/>
                <w:szCs w:val="24"/>
              </w:rPr>
            </w:pPr>
            <w:r w:rsidRPr="00C72A9B">
              <w:t>72,2</w:t>
            </w:r>
          </w:p>
        </w:tc>
        <w:tc>
          <w:tcPr>
            <w:tcW w:w="2126" w:type="dxa"/>
          </w:tcPr>
          <w:p w14:paraId="1829F34D" w14:textId="77777777" w:rsidR="004A0E59" w:rsidRPr="00C72A9B" w:rsidRDefault="004A0E59" w:rsidP="00E552A3">
            <w:pPr>
              <w:suppressAutoHyphens/>
              <w:spacing w:line="240" w:lineRule="auto"/>
              <w:jc w:val="center"/>
              <w:rPr>
                <w:rFonts w:eastAsia="SimSun"/>
                <w:szCs w:val="24"/>
              </w:rPr>
            </w:pPr>
            <w:r w:rsidRPr="00C72A9B">
              <w:t>72</w:t>
            </w:r>
          </w:p>
        </w:tc>
      </w:tr>
      <w:tr w:rsidR="004A0E59" w:rsidRPr="00C72A9B" w14:paraId="26F77D3F" w14:textId="77777777" w:rsidTr="00E552A3">
        <w:trPr>
          <w:jc w:val="center"/>
        </w:trPr>
        <w:tc>
          <w:tcPr>
            <w:tcW w:w="3792" w:type="dxa"/>
          </w:tcPr>
          <w:p w14:paraId="4BE36F58" w14:textId="77777777" w:rsidR="004A0E59" w:rsidRPr="00C72A9B" w:rsidRDefault="004A0E59" w:rsidP="00E552A3">
            <w:pPr>
              <w:suppressAutoHyphens/>
              <w:spacing w:line="240" w:lineRule="auto"/>
              <w:rPr>
                <w:rFonts w:eastAsia="SimSun"/>
                <w:szCs w:val="24"/>
              </w:rPr>
            </w:pPr>
            <w:r w:rsidRPr="00C72A9B">
              <w:t>Region Autonomiczny Azorów</w:t>
            </w:r>
          </w:p>
        </w:tc>
        <w:tc>
          <w:tcPr>
            <w:tcW w:w="2126" w:type="dxa"/>
          </w:tcPr>
          <w:p w14:paraId="6F335ADB" w14:textId="77777777" w:rsidR="004A0E59" w:rsidRPr="00C72A9B" w:rsidRDefault="004A0E59" w:rsidP="00E552A3">
            <w:pPr>
              <w:suppressAutoHyphens/>
              <w:spacing w:line="240" w:lineRule="auto"/>
              <w:jc w:val="center"/>
              <w:rPr>
                <w:rFonts w:eastAsia="SimSun"/>
                <w:szCs w:val="24"/>
              </w:rPr>
            </w:pPr>
            <w:r w:rsidRPr="00C72A9B">
              <w:t>75,2</w:t>
            </w:r>
          </w:p>
        </w:tc>
        <w:tc>
          <w:tcPr>
            <w:tcW w:w="2126" w:type="dxa"/>
          </w:tcPr>
          <w:p w14:paraId="2031863C" w14:textId="77777777" w:rsidR="004A0E59" w:rsidRPr="00C72A9B" w:rsidRDefault="004A0E59" w:rsidP="00E552A3">
            <w:pPr>
              <w:suppressAutoHyphens/>
              <w:spacing w:line="240" w:lineRule="auto"/>
              <w:jc w:val="center"/>
              <w:rPr>
                <w:rFonts w:eastAsia="SimSun"/>
                <w:szCs w:val="24"/>
              </w:rPr>
            </w:pPr>
            <w:r w:rsidRPr="00C72A9B">
              <w:t>68</w:t>
            </w:r>
          </w:p>
        </w:tc>
      </w:tr>
      <w:tr w:rsidR="004A0E59" w:rsidRPr="00C72A9B" w14:paraId="6EB1A450" w14:textId="77777777" w:rsidTr="00E552A3">
        <w:trPr>
          <w:jc w:val="center"/>
        </w:trPr>
        <w:tc>
          <w:tcPr>
            <w:tcW w:w="3792" w:type="dxa"/>
          </w:tcPr>
          <w:p w14:paraId="7F8C9E5E" w14:textId="77777777" w:rsidR="004A0E59" w:rsidRPr="00C72A9B" w:rsidRDefault="004A0E59" w:rsidP="00E552A3">
            <w:pPr>
              <w:suppressAutoHyphens/>
              <w:spacing w:line="240" w:lineRule="auto"/>
              <w:rPr>
                <w:rFonts w:eastAsia="SimSun"/>
                <w:szCs w:val="24"/>
              </w:rPr>
            </w:pPr>
            <w:r w:rsidRPr="00C72A9B">
              <w:t>Region Autonomiczny Madery</w:t>
            </w:r>
          </w:p>
        </w:tc>
        <w:tc>
          <w:tcPr>
            <w:tcW w:w="2126" w:type="dxa"/>
          </w:tcPr>
          <w:p w14:paraId="50A47D19" w14:textId="77777777" w:rsidR="004A0E59" w:rsidRPr="00C72A9B" w:rsidRDefault="004A0E59" w:rsidP="00E552A3">
            <w:pPr>
              <w:suppressAutoHyphens/>
              <w:spacing w:line="240" w:lineRule="auto"/>
              <w:jc w:val="center"/>
              <w:rPr>
                <w:rFonts w:eastAsia="SimSun"/>
                <w:szCs w:val="24"/>
              </w:rPr>
            </w:pPr>
            <w:r w:rsidRPr="00C72A9B">
              <w:t>104,9</w:t>
            </w:r>
          </w:p>
        </w:tc>
        <w:tc>
          <w:tcPr>
            <w:tcW w:w="2126" w:type="dxa"/>
          </w:tcPr>
          <w:p w14:paraId="51601926" w14:textId="77777777" w:rsidR="004A0E59" w:rsidRPr="00C72A9B" w:rsidRDefault="004A0E59" w:rsidP="00E552A3">
            <w:pPr>
              <w:suppressAutoHyphens/>
              <w:spacing w:line="240" w:lineRule="auto"/>
              <w:jc w:val="center"/>
              <w:rPr>
                <w:rFonts w:eastAsia="SimSun"/>
                <w:szCs w:val="24"/>
              </w:rPr>
            </w:pPr>
            <w:r w:rsidRPr="00C72A9B">
              <w:t>73</w:t>
            </w:r>
          </w:p>
        </w:tc>
      </w:tr>
      <w:tr w:rsidR="004A0E59" w:rsidRPr="00C72A9B" w14:paraId="092A7B61" w14:textId="77777777" w:rsidTr="00E552A3">
        <w:trPr>
          <w:jc w:val="center"/>
        </w:trPr>
        <w:tc>
          <w:tcPr>
            <w:tcW w:w="3792" w:type="dxa"/>
            <w:shd w:val="clear" w:color="auto" w:fill="DBE5F1" w:themeFill="accent1" w:themeFillTint="33"/>
          </w:tcPr>
          <w:p w14:paraId="2FF98547" w14:textId="77777777" w:rsidR="004A0E59" w:rsidRPr="00C72A9B" w:rsidRDefault="004A0E59" w:rsidP="00E552A3">
            <w:pPr>
              <w:suppressAutoHyphens/>
              <w:spacing w:line="240" w:lineRule="auto"/>
              <w:rPr>
                <w:rFonts w:eastAsia="SimSun"/>
                <w:szCs w:val="24"/>
              </w:rPr>
            </w:pPr>
            <w:r w:rsidRPr="00C72A9B">
              <w:rPr>
                <w:b/>
                <w:szCs w:val="24"/>
              </w:rPr>
              <w:t>HISZPANIA</w:t>
            </w:r>
          </w:p>
        </w:tc>
        <w:tc>
          <w:tcPr>
            <w:tcW w:w="2126" w:type="dxa"/>
            <w:shd w:val="clear" w:color="auto" w:fill="DBE5F1" w:themeFill="accent1" w:themeFillTint="33"/>
          </w:tcPr>
          <w:p w14:paraId="127AC425" w14:textId="77777777" w:rsidR="004A0E59" w:rsidRPr="00C72A9B" w:rsidRDefault="004A0E59" w:rsidP="00E552A3">
            <w:pPr>
              <w:suppressAutoHyphens/>
              <w:spacing w:line="240" w:lineRule="auto"/>
              <w:jc w:val="center"/>
              <w:rPr>
                <w:rFonts w:eastAsia="SimSun"/>
                <w:szCs w:val="24"/>
              </w:rPr>
            </w:pPr>
          </w:p>
        </w:tc>
        <w:tc>
          <w:tcPr>
            <w:tcW w:w="2126" w:type="dxa"/>
            <w:shd w:val="clear" w:color="auto" w:fill="DBE5F1" w:themeFill="accent1" w:themeFillTint="33"/>
          </w:tcPr>
          <w:p w14:paraId="0AC380A2" w14:textId="77777777" w:rsidR="004A0E59" w:rsidRPr="00C72A9B" w:rsidRDefault="004A0E59" w:rsidP="00E552A3">
            <w:pPr>
              <w:suppressAutoHyphens/>
              <w:spacing w:line="240" w:lineRule="auto"/>
              <w:jc w:val="center"/>
              <w:rPr>
                <w:rFonts w:eastAsia="SimSun"/>
                <w:b/>
                <w:szCs w:val="24"/>
              </w:rPr>
            </w:pPr>
          </w:p>
        </w:tc>
      </w:tr>
      <w:tr w:rsidR="004A0E59" w:rsidRPr="00C72A9B" w14:paraId="6485C071" w14:textId="77777777" w:rsidTr="00E552A3">
        <w:trPr>
          <w:jc w:val="center"/>
        </w:trPr>
        <w:tc>
          <w:tcPr>
            <w:tcW w:w="3792" w:type="dxa"/>
          </w:tcPr>
          <w:p w14:paraId="3DCBF861" w14:textId="77777777" w:rsidR="004A0E59" w:rsidRPr="00C72A9B" w:rsidRDefault="004A0E59" w:rsidP="00E552A3">
            <w:pPr>
              <w:suppressAutoHyphens/>
              <w:spacing w:line="240" w:lineRule="auto"/>
              <w:rPr>
                <w:rFonts w:eastAsia="SimSun"/>
                <w:szCs w:val="24"/>
              </w:rPr>
            </w:pPr>
            <w:r w:rsidRPr="00C72A9B">
              <w:t>Wyspy Kanaryjskie</w:t>
            </w:r>
          </w:p>
        </w:tc>
        <w:tc>
          <w:tcPr>
            <w:tcW w:w="2126" w:type="dxa"/>
          </w:tcPr>
          <w:p w14:paraId="5504674C" w14:textId="77777777" w:rsidR="004A0E59" w:rsidRPr="00C72A9B" w:rsidRDefault="004A0E59" w:rsidP="00E552A3">
            <w:pPr>
              <w:suppressAutoHyphens/>
              <w:spacing w:line="240" w:lineRule="auto"/>
              <w:jc w:val="center"/>
              <w:rPr>
                <w:rFonts w:eastAsia="SimSun"/>
                <w:szCs w:val="24"/>
              </w:rPr>
            </w:pPr>
            <w:r w:rsidRPr="00C72A9B">
              <w:t>87,3</w:t>
            </w:r>
          </w:p>
        </w:tc>
        <w:tc>
          <w:tcPr>
            <w:tcW w:w="2126" w:type="dxa"/>
          </w:tcPr>
          <w:p w14:paraId="24FBA215" w14:textId="77777777" w:rsidR="004A0E59" w:rsidRPr="00C72A9B" w:rsidRDefault="004A0E59" w:rsidP="00E552A3">
            <w:pPr>
              <w:suppressAutoHyphens/>
              <w:spacing w:line="240" w:lineRule="auto"/>
              <w:jc w:val="center"/>
              <w:rPr>
                <w:rFonts w:eastAsia="SimSun"/>
                <w:szCs w:val="24"/>
              </w:rPr>
            </w:pPr>
            <w:r w:rsidRPr="00C72A9B">
              <w:t>75</w:t>
            </w:r>
          </w:p>
        </w:tc>
      </w:tr>
      <w:tr w:rsidR="004A0E59" w:rsidRPr="00C72A9B" w14:paraId="1144044C" w14:textId="77777777" w:rsidTr="00E552A3">
        <w:trPr>
          <w:jc w:val="center"/>
        </w:trPr>
        <w:tc>
          <w:tcPr>
            <w:tcW w:w="3792" w:type="dxa"/>
          </w:tcPr>
          <w:p w14:paraId="7A348D75" w14:textId="77777777" w:rsidR="004A0E59" w:rsidRPr="00C72A9B" w:rsidRDefault="004A0E59" w:rsidP="00E552A3">
            <w:pPr>
              <w:suppressAutoHyphens/>
              <w:spacing w:line="240" w:lineRule="auto"/>
              <w:rPr>
                <w:rFonts w:eastAsia="SimSun"/>
                <w:szCs w:val="24"/>
              </w:rPr>
            </w:pPr>
            <w:r w:rsidRPr="00C72A9B">
              <w:t>Andaluzja</w:t>
            </w:r>
          </w:p>
        </w:tc>
        <w:tc>
          <w:tcPr>
            <w:tcW w:w="2126" w:type="dxa"/>
          </w:tcPr>
          <w:p w14:paraId="4D23BC9C" w14:textId="77777777" w:rsidR="004A0E59" w:rsidRPr="00C72A9B" w:rsidRDefault="004A0E59" w:rsidP="00E552A3">
            <w:pPr>
              <w:suppressAutoHyphens/>
              <w:spacing w:line="240" w:lineRule="auto"/>
              <w:jc w:val="center"/>
              <w:rPr>
                <w:rFonts w:eastAsia="SimSun"/>
                <w:szCs w:val="24"/>
              </w:rPr>
            </w:pPr>
            <w:r w:rsidRPr="00C72A9B">
              <w:t>79,1</w:t>
            </w:r>
          </w:p>
        </w:tc>
        <w:tc>
          <w:tcPr>
            <w:tcW w:w="2126" w:type="dxa"/>
          </w:tcPr>
          <w:p w14:paraId="6F07974B" w14:textId="77777777" w:rsidR="004A0E59" w:rsidRPr="00C72A9B" w:rsidRDefault="004A0E59" w:rsidP="00E552A3">
            <w:pPr>
              <w:suppressAutoHyphens/>
              <w:spacing w:line="240" w:lineRule="auto"/>
              <w:jc w:val="center"/>
              <w:rPr>
                <w:rFonts w:eastAsia="SimSun"/>
                <w:szCs w:val="24"/>
              </w:rPr>
            </w:pPr>
            <w:r w:rsidRPr="00C72A9B">
              <w:t>68</w:t>
            </w:r>
          </w:p>
        </w:tc>
      </w:tr>
      <w:tr w:rsidR="004A0E59" w:rsidRPr="00C72A9B" w14:paraId="3E3E9B79" w14:textId="77777777" w:rsidTr="00E552A3">
        <w:trPr>
          <w:jc w:val="center"/>
        </w:trPr>
        <w:tc>
          <w:tcPr>
            <w:tcW w:w="3792" w:type="dxa"/>
          </w:tcPr>
          <w:p w14:paraId="79658862" w14:textId="77777777" w:rsidR="004A0E59" w:rsidRPr="00C72A9B" w:rsidRDefault="004A0E59" w:rsidP="00E552A3">
            <w:pPr>
              <w:suppressAutoHyphens/>
              <w:spacing w:line="240" w:lineRule="auto"/>
              <w:rPr>
                <w:rFonts w:eastAsia="SimSun"/>
                <w:szCs w:val="24"/>
              </w:rPr>
            </w:pPr>
            <w:r w:rsidRPr="00C72A9B">
              <w:t>Galicja</w:t>
            </w:r>
          </w:p>
        </w:tc>
        <w:tc>
          <w:tcPr>
            <w:tcW w:w="2126" w:type="dxa"/>
          </w:tcPr>
          <w:p w14:paraId="472E2152" w14:textId="77777777" w:rsidR="004A0E59" w:rsidRPr="00C72A9B" w:rsidRDefault="004A0E59" w:rsidP="00E552A3">
            <w:pPr>
              <w:suppressAutoHyphens/>
              <w:spacing w:line="240" w:lineRule="auto"/>
              <w:jc w:val="center"/>
              <w:rPr>
                <w:rFonts w:eastAsia="SimSun"/>
                <w:szCs w:val="24"/>
              </w:rPr>
            </w:pPr>
            <w:r w:rsidRPr="00C72A9B">
              <w:t>92,7</w:t>
            </w:r>
          </w:p>
        </w:tc>
        <w:tc>
          <w:tcPr>
            <w:tcW w:w="2126" w:type="dxa"/>
          </w:tcPr>
          <w:p w14:paraId="4FC11B3C" w14:textId="77777777" w:rsidR="004A0E59" w:rsidRPr="00C72A9B" w:rsidRDefault="004A0E59" w:rsidP="00E552A3">
            <w:pPr>
              <w:suppressAutoHyphens/>
              <w:spacing w:line="240" w:lineRule="auto"/>
              <w:jc w:val="center"/>
              <w:rPr>
                <w:rFonts w:eastAsia="SimSun"/>
                <w:szCs w:val="24"/>
              </w:rPr>
            </w:pPr>
            <w:r w:rsidRPr="00C72A9B">
              <w:t>82</w:t>
            </w:r>
          </w:p>
        </w:tc>
      </w:tr>
      <w:tr w:rsidR="004A0E59" w:rsidRPr="00C72A9B" w14:paraId="38C8ABCC" w14:textId="77777777" w:rsidTr="00E552A3">
        <w:trPr>
          <w:jc w:val="center"/>
        </w:trPr>
        <w:tc>
          <w:tcPr>
            <w:tcW w:w="3792" w:type="dxa"/>
          </w:tcPr>
          <w:p w14:paraId="02DF4029" w14:textId="77777777" w:rsidR="004A0E59" w:rsidRPr="00C72A9B" w:rsidRDefault="004A0E59" w:rsidP="00E552A3">
            <w:pPr>
              <w:suppressAutoHyphens/>
              <w:spacing w:line="240" w:lineRule="auto"/>
              <w:rPr>
                <w:rFonts w:eastAsia="SimSun"/>
                <w:szCs w:val="24"/>
              </w:rPr>
            </w:pPr>
            <w:r w:rsidRPr="00C72A9B">
              <w:t>Asturia</w:t>
            </w:r>
          </w:p>
        </w:tc>
        <w:tc>
          <w:tcPr>
            <w:tcW w:w="2126" w:type="dxa"/>
          </w:tcPr>
          <w:p w14:paraId="49AD1825" w14:textId="77777777" w:rsidR="004A0E59" w:rsidRPr="00C72A9B" w:rsidRDefault="004A0E59" w:rsidP="00E552A3">
            <w:pPr>
              <w:suppressAutoHyphens/>
              <w:spacing w:line="240" w:lineRule="auto"/>
              <w:jc w:val="center"/>
              <w:rPr>
                <w:rFonts w:eastAsia="SimSun"/>
                <w:szCs w:val="24"/>
              </w:rPr>
            </w:pPr>
            <w:r w:rsidRPr="00C72A9B">
              <w:t>95,8</w:t>
            </w:r>
          </w:p>
        </w:tc>
        <w:tc>
          <w:tcPr>
            <w:tcW w:w="2126" w:type="dxa"/>
          </w:tcPr>
          <w:p w14:paraId="10842694" w14:textId="77777777" w:rsidR="004A0E59" w:rsidRPr="00C72A9B" w:rsidRDefault="004A0E59" w:rsidP="00E552A3">
            <w:pPr>
              <w:suppressAutoHyphens/>
              <w:spacing w:line="240" w:lineRule="auto"/>
              <w:jc w:val="center"/>
              <w:rPr>
                <w:rFonts w:eastAsia="SimSun"/>
                <w:szCs w:val="24"/>
              </w:rPr>
            </w:pPr>
            <w:r w:rsidRPr="00C72A9B">
              <w:t>82</w:t>
            </w:r>
          </w:p>
        </w:tc>
      </w:tr>
      <w:tr w:rsidR="004A0E59" w:rsidRPr="00C72A9B" w14:paraId="60869F57" w14:textId="77777777" w:rsidTr="00E552A3">
        <w:trPr>
          <w:jc w:val="center"/>
        </w:trPr>
        <w:tc>
          <w:tcPr>
            <w:tcW w:w="3792" w:type="dxa"/>
          </w:tcPr>
          <w:p w14:paraId="05737526" w14:textId="77777777" w:rsidR="004A0E59" w:rsidRPr="00C72A9B" w:rsidRDefault="004A0E59" w:rsidP="00E552A3">
            <w:pPr>
              <w:suppressAutoHyphens/>
              <w:spacing w:line="240" w:lineRule="auto"/>
              <w:rPr>
                <w:rFonts w:eastAsia="SimSun"/>
                <w:szCs w:val="24"/>
              </w:rPr>
            </w:pPr>
            <w:r w:rsidRPr="00C72A9B">
              <w:t>Kantabria</w:t>
            </w:r>
          </w:p>
        </w:tc>
        <w:tc>
          <w:tcPr>
            <w:tcW w:w="2126" w:type="dxa"/>
          </w:tcPr>
          <w:p w14:paraId="3961E395" w14:textId="77777777" w:rsidR="004A0E59" w:rsidRPr="00C72A9B" w:rsidRDefault="004A0E59" w:rsidP="00E552A3">
            <w:pPr>
              <w:suppressAutoHyphens/>
              <w:spacing w:line="240" w:lineRule="auto"/>
              <w:jc w:val="center"/>
              <w:rPr>
                <w:rFonts w:eastAsia="SimSun"/>
                <w:szCs w:val="24"/>
              </w:rPr>
            </w:pPr>
            <w:r w:rsidRPr="00C72A9B">
              <w:t>100,0</w:t>
            </w:r>
          </w:p>
        </w:tc>
        <w:tc>
          <w:tcPr>
            <w:tcW w:w="2126" w:type="dxa"/>
          </w:tcPr>
          <w:p w14:paraId="7B64AE7B" w14:textId="77777777" w:rsidR="004A0E59" w:rsidRPr="00C72A9B" w:rsidRDefault="004A0E59" w:rsidP="00E552A3">
            <w:pPr>
              <w:suppressAutoHyphens/>
              <w:spacing w:line="240" w:lineRule="auto"/>
              <w:jc w:val="center"/>
              <w:rPr>
                <w:rFonts w:eastAsia="SimSun"/>
                <w:szCs w:val="24"/>
              </w:rPr>
            </w:pPr>
            <w:r w:rsidRPr="00C72A9B">
              <w:t>83</w:t>
            </w:r>
          </w:p>
        </w:tc>
      </w:tr>
      <w:tr w:rsidR="004A0E59" w:rsidRPr="00C72A9B" w14:paraId="09464FEC" w14:textId="77777777" w:rsidTr="00E552A3">
        <w:trPr>
          <w:jc w:val="center"/>
        </w:trPr>
        <w:tc>
          <w:tcPr>
            <w:tcW w:w="3792" w:type="dxa"/>
          </w:tcPr>
          <w:p w14:paraId="279BB3C9" w14:textId="77777777" w:rsidR="004A0E59" w:rsidRPr="00C72A9B" w:rsidRDefault="004A0E59" w:rsidP="00E552A3">
            <w:pPr>
              <w:suppressAutoHyphens/>
              <w:spacing w:line="240" w:lineRule="auto"/>
              <w:rPr>
                <w:rFonts w:eastAsia="SimSun"/>
                <w:szCs w:val="24"/>
              </w:rPr>
            </w:pPr>
            <w:r w:rsidRPr="00C72A9B">
              <w:t>Kraj Basków</w:t>
            </w:r>
          </w:p>
        </w:tc>
        <w:tc>
          <w:tcPr>
            <w:tcW w:w="2126" w:type="dxa"/>
          </w:tcPr>
          <w:p w14:paraId="1B4CDE12" w14:textId="77777777" w:rsidR="004A0E59" w:rsidRPr="00C72A9B" w:rsidRDefault="004A0E59" w:rsidP="00E552A3">
            <w:pPr>
              <w:suppressAutoHyphens/>
              <w:spacing w:line="240" w:lineRule="auto"/>
              <w:jc w:val="center"/>
              <w:rPr>
                <w:rFonts w:eastAsia="SimSun"/>
                <w:szCs w:val="24"/>
              </w:rPr>
            </w:pPr>
            <w:r w:rsidRPr="00C72A9B">
              <w:t>134,4</w:t>
            </w:r>
          </w:p>
        </w:tc>
        <w:tc>
          <w:tcPr>
            <w:tcW w:w="2126" w:type="dxa"/>
          </w:tcPr>
          <w:p w14:paraId="6EF006EB" w14:textId="77777777" w:rsidR="004A0E59" w:rsidRPr="00C72A9B" w:rsidRDefault="004A0E59" w:rsidP="00E552A3">
            <w:pPr>
              <w:suppressAutoHyphens/>
              <w:spacing w:line="240" w:lineRule="auto"/>
              <w:jc w:val="center"/>
              <w:rPr>
                <w:rFonts w:eastAsia="SimSun"/>
                <w:szCs w:val="24"/>
              </w:rPr>
            </w:pPr>
            <w:r w:rsidRPr="00C72A9B">
              <w:t>121</w:t>
            </w:r>
          </w:p>
        </w:tc>
      </w:tr>
      <w:tr w:rsidR="004A0E59" w:rsidRPr="00C72A9B" w14:paraId="5490DF79" w14:textId="77777777" w:rsidTr="00E552A3">
        <w:trPr>
          <w:jc w:val="center"/>
        </w:trPr>
        <w:tc>
          <w:tcPr>
            <w:tcW w:w="3792" w:type="dxa"/>
            <w:shd w:val="clear" w:color="auto" w:fill="DBE5F1" w:themeFill="accent1" w:themeFillTint="33"/>
          </w:tcPr>
          <w:p w14:paraId="6974CF99" w14:textId="77777777" w:rsidR="004A0E59" w:rsidRPr="00C72A9B" w:rsidRDefault="004A0E59" w:rsidP="00E552A3">
            <w:pPr>
              <w:suppressAutoHyphens/>
              <w:spacing w:line="240" w:lineRule="auto"/>
              <w:rPr>
                <w:rFonts w:eastAsia="SimSun"/>
                <w:szCs w:val="24"/>
              </w:rPr>
            </w:pPr>
            <w:r w:rsidRPr="00C72A9B">
              <w:rPr>
                <w:b/>
                <w:szCs w:val="24"/>
              </w:rPr>
              <w:t>FRANCJA</w:t>
            </w:r>
          </w:p>
        </w:tc>
        <w:tc>
          <w:tcPr>
            <w:tcW w:w="2126" w:type="dxa"/>
            <w:shd w:val="clear" w:color="auto" w:fill="DBE5F1" w:themeFill="accent1" w:themeFillTint="33"/>
          </w:tcPr>
          <w:p w14:paraId="414D09A2" w14:textId="77777777" w:rsidR="004A0E59" w:rsidRPr="00C72A9B" w:rsidRDefault="004A0E59" w:rsidP="00E552A3">
            <w:pPr>
              <w:suppressAutoHyphens/>
              <w:spacing w:line="240" w:lineRule="auto"/>
              <w:jc w:val="center"/>
              <w:rPr>
                <w:rFonts w:eastAsia="SimSun"/>
                <w:szCs w:val="24"/>
              </w:rPr>
            </w:pPr>
          </w:p>
        </w:tc>
        <w:tc>
          <w:tcPr>
            <w:tcW w:w="2126" w:type="dxa"/>
            <w:shd w:val="clear" w:color="auto" w:fill="DBE5F1" w:themeFill="accent1" w:themeFillTint="33"/>
          </w:tcPr>
          <w:p w14:paraId="437758A7" w14:textId="77777777" w:rsidR="004A0E59" w:rsidRPr="00C72A9B" w:rsidRDefault="004A0E59" w:rsidP="00E552A3">
            <w:pPr>
              <w:suppressAutoHyphens/>
              <w:spacing w:line="240" w:lineRule="auto"/>
              <w:jc w:val="center"/>
              <w:rPr>
                <w:rFonts w:eastAsia="SimSun"/>
                <w:b/>
                <w:szCs w:val="24"/>
              </w:rPr>
            </w:pPr>
          </w:p>
        </w:tc>
      </w:tr>
      <w:tr w:rsidR="004A0E59" w:rsidRPr="00C72A9B" w14:paraId="5B5F9C25" w14:textId="77777777" w:rsidTr="00E552A3">
        <w:trPr>
          <w:jc w:val="center"/>
        </w:trPr>
        <w:tc>
          <w:tcPr>
            <w:tcW w:w="3792" w:type="dxa"/>
          </w:tcPr>
          <w:p w14:paraId="54DA18DF" w14:textId="77777777" w:rsidR="004A0E59" w:rsidRPr="00C72A9B" w:rsidRDefault="004A0E59" w:rsidP="00E552A3">
            <w:pPr>
              <w:suppressAutoHyphens/>
              <w:spacing w:line="240" w:lineRule="auto"/>
              <w:rPr>
                <w:rFonts w:eastAsia="SimSun"/>
                <w:szCs w:val="24"/>
              </w:rPr>
            </w:pPr>
            <w:r w:rsidRPr="00C72A9B">
              <w:t>Akwitania</w:t>
            </w:r>
          </w:p>
        </w:tc>
        <w:tc>
          <w:tcPr>
            <w:tcW w:w="2126" w:type="dxa"/>
          </w:tcPr>
          <w:p w14:paraId="4DF8FCC6" w14:textId="77777777" w:rsidR="004A0E59" w:rsidRPr="00C72A9B" w:rsidRDefault="004A0E59" w:rsidP="00E552A3">
            <w:pPr>
              <w:suppressAutoHyphens/>
              <w:spacing w:line="240" w:lineRule="auto"/>
              <w:jc w:val="center"/>
              <w:rPr>
                <w:rFonts w:eastAsia="SimSun"/>
                <w:szCs w:val="24"/>
              </w:rPr>
            </w:pPr>
            <w:r w:rsidRPr="00C72A9B">
              <w:t>96,3</w:t>
            </w:r>
          </w:p>
        </w:tc>
        <w:tc>
          <w:tcPr>
            <w:tcW w:w="2126" w:type="dxa"/>
          </w:tcPr>
          <w:p w14:paraId="640628FF" w14:textId="77777777" w:rsidR="004A0E59" w:rsidRPr="00C72A9B" w:rsidRDefault="004A0E59" w:rsidP="00E552A3">
            <w:pPr>
              <w:suppressAutoHyphens/>
              <w:spacing w:line="240" w:lineRule="auto"/>
              <w:jc w:val="center"/>
              <w:rPr>
                <w:rFonts w:eastAsia="SimSun"/>
                <w:szCs w:val="24"/>
              </w:rPr>
            </w:pPr>
            <w:r w:rsidRPr="00C72A9B">
              <w:t>91</w:t>
            </w:r>
          </w:p>
        </w:tc>
      </w:tr>
      <w:tr w:rsidR="004A0E59" w:rsidRPr="00C72A9B" w14:paraId="30C7D91F" w14:textId="77777777" w:rsidTr="00E552A3">
        <w:trPr>
          <w:jc w:val="center"/>
        </w:trPr>
        <w:tc>
          <w:tcPr>
            <w:tcW w:w="3792" w:type="dxa"/>
          </w:tcPr>
          <w:p w14:paraId="7DF62BA7" w14:textId="77777777" w:rsidR="004A0E59" w:rsidRPr="00C72A9B" w:rsidRDefault="004A0E59" w:rsidP="00E552A3">
            <w:pPr>
              <w:suppressAutoHyphens/>
              <w:spacing w:line="240" w:lineRule="auto"/>
              <w:rPr>
                <w:rFonts w:eastAsia="SimSun"/>
                <w:szCs w:val="24"/>
              </w:rPr>
            </w:pPr>
            <w:r w:rsidRPr="00C72A9B">
              <w:t>Poitou-Charentes</w:t>
            </w:r>
          </w:p>
        </w:tc>
        <w:tc>
          <w:tcPr>
            <w:tcW w:w="2126" w:type="dxa"/>
          </w:tcPr>
          <w:p w14:paraId="67F59B4E" w14:textId="77777777" w:rsidR="004A0E59" w:rsidRPr="00C72A9B" w:rsidRDefault="004A0E59" w:rsidP="00E552A3">
            <w:pPr>
              <w:suppressAutoHyphens/>
              <w:spacing w:line="240" w:lineRule="auto"/>
              <w:jc w:val="center"/>
              <w:rPr>
                <w:rFonts w:eastAsia="SimSun"/>
                <w:szCs w:val="24"/>
              </w:rPr>
            </w:pPr>
            <w:r w:rsidRPr="00C72A9B">
              <w:t>86,4</w:t>
            </w:r>
          </w:p>
        </w:tc>
        <w:tc>
          <w:tcPr>
            <w:tcW w:w="2126" w:type="dxa"/>
          </w:tcPr>
          <w:p w14:paraId="5453E011" w14:textId="77777777" w:rsidR="004A0E59" w:rsidRPr="00C72A9B" w:rsidRDefault="004A0E59" w:rsidP="00E552A3">
            <w:pPr>
              <w:suppressAutoHyphens/>
              <w:spacing w:line="240" w:lineRule="auto"/>
              <w:jc w:val="center"/>
              <w:rPr>
                <w:rFonts w:eastAsia="SimSun"/>
                <w:szCs w:val="24"/>
              </w:rPr>
            </w:pPr>
            <w:r w:rsidRPr="00C72A9B">
              <w:t>83</w:t>
            </w:r>
          </w:p>
        </w:tc>
      </w:tr>
      <w:tr w:rsidR="004A0E59" w:rsidRPr="00C72A9B" w14:paraId="10CF1B0F" w14:textId="77777777" w:rsidTr="00E552A3">
        <w:trPr>
          <w:jc w:val="center"/>
        </w:trPr>
        <w:tc>
          <w:tcPr>
            <w:tcW w:w="3792" w:type="dxa"/>
          </w:tcPr>
          <w:p w14:paraId="7DE15825" w14:textId="77777777" w:rsidR="004A0E59" w:rsidRPr="00C72A9B" w:rsidRDefault="004A0E59" w:rsidP="00E552A3">
            <w:pPr>
              <w:suppressAutoHyphens/>
              <w:spacing w:line="240" w:lineRule="auto"/>
              <w:rPr>
                <w:rFonts w:eastAsia="SimSun"/>
                <w:szCs w:val="24"/>
              </w:rPr>
            </w:pPr>
            <w:r w:rsidRPr="00C72A9B">
              <w:t>Kraj Loary</w:t>
            </w:r>
          </w:p>
        </w:tc>
        <w:tc>
          <w:tcPr>
            <w:tcW w:w="2126" w:type="dxa"/>
          </w:tcPr>
          <w:p w14:paraId="48FF7422" w14:textId="77777777" w:rsidR="004A0E59" w:rsidRPr="00C72A9B" w:rsidRDefault="004A0E59" w:rsidP="00E552A3">
            <w:pPr>
              <w:suppressAutoHyphens/>
              <w:spacing w:line="240" w:lineRule="auto"/>
              <w:jc w:val="center"/>
              <w:rPr>
                <w:rFonts w:eastAsia="SimSun"/>
                <w:szCs w:val="24"/>
              </w:rPr>
            </w:pPr>
            <w:r w:rsidRPr="00C72A9B">
              <w:t>96,4</w:t>
            </w:r>
          </w:p>
        </w:tc>
        <w:tc>
          <w:tcPr>
            <w:tcW w:w="2126" w:type="dxa"/>
          </w:tcPr>
          <w:p w14:paraId="0B171D63" w14:textId="77777777" w:rsidR="004A0E59" w:rsidRPr="00C72A9B" w:rsidRDefault="004A0E59" w:rsidP="00E552A3">
            <w:pPr>
              <w:suppressAutoHyphens/>
              <w:spacing w:line="240" w:lineRule="auto"/>
              <w:jc w:val="center"/>
              <w:rPr>
                <w:rFonts w:eastAsia="SimSun"/>
                <w:szCs w:val="24"/>
              </w:rPr>
            </w:pPr>
            <w:r w:rsidRPr="00C72A9B">
              <w:t>94</w:t>
            </w:r>
          </w:p>
        </w:tc>
      </w:tr>
      <w:tr w:rsidR="004A0E59" w:rsidRPr="00C72A9B" w14:paraId="42AE9363" w14:textId="77777777" w:rsidTr="00E552A3">
        <w:trPr>
          <w:jc w:val="center"/>
        </w:trPr>
        <w:tc>
          <w:tcPr>
            <w:tcW w:w="3792" w:type="dxa"/>
          </w:tcPr>
          <w:p w14:paraId="744DDBD9" w14:textId="77777777" w:rsidR="004A0E59" w:rsidRPr="00C72A9B" w:rsidRDefault="004A0E59" w:rsidP="00E552A3">
            <w:pPr>
              <w:suppressAutoHyphens/>
              <w:spacing w:line="240" w:lineRule="auto"/>
              <w:rPr>
                <w:rFonts w:eastAsia="SimSun"/>
                <w:szCs w:val="24"/>
              </w:rPr>
            </w:pPr>
            <w:r w:rsidRPr="00C72A9B">
              <w:t>Bretania</w:t>
            </w:r>
          </w:p>
        </w:tc>
        <w:tc>
          <w:tcPr>
            <w:tcW w:w="2126" w:type="dxa"/>
          </w:tcPr>
          <w:p w14:paraId="69F80605" w14:textId="77777777" w:rsidR="004A0E59" w:rsidRPr="00C72A9B" w:rsidRDefault="004A0E59" w:rsidP="00E552A3">
            <w:pPr>
              <w:suppressAutoHyphens/>
              <w:spacing w:line="240" w:lineRule="auto"/>
              <w:jc w:val="center"/>
              <w:rPr>
                <w:rFonts w:eastAsia="SimSun"/>
                <w:szCs w:val="24"/>
              </w:rPr>
            </w:pPr>
            <w:r w:rsidRPr="00C72A9B">
              <w:t>90,5</w:t>
            </w:r>
          </w:p>
        </w:tc>
        <w:tc>
          <w:tcPr>
            <w:tcW w:w="2126" w:type="dxa"/>
          </w:tcPr>
          <w:p w14:paraId="6B0BE71F" w14:textId="77777777" w:rsidR="004A0E59" w:rsidRPr="00C72A9B" w:rsidRDefault="004A0E59" w:rsidP="00E552A3">
            <w:pPr>
              <w:suppressAutoHyphens/>
              <w:spacing w:line="240" w:lineRule="auto"/>
              <w:jc w:val="center"/>
              <w:rPr>
                <w:rFonts w:eastAsia="SimSun"/>
                <w:szCs w:val="24"/>
              </w:rPr>
            </w:pPr>
            <w:r w:rsidRPr="00C72A9B">
              <w:t>88</w:t>
            </w:r>
          </w:p>
        </w:tc>
      </w:tr>
      <w:tr w:rsidR="004A0E59" w:rsidRPr="00C72A9B" w14:paraId="487190B9" w14:textId="77777777" w:rsidTr="00E552A3">
        <w:trPr>
          <w:jc w:val="center"/>
        </w:trPr>
        <w:tc>
          <w:tcPr>
            <w:tcW w:w="3792" w:type="dxa"/>
          </w:tcPr>
          <w:p w14:paraId="3E591202" w14:textId="77777777" w:rsidR="004A0E59" w:rsidRPr="00C72A9B" w:rsidRDefault="004A0E59" w:rsidP="00E552A3">
            <w:pPr>
              <w:suppressAutoHyphens/>
              <w:spacing w:line="240" w:lineRule="auto"/>
              <w:rPr>
                <w:rFonts w:eastAsia="SimSun"/>
                <w:szCs w:val="24"/>
              </w:rPr>
            </w:pPr>
            <w:r w:rsidRPr="00C72A9B">
              <w:t>Dolna Normandia</w:t>
            </w:r>
          </w:p>
        </w:tc>
        <w:tc>
          <w:tcPr>
            <w:tcW w:w="2126" w:type="dxa"/>
          </w:tcPr>
          <w:p w14:paraId="7A14B6C8" w14:textId="77777777" w:rsidR="004A0E59" w:rsidRPr="00C72A9B" w:rsidRDefault="004A0E59" w:rsidP="00E552A3">
            <w:pPr>
              <w:suppressAutoHyphens/>
              <w:spacing w:line="240" w:lineRule="auto"/>
              <w:jc w:val="center"/>
              <w:rPr>
                <w:rFonts w:eastAsia="SimSun"/>
                <w:szCs w:val="24"/>
              </w:rPr>
            </w:pPr>
            <w:r w:rsidRPr="00C72A9B">
              <w:t>84,1</w:t>
            </w:r>
          </w:p>
        </w:tc>
        <w:tc>
          <w:tcPr>
            <w:tcW w:w="2126" w:type="dxa"/>
          </w:tcPr>
          <w:p w14:paraId="07B5119E" w14:textId="77777777" w:rsidR="004A0E59" w:rsidRPr="00C72A9B" w:rsidRDefault="004A0E59" w:rsidP="00E552A3">
            <w:pPr>
              <w:suppressAutoHyphens/>
              <w:spacing w:line="240" w:lineRule="auto"/>
              <w:jc w:val="center"/>
              <w:rPr>
                <w:rFonts w:eastAsia="SimSun"/>
                <w:szCs w:val="24"/>
              </w:rPr>
            </w:pPr>
            <w:r w:rsidRPr="00C72A9B">
              <w:t>81</w:t>
            </w:r>
          </w:p>
        </w:tc>
      </w:tr>
      <w:tr w:rsidR="004A0E59" w:rsidRPr="00C72A9B" w14:paraId="1CFE3A99" w14:textId="77777777" w:rsidTr="00E552A3">
        <w:trPr>
          <w:jc w:val="center"/>
        </w:trPr>
        <w:tc>
          <w:tcPr>
            <w:tcW w:w="3792" w:type="dxa"/>
          </w:tcPr>
          <w:p w14:paraId="47C9D722" w14:textId="77777777" w:rsidR="004A0E59" w:rsidRPr="00C72A9B" w:rsidRDefault="004A0E59" w:rsidP="00E552A3">
            <w:pPr>
              <w:suppressAutoHyphens/>
              <w:spacing w:line="240" w:lineRule="auto"/>
              <w:rPr>
                <w:rFonts w:eastAsia="SimSun"/>
                <w:szCs w:val="24"/>
              </w:rPr>
            </w:pPr>
            <w:r w:rsidRPr="00C72A9B">
              <w:t>Górna Normandia</w:t>
            </w:r>
          </w:p>
        </w:tc>
        <w:tc>
          <w:tcPr>
            <w:tcW w:w="2126" w:type="dxa"/>
          </w:tcPr>
          <w:p w14:paraId="254F0999" w14:textId="77777777" w:rsidR="004A0E59" w:rsidRPr="00C72A9B" w:rsidRDefault="004A0E59" w:rsidP="00E552A3">
            <w:pPr>
              <w:suppressAutoHyphens/>
              <w:spacing w:line="240" w:lineRule="auto"/>
              <w:jc w:val="center"/>
              <w:rPr>
                <w:rFonts w:eastAsia="SimSun"/>
                <w:szCs w:val="24"/>
              </w:rPr>
            </w:pPr>
            <w:r w:rsidRPr="00C72A9B">
              <w:t>93,0</w:t>
            </w:r>
          </w:p>
        </w:tc>
        <w:tc>
          <w:tcPr>
            <w:tcW w:w="2126" w:type="dxa"/>
          </w:tcPr>
          <w:p w14:paraId="642FE8AE" w14:textId="77777777" w:rsidR="004A0E59" w:rsidRPr="00C72A9B" w:rsidRDefault="004A0E59" w:rsidP="00E552A3">
            <w:pPr>
              <w:suppressAutoHyphens/>
              <w:spacing w:line="240" w:lineRule="auto"/>
              <w:jc w:val="center"/>
              <w:rPr>
                <w:rFonts w:eastAsia="SimSun"/>
                <w:szCs w:val="24"/>
              </w:rPr>
            </w:pPr>
            <w:r w:rsidRPr="00C72A9B">
              <w:t>88</w:t>
            </w:r>
          </w:p>
        </w:tc>
      </w:tr>
      <w:tr w:rsidR="004A0E59" w:rsidRPr="00C72A9B" w14:paraId="5DD41AC4" w14:textId="77777777" w:rsidTr="00E552A3">
        <w:trPr>
          <w:jc w:val="center"/>
        </w:trPr>
        <w:tc>
          <w:tcPr>
            <w:tcW w:w="3792" w:type="dxa"/>
            <w:shd w:val="clear" w:color="auto" w:fill="DBE5F1" w:themeFill="accent1" w:themeFillTint="33"/>
          </w:tcPr>
          <w:p w14:paraId="601ABBD3" w14:textId="77777777" w:rsidR="004A0E59" w:rsidRPr="00C72A9B" w:rsidRDefault="004A0E59" w:rsidP="00E552A3">
            <w:pPr>
              <w:suppressAutoHyphens/>
              <w:spacing w:line="240" w:lineRule="auto"/>
              <w:rPr>
                <w:rFonts w:eastAsia="SimSun"/>
                <w:szCs w:val="24"/>
              </w:rPr>
            </w:pPr>
            <w:r w:rsidRPr="00C72A9B">
              <w:rPr>
                <w:b/>
                <w:szCs w:val="24"/>
              </w:rPr>
              <w:t>ZJEDNOCZONE KRÓLESTWO</w:t>
            </w:r>
          </w:p>
        </w:tc>
        <w:tc>
          <w:tcPr>
            <w:tcW w:w="2126" w:type="dxa"/>
            <w:shd w:val="clear" w:color="auto" w:fill="DBE5F1" w:themeFill="accent1" w:themeFillTint="33"/>
          </w:tcPr>
          <w:p w14:paraId="7CA468FD" w14:textId="77777777" w:rsidR="004A0E59" w:rsidRPr="00C72A9B" w:rsidRDefault="004A0E59" w:rsidP="00E552A3">
            <w:pPr>
              <w:suppressAutoHyphens/>
              <w:spacing w:line="240" w:lineRule="auto"/>
              <w:jc w:val="center"/>
              <w:rPr>
                <w:rFonts w:eastAsia="SimSun"/>
                <w:szCs w:val="24"/>
              </w:rPr>
            </w:pPr>
          </w:p>
        </w:tc>
        <w:tc>
          <w:tcPr>
            <w:tcW w:w="2126" w:type="dxa"/>
            <w:shd w:val="clear" w:color="auto" w:fill="DBE5F1" w:themeFill="accent1" w:themeFillTint="33"/>
          </w:tcPr>
          <w:p w14:paraId="4A5C9BDC" w14:textId="77777777" w:rsidR="004A0E59" w:rsidRPr="00C72A9B" w:rsidRDefault="004A0E59" w:rsidP="00E552A3">
            <w:pPr>
              <w:suppressAutoHyphens/>
              <w:spacing w:line="240" w:lineRule="auto"/>
              <w:jc w:val="center"/>
              <w:rPr>
                <w:rFonts w:eastAsia="SimSun"/>
                <w:b/>
                <w:szCs w:val="24"/>
              </w:rPr>
            </w:pPr>
          </w:p>
        </w:tc>
      </w:tr>
      <w:tr w:rsidR="004A0E59" w:rsidRPr="00C72A9B" w14:paraId="434E3561" w14:textId="77777777" w:rsidTr="00E552A3">
        <w:trPr>
          <w:jc w:val="center"/>
        </w:trPr>
        <w:tc>
          <w:tcPr>
            <w:tcW w:w="3792" w:type="dxa"/>
          </w:tcPr>
          <w:p w14:paraId="2D13B4DC" w14:textId="77777777" w:rsidR="004A0E59" w:rsidRPr="00C72A9B" w:rsidRDefault="004A0E59" w:rsidP="00E552A3">
            <w:pPr>
              <w:suppressAutoHyphens/>
              <w:spacing w:line="240" w:lineRule="auto"/>
              <w:rPr>
                <w:rFonts w:eastAsia="SimSun"/>
                <w:szCs w:val="24"/>
              </w:rPr>
            </w:pPr>
            <w:r w:rsidRPr="00C72A9B">
              <w:t>Kornwalia i Isles of Scilly</w:t>
            </w:r>
          </w:p>
        </w:tc>
        <w:tc>
          <w:tcPr>
            <w:tcW w:w="2126" w:type="dxa"/>
          </w:tcPr>
          <w:p w14:paraId="680E25B9" w14:textId="77777777" w:rsidR="004A0E59" w:rsidRPr="00C72A9B" w:rsidRDefault="004A0E59" w:rsidP="00E552A3">
            <w:pPr>
              <w:suppressAutoHyphens/>
              <w:spacing w:line="240" w:lineRule="auto"/>
              <w:jc w:val="center"/>
              <w:rPr>
                <w:rFonts w:eastAsia="SimSun"/>
                <w:szCs w:val="24"/>
              </w:rPr>
            </w:pPr>
            <w:r w:rsidRPr="00C72A9B">
              <w:t>71,9</w:t>
            </w:r>
          </w:p>
        </w:tc>
        <w:tc>
          <w:tcPr>
            <w:tcW w:w="2126" w:type="dxa"/>
          </w:tcPr>
          <w:p w14:paraId="01CA2731" w14:textId="77777777" w:rsidR="004A0E59" w:rsidRPr="00C72A9B" w:rsidRDefault="004A0E59" w:rsidP="00E552A3">
            <w:pPr>
              <w:suppressAutoHyphens/>
              <w:spacing w:line="240" w:lineRule="auto"/>
              <w:jc w:val="center"/>
              <w:rPr>
                <w:rFonts w:eastAsia="SimSun"/>
                <w:szCs w:val="24"/>
              </w:rPr>
            </w:pPr>
            <w:r w:rsidRPr="00C72A9B">
              <w:t>68</w:t>
            </w:r>
          </w:p>
        </w:tc>
      </w:tr>
      <w:tr w:rsidR="004A0E59" w:rsidRPr="00C72A9B" w14:paraId="0E4C13AC" w14:textId="77777777" w:rsidTr="00E552A3">
        <w:trPr>
          <w:jc w:val="center"/>
        </w:trPr>
        <w:tc>
          <w:tcPr>
            <w:tcW w:w="3792" w:type="dxa"/>
          </w:tcPr>
          <w:p w14:paraId="2A629505" w14:textId="77777777" w:rsidR="004A0E59" w:rsidRPr="00C72A9B" w:rsidRDefault="004A0E59" w:rsidP="00E552A3">
            <w:pPr>
              <w:suppressAutoHyphens/>
              <w:spacing w:line="240" w:lineRule="auto"/>
              <w:rPr>
                <w:rFonts w:eastAsia="SimSun"/>
                <w:szCs w:val="24"/>
              </w:rPr>
            </w:pPr>
            <w:r w:rsidRPr="00C72A9B">
              <w:t>Devon</w:t>
            </w:r>
          </w:p>
        </w:tc>
        <w:tc>
          <w:tcPr>
            <w:tcW w:w="2126" w:type="dxa"/>
          </w:tcPr>
          <w:p w14:paraId="22FBB5F0" w14:textId="77777777" w:rsidR="004A0E59" w:rsidRPr="00C72A9B" w:rsidRDefault="004A0E59" w:rsidP="00E552A3">
            <w:pPr>
              <w:suppressAutoHyphens/>
              <w:spacing w:line="240" w:lineRule="auto"/>
              <w:jc w:val="center"/>
              <w:rPr>
                <w:rFonts w:eastAsia="SimSun"/>
                <w:szCs w:val="24"/>
              </w:rPr>
            </w:pPr>
            <w:r w:rsidRPr="00C72A9B">
              <w:t>86,5</w:t>
            </w:r>
          </w:p>
        </w:tc>
        <w:tc>
          <w:tcPr>
            <w:tcW w:w="2126" w:type="dxa"/>
          </w:tcPr>
          <w:p w14:paraId="2D7F78DA" w14:textId="77777777" w:rsidR="004A0E59" w:rsidRPr="00C72A9B" w:rsidRDefault="004A0E59" w:rsidP="00E552A3">
            <w:pPr>
              <w:suppressAutoHyphens/>
              <w:spacing w:line="240" w:lineRule="auto"/>
              <w:jc w:val="center"/>
              <w:rPr>
                <w:rFonts w:eastAsia="SimSun"/>
                <w:szCs w:val="24"/>
              </w:rPr>
            </w:pPr>
            <w:r w:rsidRPr="00C72A9B">
              <w:t>77</w:t>
            </w:r>
          </w:p>
        </w:tc>
      </w:tr>
      <w:tr w:rsidR="004A0E59" w:rsidRPr="00C72A9B" w14:paraId="2D3D78EC" w14:textId="77777777" w:rsidTr="00E552A3">
        <w:trPr>
          <w:jc w:val="center"/>
        </w:trPr>
        <w:tc>
          <w:tcPr>
            <w:tcW w:w="3792" w:type="dxa"/>
          </w:tcPr>
          <w:p w14:paraId="179B641C" w14:textId="77777777" w:rsidR="004A0E59" w:rsidRPr="00C72A9B" w:rsidRDefault="004A0E59" w:rsidP="00E552A3">
            <w:pPr>
              <w:suppressAutoHyphens/>
              <w:spacing w:line="240" w:lineRule="auto"/>
              <w:rPr>
                <w:rFonts w:eastAsia="SimSun"/>
                <w:szCs w:val="24"/>
              </w:rPr>
            </w:pPr>
            <w:r w:rsidRPr="00C72A9B">
              <w:t>Hampshire i Isle of Wight</w:t>
            </w:r>
          </w:p>
        </w:tc>
        <w:tc>
          <w:tcPr>
            <w:tcW w:w="2126" w:type="dxa"/>
          </w:tcPr>
          <w:p w14:paraId="3F5C499C" w14:textId="77777777" w:rsidR="004A0E59" w:rsidRPr="00C72A9B" w:rsidRDefault="004A0E59" w:rsidP="00E552A3">
            <w:pPr>
              <w:suppressAutoHyphens/>
              <w:spacing w:line="240" w:lineRule="auto"/>
              <w:jc w:val="center"/>
              <w:rPr>
                <w:rFonts w:eastAsia="SimSun"/>
                <w:szCs w:val="24"/>
              </w:rPr>
            </w:pPr>
            <w:r w:rsidRPr="00C72A9B">
              <w:t>110,3</w:t>
            </w:r>
          </w:p>
        </w:tc>
        <w:tc>
          <w:tcPr>
            <w:tcW w:w="2126" w:type="dxa"/>
          </w:tcPr>
          <w:p w14:paraId="5280AB6E" w14:textId="77777777" w:rsidR="004A0E59" w:rsidRPr="00C72A9B" w:rsidRDefault="004A0E59" w:rsidP="00E552A3">
            <w:pPr>
              <w:suppressAutoHyphens/>
              <w:spacing w:line="240" w:lineRule="auto"/>
              <w:jc w:val="center"/>
              <w:rPr>
                <w:rFonts w:eastAsia="SimSun"/>
                <w:szCs w:val="24"/>
              </w:rPr>
            </w:pPr>
            <w:r w:rsidRPr="00C72A9B">
              <w:t>104</w:t>
            </w:r>
          </w:p>
        </w:tc>
      </w:tr>
      <w:tr w:rsidR="004A0E59" w:rsidRPr="00C72A9B" w14:paraId="6E2D6A5A" w14:textId="77777777" w:rsidTr="00E552A3">
        <w:trPr>
          <w:jc w:val="center"/>
        </w:trPr>
        <w:tc>
          <w:tcPr>
            <w:tcW w:w="3792" w:type="dxa"/>
          </w:tcPr>
          <w:p w14:paraId="2A54C709" w14:textId="77777777" w:rsidR="004A0E59" w:rsidRPr="00C72A9B" w:rsidRDefault="004A0E59" w:rsidP="00E552A3">
            <w:pPr>
              <w:suppressAutoHyphens/>
              <w:spacing w:line="240" w:lineRule="auto"/>
              <w:rPr>
                <w:rFonts w:eastAsia="SimSun"/>
                <w:szCs w:val="24"/>
              </w:rPr>
            </w:pPr>
            <w:r w:rsidRPr="00C72A9B">
              <w:t>Dorset i Somerset</w:t>
            </w:r>
          </w:p>
        </w:tc>
        <w:tc>
          <w:tcPr>
            <w:tcW w:w="2126" w:type="dxa"/>
          </w:tcPr>
          <w:p w14:paraId="11645AD2" w14:textId="77777777" w:rsidR="004A0E59" w:rsidRPr="00C72A9B" w:rsidRDefault="004A0E59" w:rsidP="00E552A3">
            <w:pPr>
              <w:suppressAutoHyphens/>
              <w:spacing w:line="240" w:lineRule="auto"/>
              <w:jc w:val="center"/>
              <w:rPr>
                <w:rFonts w:eastAsia="SimSun"/>
                <w:szCs w:val="24"/>
              </w:rPr>
            </w:pPr>
            <w:r w:rsidRPr="00C72A9B">
              <w:t>93,5</w:t>
            </w:r>
          </w:p>
        </w:tc>
        <w:tc>
          <w:tcPr>
            <w:tcW w:w="2126" w:type="dxa"/>
          </w:tcPr>
          <w:p w14:paraId="51FCE6C1" w14:textId="77777777" w:rsidR="004A0E59" w:rsidRPr="00C72A9B" w:rsidRDefault="004A0E59" w:rsidP="00E552A3">
            <w:pPr>
              <w:suppressAutoHyphens/>
              <w:spacing w:line="240" w:lineRule="auto"/>
              <w:jc w:val="center"/>
              <w:rPr>
                <w:rFonts w:eastAsia="SimSun"/>
                <w:szCs w:val="24"/>
              </w:rPr>
            </w:pPr>
            <w:r w:rsidRPr="00C72A9B">
              <w:t>81</w:t>
            </w:r>
          </w:p>
        </w:tc>
      </w:tr>
      <w:tr w:rsidR="004A0E59" w:rsidRPr="00C72A9B" w14:paraId="54BEFA1F" w14:textId="77777777" w:rsidTr="00E552A3">
        <w:trPr>
          <w:jc w:val="center"/>
        </w:trPr>
        <w:tc>
          <w:tcPr>
            <w:tcW w:w="3792" w:type="dxa"/>
          </w:tcPr>
          <w:p w14:paraId="5F5602A4" w14:textId="77777777" w:rsidR="004A0E59" w:rsidRPr="00C72A9B" w:rsidRDefault="004A0E59" w:rsidP="00E552A3">
            <w:pPr>
              <w:suppressAutoHyphens/>
              <w:spacing w:line="240" w:lineRule="auto"/>
              <w:rPr>
                <w:rFonts w:eastAsia="SimSun"/>
                <w:szCs w:val="24"/>
              </w:rPr>
            </w:pPr>
            <w:r w:rsidRPr="00C72A9B">
              <w:t>Wschodnia Walia</w:t>
            </w:r>
          </w:p>
        </w:tc>
        <w:tc>
          <w:tcPr>
            <w:tcW w:w="2126" w:type="dxa"/>
          </w:tcPr>
          <w:p w14:paraId="01B048D7" w14:textId="77777777" w:rsidR="004A0E59" w:rsidRPr="00C72A9B" w:rsidRDefault="004A0E59" w:rsidP="00E552A3">
            <w:pPr>
              <w:suppressAutoHyphens/>
              <w:spacing w:line="240" w:lineRule="auto"/>
              <w:jc w:val="center"/>
              <w:rPr>
                <w:rFonts w:eastAsia="SimSun"/>
                <w:szCs w:val="24"/>
              </w:rPr>
            </w:pPr>
            <w:r w:rsidRPr="00C72A9B">
              <w:t>99,3</w:t>
            </w:r>
          </w:p>
        </w:tc>
        <w:tc>
          <w:tcPr>
            <w:tcW w:w="2126" w:type="dxa"/>
          </w:tcPr>
          <w:p w14:paraId="62E70BDD" w14:textId="77777777" w:rsidR="004A0E59" w:rsidRPr="00C72A9B" w:rsidRDefault="004A0E59" w:rsidP="00E552A3">
            <w:pPr>
              <w:suppressAutoHyphens/>
              <w:spacing w:line="240" w:lineRule="auto"/>
              <w:jc w:val="center"/>
              <w:rPr>
                <w:rFonts w:eastAsia="SimSun"/>
                <w:szCs w:val="24"/>
              </w:rPr>
            </w:pPr>
            <w:r w:rsidRPr="00C72A9B">
              <w:t>94</w:t>
            </w:r>
          </w:p>
        </w:tc>
      </w:tr>
      <w:tr w:rsidR="004A0E59" w:rsidRPr="00C72A9B" w14:paraId="174FC4D6" w14:textId="77777777" w:rsidTr="00E552A3">
        <w:trPr>
          <w:jc w:val="center"/>
        </w:trPr>
        <w:tc>
          <w:tcPr>
            <w:tcW w:w="3792" w:type="dxa"/>
          </w:tcPr>
          <w:p w14:paraId="3D8E6A21" w14:textId="77777777" w:rsidR="004A0E59" w:rsidRPr="00C72A9B" w:rsidRDefault="004A0E59" w:rsidP="00E552A3">
            <w:pPr>
              <w:suppressAutoHyphens/>
              <w:spacing w:line="240" w:lineRule="auto"/>
              <w:rPr>
                <w:rFonts w:eastAsia="SimSun"/>
                <w:szCs w:val="24"/>
              </w:rPr>
            </w:pPr>
            <w:r w:rsidRPr="00C72A9B">
              <w:t>Zachodnia Walia i The Valleys</w:t>
            </w:r>
          </w:p>
        </w:tc>
        <w:tc>
          <w:tcPr>
            <w:tcW w:w="2126" w:type="dxa"/>
          </w:tcPr>
          <w:p w14:paraId="1B8A38ED" w14:textId="77777777" w:rsidR="004A0E59" w:rsidRPr="00C72A9B" w:rsidRDefault="004A0E59" w:rsidP="00E552A3">
            <w:pPr>
              <w:suppressAutoHyphens/>
              <w:spacing w:line="240" w:lineRule="auto"/>
              <w:jc w:val="center"/>
              <w:rPr>
                <w:rFonts w:eastAsia="SimSun"/>
                <w:szCs w:val="24"/>
              </w:rPr>
            </w:pPr>
            <w:r w:rsidRPr="00C72A9B">
              <w:t>68,4</w:t>
            </w:r>
          </w:p>
        </w:tc>
        <w:tc>
          <w:tcPr>
            <w:tcW w:w="2126" w:type="dxa"/>
          </w:tcPr>
          <w:p w14:paraId="20B693C6" w14:textId="77777777" w:rsidR="004A0E59" w:rsidRPr="00C72A9B" w:rsidRDefault="004A0E59" w:rsidP="00E552A3">
            <w:pPr>
              <w:suppressAutoHyphens/>
              <w:spacing w:line="240" w:lineRule="auto"/>
              <w:jc w:val="center"/>
              <w:rPr>
                <w:rFonts w:eastAsia="SimSun"/>
                <w:szCs w:val="24"/>
              </w:rPr>
            </w:pPr>
            <w:r w:rsidRPr="00C72A9B">
              <w:t>66</w:t>
            </w:r>
          </w:p>
        </w:tc>
      </w:tr>
      <w:tr w:rsidR="004A0E59" w:rsidRPr="00C72A9B" w14:paraId="771776DA" w14:textId="77777777" w:rsidTr="00E552A3">
        <w:trPr>
          <w:jc w:val="center"/>
        </w:trPr>
        <w:tc>
          <w:tcPr>
            <w:tcW w:w="3792" w:type="dxa"/>
          </w:tcPr>
          <w:p w14:paraId="6A3EF82B" w14:textId="77777777" w:rsidR="004A0E59" w:rsidRPr="00C72A9B" w:rsidRDefault="004A0E59" w:rsidP="00E552A3">
            <w:pPr>
              <w:suppressAutoHyphens/>
              <w:spacing w:line="240" w:lineRule="auto"/>
              <w:jc w:val="left"/>
              <w:rPr>
                <w:rFonts w:eastAsia="SimSun"/>
                <w:szCs w:val="24"/>
              </w:rPr>
            </w:pPr>
            <w:r w:rsidRPr="00C72A9B">
              <w:t>Gloucestershire, Wiltshire i obszar Bristol/Bath</w:t>
            </w:r>
          </w:p>
        </w:tc>
        <w:tc>
          <w:tcPr>
            <w:tcW w:w="2126" w:type="dxa"/>
          </w:tcPr>
          <w:p w14:paraId="0CC36CD4" w14:textId="77777777" w:rsidR="004A0E59" w:rsidRPr="00C72A9B" w:rsidRDefault="004A0E59" w:rsidP="00E552A3">
            <w:pPr>
              <w:suppressAutoHyphens/>
              <w:spacing w:line="240" w:lineRule="auto"/>
              <w:jc w:val="center"/>
              <w:rPr>
                <w:rFonts w:eastAsia="SimSun"/>
                <w:szCs w:val="24"/>
              </w:rPr>
            </w:pPr>
            <w:r w:rsidRPr="00C72A9B">
              <w:t>114,1</w:t>
            </w:r>
          </w:p>
        </w:tc>
        <w:tc>
          <w:tcPr>
            <w:tcW w:w="2126" w:type="dxa"/>
          </w:tcPr>
          <w:p w14:paraId="4032C760" w14:textId="77777777" w:rsidR="004A0E59" w:rsidRPr="00C72A9B" w:rsidRDefault="004A0E59" w:rsidP="00E552A3">
            <w:pPr>
              <w:suppressAutoHyphens/>
              <w:spacing w:line="240" w:lineRule="auto"/>
              <w:jc w:val="center"/>
              <w:rPr>
                <w:rFonts w:eastAsia="SimSun"/>
                <w:szCs w:val="24"/>
              </w:rPr>
            </w:pPr>
            <w:r w:rsidRPr="00C72A9B">
              <w:t>106</w:t>
            </w:r>
          </w:p>
        </w:tc>
      </w:tr>
      <w:tr w:rsidR="004A0E59" w:rsidRPr="00C72A9B" w14:paraId="676DDBF7" w14:textId="77777777" w:rsidTr="00E552A3">
        <w:trPr>
          <w:jc w:val="center"/>
        </w:trPr>
        <w:tc>
          <w:tcPr>
            <w:tcW w:w="3792" w:type="dxa"/>
          </w:tcPr>
          <w:p w14:paraId="5A378640" w14:textId="77777777" w:rsidR="004A0E59" w:rsidRPr="00C72A9B" w:rsidRDefault="004A0E59" w:rsidP="00E552A3">
            <w:pPr>
              <w:suppressAutoHyphens/>
              <w:spacing w:line="240" w:lineRule="auto"/>
              <w:rPr>
                <w:rFonts w:eastAsia="SimSun"/>
                <w:szCs w:val="24"/>
              </w:rPr>
            </w:pPr>
            <w:r w:rsidRPr="00C72A9B">
              <w:t>Merseyside</w:t>
            </w:r>
          </w:p>
        </w:tc>
        <w:tc>
          <w:tcPr>
            <w:tcW w:w="2126" w:type="dxa"/>
          </w:tcPr>
          <w:p w14:paraId="1F26253C" w14:textId="77777777" w:rsidR="004A0E59" w:rsidRPr="00C72A9B" w:rsidRDefault="004A0E59" w:rsidP="00E552A3">
            <w:pPr>
              <w:suppressAutoHyphens/>
              <w:spacing w:line="240" w:lineRule="auto"/>
              <w:jc w:val="center"/>
              <w:rPr>
                <w:rFonts w:eastAsia="SimSun"/>
                <w:szCs w:val="24"/>
              </w:rPr>
            </w:pPr>
            <w:r w:rsidRPr="00C72A9B">
              <w:t>79,2</w:t>
            </w:r>
          </w:p>
        </w:tc>
        <w:tc>
          <w:tcPr>
            <w:tcW w:w="2126" w:type="dxa"/>
          </w:tcPr>
          <w:p w14:paraId="156F3C6D" w14:textId="77777777" w:rsidR="004A0E59" w:rsidRPr="00C72A9B" w:rsidRDefault="004A0E59" w:rsidP="00E552A3">
            <w:pPr>
              <w:suppressAutoHyphens/>
              <w:spacing w:line="240" w:lineRule="auto"/>
              <w:jc w:val="center"/>
              <w:rPr>
                <w:rFonts w:eastAsia="SimSun"/>
                <w:szCs w:val="24"/>
              </w:rPr>
            </w:pPr>
            <w:r w:rsidRPr="00C72A9B">
              <w:t>79</w:t>
            </w:r>
          </w:p>
        </w:tc>
      </w:tr>
      <w:tr w:rsidR="004A0E59" w:rsidRPr="00C72A9B" w14:paraId="176A2E08" w14:textId="77777777" w:rsidTr="00E552A3">
        <w:trPr>
          <w:jc w:val="center"/>
        </w:trPr>
        <w:tc>
          <w:tcPr>
            <w:tcW w:w="3792" w:type="dxa"/>
          </w:tcPr>
          <w:p w14:paraId="7C9C7FAC" w14:textId="77777777" w:rsidR="004A0E59" w:rsidRPr="00C72A9B" w:rsidRDefault="004A0E59" w:rsidP="00E552A3">
            <w:pPr>
              <w:suppressAutoHyphens/>
              <w:spacing w:line="240" w:lineRule="auto"/>
              <w:rPr>
                <w:rFonts w:eastAsia="SimSun"/>
                <w:szCs w:val="24"/>
              </w:rPr>
            </w:pPr>
            <w:r w:rsidRPr="00C72A9B">
              <w:t>Lancashire</w:t>
            </w:r>
          </w:p>
        </w:tc>
        <w:tc>
          <w:tcPr>
            <w:tcW w:w="2126" w:type="dxa"/>
          </w:tcPr>
          <w:p w14:paraId="1ADAEDBC" w14:textId="77777777" w:rsidR="004A0E59" w:rsidRPr="00C72A9B" w:rsidRDefault="004A0E59" w:rsidP="00E552A3">
            <w:pPr>
              <w:suppressAutoHyphens/>
              <w:spacing w:line="240" w:lineRule="auto"/>
              <w:jc w:val="center"/>
              <w:rPr>
                <w:rFonts w:eastAsia="SimSun"/>
                <w:szCs w:val="24"/>
              </w:rPr>
            </w:pPr>
            <w:r w:rsidRPr="00C72A9B">
              <w:t>83,4</w:t>
            </w:r>
          </w:p>
        </w:tc>
        <w:tc>
          <w:tcPr>
            <w:tcW w:w="2126" w:type="dxa"/>
          </w:tcPr>
          <w:p w14:paraId="5BDF0FB3" w14:textId="77777777" w:rsidR="004A0E59" w:rsidRPr="00C72A9B" w:rsidRDefault="004A0E59" w:rsidP="00E552A3">
            <w:pPr>
              <w:suppressAutoHyphens/>
              <w:spacing w:line="240" w:lineRule="auto"/>
              <w:jc w:val="center"/>
              <w:rPr>
                <w:rFonts w:eastAsia="SimSun"/>
                <w:szCs w:val="24"/>
              </w:rPr>
            </w:pPr>
            <w:r w:rsidRPr="00C72A9B">
              <w:t>84</w:t>
            </w:r>
          </w:p>
        </w:tc>
      </w:tr>
      <w:tr w:rsidR="004A0E59" w:rsidRPr="00C72A9B" w14:paraId="1049A5AF" w14:textId="77777777" w:rsidTr="00E552A3">
        <w:trPr>
          <w:jc w:val="center"/>
        </w:trPr>
        <w:tc>
          <w:tcPr>
            <w:tcW w:w="3792" w:type="dxa"/>
          </w:tcPr>
          <w:p w14:paraId="5F74A0E0" w14:textId="77777777" w:rsidR="004A0E59" w:rsidRPr="00C72A9B" w:rsidRDefault="004A0E59" w:rsidP="00E552A3">
            <w:pPr>
              <w:suppressAutoHyphens/>
              <w:spacing w:line="240" w:lineRule="auto"/>
              <w:rPr>
                <w:rFonts w:eastAsia="SimSun"/>
                <w:szCs w:val="24"/>
              </w:rPr>
            </w:pPr>
            <w:r w:rsidRPr="00C72A9B">
              <w:t>Cheshire</w:t>
            </w:r>
          </w:p>
        </w:tc>
        <w:tc>
          <w:tcPr>
            <w:tcW w:w="2126" w:type="dxa"/>
          </w:tcPr>
          <w:p w14:paraId="184CA584" w14:textId="77777777" w:rsidR="004A0E59" w:rsidRPr="00C72A9B" w:rsidRDefault="004A0E59" w:rsidP="00E552A3">
            <w:pPr>
              <w:suppressAutoHyphens/>
              <w:spacing w:line="240" w:lineRule="auto"/>
              <w:jc w:val="center"/>
              <w:rPr>
                <w:rFonts w:eastAsia="SimSun"/>
                <w:szCs w:val="24"/>
              </w:rPr>
            </w:pPr>
            <w:r w:rsidRPr="00C72A9B">
              <w:t>113,1</w:t>
            </w:r>
          </w:p>
        </w:tc>
        <w:tc>
          <w:tcPr>
            <w:tcW w:w="2126" w:type="dxa"/>
          </w:tcPr>
          <w:p w14:paraId="4F768142" w14:textId="77777777" w:rsidR="004A0E59" w:rsidRPr="00C72A9B" w:rsidRDefault="004A0E59" w:rsidP="00E552A3">
            <w:pPr>
              <w:suppressAutoHyphens/>
              <w:spacing w:line="240" w:lineRule="auto"/>
              <w:jc w:val="center"/>
              <w:rPr>
                <w:rFonts w:eastAsia="SimSun"/>
                <w:szCs w:val="24"/>
              </w:rPr>
            </w:pPr>
            <w:r w:rsidRPr="00C72A9B">
              <w:t>128</w:t>
            </w:r>
          </w:p>
        </w:tc>
      </w:tr>
      <w:tr w:rsidR="004A0E59" w:rsidRPr="00C72A9B" w14:paraId="25758693" w14:textId="77777777" w:rsidTr="00E552A3">
        <w:trPr>
          <w:jc w:val="center"/>
        </w:trPr>
        <w:tc>
          <w:tcPr>
            <w:tcW w:w="3792" w:type="dxa"/>
          </w:tcPr>
          <w:p w14:paraId="7465E2D8" w14:textId="77777777" w:rsidR="004A0E59" w:rsidRPr="00C72A9B" w:rsidRDefault="004A0E59" w:rsidP="00E552A3">
            <w:pPr>
              <w:suppressAutoHyphens/>
              <w:spacing w:line="240" w:lineRule="auto"/>
              <w:rPr>
                <w:rFonts w:eastAsia="SimSun"/>
                <w:szCs w:val="24"/>
              </w:rPr>
            </w:pPr>
            <w:r w:rsidRPr="00C72A9B">
              <w:t>Cumbria</w:t>
            </w:r>
          </w:p>
        </w:tc>
        <w:tc>
          <w:tcPr>
            <w:tcW w:w="2126" w:type="dxa"/>
          </w:tcPr>
          <w:p w14:paraId="03BC621F" w14:textId="77777777" w:rsidR="004A0E59" w:rsidRPr="00C72A9B" w:rsidRDefault="004A0E59" w:rsidP="00E552A3">
            <w:pPr>
              <w:suppressAutoHyphens/>
              <w:spacing w:line="240" w:lineRule="auto"/>
              <w:jc w:val="center"/>
              <w:rPr>
                <w:rFonts w:eastAsia="SimSun"/>
                <w:szCs w:val="24"/>
              </w:rPr>
            </w:pPr>
            <w:r w:rsidRPr="00C72A9B">
              <w:t>87,6</w:t>
            </w:r>
          </w:p>
        </w:tc>
        <w:tc>
          <w:tcPr>
            <w:tcW w:w="2126" w:type="dxa"/>
          </w:tcPr>
          <w:p w14:paraId="6D0CF73B" w14:textId="77777777" w:rsidR="004A0E59" w:rsidRPr="00C72A9B" w:rsidRDefault="004A0E59" w:rsidP="00E552A3">
            <w:pPr>
              <w:suppressAutoHyphens/>
              <w:spacing w:line="240" w:lineRule="auto"/>
              <w:jc w:val="center"/>
              <w:rPr>
                <w:rFonts w:eastAsia="SimSun"/>
                <w:szCs w:val="24"/>
              </w:rPr>
            </w:pPr>
            <w:r w:rsidRPr="00C72A9B">
              <w:t>89</w:t>
            </w:r>
          </w:p>
        </w:tc>
      </w:tr>
      <w:tr w:rsidR="004A0E59" w:rsidRPr="00C72A9B" w14:paraId="4CA1C8C5" w14:textId="77777777" w:rsidTr="00E552A3">
        <w:trPr>
          <w:jc w:val="center"/>
        </w:trPr>
        <w:tc>
          <w:tcPr>
            <w:tcW w:w="3792" w:type="dxa"/>
          </w:tcPr>
          <w:p w14:paraId="28B87DDC" w14:textId="77777777" w:rsidR="004A0E59" w:rsidRPr="00C72A9B" w:rsidRDefault="004A0E59" w:rsidP="00E552A3">
            <w:pPr>
              <w:suppressAutoHyphens/>
              <w:spacing w:line="240" w:lineRule="auto"/>
              <w:rPr>
                <w:rFonts w:eastAsia="SimSun"/>
                <w:szCs w:val="24"/>
              </w:rPr>
            </w:pPr>
            <w:r w:rsidRPr="00C72A9B">
              <w:t>Południowo-zachodnia Szkocja</w:t>
            </w:r>
          </w:p>
        </w:tc>
        <w:tc>
          <w:tcPr>
            <w:tcW w:w="2126" w:type="dxa"/>
          </w:tcPr>
          <w:p w14:paraId="48C12D33" w14:textId="77777777" w:rsidR="004A0E59" w:rsidRPr="00C72A9B" w:rsidRDefault="004A0E59" w:rsidP="00E552A3">
            <w:pPr>
              <w:suppressAutoHyphens/>
              <w:spacing w:line="240" w:lineRule="auto"/>
              <w:jc w:val="center"/>
              <w:rPr>
                <w:rFonts w:eastAsia="SimSun"/>
                <w:szCs w:val="24"/>
              </w:rPr>
            </w:pPr>
            <w:r w:rsidRPr="00C72A9B">
              <w:t>99,9</w:t>
            </w:r>
          </w:p>
        </w:tc>
        <w:tc>
          <w:tcPr>
            <w:tcW w:w="2126" w:type="dxa"/>
            <w:shd w:val="clear" w:color="auto" w:fill="FFFF00"/>
          </w:tcPr>
          <w:p w14:paraId="35EFD3EC" w14:textId="77777777" w:rsidR="004A0E59" w:rsidRPr="00C72A9B" w:rsidRDefault="004A0E59" w:rsidP="00E552A3">
            <w:pPr>
              <w:suppressAutoHyphens/>
              <w:spacing w:line="240" w:lineRule="auto"/>
              <w:jc w:val="center"/>
              <w:rPr>
                <w:rFonts w:eastAsia="SimSun"/>
                <w:szCs w:val="24"/>
              </w:rPr>
            </w:pPr>
          </w:p>
        </w:tc>
      </w:tr>
      <w:tr w:rsidR="004A0E59" w:rsidRPr="00C72A9B" w14:paraId="2C191913" w14:textId="77777777" w:rsidTr="00E552A3">
        <w:trPr>
          <w:jc w:val="center"/>
        </w:trPr>
        <w:tc>
          <w:tcPr>
            <w:tcW w:w="3792" w:type="dxa"/>
          </w:tcPr>
          <w:p w14:paraId="75A004B4" w14:textId="77777777" w:rsidR="004A0E59" w:rsidRPr="00C72A9B" w:rsidRDefault="004A0E59" w:rsidP="00E552A3">
            <w:pPr>
              <w:suppressAutoHyphens/>
              <w:spacing w:line="240" w:lineRule="auto"/>
              <w:rPr>
                <w:rFonts w:eastAsia="SimSun"/>
                <w:szCs w:val="24"/>
              </w:rPr>
            </w:pPr>
            <w:r w:rsidRPr="00C72A9B">
              <w:t>Highlands i Islands</w:t>
            </w:r>
          </w:p>
        </w:tc>
        <w:tc>
          <w:tcPr>
            <w:tcW w:w="2126" w:type="dxa"/>
          </w:tcPr>
          <w:p w14:paraId="16E1771D" w14:textId="77777777" w:rsidR="004A0E59" w:rsidRPr="00C72A9B" w:rsidRDefault="004A0E59" w:rsidP="00E552A3">
            <w:pPr>
              <w:suppressAutoHyphens/>
              <w:spacing w:line="240" w:lineRule="auto"/>
              <w:jc w:val="center"/>
              <w:rPr>
                <w:rFonts w:eastAsia="SimSun"/>
                <w:szCs w:val="24"/>
              </w:rPr>
            </w:pPr>
            <w:r w:rsidRPr="00C72A9B">
              <w:t>84,4</w:t>
            </w:r>
          </w:p>
        </w:tc>
        <w:tc>
          <w:tcPr>
            <w:tcW w:w="2126" w:type="dxa"/>
          </w:tcPr>
          <w:p w14:paraId="62A3419D" w14:textId="77777777" w:rsidR="004A0E59" w:rsidRPr="00C72A9B" w:rsidRDefault="004A0E59" w:rsidP="00E552A3">
            <w:pPr>
              <w:suppressAutoHyphens/>
              <w:spacing w:line="240" w:lineRule="auto"/>
              <w:jc w:val="center"/>
              <w:rPr>
                <w:rFonts w:eastAsia="SimSun"/>
                <w:szCs w:val="24"/>
              </w:rPr>
            </w:pPr>
            <w:r w:rsidRPr="00C72A9B">
              <w:t>93</w:t>
            </w:r>
          </w:p>
        </w:tc>
      </w:tr>
      <w:tr w:rsidR="004A0E59" w:rsidRPr="00C72A9B" w14:paraId="40F21585" w14:textId="77777777" w:rsidTr="00E552A3">
        <w:trPr>
          <w:jc w:val="center"/>
        </w:trPr>
        <w:tc>
          <w:tcPr>
            <w:tcW w:w="3792" w:type="dxa"/>
          </w:tcPr>
          <w:p w14:paraId="59E3BD1A" w14:textId="77777777" w:rsidR="004A0E59" w:rsidRPr="00C72A9B" w:rsidRDefault="004A0E59" w:rsidP="00E552A3">
            <w:pPr>
              <w:suppressAutoHyphens/>
              <w:spacing w:line="240" w:lineRule="auto"/>
              <w:rPr>
                <w:rFonts w:eastAsia="SimSun"/>
                <w:szCs w:val="24"/>
              </w:rPr>
            </w:pPr>
            <w:r w:rsidRPr="00C72A9B">
              <w:t>Irlandia Północna</w:t>
            </w:r>
          </w:p>
        </w:tc>
        <w:tc>
          <w:tcPr>
            <w:tcW w:w="2126" w:type="dxa"/>
          </w:tcPr>
          <w:p w14:paraId="10DA6810" w14:textId="77777777" w:rsidR="004A0E59" w:rsidRPr="00C72A9B" w:rsidRDefault="004A0E59" w:rsidP="00E552A3">
            <w:pPr>
              <w:suppressAutoHyphens/>
              <w:spacing w:line="240" w:lineRule="auto"/>
              <w:jc w:val="center"/>
              <w:rPr>
                <w:rFonts w:eastAsia="SimSun"/>
                <w:szCs w:val="24"/>
              </w:rPr>
            </w:pPr>
            <w:r w:rsidRPr="00C72A9B">
              <w:t>83,0</w:t>
            </w:r>
          </w:p>
        </w:tc>
        <w:tc>
          <w:tcPr>
            <w:tcW w:w="2126" w:type="dxa"/>
          </w:tcPr>
          <w:p w14:paraId="25D6EA95" w14:textId="77777777" w:rsidR="004A0E59" w:rsidRPr="00C72A9B" w:rsidRDefault="004A0E59" w:rsidP="00E552A3">
            <w:pPr>
              <w:suppressAutoHyphens/>
              <w:spacing w:line="240" w:lineRule="auto"/>
              <w:jc w:val="center"/>
              <w:rPr>
                <w:rFonts w:eastAsia="SimSun"/>
                <w:szCs w:val="24"/>
              </w:rPr>
            </w:pPr>
            <w:r w:rsidRPr="00C72A9B">
              <w:t>81</w:t>
            </w:r>
          </w:p>
        </w:tc>
      </w:tr>
      <w:tr w:rsidR="004A0E59" w:rsidRPr="00C72A9B" w14:paraId="2E9146EA" w14:textId="77777777" w:rsidTr="00E552A3">
        <w:trPr>
          <w:jc w:val="center"/>
        </w:trPr>
        <w:tc>
          <w:tcPr>
            <w:tcW w:w="3792" w:type="dxa"/>
            <w:shd w:val="clear" w:color="auto" w:fill="DBE5F1" w:themeFill="accent1" w:themeFillTint="33"/>
          </w:tcPr>
          <w:p w14:paraId="22305C6B" w14:textId="77777777" w:rsidR="004A0E59" w:rsidRPr="00C72A9B" w:rsidRDefault="004A0E59" w:rsidP="00E552A3">
            <w:pPr>
              <w:suppressAutoHyphens/>
              <w:spacing w:line="240" w:lineRule="auto"/>
              <w:rPr>
                <w:rFonts w:eastAsia="SimSun"/>
                <w:b/>
                <w:szCs w:val="24"/>
              </w:rPr>
            </w:pPr>
            <w:r w:rsidRPr="00C72A9B">
              <w:rPr>
                <w:b/>
                <w:szCs w:val="24"/>
              </w:rPr>
              <w:t>IRLANDIA</w:t>
            </w:r>
          </w:p>
        </w:tc>
        <w:tc>
          <w:tcPr>
            <w:tcW w:w="2126" w:type="dxa"/>
            <w:shd w:val="clear" w:color="auto" w:fill="DBE5F1" w:themeFill="accent1" w:themeFillTint="33"/>
          </w:tcPr>
          <w:p w14:paraId="34564B31" w14:textId="77777777" w:rsidR="004A0E59" w:rsidRPr="00C72A9B" w:rsidRDefault="004A0E59" w:rsidP="00E552A3">
            <w:pPr>
              <w:suppressAutoHyphens/>
              <w:spacing w:line="240" w:lineRule="auto"/>
              <w:jc w:val="center"/>
              <w:rPr>
                <w:rFonts w:eastAsia="SimSun"/>
                <w:b/>
                <w:szCs w:val="24"/>
              </w:rPr>
            </w:pPr>
          </w:p>
        </w:tc>
        <w:tc>
          <w:tcPr>
            <w:tcW w:w="2126" w:type="dxa"/>
            <w:shd w:val="clear" w:color="auto" w:fill="DBE5F1" w:themeFill="accent1" w:themeFillTint="33"/>
          </w:tcPr>
          <w:p w14:paraId="6D8F53DD" w14:textId="77777777" w:rsidR="004A0E59" w:rsidRPr="00C72A9B" w:rsidRDefault="004A0E59" w:rsidP="00E552A3">
            <w:pPr>
              <w:suppressAutoHyphens/>
              <w:spacing w:line="240" w:lineRule="auto"/>
              <w:jc w:val="center"/>
              <w:rPr>
                <w:rFonts w:eastAsia="SimSun"/>
                <w:b/>
                <w:szCs w:val="24"/>
              </w:rPr>
            </w:pPr>
          </w:p>
        </w:tc>
      </w:tr>
      <w:tr w:rsidR="004A0E59" w:rsidRPr="00C72A9B" w14:paraId="428BF12A" w14:textId="77777777" w:rsidTr="00E552A3">
        <w:trPr>
          <w:jc w:val="center"/>
        </w:trPr>
        <w:tc>
          <w:tcPr>
            <w:tcW w:w="3792" w:type="dxa"/>
          </w:tcPr>
          <w:p w14:paraId="165A3BC7" w14:textId="77777777" w:rsidR="004A0E59" w:rsidRPr="00C72A9B" w:rsidRDefault="004A0E59" w:rsidP="00E552A3">
            <w:pPr>
              <w:suppressAutoHyphens/>
              <w:spacing w:line="240" w:lineRule="auto"/>
              <w:rPr>
                <w:rFonts w:eastAsia="SimSun"/>
                <w:szCs w:val="24"/>
              </w:rPr>
            </w:pPr>
            <w:r w:rsidRPr="00C72A9B">
              <w:t>Border, Midland i Western</w:t>
            </w:r>
          </w:p>
        </w:tc>
        <w:tc>
          <w:tcPr>
            <w:tcW w:w="2126" w:type="dxa"/>
          </w:tcPr>
          <w:p w14:paraId="1EB400AF" w14:textId="77777777" w:rsidR="004A0E59" w:rsidRPr="00C72A9B" w:rsidRDefault="004A0E59" w:rsidP="00E552A3">
            <w:pPr>
              <w:suppressAutoHyphens/>
              <w:spacing w:line="240" w:lineRule="auto"/>
              <w:jc w:val="center"/>
              <w:rPr>
                <w:rFonts w:eastAsia="SimSun"/>
                <w:szCs w:val="24"/>
              </w:rPr>
            </w:pPr>
            <w:r w:rsidRPr="00C72A9B">
              <w:t>88,6</w:t>
            </w:r>
          </w:p>
        </w:tc>
        <w:tc>
          <w:tcPr>
            <w:tcW w:w="2126" w:type="dxa"/>
            <w:shd w:val="clear" w:color="auto" w:fill="FFFF00"/>
          </w:tcPr>
          <w:p w14:paraId="7A8B06AC" w14:textId="77777777" w:rsidR="004A0E59" w:rsidRPr="00C72A9B" w:rsidRDefault="004A0E59" w:rsidP="00E552A3">
            <w:pPr>
              <w:suppressAutoHyphens/>
              <w:spacing w:line="240" w:lineRule="auto"/>
              <w:jc w:val="center"/>
              <w:rPr>
                <w:rFonts w:eastAsia="SimSun"/>
                <w:szCs w:val="24"/>
              </w:rPr>
            </w:pPr>
          </w:p>
        </w:tc>
      </w:tr>
      <w:tr w:rsidR="004A0E59" w:rsidRPr="00C72A9B" w14:paraId="7A82580A" w14:textId="77777777" w:rsidTr="00E552A3">
        <w:trPr>
          <w:jc w:val="center"/>
        </w:trPr>
        <w:tc>
          <w:tcPr>
            <w:tcW w:w="3792" w:type="dxa"/>
          </w:tcPr>
          <w:p w14:paraId="0DAFBBB1" w14:textId="77777777" w:rsidR="004A0E59" w:rsidRPr="00C72A9B" w:rsidRDefault="004A0E59" w:rsidP="00E552A3">
            <w:pPr>
              <w:suppressAutoHyphens/>
              <w:spacing w:line="240" w:lineRule="auto"/>
              <w:rPr>
                <w:rFonts w:eastAsia="SimSun"/>
                <w:szCs w:val="24"/>
              </w:rPr>
            </w:pPr>
            <w:r w:rsidRPr="00C72A9B">
              <w:t>Southern i Eastern</w:t>
            </w:r>
          </w:p>
        </w:tc>
        <w:tc>
          <w:tcPr>
            <w:tcW w:w="2126" w:type="dxa"/>
          </w:tcPr>
          <w:p w14:paraId="29C02A34" w14:textId="77777777" w:rsidR="004A0E59" w:rsidRPr="00C72A9B" w:rsidRDefault="004A0E59" w:rsidP="00E552A3">
            <w:pPr>
              <w:suppressAutoHyphens/>
              <w:spacing w:line="240" w:lineRule="auto"/>
              <w:jc w:val="center"/>
              <w:rPr>
                <w:rFonts w:eastAsia="SimSun"/>
                <w:szCs w:val="24"/>
              </w:rPr>
            </w:pPr>
            <w:r w:rsidRPr="00C72A9B">
              <w:t>142,0</w:t>
            </w:r>
          </w:p>
        </w:tc>
        <w:tc>
          <w:tcPr>
            <w:tcW w:w="2126" w:type="dxa"/>
            <w:shd w:val="clear" w:color="auto" w:fill="FFFF00"/>
          </w:tcPr>
          <w:p w14:paraId="4C1FC982" w14:textId="77777777" w:rsidR="004A0E59" w:rsidRPr="00C72A9B" w:rsidRDefault="004A0E59" w:rsidP="00E552A3">
            <w:pPr>
              <w:suppressAutoHyphens/>
              <w:spacing w:line="240" w:lineRule="auto"/>
              <w:jc w:val="center"/>
              <w:rPr>
                <w:rFonts w:eastAsia="SimSun"/>
                <w:szCs w:val="24"/>
              </w:rPr>
            </w:pPr>
          </w:p>
        </w:tc>
      </w:tr>
    </w:tbl>
    <w:p w14:paraId="75787356" w14:textId="77777777" w:rsidR="004A0E59" w:rsidRPr="00C72A9B" w:rsidRDefault="004A0E59" w:rsidP="0046504D">
      <w:pPr>
        <w:suppressAutoHyphens/>
        <w:jc w:val="right"/>
        <w:rPr>
          <w:rFonts w:eastAsia="SimSun"/>
          <w:b/>
          <w:szCs w:val="24"/>
        </w:rPr>
      </w:pPr>
    </w:p>
    <w:p w14:paraId="28EDA640" w14:textId="77777777" w:rsidR="004A0E59" w:rsidRPr="00C72A9B" w:rsidRDefault="004A0E59" w:rsidP="0046504D">
      <w:pPr>
        <w:suppressAutoHyphens/>
        <w:jc w:val="left"/>
        <w:rPr>
          <w:szCs w:val="24"/>
        </w:rPr>
      </w:pPr>
      <w:r w:rsidRPr="00C72A9B">
        <w:rPr>
          <w:b/>
          <w:sz w:val="18"/>
          <w:szCs w:val="24"/>
        </w:rPr>
        <w:t>Źródło: Eurostat PKB na mieszkańca, 2009, 2017</w:t>
      </w:r>
    </w:p>
    <w:p w14:paraId="34EF4060" w14:textId="4B53E7CA" w:rsidR="004A0E59" w:rsidRPr="00C72A9B" w:rsidRDefault="004A0E59" w:rsidP="00E552A3">
      <w:pPr>
        <w:suppressAutoHyphens/>
        <w:jc w:val="center"/>
      </w:pPr>
    </w:p>
    <w:p w14:paraId="59857E5C" w14:textId="77777777" w:rsidR="004A0E59" w:rsidRPr="00C72A9B" w:rsidRDefault="004A0E59" w:rsidP="0046504D">
      <w:pPr>
        <w:suppressAutoHyphens/>
      </w:pPr>
      <w:r w:rsidRPr="00C72A9B">
        <w:br w:type="page"/>
      </w:r>
    </w:p>
    <w:p w14:paraId="464CAD27" w14:textId="77777777" w:rsidR="004A0E59" w:rsidRPr="00C72A9B" w:rsidRDefault="004A0E59" w:rsidP="0046504D">
      <w:pPr>
        <w:pStyle w:val="ListParagraph"/>
        <w:suppressAutoHyphens/>
        <w:spacing w:before="0" w:line="288" w:lineRule="auto"/>
        <w:ind w:left="0"/>
        <w:contextualSpacing w:val="0"/>
        <w:jc w:val="center"/>
        <w:rPr>
          <w:u w:val="single"/>
        </w:rPr>
      </w:pPr>
      <w:r w:rsidRPr="00C72A9B">
        <w:rPr>
          <w:u w:val="single"/>
        </w:rPr>
        <w:t>ZAŁĄCZNIK III</w:t>
      </w:r>
    </w:p>
    <w:p w14:paraId="069B87B7" w14:textId="77777777" w:rsidR="004A0E59" w:rsidRPr="00C72A9B" w:rsidRDefault="004A0E59" w:rsidP="0046504D">
      <w:pPr>
        <w:pStyle w:val="ListParagraph"/>
        <w:suppressAutoHyphens/>
        <w:spacing w:before="0" w:line="288" w:lineRule="auto"/>
        <w:ind w:left="0"/>
        <w:contextualSpacing w:val="0"/>
        <w:jc w:val="center"/>
      </w:pPr>
      <w:r w:rsidRPr="00C72A9B">
        <w:t>PLAN DZIAŁANIA 2.0 – FILARY TEMATYCZNE</w:t>
      </w:r>
      <w:r w:rsidRPr="00E552A3">
        <w:rPr>
          <w:rStyle w:val="FootnoteReference"/>
          <w:rFonts w:ascii="Times New Roman" w:hAnsi="Times New Roman" w:cs="Times New Roman"/>
        </w:rPr>
        <w:footnoteReference w:id="20"/>
      </w:r>
    </w:p>
    <w:p w14:paraId="17B22317" w14:textId="77777777" w:rsidR="004A0E59" w:rsidRPr="00C72A9B" w:rsidRDefault="004A0E59" w:rsidP="0046504D">
      <w:pPr>
        <w:suppressAutoHyphens/>
      </w:pPr>
      <w:bookmarkStart w:id="4" w:name="_Toc9353529"/>
    </w:p>
    <w:p w14:paraId="27F8F842" w14:textId="77777777" w:rsidR="004A0E59" w:rsidRPr="00C72A9B" w:rsidRDefault="004A0E59" w:rsidP="0046504D">
      <w:pPr>
        <w:suppressAutoHyphens/>
      </w:pPr>
    </w:p>
    <w:tbl>
      <w:tblPr>
        <w:tblStyle w:val="TableGrid"/>
        <w:tblW w:w="5000" w:type="pct"/>
        <w:jc w:val="center"/>
        <w:shd w:val="clear" w:color="auto" w:fill="FFFFCC"/>
        <w:tblLook w:val="04A0" w:firstRow="1" w:lastRow="0" w:firstColumn="1" w:lastColumn="0" w:noHBand="0" w:noVBand="1"/>
      </w:tblPr>
      <w:tblGrid>
        <w:gridCol w:w="2235"/>
        <w:gridCol w:w="2410"/>
        <w:gridCol w:w="2322"/>
        <w:gridCol w:w="2322"/>
      </w:tblGrid>
      <w:tr w:rsidR="004A0E59" w:rsidRPr="00C72A9B" w14:paraId="50E679F4" w14:textId="77777777" w:rsidTr="00DB679F">
        <w:trPr>
          <w:jc w:val="center"/>
        </w:trPr>
        <w:tc>
          <w:tcPr>
            <w:tcW w:w="1203" w:type="pct"/>
            <w:shd w:val="clear" w:color="auto" w:fill="FDE9D9" w:themeFill="accent6" w:themeFillTint="33"/>
            <w:vAlign w:val="center"/>
          </w:tcPr>
          <w:p w14:paraId="1558B9B8" w14:textId="77777777" w:rsidR="004A0E59" w:rsidRPr="00C72A9B" w:rsidRDefault="004A0E59" w:rsidP="0046504D">
            <w:pPr>
              <w:suppressAutoHyphens/>
              <w:jc w:val="center"/>
            </w:pPr>
            <w:r w:rsidRPr="00C72A9B">
              <w:t>FILAR I</w:t>
            </w:r>
          </w:p>
        </w:tc>
        <w:tc>
          <w:tcPr>
            <w:tcW w:w="1297" w:type="pct"/>
            <w:shd w:val="clear" w:color="auto" w:fill="E5DFEC" w:themeFill="accent4" w:themeFillTint="33"/>
            <w:vAlign w:val="center"/>
          </w:tcPr>
          <w:p w14:paraId="07D99519" w14:textId="77777777" w:rsidR="004A0E59" w:rsidRPr="00C72A9B" w:rsidRDefault="004A0E59" w:rsidP="0046504D">
            <w:pPr>
              <w:suppressAutoHyphens/>
              <w:jc w:val="center"/>
            </w:pPr>
            <w:r w:rsidRPr="00C72A9B">
              <w:t>FILAR II</w:t>
            </w:r>
          </w:p>
        </w:tc>
        <w:tc>
          <w:tcPr>
            <w:tcW w:w="1250" w:type="pct"/>
            <w:shd w:val="clear" w:color="auto" w:fill="EEECE1" w:themeFill="background2"/>
            <w:vAlign w:val="center"/>
          </w:tcPr>
          <w:p w14:paraId="41399DF9" w14:textId="77777777" w:rsidR="004A0E59" w:rsidRPr="00C72A9B" w:rsidRDefault="004A0E59" w:rsidP="0046504D">
            <w:pPr>
              <w:suppressAutoHyphens/>
              <w:jc w:val="center"/>
            </w:pPr>
            <w:r w:rsidRPr="00C72A9B">
              <w:t>FILAR III</w:t>
            </w:r>
          </w:p>
        </w:tc>
        <w:tc>
          <w:tcPr>
            <w:tcW w:w="1250" w:type="pct"/>
            <w:shd w:val="clear" w:color="auto" w:fill="DAEEF3" w:themeFill="accent5" w:themeFillTint="33"/>
            <w:vAlign w:val="center"/>
          </w:tcPr>
          <w:p w14:paraId="5A6E34A5" w14:textId="77777777" w:rsidR="004A0E59" w:rsidRPr="00C72A9B" w:rsidRDefault="004A0E59" w:rsidP="0046504D">
            <w:pPr>
              <w:suppressAutoHyphens/>
              <w:jc w:val="center"/>
            </w:pPr>
            <w:r w:rsidRPr="00C72A9B">
              <w:t>FILAR IV</w:t>
            </w:r>
          </w:p>
        </w:tc>
      </w:tr>
      <w:bookmarkEnd w:id="4"/>
    </w:tbl>
    <w:p w14:paraId="34E16194" w14:textId="77777777" w:rsidR="004A0E59" w:rsidRPr="00C72A9B" w:rsidRDefault="004A0E59" w:rsidP="0046504D">
      <w:pPr>
        <w:suppressAutoHyphens/>
      </w:pPr>
    </w:p>
    <w:tbl>
      <w:tblPr>
        <w:tblStyle w:val="TableGrid"/>
        <w:tblW w:w="5000" w:type="pct"/>
        <w:tblLook w:val="04A0" w:firstRow="1" w:lastRow="0" w:firstColumn="1" w:lastColumn="0" w:noHBand="0" w:noVBand="1"/>
      </w:tblPr>
      <w:tblGrid>
        <w:gridCol w:w="2241"/>
        <w:gridCol w:w="2350"/>
        <w:gridCol w:w="2350"/>
        <w:gridCol w:w="2348"/>
      </w:tblGrid>
      <w:tr w:rsidR="004A0E59" w:rsidRPr="00C72A9B" w14:paraId="5FE8FF41" w14:textId="77777777" w:rsidTr="00DB679F">
        <w:trPr>
          <w:trHeight w:val="2697"/>
        </w:trPr>
        <w:tc>
          <w:tcPr>
            <w:tcW w:w="1206" w:type="pct"/>
            <w:shd w:val="clear" w:color="auto" w:fill="FDE9D9" w:themeFill="accent6" w:themeFillTint="33"/>
          </w:tcPr>
          <w:p w14:paraId="45693FBC" w14:textId="40043518" w:rsidR="004A0E59" w:rsidRPr="00C72A9B" w:rsidRDefault="00DB679F" w:rsidP="0046504D">
            <w:pPr>
              <w:suppressAutoHyphens/>
              <w:jc w:val="center"/>
              <w:rPr>
                <w:b/>
              </w:rPr>
            </w:pPr>
            <w:r>
              <w:rPr>
                <w:b/>
              </w:rPr>
              <w:t>Porty jako bramy i </w:t>
            </w:r>
            <w:r w:rsidR="004A0E59" w:rsidRPr="00C72A9B">
              <w:rPr>
                <w:b/>
              </w:rPr>
              <w:t>centra niebieskiej gospodarki</w:t>
            </w:r>
          </w:p>
        </w:tc>
        <w:tc>
          <w:tcPr>
            <w:tcW w:w="1265" w:type="pct"/>
            <w:shd w:val="clear" w:color="auto" w:fill="E5DFEC" w:themeFill="accent4" w:themeFillTint="33"/>
          </w:tcPr>
          <w:p w14:paraId="3275F238" w14:textId="0C508AD1" w:rsidR="004A0E59" w:rsidRDefault="00DB679F" w:rsidP="0046504D">
            <w:pPr>
              <w:suppressAutoHyphens/>
              <w:jc w:val="center"/>
              <w:rPr>
                <w:b/>
              </w:rPr>
            </w:pPr>
            <w:r w:rsidRPr="00C72A9B">
              <w:rPr>
                <w:b/>
              </w:rPr>
              <mc:AlternateContent>
                <mc:Choice Requires="wps">
                  <w:drawing>
                    <wp:anchor distT="0" distB="0" distL="114300" distR="114300" simplePos="0" relativeHeight="251658752" behindDoc="0" locked="0" layoutInCell="1" allowOverlap="1" wp14:anchorId="2D8E3AC3" wp14:editId="6420AB3A">
                      <wp:simplePos x="0" y="0"/>
                      <wp:positionH relativeFrom="column">
                        <wp:posOffset>-1310005</wp:posOffset>
                      </wp:positionH>
                      <wp:positionV relativeFrom="paragraph">
                        <wp:posOffset>1514420</wp:posOffset>
                      </wp:positionV>
                      <wp:extent cx="5523865" cy="694690"/>
                      <wp:effectExtent l="19050" t="19050" r="38735" b="29210"/>
                      <wp:wrapNone/>
                      <wp:docPr id="4" name="Left-Right Arrow 1"/>
                      <wp:cNvGraphicFramePr/>
                      <a:graphic xmlns:a="http://schemas.openxmlformats.org/drawingml/2006/main">
                        <a:graphicData uri="http://schemas.microsoft.com/office/word/2010/wordprocessingShape">
                          <wps:wsp>
                            <wps:cNvSpPr/>
                            <wps:spPr>
                              <a:xfrm>
                                <a:off x="0" y="0"/>
                                <a:ext cx="5523865" cy="694690"/>
                              </a:xfrm>
                              <a:prstGeom prst="leftRightArrow">
                                <a:avLst/>
                              </a:prstGeom>
                            </wps:spPr>
                            <wps:style>
                              <a:lnRef idx="2">
                                <a:schemeClr val="accent3">
                                  <a:shade val="50000"/>
                                </a:schemeClr>
                              </a:lnRef>
                              <a:fillRef idx="1">
                                <a:schemeClr val="accent3"/>
                              </a:fillRef>
                              <a:effectRef idx="0">
                                <a:schemeClr val="accent3"/>
                              </a:effectRef>
                              <a:fontRef idx="minor">
                                <a:schemeClr val="lt1"/>
                              </a:fontRef>
                            </wps:style>
                            <wps:txbx>
                              <w:txbxContent>
                                <w:p w14:paraId="30465A15" w14:textId="77777777" w:rsidR="00E552A3" w:rsidRPr="00E4328B" w:rsidRDefault="00E552A3" w:rsidP="004A0E59">
                                  <w:pPr>
                                    <w:jc w:val="center"/>
                                    <w:rPr>
                                      <w:rFonts w:asciiTheme="minorHAnsi" w:hAnsiTheme="minorHAnsi" w:cstheme="minorHAnsi"/>
                                      <w:b/>
                                      <w:color w:val="000000" w:themeColor="text1"/>
                                    </w:rPr>
                                  </w:pPr>
                                  <w:r w:rsidRPr="00E4328B">
                                    <w:rPr>
                                      <w:rFonts w:asciiTheme="minorHAnsi" w:hAnsiTheme="minorHAnsi" w:cstheme="minorHAnsi"/>
                                      <w:b/>
                                      <w:color w:val="000000" w:themeColor="text1"/>
                                    </w:rPr>
                                    <w:t>Badania, rozwój i innowacje – wymiar międzynarodowy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8E3AC3"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Left-Right Arrow 1" o:spid="_x0000_s1027" type="#_x0000_t69" style="position:absolute;left:0;text-align:left;margin-left:-103.15pt;margin-top:119.25pt;width:434.95pt;height:54.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YmahgIAAFwFAAAOAAAAZHJzL2Uyb0RvYy54bWysVFFPGzEMfp+0/xDlHa4tbQcVV1SBmCZV&#10;gICJ5zSX9E7KJZnj9q779XNy1wMxtEnT+pDGZ/uz/dnO5VVbG7ZXECpncz4+HXGmrHRFZbc5//58&#10;e3LOWUBhC2GcVTk/qMCvlp8/XTZ+oSaudKZQwAjEhkXjc14i+kWWBVmqWoRT55UlpXZQCyQRtlkB&#10;oiH02mST0WieNQ4KD06qEOjrTafky4SvtZJ4r3VQyEzOKTdMJ6RzE89seSkWWxC+rGSfhviHLGpR&#10;WQo6QN0IFGwH1W9QdSXBBafxVLo6c1pXUqUaqJrx6F01T6XwKtVC5AQ/0BT+H6y82z8Aq4qcTzmz&#10;oqYWrZXGk8dqWyJbAbiGjSNLjQ8LMn7yD9BLga6x5FZDHf+pGNYmZg8Ds6pFJunjbDY5O5/POJOk&#10;m19M5xeJ+uzV20PAr8rVLF5ybiiJlENKIVEr9uuAFJucjsYkxLy6TNIND0bFZIx9VJrqotiT5J0m&#10;Sl0bYHtBsyCkVBbPOlUpCtV9no3oF8ulIINHkhJgRNaVMQP2+E/YHUxvH11VGsjBefR358EjRXYW&#10;B+e6sg4+AjCY+kUF6M7+SFJHTWQJ202bej50duOKA80BuG5Bgpe3FfVhLQI+CKCNoN2hLcd7OrRx&#10;Tc5df+OsdPDzo+/RngaVtJw1tGE5Dz92AhRn5pulEb4YT6dxJZMwnX2ZkABvNZu3Grurrx01bkzv&#10;iZfpGu3RHK8aXP1Cj8EqRiWVsJJi51wiHIVr7DafnhOpVqtkRmvoBa7tk5cRPPIcp+u5fRHg+2FE&#10;GuM7d9xGsXg3iZ1t9LRutUOnqzSmkemO174DtMJplPrnJr4Rb+Vk9fooLn8BAAD//wMAUEsDBBQA&#10;BgAIAAAAIQAFwnkx4QAAAAwBAAAPAAAAZHJzL2Rvd25yZXYueG1sTI+xTsMwFEV3JP7BekhsrU1c&#10;3BDiVKgSE2IggSGbG5skIn6OYqdJ/x4z0fHpHt17Xn5Y7UDOZvK9QwkPWwbEYON0j62Ez+p1kwLx&#10;QaFWg0Mj4WI8HIrbm1xl2i34Yc5laEksQZ8pCV0IY0apbzpjld+60WDMvt1kVYjn1FI9qSWW24Em&#10;jAlqVY9xoVOjOXam+SlnK+E9YXte7Zaq/mrSuS7Z8Q3ri5T3d+vLM5Bg1vAPw59+VIciOp3cjNqT&#10;QcImYYJHVkLC00cgERGCCyAnCXy3fwJa5PT6ieIXAAD//wMAUEsBAi0AFAAGAAgAAAAhALaDOJL+&#10;AAAA4QEAABMAAAAAAAAAAAAAAAAAAAAAAFtDb250ZW50X1R5cGVzXS54bWxQSwECLQAUAAYACAAA&#10;ACEAOP0h/9YAAACUAQAACwAAAAAAAAAAAAAAAAAvAQAAX3JlbHMvLnJlbHNQSwECLQAUAAYACAAA&#10;ACEA4uWJmoYCAABcBQAADgAAAAAAAAAAAAAAAAAuAgAAZHJzL2Uyb0RvYy54bWxQSwECLQAUAAYA&#10;CAAAACEABcJ5MeEAAAAMAQAADwAAAAAAAAAAAAAAAADgBAAAZHJzL2Rvd25yZXYueG1sUEsFBgAA&#10;AAAEAAQA8wAAAO4FAAAAAA==&#10;" adj="1358" fillcolor="#9bbb59 [3206]" strokecolor="#4e6128 [1606]" strokeweight="2pt">
                      <v:textbox>
                        <w:txbxContent>
                          <w:p w14:paraId="30465A15" w14:textId="77777777" w:rsidR="00E552A3" w:rsidRPr="00E4328B" w:rsidRDefault="00E552A3" w:rsidP="004A0E59">
                            <w:pPr>
                              <w:jc w:val="center"/>
                              <w:rPr>
                                <w:rFonts w:asciiTheme="minorHAnsi" w:hAnsiTheme="minorHAnsi" w:cstheme="minorHAnsi"/>
                                <w:b/>
                                <w:color w:val="000000" w:themeColor="text1"/>
                              </w:rPr>
                            </w:pPr>
                            <w:r w:rsidRPr="00E4328B">
                              <w:rPr>
                                <w:rFonts w:asciiTheme="minorHAnsi" w:hAnsiTheme="minorHAnsi" w:cstheme="minorHAnsi"/>
                                <w:b/>
                                <w:color w:val="000000" w:themeColor="text1"/>
                              </w:rPr>
                              <w:t>Badania, rozwój i innowacje – wymiar międzynarodowy</w:t>
                            </w:r>
                          </w:p>
                        </w:txbxContent>
                      </v:textbox>
                    </v:shape>
                  </w:pict>
                </mc:Fallback>
              </mc:AlternateContent>
            </w:r>
            <w:r w:rsidR="004A0E59" w:rsidRPr="00C72A9B">
              <w:rPr>
                <w:b/>
              </w:rPr>
              <w:t>Na unijnym obszarze Oceanu Atlantyckiego propaguje się przyszłościowe „niebieskie” umiejętności oraz wiedzę na temat oceanów</w:t>
            </w:r>
          </w:p>
          <w:p w14:paraId="462039B9" w14:textId="77777777" w:rsidR="00DB679F" w:rsidRDefault="00DB679F" w:rsidP="0046504D">
            <w:pPr>
              <w:suppressAutoHyphens/>
              <w:jc w:val="center"/>
              <w:rPr>
                <w:b/>
              </w:rPr>
            </w:pPr>
          </w:p>
          <w:p w14:paraId="299B835C" w14:textId="77777777" w:rsidR="00DB679F" w:rsidRDefault="00DB679F" w:rsidP="0046504D">
            <w:pPr>
              <w:suppressAutoHyphens/>
              <w:jc w:val="center"/>
              <w:rPr>
                <w:b/>
              </w:rPr>
            </w:pPr>
          </w:p>
          <w:p w14:paraId="71BEE862" w14:textId="6C2D86DB" w:rsidR="00DB679F" w:rsidRPr="00C72A9B" w:rsidRDefault="00DB679F" w:rsidP="0046504D">
            <w:pPr>
              <w:suppressAutoHyphens/>
              <w:jc w:val="center"/>
              <w:rPr>
                <w:b/>
              </w:rPr>
            </w:pPr>
          </w:p>
        </w:tc>
        <w:tc>
          <w:tcPr>
            <w:tcW w:w="1265" w:type="pct"/>
            <w:shd w:val="clear" w:color="auto" w:fill="EAF1DD" w:themeFill="accent3" w:themeFillTint="33"/>
          </w:tcPr>
          <w:p w14:paraId="43E5F6AE" w14:textId="4C7DAC87" w:rsidR="004A0E59" w:rsidRPr="00C72A9B" w:rsidRDefault="004A0E59" w:rsidP="0046504D">
            <w:pPr>
              <w:suppressAutoHyphens/>
              <w:jc w:val="center"/>
              <w:rPr>
                <w:b/>
              </w:rPr>
            </w:pPr>
            <w:r w:rsidRPr="00C72A9B">
              <w:rPr>
                <w:b/>
              </w:rPr>
              <w:t>Na unijnym obszarze Oceanu Atlantyckiego wykorzystuje się energię z morskich źródeł odnawialnych</w:t>
            </w:r>
          </w:p>
        </w:tc>
        <w:tc>
          <w:tcPr>
            <w:tcW w:w="1265" w:type="pct"/>
            <w:shd w:val="clear" w:color="auto" w:fill="DAEEF3" w:themeFill="accent5" w:themeFillTint="33"/>
          </w:tcPr>
          <w:p w14:paraId="68354D72" w14:textId="77777777" w:rsidR="004A0E59" w:rsidRPr="00C72A9B" w:rsidRDefault="004A0E59" w:rsidP="0046504D">
            <w:pPr>
              <w:suppressAutoHyphens/>
              <w:jc w:val="center"/>
              <w:rPr>
                <w:b/>
              </w:rPr>
            </w:pPr>
            <w:r w:rsidRPr="00C72A9B">
              <w:rPr>
                <w:b/>
              </w:rPr>
              <w:t>Unijny obszar Oceanu Atlantyckiego jest zdrowy, a jego wybrzeża odporne</w:t>
            </w:r>
          </w:p>
        </w:tc>
      </w:tr>
    </w:tbl>
    <w:p w14:paraId="631AE157" w14:textId="77777777" w:rsidR="004A0E59" w:rsidRPr="00C72A9B" w:rsidRDefault="004A0E59" w:rsidP="0046504D">
      <w:pPr>
        <w:suppressAutoHyphens/>
      </w:pPr>
      <w:r w:rsidRPr="00C72A9B">
        <w:br w:type="page"/>
      </w:r>
    </w:p>
    <w:p w14:paraId="1943BB1F" w14:textId="77777777" w:rsidR="004A0E59" w:rsidRPr="00C72A9B" w:rsidRDefault="004A0E59" w:rsidP="0046504D">
      <w:pPr>
        <w:pStyle w:val="ListParagraph"/>
        <w:suppressAutoHyphens/>
        <w:spacing w:before="0" w:line="288" w:lineRule="auto"/>
        <w:ind w:left="0"/>
        <w:contextualSpacing w:val="0"/>
        <w:jc w:val="center"/>
        <w:rPr>
          <w:u w:val="single"/>
        </w:rPr>
      </w:pPr>
      <w:r w:rsidRPr="00C72A9B">
        <w:rPr>
          <w:u w:val="single"/>
        </w:rPr>
        <w:lastRenderedPageBreak/>
        <w:t>ZAŁĄCZNIK IV</w:t>
      </w:r>
    </w:p>
    <w:p w14:paraId="566E590B" w14:textId="77777777" w:rsidR="004A0E59" w:rsidRPr="00C72A9B" w:rsidRDefault="004A0E59" w:rsidP="0046504D">
      <w:pPr>
        <w:pStyle w:val="ListParagraph"/>
        <w:suppressAutoHyphens/>
        <w:spacing w:before="0" w:line="288" w:lineRule="auto"/>
        <w:ind w:left="0"/>
        <w:contextualSpacing w:val="0"/>
        <w:jc w:val="center"/>
      </w:pPr>
      <w:r w:rsidRPr="00C72A9B">
        <w:t>PLAN DZIAŁANIA 2.0 – CELE I DZIAŁANIA</w:t>
      </w:r>
    </w:p>
    <w:p w14:paraId="625AF175" w14:textId="77777777" w:rsidR="004A0E59" w:rsidRPr="00C72A9B" w:rsidRDefault="004A0E59" w:rsidP="0046504D">
      <w:pPr>
        <w:suppressAutoHyphens/>
      </w:pPr>
    </w:p>
    <w:p w14:paraId="55EDF603" w14:textId="55A338C1" w:rsidR="004A0E59" w:rsidRDefault="004A0E59" w:rsidP="0046504D">
      <w:pPr>
        <w:pStyle w:val="Heading2"/>
        <w:numPr>
          <w:ilvl w:val="0"/>
          <w:numId w:val="0"/>
        </w:numPr>
        <w:suppressAutoHyphens/>
        <w:ind w:left="1418" w:hanging="1418"/>
      </w:pPr>
      <w:bookmarkStart w:id="5" w:name="_Toc11999448"/>
      <w:bookmarkStart w:id="6" w:name="_Toc44351603"/>
      <w:r w:rsidRPr="00C72A9B">
        <w:t xml:space="preserve">FILAR I: </w:t>
      </w:r>
      <w:r w:rsidRPr="00C72A9B">
        <w:tab/>
        <w:t>PORTY JAKO BRAMY I OŚRODKI NIEBIESKIEJ GOSPODARKI</w:t>
      </w:r>
      <w:bookmarkEnd w:id="5"/>
      <w:bookmarkEnd w:id="6"/>
    </w:p>
    <w:p w14:paraId="71C51914" w14:textId="77777777" w:rsidR="006A0A2B" w:rsidRPr="006A0A2B" w:rsidRDefault="006A0A2B" w:rsidP="006A0A2B"/>
    <w:p w14:paraId="2503A922" w14:textId="4057E4A8" w:rsidR="004A0E59" w:rsidRDefault="004A0E59" w:rsidP="0046504D">
      <w:pPr>
        <w:suppressAutoHyphens/>
      </w:pPr>
      <w:r w:rsidRPr="00C72A9B">
        <w:t xml:space="preserve">Filar obejmuje </w:t>
      </w:r>
      <w:r w:rsidRPr="00C72A9B">
        <w:rPr>
          <w:b/>
        </w:rPr>
        <w:t>dwa cele szczegółowe</w:t>
      </w:r>
      <w:r w:rsidRPr="00C72A9B">
        <w:t xml:space="preserve"> i zestaw działań:</w:t>
      </w:r>
      <w:bookmarkStart w:id="7" w:name="_Toc536461712"/>
      <w:bookmarkStart w:id="8" w:name="_Toc9353532"/>
      <w:bookmarkStart w:id="9" w:name="_Toc11999449"/>
      <w:bookmarkStart w:id="10" w:name="_Toc44351604"/>
      <w:bookmarkStart w:id="11" w:name="_Toc536461711"/>
      <w:bookmarkStart w:id="12" w:name="_Toc9353531"/>
    </w:p>
    <w:p w14:paraId="06EBE12B" w14:textId="77777777" w:rsidR="006A0A2B" w:rsidRPr="00C72A9B" w:rsidRDefault="006A0A2B" w:rsidP="0046504D">
      <w:pPr>
        <w:suppressAutoHyphens/>
      </w:pPr>
    </w:p>
    <w:p w14:paraId="187C413D" w14:textId="4945FA72" w:rsidR="004A0E59" w:rsidRDefault="004A0E59" w:rsidP="0046504D">
      <w:pPr>
        <w:suppressAutoHyphens/>
      </w:pPr>
      <w:r w:rsidRPr="00C72A9B">
        <w:t xml:space="preserve">Cel 1: </w:t>
      </w:r>
      <w:r w:rsidRPr="00C72A9B">
        <w:tab/>
        <w:t>Porty jako bramy dla handlu w obrębie Atlantyku</w:t>
      </w:r>
      <w:bookmarkEnd w:id="7"/>
      <w:bookmarkEnd w:id="8"/>
      <w:bookmarkEnd w:id="9"/>
      <w:bookmarkEnd w:id="10"/>
    </w:p>
    <w:p w14:paraId="1CA5BAF6" w14:textId="77777777" w:rsidR="006A0A2B" w:rsidRPr="00C72A9B" w:rsidRDefault="006A0A2B" w:rsidP="0046504D">
      <w:pPr>
        <w:suppressAutoHyphens/>
      </w:pPr>
    </w:p>
    <w:tbl>
      <w:tblPr>
        <w:tblStyle w:val="GridTable4-Accent51"/>
        <w:tblW w:w="0" w:type="auto"/>
        <w:tblInd w:w="108" w:type="dxa"/>
        <w:tblLook w:val="04A0" w:firstRow="1" w:lastRow="0" w:firstColumn="1" w:lastColumn="0" w:noHBand="0" w:noVBand="1"/>
      </w:tblPr>
      <w:tblGrid>
        <w:gridCol w:w="9072"/>
      </w:tblGrid>
      <w:tr w:rsidR="004A0E59" w:rsidRPr="00C72A9B" w14:paraId="27CBFD62" w14:textId="77777777" w:rsidTr="00D55D54">
        <w:trPr>
          <w:cnfStyle w:val="100000000000" w:firstRow="1" w:lastRow="0" w:firstColumn="0" w:lastColumn="0" w:oddVBand="0" w:evenVBand="0" w:oddHBand="0"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9072" w:type="dxa"/>
            <w:tcBorders>
              <w:top w:val="none" w:sz="0" w:space="0" w:color="auto"/>
              <w:left w:val="none" w:sz="0" w:space="0" w:color="auto"/>
              <w:bottom w:val="none" w:sz="0" w:space="0" w:color="auto"/>
              <w:right w:val="none" w:sz="0" w:space="0" w:color="auto"/>
            </w:tcBorders>
          </w:tcPr>
          <w:p w14:paraId="71DF8A5D" w14:textId="77777777" w:rsidR="004A0E59" w:rsidRPr="00C72A9B" w:rsidRDefault="004A0E59" w:rsidP="0046504D">
            <w:pPr>
              <w:suppressAutoHyphens/>
            </w:pPr>
            <w:r w:rsidRPr="00C72A9B">
              <w:t>Działania</w:t>
            </w:r>
          </w:p>
        </w:tc>
      </w:tr>
      <w:tr w:rsidR="004A0E59" w:rsidRPr="00C72A9B" w14:paraId="78E3F84E" w14:textId="77777777" w:rsidTr="00D55D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57C46C25" w14:textId="77777777" w:rsidR="004A0E59" w:rsidRPr="00C72A9B" w:rsidRDefault="004A0E59" w:rsidP="006A0A2B">
            <w:pPr>
              <w:numPr>
                <w:ilvl w:val="0"/>
                <w:numId w:val="156"/>
              </w:numPr>
              <w:suppressAutoHyphens/>
              <w:overflowPunct/>
              <w:textAlignment w:val="auto"/>
              <w:rPr>
                <w:b w:val="0"/>
              </w:rPr>
            </w:pPr>
            <w:r w:rsidRPr="00C72A9B">
              <w:t>Rozwój autostrad morskich TEN-T na Atlantyku</w:t>
            </w:r>
          </w:p>
          <w:p w14:paraId="2575B597" w14:textId="33050CD8" w:rsidR="004A0E59" w:rsidRPr="00C72A9B" w:rsidRDefault="006A0A2B" w:rsidP="006A0A2B">
            <w:pPr>
              <w:numPr>
                <w:ilvl w:val="0"/>
                <w:numId w:val="156"/>
              </w:numPr>
              <w:suppressAutoHyphens/>
              <w:overflowPunct/>
              <w:textAlignment w:val="auto"/>
              <w:rPr>
                <w:b w:val="0"/>
              </w:rPr>
            </w:pPr>
            <w:r>
              <w:t>Utworzenie do 2025 </w:t>
            </w:r>
            <w:r w:rsidR="004A0E59" w:rsidRPr="00C72A9B">
              <w:t>r. sieci zielonych portów</w:t>
            </w:r>
          </w:p>
          <w:p w14:paraId="2FC415C8" w14:textId="77777777" w:rsidR="004A0E59" w:rsidRPr="00C72A9B" w:rsidRDefault="004A0E59" w:rsidP="006A0A2B">
            <w:pPr>
              <w:numPr>
                <w:ilvl w:val="0"/>
                <w:numId w:val="156"/>
              </w:numPr>
              <w:suppressAutoHyphens/>
              <w:overflowPunct/>
              <w:textAlignment w:val="auto"/>
              <w:rPr>
                <w:b w:val="0"/>
              </w:rPr>
            </w:pPr>
            <w:r w:rsidRPr="00C72A9B">
              <w:t>Promowanie połączeń żeglugi morskiej bliskiego zasięgu na obszarze Oceanu Atlantyckiego w celu lepszego włączenia Irlandii</w:t>
            </w:r>
          </w:p>
          <w:p w14:paraId="10846EC7" w14:textId="77777777" w:rsidR="004A0E59" w:rsidRPr="00C72A9B" w:rsidRDefault="004A0E59" w:rsidP="006A0A2B">
            <w:pPr>
              <w:numPr>
                <w:ilvl w:val="0"/>
                <w:numId w:val="156"/>
              </w:numPr>
              <w:suppressAutoHyphens/>
              <w:overflowPunct/>
              <w:textAlignment w:val="auto"/>
              <w:rPr>
                <w:b w:val="0"/>
              </w:rPr>
            </w:pPr>
            <w:r w:rsidRPr="00C72A9B">
              <w:t>Zainicjowanie strategii na rzecz Atlantyku dotyczącej skroplonego gazu ziemnego</w:t>
            </w:r>
          </w:p>
          <w:p w14:paraId="439A88F5" w14:textId="77777777" w:rsidR="004A0E59" w:rsidRPr="00C72A9B" w:rsidRDefault="004A0E59" w:rsidP="006A0A2B">
            <w:pPr>
              <w:numPr>
                <w:ilvl w:val="0"/>
                <w:numId w:val="156"/>
              </w:numPr>
              <w:suppressAutoHyphens/>
              <w:overflowPunct/>
              <w:textAlignment w:val="auto"/>
              <w:rPr>
                <w:b w:val="0"/>
              </w:rPr>
            </w:pPr>
            <w:r w:rsidRPr="00C72A9B">
              <w:t>Opracowanie programów zachęt ekologicznych na rzecz modernizacji infrastruktury portowej</w:t>
            </w:r>
          </w:p>
          <w:p w14:paraId="1A84EF7B" w14:textId="5E740DF1" w:rsidR="004A0E59" w:rsidRPr="00C72A9B" w:rsidRDefault="004A0E59" w:rsidP="006A0A2B">
            <w:pPr>
              <w:numPr>
                <w:ilvl w:val="0"/>
                <w:numId w:val="156"/>
              </w:numPr>
              <w:suppressAutoHyphens/>
              <w:overflowPunct/>
              <w:textAlignment w:val="auto"/>
              <w:rPr>
                <w:b w:val="0"/>
              </w:rPr>
            </w:pPr>
            <w:r w:rsidRPr="00C72A9B">
              <w:t>Wspólne opracowywanie planów gospodarki odpa</w:t>
            </w:r>
            <w:r w:rsidR="006A0A2B">
              <w:t>dami i przeładunku dla portów w </w:t>
            </w:r>
            <w:r w:rsidRPr="00C72A9B">
              <w:t>obszarze Oceanu Atlantyckiego</w:t>
            </w:r>
          </w:p>
        </w:tc>
      </w:tr>
    </w:tbl>
    <w:p w14:paraId="7D6E4D53" w14:textId="77777777" w:rsidR="006A0A2B" w:rsidRDefault="006A0A2B" w:rsidP="0046504D">
      <w:pPr>
        <w:pStyle w:val="Heading3"/>
        <w:numPr>
          <w:ilvl w:val="0"/>
          <w:numId w:val="0"/>
        </w:numPr>
        <w:suppressAutoHyphens/>
      </w:pPr>
      <w:bookmarkStart w:id="13" w:name="_Toc11999450"/>
      <w:bookmarkStart w:id="14" w:name="_Toc44351605"/>
    </w:p>
    <w:p w14:paraId="5CB9B222" w14:textId="69E56ABA" w:rsidR="004A0E59" w:rsidRDefault="004A0E59" w:rsidP="0046504D">
      <w:pPr>
        <w:pStyle w:val="Heading3"/>
        <w:numPr>
          <w:ilvl w:val="0"/>
          <w:numId w:val="0"/>
        </w:numPr>
        <w:suppressAutoHyphens/>
      </w:pPr>
      <w:r w:rsidRPr="00C72A9B">
        <w:t xml:space="preserve">Cel 2: </w:t>
      </w:r>
      <w:r w:rsidRPr="00C72A9B">
        <w:tab/>
        <w:t>Porty jako katalizatory działalności gospodarczej</w:t>
      </w:r>
      <w:bookmarkEnd w:id="11"/>
      <w:bookmarkEnd w:id="12"/>
      <w:bookmarkEnd w:id="13"/>
      <w:bookmarkEnd w:id="14"/>
    </w:p>
    <w:p w14:paraId="213C5F74" w14:textId="77777777" w:rsidR="006A0A2B" w:rsidRPr="006A0A2B" w:rsidRDefault="006A0A2B" w:rsidP="006A0A2B"/>
    <w:tbl>
      <w:tblPr>
        <w:tblStyle w:val="GridTable4-Accent51"/>
        <w:tblW w:w="9072" w:type="dxa"/>
        <w:tblInd w:w="108" w:type="dxa"/>
        <w:tblLook w:val="04A0" w:firstRow="1" w:lastRow="0" w:firstColumn="1" w:lastColumn="0" w:noHBand="0" w:noVBand="1"/>
      </w:tblPr>
      <w:tblGrid>
        <w:gridCol w:w="9072"/>
      </w:tblGrid>
      <w:tr w:rsidR="004A0E59" w:rsidRPr="00C72A9B" w14:paraId="517935EB" w14:textId="77777777" w:rsidTr="00D55D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Borders>
              <w:top w:val="none" w:sz="0" w:space="0" w:color="auto"/>
              <w:left w:val="none" w:sz="0" w:space="0" w:color="auto"/>
              <w:bottom w:val="none" w:sz="0" w:space="0" w:color="auto"/>
              <w:right w:val="none" w:sz="0" w:space="0" w:color="auto"/>
            </w:tcBorders>
          </w:tcPr>
          <w:p w14:paraId="5AF3AE79" w14:textId="77777777" w:rsidR="004A0E59" w:rsidRPr="00C72A9B" w:rsidRDefault="004A0E59" w:rsidP="0046504D">
            <w:pPr>
              <w:suppressAutoHyphens/>
            </w:pPr>
            <w:r w:rsidRPr="00C72A9B">
              <w:t>Działania</w:t>
            </w:r>
          </w:p>
        </w:tc>
      </w:tr>
      <w:tr w:rsidR="004A0E59" w:rsidRPr="00C72A9B" w14:paraId="7DC13EDD" w14:textId="77777777" w:rsidTr="00D55D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321649AB" w14:textId="77777777" w:rsidR="004A0E59" w:rsidRPr="00C72A9B" w:rsidRDefault="004A0E59" w:rsidP="006A0A2B">
            <w:pPr>
              <w:numPr>
                <w:ilvl w:val="0"/>
                <w:numId w:val="156"/>
              </w:numPr>
              <w:suppressAutoHyphens/>
              <w:overflowPunct/>
              <w:textAlignment w:val="auto"/>
              <w:rPr>
                <w:b w:val="0"/>
              </w:rPr>
            </w:pPr>
            <w:r w:rsidRPr="00C72A9B">
              <w:t>Opracowanie „niebieskiego” systemu przyśpieszenia dla portów w obszarze Oceanu Atlantyckiego w celu zwiększenia zdolności innowacyjnych przedsiębiorstw</w:t>
            </w:r>
          </w:p>
          <w:p w14:paraId="1C150209" w14:textId="77777777" w:rsidR="004A0E59" w:rsidRPr="00C72A9B" w:rsidRDefault="004A0E59" w:rsidP="006A0A2B">
            <w:pPr>
              <w:numPr>
                <w:ilvl w:val="0"/>
                <w:numId w:val="156"/>
              </w:numPr>
              <w:suppressAutoHyphens/>
              <w:overflowPunct/>
              <w:textAlignment w:val="auto"/>
              <w:rPr>
                <w:b w:val="0"/>
              </w:rPr>
            </w:pPr>
            <w:r w:rsidRPr="00C72A9B">
              <w:t>Wymiana najlepszych praktyk i pomysłów oraz wspólne rozwiązywanie problemów</w:t>
            </w:r>
          </w:p>
          <w:p w14:paraId="6CFBCFBC" w14:textId="77777777" w:rsidR="004A0E59" w:rsidRPr="00C72A9B" w:rsidRDefault="004A0E59" w:rsidP="006A0A2B">
            <w:pPr>
              <w:numPr>
                <w:ilvl w:val="0"/>
                <w:numId w:val="156"/>
              </w:numPr>
              <w:suppressAutoHyphens/>
              <w:overflowPunct/>
              <w:textAlignment w:val="auto"/>
              <w:rPr>
                <w:b w:val="0"/>
              </w:rPr>
            </w:pPr>
            <w:r w:rsidRPr="00C72A9B">
              <w:t>Rozszerzenie gromadzenia danych poza tradycyjne dane (logistyczne)</w:t>
            </w:r>
          </w:p>
          <w:p w14:paraId="135D4F8B" w14:textId="77777777" w:rsidR="004A0E59" w:rsidRPr="00C72A9B" w:rsidRDefault="004A0E59" w:rsidP="006A0A2B">
            <w:pPr>
              <w:numPr>
                <w:ilvl w:val="0"/>
                <w:numId w:val="156"/>
              </w:numPr>
              <w:suppressAutoHyphens/>
              <w:overflowPunct/>
              <w:textAlignment w:val="auto"/>
              <w:rPr>
                <w:b w:val="0"/>
              </w:rPr>
            </w:pPr>
            <w:r w:rsidRPr="00C72A9B">
              <w:t>Usprawnienie komunikacji i zwiększenie dostępności danych dotyczących ekonomicznego potencjału portów</w:t>
            </w:r>
          </w:p>
        </w:tc>
      </w:tr>
    </w:tbl>
    <w:p w14:paraId="7E2A31D7" w14:textId="77777777" w:rsidR="004A0E59" w:rsidRPr="00C72A9B" w:rsidRDefault="004A0E59" w:rsidP="0046504D">
      <w:pPr>
        <w:suppressAutoHyphens/>
      </w:pPr>
      <w:bookmarkStart w:id="15" w:name="_Toc9353533"/>
      <w:bookmarkStart w:id="16" w:name="_Toc11999451"/>
      <w:r w:rsidRPr="00C72A9B">
        <w:br w:type="page"/>
      </w:r>
    </w:p>
    <w:p w14:paraId="33C6F4D3" w14:textId="77777777" w:rsidR="004A0E59" w:rsidRPr="00C72A9B" w:rsidRDefault="004A0E59" w:rsidP="0046504D">
      <w:pPr>
        <w:suppressAutoHyphens/>
      </w:pPr>
      <w:bookmarkStart w:id="17" w:name="_Toc44351606"/>
    </w:p>
    <w:p w14:paraId="72AB15E5" w14:textId="7CA25CBF" w:rsidR="004A0E59" w:rsidRDefault="004A0E59" w:rsidP="006A0A2B">
      <w:pPr>
        <w:pStyle w:val="Heading2"/>
        <w:numPr>
          <w:ilvl w:val="0"/>
          <w:numId w:val="0"/>
        </w:numPr>
        <w:suppressAutoHyphens/>
        <w:ind w:left="1134" w:hanging="1134"/>
      </w:pPr>
      <w:r w:rsidRPr="00C72A9B">
        <w:t>FILAR II:</w:t>
      </w:r>
      <w:r w:rsidR="006A0A2B">
        <w:tab/>
      </w:r>
      <w:r w:rsidRPr="00C72A9B">
        <w:t>PRZYSZŁOŚCIOWE „NIEBIESKIE” UMIEJĘTNOŚCI ORAZ WIEDZA NA TEMAT OCEANÓW</w:t>
      </w:r>
      <w:bookmarkEnd w:id="15"/>
      <w:bookmarkEnd w:id="16"/>
      <w:bookmarkEnd w:id="17"/>
    </w:p>
    <w:p w14:paraId="414BBAFB" w14:textId="77777777" w:rsidR="006A0A2B" w:rsidRPr="006A0A2B" w:rsidRDefault="006A0A2B" w:rsidP="006A0A2B">
      <w:pPr>
        <w:rPr>
          <w:rFonts w:eastAsia="Calibri"/>
        </w:rPr>
      </w:pPr>
    </w:p>
    <w:p w14:paraId="2873EAD4" w14:textId="63636839" w:rsidR="004A0E59" w:rsidRDefault="004A0E59" w:rsidP="0046504D">
      <w:pPr>
        <w:suppressAutoHyphens/>
      </w:pPr>
      <w:r w:rsidRPr="00C72A9B">
        <w:t xml:space="preserve">Filar obejmuje </w:t>
      </w:r>
      <w:r w:rsidRPr="00C72A9B">
        <w:rPr>
          <w:b/>
        </w:rPr>
        <w:t>dwa cele szczegółowe</w:t>
      </w:r>
      <w:r w:rsidRPr="00C72A9B">
        <w:t xml:space="preserve"> i zestaw działań:</w:t>
      </w:r>
      <w:bookmarkStart w:id="18" w:name="_Hlk533174083"/>
      <w:bookmarkStart w:id="19" w:name="_Toc536461714"/>
      <w:bookmarkStart w:id="20" w:name="_Toc9353534"/>
      <w:bookmarkStart w:id="21" w:name="_Toc11999452"/>
      <w:bookmarkStart w:id="22" w:name="_Toc44351607"/>
    </w:p>
    <w:p w14:paraId="77A249FD" w14:textId="77777777" w:rsidR="006A0A2B" w:rsidRPr="00C72A9B" w:rsidRDefault="006A0A2B" w:rsidP="0046504D">
      <w:pPr>
        <w:suppressAutoHyphens/>
      </w:pPr>
    </w:p>
    <w:p w14:paraId="02048B94" w14:textId="7E9E7D37" w:rsidR="004A0E59" w:rsidRDefault="004A0E59" w:rsidP="0046504D">
      <w:pPr>
        <w:suppressAutoHyphens/>
      </w:pPr>
      <w:r w:rsidRPr="00C72A9B">
        <w:t xml:space="preserve">Cel 3: </w:t>
      </w:r>
      <w:r w:rsidRPr="00C72A9B">
        <w:tab/>
        <w:t>Edukacja o wysokiej jakości, szkolenie i uczenie się przez całe życie</w:t>
      </w:r>
      <w:bookmarkEnd w:id="18"/>
      <w:bookmarkEnd w:id="19"/>
      <w:bookmarkEnd w:id="20"/>
      <w:bookmarkEnd w:id="21"/>
      <w:bookmarkEnd w:id="22"/>
    </w:p>
    <w:p w14:paraId="21369726" w14:textId="77777777" w:rsidR="006A0A2B" w:rsidRPr="00C72A9B" w:rsidRDefault="006A0A2B" w:rsidP="0046504D">
      <w:pPr>
        <w:suppressAutoHyphens/>
      </w:pPr>
    </w:p>
    <w:tbl>
      <w:tblPr>
        <w:tblStyle w:val="GridTable4-Accent51"/>
        <w:tblW w:w="0" w:type="auto"/>
        <w:tblInd w:w="108" w:type="dxa"/>
        <w:tblLook w:val="04A0" w:firstRow="1" w:lastRow="0" w:firstColumn="1" w:lastColumn="0" w:noHBand="0" w:noVBand="1"/>
      </w:tblPr>
      <w:tblGrid>
        <w:gridCol w:w="9072"/>
      </w:tblGrid>
      <w:tr w:rsidR="004A0E59" w:rsidRPr="00C72A9B" w14:paraId="4A800EE0" w14:textId="77777777" w:rsidTr="00D55D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Borders>
              <w:top w:val="none" w:sz="0" w:space="0" w:color="auto"/>
              <w:left w:val="none" w:sz="0" w:space="0" w:color="auto"/>
              <w:bottom w:val="none" w:sz="0" w:space="0" w:color="auto"/>
              <w:right w:val="none" w:sz="0" w:space="0" w:color="auto"/>
            </w:tcBorders>
          </w:tcPr>
          <w:p w14:paraId="036B67F7" w14:textId="77777777" w:rsidR="004A0E59" w:rsidRPr="00C72A9B" w:rsidRDefault="004A0E59" w:rsidP="0046504D">
            <w:pPr>
              <w:suppressAutoHyphens/>
            </w:pPr>
            <w:r w:rsidRPr="00C72A9B">
              <w:t>Działania</w:t>
            </w:r>
          </w:p>
        </w:tc>
      </w:tr>
      <w:tr w:rsidR="004A0E59" w:rsidRPr="00C72A9B" w14:paraId="0BD9EABA" w14:textId="77777777" w:rsidTr="00D55D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2DC79549" w14:textId="77777777" w:rsidR="004A0E59" w:rsidRPr="00C72A9B" w:rsidRDefault="004A0E59" w:rsidP="006A0A2B">
            <w:pPr>
              <w:numPr>
                <w:ilvl w:val="0"/>
                <w:numId w:val="157"/>
              </w:numPr>
              <w:suppressAutoHyphens/>
              <w:overflowPunct/>
              <w:textAlignment w:val="auto"/>
              <w:rPr>
                <w:b w:val="0"/>
              </w:rPr>
            </w:pPr>
            <w:r w:rsidRPr="00C72A9B">
              <w:t>Identyfikacja niedoborów „niebieskich” umiejętności na unijnym obszarze Oceanu Atlantyckiego</w:t>
            </w:r>
          </w:p>
          <w:p w14:paraId="5CB6EDFB" w14:textId="77777777" w:rsidR="004A0E59" w:rsidRPr="00C72A9B" w:rsidRDefault="004A0E59" w:rsidP="006A0A2B">
            <w:pPr>
              <w:numPr>
                <w:ilvl w:val="0"/>
                <w:numId w:val="157"/>
              </w:numPr>
              <w:suppressAutoHyphens/>
              <w:overflowPunct/>
              <w:textAlignment w:val="auto"/>
              <w:rPr>
                <w:b w:val="0"/>
              </w:rPr>
            </w:pPr>
            <w:r w:rsidRPr="00C72A9B">
              <w:t>Harmonizacja gromadzenia danych w obszarze „niebieskich” karier</w:t>
            </w:r>
          </w:p>
          <w:p w14:paraId="70D49591" w14:textId="77777777" w:rsidR="004A0E59" w:rsidRPr="00C72A9B" w:rsidRDefault="004A0E59" w:rsidP="006A0A2B">
            <w:pPr>
              <w:numPr>
                <w:ilvl w:val="0"/>
                <w:numId w:val="157"/>
              </w:numPr>
              <w:suppressAutoHyphens/>
              <w:overflowPunct/>
              <w:textAlignment w:val="auto"/>
              <w:rPr>
                <w:b w:val="0"/>
              </w:rPr>
            </w:pPr>
            <w:r w:rsidRPr="00C72A9B">
              <w:t>Utworzenie systemu gromadzenia informacji gospodarczych oraz promowanie centrów łączności w celu usprawnienia współpracy między przedsiębiorstwami a organizatorami szkoleń</w:t>
            </w:r>
          </w:p>
          <w:p w14:paraId="267ABE49" w14:textId="77777777" w:rsidR="004A0E59" w:rsidRPr="00C72A9B" w:rsidRDefault="004A0E59" w:rsidP="006A0A2B">
            <w:pPr>
              <w:numPr>
                <w:ilvl w:val="0"/>
                <w:numId w:val="157"/>
              </w:numPr>
              <w:suppressAutoHyphens/>
              <w:overflowPunct/>
              <w:textAlignment w:val="auto"/>
              <w:rPr>
                <w:b w:val="0"/>
              </w:rPr>
            </w:pPr>
            <w:r w:rsidRPr="00C72A9B">
              <w:t>Identyfikacja najlepszych praktyk w zakresie dopasowywania pracodawców i osób poszukujących pracy poprzez wzajemne uczenie się, które to praktyki będą służyć jako źródło inspiracji</w:t>
            </w:r>
          </w:p>
          <w:p w14:paraId="4DE2AB7E" w14:textId="77777777" w:rsidR="004A0E59" w:rsidRPr="00C72A9B" w:rsidRDefault="004A0E59" w:rsidP="006A0A2B">
            <w:pPr>
              <w:numPr>
                <w:ilvl w:val="0"/>
                <w:numId w:val="157"/>
              </w:numPr>
              <w:suppressAutoHyphens/>
              <w:overflowPunct/>
              <w:textAlignment w:val="auto"/>
              <w:rPr>
                <w:b w:val="0"/>
              </w:rPr>
            </w:pPr>
            <w:r w:rsidRPr="00C72A9B">
              <w:t>Wykorzystanie istniejących platform informacyjnych dotyczących możliwości zatrudnienia oraz ich potencjału „niebieskich” miejsc pracy</w:t>
            </w:r>
          </w:p>
        </w:tc>
      </w:tr>
    </w:tbl>
    <w:p w14:paraId="1FAF1A53" w14:textId="77777777" w:rsidR="006A0A2B" w:rsidRDefault="006A0A2B" w:rsidP="0046504D">
      <w:pPr>
        <w:pStyle w:val="Heading3"/>
        <w:numPr>
          <w:ilvl w:val="0"/>
          <w:numId w:val="0"/>
        </w:numPr>
        <w:suppressAutoHyphens/>
      </w:pPr>
      <w:bookmarkStart w:id="23" w:name="_Toc536461715"/>
      <w:bookmarkStart w:id="24" w:name="_Toc9353535"/>
      <w:bookmarkStart w:id="25" w:name="_Toc11999453"/>
      <w:bookmarkStart w:id="26" w:name="_Toc44351608"/>
    </w:p>
    <w:p w14:paraId="420E8EE7" w14:textId="289CBF0A" w:rsidR="004A0E59" w:rsidRDefault="004A0E59" w:rsidP="0046504D">
      <w:pPr>
        <w:pStyle w:val="Heading3"/>
        <w:numPr>
          <w:ilvl w:val="0"/>
          <w:numId w:val="0"/>
        </w:numPr>
        <w:suppressAutoHyphens/>
      </w:pPr>
      <w:r w:rsidRPr="00C72A9B">
        <w:t xml:space="preserve">Cel 4: </w:t>
      </w:r>
      <w:r w:rsidRPr="00C72A9B">
        <w:tab/>
        <w:t>Wiedza na temat oceanów</w:t>
      </w:r>
      <w:bookmarkEnd w:id="23"/>
      <w:bookmarkEnd w:id="24"/>
      <w:bookmarkEnd w:id="25"/>
      <w:bookmarkEnd w:id="26"/>
    </w:p>
    <w:p w14:paraId="2059BA87" w14:textId="77777777" w:rsidR="006A0A2B" w:rsidRPr="006A0A2B" w:rsidRDefault="006A0A2B" w:rsidP="006A0A2B"/>
    <w:tbl>
      <w:tblPr>
        <w:tblStyle w:val="GridTable4-Accent51"/>
        <w:tblW w:w="0" w:type="auto"/>
        <w:tblInd w:w="108" w:type="dxa"/>
        <w:tblLook w:val="04A0" w:firstRow="1" w:lastRow="0" w:firstColumn="1" w:lastColumn="0" w:noHBand="0" w:noVBand="1"/>
      </w:tblPr>
      <w:tblGrid>
        <w:gridCol w:w="9072"/>
      </w:tblGrid>
      <w:tr w:rsidR="004A0E59" w:rsidRPr="00C72A9B" w14:paraId="14B78444" w14:textId="77777777" w:rsidTr="00D55D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Borders>
              <w:top w:val="none" w:sz="0" w:space="0" w:color="auto"/>
              <w:left w:val="none" w:sz="0" w:space="0" w:color="auto"/>
              <w:bottom w:val="none" w:sz="0" w:space="0" w:color="auto"/>
              <w:right w:val="none" w:sz="0" w:space="0" w:color="auto"/>
            </w:tcBorders>
          </w:tcPr>
          <w:p w14:paraId="438D09A3" w14:textId="77777777" w:rsidR="004A0E59" w:rsidRPr="00C72A9B" w:rsidRDefault="004A0E59" w:rsidP="0046504D">
            <w:pPr>
              <w:suppressAutoHyphens/>
            </w:pPr>
            <w:r w:rsidRPr="00C72A9B">
              <w:t>Działania</w:t>
            </w:r>
          </w:p>
        </w:tc>
      </w:tr>
      <w:tr w:rsidR="004A0E59" w:rsidRPr="00C72A9B" w14:paraId="77D8BC8C" w14:textId="77777777" w:rsidTr="00D55D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5F59D435" w14:textId="77777777" w:rsidR="004A0E59" w:rsidRPr="00C72A9B" w:rsidRDefault="004A0E59" w:rsidP="006A0A2B">
            <w:pPr>
              <w:numPr>
                <w:ilvl w:val="0"/>
                <w:numId w:val="157"/>
              </w:numPr>
              <w:suppressAutoHyphens/>
              <w:overflowPunct/>
              <w:textAlignment w:val="auto"/>
              <w:rPr>
                <w:b w:val="0"/>
              </w:rPr>
            </w:pPr>
            <w:r w:rsidRPr="00C72A9B">
              <w:t>Uruchomienie pilotażowego programu w zakresie wiedzy na temat Oceanu Atlantyckiego</w:t>
            </w:r>
          </w:p>
          <w:p w14:paraId="142ED53D" w14:textId="77777777" w:rsidR="004A0E59" w:rsidRPr="00C72A9B" w:rsidRDefault="004A0E59" w:rsidP="006A0A2B">
            <w:pPr>
              <w:numPr>
                <w:ilvl w:val="0"/>
                <w:numId w:val="157"/>
              </w:numPr>
              <w:suppressAutoHyphens/>
              <w:overflowPunct/>
              <w:textAlignment w:val="auto"/>
              <w:rPr>
                <w:b w:val="0"/>
              </w:rPr>
            </w:pPr>
            <w:r w:rsidRPr="00C72A9B">
              <w:t>Utworzenie do 2025 r. 25 atlantyckich „niebieskich” szkół</w:t>
            </w:r>
          </w:p>
          <w:p w14:paraId="63B752C9" w14:textId="0797839C" w:rsidR="004A0E59" w:rsidRPr="00C72A9B" w:rsidRDefault="004A0E59" w:rsidP="006A0A2B">
            <w:pPr>
              <w:numPr>
                <w:ilvl w:val="0"/>
                <w:numId w:val="157"/>
              </w:numPr>
              <w:suppressAutoHyphens/>
              <w:overflowPunct/>
              <w:textAlignment w:val="auto"/>
              <w:rPr>
                <w:b w:val="0"/>
              </w:rPr>
            </w:pPr>
            <w:r w:rsidRPr="00C72A9B">
              <w:t>Wdrażanie komponentu dotyczącego wiedzy na temat oceanów (rozpowszechnianie) w</w:t>
            </w:r>
            <w:r w:rsidR="006A0A2B">
              <w:t> </w:t>
            </w:r>
            <w:r w:rsidRPr="00C72A9B">
              <w:t>ramach odpowiednich projektów</w:t>
            </w:r>
          </w:p>
          <w:p w14:paraId="0AEFC9C1" w14:textId="77777777" w:rsidR="004A0E59" w:rsidRPr="00C72A9B" w:rsidRDefault="004A0E59" w:rsidP="006A0A2B">
            <w:pPr>
              <w:numPr>
                <w:ilvl w:val="0"/>
                <w:numId w:val="157"/>
              </w:numPr>
              <w:suppressAutoHyphens/>
              <w:overflowPunct/>
              <w:textAlignment w:val="auto"/>
              <w:rPr>
                <w:b w:val="0"/>
              </w:rPr>
            </w:pPr>
            <w:r w:rsidRPr="00C72A9B">
              <w:t>Wykorzystanie Transatlantyckiego Forum Młodzieży</w:t>
            </w:r>
          </w:p>
          <w:p w14:paraId="2C1BB7B3" w14:textId="77777777" w:rsidR="004A0E59" w:rsidRPr="00C72A9B" w:rsidRDefault="004A0E59" w:rsidP="006A0A2B">
            <w:pPr>
              <w:numPr>
                <w:ilvl w:val="0"/>
                <w:numId w:val="157"/>
              </w:numPr>
              <w:suppressAutoHyphens/>
              <w:overflowPunct/>
              <w:textAlignment w:val="auto"/>
              <w:rPr>
                <w:b w:val="0"/>
              </w:rPr>
            </w:pPr>
            <w:r w:rsidRPr="00C72A9B">
              <w:t>Zaangażowanie obywateli w działania dotyczące oceanu na unijnym obszarze Oceanu Atlantyckiego</w:t>
            </w:r>
          </w:p>
          <w:p w14:paraId="3E63058D" w14:textId="77777777" w:rsidR="004A0E59" w:rsidRPr="00C72A9B" w:rsidRDefault="004A0E59" w:rsidP="006A0A2B">
            <w:pPr>
              <w:numPr>
                <w:ilvl w:val="0"/>
                <w:numId w:val="157"/>
              </w:numPr>
              <w:suppressAutoHyphens/>
              <w:overflowPunct/>
              <w:textAlignment w:val="auto"/>
            </w:pPr>
            <w:r w:rsidRPr="00C72A9B">
              <w:t>Zaangażowanie obywateli w działania organizowane w ramach Europejskiego Dnia Morza, Światowego Dnia Oceanów oraz w ramach przyszłej platformy EU4Ocean</w:t>
            </w:r>
          </w:p>
        </w:tc>
      </w:tr>
    </w:tbl>
    <w:p w14:paraId="62B4F624" w14:textId="77777777" w:rsidR="004A0E59" w:rsidRPr="00C72A9B" w:rsidRDefault="004A0E59" w:rsidP="0046504D">
      <w:pPr>
        <w:suppressAutoHyphens/>
      </w:pPr>
      <w:r w:rsidRPr="00C72A9B">
        <w:br w:type="page"/>
      </w:r>
    </w:p>
    <w:p w14:paraId="4EA59C45" w14:textId="30F0DC83" w:rsidR="004A0E59" w:rsidRDefault="004A0E59" w:rsidP="0046504D">
      <w:pPr>
        <w:pStyle w:val="Heading2"/>
        <w:numPr>
          <w:ilvl w:val="0"/>
          <w:numId w:val="0"/>
        </w:numPr>
        <w:suppressAutoHyphens/>
        <w:ind w:left="600" w:hanging="600"/>
      </w:pPr>
      <w:bookmarkStart w:id="27" w:name="_Toc44351609"/>
      <w:r w:rsidRPr="00C72A9B">
        <w:lastRenderedPageBreak/>
        <w:t>FILAR III: ENERGIA Z MORSKICH ŹRÓDEŁ ODNAWIALNYCH</w:t>
      </w:r>
      <w:bookmarkEnd w:id="27"/>
    </w:p>
    <w:p w14:paraId="23485E6D" w14:textId="77777777" w:rsidR="006A0A2B" w:rsidRPr="006A0A2B" w:rsidRDefault="006A0A2B" w:rsidP="006A0A2B"/>
    <w:p w14:paraId="4268D663" w14:textId="35B01D48" w:rsidR="004A0E59" w:rsidRDefault="004A0E59" w:rsidP="0046504D">
      <w:pPr>
        <w:suppressAutoHyphens/>
      </w:pPr>
      <w:bookmarkStart w:id="28" w:name="_Toc11999455"/>
      <w:bookmarkStart w:id="29" w:name="_Toc44351610"/>
      <w:r w:rsidRPr="00C72A9B">
        <w:t xml:space="preserve">Filar obejmuje </w:t>
      </w:r>
      <w:r w:rsidRPr="00C72A9B">
        <w:rPr>
          <w:b/>
        </w:rPr>
        <w:t>jeden cel szczegółowy</w:t>
      </w:r>
      <w:r w:rsidR="00C72A9B" w:rsidRPr="00C72A9B">
        <w:rPr>
          <w:b/>
        </w:rPr>
        <w:t xml:space="preserve"> </w:t>
      </w:r>
      <w:r w:rsidRPr="00C72A9B">
        <w:t>i zestaw działań:</w:t>
      </w:r>
    </w:p>
    <w:p w14:paraId="40603490" w14:textId="77777777" w:rsidR="006A0A2B" w:rsidRPr="00C72A9B" w:rsidRDefault="006A0A2B" w:rsidP="0046504D">
      <w:pPr>
        <w:suppressAutoHyphens/>
      </w:pPr>
    </w:p>
    <w:p w14:paraId="4AF56D34" w14:textId="7340BC91" w:rsidR="004A0E59" w:rsidRDefault="004A0E59" w:rsidP="0046504D">
      <w:pPr>
        <w:suppressAutoHyphens/>
      </w:pPr>
      <w:r w:rsidRPr="00C72A9B">
        <w:t xml:space="preserve">Cel 5: </w:t>
      </w:r>
      <w:r w:rsidRPr="00C72A9B">
        <w:tab/>
        <w:t>Promowanie neutralności emisyjnej dzięki energii z morskich źródeł odnawialnych</w:t>
      </w:r>
      <w:bookmarkEnd w:id="28"/>
      <w:bookmarkEnd w:id="29"/>
    </w:p>
    <w:p w14:paraId="158EFD84" w14:textId="77777777" w:rsidR="006A0A2B" w:rsidRPr="00C72A9B" w:rsidRDefault="006A0A2B" w:rsidP="0046504D">
      <w:pPr>
        <w:suppressAutoHyphens/>
      </w:pPr>
    </w:p>
    <w:tbl>
      <w:tblPr>
        <w:tblStyle w:val="GridTable4-Accent51"/>
        <w:tblW w:w="0" w:type="auto"/>
        <w:tblInd w:w="108" w:type="dxa"/>
        <w:tblLook w:val="04A0" w:firstRow="1" w:lastRow="0" w:firstColumn="1" w:lastColumn="0" w:noHBand="0" w:noVBand="1"/>
      </w:tblPr>
      <w:tblGrid>
        <w:gridCol w:w="8669"/>
      </w:tblGrid>
      <w:tr w:rsidR="004A0E59" w:rsidRPr="006A0A2B" w14:paraId="63178A7D" w14:textId="77777777" w:rsidTr="00D55D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69" w:type="dxa"/>
            <w:tcBorders>
              <w:top w:val="none" w:sz="0" w:space="0" w:color="auto"/>
              <w:left w:val="none" w:sz="0" w:space="0" w:color="auto"/>
              <w:bottom w:val="none" w:sz="0" w:space="0" w:color="auto"/>
              <w:right w:val="none" w:sz="0" w:space="0" w:color="auto"/>
            </w:tcBorders>
          </w:tcPr>
          <w:p w14:paraId="446B4A8B" w14:textId="77777777" w:rsidR="004A0E59" w:rsidRPr="006A0A2B" w:rsidRDefault="004A0E59" w:rsidP="0046504D">
            <w:pPr>
              <w:suppressAutoHyphens/>
              <w:rPr>
                <w:rFonts w:cstheme="minorHAnsi"/>
              </w:rPr>
            </w:pPr>
            <w:r w:rsidRPr="006A0A2B">
              <w:rPr>
                <w:rFonts w:cstheme="minorHAnsi"/>
              </w:rPr>
              <w:t>Działania</w:t>
            </w:r>
          </w:p>
        </w:tc>
      </w:tr>
      <w:tr w:rsidR="004A0E59" w:rsidRPr="006A0A2B" w14:paraId="4D3D1648" w14:textId="77777777" w:rsidTr="00D55D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69" w:type="dxa"/>
          </w:tcPr>
          <w:p w14:paraId="1928CF01" w14:textId="49334137" w:rsidR="004A0E59" w:rsidRPr="006A0A2B" w:rsidRDefault="004A0E59" w:rsidP="006A0A2B">
            <w:pPr>
              <w:numPr>
                <w:ilvl w:val="0"/>
                <w:numId w:val="158"/>
              </w:numPr>
              <w:suppressAutoHyphens/>
              <w:overflowPunct/>
              <w:textAlignment w:val="auto"/>
              <w:rPr>
                <w:rFonts w:cstheme="minorHAnsi"/>
                <w:b w:val="0"/>
                <w:szCs w:val="22"/>
              </w:rPr>
            </w:pPr>
            <w:r w:rsidRPr="006A0A2B">
              <w:rPr>
                <w:rFonts w:cstheme="minorHAnsi"/>
                <w:szCs w:val="22"/>
              </w:rPr>
              <w:t>Wyznaczenie konkretnych celów związanych z wdrożeniem rozwiązań opartych na energii z morskich źródeł odnawialnych w regionach Oceanu Atlantyckiego z</w:t>
            </w:r>
            <w:r w:rsidR="006A0A2B">
              <w:rPr>
                <w:rFonts w:cstheme="minorHAnsi"/>
                <w:szCs w:val="22"/>
              </w:rPr>
              <w:t> </w:t>
            </w:r>
            <w:r w:rsidRPr="006A0A2B">
              <w:rPr>
                <w:rFonts w:cstheme="minorHAnsi"/>
                <w:szCs w:val="22"/>
              </w:rPr>
              <w:t>uwzględnieniem ich wpływu na środowisko</w:t>
            </w:r>
          </w:p>
          <w:p w14:paraId="4D9A1AED" w14:textId="77777777" w:rsidR="004A0E59" w:rsidRPr="006A0A2B" w:rsidRDefault="004A0E59" w:rsidP="006A0A2B">
            <w:pPr>
              <w:numPr>
                <w:ilvl w:val="0"/>
                <w:numId w:val="158"/>
              </w:numPr>
              <w:suppressAutoHyphens/>
              <w:overflowPunct/>
              <w:textAlignment w:val="auto"/>
              <w:rPr>
                <w:rFonts w:cstheme="minorHAnsi"/>
                <w:szCs w:val="22"/>
              </w:rPr>
            </w:pPr>
            <w:r w:rsidRPr="006A0A2B">
              <w:rPr>
                <w:rFonts w:cstheme="minorHAnsi"/>
                <w:szCs w:val="22"/>
              </w:rPr>
              <w:t>Określenie najlepszych miejsc do budowy elektrowni zasilanych energią z morskich źródeł odnawialnych (w tym morskich farm wiatrowych) oraz przyległych portów na Oceanie Atlantyckim, uwzględniając potencjalne skutki dla środowiska morskiego</w:t>
            </w:r>
          </w:p>
          <w:p w14:paraId="2C07CD77" w14:textId="77777777" w:rsidR="004A0E59" w:rsidRPr="006A0A2B" w:rsidRDefault="004A0E59" w:rsidP="006A0A2B">
            <w:pPr>
              <w:pStyle w:val="ListParagraph"/>
              <w:numPr>
                <w:ilvl w:val="0"/>
                <w:numId w:val="158"/>
              </w:numPr>
              <w:suppressAutoHyphens/>
              <w:spacing w:before="0" w:line="288" w:lineRule="auto"/>
              <w:contextualSpacing w:val="0"/>
              <w:rPr>
                <w:rFonts w:asciiTheme="minorHAnsi" w:hAnsiTheme="minorHAnsi" w:cstheme="minorHAnsi"/>
                <w:b w:val="0"/>
              </w:rPr>
            </w:pPr>
            <w:r w:rsidRPr="006A0A2B">
              <w:rPr>
                <w:rFonts w:asciiTheme="minorHAnsi" w:hAnsiTheme="minorHAnsi" w:cstheme="minorHAnsi"/>
              </w:rPr>
              <w:t>Wdrożenie zachęt w celu budowy innowacyjnych instalacji wytwarzających energię odnawialną</w:t>
            </w:r>
          </w:p>
          <w:p w14:paraId="42622021" w14:textId="77777777" w:rsidR="004A0E59" w:rsidRPr="006A0A2B" w:rsidRDefault="004A0E59" w:rsidP="006A0A2B">
            <w:pPr>
              <w:numPr>
                <w:ilvl w:val="0"/>
                <w:numId w:val="158"/>
              </w:numPr>
              <w:suppressAutoHyphens/>
              <w:overflowPunct/>
              <w:textAlignment w:val="auto"/>
              <w:rPr>
                <w:rFonts w:cstheme="minorHAnsi"/>
                <w:b w:val="0"/>
                <w:szCs w:val="22"/>
              </w:rPr>
            </w:pPr>
            <w:r w:rsidRPr="006A0A2B">
              <w:rPr>
                <w:rFonts w:cstheme="minorHAnsi"/>
                <w:szCs w:val="22"/>
              </w:rPr>
              <w:t>Łączenie różnych inicjatyw z zakresu energii z morskich źródeł odnawialnych, obejmujących unijny obszar Oceanu Atlantyckiego, na podstawie filozofii przedstawionej w europejskim strategicznym planie w dziedzinie technologii energetycznych (plan EPSTE) i dążenie do osiągnięcia celów określonych we wspomnianym planie</w:t>
            </w:r>
          </w:p>
          <w:p w14:paraId="497759EB" w14:textId="77777777" w:rsidR="004A0E59" w:rsidRPr="006A0A2B" w:rsidRDefault="004A0E59" w:rsidP="006A0A2B">
            <w:pPr>
              <w:numPr>
                <w:ilvl w:val="0"/>
                <w:numId w:val="158"/>
              </w:numPr>
              <w:suppressAutoHyphens/>
              <w:overflowPunct/>
              <w:textAlignment w:val="auto"/>
              <w:rPr>
                <w:rFonts w:cstheme="minorHAnsi"/>
                <w:b w:val="0"/>
                <w:szCs w:val="22"/>
              </w:rPr>
            </w:pPr>
            <w:r w:rsidRPr="006A0A2B">
              <w:rPr>
                <w:rFonts w:cstheme="minorHAnsi"/>
                <w:szCs w:val="22"/>
              </w:rPr>
              <w:t>Rozwijanie świadomości publicznej w zakresie energii z morskich źródeł odnawialnych w obszarze Oceanu Atlantyckiego za pomocą odpowiednich narzędzi komunikacji</w:t>
            </w:r>
          </w:p>
          <w:p w14:paraId="02C1749A" w14:textId="77777777" w:rsidR="004A0E59" w:rsidRPr="006A0A2B" w:rsidRDefault="004A0E59" w:rsidP="006A0A2B">
            <w:pPr>
              <w:numPr>
                <w:ilvl w:val="0"/>
                <w:numId w:val="158"/>
              </w:numPr>
              <w:suppressAutoHyphens/>
              <w:overflowPunct/>
              <w:textAlignment w:val="auto"/>
              <w:rPr>
                <w:rFonts w:cstheme="minorHAnsi"/>
                <w:b w:val="0"/>
                <w:szCs w:val="22"/>
              </w:rPr>
            </w:pPr>
            <w:r w:rsidRPr="006A0A2B">
              <w:rPr>
                <w:rFonts w:cstheme="minorHAnsi"/>
                <w:szCs w:val="22"/>
              </w:rPr>
              <w:t>Zacieśnianie współpracy w ramach europejskiej społeczności energii oceanicznej</w:t>
            </w:r>
          </w:p>
          <w:p w14:paraId="52A2DE75" w14:textId="77777777" w:rsidR="004A0E59" w:rsidRPr="006A0A2B" w:rsidRDefault="004A0E59" w:rsidP="006A0A2B">
            <w:pPr>
              <w:numPr>
                <w:ilvl w:val="0"/>
                <w:numId w:val="158"/>
              </w:numPr>
              <w:suppressAutoHyphens/>
              <w:overflowPunct/>
              <w:textAlignment w:val="auto"/>
              <w:rPr>
                <w:rFonts w:cstheme="minorHAnsi"/>
              </w:rPr>
            </w:pPr>
            <w:r w:rsidRPr="006A0A2B">
              <w:rPr>
                <w:rFonts w:cstheme="minorHAnsi"/>
                <w:szCs w:val="22"/>
              </w:rPr>
              <w:t>Opracowanie szczegółowych ram dotyczących energii oceanicznej dla wysp UE na Oceanie Atlantyckim</w:t>
            </w:r>
          </w:p>
        </w:tc>
      </w:tr>
    </w:tbl>
    <w:p w14:paraId="1E2C79EE" w14:textId="77777777" w:rsidR="004A0E59" w:rsidRPr="00C72A9B" w:rsidRDefault="004A0E59" w:rsidP="0046504D">
      <w:pPr>
        <w:suppressAutoHyphens/>
      </w:pPr>
      <w:bookmarkStart w:id="30" w:name="_Toc536461718"/>
      <w:bookmarkStart w:id="31" w:name="_Toc9353538"/>
      <w:bookmarkStart w:id="32" w:name="_Toc11999456"/>
      <w:bookmarkStart w:id="33" w:name="_Toc44351611"/>
      <w:r w:rsidRPr="00C72A9B">
        <w:br w:type="page"/>
      </w:r>
    </w:p>
    <w:p w14:paraId="79E42F6C" w14:textId="4C8B8A7B" w:rsidR="004A0E59" w:rsidRDefault="004A0E59" w:rsidP="0046504D">
      <w:pPr>
        <w:pStyle w:val="Heading2"/>
        <w:numPr>
          <w:ilvl w:val="0"/>
          <w:numId w:val="0"/>
        </w:numPr>
        <w:suppressAutoHyphens/>
        <w:ind w:left="601" w:hanging="601"/>
      </w:pPr>
      <w:r w:rsidRPr="00C72A9B">
        <w:lastRenderedPageBreak/>
        <w:t>FILAR IV: ZDROWY OCEAN I ODPORNE WYBRZEŻA</w:t>
      </w:r>
      <w:bookmarkEnd w:id="30"/>
      <w:bookmarkEnd w:id="31"/>
      <w:bookmarkEnd w:id="32"/>
      <w:bookmarkEnd w:id="33"/>
    </w:p>
    <w:p w14:paraId="204C6C06" w14:textId="77777777" w:rsidR="006A0A2B" w:rsidRPr="006A0A2B" w:rsidRDefault="006A0A2B" w:rsidP="006A0A2B"/>
    <w:p w14:paraId="41FC315A" w14:textId="30FAF978" w:rsidR="004A0E59" w:rsidRDefault="004A0E59" w:rsidP="0046504D">
      <w:pPr>
        <w:suppressAutoHyphens/>
      </w:pPr>
      <w:r w:rsidRPr="00C72A9B">
        <w:t xml:space="preserve">Filar obejmuje </w:t>
      </w:r>
      <w:r w:rsidRPr="00C72A9B">
        <w:rPr>
          <w:b/>
        </w:rPr>
        <w:t>dwa cele szczegółowe</w:t>
      </w:r>
      <w:r w:rsidRPr="00C72A9B">
        <w:t xml:space="preserve"> i zestaw działań:</w:t>
      </w:r>
      <w:bookmarkStart w:id="34" w:name="_Toc44351612"/>
    </w:p>
    <w:p w14:paraId="274140D8" w14:textId="77777777" w:rsidR="006A0A2B" w:rsidRPr="00C72A9B" w:rsidRDefault="006A0A2B" w:rsidP="0046504D">
      <w:pPr>
        <w:suppressAutoHyphens/>
      </w:pPr>
    </w:p>
    <w:p w14:paraId="02FE31ED" w14:textId="7BF71939" w:rsidR="004A0E59" w:rsidRDefault="004A0E59" w:rsidP="0046504D">
      <w:pPr>
        <w:suppressAutoHyphens/>
      </w:pPr>
      <w:r w:rsidRPr="00C72A9B">
        <w:t xml:space="preserve">Cel 6: </w:t>
      </w:r>
      <w:r w:rsidRPr="00C72A9B">
        <w:tab/>
        <w:t>Większa odporność wybrzeży</w:t>
      </w:r>
      <w:bookmarkEnd w:id="34"/>
    </w:p>
    <w:p w14:paraId="518F9F16" w14:textId="77777777" w:rsidR="006A0A2B" w:rsidRPr="00C72A9B" w:rsidRDefault="006A0A2B" w:rsidP="0046504D">
      <w:pPr>
        <w:suppressAutoHyphens/>
      </w:pPr>
    </w:p>
    <w:tbl>
      <w:tblPr>
        <w:tblStyle w:val="GridTable4-Accent51"/>
        <w:tblW w:w="9072" w:type="dxa"/>
        <w:tblInd w:w="108" w:type="dxa"/>
        <w:tblLook w:val="04A0" w:firstRow="1" w:lastRow="0" w:firstColumn="1" w:lastColumn="0" w:noHBand="0" w:noVBand="1"/>
      </w:tblPr>
      <w:tblGrid>
        <w:gridCol w:w="9072"/>
      </w:tblGrid>
      <w:tr w:rsidR="004A0E59" w:rsidRPr="006A0A2B" w14:paraId="34A10373" w14:textId="77777777" w:rsidTr="00D55D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Borders>
              <w:top w:val="none" w:sz="0" w:space="0" w:color="auto"/>
              <w:left w:val="none" w:sz="0" w:space="0" w:color="auto"/>
              <w:bottom w:val="none" w:sz="0" w:space="0" w:color="auto"/>
              <w:right w:val="none" w:sz="0" w:space="0" w:color="auto"/>
            </w:tcBorders>
          </w:tcPr>
          <w:p w14:paraId="6CCDF79C" w14:textId="77777777" w:rsidR="004A0E59" w:rsidRPr="006A0A2B" w:rsidRDefault="004A0E59" w:rsidP="0046504D">
            <w:pPr>
              <w:suppressAutoHyphens/>
              <w:rPr>
                <w:rFonts w:cstheme="minorHAnsi"/>
                <w:szCs w:val="22"/>
              </w:rPr>
            </w:pPr>
            <w:r w:rsidRPr="006A0A2B">
              <w:rPr>
                <w:rFonts w:cstheme="minorHAnsi"/>
                <w:szCs w:val="22"/>
              </w:rPr>
              <w:t>Działania</w:t>
            </w:r>
          </w:p>
        </w:tc>
      </w:tr>
      <w:tr w:rsidR="004A0E59" w:rsidRPr="006A0A2B" w14:paraId="28F8D811" w14:textId="77777777" w:rsidTr="00D55D54">
        <w:trPr>
          <w:cnfStyle w:val="000000100000" w:firstRow="0" w:lastRow="0" w:firstColumn="0" w:lastColumn="0" w:oddVBand="0" w:evenVBand="0" w:oddHBand="1" w:evenHBand="0" w:firstRowFirstColumn="0" w:firstRowLastColumn="0" w:lastRowFirstColumn="0" w:lastRowLastColumn="0"/>
          <w:trHeight w:val="132"/>
        </w:trPr>
        <w:tc>
          <w:tcPr>
            <w:cnfStyle w:val="001000000000" w:firstRow="0" w:lastRow="0" w:firstColumn="1" w:lastColumn="0" w:oddVBand="0" w:evenVBand="0" w:oddHBand="0" w:evenHBand="0" w:firstRowFirstColumn="0" w:firstRowLastColumn="0" w:lastRowFirstColumn="0" w:lastRowLastColumn="0"/>
            <w:tcW w:w="9072" w:type="dxa"/>
          </w:tcPr>
          <w:p w14:paraId="200E3336" w14:textId="77777777" w:rsidR="004A0E59" w:rsidRPr="006A0A2B" w:rsidRDefault="004A0E59" w:rsidP="006A0A2B">
            <w:pPr>
              <w:pStyle w:val="ListParagraph"/>
              <w:numPr>
                <w:ilvl w:val="0"/>
                <w:numId w:val="158"/>
              </w:numPr>
              <w:suppressAutoHyphens/>
              <w:spacing w:before="0" w:line="288" w:lineRule="auto"/>
              <w:contextualSpacing w:val="0"/>
              <w:rPr>
                <w:rFonts w:asciiTheme="minorHAnsi" w:hAnsiTheme="minorHAnsi" w:cstheme="minorHAnsi"/>
                <w:b w:val="0"/>
              </w:rPr>
            </w:pPr>
            <w:r w:rsidRPr="006A0A2B">
              <w:rPr>
                <w:rFonts w:asciiTheme="minorHAnsi" w:hAnsiTheme="minorHAnsi" w:cstheme="minorHAnsi"/>
              </w:rPr>
              <w:t>Zaprezentowanie kompleksowego systemu ostrzegania i pomiarów dotyczącego nasilających się sztormów i powodzi z powodu zmiany klimatu</w:t>
            </w:r>
          </w:p>
          <w:p w14:paraId="5BCF6FB0" w14:textId="77777777" w:rsidR="004A0E59" w:rsidRPr="006A0A2B" w:rsidRDefault="004A0E59" w:rsidP="006A0A2B">
            <w:pPr>
              <w:pStyle w:val="ListParagraph"/>
              <w:numPr>
                <w:ilvl w:val="0"/>
                <w:numId w:val="158"/>
              </w:numPr>
              <w:suppressAutoHyphens/>
              <w:spacing w:before="0" w:line="288" w:lineRule="auto"/>
              <w:contextualSpacing w:val="0"/>
              <w:rPr>
                <w:rFonts w:asciiTheme="minorHAnsi" w:hAnsiTheme="minorHAnsi" w:cstheme="minorHAnsi"/>
                <w:b w:val="0"/>
              </w:rPr>
            </w:pPr>
            <w:r w:rsidRPr="006A0A2B">
              <w:rPr>
                <w:rFonts w:asciiTheme="minorHAnsi" w:hAnsiTheme="minorHAnsi" w:cstheme="minorHAnsi"/>
              </w:rPr>
              <w:t>Rozwijanie synergii między istniejącą unijną infrastrukturą obserwacji i ochrony wybrzeży oraz infrastrukturą ostrzegania i monitorowania, a także rozwijanie obserwatoriów oceanu znajdujących się na miejscu</w:t>
            </w:r>
          </w:p>
          <w:p w14:paraId="3FFCA14F" w14:textId="77777777" w:rsidR="004A0E59" w:rsidRPr="006A0A2B" w:rsidRDefault="004A0E59" w:rsidP="006A0A2B">
            <w:pPr>
              <w:pStyle w:val="ListParagraph"/>
              <w:numPr>
                <w:ilvl w:val="0"/>
                <w:numId w:val="158"/>
              </w:numPr>
              <w:suppressAutoHyphens/>
              <w:spacing w:before="0" w:line="288" w:lineRule="auto"/>
              <w:contextualSpacing w:val="0"/>
              <w:rPr>
                <w:rFonts w:asciiTheme="minorHAnsi" w:hAnsiTheme="minorHAnsi" w:cstheme="minorHAnsi"/>
                <w:b w:val="0"/>
              </w:rPr>
            </w:pPr>
            <w:r w:rsidRPr="006A0A2B">
              <w:rPr>
                <w:rFonts w:asciiTheme="minorHAnsi" w:hAnsiTheme="minorHAnsi" w:cstheme="minorHAnsi"/>
              </w:rPr>
              <w:t>Rozwijanie przestrzeni badań i obszarów pilotażowych w celu badania metod ochrony wybrzeża oraz propagowania rozwiązań opartych na zasobach przyrody</w:t>
            </w:r>
          </w:p>
          <w:p w14:paraId="59C51C87" w14:textId="77777777" w:rsidR="004A0E59" w:rsidRPr="006A0A2B" w:rsidRDefault="004A0E59" w:rsidP="006A0A2B">
            <w:pPr>
              <w:pStyle w:val="ListParagraph"/>
              <w:numPr>
                <w:ilvl w:val="0"/>
                <w:numId w:val="158"/>
              </w:numPr>
              <w:suppressAutoHyphens/>
              <w:spacing w:before="0" w:line="288" w:lineRule="auto"/>
              <w:contextualSpacing w:val="0"/>
              <w:rPr>
                <w:rFonts w:asciiTheme="minorHAnsi" w:hAnsiTheme="minorHAnsi" w:cstheme="minorHAnsi"/>
                <w:b w:val="0"/>
              </w:rPr>
            </w:pPr>
            <w:r w:rsidRPr="006A0A2B">
              <w:rPr>
                <w:rFonts w:asciiTheme="minorHAnsi" w:hAnsiTheme="minorHAnsi" w:cstheme="minorHAnsi"/>
              </w:rPr>
              <w:t>Promowanie zrównoważonych praktyk w turystyce przybrzeżnej i morskiej</w:t>
            </w:r>
          </w:p>
          <w:p w14:paraId="79E45629" w14:textId="77777777" w:rsidR="004A0E59" w:rsidRPr="006A0A2B" w:rsidRDefault="004A0E59" w:rsidP="006A0A2B">
            <w:pPr>
              <w:numPr>
                <w:ilvl w:val="0"/>
                <w:numId w:val="158"/>
              </w:numPr>
              <w:suppressAutoHyphens/>
              <w:overflowPunct/>
              <w:textAlignment w:val="auto"/>
              <w:rPr>
                <w:rFonts w:cstheme="minorHAnsi"/>
                <w:b w:val="0"/>
                <w:szCs w:val="22"/>
              </w:rPr>
            </w:pPr>
            <w:r w:rsidRPr="006A0A2B">
              <w:rPr>
                <w:rFonts w:cstheme="minorHAnsi"/>
                <w:szCs w:val="22"/>
              </w:rPr>
              <w:t>Sporządzenie wykazu krajowych i regionalnych strategii i środków przystosowania się do zmiany klimatu w strefach przybrzeżnych powiązanych z ocenami ryzyka i planami zarządzania ryzykiem; wymiana najlepszych praktyk</w:t>
            </w:r>
          </w:p>
          <w:p w14:paraId="47CA4B0B" w14:textId="77777777" w:rsidR="004A0E59" w:rsidRPr="006A0A2B" w:rsidRDefault="004A0E59" w:rsidP="006A0A2B">
            <w:pPr>
              <w:pStyle w:val="ListParagraph"/>
              <w:numPr>
                <w:ilvl w:val="0"/>
                <w:numId w:val="158"/>
              </w:numPr>
              <w:suppressAutoHyphens/>
              <w:spacing w:before="0" w:line="288" w:lineRule="auto"/>
              <w:contextualSpacing w:val="0"/>
              <w:rPr>
                <w:rFonts w:asciiTheme="minorHAnsi" w:hAnsiTheme="minorHAnsi" w:cstheme="minorHAnsi"/>
                <w:b w:val="0"/>
              </w:rPr>
            </w:pPr>
            <w:r w:rsidRPr="006A0A2B">
              <w:rPr>
                <w:rFonts w:asciiTheme="minorHAnsi" w:hAnsiTheme="minorHAnsi" w:cstheme="minorHAnsi"/>
              </w:rPr>
              <w:t>Stworzenie kampanii informacyjnych dla społeczności nadbrzeżnych w obszarze Oceanu Atlantyckiego</w:t>
            </w:r>
          </w:p>
          <w:p w14:paraId="36ADD16B" w14:textId="77777777" w:rsidR="004A0E59" w:rsidRPr="006A0A2B" w:rsidRDefault="004A0E59" w:rsidP="006A0A2B">
            <w:pPr>
              <w:pStyle w:val="ListParagraph"/>
              <w:numPr>
                <w:ilvl w:val="0"/>
                <w:numId w:val="158"/>
              </w:numPr>
              <w:suppressAutoHyphens/>
              <w:spacing w:before="0" w:line="288" w:lineRule="auto"/>
              <w:contextualSpacing w:val="0"/>
              <w:rPr>
                <w:rFonts w:asciiTheme="minorHAnsi" w:hAnsiTheme="minorHAnsi" w:cstheme="minorHAnsi"/>
                <w:b w:val="0"/>
              </w:rPr>
            </w:pPr>
            <w:r w:rsidRPr="006A0A2B">
              <w:rPr>
                <w:rFonts w:asciiTheme="minorHAnsi" w:hAnsiTheme="minorHAnsi" w:cstheme="minorHAnsi"/>
              </w:rPr>
              <w:t>Kształcenie osób młodych oraz społeczności nadbrzeżnych w zakresie zmian zachodzących na wybrzeżu oraz sposobów przystosowania się do podnoszenia się poziomu morza</w:t>
            </w:r>
          </w:p>
          <w:p w14:paraId="4547C957" w14:textId="77777777" w:rsidR="004A0E59" w:rsidRPr="006A0A2B" w:rsidRDefault="004A0E59" w:rsidP="006A0A2B">
            <w:pPr>
              <w:pStyle w:val="ListParagraph"/>
              <w:numPr>
                <w:ilvl w:val="0"/>
                <w:numId w:val="158"/>
              </w:numPr>
              <w:suppressAutoHyphens/>
              <w:spacing w:before="0" w:line="288" w:lineRule="auto"/>
              <w:contextualSpacing w:val="0"/>
              <w:rPr>
                <w:rFonts w:asciiTheme="minorHAnsi" w:hAnsiTheme="minorHAnsi" w:cstheme="minorHAnsi"/>
                <w:b w:val="0"/>
              </w:rPr>
            </w:pPr>
            <w:r w:rsidRPr="006A0A2B">
              <w:rPr>
                <w:rFonts w:asciiTheme="minorHAnsi" w:hAnsiTheme="minorHAnsi" w:cstheme="minorHAnsi"/>
              </w:rPr>
              <w:t>Wymiana najlepszych praktyk w zakresie stosowania planowania przestrzennego obszarów morskich do celów przystosowania wybrzeża, odporności i mających zastosowanie ocen oddziaływania na środowisko (ocena oddziaływania na środowisko</w:t>
            </w:r>
            <w:r w:rsidRPr="006A0A2B">
              <w:rPr>
                <w:rStyle w:val="FootnoteReference"/>
                <w:rFonts w:asciiTheme="minorHAnsi" w:hAnsiTheme="minorHAnsi" w:cstheme="minorHAnsi"/>
              </w:rPr>
              <w:footnoteReference w:id="21"/>
            </w:r>
            <w:r w:rsidRPr="006A0A2B">
              <w:rPr>
                <w:rFonts w:asciiTheme="minorHAnsi" w:hAnsiTheme="minorHAnsi" w:cstheme="minorHAnsi"/>
              </w:rPr>
              <w:t>, strategiczna ocena oddziaływania na środowisko</w:t>
            </w:r>
            <w:r w:rsidRPr="006A0A2B">
              <w:rPr>
                <w:rStyle w:val="FootnoteReference"/>
                <w:rFonts w:asciiTheme="minorHAnsi" w:hAnsiTheme="minorHAnsi" w:cstheme="minorHAnsi"/>
              </w:rPr>
              <w:footnoteReference w:id="22"/>
            </w:r>
            <w:r w:rsidRPr="006A0A2B">
              <w:rPr>
                <w:rFonts w:asciiTheme="minorHAnsi" w:hAnsiTheme="minorHAnsi" w:cstheme="minorHAnsi"/>
              </w:rPr>
              <w:t>, odpowiednia ocena</w:t>
            </w:r>
            <w:r w:rsidRPr="006A0A2B">
              <w:rPr>
                <w:rStyle w:val="FootnoteReference"/>
                <w:rFonts w:asciiTheme="minorHAnsi" w:hAnsiTheme="minorHAnsi" w:cstheme="minorHAnsi"/>
              </w:rPr>
              <w:footnoteReference w:id="23"/>
            </w:r>
            <w:r w:rsidRPr="006A0A2B">
              <w:rPr>
                <w:rFonts w:asciiTheme="minorHAnsi" w:hAnsiTheme="minorHAnsi" w:cstheme="minorHAnsi"/>
              </w:rPr>
              <w:t>)</w:t>
            </w:r>
          </w:p>
          <w:p w14:paraId="6E03F5C7" w14:textId="77777777" w:rsidR="004A0E59" w:rsidRPr="006A0A2B" w:rsidRDefault="004A0E59" w:rsidP="006A0A2B">
            <w:pPr>
              <w:pStyle w:val="ListParagraph"/>
              <w:numPr>
                <w:ilvl w:val="0"/>
                <w:numId w:val="158"/>
              </w:numPr>
              <w:suppressAutoHyphens/>
              <w:spacing w:before="0" w:line="288" w:lineRule="auto"/>
              <w:contextualSpacing w:val="0"/>
              <w:rPr>
                <w:rFonts w:asciiTheme="minorHAnsi" w:hAnsiTheme="minorHAnsi" w:cstheme="minorHAnsi"/>
                <w:b w:val="0"/>
              </w:rPr>
            </w:pPr>
            <w:r w:rsidRPr="006A0A2B">
              <w:rPr>
                <w:rFonts w:asciiTheme="minorHAnsi" w:hAnsiTheme="minorHAnsi" w:cstheme="minorHAnsi"/>
              </w:rPr>
              <w:t>Mapowanie przybrzeżnych terenów podmokłych w celu ich ochrony oraz monitorowanie ich roli jako pochłaniaczy dwutlenku węgla</w:t>
            </w:r>
          </w:p>
        </w:tc>
      </w:tr>
    </w:tbl>
    <w:p w14:paraId="6D85D8EB" w14:textId="77777777" w:rsidR="004A0E59" w:rsidRPr="00C72A9B" w:rsidRDefault="004A0E59" w:rsidP="0046504D">
      <w:pPr>
        <w:suppressAutoHyphens/>
      </w:pPr>
      <w:bookmarkStart w:id="36" w:name="_Toc44351613"/>
    </w:p>
    <w:p w14:paraId="42DF99EB" w14:textId="457373F3" w:rsidR="004A0E59" w:rsidRPr="00C72A9B" w:rsidRDefault="004A0E59" w:rsidP="0046504D">
      <w:pPr>
        <w:suppressAutoHyphens/>
      </w:pPr>
      <w:r w:rsidRPr="00C72A9B">
        <w:br w:type="page"/>
      </w:r>
      <w:r w:rsidRPr="00C72A9B">
        <w:lastRenderedPageBreak/>
        <w:t xml:space="preserve">Cel 7: </w:t>
      </w:r>
      <w:r w:rsidRPr="00C72A9B">
        <w:tab/>
        <w:t>Walka z zanieczyszczeniem morza</w:t>
      </w:r>
      <w:bookmarkEnd w:id="36"/>
    </w:p>
    <w:tbl>
      <w:tblPr>
        <w:tblStyle w:val="GridTable4-Accent51"/>
        <w:tblpPr w:leftFromText="180" w:rightFromText="180" w:vertAnchor="text" w:horzAnchor="margin" w:tblpX="108" w:tblpY="249"/>
        <w:tblW w:w="0" w:type="auto"/>
        <w:tblLook w:val="04A0" w:firstRow="1" w:lastRow="0" w:firstColumn="1" w:lastColumn="0" w:noHBand="0" w:noVBand="1"/>
      </w:tblPr>
      <w:tblGrid>
        <w:gridCol w:w="9039"/>
      </w:tblGrid>
      <w:tr w:rsidR="004A0E59" w:rsidRPr="006A0A2B" w14:paraId="5C4A23A1" w14:textId="77777777" w:rsidTr="00D55D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39" w:type="dxa"/>
            <w:tcBorders>
              <w:top w:val="none" w:sz="0" w:space="0" w:color="auto"/>
              <w:left w:val="none" w:sz="0" w:space="0" w:color="auto"/>
              <w:bottom w:val="none" w:sz="0" w:space="0" w:color="auto"/>
              <w:right w:val="none" w:sz="0" w:space="0" w:color="auto"/>
            </w:tcBorders>
          </w:tcPr>
          <w:p w14:paraId="1720B19A" w14:textId="77777777" w:rsidR="004A0E59" w:rsidRPr="006A0A2B" w:rsidRDefault="004A0E59" w:rsidP="0046504D">
            <w:pPr>
              <w:suppressAutoHyphens/>
              <w:rPr>
                <w:rFonts w:cstheme="minorHAnsi"/>
                <w:szCs w:val="22"/>
              </w:rPr>
            </w:pPr>
            <w:r w:rsidRPr="006A0A2B">
              <w:rPr>
                <w:rFonts w:cstheme="minorHAnsi"/>
                <w:szCs w:val="22"/>
              </w:rPr>
              <w:t>Działania</w:t>
            </w:r>
          </w:p>
        </w:tc>
      </w:tr>
      <w:tr w:rsidR="004A0E59" w:rsidRPr="006A0A2B" w14:paraId="7C2CEAF3" w14:textId="77777777" w:rsidTr="00D55D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39" w:type="dxa"/>
          </w:tcPr>
          <w:p w14:paraId="2345CAA8" w14:textId="77777777" w:rsidR="004A0E59" w:rsidRPr="006A0A2B" w:rsidRDefault="004A0E59" w:rsidP="006A0A2B">
            <w:pPr>
              <w:numPr>
                <w:ilvl w:val="0"/>
                <w:numId w:val="158"/>
              </w:numPr>
              <w:suppressAutoHyphens/>
              <w:overflowPunct/>
              <w:textAlignment w:val="auto"/>
              <w:rPr>
                <w:rFonts w:cstheme="minorHAnsi"/>
                <w:b w:val="0"/>
                <w:szCs w:val="22"/>
              </w:rPr>
            </w:pPr>
            <w:r w:rsidRPr="006A0A2B">
              <w:rPr>
                <w:rFonts w:cstheme="minorHAnsi"/>
                <w:szCs w:val="22"/>
              </w:rPr>
              <w:t>Opracowanie projektu pilotażowego obszarów przybrzeżnych wolnych od odpadów</w:t>
            </w:r>
          </w:p>
          <w:p w14:paraId="477C497A" w14:textId="77777777" w:rsidR="004A0E59" w:rsidRPr="006A0A2B" w:rsidRDefault="004A0E59" w:rsidP="006A0A2B">
            <w:pPr>
              <w:numPr>
                <w:ilvl w:val="0"/>
                <w:numId w:val="158"/>
              </w:numPr>
              <w:suppressAutoHyphens/>
              <w:overflowPunct/>
              <w:textAlignment w:val="auto"/>
              <w:rPr>
                <w:rFonts w:cstheme="minorHAnsi"/>
                <w:b w:val="0"/>
                <w:szCs w:val="22"/>
              </w:rPr>
            </w:pPr>
            <w:r w:rsidRPr="006A0A2B">
              <w:rPr>
                <w:rFonts w:cstheme="minorHAnsi"/>
                <w:szCs w:val="22"/>
              </w:rPr>
              <w:t>Korzystanie z dostępnych narzędzi w celu identyfikacji znaczących źródeł odpadów morskich, sposobów dostawania się tych odpadów do morza i obszarów o wysokim zanieczyszczeniu odpadami morskimi oraz przypadkowego i zamierzonego zanieczyszczania</w:t>
            </w:r>
          </w:p>
          <w:p w14:paraId="061B9AE0" w14:textId="77777777" w:rsidR="004A0E59" w:rsidRPr="006A0A2B" w:rsidRDefault="004A0E59" w:rsidP="006A0A2B">
            <w:pPr>
              <w:numPr>
                <w:ilvl w:val="0"/>
                <w:numId w:val="158"/>
              </w:numPr>
              <w:suppressAutoHyphens/>
              <w:overflowPunct/>
              <w:textAlignment w:val="auto"/>
              <w:rPr>
                <w:rFonts w:cstheme="minorHAnsi"/>
                <w:b w:val="0"/>
                <w:szCs w:val="22"/>
              </w:rPr>
            </w:pPr>
            <w:r w:rsidRPr="006A0A2B">
              <w:rPr>
                <w:rFonts w:cstheme="minorHAnsi"/>
                <w:szCs w:val="22"/>
              </w:rPr>
              <w:t>Propagowanie działań biznesowych opierających się na gospodarce o obiegu zamkniętym, rozwijanie zachęt i systemów certyfikacji środowiskowej</w:t>
            </w:r>
          </w:p>
          <w:p w14:paraId="6C1136C6" w14:textId="77777777" w:rsidR="004A0E59" w:rsidRPr="006A0A2B" w:rsidRDefault="004A0E59" w:rsidP="006A0A2B">
            <w:pPr>
              <w:numPr>
                <w:ilvl w:val="0"/>
                <w:numId w:val="158"/>
              </w:numPr>
              <w:suppressAutoHyphens/>
              <w:overflowPunct/>
              <w:textAlignment w:val="auto"/>
              <w:rPr>
                <w:rFonts w:cstheme="minorHAnsi"/>
                <w:b w:val="0"/>
                <w:szCs w:val="22"/>
              </w:rPr>
            </w:pPr>
            <w:r w:rsidRPr="006A0A2B">
              <w:rPr>
                <w:rFonts w:cstheme="minorHAnsi"/>
                <w:szCs w:val="22"/>
              </w:rPr>
              <w:t>Uruchamianie wspólnych działań mających na celu zwiększenie świadomości problemu wśród społeczeństwa, np. dni plaży, podczas których mieszkańcy spotykają się w celu sprzątania plaży</w:t>
            </w:r>
          </w:p>
          <w:p w14:paraId="6B6F3AFF" w14:textId="77777777" w:rsidR="004A0E59" w:rsidRPr="006A0A2B" w:rsidRDefault="004A0E59" w:rsidP="006A0A2B">
            <w:pPr>
              <w:numPr>
                <w:ilvl w:val="0"/>
                <w:numId w:val="158"/>
              </w:numPr>
              <w:suppressAutoHyphens/>
              <w:overflowPunct/>
              <w:textAlignment w:val="auto"/>
              <w:rPr>
                <w:rFonts w:cstheme="minorHAnsi"/>
                <w:b w:val="0"/>
                <w:szCs w:val="22"/>
              </w:rPr>
            </w:pPr>
            <w:r w:rsidRPr="006A0A2B">
              <w:rPr>
                <w:rFonts w:cstheme="minorHAnsi"/>
                <w:szCs w:val="22"/>
              </w:rPr>
              <w:t>Promowanie działań dotyczących połowu odpadów w celu zachęcenia wszystkich rybaków do zabierania na ląd odpadów, które złapią w sieci podczas zwykłych operacji połowowych</w:t>
            </w:r>
          </w:p>
          <w:p w14:paraId="25372639" w14:textId="4BF71F56" w:rsidR="004A0E59" w:rsidRPr="006A0A2B" w:rsidRDefault="004A0E59" w:rsidP="006A0A2B">
            <w:pPr>
              <w:numPr>
                <w:ilvl w:val="0"/>
                <w:numId w:val="158"/>
              </w:numPr>
              <w:suppressAutoHyphens/>
              <w:overflowPunct/>
              <w:textAlignment w:val="auto"/>
              <w:rPr>
                <w:rFonts w:cstheme="minorHAnsi"/>
                <w:b w:val="0"/>
                <w:szCs w:val="22"/>
              </w:rPr>
            </w:pPr>
            <w:r w:rsidRPr="006A0A2B">
              <w:rPr>
                <w:rFonts w:cstheme="minorHAnsi"/>
                <w:szCs w:val="22"/>
              </w:rPr>
              <w:t>Zaangażowanie na podstawie konwencji OSPAR we wdrażanie wspólnych działań w</w:t>
            </w:r>
            <w:r w:rsidR="006A0A2B">
              <w:rPr>
                <w:rFonts w:cstheme="minorHAnsi"/>
                <w:szCs w:val="22"/>
              </w:rPr>
              <w:t> </w:t>
            </w:r>
            <w:r w:rsidRPr="006A0A2B">
              <w:rPr>
                <w:rFonts w:cstheme="minorHAnsi"/>
                <w:szCs w:val="22"/>
              </w:rPr>
              <w:t>ramach regionalnego planu działania dotyczącego odpadów morskich</w:t>
            </w:r>
          </w:p>
          <w:p w14:paraId="4FC22D9A" w14:textId="77777777" w:rsidR="004A0E59" w:rsidRPr="006A0A2B" w:rsidRDefault="004A0E59" w:rsidP="006A0A2B">
            <w:pPr>
              <w:numPr>
                <w:ilvl w:val="0"/>
                <w:numId w:val="158"/>
              </w:numPr>
              <w:suppressAutoHyphens/>
              <w:overflowPunct/>
              <w:textAlignment w:val="auto"/>
              <w:rPr>
                <w:rFonts w:cstheme="minorHAnsi"/>
                <w:b w:val="0"/>
                <w:szCs w:val="22"/>
              </w:rPr>
            </w:pPr>
            <w:r w:rsidRPr="006A0A2B">
              <w:rPr>
                <w:rFonts w:cstheme="minorHAnsi"/>
                <w:szCs w:val="22"/>
              </w:rPr>
              <w:t>Promowanie skoordynowanego i skutecznego wdrażania działań mających na celu rozwiązanie problemu odpadów morskich oraz podwodnego hałasu, wymaganych od państw członkowskich UE na podstawie dyrektywy ramowej w sprawie strategii morskiej</w:t>
            </w:r>
          </w:p>
          <w:p w14:paraId="675C3F11" w14:textId="45609DC6" w:rsidR="004A0E59" w:rsidRPr="006A0A2B" w:rsidRDefault="004A0E59" w:rsidP="006A0A2B">
            <w:pPr>
              <w:numPr>
                <w:ilvl w:val="0"/>
                <w:numId w:val="158"/>
              </w:numPr>
              <w:suppressAutoHyphens/>
              <w:overflowPunct/>
              <w:textAlignment w:val="auto"/>
              <w:rPr>
                <w:rFonts w:cstheme="minorHAnsi"/>
                <w:b w:val="0"/>
                <w:szCs w:val="22"/>
              </w:rPr>
            </w:pPr>
            <w:r w:rsidRPr="006A0A2B">
              <w:rPr>
                <w:rFonts w:cstheme="minorHAnsi"/>
                <w:szCs w:val="22"/>
              </w:rPr>
              <w:t>Wspieranie prac prowadzonych na podstawie Unijnego Mechanizmu Ochrony Ludności oraz na podstawie umowy z Bonn i umowy lizbońskiej, mających na celu skuteczne zapobieganie zamierzonemu i przypadkowemu zanieczyszczaniu oraz przygotowanie i</w:t>
            </w:r>
            <w:r w:rsidR="006A0A2B">
              <w:rPr>
                <w:rFonts w:cstheme="minorHAnsi"/>
                <w:szCs w:val="22"/>
              </w:rPr>
              <w:t> </w:t>
            </w:r>
            <w:r w:rsidRPr="006A0A2B">
              <w:rPr>
                <w:rFonts w:cstheme="minorHAnsi"/>
                <w:szCs w:val="22"/>
              </w:rPr>
              <w:t>reagowanie na takie zanieczyszczanie</w:t>
            </w:r>
          </w:p>
          <w:p w14:paraId="58EC4C03" w14:textId="77777777" w:rsidR="004A0E59" w:rsidRPr="006A0A2B" w:rsidRDefault="004A0E59" w:rsidP="006A0A2B">
            <w:pPr>
              <w:numPr>
                <w:ilvl w:val="0"/>
                <w:numId w:val="158"/>
              </w:numPr>
              <w:suppressAutoHyphens/>
              <w:overflowPunct/>
              <w:textAlignment w:val="auto"/>
              <w:rPr>
                <w:rFonts w:cstheme="minorHAnsi"/>
                <w:szCs w:val="22"/>
              </w:rPr>
            </w:pPr>
            <w:r w:rsidRPr="006A0A2B">
              <w:rPr>
                <w:rFonts w:cstheme="minorHAnsi"/>
                <w:szCs w:val="22"/>
              </w:rPr>
              <w:t>Promowanie współpracy między sektorami w celu skoordynowanego reagowania na morzu i na wybrzeżu</w:t>
            </w:r>
          </w:p>
        </w:tc>
      </w:tr>
    </w:tbl>
    <w:p w14:paraId="623E60A4" w14:textId="77777777" w:rsidR="004A0E59" w:rsidRPr="00C72A9B" w:rsidRDefault="004A0E59" w:rsidP="0046504D">
      <w:pPr>
        <w:suppressAutoHyphens/>
      </w:pPr>
    </w:p>
    <w:p w14:paraId="0E0E50DE" w14:textId="77777777" w:rsidR="004A0E59" w:rsidRPr="00C72A9B" w:rsidRDefault="004A0E59" w:rsidP="0046504D">
      <w:pPr>
        <w:suppressAutoHyphens/>
        <w:overflowPunct/>
        <w:adjustRightInd/>
        <w:jc w:val="center"/>
        <w:textAlignment w:val="auto"/>
      </w:pPr>
      <w:r w:rsidRPr="00C72A9B">
        <w:t>_____________</w:t>
      </w:r>
    </w:p>
    <w:sectPr w:rsidR="004A0E59" w:rsidRPr="00C72A9B" w:rsidSect="00C72A9B">
      <w:headerReference w:type="even" r:id="rId21"/>
      <w:headerReference w:type="default" r:id="rId22"/>
      <w:footerReference w:type="even" r:id="rId23"/>
      <w:footerReference w:type="default" r:id="rId24"/>
      <w:headerReference w:type="first" r:id="rId25"/>
      <w:footerReference w:type="first" r:id="rId26"/>
      <w:pgSz w:w="11907" w:h="16839" w:code="9"/>
      <w:pgMar w:top="1417" w:right="1417" w:bottom="1417" w:left="1417"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522A49" w14:textId="77777777" w:rsidR="00E552A3" w:rsidRDefault="00E552A3">
      <w:r>
        <w:separator/>
      </w:r>
    </w:p>
  </w:endnote>
  <w:endnote w:type="continuationSeparator" w:id="0">
    <w:p w14:paraId="6E522A4A" w14:textId="77777777" w:rsidR="00E552A3" w:rsidRDefault="00E55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E5EFC6" w14:textId="77777777" w:rsidR="00E552A3" w:rsidRPr="00C72A9B" w:rsidRDefault="00E552A3" w:rsidP="00C72A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522A4E" w14:textId="0EABC185" w:rsidR="00E552A3" w:rsidRPr="00C72A9B" w:rsidRDefault="00E552A3" w:rsidP="00C72A9B">
    <w:pPr>
      <w:pStyle w:val="Footer"/>
    </w:pPr>
    <w:r>
      <w:t xml:space="preserve">NAT/801 – EESC-2020-05152-00-00-AS-TRA (PT) </w:t>
    </w:r>
    <w:r>
      <w:fldChar w:fldCharType="begin"/>
    </w:r>
    <w:r>
      <w:instrText xml:space="preserve"> PAGE  \* Arabic  \* MERGEFORMAT </w:instrText>
    </w:r>
    <w:r>
      <w:fldChar w:fldCharType="separate"/>
    </w:r>
    <w:r w:rsidR="00501C19">
      <w:rPr>
        <w:noProof/>
      </w:rPr>
      <w:t>1</w:t>
    </w:r>
    <w:r>
      <w:fldChar w:fldCharType="end"/>
    </w:r>
    <w:r>
      <w:t>/</w:t>
    </w:r>
    <w:r>
      <w:fldChar w:fldCharType="begin"/>
    </w:r>
    <w:r>
      <w:instrText xml:space="preserve"> = </w:instrText>
    </w:r>
    <w:fldSimple w:instr=" NUMPAGES ">
      <w:r w:rsidR="00501C19">
        <w:rPr>
          <w:noProof/>
        </w:rPr>
        <w:instrText>22</w:instrText>
      </w:r>
    </w:fldSimple>
    <w:r>
      <w:instrText xml:space="preserve"> -0 </w:instrText>
    </w:r>
    <w:r>
      <w:fldChar w:fldCharType="separate"/>
    </w:r>
    <w:r w:rsidR="00501C19">
      <w:rPr>
        <w:noProof/>
      </w:rPr>
      <w:t>22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05AEB6" w14:textId="77777777" w:rsidR="00E552A3" w:rsidRPr="00C72A9B" w:rsidRDefault="00E552A3" w:rsidP="00C72A9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522A53" w14:textId="77777777" w:rsidR="00E552A3" w:rsidRPr="00C72A9B" w:rsidRDefault="00E552A3" w:rsidP="00C72A9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522A54" w14:textId="7AEE1C62" w:rsidR="00E552A3" w:rsidRPr="00C72A9B" w:rsidRDefault="00E552A3" w:rsidP="00C72A9B">
    <w:pPr>
      <w:pStyle w:val="Footer"/>
    </w:pPr>
    <w:r>
      <w:t xml:space="preserve">NAT/801 – EESC-2020-05152-00-00-AS-TRA (PT) </w:t>
    </w:r>
    <w:r>
      <w:fldChar w:fldCharType="begin"/>
    </w:r>
    <w:r>
      <w:instrText xml:space="preserve"> PAGE  \* Arabic  \* MERGEFORMAT </w:instrText>
    </w:r>
    <w:r>
      <w:fldChar w:fldCharType="separate"/>
    </w:r>
    <w:r w:rsidR="00501C19">
      <w:rPr>
        <w:noProof/>
      </w:rPr>
      <w:t>22</w:t>
    </w:r>
    <w:r>
      <w:fldChar w:fldCharType="end"/>
    </w:r>
    <w:r>
      <w:t>/</w:t>
    </w:r>
    <w:r>
      <w:fldChar w:fldCharType="begin"/>
    </w:r>
    <w:r>
      <w:instrText xml:space="preserve"> = </w:instrText>
    </w:r>
    <w:fldSimple w:instr=" NUMPAGES ">
      <w:r w:rsidR="00501C19">
        <w:rPr>
          <w:noProof/>
        </w:rPr>
        <w:instrText>22</w:instrText>
      </w:r>
    </w:fldSimple>
    <w:r>
      <w:instrText xml:space="preserve"> -0 </w:instrText>
    </w:r>
    <w:r>
      <w:fldChar w:fldCharType="separate"/>
    </w:r>
    <w:r w:rsidR="00501C19">
      <w:rPr>
        <w:noProof/>
      </w:rPr>
      <w:t>22</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522A56" w14:textId="77777777" w:rsidR="00E552A3" w:rsidRPr="00C72A9B" w:rsidRDefault="00E552A3" w:rsidP="00C72A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522A47" w14:textId="77777777" w:rsidR="00E552A3" w:rsidRDefault="00E552A3">
      <w:r>
        <w:separator/>
      </w:r>
    </w:p>
  </w:footnote>
  <w:footnote w:type="continuationSeparator" w:id="0">
    <w:p w14:paraId="6E522A48" w14:textId="77777777" w:rsidR="00E552A3" w:rsidRDefault="00E552A3">
      <w:r>
        <w:continuationSeparator/>
      </w:r>
    </w:p>
  </w:footnote>
  <w:footnote w:id="1">
    <w:p w14:paraId="6F6B2D19" w14:textId="19C70E8A" w:rsidR="00E552A3" w:rsidRPr="00C72A9B" w:rsidRDefault="00E552A3" w:rsidP="00C72A9B">
      <w:pPr>
        <w:pStyle w:val="FootnoteText"/>
        <w:ind w:left="567" w:hanging="567"/>
        <w:rPr>
          <w:szCs w:val="16"/>
        </w:rPr>
      </w:pPr>
      <w:r w:rsidRPr="00C72A9B">
        <w:rPr>
          <w:rStyle w:val="FootnoteReference"/>
          <w:szCs w:val="24"/>
        </w:rPr>
        <w:footnoteRef/>
      </w:r>
      <w:r w:rsidRPr="00C72A9B">
        <w:tab/>
        <w:t>Opóźnienie w statystykach utrudnia nakreślenie polityk europejskich dostosowanych do</w:t>
      </w:r>
      <w:r>
        <w:t xml:space="preserve"> realiów państw członkowskich i </w:t>
      </w:r>
      <w:r w:rsidRPr="00C72A9B">
        <w:t>negatywnie wpływa na ich monitorowanie. Zdaniem EKES-u w tej dziedzinie należy podjąć zdecydowane zobowiązanie.</w:t>
      </w:r>
    </w:p>
  </w:footnote>
  <w:footnote w:id="2">
    <w:p w14:paraId="4C0B696D" w14:textId="154288CC" w:rsidR="00E552A3" w:rsidRPr="00C72A9B" w:rsidRDefault="00E552A3" w:rsidP="00C72A9B">
      <w:pPr>
        <w:pStyle w:val="FootnoteText"/>
        <w:ind w:left="567" w:hanging="567"/>
        <w:rPr>
          <w:szCs w:val="16"/>
        </w:rPr>
      </w:pPr>
      <w:r w:rsidRPr="00C72A9B">
        <w:rPr>
          <w:rStyle w:val="FootnoteReference"/>
          <w:szCs w:val="24"/>
        </w:rPr>
        <w:footnoteRef/>
      </w:r>
      <w:r w:rsidRPr="00C72A9B">
        <w:rPr>
          <w:szCs w:val="18"/>
        </w:rPr>
        <w:tab/>
      </w:r>
      <w:r w:rsidRPr="00C72A9B">
        <w:t xml:space="preserve">COM(2011) 782 final, </w:t>
      </w:r>
      <w:hyperlink r:id="rId1" w:history="1">
        <w:r w:rsidRPr="00C72A9B">
          <w:rPr>
            <w:rStyle w:val="Hyperlink"/>
          </w:rPr>
          <w:t>https://eur-lex.europa.eu/legal-content/PL/ALL/?uri=CELEX:52011DC0782</w:t>
        </w:r>
      </w:hyperlink>
      <w:r w:rsidRPr="00C72A9B">
        <w:t>.</w:t>
      </w:r>
    </w:p>
  </w:footnote>
  <w:footnote w:id="3">
    <w:p w14:paraId="44B2D4AC" w14:textId="1E4B73FA" w:rsidR="00E552A3" w:rsidRPr="00C72A9B" w:rsidRDefault="00E552A3" w:rsidP="00C72A9B">
      <w:pPr>
        <w:pStyle w:val="FootnoteText"/>
        <w:ind w:left="567" w:hanging="567"/>
      </w:pPr>
      <w:r w:rsidRPr="00C72A9B">
        <w:rPr>
          <w:rStyle w:val="FootnoteReference"/>
          <w:szCs w:val="24"/>
        </w:rPr>
        <w:footnoteRef/>
      </w:r>
      <w:r w:rsidRPr="00C72A9B">
        <w:rPr>
          <w:sz w:val="24"/>
          <w:szCs w:val="18"/>
          <w:vertAlign w:val="superscript"/>
        </w:rPr>
        <w:t xml:space="preserve"> </w:t>
      </w:r>
      <w:r w:rsidRPr="00C72A9B">
        <w:rPr>
          <w:szCs w:val="18"/>
        </w:rPr>
        <w:tab/>
      </w:r>
      <w:r w:rsidRPr="00C72A9B">
        <w:t xml:space="preserve">COM(2013) 279 final, </w:t>
      </w:r>
      <w:hyperlink r:id="rId2" w:history="1">
        <w:r w:rsidRPr="00C72A9B">
          <w:rPr>
            <w:rStyle w:val="Hyperlink"/>
          </w:rPr>
          <w:t>https://eur-lex.europa.eu/legal-content/PL/ALL/?uri=CELEX:52013DC0279</w:t>
        </w:r>
      </w:hyperlink>
      <w:r w:rsidRPr="00C72A9B">
        <w:t>.</w:t>
      </w:r>
    </w:p>
  </w:footnote>
  <w:footnote w:id="4">
    <w:p w14:paraId="5CE27FA6" w14:textId="008A367D" w:rsidR="00E552A3" w:rsidRPr="00C72A9B" w:rsidRDefault="00E552A3" w:rsidP="00C72A9B">
      <w:pPr>
        <w:pStyle w:val="FootnoteText"/>
        <w:ind w:left="567" w:hanging="567"/>
        <w:rPr>
          <w:szCs w:val="16"/>
        </w:rPr>
      </w:pPr>
      <w:r w:rsidRPr="00C72A9B">
        <w:rPr>
          <w:rStyle w:val="FootnoteReference"/>
          <w:szCs w:val="24"/>
        </w:rPr>
        <w:footnoteRef/>
      </w:r>
      <w:r w:rsidRPr="00C72A9B">
        <w:tab/>
        <w:t>ECO/306 – CESE 1298/2012 i NAT/614 – CESE 3961/2013.</w:t>
      </w:r>
    </w:p>
  </w:footnote>
  <w:footnote w:id="5">
    <w:p w14:paraId="7847E3F6" w14:textId="1A9CBF7D" w:rsidR="00E552A3" w:rsidRPr="00C72A9B" w:rsidRDefault="00E552A3" w:rsidP="00C72A9B">
      <w:pPr>
        <w:pStyle w:val="FootnoteText"/>
        <w:ind w:left="567" w:hanging="567"/>
        <w:rPr>
          <w:szCs w:val="16"/>
        </w:rPr>
      </w:pPr>
      <w:r w:rsidRPr="00C72A9B">
        <w:rPr>
          <w:rStyle w:val="FootnoteReference"/>
          <w:szCs w:val="24"/>
        </w:rPr>
        <w:footnoteRef/>
      </w:r>
      <w:r w:rsidRPr="00C72A9B">
        <w:tab/>
        <w:t>COM(2019) 640 final.</w:t>
      </w:r>
    </w:p>
  </w:footnote>
  <w:footnote w:id="6">
    <w:p w14:paraId="79013A57" w14:textId="7A034DAA" w:rsidR="00E552A3" w:rsidRPr="00C72A9B" w:rsidRDefault="00E552A3" w:rsidP="00C72A9B">
      <w:pPr>
        <w:pStyle w:val="FootnoteText"/>
        <w:ind w:left="567" w:hanging="567"/>
      </w:pPr>
      <w:r w:rsidRPr="00C72A9B">
        <w:rPr>
          <w:rStyle w:val="FootnoteReference"/>
        </w:rPr>
        <w:footnoteRef/>
      </w:r>
      <w:r w:rsidRPr="00C72A9B">
        <w:tab/>
        <w:t>COM(2020) 380 final.</w:t>
      </w:r>
    </w:p>
  </w:footnote>
  <w:footnote w:id="7">
    <w:p w14:paraId="3F28240D" w14:textId="67216F31" w:rsidR="00E552A3" w:rsidRPr="00C72A9B" w:rsidRDefault="00E552A3" w:rsidP="00C72A9B">
      <w:pPr>
        <w:pStyle w:val="FootnoteText"/>
        <w:ind w:left="567" w:hanging="567"/>
      </w:pPr>
      <w:r w:rsidRPr="00C72A9B">
        <w:rPr>
          <w:rStyle w:val="FootnoteReference"/>
        </w:rPr>
        <w:footnoteRef/>
      </w:r>
      <w:r w:rsidRPr="00C72A9B">
        <w:tab/>
        <w:t>COM(2020) 381 final.</w:t>
      </w:r>
    </w:p>
  </w:footnote>
  <w:footnote w:id="8">
    <w:p w14:paraId="01FBD7B9" w14:textId="4FACFBA3" w:rsidR="00E552A3" w:rsidRPr="00C72A9B" w:rsidRDefault="00E552A3" w:rsidP="00C72A9B">
      <w:pPr>
        <w:pStyle w:val="FootnoteText"/>
        <w:ind w:left="567" w:hanging="567"/>
      </w:pPr>
      <w:r w:rsidRPr="00C72A9B">
        <w:rPr>
          <w:rStyle w:val="FootnoteReference"/>
        </w:rPr>
        <w:footnoteRef/>
      </w:r>
      <w:r w:rsidRPr="00C72A9B">
        <w:tab/>
        <w:t>COM(2020) 456 final.</w:t>
      </w:r>
    </w:p>
  </w:footnote>
  <w:footnote w:id="9">
    <w:p w14:paraId="358F953F" w14:textId="1325D7ED" w:rsidR="00E552A3" w:rsidRPr="00C72A9B" w:rsidRDefault="00E552A3" w:rsidP="00C72A9B">
      <w:pPr>
        <w:pStyle w:val="FootnoteText"/>
        <w:ind w:left="567" w:hanging="567"/>
        <w:rPr>
          <w:szCs w:val="16"/>
        </w:rPr>
      </w:pPr>
      <w:r w:rsidRPr="00C72A9B">
        <w:rPr>
          <w:rStyle w:val="FootnoteReference"/>
          <w:szCs w:val="24"/>
        </w:rPr>
        <w:footnoteRef/>
      </w:r>
      <w:r w:rsidRPr="00C72A9B">
        <w:tab/>
        <w:t>COM(2020) 329 final.</w:t>
      </w:r>
    </w:p>
  </w:footnote>
  <w:footnote w:id="10">
    <w:p w14:paraId="605D5ED7" w14:textId="2F222853" w:rsidR="00E552A3" w:rsidRPr="00C72A9B" w:rsidRDefault="00E552A3" w:rsidP="00C72A9B">
      <w:pPr>
        <w:pStyle w:val="FootnoteText"/>
        <w:ind w:left="567" w:hanging="567"/>
        <w:rPr>
          <w:szCs w:val="16"/>
        </w:rPr>
      </w:pPr>
      <w:r w:rsidRPr="00C72A9B">
        <w:rPr>
          <w:rStyle w:val="FootnoteReference"/>
          <w:szCs w:val="24"/>
        </w:rPr>
        <w:footnoteRef/>
      </w:r>
      <w:r w:rsidRPr="00C72A9B">
        <w:tab/>
        <w:t>SWD(2020) 140 final.</w:t>
      </w:r>
    </w:p>
  </w:footnote>
  <w:footnote w:id="11">
    <w:p w14:paraId="5C52C0A7" w14:textId="50E36930" w:rsidR="00E552A3" w:rsidRPr="00C72A9B" w:rsidRDefault="00E552A3" w:rsidP="00C72A9B">
      <w:pPr>
        <w:pStyle w:val="FootnoteText"/>
        <w:ind w:left="567" w:hanging="567"/>
      </w:pPr>
      <w:r w:rsidRPr="00C72A9B">
        <w:rPr>
          <w:rStyle w:val="FootnoteReference"/>
        </w:rPr>
        <w:footnoteRef/>
      </w:r>
      <w:r w:rsidRPr="00C72A9B">
        <w:tab/>
        <w:t xml:space="preserve">SWD(2018) 49 final, </w:t>
      </w:r>
      <w:hyperlink r:id="rId3" w:history="1">
        <w:r w:rsidRPr="00C72A9B">
          <w:rPr>
            <w:rStyle w:val="Hyperlink"/>
            <w:rFonts w:asciiTheme="majorBidi" w:hAnsiTheme="majorBidi"/>
            <w:szCs w:val="16"/>
          </w:rPr>
          <w:t>https://ec.europa.eu/maritimeaffairs/sites/maritimeaffairs/files/swd-2018-49_en.pdf</w:t>
        </w:r>
      </w:hyperlink>
      <w:r w:rsidRPr="00C72A9B">
        <w:t>.</w:t>
      </w:r>
    </w:p>
  </w:footnote>
  <w:footnote w:id="12">
    <w:p w14:paraId="790C3D7C" w14:textId="6131645E" w:rsidR="00E552A3" w:rsidRPr="00C72A9B" w:rsidRDefault="00E552A3" w:rsidP="00C72A9B">
      <w:pPr>
        <w:pStyle w:val="FootnoteText"/>
        <w:ind w:left="567" w:hanging="567"/>
        <w:rPr>
          <w:iCs/>
          <w:szCs w:val="16"/>
        </w:rPr>
      </w:pPr>
      <w:r w:rsidRPr="00C72A9B">
        <w:rPr>
          <w:rStyle w:val="FootnoteReference"/>
          <w:szCs w:val="24"/>
        </w:rPr>
        <w:footnoteRef/>
      </w:r>
      <w:r w:rsidRPr="00C72A9B">
        <w:tab/>
      </w:r>
      <w:r w:rsidRPr="00C72A9B">
        <w:rPr>
          <w:szCs w:val="16"/>
        </w:rPr>
        <w:t>Tamże.</w:t>
      </w:r>
    </w:p>
  </w:footnote>
  <w:footnote w:id="13">
    <w:p w14:paraId="1036FBC1" w14:textId="4E667502" w:rsidR="00E552A3" w:rsidRPr="00C72A9B" w:rsidRDefault="00E552A3" w:rsidP="00C72A9B">
      <w:pPr>
        <w:pStyle w:val="FootnoteText"/>
        <w:ind w:left="567" w:hanging="567"/>
        <w:rPr>
          <w:szCs w:val="16"/>
        </w:rPr>
      </w:pPr>
      <w:r w:rsidRPr="00C72A9B">
        <w:rPr>
          <w:rStyle w:val="FootnoteReference"/>
          <w:szCs w:val="24"/>
        </w:rPr>
        <w:footnoteRef/>
      </w:r>
      <w:r w:rsidRPr="00C72A9B">
        <w:tab/>
        <w:t>COM(2007) 575.</w:t>
      </w:r>
    </w:p>
  </w:footnote>
  <w:footnote w:id="14">
    <w:p w14:paraId="2864DD34" w14:textId="39D88E11" w:rsidR="00E552A3" w:rsidRPr="00C72A9B" w:rsidRDefault="00E552A3" w:rsidP="00C72A9B">
      <w:pPr>
        <w:pStyle w:val="FootnoteText"/>
        <w:ind w:left="567" w:hanging="567"/>
        <w:rPr>
          <w:szCs w:val="16"/>
        </w:rPr>
      </w:pPr>
      <w:r w:rsidRPr="00C72A9B">
        <w:rPr>
          <w:rStyle w:val="FootnoteReference"/>
          <w:szCs w:val="24"/>
        </w:rPr>
        <w:footnoteRef/>
      </w:r>
      <w:r w:rsidRPr="00C72A9B">
        <w:tab/>
        <w:t>COM(2012) 494; COM(2014) 254; COM(2008) 768; COM(2013) 229; COM(2014) 008; COM(2014) 086; strategiczny plan działania „Budowa energii mórz i oceanów dla Europy”.</w:t>
      </w:r>
    </w:p>
  </w:footnote>
  <w:footnote w:id="15">
    <w:p w14:paraId="4086CF4F" w14:textId="60C4D2D2" w:rsidR="00E552A3" w:rsidRPr="00C72A9B" w:rsidRDefault="00E552A3" w:rsidP="00C72A9B">
      <w:pPr>
        <w:pStyle w:val="FootnoteText"/>
        <w:ind w:left="567" w:hanging="567"/>
        <w:rPr>
          <w:szCs w:val="16"/>
        </w:rPr>
      </w:pPr>
      <w:r w:rsidRPr="00C72A9B">
        <w:rPr>
          <w:rStyle w:val="FootnoteReference"/>
          <w:szCs w:val="24"/>
        </w:rPr>
        <w:footnoteRef/>
      </w:r>
      <w:r w:rsidRPr="00C72A9B">
        <w:tab/>
        <w:t>Plan działania dotyczący strategii „Wiedza o morzu 2020” (SWD(2014) 0149).</w:t>
      </w:r>
    </w:p>
  </w:footnote>
  <w:footnote w:id="16">
    <w:p w14:paraId="0ECBE51D" w14:textId="174B406F" w:rsidR="00E552A3" w:rsidRPr="00C72A9B" w:rsidRDefault="00E552A3" w:rsidP="00C72A9B">
      <w:pPr>
        <w:pStyle w:val="FootnoteText"/>
        <w:ind w:left="567" w:hanging="567"/>
        <w:rPr>
          <w:szCs w:val="16"/>
        </w:rPr>
      </w:pPr>
      <w:r w:rsidRPr="00C72A9B">
        <w:rPr>
          <w:rStyle w:val="FootnoteReference"/>
          <w:szCs w:val="24"/>
        </w:rPr>
        <w:footnoteRef/>
      </w:r>
      <w:r w:rsidRPr="00C72A9B">
        <w:tab/>
        <w:t>Dyrektywa 2014/89/UE.</w:t>
      </w:r>
    </w:p>
  </w:footnote>
  <w:footnote w:id="17">
    <w:p w14:paraId="50CDADCB" w14:textId="57AE3E6F" w:rsidR="00E552A3" w:rsidRPr="00C72A9B" w:rsidRDefault="00E552A3" w:rsidP="00C72A9B">
      <w:pPr>
        <w:pStyle w:val="FootnoteText"/>
        <w:ind w:left="567" w:hanging="567"/>
      </w:pPr>
      <w:r w:rsidRPr="00C72A9B">
        <w:rPr>
          <w:rStyle w:val="FootnoteReference"/>
        </w:rPr>
        <w:footnoteRef/>
      </w:r>
      <w:r w:rsidRPr="00C72A9B">
        <w:tab/>
        <w:t>Przykładem dobrych praktyk jest panel wysokiego szczebla ds. zrównoważonej gospodarki oceanicznej składający się z 14 krajów, w tym dwóch europejskich: Portugalii i Norwegii.</w:t>
      </w:r>
    </w:p>
  </w:footnote>
  <w:footnote w:id="18">
    <w:p w14:paraId="2C9B8FC7" w14:textId="63A3D19D" w:rsidR="00E552A3" w:rsidRPr="00C72A9B" w:rsidRDefault="00E552A3" w:rsidP="00C72A9B">
      <w:pPr>
        <w:pStyle w:val="FootnoteText"/>
        <w:ind w:left="567" w:hanging="567"/>
        <w:rPr>
          <w:szCs w:val="16"/>
        </w:rPr>
      </w:pPr>
      <w:r w:rsidRPr="00C72A9B">
        <w:rPr>
          <w:rStyle w:val="FootnoteReference"/>
          <w:szCs w:val="24"/>
        </w:rPr>
        <w:footnoteRef/>
      </w:r>
      <w:r w:rsidRPr="00C72A9B">
        <w:rPr>
          <w:sz w:val="24"/>
          <w:szCs w:val="18"/>
          <w:vertAlign w:val="superscript"/>
        </w:rPr>
        <w:t xml:space="preserve"> </w:t>
      </w:r>
      <w:r w:rsidRPr="00C72A9B">
        <w:rPr>
          <w:szCs w:val="18"/>
        </w:rPr>
        <w:tab/>
      </w:r>
      <w:r w:rsidRPr="00C72A9B">
        <w:t>Granty EOG – dotacje EOG i Norwegii wynikają z uczestnictwa Islandii, Liechtensteinu i</w:t>
      </w:r>
      <w:r>
        <w:t xml:space="preserve"> Norwegii w rynku wewnętrznym w </w:t>
      </w:r>
      <w:r w:rsidRPr="00C72A9B">
        <w:t>dziedzinach objętych Porozumieniem EOG.</w:t>
      </w:r>
    </w:p>
  </w:footnote>
  <w:footnote w:id="19">
    <w:p w14:paraId="40519EA5" w14:textId="385CC982" w:rsidR="00E552A3" w:rsidRPr="00C72A9B" w:rsidRDefault="00E552A3" w:rsidP="00C72A9B">
      <w:pPr>
        <w:pStyle w:val="FootnoteText"/>
        <w:ind w:left="567" w:hanging="567"/>
      </w:pPr>
      <w:r w:rsidRPr="00C72A9B">
        <w:rPr>
          <w:rStyle w:val="FootnoteReference"/>
        </w:rPr>
        <w:footnoteRef/>
      </w:r>
      <w:r w:rsidRPr="00C72A9B">
        <w:tab/>
      </w:r>
      <w:r w:rsidRPr="00C72A9B">
        <w:rPr>
          <w:szCs w:val="18"/>
        </w:rPr>
        <w:t>ECO/306 – CESE 1298/2012.</w:t>
      </w:r>
    </w:p>
  </w:footnote>
  <w:footnote w:id="20">
    <w:p w14:paraId="1640076C" w14:textId="07F0830D" w:rsidR="00E552A3" w:rsidRPr="00C72A9B" w:rsidRDefault="00E552A3" w:rsidP="00C72A9B">
      <w:pPr>
        <w:pStyle w:val="FootnoteText"/>
        <w:ind w:left="567" w:hanging="567"/>
        <w:rPr>
          <w:szCs w:val="18"/>
        </w:rPr>
      </w:pPr>
      <w:r w:rsidRPr="00C72A9B">
        <w:rPr>
          <w:rStyle w:val="FootnoteReference"/>
          <w:szCs w:val="24"/>
        </w:rPr>
        <w:footnoteRef/>
      </w:r>
      <w:r w:rsidRPr="00C72A9B">
        <w:rPr>
          <w:szCs w:val="18"/>
        </w:rPr>
        <w:tab/>
        <w:t>COM(2020) 329 final.</w:t>
      </w:r>
    </w:p>
  </w:footnote>
  <w:footnote w:id="21">
    <w:p w14:paraId="316967CB" w14:textId="787C7188" w:rsidR="00E552A3" w:rsidRPr="00C72A9B" w:rsidRDefault="00E552A3" w:rsidP="00C72A9B">
      <w:pPr>
        <w:spacing w:after="60" w:line="240" w:lineRule="auto"/>
        <w:ind w:left="567" w:hanging="567"/>
        <w:rPr>
          <w:sz w:val="16"/>
        </w:rPr>
      </w:pPr>
      <w:r w:rsidRPr="00C72A9B">
        <w:rPr>
          <w:rStyle w:val="FootnoteReference"/>
          <w:szCs w:val="24"/>
        </w:rPr>
        <w:footnoteRef/>
      </w:r>
      <w:r w:rsidR="00501C19">
        <w:rPr>
          <w:sz w:val="24"/>
          <w:vertAlign w:val="superscript"/>
        </w:rPr>
        <w:tab/>
      </w:r>
      <w:bookmarkStart w:id="35" w:name="_GoBack"/>
      <w:bookmarkEnd w:id="35"/>
      <w:r w:rsidRPr="00C72A9B">
        <w:rPr>
          <w:sz w:val="16"/>
        </w:rPr>
        <w:t>Dyrektywa Parlamentu Europejskiego i Rady 2011/92/UE z dnia 13 grudnia 2011 r. w sprawie oceny skutków wywieranych przez niektóre przedsięwzięcia publiczne i prywatne na środowisko, Dz.U. L 26 z 28.1.2012, s. 1, zmieniona dyrektywą Parlamentu Europejskiego i Rady 2014/52/UE z dnia 16 kwietnia 2014 r., Dz.U. L 124 z 25.4.2014, s. 1.</w:t>
      </w:r>
    </w:p>
  </w:footnote>
  <w:footnote w:id="22">
    <w:p w14:paraId="33BF9B02" w14:textId="77777777" w:rsidR="00E552A3" w:rsidRPr="00C72A9B" w:rsidRDefault="00E552A3" w:rsidP="00C72A9B">
      <w:pPr>
        <w:spacing w:after="60" w:line="240" w:lineRule="auto"/>
        <w:ind w:left="567" w:hanging="567"/>
        <w:rPr>
          <w:sz w:val="16"/>
        </w:rPr>
      </w:pPr>
      <w:r w:rsidRPr="00C72A9B">
        <w:rPr>
          <w:rStyle w:val="FootnoteReference"/>
          <w:szCs w:val="24"/>
        </w:rPr>
        <w:footnoteRef/>
      </w:r>
      <w:r w:rsidRPr="00C72A9B">
        <w:rPr>
          <w:sz w:val="16"/>
        </w:rPr>
        <w:tab/>
        <w:t>Dyrektywa 2001/42/WE Parlamentu Europejskiego i Rady w sprawie oceny wpływu niektórych planów i programów na środowisko, Dz.U. L 197 z 21.7.2001, s. 30.</w:t>
      </w:r>
    </w:p>
  </w:footnote>
  <w:footnote w:id="23">
    <w:p w14:paraId="58AA6169" w14:textId="0C5936CF" w:rsidR="00E552A3" w:rsidRPr="00C72A9B" w:rsidRDefault="00E552A3" w:rsidP="00C72A9B">
      <w:pPr>
        <w:spacing w:after="60" w:line="240" w:lineRule="auto"/>
        <w:ind w:left="567" w:hanging="567"/>
        <w:rPr>
          <w:iCs/>
          <w:sz w:val="16"/>
          <w:szCs w:val="16"/>
        </w:rPr>
      </w:pPr>
      <w:r w:rsidRPr="00C72A9B">
        <w:rPr>
          <w:rStyle w:val="FootnoteReference"/>
          <w:szCs w:val="24"/>
        </w:rPr>
        <w:footnoteRef/>
      </w:r>
      <w:r w:rsidRPr="00C72A9B">
        <w:rPr>
          <w:sz w:val="16"/>
          <w:szCs w:val="16"/>
        </w:rPr>
        <w:tab/>
        <w:t>Dyrektywa Rady 92/43/EWG z dnia 21 maja 1992 r. w sprawie ochrony siedlisk przyrodniczych oraz dzikiej fauny i flory, Dz.U. L 206 z 22.07.1992, zmieniona dyrektywą Rady 97/62/WE z dnia 27 października 1997 r., Dz.U. L 305 z 8.11.1997, s. 42, rozporządzenie (WE) nr 1882/2003 Parlamentu Europejskiego i Rady z dnia 29 września 2003 r., Dz.U. L 284 z 31.10.2003, s. 1, dyrektywa Rady 2006/105/WE z dnia 20 listopada 2006 r., Dz.U. L 363 z 20.12.2006, s. 368, dyrektywa Rady 2013/17/UE z dnia 13 maja 2013 r., Dz.U. L 158 z 10.6.2013, s. 193.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D3F04D" w14:textId="77777777" w:rsidR="00E552A3" w:rsidRPr="00C72A9B" w:rsidRDefault="00E552A3" w:rsidP="00C72A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F3081" w14:textId="77777777" w:rsidR="00E552A3" w:rsidRPr="00C72A9B" w:rsidRDefault="00E552A3" w:rsidP="00C72A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181724" w14:textId="77777777" w:rsidR="00E552A3" w:rsidRPr="00C72A9B" w:rsidRDefault="00E552A3" w:rsidP="00C72A9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522A51" w14:textId="77777777" w:rsidR="00E552A3" w:rsidRPr="00C72A9B" w:rsidRDefault="00E552A3" w:rsidP="00C72A9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522A52" w14:textId="5DE2B851" w:rsidR="00E552A3" w:rsidRPr="00C72A9B" w:rsidRDefault="00E552A3" w:rsidP="00C72A9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522A55" w14:textId="77777777" w:rsidR="00E552A3" w:rsidRPr="00C72A9B" w:rsidRDefault="00E552A3" w:rsidP="00C72A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FDC4686"/>
    <w:lvl w:ilvl="0">
      <w:start w:val="1"/>
      <w:numFmt w:val="decimal"/>
      <w:pStyle w:val="Heading1"/>
      <w:lvlText w:val="%1."/>
      <w:legacy w:legacy="1" w:legacySpace="0" w:legacyIndent="0"/>
      <w:lvlJc w:val="left"/>
      <w:rPr>
        <w:b w:val="0"/>
      </w:rPr>
    </w:lvl>
    <w:lvl w:ilvl="1">
      <w:start w:val="1"/>
      <w:numFmt w:val="decimal"/>
      <w:pStyle w:val="Heading2"/>
      <w:lvlText w:val="%1.%2"/>
      <w:legacy w:legacy="1" w:legacySpace="144" w:legacyIndent="0"/>
      <w:lvlJc w:val="left"/>
      <w:rPr>
        <w:b w:val="0"/>
      </w:rPr>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42103EB"/>
    <w:multiLevelType w:val="multilevel"/>
    <w:tmpl w:val="A6C8DBA6"/>
    <w:lvl w:ilvl="0">
      <w:start w:val="1"/>
      <w:numFmt w:val="decimal"/>
      <w:lvlText w:val="%1."/>
      <w:lvlJc w:val="left"/>
      <w:pPr>
        <w:ind w:left="720" w:hanging="360"/>
      </w:pPr>
      <w:rPr>
        <w:rFonts w:hint="default"/>
      </w:rPr>
    </w:lvl>
    <w:lvl w:ilvl="1">
      <w:start w:val="1"/>
      <w:numFmt w:val="decimal"/>
      <w:isLgl/>
      <w:lvlText w:val="%1.%2"/>
      <w:lvlJc w:val="left"/>
      <w:pPr>
        <w:ind w:left="1215" w:hanging="855"/>
      </w:pPr>
      <w:rPr>
        <w:rFonts w:hint="default"/>
      </w:rPr>
    </w:lvl>
    <w:lvl w:ilvl="2">
      <w:start w:val="1"/>
      <w:numFmt w:val="decimal"/>
      <w:isLgl/>
      <w:lvlText w:val="%1.%2.%3"/>
      <w:lvlJc w:val="left"/>
      <w:pPr>
        <w:ind w:left="1215" w:hanging="855"/>
      </w:pPr>
      <w:rPr>
        <w:rFonts w:hint="default"/>
      </w:rPr>
    </w:lvl>
    <w:lvl w:ilvl="3">
      <w:start w:val="1"/>
      <w:numFmt w:val="decimal"/>
      <w:isLgl/>
      <w:lvlText w:val="%1.%2.%3.%4"/>
      <w:lvlJc w:val="left"/>
      <w:pPr>
        <w:ind w:left="1215" w:hanging="85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F375B19"/>
    <w:multiLevelType w:val="hybridMultilevel"/>
    <w:tmpl w:val="475E375E"/>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15:restartNumberingAfterBreak="0">
    <w:nsid w:val="257411D3"/>
    <w:multiLevelType w:val="hybridMultilevel"/>
    <w:tmpl w:val="E2F0B860"/>
    <w:lvl w:ilvl="0" w:tplc="04100003">
      <w:start w:val="1"/>
      <w:numFmt w:val="bullet"/>
      <w:lvlText w:val="►"/>
      <w:lvlJc w:val="left"/>
      <w:pPr>
        <w:ind w:left="720" w:hanging="360"/>
      </w:pPr>
      <w:rPr>
        <w:rFonts w:ascii="Arial" w:hAnsi="Arial" w:hint="default"/>
        <w:b/>
        <w:i w:val="0"/>
        <w:color w:val="FFC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84519B0"/>
    <w:multiLevelType w:val="hybridMultilevel"/>
    <w:tmpl w:val="58725E3E"/>
    <w:lvl w:ilvl="0" w:tplc="04100003">
      <w:start w:val="1"/>
      <w:numFmt w:val="bullet"/>
      <w:lvlText w:val="►"/>
      <w:lvlJc w:val="left"/>
      <w:pPr>
        <w:ind w:left="720" w:hanging="360"/>
      </w:pPr>
      <w:rPr>
        <w:rFonts w:ascii="Arial" w:hAnsi="Arial" w:hint="default"/>
        <w:b/>
        <w:i w:val="0"/>
        <w:color w:val="FFC00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88242A6"/>
    <w:multiLevelType w:val="multilevel"/>
    <w:tmpl w:val="B2D41AA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57691C74"/>
    <w:multiLevelType w:val="hybridMultilevel"/>
    <w:tmpl w:val="40C2CE4A"/>
    <w:lvl w:ilvl="0" w:tplc="04100003">
      <w:start w:val="1"/>
      <w:numFmt w:val="bullet"/>
      <w:lvlText w:val="►"/>
      <w:lvlJc w:val="left"/>
      <w:pPr>
        <w:ind w:left="720" w:hanging="360"/>
      </w:pPr>
      <w:rPr>
        <w:rFonts w:ascii="Arial" w:hAnsi="Arial" w:hint="default"/>
        <w:b/>
        <w:i w:val="0"/>
        <w:color w:val="FFC000"/>
        <w:sz w:val="18"/>
        <w:szCs w:val="16"/>
        <w:lang w:val="en-G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0851191"/>
    <w:multiLevelType w:val="multilevel"/>
    <w:tmpl w:val="AB708E62"/>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abstractNumId w:val="0"/>
  </w:num>
  <w:num w:numId="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7">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8">
    <w:abstractNumId w:val="0"/>
    <w:lvlOverride w:ilvl="0">
      <w:lvl w:ilvl="0">
        <w:start w:val="1"/>
        <w:numFmt w:val="decimal"/>
        <w:pStyle w:val="Heading1"/>
        <w:lvlText w:val="%1."/>
        <w:legacy w:legacy="1" w:legacySpace="0" w:legacyIndent="0"/>
        <w:lvlJc w:val="left"/>
        <w:rPr>
          <w:b w:val="0"/>
        </w:rPr>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0">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6">
    <w:abstractNumId w:val="0"/>
    <w:lvlOverride w:ilvl="0">
      <w:lvl w:ilvl="0">
        <w:start w:val="1"/>
        <w:numFmt w:val="decimal"/>
        <w:pStyle w:val="Heading1"/>
        <w:lvlText w:val="%1."/>
        <w:legacy w:legacy="1" w:legacySpace="0" w:legacyIndent="0"/>
        <w:lvlJc w:val="left"/>
        <w:rPr>
          <w:b w:val="0"/>
        </w:rPr>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7">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8">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0">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6">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7">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8">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0">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6">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7">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8">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0">
    <w:abstractNumId w:val="0"/>
    <w:lvlOverride w:ilvl="0">
      <w:lvl w:ilvl="0">
        <w:start w:val="1"/>
        <w:numFmt w:val="decimal"/>
        <w:pStyle w:val="Heading1"/>
        <w:lvlText w:val="%1."/>
        <w:legacy w:legacy="1" w:legacySpace="0" w:legacyIndent="0"/>
        <w:lvlJc w:val="left"/>
        <w:rPr>
          <w:b w:val="0"/>
        </w:rPr>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6">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7">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8">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0">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6">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7">
    <w:abstractNumId w:val="0"/>
    <w:lvlOverride w:ilvl="0">
      <w:lvl w:ilvl="0">
        <w:start w:val="1"/>
        <w:numFmt w:val="decimal"/>
        <w:pStyle w:val="Heading1"/>
        <w:lvlText w:val="%1."/>
        <w:legacy w:legacy="1" w:legacySpace="0" w:legacyIndent="0"/>
        <w:lvlJc w:val="left"/>
        <w:rPr>
          <w:b w:val="0"/>
        </w:rPr>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8">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0">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5">
    <w:abstractNumId w:val="5"/>
  </w:num>
  <w:num w:numId="66">
    <w:abstractNumId w:val="0"/>
  </w:num>
  <w:num w:numId="67">
    <w:abstractNumId w:val="0"/>
  </w:num>
  <w:num w:numId="68">
    <w:abstractNumId w:val="0"/>
  </w:num>
  <w:num w:numId="69">
    <w:abstractNumId w:val="0"/>
  </w:num>
  <w:num w:numId="70">
    <w:abstractNumId w:val="0"/>
  </w:num>
  <w:num w:numId="71">
    <w:abstractNumId w:val="7"/>
  </w:num>
  <w:num w:numId="72">
    <w:abstractNumId w:val="1"/>
  </w:num>
  <w:num w:numId="73">
    <w:abstractNumId w:val="2"/>
  </w:num>
  <w:num w:numId="74">
    <w:abstractNumId w:val="0"/>
  </w:num>
  <w:num w:numId="75">
    <w:abstractNumId w:val="0"/>
  </w:num>
  <w:num w:numId="76">
    <w:abstractNumId w:val="0"/>
  </w:num>
  <w:num w:numId="77">
    <w:abstractNumId w:val="0"/>
  </w:num>
  <w:num w:numId="78">
    <w:abstractNumId w:val="0"/>
  </w:num>
  <w:num w:numId="79">
    <w:abstractNumId w:val="0"/>
  </w:num>
  <w:num w:numId="80">
    <w:abstractNumId w:val="0"/>
  </w:num>
  <w:num w:numId="81">
    <w:abstractNumId w:val="0"/>
  </w:num>
  <w:num w:numId="82">
    <w:abstractNumId w:val="0"/>
  </w:num>
  <w:num w:numId="83">
    <w:abstractNumId w:val="0"/>
  </w:num>
  <w:num w:numId="84">
    <w:abstractNumId w:val="0"/>
  </w:num>
  <w:num w:numId="85">
    <w:abstractNumId w:val="0"/>
  </w:num>
  <w:num w:numId="86">
    <w:abstractNumId w:val="0"/>
  </w:num>
  <w:num w:numId="87">
    <w:abstractNumId w:val="0"/>
  </w:num>
  <w:num w:numId="88">
    <w:abstractNumId w:val="0"/>
  </w:num>
  <w:num w:numId="89">
    <w:abstractNumId w:val="0"/>
  </w:num>
  <w:num w:numId="90">
    <w:abstractNumId w:val="0"/>
  </w:num>
  <w:num w:numId="91">
    <w:abstractNumId w:val="0"/>
  </w:num>
  <w:num w:numId="92">
    <w:abstractNumId w:val="0"/>
  </w:num>
  <w:num w:numId="93">
    <w:abstractNumId w:val="0"/>
  </w:num>
  <w:num w:numId="94">
    <w:abstractNumId w:val="0"/>
  </w:num>
  <w:num w:numId="95">
    <w:abstractNumId w:val="0"/>
  </w:num>
  <w:num w:numId="96">
    <w:abstractNumId w:val="0"/>
  </w:num>
  <w:num w:numId="97">
    <w:abstractNumId w:val="0"/>
  </w:num>
  <w:num w:numId="98">
    <w:abstractNumId w:val="0"/>
  </w:num>
  <w:num w:numId="99">
    <w:abstractNumId w:val="0"/>
  </w:num>
  <w:num w:numId="100">
    <w:abstractNumId w:val="0"/>
  </w:num>
  <w:num w:numId="101">
    <w:abstractNumId w:val="0"/>
  </w:num>
  <w:num w:numId="102">
    <w:abstractNumId w:val="0"/>
  </w:num>
  <w:num w:numId="103">
    <w:abstractNumId w:val="0"/>
  </w:num>
  <w:num w:numId="104">
    <w:abstractNumId w:val="0"/>
  </w:num>
  <w:num w:numId="105">
    <w:abstractNumId w:val="0"/>
  </w:num>
  <w:num w:numId="106">
    <w:abstractNumId w:val="0"/>
  </w:num>
  <w:num w:numId="107">
    <w:abstractNumId w:val="0"/>
  </w:num>
  <w:num w:numId="108">
    <w:abstractNumId w:val="0"/>
  </w:num>
  <w:num w:numId="109">
    <w:abstractNumId w:val="0"/>
  </w:num>
  <w:num w:numId="110">
    <w:abstractNumId w:val="0"/>
  </w:num>
  <w:num w:numId="111">
    <w:abstractNumId w:val="0"/>
  </w:num>
  <w:num w:numId="112">
    <w:abstractNumId w:val="0"/>
  </w:num>
  <w:num w:numId="113">
    <w:abstractNumId w:val="0"/>
  </w:num>
  <w:num w:numId="114">
    <w:abstractNumId w:val="0"/>
  </w:num>
  <w:num w:numId="115">
    <w:abstractNumId w:val="0"/>
  </w:num>
  <w:num w:numId="116">
    <w:abstractNumId w:val="0"/>
  </w:num>
  <w:num w:numId="117">
    <w:abstractNumId w:val="0"/>
  </w:num>
  <w:num w:numId="118">
    <w:abstractNumId w:val="0"/>
  </w:num>
  <w:num w:numId="119">
    <w:abstractNumId w:val="0"/>
  </w:num>
  <w:num w:numId="120">
    <w:abstractNumId w:val="0"/>
  </w:num>
  <w:num w:numId="121">
    <w:abstractNumId w:val="0"/>
  </w:num>
  <w:num w:numId="122">
    <w:abstractNumId w:val="0"/>
  </w:num>
  <w:num w:numId="123">
    <w:abstractNumId w:val="0"/>
  </w:num>
  <w:num w:numId="124">
    <w:abstractNumId w:val="0"/>
  </w:num>
  <w:num w:numId="125">
    <w:abstractNumId w:val="0"/>
  </w:num>
  <w:num w:numId="126">
    <w:abstractNumId w:val="0"/>
  </w:num>
  <w:num w:numId="127">
    <w:abstractNumId w:val="0"/>
  </w:num>
  <w:num w:numId="128">
    <w:abstractNumId w:val="0"/>
  </w:num>
  <w:num w:numId="129">
    <w:abstractNumId w:val="0"/>
  </w:num>
  <w:num w:numId="130">
    <w:abstractNumId w:val="0"/>
  </w:num>
  <w:num w:numId="131">
    <w:abstractNumId w:val="0"/>
  </w:num>
  <w:num w:numId="132">
    <w:abstractNumId w:val="0"/>
  </w:num>
  <w:num w:numId="133">
    <w:abstractNumId w:val="0"/>
  </w:num>
  <w:num w:numId="134">
    <w:abstractNumId w:val="0"/>
  </w:num>
  <w:num w:numId="135">
    <w:abstractNumId w:val="0"/>
  </w:num>
  <w:num w:numId="136">
    <w:abstractNumId w:val="0"/>
  </w:num>
  <w:num w:numId="137">
    <w:abstractNumId w:val="0"/>
  </w:num>
  <w:num w:numId="138">
    <w:abstractNumId w:val="0"/>
  </w:num>
  <w:num w:numId="139">
    <w:abstractNumId w:val="0"/>
  </w:num>
  <w:num w:numId="140">
    <w:abstractNumId w:val="0"/>
  </w:num>
  <w:num w:numId="141">
    <w:abstractNumId w:val="0"/>
  </w:num>
  <w:num w:numId="142">
    <w:abstractNumId w:val="0"/>
  </w:num>
  <w:num w:numId="143">
    <w:abstractNumId w:val="0"/>
  </w:num>
  <w:num w:numId="144">
    <w:abstractNumId w:val="0"/>
  </w:num>
  <w:num w:numId="145">
    <w:abstractNumId w:val="0"/>
  </w:num>
  <w:num w:numId="146">
    <w:abstractNumId w:val="0"/>
  </w:num>
  <w:num w:numId="147">
    <w:abstractNumId w:val="0"/>
  </w:num>
  <w:num w:numId="148">
    <w:abstractNumId w:val="0"/>
  </w:num>
  <w:num w:numId="149">
    <w:abstractNumId w:val="0"/>
  </w:num>
  <w:num w:numId="150">
    <w:abstractNumId w:val="0"/>
  </w:num>
  <w:num w:numId="151">
    <w:abstractNumId w:val="0"/>
  </w:num>
  <w:num w:numId="152">
    <w:abstractNumId w:val="0"/>
  </w:num>
  <w:num w:numId="153">
    <w:abstractNumId w:val="0"/>
  </w:num>
  <w:num w:numId="154">
    <w:abstractNumId w:val="0"/>
  </w:num>
  <w:num w:numId="155">
    <w:abstractNumId w:val="0"/>
  </w:num>
  <w:num w:numId="156">
    <w:abstractNumId w:val="6"/>
  </w:num>
  <w:num w:numId="157">
    <w:abstractNumId w:val="3"/>
  </w:num>
  <w:num w:numId="158">
    <w:abstractNumId w:val="4"/>
  </w:num>
  <w:numIdMacAtCleanup w:val="1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hideSpellingErrors/>
  <w:hideGrammaticalErrors/>
  <w:proofState w:spelling="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doNotHyphenateCaps/>
  <w:drawingGridHorizontalSpacing w:val="110"/>
  <w:drawingGridVerticalSpacing w:val="299"/>
  <w:displayHorizontalDrawingGridEvery w:val="2"/>
  <w:displayVerticalDrawingGridEvery w:val="0"/>
  <w:noPunctuationKerning/>
  <w:characterSpacingControl w:val="doNotCompress"/>
  <w:doNotValidateAgainstSchema/>
  <w:doNotDemarcateInvalidXml/>
  <w:hdrShapeDefaults>
    <o:shapedefaults v:ext="edit" spidmax="634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F8F"/>
    <w:rsid w:val="00005AB9"/>
    <w:rsid w:val="00005EB9"/>
    <w:rsid w:val="00006E24"/>
    <w:rsid w:val="00007A40"/>
    <w:rsid w:val="00017B45"/>
    <w:rsid w:val="00020E6E"/>
    <w:rsid w:val="00027E4D"/>
    <w:rsid w:val="00031A4B"/>
    <w:rsid w:val="00033913"/>
    <w:rsid w:val="00033DB4"/>
    <w:rsid w:val="00033E5B"/>
    <w:rsid w:val="000357A8"/>
    <w:rsid w:val="000430A6"/>
    <w:rsid w:val="00044923"/>
    <w:rsid w:val="0005249C"/>
    <w:rsid w:val="000534A5"/>
    <w:rsid w:val="0005680D"/>
    <w:rsid w:val="00063FB4"/>
    <w:rsid w:val="0006793E"/>
    <w:rsid w:val="00072E0F"/>
    <w:rsid w:val="000735E5"/>
    <w:rsid w:val="0007392F"/>
    <w:rsid w:val="00087B39"/>
    <w:rsid w:val="00093DE0"/>
    <w:rsid w:val="00096502"/>
    <w:rsid w:val="000A49BB"/>
    <w:rsid w:val="000C3441"/>
    <w:rsid w:val="000C7F53"/>
    <w:rsid w:val="000D2F8E"/>
    <w:rsid w:val="000F0676"/>
    <w:rsid w:val="000F196B"/>
    <w:rsid w:val="00101CF3"/>
    <w:rsid w:val="00105361"/>
    <w:rsid w:val="001101F8"/>
    <w:rsid w:val="0011206F"/>
    <w:rsid w:val="0011656A"/>
    <w:rsid w:val="0012220C"/>
    <w:rsid w:val="001258EB"/>
    <w:rsid w:val="0013666D"/>
    <w:rsid w:val="00136EA3"/>
    <w:rsid w:val="00137575"/>
    <w:rsid w:val="0014277E"/>
    <w:rsid w:val="00144231"/>
    <w:rsid w:val="00150434"/>
    <w:rsid w:val="00155721"/>
    <w:rsid w:val="0016503F"/>
    <w:rsid w:val="0016674F"/>
    <w:rsid w:val="00167CA0"/>
    <w:rsid w:val="0017120D"/>
    <w:rsid w:val="001714F6"/>
    <w:rsid w:val="00176168"/>
    <w:rsid w:val="00177158"/>
    <w:rsid w:val="00184FD4"/>
    <w:rsid w:val="00186B04"/>
    <w:rsid w:val="00186F1E"/>
    <w:rsid w:val="00190836"/>
    <w:rsid w:val="00193930"/>
    <w:rsid w:val="00194B36"/>
    <w:rsid w:val="001963A5"/>
    <w:rsid w:val="00196F1E"/>
    <w:rsid w:val="00197FCA"/>
    <w:rsid w:val="001A27DB"/>
    <w:rsid w:val="001A65DE"/>
    <w:rsid w:val="001A6852"/>
    <w:rsid w:val="001B286A"/>
    <w:rsid w:val="001B2D02"/>
    <w:rsid w:val="001B3647"/>
    <w:rsid w:val="001B77FA"/>
    <w:rsid w:val="001C0ABE"/>
    <w:rsid w:val="001C3500"/>
    <w:rsid w:val="001C5852"/>
    <w:rsid w:val="001D45F0"/>
    <w:rsid w:val="001E1335"/>
    <w:rsid w:val="001E3F6F"/>
    <w:rsid w:val="001E453D"/>
    <w:rsid w:val="001E4A33"/>
    <w:rsid w:val="001E5C27"/>
    <w:rsid w:val="001F602B"/>
    <w:rsid w:val="001F6AC8"/>
    <w:rsid w:val="00202CB2"/>
    <w:rsid w:val="002037D5"/>
    <w:rsid w:val="0020461B"/>
    <w:rsid w:val="00206F90"/>
    <w:rsid w:val="00212B03"/>
    <w:rsid w:val="00215C10"/>
    <w:rsid w:val="00215C2D"/>
    <w:rsid w:val="00221A38"/>
    <w:rsid w:val="002252C4"/>
    <w:rsid w:val="0023140A"/>
    <w:rsid w:val="0023183E"/>
    <w:rsid w:val="00235138"/>
    <w:rsid w:val="00241477"/>
    <w:rsid w:val="00243E36"/>
    <w:rsid w:val="0024540B"/>
    <w:rsid w:val="00245EF4"/>
    <w:rsid w:val="00250E11"/>
    <w:rsid w:val="00251383"/>
    <w:rsid w:val="002522C9"/>
    <w:rsid w:val="002524D5"/>
    <w:rsid w:val="00252A21"/>
    <w:rsid w:val="00253E4F"/>
    <w:rsid w:val="002542E4"/>
    <w:rsid w:val="00261053"/>
    <w:rsid w:val="00262FDE"/>
    <w:rsid w:val="00263629"/>
    <w:rsid w:val="002769BD"/>
    <w:rsid w:val="002809EA"/>
    <w:rsid w:val="00284962"/>
    <w:rsid w:val="0028672B"/>
    <w:rsid w:val="00287B0E"/>
    <w:rsid w:val="002917C1"/>
    <w:rsid w:val="0029549C"/>
    <w:rsid w:val="002A0B53"/>
    <w:rsid w:val="002A0EEF"/>
    <w:rsid w:val="002A2E40"/>
    <w:rsid w:val="002A5709"/>
    <w:rsid w:val="002B2DF7"/>
    <w:rsid w:val="002C2FC7"/>
    <w:rsid w:val="002C3BF4"/>
    <w:rsid w:val="002C749F"/>
    <w:rsid w:val="002F059B"/>
    <w:rsid w:val="002F5B0B"/>
    <w:rsid w:val="00300924"/>
    <w:rsid w:val="00303A27"/>
    <w:rsid w:val="0030596E"/>
    <w:rsid w:val="003073C3"/>
    <w:rsid w:val="00323637"/>
    <w:rsid w:val="00324E8A"/>
    <w:rsid w:val="00331D87"/>
    <w:rsid w:val="00332850"/>
    <w:rsid w:val="00334478"/>
    <w:rsid w:val="003346B4"/>
    <w:rsid w:val="00334AE6"/>
    <w:rsid w:val="003365D0"/>
    <w:rsid w:val="003439AB"/>
    <w:rsid w:val="003439F2"/>
    <w:rsid w:val="00354695"/>
    <w:rsid w:val="0035549B"/>
    <w:rsid w:val="00364C01"/>
    <w:rsid w:val="0036631B"/>
    <w:rsid w:val="003755C8"/>
    <w:rsid w:val="00375687"/>
    <w:rsid w:val="00380AE0"/>
    <w:rsid w:val="00383324"/>
    <w:rsid w:val="003840F0"/>
    <w:rsid w:val="00387A75"/>
    <w:rsid w:val="003904FD"/>
    <w:rsid w:val="00394254"/>
    <w:rsid w:val="00396D83"/>
    <w:rsid w:val="003C2BFB"/>
    <w:rsid w:val="003C436B"/>
    <w:rsid w:val="003C5337"/>
    <w:rsid w:val="003C5F92"/>
    <w:rsid w:val="003D06BF"/>
    <w:rsid w:val="003D7A8C"/>
    <w:rsid w:val="003D7C00"/>
    <w:rsid w:val="003E423D"/>
    <w:rsid w:val="003E4F01"/>
    <w:rsid w:val="003E56E5"/>
    <w:rsid w:val="003E630B"/>
    <w:rsid w:val="003E7E2F"/>
    <w:rsid w:val="003E7E60"/>
    <w:rsid w:val="003F00D4"/>
    <w:rsid w:val="003F2209"/>
    <w:rsid w:val="003F3D39"/>
    <w:rsid w:val="003F646A"/>
    <w:rsid w:val="003F6761"/>
    <w:rsid w:val="003F6A0A"/>
    <w:rsid w:val="004024F5"/>
    <w:rsid w:val="00402DE1"/>
    <w:rsid w:val="00403D8B"/>
    <w:rsid w:val="00403F21"/>
    <w:rsid w:val="004058F1"/>
    <w:rsid w:val="00407E7D"/>
    <w:rsid w:val="0041283D"/>
    <w:rsid w:val="00413AB4"/>
    <w:rsid w:val="00421373"/>
    <w:rsid w:val="00421FB7"/>
    <w:rsid w:val="0042763B"/>
    <w:rsid w:val="0043024C"/>
    <w:rsid w:val="004326AC"/>
    <w:rsid w:val="00436706"/>
    <w:rsid w:val="00443D38"/>
    <w:rsid w:val="00450E7A"/>
    <w:rsid w:val="00456AF8"/>
    <w:rsid w:val="0046504D"/>
    <w:rsid w:val="00470B15"/>
    <w:rsid w:val="00475869"/>
    <w:rsid w:val="00475A77"/>
    <w:rsid w:val="004801EB"/>
    <w:rsid w:val="00482DDC"/>
    <w:rsid w:val="00483E6C"/>
    <w:rsid w:val="004866A9"/>
    <w:rsid w:val="00492774"/>
    <w:rsid w:val="00496D7A"/>
    <w:rsid w:val="004A0E59"/>
    <w:rsid w:val="004A31BC"/>
    <w:rsid w:val="004A3F1A"/>
    <w:rsid w:val="004A3F45"/>
    <w:rsid w:val="004B1AFA"/>
    <w:rsid w:val="004B6047"/>
    <w:rsid w:val="004B7088"/>
    <w:rsid w:val="004C5B76"/>
    <w:rsid w:val="004D02CD"/>
    <w:rsid w:val="004D0B24"/>
    <w:rsid w:val="004D4B90"/>
    <w:rsid w:val="004D5465"/>
    <w:rsid w:val="004D6B95"/>
    <w:rsid w:val="004D7F41"/>
    <w:rsid w:val="004E03A2"/>
    <w:rsid w:val="004E0423"/>
    <w:rsid w:val="004E317E"/>
    <w:rsid w:val="004E3954"/>
    <w:rsid w:val="004E5856"/>
    <w:rsid w:val="004F2330"/>
    <w:rsid w:val="004F2BCA"/>
    <w:rsid w:val="004F53C6"/>
    <w:rsid w:val="004F69DB"/>
    <w:rsid w:val="004F6B87"/>
    <w:rsid w:val="00501C19"/>
    <w:rsid w:val="00501C2D"/>
    <w:rsid w:val="00502637"/>
    <w:rsid w:val="00510685"/>
    <w:rsid w:val="00511140"/>
    <w:rsid w:val="00513CFE"/>
    <w:rsid w:val="00523B6A"/>
    <w:rsid w:val="00525F6C"/>
    <w:rsid w:val="005463DE"/>
    <w:rsid w:val="00546AB4"/>
    <w:rsid w:val="005514E5"/>
    <w:rsid w:val="00560170"/>
    <w:rsid w:val="00563C84"/>
    <w:rsid w:val="00563EE3"/>
    <w:rsid w:val="00573E38"/>
    <w:rsid w:val="005762F6"/>
    <w:rsid w:val="00582937"/>
    <w:rsid w:val="00584FBE"/>
    <w:rsid w:val="00585483"/>
    <w:rsid w:val="00587378"/>
    <w:rsid w:val="00587C05"/>
    <w:rsid w:val="00590AAB"/>
    <w:rsid w:val="00593124"/>
    <w:rsid w:val="00593755"/>
    <w:rsid w:val="005938C3"/>
    <w:rsid w:val="0059468C"/>
    <w:rsid w:val="00595125"/>
    <w:rsid w:val="005957EA"/>
    <w:rsid w:val="00596F21"/>
    <w:rsid w:val="005B1CDD"/>
    <w:rsid w:val="005B1E19"/>
    <w:rsid w:val="005B55FC"/>
    <w:rsid w:val="005C2D5E"/>
    <w:rsid w:val="005C3B81"/>
    <w:rsid w:val="005C650C"/>
    <w:rsid w:val="005D086C"/>
    <w:rsid w:val="005D11D3"/>
    <w:rsid w:val="005D4E1F"/>
    <w:rsid w:val="005D4FB3"/>
    <w:rsid w:val="005E0AE7"/>
    <w:rsid w:val="005E2F07"/>
    <w:rsid w:val="005E2FEA"/>
    <w:rsid w:val="005E536E"/>
    <w:rsid w:val="005F314B"/>
    <w:rsid w:val="005F5647"/>
    <w:rsid w:val="005F724B"/>
    <w:rsid w:val="00611AF2"/>
    <w:rsid w:val="0061212B"/>
    <w:rsid w:val="006127AF"/>
    <w:rsid w:val="00615FB2"/>
    <w:rsid w:val="00617BD1"/>
    <w:rsid w:val="00617CE8"/>
    <w:rsid w:val="006278A0"/>
    <w:rsid w:val="0063095F"/>
    <w:rsid w:val="00630BF8"/>
    <w:rsid w:val="00646AC2"/>
    <w:rsid w:val="00650390"/>
    <w:rsid w:val="00654DAB"/>
    <w:rsid w:val="0066204A"/>
    <w:rsid w:val="00670E3C"/>
    <w:rsid w:val="00675ED3"/>
    <w:rsid w:val="00677F57"/>
    <w:rsid w:val="00681088"/>
    <w:rsid w:val="0069577E"/>
    <w:rsid w:val="0069634B"/>
    <w:rsid w:val="00696623"/>
    <w:rsid w:val="006A04E9"/>
    <w:rsid w:val="006A0A2B"/>
    <w:rsid w:val="006A4A03"/>
    <w:rsid w:val="006A7543"/>
    <w:rsid w:val="006B725C"/>
    <w:rsid w:val="006C273D"/>
    <w:rsid w:val="006C5C4F"/>
    <w:rsid w:val="006C6282"/>
    <w:rsid w:val="006C762A"/>
    <w:rsid w:val="006D0891"/>
    <w:rsid w:val="006D10CD"/>
    <w:rsid w:val="006D5FF9"/>
    <w:rsid w:val="006E0772"/>
    <w:rsid w:val="006E0F86"/>
    <w:rsid w:val="006F0B15"/>
    <w:rsid w:val="006F0DCC"/>
    <w:rsid w:val="00703DF9"/>
    <w:rsid w:val="007048EB"/>
    <w:rsid w:val="00704FBB"/>
    <w:rsid w:val="0070726A"/>
    <w:rsid w:val="0071226B"/>
    <w:rsid w:val="00717040"/>
    <w:rsid w:val="00717184"/>
    <w:rsid w:val="00725C06"/>
    <w:rsid w:val="00753974"/>
    <w:rsid w:val="007573EF"/>
    <w:rsid w:val="00761C04"/>
    <w:rsid w:val="00766CC0"/>
    <w:rsid w:val="007750A2"/>
    <w:rsid w:val="007817D6"/>
    <w:rsid w:val="007854A2"/>
    <w:rsid w:val="00787912"/>
    <w:rsid w:val="0079177A"/>
    <w:rsid w:val="00794836"/>
    <w:rsid w:val="007948D5"/>
    <w:rsid w:val="007A0162"/>
    <w:rsid w:val="007A15C9"/>
    <w:rsid w:val="007A54D2"/>
    <w:rsid w:val="007A6676"/>
    <w:rsid w:val="007B7FF5"/>
    <w:rsid w:val="007C3FC6"/>
    <w:rsid w:val="007D2CE9"/>
    <w:rsid w:val="007D4FED"/>
    <w:rsid w:val="007D69DA"/>
    <w:rsid w:val="007D70B1"/>
    <w:rsid w:val="007D7140"/>
    <w:rsid w:val="007E1C73"/>
    <w:rsid w:val="007E1CDB"/>
    <w:rsid w:val="007E408C"/>
    <w:rsid w:val="007E7E21"/>
    <w:rsid w:val="007F0460"/>
    <w:rsid w:val="007F0DA2"/>
    <w:rsid w:val="007F39CE"/>
    <w:rsid w:val="007F5E0D"/>
    <w:rsid w:val="00801085"/>
    <w:rsid w:val="00801A89"/>
    <w:rsid w:val="00812138"/>
    <w:rsid w:val="00813860"/>
    <w:rsid w:val="008151F2"/>
    <w:rsid w:val="008154D0"/>
    <w:rsid w:val="008169E0"/>
    <w:rsid w:val="00816E53"/>
    <w:rsid w:val="0081777A"/>
    <w:rsid w:val="008210E0"/>
    <w:rsid w:val="00824079"/>
    <w:rsid w:val="00831F0A"/>
    <w:rsid w:val="00833A78"/>
    <w:rsid w:val="00836B6A"/>
    <w:rsid w:val="00844726"/>
    <w:rsid w:val="0084585F"/>
    <w:rsid w:val="00853E53"/>
    <w:rsid w:val="00864D76"/>
    <w:rsid w:val="008656C9"/>
    <w:rsid w:val="0086701B"/>
    <w:rsid w:val="0086711C"/>
    <w:rsid w:val="00867535"/>
    <w:rsid w:val="00875C5B"/>
    <w:rsid w:val="00883C5F"/>
    <w:rsid w:val="00891C7D"/>
    <w:rsid w:val="00892FA7"/>
    <w:rsid w:val="008A3301"/>
    <w:rsid w:val="008A4DF1"/>
    <w:rsid w:val="008A5636"/>
    <w:rsid w:val="008B125E"/>
    <w:rsid w:val="008B241C"/>
    <w:rsid w:val="008B408B"/>
    <w:rsid w:val="008B4F11"/>
    <w:rsid w:val="008C2362"/>
    <w:rsid w:val="008C3049"/>
    <w:rsid w:val="008D4AE9"/>
    <w:rsid w:val="008D5CF3"/>
    <w:rsid w:val="008D62AF"/>
    <w:rsid w:val="008D7D39"/>
    <w:rsid w:val="008E4574"/>
    <w:rsid w:val="008F4016"/>
    <w:rsid w:val="008F42FE"/>
    <w:rsid w:val="008F4A00"/>
    <w:rsid w:val="008F5402"/>
    <w:rsid w:val="008F6E96"/>
    <w:rsid w:val="0090053A"/>
    <w:rsid w:val="00901C2A"/>
    <w:rsid w:val="009076F9"/>
    <w:rsid w:val="00910AC8"/>
    <w:rsid w:val="009118C7"/>
    <w:rsid w:val="00915E9A"/>
    <w:rsid w:val="009225B6"/>
    <w:rsid w:val="00925397"/>
    <w:rsid w:val="00933A21"/>
    <w:rsid w:val="00934C10"/>
    <w:rsid w:val="0093662A"/>
    <w:rsid w:val="00936687"/>
    <w:rsid w:val="0094060C"/>
    <w:rsid w:val="009574D2"/>
    <w:rsid w:val="009606A5"/>
    <w:rsid w:val="00962726"/>
    <w:rsid w:val="00962F1F"/>
    <w:rsid w:val="00965304"/>
    <w:rsid w:val="00966361"/>
    <w:rsid w:val="00971293"/>
    <w:rsid w:val="00973A3B"/>
    <w:rsid w:val="00983EAE"/>
    <w:rsid w:val="0098760B"/>
    <w:rsid w:val="009A11DD"/>
    <w:rsid w:val="009A5936"/>
    <w:rsid w:val="009B30AA"/>
    <w:rsid w:val="009B5217"/>
    <w:rsid w:val="009C2194"/>
    <w:rsid w:val="009C4798"/>
    <w:rsid w:val="009C48DE"/>
    <w:rsid w:val="009E1E1E"/>
    <w:rsid w:val="009E33E3"/>
    <w:rsid w:val="009E3FF9"/>
    <w:rsid w:val="009E5309"/>
    <w:rsid w:val="009E7F16"/>
    <w:rsid w:val="009F5052"/>
    <w:rsid w:val="00A04C85"/>
    <w:rsid w:val="00A053A9"/>
    <w:rsid w:val="00A100F0"/>
    <w:rsid w:val="00A156E6"/>
    <w:rsid w:val="00A27D86"/>
    <w:rsid w:val="00A316C0"/>
    <w:rsid w:val="00A33151"/>
    <w:rsid w:val="00A36970"/>
    <w:rsid w:val="00A40C32"/>
    <w:rsid w:val="00A41EB4"/>
    <w:rsid w:val="00A4409C"/>
    <w:rsid w:val="00A44BFF"/>
    <w:rsid w:val="00A501E3"/>
    <w:rsid w:val="00A50F0C"/>
    <w:rsid w:val="00A51A5A"/>
    <w:rsid w:val="00A56441"/>
    <w:rsid w:val="00A736DD"/>
    <w:rsid w:val="00A82869"/>
    <w:rsid w:val="00A8758C"/>
    <w:rsid w:val="00A87CF0"/>
    <w:rsid w:val="00A9355C"/>
    <w:rsid w:val="00AA127E"/>
    <w:rsid w:val="00AA19AE"/>
    <w:rsid w:val="00AA25E0"/>
    <w:rsid w:val="00AA423D"/>
    <w:rsid w:val="00AA6A95"/>
    <w:rsid w:val="00AB10DE"/>
    <w:rsid w:val="00AB3668"/>
    <w:rsid w:val="00AB5ED7"/>
    <w:rsid w:val="00AC0B4C"/>
    <w:rsid w:val="00AD0AEE"/>
    <w:rsid w:val="00AD49E3"/>
    <w:rsid w:val="00AD4B4F"/>
    <w:rsid w:val="00AE305F"/>
    <w:rsid w:val="00AE7203"/>
    <w:rsid w:val="00AF0616"/>
    <w:rsid w:val="00AF0E28"/>
    <w:rsid w:val="00AF6F9B"/>
    <w:rsid w:val="00B01409"/>
    <w:rsid w:val="00B10DBD"/>
    <w:rsid w:val="00B15629"/>
    <w:rsid w:val="00B17869"/>
    <w:rsid w:val="00B2372C"/>
    <w:rsid w:val="00B32F70"/>
    <w:rsid w:val="00B373D0"/>
    <w:rsid w:val="00B4366E"/>
    <w:rsid w:val="00B43AAA"/>
    <w:rsid w:val="00B46471"/>
    <w:rsid w:val="00B53139"/>
    <w:rsid w:val="00B562CE"/>
    <w:rsid w:val="00B60B84"/>
    <w:rsid w:val="00B62DE2"/>
    <w:rsid w:val="00B74417"/>
    <w:rsid w:val="00B77246"/>
    <w:rsid w:val="00B866CD"/>
    <w:rsid w:val="00B93034"/>
    <w:rsid w:val="00B97C5D"/>
    <w:rsid w:val="00BA1290"/>
    <w:rsid w:val="00BB2792"/>
    <w:rsid w:val="00BB76BF"/>
    <w:rsid w:val="00BC1AD1"/>
    <w:rsid w:val="00BC4A58"/>
    <w:rsid w:val="00BC5F12"/>
    <w:rsid w:val="00BC613B"/>
    <w:rsid w:val="00BD51D9"/>
    <w:rsid w:val="00BD64E2"/>
    <w:rsid w:val="00BE4995"/>
    <w:rsid w:val="00BF429A"/>
    <w:rsid w:val="00BF62BE"/>
    <w:rsid w:val="00C07126"/>
    <w:rsid w:val="00C116A5"/>
    <w:rsid w:val="00C16853"/>
    <w:rsid w:val="00C263F0"/>
    <w:rsid w:val="00C33D41"/>
    <w:rsid w:val="00C40106"/>
    <w:rsid w:val="00C40AFD"/>
    <w:rsid w:val="00C41E20"/>
    <w:rsid w:val="00C42E3E"/>
    <w:rsid w:val="00C51C13"/>
    <w:rsid w:val="00C525A5"/>
    <w:rsid w:val="00C5300F"/>
    <w:rsid w:val="00C65B8A"/>
    <w:rsid w:val="00C66CE0"/>
    <w:rsid w:val="00C71BED"/>
    <w:rsid w:val="00C72A9B"/>
    <w:rsid w:val="00C747C0"/>
    <w:rsid w:val="00C81B53"/>
    <w:rsid w:val="00C82AD2"/>
    <w:rsid w:val="00C90FB6"/>
    <w:rsid w:val="00C9220E"/>
    <w:rsid w:val="00C932BD"/>
    <w:rsid w:val="00C93429"/>
    <w:rsid w:val="00CA118B"/>
    <w:rsid w:val="00CA16C5"/>
    <w:rsid w:val="00CA415A"/>
    <w:rsid w:val="00CA7A35"/>
    <w:rsid w:val="00CB1536"/>
    <w:rsid w:val="00CB5F3C"/>
    <w:rsid w:val="00CB7F96"/>
    <w:rsid w:val="00CB7FB8"/>
    <w:rsid w:val="00CC1F71"/>
    <w:rsid w:val="00CC5EB3"/>
    <w:rsid w:val="00CD0E7B"/>
    <w:rsid w:val="00CD2ABD"/>
    <w:rsid w:val="00CD4024"/>
    <w:rsid w:val="00CD4617"/>
    <w:rsid w:val="00CD4855"/>
    <w:rsid w:val="00CD7EA0"/>
    <w:rsid w:val="00CE6D43"/>
    <w:rsid w:val="00CE7888"/>
    <w:rsid w:val="00D10E1C"/>
    <w:rsid w:val="00D14774"/>
    <w:rsid w:val="00D161A3"/>
    <w:rsid w:val="00D22E49"/>
    <w:rsid w:val="00D23716"/>
    <w:rsid w:val="00D25ED8"/>
    <w:rsid w:val="00D25F92"/>
    <w:rsid w:val="00D27F8F"/>
    <w:rsid w:val="00D316B8"/>
    <w:rsid w:val="00D31CFC"/>
    <w:rsid w:val="00D3255D"/>
    <w:rsid w:val="00D340C3"/>
    <w:rsid w:val="00D409CD"/>
    <w:rsid w:val="00D423D4"/>
    <w:rsid w:val="00D42CAF"/>
    <w:rsid w:val="00D4763B"/>
    <w:rsid w:val="00D54E85"/>
    <w:rsid w:val="00D55D54"/>
    <w:rsid w:val="00D601EF"/>
    <w:rsid w:val="00D61533"/>
    <w:rsid w:val="00D6327C"/>
    <w:rsid w:val="00D63B2F"/>
    <w:rsid w:val="00D70747"/>
    <w:rsid w:val="00D7261D"/>
    <w:rsid w:val="00D755FC"/>
    <w:rsid w:val="00D75A5B"/>
    <w:rsid w:val="00D76B6D"/>
    <w:rsid w:val="00D84D07"/>
    <w:rsid w:val="00D8526A"/>
    <w:rsid w:val="00D90E91"/>
    <w:rsid w:val="00DB679F"/>
    <w:rsid w:val="00DC1347"/>
    <w:rsid w:val="00DC39F1"/>
    <w:rsid w:val="00DD2626"/>
    <w:rsid w:val="00DE4B35"/>
    <w:rsid w:val="00DE6DAE"/>
    <w:rsid w:val="00DF154F"/>
    <w:rsid w:val="00DF19C1"/>
    <w:rsid w:val="00DF2916"/>
    <w:rsid w:val="00DF54CA"/>
    <w:rsid w:val="00DF5B64"/>
    <w:rsid w:val="00E02794"/>
    <w:rsid w:val="00E043E3"/>
    <w:rsid w:val="00E0505B"/>
    <w:rsid w:val="00E11280"/>
    <w:rsid w:val="00E12359"/>
    <w:rsid w:val="00E152FF"/>
    <w:rsid w:val="00E2461B"/>
    <w:rsid w:val="00E24886"/>
    <w:rsid w:val="00E276FB"/>
    <w:rsid w:val="00E32595"/>
    <w:rsid w:val="00E33A74"/>
    <w:rsid w:val="00E4030B"/>
    <w:rsid w:val="00E41D56"/>
    <w:rsid w:val="00E4328B"/>
    <w:rsid w:val="00E457DF"/>
    <w:rsid w:val="00E46642"/>
    <w:rsid w:val="00E5139A"/>
    <w:rsid w:val="00E5413D"/>
    <w:rsid w:val="00E552A3"/>
    <w:rsid w:val="00E57977"/>
    <w:rsid w:val="00E635D7"/>
    <w:rsid w:val="00E70576"/>
    <w:rsid w:val="00E7381A"/>
    <w:rsid w:val="00E76754"/>
    <w:rsid w:val="00E83954"/>
    <w:rsid w:val="00E91730"/>
    <w:rsid w:val="00E96F04"/>
    <w:rsid w:val="00E97AEC"/>
    <w:rsid w:val="00EA20FE"/>
    <w:rsid w:val="00EA29F8"/>
    <w:rsid w:val="00EB491E"/>
    <w:rsid w:val="00EB681B"/>
    <w:rsid w:val="00EC4FAD"/>
    <w:rsid w:val="00EE3CFA"/>
    <w:rsid w:val="00EE5F06"/>
    <w:rsid w:val="00EE69E4"/>
    <w:rsid w:val="00EF2A7F"/>
    <w:rsid w:val="00EF7E90"/>
    <w:rsid w:val="00F002B6"/>
    <w:rsid w:val="00F10AFE"/>
    <w:rsid w:val="00F1375F"/>
    <w:rsid w:val="00F15C6C"/>
    <w:rsid w:val="00F17173"/>
    <w:rsid w:val="00F224DC"/>
    <w:rsid w:val="00F2687F"/>
    <w:rsid w:val="00F27F29"/>
    <w:rsid w:val="00F32D54"/>
    <w:rsid w:val="00F36C54"/>
    <w:rsid w:val="00F418EA"/>
    <w:rsid w:val="00F41A29"/>
    <w:rsid w:val="00F41D08"/>
    <w:rsid w:val="00F44C1C"/>
    <w:rsid w:val="00F518DF"/>
    <w:rsid w:val="00F544DB"/>
    <w:rsid w:val="00F6502E"/>
    <w:rsid w:val="00F65663"/>
    <w:rsid w:val="00F756C0"/>
    <w:rsid w:val="00F75A40"/>
    <w:rsid w:val="00F77637"/>
    <w:rsid w:val="00F8435D"/>
    <w:rsid w:val="00F87DD0"/>
    <w:rsid w:val="00F902C5"/>
    <w:rsid w:val="00F93360"/>
    <w:rsid w:val="00F93FE4"/>
    <w:rsid w:val="00F969AD"/>
    <w:rsid w:val="00F97E4E"/>
    <w:rsid w:val="00FA217B"/>
    <w:rsid w:val="00FB0BC5"/>
    <w:rsid w:val="00FB0BCC"/>
    <w:rsid w:val="00FB1C29"/>
    <w:rsid w:val="00FC0FE5"/>
    <w:rsid w:val="00FD1ABC"/>
    <w:rsid w:val="00FD7DDF"/>
    <w:rsid w:val="00FE4C92"/>
    <w:rsid w:val="00FE5C92"/>
    <w:rsid w:val="00FE6499"/>
    <w:rsid w:val="00FF0FAA"/>
    <w:rsid w:val="00FF4396"/>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3489"/>
    <o:shapelayout v:ext="edit">
      <o:idmap v:ext="edit" data="1"/>
    </o:shapelayout>
  </w:shapeDefaults>
  <w:decimalSymbol w:val="."/>
  <w:listSeparator w:val=","/>
  <w14:docId w14:val="6E5229C7"/>
  <w15:docId w15:val="{8C68DBC1-02BF-471A-8135-A9C4FA9BA77A}"/>
  <w:attachedTemplate r:id="relationI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pl-PL" w:eastAsia="pt-PT" w:bidi="pt-PT"/>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nhideWhenUsed="1" w:qFormat="1"/>
    <w:lsdException w:name="annotation text" w:semiHidden="1" w:uiPriority="0" w:unhideWhenUsed="1"/>
    <w:lsdException w:name="header" w:locked="1" w:semiHidden="1" w:uiPriority="0"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16C0"/>
    <w:pPr>
      <w:overflowPunct w:val="0"/>
      <w:autoSpaceDE w:val="0"/>
      <w:autoSpaceDN w:val="0"/>
      <w:adjustRightInd w:val="0"/>
      <w:spacing w:line="288" w:lineRule="auto"/>
      <w:jc w:val="both"/>
      <w:textAlignment w:val="baseline"/>
    </w:pPr>
    <w:rPr>
      <w:szCs w:val="20"/>
    </w:rPr>
  </w:style>
  <w:style w:type="paragraph" w:styleId="Heading1">
    <w:name w:val="heading 1"/>
    <w:basedOn w:val="Normal"/>
    <w:next w:val="Normal"/>
    <w:link w:val="Heading1Char"/>
    <w:qFormat/>
    <w:rsid w:val="00A316C0"/>
    <w:pPr>
      <w:numPr>
        <w:numId w:val="1"/>
      </w:numPr>
      <w:ind w:left="720" w:hanging="720"/>
      <w:outlineLvl w:val="0"/>
    </w:pPr>
    <w:rPr>
      <w:kern w:val="28"/>
    </w:rPr>
  </w:style>
  <w:style w:type="paragraph" w:styleId="Heading2">
    <w:name w:val="heading 2"/>
    <w:basedOn w:val="Normal"/>
    <w:next w:val="Normal"/>
    <w:link w:val="Heading2Char"/>
    <w:qFormat/>
    <w:rsid w:val="00A316C0"/>
    <w:pPr>
      <w:numPr>
        <w:ilvl w:val="1"/>
        <w:numId w:val="1"/>
      </w:numPr>
      <w:outlineLvl w:val="1"/>
    </w:pPr>
  </w:style>
  <w:style w:type="paragraph" w:styleId="Heading3">
    <w:name w:val="heading 3"/>
    <w:basedOn w:val="Normal"/>
    <w:next w:val="Normal"/>
    <w:link w:val="Heading3Char"/>
    <w:qFormat/>
    <w:rsid w:val="00A316C0"/>
    <w:pPr>
      <w:numPr>
        <w:ilvl w:val="2"/>
        <w:numId w:val="1"/>
      </w:numPr>
      <w:outlineLvl w:val="2"/>
    </w:pPr>
  </w:style>
  <w:style w:type="paragraph" w:styleId="Heading4">
    <w:name w:val="heading 4"/>
    <w:basedOn w:val="Normal"/>
    <w:next w:val="Normal"/>
    <w:link w:val="Heading4Char"/>
    <w:qFormat/>
    <w:rsid w:val="00A316C0"/>
    <w:pPr>
      <w:numPr>
        <w:ilvl w:val="3"/>
        <w:numId w:val="1"/>
      </w:numPr>
      <w:outlineLvl w:val="3"/>
    </w:pPr>
  </w:style>
  <w:style w:type="paragraph" w:styleId="Heading5">
    <w:name w:val="heading 5"/>
    <w:basedOn w:val="Normal"/>
    <w:next w:val="Normal"/>
    <w:link w:val="Heading5Char"/>
    <w:qFormat/>
    <w:rsid w:val="00A316C0"/>
    <w:pPr>
      <w:numPr>
        <w:ilvl w:val="4"/>
        <w:numId w:val="1"/>
      </w:numPr>
      <w:ind w:left="720" w:hanging="720"/>
      <w:outlineLvl w:val="4"/>
    </w:pPr>
  </w:style>
  <w:style w:type="paragraph" w:styleId="Heading6">
    <w:name w:val="heading 6"/>
    <w:basedOn w:val="Normal"/>
    <w:next w:val="Normal"/>
    <w:link w:val="Heading6Char"/>
    <w:qFormat/>
    <w:rsid w:val="00A316C0"/>
    <w:pPr>
      <w:numPr>
        <w:ilvl w:val="5"/>
        <w:numId w:val="1"/>
      </w:numPr>
      <w:ind w:left="720" w:hanging="720"/>
      <w:outlineLvl w:val="5"/>
    </w:pPr>
  </w:style>
  <w:style w:type="paragraph" w:styleId="Heading7">
    <w:name w:val="heading 7"/>
    <w:basedOn w:val="Normal"/>
    <w:next w:val="Normal"/>
    <w:link w:val="Heading7Char"/>
    <w:qFormat/>
    <w:rsid w:val="00A316C0"/>
    <w:pPr>
      <w:numPr>
        <w:ilvl w:val="6"/>
        <w:numId w:val="1"/>
      </w:numPr>
      <w:ind w:left="720" w:hanging="720"/>
      <w:outlineLvl w:val="6"/>
    </w:pPr>
  </w:style>
  <w:style w:type="paragraph" w:styleId="Heading8">
    <w:name w:val="heading 8"/>
    <w:basedOn w:val="Normal"/>
    <w:next w:val="Normal"/>
    <w:link w:val="Heading8Char"/>
    <w:qFormat/>
    <w:rsid w:val="00A316C0"/>
    <w:pPr>
      <w:numPr>
        <w:ilvl w:val="7"/>
        <w:numId w:val="1"/>
      </w:numPr>
      <w:ind w:left="720" w:hanging="720"/>
      <w:outlineLvl w:val="7"/>
    </w:pPr>
  </w:style>
  <w:style w:type="paragraph" w:styleId="Heading9">
    <w:name w:val="heading 9"/>
    <w:basedOn w:val="Normal"/>
    <w:next w:val="Normal"/>
    <w:link w:val="Heading9Char"/>
    <w:qFormat/>
    <w:rsid w:val="00A316C0"/>
    <w:pPr>
      <w:numPr>
        <w:ilvl w:val="8"/>
        <w:numId w:val="1"/>
      </w:numPr>
      <w:ind w:left="72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CB1536"/>
    <w:rPr>
      <w:kern w:val="28"/>
      <w:szCs w:val="20"/>
      <w:lang w:eastAsia="pt-PT" w:bidi="pt-PT"/>
    </w:rPr>
  </w:style>
  <w:style w:type="character" w:customStyle="1" w:styleId="Heading2Char">
    <w:name w:val="Heading 2 Char"/>
    <w:basedOn w:val="DefaultParagraphFont"/>
    <w:link w:val="Heading2"/>
    <w:locked/>
    <w:rsid w:val="00CB1536"/>
    <w:rPr>
      <w:szCs w:val="20"/>
      <w:lang w:eastAsia="pt-PT" w:bidi="pt-PT"/>
    </w:rPr>
  </w:style>
  <w:style w:type="character" w:customStyle="1" w:styleId="Heading3Char">
    <w:name w:val="Heading 3 Char"/>
    <w:basedOn w:val="DefaultParagraphFont"/>
    <w:link w:val="Heading3"/>
    <w:locked/>
    <w:rsid w:val="00CB1536"/>
    <w:rPr>
      <w:szCs w:val="20"/>
      <w:lang w:eastAsia="pt-PT" w:bidi="pt-PT"/>
    </w:rPr>
  </w:style>
  <w:style w:type="character" w:customStyle="1" w:styleId="Heading4Char">
    <w:name w:val="Heading 4 Char"/>
    <w:basedOn w:val="DefaultParagraphFont"/>
    <w:link w:val="Heading4"/>
    <w:locked/>
    <w:rsid w:val="00CB1536"/>
    <w:rPr>
      <w:szCs w:val="20"/>
      <w:lang w:eastAsia="pt-PT" w:bidi="pt-PT"/>
    </w:rPr>
  </w:style>
  <w:style w:type="character" w:customStyle="1" w:styleId="Heading5Char">
    <w:name w:val="Heading 5 Char"/>
    <w:basedOn w:val="DefaultParagraphFont"/>
    <w:link w:val="Heading5"/>
    <w:locked/>
    <w:rsid w:val="00CB1536"/>
    <w:rPr>
      <w:szCs w:val="20"/>
      <w:lang w:eastAsia="pt-PT" w:bidi="pt-PT"/>
    </w:rPr>
  </w:style>
  <w:style w:type="character" w:customStyle="1" w:styleId="Heading6Char">
    <w:name w:val="Heading 6 Char"/>
    <w:basedOn w:val="DefaultParagraphFont"/>
    <w:link w:val="Heading6"/>
    <w:locked/>
    <w:rsid w:val="00CB1536"/>
    <w:rPr>
      <w:szCs w:val="20"/>
      <w:lang w:eastAsia="pt-PT" w:bidi="pt-PT"/>
    </w:rPr>
  </w:style>
  <w:style w:type="character" w:customStyle="1" w:styleId="Heading7Char">
    <w:name w:val="Heading 7 Char"/>
    <w:basedOn w:val="DefaultParagraphFont"/>
    <w:link w:val="Heading7"/>
    <w:locked/>
    <w:rsid w:val="00CB1536"/>
    <w:rPr>
      <w:szCs w:val="20"/>
      <w:lang w:eastAsia="pt-PT" w:bidi="pt-PT"/>
    </w:rPr>
  </w:style>
  <w:style w:type="character" w:customStyle="1" w:styleId="Heading8Char">
    <w:name w:val="Heading 8 Char"/>
    <w:basedOn w:val="DefaultParagraphFont"/>
    <w:link w:val="Heading8"/>
    <w:locked/>
    <w:rsid w:val="00CB1536"/>
    <w:rPr>
      <w:szCs w:val="20"/>
      <w:lang w:eastAsia="pt-PT" w:bidi="pt-PT"/>
    </w:rPr>
  </w:style>
  <w:style w:type="character" w:customStyle="1" w:styleId="Heading9Char">
    <w:name w:val="Heading 9 Char"/>
    <w:basedOn w:val="DefaultParagraphFont"/>
    <w:link w:val="Heading9"/>
    <w:locked/>
    <w:rsid w:val="00CB1536"/>
    <w:rPr>
      <w:szCs w:val="20"/>
      <w:lang w:eastAsia="pt-PT" w:bidi="pt-PT"/>
    </w:rPr>
  </w:style>
  <w:style w:type="paragraph" w:styleId="Footer">
    <w:name w:val="footer"/>
    <w:basedOn w:val="Normal"/>
    <w:link w:val="FooterChar"/>
    <w:rsid w:val="00A316C0"/>
  </w:style>
  <w:style w:type="character" w:customStyle="1" w:styleId="FooterChar">
    <w:name w:val="Footer Char"/>
    <w:basedOn w:val="DefaultParagraphFont"/>
    <w:link w:val="Footer"/>
    <w:locked/>
    <w:rsid w:val="00CB1536"/>
    <w:rPr>
      <w:szCs w:val="20"/>
    </w:rPr>
  </w:style>
  <w:style w:type="paragraph" w:styleId="FootnoteText">
    <w:name w:val="footnote text"/>
    <w:aliases w:val="Footnote,Footnote text,Testo nota a piè di pagina_Rientro,stile 1,Footnote1,Footnote2,Footnote3,Footnote4,Footnote5,Footnote6,Footnote7,Footnote8,Footnote9,Footnote10,Footnote11,Footnote21,Footnote31,Footnote41,Footnote51,ft,o"/>
    <w:basedOn w:val="Normal"/>
    <w:link w:val="FootnoteTextChar"/>
    <w:uiPriority w:val="99"/>
    <w:qFormat/>
    <w:rsid w:val="00A316C0"/>
    <w:pPr>
      <w:keepLines/>
      <w:spacing w:after="60" w:line="240" w:lineRule="auto"/>
      <w:ind w:left="720" w:hanging="720"/>
    </w:pPr>
    <w:rPr>
      <w:sz w:val="16"/>
    </w:rPr>
  </w:style>
  <w:style w:type="character" w:customStyle="1" w:styleId="FootnoteTextChar">
    <w:name w:val="Footnote Text Char"/>
    <w:aliases w:val="Footnote Char,Footnote text Char,Testo nota a piè di pagina_Rientro Char,stile 1 Char,Footnote1 Char,Footnote2 Char,Footnote3 Char,Footnote4 Char,Footnote5 Char,Footnote6 Char,Footnote7 Char,Footnote8 Char,Footnote9 Char,ft Char"/>
    <w:basedOn w:val="DefaultParagraphFont"/>
    <w:link w:val="FootnoteText"/>
    <w:uiPriority w:val="99"/>
    <w:locked/>
    <w:rsid w:val="00CB1536"/>
    <w:rPr>
      <w:sz w:val="16"/>
      <w:szCs w:val="20"/>
      <w:lang w:eastAsia="pt-PT" w:bidi="pt-PT"/>
    </w:rPr>
  </w:style>
  <w:style w:type="paragraph" w:styleId="Header">
    <w:name w:val="header"/>
    <w:basedOn w:val="Normal"/>
    <w:link w:val="HeaderChar"/>
    <w:rsid w:val="00A316C0"/>
  </w:style>
  <w:style w:type="character" w:customStyle="1" w:styleId="HeaderChar">
    <w:name w:val="Header Char"/>
    <w:basedOn w:val="DefaultParagraphFont"/>
    <w:link w:val="Header"/>
    <w:locked/>
    <w:rsid w:val="00CB1536"/>
    <w:rPr>
      <w:szCs w:val="20"/>
    </w:rPr>
  </w:style>
  <w:style w:type="character" w:styleId="Hyperlink">
    <w:name w:val="Hyperlink"/>
    <w:basedOn w:val="DefaultParagraphFont"/>
    <w:uiPriority w:val="99"/>
    <w:rsid w:val="00934C10"/>
    <w:rPr>
      <w:color w:val="0000FF"/>
      <w:u w:val="single"/>
    </w:rPr>
  </w:style>
  <w:style w:type="character" w:styleId="FootnoteReference">
    <w:name w:val="footnote reference"/>
    <w:aliases w:val="Footnote Reference Number,Footnote Reference_LVL6,Footnote Reference_LVL61,Footnote Reference_LVL62,Footnote Reference_LVL63,Footnote Reference_LVL64,Footnote symbol,Voetnootverwijzing,Times 10 Point,Exposant 3 Point,note TESI"/>
    <w:basedOn w:val="DefaultParagraphFont"/>
    <w:link w:val="FootnotesymbolCarZchn"/>
    <w:uiPriority w:val="99"/>
    <w:qFormat/>
    <w:rsid w:val="00A316C0"/>
    <w:rPr>
      <w:sz w:val="24"/>
      <w:vertAlign w:val="superscript"/>
    </w:rPr>
  </w:style>
  <w:style w:type="character" w:styleId="FollowedHyperlink">
    <w:name w:val="FollowedHyperlink"/>
    <w:basedOn w:val="DefaultParagraphFont"/>
    <w:uiPriority w:val="99"/>
    <w:rsid w:val="00934C10"/>
    <w:rPr>
      <w:color w:val="800080"/>
      <w:u w:val="single"/>
    </w:rPr>
  </w:style>
  <w:style w:type="paragraph" w:customStyle="1" w:styleId="LOGO">
    <w:name w:val="LOGO"/>
    <w:basedOn w:val="Normal"/>
    <w:uiPriority w:val="99"/>
    <w:rsid w:val="00934C10"/>
    <w:pPr>
      <w:jc w:val="center"/>
    </w:pPr>
    <w:rPr>
      <w:rFonts w:ascii="Arial" w:hAnsi="Arial" w:cs="Arial"/>
      <w:b/>
      <w:bCs/>
      <w:i/>
      <w:iCs/>
      <w:sz w:val="20"/>
    </w:rPr>
  </w:style>
  <w:style w:type="paragraph" w:styleId="Revision">
    <w:name w:val="Revision"/>
    <w:hidden/>
    <w:uiPriority w:val="99"/>
    <w:semiHidden/>
    <w:rsid w:val="00B2372C"/>
  </w:style>
  <w:style w:type="paragraph" w:styleId="BalloonText">
    <w:name w:val="Balloon Text"/>
    <w:basedOn w:val="Normal"/>
    <w:link w:val="BalloonTextChar"/>
    <w:uiPriority w:val="99"/>
    <w:semiHidden/>
    <w:unhideWhenUsed/>
    <w:rsid w:val="00CB5F3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5F3C"/>
    <w:rPr>
      <w:rFonts w:ascii="Tahoma" w:hAnsi="Tahoma" w:cs="Tahoma"/>
      <w:sz w:val="16"/>
      <w:szCs w:val="16"/>
      <w:lang w:eastAsia="pt-PT" w:bidi="pt-P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rsid w:val="0013666D"/>
    <w:pPr>
      <w:overflowPunct/>
      <w:autoSpaceDE/>
      <w:autoSpaceDN/>
      <w:adjustRightInd/>
      <w:spacing w:after="160" w:line="240" w:lineRule="exact"/>
      <w:textAlignment w:val="auto"/>
    </w:pPr>
    <w:rPr>
      <w:sz w:val="24"/>
      <w:szCs w:val="22"/>
      <w:vertAlign w:val="superscript"/>
    </w:rPr>
  </w:style>
  <w:style w:type="paragraph" w:styleId="ListParagraph">
    <w:name w:val="List Paragraph"/>
    <w:aliases w:val="Normal bullet 2,Bullet list,List Paragraph1,List Paragraph11,Normal bullet 21,List Paragraph111,Bullet list1,Paragraph,Bullet point 1,1st level - Bullet List Paragraph,Lettre d'introduction,Paragrafo elenco,Bullet EY,Yellow Bullet"/>
    <w:basedOn w:val="Normal"/>
    <w:link w:val="ListParagraphChar"/>
    <w:uiPriority w:val="34"/>
    <w:qFormat/>
    <w:rsid w:val="0013666D"/>
    <w:pPr>
      <w:overflowPunct/>
      <w:autoSpaceDE/>
      <w:autoSpaceDN/>
      <w:adjustRightInd/>
      <w:spacing w:before="120" w:line="360" w:lineRule="auto"/>
      <w:ind w:left="720"/>
      <w:contextualSpacing/>
      <w:textAlignment w:val="auto"/>
    </w:pPr>
    <w:rPr>
      <w:rFonts w:ascii="Arial" w:eastAsiaTheme="minorHAnsi" w:hAnsi="Arial" w:cs="Arial"/>
      <w:szCs w:val="22"/>
      <w:lang w:eastAsia="en-US" w:bidi="ar-SA"/>
    </w:rPr>
  </w:style>
  <w:style w:type="character" w:customStyle="1" w:styleId="ListParagraphChar">
    <w:name w:val="List Paragraph Char"/>
    <w:aliases w:val="Normal bullet 2 Char,Bullet list Char,List Paragraph1 Char,List Paragraph11 Char,Normal bullet 21 Char,List Paragraph111 Char,Bullet list1 Char,Paragraph Char,Bullet point 1 Char,1st level - Bullet List Paragraph Char,Bullet EY Char"/>
    <w:link w:val="ListParagraph"/>
    <w:uiPriority w:val="34"/>
    <w:qFormat/>
    <w:rsid w:val="0013666D"/>
    <w:rPr>
      <w:rFonts w:ascii="Arial" w:eastAsiaTheme="minorHAnsi" w:hAnsi="Arial" w:cs="Arial"/>
      <w:lang w:eastAsia="en-US" w:bidi="ar-SA"/>
    </w:rPr>
  </w:style>
  <w:style w:type="character" w:styleId="CommentReference">
    <w:name w:val="annotation reference"/>
    <w:basedOn w:val="DefaultParagraphFont"/>
    <w:semiHidden/>
    <w:unhideWhenUsed/>
    <w:rsid w:val="009E5309"/>
    <w:rPr>
      <w:sz w:val="16"/>
      <w:szCs w:val="16"/>
    </w:rPr>
  </w:style>
  <w:style w:type="paragraph" w:styleId="CommentText">
    <w:name w:val="annotation text"/>
    <w:basedOn w:val="Normal"/>
    <w:link w:val="CommentTextChar"/>
    <w:semiHidden/>
    <w:unhideWhenUsed/>
    <w:rsid w:val="009E5309"/>
    <w:pPr>
      <w:spacing w:line="240" w:lineRule="auto"/>
    </w:pPr>
    <w:rPr>
      <w:sz w:val="20"/>
    </w:rPr>
  </w:style>
  <w:style w:type="character" w:customStyle="1" w:styleId="CommentTextChar">
    <w:name w:val="Comment Text Char"/>
    <w:basedOn w:val="DefaultParagraphFont"/>
    <w:link w:val="CommentText"/>
    <w:semiHidden/>
    <w:rsid w:val="009E5309"/>
    <w:rPr>
      <w:sz w:val="20"/>
      <w:szCs w:val="20"/>
    </w:rPr>
  </w:style>
  <w:style w:type="paragraph" w:styleId="CommentSubject">
    <w:name w:val="annotation subject"/>
    <w:basedOn w:val="CommentText"/>
    <w:next w:val="CommentText"/>
    <w:link w:val="CommentSubjectChar"/>
    <w:uiPriority w:val="99"/>
    <w:semiHidden/>
    <w:unhideWhenUsed/>
    <w:rsid w:val="009E5309"/>
    <w:rPr>
      <w:b/>
      <w:bCs/>
    </w:rPr>
  </w:style>
  <w:style w:type="character" w:customStyle="1" w:styleId="CommentSubjectChar">
    <w:name w:val="Comment Subject Char"/>
    <w:basedOn w:val="CommentTextChar"/>
    <w:link w:val="CommentSubject"/>
    <w:uiPriority w:val="99"/>
    <w:semiHidden/>
    <w:rsid w:val="009E5309"/>
    <w:rPr>
      <w:b/>
      <w:bCs/>
      <w:sz w:val="20"/>
      <w:szCs w:val="20"/>
    </w:rPr>
  </w:style>
  <w:style w:type="table" w:styleId="TableGrid">
    <w:name w:val="Table Grid"/>
    <w:aliases w:val="TabelEcorys,CV1,tableau 1,CV table,chiffres,Tableau D,Deloitte,Table Grid IDEA,Table EY,Document Table,EY Table,Table Grid Green IRG,none,Table Finalité,IT Park_Citation,san defined,Volet"/>
    <w:basedOn w:val="TableNormal"/>
    <w:uiPriority w:val="39"/>
    <w:locked/>
    <w:rsid w:val="004A0E59"/>
    <w:rPr>
      <w:rFonts w:asciiTheme="minorHAnsi" w:eastAsiaTheme="minorHAnsi" w:hAnsiTheme="minorHAnsi" w:cstheme="minorBidi"/>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TableNormal"/>
    <w:uiPriority w:val="49"/>
    <w:rsid w:val="004A0E59"/>
    <w:rPr>
      <w:rFonts w:asciiTheme="minorHAnsi" w:eastAsiaTheme="minorHAnsi" w:hAnsiTheme="minorHAnsi" w:cstheme="minorBidi"/>
      <w:lang w:eastAsia="en-US" w:bidi="ar-SA"/>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2949853">
      <w:bodyDiv w:val="1"/>
      <w:marLeft w:val="0"/>
      <w:marRight w:val="0"/>
      <w:marTop w:val="0"/>
      <w:marBottom w:val="0"/>
      <w:divBdr>
        <w:top w:val="none" w:sz="0" w:space="0" w:color="auto"/>
        <w:left w:val="none" w:sz="0" w:space="0" w:color="auto"/>
        <w:bottom w:val="none" w:sz="0" w:space="0" w:color="auto"/>
        <w:right w:val="none" w:sz="0" w:space="0" w:color="auto"/>
      </w:divBdr>
    </w:div>
    <w:div w:id="1303270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6.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mailto:nat@eesc.europa.eu" TargetMode="External"/><Relationship Id="rId17" Type="http://schemas.openxmlformats.org/officeDocument/2006/relationships/header" Target="header3.xml"/><Relationship Id="rId25" Type="http://schemas.openxmlformats.org/officeDocument/2006/relationships/header" Target="header6.xml"/><Relationship Id="rId16" Type="http://schemas.openxmlformats.org/officeDocument/2006/relationships/footer" Target="footer2.xml"/><Relationship Id="rId20" Type="http://schemas.openxmlformats.org/officeDocument/2006/relationships/image" Target="media/image3.jpg"/><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2.jpg"/><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maritimeaffairs/sites/maritimeaffairs/files/swd-2018-49_en.pdf" TargetMode="External"/><Relationship Id="rId2" Type="http://schemas.openxmlformats.org/officeDocument/2006/relationships/hyperlink" Target="https://eur-lex.europa.eu/legal-content/PL/TXT/?qid=1395674057421&amp;uri=CELEX:52013DC0279" TargetMode="External"/><Relationship Id="rId1" Type="http://schemas.openxmlformats.org/officeDocument/2006/relationships/hyperlink" Target="https://eur-lex.europa.eu/legal-content/PL/ALL/?uri=CELEX:52011DC078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Y:\word2016\Templates\Global\Styles.dotm" TargetMode="External"/><Relationship Id="relationId1" Type="http://schemas.openxmlformats.org/officeDocument/2006/relationships/attachedTemplate" Target="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Styles</Template>
  <TotalTime>34</TotalTime>
  <Pages>22</Pages>
  <Words>5280</Words>
  <Characters>30096</Characters>
  <Application>Microsoft Office Word</Application>
  <DocSecurity>0</DocSecurity>
  <Lines>250</Lines>
  <Paragraphs>70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Plano de ação atualizado para uma economia azul sustentável, resiliente e competitiva na região atlântica da União Europeia</vt:lpstr>
      <vt:lpstr>European Agenda on Migration: Second implementation package - A permanent crisis relocation mechanism under the Dublin system</vt:lpstr>
    </vt:vector>
  </TitlesOfParts>
  <Company>CESE-CdR</Company>
  <LinksUpToDate>false</LinksUpToDate>
  <CharactersWithSpaces>35306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Zaktualizowany plan działania w ramach strategii morskiej na rzecz Oceanu Atlantyckiego</dc:title>
  <dc:creator/>
  <cp:keywords>EESC-2020-05152-00-00-AS-TRA-PT</cp:keywords>
  <dc:description>Rapporteur: TRINDADE - Original language: PT - Date of document: 14/01/2021 - Date of meeting: 27/01/2021 - External documents: COM(2020)329 - Administrator:  CAMERON Anna</dc:description>
  <cp:lastModifiedBy/>
  <cp:revision>19</cp:revision>
  <cp:lastPrinted>2016-01-26T08:31:00Z</cp:lastPrinted>
  <dcterms:created xsi:type="dcterms:W3CDTF">2021-01-13T08:46:00Z</dcterms:created>
  <dcterms:modified xsi:type="dcterms:W3CDTF">2021-01-14T12:07:00Z</dcterms:modified>
  <cp:category>NAT/801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13/01/2021, 21/12/2020, 18/11/2020, 04/11/2015, 27/10/2015, 19/10/2015, 09/10/2015, 05/10/2015, 05/10/2015, 26/08/2015, 26/08/2015, 25/08/2015</vt:lpwstr>
  </property>
  <property fmtid="{D5CDD505-2E9C-101B-9397-08002B2CF9AE}" pid="4" name="Pref_Time">
    <vt:lpwstr>09:46:24, 13:29:26, 13:33:40, 12/10/07, 14:44:02, 16/04/16, 14:09:30, 16:24:55, 16:04:02, 08:56:14, 07:27:56, 17:31:53</vt:lpwstr>
  </property>
  <property fmtid="{D5CDD505-2E9C-101B-9397-08002B2CF9AE}" pid="5" name="Pref_User">
    <vt:lpwstr>hnic, hnic, mkop, ssex, enied, amett, tvoc, mreg, mreg, amett, enied, ssex</vt:lpwstr>
  </property>
  <property fmtid="{D5CDD505-2E9C-101B-9397-08002B2CF9AE}" pid="6" name="Pref_FileName">
    <vt:lpwstr>EESC-2020-05152-00-00-AS-TRA-PT-CRR.docx, EESC-2020-05152-00-00-PA-TRA-PT-CRR.docx, EESC-2020-05152-00-00-APA-TRA-PT-CRR.docx, EESC-2015-05408-00-00-PA-CRR-EN.docx, EESC-2015-05408-00-01-APA-ORI.docx, EESC-2015-04319-00-00-TCD-ORI.docx, EESC-2015-04319-00</vt:lpwstr>
  </property>
  <property fmtid="{D5CDD505-2E9C-101B-9397-08002B2CF9AE}" pid="7" name="ContentTypeId">
    <vt:lpwstr>0x010100EA97B91038054C99906057A708A1480A0076B3A83997D445469E673E9B07871DA8</vt:lpwstr>
  </property>
  <property fmtid="{D5CDD505-2E9C-101B-9397-08002B2CF9AE}" pid="8" name="_dlc_DocIdItemGuid">
    <vt:lpwstr>55887383-8f59-46a3-b2e4-a7fe5a26bedb</vt:lpwstr>
  </property>
  <property fmtid="{D5CDD505-2E9C-101B-9397-08002B2CF9AE}" pid="9" name="AvailableTranslations">
    <vt:lpwstr>29;#PT|50ccc04a-eadd-42ae-a0cb-acaf45f812ba;#30;#LT|a7ff5ce7-6123-4f68-865a-a57c31810414;#11;#FR|d2afafd3-4c81-4f60-8f52-ee33f2f54ff3;#47;#ET|ff6c3f4c-b02c-4c3c-ab07-2c37995a7a0a;#10;#DE|f6b31e5a-26fa-4935-b661-318e46daf27e;#45;#FI|87606a43-d45f-42d6-b8c9-e1a3457db5b7;#48;#RO|feb747a2-64cd-4299-af12-4833ddc30497;#40;#SV|c2ed69e7-a339-43d7-8f22-d93680a92aa0;#39;#HU|6b229040-c589-4408-b4c1-4285663d20a8;#44;#BG|1a1b3951-7821-4e6a-85f5-5673fc08bd2c;#46;#SK|46d9fce0-ef79-4f71-b89b-cd6aa82426b8;#13;#IT|0774613c-01ed-4e5d-a25d-11d2388de825;#43;#HR|2f555653-ed1a-4fe6-8362-9082d95989e5;#32;#DA|5d49c027-8956-412b-aa16-e85a0f96ad0e;#31;#CS|72f9705b-0217-4fd3-bea2-cbc7ed80e26e;#34;#SL|98a412ae-eb01-49e9-ae3d-585a81724cfc;#24;#LV|46f7e311-5d9f-4663-b433-18aeccb7ace7;#9;#PL|1e03da61-4678-4e07-b136-b5024ca9197b;#36;#MT|7df99101-6854-4a26-b53a-b88c0da02c26;#16;#ES|e7a6b05b-ae16-40c8-add9-68b64b03aeba;#4;#EN|f2175f21-25d7-44a3-96da-d6a61b075e1b;#38;#EL|6d4f4d51-af9b-4650-94b4-4276bee85c91;#41;#NL|55c6556c-b4f4-441d-9acf-c498d4f838bd</vt:lpwstr>
  </property>
  <property fmtid="{D5CDD505-2E9C-101B-9397-08002B2CF9AE}" pid="10" name="DocumentType_0">
    <vt:lpwstr>AS|c7a748eb-f6f2-4d9d-8b5a-af0cafebc224</vt:lpwstr>
  </property>
  <property fmtid="{D5CDD505-2E9C-101B-9397-08002B2CF9AE}" pid="11" name="DossierName_0">
    <vt:lpwstr>NAT|b263ab5d-0564-42a8-87bf-1cc57d938922</vt:lpwstr>
  </property>
  <property fmtid="{D5CDD505-2E9C-101B-9397-08002B2CF9AE}" pid="12" name="DocumentSource_0">
    <vt:lpwstr>EESC|422833ec-8d7e-4e65-8e4e-8bed07ffb729</vt:lpwstr>
  </property>
  <property fmtid="{D5CDD505-2E9C-101B-9397-08002B2CF9AE}" pid="13" name="DocumentNumber">
    <vt:i4>5152</vt:i4>
  </property>
  <property fmtid="{D5CDD505-2E9C-101B-9397-08002B2CF9AE}" pid="14" name="FicheYear">
    <vt:i4>2020</vt:i4>
  </property>
  <property fmtid="{D5CDD505-2E9C-101B-9397-08002B2CF9AE}" pid="15" name="DocumentVersion">
    <vt:i4>0</vt:i4>
  </property>
  <property fmtid="{D5CDD505-2E9C-101B-9397-08002B2CF9AE}" pid="16" name="DossierNumber">
    <vt:i4>801</vt:i4>
  </property>
  <property fmtid="{D5CDD505-2E9C-101B-9397-08002B2CF9AE}" pid="17" name="DocumentStatus">
    <vt:lpwstr>2;#TRA|150d2a88-1431-44e6-a8ca-0bb753ab8672</vt:lpwstr>
  </property>
  <property fmtid="{D5CDD505-2E9C-101B-9397-08002B2CF9AE}" pid="18" name="DocumentPart">
    <vt:i4>0</vt:i4>
  </property>
  <property fmtid="{D5CDD505-2E9C-101B-9397-08002B2CF9AE}" pid="19" name="DossierName">
    <vt:lpwstr>49;#NAT|b263ab5d-0564-42a8-87bf-1cc57d938922</vt:lpwstr>
  </property>
  <property fmtid="{D5CDD505-2E9C-101B-9397-08002B2CF9AE}" pid="20" name="DocumentSource">
    <vt:lpwstr>1;#EESC|422833ec-8d7e-4e65-8e4e-8bed07ffb729</vt:lpwstr>
  </property>
  <property fmtid="{D5CDD505-2E9C-101B-9397-08002B2CF9AE}" pid="22" name="DocumentType">
    <vt:lpwstr>128;#AS|c7a748eb-f6f2-4d9d-8b5a-af0cafebc224</vt:lpwstr>
  </property>
  <property fmtid="{D5CDD505-2E9C-101B-9397-08002B2CF9AE}" pid="23" name="RequestingService">
    <vt:lpwstr>Agriculture, développement rural et environnement</vt:lpwstr>
  </property>
  <property fmtid="{D5CDD505-2E9C-101B-9397-08002B2CF9AE}" pid="24" name="Confidentiality">
    <vt:lpwstr>5;#Unrestricted|826e22d7-d029-4ec0-a450-0c28ff673572</vt:lpwstr>
  </property>
  <property fmtid="{D5CDD505-2E9C-101B-9397-08002B2CF9AE}" pid="25" name="MeetingName_0">
    <vt:lpwstr>SPL-CES|32d8cb1f-c9ec-4365-95c7-8385a18618ac</vt:lpwstr>
  </property>
  <property fmtid="{D5CDD505-2E9C-101B-9397-08002B2CF9AE}" pid="26" name="Confidentiality_0">
    <vt:lpwstr>Unrestricted|826e22d7-d029-4ec0-a450-0c28ff673572</vt:lpwstr>
  </property>
  <property fmtid="{D5CDD505-2E9C-101B-9397-08002B2CF9AE}" pid="27" name="OriginalLanguage">
    <vt:lpwstr>29;#PT|50ccc04a-eadd-42ae-a0cb-acaf45f812ba</vt:lpwstr>
  </property>
  <property fmtid="{D5CDD505-2E9C-101B-9397-08002B2CF9AE}" pid="28" name="MeetingName">
    <vt:lpwstr>51;#SPL-CES|32d8cb1f-c9ec-4365-95c7-8385a18618ac</vt:lpwstr>
  </property>
  <property fmtid="{D5CDD505-2E9C-101B-9397-08002B2CF9AE}" pid="29" name="MeetingDate">
    <vt:filetime>2021-01-27T12:00:00Z</vt:filetime>
  </property>
  <property fmtid="{D5CDD505-2E9C-101B-9397-08002B2CF9AE}" pid="30" name="AvailableTranslations_0">
    <vt:lpwstr>PT|50ccc04a-eadd-42ae-a0cb-acaf45f812ba;FR|d2afafd3-4c81-4f60-8f52-ee33f2f54ff3;HU|6b229040-c589-4408-b4c1-4285663d20a8;IT|0774613c-01ed-4e5d-a25d-11d2388de825;LV|46f7e311-5d9f-4663-b433-18aeccb7ace7;ES|e7a6b05b-ae16-40c8-add9-68b64b03aeba;EL|6d4f4d51-af9b-4650-94b4-4276bee85c91;NL|55c6556c-b4f4-441d-9acf-c498d4f838bd</vt:lpwstr>
  </property>
  <property fmtid="{D5CDD505-2E9C-101B-9397-08002B2CF9AE}" pid="31" name="DocumentStatus_0">
    <vt:lpwstr>TRA|150d2a88-1431-44e6-a8ca-0bb753ab8672</vt:lpwstr>
  </property>
  <property fmtid="{D5CDD505-2E9C-101B-9397-08002B2CF9AE}" pid="32" name="OriginalLanguage_0">
    <vt:lpwstr>PT|50ccc04a-eadd-42ae-a0cb-acaf45f812ba</vt:lpwstr>
  </property>
  <property fmtid="{D5CDD505-2E9C-101B-9397-08002B2CF9AE}" pid="33" name="TaxCatchAll">
    <vt:lpwstr>29;#PT|50ccc04a-eadd-42ae-a0cb-acaf45f812ba;#24;#LV|46f7e311-5d9f-4663-b433-18aeccb7ace7;#39;#HU|6b229040-c589-4408-b4c1-4285663d20a8;#128;#AS|c7a748eb-f6f2-4d9d-8b5a-af0cafebc224;#16;#ES|e7a6b05b-ae16-40c8-add9-68b64b03aeba;#51;#SPL-CES|32d8cb1f-c9ec-4365-95c7-8385a18618ac;#13;#IT|0774613c-01ed-4e5d-a25d-11d2388de825;#49;#NAT|b263ab5d-0564-42a8-87bf-1cc57d938922;#11;#FR|d2afafd3-4c81-4f60-8f52-ee33f2f54ff3;#38;#EL|6d4f4d51-af9b-4650-94b4-4276bee85c91;#6;#Final|ea5e6674-7b27-4bac-b091-73adbb394efe;#5;#Unrestricted|826e22d7-d029-4ec0-a450-0c28ff673572;#41;#NL|55c6556c-b4f4-441d-9acf-c498d4f838bd;#2;#TRA|150d2a88-1431-44e6-a8ca-0bb753ab8672;#1;#EESC|422833ec-8d7e-4e65-8e4e-8bed07ffb729</vt:lpwstr>
  </property>
  <property fmtid="{D5CDD505-2E9C-101B-9397-08002B2CF9AE}" pid="34" name="Rapporteur">
    <vt:lpwstr>TRINDADE</vt:lpwstr>
  </property>
  <property fmtid="{D5CDD505-2E9C-101B-9397-08002B2CF9AE}" pid="35" name="VersionStatus_0">
    <vt:lpwstr>Final|ea5e6674-7b27-4bac-b091-73adbb394efe</vt:lpwstr>
  </property>
  <property fmtid="{D5CDD505-2E9C-101B-9397-08002B2CF9AE}" pid="36" name="VersionStatus">
    <vt:lpwstr>6;#Final|ea5e6674-7b27-4bac-b091-73adbb394efe</vt:lpwstr>
  </property>
  <property fmtid="{D5CDD505-2E9C-101B-9397-08002B2CF9AE}" pid="37" name="DocumentYear">
    <vt:i4>2020</vt:i4>
  </property>
  <property fmtid="{D5CDD505-2E9C-101B-9397-08002B2CF9AE}" pid="38" name="FicheNumber">
    <vt:i4>379</vt:i4>
  </property>
  <property fmtid="{D5CDD505-2E9C-101B-9397-08002B2CF9AE}" pid="39" name="DocumentLanguage">
    <vt:lpwstr>9;#PL|1e03da61-4678-4e07-b136-b5024ca9197b</vt:lpwstr>
  </property>
  <property fmtid="{D5CDD505-2E9C-101B-9397-08002B2CF9AE}" pid="40" name="_docset_NoMedatataSyncRequired">
    <vt:lpwstr>False</vt:lpwstr>
  </property>
  <property name="OP_sanitized" fmtid="{D5CDD505-2E9C-101B-9397-08002B2CF9AE}" pid="40">
    <vt:lpwstr>True</vt:lpwstr>
  </property>
</Properties>
</file>