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6E62603A-AAB3-4B1F-8FFF-AD7351A3B223" style="width:450.8pt;height:409.45pt">
            <v:imagedata r:id="rId9" o:title=""/>
          </v:shape>
        </w:pict>
      </w:r>
    </w:p>
    <w:p>
      <w:pPr>
        <w:rPr>
          <w:noProof/>
        </w:rPr>
        <w:sectPr>
          <w:footerReference w:type="default" r:id="rId10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UZASADNIENIE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KONTEKST AKTU DELEGOWANEGO</w:t>
      </w:r>
    </w:p>
    <w:p>
      <w:pPr>
        <w:rPr>
          <w:noProof/>
        </w:rPr>
      </w:pPr>
      <w:r>
        <w:rPr>
          <w:noProof/>
        </w:rPr>
        <w:t>W związku z przyjęciem nowego rozporządzenia w sprawie produkcji ekologicznej, które wejdzie w życie w dniu 1 stycznia 2022 r., konieczne jest przyjęcie rozporządzenia delegowanego uzupełniającego rozporządzenie (UE) 2018/848 w sprawie kontroli urzędowych poprzez ustanowienie kolejnych przepisów dotyczących kontroli identyfikowalności i kontroli bilansowania masy oraz szczególnych kontroli grup podmiotów. Sektor produkcji ekologicznej musi mieć pewność prawa co do przepisów, które będą mieć zastosowanie do tych dwóch kwestii, a państwa członkowskie UE muszą mieć wystarczająco dużo czasu na włączenie tych przepisów do swoich przepisów krajowych.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KONSULTACJE PRZEPROWADZONE PRZED PRZYJĘCIEM AKTU</w:t>
      </w:r>
    </w:p>
    <w:p>
      <w:pPr>
        <w:rPr>
          <w:noProof/>
        </w:rPr>
      </w:pPr>
      <w:r>
        <w:rPr>
          <w:noProof/>
        </w:rPr>
        <w:t xml:space="preserve">Niniejszy akt został szczegółowo omówiony z państwami członkowskimi w grupie ekspertów ds. produkcji ekologicznej, a także z głównymi organizacjami reprezentującymi sektor produkcji ekologicznej, a mianowicie IFOAM, COPA-COGECA i EOCC. Podczas opracowywania niniejszych przepisów DG AGRI ściśle współpracowała z innymi dyrekcjami generalnymi w zakresie ich szczególnej wiedzy fachowej. Powiadomiono partnerów z WTO i przeprowadzono ogólne konsultacje publiczne. 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ASPEKTY PRAWNE AKTU DELEGOWANEGO</w:t>
      </w:r>
    </w:p>
    <w:p>
      <w:pPr>
        <w:rPr>
          <w:noProof/>
        </w:rPr>
      </w:pPr>
      <w:r>
        <w:rPr>
          <w:noProof/>
        </w:rPr>
        <w:t>W niniejszym akcie delegowanym ustanawia się przepisy szczegółowe dotyczące kontroli urzędowych w celu zapewnienia identyfikowalności na wszystkich etapach produkcji, przygotowania i dystrybucji oraz zapewnienia właściwych kontroli wobec grup podmiotów.</w:t>
      </w:r>
    </w:p>
    <w:p>
      <w:pPr>
        <w:rPr>
          <w:noProof/>
        </w:rPr>
        <w:sectPr>
          <w:footerReference w:type="default" r:id="rId11"/>
          <w:footerReference w:type="first" r:id="rId12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Typedudocument"/>
        <w:rPr>
          <w:noProof/>
        </w:rPr>
      </w:pPr>
      <w:r>
        <w:rPr>
          <w:noProof/>
        </w:rPr>
        <w:lastRenderedPageBreak/>
        <w:t>ROZPORZĄDZENIE DELEGOWANE KOMISJI (UE) …/…</w:t>
      </w:r>
    </w:p>
    <w:p>
      <w:pPr>
        <w:pStyle w:val="Datedadoption"/>
        <w:rPr>
          <w:noProof/>
        </w:rPr>
      </w:pPr>
      <w:r>
        <w:t>z dnia 21.1.2021 r.</w:t>
      </w:r>
    </w:p>
    <w:p>
      <w:pPr>
        <w:pStyle w:val="Titreobjet"/>
        <w:rPr>
          <w:noProof/>
        </w:rPr>
      </w:pPr>
      <w:r>
        <w:rPr>
          <w:noProof/>
        </w:rPr>
        <w:t>uzupełniające rozporządzenie Parlamentu Europejskiego i Rady (UE) 2018/848 przez ustanowienie szczegółowych kryteriów i warunków dotyczących sprawdzania dokumentacji rozliczeniowej w ramach kontroli urzędowych w zakresie produkcji ekologicznej oraz kontroli urzędowych grup podmiotów</w:t>
      </w:r>
    </w:p>
    <w:p>
      <w:pPr>
        <w:pStyle w:val="IntrtEEE"/>
        <w:rPr>
          <w:noProof/>
        </w:rPr>
      </w:pPr>
      <w:r>
        <w:rPr>
          <w:noProof/>
        </w:rPr>
        <w:t>(Tekst mający znaczenie dla EOG)</w:t>
      </w:r>
    </w:p>
    <w:p>
      <w:pPr>
        <w:pStyle w:val="Institutionquiagit"/>
        <w:rPr>
          <w:noProof/>
        </w:rPr>
      </w:pPr>
      <w:r>
        <w:rPr>
          <w:noProof/>
        </w:rPr>
        <w:t>KOMISJA EUROPEJSKA,</w:t>
      </w:r>
    </w:p>
    <w:p>
      <w:pPr>
        <w:rPr>
          <w:noProof/>
        </w:rPr>
      </w:pPr>
      <w:r>
        <w:rPr>
          <w:noProof/>
        </w:rPr>
        <w:t>uwzględniając Traktat o funkcjonowaniu Unii Europejskiej,</w:t>
      </w:r>
    </w:p>
    <w:p>
      <w:pPr>
        <w:rPr>
          <w:noProof/>
        </w:rPr>
      </w:pPr>
      <w:r>
        <w:rPr>
          <w:noProof/>
        </w:rPr>
        <w:t>uwzględniając rozporządzenie Parlamentu Europejskiego i Rady (UE) 2018/848 z dnia 30 maja 2018 r. w sprawie produkcji ekologicznej i znakowania produktów ekologicznych i uchylające rozporządzenie Rady (WE) nr 834/2007</w:t>
      </w:r>
      <w:r>
        <w:rPr>
          <w:rStyle w:val="FootnoteReference"/>
          <w:noProof/>
        </w:rPr>
        <w:footnoteReference w:id="1"/>
      </w:r>
      <w:r>
        <w:rPr>
          <w:noProof/>
        </w:rPr>
        <w:t>, w szczególności jego art. 38 ust. 8 lit. a) ppkt (i) oraz (ii),</w:t>
      </w:r>
    </w:p>
    <w:p>
      <w:pPr>
        <w:rPr>
          <w:noProof/>
        </w:rPr>
      </w:pPr>
      <w:r>
        <w:rPr>
          <w:noProof/>
        </w:rPr>
        <w:t>a także mając na uwadze, co następuje: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 xml:space="preserve">W celu zapewnienia integralności produkcji ekologicznej należy ustanowić szczegółowe kryteria i warunki dokonywania kontroli urzędowych przeprowadzanych w celu zapewnienia identyfikowalności na wszystkich etapach produkcji, przygotowania i dystrybucji oraz zgodności z rozporządzeniem (UE) 2018/848, w szczególności w odniesieniu do kontroli bezpośredniej na miejscu podmiotów lub grup podmiotów prowadzących produkcję ekologiczną, o której to kontroli mowa w art. 38 ust. 3 tego rozporządzenia. Aby kontrola bezpośrednia na miejscu była skuteczna, powinna obejmować co najmniej kontrolę identyfikowalności i kontrolę bilansowania masy za pomocą sprawdzania dokumentacji rozliczeniowej. </w:t>
      </w:r>
      <w:r>
        <w:rPr>
          <w:noProof/>
          <w:color w:val="000000"/>
        </w:rPr>
        <w:t>Kontrola identyfikowalności ma na celu potwierdzenie, czy produkty otrzymane lub wysłane przez podmiot lub grupę podmiotów są ekologiczne lub w okresie konwersji.</w:t>
      </w:r>
      <w:r>
        <w:rPr>
          <w:noProof/>
        </w:rPr>
        <w:t xml:space="preserve"> Celem kontroli bilansowania masy jest określenie równowagi między nakładami a wynikami podmiotu lub grupy podmiotów, a w szczególności wiarygodności wolumenów produktów ekologicznych lub produktów w okresie konwersji. Należy określić elementy, które mają być objęte kontrolą identyfikowalności i kontrolą bilansowania masy. 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 xml:space="preserve">Do celów kontroli urzędowych pojęcie grupy podmiotów określone w art. 36 ust. 1 rozporządzenia (UE) 2018/848 obejmuje szczególną kategorię podmiotów będących rolnikami lub podmiotami produkującymi algi lub zwierzęta akwakultury, które ponadto mogą prowadzić działalność w zakresie przetwarzania, przygotowywania lub wprowadzania do obrotu żywności lub paszy. Każda grupa podmiotów ma ustanowić system kontroli wewnętrznych obejmujący udokumentowany zestaw działań kontrolnych. Właściwy organ lub, w stosownych przypadkach, organ kontrolny lub jednostka certyfikująca powinny posiadać odpowiednie kwalifikacje do oceny systemu kontroli wewnętrznych i przeprowadzania powtórnych kontroli na podstawie analizy ryzyka na próbie członków grupy podmiotów w celu sformułowania wniosku </w:t>
      </w:r>
      <w:r>
        <w:rPr>
          <w:noProof/>
        </w:rPr>
        <w:lastRenderedPageBreak/>
        <w:t>dotyczącego ogólnego poziomu zgodności grupy. W związku z tym należy ustanowić wymogi dotyczące kompetencji właściwego organu lub, w stosownych przypadkach, organu kontrolnego lub jednostki certyfikującej w zakresie oceny tego konkretnego składu podmiotów w ramach grupy oraz systemu kontroli wewnętrznych, wymogi dotyczące zharmonizowanych ram oceny systemu kontroli wewnętrznych i doboru próby członków do celów powtórnych kontroli.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W celu zapewnienia jasności i pewności prawa niniejsze rozporządzenie powinno być stosowane od daty rozpoczęcia stosowania rozporządzenia (UE) 2018/848,</w:t>
      </w:r>
    </w:p>
    <w:p>
      <w:pPr>
        <w:pStyle w:val="Formuledadoption"/>
        <w:rPr>
          <w:noProof/>
        </w:rPr>
      </w:pPr>
      <w:r>
        <w:rPr>
          <w:noProof/>
        </w:rPr>
        <w:t>PRZYJMUJE NINIEJSZE ROZPORZĄDZENIE:</w:t>
      </w:r>
    </w:p>
    <w:p>
      <w:pPr>
        <w:pStyle w:val="Titrearticle"/>
        <w:rPr>
          <w:noProof/>
        </w:rPr>
      </w:pPr>
      <w:r>
        <w:rPr>
          <w:noProof/>
        </w:rPr>
        <w:t>Artykuł 1</w:t>
      </w:r>
    </w:p>
    <w:p>
      <w:pPr>
        <w:pStyle w:val="Titrearticle"/>
        <w:rPr>
          <w:noProof/>
        </w:rPr>
      </w:pPr>
      <w:r>
        <w:rPr>
          <w:noProof/>
        </w:rPr>
        <w:t xml:space="preserve">Sprawdzanie dokumentacji rozliczeniowej 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Kontrola bezpośrednia na miejscu zgodnie z art. 38 ust. 3 rozporządzenia (UE) 2018/848 obejmuje kontrolę identyfikowalności oraz kontrolę bilansowania masy w odniesieniu do podmiotu lub grupy podmiotów przeprowadzane za pomocą sprawdzania dokumentacji rozliczeniowej.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</w:rPr>
        <w:t>Właściwy organ lub, w stosownych przypadkach, organ kontrolny lub jednostka certyfikująca przeprowadzają kontrolę identyfikowalności i bilansowania masy zgodnie ze standardowym wzorem, udokumentowaną w pisemnym raporcie, o którym mowa w art. 38 ust. 6 rozporządzenia (UE) 2018/848.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>Do celów kontroli identyfikowalności i kontroli bilansowania masy wybór produktów, grup produktów i okresu objętego kontrolą odbywa się na podstawie oceny ryzyka.</w:t>
      </w:r>
    </w:p>
    <w:p>
      <w:pPr>
        <w:pStyle w:val="ManualNumPar1"/>
        <w:rPr>
          <w:noProof/>
        </w:rPr>
      </w:pPr>
      <w:r>
        <w:t>4.</w:t>
      </w:r>
      <w:r>
        <w:tab/>
      </w:r>
      <w:r>
        <w:rPr>
          <w:noProof/>
        </w:rPr>
        <w:t>Kontrola identyfikowalności obejmuje co najmniej następujące elementy uzasadnione odpowiednimi dokumentami, w tym ewidencją zapasów i dokumentacją finansową:</w:t>
      </w:r>
    </w:p>
    <w:p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>nazwa (imię i nazwisko) i adres dostawcy oraz, jeżeli są to różne podmioty, właściciela lub sprzedawcy bądź eksportera produktów;</w:t>
      </w:r>
    </w:p>
    <w:p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  <w:t>nazwa (imię i nazwisko) i adres odbiorcy oraz, jeżeli są to różne podmioty, nabywcy lub importera produktów;</w:t>
      </w:r>
    </w:p>
    <w:p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  <w:t>certyfikat dostawcy zgodnie z art. 35 ust. 6 rozporządzenia (UE) 2018/848;</w:t>
      </w:r>
    </w:p>
    <w:p>
      <w:pPr>
        <w:pStyle w:val="Point1"/>
        <w:rPr>
          <w:noProof/>
        </w:rPr>
      </w:pPr>
      <w:r>
        <w:rPr>
          <w:noProof/>
        </w:rPr>
        <w:t>d)</w:t>
      </w:r>
      <w:r>
        <w:rPr>
          <w:noProof/>
        </w:rPr>
        <w:tab/>
        <w:t xml:space="preserve">informacje, o których mowa w pkt 2.1 akapit pierwszy załącznika III do rozporządzenia (UE) 2018/848; </w:t>
      </w:r>
    </w:p>
    <w:p>
      <w:pPr>
        <w:pStyle w:val="Point1"/>
        <w:rPr>
          <w:noProof/>
        </w:rPr>
      </w:pPr>
      <w:r>
        <w:rPr>
          <w:noProof/>
        </w:rPr>
        <w:t>e)</w:t>
      </w:r>
      <w:r>
        <w:rPr>
          <w:noProof/>
        </w:rPr>
        <w:tab/>
        <w:t>odpowiednia identyfikacja partii.</w:t>
      </w:r>
    </w:p>
    <w:p>
      <w:pPr>
        <w:pStyle w:val="ManualNumPar1"/>
        <w:rPr>
          <w:noProof/>
        </w:rPr>
      </w:pPr>
      <w:r>
        <w:t>5.</w:t>
      </w:r>
      <w:r>
        <w:tab/>
      </w:r>
      <w:r>
        <w:rPr>
          <w:noProof/>
        </w:rPr>
        <w:t xml:space="preserve">W stosownych przypadkach kontrola bilansowania masy obejmuje co najmniej następujące elementy uzasadnione odpowiednimi dokumentami, w tym ewidencją zapasów i dokumentacją finansową: </w:t>
      </w:r>
    </w:p>
    <w:p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>rodzaj i ilość produktów dostarczonych do jednostki oraz, w stosownych przypadkach, zakupionych materiałów a także wykorzystanie takich materiałów, oraz, w stosownych przypadkach, skład produktów;</w:t>
      </w:r>
    </w:p>
    <w:p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  <w:t xml:space="preserve">rodzaju i ilości produktów składowanych w obiektach; </w:t>
      </w:r>
    </w:p>
    <w:p>
      <w:pPr>
        <w:pStyle w:val="Point1"/>
        <w:rPr>
          <w:noProof/>
        </w:rPr>
      </w:pPr>
      <w:r>
        <w:rPr>
          <w:noProof/>
        </w:rPr>
        <w:lastRenderedPageBreak/>
        <w:t>c)</w:t>
      </w:r>
      <w:r>
        <w:rPr>
          <w:noProof/>
        </w:rPr>
        <w:tab/>
        <w:t xml:space="preserve">rodzaj i ilość produktów wydanych przez jednostkę podmiotu lub grupy podmiotów do obiektów odbiorcy lub jego obiektów magazynowych; </w:t>
      </w:r>
    </w:p>
    <w:p>
      <w:pPr>
        <w:pStyle w:val="Point1"/>
        <w:rPr>
          <w:noProof/>
        </w:rPr>
      </w:pPr>
      <w:r>
        <w:rPr>
          <w:noProof/>
        </w:rPr>
        <w:t>d)</w:t>
      </w:r>
      <w:r>
        <w:rPr>
          <w:noProof/>
        </w:rPr>
        <w:tab/>
        <w:t>w przypadku podmiotów, które kupują i sprzedają produkt(-y) bez fizycznego kontaktu z produktem(-ami), rodzaj i ilości produktów, które zostały zakupione i sprzedane, oraz dostawcy, a jeżeli są to różne podmioty – sprzedawcy lub eksporterzy i kupujący, a jeżeli są to różne podmioty – odbiorcy;</w:t>
      </w:r>
    </w:p>
    <w:p>
      <w:pPr>
        <w:pStyle w:val="Point1"/>
        <w:rPr>
          <w:noProof/>
        </w:rPr>
      </w:pPr>
      <w:r>
        <w:rPr>
          <w:noProof/>
        </w:rPr>
        <w:t>e)</w:t>
      </w:r>
      <w:r>
        <w:rPr>
          <w:noProof/>
        </w:rPr>
        <w:tab/>
        <w:t>wydajność produktów uzyskanych, zebranych lub pozyskanych w poprzednim roku;</w:t>
      </w:r>
    </w:p>
    <w:p>
      <w:pPr>
        <w:pStyle w:val="Point1"/>
        <w:rPr>
          <w:noProof/>
        </w:rPr>
      </w:pPr>
      <w:r>
        <w:rPr>
          <w:noProof/>
        </w:rPr>
        <w:t>f)</w:t>
      </w:r>
      <w:r>
        <w:rPr>
          <w:noProof/>
        </w:rPr>
        <w:tab/>
        <w:t>rzeczywista wydajność produktów uzyskanych, zebranych lub pozyskanych w bieżącym roku;</w:t>
      </w:r>
    </w:p>
    <w:p>
      <w:pPr>
        <w:pStyle w:val="Point1"/>
        <w:rPr>
          <w:noProof/>
        </w:rPr>
      </w:pPr>
      <w:r>
        <w:rPr>
          <w:noProof/>
        </w:rPr>
        <w:t>g)</w:t>
      </w:r>
      <w:r>
        <w:rPr>
          <w:noProof/>
        </w:rPr>
        <w:tab/>
        <w:t>liczba lub masa w przypadku zwierząt gospodarskich utrzymywanych w bieżącym i poprzednim roku;</w:t>
      </w:r>
    </w:p>
    <w:p>
      <w:pPr>
        <w:pStyle w:val="Point1"/>
        <w:rPr>
          <w:noProof/>
        </w:rPr>
      </w:pPr>
      <w:r>
        <w:rPr>
          <w:noProof/>
        </w:rPr>
        <w:t>h)</w:t>
      </w:r>
      <w:r>
        <w:rPr>
          <w:noProof/>
        </w:rPr>
        <w:tab/>
        <w:t>wszelkie straty, wzrost lub spadek ilości produktów na dowolnym etapie produkcji, przygotowania i dystrybucji;</w:t>
      </w:r>
    </w:p>
    <w:p>
      <w:pPr>
        <w:pStyle w:val="Point1"/>
        <w:rPr>
          <w:noProof/>
        </w:rPr>
      </w:pPr>
      <w:r>
        <w:rPr>
          <w:noProof/>
        </w:rPr>
        <w:t>i)</w:t>
      </w:r>
      <w:r>
        <w:rPr>
          <w:noProof/>
        </w:rPr>
        <w:tab/>
        <w:t xml:space="preserve">produkty ekologiczne lub produkty w okresie konwersji sprzedawane na rynku jako nieekologiczne. </w:t>
      </w:r>
    </w:p>
    <w:p>
      <w:pPr>
        <w:pStyle w:val="Titrearticle"/>
        <w:rPr>
          <w:noProof/>
        </w:rPr>
      </w:pPr>
      <w:r>
        <w:rPr>
          <w:noProof/>
        </w:rPr>
        <w:t>Artykuł 2</w:t>
      </w:r>
    </w:p>
    <w:p>
      <w:pPr>
        <w:pStyle w:val="Titrearticle"/>
        <w:rPr>
          <w:noProof/>
        </w:rPr>
      </w:pPr>
      <w:r>
        <w:rPr>
          <w:noProof/>
        </w:rPr>
        <w:t>Kontrole urzędowe grup podmiotów</w:t>
      </w:r>
    </w:p>
    <w:p>
      <w:pPr>
        <w:pStyle w:val="ManualNumPar1"/>
        <w:rPr>
          <w:noProof/>
        </w:rPr>
      </w:pPr>
      <w:r>
        <w:t>1.</w:t>
      </w:r>
      <w:r>
        <w:tab/>
      </w:r>
      <w:r>
        <w:rPr>
          <w:noProof/>
        </w:rPr>
        <w:t xml:space="preserve">W celu certyfikacji i weryfikacji zgodności grupy podmiotów właściwy organ lub, w stosownych przypadkach, organ kontrolny lub jednostka certyfikująca wyznaczają inspektorów właściwych do oceny systemów kontroli wewnętrznych. </w:t>
      </w:r>
    </w:p>
    <w:p>
      <w:pPr>
        <w:pStyle w:val="ManualNumPar1"/>
        <w:rPr>
          <w:noProof/>
        </w:rPr>
      </w:pPr>
      <w:r>
        <w:t>2.</w:t>
      </w:r>
      <w:r>
        <w:tab/>
      </w:r>
      <w:r>
        <w:rPr>
          <w:noProof/>
          <w:color w:val="000000" w:themeColor="text1"/>
        </w:rPr>
        <w:t>Do celów</w:t>
      </w:r>
      <w:r>
        <w:rPr>
          <w:noProof/>
        </w:rPr>
        <w:t xml:space="preserve"> oceny utworzenia</w:t>
      </w:r>
      <w:r>
        <w:rPr>
          <w:b/>
          <w:bCs/>
          <w:noProof/>
        </w:rPr>
        <w:t>,</w:t>
      </w:r>
      <w:r>
        <w:rPr>
          <w:noProof/>
        </w:rPr>
        <w:t xml:space="preserve"> funkcjonowania i utrzymywania systemu kontroli wewnętrznych grupy</w:t>
      </w:r>
      <w:r>
        <w:rPr>
          <w:b/>
          <w:bCs/>
          <w:noProof/>
        </w:rPr>
        <w:t xml:space="preserve"> </w:t>
      </w:r>
      <w:r>
        <w:rPr>
          <w:noProof/>
        </w:rPr>
        <w:t>podmiotów właściwy organ lub, w stosownych przypadkach, organ kontrolny lub jednostka certyfikująca określają co najmniej, czy:</w:t>
      </w:r>
    </w:p>
    <w:p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 xml:space="preserve">udokumentowane procedury systemu kontroli wewnętrznych, które wprowadzono, są zgodne z wymogami ustanowionymi w rozporządzeniu (UE) 2018/848; </w:t>
      </w:r>
    </w:p>
    <w:p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  <w:t>wykaz członków grupy podmiotów wraz z informacjami wymaganymi dla każdego członka jest stale aktualizowany i dostosowany do zakresu certyfikatu;</w:t>
      </w:r>
    </w:p>
    <w:p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  <w:t>wszyscy członkowie grupy podmiotów spełniają kryteria określone w art. 36 ust. 1 lit. a), b) oraz e) rozporządzenia (UE) 2018/848 przez cały czas ich uczestnictwa w grupie podmiotów;</w:t>
      </w:r>
    </w:p>
    <w:p>
      <w:pPr>
        <w:pStyle w:val="Point1"/>
        <w:rPr>
          <w:noProof/>
        </w:rPr>
      </w:pPr>
      <w:r>
        <w:rPr>
          <w:noProof/>
        </w:rPr>
        <w:t>d)</w:t>
      </w:r>
      <w:r>
        <w:rPr>
          <w:noProof/>
        </w:rPr>
        <w:tab/>
        <w:t>liczba, przeszkolenie i kompetencje inspektorów systemu kontroli wewnętrznych są proporcjonalne i adekwatne, a inspektorzy systemu kontroli wewnętrznych nie mają konfliktu interesów;</w:t>
      </w:r>
    </w:p>
    <w:p>
      <w:pPr>
        <w:pStyle w:val="Point1"/>
        <w:rPr>
          <w:noProof/>
        </w:rPr>
      </w:pPr>
      <w:r>
        <w:rPr>
          <w:noProof/>
        </w:rPr>
        <w:t>e)</w:t>
      </w:r>
      <w:r>
        <w:rPr>
          <w:noProof/>
        </w:rPr>
        <w:tab/>
        <w:t xml:space="preserve">kontrole wewnętrzne wszystkich członków grupy podmiotów i ich działalności oraz jednostek produkcyjnych lub obiektów, w tym centrów zakupów i centrów odbioru, były prowadzane co najmniej raz w roku i zostały udokumentowane; </w:t>
      </w:r>
    </w:p>
    <w:p>
      <w:pPr>
        <w:pStyle w:val="Point1"/>
        <w:rPr>
          <w:noProof/>
        </w:rPr>
      </w:pPr>
      <w:r>
        <w:rPr>
          <w:noProof/>
        </w:rPr>
        <w:t>f)</w:t>
      </w:r>
      <w:r>
        <w:rPr>
          <w:noProof/>
        </w:rPr>
        <w:tab/>
        <w:t xml:space="preserve">nowi członkowie lub nowe jednostki produkcyjne oraz nowa działalność dotychczasowych członków, w tym nowe centra zakupów i odbioru, zostały </w:t>
      </w:r>
      <w:r>
        <w:rPr>
          <w:noProof/>
        </w:rPr>
        <w:lastRenderedPageBreak/>
        <w:t xml:space="preserve">przyjęte dopiero po ich zatwierdzeniu przez kierownika systemu kontroli wewnętrznych na podstawie sprawozdania z kontroli wewnętrznej, zgodnie z udokumentowanymi procedurami systemu kontroli wewnętrznych, które wprowadzono; </w:t>
      </w:r>
    </w:p>
    <w:p>
      <w:pPr>
        <w:pStyle w:val="Point1"/>
        <w:rPr>
          <w:noProof/>
        </w:rPr>
      </w:pPr>
      <w:r>
        <w:rPr>
          <w:noProof/>
        </w:rPr>
        <w:t>g)</w:t>
      </w:r>
      <w:r>
        <w:rPr>
          <w:noProof/>
        </w:rPr>
        <w:tab/>
        <w:t>kierownik systemu kontroli wewnętrznych wprowadza odpowiednie środki w przypadku wystąpienia niezgodności z przepisami, w tym działania następcze, zgodnie z udokumentowanymi procedurami systemu kontroli wewnętrznych, które wdrożono;</w:t>
      </w:r>
    </w:p>
    <w:p>
      <w:pPr>
        <w:pStyle w:val="Point1"/>
        <w:rPr>
          <w:noProof/>
        </w:rPr>
      </w:pPr>
      <w:r>
        <w:rPr>
          <w:noProof/>
        </w:rPr>
        <w:t>h)</w:t>
      </w:r>
      <w:r>
        <w:rPr>
          <w:noProof/>
        </w:rPr>
        <w:tab/>
        <w:t>zgłoszenia dokonywane przez kierownika systemu kontroli wewnętrznych kierowane do właściwego organu lub, w stosownych przypadkach, organu kontrolnego lub jednostki certyfikującej są odpowiednie i wystarczające;</w:t>
      </w:r>
    </w:p>
    <w:p>
      <w:pPr>
        <w:pStyle w:val="Point1"/>
        <w:rPr>
          <w:noProof/>
        </w:rPr>
      </w:pPr>
      <w:r>
        <w:rPr>
          <w:noProof/>
        </w:rPr>
        <w:t>i)</w:t>
      </w:r>
      <w:r>
        <w:rPr>
          <w:noProof/>
        </w:rPr>
        <w:tab/>
        <w:t xml:space="preserve">wewnętrzna identyfikowalność wszystkich produktów i członków grupy podmiotów jest zapewniona poprzez oszacowanie ilości i kontrolę krzyżową wydajności każdego członka grupy podmiotów; </w:t>
      </w:r>
    </w:p>
    <w:p>
      <w:pPr>
        <w:pStyle w:val="Point1"/>
        <w:rPr>
          <w:noProof/>
        </w:rPr>
      </w:pPr>
      <w:r>
        <w:rPr>
          <w:noProof/>
        </w:rPr>
        <w:t>j)</w:t>
      </w:r>
      <w:r>
        <w:rPr>
          <w:noProof/>
        </w:rPr>
        <w:tab/>
        <w:t>członkowie grupy podmiotów przechodzą odpowiednie szkolenie w zakresie procedur systemu kontroli wewnętrznych i wymogów rozporządzenia (UE) 2018/848.</w:t>
      </w:r>
    </w:p>
    <w:p>
      <w:pPr>
        <w:pStyle w:val="ManualNumPar1"/>
        <w:rPr>
          <w:noProof/>
        </w:rPr>
      </w:pPr>
      <w:r>
        <w:t>3.</w:t>
      </w:r>
      <w:r>
        <w:tab/>
      </w:r>
      <w:r>
        <w:rPr>
          <w:noProof/>
        </w:rPr>
        <w:t xml:space="preserve">Właściwy organ lub, w stosownych przypadkach, organ kontrolny lub jednostka certyfikująca stosują ocenę ryzyka w celu doboru próby członków grupy podmiotów do celów powtórnej kontroli zgodnie z art. 38 ust. 4 lit. d) rozporządzenia (UE) 2018/848. Uwzględniają przy tym co najmniej wielkość i wartość produkcji oraz ocenę prawdopodobieństwa wystąpienia niezgodności z przepisami rozporządzenia (UE) 2018/848. Powtórne kontrole przeprowadza się fizycznie na miejscu w obecności wybranych członków. </w:t>
      </w:r>
    </w:p>
    <w:p>
      <w:pPr>
        <w:pStyle w:val="ManualNumPar1"/>
        <w:rPr>
          <w:noProof/>
          <w:color w:val="000000" w:themeColor="text1"/>
        </w:rPr>
      </w:pPr>
      <w:r>
        <w:t>4.</w:t>
      </w:r>
      <w:r>
        <w:tab/>
      </w:r>
      <w:r>
        <w:rPr>
          <w:noProof/>
        </w:rPr>
        <w:t>Właściwy organ lub, w stosownych przypadkach, organ kontrolny lub jednostka certyfikująca przydzielają odpowiednią ilość czasu na przeprowadzenie kontroli grupy podmiotów, proporcjonalnie do rodzaju, struktury, wielkości, produktów, działalności i produkcji ekologicznej grupy podmiotów.</w:t>
      </w:r>
    </w:p>
    <w:p>
      <w:pPr>
        <w:pStyle w:val="ManualNumPar1"/>
        <w:rPr>
          <w:noProof/>
          <w:color w:val="000000" w:themeColor="text1"/>
        </w:rPr>
      </w:pPr>
      <w:r>
        <w:t>5.</w:t>
      </w:r>
      <w:r>
        <w:tab/>
      </w:r>
      <w:r>
        <w:rPr>
          <w:noProof/>
        </w:rPr>
        <w:t>Właściwy organ lub, w stosownych przypadkach, organ kontrolny lub jednostka certyfikująca przeprowadzają audyty obserwacyjne w celu zweryfikowania kompetencji i wiedzy inspektorów systemu kontroli wewnętrznych.</w:t>
      </w:r>
    </w:p>
    <w:p>
      <w:pPr>
        <w:pStyle w:val="ManualNumPar1"/>
        <w:rPr>
          <w:noProof/>
        </w:rPr>
      </w:pPr>
      <w:r>
        <w:t>6.</w:t>
      </w:r>
      <w:r>
        <w:tab/>
      </w:r>
      <w:r>
        <w:rPr>
          <w:noProof/>
        </w:rPr>
        <w:t xml:space="preserve">Właściwy organ lub, w stosownych przypadkach, organ kontrolny lub jednostka certyfikująca oceniają, czy wystąpił błąd systemu kontroli wewnętrznych na podstawie liczby niezgodności z przepisami niewykrytych przez inspektorów systemu kontroli wewnętrznych oraz wyniku dochodzenia w sprawie przyczyny i charakteru niezgodności z przepisami. </w:t>
      </w:r>
    </w:p>
    <w:p>
      <w:pPr>
        <w:pStyle w:val="Titrearticle"/>
        <w:rPr>
          <w:noProof/>
        </w:rPr>
      </w:pPr>
      <w:r>
        <w:rPr>
          <w:noProof/>
        </w:rPr>
        <w:t>Artykuł 3</w:t>
      </w:r>
    </w:p>
    <w:p>
      <w:pPr>
        <w:pStyle w:val="Titrearticle"/>
        <w:rPr>
          <w:noProof/>
        </w:rPr>
      </w:pPr>
      <w:r>
        <w:rPr>
          <w:noProof/>
        </w:rPr>
        <w:t>Wejście w życie i rozpoczęcie stosowania</w:t>
      </w:r>
    </w:p>
    <w:p>
      <w:pPr>
        <w:rPr>
          <w:noProof/>
        </w:rPr>
      </w:pPr>
      <w:r>
        <w:rPr>
          <w:noProof/>
        </w:rPr>
        <w:t>Niniejsze rozporządzenie wchodzi w życie dwudziestego dnia po jego opublikowaniu w </w:t>
      </w:r>
      <w:r>
        <w:rPr>
          <w:i/>
          <w:noProof/>
        </w:rPr>
        <w:t>Dzienniku Urzędowym Unii Europejskiej</w:t>
      </w:r>
      <w:r>
        <w:rPr>
          <w:noProof/>
        </w:rPr>
        <w:t>.</w:t>
      </w:r>
    </w:p>
    <w:p>
      <w:pPr>
        <w:pStyle w:val="Applicationdirecte"/>
        <w:rPr>
          <w:noProof/>
        </w:rPr>
      </w:pPr>
      <w:r>
        <w:rPr>
          <w:noProof/>
        </w:rPr>
        <w:t>Niniejsze rozporządzenie stosuje się od dnia 1 stycznia 2022 r.</w:t>
      </w:r>
    </w:p>
    <w:p>
      <w:pPr>
        <w:pStyle w:val="Applicationdirecte"/>
        <w:keepNext/>
        <w:keepLines/>
        <w:rPr>
          <w:noProof/>
        </w:rPr>
      </w:pPr>
      <w:r>
        <w:rPr>
          <w:noProof/>
        </w:rPr>
        <w:lastRenderedPageBreak/>
        <w:t>Niniejsze rozporządzenie wiąże w całości i jest bezpośrednio stosowane we wszystkich państwach członkowskich.</w:t>
      </w:r>
    </w:p>
    <w:p>
      <w:pPr>
        <w:pStyle w:val="Fait"/>
        <w:rPr>
          <w:noProof/>
        </w:rPr>
      </w:pPr>
      <w:r>
        <w:t>Sporządzono w Brukseli dnia 21.1.2021 r.</w:t>
      </w:r>
    </w:p>
    <w:p>
      <w:pPr>
        <w:pStyle w:val="Institutionquisigne"/>
        <w:rPr>
          <w:noProof/>
        </w:rPr>
      </w:pPr>
      <w:r>
        <w:rPr>
          <w:noProof/>
        </w:rPr>
        <w:tab/>
        <w:t>W imieniu Komisji</w:t>
      </w:r>
    </w:p>
    <w:p>
      <w:pPr>
        <w:pStyle w:val="Personnequisigne"/>
        <w:keepNext/>
        <w:rPr>
          <w:noProof/>
        </w:rPr>
      </w:pPr>
      <w:r>
        <w:tab/>
        <w:t>Przewodnicząca</w:t>
      </w:r>
      <w:r>
        <w:br/>
      </w:r>
      <w:r>
        <w:tab/>
        <w:t>Ursula VON DER LEYEN</w:t>
      </w:r>
    </w:p>
    <w:p>
      <w:pPr>
        <w:pStyle w:val="Personnequisigne"/>
        <w:rPr>
          <w:noProof/>
        </w:rPr>
      </w:pP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6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ab/>
        <w:t>Dz.U. L 150 z 14.6.2018, s. 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C9206B6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E530E2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3A949F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00AAC6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BE5EA37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E9064B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28495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A5067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1"/>
    <w:lvlOverride w:ilvl="0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2"/>
  </w:num>
  <w:num w:numId="14">
    <w:abstractNumId w:val="20"/>
  </w:num>
  <w:num w:numId="15">
    <w:abstractNumId w:val="11"/>
  </w:num>
  <w:num w:numId="16">
    <w:abstractNumId w:val="13"/>
  </w:num>
  <w:num w:numId="17">
    <w:abstractNumId w:val="9"/>
  </w:num>
  <w:num w:numId="18">
    <w:abstractNumId w:val="19"/>
  </w:num>
  <w:num w:numId="19">
    <w:abstractNumId w:val="8"/>
  </w:num>
  <w:num w:numId="20">
    <w:abstractNumId w:val="14"/>
  </w:num>
  <w:num w:numId="21">
    <w:abstractNumId w:val="16"/>
  </w:num>
  <w:num w:numId="22">
    <w:abstractNumId w:val="17"/>
  </w:num>
  <w:num w:numId="23">
    <w:abstractNumId w:val="10"/>
  </w:num>
  <w:num w:numId="24">
    <w:abstractNumId w:val="15"/>
  </w:num>
  <w:num w:numId="25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1-01-14 10:09:13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0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VERPAGE_EXISTS" w:val="True"/>
    <w:docVar w:name="LW_COVERPAGE_GUID" w:val="6E62603A-AAB3-4B1F-8FFF-AD7351A3B223"/>
    <w:docVar w:name="LW_COVERPAGE_TYPE" w:val="1"/>
    <w:docVar w:name="LW_CROSSREFERENCE" w:val="&lt;UNUSED&gt;"/>
    <w:docVar w:name="LW_DATE.ADOPT.CP" w:val="z dnia 21.1.2021 r."/>
    <w:docVar w:name="LW_DATE.ADOPT.CP_DATEFORMAT" w:val="z dnia %DATE% r."/>
    <w:docVar w:name="LW_DATE.ADOPT.CP_ISODATE" w:val="2021-01-21"/>
    <w:docVar w:name="LW_DocType" w:val="COM"/>
    <w:docVar w:name="LW_EMISSION" w:val="21.1.2021"/>
    <w:docVar w:name="LW_EMISSION_ISODATE" w:val="2021-01-21"/>
    <w:docVar w:name="LW_EMISSION_LOCATION" w:val="BRX"/>
    <w:docVar w:name="LW_EMISSION_PREFIX" w:val="Bruksela, dnia "/>
    <w:docVar w:name="LW_EMISSION_SUFFIX" w:val=" r."/>
    <w:docVar w:name="LW_ID_DOCMODEL" w:val="SJ-003"/>
    <w:docVar w:name="LW_ID_DOCSIGNATURE" w:val="SJ-003"/>
    <w:docVar w:name="LW_ID_DOCSTRUCTURE" w:val="COM/AA"/>
    <w:docVar w:name="LW_ID_DOCTYPE" w:val="SJ-003"/>
    <w:docVar w:name="LW_ID_EXP.MOTIFS.NEW" w:val="EM_AA_"/>
    <w:docVar w:name="LW_INTERETEEE.CP" w:val="(Tekst maj\u261?cy znaczenie dla EOG)"/>
    <w:docVar w:name="LW_LANGUE" w:val="PL"/>
    <w:docVar w:name="LW_LANGUESFAISANTFOI.CP" w:val="&lt;UNUSED&gt;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1) 25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uzupe\u322?niaj\u261?ce rozporz\u261?dzenie Parlamentu Europejskiego i Rady (UE) 2018/848 przez ustanowienie szczegó\u322?owych kryteriów i warunków dotycz\u261?cych sprawdzania dokumentacji rozliczeniowej w ramach kontroli urz\u281?dowych w zakresie produkcji ekologicznej oraz kontroli urz\u281?dowych grup podmiotów"/>
    <w:docVar w:name="LW_TYPE.DOC.CP" w:val="ROZPORZ\u260?DZENIE DELEGOWANE KOMISJI (UE) \u8230?/\u8230?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8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M1">
    <w:name w:val="CM1"/>
    <w:basedOn w:val="Normal"/>
    <w:next w:val="Normal"/>
    <w:uiPriority w:val="99"/>
    <w:pPr>
      <w:autoSpaceDE w:val="0"/>
      <w:autoSpaceDN w:val="0"/>
      <w:adjustRightInd w:val="0"/>
      <w:spacing w:before="0" w:after="0"/>
      <w:jc w:val="left"/>
    </w:pPr>
    <w:rPr>
      <w:rFonts w:ascii="EUAlbertina" w:hAnsi="EUAlbertina" w:cstheme="minorBidi"/>
      <w:szCs w:val="24"/>
    </w:rPr>
  </w:style>
  <w:style w:type="paragraph" w:customStyle="1" w:styleId="CM3">
    <w:name w:val="CM3"/>
    <w:basedOn w:val="Normal"/>
    <w:next w:val="Normal"/>
    <w:uiPriority w:val="99"/>
    <w:pPr>
      <w:autoSpaceDE w:val="0"/>
      <w:autoSpaceDN w:val="0"/>
      <w:adjustRightInd w:val="0"/>
      <w:spacing w:before="0" w:after="0"/>
      <w:jc w:val="left"/>
    </w:pPr>
    <w:rPr>
      <w:rFonts w:ascii="EUAlbertina" w:hAnsi="EUAlbertina" w:cstheme="minorBidi"/>
      <w:szCs w:val="24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Cons">
    <w:name w:val="Cons"/>
    <w:basedOn w:val="Confidence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tlid-translation">
    <w:name w:val="tlid-translation"/>
    <w:basedOn w:val="DefaultParagraphFont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2"/>
      </w:numPr>
    </w:pPr>
  </w:style>
  <w:style w:type="paragraph" w:customStyle="1" w:styleId="Tiret1">
    <w:name w:val="Tiret 1"/>
    <w:basedOn w:val="Point1"/>
    <w:pPr>
      <w:numPr>
        <w:numId w:val="13"/>
      </w:numPr>
    </w:pPr>
  </w:style>
  <w:style w:type="paragraph" w:customStyle="1" w:styleId="Tiret2">
    <w:name w:val="Tiret 2"/>
    <w:basedOn w:val="Point2"/>
    <w:pPr>
      <w:numPr>
        <w:numId w:val="14"/>
      </w:numPr>
    </w:pPr>
  </w:style>
  <w:style w:type="paragraph" w:customStyle="1" w:styleId="Tiret3">
    <w:name w:val="Tiret 3"/>
    <w:basedOn w:val="Point3"/>
    <w:pPr>
      <w:numPr>
        <w:numId w:val="15"/>
      </w:numPr>
    </w:pPr>
  </w:style>
  <w:style w:type="paragraph" w:customStyle="1" w:styleId="Tiret4">
    <w:name w:val="Tiret 4"/>
    <w:basedOn w:val="Point4"/>
    <w:pPr>
      <w:numPr>
        <w:numId w:val="1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9"/>
      </w:numPr>
    </w:pPr>
  </w:style>
  <w:style w:type="paragraph" w:customStyle="1" w:styleId="Point1number">
    <w:name w:val="Point 1 (number)"/>
    <w:basedOn w:val="Normal"/>
    <w:pPr>
      <w:numPr>
        <w:ilvl w:val="2"/>
        <w:numId w:val="19"/>
      </w:numPr>
    </w:pPr>
  </w:style>
  <w:style w:type="paragraph" w:customStyle="1" w:styleId="Point2number">
    <w:name w:val="Point 2 (number)"/>
    <w:basedOn w:val="Normal"/>
    <w:pPr>
      <w:numPr>
        <w:ilvl w:val="4"/>
        <w:numId w:val="19"/>
      </w:numPr>
    </w:pPr>
  </w:style>
  <w:style w:type="paragraph" w:customStyle="1" w:styleId="Point3number">
    <w:name w:val="Point 3 (number)"/>
    <w:basedOn w:val="Normal"/>
    <w:pPr>
      <w:numPr>
        <w:ilvl w:val="6"/>
        <w:numId w:val="19"/>
      </w:numPr>
    </w:pPr>
  </w:style>
  <w:style w:type="paragraph" w:customStyle="1" w:styleId="Point0letter">
    <w:name w:val="Point 0 (letter)"/>
    <w:basedOn w:val="Normal"/>
    <w:pPr>
      <w:numPr>
        <w:ilvl w:val="1"/>
        <w:numId w:val="19"/>
      </w:numPr>
    </w:pPr>
  </w:style>
  <w:style w:type="paragraph" w:customStyle="1" w:styleId="Point1letter">
    <w:name w:val="Point 1 (letter)"/>
    <w:basedOn w:val="Normal"/>
    <w:pPr>
      <w:numPr>
        <w:ilvl w:val="3"/>
        <w:numId w:val="19"/>
      </w:numPr>
    </w:pPr>
  </w:style>
  <w:style w:type="paragraph" w:customStyle="1" w:styleId="Point2letter">
    <w:name w:val="Point 2 (letter)"/>
    <w:basedOn w:val="Normal"/>
    <w:pPr>
      <w:numPr>
        <w:ilvl w:val="5"/>
        <w:numId w:val="19"/>
      </w:numPr>
    </w:pPr>
  </w:style>
  <w:style w:type="paragraph" w:customStyle="1" w:styleId="Point3letter">
    <w:name w:val="Point 3 (letter)"/>
    <w:basedOn w:val="Normal"/>
    <w:pPr>
      <w:numPr>
        <w:ilvl w:val="7"/>
        <w:numId w:val="19"/>
      </w:numPr>
    </w:pPr>
  </w:style>
  <w:style w:type="paragraph" w:customStyle="1" w:styleId="Point4letter">
    <w:name w:val="Point 4 (letter)"/>
    <w:basedOn w:val="Normal"/>
    <w:pPr>
      <w:numPr>
        <w:ilvl w:val="8"/>
        <w:numId w:val="19"/>
      </w:numPr>
    </w:pPr>
  </w:style>
  <w:style w:type="paragraph" w:customStyle="1" w:styleId="Bullet0">
    <w:name w:val="Bullet 0"/>
    <w:basedOn w:val="Normal"/>
    <w:pPr>
      <w:numPr>
        <w:numId w:val="20"/>
      </w:numPr>
    </w:pPr>
  </w:style>
  <w:style w:type="paragraph" w:customStyle="1" w:styleId="Bullet1">
    <w:name w:val="Bullet 1"/>
    <w:basedOn w:val="Normal"/>
    <w:pPr>
      <w:numPr>
        <w:numId w:val="21"/>
      </w:numPr>
    </w:pPr>
  </w:style>
  <w:style w:type="paragraph" w:customStyle="1" w:styleId="Bullet2">
    <w:name w:val="Bullet 2"/>
    <w:basedOn w:val="Normal"/>
    <w:pPr>
      <w:numPr>
        <w:numId w:val="22"/>
      </w:numPr>
    </w:pPr>
  </w:style>
  <w:style w:type="paragraph" w:customStyle="1" w:styleId="Bullet3">
    <w:name w:val="Bullet 3"/>
    <w:basedOn w:val="Normal"/>
    <w:pPr>
      <w:numPr>
        <w:numId w:val="23"/>
      </w:numPr>
    </w:pPr>
  </w:style>
  <w:style w:type="paragraph" w:customStyle="1" w:styleId="Bullet4">
    <w:name w:val="Bullet 4"/>
    <w:basedOn w:val="Normal"/>
    <w:pPr>
      <w:numPr>
        <w:numId w:val="2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8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8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8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8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pl-PL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CM1">
    <w:name w:val="CM1"/>
    <w:basedOn w:val="Normal"/>
    <w:next w:val="Normal"/>
    <w:uiPriority w:val="99"/>
    <w:pPr>
      <w:autoSpaceDE w:val="0"/>
      <w:autoSpaceDN w:val="0"/>
      <w:adjustRightInd w:val="0"/>
      <w:spacing w:before="0" w:after="0"/>
      <w:jc w:val="left"/>
    </w:pPr>
    <w:rPr>
      <w:rFonts w:ascii="EUAlbertina" w:hAnsi="EUAlbertina" w:cstheme="minorBidi"/>
      <w:szCs w:val="24"/>
    </w:rPr>
  </w:style>
  <w:style w:type="paragraph" w:customStyle="1" w:styleId="CM3">
    <w:name w:val="CM3"/>
    <w:basedOn w:val="Normal"/>
    <w:next w:val="Normal"/>
    <w:uiPriority w:val="99"/>
    <w:pPr>
      <w:autoSpaceDE w:val="0"/>
      <w:autoSpaceDN w:val="0"/>
      <w:adjustRightInd w:val="0"/>
      <w:spacing w:before="0" w:after="0"/>
      <w:jc w:val="left"/>
    </w:pPr>
    <w:rPr>
      <w:rFonts w:ascii="EUAlbertina" w:hAnsi="EUAlbertina" w:cstheme="minorBidi"/>
      <w:szCs w:val="24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paragraph" w:customStyle="1" w:styleId="Cons">
    <w:name w:val="Cons"/>
    <w:basedOn w:val="Confidence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tlid-translation">
    <w:name w:val="tlid-translation"/>
    <w:basedOn w:val="DefaultParagraphFont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val="pl-PL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val="pl-PL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2"/>
      </w:numPr>
    </w:pPr>
  </w:style>
  <w:style w:type="paragraph" w:customStyle="1" w:styleId="Tiret1">
    <w:name w:val="Tiret 1"/>
    <w:basedOn w:val="Point1"/>
    <w:pPr>
      <w:numPr>
        <w:numId w:val="13"/>
      </w:numPr>
    </w:pPr>
  </w:style>
  <w:style w:type="paragraph" w:customStyle="1" w:styleId="Tiret2">
    <w:name w:val="Tiret 2"/>
    <w:basedOn w:val="Point2"/>
    <w:pPr>
      <w:numPr>
        <w:numId w:val="14"/>
      </w:numPr>
    </w:pPr>
  </w:style>
  <w:style w:type="paragraph" w:customStyle="1" w:styleId="Tiret3">
    <w:name w:val="Tiret 3"/>
    <w:basedOn w:val="Point3"/>
    <w:pPr>
      <w:numPr>
        <w:numId w:val="15"/>
      </w:numPr>
    </w:pPr>
  </w:style>
  <w:style w:type="paragraph" w:customStyle="1" w:styleId="Tiret4">
    <w:name w:val="Tiret 4"/>
    <w:basedOn w:val="Point4"/>
    <w:pPr>
      <w:numPr>
        <w:numId w:val="16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7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7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7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7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9"/>
      </w:numPr>
    </w:pPr>
  </w:style>
  <w:style w:type="paragraph" w:customStyle="1" w:styleId="Point1number">
    <w:name w:val="Point 1 (number)"/>
    <w:basedOn w:val="Normal"/>
    <w:pPr>
      <w:numPr>
        <w:ilvl w:val="2"/>
        <w:numId w:val="19"/>
      </w:numPr>
    </w:pPr>
  </w:style>
  <w:style w:type="paragraph" w:customStyle="1" w:styleId="Point2number">
    <w:name w:val="Point 2 (number)"/>
    <w:basedOn w:val="Normal"/>
    <w:pPr>
      <w:numPr>
        <w:ilvl w:val="4"/>
        <w:numId w:val="19"/>
      </w:numPr>
    </w:pPr>
  </w:style>
  <w:style w:type="paragraph" w:customStyle="1" w:styleId="Point3number">
    <w:name w:val="Point 3 (number)"/>
    <w:basedOn w:val="Normal"/>
    <w:pPr>
      <w:numPr>
        <w:ilvl w:val="6"/>
        <w:numId w:val="19"/>
      </w:numPr>
    </w:pPr>
  </w:style>
  <w:style w:type="paragraph" w:customStyle="1" w:styleId="Point0letter">
    <w:name w:val="Point 0 (letter)"/>
    <w:basedOn w:val="Normal"/>
    <w:pPr>
      <w:numPr>
        <w:ilvl w:val="1"/>
        <w:numId w:val="19"/>
      </w:numPr>
    </w:pPr>
  </w:style>
  <w:style w:type="paragraph" w:customStyle="1" w:styleId="Point1letter">
    <w:name w:val="Point 1 (letter)"/>
    <w:basedOn w:val="Normal"/>
    <w:pPr>
      <w:numPr>
        <w:ilvl w:val="3"/>
        <w:numId w:val="19"/>
      </w:numPr>
    </w:pPr>
  </w:style>
  <w:style w:type="paragraph" w:customStyle="1" w:styleId="Point2letter">
    <w:name w:val="Point 2 (letter)"/>
    <w:basedOn w:val="Normal"/>
    <w:pPr>
      <w:numPr>
        <w:ilvl w:val="5"/>
        <w:numId w:val="19"/>
      </w:numPr>
    </w:pPr>
  </w:style>
  <w:style w:type="paragraph" w:customStyle="1" w:styleId="Point3letter">
    <w:name w:val="Point 3 (letter)"/>
    <w:basedOn w:val="Normal"/>
    <w:pPr>
      <w:numPr>
        <w:ilvl w:val="7"/>
        <w:numId w:val="19"/>
      </w:numPr>
    </w:pPr>
  </w:style>
  <w:style w:type="paragraph" w:customStyle="1" w:styleId="Point4letter">
    <w:name w:val="Point 4 (letter)"/>
    <w:basedOn w:val="Normal"/>
    <w:pPr>
      <w:numPr>
        <w:ilvl w:val="8"/>
        <w:numId w:val="19"/>
      </w:numPr>
    </w:pPr>
  </w:style>
  <w:style w:type="paragraph" w:customStyle="1" w:styleId="Bullet0">
    <w:name w:val="Bullet 0"/>
    <w:basedOn w:val="Normal"/>
    <w:pPr>
      <w:numPr>
        <w:numId w:val="20"/>
      </w:numPr>
    </w:pPr>
  </w:style>
  <w:style w:type="paragraph" w:customStyle="1" w:styleId="Bullet1">
    <w:name w:val="Bullet 1"/>
    <w:basedOn w:val="Normal"/>
    <w:pPr>
      <w:numPr>
        <w:numId w:val="21"/>
      </w:numPr>
    </w:pPr>
  </w:style>
  <w:style w:type="paragraph" w:customStyle="1" w:styleId="Bullet2">
    <w:name w:val="Bullet 2"/>
    <w:basedOn w:val="Normal"/>
    <w:pPr>
      <w:numPr>
        <w:numId w:val="22"/>
      </w:numPr>
    </w:pPr>
  </w:style>
  <w:style w:type="paragraph" w:customStyle="1" w:styleId="Bullet3">
    <w:name w:val="Bullet 3"/>
    <w:basedOn w:val="Normal"/>
    <w:pPr>
      <w:numPr>
        <w:numId w:val="23"/>
      </w:numPr>
    </w:pPr>
  </w:style>
  <w:style w:type="paragraph" w:customStyle="1" w:styleId="Bullet4">
    <w:name w:val="Bullet 4"/>
    <w:basedOn w:val="Normal"/>
    <w:pPr>
      <w:numPr>
        <w:numId w:val="24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5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D7A7878-B230-47D1-9A81-9002E3C9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7</Pages>
  <Words>1525</Words>
  <Characters>10452</Characters>
  <Application>Microsoft Office Word</Application>
  <DocSecurity>0</DocSecurity>
  <Lines>197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20</cp:revision>
  <dcterms:created xsi:type="dcterms:W3CDTF">2021-01-11T09:00:00Z</dcterms:created>
  <dcterms:modified xsi:type="dcterms:W3CDTF">2021-01-14T09:09:00Z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7.0.9.0</vt:lpwstr>
  </property>
  <property fmtid="{D5CDD505-2E9C-101B-9397-08002B2CF9AE}" pid="4" name="Last edited using">
    <vt:lpwstr>LW 7.0.1, Build 20190916</vt:lpwstr>
  </property>
  <property fmtid="{D5CDD505-2E9C-101B-9397-08002B2CF9AE}" pid="5" name="Created using">
    <vt:lpwstr>LW 7.0.1, Build 20190916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SJ-003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