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9D0250A109D9407D9C6BBC221F157A13" style="width:450.75pt;height:396pt">
            <v:imagedata r:id="rId9" o:title=""/>
          </v:shape>
        </w:pict>
      </w:r>
    </w:p>
    <w:p>
      <w:pPr>
        <w:rPr>
          <w:noProof/>
        </w:rPr>
        <w:sectPr>
          <w:footerReference w:type="default" r:id="rId10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Typedudocument"/>
        <w:rPr>
          <w:noProof/>
        </w:rPr>
      </w:pPr>
      <w:bookmarkStart w:id="0" w:name="_GoBack"/>
      <w:bookmarkEnd w:id="0"/>
      <w:r>
        <w:rPr>
          <w:noProof/>
        </w:rPr>
        <w:lastRenderedPageBreak/>
        <w:t>ROZPORZĄDZENIE WYKONAWCZE KOMISJI (UE) …/…</w:t>
      </w:r>
    </w:p>
    <w:p>
      <w:pPr>
        <w:pStyle w:val="Datedadoption"/>
        <w:rPr>
          <w:noProof/>
        </w:rPr>
      </w:pPr>
      <w:r>
        <w:t>z dnia 26.9.2017 r.</w:t>
      </w:r>
    </w:p>
    <w:p>
      <w:pPr>
        <w:pStyle w:val="Titreobjet"/>
        <w:rPr>
          <w:noProof/>
        </w:rPr>
      </w:pPr>
      <w:r>
        <w:rPr>
          <w:noProof/>
        </w:rPr>
        <w:t>uchylające rozporządzenie (UE) nr 1013/2010 ustanawiające przepisy wykonawcze do polityki dotyczącej floty Unii, określonej w rozdziale III rozporządzenia Rady (WE) nr 2371/2002</w:t>
      </w:r>
    </w:p>
    <w:p>
      <w:pPr>
        <w:pStyle w:val="IntrtEEE"/>
        <w:rPr>
          <w:noProof/>
        </w:rPr>
      </w:pPr>
      <w:r>
        <w:rPr>
          <w:noProof/>
        </w:rPr>
        <w:t>(Tekst mający znaczenie dla EOG)</w:t>
      </w:r>
    </w:p>
    <w:p>
      <w:pPr>
        <w:pStyle w:val="Institutionquiagit"/>
        <w:rPr>
          <w:noProof/>
        </w:rPr>
      </w:pPr>
      <w:r>
        <w:rPr>
          <w:noProof/>
        </w:rPr>
        <w:t>KOMISJA EUROPEJSKA,</w:t>
      </w:r>
    </w:p>
    <w:p>
      <w:pPr>
        <w:rPr>
          <w:noProof/>
          <w:szCs w:val="24"/>
        </w:rPr>
      </w:pPr>
      <w:r>
        <w:rPr>
          <w:noProof/>
        </w:rPr>
        <w:t>uwzględniając Traktat o funkcjonowaniu Unii Europejskiej,</w:t>
      </w:r>
    </w:p>
    <w:p>
      <w:pPr>
        <w:rPr>
          <w:noProof/>
          <w:szCs w:val="24"/>
        </w:rPr>
      </w:pPr>
      <w:r>
        <w:rPr>
          <w:noProof/>
        </w:rPr>
        <w:t>uwzględniając rozporządzenie Parlamentu Europejskiego i Rady (UE) nr 1380/2013 z dnia 11 grudnia 2013 r. w sprawie wspólnej polityki rybołówstwa, zmieniające rozporządzenia Rady (WE) nr 1954/2003 i (WE) nr 1224/2009 oraz uchylające rozporządzenia Rady (WE) nr 2371/2002 i (WE) nr 639/2004 oraz decyzję Rady 2004/585/WE</w:t>
      </w:r>
      <w:r>
        <w:rPr>
          <w:rStyle w:val="FootnoteReference"/>
          <w:noProof/>
        </w:rPr>
        <w:footnoteReference w:id="2"/>
      </w:r>
      <w:r>
        <w:rPr>
          <w:noProof/>
        </w:rPr>
        <w:t>, a w szczególności jego art. 23 ust. 2,</w:t>
      </w:r>
    </w:p>
    <w:p>
      <w:pPr>
        <w:rPr>
          <w:noProof/>
          <w:szCs w:val="24"/>
        </w:rPr>
      </w:pPr>
      <w:r>
        <w:rPr>
          <w:noProof/>
        </w:rPr>
        <w:t>a także mając na uwadze, co następuje:</w:t>
      </w:r>
    </w:p>
    <w:p>
      <w:pPr>
        <w:pStyle w:val="ManualConsidrant"/>
        <w:rPr>
          <w:noProof/>
          <w:szCs w:val="24"/>
        </w:rPr>
      </w:pPr>
      <w:r>
        <w:t>(1)</w:t>
      </w:r>
      <w:r>
        <w:tab/>
      </w:r>
      <w:r>
        <w:rPr>
          <w:noProof/>
        </w:rPr>
        <w:t>Przed wejściem w życie rozporządzenia (UE) nr 1380/2013, dostosowanie zdolności połowowej było uregulowane w rozdziale III rozporządzenia Rady (WE) nr 2371/2002</w:t>
      </w:r>
      <w:r>
        <w:rPr>
          <w:rStyle w:val="FootnoteReference"/>
          <w:noProof/>
        </w:rPr>
        <w:footnoteReference w:id="3"/>
      </w:r>
      <w:r>
        <w:rPr>
          <w:noProof/>
        </w:rPr>
        <w:t>. W rozporządzeniu Komisji (UE) nr 1013/2010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 ustanowiono przepisy wykonawcze do tego rozdziału, jeśli chodzi o poziomy odniesienia dla flot rybackich, monitorowanie wprowadzania i wycofywania statków, zbieranie danych, wymianę informacji i sprawozdawczość roczną.</w:t>
      </w:r>
    </w:p>
    <w:p>
      <w:pPr>
        <w:pStyle w:val="ManualConsidrant"/>
        <w:rPr>
          <w:noProof/>
          <w:szCs w:val="24"/>
        </w:rPr>
      </w:pPr>
      <w:r>
        <w:t>(2)</w:t>
      </w:r>
      <w:r>
        <w:tab/>
      </w:r>
      <w:r>
        <w:rPr>
          <w:noProof/>
        </w:rPr>
        <w:t xml:space="preserve">Rozporządzenie (WE) nr 2371/2002 zostało uchylone rozporządzeniem (UE) nr 1380/2013, a dostosowanie zdolności połowowej i zarządzanie nią regulowane jest obecnie przepisami części IV rozporządzenia (UE) nr 1380/2013. W szczególności pułapy zdolności połowowej państw członkowskich są obecnie określone w załączniku II do rozporządzenia (UE) nr 1380/2013, a przepisy dotyczące sprawozdań rocznych, które mają być przesyłane przez państwa członkowskie, przepisy dotyczące zarządzania wprowadzaniem do floty krajowej i wycofywaniem z niej statków, przepisy dotyczące zbierania i wymiany danych są obecnie określone, odpowiednio, w art. 22, art. 23 oraz art. 24 rozporządzenia (UE) nr 1380/2013. </w:t>
      </w:r>
    </w:p>
    <w:p>
      <w:pPr>
        <w:pStyle w:val="ManualConsidrant"/>
        <w:rPr>
          <w:noProof/>
          <w:szCs w:val="24"/>
        </w:rPr>
      </w:pPr>
      <w:r>
        <w:t>(3)</w:t>
      </w:r>
      <w:r>
        <w:tab/>
      </w:r>
      <w:r>
        <w:rPr>
          <w:noProof/>
        </w:rPr>
        <w:t>W związku z tym przepisy ustanowione w rozporządzeniu (UE) nr 1013/2010 zostały zastąpione przepisami, które określono w rozporządzeniu (UE) nr 1380/2013.</w:t>
      </w:r>
    </w:p>
    <w:p>
      <w:pPr>
        <w:pStyle w:val="ManualConsidrant"/>
        <w:rPr>
          <w:noProof/>
          <w:szCs w:val="24"/>
        </w:rPr>
      </w:pPr>
      <w:r>
        <w:lastRenderedPageBreak/>
        <w:t>(4)</w:t>
      </w:r>
      <w:r>
        <w:tab/>
      </w:r>
      <w:r>
        <w:rPr>
          <w:noProof/>
        </w:rPr>
        <w:t xml:space="preserve">W celu wykonania przepisów art. 23 rozporządzenia (UE) nr 1380/2013 należy usunąć z ram prawnych, w których stosuje się ten artykuł, wszystkie nieaktualne przepisy ustanowione w rozporządzeniu (UE) nr 1013/2010. </w:t>
      </w:r>
    </w:p>
    <w:p>
      <w:pPr>
        <w:pStyle w:val="ManualConsidrant"/>
        <w:rPr>
          <w:noProof/>
          <w:szCs w:val="24"/>
        </w:rPr>
      </w:pPr>
      <w:r>
        <w:t>(5)</w:t>
      </w:r>
      <w:r>
        <w:tab/>
      </w:r>
      <w:r>
        <w:rPr>
          <w:noProof/>
        </w:rPr>
        <w:t>Należy zatem uchylić rozporządzenie (UE) nr 1013/2010 ze skutkiem od daty rozpoczęcia stosowania rozporządzenia (UE) nr 1380/2013.</w:t>
      </w:r>
    </w:p>
    <w:p>
      <w:pPr>
        <w:pStyle w:val="ManualConsidrant"/>
        <w:rPr>
          <w:noProof/>
          <w:szCs w:val="24"/>
        </w:rPr>
      </w:pPr>
      <w:r>
        <w:t>(6)</w:t>
      </w:r>
      <w:r>
        <w:tab/>
      </w:r>
      <w:r>
        <w:rPr>
          <w:noProof/>
        </w:rPr>
        <w:t>Środki przewidziane w niniejszym rozporządzeniu są zgodne z opinią Komitetu ds. Rybołówstwa i Akwakultury,</w:t>
      </w:r>
    </w:p>
    <w:p>
      <w:pPr>
        <w:pStyle w:val="Formuledadoption"/>
        <w:rPr>
          <w:noProof/>
        </w:rPr>
      </w:pPr>
      <w:r>
        <w:rPr>
          <w:noProof/>
        </w:rPr>
        <w:t>PRZYJMUJE NINIEJSZE ROZPORZĄDZENIE:</w:t>
      </w:r>
    </w:p>
    <w:p>
      <w:pPr>
        <w:pStyle w:val="Titrearticle"/>
        <w:rPr>
          <w:noProof/>
        </w:rPr>
      </w:pPr>
      <w:r>
        <w:rPr>
          <w:noProof/>
        </w:rPr>
        <w:t>Artykuł 1</w:t>
      </w:r>
      <w:r>
        <w:rPr>
          <w:noProof/>
        </w:rPr>
        <w:br/>
        <w:t>Uchylenie</w:t>
      </w:r>
    </w:p>
    <w:p>
      <w:pPr>
        <w:rPr>
          <w:noProof/>
        </w:rPr>
      </w:pPr>
      <w:r>
        <w:rPr>
          <w:noProof/>
        </w:rPr>
        <w:t>Rozporządzenie (UE) nr 1013/2010 traci moc ze skutkiem od dnia 1 stycznia 2014 r.</w:t>
      </w:r>
    </w:p>
    <w:p>
      <w:pPr>
        <w:rPr>
          <w:noProof/>
        </w:rPr>
      </w:pPr>
    </w:p>
    <w:p>
      <w:pPr>
        <w:pStyle w:val="Titrearticle"/>
        <w:rPr>
          <w:noProof/>
        </w:rPr>
      </w:pPr>
      <w:r>
        <w:rPr>
          <w:noProof/>
        </w:rPr>
        <w:t>Artykuł 2</w:t>
      </w:r>
    </w:p>
    <w:p>
      <w:pPr>
        <w:rPr>
          <w:noProof/>
        </w:rPr>
      </w:pPr>
      <w:r>
        <w:rPr>
          <w:noProof/>
        </w:rPr>
        <w:t>Niniejsze rozporządzenie wchodzi w życie dziesiątego dnia po jego opublikowaniu w </w:t>
      </w:r>
      <w:r>
        <w:rPr>
          <w:i/>
          <w:noProof/>
        </w:rPr>
        <w:t>Dzienniku Urzędowym Unii Europejskiej</w:t>
      </w:r>
      <w:r>
        <w:rPr>
          <w:noProof/>
        </w:rPr>
        <w:t>.</w:t>
      </w:r>
    </w:p>
    <w:p>
      <w:pPr>
        <w:pStyle w:val="Applicationdirecte"/>
        <w:rPr>
          <w:noProof/>
        </w:rPr>
      </w:pPr>
      <w:r>
        <w:rPr>
          <w:noProof/>
        </w:rPr>
        <w:t>Niniejsze rozporządzenie wiąże w całości i jest bezpośrednio stosowane we wszystkich państwach członkowskich.</w:t>
      </w:r>
    </w:p>
    <w:p>
      <w:pPr>
        <w:pStyle w:val="Fait"/>
        <w:rPr>
          <w:noProof/>
        </w:rPr>
      </w:pPr>
      <w:r>
        <w:rPr>
          <w:noProof/>
        </w:rPr>
        <w:t>Sporządzono w Brukseli, dnia 26.9.2017 r.</w:t>
      </w:r>
    </w:p>
    <w:p>
      <w:pPr>
        <w:pStyle w:val="Institutionquisigne"/>
        <w:rPr>
          <w:noProof/>
        </w:rPr>
      </w:pPr>
      <w:r>
        <w:rPr>
          <w:noProof/>
        </w:rPr>
        <w:tab/>
        <w:t>W imieniu Komisji</w:t>
      </w:r>
    </w:p>
    <w:p>
      <w:pPr>
        <w:pStyle w:val="Personnequisigne"/>
        <w:rPr>
          <w:noProof/>
        </w:rPr>
      </w:pPr>
      <w:r>
        <w:tab/>
        <w:t>Przewodniczący</w:t>
      </w:r>
      <w:r>
        <w:br/>
      </w:r>
      <w:r>
        <w:tab/>
        <w:t>Jean-Claude JUNCKER</w:t>
      </w:r>
    </w:p>
    <w:sectPr>
      <w:footerReference w:type="default" r:id="rId11"/>
      <w:footerReference w:type="first" r:id="rId12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  <w:endnote w:type="continuationNotice" w:id="1">
    <w:p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type="continuationNotice" w:id="1">
    <w:p>
      <w:pPr>
        <w:spacing w:before="0" w:after="0"/>
      </w:pP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ab/>
        <w:t>Dz.U. L 354 z 28.12.2013, s. 22.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ab/>
        <w:t>Rozporządzenie Rady (WE) nr 2371/2002 z dnia 20 grudnia 2002 r. w sprawie ochrony i zrównoważonej eksploatacji zasobów rybołówstwa w ramach wspólnej polityki rybołówstwa (Dz.U. L 358 z 31.12.2002, s. 59).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  <w:t>Rozporządzenie Komisji (UE) nr 1013/2010 z dnia 10 listopada 2010 r. ustanawiające przepisy wykonawcze do polityki dotyczącej floty Unii, określonej w rozdziale III rozporządzenia Rady (WE) nr 2371/2002 (Dz.U. L 293 z 11.11.2010, s.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94E92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FD24DE3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5FAE06D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6C1603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9F12E3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0AA0FC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7F60EB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BEA07F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1"/>
    <w:lvlOverride w:ilvl="0">
      <w:startOverride w:val="1"/>
    </w:lvlOverride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 w:numId="24">
    <w:abstractNumId w:val="18"/>
  </w:num>
  <w:num w:numId="25">
    <w:abstractNumId w:val="12"/>
  </w:num>
  <w:num w:numId="26">
    <w:abstractNumId w:val="20"/>
  </w:num>
  <w:num w:numId="27">
    <w:abstractNumId w:val="11"/>
  </w:num>
  <w:num w:numId="28">
    <w:abstractNumId w:val="13"/>
  </w:num>
  <w:num w:numId="29">
    <w:abstractNumId w:val="9"/>
  </w:num>
  <w:num w:numId="30">
    <w:abstractNumId w:val="19"/>
  </w:num>
  <w:num w:numId="31">
    <w:abstractNumId w:val="8"/>
  </w:num>
  <w:num w:numId="32">
    <w:abstractNumId w:val="14"/>
  </w:num>
  <w:num w:numId="33">
    <w:abstractNumId w:val="16"/>
  </w:num>
  <w:num w:numId="34">
    <w:abstractNumId w:val="17"/>
  </w:num>
  <w:num w:numId="35">
    <w:abstractNumId w:val="10"/>
  </w:num>
  <w:num w:numId="36">
    <w:abstractNumId w:val="15"/>
  </w:num>
  <w:num w:numId="37">
    <w:abstractNumId w:val="21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erina Walkerova">
    <w15:presenceInfo w15:providerId="Windows Live" w15:userId="b42cbc619f1f11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hideSpellingErrors/>
  <w:hideGrammaticalErrors/>
  <w:attachedTemplate r:id="rId1"/>
  <w:revisionView w:markup="0"/>
  <w:doNotTrackMoves/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7-09-28 10:13:39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NFIDENCE" w:val=" "/>
    <w:docVar w:name="LW_CONST_RESTREINT_UE" w:val="RESTREINT UE"/>
    <w:docVar w:name="LW_COVERPAGE_GUID" w:val="9D0250A109D9407D9C6BBC221F157A13"/>
    <w:docVar w:name="LW_CROSSREFERENCE" w:val="&lt;UNUSED&gt;"/>
    <w:docVar w:name="LW_DATE.ADOPT.CP" w:val="z dnia 26.9.2017 r."/>
    <w:docVar w:name="LW_DATE.ADOPT.CP_DATEFORMAT" w:val="z dnia %DATE% r."/>
    <w:docVar w:name="LW_DATE.ADOPT.CP_ISODATE" w:val="2017-09-26"/>
    <w:docVar w:name="LW_DocType" w:val="COM"/>
    <w:docVar w:name="LW_EMISSION" w:val="26.9.2017"/>
    <w:docVar w:name="LW_EMISSION_ISODATE" w:val="2017-09-26"/>
    <w:docVar w:name="LW_EMISSION_LOCATION" w:val="BRX"/>
    <w:docVar w:name="LW_EMISSION_PREFIX" w:val="Bruksela, dnia "/>
    <w:docVar w:name="LW_EMISSION_SUFFIX" w:val=" r.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kst maj\u261?cy znaczenie dla EOG)"/>
    <w:docVar w:name="LW_LANGUE" w:val="PL"/>
    <w:docVar w:name="LW_LANGUESFAISANTFOI.CP" w:val="&lt;UNUSED&gt;"/>
    <w:docVar w:name="LW_MARKING" w:val="&lt;UNUSED&gt;"/>
    <w:docVar w:name="LW_NOM.INST" w:val="KOMISJA EUROPEJSKA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17) 6335"/>
    <w:docVar w:name="LW_REF.INTERNE" w:val="&lt;UNUSED&gt;"/>
    <w:docVar w:name="LW_SOUS.TITRE.OBJ.CP" w:val="&lt;UNUSED&gt;"/>
    <w:docVar w:name="LW_SUPERTITRE" w:val="&lt;UNUSED&gt;"/>
    <w:docVar w:name="LW_TITRE.OBJ.CP" w:val="uchylaj\u261?ce rozporz\u261?dzenie (UE) nr 1013/2010 ustanawiaj\u261?ce przepisy wykonawcze do polityki dotycz\u261?cej floty Unii, okre\u347?lonej w rozdziale III rozporz\u261?dzenia Rady (WE) nr 2371/2002"/>
    <w:docVar w:name="LW_TYPE.DOC.CP" w:val="ROZPORZ\u260?DZENIE WYKONAWCZE KOMISJI (UE) \u8230?/\u823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pl-P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pl-P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542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0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0985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6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5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19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5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63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695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6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1696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73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678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57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94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826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207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26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2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0741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7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6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337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707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6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9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427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4503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0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B2AFE-206A-4052-9B96-60A17D4F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0</TotalTime>
  <Pages>3</Pages>
  <Words>401</Words>
  <Characters>2580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19</cp:revision>
  <cp:lastPrinted>2017-05-12T16:00:00Z</cp:lastPrinted>
  <dcterms:created xsi:type="dcterms:W3CDTF">2017-09-22T15:10:00Z</dcterms:created>
  <dcterms:modified xsi:type="dcterms:W3CDTF">2017-09-28T08:13:00Z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Part">
    <vt:lpwstr>1</vt:lpwstr>
  </property>
  <property fmtid="{D5CDD505-2E9C-101B-9397-08002B2CF9AE}" pid="8" name="Total parts">
    <vt:lpwstr>1</vt:lpwstr>
  </property>
  <property fmtid="{D5CDD505-2E9C-101B-9397-08002B2CF9AE}" pid="9" name="LWTemplateID">
    <vt:lpwstr>SJ-004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