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6.2.0.0 -->
  <w:body>
    <w:tbl>
      <w:tblPr>
        <w:tblW w:w="10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38"/>
        <w:gridCol w:w="4345"/>
      </w:tblGrid>
      <w:tr w:rsidTr="001E2AAA">
        <w:tblPrEx>
          <w:tblW w:w="10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10283" w:type="dxa"/>
            <w:gridSpan w:val="2"/>
            <w:tcBorders>
              <w:bottom w:val="single" w:sz="4" w:space="0" w:color="auto"/>
            </w:tcBorders>
            <w:shd w:val="clear" w:color="auto" w:fill="0000FF"/>
          </w:tcPr>
          <w:p w:rsidR="00315ECF" w:rsidRPr="009A554F" w:rsidP="00315ECF">
            <w:pPr>
              <w:spacing w:before="60" w:after="60"/>
              <w:jc w:val="center"/>
              <w:rPr>
                <w:rFonts w:ascii="Arial" w:hAnsi="Arial" w:cs="Arial"/>
                <w:b/>
                <w:sz w:val="20"/>
              </w:rPr>
            </w:pPr>
            <w:r>
              <w:rPr>
                <w:rFonts w:ascii="Arial" w:hAnsi="Arial"/>
                <w:b/>
                <w:sz w:val="20"/>
              </w:rPr>
              <w:t xml:space="preserve">ZAPROSZENIE DO ZGŁASZANIA UWAG </w:t>
            </w:r>
          </w:p>
          <w:p w:rsidR="001E0806" w:rsidRPr="009A554F" w:rsidP="00F31BDF">
            <w:pPr>
              <w:spacing w:before="60" w:after="60"/>
              <w:jc w:val="center"/>
              <w:rPr>
                <w:rFonts w:ascii="Arial" w:hAnsi="Arial" w:cs="Arial"/>
                <w:b/>
                <w:i/>
                <w:sz w:val="20"/>
              </w:rPr>
            </w:pPr>
            <w:r>
              <w:rPr>
                <w:rFonts w:ascii="Arial" w:hAnsi="Arial"/>
                <w:b/>
                <w:sz w:val="20"/>
              </w:rPr>
              <w:t>DOTYCZĄCYCH OCENY</w:t>
            </w:r>
          </w:p>
        </w:tc>
      </w:tr>
      <w:tr w:rsidTr="001E2AAA">
        <w:tblPrEx>
          <w:tblW w:w="10283" w:type="dxa"/>
          <w:jc w:val="center"/>
          <w:tblLayout w:type="fixed"/>
          <w:tblLook w:val="01E0"/>
        </w:tblPrEx>
        <w:trPr>
          <w:jc w:val="center"/>
        </w:trPr>
        <w:tc>
          <w:tcPr>
            <w:tcW w:w="10283" w:type="dxa"/>
            <w:gridSpan w:val="2"/>
            <w:tcBorders>
              <w:bottom w:val="single" w:sz="4" w:space="0" w:color="auto"/>
            </w:tcBorders>
            <w:shd w:val="clear" w:color="auto" w:fill="D9D9D9" w:themeFill="background1" w:themeFillShade="D9"/>
          </w:tcPr>
          <w:p w:rsidR="00CD583D" w:rsidRPr="009A554F" w:rsidP="00A97435">
            <w:pPr>
              <w:spacing w:before="60" w:after="60"/>
              <w:rPr>
                <w:rFonts w:ascii="Arial" w:hAnsi="Arial" w:cs="Arial"/>
                <w:sz w:val="20"/>
                <w:lang w:eastAsia="en-GB"/>
              </w:rPr>
            </w:pPr>
          </w:p>
        </w:tc>
      </w:tr>
      <w:tr w:rsidTr="00C415AE">
        <w:tblPrEx>
          <w:tblW w:w="10283" w:type="dxa"/>
          <w:jc w:val="center"/>
          <w:tblLayout w:type="fixed"/>
          <w:tblLook w:val="01E0"/>
        </w:tblPrEx>
        <w:trPr>
          <w:jc w:val="center"/>
        </w:trPr>
        <w:tc>
          <w:tcPr>
            <w:tcW w:w="5938" w:type="dxa"/>
            <w:tcBorders>
              <w:bottom w:val="single" w:sz="4" w:space="0" w:color="auto"/>
            </w:tcBorders>
            <w:shd w:val="clear" w:color="auto" w:fill="E6E6E6"/>
            <w:vAlign w:val="center"/>
          </w:tcPr>
          <w:p w:rsidR="001E0806" w:rsidRPr="009A554F" w:rsidP="00B7441B">
            <w:pPr>
              <w:spacing w:before="60" w:after="60"/>
              <w:jc w:val="left"/>
              <w:rPr>
                <w:rFonts w:ascii="Arial" w:hAnsi="Arial" w:cs="Arial"/>
                <w:b/>
                <w:bCs/>
                <w:smallCaps/>
                <w:sz w:val="20"/>
              </w:rPr>
            </w:pPr>
            <w:r>
              <w:rPr>
                <w:rFonts w:ascii="Arial" w:hAnsi="Arial"/>
                <w:b/>
                <w:smallCaps/>
                <w:sz w:val="20"/>
              </w:rPr>
              <w:t>Tytuł oceny</w:t>
            </w:r>
          </w:p>
        </w:tc>
        <w:tc>
          <w:tcPr>
            <w:tcW w:w="4345" w:type="dxa"/>
            <w:shd w:val="clear" w:color="auto" w:fill="auto"/>
            <w:vAlign w:val="center"/>
          </w:tcPr>
          <w:p w:rsidR="001E0806" w:rsidRPr="009A554F" w:rsidP="009B2B5A">
            <w:pPr>
              <w:spacing w:before="60" w:after="60"/>
              <w:jc w:val="left"/>
              <w:rPr>
                <w:rFonts w:ascii="Arial" w:hAnsi="Arial" w:cs="Arial"/>
                <w:color w:val="000080"/>
                <w:sz w:val="20"/>
              </w:rPr>
            </w:pPr>
            <w:r>
              <w:rPr>
                <w:rFonts w:ascii="Arial" w:hAnsi="Arial"/>
                <w:color w:val="000080"/>
                <w:sz w:val="20"/>
              </w:rPr>
              <w:t>Oceny śródokresowe unijnego programu kosmicznego oraz skuteczności działań Agencji Unii Europejskiej ds. Programu Kosmicznego</w:t>
            </w:r>
          </w:p>
        </w:tc>
      </w:tr>
      <w:tr w:rsidTr="00C415AE">
        <w:tblPrEx>
          <w:tblW w:w="10283" w:type="dxa"/>
          <w:jc w:val="center"/>
          <w:tblLayout w:type="fixed"/>
          <w:tblLook w:val="01E0"/>
        </w:tblPrEx>
        <w:trPr>
          <w:jc w:val="center"/>
        </w:trPr>
        <w:tc>
          <w:tcPr>
            <w:tcW w:w="5938" w:type="dxa"/>
            <w:tcBorders>
              <w:bottom w:val="single" w:sz="4" w:space="0" w:color="auto"/>
              <w:right w:val="single" w:sz="4" w:space="0" w:color="auto"/>
            </w:tcBorders>
            <w:shd w:val="clear" w:color="auto" w:fill="E6E6E6"/>
            <w:vAlign w:val="center"/>
          </w:tcPr>
          <w:p w:rsidR="00244EDC" w:rsidRPr="009A554F" w:rsidP="00B7441B">
            <w:pPr>
              <w:spacing w:before="60" w:after="60"/>
              <w:jc w:val="left"/>
              <w:rPr>
                <w:rFonts w:ascii="Arial" w:hAnsi="Arial" w:cs="Arial"/>
                <w:b/>
                <w:bCs/>
                <w:smallCaps/>
                <w:sz w:val="20"/>
              </w:rPr>
            </w:pPr>
            <w:r>
              <w:rPr>
                <w:rFonts w:ascii="Arial" w:hAnsi="Arial"/>
                <w:b/>
                <w:smallCaps/>
                <w:sz w:val="20"/>
              </w:rPr>
              <w:t>Wiodąca DG</w:t>
            </w:r>
            <w:r w:rsidR="008A59C8">
              <w:rPr>
                <w:rFonts w:ascii="Arial" w:hAnsi="Arial"/>
                <w:b/>
                <w:smallCaps/>
                <w:sz w:val="20"/>
              </w:rPr>
              <w:t xml:space="preserve"> i odp</w:t>
            </w:r>
            <w:r>
              <w:rPr>
                <w:rFonts w:ascii="Arial" w:hAnsi="Arial"/>
                <w:b/>
                <w:smallCaps/>
                <w:sz w:val="20"/>
              </w:rPr>
              <w:t xml:space="preserve">owiedzialny dział </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244EDC" w:rsidRPr="009A554F" w:rsidP="00B7441B">
            <w:pPr>
              <w:spacing w:before="60" w:after="60"/>
              <w:jc w:val="left"/>
              <w:rPr>
                <w:rFonts w:ascii="Arial" w:hAnsi="Arial" w:cs="Arial"/>
                <w:color w:val="000080"/>
                <w:sz w:val="20"/>
              </w:rPr>
            </w:pPr>
            <w:r>
              <w:rPr>
                <w:rFonts w:ascii="Arial" w:hAnsi="Arial"/>
                <w:color w:val="000080"/>
                <w:sz w:val="20"/>
              </w:rPr>
              <w:t>DEFIS C1 – Polityka kosmiczna</w:t>
            </w:r>
          </w:p>
        </w:tc>
      </w:tr>
      <w:tr w:rsidTr="00C415AE">
        <w:tblPrEx>
          <w:tblW w:w="10283" w:type="dxa"/>
          <w:jc w:val="center"/>
          <w:tblLayout w:type="fixed"/>
          <w:tblLook w:val="01E0"/>
        </w:tblPrEx>
        <w:trPr>
          <w:jc w:val="center"/>
        </w:trPr>
        <w:tc>
          <w:tcPr>
            <w:tcW w:w="5938" w:type="dxa"/>
            <w:tcBorders>
              <w:bottom w:val="single" w:sz="4" w:space="0" w:color="auto"/>
              <w:right w:val="single" w:sz="4" w:space="0" w:color="auto"/>
            </w:tcBorders>
            <w:shd w:val="clear" w:color="auto" w:fill="E6E6E6"/>
            <w:vAlign w:val="center"/>
          </w:tcPr>
          <w:p w:rsidR="001E0806" w:rsidRPr="009A554F" w:rsidP="00B7441B">
            <w:pPr>
              <w:spacing w:before="60" w:after="60"/>
              <w:jc w:val="left"/>
              <w:rPr>
                <w:rFonts w:ascii="Arial" w:hAnsi="Arial" w:cs="Arial"/>
                <w:b/>
                <w:bCs/>
                <w:smallCaps/>
                <w:sz w:val="20"/>
              </w:rPr>
            </w:pPr>
            <w:r>
              <w:rPr>
                <w:rFonts w:ascii="Arial" w:hAnsi="Arial"/>
                <w:b/>
                <w:smallCaps/>
                <w:sz w:val="20"/>
              </w:rPr>
              <w:t xml:space="preserve">Orientacyjny harmonogram </w:t>
            </w:r>
          </w:p>
          <w:p w:rsidR="001E0806" w:rsidRPr="009A554F" w:rsidP="00B7441B">
            <w:pPr>
              <w:spacing w:before="60" w:after="60"/>
              <w:jc w:val="left"/>
              <w:rPr>
                <w:rFonts w:ascii="Arial" w:hAnsi="Arial" w:cs="Arial"/>
                <w:b/>
                <w:bCs/>
                <w:smallCaps/>
                <w:sz w:val="20"/>
              </w:rPr>
            </w:pPr>
            <w:r>
              <w:rPr>
                <w:rFonts w:ascii="Arial" w:hAnsi="Arial"/>
                <w:b/>
                <w:smallCaps/>
                <w:sz w:val="20"/>
              </w:rPr>
              <w:t>(planowane terminy rozpoczęcia</w:t>
            </w:r>
            <w:r w:rsidR="008A59C8">
              <w:rPr>
                <w:rFonts w:ascii="Arial" w:hAnsi="Arial"/>
                <w:b/>
                <w:smallCaps/>
                <w:sz w:val="20"/>
              </w:rPr>
              <w:t xml:space="preserve"> i zak</w:t>
            </w:r>
            <w:r>
              <w:rPr>
                <w:rFonts w:ascii="Arial" w:hAnsi="Arial"/>
                <w:b/>
                <w:smallCaps/>
                <w:sz w:val="20"/>
              </w:rPr>
              <w:t>ończenia)</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1E0806" w:rsidRPr="009A554F" w:rsidP="00065240">
            <w:pPr>
              <w:spacing w:before="60" w:after="60"/>
              <w:jc w:val="left"/>
              <w:rPr>
                <w:rFonts w:ascii="Arial" w:hAnsi="Arial" w:cs="Arial"/>
                <w:color w:val="000080"/>
                <w:sz w:val="20"/>
              </w:rPr>
            </w:pPr>
            <w:r>
              <w:rPr>
                <w:rFonts w:ascii="Arial" w:hAnsi="Arial"/>
                <w:color w:val="000080"/>
                <w:sz w:val="20"/>
              </w:rPr>
              <w:t>Termin rozpoczęcia – II kwartał 2023 r., Termin zakończenia – czerwiec 2024 r.</w:t>
            </w:r>
          </w:p>
        </w:tc>
      </w:tr>
      <w:tr w:rsidTr="00C415AE">
        <w:tblPrEx>
          <w:tblW w:w="10283" w:type="dxa"/>
          <w:jc w:val="center"/>
          <w:tblLayout w:type="fixed"/>
          <w:tblLook w:val="01E0"/>
        </w:tblPrEx>
        <w:trPr>
          <w:jc w:val="center"/>
        </w:trPr>
        <w:tc>
          <w:tcPr>
            <w:tcW w:w="5938" w:type="dxa"/>
            <w:tcBorders>
              <w:bottom w:val="single" w:sz="4" w:space="0" w:color="auto"/>
              <w:right w:val="single" w:sz="4" w:space="0" w:color="auto"/>
            </w:tcBorders>
            <w:shd w:val="clear" w:color="auto" w:fill="E6E6E6"/>
            <w:vAlign w:val="center"/>
          </w:tcPr>
          <w:p w:rsidR="001E0806" w:rsidRPr="009A554F">
            <w:pPr>
              <w:spacing w:before="60" w:after="60"/>
              <w:jc w:val="left"/>
              <w:rPr>
                <w:rFonts w:ascii="Arial" w:hAnsi="Arial" w:cs="Arial"/>
                <w:b/>
                <w:bCs/>
                <w:smallCaps/>
                <w:sz w:val="20"/>
              </w:rPr>
            </w:pPr>
            <w:r>
              <w:rPr>
                <w:rFonts w:ascii="Arial" w:hAnsi="Arial"/>
                <w:b/>
                <w:smallCaps/>
                <w:sz w:val="20"/>
              </w:rPr>
              <w:t>Informacje dodatkowe</w:t>
            </w:r>
          </w:p>
        </w:tc>
        <w:tc>
          <w:tcPr>
            <w:tcW w:w="4345" w:type="dxa"/>
            <w:tcBorders>
              <w:top w:val="single" w:sz="4" w:space="0" w:color="auto"/>
              <w:left w:val="single" w:sz="4" w:space="0" w:color="auto"/>
              <w:bottom w:val="single" w:sz="4" w:space="0" w:color="auto"/>
              <w:right w:val="single" w:sz="4" w:space="0" w:color="auto"/>
            </w:tcBorders>
            <w:shd w:val="clear" w:color="auto" w:fill="auto"/>
            <w:vAlign w:val="center"/>
          </w:tcPr>
          <w:p w:rsidR="001E0806" w:rsidRPr="009A554F" w:rsidP="00387BCD">
            <w:pPr>
              <w:spacing w:before="60" w:after="60"/>
              <w:jc w:val="left"/>
              <w:rPr>
                <w:rFonts w:ascii="Arial" w:hAnsi="Arial" w:cs="Arial"/>
                <w:color w:val="000080"/>
                <w:sz w:val="20"/>
              </w:rPr>
            </w:pPr>
            <w:r>
              <w:rPr>
                <w:rFonts w:ascii="Arial" w:hAnsi="Arial"/>
                <w:color w:val="000080"/>
                <w:sz w:val="20"/>
              </w:rPr>
              <w:t>https://defence-industry-space.ec.europa.eu</w:t>
            </w:r>
          </w:p>
        </w:tc>
      </w:tr>
      <w:tr w:rsidTr="001E2AAA">
        <w:tblPrEx>
          <w:tblW w:w="10283" w:type="dxa"/>
          <w:jc w:val="center"/>
          <w:tblLayout w:type="fixed"/>
          <w:tblLook w:val="01E0"/>
        </w:tblPrEx>
        <w:trPr>
          <w:jc w:val="center"/>
        </w:trPr>
        <w:tc>
          <w:tcPr>
            <w:tcW w:w="10283" w:type="dxa"/>
            <w:gridSpan w:val="2"/>
            <w:tcBorders>
              <w:bottom w:val="single" w:sz="4" w:space="0" w:color="auto"/>
              <w:right w:val="single" w:sz="4" w:space="0" w:color="auto"/>
            </w:tcBorders>
            <w:shd w:val="clear" w:color="auto" w:fill="E6E6E6"/>
          </w:tcPr>
          <w:p w:rsidR="00244EDC" w:rsidRPr="009A554F" w:rsidP="00AB1E0F">
            <w:pPr>
              <w:spacing w:before="60" w:after="60"/>
              <w:rPr>
                <w:rFonts w:ascii="Arial" w:hAnsi="Arial" w:cs="Arial"/>
                <w:b/>
                <w:i/>
                <w:color w:val="00B050"/>
                <w:sz w:val="20"/>
                <w:lang w:eastAsia="en-GB"/>
              </w:rPr>
            </w:pPr>
          </w:p>
        </w:tc>
      </w:tr>
      <w:tr w:rsidTr="001E2AAA">
        <w:tblPrEx>
          <w:tblW w:w="10283" w:type="dxa"/>
          <w:jc w:val="center"/>
          <w:tblLayout w:type="fixed"/>
          <w:tblLook w:val="01E0"/>
        </w:tblPrEx>
        <w:trPr>
          <w:jc w:val="center"/>
        </w:trPr>
        <w:tc>
          <w:tcPr>
            <w:tcW w:w="10283" w:type="dxa"/>
            <w:gridSpan w:val="2"/>
            <w:tcBorders>
              <w:bottom w:val="single" w:sz="4" w:space="0" w:color="auto"/>
            </w:tcBorders>
            <w:shd w:val="clear" w:color="auto" w:fill="0000FF"/>
          </w:tcPr>
          <w:p w:rsidR="001E0806" w:rsidRPr="009A554F" w:rsidP="00451053">
            <w:pPr>
              <w:keepNext/>
              <w:keepLines/>
              <w:widowControl w:val="0"/>
              <w:spacing w:before="60" w:after="60"/>
              <w:jc w:val="center"/>
              <w:rPr>
                <w:rFonts w:ascii="Arial" w:hAnsi="Arial" w:cs="Arial"/>
                <w:b/>
                <w:sz w:val="20"/>
              </w:rPr>
            </w:pPr>
            <w:r>
              <w:rPr>
                <w:rFonts w:ascii="Arial" w:hAnsi="Arial"/>
                <w:b/>
                <w:sz w:val="20"/>
              </w:rPr>
              <w:t>A. Kontekst polityczny, cel</w:t>
            </w:r>
            <w:r w:rsidR="008A59C8">
              <w:rPr>
                <w:rFonts w:ascii="Arial" w:hAnsi="Arial"/>
                <w:b/>
                <w:sz w:val="20"/>
              </w:rPr>
              <w:t xml:space="preserve"> i zak</w:t>
            </w:r>
            <w:r>
              <w:rPr>
                <w:rFonts w:ascii="Arial" w:hAnsi="Arial"/>
                <w:b/>
                <w:sz w:val="20"/>
              </w:rPr>
              <w:t>res oceny</w:t>
            </w:r>
          </w:p>
        </w:tc>
      </w:tr>
      <w:tr w:rsidTr="001E2AAA">
        <w:tblPrEx>
          <w:tblW w:w="10283" w:type="dxa"/>
          <w:jc w:val="center"/>
          <w:tblLayout w:type="fixed"/>
          <w:tblLook w:val="01E0"/>
        </w:tblPrEx>
        <w:trPr>
          <w:jc w:val="center"/>
        </w:trPr>
        <w:tc>
          <w:tcPr>
            <w:tcW w:w="10283" w:type="dxa"/>
            <w:gridSpan w:val="2"/>
            <w:tcBorders>
              <w:bottom w:val="single" w:sz="4" w:space="0" w:color="auto"/>
            </w:tcBorders>
            <w:shd w:val="clear" w:color="auto" w:fill="E6E6E6"/>
          </w:tcPr>
          <w:p w:rsidR="001E0806" w:rsidRPr="009A554F" w:rsidP="00EE5156">
            <w:pPr>
              <w:keepNext/>
              <w:keepLines/>
              <w:widowControl w:val="0"/>
              <w:spacing w:before="60" w:after="60"/>
              <w:rPr>
                <w:rFonts w:ascii="Arial" w:hAnsi="Arial" w:cs="Arial"/>
                <w:sz w:val="20"/>
              </w:rPr>
            </w:pPr>
            <w:r>
              <w:rPr>
                <w:rFonts w:ascii="Arial" w:hAnsi="Arial"/>
                <w:b/>
                <w:sz w:val="20"/>
              </w:rPr>
              <w:t xml:space="preserve">Kontekst polityczny </w:t>
            </w:r>
          </w:p>
        </w:tc>
      </w:tr>
      <w:tr w:rsidTr="001012CE">
        <w:tblPrEx>
          <w:tblW w:w="10283" w:type="dxa"/>
          <w:jc w:val="center"/>
          <w:tblLayout w:type="fixed"/>
          <w:tblLook w:val="01E0"/>
        </w:tblPrEx>
        <w:trPr>
          <w:trHeight w:val="2227"/>
          <w:jc w:val="center"/>
        </w:trPr>
        <w:tc>
          <w:tcPr>
            <w:tcW w:w="10283" w:type="dxa"/>
            <w:gridSpan w:val="2"/>
            <w:tcBorders>
              <w:bottom w:val="single" w:sz="4" w:space="0" w:color="auto"/>
            </w:tcBorders>
            <w:shd w:val="clear" w:color="auto" w:fill="auto"/>
          </w:tcPr>
          <w:p w:rsidR="00A522F7" w:rsidRPr="00A522F7" w:rsidP="00A522F7">
            <w:pPr>
              <w:keepLines/>
              <w:widowControl w:val="0"/>
              <w:spacing w:before="60" w:after="120"/>
              <w:rPr>
                <w:rFonts w:ascii="Arial" w:hAnsi="Arial" w:cs="Arial"/>
                <w:sz w:val="20"/>
              </w:rPr>
            </w:pPr>
            <w:r>
              <w:fldChar w:fldCharType="begin"/>
            </w:r>
            <w:r>
              <w:instrText xml:space="preserve"> HYPERLINK "https://eur-lex.europa.eu/eli/reg/2021/696/oj" </w:instrText>
            </w:r>
            <w:r>
              <w:fldChar w:fldCharType="separate"/>
            </w:r>
            <w:r>
              <w:rPr>
                <w:rStyle w:val="Hyperlink"/>
                <w:rFonts w:ascii="Arial" w:hAnsi="Arial"/>
                <w:sz w:val="20"/>
              </w:rPr>
              <w:t>Rozporządzeniem (UE) 2021/696</w:t>
            </w:r>
            <w:r>
              <w:rPr>
                <w:rStyle w:val="Hyperlink"/>
                <w:rFonts w:ascii="Arial" w:hAnsi="Arial"/>
                <w:sz w:val="20"/>
              </w:rPr>
              <w:t xml:space="preserve"> w spr</w:t>
            </w:r>
            <w:r>
              <w:rPr>
                <w:rStyle w:val="Hyperlink"/>
                <w:rFonts w:ascii="Arial" w:hAnsi="Arial"/>
                <w:sz w:val="20"/>
              </w:rPr>
              <w:t>awie unijnego programu kosmicznego</w:t>
            </w:r>
            <w:r>
              <w:fldChar w:fldCharType="end"/>
            </w:r>
            <w:r>
              <w:t xml:space="preserve"> </w:t>
            </w:r>
            <w:r>
              <w:rPr>
                <w:rFonts w:ascii="Arial" w:hAnsi="Arial"/>
                <w:sz w:val="20"/>
              </w:rPr>
              <w:t>ustanowiono unijny program kosmiczny na lata 2021–2027 oraz Agencję Unii Europejskiej ds. Programu Kosmicznego (EUSPA). Program ten dysponuje budżetem</w:t>
            </w:r>
            <w:r>
              <w:rPr>
                <w:rFonts w:ascii="Arial" w:hAnsi="Arial"/>
                <w:sz w:val="20"/>
              </w:rPr>
              <w:t xml:space="preserve"> w wys</w:t>
            </w:r>
            <w:r>
              <w:rPr>
                <w:rFonts w:ascii="Arial" w:hAnsi="Arial"/>
                <w:sz w:val="20"/>
              </w:rPr>
              <w:t>okości 14,88 mld EUR</w:t>
            </w:r>
            <w:r>
              <w:rPr>
                <w:rFonts w:ascii="Arial" w:hAnsi="Arial"/>
                <w:sz w:val="20"/>
              </w:rPr>
              <w:t xml:space="preserve"> i łąc</w:t>
            </w:r>
            <w:r>
              <w:rPr>
                <w:rFonts w:ascii="Arial" w:hAnsi="Arial"/>
                <w:sz w:val="20"/>
              </w:rPr>
              <w:t>zy ze sobą wszystkie unijne działania związane</w:t>
            </w:r>
            <w:r>
              <w:rPr>
                <w:rFonts w:ascii="Arial" w:hAnsi="Arial"/>
                <w:sz w:val="20"/>
              </w:rPr>
              <w:t xml:space="preserve"> z prz</w:t>
            </w:r>
            <w:r>
              <w:rPr>
                <w:rFonts w:ascii="Arial" w:hAnsi="Arial"/>
                <w:sz w:val="20"/>
              </w:rPr>
              <w:t>estrzenią kosmiczną. Gwarantuje kontynuację</w:t>
            </w:r>
            <w:r>
              <w:rPr>
                <w:rFonts w:ascii="Arial" w:hAnsi="Arial"/>
                <w:sz w:val="20"/>
              </w:rPr>
              <w:t xml:space="preserve"> i roz</w:t>
            </w:r>
            <w:r>
              <w:rPr>
                <w:rFonts w:ascii="Arial" w:hAnsi="Arial"/>
                <w:sz w:val="20"/>
              </w:rPr>
              <w:t>wój trzech istniejących sztandarowych programów – Galileo, EGNOS</w:t>
            </w:r>
            <w:r>
              <w:rPr>
                <w:rFonts w:ascii="Arial" w:hAnsi="Arial"/>
                <w:sz w:val="20"/>
              </w:rPr>
              <w:t xml:space="preserve"> i Cop</w:t>
            </w:r>
            <w:r>
              <w:rPr>
                <w:rFonts w:ascii="Arial" w:hAnsi="Arial"/>
                <w:sz w:val="20"/>
              </w:rPr>
              <w:t>ernicus. Zawiera</w:t>
            </w:r>
            <w:r>
              <w:rPr>
                <w:rFonts w:ascii="Arial" w:hAnsi="Arial"/>
                <w:sz w:val="20"/>
              </w:rPr>
              <w:t xml:space="preserve"> w sob</w:t>
            </w:r>
            <w:r>
              <w:rPr>
                <w:rFonts w:ascii="Arial" w:hAnsi="Arial"/>
                <w:sz w:val="20"/>
              </w:rPr>
              <w:t>ie również nowe inicjatywy</w:t>
            </w:r>
            <w:r>
              <w:rPr>
                <w:rFonts w:ascii="Arial" w:hAnsi="Arial"/>
                <w:sz w:val="20"/>
              </w:rPr>
              <w:t xml:space="preserve"> w zak</w:t>
            </w:r>
            <w:r>
              <w:rPr>
                <w:rFonts w:ascii="Arial" w:hAnsi="Arial"/>
                <w:sz w:val="20"/>
              </w:rPr>
              <w:t>resie obserwacji przestrzeni kosmicznej (SSA), na którą składają się system obserwacji</w:t>
            </w:r>
            <w:r>
              <w:rPr>
                <w:rFonts w:ascii="Arial" w:hAnsi="Arial"/>
                <w:sz w:val="20"/>
              </w:rPr>
              <w:t xml:space="preserve"> i śle</w:t>
            </w:r>
            <w:r>
              <w:rPr>
                <w:rFonts w:ascii="Arial" w:hAnsi="Arial"/>
                <w:sz w:val="20"/>
              </w:rPr>
              <w:t>dzenia obiektów kosmicznych (SST), działania związane</w:t>
            </w:r>
            <w:r>
              <w:rPr>
                <w:rFonts w:ascii="Arial" w:hAnsi="Arial"/>
                <w:sz w:val="20"/>
              </w:rPr>
              <w:t xml:space="preserve"> z pog</w:t>
            </w:r>
            <w:r>
              <w:rPr>
                <w:rFonts w:ascii="Arial" w:hAnsi="Arial"/>
                <w:sz w:val="20"/>
              </w:rPr>
              <w:t>odą kosmiczną</w:t>
            </w:r>
            <w:r>
              <w:rPr>
                <w:rFonts w:ascii="Arial" w:hAnsi="Arial"/>
                <w:sz w:val="20"/>
              </w:rPr>
              <w:t xml:space="preserve"> i obi</w:t>
            </w:r>
            <w:r>
              <w:rPr>
                <w:rFonts w:ascii="Arial" w:hAnsi="Arial"/>
                <w:sz w:val="20"/>
              </w:rPr>
              <w:t>ektami bliskimi Ziemi (NEO) oraz rządowa usługa łączności satelitarnej (Govsatcom). Program kosmiczny</w:t>
            </w:r>
            <w:r>
              <w:rPr>
                <w:rFonts w:ascii="Arial" w:hAnsi="Arial"/>
                <w:sz w:val="20"/>
              </w:rPr>
              <w:t xml:space="preserve"> w zna</w:t>
            </w:r>
            <w:r>
              <w:rPr>
                <w:rFonts w:ascii="Arial" w:hAnsi="Arial"/>
                <w:sz w:val="20"/>
              </w:rPr>
              <w:t>cznym stopniu przyczynia się do transformacji ekologicznej</w:t>
            </w:r>
            <w:r>
              <w:rPr>
                <w:rFonts w:ascii="Arial" w:hAnsi="Arial"/>
                <w:sz w:val="20"/>
              </w:rPr>
              <w:t xml:space="preserve"> i cyf</w:t>
            </w:r>
            <w:r>
              <w:rPr>
                <w:rFonts w:ascii="Arial" w:hAnsi="Arial"/>
                <w:sz w:val="20"/>
              </w:rPr>
              <w:t>rowej UE, jak i do budowania jej odporności.</w:t>
            </w:r>
          </w:p>
          <w:p w:rsidR="00A522F7" w:rsidRPr="00A522F7" w:rsidP="00A522F7">
            <w:pPr>
              <w:keepLines/>
              <w:widowControl w:val="0"/>
              <w:spacing w:before="60" w:after="120"/>
              <w:rPr>
                <w:rFonts w:ascii="Arial" w:hAnsi="Arial" w:cs="Arial"/>
                <w:sz w:val="20"/>
              </w:rPr>
            </w:pPr>
            <w:r>
              <w:rPr>
                <w:rFonts w:ascii="Arial" w:hAnsi="Arial"/>
                <w:sz w:val="20"/>
              </w:rPr>
              <w:t>Rozporządzenie</w:t>
            </w:r>
            <w:r w:rsidR="008A59C8">
              <w:rPr>
                <w:rFonts w:ascii="Arial" w:hAnsi="Arial"/>
                <w:sz w:val="20"/>
              </w:rPr>
              <w:t xml:space="preserve"> w spr</w:t>
            </w:r>
            <w:r>
              <w:rPr>
                <w:rFonts w:ascii="Arial" w:hAnsi="Arial"/>
                <w:sz w:val="20"/>
              </w:rPr>
              <w:t>awie programu kosmicznego propaguje wykorzystanie danych</w:t>
            </w:r>
            <w:r w:rsidR="008A59C8">
              <w:rPr>
                <w:rFonts w:ascii="Arial" w:hAnsi="Arial"/>
                <w:sz w:val="20"/>
              </w:rPr>
              <w:t xml:space="preserve"> i usł</w:t>
            </w:r>
            <w:r>
              <w:rPr>
                <w:rFonts w:ascii="Arial" w:hAnsi="Arial"/>
                <w:sz w:val="20"/>
              </w:rPr>
              <w:t>ug kosmicznych</w:t>
            </w:r>
            <w:r w:rsidR="008A59C8">
              <w:rPr>
                <w:rFonts w:ascii="Arial" w:hAnsi="Arial"/>
                <w:sz w:val="20"/>
              </w:rPr>
              <w:t xml:space="preserve"> w cel</w:t>
            </w:r>
            <w:r>
              <w:rPr>
                <w:rFonts w:ascii="Arial" w:hAnsi="Arial"/>
                <w:sz w:val="20"/>
              </w:rPr>
              <w:t>u rozwijania aplikacji przynoszących wartość dodaną – które stały się niezbędne</w:t>
            </w:r>
            <w:r w:rsidR="008A59C8">
              <w:rPr>
                <w:rFonts w:ascii="Arial" w:hAnsi="Arial"/>
                <w:sz w:val="20"/>
              </w:rPr>
              <w:t xml:space="preserve"> w życ</w:t>
            </w:r>
            <w:r>
              <w:rPr>
                <w:rFonts w:ascii="Arial" w:hAnsi="Arial"/>
                <w:sz w:val="20"/>
              </w:rPr>
              <w:t>iu Europejczyków, np.</w:t>
            </w:r>
            <w:r w:rsidR="003D0C1C">
              <w:rPr>
                <w:rFonts w:ascii="Arial" w:hAnsi="Arial"/>
                <w:sz w:val="20"/>
              </w:rPr>
              <w:t> </w:t>
            </w:r>
            <w:r>
              <w:rPr>
                <w:rFonts w:ascii="Arial" w:hAnsi="Arial"/>
                <w:sz w:val="20"/>
              </w:rPr>
              <w:t>podczas korzystania</w:t>
            </w:r>
            <w:r w:rsidR="008A59C8">
              <w:rPr>
                <w:rFonts w:ascii="Arial" w:hAnsi="Arial"/>
                <w:sz w:val="20"/>
              </w:rPr>
              <w:t xml:space="preserve"> z tel</w:t>
            </w:r>
            <w:r>
              <w:rPr>
                <w:rFonts w:ascii="Arial" w:hAnsi="Arial"/>
                <w:sz w:val="20"/>
              </w:rPr>
              <w:t xml:space="preserve">efonów komórkowych lub samochodowych systemów nawigacji – oraz do celów rolnictwa precyzyjnego lub monitoringu środowiska. </w:t>
            </w:r>
          </w:p>
          <w:p w:rsidR="00A522F7" w:rsidRPr="00A522F7" w:rsidP="00A522F7">
            <w:pPr>
              <w:keepLines/>
              <w:widowControl w:val="0"/>
              <w:spacing w:before="60" w:after="120"/>
              <w:rPr>
                <w:rFonts w:ascii="Arial" w:hAnsi="Arial" w:cs="Arial"/>
                <w:sz w:val="20"/>
              </w:rPr>
            </w:pPr>
            <w:r>
              <w:rPr>
                <w:rFonts w:ascii="Arial" w:hAnsi="Arial"/>
                <w:sz w:val="20"/>
              </w:rPr>
              <w:t>Program kosmiczny wspiera przemysł kosmiczny</w:t>
            </w:r>
            <w:r w:rsidR="008A59C8">
              <w:rPr>
                <w:rFonts w:ascii="Arial" w:hAnsi="Arial"/>
                <w:sz w:val="20"/>
              </w:rPr>
              <w:t xml:space="preserve"> i spr</w:t>
            </w:r>
            <w:r>
              <w:rPr>
                <w:rFonts w:ascii="Arial" w:hAnsi="Arial"/>
                <w:sz w:val="20"/>
              </w:rPr>
              <w:t>zyja przywództwu</w:t>
            </w:r>
            <w:r w:rsidR="008A59C8">
              <w:rPr>
                <w:rFonts w:ascii="Arial" w:hAnsi="Arial"/>
                <w:sz w:val="20"/>
              </w:rPr>
              <w:t xml:space="preserve"> i odp</w:t>
            </w:r>
            <w:r>
              <w:rPr>
                <w:rFonts w:ascii="Arial" w:hAnsi="Arial"/>
                <w:sz w:val="20"/>
              </w:rPr>
              <w:t>orności Europy</w:t>
            </w:r>
            <w:r w:rsidR="008A59C8">
              <w:rPr>
                <w:rFonts w:ascii="Arial" w:hAnsi="Arial"/>
                <w:sz w:val="20"/>
              </w:rPr>
              <w:t xml:space="preserve"> w dzi</w:t>
            </w:r>
            <w:r>
              <w:rPr>
                <w:rFonts w:ascii="Arial" w:hAnsi="Arial"/>
                <w:sz w:val="20"/>
              </w:rPr>
              <w:t>edzinie technologii kosmicznych</w:t>
            </w:r>
            <w:r w:rsidR="008A59C8">
              <w:rPr>
                <w:rFonts w:ascii="Arial" w:hAnsi="Arial"/>
                <w:sz w:val="20"/>
              </w:rPr>
              <w:t xml:space="preserve"> w cał</w:t>
            </w:r>
            <w:r>
              <w:rPr>
                <w:rFonts w:ascii="Arial" w:hAnsi="Arial"/>
                <w:sz w:val="20"/>
              </w:rPr>
              <w:t>ym łańcuchu wartości. Promuje przedsiębiorczość</w:t>
            </w:r>
            <w:r w:rsidR="008A59C8">
              <w:rPr>
                <w:rFonts w:ascii="Arial" w:hAnsi="Arial"/>
                <w:sz w:val="20"/>
              </w:rPr>
              <w:t xml:space="preserve"> i kon</w:t>
            </w:r>
            <w:r>
              <w:rPr>
                <w:rFonts w:ascii="Arial" w:hAnsi="Arial"/>
                <w:sz w:val="20"/>
              </w:rPr>
              <w:t>kurencyjność, wspierając przedsiębiorstwa typu start-up</w:t>
            </w:r>
            <w:r w:rsidR="008A59C8">
              <w:rPr>
                <w:rFonts w:ascii="Arial" w:hAnsi="Arial"/>
                <w:sz w:val="20"/>
              </w:rPr>
              <w:t xml:space="preserve"> i inn</w:t>
            </w:r>
            <w:r>
              <w:rPr>
                <w:rFonts w:ascii="Arial" w:hAnsi="Arial"/>
                <w:sz w:val="20"/>
              </w:rPr>
              <w:t>owacje radykalne,</w:t>
            </w:r>
            <w:r w:rsidR="008A59C8">
              <w:rPr>
                <w:rFonts w:ascii="Arial" w:hAnsi="Arial"/>
                <w:sz w:val="20"/>
              </w:rPr>
              <w:t xml:space="preserve"> w cel</w:t>
            </w:r>
            <w:r>
              <w:rPr>
                <w:rFonts w:ascii="Arial" w:hAnsi="Arial"/>
                <w:sz w:val="20"/>
              </w:rPr>
              <w:t xml:space="preserve">u zagwarantowania, że europejski ekosystem kosmiczny pozostanie światową platformą ds. przestrzeni kosmicznej. </w:t>
            </w:r>
          </w:p>
          <w:p w:rsidR="00A522F7" w:rsidRPr="009A554F" w:rsidP="002B68DF">
            <w:pPr>
              <w:keepLines/>
              <w:widowControl w:val="0"/>
              <w:spacing w:before="60" w:after="120"/>
              <w:rPr>
                <w:rFonts w:ascii="Arial" w:hAnsi="Arial" w:cs="Arial"/>
                <w:sz w:val="20"/>
              </w:rPr>
            </w:pPr>
            <w:r>
              <w:fldChar w:fldCharType="begin"/>
            </w:r>
            <w:r>
              <w:instrText xml:space="preserve"> HYPERLINK "https://www.euspa.europa.eu/" </w:instrText>
            </w:r>
            <w:r>
              <w:fldChar w:fldCharType="separate"/>
            </w:r>
            <w:r w:rsidR="00844066">
              <w:rPr>
                <w:rStyle w:val="Hyperlink"/>
                <w:rFonts w:ascii="Arial" w:hAnsi="Arial"/>
                <w:sz w:val="20"/>
              </w:rPr>
              <w:t>EUSPA</w:t>
            </w:r>
            <w:r>
              <w:fldChar w:fldCharType="end"/>
            </w:r>
            <w:r w:rsidR="00844066">
              <w:rPr>
                <w:rFonts w:ascii="Arial" w:hAnsi="Arial"/>
                <w:sz w:val="20"/>
              </w:rPr>
              <w:t xml:space="preserve"> jest agencją operacyjną programu kosmicznego. Jej misją jest przyczynienie się do jego realizacji, zagwarantowanie akredytacji bezpieczeństwa komponentów programu,</w:t>
            </w:r>
            <w:r>
              <w:rPr>
                <w:rFonts w:ascii="Arial" w:hAnsi="Arial"/>
                <w:sz w:val="20"/>
              </w:rPr>
              <w:t xml:space="preserve"> a tak</w:t>
            </w:r>
            <w:r w:rsidR="00844066">
              <w:rPr>
                <w:rFonts w:ascii="Arial" w:hAnsi="Arial"/>
                <w:sz w:val="20"/>
              </w:rPr>
              <w:t>że rozwój rynku</w:t>
            </w:r>
            <w:r>
              <w:rPr>
                <w:rFonts w:ascii="Arial" w:hAnsi="Arial"/>
                <w:sz w:val="20"/>
              </w:rPr>
              <w:t xml:space="preserve"> i apl</w:t>
            </w:r>
            <w:r w:rsidR="00844066">
              <w:rPr>
                <w:rFonts w:ascii="Arial" w:hAnsi="Arial"/>
                <w:sz w:val="20"/>
              </w:rPr>
              <w:t>ikacji</w:t>
            </w:r>
            <w:r>
              <w:rPr>
                <w:rFonts w:ascii="Arial" w:hAnsi="Arial"/>
                <w:sz w:val="20"/>
              </w:rPr>
              <w:t xml:space="preserve"> w seg</w:t>
            </w:r>
            <w:r w:rsidR="00844066">
              <w:rPr>
                <w:rFonts w:ascii="Arial" w:hAnsi="Arial"/>
                <w:sz w:val="20"/>
              </w:rPr>
              <w:t>mencie wykorzystania danych satelitarnych (downstream), które dostarczają wiarygodnych, bezpiecznych</w:t>
            </w:r>
            <w:r>
              <w:rPr>
                <w:rFonts w:ascii="Arial" w:hAnsi="Arial"/>
                <w:sz w:val="20"/>
              </w:rPr>
              <w:t xml:space="preserve"> i zab</w:t>
            </w:r>
            <w:r w:rsidR="00844066">
              <w:rPr>
                <w:rFonts w:ascii="Arial" w:hAnsi="Arial"/>
                <w:sz w:val="20"/>
              </w:rPr>
              <w:t>ezpieczonych usług związanych</w:t>
            </w:r>
            <w:r>
              <w:rPr>
                <w:rFonts w:ascii="Arial" w:hAnsi="Arial"/>
                <w:sz w:val="20"/>
              </w:rPr>
              <w:t xml:space="preserve"> z prz</w:t>
            </w:r>
            <w:r w:rsidR="00844066">
              <w:rPr>
                <w:rFonts w:ascii="Arial" w:hAnsi="Arial"/>
                <w:sz w:val="20"/>
              </w:rPr>
              <w:t>estrzenią kosmiczną, maksymalizując tym samym korzyści społeczne</w:t>
            </w:r>
            <w:r>
              <w:rPr>
                <w:rFonts w:ascii="Arial" w:hAnsi="Arial"/>
                <w:sz w:val="20"/>
              </w:rPr>
              <w:t xml:space="preserve"> i gos</w:t>
            </w:r>
            <w:r w:rsidR="00844066">
              <w:rPr>
                <w:rFonts w:ascii="Arial" w:hAnsi="Arial"/>
                <w:sz w:val="20"/>
              </w:rPr>
              <w:t>podarcze programu kosmicznego dla europejskiego społeczeństwa</w:t>
            </w:r>
            <w:r>
              <w:rPr>
                <w:rFonts w:ascii="Arial" w:hAnsi="Arial"/>
                <w:sz w:val="20"/>
              </w:rPr>
              <w:t xml:space="preserve"> i śro</w:t>
            </w:r>
            <w:r w:rsidR="00844066">
              <w:rPr>
                <w:rFonts w:ascii="Arial" w:hAnsi="Arial"/>
                <w:sz w:val="20"/>
              </w:rPr>
              <w:t xml:space="preserve">dowiska biznesowego. </w:t>
            </w:r>
          </w:p>
        </w:tc>
      </w:tr>
      <w:tr w:rsidTr="001E2AAA">
        <w:tblPrEx>
          <w:tblW w:w="10283" w:type="dxa"/>
          <w:jc w:val="center"/>
          <w:tblLayout w:type="fixed"/>
          <w:tblLook w:val="01E0"/>
        </w:tblPrEx>
        <w:trPr>
          <w:jc w:val="center"/>
        </w:trPr>
        <w:tc>
          <w:tcPr>
            <w:tcW w:w="10283" w:type="dxa"/>
            <w:gridSpan w:val="2"/>
            <w:tcBorders>
              <w:bottom w:val="single" w:sz="4" w:space="0" w:color="auto"/>
            </w:tcBorders>
            <w:shd w:val="clear" w:color="auto" w:fill="E6E6E6"/>
          </w:tcPr>
          <w:p w:rsidR="001E0806" w:rsidRPr="009A554F" w:rsidP="00BD6862">
            <w:pPr>
              <w:keepLines/>
              <w:widowControl w:val="0"/>
              <w:spacing w:before="60" w:after="60"/>
              <w:rPr>
                <w:rFonts w:ascii="Arial" w:hAnsi="Arial" w:cs="Arial"/>
                <w:sz w:val="20"/>
              </w:rPr>
            </w:pPr>
            <w:r>
              <w:rPr>
                <w:rFonts w:ascii="Arial" w:hAnsi="Arial"/>
                <w:b/>
                <w:sz w:val="20"/>
              </w:rPr>
              <w:t>Cel</w:t>
            </w:r>
            <w:r w:rsidR="008A59C8">
              <w:rPr>
                <w:rFonts w:ascii="Arial" w:hAnsi="Arial"/>
                <w:b/>
                <w:sz w:val="20"/>
              </w:rPr>
              <w:t xml:space="preserve"> i zak</w:t>
            </w:r>
            <w:r>
              <w:rPr>
                <w:rFonts w:ascii="Arial" w:hAnsi="Arial"/>
                <w:b/>
                <w:sz w:val="20"/>
              </w:rPr>
              <w:t>res</w:t>
            </w:r>
          </w:p>
        </w:tc>
      </w:tr>
      <w:tr w:rsidTr="001E2AAA">
        <w:tblPrEx>
          <w:tblW w:w="10283" w:type="dxa"/>
          <w:jc w:val="center"/>
          <w:tblLayout w:type="fixed"/>
          <w:tblLook w:val="01E0"/>
        </w:tblPrEx>
        <w:trPr>
          <w:jc w:val="center"/>
        </w:trPr>
        <w:tc>
          <w:tcPr>
            <w:tcW w:w="10283" w:type="dxa"/>
            <w:gridSpan w:val="2"/>
            <w:tcBorders>
              <w:bottom w:val="single" w:sz="4" w:space="0" w:color="auto"/>
            </w:tcBorders>
            <w:shd w:val="clear" w:color="auto" w:fill="auto"/>
          </w:tcPr>
          <w:p w:rsidR="00A522F7" w:rsidRPr="00A522F7" w:rsidP="001D578A">
            <w:pPr>
              <w:widowControl w:val="0"/>
              <w:spacing w:before="60" w:after="120"/>
              <w:rPr>
                <w:rFonts w:ascii="Arial" w:hAnsi="Arial" w:cs="Arial"/>
                <w:sz w:val="20"/>
              </w:rPr>
            </w:pPr>
            <w:r>
              <w:rPr>
                <w:rFonts w:ascii="Arial" w:hAnsi="Arial"/>
                <w:sz w:val="20"/>
              </w:rPr>
              <w:t>Zgodnie</w:t>
            </w:r>
            <w:r w:rsidR="008A59C8">
              <w:rPr>
                <w:rFonts w:ascii="Arial" w:hAnsi="Arial"/>
                <w:sz w:val="20"/>
              </w:rPr>
              <w:t xml:space="preserve"> z wym</w:t>
            </w:r>
            <w:r>
              <w:rPr>
                <w:rFonts w:ascii="Arial" w:hAnsi="Arial"/>
                <w:sz w:val="20"/>
              </w:rPr>
              <w:t xml:space="preserve">ogami </w:t>
            </w:r>
            <w:r w:rsidRPr="008A59C8">
              <w:rPr>
                <w:rFonts w:ascii="Arial" w:hAnsi="Arial"/>
                <w:sz w:val="20"/>
              </w:rPr>
              <w:t>art.</w:t>
            </w:r>
            <w:r w:rsidRPr="008A59C8" w:rsidR="008A59C8">
              <w:rPr>
                <w:rFonts w:ascii="Arial" w:hAnsi="Arial"/>
                <w:sz w:val="20"/>
              </w:rPr>
              <w:t> </w:t>
            </w:r>
            <w:r w:rsidRPr="008A59C8">
              <w:rPr>
                <w:rFonts w:ascii="Arial" w:hAnsi="Arial"/>
                <w:sz w:val="20"/>
              </w:rPr>
              <w:t>1</w:t>
            </w:r>
            <w:r>
              <w:rPr>
                <w:rFonts w:ascii="Arial" w:hAnsi="Arial"/>
                <w:sz w:val="20"/>
              </w:rPr>
              <w:t xml:space="preserve">02 </w:t>
            </w:r>
            <w:r w:rsidRPr="008A59C8">
              <w:rPr>
                <w:rFonts w:ascii="Arial" w:hAnsi="Arial"/>
                <w:sz w:val="20"/>
              </w:rPr>
              <w:t>ust.</w:t>
            </w:r>
            <w:r w:rsidRPr="008A59C8" w:rsidR="008A59C8">
              <w:rPr>
                <w:rFonts w:ascii="Arial" w:hAnsi="Arial"/>
                <w:sz w:val="20"/>
              </w:rPr>
              <w:t> </w:t>
            </w:r>
            <w:r w:rsidRPr="008A59C8">
              <w:rPr>
                <w:rFonts w:ascii="Arial" w:hAnsi="Arial"/>
                <w:sz w:val="20"/>
              </w:rPr>
              <w:t>2</w:t>
            </w:r>
            <w:r>
              <w:rPr>
                <w:rFonts w:ascii="Arial" w:hAnsi="Arial"/>
                <w:sz w:val="20"/>
              </w:rPr>
              <w:t xml:space="preserve"> rozporządzenia (UE) 2021/696</w:t>
            </w:r>
            <w:r w:rsidR="008A59C8">
              <w:rPr>
                <w:rFonts w:ascii="Arial" w:hAnsi="Arial"/>
                <w:sz w:val="20"/>
              </w:rPr>
              <w:t xml:space="preserve"> w ram</w:t>
            </w:r>
            <w:r>
              <w:rPr>
                <w:rFonts w:ascii="Arial" w:hAnsi="Arial"/>
                <w:sz w:val="20"/>
              </w:rPr>
              <w:t>ach oceny unijnego programu kosmicznego zweryfikowany zostanie sposób realizacji poszczególnych komponentów programu</w:t>
            </w:r>
            <w:r w:rsidR="008A59C8">
              <w:rPr>
                <w:rFonts w:ascii="Arial" w:hAnsi="Arial"/>
                <w:sz w:val="20"/>
              </w:rPr>
              <w:t xml:space="preserve"> w okr</w:t>
            </w:r>
            <w:r>
              <w:rPr>
                <w:rFonts w:ascii="Arial" w:hAnsi="Arial"/>
                <w:sz w:val="20"/>
              </w:rPr>
              <w:t>esie od dnia 1 stycznia 2021 r. do dnia 30 czerwca 2024 r. Pod uwagę będą brane:</w:t>
            </w:r>
          </w:p>
          <w:p w:rsidR="00A522F7" w:rsidRPr="00A522F7" w:rsidP="001D578A">
            <w:pPr>
              <w:widowControl w:val="0"/>
              <w:spacing w:before="60" w:after="0"/>
              <w:rPr>
                <w:rFonts w:ascii="Arial" w:hAnsi="Arial" w:cs="Arial"/>
                <w:sz w:val="20"/>
              </w:rPr>
            </w:pPr>
            <w:r>
              <w:rPr>
                <w:rFonts w:ascii="Arial" w:hAnsi="Arial"/>
                <w:sz w:val="20"/>
              </w:rPr>
              <w:t>a)</w:t>
            </w:r>
            <w:r>
              <w:tab/>
            </w:r>
            <w:r>
              <w:rPr>
                <w:rFonts w:ascii="Arial" w:hAnsi="Arial"/>
                <w:sz w:val="20"/>
              </w:rPr>
              <w:t>realizacja usług świadczonych</w:t>
            </w:r>
            <w:r w:rsidR="008A59C8">
              <w:rPr>
                <w:rFonts w:ascii="Arial" w:hAnsi="Arial"/>
                <w:sz w:val="20"/>
              </w:rPr>
              <w:t xml:space="preserve"> w ram</w:t>
            </w:r>
            <w:r>
              <w:rPr>
                <w:rFonts w:ascii="Arial" w:hAnsi="Arial"/>
                <w:sz w:val="20"/>
              </w:rPr>
              <w:t>ach unijnego programu kosmicznego;</w:t>
            </w:r>
          </w:p>
          <w:p w:rsidR="00A522F7" w:rsidRPr="00A522F7" w:rsidP="001D578A">
            <w:pPr>
              <w:widowControl w:val="0"/>
              <w:spacing w:before="60" w:after="0"/>
              <w:rPr>
                <w:rFonts w:ascii="Arial" w:hAnsi="Arial" w:cs="Arial"/>
                <w:sz w:val="20"/>
              </w:rPr>
            </w:pPr>
            <w:r>
              <w:rPr>
                <w:rFonts w:ascii="Arial" w:hAnsi="Arial"/>
                <w:sz w:val="20"/>
              </w:rPr>
              <w:t>b)</w:t>
            </w:r>
            <w:r>
              <w:tab/>
            </w:r>
            <w:r>
              <w:rPr>
                <w:rFonts w:ascii="Arial" w:hAnsi="Arial"/>
                <w:sz w:val="20"/>
              </w:rPr>
              <w:t>zmieniające się potrzeby użytkowników unijnego programu kosmicznego; oraz</w:t>
            </w:r>
          </w:p>
          <w:p w:rsidR="00A522F7">
            <w:pPr>
              <w:widowControl w:val="0"/>
              <w:spacing w:before="60" w:after="120"/>
              <w:ind w:left="726" w:hanging="726"/>
              <w:rPr>
                <w:rFonts w:ascii="Arial" w:hAnsi="Arial" w:cs="Arial"/>
                <w:sz w:val="20"/>
              </w:rPr>
            </w:pPr>
            <w:r>
              <w:rPr>
                <w:rFonts w:ascii="Arial" w:hAnsi="Arial"/>
                <w:sz w:val="20"/>
              </w:rPr>
              <w:t>c)</w:t>
            </w:r>
            <w:r>
              <w:tab/>
            </w:r>
            <w:r>
              <w:rPr>
                <w:rFonts w:ascii="Arial" w:hAnsi="Arial"/>
                <w:sz w:val="20"/>
              </w:rPr>
              <w:t>przy ocenie realizacji SSA</w:t>
            </w:r>
            <w:r w:rsidR="008A59C8">
              <w:rPr>
                <w:rFonts w:ascii="Arial" w:hAnsi="Arial"/>
                <w:sz w:val="20"/>
              </w:rPr>
              <w:t xml:space="preserve"> i Gov</w:t>
            </w:r>
            <w:r>
              <w:rPr>
                <w:rFonts w:ascii="Arial" w:hAnsi="Arial"/>
                <w:sz w:val="20"/>
              </w:rPr>
              <w:t>satcom – ewolucja</w:t>
            </w:r>
            <w:r w:rsidR="008A59C8">
              <w:rPr>
                <w:rFonts w:ascii="Arial" w:hAnsi="Arial"/>
                <w:sz w:val="20"/>
              </w:rPr>
              <w:t xml:space="preserve"> w zak</w:t>
            </w:r>
            <w:r>
              <w:rPr>
                <w:rFonts w:ascii="Arial" w:hAnsi="Arial"/>
                <w:sz w:val="20"/>
              </w:rPr>
              <w:t>resie dostępnych przepustowości na potrzeby współdzielenia</w:t>
            </w:r>
            <w:r w:rsidR="008A59C8">
              <w:rPr>
                <w:rFonts w:ascii="Arial" w:hAnsi="Arial"/>
                <w:sz w:val="20"/>
              </w:rPr>
              <w:t xml:space="preserve"> i łąc</w:t>
            </w:r>
            <w:r>
              <w:rPr>
                <w:rFonts w:ascii="Arial" w:hAnsi="Arial"/>
                <w:sz w:val="20"/>
              </w:rPr>
              <w:t>zenia lub przy ocenie realizacji systemów Galileo, Copernicus i EGNOS – ewolucja</w:t>
            </w:r>
            <w:r w:rsidR="008A59C8">
              <w:rPr>
                <w:rFonts w:ascii="Arial" w:hAnsi="Arial"/>
                <w:sz w:val="20"/>
              </w:rPr>
              <w:t xml:space="preserve"> w zak</w:t>
            </w:r>
            <w:r>
              <w:rPr>
                <w:rFonts w:ascii="Arial" w:hAnsi="Arial"/>
                <w:sz w:val="20"/>
              </w:rPr>
              <w:t>resie danych</w:t>
            </w:r>
            <w:r w:rsidR="008A59C8">
              <w:rPr>
                <w:rFonts w:ascii="Arial" w:hAnsi="Arial"/>
                <w:sz w:val="20"/>
              </w:rPr>
              <w:t xml:space="preserve"> i usł</w:t>
            </w:r>
            <w:r>
              <w:rPr>
                <w:rFonts w:ascii="Arial" w:hAnsi="Arial"/>
                <w:sz w:val="20"/>
              </w:rPr>
              <w:t>ug oferowanych przez konkurentów.</w:t>
            </w:r>
          </w:p>
          <w:p w:rsidR="000C1367" w:rsidRPr="00FD635E" w:rsidP="00770E06">
            <w:pPr>
              <w:widowControl w:val="0"/>
              <w:spacing w:before="60" w:after="120"/>
              <w:rPr>
                <w:rFonts w:ascii="Arial" w:hAnsi="Arial" w:cs="Arial"/>
                <w:sz w:val="20"/>
              </w:rPr>
            </w:pPr>
            <w:r>
              <w:rPr>
                <w:rFonts w:ascii="Arial" w:hAnsi="Arial"/>
                <w:sz w:val="20"/>
              </w:rPr>
              <w:t>Ocena pomoże określić zmieniające się potrzeby użytkowników unijnego programu kosmicznego oraz obszary, które mogą wymagać nowych środków</w:t>
            </w:r>
            <w:r w:rsidR="008A59C8">
              <w:rPr>
                <w:rFonts w:ascii="Arial" w:hAnsi="Arial"/>
                <w:sz w:val="20"/>
              </w:rPr>
              <w:t xml:space="preserve"> w wie</w:t>
            </w:r>
            <w:r>
              <w:rPr>
                <w:rFonts w:ascii="Arial" w:hAnsi="Arial"/>
                <w:sz w:val="20"/>
              </w:rPr>
              <w:t>loletnich ramach finansowych.</w:t>
            </w:r>
          </w:p>
          <w:p w:rsidR="000C1367" w:rsidRPr="003C79B7" w:rsidP="00770E06">
            <w:pPr>
              <w:widowControl w:val="0"/>
              <w:spacing w:before="60" w:after="120"/>
              <w:rPr>
                <w:rFonts w:ascii="Arial" w:hAnsi="Arial" w:cs="Arial"/>
                <w:sz w:val="20"/>
              </w:rPr>
            </w:pPr>
            <w:r>
              <w:rPr>
                <w:rFonts w:ascii="Arial" w:hAnsi="Arial"/>
                <w:sz w:val="20"/>
              </w:rPr>
              <w:t>Ułatwi ponadto dostosowanie istniejących działań do rozwoju sytuacji</w:t>
            </w:r>
            <w:r w:rsidR="008A59C8">
              <w:rPr>
                <w:rFonts w:ascii="Arial" w:hAnsi="Arial"/>
                <w:sz w:val="20"/>
              </w:rPr>
              <w:t xml:space="preserve"> w sek</w:t>
            </w:r>
            <w:r>
              <w:rPr>
                <w:rFonts w:ascii="Arial" w:hAnsi="Arial"/>
                <w:sz w:val="20"/>
              </w:rPr>
              <w:t xml:space="preserve">torze kosmicznym, np. rosnącego </w:t>
            </w:r>
            <w:r>
              <w:rPr>
                <w:rFonts w:ascii="Arial" w:hAnsi="Arial"/>
                <w:sz w:val="20"/>
              </w:rPr>
              <w:t>znaczenia tego sektora dla bezpieczeństwa, odporności</w:t>
            </w:r>
            <w:r w:rsidR="008A59C8">
              <w:rPr>
                <w:rFonts w:ascii="Arial" w:hAnsi="Arial"/>
                <w:sz w:val="20"/>
              </w:rPr>
              <w:t xml:space="preserve"> i nie</w:t>
            </w:r>
            <w:r>
              <w:rPr>
                <w:rFonts w:ascii="Arial" w:hAnsi="Arial"/>
                <w:sz w:val="20"/>
              </w:rPr>
              <w:t xml:space="preserve">zależności. </w:t>
            </w:r>
          </w:p>
          <w:p w:rsidR="00A522F7" w:rsidRPr="00A522F7" w:rsidP="00770E06">
            <w:pPr>
              <w:widowControl w:val="0"/>
              <w:spacing w:before="60" w:after="120"/>
              <w:rPr>
                <w:rFonts w:ascii="Arial" w:hAnsi="Arial" w:cs="Arial"/>
                <w:sz w:val="20"/>
              </w:rPr>
            </w:pPr>
            <w:r>
              <w:rPr>
                <w:rFonts w:ascii="Arial" w:hAnsi="Arial"/>
                <w:sz w:val="20"/>
              </w:rPr>
              <w:t>Ocena pozwoli także zagwarantować, że unijny program kosmiczny nadal będzie</w:t>
            </w:r>
            <w:r w:rsidR="008A59C8">
              <w:rPr>
                <w:rFonts w:ascii="Arial" w:hAnsi="Arial"/>
                <w:sz w:val="20"/>
              </w:rPr>
              <w:t xml:space="preserve"> w sta</w:t>
            </w:r>
            <w:r>
              <w:rPr>
                <w:rFonts w:ascii="Arial" w:hAnsi="Arial"/>
                <w:sz w:val="20"/>
              </w:rPr>
              <w:t>nie odpowiadać na rosnące zapotrzebowanie na innowacyjne produkty</w:t>
            </w:r>
            <w:r w:rsidR="008A59C8">
              <w:rPr>
                <w:rFonts w:ascii="Arial" w:hAnsi="Arial"/>
                <w:sz w:val="20"/>
              </w:rPr>
              <w:t xml:space="preserve"> i usł</w:t>
            </w:r>
            <w:r>
              <w:rPr>
                <w:rFonts w:ascii="Arial" w:hAnsi="Arial"/>
                <w:sz w:val="20"/>
              </w:rPr>
              <w:t>ugi oparte na technologiach kosmicznych, takie jak te wykorzystywane do monitorowania</w:t>
            </w:r>
            <w:r w:rsidR="008A59C8">
              <w:rPr>
                <w:rFonts w:ascii="Arial" w:hAnsi="Arial"/>
                <w:sz w:val="20"/>
              </w:rPr>
              <w:t xml:space="preserve"> i łag</w:t>
            </w:r>
            <w:r>
              <w:rPr>
                <w:rFonts w:ascii="Arial" w:hAnsi="Arial"/>
                <w:sz w:val="20"/>
              </w:rPr>
              <w:t>odzenia zmiany klimatu oraz przystosowania się do niej.</w:t>
            </w:r>
          </w:p>
          <w:p w:rsidR="00A522F7" w:rsidRPr="00A522F7" w:rsidP="00770E06">
            <w:pPr>
              <w:widowControl w:val="0"/>
              <w:spacing w:before="60" w:after="120"/>
              <w:rPr>
                <w:rFonts w:ascii="Arial" w:hAnsi="Arial" w:cs="Arial"/>
                <w:sz w:val="20"/>
              </w:rPr>
            </w:pPr>
            <w:r>
              <w:rPr>
                <w:rFonts w:ascii="Arial" w:hAnsi="Arial"/>
                <w:sz w:val="20"/>
              </w:rPr>
              <w:t>Zgodnie</w:t>
            </w:r>
            <w:r w:rsidR="008A59C8">
              <w:rPr>
                <w:rFonts w:ascii="Arial" w:hAnsi="Arial"/>
                <w:sz w:val="20"/>
              </w:rPr>
              <w:t xml:space="preserve"> z art</w:t>
            </w:r>
            <w:r>
              <w:rPr>
                <w:rFonts w:ascii="Arial" w:hAnsi="Arial"/>
                <w:sz w:val="20"/>
              </w:rPr>
              <w:t>. 102 ust. 5 ocena skuteczności działań EUSPA musi być również dokonana</w:t>
            </w:r>
            <w:r w:rsidR="008A59C8">
              <w:rPr>
                <w:rFonts w:ascii="Arial" w:hAnsi="Arial"/>
                <w:sz w:val="20"/>
              </w:rPr>
              <w:t xml:space="preserve"> w odn</w:t>
            </w:r>
            <w:r>
              <w:rPr>
                <w:rFonts w:ascii="Arial" w:hAnsi="Arial"/>
                <w:sz w:val="20"/>
              </w:rPr>
              <w:t>iesieniu do jej celów, mandatu</w:t>
            </w:r>
            <w:r w:rsidR="008A59C8">
              <w:rPr>
                <w:rFonts w:ascii="Arial" w:hAnsi="Arial"/>
                <w:sz w:val="20"/>
              </w:rPr>
              <w:t xml:space="preserve"> i zad</w:t>
            </w:r>
            <w:r>
              <w:rPr>
                <w:rFonts w:ascii="Arial" w:hAnsi="Arial"/>
                <w:sz w:val="20"/>
              </w:rPr>
              <w:t>ań (obejmujących zarówno zadania własne</w:t>
            </w:r>
            <w:r>
              <w:rPr>
                <w:rStyle w:val="FootnoteReference"/>
                <w:rFonts w:ascii="Arial" w:hAnsi="Arial" w:cs="Arial"/>
                <w:lang w:val="en-IE"/>
              </w:rPr>
              <w:footnoteReference w:id="2"/>
            </w:r>
            <w:r>
              <w:rPr>
                <w:rFonts w:ascii="Arial" w:hAnsi="Arial"/>
                <w:sz w:val="20"/>
              </w:rPr>
              <w:t>, jak</w:t>
            </w:r>
            <w:r w:rsidR="008A59C8">
              <w:rPr>
                <w:rFonts w:ascii="Arial" w:hAnsi="Arial"/>
                <w:sz w:val="20"/>
              </w:rPr>
              <w:t xml:space="preserve"> i pow</w:t>
            </w:r>
            <w:r>
              <w:rPr>
                <w:rFonts w:ascii="Arial" w:hAnsi="Arial"/>
                <w:sz w:val="20"/>
              </w:rPr>
              <w:t>ierzone zadania</w:t>
            </w:r>
            <w:r>
              <w:rPr>
                <w:rStyle w:val="FootnoteReference"/>
                <w:rFonts w:ascii="Arial" w:hAnsi="Arial" w:cs="Arial"/>
                <w:lang w:val="en-IE"/>
              </w:rPr>
              <w:footnoteReference w:id="3"/>
            </w:r>
            <w:r>
              <w:rPr>
                <w:rFonts w:ascii="Arial" w:hAnsi="Arial"/>
                <w:sz w:val="20"/>
              </w:rPr>
              <w:t>), polityki Agencji wobec konfliktu interesów oraz niezależności</w:t>
            </w:r>
            <w:r w:rsidR="008A59C8">
              <w:rPr>
                <w:rFonts w:ascii="Arial" w:hAnsi="Arial"/>
                <w:sz w:val="20"/>
              </w:rPr>
              <w:t xml:space="preserve"> i aut</w:t>
            </w:r>
            <w:r>
              <w:rPr>
                <w:rFonts w:ascii="Arial" w:hAnsi="Arial"/>
                <w:sz w:val="20"/>
              </w:rPr>
              <w:t>onomii Rady ds. Akredytacji Bezpieczeństwa.</w:t>
            </w:r>
          </w:p>
          <w:p w:rsidR="00445660" w:rsidRPr="009A554F" w:rsidP="000C1367">
            <w:pPr>
              <w:widowControl w:val="0"/>
              <w:spacing w:before="60" w:after="120"/>
              <w:rPr>
                <w:rFonts w:ascii="Arial" w:hAnsi="Arial" w:cs="Arial"/>
                <w:sz w:val="20"/>
              </w:rPr>
            </w:pPr>
            <w:r>
              <w:rPr>
                <w:rFonts w:ascii="Arial" w:hAnsi="Arial"/>
                <w:sz w:val="20"/>
              </w:rPr>
              <w:t>Komisja Europejska wykorzysta wyniki ocen do przygotowania sprawozdania dla Parlamentu Europejskiego, Rady, Europejskiego Komitetu Ekonomiczno-Społecznego, Komitetu Regionów, jak</w:t>
            </w:r>
            <w:r w:rsidR="008A59C8">
              <w:rPr>
                <w:rFonts w:ascii="Arial" w:hAnsi="Arial"/>
                <w:sz w:val="20"/>
              </w:rPr>
              <w:t xml:space="preserve"> i Adm</w:t>
            </w:r>
            <w:r>
              <w:rPr>
                <w:rFonts w:ascii="Arial" w:hAnsi="Arial"/>
                <w:sz w:val="20"/>
              </w:rPr>
              <w:t>inistracyjnej Rady Odwoławczej. Wyniki oceny EUSPA zostaną również przekazane Radzie ds. Akredytacji Bezpieczeństwa.</w:t>
            </w:r>
          </w:p>
        </w:tc>
      </w:tr>
      <w:tr w:rsidTr="001E2AAA">
        <w:tblPrEx>
          <w:tblW w:w="10283" w:type="dxa"/>
          <w:jc w:val="center"/>
          <w:tblLayout w:type="fixed"/>
          <w:tblLook w:val="01E0"/>
        </w:tblPrEx>
        <w:trPr>
          <w:jc w:val="center"/>
        </w:trPr>
        <w:tc>
          <w:tcPr>
            <w:tcW w:w="10283" w:type="dxa"/>
            <w:gridSpan w:val="2"/>
            <w:tcBorders>
              <w:bottom w:val="single" w:sz="4" w:space="0" w:color="auto"/>
            </w:tcBorders>
            <w:shd w:val="clear" w:color="auto" w:fill="0000FF"/>
          </w:tcPr>
          <w:p w:rsidR="001E0806" w:rsidRPr="009A554F" w:rsidP="00FD635E">
            <w:pPr>
              <w:widowControl w:val="0"/>
              <w:tabs>
                <w:tab w:val="left" w:pos="338"/>
                <w:tab w:val="center" w:pos="5033"/>
              </w:tabs>
              <w:spacing w:before="60" w:after="60"/>
              <w:jc w:val="left"/>
              <w:rPr>
                <w:rFonts w:ascii="Arial" w:hAnsi="Arial" w:cs="Arial"/>
                <w:b/>
                <w:sz w:val="20"/>
              </w:rPr>
            </w:pPr>
            <w:r>
              <w:tab/>
            </w:r>
            <w:r>
              <w:tab/>
            </w:r>
            <w:r>
              <w:rPr>
                <w:rFonts w:ascii="Arial" w:hAnsi="Arial"/>
                <w:b/>
                <w:sz w:val="20"/>
              </w:rPr>
              <w:t>B. Lepsze stanowienie prawa</w:t>
            </w:r>
          </w:p>
        </w:tc>
      </w:tr>
      <w:tr w:rsidTr="001E2AAA">
        <w:tblPrEx>
          <w:tblW w:w="10283" w:type="dxa"/>
          <w:jc w:val="center"/>
          <w:tblLayout w:type="fixed"/>
          <w:tblLook w:val="01E0"/>
        </w:tblPrEx>
        <w:trPr>
          <w:jc w:val="center"/>
        </w:trPr>
        <w:tc>
          <w:tcPr>
            <w:tcW w:w="10283" w:type="dxa"/>
            <w:gridSpan w:val="2"/>
            <w:tcBorders>
              <w:bottom w:val="single" w:sz="4" w:space="0" w:color="auto"/>
            </w:tcBorders>
            <w:shd w:val="clear" w:color="auto" w:fill="E6E6E6"/>
          </w:tcPr>
          <w:p w:rsidR="001E0806" w:rsidRPr="009A554F" w:rsidP="00FD635E">
            <w:pPr>
              <w:widowControl w:val="0"/>
              <w:spacing w:before="60" w:after="60"/>
              <w:rPr>
                <w:rFonts w:ascii="Arial" w:hAnsi="Arial" w:cs="Arial"/>
                <w:sz w:val="20"/>
              </w:rPr>
            </w:pPr>
            <w:r>
              <w:rPr>
                <w:rFonts w:ascii="Arial" w:hAnsi="Arial"/>
                <w:b/>
                <w:sz w:val="20"/>
              </w:rPr>
              <w:t xml:space="preserve">Strategia konsultacji </w:t>
            </w:r>
          </w:p>
        </w:tc>
      </w:tr>
      <w:tr w:rsidTr="00E82A84">
        <w:tblPrEx>
          <w:tblW w:w="10283" w:type="dxa"/>
          <w:jc w:val="center"/>
          <w:tblLayout w:type="fixed"/>
          <w:tblLook w:val="01E0"/>
        </w:tblPrEx>
        <w:trPr>
          <w:jc w:val="center"/>
        </w:trPr>
        <w:tc>
          <w:tcPr>
            <w:tcW w:w="10283" w:type="dxa"/>
            <w:gridSpan w:val="2"/>
            <w:shd w:val="clear" w:color="auto" w:fill="auto"/>
          </w:tcPr>
          <w:p w:rsidR="001A57A3" w:rsidRPr="001A57A3" w:rsidP="001D578A">
            <w:pPr>
              <w:widowControl w:val="0"/>
              <w:spacing w:before="60" w:after="60"/>
              <w:rPr>
                <w:rFonts w:ascii="Arial" w:hAnsi="Arial" w:cs="Arial"/>
                <w:sz w:val="20"/>
              </w:rPr>
            </w:pPr>
            <w:r>
              <w:rPr>
                <w:rFonts w:ascii="Arial" w:hAnsi="Arial"/>
                <w:sz w:val="20"/>
              </w:rPr>
              <w:t>Komisja ogłasza niniejsze zaproszenie do zgłaszania uwag</w:t>
            </w:r>
            <w:r w:rsidR="008A59C8">
              <w:rPr>
                <w:rFonts w:ascii="Arial" w:hAnsi="Arial"/>
                <w:sz w:val="20"/>
              </w:rPr>
              <w:t xml:space="preserve"> w cel</w:t>
            </w:r>
            <w:r>
              <w:rPr>
                <w:rFonts w:ascii="Arial" w:hAnsi="Arial"/>
                <w:sz w:val="20"/>
              </w:rPr>
              <w:t>u zebrania opinii zainteresowanych stron na temat funkcjonowania unijnego programu kosmicznego oraz skuteczności działań EUSPA. Oprócz publikacji na portalu „Wyraź swoją opinię” zaproszenie do zgłaszania uwag będzie promowane na oficjalnych kanałach Komisji</w:t>
            </w:r>
            <w:r w:rsidR="008A59C8">
              <w:rPr>
                <w:rFonts w:ascii="Arial" w:hAnsi="Arial"/>
                <w:sz w:val="20"/>
              </w:rPr>
              <w:t xml:space="preserve"> w med</w:t>
            </w:r>
            <w:r>
              <w:rPr>
                <w:rFonts w:ascii="Arial" w:hAnsi="Arial"/>
                <w:sz w:val="20"/>
              </w:rPr>
              <w:t>iach społecznościowych.</w:t>
            </w:r>
          </w:p>
          <w:p w:rsidR="001A57A3" w:rsidRPr="001A57A3" w:rsidP="00FD635E">
            <w:pPr>
              <w:widowControl w:val="0"/>
              <w:spacing w:before="60" w:after="60"/>
              <w:rPr>
                <w:rFonts w:ascii="Arial" w:hAnsi="Arial" w:cs="Arial"/>
                <w:sz w:val="20"/>
              </w:rPr>
            </w:pPr>
            <w:r>
              <w:rPr>
                <w:rFonts w:ascii="Arial" w:hAnsi="Arial"/>
                <w:sz w:val="20"/>
              </w:rPr>
              <w:t>W 2023 r. przeprowadzone zostaną również ankiety internetowe dotyczące polityk,</w:t>
            </w:r>
            <w:r w:rsidR="008A59C8">
              <w:rPr>
                <w:rFonts w:ascii="Arial" w:hAnsi="Arial"/>
                <w:sz w:val="20"/>
              </w:rPr>
              <w:t xml:space="preserve"> w któ</w:t>
            </w:r>
            <w:r>
              <w:rPr>
                <w:rFonts w:ascii="Arial" w:hAnsi="Arial"/>
                <w:sz w:val="20"/>
              </w:rPr>
              <w:t>re wkład wnosi unijny program kosmiczny, jak</w:t>
            </w:r>
            <w:r w:rsidR="008A59C8">
              <w:rPr>
                <w:rFonts w:ascii="Arial" w:hAnsi="Arial"/>
                <w:sz w:val="20"/>
              </w:rPr>
              <w:t xml:space="preserve"> i wyw</w:t>
            </w:r>
            <w:r>
              <w:rPr>
                <w:rFonts w:ascii="Arial" w:hAnsi="Arial"/>
                <w:sz w:val="20"/>
              </w:rPr>
              <w:t>iady</w:t>
            </w:r>
            <w:r w:rsidR="008A59C8">
              <w:rPr>
                <w:rFonts w:ascii="Arial" w:hAnsi="Arial"/>
                <w:sz w:val="20"/>
              </w:rPr>
              <w:t xml:space="preserve"> z klu</w:t>
            </w:r>
            <w:r>
              <w:rPr>
                <w:rFonts w:ascii="Arial" w:hAnsi="Arial"/>
                <w:sz w:val="20"/>
              </w:rPr>
              <w:t>czowymi zainteresowanymi stronami realizującymi ten program, głównymi grupami użytkowników</w:t>
            </w:r>
            <w:r w:rsidR="008A59C8">
              <w:rPr>
                <w:rFonts w:ascii="Arial" w:hAnsi="Arial"/>
                <w:sz w:val="20"/>
              </w:rPr>
              <w:t xml:space="preserve"> i ben</w:t>
            </w:r>
            <w:r>
              <w:rPr>
                <w:rFonts w:ascii="Arial" w:hAnsi="Arial"/>
                <w:sz w:val="20"/>
              </w:rPr>
              <w:t xml:space="preserve">eficjentami. </w:t>
            </w:r>
          </w:p>
          <w:p w:rsidR="001A57A3" w:rsidRPr="001A57A3" w:rsidP="00FD635E">
            <w:pPr>
              <w:widowControl w:val="0"/>
              <w:spacing w:before="60" w:after="60"/>
              <w:rPr>
                <w:rFonts w:ascii="Arial" w:hAnsi="Arial" w:cs="Arial"/>
                <w:sz w:val="20"/>
              </w:rPr>
            </w:pPr>
            <w:r>
              <w:rPr>
                <w:rFonts w:ascii="Arial" w:hAnsi="Arial"/>
                <w:sz w:val="20"/>
              </w:rPr>
              <w:t>Główne zainteresowane strony zaproszone do konsultacji należą do sektora kosmicznego (upstream – przemysł kosmiczny zajmujący się budową infrastruktury kosmicznej), użytkowników pośrednich (użytkownicy danych kosmicznych do celów produkcji usług</w:t>
            </w:r>
            <w:r w:rsidR="008A59C8">
              <w:rPr>
                <w:rFonts w:ascii="Arial" w:hAnsi="Arial"/>
                <w:sz w:val="20"/>
              </w:rPr>
              <w:t xml:space="preserve"> o war</w:t>
            </w:r>
            <w:r>
              <w:rPr>
                <w:rFonts w:ascii="Arial" w:hAnsi="Arial"/>
                <w:sz w:val="20"/>
              </w:rPr>
              <w:t>tości dodanej) lub użytkowników końcowych (klienci użytkowników pośrednich, klienci końcowi). Odbędą się konsultacje</w:t>
            </w:r>
            <w:r w:rsidR="008A59C8">
              <w:rPr>
                <w:rFonts w:ascii="Arial" w:hAnsi="Arial"/>
                <w:sz w:val="20"/>
              </w:rPr>
              <w:t xml:space="preserve"> z prz</w:t>
            </w:r>
            <w:r>
              <w:rPr>
                <w:rFonts w:ascii="Arial" w:hAnsi="Arial"/>
                <w:sz w:val="20"/>
              </w:rPr>
              <w:t>edstawicielami kilku kategorii działalności gospodarczej, takimi jak: sektor kosmiczny, rolnictwo, rybołówstwo/akwakultura, rozwój miast, monitoring środowiska, konsulting, lotnictwo, kolej, transport morski, transport drogowy, internet (dostawcy), produkcja, poszukiwanie</w:t>
            </w:r>
            <w:r w:rsidR="008A59C8">
              <w:rPr>
                <w:rFonts w:ascii="Arial" w:hAnsi="Arial"/>
                <w:sz w:val="20"/>
              </w:rPr>
              <w:t xml:space="preserve"> i rat</w:t>
            </w:r>
            <w:r>
              <w:rPr>
                <w:rFonts w:ascii="Arial" w:hAnsi="Arial"/>
                <w:sz w:val="20"/>
              </w:rPr>
              <w:t>ownictwo.</w:t>
            </w:r>
          </w:p>
          <w:p w:rsidR="001A57A3" w:rsidRPr="001A57A3" w:rsidP="00FD635E">
            <w:pPr>
              <w:widowControl w:val="0"/>
              <w:spacing w:before="60" w:after="60"/>
              <w:rPr>
                <w:rFonts w:ascii="Arial" w:hAnsi="Arial" w:cs="Arial"/>
                <w:sz w:val="20"/>
              </w:rPr>
            </w:pPr>
            <w:r>
              <w:rPr>
                <w:rFonts w:ascii="Arial" w:hAnsi="Arial"/>
                <w:sz w:val="20"/>
              </w:rPr>
              <w:t>Podobne ankiety internetowe zostaną przeprowadzone</w:t>
            </w:r>
            <w:r w:rsidR="008A59C8">
              <w:rPr>
                <w:rFonts w:ascii="Arial" w:hAnsi="Arial"/>
                <w:sz w:val="20"/>
              </w:rPr>
              <w:t xml:space="preserve"> w cel</w:t>
            </w:r>
            <w:r>
              <w:rPr>
                <w:rFonts w:ascii="Arial" w:hAnsi="Arial"/>
                <w:sz w:val="20"/>
              </w:rPr>
              <w:t xml:space="preserve">u zebrania opinii na temat działań realizowanych przez EUSPA. </w:t>
            </w:r>
          </w:p>
          <w:p w:rsidR="008B0448" w:rsidRPr="009A554F" w:rsidP="00FD635E">
            <w:pPr>
              <w:widowControl w:val="0"/>
              <w:spacing w:before="60" w:after="60"/>
              <w:rPr>
                <w:rFonts w:ascii="Arial" w:hAnsi="Arial" w:cs="Arial"/>
                <w:sz w:val="20"/>
              </w:rPr>
            </w:pPr>
            <w:r>
              <w:rPr>
                <w:rFonts w:ascii="Arial" w:hAnsi="Arial"/>
                <w:sz w:val="20"/>
              </w:rPr>
              <w:t>Do gromadzenia dużych ilości danych wykorzystany zostanie kwestionariusz. Będzie on dostępny za pośrednictwem łatwego</w:t>
            </w:r>
            <w:r w:rsidR="008A59C8">
              <w:rPr>
                <w:rFonts w:ascii="Arial" w:hAnsi="Arial"/>
                <w:sz w:val="20"/>
              </w:rPr>
              <w:t xml:space="preserve"> w uży</w:t>
            </w:r>
            <w:r>
              <w:rPr>
                <w:rFonts w:ascii="Arial" w:hAnsi="Arial"/>
                <w:sz w:val="20"/>
              </w:rPr>
              <w:t>ciu interfejsu. Zorganizowane zostaną również ukierunkowane warsztaty (z</w:t>
            </w:r>
            <w:r w:rsidR="003D0C1C">
              <w:rPr>
                <w:rFonts w:ascii="Arial" w:hAnsi="Arial"/>
                <w:sz w:val="20"/>
              </w:rPr>
              <w:t> </w:t>
            </w:r>
            <w:r>
              <w:rPr>
                <w:rFonts w:ascii="Arial" w:hAnsi="Arial"/>
                <w:sz w:val="20"/>
              </w:rPr>
              <w:t>udziałem przedstawicieli państw członkowskich oraz przemysłu/środowisk akademickich)</w:t>
            </w:r>
            <w:r w:rsidR="008A59C8">
              <w:rPr>
                <w:rFonts w:ascii="Arial" w:hAnsi="Arial"/>
                <w:sz w:val="20"/>
              </w:rPr>
              <w:t xml:space="preserve"> w cel</w:t>
            </w:r>
            <w:r>
              <w:rPr>
                <w:rFonts w:ascii="Arial" w:hAnsi="Arial"/>
                <w:sz w:val="20"/>
              </w:rPr>
              <w:t>u zebrania większej liczby opinii zainteresowanych stron.</w:t>
            </w:r>
          </w:p>
        </w:tc>
      </w:tr>
      <w:tr w:rsidTr="00BD6862">
        <w:tblPrEx>
          <w:tblW w:w="10283" w:type="dxa"/>
          <w:jc w:val="center"/>
          <w:tblLayout w:type="fixed"/>
          <w:tblLook w:val="01E0"/>
        </w:tblPrEx>
        <w:trPr>
          <w:jc w:val="center"/>
        </w:trPr>
        <w:tc>
          <w:tcPr>
            <w:tcW w:w="10283" w:type="dxa"/>
            <w:gridSpan w:val="2"/>
            <w:shd w:val="clear" w:color="auto" w:fill="F2F2F2" w:themeFill="background1" w:themeFillShade="F2"/>
          </w:tcPr>
          <w:p w:rsidR="00455BE6" w:rsidRPr="009A554F" w:rsidP="00FD635E">
            <w:pPr>
              <w:widowControl w:val="0"/>
              <w:spacing w:before="60" w:after="60"/>
              <w:rPr>
                <w:rFonts w:ascii="Arial" w:hAnsi="Arial" w:cs="Arial"/>
                <w:b/>
                <w:sz w:val="20"/>
              </w:rPr>
            </w:pPr>
            <w:r>
              <w:rPr>
                <w:rFonts w:ascii="Arial" w:hAnsi="Arial"/>
                <w:b/>
                <w:sz w:val="20"/>
              </w:rPr>
              <w:t>Gromadzenie danych</w:t>
            </w:r>
            <w:r w:rsidR="008A59C8">
              <w:rPr>
                <w:rFonts w:ascii="Arial" w:hAnsi="Arial"/>
                <w:b/>
                <w:sz w:val="20"/>
              </w:rPr>
              <w:t xml:space="preserve"> i met</w:t>
            </w:r>
            <w:r>
              <w:rPr>
                <w:rFonts w:ascii="Arial" w:hAnsi="Arial"/>
                <w:b/>
                <w:sz w:val="20"/>
              </w:rPr>
              <w:t>odyka</w:t>
            </w:r>
          </w:p>
        </w:tc>
      </w:tr>
      <w:tr w:rsidTr="00F27EFF">
        <w:tblPrEx>
          <w:tblW w:w="10283" w:type="dxa"/>
          <w:jc w:val="center"/>
          <w:tblLayout w:type="fixed"/>
          <w:tblLook w:val="01E0"/>
        </w:tblPrEx>
        <w:trPr>
          <w:jc w:val="center"/>
        </w:trPr>
        <w:tc>
          <w:tcPr>
            <w:tcW w:w="10283" w:type="dxa"/>
            <w:gridSpan w:val="2"/>
            <w:shd w:val="clear" w:color="auto" w:fill="auto"/>
          </w:tcPr>
          <w:p w:rsidR="001175EA" w:rsidP="00FD635E">
            <w:pPr>
              <w:widowControl w:val="0"/>
              <w:spacing w:before="60" w:after="60"/>
              <w:rPr>
                <w:rFonts w:ascii="Arial" w:hAnsi="Arial" w:cs="Arial"/>
                <w:sz w:val="20"/>
              </w:rPr>
            </w:pPr>
            <w:r>
              <w:rPr>
                <w:rFonts w:ascii="Arial" w:hAnsi="Arial"/>
                <w:sz w:val="20"/>
              </w:rPr>
              <w:t>Niezależny wykonawca zewnętrzny wesprze Komisję</w:t>
            </w:r>
            <w:r w:rsidR="008A59C8">
              <w:rPr>
                <w:rFonts w:ascii="Arial" w:hAnsi="Arial"/>
                <w:sz w:val="20"/>
              </w:rPr>
              <w:t xml:space="preserve"> w gro</w:t>
            </w:r>
            <w:r>
              <w:rPr>
                <w:rFonts w:ascii="Arial" w:hAnsi="Arial"/>
                <w:sz w:val="20"/>
              </w:rPr>
              <w:t>madzeniu</w:t>
            </w:r>
            <w:r w:rsidR="008A59C8">
              <w:rPr>
                <w:rFonts w:ascii="Arial" w:hAnsi="Arial"/>
                <w:sz w:val="20"/>
              </w:rPr>
              <w:t xml:space="preserve"> i ana</w:t>
            </w:r>
            <w:r>
              <w:rPr>
                <w:rFonts w:ascii="Arial" w:hAnsi="Arial"/>
                <w:sz w:val="20"/>
              </w:rPr>
              <w:t>lizowaniu danych oraz</w:t>
            </w:r>
            <w:r w:rsidR="008A59C8">
              <w:rPr>
                <w:rFonts w:ascii="Arial" w:hAnsi="Arial"/>
                <w:sz w:val="20"/>
              </w:rPr>
              <w:t xml:space="preserve"> w prz</w:t>
            </w:r>
            <w:r>
              <w:rPr>
                <w:rFonts w:ascii="Arial" w:hAnsi="Arial"/>
                <w:sz w:val="20"/>
              </w:rPr>
              <w:t>eprowadzaniu konsultacji, które będą stanowić podstawę oceny, jak</w:t>
            </w:r>
            <w:r w:rsidR="008A59C8">
              <w:rPr>
                <w:rFonts w:ascii="Arial" w:hAnsi="Arial"/>
                <w:sz w:val="20"/>
              </w:rPr>
              <w:t xml:space="preserve"> i ana</w:t>
            </w:r>
            <w:r>
              <w:rPr>
                <w:rFonts w:ascii="Arial" w:hAnsi="Arial"/>
                <w:sz w:val="20"/>
              </w:rPr>
              <w:t>lizowaniu ich wyników. Badanie to pomoże Komisji</w:t>
            </w:r>
            <w:r w:rsidR="008A59C8">
              <w:rPr>
                <w:rFonts w:ascii="Arial" w:hAnsi="Arial"/>
                <w:sz w:val="20"/>
              </w:rPr>
              <w:t xml:space="preserve"> w szc</w:t>
            </w:r>
            <w:r>
              <w:rPr>
                <w:rFonts w:ascii="Arial" w:hAnsi="Arial"/>
                <w:sz w:val="20"/>
              </w:rPr>
              <w:t>zególności</w:t>
            </w:r>
            <w:r w:rsidR="008A59C8">
              <w:rPr>
                <w:rFonts w:ascii="Arial" w:hAnsi="Arial"/>
                <w:sz w:val="20"/>
              </w:rPr>
              <w:t xml:space="preserve"> w oce</w:t>
            </w:r>
            <w:r>
              <w:rPr>
                <w:rFonts w:ascii="Arial" w:hAnsi="Arial"/>
                <w:sz w:val="20"/>
              </w:rPr>
              <w:t>nie kluczowych wskaźników efektywności działania,</w:t>
            </w:r>
            <w:r w:rsidR="008A59C8">
              <w:rPr>
                <w:rFonts w:ascii="Arial" w:hAnsi="Arial"/>
                <w:sz w:val="20"/>
              </w:rPr>
              <w:t xml:space="preserve"> o któ</w:t>
            </w:r>
            <w:r>
              <w:rPr>
                <w:rFonts w:ascii="Arial" w:hAnsi="Arial"/>
                <w:sz w:val="20"/>
              </w:rPr>
              <w:t>rych mowa</w:t>
            </w:r>
            <w:r w:rsidR="008A59C8">
              <w:rPr>
                <w:rFonts w:ascii="Arial" w:hAnsi="Arial"/>
                <w:sz w:val="20"/>
              </w:rPr>
              <w:t xml:space="preserve"> w roz</w:t>
            </w:r>
            <w:r>
              <w:rPr>
                <w:rFonts w:ascii="Arial" w:hAnsi="Arial"/>
                <w:sz w:val="20"/>
              </w:rPr>
              <w:t>porządzeniu (UE) 2021/696</w:t>
            </w:r>
            <w:r>
              <w:rPr>
                <w:rStyle w:val="FootnoteReference"/>
                <w:rFonts w:ascii="Arial" w:hAnsi="Arial" w:cs="Arial"/>
              </w:rPr>
              <w:footnoteReference w:id="4"/>
            </w:r>
            <w:r>
              <w:rPr>
                <w:rFonts w:ascii="Arial" w:hAnsi="Arial"/>
                <w:sz w:val="20"/>
              </w:rPr>
              <w:t xml:space="preserve">. </w:t>
            </w:r>
          </w:p>
          <w:p w:rsidR="001175EA" w:rsidP="00FD635E">
            <w:pPr>
              <w:widowControl w:val="0"/>
              <w:spacing w:before="60" w:after="60"/>
              <w:rPr>
                <w:rFonts w:ascii="Arial" w:hAnsi="Arial" w:cs="Arial"/>
                <w:sz w:val="20"/>
              </w:rPr>
            </w:pPr>
            <w:r>
              <w:rPr>
                <w:rFonts w:ascii="Arial" w:hAnsi="Arial"/>
                <w:sz w:val="20"/>
              </w:rPr>
              <w:t>Zgromadzone dane obejmą między innymi elementy analizy kosztów</w:t>
            </w:r>
            <w:r w:rsidR="008A59C8">
              <w:rPr>
                <w:rFonts w:ascii="Arial" w:hAnsi="Arial"/>
                <w:sz w:val="20"/>
              </w:rPr>
              <w:t xml:space="preserve"> i kor</w:t>
            </w:r>
            <w:r>
              <w:rPr>
                <w:rFonts w:ascii="Arial" w:hAnsi="Arial"/>
                <w:sz w:val="20"/>
              </w:rPr>
              <w:t>zyści oraz korzyści programu kosmicznego.</w:t>
            </w:r>
          </w:p>
          <w:p w:rsidR="001A57A3" w:rsidP="007071C0">
            <w:pPr>
              <w:widowControl w:val="0"/>
              <w:spacing w:before="60" w:after="60"/>
              <w:rPr>
                <w:rFonts w:ascii="Arial" w:hAnsi="Arial" w:cs="Arial"/>
                <w:sz w:val="20"/>
              </w:rPr>
            </w:pPr>
            <w:r>
              <w:rPr>
                <w:rFonts w:ascii="Arial" w:hAnsi="Arial"/>
                <w:sz w:val="20"/>
              </w:rPr>
              <w:t>Metody stosowane do gromadzenia</w:t>
            </w:r>
            <w:r w:rsidR="008A59C8">
              <w:rPr>
                <w:rFonts w:ascii="Arial" w:hAnsi="Arial"/>
                <w:sz w:val="20"/>
              </w:rPr>
              <w:t xml:space="preserve"> i ana</w:t>
            </w:r>
            <w:r>
              <w:rPr>
                <w:rFonts w:ascii="Arial" w:hAnsi="Arial"/>
                <w:sz w:val="20"/>
              </w:rPr>
              <w:t>lizowania informacji oraz przeprowadzania oceny będą zgodne</w:t>
            </w:r>
            <w:r w:rsidR="008A59C8">
              <w:rPr>
                <w:rFonts w:ascii="Arial" w:hAnsi="Arial"/>
                <w:sz w:val="20"/>
              </w:rPr>
              <w:t xml:space="preserve"> z ogó</w:t>
            </w:r>
            <w:r>
              <w:rPr>
                <w:rFonts w:ascii="Arial" w:hAnsi="Arial"/>
                <w:sz w:val="20"/>
              </w:rPr>
              <w:t>lnymi zasadami</w:t>
            </w:r>
            <w:r w:rsidR="008A59C8">
              <w:rPr>
                <w:rFonts w:ascii="Arial" w:hAnsi="Arial"/>
                <w:sz w:val="20"/>
              </w:rPr>
              <w:t xml:space="preserve"> i min</w:t>
            </w:r>
            <w:r>
              <w:rPr>
                <w:rFonts w:ascii="Arial" w:hAnsi="Arial"/>
                <w:sz w:val="20"/>
              </w:rPr>
              <w:t>imalnymi standardami konsultacji określonymi w</w:t>
            </w:r>
            <w:r>
              <w:t xml:space="preserve"> </w:t>
            </w:r>
            <w:r>
              <w:fldChar w:fldCharType="begin"/>
            </w:r>
            <w:r>
              <w:instrText xml:space="preserve"> HYPERLINK "https://commission.europa.eu/law/law-making-process/planning-and-proposing-law/better-regulation/better-regulation-guidelines-and-toolbox_en" </w:instrText>
            </w:r>
            <w:r>
              <w:fldChar w:fldCharType="separate"/>
            </w:r>
            <w:r>
              <w:rPr>
                <w:rStyle w:val="Hyperlink"/>
                <w:rFonts w:ascii="Arial" w:hAnsi="Arial"/>
                <w:sz w:val="20"/>
              </w:rPr>
              <w:t>wytycznych Komisji dotyczących lepszego stanowienia prawa</w:t>
            </w:r>
            <w:r>
              <w:fldChar w:fldCharType="end"/>
            </w:r>
            <w:r w:rsidR="008A59C8">
              <w:rPr>
                <w:rFonts w:ascii="Arial" w:hAnsi="Arial"/>
                <w:sz w:val="20"/>
              </w:rPr>
              <w:t xml:space="preserve"> i </w:t>
            </w:r>
            <w:r w:rsidR="008A59C8">
              <w:rPr>
                <w:rStyle w:val="Hyperlink"/>
                <w:rFonts w:ascii="Arial" w:hAnsi="Arial"/>
                <w:sz w:val="20"/>
              </w:rPr>
              <w:t>zes</w:t>
            </w:r>
            <w:r>
              <w:rPr>
                <w:rStyle w:val="Hyperlink"/>
                <w:rFonts w:ascii="Arial" w:hAnsi="Arial"/>
                <w:sz w:val="20"/>
              </w:rPr>
              <w:t>tawie narzędzi służącemu lepszemu stanowieniu prawa</w:t>
            </w:r>
            <w:r>
              <w:rPr>
                <w:rFonts w:ascii="Arial" w:hAnsi="Arial"/>
                <w:sz w:val="20"/>
              </w:rPr>
              <w:t xml:space="preserve"> oraz</w:t>
            </w:r>
            <w:r w:rsidR="008A59C8">
              <w:rPr>
                <w:rFonts w:ascii="Arial" w:hAnsi="Arial"/>
                <w:sz w:val="20"/>
              </w:rPr>
              <w:t xml:space="preserve"> z prz</w:t>
            </w:r>
            <w:r>
              <w:rPr>
                <w:rFonts w:ascii="Arial" w:hAnsi="Arial"/>
                <w:sz w:val="20"/>
              </w:rPr>
              <w:t xml:space="preserve">episami </w:t>
            </w:r>
            <w:r>
              <w:fldChar w:fldCharType="begin"/>
            </w:r>
            <w:r>
              <w:instrText xml:space="preserve"> HYPERLINK "https://eur-lex.europa.eu/legal-content/PL/TXT/PDF/?uri=CELEX:32016R0679&amp;qid=1689080873207" </w:instrText>
            </w:r>
            <w:r>
              <w:fldChar w:fldCharType="separate"/>
            </w:r>
            <w:r>
              <w:rPr>
                <w:rStyle w:val="Hyperlink"/>
                <w:rFonts w:ascii="Arial" w:hAnsi="Arial"/>
                <w:sz w:val="20"/>
              </w:rPr>
              <w:t>ogólnego rozporządzenia</w:t>
            </w:r>
            <w:r w:rsidR="008A59C8">
              <w:rPr>
                <w:rStyle w:val="Hyperlink"/>
                <w:rFonts w:ascii="Arial" w:hAnsi="Arial"/>
                <w:sz w:val="20"/>
              </w:rPr>
              <w:t xml:space="preserve"> o och</w:t>
            </w:r>
            <w:r>
              <w:rPr>
                <w:rStyle w:val="Hyperlink"/>
                <w:rFonts w:ascii="Arial" w:hAnsi="Arial"/>
                <w:sz w:val="20"/>
              </w:rPr>
              <w:t>ronie danych</w:t>
            </w:r>
            <w:r>
              <w:fldChar w:fldCharType="end"/>
            </w:r>
            <w:r>
              <w:rPr>
                <w:rFonts w:ascii="Arial" w:hAnsi="Arial"/>
                <w:sz w:val="20"/>
              </w:rPr>
              <w:t>. Dane będą gromadzone wyłącznie drogą elektroniczną (pobranie/poczta elektroniczna)</w:t>
            </w:r>
            <w:r w:rsidR="008A59C8">
              <w:rPr>
                <w:rFonts w:ascii="Arial" w:hAnsi="Arial"/>
                <w:sz w:val="20"/>
              </w:rPr>
              <w:t xml:space="preserve"> w 2</w:t>
            </w:r>
            <w:r>
              <w:rPr>
                <w:rFonts w:ascii="Arial" w:hAnsi="Arial"/>
                <w:sz w:val="20"/>
              </w:rPr>
              <w:t>023 r. oraz na początku 2024 r.</w:t>
            </w:r>
          </w:p>
          <w:p w:rsidR="001A57A3" w:rsidRPr="001F2EBC" w:rsidP="007071C0">
            <w:pPr>
              <w:widowControl w:val="0"/>
              <w:spacing w:before="60" w:after="60"/>
              <w:rPr>
                <w:rFonts w:ascii="Arial" w:hAnsi="Arial" w:cs="Arial"/>
                <w:sz w:val="20"/>
              </w:rPr>
            </w:pPr>
            <w:r>
              <w:rPr>
                <w:rFonts w:ascii="Arial" w:hAnsi="Arial"/>
                <w:sz w:val="20"/>
              </w:rPr>
              <w:t>Korzyści płynące</w:t>
            </w:r>
            <w:r w:rsidR="008A59C8">
              <w:rPr>
                <w:rFonts w:ascii="Arial" w:hAnsi="Arial"/>
                <w:sz w:val="20"/>
              </w:rPr>
              <w:t xml:space="preserve"> z pro</w:t>
            </w:r>
            <w:r>
              <w:rPr>
                <w:rFonts w:ascii="Arial" w:hAnsi="Arial"/>
                <w:sz w:val="20"/>
              </w:rPr>
              <w:t>gramu podzielone zostaną na dwie główne grupy:</w:t>
            </w:r>
          </w:p>
          <w:p w:rsidR="001A57A3" w:rsidRPr="007071C0" w:rsidP="007071C0">
            <w:pPr>
              <w:pStyle w:val="ListParagraph"/>
              <w:widowControl w:val="0"/>
              <w:numPr>
                <w:ilvl w:val="0"/>
                <w:numId w:val="48"/>
              </w:numPr>
              <w:spacing w:before="60" w:after="60"/>
              <w:rPr>
                <w:rFonts w:ascii="Arial" w:hAnsi="Arial" w:cs="Arial"/>
                <w:sz w:val="20"/>
              </w:rPr>
            </w:pPr>
            <w:r>
              <w:rPr>
                <w:rFonts w:ascii="Arial" w:hAnsi="Arial"/>
                <w:sz w:val="20"/>
              </w:rPr>
              <w:t>bezpośrednie skutki transakcji wynikające</w:t>
            </w:r>
            <w:r w:rsidR="008A59C8">
              <w:rPr>
                <w:rFonts w:ascii="Arial" w:hAnsi="Arial"/>
                <w:sz w:val="20"/>
              </w:rPr>
              <w:t xml:space="preserve"> z inw</w:t>
            </w:r>
            <w:r>
              <w:rPr>
                <w:rFonts w:ascii="Arial" w:hAnsi="Arial"/>
                <w:sz w:val="20"/>
              </w:rPr>
              <w:t>estycji</w:t>
            </w:r>
            <w:r w:rsidR="008A59C8">
              <w:rPr>
                <w:rFonts w:ascii="Arial" w:hAnsi="Arial"/>
                <w:sz w:val="20"/>
              </w:rPr>
              <w:t xml:space="preserve"> i wyd</w:t>
            </w:r>
            <w:r>
              <w:rPr>
                <w:rFonts w:ascii="Arial" w:hAnsi="Arial"/>
                <w:sz w:val="20"/>
              </w:rPr>
              <w:t>atków związanych</w:t>
            </w:r>
            <w:r w:rsidR="008A59C8">
              <w:rPr>
                <w:rFonts w:ascii="Arial" w:hAnsi="Arial"/>
                <w:sz w:val="20"/>
              </w:rPr>
              <w:t xml:space="preserve"> z roz</w:t>
            </w:r>
            <w:r>
              <w:rPr>
                <w:rFonts w:ascii="Arial" w:hAnsi="Arial"/>
                <w:sz w:val="20"/>
              </w:rPr>
              <w:t>wojem infrastruktury;</w:t>
            </w:r>
          </w:p>
          <w:p w:rsidR="001A57A3" w:rsidRPr="007071C0" w:rsidP="007071C0">
            <w:pPr>
              <w:pStyle w:val="ListParagraph"/>
              <w:widowControl w:val="0"/>
              <w:numPr>
                <w:ilvl w:val="0"/>
                <w:numId w:val="48"/>
              </w:numPr>
              <w:spacing w:before="60" w:after="60"/>
              <w:rPr>
                <w:rFonts w:ascii="Arial" w:hAnsi="Arial" w:cs="Arial"/>
                <w:sz w:val="20"/>
              </w:rPr>
            </w:pPr>
            <w:r>
              <w:rPr>
                <w:rFonts w:ascii="Arial" w:hAnsi="Arial"/>
                <w:sz w:val="20"/>
              </w:rPr>
              <w:t>szersze korzyści społeczno-gospodarcze wynikające</w:t>
            </w:r>
            <w:r w:rsidR="008A59C8">
              <w:rPr>
                <w:rFonts w:ascii="Arial" w:hAnsi="Arial"/>
                <w:sz w:val="20"/>
              </w:rPr>
              <w:t xml:space="preserve"> z wyk</w:t>
            </w:r>
            <w:r>
              <w:rPr>
                <w:rFonts w:ascii="Arial" w:hAnsi="Arial"/>
                <w:sz w:val="20"/>
              </w:rPr>
              <w:t>orzystania</w:t>
            </w:r>
            <w:r w:rsidR="008A59C8">
              <w:rPr>
                <w:rFonts w:ascii="Arial" w:hAnsi="Arial"/>
                <w:sz w:val="20"/>
              </w:rPr>
              <w:t xml:space="preserve"> i eks</w:t>
            </w:r>
            <w:r>
              <w:rPr>
                <w:rFonts w:ascii="Arial" w:hAnsi="Arial"/>
                <w:sz w:val="20"/>
              </w:rPr>
              <w:t>ploatacji stworzonej infrastruktury.</w:t>
            </w:r>
          </w:p>
          <w:p w:rsidR="001A57A3" w:rsidP="001D578A">
            <w:pPr>
              <w:widowControl w:val="0"/>
              <w:spacing w:before="60" w:after="60"/>
              <w:rPr>
                <w:rFonts w:ascii="Arial" w:hAnsi="Arial" w:cs="Arial"/>
                <w:sz w:val="20"/>
              </w:rPr>
            </w:pPr>
            <w:r>
              <w:rPr>
                <w:rFonts w:ascii="Arial" w:hAnsi="Arial"/>
                <w:sz w:val="20"/>
              </w:rPr>
              <w:t>W celu wsparcia oceny programu dostępne będą poprzednie oceny istotne dla unijnego programu kosmicznego,</w:t>
            </w:r>
            <w:r w:rsidR="008A59C8">
              <w:rPr>
                <w:rFonts w:ascii="Arial" w:hAnsi="Arial"/>
                <w:sz w:val="20"/>
              </w:rPr>
              <w:t xml:space="preserve"> </w:t>
            </w:r>
            <w:r w:rsidR="008A59C8">
              <w:rPr>
                <w:rFonts w:ascii="Arial" w:hAnsi="Arial"/>
                <w:sz w:val="20"/>
              </w:rPr>
              <w:t>w tym</w:t>
            </w:r>
            <w:r>
              <w:rPr>
                <w:rFonts w:ascii="Arial" w:hAnsi="Arial"/>
                <w:sz w:val="20"/>
              </w:rPr>
              <w:t>:</w:t>
            </w:r>
            <w:r>
              <w:fldChar w:fldCharType="begin"/>
            </w:r>
            <w:r>
              <w:instrText xml:space="preserve"> HYPERLINK "https://op.europa.eu/pl/publication-detail/-/publication/56b722ee-b9f8-11e7-a7f8-01aa75ed71a1/language-pl" </w:instrText>
            </w:r>
            <w:r>
              <w:fldChar w:fldCharType="separate"/>
            </w:r>
            <w:r>
              <w:rPr>
                <w:rStyle w:val="Hyperlink"/>
                <w:rFonts w:ascii="Arial" w:hAnsi="Arial"/>
                <w:sz w:val="20"/>
              </w:rPr>
              <w:t xml:space="preserve"> ocena śródokresowa systemów Galileo i EGNOS</w:t>
            </w:r>
            <w:r>
              <w:fldChar w:fldCharType="end"/>
            </w:r>
            <w:r w:rsidR="008A59C8">
              <w:rPr>
                <w:rFonts w:ascii="Arial" w:hAnsi="Arial"/>
                <w:sz w:val="20"/>
              </w:rPr>
              <w:t xml:space="preserve"> z 2</w:t>
            </w:r>
            <w:r>
              <w:rPr>
                <w:rFonts w:ascii="Arial" w:hAnsi="Arial"/>
                <w:sz w:val="20"/>
              </w:rPr>
              <w:t>017 r.,</w:t>
            </w:r>
            <w:r>
              <w:fldChar w:fldCharType="begin"/>
            </w:r>
            <w:r>
              <w:instrText xml:space="preserve"> HYPERLINK "https://op.europa.eu/pl/publication-detail/-/publication/86fe47d6-c501-11e7-9b01-01aa75ed71a1/language-pl" </w:instrText>
            </w:r>
            <w:r>
              <w:fldChar w:fldCharType="separate"/>
            </w:r>
            <w:r>
              <w:rPr>
                <w:rStyle w:val="Hyperlink"/>
                <w:rFonts w:ascii="Arial" w:hAnsi="Arial"/>
                <w:sz w:val="20"/>
              </w:rPr>
              <w:t xml:space="preserve"> ocena śródokresowa programu Copernicus</w:t>
            </w:r>
            <w:r>
              <w:fldChar w:fldCharType="end"/>
            </w:r>
            <w:r w:rsidR="008A59C8">
              <w:rPr>
                <w:rFonts w:ascii="Arial" w:hAnsi="Arial"/>
                <w:sz w:val="20"/>
              </w:rPr>
              <w:t xml:space="preserve"> z 2</w:t>
            </w:r>
            <w:r>
              <w:rPr>
                <w:rFonts w:ascii="Arial" w:hAnsi="Arial"/>
                <w:sz w:val="20"/>
              </w:rPr>
              <w:t>017 r.,</w:t>
            </w:r>
            <w:r>
              <w:fldChar w:fldCharType="begin"/>
            </w:r>
            <w:r>
              <w:instrText xml:space="preserve"> HYPERLINK "https://op.europa.eu/pl/publication-detail/-/publication/f9004854-0d50-11e8-966a-01aa75ed71a1/language-pl" </w:instrText>
            </w:r>
            <w:r>
              <w:fldChar w:fldCharType="separate"/>
            </w:r>
            <w:r>
              <w:rPr>
                <w:rStyle w:val="Hyperlink"/>
                <w:rFonts w:ascii="Arial" w:hAnsi="Arial"/>
                <w:sz w:val="20"/>
              </w:rPr>
              <w:t xml:space="preserve"> ocena unijnego Govsatcom</w:t>
            </w:r>
            <w:r>
              <w:fldChar w:fldCharType="end"/>
            </w:r>
            <w:r w:rsidR="008A59C8">
              <w:rPr>
                <w:rFonts w:ascii="Arial" w:hAnsi="Arial"/>
                <w:sz w:val="20"/>
              </w:rPr>
              <w:t xml:space="preserve"> z 2</w:t>
            </w:r>
            <w:r>
              <w:rPr>
                <w:rFonts w:ascii="Arial" w:hAnsi="Arial"/>
                <w:sz w:val="20"/>
              </w:rPr>
              <w:t>018 r.,</w:t>
            </w:r>
            <w:r>
              <w:fldChar w:fldCharType="begin"/>
            </w:r>
            <w:r>
              <w:instrText xml:space="preserve"> HYPERLINK "https://eur-lex.europa.eu/resource.html?uri=cellar:7684e5a3-6af6-11e8-9483-01aa75ed71a1.0001.03/DOC_1&amp;format=PDF" </w:instrText>
            </w:r>
            <w:r>
              <w:fldChar w:fldCharType="separate"/>
            </w:r>
            <w:r>
              <w:rPr>
                <w:rStyle w:val="Hyperlink"/>
                <w:rFonts w:ascii="Arial" w:hAnsi="Arial"/>
                <w:sz w:val="20"/>
              </w:rPr>
              <w:t xml:space="preserve"> ocena skutków unijnego programu kosmicznego</w:t>
            </w:r>
            <w:r>
              <w:fldChar w:fldCharType="end"/>
            </w:r>
            <w:r>
              <w:rPr>
                <w:rFonts w:ascii="Arial" w:hAnsi="Arial"/>
                <w:sz w:val="20"/>
              </w:rPr>
              <w:t xml:space="preserve"> oraz kwartalne i</w:t>
            </w:r>
            <w:r>
              <w:fldChar w:fldCharType="begin"/>
            </w:r>
            <w:r>
              <w:instrText xml:space="preserve"> HYPERLINK "https://commission.europa.eu/publications/annual-activity-report-2021-defense-industry-and-space_en" </w:instrText>
            </w:r>
            <w:r>
              <w:fldChar w:fldCharType="separate"/>
            </w:r>
            <w:r w:rsidR="003D0C1C">
              <w:rPr>
                <w:rStyle w:val="Hyperlink"/>
                <w:rFonts w:ascii="Arial" w:hAnsi="Arial"/>
                <w:sz w:val="20"/>
              </w:rPr>
              <w:t> </w:t>
            </w:r>
            <w:r>
              <w:rPr>
                <w:rStyle w:val="Hyperlink"/>
                <w:rFonts w:ascii="Arial" w:hAnsi="Arial"/>
                <w:sz w:val="20"/>
              </w:rPr>
              <w:t>roczne sprawozdania</w:t>
            </w:r>
            <w:r w:rsidR="008A59C8">
              <w:rPr>
                <w:rStyle w:val="Hyperlink"/>
                <w:rFonts w:ascii="Arial" w:hAnsi="Arial"/>
                <w:sz w:val="20"/>
              </w:rPr>
              <w:t xml:space="preserve"> z dzi</w:t>
            </w:r>
            <w:r>
              <w:rPr>
                <w:rStyle w:val="Hyperlink"/>
                <w:rFonts w:ascii="Arial" w:hAnsi="Arial"/>
                <w:sz w:val="20"/>
              </w:rPr>
              <w:t>ałalności</w:t>
            </w:r>
            <w:r>
              <w:fldChar w:fldCharType="end"/>
            </w:r>
            <w:r>
              <w:rPr>
                <w:rFonts w:ascii="Arial" w:hAnsi="Arial"/>
                <w:sz w:val="20"/>
              </w:rPr>
              <w:t xml:space="preserve"> przygotowane przez podmioty, którym powierzono wykonanie zadań. </w:t>
            </w:r>
          </w:p>
          <w:p w:rsidR="001A57A3" w:rsidRPr="00C1455D" w:rsidP="007071C0">
            <w:pPr>
              <w:widowControl w:val="0"/>
              <w:spacing w:before="60" w:after="60"/>
              <w:rPr>
                <w:rFonts w:ascii="Arial" w:hAnsi="Arial" w:cs="Arial"/>
                <w:sz w:val="20"/>
              </w:rPr>
            </w:pPr>
            <w:r>
              <w:rPr>
                <w:rFonts w:ascii="Arial" w:hAnsi="Arial"/>
                <w:sz w:val="20"/>
              </w:rPr>
              <w:t>W ocenie podkreślone zostaną również obszary,</w:t>
            </w:r>
            <w:r w:rsidR="008A59C8">
              <w:rPr>
                <w:rFonts w:ascii="Arial" w:hAnsi="Arial"/>
                <w:sz w:val="20"/>
              </w:rPr>
              <w:t xml:space="preserve"> w któ</w:t>
            </w:r>
            <w:r>
              <w:rPr>
                <w:rFonts w:ascii="Arial" w:hAnsi="Arial"/>
                <w:sz w:val="20"/>
              </w:rPr>
              <w:t>rych dane pochodzące</w:t>
            </w:r>
            <w:r w:rsidR="008A59C8">
              <w:rPr>
                <w:rFonts w:ascii="Arial" w:hAnsi="Arial"/>
                <w:sz w:val="20"/>
              </w:rPr>
              <w:t xml:space="preserve"> z pro</w:t>
            </w:r>
            <w:r>
              <w:rPr>
                <w:rFonts w:ascii="Arial" w:hAnsi="Arial"/>
                <w:sz w:val="20"/>
              </w:rPr>
              <w:t xml:space="preserve">gramu kosmicznego przyczyniły się bezpośrednio do uproszczenia kwestii administracyjnych oraz zmniejszenia obciążeń administracyjnych. </w:t>
            </w:r>
          </w:p>
        </w:tc>
      </w:tr>
    </w:tbl>
    <w:p w:rsidR="001E0806" w:rsidRPr="00C1455D" w:rsidP="001F2EBC">
      <w:pPr>
        <w:rPr>
          <w:rFonts w:ascii="Arial" w:hAnsi="Arial" w:cs="Arial"/>
          <w:sz w:val="20"/>
        </w:rPr>
      </w:pPr>
    </w:p>
    <w:sectPr w:rsidSect="003F369F">
      <w:footerReference w:type="default" r:id="rId12"/>
      <w:headerReference w:type="first" r:id="rId13"/>
      <w:pgSz w:w="11906" w:h="16838"/>
      <w:pgMar w:top="1020" w:right="1701" w:bottom="1020" w:left="1587" w:header="601" w:footer="1077"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03AB">
    <w:pPr>
      <w:pStyle w:val="Footer"/>
      <w:jc w:val="center"/>
    </w:pPr>
    <w:r>
      <w:fldChar w:fldCharType="begin"/>
    </w:r>
    <w:r>
      <w:instrText>PAGE</w:instrText>
    </w:r>
    <w:r>
      <w:fldChar w:fldCharType="separate"/>
    </w:r>
    <w: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57F9E" w:rsidP="002B4DCC">
      <w:pPr>
        <w:spacing w:after="0"/>
      </w:pPr>
      <w:r>
        <w:separator/>
      </w:r>
    </w:p>
  </w:footnote>
  <w:footnote w:type="continuationSeparator" w:id="1">
    <w:p w:rsidR="00457F9E" w:rsidP="002B4DCC">
      <w:pPr>
        <w:spacing w:after="0"/>
      </w:pPr>
      <w:r>
        <w:continuationSeparator/>
      </w:r>
    </w:p>
  </w:footnote>
  <w:footnote w:id="2">
    <w:p w:rsidR="001A57A3" w:rsidRPr="001A57A3" w:rsidP="00FD635E">
      <w:pPr>
        <w:pStyle w:val="FootnoteText"/>
        <w:spacing w:after="0"/>
      </w:pPr>
      <w:r>
        <w:rPr>
          <w:rStyle w:val="FootnoteReference"/>
        </w:rPr>
        <w:footnoteRef/>
      </w:r>
      <w:r>
        <w:t xml:space="preserve"> Art. 29 </w:t>
      </w:r>
      <w:r w:rsidRPr="008A59C8">
        <w:t>ust.</w:t>
      </w:r>
      <w:r w:rsidRPr="008A59C8" w:rsidR="008A59C8">
        <w:t> </w:t>
      </w:r>
      <w:r w:rsidRPr="008A59C8">
        <w:t>1</w:t>
      </w:r>
      <w:r>
        <w:t xml:space="preserve"> rozporządzenia (UE) 2021/696.</w:t>
      </w:r>
    </w:p>
  </w:footnote>
  <w:footnote w:id="3">
    <w:p w:rsidR="001A57A3" w:rsidRPr="001A57A3" w:rsidP="00FD635E">
      <w:pPr>
        <w:pStyle w:val="FootnoteText"/>
        <w:spacing w:after="0"/>
      </w:pPr>
      <w:r>
        <w:rPr>
          <w:rStyle w:val="FootnoteReference"/>
        </w:rPr>
        <w:footnoteRef/>
      </w:r>
      <w:r>
        <w:t xml:space="preserve"> Art. 29 ust. 2</w:t>
      </w:r>
      <w:r w:rsidR="008A59C8">
        <w:t xml:space="preserve"> i 3</w:t>
      </w:r>
      <w:r>
        <w:t xml:space="preserve"> rozporządzenia (UE) 2021/696.</w:t>
      </w:r>
    </w:p>
  </w:footnote>
  <w:footnote w:id="4">
    <w:p w:rsidR="00170F49" w:rsidRPr="00C415AE" w:rsidP="00FD635E">
      <w:pPr>
        <w:pStyle w:val="FootnoteText"/>
        <w:spacing w:after="0"/>
      </w:pPr>
      <w:r>
        <w:rPr>
          <w:rStyle w:val="FootnoteReference"/>
        </w:rPr>
        <w:footnoteRef/>
      </w:r>
      <w:r>
        <w:t xml:space="preserve"> Załącznik do rozporządzenia (UE) 2021/696.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03AB" w:rsidP="004B1D74">
    <w:pPr>
      <w:pStyle w:val="Header"/>
      <w:spacing w:after="0"/>
      <w:jc w:val="center"/>
    </w:pPr>
    <w:r>
      <w:rPr>
        <w:rFonts w:ascii="Arial" w:hAnsi="Arial"/>
        <w:noProof/>
      </w:rPr>
      <w:drawing>
        <wp:inline distT="0" distB="0" distL="0" distR="0">
          <wp:extent cx="1908175" cy="508635"/>
          <wp:effectExtent l="0" t="0" r="0" b="5715"/>
          <wp:docPr id="4" name="Picture 4" descr="logo-ce-horizontal-en-quadri-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e-horizontal-en-quadri-l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8175" cy="508635"/>
                  </a:xfrm>
                  <a:prstGeom prst="rect">
                    <a:avLst/>
                  </a:prstGeom>
                  <a:noFill/>
                  <a:ln>
                    <a:noFill/>
                  </a:ln>
                </pic:spPr>
              </pic:pic>
            </a:graphicData>
          </a:graphic>
        </wp:inline>
      </w:drawing>
    </w:r>
  </w:p>
  <w:p w:rsidR="004B1D74" w:rsidP="004B1D74">
    <w:pPr>
      <w:pStyle w:val="Header"/>
      <w:spacing w:after="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warning" style="width:12pt;height:12pt" o:bullet="t">
        <v:imagedata r:id="rId1" o:title="warning"/>
      </v:shape>
    </w:pict>
  </w:numPicBullet>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8DE61A8"/>
    <w:multiLevelType w:val="hybridMultilevel"/>
    <w:tmpl w:val="686A40CA"/>
    <w:name w:val="LegalNumParListTemplate3"/>
    <w:lvl w:ilvl="0">
      <w:start w:val="1"/>
      <w:numFmt w:val="decimal"/>
      <w:lvlText w:val="%1."/>
      <w:lvlJc w:val="left"/>
      <w:pPr>
        <w:tabs>
          <w:tab w:val="num" w:pos="476"/>
        </w:tabs>
        <w:ind w:left="476" w:hanging="47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987F83"/>
    <w:multiLevelType w:val="hybridMultilevel"/>
    <w:tmpl w:val="41A255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0D5E5F"/>
    <w:multiLevelType w:val="hybridMultilevel"/>
    <w:tmpl w:val="594C4F24"/>
    <w:lvl w:ilvl="0">
      <w:start w:val="1"/>
      <w:numFmt w:val="bullet"/>
      <w:lvlText w:val=""/>
      <w:lvlJc w:val="left"/>
      <w:pPr>
        <w:ind w:left="360" w:hanging="360"/>
      </w:pPr>
      <w:rPr>
        <w:rFonts w:ascii="Symbol" w:hAnsi="Symbol" w:hint="default"/>
      </w:rPr>
    </w:lvl>
    <w:lvl w:ilvl="1">
      <w:start w:val="0"/>
      <w:numFmt w:val="bullet"/>
      <w:lvlText w:val="-"/>
      <w:lvlJc w:val="left"/>
      <w:pPr>
        <w:ind w:left="1080" w:hanging="360"/>
      </w:pPr>
      <w:rPr>
        <w:rFonts w:ascii="Times New Roman" w:eastAsia="Times New Roman" w:hAnsi="Times New Roman" w:cs="Times New Roman"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F734306"/>
    <w:multiLevelType w:val="multilevel"/>
    <w:tmpl w:val="D266108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7B469AF"/>
    <w:multiLevelType w:val="hybridMultilevel"/>
    <w:tmpl w:val="7E389F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2D5E2CC9"/>
    <w:multiLevelType w:val="hybridMultilevel"/>
    <w:tmpl w:val="D250EE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4">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A3C3D2A"/>
    <w:multiLevelType w:val="hybridMultilevel"/>
    <w:tmpl w:val="ECECCB5E"/>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color w:val="00B05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7">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8">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9">
    <w:nsid w:val="48604200"/>
    <w:multiLevelType w:val="hybridMultilevel"/>
    <w:tmpl w:val="7B640C1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B483D5E"/>
    <w:multiLevelType w:val="hybridMultilevel"/>
    <w:tmpl w:val="55C27790"/>
    <w:lvl w:ilvl="0">
      <w:start w:val="1"/>
      <w:numFmt w:val="decimal"/>
      <w:pStyle w:val="IAToolChapterHeading"/>
      <w:lvlText w:val="Tool #%1."/>
      <w:lvlJc w:val="left"/>
      <w:pPr>
        <w:ind w:left="717" w:hanging="360"/>
      </w:pPr>
      <w:rPr>
        <w:rFonts w:hint="default"/>
        <w:b/>
        <w:i w:val="0"/>
        <w:cap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F083460"/>
    <w:multiLevelType w:val="hybridMultilevel"/>
    <w:tmpl w:val="23D0431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51F15440"/>
    <w:multiLevelType w:val="hybridMultilevel"/>
    <w:tmpl w:val="B7BE73E0"/>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4">
    <w:nsid w:val="59D0595A"/>
    <w:multiLevelType w:val="hybridMultilevel"/>
    <w:tmpl w:val="42E235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6">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7">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8">
    <w:nsid w:val="671B3333"/>
    <w:multiLevelType w:val="hybridMultilevel"/>
    <w:tmpl w:val="EAD471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8CA48DB"/>
    <w:multiLevelType w:val="hybridMultilevel"/>
    <w:tmpl w:val="99667A0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6B432AA0"/>
    <w:multiLevelType w:val="hybridMultilevel"/>
    <w:tmpl w:val="0652E4E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6C41534E"/>
    <w:multiLevelType w:val="hybridMultilevel"/>
    <w:tmpl w:val="F82652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3">
    <w:nsid w:val="71D70905"/>
    <w:multiLevelType w:val="hybridMultilevel"/>
    <w:tmpl w:val="60CCCD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729F09D4"/>
    <w:multiLevelType w:val="hybridMultilevel"/>
    <w:tmpl w:val="41B672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530130B"/>
    <w:multiLevelType w:val="hybridMultilevel"/>
    <w:tmpl w:val="D3CA850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7C6B63E6"/>
    <w:multiLevelType w:val="singleLevel"/>
    <w:tmpl w:val="0292EEF0"/>
    <w:name w:val="LegalNumParListTemplate"/>
    <w:lvl w:ilvl="0">
      <w:start w:val="1"/>
      <w:numFmt w:val="decimal"/>
      <w:lvlText w:val="%1."/>
      <w:lvlJc w:val="left"/>
      <w:pPr>
        <w:tabs>
          <w:tab w:val="num" w:pos="476"/>
        </w:tabs>
        <w:ind w:left="476" w:hanging="476"/>
      </w:pPr>
    </w:lvl>
  </w:abstractNum>
  <w:abstractNum w:abstractNumId="38">
    <w:nsid w:val="7D945FB1"/>
    <w:multiLevelType w:val="hybridMultilevel"/>
    <w:tmpl w:val="CD5A8532"/>
    <w:lvl w:ilvl="0">
      <w:start w:val="1"/>
      <w:numFmt w:val="bullet"/>
      <w:lvlText w:val="­"/>
      <w:lvlJc w:val="left"/>
      <w:pPr>
        <w:ind w:left="360" w:hanging="360"/>
      </w:pPr>
      <w:rPr>
        <w:rFonts w:ascii="Courier New" w:hAnsi="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7DFD17C5"/>
    <w:multiLevelType w:val="hybridMultilevel"/>
    <w:tmpl w:val="84A401B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17"/>
  </w:num>
  <w:num w:numId="5">
    <w:abstractNumId w:val="9"/>
  </w:num>
  <w:num w:numId="6">
    <w:abstractNumId w:val="16"/>
  </w:num>
  <w:num w:numId="7">
    <w:abstractNumId w:val="27"/>
  </w:num>
  <w:num w:numId="8">
    <w:abstractNumId w:val="32"/>
  </w:num>
  <w:num w:numId="9">
    <w:abstractNumId w:val="13"/>
  </w:num>
  <w:num w:numId="10">
    <w:abstractNumId w:val="26"/>
  </w:num>
  <w:num w:numId="11">
    <w:abstractNumId w:val="25"/>
  </w:num>
  <w:num w:numId="12">
    <w:abstractNumId w:val="18"/>
  </w:num>
  <w:num w:numId="13">
    <w:abstractNumId w:val="23"/>
  </w:num>
  <w:num w:numId="14">
    <w:abstractNumId w:val="7"/>
  </w:num>
  <w:num w:numId="15">
    <w:abstractNumId w:val="14"/>
  </w:num>
  <w:num w:numId="16">
    <w:abstractNumId w:val="5"/>
  </w:num>
  <w:num w:numId="17">
    <w:abstractNumId w:val="10"/>
  </w:num>
  <w:num w:numId="18">
    <w:abstractNumId w:val="34"/>
  </w:num>
  <w:num w:numId="19">
    <w:abstractNumId w:val="11"/>
  </w:num>
  <w:num w:numId="20">
    <w:abstractNumId w:val="37"/>
  </w:num>
  <w:num w:numId="21">
    <w:abstractNumId w:val="2"/>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20"/>
  </w:num>
  <w:num w:numId="29">
    <w:abstractNumId w:val="6"/>
  </w:num>
  <w:num w:numId="30">
    <w:abstractNumId w:val="15"/>
  </w:num>
  <w:num w:numId="31">
    <w:abstractNumId w:val="12"/>
  </w:num>
  <w:num w:numId="32">
    <w:abstractNumId w:val="4"/>
  </w:num>
  <w:num w:numId="33">
    <w:abstractNumId w:val="36"/>
  </w:num>
  <w:num w:numId="34">
    <w:abstractNumId w:val="12"/>
  </w:num>
  <w:num w:numId="35">
    <w:abstractNumId w:val="8"/>
  </w:num>
  <w:num w:numId="36">
    <w:abstractNumId w:val="31"/>
  </w:num>
  <w:num w:numId="37">
    <w:abstractNumId w:val="29"/>
  </w:num>
  <w:num w:numId="38">
    <w:abstractNumId w:val="30"/>
  </w:num>
  <w:num w:numId="39">
    <w:abstractNumId w:val="22"/>
  </w:num>
  <w:num w:numId="40">
    <w:abstractNumId w:val="35"/>
  </w:num>
  <w:num w:numId="41">
    <w:abstractNumId w:val="21"/>
  </w:num>
  <w:num w:numId="42">
    <w:abstractNumId w:val="24"/>
  </w:num>
  <w:num w:numId="43">
    <w:abstractNumId w:val="3"/>
  </w:num>
  <w:num w:numId="44">
    <w:abstractNumId w:val="33"/>
  </w:num>
  <w:num w:numId="45">
    <w:abstractNumId w:val="39"/>
  </w:num>
  <w:num w:numId="46">
    <w:abstractNumId w:val="19"/>
  </w:num>
  <w:num w:numId="47">
    <w:abstractNumId w:val="28"/>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docVars>
    <w:docVar w:name="LW_DocType" w:val="REP"/>
  </w:docVar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0806"/>
    <w:pPr>
      <w:spacing w:after="240"/>
      <w:jc w:val="both"/>
    </w:pPr>
    <w:rPr>
      <w:sz w:val="24"/>
      <w:lang w:eastAsia="en-US"/>
    </w:rPr>
  </w:style>
  <w:style w:type="paragraph" w:styleId="Heading1">
    <w:name w:val="heading 1"/>
    <w:basedOn w:val="Normal"/>
    <w:next w:val="Text1"/>
    <w:qFormat/>
    <w:rsid w:val="00661B0F"/>
    <w:pPr>
      <w:keepNext/>
      <w:numPr>
        <w:numId w:val="29"/>
      </w:numPr>
      <w:spacing w:before="240"/>
      <w:outlineLvl w:val="0"/>
    </w:pPr>
    <w:rPr>
      <w:b/>
      <w:smallCaps/>
    </w:rPr>
  </w:style>
  <w:style w:type="paragraph" w:styleId="Heading2">
    <w:name w:val="heading 2"/>
    <w:basedOn w:val="Normal"/>
    <w:next w:val="Text2"/>
    <w:qFormat/>
    <w:rsid w:val="00661B0F"/>
    <w:pPr>
      <w:keepNext/>
      <w:numPr>
        <w:ilvl w:val="1"/>
        <w:numId w:val="29"/>
      </w:numPr>
      <w:outlineLvl w:val="1"/>
    </w:pPr>
    <w:rPr>
      <w:b/>
    </w:rPr>
  </w:style>
  <w:style w:type="paragraph" w:styleId="Heading3">
    <w:name w:val="heading 3"/>
    <w:basedOn w:val="Normal"/>
    <w:next w:val="Text3"/>
    <w:qFormat/>
    <w:rsid w:val="00661B0F"/>
    <w:pPr>
      <w:keepNext/>
      <w:numPr>
        <w:ilvl w:val="2"/>
        <w:numId w:val="29"/>
      </w:numPr>
      <w:outlineLvl w:val="2"/>
    </w:pPr>
    <w:rPr>
      <w:i/>
    </w:rPr>
  </w:style>
  <w:style w:type="paragraph" w:styleId="Heading4">
    <w:name w:val="heading 4"/>
    <w:basedOn w:val="Normal"/>
    <w:next w:val="Text4"/>
    <w:qFormat/>
    <w:rsid w:val="00661B0F"/>
    <w:pPr>
      <w:keepNext/>
      <w:numPr>
        <w:ilvl w:val="3"/>
        <w:numId w:val="29"/>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Carattere,Char,Footnote Text Char Char,Footnote Text Char1,Footnote Text_EP-LC,Footnote ak,Footnote ak Char Char,Footnotes,Footnotes Char Char,Footnotes Char1,Fußnote,fn,fn Char Char,fn Char1,footnote text Char Char,footnote text Char1,ft"/>
    <w:basedOn w:val="Normal"/>
    <w:link w:val="FootnoteTextChar"/>
    <w:uiPriority w:val="99"/>
    <w:qFormat/>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customStyle="1"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7"/>
      </w:numPr>
      <w:spacing w:line="360" w:lineRule="auto"/>
      <w:jc w:val="left"/>
    </w:pPr>
    <w:rPr>
      <w:rFonts w:eastAsiaTheme="minorHAnsi"/>
      <w:szCs w:val="22"/>
    </w:rPr>
  </w:style>
  <w:style w:type="paragraph" w:customStyle="1" w:styleId="LegalNumPar2">
    <w:name w:val="LegalNumPar2"/>
    <w:basedOn w:val="Normal"/>
    <w:pPr>
      <w:numPr>
        <w:ilvl w:val="1"/>
        <w:numId w:val="27"/>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27"/>
      </w:numPr>
      <w:spacing w:line="360" w:lineRule="auto"/>
      <w:jc w:val="left"/>
    </w:pPr>
    <w:rPr>
      <w:rFonts w:eastAsiaTheme="minorHAnsi"/>
      <w:szCs w:val="22"/>
    </w:rPr>
  </w:style>
  <w:style w:type="paragraph" w:customStyle="1" w:styleId="IAToolChapterHeading">
    <w:name w:val="IA Tool Chapter Heading"/>
    <w:basedOn w:val="Normal"/>
    <w:next w:val="Normal"/>
    <w:qFormat/>
    <w:rsid w:val="00085CA5"/>
    <w:pPr>
      <w:numPr>
        <w:numId w:val="28"/>
      </w:numPr>
      <w:tabs>
        <w:tab w:val="left" w:pos="391"/>
      </w:tabs>
    </w:pPr>
    <w:rPr>
      <w:rFonts w:ascii="Times New Roman Bold" w:hAnsi="Times New Roman Bold"/>
      <w:b/>
      <w:smallCaps/>
      <w:color w:val="548DD4"/>
      <w:sz w:val="28"/>
      <w:szCs w:val="28"/>
    </w:rPr>
  </w:style>
  <w:style w:type="character" w:customStyle="1" w:styleId="FooterChar">
    <w:name w:val="Footer Char"/>
    <w:basedOn w:val="DefaultParagraphFont"/>
    <w:link w:val="Footer"/>
    <w:rsid w:val="001E0806"/>
    <w:rPr>
      <w:rFonts w:ascii="Arial" w:hAnsi="Arial"/>
      <w:sz w:val="16"/>
      <w:lang w:eastAsia="en-US"/>
    </w:rPr>
  </w:style>
  <w:style w:type="character" w:customStyle="1" w:styleId="HeaderChar">
    <w:name w:val="Header Char"/>
    <w:basedOn w:val="DefaultParagraphFont"/>
    <w:link w:val="Header"/>
    <w:uiPriority w:val="99"/>
    <w:rsid w:val="001E0806"/>
    <w:rPr>
      <w:sz w:val="24"/>
      <w:lang w:eastAsia="en-US"/>
    </w:rPr>
  </w:style>
  <w:style w:type="character" w:styleId="PageNumber">
    <w:name w:val="page number"/>
    <w:rsid w:val="001E0806"/>
  </w:style>
  <w:style w:type="paragraph" w:styleId="BalloonText">
    <w:name w:val="Balloon Text"/>
    <w:basedOn w:val="Normal"/>
    <w:link w:val="BalloonTextChar"/>
    <w:uiPriority w:val="99"/>
    <w:semiHidden/>
    <w:unhideWhenUsed/>
    <w:rsid w:val="001E080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806"/>
    <w:rPr>
      <w:rFonts w:ascii="Tahoma" w:hAnsi="Tahoma" w:cs="Tahoma"/>
      <w:sz w:val="16"/>
      <w:szCs w:val="16"/>
      <w:lang w:eastAsia="en-US"/>
    </w:rPr>
  </w:style>
  <w:style w:type="character" w:styleId="Hyperlink">
    <w:name w:val="Hyperlink"/>
    <w:basedOn w:val="DefaultParagraphFont"/>
    <w:uiPriority w:val="99"/>
    <w:unhideWhenUsed/>
    <w:rsid w:val="00E02927"/>
    <w:rPr>
      <w:color w:val="0000FF" w:themeColor="hyperlink"/>
      <w:u w:val="single"/>
    </w:rPr>
  </w:style>
  <w:style w:type="character" w:styleId="CommentReference">
    <w:name w:val="annotation reference"/>
    <w:basedOn w:val="DefaultParagraphFont"/>
    <w:uiPriority w:val="99"/>
    <w:semiHidden/>
    <w:unhideWhenUsed/>
    <w:rsid w:val="00315ECF"/>
    <w:rPr>
      <w:sz w:val="16"/>
      <w:szCs w:val="16"/>
    </w:rPr>
  </w:style>
  <w:style w:type="paragraph" w:styleId="CommentSubject">
    <w:name w:val="annotation subject"/>
    <w:basedOn w:val="CommentText"/>
    <w:next w:val="CommentText"/>
    <w:link w:val="CommentSubjectChar"/>
    <w:uiPriority w:val="99"/>
    <w:semiHidden/>
    <w:unhideWhenUsed/>
    <w:rsid w:val="00315ECF"/>
    <w:rPr>
      <w:b/>
      <w:bCs/>
    </w:rPr>
  </w:style>
  <w:style w:type="character" w:customStyle="1" w:styleId="CommentTextChar">
    <w:name w:val="Comment Text Char"/>
    <w:basedOn w:val="DefaultParagraphFont"/>
    <w:link w:val="CommentText"/>
    <w:uiPriority w:val="99"/>
    <w:semiHidden/>
    <w:rsid w:val="00315ECF"/>
    <w:rPr>
      <w:lang w:eastAsia="en-US"/>
    </w:rPr>
  </w:style>
  <w:style w:type="character" w:customStyle="1" w:styleId="CommentSubjectChar">
    <w:name w:val="Comment Subject Char"/>
    <w:basedOn w:val="CommentTextChar"/>
    <w:link w:val="CommentSubject"/>
    <w:uiPriority w:val="99"/>
    <w:semiHidden/>
    <w:rsid w:val="00315ECF"/>
    <w:rPr>
      <w:b/>
      <w:bCs/>
      <w:lang w:eastAsia="en-US"/>
    </w:rPr>
  </w:style>
  <w:style w:type="paragraph" w:styleId="ListParagraph">
    <w:name w:val="List Paragraph"/>
    <w:basedOn w:val="Normal"/>
    <w:uiPriority w:val="34"/>
    <w:qFormat/>
    <w:rsid w:val="00453C9C"/>
    <w:pPr>
      <w:spacing w:after="0"/>
      <w:ind w:left="720"/>
      <w:contextualSpacing/>
      <w:jc w:val="left"/>
    </w:pPr>
    <w:rPr>
      <w:szCs w:val="24"/>
      <w:lang w:eastAsia="en-GB"/>
    </w:rPr>
  </w:style>
  <w:style w:type="paragraph" w:styleId="Revision">
    <w:name w:val="Revision"/>
    <w:hidden/>
    <w:uiPriority w:val="99"/>
    <w:semiHidden/>
    <w:rsid w:val="00CD3AB9"/>
    <w:rPr>
      <w:sz w:val="24"/>
      <w:lang w:eastAsia="en-US"/>
    </w:rPr>
  </w:style>
  <w:style w:type="character" w:customStyle="1" w:styleId="FootnoteTextChar">
    <w:name w:val="Footnote Text Char"/>
    <w:aliases w:val="Carattere Char,Char Char,Footnote Text Char Char Char,Footnote Text Char1 Char,Footnote ak Char,Footnote ak Char Char Char,Footnotes Char,Footnotes Char Char Char,Fußnote Char,fn Char,fn Char Char Char,footnote text Char Char Char"/>
    <w:basedOn w:val="DefaultParagraphFont"/>
    <w:link w:val="FootnoteText"/>
    <w:uiPriority w:val="99"/>
    <w:rsid w:val="001E4CA2"/>
    <w:rPr>
      <w:lang w:eastAsia="en-US"/>
    </w:rPr>
  </w:style>
  <w:style w:type="character" w:styleId="FootnoteReference">
    <w:name w:val="footnote reference"/>
    <w:aliases w:val="-E Fußnotenzeichen,Appel note de bas de p,BVI fnr,EN Footnote Reference,Footnote Reference Superscript,Footnote number,Footnote reference number,Footnote symbol,Nota,Ref,SUPERS,de nota al p,note TESI,number,number Char Char,styl,styli"/>
    <w:unhideWhenUsed/>
    <w:qFormat/>
    <w:rsid w:val="001E4CA2"/>
    <w:rPr>
      <w:sz w:val="20"/>
      <w:vertAlign w:val="superscript"/>
    </w:rPr>
  </w:style>
  <w:style w:type="character" w:styleId="FollowedHyperlink">
    <w:name w:val="FollowedHyperlink"/>
    <w:basedOn w:val="DefaultParagraphFont"/>
    <w:uiPriority w:val="99"/>
    <w:semiHidden/>
    <w:unhideWhenUsed/>
    <w:rsid w:val="00523061"/>
    <w:rPr>
      <w:color w:val="800080" w:themeColor="followedHyperlink"/>
      <w:u w:val="single"/>
    </w:rPr>
  </w:style>
  <w:style w:type="character" w:customStyle="1" w:styleId="UnresolvedMention">
    <w:name w:val="Unresolved Mention"/>
    <w:basedOn w:val="DefaultParagraphFont"/>
    <w:uiPriority w:val="99"/>
    <w:semiHidden/>
    <w:unhideWhenUsed/>
    <w:rsid w:val="006C70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customXml" Target="../customXml/item7.xml" /><Relationship Id="rId12" Type="http://schemas.openxmlformats.org/officeDocument/2006/relationships/footer" Target="footer1.xm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_rels/numbering.xml.rels>&#65279;<?xml version="1.0" encoding="utf-8" standalone="yes"?><Relationships xmlns="http://schemas.openxmlformats.org/package/2006/relationships"><Relationship Id="rId1" Type="http://schemas.openxmlformats.org/officeDocument/2006/relationships/image" Target="media/image2.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20Files%20(x86)\DIaLOGIKa\Eurolook\Templates\Eurolook.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6DCF41F10D214DBDDF7E1F5EB8F7C1" ma:contentTypeVersion="1" ma:contentTypeDescription="Create a new document." ma:contentTypeScope="" ma:versionID="4d11a2104eb79e191fab213970d36f05">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exts>
  <SecurityPersonalData>Personal data</SecurityPersonalData>
  <SecurityLimitedDG>Limited</SecurityLimitedDG>
  <SecurityPharma>Pharma investigations</SecurityPharma>
  <LabelPictureSeq>Picture {SEQ Picture \* ARABIC } – </LabelPictureSeq>
  <SecurityMediationServiceMatter>Mediation Service matter</SecurityMediationServiceMatter>
  <SecurityDeadline>Deadline</SecurityDeadline>
  <SecurityEconomyAndFinance>Economy and finance – special handling</SecurityEconomyAndFinance>
  <FooterFax>Fax</FooterFax>
  <FooterOffice>Office:</FooterOffice>
  <SecurityOlafInvestigations>OLAF investigations</SecurityOlafInvestigations>
  <TechHistory>Document History</TechHistory>
  <SecurityInternal>Commission internal</SecurityInternal>
  <SecurityOlafSpecialHandling>OLAF investigations – special handling</SecurityOlafSpecialHandling>
  <SecurityPersonal>Personal</SecurityPersonal>
  <CourtProceduralDocuments>Court procedural documents</CourtProceduralDocuments>
  <SecurityCompOperationsHandling>Handling instructions are provided by the DG COMP (comp-lso@ec.europa.eu)</SecurityCompOperationsHandling>
  <OrgaRoot>EUROPEAN COMMISSION</OrgaRoot>
  <TechHistoryComment>Comment</TechHistoryComment>
  <Contact>Contact:</Contact>
  <SecurityInvestigationsDisciplinary>Investigations and disciplinary matters</SecurityInvestigationsDisciplinary>
  <SecurityCompOperations>COMP operations</SecurityCompOperations>
  <SecurityEuSatellite>EU satellite navigation matters</SecurityEuSatellite>
  <SecurityReleasable>RELEASABLE TO [...]</SecurityReleasable>
  <AddresseeTo>To:</AddresseeTo>
  <SecurityEtsLimited>ETS limited</SecurityEtsLimited>
  <SecurityStaffMatter>Staff matter</SecurityStaffMatter>
  <SecurityOpinionLegalService>Opinion of the Legal Service</SecurityOpinionLegalService>
  <SecurityEtsSensitive>ETS sensitive</SecurityEtsSensitive>
  <SecurityEtsCritical>ETS critical</SecurityEtsCritical>
  <SecurityCompSpecial>COMP - special handling</SecurityCompSpecial>
  <LabelSource>Source</LabelSource>
  <SecurityOpinionOfTheLegalService>This document contains legal advice and is only for the use of the services to which it is addressed. It may not be transmitted outside the European Commission and its content may not be reproduced in documents to be sent outside the European Commission.	 It may be protected pursuant to Article 4 of Regulation (EC) No 1049/2001 of the European Parliament and of the Council and may only be disclosed under the procedures provided for in Commission Decision 2001/937/EC, ECSC, Euratom.</SecurityOpinionOfTheLegalService>
  <SecurityPharmaSpecial>Pharma investigations – special handling</SecurityPharmaSpecial>
  <TOCHeading>Table of Contents</TOCHeading>
  <TechHistoryDate>Date</TechHistoryDate>
  <AddressFooterBrussels>Commission européenne/Europese Commissie, 1049 Bruxelles/Brussel, BELGIQUE/BELGIË - Tel. +32 22991111</AddressFooterBrussels>
  <SecurityIasOperations>IAS operations</SecurityIasOperations>
  <TechHistoryCreatedBy>Document created by</TechHistoryCreatedBy>
  <FooterPhone>Tel. direct line</FooterPhone>
  <SecuritySecurityMatter>Security matter</SecuritySecurityMatter>
  <SecurityPersonalDataHandling>Shall only be communicated on a need to know basis pursuant to Regulation (EC) No 45/2001. Where e-mail is used, this must be encrypted using SECEM.</SecurityPersonalDataHandling>
  <SecurityLimitedServiceUnitGroup>Limited</SecurityLimitedServiceUnitGroup>
  <TechHistoryVersion>Version</TechHistoryVersion>
  <SecurityMedicalSecret>Medical secret</SecurityMedicalSecret>
  <Contacts>Contacts:</Contacts>
  <SecurityEmbargo>Embargo until</SecurityEmbargo>
  <SecurityLimited>Limited</SecurityLimited>
  <DateFormatShort>dd/MM/yyyy</DateFormatShort>
  <DateFormatLong>d MMMM yyyy</DateFormatLong>
</Text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EurolookProperties>
  <ProductCustomizationId/>
  <Created>
    <Version>4.6</Version>
    <Date>2019-02-18T10:10:12</Date>
    <Language>EN</Language>
    <Note/>
  </Created>
  <Edited>
    <Version>10.0.42447.0</Version>
    <Date>2021-10-05T12:55:22</Date>
  </Edited>
  <DocumentModel>
    <Id>6cbda13a-4db2-46c6-876a-ef72275827ef</Id>
    <Name>Report</Name>
  </DocumentModel>
  <DocumentDate/>
  <DocumentVersion/>
  <CompatibilityMode>Eurolook4X</CompatibilityMode>
</EurolookProperti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Author Role="Creator">
  <Id>446c8849-f8d6-46e8-b930-aa675ea7fff3</Id>
  <Names>
    <Latin>
      <FirstName>Jesus</FirstName>
      <LastName>SANCHEZ MERINO</LastName>
    </Latin>
    <Greek>
      <FirstName/>
      <LastName/>
    </Greek>
    <Cyrillic>
      <FirstName/>
      <LastName/>
    </Cyrillic>
    <DocumentScript>
      <FirstName>Jesus</FirstName>
      <LastName>SANCHEZ MERINO</LastName>
      <FullName>Jesus SANCHEZ MERINO</FullName>
    </DocumentScript>
  </Names>
  <Initials>JSM</Initials>
  <Gender>m</Gender>
  <Email>Jesus.Sanchez-Merino@ec.europa.eu</Email>
  <Service>SG.B.4</Service>
  <Function ShowInSignature="true"/>
  <WebAddress/>
  <InheritedWebAddress>WebAddress</InheritedWebAddress>
  <OrgaEntity1>
    <Id>dfeba4c5-4fee-4c38-9a3a-bbd8394ad370</Id>
    <LogicalLevel>1</LogicalLevel>
    <Name>SG</Name>
    <HeadLine1>SECRETARIAT-GENERAL</HeadLine1>
    <HeadLine2/>
    <PrimaryAddressId>f03b5801-04c9-4931-aa17-c6d6c70bc579</PrimaryAddressId>
    <SecondaryAddressId/>
    <WebAddress>WebAddress</WebAddress>
    <InheritedWebAddress>WebAddress</InheritedWebAddress>
    <ShowInHeader>true</ShowInHeader>
  </OrgaEntity1>
  <OrgaEntity2>
    <Id>226d3ed1-ce15-488c-9606-fb4a6a782851</Id>
    <LogicalLevel>2</LogicalLevel>
    <Name>SG.B</Name>
    <HeadLine1>Directorate B - Decision-making &amp; Collegiality</HeadLine1>
    <HeadLine2/>
    <PrimaryAddressId>f03b5801-04c9-4931-aa17-c6d6c70bc579</PrimaryAddressId>
    <SecondaryAddressId/>
    <WebAddress/>
    <InheritedWebAddress>WebAddress</InheritedWebAddress>
    <ShowInHeader>true</ShowInHeader>
  </OrgaEntity2>
  <OrgaEntity3>
    <Id>a9c119bf-67eb-460c-976f-01375d32d078</Id>
    <LogicalLevel>3</LogicalLevel>
    <Name>SG.B.4</Name>
    <HeadLine1>SG.B.4-Working methods &amp; Decision-making Process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Brussels,</Location>
      <Footer>Commission européenne/Europese Commissie, 1049 Bruxelles/Brussel, BELGIQUE/BELGIË - Tel. +32 22991111</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f03b5801-04c9-4931-aa17-c6d6c70bc579</AddressId>
    <Fax/>
    <Phone>+32 229 94189</Phone>
    <Office>BERL 05/096</Office>
  </MainWorkplace>
  <Workplaces>
    <Workplace IsMain="false">
      <AddressId>1264fb81-f6bb-475e-9f9d-a937d3be6ee2</AddressId>
      <Fax/>
      <Phone/>
      <Office/>
    </Workplace>
    <Workplace IsMain="true">
      <AddressId>f03b5801-04c9-4931-aa17-c6d6c70bc579</AddressId>
      <Fax/>
      <Phone>+32 229 94189</Phone>
      <Office>BERL 05/096</Office>
    </Workplace>
  </Workplaces>
</Author>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ACA7DB-6CA2-49B6-85C0-8A7872EBF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31C26-4BB6-4C23-AC93-3863D42726BD}">
  <ds:schemaRefs/>
</ds:datastoreItem>
</file>

<file path=customXml/itemProps3.xml><?xml version="1.0" encoding="utf-8"?>
<ds:datastoreItem xmlns:ds="http://schemas.openxmlformats.org/officeDocument/2006/customXml" ds:itemID="{6220297E-1EB1-4175-9C81-976C1054F724}">
  <ds:schemaRefs>
    <ds:schemaRef ds:uri="http://schemas.openxmlformats.org/officeDocument/2006/bibliography"/>
  </ds:schemaRefs>
</ds:datastoreItem>
</file>

<file path=customXml/itemProps4.xml><?xml version="1.0" encoding="utf-8"?>
<ds:datastoreItem xmlns:ds="http://schemas.openxmlformats.org/officeDocument/2006/customXml" ds:itemID="{69ED0C79-D88A-4206-B956-F350406CB40A}">
  <ds:schemaRefs/>
</ds:datastoreItem>
</file>

<file path=customXml/itemProps5.xml><?xml version="1.0" encoding="utf-8"?>
<ds:datastoreItem xmlns:ds="http://schemas.openxmlformats.org/officeDocument/2006/customXml" ds:itemID="{92152C55-C3B5-4FC1-B037-33CCB35DA02F}">
  <ds:schemaRefs>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purl.org/dc/terms/"/>
    <ds:schemaRef ds:uri="http://schemas.microsoft.com/office/2006/documentManagement/types"/>
    <ds:schemaRef ds:uri="http://purl.org/dc/elements/1.1/"/>
    <ds:schemaRef ds:uri="http://schemas.microsoft.com/sharepoint/v3"/>
    <ds:schemaRef ds:uri="http://www.w3.org/XML/1998/namespace"/>
  </ds:schemaRefs>
</ds:datastoreItem>
</file>

<file path=customXml/itemProps6.xml><?xml version="1.0" encoding="utf-8"?>
<ds:datastoreItem xmlns:ds="http://schemas.openxmlformats.org/officeDocument/2006/customXml" ds:itemID="{93236D38-6E39-4620-8982-A44FCB0D78BC}">
  <ds:schemaRefs/>
</ds:datastoreItem>
</file>

<file path=customXml/itemProps7.xml><?xml version="1.0" encoding="utf-8"?>
<ds:datastoreItem xmlns:ds="http://schemas.openxmlformats.org/officeDocument/2006/customXml" ds:itemID="{E65A2BA7-2CAB-4C91-B3A5-D8764D4A1D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