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3EC20" w14:textId="664F4967" w:rsidR="004A0762" w:rsidRPr="00ED36F4" w:rsidRDefault="004A6D73" w:rsidP="004A6D73">
      <w:pPr>
        <w:pStyle w:val="Pagedecouverture"/>
        <w:rPr>
          <w:noProof/>
        </w:rPr>
      </w:pPr>
      <w:r>
        <w:rPr>
          <w:noProof/>
        </w:rPr>
        <w:pict w14:anchorId="1E46E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DEA03BEF-1FAA-43A5-A319-2512A84B7C75" style="width:455.25pt;height:368.25pt">
            <v:imagedata r:id="rId7" o:title=""/>
          </v:shape>
        </w:pict>
      </w:r>
    </w:p>
    <w:p w14:paraId="33264B10" w14:textId="77777777" w:rsidR="004A0762" w:rsidRPr="00ED36F4" w:rsidRDefault="004A0762" w:rsidP="004A0762">
      <w:pPr>
        <w:rPr>
          <w:noProof/>
        </w:rPr>
        <w:sectPr w:rsidR="004A0762" w:rsidRPr="00ED36F4" w:rsidSect="004A6D73">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14:paraId="5F1A6A92" w14:textId="5AD60EC5" w:rsidR="004A0762" w:rsidRPr="00ED36F4" w:rsidRDefault="00B845A0" w:rsidP="00B845A0">
      <w:pPr>
        <w:pStyle w:val="Annexetitre"/>
        <w:rPr>
          <w:noProof/>
        </w:rPr>
      </w:pPr>
      <w:bookmarkStart w:id="0" w:name="_GoBack"/>
      <w:bookmarkEnd w:id="0"/>
      <w:r w:rsidRPr="00ED36F4">
        <w:rPr>
          <w:noProof/>
        </w:rPr>
        <w:lastRenderedPageBreak/>
        <w:t xml:space="preserve">ZAŁĄCZNIK </w:t>
      </w:r>
      <w:r w:rsidRPr="00ED36F4">
        <w:rPr>
          <w:rStyle w:val="Marker"/>
          <w:noProof/>
        </w:rPr>
        <w:t>1</w:t>
      </w:r>
    </w:p>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269"/>
        <w:gridCol w:w="2268"/>
        <w:gridCol w:w="2268"/>
        <w:gridCol w:w="2268"/>
      </w:tblGrid>
      <w:tr w:rsidR="004A0762" w:rsidRPr="00ED36F4" w14:paraId="0F59CEB0" w14:textId="77777777" w:rsidTr="00406DDA">
        <w:trPr>
          <w:trHeight w:val="737"/>
        </w:trPr>
        <w:tc>
          <w:tcPr>
            <w:tcW w:w="1250" w:type="pct"/>
            <w:shd w:val="clear" w:color="auto" w:fill="auto"/>
            <w:vAlign w:val="center"/>
          </w:tcPr>
          <w:p w14:paraId="13774101" w14:textId="77777777" w:rsidR="004A0762" w:rsidRPr="00ED36F4" w:rsidRDefault="004A0762" w:rsidP="004A0762">
            <w:pPr>
              <w:rPr>
                <w:noProof/>
              </w:rPr>
            </w:pPr>
            <w:r w:rsidRPr="00ED36F4">
              <w:rPr>
                <w:b/>
                <w:noProof/>
              </w:rPr>
              <w:t>DELEGACI MINISTRÓW</w:t>
            </w:r>
          </w:p>
        </w:tc>
        <w:tc>
          <w:tcPr>
            <w:tcW w:w="1250" w:type="pct"/>
            <w:shd w:val="clear" w:color="auto" w:fill="auto"/>
            <w:vAlign w:val="center"/>
          </w:tcPr>
          <w:p w14:paraId="61056E4C" w14:textId="77777777" w:rsidR="004A0762" w:rsidRPr="00ED36F4" w:rsidRDefault="004A0762" w:rsidP="004A0762">
            <w:pPr>
              <w:rPr>
                <w:noProof/>
              </w:rPr>
            </w:pPr>
            <w:r w:rsidRPr="00ED36F4">
              <w:rPr>
                <w:noProof/>
              </w:rPr>
              <w:t>Dokumenty CM</w:t>
            </w:r>
          </w:p>
        </w:tc>
        <w:tc>
          <w:tcPr>
            <w:tcW w:w="1250" w:type="pct"/>
            <w:shd w:val="clear" w:color="auto" w:fill="auto"/>
            <w:vAlign w:val="center"/>
          </w:tcPr>
          <w:p w14:paraId="28653686" w14:textId="27763BCC" w:rsidR="004A0762" w:rsidRPr="00ED36F4" w:rsidRDefault="004A0762" w:rsidP="004A0762">
            <w:pPr>
              <w:rPr>
                <w:b/>
                <w:noProof/>
              </w:rPr>
            </w:pPr>
            <w:r w:rsidRPr="00ED36F4">
              <w:rPr>
                <w:b/>
                <w:noProof/>
              </w:rPr>
              <w:t>CM(2025)105-prov</w:t>
            </w:r>
          </w:p>
        </w:tc>
        <w:tc>
          <w:tcPr>
            <w:tcW w:w="1250" w:type="pct"/>
            <w:shd w:val="clear" w:color="auto" w:fill="auto"/>
            <w:vAlign w:val="center"/>
          </w:tcPr>
          <w:p w14:paraId="4DE96F25" w14:textId="28FD6680" w:rsidR="004A0762" w:rsidRPr="00ED36F4" w:rsidRDefault="00655F5B" w:rsidP="004A0762">
            <w:pPr>
              <w:rPr>
                <w:noProof/>
              </w:rPr>
            </w:pPr>
            <w:r w:rsidRPr="00ED36F4">
              <w:rPr>
                <w:noProof/>
              </w:rPr>
              <w:t>2 lutego 2026</w:t>
            </w:r>
            <w:r w:rsidR="00BE25DF" w:rsidRPr="00ED36F4">
              <w:rPr>
                <w:noProof/>
              </w:rPr>
              <w:t> </w:t>
            </w:r>
            <w:r w:rsidRPr="00ED36F4">
              <w:rPr>
                <w:noProof/>
              </w:rPr>
              <w:t>r.</w:t>
            </w:r>
            <w:r w:rsidRPr="00ED36F4">
              <w:rPr>
                <w:rStyle w:val="FootnoteReference"/>
                <w:noProof/>
              </w:rPr>
              <w:footnoteReference w:id="1"/>
            </w:r>
          </w:p>
        </w:tc>
      </w:tr>
    </w:tbl>
    <w:p w14:paraId="035AED2A" w14:textId="77777777" w:rsidR="004A0762" w:rsidRPr="00ED36F4" w:rsidRDefault="004A0762" w:rsidP="004A0762">
      <w:pPr>
        <w:rPr>
          <w:noProof/>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073"/>
      </w:tblGrid>
      <w:tr w:rsidR="004A0762" w:rsidRPr="00ED36F4" w14:paraId="237C5B31" w14:textId="77777777" w:rsidTr="00406DDA">
        <w:tc>
          <w:tcPr>
            <w:tcW w:w="9399" w:type="dxa"/>
            <w:shd w:val="clear" w:color="auto" w:fill="auto"/>
            <w:tcMar>
              <w:top w:w="227" w:type="dxa"/>
              <w:bottom w:w="227" w:type="dxa"/>
            </w:tcMar>
            <w:vAlign w:val="center"/>
          </w:tcPr>
          <w:p w14:paraId="585FC1A2" w14:textId="77777777" w:rsidR="004A0762" w:rsidRPr="00ED36F4" w:rsidRDefault="004A0762" w:rsidP="004A0762">
            <w:pPr>
              <w:rPr>
                <w:noProof/>
              </w:rPr>
            </w:pPr>
            <w:r w:rsidRPr="00ED36F4">
              <w:rPr>
                <w:noProof/>
              </w:rPr>
              <w:t>2 Bieżące kwestie polityczne</w:t>
            </w:r>
          </w:p>
          <w:p w14:paraId="6C9444CE" w14:textId="43518600" w:rsidR="004A0762" w:rsidRPr="00ED36F4" w:rsidRDefault="004A0762" w:rsidP="004A0762">
            <w:pPr>
              <w:rPr>
                <w:i/>
                <w:noProof/>
              </w:rPr>
            </w:pPr>
          </w:p>
          <w:p w14:paraId="0F2094B1" w14:textId="77777777" w:rsidR="004A0762" w:rsidRPr="00ED36F4" w:rsidRDefault="004A0762" w:rsidP="004A0762">
            <w:pPr>
              <w:rPr>
                <w:b/>
                <w:noProof/>
              </w:rPr>
            </w:pPr>
            <w:r w:rsidRPr="00ED36F4">
              <w:rPr>
                <w:b/>
                <w:noProof/>
              </w:rPr>
              <w:t>2.3 Konsekwencje agresji Federacji Rosyjskiej na Ukrainę</w:t>
            </w:r>
          </w:p>
          <w:p w14:paraId="6FF4F588" w14:textId="1AE3210B" w:rsidR="004A0762" w:rsidRPr="00ED36F4" w:rsidRDefault="004A0762" w:rsidP="004A0762">
            <w:pPr>
              <w:rPr>
                <w:noProof/>
              </w:rPr>
            </w:pPr>
            <w:r w:rsidRPr="00ED36F4">
              <w:rPr>
                <w:noProof/>
              </w:rPr>
              <w:t>Projekt rezolucji CM/Res(2026)… ustanawiającej rozszerzone porozumienie częściowe</w:t>
            </w:r>
            <w:r w:rsidR="00ED36F4" w:rsidRPr="00ED36F4">
              <w:rPr>
                <w:noProof/>
              </w:rPr>
              <w:t xml:space="preserve"> w</w:t>
            </w:r>
            <w:r w:rsidR="00ED36F4">
              <w:rPr>
                <w:noProof/>
              </w:rPr>
              <w:t> </w:t>
            </w:r>
            <w:r w:rsidR="00ED36F4" w:rsidRPr="00ED36F4">
              <w:rPr>
                <w:noProof/>
              </w:rPr>
              <w:t>spr</w:t>
            </w:r>
            <w:r w:rsidRPr="00ED36F4">
              <w:rPr>
                <w:noProof/>
              </w:rPr>
              <w:t>awie Komitetu Zarządzającego Specjalnego Trybunału do spraw Zbrodni Agresji przeciwko Ukrainie</w:t>
            </w:r>
          </w:p>
        </w:tc>
      </w:tr>
    </w:tbl>
    <w:p w14:paraId="74C33925" w14:textId="77777777" w:rsidR="004A0762" w:rsidRPr="00ED36F4" w:rsidRDefault="004A0762" w:rsidP="004A0762">
      <w:pPr>
        <w:rPr>
          <w:noProof/>
        </w:rPr>
      </w:pPr>
    </w:p>
    <w:p w14:paraId="00743230" w14:textId="4FD81913" w:rsidR="004A0762" w:rsidRPr="00ED36F4" w:rsidRDefault="004A0762" w:rsidP="004A0762">
      <w:pPr>
        <w:rPr>
          <w:noProof/>
        </w:rPr>
      </w:pPr>
      <w:r w:rsidRPr="00ED36F4">
        <w:rPr>
          <w:noProof/>
        </w:rPr>
        <w:t>Przedstawiciele</w:t>
      </w:r>
      <w:r w:rsidR="00ED36F4" w:rsidRPr="00ED36F4">
        <w:rPr>
          <w:noProof/>
        </w:rPr>
        <w:t xml:space="preserve"> w</w:t>
      </w:r>
      <w:r w:rsidR="00ED36F4">
        <w:rPr>
          <w:noProof/>
        </w:rPr>
        <w:t> </w:t>
      </w:r>
      <w:r w:rsidR="00ED36F4" w:rsidRPr="00ED36F4">
        <w:rPr>
          <w:noProof/>
        </w:rPr>
        <w:t>Kom</w:t>
      </w:r>
      <w:r w:rsidRPr="00ED36F4">
        <w:rPr>
          <w:noProof/>
        </w:rPr>
        <w:t>itecie Ministrów… oraz przedstawiciele…,</w:t>
      </w:r>
    </w:p>
    <w:p w14:paraId="04B604BA" w14:textId="68A32069" w:rsidR="004A0762" w:rsidRPr="00ED36F4" w:rsidRDefault="004A0762" w:rsidP="004A0762">
      <w:pPr>
        <w:rPr>
          <w:noProof/>
        </w:rPr>
      </w:pPr>
      <w:r w:rsidRPr="00ED36F4">
        <w:rPr>
          <w:noProof/>
        </w:rPr>
        <w:t>uwzględniając Statut Rady Europy (ETS nr</w:t>
      </w:r>
      <w:r w:rsidR="00BE25DF" w:rsidRPr="00ED36F4">
        <w:rPr>
          <w:noProof/>
        </w:rPr>
        <w:t> </w:t>
      </w:r>
      <w:r w:rsidRPr="00ED36F4">
        <w:rPr>
          <w:noProof/>
        </w:rPr>
        <w:t>1), który</w:t>
      </w:r>
      <w:r w:rsidR="00ED36F4" w:rsidRPr="00ED36F4">
        <w:rPr>
          <w:noProof/>
        </w:rPr>
        <w:t xml:space="preserve"> w</w:t>
      </w:r>
      <w:r w:rsidR="00ED36F4">
        <w:rPr>
          <w:noProof/>
        </w:rPr>
        <w:t> </w:t>
      </w:r>
      <w:r w:rsidR="00ED36F4" w:rsidRPr="00ED36F4">
        <w:rPr>
          <w:noProof/>
        </w:rPr>
        <w:t>pre</w:t>
      </w:r>
      <w:r w:rsidRPr="00ED36F4">
        <w:rPr>
          <w:noProof/>
        </w:rPr>
        <w:t>ambule stanowi, że utrwalenie pokoju oparte na sprawiedliwości</w:t>
      </w:r>
      <w:r w:rsidR="00ED36F4" w:rsidRPr="00ED36F4">
        <w:rPr>
          <w:noProof/>
        </w:rPr>
        <w:t xml:space="preserve"> i</w:t>
      </w:r>
      <w:r w:rsidR="00ED36F4">
        <w:rPr>
          <w:noProof/>
        </w:rPr>
        <w:t> </w:t>
      </w:r>
      <w:r w:rsidR="00ED36F4" w:rsidRPr="00ED36F4">
        <w:rPr>
          <w:noProof/>
        </w:rPr>
        <w:t>wsp</w:t>
      </w:r>
      <w:r w:rsidRPr="00ED36F4">
        <w:rPr>
          <w:noProof/>
        </w:rPr>
        <w:t>ółpracy międzynarodowej ma podstawowe znaczenie dla przetrwania społeczności ludzkiej</w:t>
      </w:r>
      <w:r w:rsidR="00ED36F4" w:rsidRPr="00ED36F4">
        <w:rPr>
          <w:noProof/>
        </w:rPr>
        <w:t xml:space="preserve"> i</w:t>
      </w:r>
      <w:r w:rsidR="00ED36F4">
        <w:rPr>
          <w:noProof/>
        </w:rPr>
        <w:t> </w:t>
      </w:r>
      <w:r w:rsidR="00ED36F4" w:rsidRPr="00ED36F4">
        <w:rPr>
          <w:noProof/>
        </w:rPr>
        <w:t>cyw</w:t>
      </w:r>
      <w:r w:rsidRPr="00ED36F4">
        <w:rPr>
          <w:noProof/>
        </w:rPr>
        <w:t>ilizacji;</w:t>
      </w:r>
    </w:p>
    <w:p w14:paraId="55E00A45" w14:textId="7EE91A37" w:rsidR="004A0762" w:rsidRPr="00ED36F4" w:rsidRDefault="004A0762" w:rsidP="004A0762">
      <w:pPr>
        <w:rPr>
          <w:noProof/>
        </w:rPr>
      </w:pPr>
      <w:r w:rsidRPr="00ED36F4">
        <w:rPr>
          <w:noProof/>
        </w:rPr>
        <w:t>przypominając zobowiązania wszystkich państw wynikające</w:t>
      </w:r>
      <w:r w:rsidR="00ED36F4" w:rsidRPr="00ED36F4">
        <w:rPr>
          <w:noProof/>
        </w:rPr>
        <w:t xml:space="preserve"> z</w:t>
      </w:r>
      <w:r w:rsidR="00ED36F4">
        <w:rPr>
          <w:noProof/>
        </w:rPr>
        <w:t> </w:t>
      </w:r>
      <w:r w:rsidR="00ED36F4" w:rsidRPr="00ED36F4">
        <w:rPr>
          <w:noProof/>
        </w:rPr>
        <w:t>art</w:t>
      </w:r>
      <w:r w:rsidRPr="00ED36F4">
        <w:rPr>
          <w:noProof/>
        </w:rPr>
        <w:t>.</w:t>
      </w:r>
      <w:r w:rsidR="00BE25DF" w:rsidRPr="00ED36F4">
        <w:rPr>
          <w:noProof/>
        </w:rPr>
        <w:t> </w:t>
      </w:r>
      <w:r w:rsidRPr="00ED36F4">
        <w:rPr>
          <w:noProof/>
        </w:rPr>
        <w:t>2 Karty Narodów Zjednoczonych,</w:t>
      </w:r>
      <w:r w:rsidR="00ED36F4" w:rsidRPr="00ED36F4">
        <w:rPr>
          <w:noProof/>
        </w:rPr>
        <w:t xml:space="preserve"> w</w:t>
      </w:r>
      <w:r w:rsidR="00ED36F4">
        <w:rPr>
          <w:noProof/>
        </w:rPr>
        <w:t> </w:t>
      </w:r>
      <w:r w:rsidR="00ED36F4" w:rsidRPr="00ED36F4">
        <w:rPr>
          <w:noProof/>
        </w:rPr>
        <w:t>tym</w:t>
      </w:r>
      <w:r w:rsidRPr="00ED36F4">
        <w:rPr>
          <w:noProof/>
        </w:rPr>
        <w:t xml:space="preserve"> zobowiązania do powstrzymywania się</w:t>
      </w:r>
      <w:r w:rsidR="00ED36F4" w:rsidRPr="00ED36F4">
        <w:rPr>
          <w:noProof/>
        </w:rPr>
        <w:t xml:space="preserve"> w</w:t>
      </w:r>
      <w:r w:rsidR="00ED36F4">
        <w:rPr>
          <w:noProof/>
        </w:rPr>
        <w:t> </w:t>
      </w:r>
      <w:r w:rsidR="00ED36F4" w:rsidRPr="00ED36F4">
        <w:rPr>
          <w:noProof/>
        </w:rPr>
        <w:t>swo</w:t>
      </w:r>
      <w:r w:rsidRPr="00ED36F4">
        <w:rPr>
          <w:noProof/>
        </w:rPr>
        <w:t>ich stosunkach międzynarodowych od stosowania groźby lub użycia siły przeciwko nietykalności terytorium albo niepodległości politycznej któregokolwiek państwa, lub wszelkiego innego sposobu, niezgodnego</w:t>
      </w:r>
      <w:r w:rsidR="00ED36F4" w:rsidRPr="00ED36F4">
        <w:rPr>
          <w:noProof/>
        </w:rPr>
        <w:t xml:space="preserve"> z</w:t>
      </w:r>
      <w:r w:rsidR="00ED36F4">
        <w:rPr>
          <w:noProof/>
        </w:rPr>
        <w:t> </w:t>
      </w:r>
      <w:r w:rsidR="00ED36F4" w:rsidRPr="00ED36F4">
        <w:rPr>
          <w:noProof/>
        </w:rPr>
        <w:t>zas</w:t>
      </w:r>
      <w:r w:rsidRPr="00ED36F4">
        <w:rPr>
          <w:noProof/>
        </w:rPr>
        <w:t>adami Narodów Zjednoczonych oraz do załatwiania swych sporów międzynarodowych przy pomocy środków pokojowych;</w:t>
      </w:r>
    </w:p>
    <w:p w14:paraId="0EF6CEF8" w14:textId="07998E76" w:rsidR="004A0762" w:rsidRPr="00ED36F4" w:rsidRDefault="004A0762" w:rsidP="004A0762">
      <w:pPr>
        <w:rPr>
          <w:noProof/>
        </w:rPr>
      </w:pPr>
      <w:r w:rsidRPr="00ED36F4">
        <w:rPr>
          <w:noProof/>
        </w:rPr>
        <w:t>potwierdzając niezachwiane zaangażowanie na rzecz niezależności, suwerenności</w:t>
      </w:r>
      <w:r w:rsidR="00ED36F4" w:rsidRPr="00ED36F4">
        <w:rPr>
          <w:noProof/>
        </w:rPr>
        <w:t xml:space="preserve"> i</w:t>
      </w:r>
      <w:r w:rsidR="00ED36F4">
        <w:rPr>
          <w:noProof/>
        </w:rPr>
        <w:t> </w:t>
      </w:r>
      <w:r w:rsidR="00ED36F4" w:rsidRPr="00ED36F4">
        <w:rPr>
          <w:noProof/>
        </w:rPr>
        <w:t>nie</w:t>
      </w:r>
      <w:r w:rsidRPr="00ED36F4">
        <w:rPr>
          <w:noProof/>
        </w:rPr>
        <w:t>naruszalności terytorium Ukrainy</w:t>
      </w:r>
      <w:r w:rsidR="00ED36F4" w:rsidRPr="00ED36F4">
        <w:rPr>
          <w:noProof/>
        </w:rPr>
        <w:t xml:space="preserve"> w</w:t>
      </w:r>
      <w:r w:rsidR="00ED36F4">
        <w:rPr>
          <w:noProof/>
        </w:rPr>
        <w:t> </w:t>
      </w:r>
      <w:r w:rsidR="00ED36F4" w:rsidRPr="00ED36F4">
        <w:rPr>
          <w:noProof/>
        </w:rPr>
        <w:t>gra</w:t>
      </w:r>
      <w:r w:rsidRPr="00ED36F4">
        <w:rPr>
          <w:noProof/>
        </w:rPr>
        <w:t>nicach uznanych przez społeczność międzynarodową;</w:t>
      </w:r>
    </w:p>
    <w:p w14:paraId="2D6EC8C7" w14:textId="166E34A4" w:rsidR="004A0762" w:rsidRPr="00ED36F4" w:rsidRDefault="004A0762" w:rsidP="004A0762">
      <w:pPr>
        <w:rPr>
          <w:noProof/>
        </w:rPr>
      </w:pPr>
      <w:r w:rsidRPr="00ED36F4">
        <w:rPr>
          <w:noProof/>
        </w:rPr>
        <w:t>przypominając, że Zgromadzenie Ogólne Narodów Zjednoczonych</w:t>
      </w:r>
      <w:r w:rsidR="00ED36F4" w:rsidRPr="00ED36F4">
        <w:rPr>
          <w:noProof/>
        </w:rPr>
        <w:t xml:space="preserve"> w</w:t>
      </w:r>
      <w:r w:rsidR="00ED36F4">
        <w:rPr>
          <w:noProof/>
        </w:rPr>
        <w:t> </w:t>
      </w:r>
      <w:r w:rsidR="00ED36F4" w:rsidRPr="00ED36F4">
        <w:rPr>
          <w:noProof/>
        </w:rPr>
        <w:t>rez</w:t>
      </w:r>
      <w:r w:rsidRPr="00ED36F4">
        <w:rPr>
          <w:noProof/>
        </w:rPr>
        <w:t>olucji A/RES/68/262</w:t>
      </w:r>
      <w:r w:rsidR="00ED36F4" w:rsidRPr="00ED36F4">
        <w:rPr>
          <w:noProof/>
        </w:rPr>
        <w:t xml:space="preserve"> z</w:t>
      </w:r>
      <w:r w:rsidR="00ED36F4">
        <w:rPr>
          <w:noProof/>
        </w:rPr>
        <w:t> </w:t>
      </w:r>
      <w:r w:rsidR="00ED36F4" w:rsidRPr="00ED36F4">
        <w:rPr>
          <w:noProof/>
        </w:rPr>
        <w:t>dni</w:t>
      </w:r>
      <w:r w:rsidRPr="00ED36F4">
        <w:rPr>
          <w:noProof/>
        </w:rPr>
        <w:t>a 27 marca 2014</w:t>
      </w:r>
      <w:r w:rsidR="00BE25DF" w:rsidRPr="00ED36F4">
        <w:rPr>
          <w:noProof/>
        </w:rPr>
        <w:t> </w:t>
      </w:r>
      <w:r w:rsidRPr="00ED36F4">
        <w:rPr>
          <w:noProof/>
        </w:rPr>
        <w:t>r. wezwało wszystkie państwa do zaprzestania oraz powstrzymania się od działań mających na celu częściowe lub całkowite zakłócenie jedności narodowej</w:t>
      </w:r>
      <w:r w:rsidR="00ED36F4" w:rsidRPr="00ED36F4">
        <w:rPr>
          <w:noProof/>
        </w:rPr>
        <w:t xml:space="preserve"> i</w:t>
      </w:r>
      <w:r w:rsidR="00ED36F4">
        <w:rPr>
          <w:noProof/>
        </w:rPr>
        <w:t> </w:t>
      </w:r>
      <w:r w:rsidR="00ED36F4" w:rsidRPr="00ED36F4">
        <w:rPr>
          <w:noProof/>
        </w:rPr>
        <w:t>nar</w:t>
      </w:r>
      <w:r w:rsidRPr="00ED36F4">
        <w:rPr>
          <w:noProof/>
        </w:rPr>
        <w:t>uszenie nietykalności terytorium Ukrainy,</w:t>
      </w:r>
      <w:r w:rsidR="00ED36F4" w:rsidRPr="00ED36F4">
        <w:rPr>
          <w:noProof/>
        </w:rPr>
        <w:t xml:space="preserve"> w</w:t>
      </w:r>
      <w:r w:rsidR="00ED36F4">
        <w:rPr>
          <w:noProof/>
        </w:rPr>
        <w:t> </w:t>
      </w:r>
      <w:r w:rsidR="00ED36F4" w:rsidRPr="00ED36F4">
        <w:rPr>
          <w:noProof/>
        </w:rPr>
        <w:t>tym</w:t>
      </w:r>
      <w:r w:rsidRPr="00ED36F4">
        <w:rPr>
          <w:noProof/>
        </w:rPr>
        <w:t xml:space="preserve"> od wszelkich prób zmiany granic Ukrainy poprzez stosowanie groźby, użycie siły lub innych bezprawnych środków;</w:t>
      </w:r>
    </w:p>
    <w:p w14:paraId="0E19351D" w14:textId="5C3EF03E" w:rsidR="004A0762" w:rsidRPr="00ED36F4" w:rsidRDefault="004A0762" w:rsidP="004A0762">
      <w:pPr>
        <w:rPr>
          <w:noProof/>
        </w:rPr>
      </w:pPr>
      <w:r w:rsidRPr="00ED36F4">
        <w:rPr>
          <w:noProof/>
        </w:rPr>
        <w:t>przypominając, że Zgromadzenie Ogólne Narodów Zjednoczonych</w:t>
      </w:r>
      <w:r w:rsidR="00ED36F4" w:rsidRPr="00ED36F4">
        <w:rPr>
          <w:noProof/>
        </w:rPr>
        <w:t xml:space="preserve"> w</w:t>
      </w:r>
      <w:r w:rsidR="00ED36F4">
        <w:rPr>
          <w:noProof/>
        </w:rPr>
        <w:t> </w:t>
      </w:r>
      <w:r w:rsidR="00ED36F4" w:rsidRPr="00ED36F4">
        <w:rPr>
          <w:noProof/>
        </w:rPr>
        <w:t>rez</w:t>
      </w:r>
      <w:r w:rsidRPr="00ED36F4">
        <w:rPr>
          <w:noProof/>
        </w:rPr>
        <w:t>olucji A/RES/71/205</w:t>
      </w:r>
      <w:r w:rsidR="00ED36F4" w:rsidRPr="00ED36F4">
        <w:rPr>
          <w:noProof/>
        </w:rPr>
        <w:t xml:space="preserve"> z</w:t>
      </w:r>
      <w:r w:rsidR="00ED36F4">
        <w:rPr>
          <w:noProof/>
        </w:rPr>
        <w:t> </w:t>
      </w:r>
      <w:r w:rsidR="00ED36F4" w:rsidRPr="00ED36F4">
        <w:rPr>
          <w:noProof/>
        </w:rPr>
        <w:t>dni</w:t>
      </w:r>
      <w:r w:rsidRPr="00ED36F4">
        <w:rPr>
          <w:noProof/>
        </w:rPr>
        <w:t>a 19 grudnia 2016</w:t>
      </w:r>
      <w:r w:rsidR="00BE25DF" w:rsidRPr="00ED36F4">
        <w:rPr>
          <w:noProof/>
        </w:rPr>
        <w:t> </w:t>
      </w:r>
      <w:r w:rsidRPr="00ED36F4">
        <w:rPr>
          <w:noProof/>
        </w:rPr>
        <w:t>r. potwierdziło odpowiedzialność wszystkich państw za powstrzymywanie się od stosowania groźby lub użycia siły przeciwko nietykalności terytorium lub niepodległości politycznej któregokolwiek państwa lub wszelkiego innego sposobu, niezgodnego</w:t>
      </w:r>
      <w:r w:rsidR="00ED36F4" w:rsidRPr="00ED36F4">
        <w:rPr>
          <w:noProof/>
        </w:rPr>
        <w:t xml:space="preserve"> z</w:t>
      </w:r>
      <w:r w:rsidR="00ED36F4">
        <w:rPr>
          <w:noProof/>
        </w:rPr>
        <w:t> </w:t>
      </w:r>
      <w:r w:rsidR="00ED36F4" w:rsidRPr="00ED36F4">
        <w:rPr>
          <w:noProof/>
        </w:rPr>
        <w:t>zas</w:t>
      </w:r>
      <w:r w:rsidRPr="00ED36F4">
        <w:rPr>
          <w:noProof/>
        </w:rPr>
        <w:t>adami Narodów Zjednoczonych,</w:t>
      </w:r>
      <w:r w:rsidR="00ED36F4" w:rsidRPr="00ED36F4">
        <w:rPr>
          <w:noProof/>
        </w:rPr>
        <w:t xml:space="preserve"> a</w:t>
      </w:r>
      <w:r w:rsidR="00ED36F4">
        <w:rPr>
          <w:noProof/>
        </w:rPr>
        <w:t> </w:t>
      </w:r>
      <w:r w:rsidR="00ED36F4" w:rsidRPr="00ED36F4">
        <w:rPr>
          <w:noProof/>
        </w:rPr>
        <w:t>tak</w:t>
      </w:r>
      <w:r w:rsidRPr="00ED36F4">
        <w:rPr>
          <w:noProof/>
        </w:rPr>
        <w:t>że wezwało Federację Rosyjską do natychmiastowego uwolnienia obywateli Ukrainy bezprawnie przetrzymywanych</w:t>
      </w:r>
      <w:r w:rsidR="00ED36F4" w:rsidRPr="00ED36F4">
        <w:rPr>
          <w:noProof/>
        </w:rPr>
        <w:t xml:space="preserve"> i</w:t>
      </w:r>
      <w:r w:rsidR="00ED36F4">
        <w:rPr>
          <w:noProof/>
        </w:rPr>
        <w:t> </w:t>
      </w:r>
      <w:r w:rsidR="00ED36F4" w:rsidRPr="00ED36F4">
        <w:rPr>
          <w:noProof/>
        </w:rPr>
        <w:t>osą</w:t>
      </w:r>
      <w:r w:rsidRPr="00ED36F4">
        <w:rPr>
          <w:noProof/>
        </w:rPr>
        <w:t>dzonych bez poszanowania podstawowych standardów wymiaru sprawiedliwości;</w:t>
      </w:r>
    </w:p>
    <w:p w14:paraId="78176390" w14:textId="7F9DAC3A" w:rsidR="004A0762" w:rsidRPr="00ED36F4" w:rsidRDefault="004A0762" w:rsidP="004A0762">
      <w:pPr>
        <w:rPr>
          <w:noProof/>
        </w:rPr>
      </w:pPr>
      <w:r w:rsidRPr="00ED36F4">
        <w:rPr>
          <w:noProof/>
        </w:rPr>
        <w:t>przypominając, że Zgromadzenie Ogólne Narodów Zjednoczonych</w:t>
      </w:r>
      <w:r w:rsidR="00ED36F4" w:rsidRPr="00ED36F4">
        <w:rPr>
          <w:noProof/>
        </w:rPr>
        <w:t xml:space="preserve"> w</w:t>
      </w:r>
      <w:r w:rsidR="00ED36F4">
        <w:rPr>
          <w:noProof/>
        </w:rPr>
        <w:t> </w:t>
      </w:r>
      <w:r w:rsidR="00ED36F4" w:rsidRPr="00ED36F4">
        <w:rPr>
          <w:noProof/>
        </w:rPr>
        <w:t>rez</w:t>
      </w:r>
      <w:r w:rsidRPr="00ED36F4">
        <w:rPr>
          <w:noProof/>
        </w:rPr>
        <w:t>olucji A/RES/73/194</w:t>
      </w:r>
      <w:r w:rsidR="00ED36F4" w:rsidRPr="00ED36F4">
        <w:rPr>
          <w:noProof/>
        </w:rPr>
        <w:t xml:space="preserve"> z</w:t>
      </w:r>
      <w:r w:rsidR="00ED36F4">
        <w:rPr>
          <w:noProof/>
        </w:rPr>
        <w:t> </w:t>
      </w:r>
      <w:r w:rsidR="00ED36F4" w:rsidRPr="00ED36F4">
        <w:rPr>
          <w:noProof/>
        </w:rPr>
        <w:t>dni</w:t>
      </w:r>
      <w:r w:rsidRPr="00ED36F4">
        <w:rPr>
          <w:noProof/>
        </w:rPr>
        <w:t>a 17 grudnia 2018</w:t>
      </w:r>
      <w:r w:rsidR="00BE25DF" w:rsidRPr="00ED36F4">
        <w:rPr>
          <w:noProof/>
        </w:rPr>
        <w:t> </w:t>
      </w:r>
      <w:r w:rsidRPr="00ED36F4">
        <w:rPr>
          <w:noProof/>
        </w:rPr>
        <w:t>r. potępiło tymczasową okupację Republiki Autonomicznej Krymu</w:t>
      </w:r>
      <w:r w:rsidR="00ED36F4" w:rsidRPr="00ED36F4">
        <w:rPr>
          <w:noProof/>
        </w:rPr>
        <w:t xml:space="preserve"> </w:t>
      </w:r>
      <w:r w:rsidR="00ED36F4" w:rsidRPr="00ED36F4">
        <w:rPr>
          <w:noProof/>
        </w:rPr>
        <w:lastRenderedPageBreak/>
        <w:t>i</w:t>
      </w:r>
      <w:r w:rsidR="00ED36F4">
        <w:rPr>
          <w:noProof/>
        </w:rPr>
        <w:t> </w:t>
      </w:r>
      <w:r w:rsidR="00ED36F4" w:rsidRPr="00ED36F4">
        <w:rPr>
          <w:noProof/>
        </w:rPr>
        <w:t>mia</w:t>
      </w:r>
      <w:r w:rsidRPr="00ED36F4">
        <w:rPr>
          <w:noProof/>
        </w:rPr>
        <w:t>sta Sewastopol oraz przypomniało, że ta tymczasowa okupacja oraz stosowanie groźby lub użycie siły przeciwko nietykalności terytorium lub niepodległości politycznej Ukrainy przez Federację Rosyjską naruszają podjęte zobowiązania do poszanowania niepodległości</w:t>
      </w:r>
      <w:r w:rsidR="00ED36F4" w:rsidRPr="00ED36F4">
        <w:rPr>
          <w:noProof/>
        </w:rPr>
        <w:t xml:space="preserve"> i</w:t>
      </w:r>
      <w:r w:rsidR="00ED36F4">
        <w:rPr>
          <w:noProof/>
        </w:rPr>
        <w:t> </w:t>
      </w:r>
      <w:r w:rsidR="00ED36F4" w:rsidRPr="00ED36F4">
        <w:rPr>
          <w:noProof/>
        </w:rPr>
        <w:t>suw</w:t>
      </w:r>
      <w:r w:rsidRPr="00ED36F4">
        <w:rPr>
          <w:noProof/>
        </w:rPr>
        <w:t>erenności oraz istniejących granic Ukrainy;</w:t>
      </w:r>
    </w:p>
    <w:p w14:paraId="345376D6" w14:textId="651EF349" w:rsidR="004A0762" w:rsidRPr="00ED36F4" w:rsidRDefault="004A0762" w:rsidP="004A0762">
      <w:pPr>
        <w:rPr>
          <w:noProof/>
        </w:rPr>
      </w:pPr>
      <w:r w:rsidRPr="00ED36F4">
        <w:rPr>
          <w:noProof/>
        </w:rPr>
        <w:t>przypominając, że Zgromadzenie Ogólne Narodów Zjednoczonych</w:t>
      </w:r>
      <w:r w:rsidR="00ED36F4" w:rsidRPr="00ED36F4">
        <w:rPr>
          <w:noProof/>
        </w:rPr>
        <w:t xml:space="preserve"> w</w:t>
      </w:r>
      <w:r w:rsidR="00ED36F4">
        <w:rPr>
          <w:noProof/>
        </w:rPr>
        <w:t> </w:t>
      </w:r>
      <w:r w:rsidR="00ED36F4" w:rsidRPr="00ED36F4">
        <w:rPr>
          <w:noProof/>
        </w:rPr>
        <w:t>rez</w:t>
      </w:r>
      <w:r w:rsidRPr="00ED36F4">
        <w:rPr>
          <w:noProof/>
        </w:rPr>
        <w:t>olucji A/RES/76/70</w:t>
      </w:r>
      <w:r w:rsidR="00ED36F4" w:rsidRPr="00ED36F4">
        <w:rPr>
          <w:noProof/>
        </w:rPr>
        <w:t xml:space="preserve"> z</w:t>
      </w:r>
      <w:r w:rsidR="00ED36F4">
        <w:rPr>
          <w:noProof/>
        </w:rPr>
        <w:t> </w:t>
      </w:r>
      <w:r w:rsidR="00ED36F4" w:rsidRPr="00ED36F4">
        <w:rPr>
          <w:noProof/>
        </w:rPr>
        <w:t>dni</w:t>
      </w:r>
      <w:r w:rsidRPr="00ED36F4">
        <w:rPr>
          <w:noProof/>
        </w:rPr>
        <w:t>a 9 grudnia 2021</w:t>
      </w:r>
      <w:r w:rsidR="00BE25DF" w:rsidRPr="00ED36F4">
        <w:rPr>
          <w:noProof/>
        </w:rPr>
        <w:t> </w:t>
      </w:r>
      <w:r w:rsidRPr="00ED36F4">
        <w:rPr>
          <w:noProof/>
        </w:rPr>
        <w:t>r. wezwało Federację Rosyjską do całkowitego</w:t>
      </w:r>
      <w:r w:rsidR="00ED36F4" w:rsidRPr="00ED36F4">
        <w:rPr>
          <w:noProof/>
        </w:rPr>
        <w:t xml:space="preserve"> i</w:t>
      </w:r>
      <w:r w:rsidR="00ED36F4">
        <w:rPr>
          <w:noProof/>
        </w:rPr>
        <w:t> </w:t>
      </w:r>
      <w:r w:rsidR="00ED36F4" w:rsidRPr="00ED36F4">
        <w:rPr>
          <w:noProof/>
        </w:rPr>
        <w:t>bez</w:t>
      </w:r>
      <w:r w:rsidRPr="00ED36F4">
        <w:rPr>
          <w:noProof/>
        </w:rPr>
        <w:t>warunkowego wycofania jej sił zbrojnych</w:t>
      </w:r>
      <w:r w:rsidR="00ED36F4" w:rsidRPr="00ED36F4">
        <w:rPr>
          <w:noProof/>
        </w:rPr>
        <w:t xml:space="preserve"> z</w:t>
      </w:r>
      <w:r w:rsidR="00ED36F4">
        <w:rPr>
          <w:noProof/>
        </w:rPr>
        <w:t> </w:t>
      </w:r>
      <w:r w:rsidR="00ED36F4" w:rsidRPr="00ED36F4">
        <w:rPr>
          <w:noProof/>
        </w:rPr>
        <w:t>Kry</w:t>
      </w:r>
      <w:r w:rsidRPr="00ED36F4">
        <w:rPr>
          <w:noProof/>
        </w:rPr>
        <w:t>mu</w:t>
      </w:r>
      <w:r w:rsidR="00ED36F4" w:rsidRPr="00ED36F4">
        <w:rPr>
          <w:noProof/>
        </w:rPr>
        <w:t xml:space="preserve"> i</w:t>
      </w:r>
      <w:r w:rsidR="00ED36F4">
        <w:rPr>
          <w:noProof/>
        </w:rPr>
        <w:t> </w:t>
      </w:r>
      <w:r w:rsidR="00ED36F4" w:rsidRPr="00ED36F4">
        <w:rPr>
          <w:noProof/>
        </w:rPr>
        <w:t>nie</w:t>
      </w:r>
      <w:r w:rsidRPr="00ED36F4">
        <w:rPr>
          <w:noProof/>
        </w:rPr>
        <w:t>zwłocznego zakończenia tymczasowej okupacji terytorium Ukrainy,</w:t>
      </w:r>
      <w:r w:rsidR="00ED36F4" w:rsidRPr="00ED36F4">
        <w:rPr>
          <w:noProof/>
        </w:rPr>
        <w:t xml:space="preserve"> a</w:t>
      </w:r>
      <w:r w:rsidR="00ED36F4">
        <w:rPr>
          <w:noProof/>
        </w:rPr>
        <w:t> </w:t>
      </w:r>
      <w:r w:rsidR="00ED36F4" w:rsidRPr="00ED36F4">
        <w:rPr>
          <w:noProof/>
        </w:rPr>
        <w:t>tak</w:t>
      </w:r>
      <w:r w:rsidRPr="00ED36F4">
        <w:rPr>
          <w:noProof/>
        </w:rPr>
        <w:t>że podkreśliło, że obecność wojsk rosyjskich na Krymie godzi</w:t>
      </w:r>
      <w:r w:rsidR="00ED36F4" w:rsidRPr="00ED36F4">
        <w:rPr>
          <w:noProof/>
        </w:rPr>
        <w:t xml:space="preserve"> w</w:t>
      </w:r>
      <w:r w:rsidR="00ED36F4">
        <w:rPr>
          <w:noProof/>
        </w:rPr>
        <w:t> </w:t>
      </w:r>
      <w:r w:rsidR="00ED36F4" w:rsidRPr="00ED36F4">
        <w:rPr>
          <w:noProof/>
        </w:rPr>
        <w:t>suw</w:t>
      </w:r>
      <w:r w:rsidRPr="00ED36F4">
        <w:rPr>
          <w:noProof/>
        </w:rPr>
        <w:t>erenność narodową, niepodległość polityczną</w:t>
      </w:r>
      <w:r w:rsidR="00ED36F4" w:rsidRPr="00ED36F4">
        <w:rPr>
          <w:noProof/>
        </w:rPr>
        <w:t xml:space="preserve"> i</w:t>
      </w:r>
      <w:r w:rsidR="00ED36F4">
        <w:rPr>
          <w:noProof/>
        </w:rPr>
        <w:t> </w:t>
      </w:r>
      <w:r w:rsidR="00ED36F4" w:rsidRPr="00ED36F4">
        <w:rPr>
          <w:noProof/>
        </w:rPr>
        <w:t>nie</w:t>
      </w:r>
      <w:r w:rsidRPr="00ED36F4">
        <w:rPr>
          <w:noProof/>
        </w:rPr>
        <w:t>tykalność terytorium Ukrainy oraz narusza bezpieczeństwo</w:t>
      </w:r>
      <w:r w:rsidR="00ED36F4" w:rsidRPr="00ED36F4">
        <w:rPr>
          <w:noProof/>
        </w:rPr>
        <w:t xml:space="preserve"> i</w:t>
      </w:r>
      <w:r w:rsidR="00ED36F4">
        <w:rPr>
          <w:noProof/>
        </w:rPr>
        <w:t> </w:t>
      </w:r>
      <w:r w:rsidR="00ED36F4" w:rsidRPr="00ED36F4">
        <w:rPr>
          <w:noProof/>
        </w:rPr>
        <w:t>sta</w:t>
      </w:r>
      <w:r w:rsidRPr="00ED36F4">
        <w:rPr>
          <w:noProof/>
        </w:rPr>
        <w:t>bilność państw sąsiadujących</w:t>
      </w:r>
      <w:r w:rsidR="00ED36F4" w:rsidRPr="00ED36F4">
        <w:rPr>
          <w:noProof/>
        </w:rPr>
        <w:t xml:space="preserve"> i</w:t>
      </w:r>
      <w:r w:rsidR="00ED36F4">
        <w:rPr>
          <w:noProof/>
        </w:rPr>
        <w:t> </w:t>
      </w:r>
      <w:r w:rsidR="00ED36F4" w:rsidRPr="00ED36F4">
        <w:rPr>
          <w:noProof/>
        </w:rPr>
        <w:t>reg</w:t>
      </w:r>
      <w:r w:rsidRPr="00ED36F4">
        <w:rPr>
          <w:noProof/>
        </w:rPr>
        <w:t>ionu europejskiego;</w:t>
      </w:r>
    </w:p>
    <w:p w14:paraId="0102BC66" w14:textId="672A26A6" w:rsidR="004A0762" w:rsidRPr="00ED36F4" w:rsidRDefault="004A0762" w:rsidP="004A0762">
      <w:pPr>
        <w:rPr>
          <w:noProof/>
        </w:rPr>
      </w:pPr>
      <w:r w:rsidRPr="00ED36F4">
        <w:rPr>
          <w:noProof/>
        </w:rPr>
        <w:t>przypominając, że Zgromadzenie Ogólne Narodów Zjednoczonych</w:t>
      </w:r>
      <w:r w:rsidR="00ED36F4" w:rsidRPr="00ED36F4">
        <w:rPr>
          <w:noProof/>
        </w:rPr>
        <w:t xml:space="preserve"> w</w:t>
      </w:r>
      <w:r w:rsidR="00ED36F4">
        <w:rPr>
          <w:noProof/>
        </w:rPr>
        <w:t> </w:t>
      </w:r>
      <w:r w:rsidR="00ED36F4" w:rsidRPr="00ED36F4">
        <w:rPr>
          <w:noProof/>
        </w:rPr>
        <w:t>rez</w:t>
      </w:r>
      <w:r w:rsidRPr="00ED36F4">
        <w:rPr>
          <w:noProof/>
        </w:rPr>
        <w:t>olucji A/RES/ES-11/1</w:t>
      </w:r>
      <w:r w:rsidR="00ED36F4" w:rsidRPr="00ED36F4">
        <w:rPr>
          <w:noProof/>
        </w:rPr>
        <w:t xml:space="preserve"> z</w:t>
      </w:r>
      <w:r w:rsidR="00ED36F4">
        <w:rPr>
          <w:noProof/>
        </w:rPr>
        <w:t> </w:t>
      </w:r>
      <w:r w:rsidR="00ED36F4" w:rsidRPr="00ED36F4">
        <w:rPr>
          <w:noProof/>
        </w:rPr>
        <w:t>dni</w:t>
      </w:r>
      <w:r w:rsidRPr="00ED36F4">
        <w:rPr>
          <w:noProof/>
        </w:rPr>
        <w:t>a 2 marca 2022</w:t>
      </w:r>
      <w:r w:rsidR="00BE25DF" w:rsidRPr="00ED36F4">
        <w:rPr>
          <w:noProof/>
        </w:rPr>
        <w:t> </w:t>
      </w:r>
      <w:r w:rsidRPr="00ED36F4">
        <w:rPr>
          <w:noProof/>
        </w:rPr>
        <w:t>r., uznawszy, że operacje wojskowe Federacji Rosyjskiej na suwerennym terytorium Ukrainy miały skalę, jakiej społeczność międzynarodowa nie widziała</w:t>
      </w:r>
      <w:r w:rsidR="00ED36F4" w:rsidRPr="00ED36F4">
        <w:rPr>
          <w:noProof/>
        </w:rPr>
        <w:t xml:space="preserve"> w</w:t>
      </w:r>
      <w:r w:rsidR="00ED36F4">
        <w:rPr>
          <w:noProof/>
        </w:rPr>
        <w:t> </w:t>
      </w:r>
      <w:r w:rsidR="00ED36F4" w:rsidRPr="00ED36F4">
        <w:rPr>
          <w:noProof/>
        </w:rPr>
        <w:t>Eur</w:t>
      </w:r>
      <w:r w:rsidRPr="00ED36F4">
        <w:rPr>
          <w:noProof/>
        </w:rPr>
        <w:t>opie od dziesięcioleci,</w:t>
      </w:r>
      <w:r w:rsidR="00ED36F4" w:rsidRPr="00ED36F4">
        <w:rPr>
          <w:noProof/>
        </w:rPr>
        <w:t xml:space="preserve"> z</w:t>
      </w:r>
      <w:r w:rsidR="00ED36F4">
        <w:rPr>
          <w:noProof/>
        </w:rPr>
        <w:t> </w:t>
      </w:r>
      <w:r w:rsidR="00ED36F4" w:rsidRPr="00ED36F4">
        <w:rPr>
          <w:noProof/>
        </w:rPr>
        <w:t>cał</w:t>
      </w:r>
      <w:r w:rsidRPr="00ED36F4">
        <w:rPr>
          <w:noProof/>
        </w:rPr>
        <w:t>ą mocą potępiło agresję Federacji Rosyjskiej na Ukrainę</w:t>
      </w:r>
      <w:r w:rsidR="00ED36F4" w:rsidRPr="00ED36F4">
        <w:rPr>
          <w:noProof/>
        </w:rPr>
        <w:t xml:space="preserve"> z</w:t>
      </w:r>
      <w:r w:rsidR="00ED36F4">
        <w:rPr>
          <w:noProof/>
        </w:rPr>
        <w:t> </w:t>
      </w:r>
      <w:r w:rsidR="00ED36F4" w:rsidRPr="00ED36F4">
        <w:rPr>
          <w:noProof/>
        </w:rPr>
        <w:t>nar</w:t>
      </w:r>
      <w:r w:rsidRPr="00ED36F4">
        <w:rPr>
          <w:noProof/>
        </w:rPr>
        <w:t>uszeniem art.</w:t>
      </w:r>
      <w:r w:rsidR="00BE25DF" w:rsidRPr="00ED36F4">
        <w:rPr>
          <w:noProof/>
        </w:rPr>
        <w:t> </w:t>
      </w:r>
      <w:r w:rsidRPr="00ED36F4">
        <w:rPr>
          <w:noProof/>
        </w:rPr>
        <w:t>2 ust.</w:t>
      </w:r>
      <w:r w:rsidR="00BE25DF" w:rsidRPr="00ED36F4">
        <w:rPr>
          <w:noProof/>
        </w:rPr>
        <w:t> </w:t>
      </w:r>
      <w:r w:rsidRPr="00ED36F4">
        <w:rPr>
          <w:noProof/>
        </w:rPr>
        <w:t>4 Karty Narodów Zjednoczonych, zażądało, aby Federacja Rosyjska natychmiast zaprzestała stosowania siły wobec Ukrainy, oraz wyraziło ubolewanie</w:t>
      </w:r>
      <w:r w:rsidR="00ED36F4" w:rsidRPr="00ED36F4">
        <w:rPr>
          <w:noProof/>
        </w:rPr>
        <w:t xml:space="preserve"> z</w:t>
      </w:r>
      <w:r w:rsidR="00ED36F4">
        <w:rPr>
          <w:noProof/>
        </w:rPr>
        <w:t> </w:t>
      </w:r>
      <w:r w:rsidR="00ED36F4" w:rsidRPr="00ED36F4">
        <w:rPr>
          <w:noProof/>
        </w:rPr>
        <w:t>pow</w:t>
      </w:r>
      <w:r w:rsidRPr="00ED36F4">
        <w:rPr>
          <w:noProof/>
        </w:rPr>
        <w:t xml:space="preserve">odu zaangażowania Białorusi w to bezprawne użycie siły przeciwko Ukrainie; </w:t>
      </w:r>
    </w:p>
    <w:p w14:paraId="6102418F" w14:textId="74FDC5D3" w:rsidR="004A0762" w:rsidRPr="00ED36F4" w:rsidRDefault="004A0762" w:rsidP="004A0762">
      <w:pPr>
        <w:rPr>
          <w:noProof/>
        </w:rPr>
      </w:pPr>
      <w:r w:rsidRPr="00ED36F4">
        <w:rPr>
          <w:noProof/>
        </w:rPr>
        <w:t>przypominając, że Zgromadzenie Ogólne Narodów Zjednoczonych</w:t>
      </w:r>
      <w:r w:rsidR="00ED36F4" w:rsidRPr="00ED36F4">
        <w:rPr>
          <w:noProof/>
        </w:rPr>
        <w:t xml:space="preserve"> w</w:t>
      </w:r>
      <w:r w:rsidR="00ED36F4">
        <w:rPr>
          <w:noProof/>
        </w:rPr>
        <w:t> </w:t>
      </w:r>
      <w:r w:rsidR="00ED36F4" w:rsidRPr="00ED36F4">
        <w:rPr>
          <w:noProof/>
        </w:rPr>
        <w:t>rez</w:t>
      </w:r>
      <w:r w:rsidRPr="00ED36F4">
        <w:rPr>
          <w:noProof/>
        </w:rPr>
        <w:t>olucji A/RES/ES-11/6</w:t>
      </w:r>
      <w:r w:rsidR="00ED36F4" w:rsidRPr="00ED36F4">
        <w:rPr>
          <w:noProof/>
        </w:rPr>
        <w:t xml:space="preserve"> z</w:t>
      </w:r>
      <w:r w:rsidR="00ED36F4">
        <w:rPr>
          <w:noProof/>
        </w:rPr>
        <w:t> </w:t>
      </w:r>
      <w:r w:rsidR="00ED36F4" w:rsidRPr="00ED36F4">
        <w:rPr>
          <w:noProof/>
        </w:rPr>
        <w:t>dni</w:t>
      </w:r>
      <w:r w:rsidRPr="00ED36F4">
        <w:rPr>
          <w:noProof/>
        </w:rPr>
        <w:t>a 23 lutego 2023</w:t>
      </w:r>
      <w:r w:rsidR="00BE25DF" w:rsidRPr="00ED36F4">
        <w:rPr>
          <w:noProof/>
        </w:rPr>
        <w:t> </w:t>
      </w:r>
      <w:r w:rsidRPr="00ED36F4">
        <w:rPr>
          <w:noProof/>
        </w:rPr>
        <w:t>r. podkreśliło potrzebę pociągnięcia do odpowiedzialności za najpoważniejsze zbrodnie na mocy prawa międzynarodowego popełnione na terytorium Ukrainy</w:t>
      </w:r>
      <w:r w:rsidR="00ED36F4" w:rsidRPr="00ED36F4">
        <w:rPr>
          <w:noProof/>
        </w:rPr>
        <w:t xml:space="preserve"> w</w:t>
      </w:r>
      <w:r w:rsidR="00ED36F4">
        <w:rPr>
          <w:noProof/>
        </w:rPr>
        <w:t> </w:t>
      </w:r>
      <w:r w:rsidR="00ED36F4" w:rsidRPr="00ED36F4">
        <w:rPr>
          <w:noProof/>
        </w:rPr>
        <w:t>dro</w:t>
      </w:r>
      <w:r w:rsidRPr="00ED36F4">
        <w:rPr>
          <w:noProof/>
        </w:rPr>
        <w:t>dze odpowiednich, sprawiedliwych</w:t>
      </w:r>
      <w:r w:rsidR="00ED36F4" w:rsidRPr="00ED36F4">
        <w:rPr>
          <w:noProof/>
        </w:rPr>
        <w:t xml:space="preserve"> i</w:t>
      </w:r>
      <w:r w:rsidR="00ED36F4">
        <w:rPr>
          <w:noProof/>
        </w:rPr>
        <w:t> </w:t>
      </w:r>
      <w:r w:rsidR="00ED36F4" w:rsidRPr="00ED36F4">
        <w:rPr>
          <w:noProof/>
        </w:rPr>
        <w:t>nie</w:t>
      </w:r>
      <w:r w:rsidRPr="00ED36F4">
        <w:rPr>
          <w:noProof/>
        </w:rPr>
        <w:t>zależnych postępowań karnych na szczeblu krajowym lub międzynarodowym oraz zapewnienia sprawiedliwości wszystkim ofiarom</w:t>
      </w:r>
      <w:r w:rsidR="00ED36F4" w:rsidRPr="00ED36F4">
        <w:rPr>
          <w:noProof/>
        </w:rPr>
        <w:t xml:space="preserve"> i</w:t>
      </w:r>
      <w:r w:rsidR="00ED36F4">
        <w:rPr>
          <w:noProof/>
        </w:rPr>
        <w:t> </w:t>
      </w:r>
      <w:r w:rsidR="00ED36F4" w:rsidRPr="00ED36F4">
        <w:rPr>
          <w:noProof/>
        </w:rPr>
        <w:t>zap</w:t>
      </w:r>
      <w:r w:rsidRPr="00ED36F4">
        <w:rPr>
          <w:noProof/>
        </w:rPr>
        <w:t>obiegania przyszłym przestępstwom;</w:t>
      </w:r>
    </w:p>
    <w:p w14:paraId="2E9A071C" w14:textId="7EF2CCAE" w:rsidR="004A0762" w:rsidRPr="00ED36F4" w:rsidRDefault="004A0762" w:rsidP="004A0762">
      <w:pPr>
        <w:rPr>
          <w:noProof/>
        </w:rPr>
      </w:pPr>
      <w:r w:rsidRPr="00ED36F4">
        <w:rPr>
          <w:noProof/>
        </w:rPr>
        <w:t>przypominając, że Zgromadzenie Ogólne Narodów Zjednoczonych</w:t>
      </w:r>
      <w:r w:rsidR="00ED36F4" w:rsidRPr="00ED36F4">
        <w:rPr>
          <w:noProof/>
        </w:rPr>
        <w:t xml:space="preserve"> w</w:t>
      </w:r>
      <w:r w:rsidR="00ED36F4">
        <w:rPr>
          <w:noProof/>
        </w:rPr>
        <w:t> </w:t>
      </w:r>
      <w:r w:rsidR="00ED36F4" w:rsidRPr="00ED36F4">
        <w:rPr>
          <w:noProof/>
        </w:rPr>
        <w:t>rez</w:t>
      </w:r>
      <w:r w:rsidRPr="00ED36F4">
        <w:rPr>
          <w:noProof/>
        </w:rPr>
        <w:t>olucji A/RES/79/184</w:t>
      </w:r>
      <w:r w:rsidR="00ED36F4" w:rsidRPr="00ED36F4">
        <w:rPr>
          <w:noProof/>
        </w:rPr>
        <w:t xml:space="preserve"> z</w:t>
      </w:r>
      <w:r w:rsidR="00ED36F4">
        <w:rPr>
          <w:noProof/>
        </w:rPr>
        <w:t> </w:t>
      </w:r>
      <w:r w:rsidR="00ED36F4" w:rsidRPr="00ED36F4">
        <w:rPr>
          <w:noProof/>
        </w:rPr>
        <w:t>dni</w:t>
      </w:r>
      <w:r w:rsidRPr="00ED36F4">
        <w:rPr>
          <w:noProof/>
        </w:rPr>
        <w:t>a 17 grudnia 2024</w:t>
      </w:r>
      <w:r w:rsidR="00BE25DF" w:rsidRPr="00ED36F4">
        <w:rPr>
          <w:noProof/>
        </w:rPr>
        <w:t> </w:t>
      </w:r>
      <w:r w:rsidRPr="00ED36F4">
        <w:rPr>
          <w:noProof/>
        </w:rPr>
        <w:t>r. potępiło wojnę napastniczą Federacji Rosyjskiej przeciwko Ukrainie naruszającą art.</w:t>
      </w:r>
      <w:r w:rsidR="00BE25DF" w:rsidRPr="00ED36F4">
        <w:rPr>
          <w:noProof/>
        </w:rPr>
        <w:t> </w:t>
      </w:r>
      <w:r w:rsidRPr="00ED36F4">
        <w:rPr>
          <w:noProof/>
        </w:rPr>
        <w:t>2 ust.</w:t>
      </w:r>
      <w:r w:rsidR="00BE25DF" w:rsidRPr="00ED36F4">
        <w:rPr>
          <w:noProof/>
        </w:rPr>
        <w:t> </w:t>
      </w:r>
      <w:r w:rsidRPr="00ED36F4">
        <w:rPr>
          <w:noProof/>
        </w:rPr>
        <w:t>4 Karty Narodów Zjednoczonych</w:t>
      </w:r>
      <w:r w:rsidR="00ED36F4" w:rsidRPr="00ED36F4">
        <w:rPr>
          <w:noProof/>
        </w:rPr>
        <w:t xml:space="preserve"> i</w:t>
      </w:r>
      <w:r w:rsidR="00ED36F4">
        <w:rPr>
          <w:noProof/>
        </w:rPr>
        <w:t> </w:t>
      </w:r>
      <w:r w:rsidR="00ED36F4" w:rsidRPr="00ED36F4">
        <w:rPr>
          <w:noProof/>
        </w:rPr>
        <w:t>wyk</w:t>
      </w:r>
      <w:r w:rsidRPr="00ED36F4">
        <w:rPr>
          <w:noProof/>
        </w:rPr>
        <w:t>orzystanie Krymu do tego celu oraz usiłowanie bezprawnej aneksji obwodów chersońskiego, zaporoskiego, donieckiego</w:t>
      </w:r>
      <w:r w:rsidR="00ED36F4" w:rsidRPr="00ED36F4">
        <w:rPr>
          <w:noProof/>
        </w:rPr>
        <w:t xml:space="preserve"> i</w:t>
      </w:r>
      <w:r w:rsidR="00ED36F4">
        <w:rPr>
          <w:noProof/>
        </w:rPr>
        <w:t> </w:t>
      </w:r>
      <w:r w:rsidR="00ED36F4" w:rsidRPr="00ED36F4">
        <w:rPr>
          <w:noProof/>
        </w:rPr>
        <w:t>ług</w:t>
      </w:r>
      <w:r w:rsidRPr="00ED36F4">
        <w:rPr>
          <w:noProof/>
        </w:rPr>
        <w:t>ańskiego;</w:t>
      </w:r>
    </w:p>
    <w:p w14:paraId="660F7B49" w14:textId="4F776397" w:rsidR="004A0762" w:rsidRPr="00ED36F4" w:rsidRDefault="004A0762" w:rsidP="004A0762">
      <w:pPr>
        <w:rPr>
          <w:noProof/>
        </w:rPr>
      </w:pPr>
      <w:r w:rsidRPr="00ED36F4">
        <w:rPr>
          <w:noProof/>
        </w:rPr>
        <w:t>przypominając, że dnia 15 marca 2022</w:t>
      </w:r>
      <w:r w:rsidR="00BE25DF" w:rsidRPr="00ED36F4">
        <w:rPr>
          <w:noProof/>
        </w:rPr>
        <w:t> </w:t>
      </w:r>
      <w:r w:rsidRPr="00ED36F4">
        <w:rPr>
          <w:noProof/>
        </w:rPr>
        <w:t>r. Zgromadzenie Parlamentarne Rady Europy</w:t>
      </w:r>
      <w:r w:rsidR="00ED36F4" w:rsidRPr="00ED36F4">
        <w:rPr>
          <w:noProof/>
        </w:rPr>
        <w:t xml:space="preserve"> w</w:t>
      </w:r>
      <w:r w:rsidR="00ED36F4">
        <w:rPr>
          <w:noProof/>
        </w:rPr>
        <w:t> </w:t>
      </w:r>
      <w:r w:rsidR="00ED36F4" w:rsidRPr="00ED36F4">
        <w:rPr>
          <w:noProof/>
        </w:rPr>
        <w:t>opi</w:t>
      </w:r>
      <w:r w:rsidRPr="00ED36F4">
        <w:rPr>
          <w:noProof/>
        </w:rPr>
        <w:t>nii nr</w:t>
      </w:r>
      <w:r w:rsidR="00BE25DF" w:rsidRPr="00ED36F4">
        <w:rPr>
          <w:noProof/>
        </w:rPr>
        <w:t> </w:t>
      </w:r>
      <w:r w:rsidRPr="00ED36F4">
        <w:rPr>
          <w:noProof/>
        </w:rPr>
        <w:t>300 (2022)</w:t>
      </w:r>
      <w:r w:rsidR="00ED36F4" w:rsidRPr="00ED36F4">
        <w:rPr>
          <w:noProof/>
        </w:rPr>
        <w:t xml:space="preserve"> z</w:t>
      </w:r>
      <w:r w:rsidR="00ED36F4">
        <w:rPr>
          <w:noProof/>
        </w:rPr>
        <w:t> </w:t>
      </w:r>
      <w:r w:rsidR="00ED36F4" w:rsidRPr="00ED36F4">
        <w:rPr>
          <w:noProof/>
        </w:rPr>
        <w:t>cał</w:t>
      </w:r>
      <w:r w:rsidRPr="00ED36F4">
        <w:rPr>
          <w:noProof/>
        </w:rPr>
        <w:t>ą mocą potępiło agresję Federacji Rosyjskiej na Ukrainę, zauważając, że eskalacja działań zbrojnych od dnia 24 lutego 2022</w:t>
      </w:r>
      <w:r w:rsidR="00BE25DF" w:rsidRPr="00ED36F4">
        <w:rPr>
          <w:noProof/>
        </w:rPr>
        <w:t> </w:t>
      </w:r>
      <w:r w:rsidRPr="00ED36F4">
        <w:rPr>
          <w:noProof/>
        </w:rPr>
        <w:t>r. stanowiła kontynuację wojny napastniczej przeciwko Ukrainie prowadzonej przez Federację Rosyjską od dnia 20 lutego 2014</w:t>
      </w:r>
      <w:r w:rsidR="00BE25DF" w:rsidRPr="00ED36F4">
        <w:rPr>
          <w:noProof/>
        </w:rPr>
        <w:t> </w:t>
      </w:r>
      <w:r w:rsidRPr="00ED36F4">
        <w:rPr>
          <w:noProof/>
        </w:rPr>
        <w:t>r.;</w:t>
      </w:r>
    </w:p>
    <w:p w14:paraId="7AF98F9C" w14:textId="0DFEE4CF" w:rsidR="004A0762" w:rsidRPr="00ED36F4" w:rsidRDefault="004A0762" w:rsidP="004A0762">
      <w:pPr>
        <w:rPr>
          <w:noProof/>
        </w:rPr>
      </w:pPr>
      <w:r w:rsidRPr="00ED36F4">
        <w:rPr>
          <w:noProof/>
        </w:rPr>
        <w:t>przypominając, że dnia 16 marca 2022</w:t>
      </w:r>
      <w:r w:rsidR="00BE25DF" w:rsidRPr="00ED36F4">
        <w:rPr>
          <w:noProof/>
        </w:rPr>
        <w:t> </w:t>
      </w:r>
      <w:r w:rsidRPr="00ED36F4">
        <w:rPr>
          <w:noProof/>
        </w:rPr>
        <w:t>r. Komitet Ministrów postanowił wykluczyć Federację Rosyjską</w:t>
      </w:r>
      <w:r w:rsidR="00ED36F4" w:rsidRPr="00ED36F4">
        <w:rPr>
          <w:noProof/>
        </w:rPr>
        <w:t xml:space="preserve"> z</w:t>
      </w:r>
      <w:r w:rsidR="00ED36F4">
        <w:rPr>
          <w:noProof/>
        </w:rPr>
        <w:t> </w:t>
      </w:r>
      <w:r w:rsidR="00ED36F4" w:rsidRPr="00ED36F4">
        <w:rPr>
          <w:noProof/>
        </w:rPr>
        <w:t>Rad</w:t>
      </w:r>
      <w:r w:rsidRPr="00ED36F4">
        <w:rPr>
          <w:noProof/>
        </w:rPr>
        <w:t>y Europy ze względu na agresję na Ukrainę, która to agresja stanowi poważne naruszenie przez Federację Rosyjską zobowiązań wynikających</w:t>
      </w:r>
      <w:r w:rsidR="00ED36F4" w:rsidRPr="00ED36F4">
        <w:rPr>
          <w:noProof/>
        </w:rPr>
        <w:t xml:space="preserve"> z</w:t>
      </w:r>
      <w:r w:rsidR="00ED36F4">
        <w:rPr>
          <w:noProof/>
        </w:rPr>
        <w:t> </w:t>
      </w:r>
      <w:r w:rsidR="00ED36F4" w:rsidRPr="00ED36F4">
        <w:rPr>
          <w:noProof/>
        </w:rPr>
        <w:t>art</w:t>
      </w:r>
      <w:r w:rsidRPr="00ED36F4">
        <w:rPr>
          <w:noProof/>
        </w:rPr>
        <w:t>.</w:t>
      </w:r>
      <w:r w:rsidR="00BE25DF" w:rsidRPr="00ED36F4">
        <w:rPr>
          <w:noProof/>
        </w:rPr>
        <w:t> </w:t>
      </w:r>
      <w:r w:rsidRPr="00ED36F4">
        <w:rPr>
          <w:noProof/>
        </w:rPr>
        <w:t>3 Statutu Rady Europy oraz</w:t>
      </w:r>
      <w:r w:rsidR="00ED36F4" w:rsidRPr="00ED36F4">
        <w:rPr>
          <w:noProof/>
        </w:rPr>
        <w:t xml:space="preserve"> z</w:t>
      </w:r>
      <w:r w:rsidR="00ED36F4">
        <w:rPr>
          <w:noProof/>
        </w:rPr>
        <w:t> </w:t>
      </w:r>
      <w:r w:rsidR="00ED36F4" w:rsidRPr="00ED36F4">
        <w:rPr>
          <w:noProof/>
        </w:rPr>
        <w:t>pra</w:t>
      </w:r>
      <w:r w:rsidRPr="00ED36F4">
        <w:rPr>
          <w:noProof/>
        </w:rPr>
        <w:t>wa międzynarodowego;</w:t>
      </w:r>
    </w:p>
    <w:p w14:paraId="530749AF" w14:textId="3BA44344" w:rsidR="004A0762" w:rsidRPr="00ED36F4" w:rsidRDefault="004A0762" w:rsidP="004A0762">
      <w:pPr>
        <w:rPr>
          <w:noProof/>
        </w:rPr>
      </w:pPr>
      <w:r w:rsidRPr="00ED36F4">
        <w:rPr>
          <w:noProof/>
        </w:rPr>
        <w:t>przekonani</w:t>
      </w:r>
      <w:r w:rsidR="00ED36F4" w:rsidRPr="00ED36F4">
        <w:rPr>
          <w:noProof/>
        </w:rPr>
        <w:t xml:space="preserve"> o</w:t>
      </w:r>
      <w:r w:rsidR="00ED36F4">
        <w:rPr>
          <w:noProof/>
        </w:rPr>
        <w:t> </w:t>
      </w:r>
      <w:r w:rsidR="00ED36F4" w:rsidRPr="00ED36F4">
        <w:rPr>
          <w:noProof/>
        </w:rPr>
        <w:t>pil</w:t>
      </w:r>
      <w:r w:rsidRPr="00ED36F4">
        <w:rPr>
          <w:noProof/>
        </w:rPr>
        <w:t>nej konieczności zapewnienia pełnej rozliczalności</w:t>
      </w:r>
      <w:r w:rsidR="00ED36F4" w:rsidRPr="00ED36F4">
        <w:rPr>
          <w:noProof/>
        </w:rPr>
        <w:t xml:space="preserve"> w</w:t>
      </w:r>
      <w:r w:rsidR="00ED36F4">
        <w:rPr>
          <w:noProof/>
        </w:rPr>
        <w:t> </w:t>
      </w:r>
      <w:r w:rsidR="00ED36F4" w:rsidRPr="00ED36F4">
        <w:rPr>
          <w:noProof/>
        </w:rPr>
        <w:t>zwi</w:t>
      </w:r>
      <w:r w:rsidRPr="00ED36F4">
        <w:rPr>
          <w:noProof/>
        </w:rPr>
        <w:t>ązku</w:t>
      </w:r>
      <w:r w:rsidR="00ED36F4" w:rsidRPr="00ED36F4">
        <w:rPr>
          <w:noProof/>
        </w:rPr>
        <w:t xml:space="preserve"> z</w:t>
      </w:r>
      <w:r w:rsidR="00ED36F4">
        <w:rPr>
          <w:noProof/>
        </w:rPr>
        <w:t> </w:t>
      </w:r>
      <w:r w:rsidR="00ED36F4" w:rsidRPr="00ED36F4">
        <w:rPr>
          <w:noProof/>
        </w:rPr>
        <w:t>agr</w:t>
      </w:r>
      <w:r w:rsidRPr="00ED36F4">
        <w:rPr>
          <w:noProof/>
        </w:rPr>
        <w:t>esją Federacji Rosyjskiej na Ukrainę</w:t>
      </w:r>
      <w:r w:rsidR="00ED36F4" w:rsidRPr="00ED36F4">
        <w:rPr>
          <w:noProof/>
        </w:rPr>
        <w:t xml:space="preserve"> i</w:t>
      </w:r>
      <w:r w:rsidR="00ED36F4">
        <w:rPr>
          <w:noProof/>
        </w:rPr>
        <w:t> </w:t>
      </w:r>
      <w:r w:rsidR="00ED36F4" w:rsidRPr="00ED36F4">
        <w:rPr>
          <w:noProof/>
        </w:rPr>
        <w:t>uzn</w:t>
      </w:r>
      <w:r w:rsidRPr="00ED36F4">
        <w:rPr>
          <w:noProof/>
        </w:rPr>
        <w:t>ając rolę Rady Europy</w:t>
      </w:r>
      <w:r w:rsidR="00ED36F4" w:rsidRPr="00ED36F4">
        <w:rPr>
          <w:noProof/>
        </w:rPr>
        <w:t xml:space="preserve"> w</w:t>
      </w:r>
      <w:r w:rsidR="00ED36F4">
        <w:rPr>
          <w:noProof/>
        </w:rPr>
        <w:t> </w:t>
      </w:r>
      <w:r w:rsidR="00ED36F4" w:rsidRPr="00ED36F4">
        <w:rPr>
          <w:noProof/>
        </w:rPr>
        <w:t>pod</w:t>
      </w:r>
      <w:r w:rsidRPr="00ED36F4">
        <w:rPr>
          <w:noProof/>
        </w:rPr>
        <w:t>jęciu zdecydowanej reakcji na tę agresję,</w:t>
      </w:r>
      <w:r w:rsidR="00ED36F4" w:rsidRPr="00ED36F4">
        <w:rPr>
          <w:noProof/>
        </w:rPr>
        <w:t xml:space="preserve"> o</w:t>
      </w:r>
      <w:r w:rsidR="00ED36F4">
        <w:rPr>
          <w:noProof/>
        </w:rPr>
        <w:t> </w:t>
      </w:r>
      <w:r w:rsidR="00ED36F4" w:rsidRPr="00ED36F4">
        <w:rPr>
          <w:noProof/>
        </w:rPr>
        <w:t>czy</w:t>
      </w:r>
      <w:r w:rsidRPr="00ED36F4">
        <w:rPr>
          <w:noProof/>
        </w:rPr>
        <w:t>m przypomniano</w:t>
      </w:r>
      <w:r w:rsidR="00ED36F4" w:rsidRPr="00ED36F4">
        <w:rPr>
          <w:noProof/>
        </w:rPr>
        <w:t xml:space="preserve"> w</w:t>
      </w:r>
      <w:r w:rsidR="00ED36F4">
        <w:rPr>
          <w:noProof/>
        </w:rPr>
        <w:t> </w:t>
      </w:r>
      <w:r w:rsidR="00ED36F4" w:rsidRPr="00ED36F4">
        <w:rPr>
          <w:noProof/>
        </w:rPr>
        <w:t>dek</w:t>
      </w:r>
      <w:r w:rsidRPr="00ED36F4">
        <w:rPr>
          <w:noProof/>
        </w:rPr>
        <w:t>laracji</w:t>
      </w:r>
      <w:r w:rsidR="00ED36F4" w:rsidRPr="00ED36F4">
        <w:rPr>
          <w:noProof/>
        </w:rPr>
        <w:t xml:space="preserve"> z</w:t>
      </w:r>
      <w:r w:rsidR="00ED36F4">
        <w:rPr>
          <w:noProof/>
        </w:rPr>
        <w:t> </w:t>
      </w:r>
      <w:r w:rsidR="00ED36F4" w:rsidRPr="00ED36F4">
        <w:rPr>
          <w:noProof/>
        </w:rPr>
        <w:t>Rey</w:t>
      </w:r>
      <w:r w:rsidRPr="00ED36F4">
        <w:rPr>
          <w:noProof/>
        </w:rPr>
        <w:t>kjaviku przyjętej podczas 4. szczytu szefów państw</w:t>
      </w:r>
      <w:r w:rsidR="00ED36F4" w:rsidRPr="00ED36F4">
        <w:rPr>
          <w:noProof/>
        </w:rPr>
        <w:t xml:space="preserve"> i</w:t>
      </w:r>
      <w:r w:rsidR="00ED36F4">
        <w:rPr>
          <w:noProof/>
        </w:rPr>
        <w:t> </w:t>
      </w:r>
      <w:r w:rsidR="00ED36F4" w:rsidRPr="00ED36F4">
        <w:rPr>
          <w:noProof/>
        </w:rPr>
        <w:t>rzą</w:t>
      </w:r>
      <w:r w:rsidRPr="00ED36F4">
        <w:rPr>
          <w:noProof/>
        </w:rPr>
        <w:t>dów Rady Europy</w:t>
      </w:r>
      <w:r w:rsidR="00ED36F4" w:rsidRPr="00ED36F4">
        <w:rPr>
          <w:noProof/>
        </w:rPr>
        <w:t xml:space="preserve"> w</w:t>
      </w:r>
      <w:r w:rsidR="00ED36F4">
        <w:rPr>
          <w:noProof/>
        </w:rPr>
        <w:t> </w:t>
      </w:r>
      <w:r w:rsidR="00ED36F4" w:rsidRPr="00ED36F4">
        <w:rPr>
          <w:noProof/>
        </w:rPr>
        <w:t>dni</w:t>
      </w:r>
      <w:r w:rsidRPr="00ED36F4">
        <w:rPr>
          <w:noProof/>
        </w:rPr>
        <w:t>ach 16</w:t>
      </w:r>
      <w:r w:rsidR="00ED36F4" w:rsidRPr="00ED36F4">
        <w:rPr>
          <w:noProof/>
        </w:rPr>
        <w:t xml:space="preserve"> i</w:t>
      </w:r>
      <w:r w:rsidR="00ED36F4">
        <w:rPr>
          <w:noProof/>
        </w:rPr>
        <w:t> </w:t>
      </w:r>
      <w:r w:rsidR="00ED36F4" w:rsidRPr="00ED36F4">
        <w:rPr>
          <w:noProof/>
        </w:rPr>
        <w:t>1</w:t>
      </w:r>
      <w:r w:rsidRPr="00ED36F4">
        <w:rPr>
          <w:noProof/>
        </w:rPr>
        <w:t>7 maja 2023</w:t>
      </w:r>
      <w:r w:rsidR="00BE25DF" w:rsidRPr="00ED36F4">
        <w:rPr>
          <w:noProof/>
        </w:rPr>
        <w:t> </w:t>
      </w:r>
      <w:r w:rsidRPr="00ED36F4">
        <w:rPr>
          <w:noProof/>
        </w:rPr>
        <w:t>r. oraz</w:t>
      </w:r>
      <w:r w:rsidR="00ED36F4" w:rsidRPr="00ED36F4">
        <w:rPr>
          <w:noProof/>
        </w:rPr>
        <w:t xml:space="preserve"> w</w:t>
      </w:r>
      <w:r w:rsidR="00ED36F4">
        <w:rPr>
          <w:noProof/>
        </w:rPr>
        <w:t> </w:t>
      </w:r>
      <w:r w:rsidR="00ED36F4" w:rsidRPr="00ED36F4">
        <w:rPr>
          <w:noProof/>
        </w:rPr>
        <w:t>zał</w:t>
      </w:r>
      <w:r w:rsidRPr="00ED36F4">
        <w:rPr>
          <w:noProof/>
        </w:rPr>
        <w:t>ączniku I do tej deklaracji zatytułowanym „Deklaracja poparcia dla rozszerzonego porozumienia częściowego</w:t>
      </w:r>
      <w:r w:rsidR="00ED36F4" w:rsidRPr="00ED36F4">
        <w:rPr>
          <w:noProof/>
        </w:rPr>
        <w:t xml:space="preserve"> w</w:t>
      </w:r>
      <w:r w:rsidR="00ED36F4">
        <w:rPr>
          <w:noProof/>
        </w:rPr>
        <w:t> </w:t>
      </w:r>
      <w:r w:rsidR="00ED36F4" w:rsidRPr="00ED36F4">
        <w:rPr>
          <w:noProof/>
        </w:rPr>
        <w:t>spr</w:t>
      </w:r>
      <w:r w:rsidRPr="00ED36F4">
        <w:rPr>
          <w:noProof/>
        </w:rPr>
        <w:t>awie rejestru szkód spowodowanych agresją Federacji Rosyjskiej wobec Ukrainy”;</w:t>
      </w:r>
    </w:p>
    <w:p w14:paraId="59A29BB5" w14:textId="563D7D4C" w:rsidR="004A0762" w:rsidRPr="00ED36F4" w:rsidRDefault="004A0762" w:rsidP="004A0762">
      <w:pPr>
        <w:rPr>
          <w:noProof/>
        </w:rPr>
      </w:pPr>
      <w:r w:rsidRPr="00ED36F4">
        <w:rPr>
          <w:noProof/>
        </w:rPr>
        <w:t>przywołując Kartę Międzynarodowego Trybunału Wojskowego</w:t>
      </w:r>
      <w:r w:rsidR="00ED36F4" w:rsidRPr="00ED36F4">
        <w:rPr>
          <w:noProof/>
        </w:rPr>
        <w:t xml:space="preserve"> z</w:t>
      </w:r>
      <w:r w:rsidR="00ED36F4">
        <w:rPr>
          <w:noProof/>
        </w:rPr>
        <w:t> </w:t>
      </w:r>
      <w:r w:rsidR="00ED36F4" w:rsidRPr="00ED36F4">
        <w:rPr>
          <w:noProof/>
        </w:rPr>
        <w:t>dni</w:t>
      </w:r>
      <w:r w:rsidRPr="00ED36F4">
        <w:rPr>
          <w:noProof/>
        </w:rPr>
        <w:t>a 8 sierpnia 1945</w:t>
      </w:r>
      <w:r w:rsidR="00BE25DF" w:rsidRPr="00ED36F4">
        <w:rPr>
          <w:noProof/>
        </w:rPr>
        <w:t> </w:t>
      </w:r>
      <w:r w:rsidRPr="00ED36F4">
        <w:rPr>
          <w:noProof/>
        </w:rPr>
        <w:t>r., której art.</w:t>
      </w:r>
      <w:r w:rsidR="00BE25DF" w:rsidRPr="00ED36F4">
        <w:rPr>
          <w:noProof/>
        </w:rPr>
        <w:t> </w:t>
      </w:r>
      <w:r w:rsidRPr="00ED36F4">
        <w:rPr>
          <w:noProof/>
        </w:rPr>
        <w:t>6 lit.</w:t>
      </w:r>
      <w:r w:rsidR="00BE25DF" w:rsidRPr="00ED36F4">
        <w:rPr>
          <w:noProof/>
        </w:rPr>
        <w:t> </w:t>
      </w:r>
      <w:r w:rsidRPr="00ED36F4">
        <w:rPr>
          <w:noProof/>
        </w:rPr>
        <w:t>a) przewiduje osobistą odpowiedzialność karną za zbrodnie przeciwko pokojowi;</w:t>
      </w:r>
    </w:p>
    <w:p w14:paraId="4E3C667D" w14:textId="6B5D6DF8" w:rsidR="004A0762" w:rsidRPr="00ED36F4" w:rsidRDefault="004A0762" w:rsidP="004A0762">
      <w:pPr>
        <w:rPr>
          <w:noProof/>
        </w:rPr>
      </w:pPr>
      <w:r w:rsidRPr="00ED36F4">
        <w:rPr>
          <w:noProof/>
        </w:rPr>
        <w:t>przywołując Rzymski Statut Międzynarodowego Trybunału Karnego</w:t>
      </w:r>
      <w:r w:rsidR="00ED36F4" w:rsidRPr="00ED36F4">
        <w:rPr>
          <w:noProof/>
        </w:rPr>
        <w:t xml:space="preserve"> i</w:t>
      </w:r>
      <w:r w:rsidR="00ED36F4">
        <w:rPr>
          <w:noProof/>
        </w:rPr>
        <w:t> </w:t>
      </w:r>
      <w:r w:rsidR="00ED36F4" w:rsidRPr="00ED36F4">
        <w:rPr>
          <w:noProof/>
        </w:rPr>
        <w:t>uzn</w:t>
      </w:r>
      <w:r w:rsidRPr="00ED36F4">
        <w:rPr>
          <w:noProof/>
        </w:rPr>
        <w:t>ając jurysdykcję Międzynarodowego Trybunału Karnego</w:t>
      </w:r>
      <w:r w:rsidR="00ED36F4" w:rsidRPr="00ED36F4">
        <w:rPr>
          <w:noProof/>
        </w:rPr>
        <w:t xml:space="preserve"> w</w:t>
      </w:r>
      <w:r w:rsidR="00ED36F4">
        <w:rPr>
          <w:noProof/>
        </w:rPr>
        <w:t> </w:t>
      </w:r>
      <w:r w:rsidR="00ED36F4" w:rsidRPr="00ED36F4">
        <w:rPr>
          <w:noProof/>
        </w:rPr>
        <w:t>odn</w:t>
      </w:r>
      <w:r w:rsidRPr="00ED36F4">
        <w:rPr>
          <w:noProof/>
        </w:rPr>
        <w:t>iesieniu do sytuacji</w:t>
      </w:r>
      <w:r w:rsidR="00ED36F4" w:rsidRPr="00ED36F4">
        <w:rPr>
          <w:noProof/>
        </w:rPr>
        <w:t xml:space="preserve"> w</w:t>
      </w:r>
      <w:r w:rsidR="00ED36F4">
        <w:rPr>
          <w:noProof/>
        </w:rPr>
        <w:t> </w:t>
      </w:r>
      <w:r w:rsidR="00ED36F4" w:rsidRPr="00ED36F4">
        <w:rPr>
          <w:noProof/>
        </w:rPr>
        <w:t>Ukr</w:t>
      </w:r>
      <w:r w:rsidRPr="00ED36F4">
        <w:rPr>
          <w:noProof/>
        </w:rPr>
        <w:t>ainie, ale także uznając, że pomimo iż Ukraina ratyfikowała statut rzymski</w:t>
      </w:r>
      <w:r w:rsidR="00ED36F4" w:rsidRPr="00ED36F4">
        <w:rPr>
          <w:noProof/>
        </w:rPr>
        <w:t xml:space="preserve"> w</w:t>
      </w:r>
      <w:r w:rsidR="00ED36F4">
        <w:rPr>
          <w:noProof/>
        </w:rPr>
        <w:t> </w:t>
      </w:r>
      <w:r w:rsidR="00ED36F4" w:rsidRPr="00ED36F4">
        <w:rPr>
          <w:noProof/>
        </w:rPr>
        <w:t>dni</w:t>
      </w:r>
      <w:r w:rsidRPr="00ED36F4">
        <w:rPr>
          <w:noProof/>
        </w:rPr>
        <w:t>u 25 października 2024</w:t>
      </w:r>
      <w:r w:rsidR="00BE25DF" w:rsidRPr="00ED36F4">
        <w:rPr>
          <w:noProof/>
        </w:rPr>
        <w:t> </w:t>
      </w:r>
      <w:r w:rsidRPr="00ED36F4">
        <w:rPr>
          <w:noProof/>
        </w:rPr>
        <w:t>r.</w:t>
      </w:r>
      <w:r w:rsidR="00ED36F4" w:rsidRPr="00ED36F4">
        <w:rPr>
          <w:noProof/>
        </w:rPr>
        <w:t xml:space="preserve"> i</w:t>
      </w:r>
      <w:r w:rsidR="00ED36F4">
        <w:rPr>
          <w:noProof/>
        </w:rPr>
        <w:t> </w:t>
      </w:r>
      <w:r w:rsidR="00ED36F4" w:rsidRPr="00ED36F4">
        <w:rPr>
          <w:noProof/>
        </w:rPr>
        <w:t>sta</w:t>
      </w:r>
      <w:r w:rsidRPr="00ED36F4">
        <w:rPr>
          <w:noProof/>
        </w:rPr>
        <w:t>ła się stroną statutu</w:t>
      </w:r>
      <w:r w:rsidR="00ED36F4" w:rsidRPr="00ED36F4">
        <w:rPr>
          <w:noProof/>
        </w:rPr>
        <w:t xml:space="preserve"> w</w:t>
      </w:r>
      <w:r w:rsidR="00ED36F4">
        <w:rPr>
          <w:noProof/>
        </w:rPr>
        <w:t> </w:t>
      </w:r>
      <w:r w:rsidR="00ED36F4" w:rsidRPr="00ED36F4">
        <w:rPr>
          <w:noProof/>
        </w:rPr>
        <w:t>dni</w:t>
      </w:r>
      <w:r w:rsidRPr="00ED36F4">
        <w:rPr>
          <w:noProof/>
        </w:rPr>
        <w:t>u 1 stycznia 2025</w:t>
      </w:r>
      <w:r w:rsidR="00BE25DF" w:rsidRPr="00ED36F4">
        <w:rPr>
          <w:noProof/>
        </w:rPr>
        <w:t> </w:t>
      </w:r>
      <w:r w:rsidRPr="00ED36F4">
        <w:rPr>
          <w:noProof/>
        </w:rPr>
        <w:t>r., system jurysdykcji</w:t>
      </w:r>
      <w:r w:rsidR="00ED36F4" w:rsidRPr="00ED36F4">
        <w:rPr>
          <w:noProof/>
        </w:rPr>
        <w:t xml:space="preserve"> w</w:t>
      </w:r>
      <w:r w:rsidR="00ED36F4">
        <w:rPr>
          <w:noProof/>
        </w:rPr>
        <w:t> </w:t>
      </w:r>
      <w:r w:rsidR="00ED36F4" w:rsidRPr="00ED36F4">
        <w:rPr>
          <w:noProof/>
        </w:rPr>
        <w:t>odn</w:t>
      </w:r>
      <w:r w:rsidRPr="00ED36F4">
        <w:rPr>
          <w:noProof/>
        </w:rPr>
        <w:t>iesieniu do zbrodni agresji</w:t>
      </w:r>
      <w:r w:rsidR="00ED36F4" w:rsidRPr="00ED36F4">
        <w:rPr>
          <w:noProof/>
        </w:rPr>
        <w:t xml:space="preserve"> w</w:t>
      </w:r>
      <w:r w:rsidR="00ED36F4">
        <w:rPr>
          <w:noProof/>
        </w:rPr>
        <w:t> </w:t>
      </w:r>
      <w:r w:rsidR="00ED36F4" w:rsidRPr="00ED36F4">
        <w:rPr>
          <w:noProof/>
        </w:rPr>
        <w:t>sta</w:t>
      </w:r>
      <w:r w:rsidRPr="00ED36F4">
        <w:rPr>
          <w:noProof/>
        </w:rPr>
        <w:t>tucie rzymskim uniemożliwia Międzynarodowemu Trybunałowi Karnemu wykonywanie jurysdykcji</w:t>
      </w:r>
      <w:r w:rsidR="00ED36F4" w:rsidRPr="00ED36F4">
        <w:rPr>
          <w:noProof/>
        </w:rPr>
        <w:t xml:space="preserve"> w</w:t>
      </w:r>
      <w:r w:rsidR="00ED36F4">
        <w:rPr>
          <w:noProof/>
        </w:rPr>
        <w:t> </w:t>
      </w:r>
      <w:r w:rsidR="00ED36F4" w:rsidRPr="00ED36F4">
        <w:rPr>
          <w:noProof/>
        </w:rPr>
        <w:t>odn</w:t>
      </w:r>
      <w:r w:rsidRPr="00ED36F4">
        <w:rPr>
          <w:noProof/>
        </w:rPr>
        <w:t>iesieniu do zbrodni agresji</w:t>
      </w:r>
      <w:r w:rsidR="00ED36F4" w:rsidRPr="00ED36F4">
        <w:rPr>
          <w:noProof/>
        </w:rPr>
        <w:t xml:space="preserve"> w</w:t>
      </w:r>
      <w:r w:rsidR="00ED36F4">
        <w:rPr>
          <w:noProof/>
        </w:rPr>
        <w:t> </w:t>
      </w:r>
      <w:r w:rsidR="00ED36F4" w:rsidRPr="00ED36F4">
        <w:rPr>
          <w:noProof/>
        </w:rPr>
        <w:t>tym</w:t>
      </w:r>
      <w:r w:rsidRPr="00ED36F4">
        <w:rPr>
          <w:noProof/>
        </w:rPr>
        <w:t xml:space="preserve"> konkretnym kontekście;</w:t>
      </w:r>
    </w:p>
    <w:p w14:paraId="7E34AD49" w14:textId="0692C255" w:rsidR="004A0762" w:rsidRPr="00ED36F4" w:rsidRDefault="004A0762" w:rsidP="004A0762">
      <w:pPr>
        <w:rPr>
          <w:noProof/>
        </w:rPr>
      </w:pPr>
      <w:r w:rsidRPr="00ED36F4">
        <w:rPr>
          <w:noProof/>
        </w:rPr>
        <w:t>uznając wysiłki Międzynarodowego Centrum Ścigania Zbrodni Agresji przeciwko Ukrainie (ICPA) na rzecz koordynowania oraz wspierania krajowych dochodzeń</w:t>
      </w:r>
      <w:r w:rsidR="00ED36F4" w:rsidRPr="00ED36F4">
        <w:rPr>
          <w:noProof/>
        </w:rPr>
        <w:t xml:space="preserve"> w</w:t>
      </w:r>
      <w:r w:rsidR="00ED36F4">
        <w:rPr>
          <w:noProof/>
        </w:rPr>
        <w:t> </w:t>
      </w:r>
      <w:r w:rsidR="00ED36F4" w:rsidRPr="00ED36F4">
        <w:rPr>
          <w:noProof/>
        </w:rPr>
        <w:t>spr</w:t>
      </w:r>
      <w:r w:rsidRPr="00ED36F4">
        <w:rPr>
          <w:noProof/>
        </w:rPr>
        <w:t>awie zbrodni agresji przeciwko Ukrainie</w:t>
      </w:r>
      <w:r w:rsidR="00ED36F4" w:rsidRPr="00ED36F4">
        <w:rPr>
          <w:noProof/>
        </w:rPr>
        <w:t xml:space="preserve"> w</w:t>
      </w:r>
      <w:r w:rsidR="00ED36F4">
        <w:rPr>
          <w:noProof/>
        </w:rPr>
        <w:t> </w:t>
      </w:r>
      <w:r w:rsidR="00ED36F4" w:rsidRPr="00ED36F4">
        <w:rPr>
          <w:noProof/>
        </w:rPr>
        <w:t>cel</w:t>
      </w:r>
      <w:r w:rsidRPr="00ED36F4">
        <w:rPr>
          <w:noProof/>
        </w:rPr>
        <w:t>u zapewnienia odpowiedniego dochodzenia</w:t>
      </w:r>
      <w:r w:rsidR="00ED36F4" w:rsidRPr="00ED36F4">
        <w:rPr>
          <w:noProof/>
        </w:rPr>
        <w:t xml:space="preserve"> w</w:t>
      </w:r>
      <w:r w:rsidR="00ED36F4">
        <w:rPr>
          <w:noProof/>
        </w:rPr>
        <w:t> </w:t>
      </w:r>
      <w:r w:rsidR="00ED36F4" w:rsidRPr="00ED36F4">
        <w:rPr>
          <w:noProof/>
        </w:rPr>
        <w:t>spr</w:t>
      </w:r>
      <w:r w:rsidRPr="00ED36F4">
        <w:rPr>
          <w:noProof/>
        </w:rPr>
        <w:t>awie zbrodni agresji;</w:t>
      </w:r>
    </w:p>
    <w:p w14:paraId="45E8CE98" w14:textId="4DE990E1" w:rsidR="004A0762" w:rsidRPr="00ED36F4" w:rsidRDefault="004A0762" w:rsidP="004A0762">
      <w:pPr>
        <w:rPr>
          <w:noProof/>
        </w:rPr>
      </w:pPr>
      <w:r w:rsidRPr="00ED36F4">
        <w:rPr>
          <w:noProof/>
        </w:rPr>
        <w:t>przypominając, że Zgromadzenie Ogólne Narodów Zjednoczonych</w:t>
      </w:r>
      <w:r w:rsidR="00ED36F4" w:rsidRPr="00ED36F4">
        <w:rPr>
          <w:noProof/>
        </w:rPr>
        <w:t xml:space="preserve"> w</w:t>
      </w:r>
      <w:r w:rsidR="00ED36F4">
        <w:rPr>
          <w:noProof/>
        </w:rPr>
        <w:t> </w:t>
      </w:r>
      <w:r w:rsidR="00ED36F4" w:rsidRPr="00ED36F4">
        <w:rPr>
          <w:noProof/>
        </w:rPr>
        <w:t>rez</w:t>
      </w:r>
      <w:r w:rsidRPr="00ED36F4">
        <w:rPr>
          <w:noProof/>
        </w:rPr>
        <w:t>olucji A/RES/79/284</w:t>
      </w:r>
      <w:r w:rsidR="00ED36F4" w:rsidRPr="00ED36F4">
        <w:rPr>
          <w:noProof/>
        </w:rPr>
        <w:t xml:space="preserve"> z</w:t>
      </w:r>
      <w:r w:rsidR="00ED36F4">
        <w:rPr>
          <w:noProof/>
        </w:rPr>
        <w:t> </w:t>
      </w:r>
      <w:r w:rsidR="00ED36F4" w:rsidRPr="00ED36F4">
        <w:rPr>
          <w:noProof/>
        </w:rPr>
        <w:t>dni</w:t>
      </w:r>
      <w:r w:rsidRPr="00ED36F4">
        <w:rPr>
          <w:noProof/>
        </w:rPr>
        <w:t>a 16 kwietnia 2025</w:t>
      </w:r>
      <w:r w:rsidR="00BE25DF" w:rsidRPr="00ED36F4">
        <w:rPr>
          <w:noProof/>
        </w:rPr>
        <w:t> </w:t>
      </w:r>
      <w:r w:rsidRPr="00ED36F4">
        <w:rPr>
          <w:noProof/>
        </w:rPr>
        <w:t>r. uznało wkład Rady Europy</w:t>
      </w:r>
      <w:r w:rsidR="00ED36F4" w:rsidRPr="00ED36F4">
        <w:rPr>
          <w:noProof/>
        </w:rPr>
        <w:t xml:space="preserve"> w</w:t>
      </w:r>
      <w:r w:rsidR="00ED36F4">
        <w:rPr>
          <w:noProof/>
        </w:rPr>
        <w:t> </w:t>
      </w:r>
      <w:r w:rsidR="00ED36F4" w:rsidRPr="00ED36F4">
        <w:rPr>
          <w:noProof/>
        </w:rPr>
        <w:t>pra</w:t>
      </w:r>
      <w:r w:rsidRPr="00ED36F4">
        <w:rPr>
          <w:noProof/>
        </w:rPr>
        <w:t>ce Grupy Głównej nad utworzeniem specjalnego trybunału do spraw zbrodni agresji przeciwko Ukrainie oraz jej gotowość do przeanalizowania możliwych wariantów zapewnienia wsparcia eksperckiego</w:t>
      </w:r>
      <w:r w:rsidR="00ED36F4" w:rsidRPr="00ED36F4">
        <w:rPr>
          <w:noProof/>
        </w:rPr>
        <w:t xml:space="preserve"> i</w:t>
      </w:r>
      <w:r w:rsidR="00ED36F4">
        <w:rPr>
          <w:noProof/>
        </w:rPr>
        <w:t> </w:t>
      </w:r>
      <w:r w:rsidR="00ED36F4" w:rsidRPr="00ED36F4">
        <w:rPr>
          <w:noProof/>
        </w:rPr>
        <w:t>tec</w:t>
      </w:r>
      <w:r w:rsidRPr="00ED36F4">
        <w:rPr>
          <w:noProof/>
        </w:rPr>
        <w:t>hnicznego na potrzeby utworzenia oraz, odpowiednio, funkcjonowania takiego specjalnego trybunału;</w:t>
      </w:r>
    </w:p>
    <w:p w14:paraId="0F4A677A" w14:textId="2A94C452" w:rsidR="004A0762" w:rsidRPr="00ED36F4" w:rsidRDefault="004A0762" w:rsidP="004A0762">
      <w:pPr>
        <w:rPr>
          <w:noProof/>
        </w:rPr>
      </w:pPr>
      <w:r w:rsidRPr="00ED36F4">
        <w:rPr>
          <w:noProof/>
        </w:rPr>
        <w:t>uwzględniając rezolucję statutową</w:t>
      </w:r>
      <w:bookmarkStart w:id="1" w:name="_ML_000000000007_VALID"/>
      <w:r w:rsidRPr="00ED36F4">
        <w:rPr>
          <w:noProof/>
        </w:rPr>
        <w:t xml:space="preserve"> </w:t>
      </w:r>
      <w:hyperlink r:id="rId14" w:anchor="%7B%22CoEReference%22:[%22Res(93)28%22],%22CoELanguageId%22:[%22eng%22],%22CoECollection%22:[%22COE_DOC%22],%22po%22:%7B%22ref%22:%22=%22%7D%7D" w:tooltip="Rezolucja statutowa w sprawie porozumień częściowych i rozszerzonych" w:history="1">
        <w:bookmarkEnd w:id="1"/>
        <w:r w:rsidRPr="00ED36F4">
          <w:rPr>
            <w:rStyle w:val="Hyperlink"/>
            <w:noProof/>
            <w:color w:val="auto"/>
            <w:u w:val="none"/>
          </w:rPr>
          <w:t>Res(93)28</w:t>
        </w:r>
      </w:hyperlink>
      <w:r w:rsidRPr="00ED36F4">
        <w:rPr>
          <w:noProof/>
        </w:rPr>
        <w:t xml:space="preserve"> Komitetu Ministrów</w:t>
      </w:r>
      <w:r w:rsidR="00ED36F4" w:rsidRPr="00ED36F4">
        <w:rPr>
          <w:noProof/>
        </w:rPr>
        <w:t xml:space="preserve"> w</w:t>
      </w:r>
      <w:r w:rsidR="00ED36F4">
        <w:rPr>
          <w:noProof/>
        </w:rPr>
        <w:t> </w:t>
      </w:r>
      <w:r w:rsidR="00ED36F4" w:rsidRPr="00ED36F4">
        <w:rPr>
          <w:noProof/>
        </w:rPr>
        <w:t>spr</w:t>
      </w:r>
      <w:r w:rsidRPr="00ED36F4">
        <w:rPr>
          <w:noProof/>
        </w:rPr>
        <w:t>awie porozumień częściowych</w:t>
      </w:r>
      <w:r w:rsidR="00ED36F4" w:rsidRPr="00ED36F4">
        <w:rPr>
          <w:noProof/>
        </w:rPr>
        <w:t xml:space="preserve"> i</w:t>
      </w:r>
      <w:r w:rsidR="00ED36F4">
        <w:rPr>
          <w:noProof/>
        </w:rPr>
        <w:t> </w:t>
      </w:r>
      <w:r w:rsidR="00ED36F4" w:rsidRPr="00ED36F4">
        <w:rPr>
          <w:noProof/>
        </w:rPr>
        <w:t>roz</w:t>
      </w:r>
      <w:r w:rsidRPr="00ED36F4">
        <w:rPr>
          <w:noProof/>
        </w:rPr>
        <w:t>szerzonych;</w:t>
      </w:r>
    </w:p>
    <w:p w14:paraId="34706706" w14:textId="39049AFA" w:rsidR="004A0762" w:rsidRPr="00ED36F4" w:rsidRDefault="004A0762" w:rsidP="004A0762">
      <w:pPr>
        <w:rPr>
          <w:noProof/>
        </w:rPr>
      </w:pPr>
      <w:r w:rsidRPr="00ED36F4">
        <w:rPr>
          <w:noProof/>
        </w:rPr>
        <w:t>uwzględniając rezolucję</w:t>
      </w:r>
      <w:bookmarkStart w:id="2" w:name="_ML_000000000008_VALID"/>
      <w:r w:rsidRPr="00ED36F4">
        <w:rPr>
          <w:noProof/>
        </w:rPr>
        <w:t xml:space="preserve"> </w:t>
      </w:r>
      <w:hyperlink r:id="rId15" w:anchor="%7B%22CoEReference%22:[%22Res(96)36%22],%22CoELanguageId%22:[%22eng%22],%22CoECollection%22:[%22COE_DOC%22],%22po%22:%7B%22ref%22:%22=%22%7D%7D" w:tooltip="ustanawiająca kryteria dla porozumień częściowych i rozszerzonych Rady Europy" w:history="1">
        <w:bookmarkEnd w:id="2"/>
        <w:r w:rsidRPr="00ED36F4">
          <w:rPr>
            <w:rStyle w:val="Hyperlink"/>
            <w:noProof/>
            <w:color w:val="auto"/>
            <w:u w:val="none"/>
          </w:rPr>
          <w:t>Res(96)36</w:t>
        </w:r>
      </w:hyperlink>
      <w:r w:rsidRPr="00ED36F4">
        <w:rPr>
          <w:noProof/>
        </w:rPr>
        <w:t xml:space="preserve"> Komitetu Ministrów ustanawiającą kryteria dla porozumień częściowych</w:t>
      </w:r>
      <w:r w:rsidR="00ED36F4" w:rsidRPr="00ED36F4">
        <w:rPr>
          <w:noProof/>
        </w:rPr>
        <w:t xml:space="preserve"> i</w:t>
      </w:r>
      <w:r w:rsidR="00ED36F4">
        <w:rPr>
          <w:noProof/>
        </w:rPr>
        <w:t> </w:t>
      </w:r>
      <w:r w:rsidR="00ED36F4" w:rsidRPr="00ED36F4">
        <w:rPr>
          <w:noProof/>
        </w:rPr>
        <w:t>roz</w:t>
      </w:r>
      <w:r w:rsidRPr="00ED36F4">
        <w:rPr>
          <w:noProof/>
        </w:rPr>
        <w:t>szerzonych Rady Europy, zmienioną rezolucją</w:t>
      </w:r>
      <w:bookmarkStart w:id="3" w:name="_ML_000000000009_VALID"/>
      <w:r w:rsidRPr="00ED36F4">
        <w:rPr>
          <w:noProof/>
        </w:rPr>
        <w:t xml:space="preserve"> </w:t>
      </w:r>
      <w:hyperlink r:id="rId16" w:anchor="%7B%22CoEReference%22:[%22CM/Res(2010)2%22],%22CoELanguageId%22:[%22eng%22],%22CoECollection%22:[%22COE_DOC%22],%22po%22:%7B%22ref%22:%22=%22%7D%7D" w:tooltip="Rezolucja zmieniająca rezolucję (96) 36 ustanawiającą kryteria dla porozumień częściowych i rozszerzonych Rady Europy (przyjęta przez Komitet Ministrów w dniu 5 maja 2010 r. na 1084. posiedzeniu delegatów ministrów)" w:history="1">
        <w:bookmarkEnd w:id="3"/>
        <w:r w:rsidRPr="00ED36F4">
          <w:rPr>
            <w:rStyle w:val="Hyperlink"/>
            <w:noProof/>
            <w:color w:val="auto"/>
            <w:u w:val="none"/>
          </w:rPr>
          <w:t>CM/Res(2010)2</w:t>
        </w:r>
      </w:hyperlink>
      <w:r w:rsidRPr="00ED36F4">
        <w:rPr>
          <w:noProof/>
        </w:rPr>
        <w:t xml:space="preserve">; </w:t>
      </w:r>
    </w:p>
    <w:p w14:paraId="572D1164" w14:textId="635E1411" w:rsidR="004A0762" w:rsidRPr="00ED36F4" w:rsidRDefault="004A0762" w:rsidP="004A0762">
      <w:pPr>
        <w:rPr>
          <w:noProof/>
        </w:rPr>
      </w:pPr>
      <w:r w:rsidRPr="00ED36F4">
        <w:rPr>
          <w:noProof/>
        </w:rPr>
        <w:t>świadomi potrzeby stworzenia forum, na którym podmioty niebędące członkami Rady Europy mogą również uczestniczyć</w:t>
      </w:r>
      <w:r w:rsidR="00ED36F4" w:rsidRPr="00ED36F4">
        <w:rPr>
          <w:noProof/>
        </w:rPr>
        <w:t xml:space="preserve"> w</w:t>
      </w:r>
      <w:r w:rsidR="00ED36F4">
        <w:rPr>
          <w:noProof/>
        </w:rPr>
        <w:t> </w:t>
      </w:r>
      <w:r w:rsidR="00ED36F4" w:rsidRPr="00ED36F4">
        <w:rPr>
          <w:noProof/>
        </w:rPr>
        <w:t>ini</w:t>
      </w:r>
      <w:r w:rsidRPr="00ED36F4">
        <w:rPr>
          <w:noProof/>
        </w:rPr>
        <w:t>cjatywach Rady Europy mających na celu zwalczanie bezkarności sprawców zbrodni międzynarodowych;</w:t>
      </w:r>
    </w:p>
    <w:p w14:paraId="77011CB7" w14:textId="48939A32" w:rsidR="004A0762" w:rsidRPr="00ED36F4" w:rsidRDefault="004A0762" w:rsidP="004A0762">
      <w:pPr>
        <w:rPr>
          <w:noProof/>
        </w:rPr>
      </w:pPr>
      <w:r w:rsidRPr="00ED36F4">
        <w:rPr>
          <w:noProof/>
        </w:rPr>
        <w:t>uwzględniając decyzje</w:t>
      </w:r>
      <w:r w:rsidR="00ED36F4" w:rsidRPr="00ED36F4">
        <w:rPr>
          <w:noProof/>
        </w:rPr>
        <w:t xml:space="preserve"> z</w:t>
      </w:r>
      <w:r w:rsidR="00ED36F4">
        <w:rPr>
          <w:noProof/>
        </w:rPr>
        <w:t> </w:t>
      </w:r>
      <w:r w:rsidR="00ED36F4" w:rsidRPr="00ED36F4">
        <w:rPr>
          <w:noProof/>
        </w:rPr>
        <w:t>dni</w:t>
      </w:r>
      <w:r w:rsidRPr="00ED36F4">
        <w:rPr>
          <w:noProof/>
        </w:rPr>
        <w:t>a 24 czerwca 2025</w:t>
      </w:r>
      <w:r w:rsidR="00BE25DF" w:rsidRPr="00ED36F4">
        <w:rPr>
          <w:noProof/>
        </w:rPr>
        <w:t> </w:t>
      </w:r>
      <w:r w:rsidRPr="00ED36F4">
        <w:rPr>
          <w:noProof/>
        </w:rPr>
        <w:t>r., na mocy których Komitet Ministrów zezwolił na ustanowienie Komitetu Zarządzającego Specjalnego Trybunału do spraw Zbrodni Agresji przeciwko Ukrainie (zwanego dalej „Komitetem Zarządzającym”)</w:t>
      </w:r>
      <w:r w:rsidR="00ED36F4" w:rsidRPr="00ED36F4">
        <w:rPr>
          <w:noProof/>
        </w:rPr>
        <w:t xml:space="preserve"> w</w:t>
      </w:r>
      <w:r w:rsidR="00ED36F4">
        <w:rPr>
          <w:noProof/>
        </w:rPr>
        <w:t> </w:t>
      </w:r>
      <w:r w:rsidR="00ED36F4" w:rsidRPr="00ED36F4">
        <w:rPr>
          <w:noProof/>
        </w:rPr>
        <w:t>for</w:t>
      </w:r>
      <w:r w:rsidRPr="00ED36F4">
        <w:rPr>
          <w:noProof/>
        </w:rPr>
        <w:t>mie rozszerzonego porozumienia częściowego</w:t>
      </w:r>
      <w:r w:rsidR="00ED36F4" w:rsidRPr="00ED36F4">
        <w:rPr>
          <w:noProof/>
        </w:rPr>
        <w:t xml:space="preserve"> w</w:t>
      </w:r>
      <w:r w:rsidR="00ED36F4">
        <w:rPr>
          <w:noProof/>
        </w:rPr>
        <w:t> </w:t>
      </w:r>
      <w:r w:rsidR="00ED36F4" w:rsidRPr="00ED36F4">
        <w:rPr>
          <w:noProof/>
        </w:rPr>
        <w:t>ram</w:t>
      </w:r>
      <w:r w:rsidRPr="00ED36F4">
        <w:rPr>
          <w:noProof/>
        </w:rPr>
        <w:t>ach Rady Europy oraz upoważnił Sekretarza Generalnego Rady Europy (zwanego dalej „Sekretarzem Generalnym”) do podpisania</w:t>
      </w:r>
      <w:r w:rsidR="00ED36F4" w:rsidRPr="00ED36F4">
        <w:rPr>
          <w:noProof/>
        </w:rPr>
        <w:t xml:space="preserve"> w</w:t>
      </w:r>
      <w:r w:rsidR="00ED36F4">
        <w:rPr>
          <w:noProof/>
        </w:rPr>
        <w:t> </w:t>
      </w:r>
      <w:r w:rsidR="00ED36F4" w:rsidRPr="00ED36F4">
        <w:rPr>
          <w:noProof/>
        </w:rPr>
        <w:t>imi</w:t>
      </w:r>
      <w:r w:rsidRPr="00ED36F4">
        <w:rPr>
          <w:noProof/>
        </w:rPr>
        <w:t>eniu Rady Europy Umowy między Radą Europy</w:t>
      </w:r>
      <w:r w:rsidR="00ED36F4" w:rsidRPr="00ED36F4">
        <w:rPr>
          <w:noProof/>
        </w:rPr>
        <w:t xml:space="preserve"> a</w:t>
      </w:r>
      <w:r w:rsidR="00ED36F4">
        <w:rPr>
          <w:noProof/>
        </w:rPr>
        <w:t> </w:t>
      </w:r>
      <w:r w:rsidR="00ED36F4" w:rsidRPr="00ED36F4">
        <w:rPr>
          <w:noProof/>
        </w:rPr>
        <w:t>Ukr</w:t>
      </w:r>
      <w:r w:rsidRPr="00ED36F4">
        <w:rPr>
          <w:noProof/>
        </w:rPr>
        <w:t>ainą</w:t>
      </w:r>
      <w:r w:rsidR="00ED36F4" w:rsidRPr="00ED36F4">
        <w:rPr>
          <w:noProof/>
        </w:rPr>
        <w:t xml:space="preserve"> w</w:t>
      </w:r>
      <w:r w:rsidR="00ED36F4">
        <w:rPr>
          <w:noProof/>
        </w:rPr>
        <w:t> </w:t>
      </w:r>
      <w:r w:rsidR="00ED36F4" w:rsidRPr="00ED36F4">
        <w:rPr>
          <w:noProof/>
        </w:rPr>
        <w:t>spr</w:t>
      </w:r>
      <w:r w:rsidRPr="00ED36F4">
        <w:rPr>
          <w:noProof/>
        </w:rPr>
        <w:t>awie ustanowienia Specjalnego Trybunału do spraw Zbrodni Agresji przeciwko Ukrainie (zwanej dalej „Umową”),</w:t>
      </w:r>
    </w:p>
    <w:p w14:paraId="00B78E32" w14:textId="4E7C4E33" w:rsidR="004A0762" w:rsidRPr="00ED36F4" w:rsidRDefault="004A0762" w:rsidP="004A0762">
      <w:pPr>
        <w:rPr>
          <w:noProof/>
        </w:rPr>
      </w:pPr>
      <w:r w:rsidRPr="00ED36F4">
        <w:rPr>
          <w:noProof/>
        </w:rPr>
        <w:t>postanawiają</w:t>
      </w:r>
      <w:r w:rsidR="00ED36F4" w:rsidRPr="00ED36F4">
        <w:rPr>
          <w:noProof/>
        </w:rPr>
        <w:t xml:space="preserve"> o</w:t>
      </w:r>
      <w:r w:rsidR="00ED36F4">
        <w:rPr>
          <w:noProof/>
        </w:rPr>
        <w:t> </w:t>
      </w:r>
      <w:r w:rsidR="00ED36F4" w:rsidRPr="00ED36F4">
        <w:rPr>
          <w:noProof/>
        </w:rPr>
        <w:t>ust</w:t>
      </w:r>
      <w:r w:rsidRPr="00ED36F4">
        <w:rPr>
          <w:noProof/>
        </w:rPr>
        <w:t>anowieniu rozszerzonego porozumienia częściowego</w:t>
      </w:r>
      <w:r w:rsidR="00ED36F4" w:rsidRPr="00ED36F4">
        <w:rPr>
          <w:noProof/>
        </w:rPr>
        <w:t xml:space="preserve"> w</w:t>
      </w:r>
      <w:r w:rsidR="00ED36F4">
        <w:rPr>
          <w:noProof/>
        </w:rPr>
        <w:t> </w:t>
      </w:r>
      <w:r w:rsidR="00ED36F4" w:rsidRPr="00ED36F4">
        <w:rPr>
          <w:noProof/>
        </w:rPr>
        <w:t>spr</w:t>
      </w:r>
      <w:r w:rsidRPr="00ED36F4">
        <w:rPr>
          <w:noProof/>
        </w:rPr>
        <w:t>awie Komitetu Zarządzającego Specjalnego Trybunału do spraw Zbrodni Agresji przeciwko Ukrainie, regulowanego Statutem Komitetu Zarządzającego Specjalnego Trybunału do spraw Zbrodni Agresji przeciwko Ukrainie (zwanym dalej „Statutem”) załączonym do niniejszej rezolucji;</w:t>
      </w:r>
    </w:p>
    <w:p w14:paraId="1CD6D56E" w14:textId="4C06B03C" w:rsidR="004A0762" w:rsidRPr="00ED36F4" w:rsidRDefault="004A0762" w:rsidP="004A0762">
      <w:pPr>
        <w:rPr>
          <w:noProof/>
        </w:rPr>
      </w:pPr>
      <w:r w:rsidRPr="00ED36F4">
        <w:rPr>
          <w:noProof/>
        </w:rPr>
        <w:t>zapraszają wszystkie państwa członkowskie</w:t>
      </w:r>
      <w:r w:rsidR="00ED36F4" w:rsidRPr="00ED36F4">
        <w:rPr>
          <w:noProof/>
        </w:rPr>
        <w:t xml:space="preserve"> i</w:t>
      </w:r>
      <w:r w:rsidR="00ED36F4">
        <w:rPr>
          <w:noProof/>
        </w:rPr>
        <w:t> </w:t>
      </w:r>
      <w:r w:rsidR="00ED36F4" w:rsidRPr="00ED36F4">
        <w:rPr>
          <w:noProof/>
        </w:rPr>
        <w:t>pań</w:t>
      </w:r>
      <w:r w:rsidRPr="00ED36F4">
        <w:rPr>
          <w:noProof/>
        </w:rPr>
        <w:t>stwa będące obserwatorami Rady Europy,</w:t>
      </w:r>
      <w:r w:rsidR="00ED36F4" w:rsidRPr="00ED36F4">
        <w:rPr>
          <w:noProof/>
        </w:rPr>
        <w:t xml:space="preserve"> a</w:t>
      </w:r>
      <w:r w:rsidR="00ED36F4">
        <w:rPr>
          <w:noProof/>
        </w:rPr>
        <w:t> </w:t>
      </w:r>
      <w:r w:rsidR="00ED36F4" w:rsidRPr="00ED36F4">
        <w:rPr>
          <w:noProof/>
        </w:rPr>
        <w:t>tak</w:t>
      </w:r>
      <w:r w:rsidRPr="00ED36F4">
        <w:rPr>
          <w:noProof/>
        </w:rPr>
        <w:t>że inne państwa</w:t>
      </w:r>
      <w:r w:rsidR="00ED36F4" w:rsidRPr="00ED36F4">
        <w:rPr>
          <w:noProof/>
        </w:rPr>
        <w:t xml:space="preserve"> i</w:t>
      </w:r>
      <w:r w:rsidR="00ED36F4">
        <w:rPr>
          <w:noProof/>
        </w:rPr>
        <w:t> </w:t>
      </w:r>
      <w:r w:rsidR="00ED36F4" w:rsidRPr="00ED36F4">
        <w:rPr>
          <w:noProof/>
        </w:rPr>
        <w:t>org</w:t>
      </w:r>
      <w:r w:rsidRPr="00ED36F4">
        <w:rPr>
          <w:noProof/>
        </w:rPr>
        <w:t>anizacje międzynarodowe do przystąpienia do tego rozszerzonego porozumienia częściowego, zgodnie</w:t>
      </w:r>
      <w:r w:rsidR="00ED36F4" w:rsidRPr="00ED36F4">
        <w:rPr>
          <w:noProof/>
        </w:rPr>
        <w:t xml:space="preserve"> z</w:t>
      </w:r>
      <w:r w:rsidR="00ED36F4">
        <w:rPr>
          <w:noProof/>
        </w:rPr>
        <w:t> </w:t>
      </w:r>
      <w:r w:rsidR="00ED36F4" w:rsidRPr="00ED36F4">
        <w:rPr>
          <w:noProof/>
        </w:rPr>
        <w:t>pon</w:t>
      </w:r>
      <w:r w:rsidRPr="00ED36F4">
        <w:rPr>
          <w:noProof/>
        </w:rPr>
        <w:t>iższym Statutem;</w:t>
      </w:r>
    </w:p>
    <w:p w14:paraId="78C69874" w14:textId="7F51D9B6" w:rsidR="004A0762" w:rsidRPr="00ED36F4" w:rsidRDefault="004A0762" w:rsidP="004A0762">
      <w:pPr>
        <w:rPr>
          <w:noProof/>
        </w:rPr>
      </w:pPr>
      <w:r w:rsidRPr="00ED36F4">
        <w:rPr>
          <w:noProof/>
        </w:rPr>
        <w:t>wzywają wszystkie państwa członkowskie</w:t>
      </w:r>
      <w:r w:rsidR="00ED36F4" w:rsidRPr="00ED36F4">
        <w:rPr>
          <w:noProof/>
        </w:rPr>
        <w:t xml:space="preserve"> i</w:t>
      </w:r>
      <w:r w:rsidR="00ED36F4">
        <w:rPr>
          <w:noProof/>
        </w:rPr>
        <w:t> </w:t>
      </w:r>
      <w:r w:rsidR="00ED36F4" w:rsidRPr="00ED36F4">
        <w:rPr>
          <w:noProof/>
        </w:rPr>
        <w:t>pań</w:t>
      </w:r>
      <w:r w:rsidRPr="00ED36F4">
        <w:rPr>
          <w:noProof/>
        </w:rPr>
        <w:t>stwa będące obserwatorami Rady Europy, Unię Europejską, Organizację Narodów Zjednoczonych,</w:t>
      </w:r>
      <w:r w:rsidR="00ED36F4" w:rsidRPr="00ED36F4">
        <w:rPr>
          <w:noProof/>
        </w:rPr>
        <w:t xml:space="preserve"> a</w:t>
      </w:r>
      <w:r w:rsidR="00ED36F4">
        <w:rPr>
          <w:noProof/>
        </w:rPr>
        <w:t> </w:t>
      </w:r>
      <w:r w:rsidR="00ED36F4" w:rsidRPr="00ED36F4">
        <w:rPr>
          <w:noProof/>
        </w:rPr>
        <w:t>tak</w:t>
      </w:r>
      <w:r w:rsidRPr="00ED36F4">
        <w:rPr>
          <w:noProof/>
        </w:rPr>
        <w:t>że inne państwa oraz organizacje międzynarodowe do współpracy</w:t>
      </w:r>
      <w:r w:rsidR="00ED36F4" w:rsidRPr="00ED36F4">
        <w:rPr>
          <w:noProof/>
        </w:rPr>
        <w:t xml:space="preserve"> z</w:t>
      </w:r>
      <w:r w:rsidR="00ED36F4">
        <w:rPr>
          <w:noProof/>
        </w:rPr>
        <w:t> </w:t>
      </w:r>
      <w:r w:rsidR="00ED36F4" w:rsidRPr="00ED36F4">
        <w:rPr>
          <w:noProof/>
        </w:rPr>
        <w:t>Kom</w:t>
      </w:r>
      <w:r w:rsidRPr="00ED36F4">
        <w:rPr>
          <w:noProof/>
        </w:rPr>
        <w:t>itetem Zarządzającym</w:t>
      </w:r>
      <w:r w:rsidR="00ED36F4" w:rsidRPr="00ED36F4">
        <w:rPr>
          <w:noProof/>
        </w:rPr>
        <w:t xml:space="preserve"> i</w:t>
      </w:r>
      <w:r w:rsidR="00ED36F4">
        <w:rPr>
          <w:noProof/>
        </w:rPr>
        <w:t> </w:t>
      </w:r>
      <w:r w:rsidR="00ED36F4" w:rsidRPr="00ED36F4">
        <w:rPr>
          <w:noProof/>
        </w:rPr>
        <w:t>Spe</w:t>
      </w:r>
      <w:r w:rsidRPr="00ED36F4">
        <w:rPr>
          <w:noProof/>
        </w:rPr>
        <w:t>cjalnym Trybunałem</w:t>
      </w:r>
      <w:r w:rsidR="00ED36F4" w:rsidRPr="00ED36F4">
        <w:rPr>
          <w:noProof/>
        </w:rPr>
        <w:t xml:space="preserve"> w</w:t>
      </w:r>
      <w:r w:rsidR="00ED36F4">
        <w:rPr>
          <w:noProof/>
        </w:rPr>
        <w:t> </w:t>
      </w:r>
      <w:r w:rsidR="00ED36F4" w:rsidRPr="00ED36F4">
        <w:rPr>
          <w:noProof/>
        </w:rPr>
        <w:t>cel</w:t>
      </w:r>
      <w:r w:rsidRPr="00ED36F4">
        <w:rPr>
          <w:noProof/>
        </w:rPr>
        <w:t>u usprawnienia jego pracy oraz wykonywania jego mandatu.</w:t>
      </w:r>
    </w:p>
    <w:p w14:paraId="75D38805" w14:textId="067BAE09" w:rsidR="004A0762" w:rsidRPr="00ED36F4" w:rsidRDefault="004A0762" w:rsidP="004A0762">
      <w:pPr>
        <w:rPr>
          <w:i/>
          <w:iCs/>
          <w:noProof/>
        </w:rPr>
      </w:pPr>
      <w:r w:rsidRPr="00ED36F4">
        <w:rPr>
          <w:i/>
          <w:noProof/>
        </w:rPr>
        <w:t>Dodatek do rezolucji CM/Res(2026)…</w:t>
      </w:r>
    </w:p>
    <w:p w14:paraId="4F16235F" w14:textId="77777777" w:rsidR="004A0762" w:rsidRPr="00ED36F4" w:rsidRDefault="004A0762" w:rsidP="004A0762">
      <w:pPr>
        <w:rPr>
          <w:b/>
          <w:bCs/>
          <w:noProof/>
        </w:rPr>
      </w:pPr>
      <w:r w:rsidRPr="00ED36F4">
        <w:rPr>
          <w:b/>
          <w:noProof/>
        </w:rPr>
        <w:t>Statut Komitetu Zarządzającego Specjalnego Trybunału do spraw Zbrodni Agresji przeciwko Ukrainie</w:t>
      </w:r>
    </w:p>
    <w:p w14:paraId="1F57E195" w14:textId="77777777" w:rsidR="004A0762" w:rsidRPr="00ED36F4" w:rsidRDefault="004A0762" w:rsidP="004A0762">
      <w:pPr>
        <w:rPr>
          <w:b/>
          <w:bCs/>
          <w:noProof/>
        </w:rPr>
      </w:pPr>
      <w:r w:rsidRPr="00ED36F4">
        <w:rPr>
          <w:b/>
          <w:noProof/>
        </w:rPr>
        <w:t>Artykuł 1 – Cel Komitetu Zarządzającego</w:t>
      </w:r>
    </w:p>
    <w:p w14:paraId="0975E474" w14:textId="45A37CBE" w:rsidR="004A0762" w:rsidRPr="00ED36F4" w:rsidRDefault="004A0762" w:rsidP="004A0762">
      <w:pPr>
        <w:rPr>
          <w:noProof/>
        </w:rPr>
      </w:pPr>
      <w:r w:rsidRPr="00ED36F4">
        <w:rPr>
          <w:noProof/>
        </w:rPr>
        <w:t>1.</w:t>
      </w:r>
      <w:r w:rsidRPr="00ED36F4">
        <w:rPr>
          <w:noProof/>
        </w:rPr>
        <w:tab/>
        <w:t>Niniejszym ustanawia się Komitet Zarządzający jako platformę współpracy międzyrządowej, działającą</w:t>
      </w:r>
      <w:r w:rsidR="00ED36F4" w:rsidRPr="00ED36F4">
        <w:rPr>
          <w:noProof/>
        </w:rPr>
        <w:t xml:space="preserve"> w</w:t>
      </w:r>
      <w:r w:rsidR="00ED36F4">
        <w:rPr>
          <w:noProof/>
        </w:rPr>
        <w:t> </w:t>
      </w:r>
      <w:r w:rsidR="00ED36F4" w:rsidRPr="00ED36F4">
        <w:rPr>
          <w:noProof/>
        </w:rPr>
        <w:t>ram</w:t>
      </w:r>
      <w:r w:rsidRPr="00ED36F4">
        <w:rPr>
          <w:noProof/>
        </w:rPr>
        <w:t>ach instytucjonalnych Rady Europy.</w:t>
      </w:r>
    </w:p>
    <w:p w14:paraId="0AC9E905" w14:textId="3C51E2A0" w:rsidR="004A0762" w:rsidRPr="00ED36F4" w:rsidRDefault="004A0762" w:rsidP="004A0762">
      <w:pPr>
        <w:rPr>
          <w:noProof/>
        </w:rPr>
      </w:pPr>
      <w:r w:rsidRPr="00ED36F4">
        <w:rPr>
          <w:noProof/>
        </w:rPr>
        <w:t>2.</w:t>
      </w:r>
      <w:r w:rsidRPr="00ED36F4">
        <w:rPr>
          <w:noProof/>
        </w:rPr>
        <w:tab/>
        <w:t>Celem rozszerzonego porozumienia częściowego</w:t>
      </w:r>
      <w:r w:rsidR="00ED36F4" w:rsidRPr="00ED36F4">
        <w:rPr>
          <w:noProof/>
        </w:rPr>
        <w:t xml:space="preserve"> w</w:t>
      </w:r>
      <w:r w:rsidR="00ED36F4">
        <w:rPr>
          <w:noProof/>
        </w:rPr>
        <w:t> </w:t>
      </w:r>
      <w:r w:rsidR="00ED36F4" w:rsidRPr="00ED36F4">
        <w:rPr>
          <w:noProof/>
        </w:rPr>
        <w:t>spr</w:t>
      </w:r>
      <w:r w:rsidRPr="00ED36F4">
        <w:rPr>
          <w:noProof/>
        </w:rPr>
        <w:t>awie Komitetu Zarządzającego Specjalnego Trybunału do spraw Zbrodni Agresji przeciwko Ukrainie jest finansowanie Specjalnego Trybunału do spraw Zbrodni Agresji przeciwko Ukrainie (zwanego dalej „Specjalnym Trybunałem”) oraz pomoc</w:t>
      </w:r>
      <w:r w:rsidR="00ED36F4" w:rsidRPr="00ED36F4">
        <w:rPr>
          <w:noProof/>
        </w:rPr>
        <w:t xml:space="preserve"> w</w:t>
      </w:r>
      <w:r w:rsidR="00ED36F4">
        <w:rPr>
          <w:noProof/>
        </w:rPr>
        <w:t> </w:t>
      </w:r>
      <w:r w:rsidR="00ED36F4" w:rsidRPr="00ED36F4">
        <w:rPr>
          <w:noProof/>
        </w:rPr>
        <w:t>inn</w:t>
      </w:r>
      <w:r w:rsidRPr="00ED36F4">
        <w:rPr>
          <w:noProof/>
        </w:rPr>
        <w:t>ych aspektach administracyjnych</w:t>
      </w:r>
      <w:r w:rsidR="00ED36F4" w:rsidRPr="00ED36F4">
        <w:rPr>
          <w:noProof/>
        </w:rPr>
        <w:t xml:space="preserve"> i</w:t>
      </w:r>
      <w:r w:rsidR="00ED36F4">
        <w:rPr>
          <w:noProof/>
        </w:rPr>
        <w:t> </w:t>
      </w:r>
      <w:r w:rsidR="00ED36F4" w:rsidRPr="00ED36F4">
        <w:rPr>
          <w:noProof/>
        </w:rPr>
        <w:t>zar</w:t>
      </w:r>
      <w:r w:rsidRPr="00ED36F4">
        <w:rPr>
          <w:noProof/>
        </w:rPr>
        <w:t>ządczych jego funkcjonowania, aby umożliwić Specjalnemu Trybunałowi wykonywanie jego mandatu określonego</w:t>
      </w:r>
      <w:r w:rsidR="00ED36F4" w:rsidRPr="00ED36F4">
        <w:rPr>
          <w:noProof/>
        </w:rPr>
        <w:t xml:space="preserve"> w</w:t>
      </w:r>
      <w:r w:rsidR="00ED36F4">
        <w:rPr>
          <w:noProof/>
        </w:rPr>
        <w:t> </w:t>
      </w:r>
      <w:r w:rsidR="00ED36F4" w:rsidRPr="00ED36F4">
        <w:rPr>
          <w:noProof/>
        </w:rPr>
        <w:t>Sta</w:t>
      </w:r>
      <w:r w:rsidRPr="00ED36F4">
        <w:rPr>
          <w:noProof/>
        </w:rPr>
        <w:t>tucie Specjalnego Trybunału.</w:t>
      </w:r>
    </w:p>
    <w:p w14:paraId="7EFD251A" w14:textId="77777777" w:rsidR="004A0762" w:rsidRPr="00ED36F4" w:rsidRDefault="004A0762" w:rsidP="004A0762">
      <w:pPr>
        <w:rPr>
          <w:b/>
          <w:bCs/>
          <w:noProof/>
        </w:rPr>
      </w:pPr>
      <w:r w:rsidRPr="00ED36F4">
        <w:rPr>
          <w:b/>
          <w:noProof/>
        </w:rPr>
        <w:t>Artykuł 2 – Funkcje Komitetu Zarządzającego</w:t>
      </w:r>
    </w:p>
    <w:p w14:paraId="508550CD" w14:textId="77777777" w:rsidR="004A0762" w:rsidRPr="00ED36F4" w:rsidRDefault="004A0762" w:rsidP="004A0762">
      <w:pPr>
        <w:rPr>
          <w:noProof/>
        </w:rPr>
      </w:pPr>
      <w:r w:rsidRPr="00ED36F4">
        <w:rPr>
          <w:noProof/>
        </w:rPr>
        <w:t>Komitet Zarządzający:</w:t>
      </w:r>
    </w:p>
    <w:p w14:paraId="2579BA24" w14:textId="6E5D21A2" w:rsidR="004A0762" w:rsidRPr="00ED36F4" w:rsidRDefault="00807366" w:rsidP="00807366">
      <w:pPr>
        <w:pStyle w:val="Point1"/>
        <w:rPr>
          <w:noProof/>
        </w:rPr>
      </w:pPr>
      <w:r w:rsidRPr="00ED36F4">
        <w:rPr>
          <w:noProof/>
        </w:rPr>
        <w:t>a.</w:t>
      </w:r>
      <w:r w:rsidRPr="00ED36F4">
        <w:rPr>
          <w:noProof/>
        </w:rPr>
        <w:tab/>
        <w:t>zapewnia niezbędne finansowanie Specjalnego Trybunału</w:t>
      </w:r>
      <w:r w:rsidR="00ED36F4" w:rsidRPr="00ED36F4">
        <w:rPr>
          <w:noProof/>
        </w:rPr>
        <w:t xml:space="preserve"> i</w:t>
      </w:r>
      <w:r w:rsidR="00ED36F4">
        <w:rPr>
          <w:noProof/>
        </w:rPr>
        <w:t> </w:t>
      </w:r>
      <w:r w:rsidR="00ED36F4" w:rsidRPr="00ED36F4">
        <w:rPr>
          <w:noProof/>
        </w:rPr>
        <w:t>Kom</w:t>
      </w:r>
      <w:r w:rsidRPr="00ED36F4">
        <w:rPr>
          <w:noProof/>
        </w:rPr>
        <w:t>itetu Zarządzającego,</w:t>
      </w:r>
      <w:r w:rsidR="00ED36F4" w:rsidRPr="00ED36F4">
        <w:rPr>
          <w:noProof/>
        </w:rPr>
        <w:t xml:space="preserve"> w</w:t>
      </w:r>
      <w:r w:rsidR="00ED36F4">
        <w:rPr>
          <w:noProof/>
        </w:rPr>
        <w:t> </w:t>
      </w:r>
      <w:r w:rsidR="00ED36F4" w:rsidRPr="00ED36F4">
        <w:rPr>
          <w:noProof/>
        </w:rPr>
        <w:t>tym</w:t>
      </w:r>
      <w:r w:rsidRPr="00ED36F4">
        <w:rPr>
          <w:noProof/>
        </w:rPr>
        <w:t xml:space="preserve"> jego sekretariatu; </w:t>
      </w:r>
    </w:p>
    <w:p w14:paraId="49E6BF9C" w14:textId="6712F916" w:rsidR="004A0762" w:rsidRPr="00ED36F4" w:rsidRDefault="00807366" w:rsidP="00807366">
      <w:pPr>
        <w:pStyle w:val="Point1"/>
        <w:rPr>
          <w:noProof/>
        </w:rPr>
      </w:pPr>
      <w:r w:rsidRPr="00ED36F4">
        <w:rPr>
          <w:noProof/>
        </w:rPr>
        <w:t>b.</w:t>
      </w:r>
      <w:r w:rsidRPr="00ED36F4">
        <w:rPr>
          <w:noProof/>
        </w:rPr>
        <w:tab/>
        <w:t>zatwierdza roczny budżet wydatków Specjalnego Trybunału, przygotowany przez Sekretarza Generalnego</w:t>
      </w:r>
      <w:r w:rsidR="00ED36F4" w:rsidRPr="00ED36F4">
        <w:rPr>
          <w:noProof/>
        </w:rPr>
        <w:t xml:space="preserve"> w</w:t>
      </w:r>
      <w:r w:rsidR="00ED36F4">
        <w:rPr>
          <w:noProof/>
        </w:rPr>
        <w:t> </w:t>
      </w:r>
      <w:r w:rsidR="00ED36F4" w:rsidRPr="00ED36F4">
        <w:rPr>
          <w:noProof/>
        </w:rPr>
        <w:t>por</w:t>
      </w:r>
      <w:r w:rsidRPr="00ED36F4">
        <w:rPr>
          <w:noProof/>
        </w:rPr>
        <w:t>ozumieniu</w:t>
      </w:r>
      <w:r w:rsidR="00ED36F4" w:rsidRPr="00ED36F4">
        <w:rPr>
          <w:noProof/>
        </w:rPr>
        <w:t xml:space="preserve"> z</w:t>
      </w:r>
      <w:r w:rsidR="00ED36F4">
        <w:rPr>
          <w:noProof/>
        </w:rPr>
        <w:t> </w:t>
      </w:r>
      <w:r w:rsidR="00ED36F4" w:rsidRPr="00ED36F4">
        <w:rPr>
          <w:noProof/>
        </w:rPr>
        <w:t>Sek</w:t>
      </w:r>
      <w:r w:rsidRPr="00ED36F4">
        <w:rPr>
          <w:noProof/>
        </w:rPr>
        <w:t>retarzem Specjalnego Trybunału;</w:t>
      </w:r>
    </w:p>
    <w:p w14:paraId="345196EB" w14:textId="48BBC3C2" w:rsidR="004A0762" w:rsidRPr="00ED36F4" w:rsidRDefault="00807366" w:rsidP="00807366">
      <w:pPr>
        <w:pStyle w:val="Point1"/>
        <w:rPr>
          <w:noProof/>
        </w:rPr>
      </w:pPr>
      <w:r w:rsidRPr="00ED36F4">
        <w:rPr>
          <w:noProof/>
        </w:rPr>
        <w:t>c.</w:t>
      </w:r>
      <w:r w:rsidRPr="00ED36F4">
        <w:rPr>
          <w:noProof/>
        </w:rPr>
        <w:tab/>
        <w:t>przyjmuje sprawozdanie</w:t>
      </w:r>
      <w:r w:rsidR="00ED36F4" w:rsidRPr="00ED36F4">
        <w:rPr>
          <w:noProof/>
        </w:rPr>
        <w:t xml:space="preserve"> z</w:t>
      </w:r>
      <w:r w:rsidR="00ED36F4">
        <w:rPr>
          <w:noProof/>
        </w:rPr>
        <w:t> </w:t>
      </w:r>
      <w:r w:rsidR="00ED36F4" w:rsidRPr="00ED36F4">
        <w:rPr>
          <w:noProof/>
        </w:rPr>
        <w:t>dzi</w:t>
      </w:r>
      <w:r w:rsidRPr="00ED36F4">
        <w:rPr>
          <w:noProof/>
        </w:rPr>
        <w:t>ałalności Specjalnego Trybunału przygotowane przez Prezesa Specjalnego Trybunału;</w:t>
      </w:r>
    </w:p>
    <w:p w14:paraId="391787A5" w14:textId="2F18A032" w:rsidR="004A0762" w:rsidRPr="00ED36F4" w:rsidRDefault="00807366" w:rsidP="00807366">
      <w:pPr>
        <w:pStyle w:val="Point1"/>
        <w:rPr>
          <w:noProof/>
        </w:rPr>
      </w:pPr>
      <w:r w:rsidRPr="00ED36F4">
        <w:rPr>
          <w:noProof/>
        </w:rPr>
        <w:t>d.</w:t>
      </w:r>
      <w:r w:rsidRPr="00ED36F4">
        <w:rPr>
          <w:noProof/>
        </w:rPr>
        <w:tab/>
        <w:t>udziela porad pozasądowych oraz wytycznych dotyczących polityki we wszystkich aspektach administracyjnych funkcjonowania Specjalnego Trybunału,</w:t>
      </w:r>
      <w:r w:rsidR="00ED36F4" w:rsidRPr="00ED36F4">
        <w:rPr>
          <w:noProof/>
        </w:rPr>
        <w:t xml:space="preserve"> w</w:t>
      </w:r>
      <w:r w:rsidR="00ED36F4">
        <w:rPr>
          <w:noProof/>
        </w:rPr>
        <w:t> </w:t>
      </w:r>
      <w:r w:rsidR="00ED36F4" w:rsidRPr="00ED36F4">
        <w:rPr>
          <w:noProof/>
        </w:rPr>
        <w:t>tym w</w:t>
      </w:r>
      <w:r w:rsidR="00ED36F4">
        <w:rPr>
          <w:noProof/>
        </w:rPr>
        <w:t> </w:t>
      </w:r>
      <w:r w:rsidR="00ED36F4" w:rsidRPr="00ED36F4">
        <w:rPr>
          <w:noProof/>
        </w:rPr>
        <w:t>kwe</w:t>
      </w:r>
      <w:r w:rsidRPr="00ED36F4">
        <w:rPr>
          <w:noProof/>
        </w:rPr>
        <w:t>stiach efektywności;</w:t>
      </w:r>
    </w:p>
    <w:p w14:paraId="56BB895A" w14:textId="2B65A97E" w:rsidR="004A0762" w:rsidRPr="00ED36F4" w:rsidRDefault="00807366" w:rsidP="00807366">
      <w:pPr>
        <w:pStyle w:val="Point1"/>
        <w:rPr>
          <w:noProof/>
        </w:rPr>
      </w:pPr>
      <w:r w:rsidRPr="00ED36F4">
        <w:rPr>
          <w:noProof/>
        </w:rPr>
        <w:t>e.</w:t>
      </w:r>
      <w:r w:rsidRPr="00ED36F4">
        <w:rPr>
          <w:noProof/>
        </w:rPr>
        <w:tab/>
        <w:t>zaleca członkom</w:t>
      </w:r>
      <w:r w:rsidR="00ED36F4" w:rsidRPr="00ED36F4">
        <w:rPr>
          <w:noProof/>
        </w:rPr>
        <w:t xml:space="preserve"> i</w:t>
      </w:r>
      <w:r w:rsidR="00ED36F4">
        <w:rPr>
          <w:noProof/>
        </w:rPr>
        <w:t> </w:t>
      </w:r>
      <w:r w:rsidR="00ED36F4" w:rsidRPr="00ED36F4">
        <w:rPr>
          <w:noProof/>
        </w:rPr>
        <w:t>czł</w:t>
      </w:r>
      <w:r w:rsidRPr="00ED36F4">
        <w:rPr>
          <w:noProof/>
        </w:rPr>
        <w:t>onkom stowarzyszonym środki służące realizacji celów Specjalnego Trybunału</w:t>
      </w:r>
      <w:r w:rsidR="00ED36F4" w:rsidRPr="00ED36F4">
        <w:rPr>
          <w:noProof/>
        </w:rPr>
        <w:t xml:space="preserve"> i</w:t>
      </w:r>
      <w:r w:rsidR="00ED36F4">
        <w:rPr>
          <w:noProof/>
        </w:rPr>
        <w:t> </w:t>
      </w:r>
      <w:r w:rsidR="00ED36F4" w:rsidRPr="00ED36F4">
        <w:rPr>
          <w:noProof/>
        </w:rPr>
        <w:t>Kom</w:t>
      </w:r>
      <w:r w:rsidRPr="00ED36F4">
        <w:rPr>
          <w:noProof/>
        </w:rPr>
        <w:t>itetu Zarządzającego;</w:t>
      </w:r>
    </w:p>
    <w:p w14:paraId="73911550" w14:textId="5C43154A" w:rsidR="004A0762" w:rsidRPr="00ED36F4" w:rsidRDefault="00807366" w:rsidP="00807366">
      <w:pPr>
        <w:pStyle w:val="Point1"/>
        <w:rPr>
          <w:noProof/>
        </w:rPr>
      </w:pPr>
      <w:r w:rsidRPr="00ED36F4">
        <w:rPr>
          <w:noProof/>
        </w:rPr>
        <w:t>f.</w:t>
      </w:r>
      <w:r w:rsidRPr="00ED36F4">
        <w:rPr>
          <w:noProof/>
        </w:rPr>
        <w:tab/>
        <w:t>opracowuje regulamin wewnętrzny regulujący prace Komitetu Zarządzającego</w:t>
      </w:r>
      <w:r w:rsidR="00ED36F4" w:rsidRPr="00ED36F4">
        <w:rPr>
          <w:noProof/>
        </w:rPr>
        <w:t xml:space="preserve"> i</w:t>
      </w:r>
      <w:r w:rsidR="00ED36F4">
        <w:rPr>
          <w:noProof/>
        </w:rPr>
        <w:t> </w:t>
      </w:r>
      <w:r w:rsidR="00ED36F4" w:rsidRPr="00ED36F4">
        <w:rPr>
          <w:noProof/>
        </w:rPr>
        <w:t>wsz</w:t>
      </w:r>
      <w:r w:rsidRPr="00ED36F4">
        <w:rPr>
          <w:noProof/>
        </w:rPr>
        <w:t>elkie inne ustalenia niezbędne do realizacji jego działań oraz dokonuje przeglądu regulaminu postępowania</w:t>
      </w:r>
      <w:r w:rsidR="00ED36F4" w:rsidRPr="00ED36F4">
        <w:rPr>
          <w:noProof/>
        </w:rPr>
        <w:t xml:space="preserve"> i</w:t>
      </w:r>
      <w:r w:rsidR="00ED36F4">
        <w:rPr>
          <w:noProof/>
        </w:rPr>
        <w:t> </w:t>
      </w:r>
      <w:r w:rsidR="00ED36F4" w:rsidRPr="00ED36F4">
        <w:rPr>
          <w:noProof/>
        </w:rPr>
        <w:t>prz</w:t>
      </w:r>
      <w:r w:rsidRPr="00ED36F4">
        <w:rPr>
          <w:noProof/>
        </w:rPr>
        <w:t xml:space="preserve">eprowadzania dowodów przyjętego przez sędziów Trybunału Specjalnego oraz wszelkich zmian tego regulaminu; </w:t>
      </w:r>
    </w:p>
    <w:p w14:paraId="1FEB932D" w14:textId="1585ADF2" w:rsidR="004A0762" w:rsidRPr="00ED36F4" w:rsidRDefault="00807366" w:rsidP="00807366">
      <w:pPr>
        <w:pStyle w:val="Point1"/>
        <w:rPr>
          <w:noProof/>
        </w:rPr>
      </w:pPr>
      <w:r w:rsidRPr="00ED36F4">
        <w:rPr>
          <w:noProof/>
        </w:rPr>
        <w:t>g.</w:t>
      </w:r>
      <w:r w:rsidRPr="00ED36F4">
        <w:rPr>
          <w:noProof/>
        </w:rPr>
        <w:tab/>
        <w:t>rozważa</w:t>
      </w:r>
      <w:r w:rsidR="00ED36F4" w:rsidRPr="00ED36F4">
        <w:rPr>
          <w:noProof/>
        </w:rPr>
        <w:t xml:space="preserve"> i</w:t>
      </w:r>
      <w:r w:rsidR="00ED36F4">
        <w:rPr>
          <w:noProof/>
        </w:rPr>
        <w:t> </w:t>
      </w:r>
      <w:r w:rsidR="00ED36F4" w:rsidRPr="00ED36F4">
        <w:rPr>
          <w:noProof/>
        </w:rPr>
        <w:t>prz</w:t>
      </w:r>
      <w:r w:rsidRPr="00ED36F4">
        <w:rPr>
          <w:noProof/>
        </w:rPr>
        <w:t>yjmuje strategie, stosownie do potrzeb,</w:t>
      </w:r>
      <w:r w:rsidR="00ED36F4" w:rsidRPr="00ED36F4">
        <w:rPr>
          <w:noProof/>
        </w:rPr>
        <w:t xml:space="preserve"> w</w:t>
      </w:r>
      <w:r w:rsidR="00ED36F4">
        <w:rPr>
          <w:noProof/>
        </w:rPr>
        <w:t> </w:t>
      </w:r>
      <w:r w:rsidR="00ED36F4" w:rsidRPr="00ED36F4">
        <w:rPr>
          <w:noProof/>
        </w:rPr>
        <w:t>cel</w:t>
      </w:r>
      <w:r w:rsidRPr="00ED36F4">
        <w:rPr>
          <w:noProof/>
        </w:rPr>
        <w:t>u dalszego rozwoju wsparcia dla Specjalnego Trybunału na szczeblu międzyregionalnym;</w:t>
      </w:r>
    </w:p>
    <w:p w14:paraId="2B79FB97" w14:textId="6BFB99C5" w:rsidR="004A0762" w:rsidRPr="00ED36F4" w:rsidRDefault="00807366" w:rsidP="00807366">
      <w:pPr>
        <w:pStyle w:val="Point1"/>
        <w:rPr>
          <w:noProof/>
        </w:rPr>
      </w:pPr>
      <w:r w:rsidRPr="00ED36F4">
        <w:rPr>
          <w:noProof/>
        </w:rPr>
        <w:t>h.</w:t>
      </w:r>
      <w:r w:rsidRPr="00ED36F4">
        <w:rPr>
          <w:noProof/>
        </w:rPr>
        <w:tab/>
        <w:t>powołuje członków zespołu doradczego</w:t>
      </w:r>
      <w:r w:rsidR="00ED36F4" w:rsidRPr="00ED36F4">
        <w:rPr>
          <w:noProof/>
        </w:rPr>
        <w:t xml:space="preserve"> i</w:t>
      </w:r>
      <w:r w:rsidR="00ED36F4">
        <w:rPr>
          <w:noProof/>
        </w:rPr>
        <w:t> </w:t>
      </w:r>
      <w:r w:rsidR="00ED36F4" w:rsidRPr="00ED36F4">
        <w:rPr>
          <w:noProof/>
        </w:rPr>
        <w:t>wyb</w:t>
      </w:r>
      <w:r w:rsidRPr="00ED36F4">
        <w:rPr>
          <w:noProof/>
        </w:rPr>
        <w:t>iera sędziów, prokuratora Specjalnego Trybunału (zwanego dalej „prokuratorem”)</w:t>
      </w:r>
      <w:r w:rsidR="00ED36F4" w:rsidRPr="00ED36F4">
        <w:rPr>
          <w:noProof/>
        </w:rPr>
        <w:t xml:space="preserve"> i</w:t>
      </w:r>
      <w:r w:rsidR="00ED36F4">
        <w:rPr>
          <w:noProof/>
        </w:rPr>
        <w:t> </w:t>
      </w:r>
      <w:r w:rsidR="00ED36F4" w:rsidRPr="00ED36F4">
        <w:rPr>
          <w:noProof/>
        </w:rPr>
        <w:t>zas</w:t>
      </w:r>
      <w:r w:rsidRPr="00ED36F4">
        <w:rPr>
          <w:noProof/>
        </w:rPr>
        <w:t>tępcę prokuratora zgodnie</w:t>
      </w:r>
      <w:r w:rsidR="00ED36F4" w:rsidRPr="00ED36F4">
        <w:rPr>
          <w:noProof/>
        </w:rPr>
        <w:t xml:space="preserve"> z</w:t>
      </w:r>
      <w:r w:rsidR="00ED36F4">
        <w:rPr>
          <w:noProof/>
        </w:rPr>
        <w:t> </w:t>
      </w:r>
      <w:r w:rsidR="00ED36F4" w:rsidRPr="00ED36F4">
        <w:rPr>
          <w:noProof/>
        </w:rPr>
        <w:t>pro</w:t>
      </w:r>
      <w:r w:rsidRPr="00ED36F4">
        <w:rPr>
          <w:noProof/>
        </w:rPr>
        <w:t>cedurami określonymi</w:t>
      </w:r>
      <w:r w:rsidR="00ED36F4" w:rsidRPr="00ED36F4">
        <w:rPr>
          <w:noProof/>
        </w:rPr>
        <w:t xml:space="preserve"> w</w:t>
      </w:r>
      <w:r w:rsidR="00ED36F4">
        <w:rPr>
          <w:noProof/>
        </w:rPr>
        <w:t> </w:t>
      </w:r>
      <w:r w:rsidR="00ED36F4" w:rsidRPr="00ED36F4">
        <w:rPr>
          <w:noProof/>
        </w:rPr>
        <w:t>Sta</w:t>
      </w:r>
      <w:r w:rsidRPr="00ED36F4">
        <w:rPr>
          <w:noProof/>
        </w:rPr>
        <w:t xml:space="preserve">tucie Trybunału Specjalnego; </w:t>
      </w:r>
    </w:p>
    <w:p w14:paraId="01B5AC52" w14:textId="564D0179" w:rsidR="004A0762" w:rsidRPr="00ED36F4" w:rsidRDefault="00807366" w:rsidP="00807366">
      <w:pPr>
        <w:pStyle w:val="Point1"/>
        <w:rPr>
          <w:noProof/>
        </w:rPr>
      </w:pPr>
      <w:r w:rsidRPr="00ED36F4">
        <w:rPr>
          <w:noProof/>
        </w:rPr>
        <w:t>i.</w:t>
      </w:r>
      <w:r w:rsidRPr="00ED36F4">
        <w:rPr>
          <w:noProof/>
        </w:rPr>
        <w:tab/>
        <w:t>zapewnia skuteczną współpracę członków</w:t>
      </w:r>
      <w:r w:rsidR="00ED36F4" w:rsidRPr="00ED36F4">
        <w:rPr>
          <w:noProof/>
        </w:rPr>
        <w:t xml:space="preserve"> i</w:t>
      </w:r>
      <w:r w:rsidR="00ED36F4">
        <w:rPr>
          <w:noProof/>
        </w:rPr>
        <w:t> </w:t>
      </w:r>
      <w:r w:rsidR="00ED36F4" w:rsidRPr="00ED36F4">
        <w:rPr>
          <w:noProof/>
        </w:rPr>
        <w:t>czł</w:t>
      </w:r>
      <w:r w:rsidRPr="00ED36F4">
        <w:rPr>
          <w:noProof/>
        </w:rPr>
        <w:t>onków stowarzyszonych we wszystkich odpowiednich sektorach,</w:t>
      </w:r>
      <w:r w:rsidR="00ED36F4" w:rsidRPr="00ED36F4">
        <w:rPr>
          <w:noProof/>
        </w:rPr>
        <w:t xml:space="preserve"> w</w:t>
      </w:r>
      <w:r w:rsidR="00ED36F4">
        <w:rPr>
          <w:noProof/>
        </w:rPr>
        <w:t> </w:t>
      </w:r>
      <w:r w:rsidR="00ED36F4" w:rsidRPr="00ED36F4">
        <w:rPr>
          <w:noProof/>
        </w:rPr>
        <w:t>opa</w:t>
      </w:r>
      <w:r w:rsidRPr="00ED36F4">
        <w:rPr>
          <w:noProof/>
        </w:rPr>
        <w:t>rciu</w:t>
      </w:r>
      <w:r w:rsidR="00ED36F4" w:rsidRPr="00ED36F4">
        <w:rPr>
          <w:noProof/>
        </w:rPr>
        <w:t xml:space="preserve"> o</w:t>
      </w:r>
      <w:r w:rsidR="00ED36F4">
        <w:rPr>
          <w:noProof/>
        </w:rPr>
        <w:t> </w:t>
      </w:r>
      <w:r w:rsidR="00ED36F4" w:rsidRPr="00ED36F4">
        <w:rPr>
          <w:noProof/>
        </w:rPr>
        <w:t>sys</w:t>
      </w:r>
      <w:r w:rsidRPr="00ED36F4">
        <w:rPr>
          <w:noProof/>
        </w:rPr>
        <w:t xml:space="preserve">tem podziału obciążenia; </w:t>
      </w:r>
    </w:p>
    <w:p w14:paraId="31A07ED0" w14:textId="28B7319D" w:rsidR="004A0762" w:rsidRPr="00ED36F4" w:rsidRDefault="00807366" w:rsidP="00807366">
      <w:pPr>
        <w:pStyle w:val="Point1"/>
        <w:rPr>
          <w:noProof/>
        </w:rPr>
      </w:pPr>
      <w:r w:rsidRPr="00ED36F4">
        <w:rPr>
          <w:noProof/>
        </w:rPr>
        <w:t>j.</w:t>
      </w:r>
      <w:r w:rsidRPr="00ED36F4">
        <w:rPr>
          <w:noProof/>
        </w:rPr>
        <w:tab/>
        <w:t>przyjmuje przepisy regulujące przejście na mechanizm rezydualny,</w:t>
      </w:r>
      <w:r w:rsidR="00ED36F4" w:rsidRPr="00ED36F4">
        <w:rPr>
          <w:noProof/>
        </w:rPr>
        <w:t xml:space="preserve"> w</w:t>
      </w:r>
      <w:r w:rsidR="00ED36F4">
        <w:rPr>
          <w:noProof/>
        </w:rPr>
        <w:t> </w:t>
      </w:r>
      <w:r w:rsidR="00ED36F4" w:rsidRPr="00ED36F4">
        <w:rPr>
          <w:noProof/>
        </w:rPr>
        <w:t>szc</w:t>
      </w:r>
      <w:r w:rsidRPr="00ED36F4">
        <w:rPr>
          <w:noProof/>
        </w:rPr>
        <w:t>zególności</w:t>
      </w:r>
      <w:r w:rsidR="00ED36F4" w:rsidRPr="00ED36F4">
        <w:rPr>
          <w:noProof/>
        </w:rPr>
        <w:t xml:space="preserve"> w</w:t>
      </w:r>
      <w:r w:rsidR="00ED36F4">
        <w:rPr>
          <w:noProof/>
        </w:rPr>
        <w:t> </w:t>
      </w:r>
      <w:r w:rsidR="00ED36F4" w:rsidRPr="00ED36F4">
        <w:rPr>
          <w:noProof/>
        </w:rPr>
        <w:t>odn</w:t>
      </w:r>
      <w:r w:rsidRPr="00ED36F4">
        <w:rPr>
          <w:noProof/>
        </w:rPr>
        <w:t>iesieniu do ochrony świadków, nadzoru nad wykonywaniem kar, rozpatrywania wniosków</w:t>
      </w:r>
      <w:r w:rsidR="00ED36F4" w:rsidRPr="00ED36F4">
        <w:rPr>
          <w:noProof/>
        </w:rPr>
        <w:t xml:space="preserve"> o</w:t>
      </w:r>
      <w:r w:rsidR="00ED36F4">
        <w:rPr>
          <w:noProof/>
        </w:rPr>
        <w:t> </w:t>
      </w:r>
      <w:r w:rsidR="00ED36F4" w:rsidRPr="00ED36F4">
        <w:rPr>
          <w:noProof/>
        </w:rPr>
        <w:t>prz</w:t>
      </w:r>
      <w:r w:rsidRPr="00ED36F4">
        <w:rPr>
          <w:noProof/>
        </w:rPr>
        <w:t>edterminowe, tymczasowe</w:t>
      </w:r>
      <w:r w:rsidR="00ED36F4" w:rsidRPr="00ED36F4">
        <w:rPr>
          <w:noProof/>
        </w:rPr>
        <w:t xml:space="preserve"> i</w:t>
      </w:r>
      <w:r w:rsidR="00ED36F4">
        <w:rPr>
          <w:noProof/>
        </w:rPr>
        <w:t> </w:t>
      </w:r>
      <w:r w:rsidR="00ED36F4" w:rsidRPr="00ED36F4">
        <w:rPr>
          <w:noProof/>
        </w:rPr>
        <w:t>ost</w:t>
      </w:r>
      <w:r w:rsidRPr="00ED36F4">
        <w:rPr>
          <w:noProof/>
        </w:rPr>
        <w:t>ateczne zwolnienie, przechowywania dowodów</w:t>
      </w:r>
      <w:r w:rsidR="00ED36F4" w:rsidRPr="00ED36F4">
        <w:rPr>
          <w:noProof/>
        </w:rPr>
        <w:t xml:space="preserve"> i</w:t>
      </w:r>
      <w:r w:rsidR="00ED36F4">
        <w:rPr>
          <w:noProof/>
        </w:rPr>
        <w:t> </w:t>
      </w:r>
      <w:r w:rsidR="00ED36F4" w:rsidRPr="00ED36F4">
        <w:rPr>
          <w:noProof/>
        </w:rPr>
        <w:t>rej</w:t>
      </w:r>
      <w:r w:rsidRPr="00ED36F4">
        <w:rPr>
          <w:noProof/>
        </w:rPr>
        <w:t xml:space="preserve">estrów Specjalnego Trybunału oraz finansowania takich funkcji rezydualnych; </w:t>
      </w:r>
    </w:p>
    <w:p w14:paraId="752DADCE" w14:textId="6F522B1B" w:rsidR="004A0762" w:rsidRPr="00ED36F4" w:rsidRDefault="00807366" w:rsidP="00807366">
      <w:pPr>
        <w:pStyle w:val="Point1"/>
        <w:rPr>
          <w:noProof/>
        </w:rPr>
      </w:pPr>
      <w:r w:rsidRPr="00ED36F4">
        <w:rPr>
          <w:noProof/>
        </w:rPr>
        <w:t>k.</w:t>
      </w:r>
      <w:r w:rsidRPr="00ED36F4">
        <w:rPr>
          <w:noProof/>
        </w:rPr>
        <w:tab/>
        <w:t>rozważa ustalenia dotyczące skoordynowanego przeniesienia niektórych pozasądowych funkcji rezydualnych Specjalnego Trybunału do Rady Europy,</w:t>
      </w:r>
      <w:r w:rsidR="00ED36F4" w:rsidRPr="00ED36F4">
        <w:rPr>
          <w:noProof/>
        </w:rPr>
        <w:t xml:space="preserve"> w</w:t>
      </w:r>
      <w:r w:rsidR="00ED36F4">
        <w:rPr>
          <w:noProof/>
        </w:rPr>
        <w:t> </w:t>
      </w:r>
      <w:r w:rsidR="00ED36F4" w:rsidRPr="00ED36F4">
        <w:rPr>
          <w:noProof/>
        </w:rPr>
        <w:t>szc</w:t>
      </w:r>
      <w:r w:rsidRPr="00ED36F4">
        <w:rPr>
          <w:noProof/>
        </w:rPr>
        <w:t>zególności</w:t>
      </w:r>
      <w:r w:rsidR="00ED36F4" w:rsidRPr="00ED36F4">
        <w:rPr>
          <w:noProof/>
        </w:rPr>
        <w:t xml:space="preserve"> w</w:t>
      </w:r>
      <w:r w:rsidR="00ED36F4">
        <w:rPr>
          <w:noProof/>
        </w:rPr>
        <w:t> </w:t>
      </w:r>
      <w:r w:rsidR="00ED36F4" w:rsidRPr="00ED36F4">
        <w:rPr>
          <w:noProof/>
        </w:rPr>
        <w:t>zak</w:t>
      </w:r>
      <w:r w:rsidRPr="00ED36F4">
        <w:rPr>
          <w:noProof/>
        </w:rPr>
        <w:t>resie zarządzania rejestrami</w:t>
      </w:r>
      <w:r w:rsidR="00ED36F4" w:rsidRPr="00ED36F4">
        <w:rPr>
          <w:noProof/>
        </w:rPr>
        <w:t xml:space="preserve"> i</w:t>
      </w:r>
      <w:r w:rsidR="00ED36F4">
        <w:rPr>
          <w:noProof/>
        </w:rPr>
        <w:t> </w:t>
      </w:r>
      <w:r w:rsidR="00ED36F4" w:rsidRPr="00ED36F4">
        <w:rPr>
          <w:noProof/>
        </w:rPr>
        <w:t>arc</w:t>
      </w:r>
      <w:r w:rsidRPr="00ED36F4">
        <w:rPr>
          <w:noProof/>
        </w:rPr>
        <w:t xml:space="preserve">hiwami; </w:t>
      </w:r>
    </w:p>
    <w:p w14:paraId="7471AA2C" w14:textId="1FDB8392" w:rsidR="004A0762" w:rsidRPr="00ED36F4" w:rsidRDefault="00807366" w:rsidP="00807366">
      <w:pPr>
        <w:pStyle w:val="Point1"/>
        <w:rPr>
          <w:noProof/>
        </w:rPr>
      </w:pPr>
      <w:r w:rsidRPr="00ED36F4">
        <w:rPr>
          <w:noProof/>
        </w:rPr>
        <w:t>l.</w:t>
      </w:r>
      <w:r w:rsidRPr="00ED36F4">
        <w:rPr>
          <w:noProof/>
        </w:rPr>
        <w:tab/>
        <w:t>rozważa mechanizmy pomocy członkom</w:t>
      </w:r>
      <w:r w:rsidR="00ED36F4" w:rsidRPr="00ED36F4">
        <w:rPr>
          <w:noProof/>
        </w:rPr>
        <w:t xml:space="preserve"> i</w:t>
      </w:r>
      <w:r w:rsidR="00ED36F4">
        <w:rPr>
          <w:noProof/>
        </w:rPr>
        <w:t> </w:t>
      </w:r>
      <w:r w:rsidR="00ED36F4" w:rsidRPr="00ED36F4">
        <w:rPr>
          <w:noProof/>
        </w:rPr>
        <w:t>czł</w:t>
      </w:r>
      <w:r w:rsidRPr="00ED36F4">
        <w:rPr>
          <w:noProof/>
        </w:rPr>
        <w:t>onkom stowarzyszonym</w:t>
      </w:r>
      <w:r w:rsidR="00ED36F4" w:rsidRPr="00ED36F4">
        <w:rPr>
          <w:noProof/>
        </w:rPr>
        <w:t xml:space="preserve"> w</w:t>
      </w:r>
      <w:r w:rsidR="00ED36F4">
        <w:rPr>
          <w:noProof/>
        </w:rPr>
        <w:t> </w:t>
      </w:r>
      <w:r w:rsidR="00ED36F4" w:rsidRPr="00ED36F4">
        <w:rPr>
          <w:noProof/>
        </w:rPr>
        <w:t>zak</w:t>
      </w:r>
      <w:r w:rsidRPr="00ED36F4">
        <w:rPr>
          <w:noProof/>
        </w:rPr>
        <w:t>resie kosztów związanych</w:t>
      </w:r>
      <w:r w:rsidR="00ED36F4" w:rsidRPr="00ED36F4">
        <w:rPr>
          <w:noProof/>
        </w:rPr>
        <w:t xml:space="preserve"> z</w:t>
      </w:r>
      <w:r w:rsidR="00ED36F4">
        <w:rPr>
          <w:noProof/>
        </w:rPr>
        <w:t> </w:t>
      </w:r>
      <w:r w:rsidR="00ED36F4" w:rsidRPr="00ED36F4">
        <w:rPr>
          <w:noProof/>
        </w:rPr>
        <w:t>wyk</w:t>
      </w:r>
      <w:r w:rsidRPr="00ED36F4">
        <w:rPr>
          <w:noProof/>
        </w:rPr>
        <w:t>onywaniem kar, zwalnianiem skazanych</w:t>
      </w:r>
      <w:r w:rsidR="00ED36F4" w:rsidRPr="00ED36F4">
        <w:rPr>
          <w:noProof/>
        </w:rPr>
        <w:t xml:space="preserve"> i</w:t>
      </w:r>
      <w:r w:rsidR="00ED36F4">
        <w:rPr>
          <w:noProof/>
        </w:rPr>
        <w:t> </w:t>
      </w:r>
      <w:r w:rsidR="00ED36F4" w:rsidRPr="00ED36F4">
        <w:rPr>
          <w:noProof/>
        </w:rPr>
        <w:t>och</w:t>
      </w:r>
      <w:r w:rsidRPr="00ED36F4">
        <w:rPr>
          <w:noProof/>
        </w:rPr>
        <w:t>roną świadków po rozwiązaniu rozszerzonego porozumienia częściowego,</w:t>
      </w:r>
      <w:r w:rsidR="00ED36F4" w:rsidRPr="00ED36F4">
        <w:rPr>
          <w:noProof/>
        </w:rPr>
        <w:t xml:space="preserve"> w</w:t>
      </w:r>
      <w:r w:rsidR="00ED36F4">
        <w:rPr>
          <w:noProof/>
        </w:rPr>
        <w:t> </w:t>
      </w:r>
      <w:r w:rsidR="00ED36F4" w:rsidRPr="00ED36F4">
        <w:rPr>
          <w:noProof/>
        </w:rPr>
        <w:t>tym</w:t>
      </w:r>
      <w:r w:rsidRPr="00ED36F4">
        <w:rPr>
          <w:noProof/>
        </w:rPr>
        <w:t xml:space="preserve"> ewentualne ustanowienie funduszu powierniczego; oraz</w:t>
      </w:r>
    </w:p>
    <w:p w14:paraId="479A6161" w14:textId="6E0EF288" w:rsidR="004A0762" w:rsidRPr="00ED36F4" w:rsidRDefault="00807366" w:rsidP="00807366">
      <w:pPr>
        <w:pStyle w:val="Point1"/>
        <w:rPr>
          <w:noProof/>
        </w:rPr>
      </w:pPr>
      <w:r w:rsidRPr="00ED36F4">
        <w:rPr>
          <w:noProof/>
        </w:rPr>
        <w:t>m.</w:t>
      </w:r>
      <w:r w:rsidRPr="00ED36F4">
        <w:rPr>
          <w:noProof/>
        </w:rPr>
        <w:tab/>
        <w:t>sprawuje wszelkie inne funkcje niezbędne do wykonywania mandatu.</w:t>
      </w:r>
    </w:p>
    <w:p w14:paraId="0896A8C6" w14:textId="77777777" w:rsidR="004A0762" w:rsidRPr="00ED36F4" w:rsidRDefault="004A0762" w:rsidP="004A0762">
      <w:pPr>
        <w:rPr>
          <w:b/>
          <w:bCs/>
          <w:noProof/>
        </w:rPr>
      </w:pPr>
      <w:r w:rsidRPr="00ED36F4">
        <w:rPr>
          <w:b/>
          <w:noProof/>
        </w:rPr>
        <w:t>Artykuł 3 – Uczestnictwo</w:t>
      </w:r>
    </w:p>
    <w:p w14:paraId="16D561F0" w14:textId="4F6C81F2" w:rsidR="004A0762" w:rsidRPr="00ED36F4" w:rsidRDefault="004A0762" w:rsidP="004A0762">
      <w:pPr>
        <w:rPr>
          <w:noProof/>
        </w:rPr>
      </w:pPr>
      <w:r w:rsidRPr="00ED36F4">
        <w:rPr>
          <w:noProof/>
        </w:rPr>
        <w:t>1.</w:t>
      </w:r>
      <w:r w:rsidRPr="00ED36F4">
        <w:rPr>
          <w:noProof/>
        </w:rPr>
        <w:tab/>
        <w:t>Każde państwo będące członkiem lub obserwatorem Rady Europy</w:t>
      </w:r>
      <w:r w:rsidR="00ED36F4" w:rsidRPr="00ED36F4">
        <w:rPr>
          <w:noProof/>
        </w:rPr>
        <w:t xml:space="preserve"> i</w:t>
      </w:r>
      <w:r w:rsidR="00ED36F4">
        <w:rPr>
          <w:noProof/>
        </w:rPr>
        <w:t> </w:t>
      </w:r>
      <w:r w:rsidR="00ED36F4" w:rsidRPr="00ED36F4">
        <w:rPr>
          <w:noProof/>
        </w:rPr>
        <w:t>Uni</w:t>
      </w:r>
      <w:r w:rsidRPr="00ED36F4">
        <w:rPr>
          <w:noProof/>
        </w:rPr>
        <w:t>i Europejskiej, każde inne państwo, które głosowało za rezolucją Zgromadzenia Ogólnego Narodów Zjednoczonych A/RES/ES-11/6</w:t>
      </w:r>
      <w:r w:rsidR="00ED36F4" w:rsidRPr="00ED36F4">
        <w:rPr>
          <w:noProof/>
        </w:rPr>
        <w:t xml:space="preserve"> z</w:t>
      </w:r>
      <w:r w:rsidR="00ED36F4">
        <w:rPr>
          <w:noProof/>
        </w:rPr>
        <w:t> </w:t>
      </w:r>
      <w:r w:rsidR="00ED36F4" w:rsidRPr="00ED36F4">
        <w:rPr>
          <w:noProof/>
        </w:rPr>
        <w:t>dni</w:t>
      </w:r>
      <w:r w:rsidRPr="00ED36F4">
        <w:rPr>
          <w:noProof/>
        </w:rPr>
        <w:t>a 23 lutego 2023</w:t>
      </w:r>
      <w:r w:rsidR="00BE25DF" w:rsidRPr="00ED36F4">
        <w:rPr>
          <w:noProof/>
        </w:rPr>
        <w:t> </w:t>
      </w:r>
      <w:r w:rsidRPr="00ED36F4">
        <w:rPr>
          <w:noProof/>
        </w:rPr>
        <w:t>r.,</w:t>
      </w:r>
      <w:r w:rsidR="00ED36F4" w:rsidRPr="00ED36F4">
        <w:rPr>
          <w:noProof/>
        </w:rPr>
        <w:t xml:space="preserve"> i</w:t>
      </w:r>
      <w:r w:rsidR="00ED36F4">
        <w:rPr>
          <w:noProof/>
        </w:rPr>
        <w:t> </w:t>
      </w:r>
      <w:r w:rsidR="00ED36F4" w:rsidRPr="00ED36F4">
        <w:rPr>
          <w:noProof/>
        </w:rPr>
        <w:t>każ</w:t>
      </w:r>
      <w:r w:rsidRPr="00ED36F4">
        <w:rPr>
          <w:noProof/>
        </w:rPr>
        <w:t>de państwo lub organizacja międzynarodowa, które uczestniczyły</w:t>
      </w:r>
      <w:r w:rsidR="00ED36F4" w:rsidRPr="00ED36F4">
        <w:rPr>
          <w:noProof/>
        </w:rPr>
        <w:t xml:space="preserve"> w</w:t>
      </w:r>
      <w:r w:rsidR="00ED36F4">
        <w:rPr>
          <w:noProof/>
        </w:rPr>
        <w:t> </w:t>
      </w:r>
      <w:r w:rsidR="00ED36F4" w:rsidRPr="00ED36F4">
        <w:rPr>
          <w:noProof/>
        </w:rPr>
        <w:t>Gru</w:t>
      </w:r>
      <w:r w:rsidRPr="00ED36F4">
        <w:rPr>
          <w:noProof/>
        </w:rPr>
        <w:t>pie Głównej ds. Utworzenia Specjalnego Trybunału do spraw Zbrodni Agresji przeciwko Ukrainie, może zostać członkiem lub członkiem stowarzyszonym Komitetu Zarządzającego</w:t>
      </w:r>
      <w:r w:rsidR="00ED36F4" w:rsidRPr="00ED36F4">
        <w:rPr>
          <w:noProof/>
        </w:rPr>
        <w:t xml:space="preserve"> w</w:t>
      </w:r>
      <w:r w:rsidR="00ED36F4">
        <w:rPr>
          <w:noProof/>
        </w:rPr>
        <w:t> </w:t>
      </w:r>
      <w:r w:rsidR="00ED36F4" w:rsidRPr="00ED36F4">
        <w:rPr>
          <w:noProof/>
        </w:rPr>
        <w:t>dro</w:t>
      </w:r>
      <w:r w:rsidRPr="00ED36F4">
        <w:rPr>
          <w:noProof/>
        </w:rPr>
        <w:t>dze notyfikacji skierowanej do Sekretarza Generalnego.</w:t>
      </w:r>
    </w:p>
    <w:p w14:paraId="131AFBE6" w14:textId="2C8C3166" w:rsidR="004A0762" w:rsidRPr="00ED36F4" w:rsidRDefault="004A0762" w:rsidP="004A0762">
      <w:pPr>
        <w:rPr>
          <w:noProof/>
        </w:rPr>
      </w:pPr>
      <w:r w:rsidRPr="00ED36F4">
        <w:rPr>
          <w:noProof/>
        </w:rPr>
        <w:t>2.</w:t>
      </w:r>
      <w:r w:rsidRPr="00ED36F4">
        <w:rPr>
          <w:noProof/>
        </w:rPr>
        <w:tab/>
        <w:t>Komitet Zarządzający może zatwierdzić każde inne państwo lub organizację międzynarodową, które zwróciły się</w:t>
      </w:r>
      <w:r w:rsidR="00ED36F4" w:rsidRPr="00ED36F4">
        <w:rPr>
          <w:noProof/>
        </w:rPr>
        <w:t xml:space="preserve"> z</w:t>
      </w:r>
      <w:r w:rsidR="00ED36F4">
        <w:rPr>
          <w:noProof/>
        </w:rPr>
        <w:t> </w:t>
      </w:r>
      <w:r w:rsidR="00ED36F4" w:rsidRPr="00ED36F4">
        <w:rPr>
          <w:noProof/>
        </w:rPr>
        <w:t>wni</w:t>
      </w:r>
      <w:r w:rsidRPr="00ED36F4">
        <w:rPr>
          <w:noProof/>
        </w:rPr>
        <w:t>oskiem</w:t>
      </w:r>
      <w:r w:rsidR="00ED36F4" w:rsidRPr="00ED36F4">
        <w:rPr>
          <w:noProof/>
        </w:rPr>
        <w:t xml:space="preserve"> o</w:t>
      </w:r>
      <w:r w:rsidR="00ED36F4">
        <w:rPr>
          <w:noProof/>
        </w:rPr>
        <w:t> </w:t>
      </w:r>
      <w:r w:rsidR="00ED36F4" w:rsidRPr="00ED36F4">
        <w:rPr>
          <w:noProof/>
        </w:rPr>
        <w:t>prz</w:t>
      </w:r>
      <w:r w:rsidRPr="00ED36F4">
        <w:rPr>
          <w:noProof/>
        </w:rPr>
        <w:t>ystąpienie do Komitetu Zarządzającego</w:t>
      </w:r>
      <w:r w:rsidR="00ED36F4" w:rsidRPr="00ED36F4">
        <w:rPr>
          <w:noProof/>
        </w:rPr>
        <w:t xml:space="preserve"> w</w:t>
      </w:r>
      <w:r w:rsidR="00ED36F4">
        <w:rPr>
          <w:noProof/>
        </w:rPr>
        <w:t> </w:t>
      </w:r>
      <w:r w:rsidR="00ED36F4" w:rsidRPr="00ED36F4">
        <w:rPr>
          <w:noProof/>
        </w:rPr>
        <w:t>cha</w:t>
      </w:r>
      <w:r w:rsidRPr="00ED36F4">
        <w:rPr>
          <w:noProof/>
        </w:rPr>
        <w:t>rakterze członka lub członka stowarzyszonego.</w:t>
      </w:r>
    </w:p>
    <w:p w14:paraId="0D3E5384" w14:textId="6998CDC8" w:rsidR="004A0762" w:rsidRPr="00ED36F4" w:rsidRDefault="004A0762" w:rsidP="004A0762">
      <w:pPr>
        <w:rPr>
          <w:noProof/>
        </w:rPr>
      </w:pPr>
      <w:r w:rsidRPr="00ED36F4">
        <w:rPr>
          <w:noProof/>
        </w:rPr>
        <w:t>3.</w:t>
      </w:r>
      <w:r w:rsidRPr="00ED36F4">
        <w:rPr>
          <w:noProof/>
        </w:rPr>
        <w:tab/>
        <w:t>Członkowie stowarzyszeni mogą</w:t>
      </w:r>
      <w:r w:rsidR="00ED36F4" w:rsidRPr="00ED36F4">
        <w:rPr>
          <w:noProof/>
        </w:rPr>
        <w:t xml:space="preserve"> w</w:t>
      </w:r>
      <w:r w:rsidR="00ED36F4">
        <w:rPr>
          <w:noProof/>
        </w:rPr>
        <w:t> </w:t>
      </w:r>
      <w:r w:rsidR="00ED36F4" w:rsidRPr="00ED36F4">
        <w:rPr>
          <w:noProof/>
        </w:rPr>
        <w:t>każ</w:t>
      </w:r>
      <w:r w:rsidRPr="00ED36F4">
        <w:rPr>
          <w:noProof/>
        </w:rPr>
        <w:t>dej chwili zostać członkami</w:t>
      </w:r>
      <w:r w:rsidR="00ED36F4" w:rsidRPr="00ED36F4">
        <w:rPr>
          <w:noProof/>
        </w:rPr>
        <w:t xml:space="preserve"> w</w:t>
      </w:r>
      <w:r w:rsidR="00ED36F4">
        <w:rPr>
          <w:noProof/>
        </w:rPr>
        <w:t> </w:t>
      </w:r>
      <w:r w:rsidR="00ED36F4" w:rsidRPr="00ED36F4">
        <w:rPr>
          <w:noProof/>
        </w:rPr>
        <w:t>dro</w:t>
      </w:r>
      <w:r w:rsidRPr="00ED36F4">
        <w:rPr>
          <w:noProof/>
        </w:rPr>
        <w:t>dze notyfikacji skierowanej do Sekretarza Generalnego.</w:t>
      </w:r>
    </w:p>
    <w:p w14:paraId="2B16A1D5" w14:textId="77777777" w:rsidR="004A0762" w:rsidRPr="00ED36F4" w:rsidRDefault="004A0762" w:rsidP="004A0762">
      <w:pPr>
        <w:rPr>
          <w:b/>
          <w:bCs/>
          <w:noProof/>
        </w:rPr>
      </w:pPr>
      <w:r w:rsidRPr="00ED36F4">
        <w:rPr>
          <w:b/>
          <w:noProof/>
        </w:rPr>
        <w:t>Artykuł 4 – Skład</w:t>
      </w:r>
    </w:p>
    <w:p w14:paraId="1E4B28AB" w14:textId="6FC759FE" w:rsidR="004A0762" w:rsidRPr="00ED36F4" w:rsidRDefault="004A0762" w:rsidP="004A0762">
      <w:pPr>
        <w:rPr>
          <w:noProof/>
        </w:rPr>
      </w:pPr>
      <w:r w:rsidRPr="00ED36F4">
        <w:rPr>
          <w:noProof/>
        </w:rPr>
        <w:t>1.</w:t>
      </w:r>
      <w:r w:rsidRPr="00ED36F4">
        <w:rPr>
          <w:noProof/>
        </w:rPr>
        <w:tab/>
        <w:t>Każdy członek wyznacza,</w:t>
      </w:r>
      <w:r w:rsidR="00ED36F4" w:rsidRPr="00ED36F4">
        <w:rPr>
          <w:noProof/>
        </w:rPr>
        <w:t xml:space="preserve"> a</w:t>
      </w:r>
      <w:r w:rsidR="00ED36F4">
        <w:rPr>
          <w:noProof/>
        </w:rPr>
        <w:t> </w:t>
      </w:r>
      <w:r w:rsidR="00ED36F4" w:rsidRPr="00ED36F4">
        <w:rPr>
          <w:noProof/>
        </w:rPr>
        <w:t>każ</w:t>
      </w:r>
      <w:r w:rsidRPr="00ED36F4">
        <w:rPr>
          <w:noProof/>
        </w:rPr>
        <w:t>dy członek stowarzyszony może wyznaczyć delegację do Komitetu Zarządzającego składającą się</w:t>
      </w:r>
      <w:r w:rsidR="00ED36F4" w:rsidRPr="00ED36F4">
        <w:rPr>
          <w:noProof/>
        </w:rPr>
        <w:t xml:space="preserve"> z</w:t>
      </w:r>
      <w:r w:rsidR="00ED36F4">
        <w:rPr>
          <w:noProof/>
        </w:rPr>
        <w:t> </w:t>
      </w:r>
      <w:r w:rsidR="00ED36F4" w:rsidRPr="00ED36F4">
        <w:rPr>
          <w:noProof/>
        </w:rPr>
        <w:t>nie</w:t>
      </w:r>
      <w:r w:rsidRPr="00ED36F4">
        <w:rPr>
          <w:noProof/>
        </w:rPr>
        <w:t xml:space="preserve"> więcej niż dwóch przedstawicieli. Jeden</w:t>
      </w:r>
      <w:r w:rsidR="00ED36F4" w:rsidRPr="00ED36F4">
        <w:rPr>
          <w:noProof/>
        </w:rPr>
        <w:t xml:space="preserve"> z</w:t>
      </w:r>
      <w:r w:rsidR="00ED36F4">
        <w:rPr>
          <w:noProof/>
        </w:rPr>
        <w:t> </w:t>
      </w:r>
      <w:r w:rsidR="00ED36F4" w:rsidRPr="00ED36F4">
        <w:rPr>
          <w:noProof/>
        </w:rPr>
        <w:t>tyc</w:t>
      </w:r>
      <w:r w:rsidRPr="00ED36F4">
        <w:rPr>
          <w:noProof/>
        </w:rPr>
        <w:t>h przedstawicieli zostaje mianowany szefem delegacji.</w:t>
      </w:r>
    </w:p>
    <w:p w14:paraId="4463FC1E" w14:textId="576BDA0A" w:rsidR="004A0762" w:rsidRPr="00ED36F4" w:rsidRDefault="004A0762" w:rsidP="004A0762">
      <w:pPr>
        <w:rPr>
          <w:noProof/>
        </w:rPr>
      </w:pPr>
      <w:r w:rsidRPr="00ED36F4">
        <w:rPr>
          <w:noProof/>
        </w:rPr>
        <w:t>2.</w:t>
      </w:r>
      <w:r w:rsidRPr="00ED36F4">
        <w:rPr>
          <w:noProof/>
        </w:rPr>
        <w:tab/>
        <w:t>Komitet Zarządzający wybiera spośród swoich członków przewodniczącego</w:t>
      </w:r>
      <w:r w:rsidR="00ED36F4" w:rsidRPr="00ED36F4">
        <w:rPr>
          <w:noProof/>
        </w:rPr>
        <w:t xml:space="preserve"> i</w:t>
      </w:r>
      <w:r w:rsidR="00ED36F4">
        <w:rPr>
          <w:noProof/>
        </w:rPr>
        <w:t> </w:t>
      </w:r>
      <w:r w:rsidR="00ED36F4" w:rsidRPr="00ED36F4">
        <w:rPr>
          <w:noProof/>
        </w:rPr>
        <w:t>dwó</w:t>
      </w:r>
      <w:r w:rsidRPr="00ED36F4">
        <w:rPr>
          <w:noProof/>
        </w:rPr>
        <w:t>ch wiceprzewodniczących na nieodnawialną trzyletnią kadencję.</w:t>
      </w:r>
    </w:p>
    <w:p w14:paraId="4ACBD620" w14:textId="77777777" w:rsidR="004A0762" w:rsidRPr="00ED36F4" w:rsidRDefault="004A0762" w:rsidP="004A0762">
      <w:pPr>
        <w:rPr>
          <w:b/>
          <w:bCs/>
          <w:noProof/>
        </w:rPr>
      </w:pPr>
      <w:r w:rsidRPr="00ED36F4">
        <w:rPr>
          <w:b/>
          <w:noProof/>
        </w:rPr>
        <w:t>Artykuł 5 – Posiedzenia</w:t>
      </w:r>
    </w:p>
    <w:p w14:paraId="08E2718E" w14:textId="0D5AD114" w:rsidR="004A0762" w:rsidRPr="00ED36F4" w:rsidRDefault="004A0762" w:rsidP="004A0762">
      <w:pPr>
        <w:rPr>
          <w:noProof/>
        </w:rPr>
      </w:pPr>
      <w:r w:rsidRPr="00ED36F4">
        <w:rPr>
          <w:noProof/>
        </w:rPr>
        <w:t>1.</w:t>
      </w:r>
      <w:r w:rsidRPr="00ED36F4">
        <w:rPr>
          <w:noProof/>
        </w:rPr>
        <w:tab/>
        <w:t>Komitet Zarządzający zbiera się tak często, jak to konieczne, ale nie rzadziej niż raz</w:t>
      </w:r>
      <w:r w:rsidR="00ED36F4" w:rsidRPr="00ED36F4">
        <w:rPr>
          <w:noProof/>
        </w:rPr>
        <w:t xml:space="preserve"> w</w:t>
      </w:r>
      <w:r w:rsidR="00ED36F4">
        <w:rPr>
          <w:noProof/>
        </w:rPr>
        <w:t> </w:t>
      </w:r>
      <w:r w:rsidR="00ED36F4" w:rsidRPr="00ED36F4">
        <w:rPr>
          <w:noProof/>
        </w:rPr>
        <w:t>rok</w:t>
      </w:r>
      <w:r w:rsidRPr="00ED36F4">
        <w:rPr>
          <w:noProof/>
        </w:rPr>
        <w:t>u. Koszty podróży</w:t>
      </w:r>
      <w:r w:rsidR="00ED36F4" w:rsidRPr="00ED36F4">
        <w:rPr>
          <w:noProof/>
        </w:rPr>
        <w:t xml:space="preserve"> i</w:t>
      </w:r>
      <w:r w:rsidR="00ED36F4">
        <w:rPr>
          <w:noProof/>
        </w:rPr>
        <w:t> </w:t>
      </w:r>
      <w:r w:rsidR="00ED36F4" w:rsidRPr="00ED36F4">
        <w:rPr>
          <w:noProof/>
        </w:rPr>
        <w:t>zak</w:t>
      </w:r>
      <w:r w:rsidRPr="00ED36F4">
        <w:rPr>
          <w:noProof/>
        </w:rPr>
        <w:t>waterowania związane</w:t>
      </w:r>
      <w:r w:rsidR="00ED36F4" w:rsidRPr="00ED36F4">
        <w:rPr>
          <w:noProof/>
        </w:rPr>
        <w:t xml:space="preserve"> z</w:t>
      </w:r>
      <w:r w:rsidR="00ED36F4">
        <w:rPr>
          <w:noProof/>
        </w:rPr>
        <w:t> </w:t>
      </w:r>
      <w:r w:rsidR="00ED36F4" w:rsidRPr="00ED36F4">
        <w:rPr>
          <w:noProof/>
        </w:rPr>
        <w:t>ucz</w:t>
      </w:r>
      <w:r w:rsidRPr="00ED36F4">
        <w:rPr>
          <w:noProof/>
        </w:rPr>
        <w:t>estnictwem</w:t>
      </w:r>
      <w:r w:rsidR="00ED36F4" w:rsidRPr="00ED36F4">
        <w:rPr>
          <w:noProof/>
        </w:rPr>
        <w:t xml:space="preserve"> w</w:t>
      </w:r>
      <w:r w:rsidR="00ED36F4">
        <w:rPr>
          <w:noProof/>
        </w:rPr>
        <w:t> </w:t>
      </w:r>
      <w:r w:rsidR="00ED36F4" w:rsidRPr="00ED36F4">
        <w:rPr>
          <w:noProof/>
        </w:rPr>
        <w:t>pos</w:t>
      </w:r>
      <w:r w:rsidRPr="00ED36F4">
        <w:rPr>
          <w:noProof/>
        </w:rPr>
        <w:t>iedzeniach Komitetu Zarządzającego ponosi każdy członek</w:t>
      </w:r>
      <w:r w:rsidR="00ED36F4" w:rsidRPr="00ED36F4">
        <w:rPr>
          <w:noProof/>
        </w:rPr>
        <w:t xml:space="preserve"> i</w:t>
      </w:r>
      <w:r w:rsidR="00ED36F4">
        <w:rPr>
          <w:noProof/>
        </w:rPr>
        <w:t> </w:t>
      </w:r>
      <w:r w:rsidR="00ED36F4" w:rsidRPr="00ED36F4">
        <w:rPr>
          <w:noProof/>
        </w:rPr>
        <w:t>czł</w:t>
      </w:r>
      <w:r w:rsidRPr="00ED36F4">
        <w:rPr>
          <w:noProof/>
        </w:rPr>
        <w:t>onek stowarzyszony. Komitet Zarządzający może podejmować swoje decyzje</w:t>
      </w:r>
      <w:r w:rsidR="00ED36F4" w:rsidRPr="00ED36F4">
        <w:rPr>
          <w:noProof/>
        </w:rPr>
        <w:t xml:space="preserve"> w</w:t>
      </w:r>
      <w:r w:rsidR="00ED36F4">
        <w:rPr>
          <w:noProof/>
        </w:rPr>
        <w:t> </w:t>
      </w:r>
      <w:r w:rsidR="00ED36F4" w:rsidRPr="00ED36F4">
        <w:rPr>
          <w:noProof/>
        </w:rPr>
        <w:t>dro</w:t>
      </w:r>
      <w:r w:rsidRPr="00ED36F4">
        <w:rPr>
          <w:noProof/>
        </w:rPr>
        <w:t>dze procedury pisemnej</w:t>
      </w:r>
      <w:r w:rsidR="00ED36F4" w:rsidRPr="00ED36F4">
        <w:rPr>
          <w:noProof/>
        </w:rPr>
        <w:t xml:space="preserve"> i</w:t>
      </w:r>
      <w:r w:rsidR="00ED36F4">
        <w:rPr>
          <w:noProof/>
        </w:rPr>
        <w:t> </w:t>
      </w:r>
      <w:r w:rsidR="00ED36F4" w:rsidRPr="00ED36F4">
        <w:rPr>
          <w:noProof/>
        </w:rPr>
        <w:t>dro</w:t>
      </w:r>
      <w:r w:rsidRPr="00ED36F4">
        <w:rPr>
          <w:noProof/>
        </w:rPr>
        <w:t>gą elektroniczną.</w:t>
      </w:r>
    </w:p>
    <w:p w14:paraId="722B0596" w14:textId="7AD788F1" w:rsidR="004A0762" w:rsidRPr="00ED36F4" w:rsidRDefault="004A0762" w:rsidP="004A0762">
      <w:pPr>
        <w:rPr>
          <w:noProof/>
        </w:rPr>
      </w:pPr>
      <w:r w:rsidRPr="00ED36F4">
        <w:rPr>
          <w:noProof/>
        </w:rPr>
        <w:t>2.</w:t>
      </w:r>
      <w:r w:rsidRPr="00ED36F4">
        <w:rPr>
          <w:noProof/>
        </w:rPr>
        <w:tab/>
        <w:t>Pierwsze posiedzenie Komitetu Zarządzającego zwołuje Sekretarz Generalny. Wszelkie kolejne posiedzenia</w:t>
      </w:r>
      <w:r w:rsidR="00ED36F4" w:rsidRPr="00ED36F4">
        <w:rPr>
          <w:noProof/>
        </w:rPr>
        <w:t xml:space="preserve"> i</w:t>
      </w:r>
      <w:r w:rsidR="00ED36F4">
        <w:rPr>
          <w:noProof/>
        </w:rPr>
        <w:t> </w:t>
      </w:r>
      <w:r w:rsidR="00ED36F4" w:rsidRPr="00ED36F4">
        <w:rPr>
          <w:noProof/>
        </w:rPr>
        <w:t>ich</w:t>
      </w:r>
      <w:r w:rsidRPr="00ED36F4">
        <w:rPr>
          <w:noProof/>
        </w:rPr>
        <w:t xml:space="preserve"> miejsce określa się decyzją Komitetu Zarządzającego.</w:t>
      </w:r>
    </w:p>
    <w:p w14:paraId="778243C0" w14:textId="77777777" w:rsidR="004A0762" w:rsidRPr="00ED36F4" w:rsidRDefault="004A0762" w:rsidP="004A0762">
      <w:pPr>
        <w:rPr>
          <w:noProof/>
        </w:rPr>
      </w:pPr>
      <w:r w:rsidRPr="00ED36F4">
        <w:rPr>
          <w:noProof/>
        </w:rPr>
        <w:t>3.</w:t>
      </w:r>
      <w:r w:rsidRPr="00ED36F4">
        <w:rPr>
          <w:noProof/>
        </w:rPr>
        <w:tab/>
        <w:t>Komitet Zarządzający przyjmuje decyzje większością dwóch trzecich oddanych głosów, przy czym każdy członek ma jeden głos. Kwestie proceduralne rozstrzyga się większością oddanych głosów.</w:t>
      </w:r>
    </w:p>
    <w:p w14:paraId="5B6E0B1E" w14:textId="6BCBFFBE" w:rsidR="004A0762" w:rsidRPr="00ED36F4" w:rsidRDefault="004A0762" w:rsidP="004A0762">
      <w:pPr>
        <w:rPr>
          <w:noProof/>
        </w:rPr>
      </w:pPr>
      <w:r w:rsidRPr="00ED36F4">
        <w:rPr>
          <w:noProof/>
        </w:rPr>
        <w:t>4.</w:t>
      </w:r>
      <w:r w:rsidRPr="00ED36F4">
        <w:rPr>
          <w:noProof/>
        </w:rPr>
        <w:tab/>
        <w:t>Bez uszczerbku dla ust.</w:t>
      </w:r>
      <w:r w:rsidR="00BE25DF" w:rsidRPr="00ED36F4">
        <w:rPr>
          <w:noProof/>
        </w:rPr>
        <w:t> </w:t>
      </w:r>
      <w:r w:rsidRPr="00ED36F4">
        <w:rPr>
          <w:noProof/>
        </w:rPr>
        <w:t>5 niniejszego artykułu członkowie stowarzyszeni mogą uczestniczyć</w:t>
      </w:r>
      <w:r w:rsidR="00ED36F4" w:rsidRPr="00ED36F4">
        <w:rPr>
          <w:noProof/>
        </w:rPr>
        <w:t xml:space="preserve"> w</w:t>
      </w:r>
      <w:r w:rsidR="00ED36F4">
        <w:rPr>
          <w:noProof/>
        </w:rPr>
        <w:t> </w:t>
      </w:r>
      <w:r w:rsidR="00ED36F4" w:rsidRPr="00ED36F4">
        <w:rPr>
          <w:noProof/>
        </w:rPr>
        <w:t>pos</w:t>
      </w:r>
      <w:r w:rsidRPr="00ED36F4">
        <w:rPr>
          <w:noProof/>
        </w:rPr>
        <w:t>iedzeniach Komitetu Zarządzającego bez prawa głosu. Członkowie stowarzyszeni mogą podczas posiedzeń Komitetu Zarządzającego składać oświadczenia ustne lub pisemne.</w:t>
      </w:r>
    </w:p>
    <w:p w14:paraId="27AD6D2B" w14:textId="4EABBD5E" w:rsidR="004A0762" w:rsidRPr="00ED36F4" w:rsidRDefault="004A0762" w:rsidP="004A0762">
      <w:pPr>
        <w:rPr>
          <w:noProof/>
        </w:rPr>
      </w:pPr>
      <w:r w:rsidRPr="00ED36F4">
        <w:rPr>
          <w:noProof/>
        </w:rPr>
        <w:t>5.</w:t>
      </w:r>
      <w:r w:rsidRPr="00ED36F4">
        <w:rPr>
          <w:noProof/>
        </w:rPr>
        <w:tab/>
        <w:t>Członkom stowarzyszonym, którzy wnieśli dobrowolną składkę do Komitetu Zarządzającego</w:t>
      </w:r>
      <w:r w:rsidR="00ED36F4" w:rsidRPr="00ED36F4">
        <w:rPr>
          <w:noProof/>
        </w:rPr>
        <w:t xml:space="preserve"> w</w:t>
      </w:r>
      <w:r w:rsidR="00ED36F4">
        <w:rPr>
          <w:noProof/>
        </w:rPr>
        <w:t> </w:t>
      </w:r>
      <w:r w:rsidR="00ED36F4" w:rsidRPr="00ED36F4">
        <w:rPr>
          <w:noProof/>
        </w:rPr>
        <w:t>kwo</w:t>
      </w:r>
      <w:r w:rsidRPr="00ED36F4">
        <w:rPr>
          <w:noProof/>
        </w:rPr>
        <w:t>cie równej kwocie określonej przez Komitet Zarządzający zgodnie</w:t>
      </w:r>
      <w:r w:rsidR="00ED36F4" w:rsidRPr="00ED36F4">
        <w:rPr>
          <w:noProof/>
        </w:rPr>
        <w:t xml:space="preserve"> z</w:t>
      </w:r>
      <w:r w:rsidR="00ED36F4">
        <w:rPr>
          <w:noProof/>
        </w:rPr>
        <w:t> </w:t>
      </w:r>
      <w:r w:rsidR="00ED36F4" w:rsidRPr="00ED36F4">
        <w:rPr>
          <w:noProof/>
        </w:rPr>
        <w:t>art</w:t>
      </w:r>
      <w:r w:rsidRPr="00ED36F4">
        <w:rPr>
          <w:noProof/>
        </w:rPr>
        <w:t>.</w:t>
      </w:r>
      <w:r w:rsidR="00BE25DF" w:rsidRPr="00ED36F4">
        <w:rPr>
          <w:noProof/>
        </w:rPr>
        <w:t> </w:t>
      </w:r>
      <w:r w:rsidRPr="00ED36F4">
        <w:rPr>
          <w:noProof/>
        </w:rPr>
        <w:t>8 niniejszego Statutu, przysługują pełne prawa członków</w:t>
      </w:r>
      <w:r w:rsidR="00ED36F4" w:rsidRPr="00ED36F4">
        <w:rPr>
          <w:noProof/>
        </w:rPr>
        <w:t xml:space="preserve"> w</w:t>
      </w:r>
      <w:r w:rsidR="00ED36F4">
        <w:rPr>
          <w:noProof/>
        </w:rPr>
        <w:t> </w:t>
      </w:r>
      <w:r w:rsidR="00ED36F4" w:rsidRPr="00ED36F4">
        <w:rPr>
          <w:noProof/>
        </w:rPr>
        <w:t>cią</w:t>
      </w:r>
      <w:r w:rsidRPr="00ED36F4">
        <w:rPr>
          <w:noProof/>
        </w:rPr>
        <w:t xml:space="preserve">gu roku budżetowego, za który wnieśli składkę. </w:t>
      </w:r>
    </w:p>
    <w:p w14:paraId="4341DA58" w14:textId="2617B149" w:rsidR="004A0762" w:rsidRPr="00ED36F4" w:rsidRDefault="004A0762" w:rsidP="004A0762">
      <w:pPr>
        <w:rPr>
          <w:noProof/>
        </w:rPr>
      </w:pPr>
      <w:r w:rsidRPr="00ED36F4">
        <w:rPr>
          <w:noProof/>
        </w:rPr>
        <w:t>6.</w:t>
      </w:r>
      <w:r w:rsidRPr="00ED36F4">
        <w:rPr>
          <w:noProof/>
        </w:rPr>
        <w:tab/>
        <w:t>Sekretarz Generalny może uczestniczyć</w:t>
      </w:r>
      <w:r w:rsidR="00ED36F4" w:rsidRPr="00ED36F4">
        <w:rPr>
          <w:noProof/>
        </w:rPr>
        <w:t xml:space="preserve"> w</w:t>
      </w:r>
      <w:r w:rsidR="00ED36F4">
        <w:rPr>
          <w:noProof/>
        </w:rPr>
        <w:t> </w:t>
      </w:r>
      <w:r w:rsidR="00ED36F4" w:rsidRPr="00ED36F4">
        <w:rPr>
          <w:noProof/>
        </w:rPr>
        <w:t>pos</w:t>
      </w:r>
      <w:r w:rsidRPr="00ED36F4">
        <w:rPr>
          <w:noProof/>
        </w:rPr>
        <w:t>iedzeniach Komitetu Zarządzającego lub być na nich reprezentowany bez prawa głosu. Komitet Zarządzający może zapraszać przedstawicieli odpowiednich organów Rady Europy lub organizacji międzynarodowych do udziału</w:t>
      </w:r>
      <w:r w:rsidR="00ED36F4" w:rsidRPr="00ED36F4">
        <w:rPr>
          <w:noProof/>
        </w:rPr>
        <w:t xml:space="preserve"> w</w:t>
      </w:r>
      <w:r w:rsidR="00ED36F4">
        <w:rPr>
          <w:noProof/>
        </w:rPr>
        <w:t> </w:t>
      </w:r>
      <w:r w:rsidR="00ED36F4" w:rsidRPr="00ED36F4">
        <w:rPr>
          <w:noProof/>
        </w:rPr>
        <w:t>swo</w:t>
      </w:r>
      <w:r w:rsidRPr="00ED36F4">
        <w:rPr>
          <w:noProof/>
        </w:rPr>
        <w:t>ich posiedzeniach lub częściach posiedzeń, bez prawa głosu, zgodnie</w:t>
      </w:r>
      <w:r w:rsidR="00ED36F4" w:rsidRPr="00ED36F4">
        <w:rPr>
          <w:noProof/>
        </w:rPr>
        <w:t xml:space="preserve"> z</w:t>
      </w:r>
      <w:r w:rsidR="00ED36F4">
        <w:rPr>
          <w:noProof/>
        </w:rPr>
        <w:t> </w:t>
      </w:r>
      <w:r w:rsidR="00ED36F4" w:rsidRPr="00ED36F4">
        <w:rPr>
          <w:noProof/>
        </w:rPr>
        <w:t>pun</w:t>
      </w:r>
      <w:r w:rsidRPr="00ED36F4">
        <w:rPr>
          <w:noProof/>
        </w:rPr>
        <w:t>ktami porządku obrad. Może także zapraszać ekspertów do udziału</w:t>
      </w:r>
      <w:r w:rsidR="00ED36F4" w:rsidRPr="00ED36F4">
        <w:rPr>
          <w:noProof/>
        </w:rPr>
        <w:t xml:space="preserve"> w</w:t>
      </w:r>
      <w:r w:rsidR="00ED36F4">
        <w:rPr>
          <w:noProof/>
        </w:rPr>
        <w:t> </w:t>
      </w:r>
      <w:r w:rsidR="00ED36F4" w:rsidRPr="00ED36F4">
        <w:rPr>
          <w:noProof/>
        </w:rPr>
        <w:t>pra</w:t>
      </w:r>
      <w:r w:rsidRPr="00ED36F4">
        <w:rPr>
          <w:noProof/>
        </w:rPr>
        <w:t>cach nad określonymi punktami porządku obrad, bez prawa głosu.</w:t>
      </w:r>
    </w:p>
    <w:p w14:paraId="506245FF" w14:textId="77777777" w:rsidR="004A0762" w:rsidRPr="00ED36F4" w:rsidRDefault="004A0762" w:rsidP="004A0762">
      <w:pPr>
        <w:rPr>
          <w:b/>
          <w:bCs/>
          <w:noProof/>
        </w:rPr>
      </w:pPr>
      <w:r w:rsidRPr="00ED36F4">
        <w:rPr>
          <w:b/>
          <w:noProof/>
        </w:rPr>
        <w:t>Artykuł 6 – Sekretariat</w:t>
      </w:r>
    </w:p>
    <w:p w14:paraId="65243448" w14:textId="77777777" w:rsidR="004A0762" w:rsidRPr="00ED36F4" w:rsidRDefault="004A0762" w:rsidP="004A0762">
      <w:pPr>
        <w:rPr>
          <w:noProof/>
        </w:rPr>
      </w:pPr>
      <w:r w:rsidRPr="00ED36F4">
        <w:rPr>
          <w:noProof/>
        </w:rPr>
        <w:t>1.</w:t>
      </w:r>
      <w:r w:rsidRPr="00ED36F4">
        <w:rPr>
          <w:noProof/>
        </w:rPr>
        <w:tab/>
        <w:t>Działalność Komitetu Zarządzającego wspomaga sekretariat utworzony przez Sekretarza Generalnego. Na czele sekretariatu stoi Sekretarz Wykonawczy powołany przez Sekretarza Generalnego.</w:t>
      </w:r>
    </w:p>
    <w:p w14:paraId="38F69688" w14:textId="072F2F8C" w:rsidR="004A0762" w:rsidRPr="00ED36F4" w:rsidRDefault="004A0762" w:rsidP="004A0762">
      <w:pPr>
        <w:rPr>
          <w:noProof/>
        </w:rPr>
      </w:pPr>
      <w:r w:rsidRPr="00ED36F4">
        <w:rPr>
          <w:noProof/>
        </w:rPr>
        <w:t>2.</w:t>
      </w:r>
      <w:r w:rsidRPr="00ED36F4">
        <w:rPr>
          <w:noProof/>
        </w:rPr>
        <w:tab/>
        <w:t>Sekretarz Wykonawczy jest uprawniony do zawierania umów</w:t>
      </w:r>
      <w:r w:rsidR="00ED36F4" w:rsidRPr="00ED36F4">
        <w:rPr>
          <w:noProof/>
        </w:rPr>
        <w:t xml:space="preserve"> i</w:t>
      </w:r>
      <w:r w:rsidR="00ED36F4">
        <w:rPr>
          <w:noProof/>
        </w:rPr>
        <w:t> </w:t>
      </w:r>
      <w:r w:rsidR="00ED36F4" w:rsidRPr="00ED36F4">
        <w:rPr>
          <w:noProof/>
        </w:rPr>
        <w:t>ust</w:t>
      </w:r>
      <w:r w:rsidRPr="00ED36F4">
        <w:rPr>
          <w:noProof/>
        </w:rPr>
        <w:t>aleń</w:t>
      </w:r>
      <w:r w:rsidR="00ED36F4" w:rsidRPr="00ED36F4">
        <w:rPr>
          <w:noProof/>
        </w:rPr>
        <w:t xml:space="preserve"> w</w:t>
      </w:r>
      <w:r w:rsidR="00ED36F4">
        <w:rPr>
          <w:noProof/>
        </w:rPr>
        <w:t> </w:t>
      </w:r>
      <w:r w:rsidR="00ED36F4" w:rsidRPr="00ED36F4">
        <w:rPr>
          <w:noProof/>
        </w:rPr>
        <w:t>imi</w:t>
      </w:r>
      <w:r w:rsidRPr="00ED36F4">
        <w:rPr>
          <w:noProof/>
        </w:rPr>
        <w:t xml:space="preserve">eniu Komitetu Zarządzającego po uzyskaniu jego zgody. </w:t>
      </w:r>
    </w:p>
    <w:p w14:paraId="66F9BA38" w14:textId="77777777" w:rsidR="004A0762" w:rsidRPr="00ED36F4" w:rsidRDefault="004A0762" w:rsidP="004A0762">
      <w:pPr>
        <w:rPr>
          <w:noProof/>
        </w:rPr>
      </w:pPr>
      <w:r w:rsidRPr="00ED36F4">
        <w:rPr>
          <w:noProof/>
        </w:rPr>
        <w:t>3.</w:t>
      </w:r>
      <w:r w:rsidRPr="00ED36F4">
        <w:rPr>
          <w:noProof/>
        </w:rPr>
        <w:tab/>
        <w:t>Sekretarz Wykonawczy wykonuje następujące zadania:</w:t>
      </w:r>
    </w:p>
    <w:p w14:paraId="1569D5E1" w14:textId="7E49F83D" w:rsidR="004A0762" w:rsidRPr="00ED36F4" w:rsidRDefault="00807366" w:rsidP="00807366">
      <w:pPr>
        <w:pStyle w:val="Point1"/>
        <w:rPr>
          <w:noProof/>
        </w:rPr>
      </w:pPr>
      <w:r w:rsidRPr="00ED36F4">
        <w:rPr>
          <w:noProof/>
        </w:rPr>
        <w:t>a.</w:t>
      </w:r>
      <w:r w:rsidRPr="00ED36F4">
        <w:rPr>
          <w:noProof/>
        </w:rPr>
        <w:tab/>
        <w:t>zwoływanie posiedzeń Komitetu Zarządzającego</w:t>
      </w:r>
      <w:r w:rsidR="00ED36F4" w:rsidRPr="00ED36F4">
        <w:rPr>
          <w:noProof/>
        </w:rPr>
        <w:t xml:space="preserve"> w</w:t>
      </w:r>
      <w:r w:rsidR="00ED36F4">
        <w:rPr>
          <w:noProof/>
        </w:rPr>
        <w:t> </w:t>
      </w:r>
      <w:r w:rsidR="00ED36F4" w:rsidRPr="00ED36F4">
        <w:rPr>
          <w:noProof/>
        </w:rPr>
        <w:t>por</w:t>
      </w:r>
      <w:r w:rsidRPr="00ED36F4">
        <w:rPr>
          <w:noProof/>
        </w:rPr>
        <w:t>ozumieniu</w:t>
      </w:r>
      <w:r w:rsidR="00ED36F4" w:rsidRPr="00ED36F4">
        <w:rPr>
          <w:noProof/>
        </w:rPr>
        <w:t xml:space="preserve"> z</w:t>
      </w:r>
      <w:r w:rsidR="00ED36F4">
        <w:rPr>
          <w:noProof/>
        </w:rPr>
        <w:t> </w:t>
      </w:r>
      <w:r w:rsidR="00ED36F4" w:rsidRPr="00ED36F4">
        <w:rPr>
          <w:noProof/>
        </w:rPr>
        <w:t>prz</w:t>
      </w:r>
      <w:r w:rsidRPr="00ED36F4">
        <w:rPr>
          <w:noProof/>
        </w:rPr>
        <w:t>ewodniczącym;</w:t>
      </w:r>
    </w:p>
    <w:p w14:paraId="183EE2EC" w14:textId="32506ACB" w:rsidR="004A0762" w:rsidRPr="00ED36F4" w:rsidRDefault="00807366" w:rsidP="00807366">
      <w:pPr>
        <w:pStyle w:val="Point1"/>
        <w:rPr>
          <w:noProof/>
        </w:rPr>
      </w:pPr>
      <w:r w:rsidRPr="00ED36F4">
        <w:rPr>
          <w:noProof/>
        </w:rPr>
        <w:t>b.</w:t>
      </w:r>
      <w:r w:rsidRPr="00ED36F4">
        <w:rPr>
          <w:noProof/>
        </w:rPr>
        <w:tab/>
        <w:t>bieżące nadzorowanie</w:t>
      </w:r>
      <w:r w:rsidR="00ED36F4" w:rsidRPr="00ED36F4">
        <w:rPr>
          <w:noProof/>
        </w:rPr>
        <w:t xml:space="preserve"> i</w:t>
      </w:r>
      <w:r w:rsidR="00ED36F4">
        <w:rPr>
          <w:noProof/>
        </w:rPr>
        <w:t> </w:t>
      </w:r>
      <w:r w:rsidR="00ED36F4" w:rsidRPr="00ED36F4">
        <w:rPr>
          <w:noProof/>
        </w:rPr>
        <w:t>zar</w:t>
      </w:r>
      <w:r w:rsidRPr="00ED36F4">
        <w:rPr>
          <w:noProof/>
        </w:rPr>
        <w:t>ządzanie pracą sekretariatu Komitetu Zarządzającego;</w:t>
      </w:r>
    </w:p>
    <w:p w14:paraId="3F942478" w14:textId="5974A269" w:rsidR="004A0762" w:rsidRPr="00ED36F4" w:rsidRDefault="00807366" w:rsidP="00807366">
      <w:pPr>
        <w:pStyle w:val="Point1"/>
        <w:rPr>
          <w:noProof/>
        </w:rPr>
      </w:pPr>
      <w:r w:rsidRPr="00ED36F4">
        <w:rPr>
          <w:noProof/>
        </w:rPr>
        <w:t>c.</w:t>
      </w:r>
      <w:r w:rsidRPr="00ED36F4">
        <w:rPr>
          <w:noProof/>
        </w:rPr>
        <w:tab/>
        <w:t>zapewnianie wraz</w:t>
      </w:r>
      <w:r w:rsidR="00ED36F4" w:rsidRPr="00ED36F4">
        <w:rPr>
          <w:noProof/>
        </w:rPr>
        <w:t xml:space="preserve"> z</w:t>
      </w:r>
      <w:r w:rsidR="00ED36F4">
        <w:rPr>
          <w:noProof/>
        </w:rPr>
        <w:t> </w:t>
      </w:r>
      <w:r w:rsidR="00ED36F4" w:rsidRPr="00ED36F4">
        <w:rPr>
          <w:noProof/>
        </w:rPr>
        <w:t>sek</w:t>
      </w:r>
      <w:r w:rsidRPr="00ED36F4">
        <w:rPr>
          <w:noProof/>
        </w:rPr>
        <w:t>retariatem wsparcia administracyjnego</w:t>
      </w:r>
      <w:r w:rsidR="00ED36F4" w:rsidRPr="00ED36F4">
        <w:rPr>
          <w:noProof/>
        </w:rPr>
        <w:t xml:space="preserve"> i</w:t>
      </w:r>
      <w:r w:rsidR="00ED36F4">
        <w:rPr>
          <w:noProof/>
        </w:rPr>
        <w:t> </w:t>
      </w:r>
      <w:r w:rsidR="00ED36F4" w:rsidRPr="00ED36F4">
        <w:rPr>
          <w:noProof/>
        </w:rPr>
        <w:t>org</w:t>
      </w:r>
      <w:r w:rsidRPr="00ED36F4">
        <w:rPr>
          <w:noProof/>
        </w:rPr>
        <w:t>anizacyjnego pracy Komitetu Zarządzającego,</w:t>
      </w:r>
      <w:r w:rsidR="00ED36F4" w:rsidRPr="00ED36F4">
        <w:rPr>
          <w:noProof/>
        </w:rPr>
        <w:t xml:space="preserve"> w</w:t>
      </w:r>
      <w:r w:rsidR="00ED36F4">
        <w:rPr>
          <w:noProof/>
        </w:rPr>
        <w:t> </w:t>
      </w:r>
      <w:r w:rsidR="00ED36F4" w:rsidRPr="00ED36F4">
        <w:rPr>
          <w:noProof/>
        </w:rPr>
        <w:t>tym</w:t>
      </w:r>
      <w:r w:rsidRPr="00ED36F4">
        <w:rPr>
          <w:noProof/>
        </w:rPr>
        <w:t xml:space="preserve"> utrzymywanie regularnych kontaktów</w:t>
      </w:r>
      <w:r w:rsidR="00ED36F4" w:rsidRPr="00ED36F4">
        <w:rPr>
          <w:noProof/>
        </w:rPr>
        <w:t xml:space="preserve"> i</w:t>
      </w:r>
      <w:r w:rsidR="00ED36F4">
        <w:rPr>
          <w:noProof/>
        </w:rPr>
        <w:t> </w:t>
      </w:r>
      <w:r w:rsidR="00ED36F4" w:rsidRPr="00ED36F4">
        <w:rPr>
          <w:noProof/>
        </w:rPr>
        <w:t>prz</w:t>
      </w:r>
      <w:r w:rsidRPr="00ED36F4">
        <w:rPr>
          <w:noProof/>
        </w:rPr>
        <w:t>ygotowywanie jego posiedzeń;</w:t>
      </w:r>
    </w:p>
    <w:p w14:paraId="3147D3EE" w14:textId="4AC9735F" w:rsidR="004A0762" w:rsidRPr="00ED36F4" w:rsidRDefault="00807366" w:rsidP="00807366">
      <w:pPr>
        <w:pStyle w:val="Point1"/>
        <w:rPr>
          <w:noProof/>
        </w:rPr>
      </w:pPr>
      <w:r w:rsidRPr="00ED36F4">
        <w:rPr>
          <w:noProof/>
        </w:rPr>
        <w:t>d.</w:t>
      </w:r>
      <w:r w:rsidRPr="00ED36F4">
        <w:rPr>
          <w:noProof/>
        </w:rPr>
        <w:tab/>
        <w:t>utrzymywanie kontaktów</w:t>
      </w:r>
      <w:r w:rsidR="00ED36F4" w:rsidRPr="00ED36F4">
        <w:rPr>
          <w:noProof/>
        </w:rPr>
        <w:t xml:space="preserve"> z</w:t>
      </w:r>
      <w:r w:rsidR="00ED36F4">
        <w:rPr>
          <w:noProof/>
        </w:rPr>
        <w:t> </w:t>
      </w:r>
      <w:r w:rsidR="00ED36F4" w:rsidRPr="00ED36F4">
        <w:rPr>
          <w:noProof/>
        </w:rPr>
        <w:t>Pre</w:t>
      </w:r>
      <w:r w:rsidRPr="00ED36F4">
        <w:rPr>
          <w:noProof/>
        </w:rPr>
        <w:t>zesem</w:t>
      </w:r>
      <w:r w:rsidR="00ED36F4" w:rsidRPr="00ED36F4">
        <w:rPr>
          <w:noProof/>
        </w:rPr>
        <w:t xml:space="preserve"> i</w:t>
      </w:r>
      <w:r w:rsidR="00ED36F4">
        <w:rPr>
          <w:noProof/>
        </w:rPr>
        <w:t> </w:t>
      </w:r>
      <w:r w:rsidR="00ED36F4" w:rsidRPr="00ED36F4">
        <w:rPr>
          <w:noProof/>
        </w:rPr>
        <w:t>Sek</w:t>
      </w:r>
      <w:r w:rsidRPr="00ED36F4">
        <w:rPr>
          <w:noProof/>
        </w:rPr>
        <w:t>retarzem Specjalnego Trybunału</w:t>
      </w:r>
      <w:r w:rsidR="00ED36F4" w:rsidRPr="00ED36F4">
        <w:rPr>
          <w:noProof/>
        </w:rPr>
        <w:t xml:space="preserve"> w</w:t>
      </w:r>
      <w:r w:rsidR="00ED36F4">
        <w:rPr>
          <w:noProof/>
        </w:rPr>
        <w:t> </w:t>
      </w:r>
      <w:r w:rsidR="00ED36F4" w:rsidRPr="00ED36F4">
        <w:rPr>
          <w:noProof/>
        </w:rPr>
        <w:t>spr</w:t>
      </w:r>
      <w:r w:rsidRPr="00ED36F4">
        <w:rPr>
          <w:noProof/>
        </w:rPr>
        <w:t>awach związanych</w:t>
      </w:r>
      <w:r w:rsidR="00ED36F4" w:rsidRPr="00ED36F4">
        <w:rPr>
          <w:noProof/>
        </w:rPr>
        <w:t xml:space="preserve"> z</w:t>
      </w:r>
      <w:r w:rsidR="00ED36F4">
        <w:rPr>
          <w:noProof/>
        </w:rPr>
        <w:t> </w:t>
      </w:r>
      <w:r w:rsidR="00ED36F4" w:rsidRPr="00ED36F4">
        <w:rPr>
          <w:noProof/>
        </w:rPr>
        <w:t>pra</w:t>
      </w:r>
      <w:r w:rsidRPr="00ED36F4">
        <w:rPr>
          <w:noProof/>
        </w:rPr>
        <w:t>cą Komitetu Zarządzającego;</w:t>
      </w:r>
    </w:p>
    <w:p w14:paraId="2B9A1E1D" w14:textId="13899F2C" w:rsidR="004A0762" w:rsidRPr="00ED36F4" w:rsidRDefault="00807366" w:rsidP="00807366">
      <w:pPr>
        <w:pStyle w:val="Point1"/>
        <w:rPr>
          <w:noProof/>
        </w:rPr>
      </w:pPr>
      <w:r w:rsidRPr="00ED36F4">
        <w:rPr>
          <w:noProof/>
        </w:rPr>
        <w:t>e.</w:t>
      </w:r>
      <w:r w:rsidRPr="00ED36F4">
        <w:rPr>
          <w:noProof/>
        </w:rPr>
        <w:tab/>
        <w:t>przekazywanie Komitetowi Zarządzającemu dokumentów od Prezesa</w:t>
      </w:r>
      <w:r w:rsidR="00ED36F4" w:rsidRPr="00ED36F4">
        <w:rPr>
          <w:noProof/>
        </w:rPr>
        <w:t xml:space="preserve"> i</w:t>
      </w:r>
      <w:r w:rsidR="00ED36F4">
        <w:rPr>
          <w:noProof/>
        </w:rPr>
        <w:t> </w:t>
      </w:r>
      <w:r w:rsidR="00ED36F4" w:rsidRPr="00ED36F4">
        <w:rPr>
          <w:noProof/>
        </w:rPr>
        <w:t>Sek</w:t>
      </w:r>
      <w:r w:rsidRPr="00ED36F4">
        <w:rPr>
          <w:noProof/>
        </w:rPr>
        <w:t>retarza Specjalnego Trybunału;</w:t>
      </w:r>
    </w:p>
    <w:p w14:paraId="52821168" w14:textId="09B8E5A1" w:rsidR="004A0762" w:rsidRPr="00ED36F4" w:rsidRDefault="00807366" w:rsidP="00807366">
      <w:pPr>
        <w:pStyle w:val="Point1"/>
        <w:rPr>
          <w:noProof/>
        </w:rPr>
      </w:pPr>
      <w:r w:rsidRPr="00ED36F4">
        <w:rPr>
          <w:noProof/>
        </w:rPr>
        <w:t>f.</w:t>
      </w:r>
      <w:r w:rsidRPr="00ED36F4">
        <w:rPr>
          <w:noProof/>
        </w:rPr>
        <w:tab/>
        <w:t>utrzymywanie kontaktów</w:t>
      </w:r>
      <w:r w:rsidR="00ED36F4" w:rsidRPr="00ED36F4">
        <w:rPr>
          <w:noProof/>
        </w:rPr>
        <w:t xml:space="preserve"> z</w:t>
      </w:r>
      <w:r w:rsidR="00ED36F4">
        <w:rPr>
          <w:noProof/>
        </w:rPr>
        <w:t> </w:t>
      </w:r>
      <w:r w:rsidR="00ED36F4" w:rsidRPr="00ED36F4">
        <w:rPr>
          <w:noProof/>
        </w:rPr>
        <w:t>odp</w:t>
      </w:r>
      <w:r w:rsidRPr="00ED36F4">
        <w:rPr>
          <w:noProof/>
        </w:rPr>
        <w:t>owiednimi organami krajowymi</w:t>
      </w:r>
      <w:r w:rsidR="00ED36F4" w:rsidRPr="00ED36F4">
        <w:rPr>
          <w:noProof/>
        </w:rPr>
        <w:t xml:space="preserve"> i</w:t>
      </w:r>
      <w:r w:rsidR="00ED36F4">
        <w:rPr>
          <w:noProof/>
        </w:rPr>
        <w:t> </w:t>
      </w:r>
      <w:r w:rsidR="00ED36F4" w:rsidRPr="00ED36F4">
        <w:rPr>
          <w:noProof/>
        </w:rPr>
        <w:t>mię</w:t>
      </w:r>
      <w:r w:rsidRPr="00ED36F4">
        <w:rPr>
          <w:noProof/>
        </w:rPr>
        <w:t>dzynarodowymi</w:t>
      </w:r>
      <w:r w:rsidR="00ED36F4" w:rsidRPr="00ED36F4">
        <w:rPr>
          <w:noProof/>
        </w:rPr>
        <w:t xml:space="preserve"> w</w:t>
      </w:r>
      <w:r w:rsidR="00ED36F4">
        <w:rPr>
          <w:noProof/>
        </w:rPr>
        <w:t> </w:t>
      </w:r>
      <w:r w:rsidR="00ED36F4" w:rsidRPr="00ED36F4">
        <w:rPr>
          <w:noProof/>
        </w:rPr>
        <w:t>róż</w:t>
      </w:r>
      <w:r w:rsidRPr="00ED36F4">
        <w:rPr>
          <w:noProof/>
        </w:rPr>
        <w:t>nych kwestiach związanych</w:t>
      </w:r>
      <w:r w:rsidR="00ED36F4" w:rsidRPr="00ED36F4">
        <w:rPr>
          <w:noProof/>
        </w:rPr>
        <w:t xml:space="preserve"> z</w:t>
      </w:r>
      <w:r w:rsidR="00ED36F4">
        <w:rPr>
          <w:noProof/>
        </w:rPr>
        <w:t> </w:t>
      </w:r>
      <w:r w:rsidR="00ED36F4" w:rsidRPr="00ED36F4">
        <w:rPr>
          <w:noProof/>
        </w:rPr>
        <w:t>pra</w:t>
      </w:r>
      <w:r w:rsidRPr="00ED36F4">
        <w:rPr>
          <w:noProof/>
        </w:rPr>
        <w:t>cą Komitetu Zarządzającego;</w:t>
      </w:r>
    </w:p>
    <w:p w14:paraId="62E29893" w14:textId="2226A360" w:rsidR="004A0762" w:rsidRPr="00ED36F4" w:rsidRDefault="00807366" w:rsidP="00807366">
      <w:pPr>
        <w:pStyle w:val="Point1"/>
        <w:rPr>
          <w:noProof/>
        </w:rPr>
      </w:pPr>
      <w:r w:rsidRPr="00ED36F4">
        <w:rPr>
          <w:noProof/>
        </w:rPr>
        <w:t>g.</w:t>
      </w:r>
      <w:r w:rsidRPr="00ED36F4">
        <w:rPr>
          <w:noProof/>
        </w:rPr>
        <w:tab/>
        <w:t>współpraca</w:t>
      </w:r>
      <w:r w:rsidR="00ED36F4" w:rsidRPr="00ED36F4">
        <w:rPr>
          <w:noProof/>
        </w:rPr>
        <w:t xml:space="preserve"> z</w:t>
      </w:r>
      <w:r w:rsidR="00ED36F4">
        <w:rPr>
          <w:noProof/>
        </w:rPr>
        <w:t> </w:t>
      </w:r>
      <w:r w:rsidR="00ED36F4" w:rsidRPr="00ED36F4">
        <w:rPr>
          <w:noProof/>
        </w:rPr>
        <w:t>rzą</w:t>
      </w:r>
      <w:r w:rsidRPr="00ED36F4">
        <w:rPr>
          <w:noProof/>
        </w:rPr>
        <w:t>dem państwa przyjmującego</w:t>
      </w:r>
      <w:r w:rsidR="00ED36F4" w:rsidRPr="00ED36F4">
        <w:rPr>
          <w:noProof/>
        </w:rPr>
        <w:t xml:space="preserve"> i</w:t>
      </w:r>
      <w:r w:rsidR="00ED36F4">
        <w:rPr>
          <w:noProof/>
        </w:rPr>
        <w:t> </w:t>
      </w:r>
      <w:r w:rsidR="00ED36F4" w:rsidRPr="00ED36F4">
        <w:rPr>
          <w:noProof/>
        </w:rPr>
        <w:t>Ukr</w:t>
      </w:r>
      <w:r w:rsidRPr="00ED36F4">
        <w:rPr>
          <w:noProof/>
        </w:rPr>
        <w:t>ainy</w:t>
      </w:r>
      <w:r w:rsidR="00ED36F4" w:rsidRPr="00ED36F4">
        <w:rPr>
          <w:noProof/>
        </w:rPr>
        <w:t xml:space="preserve"> w</w:t>
      </w:r>
      <w:r w:rsidR="00ED36F4">
        <w:rPr>
          <w:noProof/>
        </w:rPr>
        <w:t> </w:t>
      </w:r>
      <w:r w:rsidR="00ED36F4" w:rsidRPr="00ED36F4">
        <w:rPr>
          <w:noProof/>
        </w:rPr>
        <w:t>róż</w:t>
      </w:r>
      <w:r w:rsidRPr="00ED36F4">
        <w:rPr>
          <w:noProof/>
        </w:rPr>
        <w:t>nych sprawach administracyjnych związanych</w:t>
      </w:r>
      <w:r w:rsidR="00ED36F4" w:rsidRPr="00ED36F4">
        <w:rPr>
          <w:noProof/>
        </w:rPr>
        <w:t xml:space="preserve"> z</w:t>
      </w:r>
      <w:r w:rsidR="00ED36F4">
        <w:rPr>
          <w:noProof/>
        </w:rPr>
        <w:t> </w:t>
      </w:r>
      <w:r w:rsidR="00ED36F4" w:rsidRPr="00ED36F4">
        <w:rPr>
          <w:noProof/>
        </w:rPr>
        <w:t>pra</w:t>
      </w:r>
      <w:r w:rsidRPr="00ED36F4">
        <w:rPr>
          <w:noProof/>
        </w:rPr>
        <w:t>cą Komitetu Zarządzającego; oraz</w:t>
      </w:r>
    </w:p>
    <w:p w14:paraId="2A04186B" w14:textId="28FE5404" w:rsidR="004A0762" w:rsidRPr="00ED36F4" w:rsidRDefault="00807366" w:rsidP="00807366">
      <w:pPr>
        <w:pStyle w:val="Point1"/>
        <w:rPr>
          <w:noProof/>
        </w:rPr>
      </w:pPr>
      <w:r w:rsidRPr="00ED36F4">
        <w:rPr>
          <w:noProof/>
        </w:rPr>
        <w:t>h.</w:t>
      </w:r>
      <w:r w:rsidRPr="00ED36F4">
        <w:rPr>
          <w:noProof/>
        </w:rPr>
        <w:tab/>
        <w:t>pełnienie wszelkich innych funkcji powierzonych mu na mocy niniejszego Statutu.</w:t>
      </w:r>
    </w:p>
    <w:p w14:paraId="7A29929D" w14:textId="77777777" w:rsidR="004A0762" w:rsidRPr="00ED36F4" w:rsidRDefault="004A0762" w:rsidP="004A0762">
      <w:pPr>
        <w:rPr>
          <w:noProof/>
        </w:rPr>
      </w:pPr>
      <w:r w:rsidRPr="00ED36F4">
        <w:rPr>
          <w:noProof/>
        </w:rPr>
        <w:t>4.</w:t>
      </w:r>
      <w:r w:rsidRPr="00ED36F4">
        <w:rPr>
          <w:noProof/>
        </w:rPr>
        <w:tab/>
        <w:t>Sekretarz Wykonawczy pełni wszelkie inne funkcje powierzone mu przez Komitet Zarządzający.</w:t>
      </w:r>
    </w:p>
    <w:p w14:paraId="27EA97C2" w14:textId="5E5A6F4B" w:rsidR="004A0762" w:rsidRPr="00ED36F4" w:rsidRDefault="004A0762" w:rsidP="004A0762">
      <w:pPr>
        <w:rPr>
          <w:noProof/>
        </w:rPr>
      </w:pPr>
      <w:r w:rsidRPr="00ED36F4">
        <w:rPr>
          <w:noProof/>
        </w:rPr>
        <w:t>5.</w:t>
      </w:r>
      <w:r w:rsidRPr="00ED36F4">
        <w:rPr>
          <w:noProof/>
        </w:rPr>
        <w:tab/>
        <w:t>Bez uszczerbku dla ust.</w:t>
      </w:r>
      <w:r w:rsidR="00BE25DF" w:rsidRPr="00ED36F4">
        <w:rPr>
          <w:noProof/>
        </w:rPr>
        <w:t> </w:t>
      </w:r>
      <w:r w:rsidRPr="00ED36F4">
        <w:rPr>
          <w:noProof/>
        </w:rPr>
        <w:t>6 niniejszego artykułu sekretariat jest</w:t>
      </w:r>
      <w:r w:rsidR="00ED36F4" w:rsidRPr="00ED36F4">
        <w:rPr>
          <w:noProof/>
        </w:rPr>
        <w:t xml:space="preserve"> w</w:t>
      </w:r>
      <w:r w:rsidR="00ED36F4">
        <w:rPr>
          <w:noProof/>
        </w:rPr>
        <w:t> </w:t>
      </w:r>
      <w:r w:rsidR="00ED36F4" w:rsidRPr="00ED36F4">
        <w:rPr>
          <w:noProof/>
        </w:rPr>
        <w:t>peł</w:t>
      </w:r>
      <w:r w:rsidRPr="00ED36F4">
        <w:rPr>
          <w:noProof/>
        </w:rPr>
        <w:t>ni niezależny pod względem administracyjnym od Rady Europy</w:t>
      </w:r>
      <w:r w:rsidR="00ED36F4" w:rsidRPr="00ED36F4">
        <w:rPr>
          <w:noProof/>
        </w:rPr>
        <w:t xml:space="preserve"> i</w:t>
      </w:r>
      <w:r w:rsidR="00ED36F4">
        <w:rPr>
          <w:noProof/>
        </w:rPr>
        <w:t> </w:t>
      </w:r>
      <w:r w:rsidR="00ED36F4" w:rsidRPr="00ED36F4">
        <w:rPr>
          <w:noProof/>
        </w:rPr>
        <w:t>jej</w:t>
      </w:r>
      <w:r w:rsidRPr="00ED36F4">
        <w:rPr>
          <w:noProof/>
        </w:rPr>
        <w:t xml:space="preserve"> organów.</w:t>
      </w:r>
    </w:p>
    <w:p w14:paraId="6DCCB7BA" w14:textId="0E887605" w:rsidR="004A0762" w:rsidRPr="00ED36F4" w:rsidRDefault="004A0762" w:rsidP="004A0762">
      <w:pPr>
        <w:rPr>
          <w:noProof/>
        </w:rPr>
      </w:pPr>
      <w:r w:rsidRPr="00ED36F4">
        <w:rPr>
          <w:noProof/>
        </w:rPr>
        <w:t>6.</w:t>
      </w:r>
      <w:r w:rsidRPr="00ED36F4">
        <w:rPr>
          <w:noProof/>
        </w:rPr>
        <w:tab/>
        <w:t>Do sekretariatu zastosowanie ma regulamin pracowniczy Rady Europy,</w:t>
      </w:r>
      <w:r w:rsidR="00ED36F4" w:rsidRPr="00ED36F4">
        <w:rPr>
          <w:noProof/>
        </w:rPr>
        <w:t xml:space="preserve"> z</w:t>
      </w:r>
      <w:r w:rsidR="00ED36F4">
        <w:rPr>
          <w:noProof/>
        </w:rPr>
        <w:t> </w:t>
      </w:r>
      <w:r w:rsidR="00ED36F4" w:rsidRPr="00ED36F4">
        <w:rPr>
          <w:noProof/>
        </w:rPr>
        <w:t>zas</w:t>
      </w:r>
      <w:r w:rsidRPr="00ED36F4">
        <w:rPr>
          <w:noProof/>
        </w:rPr>
        <w:t>trzeżeniem art.</w:t>
      </w:r>
      <w:r w:rsidR="00BE25DF" w:rsidRPr="00ED36F4">
        <w:rPr>
          <w:noProof/>
        </w:rPr>
        <w:t> </w:t>
      </w:r>
      <w:r w:rsidRPr="00ED36F4">
        <w:rPr>
          <w:noProof/>
        </w:rPr>
        <w:t>11 niniejszego Statutu.</w:t>
      </w:r>
    </w:p>
    <w:p w14:paraId="61B15AFF" w14:textId="77777777" w:rsidR="004A0762" w:rsidRPr="00ED36F4" w:rsidRDefault="004A0762" w:rsidP="004A0762">
      <w:pPr>
        <w:rPr>
          <w:b/>
          <w:bCs/>
          <w:noProof/>
        </w:rPr>
      </w:pPr>
      <w:r w:rsidRPr="00ED36F4">
        <w:rPr>
          <w:b/>
          <w:noProof/>
        </w:rPr>
        <w:t>Artykuł 7 – Niezależność</w:t>
      </w:r>
    </w:p>
    <w:p w14:paraId="6BFCCF5C" w14:textId="683D2E41" w:rsidR="004A0762" w:rsidRPr="00ED36F4" w:rsidRDefault="004A0762" w:rsidP="004A0762">
      <w:pPr>
        <w:rPr>
          <w:noProof/>
        </w:rPr>
      </w:pPr>
      <w:r w:rsidRPr="00ED36F4">
        <w:rPr>
          <w:noProof/>
        </w:rPr>
        <w:t>1.</w:t>
      </w:r>
      <w:r w:rsidRPr="00ED36F4">
        <w:rPr>
          <w:noProof/>
        </w:rPr>
        <w:tab/>
        <w:t>Zgodnie ze Statutem Specjalnego Trybunału sędziowie, prokurator, zastępca(-y) prokuratora oraz pracownicy Specjalnego Trybunału są niezależni</w:t>
      </w:r>
      <w:r w:rsidR="00ED36F4" w:rsidRPr="00ED36F4">
        <w:rPr>
          <w:noProof/>
        </w:rPr>
        <w:t xml:space="preserve"> w</w:t>
      </w:r>
      <w:r w:rsidR="00ED36F4">
        <w:rPr>
          <w:noProof/>
        </w:rPr>
        <w:t> </w:t>
      </w:r>
      <w:r w:rsidR="00ED36F4" w:rsidRPr="00ED36F4">
        <w:rPr>
          <w:noProof/>
        </w:rPr>
        <w:t>wyk</w:t>
      </w:r>
      <w:r w:rsidRPr="00ED36F4">
        <w:rPr>
          <w:noProof/>
        </w:rPr>
        <w:t>onywaniu swoich funkcji.</w:t>
      </w:r>
    </w:p>
    <w:p w14:paraId="5CABFDBF" w14:textId="72483EC6" w:rsidR="004A0762" w:rsidRPr="00ED36F4" w:rsidRDefault="004A0762" w:rsidP="004A0762">
      <w:pPr>
        <w:rPr>
          <w:noProof/>
        </w:rPr>
      </w:pPr>
      <w:r w:rsidRPr="00ED36F4">
        <w:rPr>
          <w:noProof/>
        </w:rPr>
        <w:t>2.</w:t>
      </w:r>
      <w:r w:rsidRPr="00ED36F4">
        <w:rPr>
          <w:noProof/>
        </w:rPr>
        <w:tab/>
        <w:t>Każdy członek</w:t>
      </w:r>
      <w:r w:rsidR="00ED36F4" w:rsidRPr="00ED36F4">
        <w:rPr>
          <w:noProof/>
        </w:rPr>
        <w:t xml:space="preserve"> i</w:t>
      </w:r>
      <w:r w:rsidR="00ED36F4">
        <w:rPr>
          <w:noProof/>
        </w:rPr>
        <w:t> </w:t>
      </w:r>
      <w:r w:rsidR="00ED36F4" w:rsidRPr="00ED36F4">
        <w:rPr>
          <w:noProof/>
        </w:rPr>
        <w:t>czł</w:t>
      </w:r>
      <w:r w:rsidRPr="00ED36F4">
        <w:rPr>
          <w:noProof/>
        </w:rPr>
        <w:t>onek stowarzyszony Komitetu Zarządzającego,</w:t>
      </w:r>
      <w:r w:rsidR="00ED36F4" w:rsidRPr="00ED36F4">
        <w:rPr>
          <w:noProof/>
        </w:rPr>
        <w:t xml:space="preserve"> a</w:t>
      </w:r>
      <w:r w:rsidR="00ED36F4">
        <w:rPr>
          <w:noProof/>
        </w:rPr>
        <w:t> </w:t>
      </w:r>
      <w:r w:rsidR="00ED36F4" w:rsidRPr="00ED36F4">
        <w:rPr>
          <w:noProof/>
        </w:rPr>
        <w:t>tak</w:t>
      </w:r>
      <w:r w:rsidRPr="00ED36F4">
        <w:rPr>
          <w:noProof/>
        </w:rPr>
        <w:t>że Rada Europy</w:t>
      </w:r>
      <w:r w:rsidR="00ED36F4" w:rsidRPr="00ED36F4">
        <w:rPr>
          <w:noProof/>
        </w:rPr>
        <w:t xml:space="preserve"> i</w:t>
      </w:r>
      <w:r w:rsidR="00ED36F4">
        <w:rPr>
          <w:noProof/>
        </w:rPr>
        <w:t> </w:t>
      </w:r>
      <w:r w:rsidR="00ED36F4" w:rsidRPr="00ED36F4">
        <w:rPr>
          <w:noProof/>
        </w:rPr>
        <w:t>jej</w:t>
      </w:r>
      <w:r w:rsidRPr="00ED36F4">
        <w:rPr>
          <w:noProof/>
        </w:rPr>
        <w:t xml:space="preserve"> organy zobowiązują się do poszanowania niezależności Specjalnego Trybunału,</w:t>
      </w:r>
      <w:r w:rsidR="00ED36F4" w:rsidRPr="00ED36F4">
        <w:rPr>
          <w:noProof/>
        </w:rPr>
        <w:t xml:space="preserve"> w</w:t>
      </w:r>
      <w:r w:rsidR="00ED36F4">
        <w:rPr>
          <w:noProof/>
        </w:rPr>
        <w:t> </w:t>
      </w:r>
      <w:r w:rsidR="00ED36F4" w:rsidRPr="00ED36F4">
        <w:rPr>
          <w:noProof/>
        </w:rPr>
        <w:t>tym</w:t>
      </w:r>
      <w:r w:rsidRPr="00ED36F4">
        <w:rPr>
          <w:noProof/>
        </w:rPr>
        <w:t xml:space="preserve"> jego pracowników, sędziów, prokuratorów, zastępców prokuratorów</w:t>
      </w:r>
      <w:r w:rsidR="00ED36F4" w:rsidRPr="00ED36F4">
        <w:rPr>
          <w:noProof/>
        </w:rPr>
        <w:t xml:space="preserve"> i</w:t>
      </w:r>
      <w:r w:rsidR="00ED36F4">
        <w:rPr>
          <w:noProof/>
        </w:rPr>
        <w:t> </w:t>
      </w:r>
      <w:r w:rsidR="00ED36F4" w:rsidRPr="00ED36F4">
        <w:rPr>
          <w:noProof/>
        </w:rPr>
        <w:t>biu</w:t>
      </w:r>
      <w:r w:rsidRPr="00ED36F4">
        <w:rPr>
          <w:noProof/>
        </w:rPr>
        <w:t>r, oraz do niewywierania na nich wpływu podczas wykonywania przez nich swoich obowiązków. Każdy członek</w:t>
      </w:r>
      <w:r w:rsidR="00ED36F4" w:rsidRPr="00ED36F4">
        <w:rPr>
          <w:noProof/>
        </w:rPr>
        <w:t xml:space="preserve"> i</w:t>
      </w:r>
      <w:r w:rsidR="00ED36F4">
        <w:rPr>
          <w:noProof/>
        </w:rPr>
        <w:t> </w:t>
      </w:r>
      <w:r w:rsidR="00ED36F4" w:rsidRPr="00ED36F4">
        <w:rPr>
          <w:noProof/>
        </w:rPr>
        <w:t>czł</w:t>
      </w:r>
      <w:r w:rsidRPr="00ED36F4">
        <w:rPr>
          <w:noProof/>
        </w:rPr>
        <w:t>onek stowarzyszony zobowiązuje się do poszanowania całkowicie niezależnego charakteru sekretariatu i do niewywierania na niego wpływu podczas wykonywania przez niego swoich obowiązków.</w:t>
      </w:r>
    </w:p>
    <w:p w14:paraId="4D327602" w14:textId="5E12A826" w:rsidR="004A0762" w:rsidRPr="00ED36F4" w:rsidRDefault="004A0762" w:rsidP="004A0762">
      <w:pPr>
        <w:rPr>
          <w:noProof/>
        </w:rPr>
      </w:pPr>
      <w:r w:rsidRPr="00ED36F4">
        <w:rPr>
          <w:noProof/>
        </w:rPr>
        <w:t>3.</w:t>
      </w:r>
      <w:r w:rsidRPr="00ED36F4">
        <w:rPr>
          <w:noProof/>
        </w:rPr>
        <w:tab/>
        <w:t>Zgodnie</w:t>
      </w:r>
      <w:r w:rsidR="00ED36F4" w:rsidRPr="00ED36F4">
        <w:rPr>
          <w:noProof/>
        </w:rPr>
        <w:t xml:space="preserve"> z</w:t>
      </w:r>
      <w:r w:rsidR="00ED36F4">
        <w:rPr>
          <w:noProof/>
        </w:rPr>
        <w:t> </w:t>
      </w:r>
      <w:r w:rsidR="00ED36F4" w:rsidRPr="00ED36F4">
        <w:rPr>
          <w:noProof/>
        </w:rPr>
        <w:t>reg</w:t>
      </w:r>
      <w:r w:rsidRPr="00ED36F4">
        <w:rPr>
          <w:noProof/>
        </w:rPr>
        <w:t>ulaminem pracowniczym Rady Europy, wykonując swoje obowiązki, członkowie sekretariatu nie zwracają się</w:t>
      </w:r>
      <w:r w:rsidR="00ED36F4" w:rsidRPr="00ED36F4">
        <w:rPr>
          <w:noProof/>
        </w:rPr>
        <w:t xml:space="preserve"> o</w:t>
      </w:r>
      <w:r w:rsidR="00ED36F4">
        <w:rPr>
          <w:noProof/>
        </w:rPr>
        <w:t> </w:t>
      </w:r>
      <w:r w:rsidR="00ED36F4" w:rsidRPr="00ED36F4">
        <w:rPr>
          <w:noProof/>
        </w:rPr>
        <w:t>ins</w:t>
      </w:r>
      <w:r w:rsidRPr="00ED36F4">
        <w:rPr>
          <w:noProof/>
        </w:rPr>
        <w:t>trukcje do żadnego rządu, organu, organizacji pozarządowej ani innej strony trzeciej ani nie przyjmują od nich instrukcji.</w:t>
      </w:r>
    </w:p>
    <w:p w14:paraId="23E5FA9A" w14:textId="7FD8BC09" w:rsidR="004A0762" w:rsidRPr="00ED36F4" w:rsidRDefault="004A0762" w:rsidP="004A0762">
      <w:pPr>
        <w:rPr>
          <w:b/>
          <w:bCs/>
          <w:noProof/>
        </w:rPr>
      </w:pPr>
      <w:r w:rsidRPr="00ED36F4">
        <w:rPr>
          <w:b/>
          <w:noProof/>
        </w:rPr>
        <w:t>Artykuł 8 – Finansowanie</w:t>
      </w:r>
      <w:r w:rsidR="00ED36F4" w:rsidRPr="00ED36F4">
        <w:rPr>
          <w:b/>
          <w:noProof/>
        </w:rPr>
        <w:t xml:space="preserve"> i</w:t>
      </w:r>
      <w:r w:rsidR="00ED36F4">
        <w:rPr>
          <w:b/>
          <w:noProof/>
        </w:rPr>
        <w:t> </w:t>
      </w:r>
      <w:r w:rsidR="00ED36F4" w:rsidRPr="00ED36F4">
        <w:rPr>
          <w:b/>
          <w:noProof/>
        </w:rPr>
        <w:t>bud</w:t>
      </w:r>
      <w:r w:rsidRPr="00ED36F4">
        <w:rPr>
          <w:b/>
          <w:noProof/>
        </w:rPr>
        <w:t>żet</w:t>
      </w:r>
    </w:p>
    <w:p w14:paraId="48CBB18C" w14:textId="278506A9" w:rsidR="004A0762" w:rsidRPr="00ED36F4" w:rsidRDefault="004A0762" w:rsidP="004A0762">
      <w:pPr>
        <w:rPr>
          <w:noProof/>
        </w:rPr>
      </w:pPr>
      <w:r w:rsidRPr="00ED36F4">
        <w:rPr>
          <w:noProof/>
        </w:rPr>
        <w:t>1.</w:t>
      </w:r>
      <w:r w:rsidRPr="00ED36F4">
        <w:rPr>
          <w:noProof/>
        </w:rPr>
        <w:tab/>
        <w:t>Rozszerzone porozumienie częściowe ma własny budżet zgodnie</w:t>
      </w:r>
      <w:r w:rsidR="00ED36F4" w:rsidRPr="00ED36F4">
        <w:rPr>
          <w:noProof/>
        </w:rPr>
        <w:t xml:space="preserve"> z</w:t>
      </w:r>
      <w:r w:rsidR="00ED36F4">
        <w:rPr>
          <w:noProof/>
        </w:rPr>
        <w:t> </w:t>
      </w:r>
      <w:r w:rsidR="00ED36F4" w:rsidRPr="00ED36F4">
        <w:rPr>
          <w:noProof/>
        </w:rPr>
        <w:t>rez</w:t>
      </w:r>
      <w:r w:rsidRPr="00ED36F4">
        <w:rPr>
          <w:noProof/>
        </w:rPr>
        <w:t>olucją statutową</w:t>
      </w:r>
      <w:bookmarkStart w:id="4" w:name="_ML_000000000010_VALID"/>
      <w:r w:rsidRPr="00ED36F4">
        <w:rPr>
          <w:noProof/>
        </w:rPr>
        <w:t xml:space="preserve"> </w:t>
      </w:r>
      <w:hyperlink r:id="rId17" w:anchor="%7B%22CoEReference%22:[%22Res(93)28%22],%22CoELanguageId%22:[%22eng%22],%22CoECollection%22:[%22COE_DOC%22],%22po%22:%7B%22ref%22:%22=%22%7D%7D" w:tooltip="Rezolucja statutowa w sprawie porozumień częściowych i rozszerzonych" w:history="1">
        <w:bookmarkEnd w:id="4"/>
        <w:r w:rsidRPr="00ED36F4">
          <w:rPr>
            <w:rStyle w:val="Hyperlink"/>
            <w:noProof/>
            <w:color w:val="auto"/>
            <w:u w:val="none"/>
          </w:rPr>
          <w:t>Res(93)28</w:t>
        </w:r>
      </w:hyperlink>
      <w:r w:rsidRPr="00ED36F4">
        <w:rPr>
          <w:noProof/>
        </w:rPr>
        <w:t>, obejmujący wydatki Specjalnego Trybunału</w:t>
      </w:r>
      <w:r w:rsidR="00ED36F4" w:rsidRPr="00ED36F4">
        <w:rPr>
          <w:noProof/>
        </w:rPr>
        <w:t xml:space="preserve"> i</w:t>
      </w:r>
      <w:r w:rsidR="00ED36F4">
        <w:rPr>
          <w:noProof/>
        </w:rPr>
        <w:t> </w:t>
      </w:r>
      <w:r w:rsidR="00ED36F4" w:rsidRPr="00ED36F4">
        <w:rPr>
          <w:noProof/>
        </w:rPr>
        <w:t>Kom</w:t>
      </w:r>
      <w:r w:rsidRPr="00ED36F4">
        <w:rPr>
          <w:noProof/>
        </w:rPr>
        <w:t>itetu Zarządzającego. Budżet jest finansowany</w:t>
      </w:r>
      <w:r w:rsidR="00ED36F4" w:rsidRPr="00ED36F4">
        <w:rPr>
          <w:noProof/>
        </w:rPr>
        <w:t xml:space="preserve"> z</w:t>
      </w:r>
      <w:r w:rsidR="00ED36F4">
        <w:rPr>
          <w:noProof/>
        </w:rPr>
        <w:t> </w:t>
      </w:r>
      <w:r w:rsidR="00ED36F4" w:rsidRPr="00ED36F4">
        <w:rPr>
          <w:noProof/>
        </w:rPr>
        <w:t>roc</w:t>
      </w:r>
      <w:r w:rsidRPr="00ED36F4">
        <w:rPr>
          <w:noProof/>
        </w:rPr>
        <w:t xml:space="preserve">znych składek jego członków oraz dobrowolnych składek członków stowarzyszonych. </w:t>
      </w:r>
    </w:p>
    <w:p w14:paraId="49672C43" w14:textId="0F1C839C" w:rsidR="004A0762" w:rsidRPr="00ED36F4" w:rsidRDefault="004A0762" w:rsidP="004A0762">
      <w:pPr>
        <w:rPr>
          <w:noProof/>
        </w:rPr>
      </w:pPr>
      <w:r w:rsidRPr="00ED36F4">
        <w:rPr>
          <w:noProof/>
        </w:rPr>
        <w:t>2.</w:t>
      </w:r>
      <w:r w:rsidRPr="00ED36F4">
        <w:rPr>
          <w:noProof/>
        </w:rPr>
        <w:tab/>
        <w:t>Komitet Zarządzający określa kwotę rocznej składki wnoszonej przez członków oraz zalecaną kwotę dobrowolnej składki wnoszonej przez członków stowarzyszonych. Składki te powinny zasadniczo opierać się na kryteriach ustalania rocznej skali składek do budżetu ogólnego Rady Europy</w:t>
      </w:r>
      <w:r w:rsidR="00ED36F4" w:rsidRPr="00ED36F4">
        <w:rPr>
          <w:noProof/>
        </w:rPr>
        <w:t xml:space="preserve"> i</w:t>
      </w:r>
      <w:r w:rsidR="00ED36F4">
        <w:rPr>
          <w:noProof/>
        </w:rPr>
        <w:t> </w:t>
      </w:r>
      <w:r w:rsidR="00ED36F4" w:rsidRPr="00ED36F4">
        <w:rPr>
          <w:noProof/>
        </w:rPr>
        <w:t>mog</w:t>
      </w:r>
      <w:r w:rsidRPr="00ED36F4">
        <w:rPr>
          <w:noProof/>
        </w:rPr>
        <w:t>ą być dostosowywane zgodnie</w:t>
      </w:r>
      <w:r w:rsidR="00ED36F4" w:rsidRPr="00ED36F4">
        <w:rPr>
          <w:noProof/>
        </w:rPr>
        <w:t xml:space="preserve"> z</w:t>
      </w:r>
      <w:r w:rsidR="00ED36F4">
        <w:rPr>
          <w:noProof/>
        </w:rPr>
        <w:t> </w:t>
      </w:r>
      <w:r w:rsidR="00ED36F4" w:rsidRPr="00ED36F4">
        <w:rPr>
          <w:noProof/>
        </w:rPr>
        <w:t>zas</w:t>
      </w:r>
      <w:r w:rsidRPr="00ED36F4">
        <w:rPr>
          <w:noProof/>
        </w:rPr>
        <w:t>adami tej skali, przy jednoczesnym uwzględnieniu wszelkich innych wkładów wnoszonych zgodnie</w:t>
      </w:r>
      <w:r w:rsidR="00ED36F4" w:rsidRPr="00ED36F4">
        <w:rPr>
          <w:noProof/>
        </w:rPr>
        <w:t xml:space="preserve"> z</w:t>
      </w:r>
      <w:r w:rsidR="00ED36F4">
        <w:rPr>
          <w:noProof/>
        </w:rPr>
        <w:t> </w:t>
      </w:r>
      <w:r w:rsidR="00ED36F4" w:rsidRPr="00ED36F4">
        <w:rPr>
          <w:noProof/>
        </w:rPr>
        <w:t>ust</w:t>
      </w:r>
      <w:r w:rsidRPr="00ED36F4">
        <w:rPr>
          <w:noProof/>
        </w:rPr>
        <w:t>.</w:t>
      </w:r>
      <w:r w:rsidR="00BE25DF" w:rsidRPr="00ED36F4">
        <w:rPr>
          <w:noProof/>
        </w:rPr>
        <w:t> </w:t>
      </w:r>
      <w:r w:rsidRPr="00ED36F4">
        <w:rPr>
          <w:noProof/>
        </w:rPr>
        <w:t>3 niniejszego artykułu.</w:t>
      </w:r>
    </w:p>
    <w:p w14:paraId="1619EF78" w14:textId="7E26F63D" w:rsidR="004A0762" w:rsidRPr="00ED36F4" w:rsidRDefault="004A0762" w:rsidP="004A0762">
      <w:pPr>
        <w:rPr>
          <w:noProof/>
        </w:rPr>
      </w:pPr>
      <w:r w:rsidRPr="00ED36F4">
        <w:rPr>
          <w:noProof/>
        </w:rPr>
        <w:t>3.</w:t>
      </w:r>
      <w:r w:rsidRPr="00ED36F4">
        <w:rPr>
          <w:noProof/>
        </w:rPr>
        <w:tab/>
        <w:t>Komitet Zarządzający może przyjmować</w:t>
      </w:r>
      <w:r w:rsidR="00ED36F4" w:rsidRPr="00ED36F4">
        <w:rPr>
          <w:noProof/>
        </w:rPr>
        <w:t xml:space="preserve"> i</w:t>
      </w:r>
      <w:r w:rsidR="00ED36F4">
        <w:rPr>
          <w:noProof/>
        </w:rPr>
        <w:t> </w:t>
      </w:r>
      <w:r w:rsidR="00ED36F4" w:rsidRPr="00ED36F4">
        <w:rPr>
          <w:noProof/>
        </w:rPr>
        <w:t>wyk</w:t>
      </w:r>
      <w:r w:rsidRPr="00ED36F4">
        <w:rPr>
          <w:noProof/>
        </w:rPr>
        <w:t>orzystywać dodatkowe dobrowolne dotacje</w:t>
      </w:r>
      <w:r w:rsidR="00ED36F4" w:rsidRPr="00ED36F4">
        <w:rPr>
          <w:noProof/>
        </w:rPr>
        <w:t xml:space="preserve"> i</w:t>
      </w:r>
      <w:r w:rsidR="00ED36F4">
        <w:rPr>
          <w:noProof/>
        </w:rPr>
        <w:t> </w:t>
      </w:r>
      <w:r w:rsidR="00ED36F4" w:rsidRPr="00ED36F4">
        <w:rPr>
          <w:noProof/>
        </w:rPr>
        <w:t>inn</w:t>
      </w:r>
      <w:r w:rsidRPr="00ED36F4">
        <w:rPr>
          <w:noProof/>
        </w:rPr>
        <w:t>e wkłady</w:t>
      </w:r>
      <w:r w:rsidR="00ED36F4" w:rsidRPr="00ED36F4">
        <w:rPr>
          <w:noProof/>
        </w:rPr>
        <w:t xml:space="preserve"> w</w:t>
      </w:r>
      <w:r w:rsidR="00ED36F4">
        <w:rPr>
          <w:noProof/>
        </w:rPr>
        <w:t> </w:t>
      </w:r>
      <w:r w:rsidR="00ED36F4" w:rsidRPr="00ED36F4">
        <w:rPr>
          <w:noProof/>
        </w:rPr>
        <w:t>zwi</w:t>
      </w:r>
      <w:r w:rsidRPr="00ED36F4">
        <w:rPr>
          <w:noProof/>
        </w:rPr>
        <w:t>ązku</w:t>
      </w:r>
      <w:r w:rsidR="00ED36F4" w:rsidRPr="00ED36F4">
        <w:rPr>
          <w:noProof/>
        </w:rPr>
        <w:t xml:space="preserve"> z</w:t>
      </w:r>
      <w:r w:rsidR="00ED36F4">
        <w:rPr>
          <w:noProof/>
        </w:rPr>
        <w:t> </w:t>
      </w:r>
      <w:r w:rsidR="00ED36F4" w:rsidRPr="00ED36F4">
        <w:rPr>
          <w:noProof/>
        </w:rPr>
        <w:t>jeg</w:t>
      </w:r>
      <w:r w:rsidRPr="00ED36F4">
        <w:rPr>
          <w:noProof/>
        </w:rPr>
        <w:t>o pracą,</w:t>
      </w:r>
      <w:r w:rsidR="00ED36F4" w:rsidRPr="00ED36F4">
        <w:rPr>
          <w:noProof/>
        </w:rPr>
        <w:t xml:space="preserve"> w</w:t>
      </w:r>
      <w:r w:rsidR="00ED36F4">
        <w:rPr>
          <w:noProof/>
        </w:rPr>
        <w:t> </w:t>
      </w:r>
      <w:r w:rsidR="00ED36F4" w:rsidRPr="00ED36F4">
        <w:rPr>
          <w:noProof/>
        </w:rPr>
        <w:t>tym</w:t>
      </w:r>
      <w:r w:rsidRPr="00ED36F4">
        <w:rPr>
          <w:noProof/>
        </w:rPr>
        <w:t xml:space="preserve"> wkłady rzeczowe</w:t>
      </w:r>
      <w:r w:rsidR="00ED36F4" w:rsidRPr="00ED36F4">
        <w:rPr>
          <w:noProof/>
        </w:rPr>
        <w:t xml:space="preserve"> i</w:t>
      </w:r>
      <w:r w:rsidR="00ED36F4">
        <w:rPr>
          <w:noProof/>
        </w:rPr>
        <w:t> </w:t>
      </w:r>
      <w:r w:rsidR="00ED36F4" w:rsidRPr="00ED36F4">
        <w:rPr>
          <w:noProof/>
        </w:rPr>
        <w:t>odd</w:t>
      </w:r>
      <w:r w:rsidRPr="00ED36F4">
        <w:rPr>
          <w:noProof/>
        </w:rPr>
        <w:t>elegowany personel. Wkłady te muszą być zgodne</w:t>
      </w:r>
      <w:r w:rsidR="00ED36F4" w:rsidRPr="00ED36F4">
        <w:rPr>
          <w:noProof/>
        </w:rPr>
        <w:t xml:space="preserve"> z</w:t>
      </w:r>
      <w:r w:rsidR="00ED36F4">
        <w:rPr>
          <w:noProof/>
        </w:rPr>
        <w:t> </w:t>
      </w:r>
      <w:r w:rsidR="00ED36F4" w:rsidRPr="00ED36F4">
        <w:rPr>
          <w:noProof/>
        </w:rPr>
        <w:t>cel</w:t>
      </w:r>
      <w:r w:rsidRPr="00ED36F4">
        <w:rPr>
          <w:noProof/>
        </w:rPr>
        <w:t>ami</w:t>
      </w:r>
      <w:r w:rsidR="00ED36F4" w:rsidRPr="00ED36F4">
        <w:rPr>
          <w:noProof/>
        </w:rPr>
        <w:t xml:space="preserve"> i</w:t>
      </w:r>
      <w:r w:rsidR="00ED36F4">
        <w:rPr>
          <w:noProof/>
        </w:rPr>
        <w:t> </w:t>
      </w:r>
      <w:r w:rsidR="00ED36F4" w:rsidRPr="00ED36F4">
        <w:rPr>
          <w:noProof/>
        </w:rPr>
        <w:t>fun</w:t>
      </w:r>
      <w:r w:rsidRPr="00ED36F4">
        <w:rPr>
          <w:noProof/>
        </w:rPr>
        <w:t>kcjami Komitetu Zarządzającego.</w:t>
      </w:r>
    </w:p>
    <w:p w14:paraId="7C047BFF" w14:textId="23FE7FB8" w:rsidR="004A0762" w:rsidRPr="00ED36F4" w:rsidRDefault="004A0762" w:rsidP="004A0762">
      <w:pPr>
        <w:rPr>
          <w:noProof/>
        </w:rPr>
      </w:pPr>
      <w:r w:rsidRPr="00ED36F4">
        <w:rPr>
          <w:noProof/>
        </w:rPr>
        <w:t>4.</w:t>
      </w:r>
      <w:r w:rsidRPr="00ED36F4">
        <w:rPr>
          <w:noProof/>
        </w:rPr>
        <w:tab/>
        <w:t>Komitet Zarządzający zatwierdza co roku budżet wydatków Specjalnego Trybunału, przy czym projekt tego budżetu przedkłada Sekretarz Generalny</w:t>
      </w:r>
      <w:r w:rsidR="00ED36F4" w:rsidRPr="00ED36F4">
        <w:rPr>
          <w:noProof/>
        </w:rPr>
        <w:t xml:space="preserve"> w</w:t>
      </w:r>
      <w:r w:rsidR="00ED36F4">
        <w:rPr>
          <w:noProof/>
        </w:rPr>
        <w:t> </w:t>
      </w:r>
      <w:r w:rsidR="00ED36F4" w:rsidRPr="00ED36F4">
        <w:rPr>
          <w:noProof/>
        </w:rPr>
        <w:t>por</w:t>
      </w:r>
      <w:r w:rsidRPr="00ED36F4">
        <w:rPr>
          <w:noProof/>
        </w:rPr>
        <w:t>ozumieniu</w:t>
      </w:r>
      <w:r w:rsidR="00ED36F4" w:rsidRPr="00ED36F4">
        <w:rPr>
          <w:noProof/>
        </w:rPr>
        <w:t xml:space="preserve"> z</w:t>
      </w:r>
      <w:r w:rsidR="00ED36F4">
        <w:rPr>
          <w:noProof/>
        </w:rPr>
        <w:t> </w:t>
      </w:r>
      <w:r w:rsidR="00ED36F4" w:rsidRPr="00ED36F4">
        <w:rPr>
          <w:noProof/>
        </w:rPr>
        <w:t>Sek</w:t>
      </w:r>
      <w:r w:rsidRPr="00ED36F4">
        <w:rPr>
          <w:noProof/>
        </w:rPr>
        <w:t>retarzem Specjalnego Trybunału. Komitet Zarządzający przyjmuje również budżet wydatków własnych oraz swojego sekretariatu, przy czym projekt tego budżetu przygotowuje Sekretarz Generalny.</w:t>
      </w:r>
    </w:p>
    <w:p w14:paraId="5315E8AF" w14:textId="021ABE3C" w:rsidR="004A0762" w:rsidRPr="00ED36F4" w:rsidRDefault="004A0762" w:rsidP="004A0762">
      <w:pPr>
        <w:rPr>
          <w:noProof/>
        </w:rPr>
      </w:pPr>
      <w:r w:rsidRPr="00ED36F4">
        <w:rPr>
          <w:noProof/>
        </w:rPr>
        <w:t>5.</w:t>
      </w:r>
      <w:r w:rsidRPr="00ED36F4">
        <w:rPr>
          <w:noProof/>
        </w:rPr>
        <w:tab/>
        <w:t>Komitet Zarządzający zatwierdza co roku roczne sprawozdania finansowe rozszerzonego porozumienia częściowego, które to sprawozdanie jest sporządzane przez Sekretarza Generalnego zgodnie</w:t>
      </w:r>
      <w:r w:rsidR="00ED36F4" w:rsidRPr="00ED36F4">
        <w:rPr>
          <w:noProof/>
        </w:rPr>
        <w:t xml:space="preserve"> z</w:t>
      </w:r>
      <w:r w:rsidR="00ED36F4">
        <w:rPr>
          <w:noProof/>
        </w:rPr>
        <w:t> </w:t>
      </w:r>
      <w:r w:rsidR="00ED36F4" w:rsidRPr="00ED36F4">
        <w:rPr>
          <w:noProof/>
        </w:rPr>
        <w:t>prz</w:t>
      </w:r>
      <w:r w:rsidRPr="00ED36F4">
        <w:rPr>
          <w:noProof/>
        </w:rPr>
        <w:t>episami finansowymi Rady Europy (zwanymi dalej „przepisami finansowymi”)</w:t>
      </w:r>
      <w:r w:rsidR="00ED36F4" w:rsidRPr="00ED36F4">
        <w:rPr>
          <w:noProof/>
        </w:rPr>
        <w:t xml:space="preserve"> i</w:t>
      </w:r>
      <w:r w:rsidR="00ED36F4">
        <w:rPr>
          <w:noProof/>
        </w:rPr>
        <w:t> </w:t>
      </w:r>
      <w:r w:rsidR="00ED36F4" w:rsidRPr="00ED36F4">
        <w:rPr>
          <w:noProof/>
        </w:rPr>
        <w:t>prz</w:t>
      </w:r>
      <w:r w:rsidRPr="00ED36F4">
        <w:rPr>
          <w:noProof/>
        </w:rPr>
        <w:t>edkładane Komitetowi Zarządzającemu wraz ze sprawozdaniem audytora zewnętrznego, zgodnie</w:t>
      </w:r>
      <w:r w:rsidR="00ED36F4" w:rsidRPr="00ED36F4">
        <w:rPr>
          <w:noProof/>
        </w:rPr>
        <w:t xml:space="preserve"> z</w:t>
      </w:r>
      <w:r w:rsidR="00ED36F4">
        <w:rPr>
          <w:noProof/>
        </w:rPr>
        <w:t> </w:t>
      </w:r>
      <w:r w:rsidR="00ED36F4" w:rsidRPr="00ED36F4">
        <w:rPr>
          <w:noProof/>
        </w:rPr>
        <w:t>prz</w:t>
      </w:r>
      <w:r w:rsidRPr="00ED36F4">
        <w:rPr>
          <w:noProof/>
        </w:rPr>
        <w:t>episami finansowymi.</w:t>
      </w:r>
    </w:p>
    <w:p w14:paraId="0A8C75F1" w14:textId="5981630A" w:rsidR="004A0762" w:rsidRPr="00ED36F4" w:rsidRDefault="004A0762" w:rsidP="004A0762">
      <w:pPr>
        <w:rPr>
          <w:noProof/>
        </w:rPr>
      </w:pPr>
      <w:r w:rsidRPr="00ED36F4">
        <w:rPr>
          <w:noProof/>
        </w:rPr>
        <w:t>6.</w:t>
      </w:r>
      <w:r w:rsidRPr="00ED36F4">
        <w:rPr>
          <w:noProof/>
        </w:rPr>
        <w:tab/>
        <w:t>W celu zwolnienia Sekretarza Generalnego</w:t>
      </w:r>
      <w:r w:rsidR="00ED36F4" w:rsidRPr="00ED36F4">
        <w:rPr>
          <w:noProof/>
        </w:rPr>
        <w:t xml:space="preserve"> z</w:t>
      </w:r>
      <w:r w:rsidR="00ED36F4">
        <w:rPr>
          <w:noProof/>
        </w:rPr>
        <w:t> </w:t>
      </w:r>
      <w:r w:rsidR="00ED36F4" w:rsidRPr="00ED36F4">
        <w:rPr>
          <w:noProof/>
        </w:rPr>
        <w:t>odp</w:t>
      </w:r>
      <w:r w:rsidRPr="00ED36F4">
        <w:rPr>
          <w:noProof/>
        </w:rPr>
        <w:t>owiedzialności za zarządzanie danym rokiem budżetowym Sekretarz Wykonawczy przekazuje Komitetowi Ministrów roczne sprawozdanie finansowe rozszerzonego porozumienia częściowego wraz</w:t>
      </w:r>
      <w:r w:rsidR="00ED36F4" w:rsidRPr="00ED36F4">
        <w:rPr>
          <w:noProof/>
        </w:rPr>
        <w:t xml:space="preserve"> z</w:t>
      </w:r>
      <w:r w:rsidR="00ED36F4">
        <w:rPr>
          <w:noProof/>
        </w:rPr>
        <w:t> </w:t>
      </w:r>
      <w:r w:rsidR="00ED36F4" w:rsidRPr="00ED36F4">
        <w:rPr>
          <w:noProof/>
        </w:rPr>
        <w:t>jeg</w:t>
      </w:r>
      <w:r w:rsidRPr="00ED36F4">
        <w:rPr>
          <w:noProof/>
        </w:rPr>
        <w:t>o zatwierdzeniem lub uwagami oraz sprawozdania sporządzone przez audytora zewnętrznego, zgodnie</w:t>
      </w:r>
      <w:r w:rsidR="00ED36F4" w:rsidRPr="00ED36F4">
        <w:rPr>
          <w:noProof/>
        </w:rPr>
        <w:t xml:space="preserve"> z</w:t>
      </w:r>
      <w:r w:rsidR="00ED36F4">
        <w:rPr>
          <w:noProof/>
        </w:rPr>
        <w:t> </w:t>
      </w:r>
      <w:r w:rsidR="00ED36F4" w:rsidRPr="00ED36F4">
        <w:rPr>
          <w:noProof/>
        </w:rPr>
        <w:t>prz</w:t>
      </w:r>
      <w:r w:rsidRPr="00ED36F4">
        <w:rPr>
          <w:noProof/>
        </w:rPr>
        <w:t>episami finansowymi.</w:t>
      </w:r>
    </w:p>
    <w:p w14:paraId="49955566" w14:textId="01EF7FB7" w:rsidR="004A0762" w:rsidRPr="00ED36F4" w:rsidRDefault="004A0762" w:rsidP="004A0762">
      <w:pPr>
        <w:rPr>
          <w:noProof/>
        </w:rPr>
      </w:pPr>
      <w:r w:rsidRPr="00ED36F4">
        <w:rPr>
          <w:noProof/>
        </w:rPr>
        <w:t>7.</w:t>
      </w:r>
      <w:r w:rsidRPr="00ED36F4">
        <w:rPr>
          <w:noProof/>
        </w:rPr>
        <w:tab/>
        <w:t>Przepisy finansowe mają zastosowanie do przyjmowania budżetu rozszerzonego porozumienia częściowego</w:t>
      </w:r>
      <w:r w:rsidR="00ED36F4" w:rsidRPr="00ED36F4">
        <w:rPr>
          <w:noProof/>
        </w:rPr>
        <w:t xml:space="preserve"> i</w:t>
      </w:r>
      <w:r w:rsidR="00ED36F4">
        <w:rPr>
          <w:noProof/>
        </w:rPr>
        <w:t> </w:t>
      </w:r>
      <w:r w:rsidR="00ED36F4" w:rsidRPr="00ED36F4">
        <w:rPr>
          <w:noProof/>
        </w:rPr>
        <w:t>zar</w:t>
      </w:r>
      <w:r w:rsidRPr="00ED36F4">
        <w:rPr>
          <w:noProof/>
        </w:rPr>
        <w:t>ządzania nim,</w:t>
      </w:r>
      <w:r w:rsidR="00ED36F4" w:rsidRPr="00ED36F4">
        <w:rPr>
          <w:noProof/>
        </w:rPr>
        <w:t xml:space="preserve"> z</w:t>
      </w:r>
      <w:r w:rsidR="00ED36F4">
        <w:rPr>
          <w:noProof/>
        </w:rPr>
        <w:t> </w:t>
      </w:r>
      <w:r w:rsidR="00ED36F4" w:rsidRPr="00ED36F4">
        <w:rPr>
          <w:noProof/>
        </w:rPr>
        <w:t>uwz</w:t>
      </w:r>
      <w:r w:rsidRPr="00ED36F4">
        <w:rPr>
          <w:noProof/>
        </w:rPr>
        <w:t>ględnieniem postanowień niniejszego Statutu.</w:t>
      </w:r>
    </w:p>
    <w:p w14:paraId="00FA0266" w14:textId="02D088E6" w:rsidR="004A0762" w:rsidRPr="00ED36F4" w:rsidRDefault="004A0762" w:rsidP="004A0762">
      <w:pPr>
        <w:rPr>
          <w:noProof/>
        </w:rPr>
      </w:pPr>
      <w:r w:rsidRPr="00ED36F4">
        <w:rPr>
          <w:noProof/>
        </w:rPr>
        <w:t>8.</w:t>
      </w:r>
      <w:r w:rsidRPr="00ED36F4">
        <w:rPr>
          <w:noProof/>
        </w:rPr>
        <w:tab/>
        <w:t>Środki finansowe Komitetu Zarządzającego objęte są postanowieniami Porozumienia ogólnego</w:t>
      </w:r>
      <w:r w:rsidR="00ED36F4" w:rsidRPr="00ED36F4">
        <w:rPr>
          <w:noProof/>
        </w:rPr>
        <w:t xml:space="preserve"> w</w:t>
      </w:r>
      <w:r w:rsidR="00ED36F4">
        <w:rPr>
          <w:noProof/>
        </w:rPr>
        <w:t> </w:t>
      </w:r>
      <w:r w:rsidR="00ED36F4" w:rsidRPr="00ED36F4">
        <w:rPr>
          <w:noProof/>
        </w:rPr>
        <w:t>spr</w:t>
      </w:r>
      <w:r w:rsidRPr="00ED36F4">
        <w:rPr>
          <w:noProof/>
        </w:rPr>
        <w:t>awie przywilejów</w:t>
      </w:r>
      <w:r w:rsidR="00ED36F4" w:rsidRPr="00ED36F4">
        <w:rPr>
          <w:noProof/>
        </w:rPr>
        <w:t xml:space="preserve"> i</w:t>
      </w:r>
      <w:r w:rsidR="00ED36F4">
        <w:rPr>
          <w:noProof/>
        </w:rPr>
        <w:t> </w:t>
      </w:r>
      <w:r w:rsidR="00ED36F4" w:rsidRPr="00ED36F4">
        <w:rPr>
          <w:noProof/>
        </w:rPr>
        <w:t>imm</w:t>
      </w:r>
      <w:r w:rsidRPr="00ED36F4">
        <w:rPr>
          <w:noProof/>
        </w:rPr>
        <w:t>unitetów Rady Europy (ETS nr</w:t>
      </w:r>
      <w:r w:rsidR="00BE25DF" w:rsidRPr="00ED36F4">
        <w:rPr>
          <w:noProof/>
        </w:rPr>
        <w:t> </w:t>
      </w:r>
      <w:r w:rsidRPr="00ED36F4">
        <w:rPr>
          <w:noProof/>
        </w:rPr>
        <w:t>2).</w:t>
      </w:r>
    </w:p>
    <w:p w14:paraId="123ABC74" w14:textId="77777777" w:rsidR="004A0762" w:rsidRPr="00ED36F4" w:rsidRDefault="004A0762" w:rsidP="004A0762">
      <w:pPr>
        <w:rPr>
          <w:b/>
          <w:bCs/>
          <w:noProof/>
        </w:rPr>
      </w:pPr>
      <w:r w:rsidRPr="00ED36F4">
        <w:rPr>
          <w:b/>
          <w:noProof/>
        </w:rPr>
        <w:t>Artykuł 9 – Współpraca</w:t>
      </w:r>
    </w:p>
    <w:p w14:paraId="725C66DC" w14:textId="3CEE3856" w:rsidR="004A0762" w:rsidRPr="00ED36F4" w:rsidRDefault="004A0762" w:rsidP="004A0762">
      <w:pPr>
        <w:rPr>
          <w:noProof/>
        </w:rPr>
      </w:pPr>
      <w:r w:rsidRPr="00ED36F4">
        <w:rPr>
          <w:noProof/>
        </w:rPr>
        <w:t>1.</w:t>
      </w:r>
      <w:r w:rsidRPr="00ED36F4">
        <w:rPr>
          <w:noProof/>
        </w:rPr>
        <w:tab/>
        <w:t>Komitet Zarządzający współpracuje</w:t>
      </w:r>
      <w:r w:rsidR="00ED36F4" w:rsidRPr="00ED36F4">
        <w:rPr>
          <w:noProof/>
        </w:rPr>
        <w:t xml:space="preserve"> z</w:t>
      </w:r>
      <w:r w:rsidR="00ED36F4">
        <w:rPr>
          <w:noProof/>
        </w:rPr>
        <w:t> </w:t>
      </w:r>
      <w:r w:rsidR="00ED36F4" w:rsidRPr="00ED36F4">
        <w:rPr>
          <w:noProof/>
        </w:rPr>
        <w:t>odp</w:t>
      </w:r>
      <w:r w:rsidRPr="00ED36F4">
        <w:rPr>
          <w:noProof/>
        </w:rPr>
        <w:t>owiednimi partnerami krajowymi</w:t>
      </w:r>
      <w:r w:rsidR="00ED36F4" w:rsidRPr="00ED36F4">
        <w:rPr>
          <w:noProof/>
        </w:rPr>
        <w:t xml:space="preserve"> i</w:t>
      </w:r>
      <w:r w:rsidR="00ED36F4">
        <w:rPr>
          <w:noProof/>
        </w:rPr>
        <w:t> </w:t>
      </w:r>
      <w:r w:rsidR="00ED36F4" w:rsidRPr="00ED36F4">
        <w:rPr>
          <w:noProof/>
        </w:rPr>
        <w:t>mię</w:t>
      </w:r>
      <w:r w:rsidRPr="00ED36F4">
        <w:rPr>
          <w:noProof/>
        </w:rPr>
        <w:t>dzynarodowymi</w:t>
      </w:r>
      <w:r w:rsidR="00ED36F4" w:rsidRPr="00ED36F4">
        <w:rPr>
          <w:noProof/>
        </w:rPr>
        <w:t xml:space="preserve"> w</w:t>
      </w:r>
      <w:r w:rsidR="00ED36F4">
        <w:rPr>
          <w:noProof/>
        </w:rPr>
        <w:t> </w:t>
      </w:r>
      <w:r w:rsidR="00ED36F4" w:rsidRPr="00ED36F4">
        <w:rPr>
          <w:noProof/>
        </w:rPr>
        <w:t>cel</w:t>
      </w:r>
      <w:r w:rsidRPr="00ED36F4">
        <w:rPr>
          <w:noProof/>
        </w:rPr>
        <w:t>u wykonywania swojego mandatu.</w:t>
      </w:r>
    </w:p>
    <w:p w14:paraId="684B0875" w14:textId="5A4ED23B" w:rsidR="004A0762" w:rsidRPr="00ED36F4" w:rsidRDefault="004A0762" w:rsidP="004A0762">
      <w:pPr>
        <w:rPr>
          <w:noProof/>
        </w:rPr>
      </w:pPr>
      <w:r w:rsidRPr="00ED36F4">
        <w:rPr>
          <w:noProof/>
        </w:rPr>
        <w:t>2.</w:t>
      </w:r>
      <w:r w:rsidRPr="00ED36F4">
        <w:rPr>
          <w:noProof/>
        </w:rPr>
        <w:tab/>
        <w:t>Każdy członek lub członek stowarzyszony współpracuje,</w:t>
      </w:r>
      <w:r w:rsidR="00ED36F4" w:rsidRPr="00ED36F4">
        <w:rPr>
          <w:noProof/>
        </w:rPr>
        <w:t xml:space="preserve"> w</w:t>
      </w:r>
      <w:r w:rsidR="00ED36F4">
        <w:rPr>
          <w:noProof/>
        </w:rPr>
        <w:t> </w:t>
      </w:r>
      <w:r w:rsidR="00ED36F4" w:rsidRPr="00ED36F4">
        <w:rPr>
          <w:noProof/>
        </w:rPr>
        <w:t>gra</w:t>
      </w:r>
      <w:r w:rsidRPr="00ED36F4">
        <w:rPr>
          <w:noProof/>
        </w:rPr>
        <w:t>nicach przewidzianych jego ustawodawstwem krajowym,</w:t>
      </w:r>
      <w:r w:rsidR="00ED36F4" w:rsidRPr="00ED36F4">
        <w:rPr>
          <w:noProof/>
        </w:rPr>
        <w:t xml:space="preserve"> z</w:t>
      </w:r>
      <w:r w:rsidR="00ED36F4">
        <w:rPr>
          <w:noProof/>
        </w:rPr>
        <w:t> </w:t>
      </w:r>
      <w:r w:rsidR="00ED36F4" w:rsidRPr="00ED36F4">
        <w:rPr>
          <w:noProof/>
        </w:rPr>
        <w:t>Kom</w:t>
      </w:r>
      <w:r w:rsidRPr="00ED36F4">
        <w:rPr>
          <w:noProof/>
        </w:rPr>
        <w:t>itetem Zarządzającym, Ukrainą</w:t>
      </w:r>
      <w:r w:rsidR="00ED36F4" w:rsidRPr="00ED36F4">
        <w:rPr>
          <w:noProof/>
        </w:rPr>
        <w:t xml:space="preserve"> i</w:t>
      </w:r>
      <w:r w:rsidR="00ED36F4">
        <w:rPr>
          <w:noProof/>
        </w:rPr>
        <w:t> </w:t>
      </w:r>
      <w:r w:rsidR="00ED36F4" w:rsidRPr="00ED36F4">
        <w:rPr>
          <w:noProof/>
        </w:rPr>
        <w:t>pań</w:t>
      </w:r>
      <w:r w:rsidRPr="00ED36F4">
        <w:rPr>
          <w:noProof/>
        </w:rPr>
        <w:t>stwem przyjmującym</w:t>
      </w:r>
      <w:r w:rsidR="00ED36F4" w:rsidRPr="00ED36F4">
        <w:rPr>
          <w:noProof/>
        </w:rPr>
        <w:t xml:space="preserve"> w</w:t>
      </w:r>
      <w:r w:rsidR="00ED36F4">
        <w:rPr>
          <w:noProof/>
        </w:rPr>
        <w:t> </w:t>
      </w:r>
      <w:r w:rsidR="00ED36F4" w:rsidRPr="00ED36F4">
        <w:rPr>
          <w:noProof/>
        </w:rPr>
        <w:t>cel</w:t>
      </w:r>
      <w:r w:rsidRPr="00ED36F4">
        <w:rPr>
          <w:noProof/>
        </w:rPr>
        <w:t>u wykonywania mandatu Komitetu Zarządzającego.</w:t>
      </w:r>
    </w:p>
    <w:p w14:paraId="21907009" w14:textId="21626F07" w:rsidR="004A0762" w:rsidRPr="00ED36F4" w:rsidRDefault="004A0762" w:rsidP="004A0762">
      <w:pPr>
        <w:rPr>
          <w:noProof/>
        </w:rPr>
      </w:pPr>
      <w:r w:rsidRPr="00ED36F4">
        <w:rPr>
          <w:noProof/>
        </w:rPr>
        <w:t>3.</w:t>
      </w:r>
      <w:r w:rsidRPr="00ED36F4">
        <w:rPr>
          <w:noProof/>
        </w:rPr>
        <w:tab/>
        <w:t>Komitet Zarządzający stara się zapewnić sprawiedliwy podział obciążeń we wszystkich stosownych formach współpracy ze Specjalnym Trybunałem oraz rozpatruje preferowane sposoby współpracy między Specjalnym Trybunałem</w:t>
      </w:r>
      <w:r w:rsidR="00ED36F4" w:rsidRPr="00ED36F4">
        <w:rPr>
          <w:noProof/>
        </w:rPr>
        <w:t xml:space="preserve"> a</w:t>
      </w:r>
      <w:r w:rsidR="00ED36F4">
        <w:rPr>
          <w:noProof/>
        </w:rPr>
        <w:t> </w:t>
      </w:r>
      <w:r w:rsidR="00ED36F4" w:rsidRPr="00ED36F4">
        <w:rPr>
          <w:noProof/>
        </w:rPr>
        <w:t>czł</w:t>
      </w:r>
      <w:r w:rsidRPr="00ED36F4">
        <w:rPr>
          <w:noProof/>
        </w:rPr>
        <w:t>onkami</w:t>
      </w:r>
      <w:r w:rsidR="00ED36F4" w:rsidRPr="00ED36F4">
        <w:rPr>
          <w:noProof/>
        </w:rPr>
        <w:t xml:space="preserve"> i</w:t>
      </w:r>
      <w:r w:rsidR="00ED36F4">
        <w:rPr>
          <w:noProof/>
        </w:rPr>
        <w:t> </w:t>
      </w:r>
      <w:r w:rsidR="00ED36F4" w:rsidRPr="00ED36F4">
        <w:rPr>
          <w:noProof/>
        </w:rPr>
        <w:t>czł</w:t>
      </w:r>
      <w:r w:rsidRPr="00ED36F4">
        <w:rPr>
          <w:noProof/>
        </w:rPr>
        <w:t>onkami stowarzyszonymi Komitetu Zarządzającego. Członkowie</w:t>
      </w:r>
      <w:r w:rsidR="00ED36F4" w:rsidRPr="00ED36F4">
        <w:rPr>
          <w:noProof/>
        </w:rPr>
        <w:t xml:space="preserve"> i</w:t>
      </w:r>
      <w:r w:rsidR="00ED36F4">
        <w:rPr>
          <w:noProof/>
        </w:rPr>
        <w:t> </w:t>
      </w:r>
      <w:r w:rsidR="00ED36F4" w:rsidRPr="00ED36F4">
        <w:rPr>
          <w:noProof/>
        </w:rPr>
        <w:t>czł</w:t>
      </w:r>
      <w:r w:rsidRPr="00ED36F4">
        <w:rPr>
          <w:noProof/>
        </w:rPr>
        <w:t>onkowie stowarzyszeni Komitetu Zarządzającego będą dążyć do zawarcia niezbędnych umów</w:t>
      </w:r>
      <w:r w:rsidR="00ED36F4" w:rsidRPr="00ED36F4">
        <w:rPr>
          <w:noProof/>
        </w:rPr>
        <w:t xml:space="preserve"> i</w:t>
      </w:r>
      <w:r w:rsidR="00ED36F4">
        <w:rPr>
          <w:noProof/>
        </w:rPr>
        <w:t> </w:t>
      </w:r>
      <w:r w:rsidR="00ED36F4" w:rsidRPr="00ED36F4">
        <w:rPr>
          <w:noProof/>
        </w:rPr>
        <w:t>uzg</w:t>
      </w:r>
      <w:r w:rsidRPr="00ED36F4">
        <w:rPr>
          <w:noProof/>
        </w:rPr>
        <w:t>odnień</w:t>
      </w:r>
      <w:r w:rsidR="00ED36F4" w:rsidRPr="00ED36F4">
        <w:rPr>
          <w:noProof/>
        </w:rPr>
        <w:t xml:space="preserve"> w</w:t>
      </w:r>
      <w:r w:rsidR="00ED36F4">
        <w:rPr>
          <w:noProof/>
        </w:rPr>
        <w:t> </w:t>
      </w:r>
      <w:r w:rsidR="00ED36F4" w:rsidRPr="00ED36F4">
        <w:rPr>
          <w:noProof/>
        </w:rPr>
        <w:t>cel</w:t>
      </w:r>
      <w:r w:rsidRPr="00ED36F4">
        <w:rPr>
          <w:noProof/>
        </w:rPr>
        <w:t>u ułatwienia skutecznego działania Specjalnego Trybunału,</w:t>
      </w:r>
      <w:r w:rsidR="00ED36F4" w:rsidRPr="00ED36F4">
        <w:rPr>
          <w:noProof/>
        </w:rPr>
        <w:t xml:space="preserve"> w</w:t>
      </w:r>
      <w:r w:rsidR="00ED36F4">
        <w:rPr>
          <w:noProof/>
        </w:rPr>
        <w:t> </w:t>
      </w:r>
      <w:r w:rsidR="00ED36F4" w:rsidRPr="00ED36F4">
        <w:rPr>
          <w:noProof/>
        </w:rPr>
        <w:t>tym w</w:t>
      </w:r>
      <w:r w:rsidR="00ED36F4">
        <w:rPr>
          <w:noProof/>
        </w:rPr>
        <w:t> </w:t>
      </w:r>
      <w:r w:rsidR="00ED36F4" w:rsidRPr="00ED36F4">
        <w:rPr>
          <w:noProof/>
        </w:rPr>
        <w:t>kwe</w:t>
      </w:r>
      <w:r w:rsidRPr="00ED36F4">
        <w:rPr>
          <w:noProof/>
        </w:rPr>
        <w:t>stiach takich jak identyfikacja</w:t>
      </w:r>
      <w:r w:rsidR="00ED36F4" w:rsidRPr="00ED36F4">
        <w:rPr>
          <w:noProof/>
        </w:rPr>
        <w:t xml:space="preserve"> i</w:t>
      </w:r>
      <w:r w:rsidR="00ED36F4">
        <w:rPr>
          <w:noProof/>
        </w:rPr>
        <w:t> </w:t>
      </w:r>
      <w:r w:rsidR="00ED36F4" w:rsidRPr="00ED36F4">
        <w:rPr>
          <w:noProof/>
        </w:rPr>
        <w:t>lok</w:t>
      </w:r>
      <w:r w:rsidRPr="00ED36F4">
        <w:rPr>
          <w:noProof/>
        </w:rPr>
        <w:t>alizacja osób; doręczanie dokumentów, zatrzymywanie, przekazywanie lub pozbawianie wolności osób; ochrona</w:t>
      </w:r>
      <w:r w:rsidR="00ED36F4" w:rsidRPr="00ED36F4">
        <w:rPr>
          <w:noProof/>
        </w:rPr>
        <w:t xml:space="preserve"> i</w:t>
      </w:r>
      <w:r w:rsidR="00ED36F4">
        <w:rPr>
          <w:noProof/>
        </w:rPr>
        <w:t> </w:t>
      </w:r>
      <w:r w:rsidR="00ED36F4" w:rsidRPr="00ED36F4">
        <w:rPr>
          <w:noProof/>
        </w:rPr>
        <w:t>rel</w:t>
      </w:r>
      <w:r w:rsidRPr="00ED36F4">
        <w:rPr>
          <w:noProof/>
        </w:rPr>
        <w:t>okacja świadków; oraz wykonywanie kar.</w:t>
      </w:r>
    </w:p>
    <w:p w14:paraId="22FC504D" w14:textId="2CEEF7E4" w:rsidR="00873719" w:rsidRPr="00ED36F4" w:rsidRDefault="004A0762" w:rsidP="00873719">
      <w:pPr>
        <w:rPr>
          <w:noProof/>
        </w:rPr>
      </w:pPr>
      <w:r w:rsidRPr="00ED36F4">
        <w:rPr>
          <w:noProof/>
        </w:rPr>
        <w:t>4.</w:t>
      </w:r>
      <w:r w:rsidRPr="00ED36F4">
        <w:rPr>
          <w:noProof/>
        </w:rPr>
        <w:tab/>
        <w:t>Członkowie</w:t>
      </w:r>
      <w:r w:rsidR="00ED36F4" w:rsidRPr="00ED36F4">
        <w:rPr>
          <w:noProof/>
        </w:rPr>
        <w:t xml:space="preserve"> i</w:t>
      </w:r>
      <w:r w:rsidR="00ED36F4">
        <w:rPr>
          <w:noProof/>
        </w:rPr>
        <w:t> </w:t>
      </w:r>
      <w:r w:rsidR="00ED36F4" w:rsidRPr="00ED36F4">
        <w:rPr>
          <w:noProof/>
        </w:rPr>
        <w:t>czł</w:t>
      </w:r>
      <w:r w:rsidRPr="00ED36F4">
        <w:rPr>
          <w:noProof/>
        </w:rPr>
        <w:t>onkowie stowarzyszeni Komitetu Zarządzającego przyjmują do wiadomości, że wejście</w:t>
      </w:r>
      <w:r w:rsidR="00ED36F4" w:rsidRPr="00ED36F4">
        <w:rPr>
          <w:noProof/>
        </w:rPr>
        <w:t xml:space="preserve"> w</w:t>
      </w:r>
      <w:r w:rsidR="00ED36F4">
        <w:rPr>
          <w:noProof/>
        </w:rPr>
        <w:t> </w:t>
      </w:r>
      <w:r w:rsidR="00ED36F4" w:rsidRPr="00ED36F4">
        <w:rPr>
          <w:noProof/>
        </w:rPr>
        <w:t>życ</w:t>
      </w:r>
      <w:r w:rsidRPr="00ED36F4">
        <w:rPr>
          <w:noProof/>
        </w:rPr>
        <w:t>ie umowy</w:t>
      </w:r>
      <w:r w:rsidR="00ED36F4" w:rsidRPr="00ED36F4">
        <w:rPr>
          <w:noProof/>
        </w:rPr>
        <w:t xml:space="preserve"> z</w:t>
      </w:r>
      <w:r w:rsidR="00ED36F4">
        <w:rPr>
          <w:noProof/>
        </w:rPr>
        <w:t> </w:t>
      </w:r>
      <w:r w:rsidR="00ED36F4" w:rsidRPr="00ED36F4">
        <w:rPr>
          <w:noProof/>
        </w:rPr>
        <w:t>pań</w:t>
      </w:r>
      <w:r w:rsidRPr="00ED36F4">
        <w:rPr>
          <w:noProof/>
        </w:rPr>
        <w:t xml:space="preserve">stwem przyjmującym umożliwiającej wykonywanie jurysdykcji Specjalnego Trybunału na terytorium państwa przyjmującego będzie uzależnione od zawarcia: </w:t>
      </w:r>
    </w:p>
    <w:p w14:paraId="6DE2AC5E" w14:textId="4B9A1765" w:rsidR="00873719" w:rsidRPr="00ED36F4" w:rsidRDefault="00873719" w:rsidP="00873719">
      <w:pPr>
        <w:pStyle w:val="Point1"/>
        <w:rPr>
          <w:noProof/>
        </w:rPr>
      </w:pPr>
      <w:r w:rsidRPr="00ED36F4">
        <w:rPr>
          <w:noProof/>
        </w:rPr>
        <w:t xml:space="preserve">a. </w:t>
      </w:r>
      <w:r w:rsidRPr="00ED36F4">
        <w:rPr>
          <w:noProof/>
        </w:rPr>
        <w:tab/>
        <w:t>10 umów</w:t>
      </w:r>
      <w:r w:rsidR="00ED36F4" w:rsidRPr="00ED36F4">
        <w:rPr>
          <w:noProof/>
        </w:rPr>
        <w:t xml:space="preserve"> o</w:t>
      </w:r>
      <w:r w:rsidR="00ED36F4">
        <w:rPr>
          <w:noProof/>
        </w:rPr>
        <w:t> </w:t>
      </w:r>
      <w:r w:rsidR="00ED36F4" w:rsidRPr="00ED36F4">
        <w:rPr>
          <w:noProof/>
        </w:rPr>
        <w:t>wsp</w:t>
      </w:r>
      <w:r w:rsidRPr="00ED36F4">
        <w:rPr>
          <w:noProof/>
        </w:rPr>
        <w:t xml:space="preserve">ółpracy oraz </w:t>
      </w:r>
    </w:p>
    <w:p w14:paraId="3D26C297" w14:textId="78679BEB" w:rsidR="004A0762" w:rsidRPr="00ED36F4" w:rsidRDefault="00873719" w:rsidP="00873719">
      <w:pPr>
        <w:pStyle w:val="Point1"/>
        <w:rPr>
          <w:noProof/>
        </w:rPr>
      </w:pPr>
      <w:r w:rsidRPr="00ED36F4">
        <w:rPr>
          <w:noProof/>
        </w:rPr>
        <w:t xml:space="preserve">b. </w:t>
      </w:r>
      <w:r w:rsidRPr="00ED36F4">
        <w:rPr>
          <w:noProof/>
        </w:rPr>
        <w:tab/>
        <w:t>minimalnej liczby zobowiązań dotyczących współpracy</w:t>
      </w:r>
      <w:r w:rsidR="00ED36F4" w:rsidRPr="00ED36F4">
        <w:rPr>
          <w:noProof/>
        </w:rPr>
        <w:t xml:space="preserve"> w</w:t>
      </w:r>
      <w:r w:rsidR="00ED36F4">
        <w:rPr>
          <w:noProof/>
        </w:rPr>
        <w:t> </w:t>
      </w:r>
      <w:r w:rsidR="00ED36F4" w:rsidRPr="00ED36F4">
        <w:rPr>
          <w:noProof/>
        </w:rPr>
        <w:t>każ</w:t>
      </w:r>
      <w:r w:rsidRPr="00ED36F4">
        <w:rPr>
          <w:noProof/>
        </w:rPr>
        <w:t>dej</w:t>
      </w:r>
      <w:r w:rsidR="00ED36F4" w:rsidRPr="00ED36F4">
        <w:rPr>
          <w:noProof/>
        </w:rPr>
        <w:t xml:space="preserve"> z</w:t>
      </w:r>
      <w:r w:rsidR="00ED36F4">
        <w:rPr>
          <w:noProof/>
        </w:rPr>
        <w:t> </w:t>
      </w:r>
      <w:r w:rsidR="00ED36F4" w:rsidRPr="00ED36F4">
        <w:rPr>
          <w:noProof/>
        </w:rPr>
        <w:t>nas</w:t>
      </w:r>
      <w:r w:rsidRPr="00ED36F4">
        <w:rPr>
          <w:noProof/>
        </w:rPr>
        <w:t xml:space="preserve">tępujących dziedzin: </w:t>
      </w:r>
    </w:p>
    <w:p w14:paraId="1303F2F9" w14:textId="1D390516" w:rsidR="004A0762" w:rsidRPr="00ED36F4" w:rsidRDefault="00DD1C00" w:rsidP="00DD1C00">
      <w:pPr>
        <w:pStyle w:val="Point2"/>
        <w:rPr>
          <w:noProof/>
        </w:rPr>
      </w:pPr>
      <w:r w:rsidRPr="00ED36F4">
        <w:rPr>
          <w:noProof/>
        </w:rPr>
        <w:t>i.</w:t>
      </w:r>
      <w:r w:rsidRPr="00ED36F4">
        <w:rPr>
          <w:noProof/>
        </w:rPr>
        <w:tab/>
        <w:t>ochrona świadków</w:t>
      </w:r>
      <w:r w:rsidR="00ED36F4" w:rsidRPr="00ED36F4">
        <w:rPr>
          <w:noProof/>
        </w:rPr>
        <w:t xml:space="preserve"> i</w:t>
      </w:r>
      <w:r w:rsidR="00ED36F4">
        <w:rPr>
          <w:noProof/>
        </w:rPr>
        <w:t> </w:t>
      </w:r>
      <w:r w:rsidR="00ED36F4" w:rsidRPr="00ED36F4">
        <w:rPr>
          <w:noProof/>
        </w:rPr>
        <w:t>rel</w:t>
      </w:r>
      <w:r w:rsidRPr="00ED36F4">
        <w:rPr>
          <w:noProof/>
        </w:rPr>
        <w:t>okacja;</w:t>
      </w:r>
    </w:p>
    <w:p w14:paraId="198D0550" w14:textId="49A21929" w:rsidR="004A0762" w:rsidRPr="00ED36F4" w:rsidRDefault="00DD1C00" w:rsidP="00DD1C00">
      <w:pPr>
        <w:pStyle w:val="Point2"/>
        <w:rPr>
          <w:noProof/>
        </w:rPr>
      </w:pPr>
      <w:r w:rsidRPr="00ED36F4">
        <w:rPr>
          <w:noProof/>
        </w:rPr>
        <w:t>ii.</w:t>
      </w:r>
      <w:r w:rsidRPr="00ED36F4">
        <w:rPr>
          <w:noProof/>
        </w:rPr>
        <w:tab/>
        <w:t xml:space="preserve">wykonywanie kar; </w:t>
      </w:r>
    </w:p>
    <w:p w14:paraId="52119325" w14:textId="477EB6A0" w:rsidR="004A0762" w:rsidRPr="00ED36F4" w:rsidRDefault="00DD1C00" w:rsidP="00DD1C00">
      <w:pPr>
        <w:pStyle w:val="Point2"/>
        <w:rPr>
          <w:noProof/>
        </w:rPr>
      </w:pPr>
      <w:r w:rsidRPr="00ED36F4">
        <w:rPr>
          <w:noProof/>
        </w:rPr>
        <w:t>iii.</w:t>
      </w:r>
      <w:r w:rsidRPr="00ED36F4">
        <w:rPr>
          <w:noProof/>
        </w:rPr>
        <w:tab/>
        <w:t>zwalnianie,</w:t>
      </w:r>
      <w:r w:rsidR="00ED36F4" w:rsidRPr="00ED36F4">
        <w:rPr>
          <w:noProof/>
        </w:rPr>
        <w:t xml:space="preserve"> w</w:t>
      </w:r>
      <w:r w:rsidR="00ED36F4">
        <w:rPr>
          <w:noProof/>
        </w:rPr>
        <w:t> </w:t>
      </w:r>
      <w:r w:rsidR="00ED36F4" w:rsidRPr="00ED36F4">
        <w:rPr>
          <w:noProof/>
        </w:rPr>
        <w:t>tym</w:t>
      </w:r>
      <w:r w:rsidRPr="00ED36F4">
        <w:rPr>
          <w:noProof/>
        </w:rPr>
        <w:t xml:space="preserve"> tymczasowe zwalnianie.</w:t>
      </w:r>
    </w:p>
    <w:p w14:paraId="0746DE6B" w14:textId="77777777" w:rsidR="004A0762" w:rsidRPr="00ED36F4" w:rsidRDefault="004A0762" w:rsidP="004A0762">
      <w:pPr>
        <w:rPr>
          <w:b/>
          <w:bCs/>
          <w:noProof/>
        </w:rPr>
      </w:pPr>
      <w:r w:rsidRPr="00ED36F4">
        <w:rPr>
          <w:b/>
          <w:noProof/>
        </w:rPr>
        <w:t>Artykuł 10 – Poufność</w:t>
      </w:r>
    </w:p>
    <w:p w14:paraId="44CF5888" w14:textId="6C301A74" w:rsidR="004A0762" w:rsidRPr="00ED36F4" w:rsidRDefault="004A0762" w:rsidP="004A0762">
      <w:pPr>
        <w:rPr>
          <w:noProof/>
        </w:rPr>
      </w:pPr>
      <w:r w:rsidRPr="00ED36F4">
        <w:rPr>
          <w:noProof/>
        </w:rPr>
        <w:t>Jeżeli Komitet Zarządzający nie postanowi inaczej, jego posiedzenia</w:t>
      </w:r>
      <w:r w:rsidR="00ED36F4" w:rsidRPr="00ED36F4">
        <w:rPr>
          <w:noProof/>
        </w:rPr>
        <w:t xml:space="preserve"> i</w:t>
      </w:r>
      <w:r w:rsidR="00ED36F4">
        <w:rPr>
          <w:noProof/>
        </w:rPr>
        <w:t> </w:t>
      </w:r>
      <w:r w:rsidR="00ED36F4" w:rsidRPr="00ED36F4">
        <w:rPr>
          <w:noProof/>
        </w:rPr>
        <w:t>dok</w:t>
      </w:r>
      <w:r w:rsidRPr="00ED36F4">
        <w:rPr>
          <w:noProof/>
        </w:rPr>
        <w:t>umenty są traktowane jako poufne.</w:t>
      </w:r>
    </w:p>
    <w:p w14:paraId="618432F2" w14:textId="726AE21A" w:rsidR="004A0762" w:rsidRPr="00ED36F4" w:rsidRDefault="004A0762" w:rsidP="004A0762">
      <w:pPr>
        <w:rPr>
          <w:b/>
          <w:bCs/>
          <w:noProof/>
        </w:rPr>
      </w:pPr>
      <w:r w:rsidRPr="00ED36F4">
        <w:rPr>
          <w:b/>
          <w:noProof/>
        </w:rPr>
        <w:t>Artykuł 11 – Odstępstwa od zasad</w:t>
      </w:r>
      <w:r w:rsidR="00ED36F4" w:rsidRPr="00ED36F4">
        <w:rPr>
          <w:b/>
          <w:noProof/>
        </w:rPr>
        <w:t xml:space="preserve"> i</w:t>
      </w:r>
      <w:r w:rsidR="00ED36F4">
        <w:rPr>
          <w:b/>
          <w:noProof/>
        </w:rPr>
        <w:t> </w:t>
      </w:r>
      <w:r w:rsidR="00ED36F4" w:rsidRPr="00ED36F4">
        <w:rPr>
          <w:b/>
          <w:noProof/>
        </w:rPr>
        <w:t>prz</w:t>
      </w:r>
      <w:r w:rsidRPr="00ED36F4">
        <w:rPr>
          <w:b/>
          <w:noProof/>
        </w:rPr>
        <w:t>episów Rady Europy</w:t>
      </w:r>
    </w:p>
    <w:p w14:paraId="27A34A14" w14:textId="714F98F9" w:rsidR="004A0762" w:rsidRPr="00ED36F4" w:rsidRDefault="004A0762" w:rsidP="004A0762">
      <w:pPr>
        <w:rPr>
          <w:noProof/>
        </w:rPr>
      </w:pPr>
      <w:r w:rsidRPr="00ED36F4">
        <w:rPr>
          <w:noProof/>
        </w:rPr>
        <w:t>Komitet Zarządzający może, za zgodą Komitetu Ministrów, odstąpić od obowiązujących zasad</w:t>
      </w:r>
      <w:r w:rsidR="00ED36F4" w:rsidRPr="00ED36F4">
        <w:rPr>
          <w:noProof/>
        </w:rPr>
        <w:t xml:space="preserve"> i</w:t>
      </w:r>
      <w:r w:rsidR="00ED36F4">
        <w:rPr>
          <w:noProof/>
        </w:rPr>
        <w:t> </w:t>
      </w:r>
      <w:r w:rsidR="00ED36F4" w:rsidRPr="00ED36F4">
        <w:rPr>
          <w:noProof/>
        </w:rPr>
        <w:t>prz</w:t>
      </w:r>
      <w:r w:rsidRPr="00ED36F4">
        <w:rPr>
          <w:noProof/>
        </w:rPr>
        <w:t xml:space="preserve">episów Rady Europy, jeżeli jest to konieczne do skutecznego wykonywania funkcji Komitetu Zarządzającego. </w:t>
      </w:r>
    </w:p>
    <w:p w14:paraId="3E5DA4C7" w14:textId="77777777" w:rsidR="004A0762" w:rsidRPr="00ED36F4" w:rsidRDefault="004A0762" w:rsidP="004A0762">
      <w:pPr>
        <w:rPr>
          <w:b/>
          <w:bCs/>
          <w:noProof/>
        </w:rPr>
      </w:pPr>
      <w:r w:rsidRPr="00ED36F4">
        <w:rPr>
          <w:b/>
          <w:noProof/>
        </w:rPr>
        <w:t>Artykuł 12 – Zmiany</w:t>
      </w:r>
    </w:p>
    <w:p w14:paraId="67846D4B" w14:textId="3BD759F7" w:rsidR="00DD1C00" w:rsidRPr="00ED36F4" w:rsidRDefault="00454D1C" w:rsidP="00454D1C">
      <w:pPr>
        <w:rPr>
          <w:noProof/>
        </w:rPr>
      </w:pPr>
      <w:r w:rsidRPr="00ED36F4">
        <w:rPr>
          <w:noProof/>
        </w:rPr>
        <w:t>1.</w:t>
      </w:r>
      <w:r w:rsidRPr="00ED36F4">
        <w:rPr>
          <w:noProof/>
        </w:rPr>
        <w:tab/>
        <w:t>Członkowie mogą zgłaszać zmiany do niniejszego Statutu.</w:t>
      </w:r>
    </w:p>
    <w:p w14:paraId="29873305" w14:textId="0FF9B19C" w:rsidR="004A0762" w:rsidRPr="00ED36F4" w:rsidRDefault="00F65736" w:rsidP="00454D1C">
      <w:pPr>
        <w:rPr>
          <w:noProof/>
        </w:rPr>
      </w:pPr>
      <w:r w:rsidRPr="00ED36F4">
        <w:rPr>
          <w:noProof/>
        </w:rPr>
        <w:t>2.</w:t>
      </w:r>
      <w:r w:rsidRPr="00ED36F4">
        <w:rPr>
          <w:noProof/>
        </w:rPr>
        <w:tab/>
        <w:t>Wszelkie propozycje zmian są rozpatrywane przez Komitet Zarządzający. Zgłaszane zmiany są przyjmowane przez Komitet Zarządzający większością dwóch trzecich głosów określoną</w:t>
      </w:r>
      <w:r w:rsidR="00ED36F4" w:rsidRPr="00ED36F4">
        <w:rPr>
          <w:noProof/>
        </w:rPr>
        <w:t xml:space="preserve"> w</w:t>
      </w:r>
      <w:r w:rsidR="00ED36F4">
        <w:rPr>
          <w:noProof/>
        </w:rPr>
        <w:t> </w:t>
      </w:r>
      <w:r w:rsidR="00ED36F4" w:rsidRPr="00ED36F4">
        <w:rPr>
          <w:noProof/>
        </w:rPr>
        <w:t>art</w:t>
      </w:r>
      <w:r w:rsidRPr="00ED36F4">
        <w:rPr>
          <w:noProof/>
        </w:rPr>
        <w:t>.</w:t>
      </w:r>
      <w:r w:rsidR="00BE25DF" w:rsidRPr="00ED36F4">
        <w:rPr>
          <w:noProof/>
        </w:rPr>
        <w:t> </w:t>
      </w:r>
      <w:r w:rsidRPr="00ED36F4">
        <w:rPr>
          <w:noProof/>
        </w:rPr>
        <w:t>5 ust.</w:t>
      </w:r>
      <w:r w:rsidR="00BE25DF" w:rsidRPr="00ED36F4">
        <w:rPr>
          <w:noProof/>
        </w:rPr>
        <w:t> </w:t>
      </w:r>
      <w:r w:rsidRPr="00ED36F4">
        <w:rPr>
          <w:noProof/>
        </w:rPr>
        <w:t>3 niniejszego Statutu oraz decyzją Komitetu Ministrów</w:t>
      </w:r>
      <w:r w:rsidR="00ED36F4" w:rsidRPr="00ED36F4">
        <w:rPr>
          <w:noProof/>
        </w:rPr>
        <w:t xml:space="preserve"> o</w:t>
      </w:r>
      <w:r w:rsidR="00ED36F4">
        <w:rPr>
          <w:noProof/>
        </w:rPr>
        <w:t> </w:t>
      </w:r>
      <w:r w:rsidR="00ED36F4" w:rsidRPr="00ED36F4">
        <w:rPr>
          <w:noProof/>
        </w:rPr>
        <w:t>ide</w:t>
      </w:r>
      <w:r w:rsidRPr="00ED36F4">
        <w:rPr>
          <w:noProof/>
        </w:rPr>
        <w:t>ntycznym brzmieniu, podjętą</w:t>
      </w:r>
      <w:r w:rsidR="00ED36F4" w:rsidRPr="00ED36F4">
        <w:rPr>
          <w:noProof/>
        </w:rPr>
        <w:t xml:space="preserve"> w</w:t>
      </w:r>
      <w:r w:rsidR="00ED36F4">
        <w:rPr>
          <w:noProof/>
        </w:rPr>
        <w:t> </w:t>
      </w:r>
      <w:r w:rsidR="00ED36F4" w:rsidRPr="00ED36F4">
        <w:rPr>
          <w:noProof/>
        </w:rPr>
        <w:t>skł</w:t>
      </w:r>
      <w:r w:rsidRPr="00ED36F4">
        <w:rPr>
          <w:noProof/>
        </w:rPr>
        <w:t>adzie ograniczonym do przedstawicieli państw będących członkami Komitetu Zarządzającego, przyjmowaną większością głosów określoną</w:t>
      </w:r>
      <w:r w:rsidR="00ED36F4" w:rsidRPr="00ED36F4">
        <w:rPr>
          <w:noProof/>
        </w:rPr>
        <w:t xml:space="preserve"> w</w:t>
      </w:r>
      <w:r w:rsidR="00ED36F4">
        <w:rPr>
          <w:noProof/>
        </w:rPr>
        <w:t> </w:t>
      </w:r>
      <w:r w:rsidR="00ED36F4" w:rsidRPr="00ED36F4">
        <w:rPr>
          <w:noProof/>
        </w:rPr>
        <w:t>art</w:t>
      </w:r>
      <w:r w:rsidRPr="00ED36F4">
        <w:rPr>
          <w:noProof/>
        </w:rPr>
        <w:t>.</w:t>
      </w:r>
      <w:r w:rsidR="00BE25DF" w:rsidRPr="00ED36F4">
        <w:rPr>
          <w:noProof/>
        </w:rPr>
        <w:t> </w:t>
      </w:r>
      <w:r w:rsidRPr="00ED36F4">
        <w:rPr>
          <w:noProof/>
        </w:rPr>
        <w:t>20 lit.</w:t>
      </w:r>
      <w:r w:rsidR="00BE25DF" w:rsidRPr="00ED36F4">
        <w:rPr>
          <w:noProof/>
        </w:rPr>
        <w:t> </w:t>
      </w:r>
      <w:r w:rsidRPr="00ED36F4">
        <w:rPr>
          <w:noProof/>
        </w:rPr>
        <w:t>d) Statutu Rady Europy.</w:t>
      </w:r>
    </w:p>
    <w:p w14:paraId="47B01EE0" w14:textId="4C3325B5" w:rsidR="00DD1C00" w:rsidRPr="00ED36F4" w:rsidRDefault="00454D1C" w:rsidP="00454D1C">
      <w:pPr>
        <w:rPr>
          <w:noProof/>
        </w:rPr>
      </w:pPr>
      <w:r w:rsidRPr="00ED36F4">
        <w:rPr>
          <w:noProof/>
        </w:rPr>
        <w:t>3.</w:t>
      </w:r>
      <w:r w:rsidRPr="00ED36F4">
        <w:rPr>
          <w:noProof/>
        </w:rPr>
        <w:tab/>
        <w:t>Tekst każdej zmiany przyjętej przez Komitet Zarządzający</w:t>
      </w:r>
      <w:r w:rsidR="00ED36F4" w:rsidRPr="00ED36F4">
        <w:rPr>
          <w:noProof/>
        </w:rPr>
        <w:t xml:space="preserve"> i</w:t>
      </w:r>
      <w:r w:rsidR="00ED36F4">
        <w:rPr>
          <w:noProof/>
        </w:rPr>
        <w:t> </w:t>
      </w:r>
      <w:r w:rsidR="00ED36F4" w:rsidRPr="00ED36F4">
        <w:rPr>
          <w:noProof/>
        </w:rPr>
        <w:t>Kom</w:t>
      </w:r>
      <w:r w:rsidRPr="00ED36F4">
        <w:rPr>
          <w:noProof/>
        </w:rPr>
        <w:t>itet Ministrów jest przekazywany przez Sekretarza Generalnego Rady Europy członkom do akceptacji.</w:t>
      </w:r>
    </w:p>
    <w:p w14:paraId="36851C4C" w14:textId="2674F87C" w:rsidR="00DD1C00" w:rsidRPr="00ED36F4" w:rsidRDefault="00454D1C" w:rsidP="00454D1C">
      <w:pPr>
        <w:rPr>
          <w:noProof/>
        </w:rPr>
      </w:pPr>
      <w:r w:rsidRPr="00ED36F4">
        <w:rPr>
          <w:noProof/>
        </w:rPr>
        <w:t>4.</w:t>
      </w:r>
      <w:r w:rsidRPr="00ED36F4">
        <w:rPr>
          <w:noProof/>
        </w:rPr>
        <w:tab/>
        <w:t>Wszelkie zmiany przyjęte zgodnie</w:t>
      </w:r>
      <w:r w:rsidR="00ED36F4" w:rsidRPr="00ED36F4">
        <w:rPr>
          <w:noProof/>
        </w:rPr>
        <w:t xml:space="preserve"> z</w:t>
      </w:r>
      <w:r w:rsidR="00ED36F4">
        <w:rPr>
          <w:noProof/>
        </w:rPr>
        <w:t> </w:t>
      </w:r>
      <w:r w:rsidR="00ED36F4" w:rsidRPr="00ED36F4">
        <w:rPr>
          <w:noProof/>
        </w:rPr>
        <w:t>nin</w:t>
      </w:r>
      <w:r w:rsidRPr="00ED36F4">
        <w:rPr>
          <w:noProof/>
        </w:rPr>
        <w:t>iejszym artykułem wchodzą</w:t>
      </w:r>
      <w:r w:rsidR="00ED36F4" w:rsidRPr="00ED36F4">
        <w:rPr>
          <w:noProof/>
        </w:rPr>
        <w:t xml:space="preserve"> w</w:t>
      </w:r>
      <w:r w:rsidR="00ED36F4">
        <w:rPr>
          <w:noProof/>
        </w:rPr>
        <w:t> </w:t>
      </w:r>
      <w:r w:rsidR="00ED36F4" w:rsidRPr="00ED36F4">
        <w:rPr>
          <w:noProof/>
        </w:rPr>
        <w:t>życ</w:t>
      </w:r>
      <w:r w:rsidRPr="00ED36F4">
        <w:rPr>
          <w:noProof/>
        </w:rPr>
        <w:t>ie trzydziestego dnia po dniu,</w:t>
      </w:r>
      <w:r w:rsidR="00ED36F4" w:rsidRPr="00ED36F4">
        <w:rPr>
          <w:noProof/>
        </w:rPr>
        <w:t xml:space="preserve"> w</w:t>
      </w:r>
      <w:r w:rsidR="00ED36F4">
        <w:rPr>
          <w:noProof/>
        </w:rPr>
        <w:t> </w:t>
      </w:r>
      <w:r w:rsidR="00ED36F4" w:rsidRPr="00ED36F4">
        <w:rPr>
          <w:noProof/>
        </w:rPr>
        <w:t>któ</w:t>
      </w:r>
      <w:r w:rsidRPr="00ED36F4">
        <w:rPr>
          <w:noProof/>
        </w:rPr>
        <w:t>rym wszyscy członkowie powiadomili Sekretarza Generalnego Rady Europy, że zaakceptowali daną zmianę</w:t>
      </w:r>
      <w:r w:rsidR="00ED36F4" w:rsidRPr="00ED36F4">
        <w:rPr>
          <w:noProof/>
        </w:rPr>
        <w:t xml:space="preserve"> w</w:t>
      </w:r>
      <w:r w:rsidR="00ED36F4">
        <w:rPr>
          <w:noProof/>
        </w:rPr>
        <w:t> </w:t>
      </w:r>
      <w:r w:rsidR="00ED36F4" w:rsidRPr="00ED36F4">
        <w:rPr>
          <w:noProof/>
        </w:rPr>
        <w:t>ram</w:t>
      </w:r>
      <w:r w:rsidRPr="00ED36F4">
        <w:rPr>
          <w:noProof/>
        </w:rPr>
        <w:t>ach swojej procedury krajowej.</w:t>
      </w:r>
    </w:p>
    <w:p w14:paraId="42BD20A8" w14:textId="77777777" w:rsidR="004A0762" w:rsidRPr="00ED36F4" w:rsidRDefault="004A0762" w:rsidP="004A0762">
      <w:pPr>
        <w:rPr>
          <w:b/>
          <w:bCs/>
          <w:noProof/>
        </w:rPr>
      </w:pPr>
      <w:r w:rsidRPr="00ED36F4">
        <w:rPr>
          <w:b/>
          <w:noProof/>
        </w:rPr>
        <w:t>Artykuł 13 – Czas trwania</w:t>
      </w:r>
    </w:p>
    <w:p w14:paraId="6C9A9EB3" w14:textId="54E9CCFA" w:rsidR="004A0762" w:rsidRPr="00ED36F4" w:rsidRDefault="004A0762" w:rsidP="004A0762">
      <w:pPr>
        <w:rPr>
          <w:noProof/>
        </w:rPr>
      </w:pPr>
      <w:r w:rsidRPr="00ED36F4">
        <w:rPr>
          <w:noProof/>
        </w:rPr>
        <w:t>1.</w:t>
      </w:r>
      <w:r w:rsidRPr="00ED36F4">
        <w:rPr>
          <w:noProof/>
        </w:rPr>
        <w:tab/>
        <w:t>Aby chronić niezawisłość sędziowską Specjalnego Trybunału</w:t>
      </w:r>
      <w:r w:rsidR="00ED36F4" w:rsidRPr="00ED36F4">
        <w:rPr>
          <w:noProof/>
        </w:rPr>
        <w:t xml:space="preserve"> i</w:t>
      </w:r>
      <w:r w:rsidR="00ED36F4">
        <w:rPr>
          <w:noProof/>
        </w:rPr>
        <w:t> </w:t>
      </w:r>
      <w:r w:rsidR="00ED36F4" w:rsidRPr="00ED36F4">
        <w:rPr>
          <w:noProof/>
        </w:rPr>
        <w:t>zap</w:t>
      </w:r>
      <w:r w:rsidRPr="00ED36F4">
        <w:rPr>
          <w:noProof/>
        </w:rPr>
        <w:t>ewnić skuteczne wykonywanie jego mandatu, rozszerzone porozumienie częściowe nie podlega wymogowi trzyletniego okresu próbnego określonego</w:t>
      </w:r>
      <w:r w:rsidR="00ED36F4" w:rsidRPr="00ED36F4">
        <w:rPr>
          <w:noProof/>
        </w:rPr>
        <w:t xml:space="preserve"> w</w:t>
      </w:r>
      <w:r w:rsidR="00ED36F4">
        <w:rPr>
          <w:noProof/>
        </w:rPr>
        <w:t> </w:t>
      </w:r>
      <w:r w:rsidR="00ED36F4" w:rsidRPr="00ED36F4">
        <w:rPr>
          <w:noProof/>
        </w:rPr>
        <w:t>ust</w:t>
      </w:r>
      <w:r w:rsidRPr="00ED36F4">
        <w:rPr>
          <w:noProof/>
        </w:rPr>
        <w:t>.</w:t>
      </w:r>
      <w:r w:rsidR="00BE25DF" w:rsidRPr="00ED36F4">
        <w:rPr>
          <w:noProof/>
        </w:rPr>
        <w:t> </w:t>
      </w:r>
      <w:r w:rsidRPr="00ED36F4">
        <w:rPr>
          <w:noProof/>
        </w:rPr>
        <w:t>6 rezolucji Komitetu Ministrów</w:t>
      </w:r>
      <w:bookmarkStart w:id="5" w:name="_ML_000000000011_VALID"/>
      <w:r w:rsidRPr="00ED36F4">
        <w:rPr>
          <w:noProof/>
        </w:rPr>
        <w:t xml:space="preserve"> </w:t>
      </w:r>
      <w:hyperlink r:id="rId18" w:anchor="%7B%22CoEReference%22:[%22Res(96)36%22],%22CoELanguageId%22:[%22eng%22],%22CoECollection%22:[%22COE_DOC%22],%22po%22:%7B%22ref%22:%22=%22%7D%7D" w:tooltip="ustanawiająca kryteria dla porozumień częściowych i rozszerzonych Rady Europy" w:history="1">
        <w:bookmarkEnd w:id="5"/>
        <w:r w:rsidRPr="00ED36F4">
          <w:rPr>
            <w:rStyle w:val="Hyperlink"/>
            <w:noProof/>
            <w:color w:val="auto"/>
            <w:u w:val="none"/>
          </w:rPr>
          <w:t>Res(96)36</w:t>
        </w:r>
      </w:hyperlink>
      <w:r w:rsidRPr="00ED36F4">
        <w:rPr>
          <w:noProof/>
        </w:rPr>
        <w:t xml:space="preserve"> ustanawiającej kryteria dla porozumień częściowych</w:t>
      </w:r>
      <w:r w:rsidR="00ED36F4" w:rsidRPr="00ED36F4">
        <w:rPr>
          <w:noProof/>
        </w:rPr>
        <w:t xml:space="preserve"> i</w:t>
      </w:r>
      <w:r w:rsidR="00ED36F4">
        <w:rPr>
          <w:noProof/>
        </w:rPr>
        <w:t> </w:t>
      </w:r>
      <w:r w:rsidR="00ED36F4" w:rsidRPr="00ED36F4">
        <w:rPr>
          <w:noProof/>
        </w:rPr>
        <w:t>roz</w:t>
      </w:r>
      <w:r w:rsidRPr="00ED36F4">
        <w:rPr>
          <w:noProof/>
        </w:rPr>
        <w:t xml:space="preserve">szerzonych Rady Europy. </w:t>
      </w:r>
    </w:p>
    <w:p w14:paraId="02C738C9" w14:textId="5BF58136" w:rsidR="004A0762" w:rsidRPr="00ED36F4" w:rsidRDefault="004A0762" w:rsidP="004A0762">
      <w:pPr>
        <w:rPr>
          <w:noProof/>
        </w:rPr>
      </w:pPr>
      <w:r w:rsidRPr="00ED36F4">
        <w:rPr>
          <w:noProof/>
        </w:rPr>
        <w:t>2.</w:t>
      </w:r>
      <w:r w:rsidRPr="00ED36F4">
        <w:rPr>
          <w:noProof/>
        </w:rPr>
        <w:tab/>
        <w:t>Komitet Ministrów może, na zalecenie Komitetu Zarządzającego, podjąć decyzję</w:t>
      </w:r>
      <w:r w:rsidR="00ED36F4" w:rsidRPr="00ED36F4">
        <w:rPr>
          <w:noProof/>
        </w:rPr>
        <w:t xml:space="preserve"> o</w:t>
      </w:r>
      <w:r w:rsidR="00ED36F4">
        <w:rPr>
          <w:noProof/>
        </w:rPr>
        <w:t> </w:t>
      </w:r>
      <w:r w:rsidR="00ED36F4" w:rsidRPr="00ED36F4">
        <w:rPr>
          <w:noProof/>
        </w:rPr>
        <w:t>roz</w:t>
      </w:r>
      <w:r w:rsidRPr="00ED36F4">
        <w:rPr>
          <w:noProof/>
        </w:rPr>
        <w:t xml:space="preserve">wiązaniu rozszerzonego porozumienia częściowego. </w:t>
      </w:r>
    </w:p>
    <w:p w14:paraId="2FDA1EF5" w14:textId="217415BB" w:rsidR="004A0762" w:rsidRPr="00ED36F4" w:rsidRDefault="004A0762" w:rsidP="004A0762">
      <w:pPr>
        <w:rPr>
          <w:noProof/>
        </w:rPr>
      </w:pPr>
      <w:r w:rsidRPr="00ED36F4">
        <w:rPr>
          <w:noProof/>
        </w:rPr>
        <w:t>3.</w:t>
      </w:r>
      <w:r w:rsidRPr="00ED36F4">
        <w:rPr>
          <w:noProof/>
        </w:rPr>
        <w:tab/>
        <w:t>Po otrzymaniu powiadomienia od Prezesa Specjalnego Trybunału</w:t>
      </w:r>
      <w:r w:rsidR="00ED36F4" w:rsidRPr="00ED36F4">
        <w:rPr>
          <w:noProof/>
        </w:rPr>
        <w:t xml:space="preserve"> o</w:t>
      </w:r>
      <w:r w:rsidR="00ED36F4">
        <w:rPr>
          <w:noProof/>
        </w:rPr>
        <w:t> </w:t>
      </w:r>
      <w:r w:rsidR="00ED36F4" w:rsidRPr="00ED36F4">
        <w:rPr>
          <w:noProof/>
        </w:rPr>
        <w:t>wyk</w:t>
      </w:r>
      <w:r w:rsidRPr="00ED36F4">
        <w:rPr>
          <w:noProof/>
        </w:rPr>
        <w:t>onaniu mandatu Specjalnego Trybunału Komitet Zarządzający poddaje analizie odpowiednie warunki ustanowienia mechanizmu rezydualnego mającego zastąpić Specjalny Trybunał</w:t>
      </w:r>
      <w:r w:rsidR="00ED36F4" w:rsidRPr="00ED36F4">
        <w:rPr>
          <w:noProof/>
        </w:rPr>
        <w:t xml:space="preserve"> w</w:t>
      </w:r>
      <w:r w:rsidR="00ED36F4">
        <w:rPr>
          <w:noProof/>
        </w:rPr>
        <w:t> </w:t>
      </w:r>
      <w:r w:rsidR="00ED36F4" w:rsidRPr="00ED36F4">
        <w:rPr>
          <w:noProof/>
        </w:rPr>
        <w:t>dro</w:t>
      </w:r>
      <w:r w:rsidRPr="00ED36F4">
        <w:rPr>
          <w:noProof/>
        </w:rPr>
        <w:t>dze odrębnego instrumentu międzynarodowego. Komitet Zarządzający może zalecić Stronom Umowy rozwiązanie Specjalnego Trybunału</w:t>
      </w:r>
      <w:r w:rsidR="00ED36F4" w:rsidRPr="00ED36F4">
        <w:rPr>
          <w:noProof/>
        </w:rPr>
        <w:t xml:space="preserve"> i</w:t>
      </w:r>
      <w:r w:rsidR="00ED36F4">
        <w:rPr>
          <w:noProof/>
        </w:rPr>
        <w:t> </w:t>
      </w:r>
      <w:r w:rsidR="00ED36F4" w:rsidRPr="00ED36F4">
        <w:rPr>
          <w:noProof/>
        </w:rPr>
        <w:t>ust</w:t>
      </w:r>
      <w:r w:rsidRPr="00ED36F4">
        <w:rPr>
          <w:noProof/>
        </w:rPr>
        <w:t>anowienie mechanizmu rezydualnego.</w:t>
      </w:r>
    </w:p>
    <w:p w14:paraId="5DE26FBA" w14:textId="371B28ED" w:rsidR="004A0762" w:rsidRPr="00ED36F4" w:rsidRDefault="004A0762" w:rsidP="004A0762">
      <w:pPr>
        <w:rPr>
          <w:noProof/>
        </w:rPr>
      </w:pPr>
      <w:r w:rsidRPr="00ED36F4">
        <w:rPr>
          <w:noProof/>
        </w:rPr>
        <w:t>4.</w:t>
      </w:r>
      <w:r w:rsidRPr="00ED36F4">
        <w:rPr>
          <w:noProof/>
        </w:rPr>
        <w:tab/>
        <w:t>W sytuacji opisanej</w:t>
      </w:r>
      <w:r w:rsidR="00ED36F4" w:rsidRPr="00ED36F4">
        <w:rPr>
          <w:noProof/>
        </w:rPr>
        <w:t xml:space="preserve"> w</w:t>
      </w:r>
      <w:r w:rsidR="00ED36F4">
        <w:rPr>
          <w:noProof/>
        </w:rPr>
        <w:t> </w:t>
      </w:r>
      <w:r w:rsidR="00ED36F4" w:rsidRPr="00ED36F4">
        <w:rPr>
          <w:noProof/>
        </w:rPr>
        <w:t>ust</w:t>
      </w:r>
      <w:r w:rsidRPr="00ED36F4">
        <w:rPr>
          <w:noProof/>
        </w:rPr>
        <w:t>.</w:t>
      </w:r>
      <w:r w:rsidR="00BE25DF" w:rsidRPr="00ED36F4">
        <w:rPr>
          <w:noProof/>
        </w:rPr>
        <w:t> </w:t>
      </w:r>
      <w:r w:rsidRPr="00ED36F4">
        <w:rPr>
          <w:noProof/>
        </w:rPr>
        <w:t>3 niniejszego artykułu Komitet Zarządzający przyjmuje szczegółowy plan przejścia na podstawie zalecenia Stron Umowy, państwa przyjmującego</w:t>
      </w:r>
      <w:r w:rsidR="00ED36F4" w:rsidRPr="00ED36F4">
        <w:rPr>
          <w:noProof/>
        </w:rPr>
        <w:t xml:space="preserve"> i</w:t>
      </w:r>
      <w:r w:rsidR="00ED36F4">
        <w:rPr>
          <w:noProof/>
        </w:rPr>
        <w:t> </w:t>
      </w:r>
      <w:r w:rsidR="00ED36F4" w:rsidRPr="00ED36F4">
        <w:rPr>
          <w:noProof/>
        </w:rPr>
        <w:t>Pre</w:t>
      </w:r>
      <w:r w:rsidRPr="00ED36F4">
        <w:rPr>
          <w:noProof/>
        </w:rPr>
        <w:t>zesa Specjalnego Trybunału. Plan ten obejmuje</w:t>
      </w:r>
      <w:r w:rsidR="00ED36F4" w:rsidRPr="00ED36F4">
        <w:rPr>
          <w:noProof/>
        </w:rPr>
        <w:t xml:space="preserve"> w</w:t>
      </w:r>
      <w:r w:rsidR="00ED36F4">
        <w:rPr>
          <w:noProof/>
        </w:rPr>
        <w:t> </w:t>
      </w:r>
      <w:r w:rsidR="00ED36F4" w:rsidRPr="00ED36F4">
        <w:rPr>
          <w:noProof/>
        </w:rPr>
        <w:t>szc</w:t>
      </w:r>
      <w:r w:rsidRPr="00ED36F4">
        <w:rPr>
          <w:noProof/>
        </w:rPr>
        <w:t>zególności ochronę świadków; nadzór nad wykonywaniem kar; rozpatrywanie wniosków</w:t>
      </w:r>
      <w:r w:rsidR="00ED36F4" w:rsidRPr="00ED36F4">
        <w:rPr>
          <w:noProof/>
        </w:rPr>
        <w:t xml:space="preserve"> o</w:t>
      </w:r>
      <w:r w:rsidR="00ED36F4">
        <w:rPr>
          <w:noProof/>
        </w:rPr>
        <w:t> </w:t>
      </w:r>
      <w:r w:rsidR="00ED36F4" w:rsidRPr="00ED36F4">
        <w:rPr>
          <w:noProof/>
        </w:rPr>
        <w:t>prz</w:t>
      </w:r>
      <w:r w:rsidRPr="00ED36F4">
        <w:rPr>
          <w:noProof/>
        </w:rPr>
        <w:t>edterminowe, tymczasowe</w:t>
      </w:r>
      <w:r w:rsidR="00ED36F4" w:rsidRPr="00ED36F4">
        <w:rPr>
          <w:noProof/>
        </w:rPr>
        <w:t xml:space="preserve"> i</w:t>
      </w:r>
      <w:r w:rsidR="00ED36F4">
        <w:rPr>
          <w:noProof/>
        </w:rPr>
        <w:t> </w:t>
      </w:r>
      <w:r w:rsidR="00ED36F4" w:rsidRPr="00ED36F4">
        <w:rPr>
          <w:noProof/>
        </w:rPr>
        <w:t>ost</w:t>
      </w:r>
      <w:r w:rsidRPr="00ED36F4">
        <w:rPr>
          <w:noProof/>
        </w:rPr>
        <w:t>ateczne zwolnienie; przechowywanie dowodów</w:t>
      </w:r>
      <w:r w:rsidR="00ED36F4" w:rsidRPr="00ED36F4">
        <w:rPr>
          <w:noProof/>
        </w:rPr>
        <w:t xml:space="preserve"> i</w:t>
      </w:r>
      <w:r w:rsidR="00ED36F4">
        <w:rPr>
          <w:noProof/>
        </w:rPr>
        <w:t> </w:t>
      </w:r>
      <w:r w:rsidR="00ED36F4" w:rsidRPr="00ED36F4">
        <w:rPr>
          <w:noProof/>
        </w:rPr>
        <w:t>rej</w:t>
      </w:r>
      <w:r w:rsidRPr="00ED36F4">
        <w:rPr>
          <w:noProof/>
        </w:rPr>
        <w:t>estrów Trybunału Specjalnego; oraz finansowanie. Członkowie</w:t>
      </w:r>
      <w:r w:rsidR="00ED36F4" w:rsidRPr="00ED36F4">
        <w:rPr>
          <w:noProof/>
        </w:rPr>
        <w:t xml:space="preserve"> i</w:t>
      </w:r>
      <w:r w:rsidR="00ED36F4">
        <w:rPr>
          <w:noProof/>
        </w:rPr>
        <w:t> </w:t>
      </w:r>
      <w:r w:rsidR="00ED36F4" w:rsidRPr="00ED36F4">
        <w:rPr>
          <w:noProof/>
        </w:rPr>
        <w:t>czł</w:t>
      </w:r>
      <w:r w:rsidRPr="00ED36F4">
        <w:rPr>
          <w:noProof/>
        </w:rPr>
        <w:t>onkowie stowarzyszeni Komitetu Zarządzającego współpracują ze sobą, aby zapewnić należyte zakończenie działalności Specjalnego Trybunału.</w:t>
      </w:r>
    </w:p>
    <w:p w14:paraId="52E5116E" w14:textId="77777777" w:rsidR="004A0762" w:rsidRPr="00ED36F4" w:rsidRDefault="004A0762" w:rsidP="004A0762">
      <w:pPr>
        <w:rPr>
          <w:b/>
          <w:bCs/>
          <w:noProof/>
        </w:rPr>
      </w:pPr>
      <w:r w:rsidRPr="00ED36F4">
        <w:rPr>
          <w:b/>
          <w:noProof/>
        </w:rPr>
        <w:t>Artykuł 14 – Rozwiązywanie sporów</w:t>
      </w:r>
    </w:p>
    <w:p w14:paraId="38DA8127" w14:textId="487B227F" w:rsidR="004A0762" w:rsidRPr="00ED36F4" w:rsidRDefault="004A0762" w:rsidP="004A0762">
      <w:pPr>
        <w:rPr>
          <w:noProof/>
        </w:rPr>
      </w:pPr>
      <w:r w:rsidRPr="00ED36F4">
        <w:rPr>
          <w:noProof/>
        </w:rPr>
        <w:t>Członkowie</w:t>
      </w:r>
      <w:r w:rsidR="00ED36F4" w:rsidRPr="00ED36F4">
        <w:rPr>
          <w:noProof/>
        </w:rPr>
        <w:t xml:space="preserve"> i</w:t>
      </w:r>
      <w:r w:rsidR="00ED36F4">
        <w:rPr>
          <w:noProof/>
        </w:rPr>
        <w:t> </w:t>
      </w:r>
      <w:r w:rsidR="00ED36F4" w:rsidRPr="00ED36F4">
        <w:rPr>
          <w:noProof/>
        </w:rPr>
        <w:t>czł</w:t>
      </w:r>
      <w:r w:rsidRPr="00ED36F4">
        <w:rPr>
          <w:noProof/>
        </w:rPr>
        <w:t>onkowie stowarzyszeni dążą do załatwiania wszelkich sporów, które mogą powstać</w:t>
      </w:r>
      <w:r w:rsidR="00ED36F4" w:rsidRPr="00ED36F4">
        <w:rPr>
          <w:noProof/>
        </w:rPr>
        <w:t xml:space="preserve"> w</w:t>
      </w:r>
      <w:r w:rsidR="00ED36F4">
        <w:rPr>
          <w:noProof/>
        </w:rPr>
        <w:t> </w:t>
      </w:r>
      <w:r w:rsidR="00ED36F4" w:rsidRPr="00ED36F4">
        <w:rPr>
          <w:noProof/>
        </w:rPr>
        <w:t>zwi</w:t>
      </w:r>
      <w:r w:rsidRPr="00ED36F4">
        <w:rPr>
          <w:noProof/>
        </w:rPr>
        <w:t>ązku ze stosowaniem lub interpretacją postanowień niniejszego Statutu,</w:t>
      </w:r>
      <w:r w:rsidR="00ED36F4" w:rsidRPr="00ED36F4">
        <w:rPr>
          <w:noProof/>
        </w:rPr>
        <w:t xml:space="preserve"> w</w:t>
      </w:r>
      <w:r w:rsidR="00ED36F4">
        <w:rPr>
          <w:noProof/>
        </w:rPr>
        <w:t> </w:t>
      </w:r>
      <w:r w:rsidR="00ED36F4" w:rsidRPr="00ED36F4">
        <w:rPr>
          <w:noProof/>
        </w:rPr>
        <w:t>dro</w:t>
      </w:r>
      <w:r w:rsidRPr="00ED36F4">
        <w:rPr>
          <w:noProof/>
        </w:rPr>
        <w:t>dze negocjacji lub innych środków pokojowego rozstrzygania przyjętych za porozumieniem stron.</w:t>
      </w:r>
    </w:p>
    <w:p w14:paraId="319986FE" w14:textId="77777777" w:rsidR="004A0762" w:rsidRPr="00ED36F4" w:rsidRDefault="004A0762" w:rsidP="004A0762">
      <w:pPr>
        <w:rPr>
          <w:b/>
          <w:bCs/>
          <w:noProof/>
        </w:rPr>
      </w:pPr>
      <w:r w:rsidRPr="00ED36F4">
        <w:rPr>
          <w:b/>
          <w:noProof/>
        </w:rPr>
        <w:t>Artykuł 15 – Wystąpienie lub wykluczenie członka</w:t>
      </w:r>
    </w:p>
    <w:p w14:paraId="69DC7F3C" w14:textId="6F8551B4" w:rsidR="004A0762" w:rsidRPr="00ED36F4" w:rsidRDefault="004A0762" w:rsidP="004A0762">
      <w:pPr>
        <w:rPr>
          <w:noProof/>
        </w:rPr>
      </w:pPr>
      <w:r w:rsidRPr="00ED36F4">
        <w:rPr>
          <w:noProof/>
        </w:rPr>
        <w:t>1.</w:t>
      </w:r>
      <w:r w:rsidRPr="00ED36F4">
        <w:rPr>
          <w:noProof/>
        </w:rPr>
        <w:tab/>
        <w:t>Każdy członek lub członek stowarzyszony może wystąpić</w:t>
      </w:r>
      <w:r w:rsidR="00ED36F4" w:rsidRPr="00ED36F4">
        <w:rPr>
          <w:noProof/>
        </w:rPr>
        <w:t xml:space="preserve"> z</w:t>
      </w:r>
      <w:r w:rsidR="00ED36F4">
        <w:rPr>
          <w:noProof/>
        </w:rPr>
        <w:t> </w:t>
      </w:r>
      <w:r w:rsidR="00ED36F4" w:rsidRPr="00ED36F4">
        <w:rPr>
          <w:noProof/>
        </w:rPr>
        <w:t>Kom</w:t>
      </w:r>
      <w:r w:rsidRPr="00ED36F4">
        <w:rPr>
          <w:noProof/>
        </w:rPr>
        <w:t>itetu Zarządzającego</w:t>
      </w:r>
      <w:r w:rsidR="00ED36F4" w:rsidRPr="00ED36F4">
        <w:rPr>
          <w:noProof/>
        </w:rPr>
        <w:t xml:space="preserve"> w</w:t>
      </w:r>
      <w:r w:rsidR="00ED36F4">
        <w:rPr>
          <w:noProof/>
        </w:rPr>
        <w:t> </w:t>
      </w:r>
      <w:r w:rsidR="00ED36F4" w:rsidRPr="00ED36F4">
        <w:rPr>
          <w:noProof/>
        </w:rPr>
        <w:t>dro</w:t>
      </w:r>
      <w:r w:rsidRPr="00ED36F4">
        <w:rPr>
          <w:noProof/>
        </w:rPr>
        <w:t>dze notyfikacji przesłanej Sekretarzowi Generalnemu.</w:t>
      </w:r>
    </w:p>
    <w:p w14:paraId="4B0A0D25" w14:textId="06D1678D" w:rsidR="004A0762" w:rsidRPr="00ED36F4" w:rsidRDefault="004A0762" w:rsidP="004A0762">
      <w:pPr>
        <w:rPr>
          <w:noProof/>
        </w:rPr>
      </w:pPr>
      <w:r w:rsidRPr="00ED36F4">
        <w:rPr>
          <w:noProof/>
        </w:rPr>
        <w:t>2.</w:t>
      </w:r>
      <w:r w:rsidRPr="00ED36F4">
        <w:rPr>
          <w:noProof/>
        </w:rPr>
        <w:tab/>
        <w:t>Sekretarz Generalny potwierdza otrzymanie notyfikacji</w:t>
      </w:r>
      <w:r w:rsidR="00ED36F4" w:rsidRPr="00ED36F4">
        <w:rPr>
          <w:noProof/>
        </w:rPr>
        <w:t xml:space="preserve"> i</w:t>
      </w:r>
      <w:r w:rsidR="00ED36F4">
        <w:rPr>
          <w:noProof/>
        </w:rPr>
        <w:t> </w:t>
      </w:r>
      <w:r w:rsidR="00ED36F4" w:rsidRPr="00ED36F4">
        <w:rPr>
          <w:noProof/>
        </w:rPr>
        <w:t>inf</w:t>
      </w:r>
      <w:r w:rsidRPr="00ED36F4">
        <w:rPr>
          <w:noProof/>
        </w:rPr>
        <w:t>ormuje członków</w:t>
      </w:r>
      <w:r w:rsidR="00ED36F4" w:rsidRPr="00ED36F4">
        <w:rPr>
          <w:noProof/>
        </w:rPr>
        <w:t xml:space="preserve"> i</w:t>
      </w:r>
      <w:r w:rsidR="00ED36F4">
        <w:rPr>
          <w:noProof/>
        </w:rPr>
        <w:t> </w:t>
      </w:r>
      <w:r w:rsidR="00ED36F4" w:rsidRPr="00ED36F4">
        <w:rPr>
          <w:noProof/>
        </w:rPr>
        <w:t>czł</w:t>
      </w:r>
      <w:r w:rsidRPr="00ED36F4">
        <w:rPr>
          <w:noProof/>
        </w:rPr>
        <w:t>onków stowarzyszonych Komitetu Zarządzającego.</w:t>
      </w:r>
    </w:p>
    <w:p w14:paraId="5BA710F1" w14:textId="620F229B" w:rsidR="004A0762" w:rsidRPr="00ED36F4" w:rsidRDefault="004A0762" w:rsidP="004A0762">
      <w:pPr>
        <w:rPr>
          <w:noProof/>
        </w:rPr>
      </w:pPr>
      <w:r w:rsidRPr="00ED36F4">
        <w:rPr>
          <w:noProof/>
        </w:rPr>
        <w:t>3.</w:t>
      </w:r>
      <w:r w:rsidRPr="00ED36F4">
        <w:rPr>
          <w:noProof/>
        </w:rPr>
        <w:tab/>
        <w:t>Wystąpienie członka staje się skuteczne</w:t>
      </w:r>
      <w:r w:rsidR="00ED36F4" w:rsidRPr="00ED36F4">
        <w:rPr>
          <w:noProof/>
        </w:rPr>
        <w:t xml:space="preserve"> z</w:t>
      </w:r>
      <w:r w:rsidR="00ED36F4">
        <w:rPr>
          <w:noProof/>
        </w:rPr>
        <w:t> </w:t>
      </w:r>
      <w:r w:rsidR="00ED36F4" w:rsidRPr="00ED36F4">
        <w:rPr>
          <w:noProof/>
        </w:rPr>
        <w:t>koń</w:t>
      </w:r>
      <w:r w:rsidRPr="00ED36F4">
        <w:rPr>
          <w:noProof/>
        </w:rPr>
        <w:t>cem roku budżetowego,</w:t>
      </w:r>
      <w:r w:rsidR="00ED36F4" w:rsidRPr="00ED36F4">
        <w:rPr>
          <w:noProof/>
        </w:rPr>
        <w:t xml:space="preserve"> w</w:t>
      </w:r>
      <w:r w:rsidR="00ED36F4">
        <w:rPr>
          <w:noProof/>
        </w:rPr>
        <w:t> </w:t>
      </w:r>
      <w:r w:rsidR="00ED36F4" w:rsidRPr="00ED36F4">
        <w:rPr>
          <w:noProof/>
        </w:rPr>
        <w:t>któ</w:t>
      </w:r>
      <w:r w:rsidRPr="00ED36F4">
        <w:rPr>
          <w:noProof/>
        </w:rPr>
        <w:t>rym nastąpiła notyfikacja, jeżeli taką notyfikację przekazano przed dniem 1 czerwca tego roku budżetowego, lub</w:t>
      </w:r>
      <w:r w:rsidR="00ED36F4" w:rsidRPr="00ED36F4">
        <w:rPr>
          <w:noProof/>
        </w:rPr>
        <w:t xml:space="preserve"> z</w:t>
      </w:r>
      <w:r w:rsidR="00ED36F4">
        <w:rPr>
          <w:noProof/>
        </w:rPr>
        <w:t> </w:t>
      </w:r>
      <w:r w:rsidR="00ED36F4" w:rsidRPr="00ED36F4">
        <w:rPr>
          <w:noProof/>
        </w:rPr>
        <w:t>koń</w:t>
      </w:r>
      <w:r w:rsidRPr="00ED36F4">
        <w:rPr>
          <w:noProof/>
        </w:rPr>
        <w:t>cem kolejnego roku budżetowego, jeżeli notyfikację</w:t>
      </w:r>
      <w:r w:rsidR="00ED36F4" w:rsidRPr="00ED36F4">
        <w:rPr>
          <w:noProof/>
        </w:rPr>
        <w:t xml:space="preserve"> o</w:t>
      </w:r>
      <w:r w:rsidR="00ED36F4">
        <w:rPr>
          <w:noProof/>
        </w:rPr>
        <w:t> </w:t>
      </w:r>
      <w:r w:rsidR="00ED36F4" w:rsidRPr="00ED36F4">
        <w:rPr>
          <w:noProof/>
        </w:rPr>
        <w:t>wys</w:t>
      </w:r>
      <w:r w:rsidRPr="00ED36F4">
        <w:rPr>
          <w:noProof/>
        </w:rPr>
        <w:t>tąpieniu przekazano</w:t>
      </w:r>
      <w:r w:rsidR="00ED36F4" w:rsidRPr="00ED36F4">
        <w:rPr>
          <w:noProof/>
        </w:rPr>
        <w:t xml:space="preserve"> w</w:t>
      </w:r>
      <w:r w:rsidR="00ED36F4">
        <w:rPr>
          <w:noProof/>
        </w:rPr>
        <w:t> </w:t>
      </w:r>
      <w:r w:rsidR="00ED36F4" w:rsidRPr="00ED36F4">
        <w:rPr>
          <w:noProof/>
        </w:rPr>
        <w:t>dni</w:t>
      </w:r>
      <w:r w:rsidRPr="00ED36F4">
        <w:rPr>
          <w:noProof/>
        </w:rPr>
        <w:t>u 1 czerwca roku budżetowego lub po tej dacie. Wystąpienie członka stowarzyszonego staje się skuteczne</w:t>
      </w:r>
      <w:r w:rsidR="00ED36F4" w:rsidRPr="00ED36F4">
        <w:rPr>
          <w:noProof/>
        </w:rPr>
        <w:t xml:space="preserve"> z</w:t>
      </w:r>
      <w:r w:rsidR="00ED36F4">
        <w:rPr>
          <w:noProof/>
        </w:rPr>
        <w:t> </w:t>
      </w:r>
      <w:r w:rsidR="00ED36F4" w:rsidRPr="00ED36F4">
        <w:rPr>
          <w:noProof/>
        </w:rPr>
        <w:t>chw</w:t>
      </w:r>
      <w:r w:rsidRPr="00ED36F4">
        <w:rPr>
          <w:noProof/>
        </w:rPr>
        <w:t>ilą otrzymania notyfikacji.</w:t>
      </w:r>
    </w:p>
    <w:p w14:paraId="3341D8D9" w14:textId="2725C00E" w:rsidR="004A0762" w:rsidRPr="00ED36F4" w:rsidRDefault="004A0762" w:rsidP="004A0762">
      <w:pPr>
        <w:rPr>
          <w:noProof/>
        </w:rPr>
      </w:pPr>
      <w:r w:rsidRPr="00ED36F4">
        <w:rPr>
          <w:noProof/>
        </w:rPr>
        <w:t>4.</w:t>
      </w:r>
      <w:r w:rsidRPr="00ED36F4">
        <w:rPr>
          <w:noProof/>
        </w:rPr>
        <w:tab/>
        <w:t>Zgodnie</w:t>
      </w:r>
      <w:r w:rsidR="00ED36F4" w:rsidRPr="00ED36F4">
        <w:rPr>
          <w:noProof/>
        </w:rPr>
        <w:t xml:space="preserve"> z</w:t>
      </w:r>
      <w:r w:rsidR="00ED36F4">
        <w:rPr>
          <w:noProof/>
        </w:rPr>
        <w:t> </w:t>
      </w:r>
      <w:r w:rsidR="00ED36F4" w:rsidRPr="00ED36F4">
        <w:rPr>
          <w:noProof/>
        </w:rPr>
        <w:t>obo</w:t>
      </w:r>
      <w:r w:rsidRPr="00ED36F4">
        <w:rPr>
          <w:noProof/>
        </w:rPr>
        <w:t>wiązującymi przepisami finansowymi Komitet Zarządzający bada skutki finansowe wystąpienia lub wykluczenia członka lub członka stowarzyszonego</w:t>
      </w:r>
      <w:r w:rsidR="00ED36F4" w:rsidRPr="00ED36F4">
        <w:rPr>
          <w:noProof/>
        </w:rPr>
        <w:t xml:space="preserve"> i</w:t>
      </w:r>
      <w:r w:rsidR="00ED36F4">
        <w:rPr>
          <w:noProof/>
        </w:rPr>
        <w:t> </w:t>
      </w:r>
      <w:r w:rsidR="00ED36F4" w:rsidRPr="00ED36F4">
        <w:rPr>
          <w:noProof/>
        </w:rPr>
        <w:t>dok</w:t>
      </w:r>
      <w:r w:rsidRPr="00ED36F4">
        <w:rPr>
          <w:noProof/>
        </w:rPr>
        <w:t>onuje odpowiednich ustaleń.</w:t>
      </w:r>
    </w:p>
    <w:p w14:paraId="0028DADF" w14:textId="2FAF071D" w:rsidR="004A0762" w:rsidRPr="00ED36F4" w:rsidRDefault="004A0762" w:rsidP="004A0762">
      <w:pPr>
        <w:rPr>
          <w:noProof/>
        </w:rPr>
      </w:pPr>
      <w:r w:rsidRPr="00ED36F4">
        <w:rPr>
          <w:noProof/>
        </w:rPr>
        <w:t>5.</w:t>
      </w:r>
      <w:r w:rsidRPr="00ED36F4">
        <w:rPr>
          <w:noProof/>
        </w:rPr>
        <w:tab/>
        <w:t>Sekretarz Generalny niezwłocznie informuje zainteresowanego członka</w:t>
      </w:r>
      <w:r w:rsidR="00ED36F4" w:rsidRPr="00ED36F4">
        <w:rPr>
          <w:noProof/>
        </w:rPr>
        <w:t xml:space="preserve"> o</w:t>
      </w:r>
      <w:r w:rsidR="00ED36F4">
        <w:rPr>
          <w:noProof/>
        </w:rPr>
        <w:t> </w:t>
      </w:r>
      <w:r w:rsidR="00ED36F4" w:rsidRPr="00ED36F4">
        <w:rPr>
          <w:noProof/>
        </w:rPr>
        <w:t>sku</w:t>
      </w:r>
      <w:r w:rsidRPr="00ED36F4">
        <w:rPr>
          <w:noProof/>
        </w:rPr>
        <w:t>tkach jego wystąpienia zgodnie</w:t>
      </w:r>
      <w:r w:rsidR="00ED36F4" w:rsidRPr="00ED36F4">
        <w:rPr>
          <w:noProof/>
        </w:rPr>
        <w:t xml:space="preserve"> z</w:t>
      </w:r>
      <w:r w:rsidR="00ED36F4">
        <w:rPr>
          <w:noProof/>
        </w:rPr>
        <w:t> </w:t>
      </w:r>
      <w:r w:rsidR="00ED36F4" w:rsidRPr="00ED36F4">
        <w:rPr>
          <w:noProof/>
        </w:rPr>
        <w:t>ust</w:t>
      </w:r>
      <w:r w:rsidRPr="00ED36F4">
        <w:rPr>
          <w:noProof/>
        </w:rPr>
        <w:t>.</w:t>
      </w:r>
      <w:r w:rsidR="00BE25DF" w:rsidRPr="00ED36F4">
        <w:rPr>
          <w:noProof/>
        </w:rPr>
        <w:t> </w:t>
      </w:r>
      <w:r w:rsidRPr="00ED36F4">
        <w:rPr>
          <w:noProof/>
        </w:rPr>
        <w:t>3 niniejszego artykułu.</w:t>
      </w:r>
    </w:p>
    <w:p w14:paraId="3A614EEA" w14:textId="600F802C" w:rsidR="004A0762" w:rsidRPr="00ED36F4" w:rsidRDefault="004A0762" w:rsidP="004A0762">
      <w:pPr>
        <w:rPr>
          <w:noProof/>
        </w:rPr>
      </w:pPr>
      <w:r w:rsidRPr="00ED36F4">
        <w:rPr>
          <w:noProof/>
        </w:rPr>
        <w:t>6.</w:t>
      </w:r>
      <w:r w:rsidRPr="00ED36F4">
        <w:rPr>
          <w:noProof/>
        </w:rPr>
        <w:tab/>
        <w:t>Komitet Zarządzający może zdecydować, że członek lub członek stowarzyszony postępujący</w:t>
      </w:r>
      <w:r w:rsidR="00ED36F4" w:rsidRPr="00ED36F4">
        <w:rPr>
          <w:noProof/>
        </w:rPr>
        <w:t xml:space="preserve"> w</w:t>
      </w:r>
      <w:r w:rsidR="00ED36F4">
        <w:rPr>
          <w:noProof/>
        </w:rPr>
        <w:t> </w:t>
      </w:r>
      <w:r w:rsidR="00ED36F4" w:rsidRPr="00ED36F4">
        <w:rPr>
          <w:noProof/>
        </w:rPr>
        <w:t>spo</w:t>
      </w:r>
      <w:r w:rsidRPr="00ED36F4">
        <w:rPr>
          <w:noProof/>
        </w:rPr>
        <w:t>sób niezgodny</w:t>
      </w:r>
      <w:r w:rsidR="00ED36F4" w:rsidRPr="00ED36F4">
        <w:rPr>
          <w:noProof/>
        </w:rPr>
        <w:t xml:space="preserve"> z</w:t>
      </w:r>
      <w:r w:rsidR="00ED36F4">
        <w:rPr>
          <w:noProof/>
        </w:rPr>
        <w:t> </w:t>
      </w:r>
      <w:r w:rsidR="00ED36F4" w:rsidRPr="00ED36F4">
        <w:rPr>
          <w:noProof/>
        </w:rPr>
        <w:t>man</w:t>
      </w:r>
      <w:r w:rsidRPr="00ED36F4">
        <w:rPr>
          <w:noProof/>
        </w:rPr>
        <w:t>datem Komitetu Zarządzającego lub utrudniający jego funkcje przestaje być członkiem lub członkiem stowarzyszonym Komitetu Zarządzającego</w:t>
      </w:r>
      <w:r w:rsidR="00ED36F4" w:rsidRPr="00ED36F4">
        <w:rPr>
          <w:noProof/>
        </w:rPr>
        <w:t xml:space="preserve"> z</w:t>
      </w:r>
      <w:r w:rsidR="00ED36F4">
        <w:rPr>
          <w:noProof/>
        </w:rPr>
        <w:t> </w:t>
      </w:r>
      <w:r w:rsidR="00ED36F4" w:rsidRPr="00ED36F4">
        <w:rPr>
          <w:noProof/>
        </w:rPr>
        <w:t>dni</w:t>
      </w:r>
      <w:r w:rsidRPr="00ED36F4">
        <w:rPr>
          <w:noProof/>
        </w:rPr>
        <w:t>em określonym przez Komitet Zarządzający.</w:t>
      </w:r>
    </w:p>
    <w:p w14:paraId="421D3FCD" w14:textId="77777777" w:rsidR="00905D22" w:rsidRPr="00ED36F4" w:rsidRDefault="004A0762" w:rsidP="007A1409">
      <w:pPr>
        <w:jc w:val="center"/>
        <w:rPr>
          <w:noProof/>
        </w:rPr>
      </w:pPr>
      <w:r w:rsidRPr="00ED36F4">
        <w:rPr>
          <w:noProof/>
        </w:rPr>
        <w:t>***</w:t>
      </w:r>
    </w:p>
    <w:sectPr w:rsidR="00905D22" w:rsidRPr="00ED36F4" w:rsidSect="004A6D73">
      <w:headerReference w:type="even" r:id="rId19"/>
      <w:footerReference w:type="even" r:id="rId20"/>
      <w:footerReference w:type="default" r:id="rId21"/>
      <w:headerReference w:type="first" r:id="rId22"/>
      <w:footerReference w:type="first" r:id="rId23"/>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FAB18" w14:textId="77777777" w:rsidR="004A0762" w:rsidRPr="00ED36F4" w:rsidRDefault="004A0762" w:rsidP="004A0762">
      <w:pPr>
        <w:spacing w:before="0" w:after="0"/>
      </w:pPr>
      <w:r w:rsidRPr="00ED36F4">
        <w:separator/>
      </w:r>
    </w:p>
  </w:endnote>
  <w:endnote w:type="continuationSeparator" w:id="0">
    <w:p w14:paraId="690CE781" w14:textId="77777777" w:rsidR="004A0762" w:rsidRPr="00ED36F4" w:rsidRDefault="004A0762" w:rsidP="004A0762">
      <w:pPr>
        <w:spacing w:before="0" w:after="0"/>
      </w:pPr>
      <w:r w:rsidRPr="00ED36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3C33" w14:textId="6ED352F4" w:rsidR="004A6D73" w:rsidRPr="004A6D73" w:rsidRDefault="004A6D73" w:rsidP="004A6D73">
    <w:pPr>
      <w:pStyle w:val="Footer"/>
      <w:rPr>
        <w:rFonts w:ascii="Arial" w:hAnsi="Arial" w:cs="Arial"/>
        <w:b/>
        <w:sz w:val="48"/>
      </w:rPr>
    </w:pPr>
    <w:r w:rsidRPr="004A6D73">
      <w:rPr>
        <w:rFonts w:ascii="Arial" w:hAnsi="Arial" w:cs="Arial"/>
        <w:b/>
        <w:sz w:val="48"/>
      </w:rPr>
      <w:t>PL</w:t>
    </w:r>
    <w:r w:rsidRPr="004A6D73">
      <w:rPr>
        <w:rFonts w:ascii="Arial" w:hAnsi="Arial" w:cs="Arial"/>
        <w:b/>
        <w:sz w:val="48"/>
      </w:rPr>
      <w:tab/>
    </w:r>
    <w:r w:rsidRPr="004A6D73">
      <w:rPr>
        <w:rFonts w:ascii="Arial" w:hAnsi="Arial" w:cs="Arial"/>
        <w:b/>
        <w:sz w:val="48"/>
      </w:rPr>
      <w:tab/>
    </w:r>
    <w:r w:rsidRPr="004A6D73">
      <w:tab/>
    </w:r>
    <w:r w:rsidRPr="004A6D73">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3AAC8" w14:textId="51C1E7DF" w:rsidR="004A6D73" w:rsidRPr="004A6D73" w:rsidRDefault="004A6D73" w:rsidP="004A6D73">
    <w:pPr>
      <w:pStyle w:val="Footer"/>
      <w:rPr>
        <w:rFonts w:ascii="Arial" w:hAnsi="Arial" w:cs="Arial"/>
        <w:b/>
        <w:sz w:val="48"/>
      </w:rPr>
    </w:pPr>
    <w:r w:rsidRPr="004A6D73">
      <w:rPr>
        <w:rFonts w:ascii="Arial" w:hAnsi="Arial" w:cs="Arial"/>
        <w:b/>
        <w:sz w:val="48"/>
      </w:rPr>
      <w:t>PL</w:t>
    </w:r>
    <w:r w:rsidRPr="004A6D73">
      <w:rPr>
        <w:rFonts w:ascii="Arial" w:hAnsi="Arial" w:cs="Arial"/>
        <w:b/>
        <w:sz w:val="48"/>
      </w:rPr>
      <w:tab/>
    </w:r>
    <w:r w:rsidRPr="004A6D73">
      <w:rPr>
        <w:rFonts w:ascii="Arial" w:hAnsi="Arial" w:cs="Arial"/>
        <w:b/>
        <w:sz w:val="48"/>
      </w:rPr>
      <w:tab/>
    </w:r>
    <w:r w:rsidRPr="004A6D73">
      <w:tab/>
    </w:r>
    <w:r w:rsidRPr="004A6D73">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08FA5" w14:textId="77777777" w:rsidR="004A6D73" w:rsidRPr="004A6D73" w:rsidRDefault="004A6D73" w:rsidP="004A6D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E375E" w14:textId="77777777" w:rsidR="004A6D73" w:rsidRDefault="004A6D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E35FF" w14:textId="4A14BE0F" w:rsidR="004A6D73" w:rsidRPr="004A6D73" w:rsidRDefault="004A6D73" w:rsidP="004A6D73">
    <w:pPr>
      <w:pStyle w:val="Footer"/>
      <w:rPr>
        <w:rFonts w:ascii="Arial" w:hAnsi="Arial" w:cs="Arial"/>
        <w:b/>
        <w:sz w:val="48"/>
      </w:rPr>
    </w:pPr>
    <w:r w:rsidRPr="004A6D73">
      <w:rPr>
        <w:rFonts w:ascii="Arial" w:hAnsi="Arial" w:cs="Arial"/>
        <w:b/>
        <w:sz w:val="48"/>
      </w:rPr>
      <w:t>PL</w:t>
    </w:r>
    <w:r w:rsidRPr="004A6D73">
      <w:rPr>
        <w:rFonts w:ascii="Arial" w:hAnsi="Arial" w:cs="Arial"/>
        <w:b/>
        <w:sz w:val="48"/>
      </w:rPr>
      <w:tab/>
    </w:r>
    <w:r>
      <w:fldChar w:fldCharType="begin"/>
    </w:r>
    <w:r>
      <w:instrText xml:space="preserve"> PAGE  \* MERGEFORMAT </w:instrText>
    </w:r>
    <w:r>
      <w:fldChar w:fldCharType="separate"/>
    </w:r>
    <w:r w:rsidR="00843E50">
      <w:rPr>
        <w:noProof/>
      </w:rPr>
      <w:t>1</w:t>
    </w:r>
    <w:r>
      <w:fldChar w:fldCharType="end"/>
    </w:r>
    <w:r>
      <w:tab/>
    </w:r>
    <w:r w:rsidRPr="004A6D73">
      <w:tab/>
    </w:r>
    <w:r w:rsidRPr="004A6D73">
      <w:rPr>
        <w:rFonts w:ascii="Arial" w:hAnsi="Arial" w:cs="Arial"/>
        <w:b/>
        <w:sz w:val="48"/>
      </w:rPr>
      <w:t>PL</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F5FCE" w14:textId="77777777" w:rsidR="004A6D73" w:rsidRDefault="004A6D73" w:rsidP="004A6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6B32E" w14:textId="77777777" w:rsidR="004A0762" w:rsidRPr="00ED36F4" w:rsidRDefault="004A0762" w:rsidP="004A0762">
      <w:pPr>
        <w:spacing w:before="0" w:after="0"/>
      </w:pPr>
      <w:r w:rsidRPr="00ED36F4">
        <w:separator/>
      </w:r>
    </w:p>
  </w:footnote>
  <w:footnote w:type="continuationSeparator" w:id="0">
    <w:p w14:paraId="299F269D" w14:textId="77777777" w:rsidR="004A0762" w:rsidRPr="00ED36F4" w:rsidRDefault="004A0762" w:rsidP="004A0762">
      <w:pPr>
        <w:spacing w:before="0" w:after="0"/>
      </w:pPr>
      <w:r w:rsidRPr="00ED36F4">
        <w:continuationSeparator/>
      </w:r>
    </w:p>
  </w:footnote>
  <w:footnote w:id="1">
    <w:p w14:paraId="1C7A758E" w14:textId="358044D7" w:rsidR="004A0762" w:rsidRPr="00ED36F4" w:rsidRDefault="004A0762" w:rsidP="004A0762">
      <w:pPr>
        <w:pStyle w:val="FootnoteText"/>
        <w:rPr>
          <w:szCs w:val="16"/>
        </w:rPr>
      </w:pPr>
      <w:r w:rsidRPr="00ED36F4">
        <w:rPr>
          <w:rStyle w:val="FootnoteReference"/>
        </w:rPr>
        <w:footnoteRef/>
      </w:r>
      <w:r w:rsidRPr="00ED36F4">
        <w:tab/>
        <w:t>Dokument ten został opatrzony klauzulą „zastrzeżony” do czasu rozpatrzenia przez Komitet Ministrów.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BD757" w14:textId="77777777" w:rsidR="004A6D73" w:rsidRPr="004A6D73" w:rsidRDefault="004A6D73" w:rsidP="004A6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302E1" w14:textId="77777777" w:rsidR="004A6D73" w:rsidRPr="004A6D73" w:rsidRDefault="004A6D73" w:rsidP="004A6D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D5019" w14:textId="77777777" w:rsidR="004A6D73" w:rsidRPr="004A6D73" w:rsidRDefault="004A6D73" w:rsidP="004A6D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D9B6C" w14:textId="77777777" w:rsidR="004A6D73" w:rsidRDefault="004A6D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8303B" w14:textId="77777777" w:rsidR="004A6D73" w:rsidRDefault="004A6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1F36A306"/>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E6BA0526"/>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E72775E"/>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1388C18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5"/>
  </w:num>
  <w:num w:numId="6">
    <w:abstractNumId w:val="8"/>
  </w:num>
  <w:num w:numId="7">
    <w:abstractNumId w:val="17"/>
  </w:num>
  <w:num w:numId="8">
    <w:abstractNumId w:val="7"/>
  </w:num>
  <w:num w:numId="9">
    <w:abstractNumId w:val="9"/>
  </w:num>
  <w:num w:numId="10">
    <w:abstractNumId w:val="10"/>
  </w:num>
  <w:num w:numId="11">
    <w:abstractNumId w:val="5"/>
  </w:num>
  <w:num w:numId="12">
    <w:abstractNumId w:val="16"/>
  </w:num>
  <w:num w:numId="13">
    <w:abstractNumId w:val="4"/>
  </w:num>
  <w:num w:numId="14">
    <w:abstractNumId w:val="11"/>
  </w:num>
  <w:num w:numId="15">
    <w:abstractNumId w:val="13"/>
  </w:num>
  <w:num w:numId="16">
    <w:abstractNumId w:val="14"/>
  </w:num>
  <w:num w:numId="17">
    <w:abstractNumId w:val="6"/>
  </w:num>
  <w:num w:numId="18">
    <w:abstractNumId w:val="12"/>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6-03-25 12:06:4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do wniosku dotycz\u261?cego"/>
    <w:docVar w:name="LW_ACCOMPAGNANT.CP" w:val="do wniosku dotycz\u261?cego"/>
    <w:docVar w:name="LW_ANNEX_NBR_FIRST" w:val="1"/>
    <w:docVar w:name="LW_ANNEX_NBR_LAST" w:val="1"/>
    <w:docVar w:name="LW_ANNEX_UNIQUE" w:val="0"/>
    <w:docVar w:name="LW_CORRIGENDUM" w:val="&lt;UNUSED&gt;"/>
    <w:docVar w:name="LW_COVERPAGE_EXISTS" w:val="True"/>
    <w:docVar w:name="LW_COVERPAGE_GUID" w:val="DEA03BEF-1FAA-43A5-A319-2512A84B7C75"/>
    <w:docVar w:name="LW_COVERPAGE_TYPE" w:val="1"/>
    <w:docVar w:name="LW_CreatedUtc" w:val="2025-10-22T15:52:11.3840011Z"/>
    <w:docVar w:name="LW_CROSSREFERENCE" w:val="&lt;UNUSED&gt;"/>
    <w:docVar w:name="LW_DocType" w:val="ANNEX"/>
    <w:docVar w:name="LW_EMISSION" w:val="24.3.2026"/>
    <w:docVar w:name="LW_EMISSION_ISODATE" w:val="2026-03-24"/>
    <w:docVar w:name="LW_EMISSION_LOCATION" w:val="BRX"/>
    <w:docVar w:name="LW_EMISSION_PREFIX" w:val="Bruksela, dnia "/>
    <w:docVar w:name="LW_EMISSION_SUFFIX" w:val=" r."/>
    <w:docVar w:name="LW_ID_DOCSTRUCTURE" w:val="COM/ANNEX"/>
    <w:docVar w:name="LW_ID_DOCTYPE" w:val="SG-017"/>
    <w:docVar w:name="LW_LANGUE" w:val="PL"/>
    <w:docVar w:name="LW_LEVEL_OF_SENSITIVITY" w:val="Standard treatment"/>
    <w:docVar w:name="LW_NOM.INST" w:val="KOMISJA EUROPEJSKA"/>
    <w:docVar w:name="LW_NOM.INST_JOINTDOC" w:val="&lt;EMPTY&gt;"/>
    <w:docVar w:name="LW_OBJETACTEPRINCIPAL" w:val="w sprawie podpisania, w imieniu Unii Europejskiej, rozszerzonego porozumienia cz\u281?\u347?ciowego w sprawie Komitetu Zarz\u261?dzaj\u261?cego Specjalnego Trybuna\u322?u do spraw Zbrodni Agresji przeciwko Ukrainie"/>
    <w:docVar w:name="LW_OBJETACTEPRINCIPAL.CP" w:val="w sprawie podpisania, w imieniu Unii Europejskiej, rozszerzonego porozumienia cz\u281?\u347?ciowego w sprawie Komitetu Zarz\u261?dzaj\u261?cego Specjalnego Trybuna\u322?u do spraw Zbrodni Agresji przeciwko Ukrainie"/>
    <w:docVar w:name="LW_PART_NBR" w:val="1"/>
    <w:docVar w:name="LW_PART_NBR_TOTAL" w:val="1"/>
    <w:docVar w:name="LW_REF.INST.NEW" w:val="COM"/>
    <w:docVar w:name="LW_REF.INST.NEW_ADOPTED" w:val="final"/>
    <w:docVar w:name="LW_REF.INST.NEW_TEXT" w:val="(2026) 14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ZA\u321?\u260?CZNIK"/>
    <w:docVar w:name="LW_TYPE.DOC.CP" w:val="ZA\u321?\u260?CZNIK"/>
    <w:docVar w:name="LW_TYPEACTEPRINCIPAL" w:val="decyzji Rady"/>
    <w:docVar w:name="LW_TYPEACTEPRINCIPAL.CP" w:val="decyzji Rady"/>
    <w:docVar w:name="LwApiVersions" w:val="LW4CoDe 1.24.5.0; LW 9.2, Build 20251112"/>
  </w:docVars>
  <w:rsids>
    <w:rsidRoot w:val="004A0762"/>
    <w:rsid w:val="0000326F"/>
    <w:rsid w:val="000045EB"/>
    <w:rsid w:val="00011E5F"/>
    <w:rsid w:val="000224E0"/>
    <w:rsid w:val="00027CEA"/>
    <w:rsid w:val="00047350"/>
    <w:rsid w:val="00050092"/>
    <w:rsid w:val="00052DE4"/>
    <w:rsid w:val="00061E80"/>
    <w:rsid w:val="00091C8D"/>
    <w:rsid w:val="000E271B"/>
    <w:rsid w:val="001073A2"/>
    <w:rsid w:val="001267FB"/>
    <w:rsid w:val="00133E0D"/>
    <w:rsid w:val="00165C4F"/>
    <w:rsid w:val="00175F1B"/>
    <w:rsid w:val="00181302"/>
    <w:rsid w:val="001936BC"/>
    <w:rsid w:val="001F343E"/>
    <w:rsid w:val="00210F0F"/>
    <w:rsid w:val="00217071"/>
    <w:rsid w:val="0024178C"/>
    <w:rsid w:val="002770AC"/>
    <w:rsid w:val="002852CC"/>
    <w:rsid w:val="002A3943"/>
    <w:rsid w:val="002D3CD1"/>
    <w:rsid w:val="002D57AC"/>
    <w:rsid w:val="002F5078"/>
    <w:rsid w:val="00311760"/>
    <w:rsid w:val="00341FC9"/>
    <w:rsid w:val="00345E1E"/>
    <w:rsid w:val="00347125"/>
    <w:rsid w:val="003E5E1E"/>
    <w:rsid w:val="00454D1C"/>
    <w:rsid w:val="00485CD3"/>
    <w:rsid w:val="00492EB7"/>
    <w:rsid w:val="004A0762"/>
    <w:rsid w:val="004A6D73"/>
    <w:rsid w:val="004D578B"/>
    <w:rsid w:val="00525337"/>
    <w:rsid w:val="005721B4"/>
    <w:rsid w:val="005B0184"/>
    <w:rsid w:val="005E688E"/>
    <w:rsid w:val="005E6D13"/>
    <w:rsid w:val="00626E37"/>
    <w:rsid w:val="00655F5B"/>
    <w:rsid w:val="006A4A9A"/>
    <w:rsid w:val="006A6BCB"/>
    <w:rsid w:val="006B7F6B"/>
    <w:rsid w:val="006C3F9B"/>
    <w:rsid w:val="00741E59"/>
    <w:rsid w:val="00746790"/>
    <w:rsid w:val="007A1409"/>
    <w:rsid w:val="007D17D9"/>
    <w:rsid w:val="007F1C70"/>
    <w:rsid w:val="00807366"/>
    <w:rsid w:val="00821AA1"/>
    <w:rsid w:val="00843E50"/>
    <w:rsid w:val="008551C9"/>
    <w:rsid w:val="008705BB"/>
    <w:rsid w:val="00873719"/>
    <w:rsid w:val="00891B78"/>
    <w:rsid w:val="00892D2F"/>
    <w:rsid w:val="008D6398"/>
    <w:rsid w:val="00905D22"/>
    <w:rsid w:val="00957DEC"/>
    <w:rsid w:val="00975752"/>
    <w:rsid w:val="00980ED7"/>
    <w:rsid w:val="009A0B70"/>
    <w:rsid w:val="009C5FAD"/>
    <w:rsid w:val="009E2D34"/>
    <w:rsid w:val="00A0579C"/>
    <w:rsid w:val="00A334E5"/>
    <w:rsid w:val="00A6243B"/>
    <w:rsid w:val="00A71ECB"/>
    <w:rsid w:val="00A71F6D"/>
    <w:rsid w:val="00A744F1"/>
    <w:rsid w:val="00A75CD4"/>
    <w:rsid w:val="00A8510F"/>
    <w:rsid w:val="00AB5734"/>
    <w:rsid w:val="00AD0CBA"/>
    <w:rsid w:val="00AF374B"/>
    <w:rsid w:val="00AF54E4"/>
    <w:rsid w:val="00B25481"/>
    <w:rsid w:val="00B622B2"/>
    <w:rsid w:val="00B845A0"/>
    <w:rsid w:val="00B864CA"/>
    <w:rsid w:val="00B93255"/>
    <w:rsid w:val="00BA4F3C"/>
    <w:rsid w:val="00BB30BC"/>
    <w:rsid w:val="00BE25DF"/>
    <w:rsid w:val="00C0168A"/>
    <w:rsid w:val="00C246AA"/>
    <w:rsid w:val="00C2716F"/>
    <w:rsid w:val="00C953CA"/>
    <w:rsid w:val="00CC0437"/>
    <w:rsid w:val="00CD15B4"/>
    <w:rsid w:val="00CF0EAA"/>
    <w:rsid w:val="00CF19F5"/>
    <w:rsid w:val="00D1337E"/>
    <w:rsid w:val="00D15075"/>
    <w:rsid w:val="00D328C4"/>
    <w:rsid w:val="00D33986"/>
    <w:rsid w:val="00D405B6"/>
    <w:rsid w:val="00D80F6E"/>
    <w:rsid w:val="00D92809"/>
    <w:rsid w:val="00DA0AE7"/>
    <w:rsid w:val="00DB19FE"/>
    <w:rsid w:val="00DD09F0"/>
    <w:rsid w:val="00DD1C00"/>
    <w:rsid w:val="00DD417C"/>
    <w:rsid w:val="00E1434E"/>
    <w:rsid w:val="00E32A84"/>
    <w:rsid w:val="00E41926"/>
    <w:rsid w:val="00EA08A9"/>
    <w:rsid w:val="00EA7716"/>
    <w:rsid w:val="00ED36F4"/>
    <w:rsid w:val="00F4526F"/>
    <w:rsid w:val="00F65736"/>
    <w:rsid w:val="00F7024E"/>
    <w:rsid w:val="00F82260"/>
    <w:rsid w:val="00FC0CD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0A87173"/>
  <w15:docId w15:val="{638247F8-9F0C-4564-883E-B6CB88427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1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762"/>
    <w:rPr>
      <w:color w:val="0000FF" w:themeColor="hyperlink"/>
      <w:u w:val="single"/>
    </w:rPr>
  </w:style>
  <w:style w:type="character" w:customStyle="1" w:styleId="UnresolvedMention">
    <w:name w:val="Unresolved Mention"/>
    <w:basedOn w:val="DefaultParagraphFont"/>
    <w:uiPriority w:val="99"/>
    <w:semiHidden/>
    <w:unhideWhenUsed/>
    <w:rsid w:val="004A0762"/>
    <w:rPr>
      <w:color w:val="605E5C"/>
      <w:shd w:val="clear" w:color="auto" w:fill="E1DFDD"/>
    </w:rPr>
  </w:style>
  <w:style w:type="character" w:styleId="CommentReference">
    <w:name w:val="annotation reference"/>
    <w:basedOn w:val="DefaultParagraphFont"/>
    <w:uiPriority w:val="99"/>
    <w:semiHidden/>
    <w:unhideWhenUsed/>
    <w:rsid w:val="00A0579C"/>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l-PL"/>
    </w:rPr>
  </w:style>
  <w:style w:type="paragraph" w:styleId="ListBullet">
    <w:name w:val="List Bullet"/>
    <w:basedOn w:val="Normal"/>
    <w:uiPriority w:val="99"/>
    <w:semiHidden/>
    <w:unhideWhenUsed/>
    <w:rsid w:val="007A1409"/>
    <w:pPr>
      <w:numPr>
        <w:numId w:val="1"/>
      </w:numPr>
      <w:contextualSpacing/>
    </w:pPr>
  </w:style>
  <w:style w:type="paragraph" w:styleId="ListBullet2">
    <w:name w:val="List Bullet 2"/>
    <w:basedOn w:val="Normal"/>
    <w:uiPriority w:val="99"/>
    <w:semiHidden/>
    <w:unhideWhenUsed/>
    <w:rsid w:val="007A1409"/>
    <w:pPr>
      <w:numPr>
        <w:numId w:val="2"/>
      </w:numPr>
      <w:contextualSpacing/>
    </w:pPr>
  </w:style>
  <w:style w:type="paragraph" w:styleId="ListBullet3">
    <w:name w:val="List Bullet 3"/>
    <w:basedOn w:val="Normal"/>
    <w:uiPriority w:val="99"/>
    <w:semiHidden/>
    <w:unhideWhenUsed/>
    <w:rsid w:val="007A1409"/>
    <w:pPr>
      <w:numPr>
        <w:numId w:val="3"/>
      </w:numPr>
      <w:contextualSpacing/>
    </w:pPr>
  </w:style>
  <w:style w:type="paragraph" w:styleId="ListBullet4">
    <w:name w:val="List Bullet 4"/>
    <w:basedOn w:val="Normal"/>
    <w:uiPriority w:val="99"/>
    <w:semiHidden/>
    <w:unhideWhenUsed/>
    <w:rsid w:val="007A1409"/>
    <w:pPr>
      <w:numPr>
        <w:numId w:val="4"/>
      </w:numPr>
      <w:contextualSpacing/>
    </w:pPr>
  </w:style>
  <w:style w:type="paragraph" w:styleId="ListParagraph">
    <w:name w:val="List Paragraph"/>
    <w:basedOn w:val="Normal"/>
    <w:uiPriority w:val="34"/>
    <w:qFormat/>
    <w:rsid w:val="00DD1C00"/>
    <w:pPr>
      <w:ind w:left="720"/>
      <w:contextualSpacing/>
    </w:pPr>
  </w:style>
  <w:style w:type="character" w:customStyle="1" w:styleId="HeaderChar">
    <w:name w:val="Header Char"/>
    <w:basedOn w:val="DefaultParagraphFont"/>
    <w:link w:val="Header"/>
    <w:uiPriority w:val="99"/>
    <w:rsid w:val="004A6D73"/>
    <w:rPr>
      <w:rFonts w:ascii="Times New Roman" w:hAnsi="Times New Roman" w:cs="Times New Roman"/>
      <w:sz w:val="24"/>
      <w:lang w:val="pl-PL"/>
    </w:rPr>
  </w:style>
  <w:style w:type="character" w:customStyle="1" w:styleId="FooterChar">
    <w:name w:val="Footer Char"/>
    <w:basedOn w:val="DefaultParagraphFont"/>
    <w:link w:val="Footer"/>
    <w:uiPriority w:val="99"/>
    <w:rsid w:val="004A6D73"/>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pl-P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pl-P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pl-P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pl-P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pl-P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pl-P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pl-P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4A6D7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A6D73"/>
    <w:pPr>
      <w:spacing w:before="0"/>
      <w:jc w:val="right"/>
    </w:pPr>
    <w:rPr>
      <w:sz w:val="28"/>
    </w:rPr>
  </w:style>
  <w:style w:type="paragraph" w:customStyle="1" w:styleId="FooterSensitivity">
    <w:name w:val="Footer Sensitivity"/>
    <w:basedOn w:val="Normal"/>
    <w:rsid w:val="004A6D7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5"/>
      </w:numPr>
    </w:pPr>
  </w:style>
  <w:style w:type="paragraph" w:customStyle="1" w:styleId="Tiret1">
    <w:name w:val="Tiret 1"/>
    <w:basedOn w:val="Point1"/>
    <w:pPr>
      <w:numPr>
        <w:numId w:val="6"/>
      </w:numPr>
    </w:pPr>
  </w:style>
  <w:style w:type="paragraph" w:customStyle="1" w:styleId="Tiret2">
    <w:name w:val="Tiret 2"/>
    <w:basedOn w:val="Point2"/>
    <w:pPr>
      <w:numPr>
        <w:numId w:val="7"/>
      </w:numPr>
    </w:pPr>
  </w:style>
  <w:style w:type="paragraph" w:customStyle="1" w:styleId="Tiret3">
    <w:name w:val="Tiret 3"/>
    <w:basedOn w:val="Point3"/>
    <w:pPr>
      <w:numPr>
        <w:numId w:val="8"/>
      </w:numPr>
    </w:pPr>
  </w:style>
  <w:style w:type="paragraph" w:customStyle="1" w:styleId="Tiret4">
    <w:name w:val="Tiret 4"/>
    <w:basedOn w:val="Point4"/>
    <w:pPr>
      <w:numPr>
        <w:numId w:val="9"/>
      </w:numPr>
    </w:pPr>
  </w:style>
  <w:style w:type="paragraph" w:customStyle="1" w:styleId="Tiret5">
    <w:name w:val="Tiret 5"/>
    <w:basedOn w:val="Point5"/>
    <w:pPr>
      <w:numPr>
        <w:numId w:val="1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1"/>
      </w:numPr>
    </w:pPr>
  </w:style>
  <w:style w:type="paragraph" w:customStyle="1" w:styleId="NumPar2">
    <w:name w:val="NumPar 2"/>
    <w:basedOn w:val="Normal"/>
    <w:next w:val="Text1"/>
    <w:pPr>
      <w:numPr>
        <w:ilvl w:val="1"/>
        <w:numId w:val="11"/>
      </w:numPr>
    </w:pPr>
  </w:style>
  <w:style w:type="paragraph" w:customStyle="1" w:styleId="NumPar3">
    <w:name w:val="NumPar 3"/>
    <w:basedOn w:val="Normal"/>
    <w:next w:val="Text1"/>
    <w:pPr>
      <w:numPr>
        <w:ilvl w:val="2"/>
        <w:numId w:val="11"/>
      </w:numPr>
    </w:pPr>
  </w:style>
  <w:style w:type="paragraph" w:customStyle="1" w:styleId="NumPar4">
    <w:name w:val="NumPar 4"/>
    <w:basedOn w:val="Normal"/>
    <w:next w:val="Text1"/>
    <w:pPr>
      <w:numPr>
        <w:ilvl w:val="3"/>
        <w:numId w:val="11"/>
      </w:numPr>
    </w:pPr>
  </w:style>
  <w:style w:type="paragraph" w:customStyle="1" w:styleId="NumPar5">
    <w:name w:val="NumPar 5"/>
    <w:basedOn w:val="Normal"/>
    <w:next w:val="Text2"/>
    <w:pPr>
      <w:numPr>
        <w:ilvl w:val="4"/>
        <w:numId w:val="11"/>
      </w:numPr>
    </w:pPr>
  </w:style>
  <w:style w:type="paragraph" w:customStyle="1" w:styleId="NumPar6">
    <w:name w:val="NumPar 6"/>
    <w:basedOn w:val="Normal"/>
    <w:next w:val="Text2"/>
    <w:pPr>
      <w:numPr>
        <w:ilvl w:val="5"/>
        <w:numId w:val="11"/>
      </w:numPr>
    </w:pPr>
  </w:style>
  <w:style w:type="paragraph" w:customStyle="1" w:styleId="NumPar7">
    <w:name w:val="NumPar 7"/>
    <w:basedOn w:val="Normal"/>
    <w:next w:val="Text2"/>
    <w:pPr>
      <w:numPr>
        <w:ilvl w:val="6"/>
        <w:numId w:val="1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3"/>
      </w:numPr>
    </w:pPr>
  </w:style>
  <w:style w:type="paragraph" w:customStyle="1" w:styleId="Point1number">
    <w:name w:val="Point 1 (number)"/>
    <w:basedOn w:val="Normal"/>
    <w:pPr>
      <w:numPr>
        <w:ilvl w:val="2"/>
        <w:numId w:val="13"/>
      </w:numPr>
    </w:pPr>
  </w:style>
  <w:style w:type="paragraph" w:customStyle="1" w:styleId="Point2number">
    <w:name w:val="Point 2 (number)"/>
    <w:basedOn w:val="Normal"/>
    <w:pPr>
      <w:numPr>
        <w:ilvl w:val="4"/>
        <w:numId w:val="13"/>
      </w:numPr>
    </w:pPr>
  </w:style>
  <w:style w:type="paragraph" w:customStyle="1" w:styleId="Point3number">
    <w:name w:val="Point 3 (number)"/>
    <w:basedOn w:val="Normal"/>
    <w:pPr>
      <w:numPr>
        <w:ilvl w:val="6"/>
        <w:numId w:val="13"/>
      </w:numPr>
    </w:pPr>
  </w:style>
  <w:style w:type="paragraph" w:customStyle="1" w:styleId="Point0letter">
    <w:name w:val="Point 0 (letter)"/>
    <w:basedOn w:val="Normal"/>
    <w:pPr>
      <w:numPr>
        <w:ilvl w:val="1"/>
        <w:numId w:val="13"/>
      </w:numPr>
    </w:pPr>
  </w:style>
  <w:style w:type="paragraph" w:customStyle="1" w:styleId="Point1letter">
    <w:name w:val="Point 1 (letter)"/>
    <w:basedOn w:val="Normal"/>
    <w:pPr>
      <w:numPr>
        <w:ilvl w:val="3"/>
        <w:numId w:val="13"/>
      </w:numPr>
    </w:pPr>
  </w:style>
  <w:style w:type="paragraph" w:customStyle="1" w:styleId="Point2letter">
    <w:name w:val="Point 2 (letter)"/>
    <w:basedOn w:val="Normal"/>
    <w:pPr>
      <w:numPr>
        <w:ilvl w:val="5"/>
        <w:numId w:val="13"/>
      </w:numPr>
    </w:pPr>
  </w:style>
  <w:style w:type="paragraph" w:customStyle="1" w:styleId="Point3letter">
    <w:name w:val="Point 3 (letter)"/>
    <w:basedOn w:val="Normal"/>
    <w:pPr>
      <w:numPr>
        <w:ilvl w:val="7"/>
        <w:numId w:val="13"/>
      </w:numPr>
    </w:pPr>
  </w:style>
  <w:style w:type="paragraph" w:customStyle="1" w:styleId="Point4letter">
    <w:name w:val="Point 4 (letter)"/>
    <w:basedOn w:val="Normal"/>
    <w:pPr>
      <w:numPr>
        <w:ilvl w:val="8"/>
        <w:numId w:val="13"/>
      </w:numPr>
    </w:pPr>
  </w:style>
  <w:style w:type="paragraph" w:customStyle="1" w:styleId="Bullet0">
    <w:name w:val="Bullet 0"/>
    <w:basedOn w:val="Normal"/>
    <w:pPr>
      <w:numPr>
        <w:numId w:val="14"/>
      </w:numPr>
    </w:pPr>
  </w:style>
  <w:style w:type="paragraph" w:customStyle="1" w:styleId="Bullet1">
    <w:name w:val="Bullet 1"/>
    <w:basedOn w:val="Normal"/>
    <w:pPr>
      <w:numPr>
        <w:numId w:val="15"/>
      </w:numPr>
    </w:pPr>
  </w:style>
  <w:style w:type="paragraph" w:customStyle="1" w:styleId="Bullet2">
    <w:name w:val="Bullet 2"/>
    <w:basedOn w:val="Normal"/>
    <w:pPr>
      <w:numPr>
        <w:numId w:val="16"/>
      </w:numPr>
    </w:pPr>
  </w:style>
  <w:style w:type="paragraph" w:customStyle="1" w:styleId="Bullet3">
    <w:name w:val="Bullet 3"/>
    <w:basedOn w:val="Normal"/>
    <w:pPr>
      <w:numPr>
        <w:numId w:val="17"/>
      </w:numPr>
    </w:pPr>
  </w:style>
  <w:style w:type="paragraph" w:customStyle="1" w:styleId="Bullet4">
    <w:name w:val="Bullet 4"/>
    <w:basedOn w:val="Normal"/>
    <w:pPr>
      <w:numPr>
        <w:numId w:val="1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A562E8"/>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411F8"/>
    <w:pPr>
      <w:spacing w:after="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411F8"/>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411F8"/>
    <w:pPr>
      <w:spacing w:before="360" w:after="240"/>
      <w:jc w:val="center"/>
    </w:pPr>
  </w:style>
  <w:style w:type="paragraph" w:styleId="Header">
    <w:name w:val="header"/>
    <w:basedOn w:val="Normal"/>
    <w:link w:val="HeaderChar"/>
    <w:uiPriority w:val="99"/>
    <w:unhideWhenUsed/>
    <w:rsid w:val="004A6D73"/>
    <w:pPr>
      <w:tabs>
        <w:tab w:val="center" w:pos="4535"/>
        <w:tab w:val="right" w:pos="9071"/>
      </w:tabs>
      <w:spacing w:before="0"/>
    </w:pPr>
  </w:style>
  <w:style w:type="paragraph" w:customStyle="1" w:styleId="HeaderLandscape">
    <w:name w:val="HeaderLandscape"/>
    <w:basedOn w:val="Normal"/>
    <w:rsid w:val="004A6D73"/>
    <w:pPr>
      <w:tabs>
        <w:tab w:val="center" w:pos="7285"/>
        <w:tab w:val="right" w:pos="14003"/>
      </w:tabs>
      <w:spacing w:before="0"/>
    </w:pPr>
  </w:style>
  <w:style w:type="paragraph" w:styleId="Footer">
    <w:name w:val="footer"/>
    <w:basedOn w:val="Normal"/>
    <w:link w:val="FooterChar"/>
    <w:uiPriority w:val="99"/>
    <w:unhideWhenUsed/>
    <w:rsid w:val="004A6D73"/>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4A6D73"/>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search.coe.int/cm/eng"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hyperlink" Target="https://search.coe.int/cm/en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earch.coe.int/cm/eng"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earch.coe.int/cm/eng" TargetMode="Externa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search.coe.int/cm/eng"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30</TotalTime>
  <Pages>10</Pages>
  <Words>4189</Words>
  <Characters>23881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30</cp:revision>
  <cp:lastPrinted>2025-10-22T16:36:00Z</cp:lastPrinted>
  <dcterms:created xsi:type="dcterms:W3CDTF">2026-03-13T14:39:00Z</dcterms:created>
  <dcterms:modified xsi:type="dcterms:W3CDTF">2026-03-25T11:06:00Z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0</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2025-10-22T15:58:09Z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b8e65e22-9edc-45d4-929d-92c81267a4d0</vt:lpwstr>
  </property>
  <property fmtid="{D5CDD505-2E9C-101B-9397-08002B2CF9AE}" pid="19" name="MSIP_Label_6bd9ddd1-4d20-43f6-abfa-fc3c07406f94_ContentBits">
    <vt:lpwstr>0</vt:lpwstr>
  </property>
  <property fmtid="{D5CDD505-2E9C-101B-9397-08002B2CF9AE}" pid="20" name="MSIP_Label_6bd9ddd1-4d20-43f6-abfa-fc3c07406f94_Tag">
    <vt:lpwstr>10, 3, 0, 1</vt:lpwstr>
  </property>
  <property fmtid="{D5CDD505-2E9C-101B-9397-08002B2CF9AE}" pid="21" name="DQCStatus">
    <vt:lpwstr>Green (DQC version 03)</vt:lpwstr>
  </property>
  <property name="OP_sanitized" fmtid="{D5CDD505-2E9C-101B-9397-08002B2CF9AE}" pid="22">
    <vt:lpwstr>True</vt:lpwstr>
  </property>
</Properties>
</file>