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54ACE50-8F44-4EA2-92A2-E9FF94FC400D" style="width:455.25pt;height:286.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ListParagraph"/>
        <w:numPr>
          <w:ilvl w:val="0"/>
          <w:numId w:val="2"/>
        </w:numPr>
        <w:spacing w:after="120" w:line="240" w:lineRule="auto"/>
        <w:contextualSpacing w:val="0"/>
        <w:jc w:val="both"/>
        <w:outlineLvl w:val="0"/>
        <w:rPr>
          <w:rFonts w:ascii="Times New Roman" w:hAnsi="Times New Roman" w:cs="Times New Roman"/>
          <w:b/>
          <w:bCs/>
          <w:noProof/>
        </w:rPr>
      </w:pPr>
      <w:r>
        <w:rPr>
          <w:rFonts w:ascii="Times New Roman" w:hAnsi="Times New Roman"/>
          <w:b/>
          <w:noProof/>
        </w:rPr>
        <w:lastRenderedPageBreak/>
        <w:t>Wprowadzenie</w:t>
      </w:r>
    </w:p>
    <w:p>
      <w:pPr>
        <w:spacing w:after="120" w:line="240" w:lineRule="auto"/>
        <w:jc w:val="both"/>
        <w:rPr>
          <w:rFonts w:ascii="Times New Roman" w:hAnsi="Times New Roman" w:cs="Times New Roman"/>
          <w:noProof/>
        </w:rPr>
      </w:pPr>
      <w:r>
        <w:rPr>
          <w:rFonts w:ascii="Times New Roman" w:hAnsi="Times New Roman"/>
          <w:b/>
          <w:noProof/>
        </w:rPr>
        <w:t>Świat cyfrowy to droga do wiedzy, szansa na połączenie i kreatywność</w:t>
      </w:r>
      <w:r>
        <w:rPr>
          <w:rFonts w:ascii="Times New Roman" w:hAnsi="Times New Roman"/>
          <w:noProof/>
        </w:rPr>
        <w:t>. Modele biznesowe platform, zaprojektowane w taki sposób, aby zmaksymalizować czas spędzany w internecie, skutkują jednak masowym korzystaniem z internetu i mogą wykorzystywać podatności dzieci. Według badania Eurobarometr z 2026 r. nastolatki spędzają w internecie średnio 4,5 godziny dziennie w dni szkolne, a w weekendy – 6,1 godziny dziennie</w:t>
      </w:r>
      <w:r>
        <w:rPr>
          <w:rStyle w:val="FootnoteReference"/>
          <w:noProof/>
        </w:rPr>
        <w:footnoteReference w:id="1"/>
      </w:r>
      <w:r>
        <w:rPr>
          <w:rFonts w:ascii="Times New Roman" w:hAnsi="Times New Roman"/>
          <w:noProof/>
        </w:rPr>
        <w:t>.</w:t>
      </w:r>
    </w:p>
    <w:p>
      <w:pPr>
        <w:spacing w:after="120" w:line="240" w:lineRule="auto"/>
        <w:jc w:val="both"/>
        <w:rPr>
          <w:rFonts w:ascii="Times New Roman" w:hAnsi="Times New Roman" w:cs="Times New Roman"/>
          <w:noProof/>
        </w:rPr>
      </w:pPr>
      <w:r>
        <w:rPr>
          <w:rFonts w:ascii="Times New Roman" w:hAnsi="Times New Roman"/>
          <w:noProof/>
        </w:rPr>
        <w:t xml:space="preserve">Z dostępnych dowodów wynika, że im wcześniej dzieci zaczynają korzystać z internetu, tym więcej czasu będą potem prawdopodobnie spędzać przed ekranem. Osoby, które zaczęły korzystać z mediów społecznościowych przed ukończeniem 10. roku życia, podają, że przebywają przed ekranami urządzeń 7,5 godziny dziennie w trakcie weekendów, natomiast w przypadku osób, które rozpoczęły korzystanie po ukończeniu 14. roku życia, wskaźnik ten wynosi 5,7 godziny. </w:t>
      </w:r>
      <w:r>
        <w:rPr>
          <w:rFonts w:ascii="Times New Roman" w:hAnsi="Times New Roman"/>
          <w:b/>
          <w:noProof/>
        </w:rPr>
        <w:t>Zwiększa to presję na zdrowie psychiczne młodzieży, które jest dziś zagrożone jak nigdy dotąd</w:t>
      </w:r>
      <w:r>
        <w:rPr>
          <w:rFonts w:ascii="Times New Roman" w:hAnsi="Times New Roman"/>
          <w:noProof/>
        </w:rPr>
        <w:t>. Co trzeci nastolatek czuje się zestresowany lub wykluczony społeczne i ma problemy z koncentracją. Co czwarte dziecko ma obecnie do czynienia ze szkodliwymi i stresującymi treściami w internecie, od przemocy i mowy nienawiści przez presję dotyczącą wyglądu po informacje wprowadzające w błąd. Co czwarte doświadcza też w jakimś momencie przed ukończeniem 18. roku życia nagabywania seksualnego w internecie, w tym odbywających się pod presją niechcianych interakcji seksualnych i nagabywania w celach seksualnych</w:t>
      </w:r>
      <w:r>
        <w:rPr>
          <w:rStyle w:val="FootnoteReference"/>
          <w:noProof/>
        </w:rPr>
        <w:footnoteReference w:id="2"/>
      </w:r>
      <w:r>
        <w:rPr>
          <w:rFonts w:ascii="Times New Roman" w:hAnsi="Times New Roman"/>
          <w:noProof/>
        </w:rPr>
        <w:t xml:space="preserve">. Chociaż może to dotyczyć każdego dziecka, to dzieci znajdujące się w trudnej sytuacji są znacznie bardziej zagrożone, a ponadto dziewczęta i chłopcy są narażeni na różne rodzaje ryzyka. </w:t>
      </w:r>
    </w:p>
    <w:p>
      <w:pPr>
        <w:spacing w:after="120" w:line="240" w:lineRule="auto"/>
        <w:jc w:val="both"/>
        <w:rPr>
          <w:rFonts w:ascii="Times New Roman" w:hAnsi="Times New Roman"/>
          <w:noProof/>
        </w:rPr>
      </w:pPr>
      <w:r>
        <w:rPr>
          <w:rFonts w:ascii="Times New Roman" w:hAnsi="Times New Roman"/>
          <w:noProof/>
        </w:rPr>
        <w:t xml:space="preserve">Ponadto, jak potwierdzają wyniki Programu międzynarodowej oceny umiejętności uczniów (PISA) OECD na 2025 r., </w:t>
      </w:r>
      <w:r>
        <w:rPr>
          <w:rFonts w:ascii="Times New Roman" w:hAnsi="Times New Roman"/>
          <w:b/>
          <w:noProof/>
        </w:rPr>
        <w:t>za podstawową przyczynę spadku wyników edukacyjnych naszych dzieci uznaje się rozproszenie uwagi przez urządzenia cyfrowe</w:t>
      </w:r>
      <w:r>
        <w:rPr>
          <w:rFonts w:ascii="Times New Roman" w:hAnsi="Times New Roman"/>
          <w:noProof/>
        </w:rPr>
        <w:t xml:space="preserve">. Rozproszenie uwagi przez urządzenia cyfrowe odbija się na uczeniu się młodych ludzi i jest kluczowym czynnikiem spadku umiejętności podstawowych w UE. Nadmierne korzystanie z mediów społecznościowych i zbyt długi czas spędzany przed ekranem prowadzą w szczególności do niedostatków w ocenie informacji, tworzeniu powiązań między różnymi źródłami i krytycznym myśleniu. </w:t>
      </w:r>
    </w:p>
    <w:p>
      <w:pPr>
        <w:spacing w:after="120" w:line="240" w:lineRule="auto"/>
        <w:jc w:val="both"/>
        <w:rPr>
          <w:rFonts w:ascii="Times New Roman" w:hAnsi="Times New Roman"/>
          <w:noProof/>
        </w:rPr>
      </w:pPr>
      <w:r>
        <w:rPr>
          <w:rFonts w:ascii="Times New Roman" w:hAnsi="Times New Roman"/>
          <w:b/>
          <w:noProof/>
        </w:rPr>
        <w:t>Problem ten jeszcze bardziej zaostrza się przez umieszczanie problematycznych treści generowanych przez AI, takich jak deepfake lub niebezpieczne porady udzielane przez chatboty AI czy towarzyszy AI</w:t>
      </w:r>
      <w:r>
        <w:rPr>
          <w:rFonts w:ascii="Times New Roman" w:hAnsi="Times New Roman"/>
          <w:noProof/>
        </w:rPr>
        <w:t>. Presja, aby udostępniać intymne zdjęcia, dotyka jednego nastolatka na dziesięciu, czyli w skali Europy są to miliony młodych ludzi. Nie jest to jedynie ekspozycja bierna i nie ogranicza się ona tylko do ekranu. Takie treści kształtują ryzykowne zachowania, zachęcają do nich i nagradzają je; chodzi tu o takie zachowanie jak np. szkodzenie innym czy samookaleczenie, w tym polegające na zaburzeniu odżywiania albo lekkomyślne zachowanie wykonywane i filmowane w celu zwrócenia uwagi i zdobycia uznania, co w niektórych przypadkach ma śmiertelne konsekwencje.</w:t>
      </w:r>
    </w:p>
    <w:p>
      <w:pPr>
        <w:spacing w:after="120" w:line="240" w:lineRule="auto"/>
        <w:jc w:val="both"/>
        <w:rPr>
          <w:rFonts w:ascii="Times New Roman" w:hAnsi="Times New Roman" w:cs="Times New Roman"/>
          <w:b/>
          <w:noProof/>
        </w:rPr>
      </w:pPr>
      <w:r>
        <w:rPr>
          <w:rFonts w:ascii="Times New Roman" w:hAnsi="Times New Roman"/>
          <w:b/>
          <w:noProof/>
        </w:rPr>
        <w:t>Unia posiada już solidne podstawy do ochrony małoletnich w internecie</w:t>
      </w:r>
      <w:r>
        <w:rPr>
          <w:rFonts w:ascii="Times New Roman" w:hAnsi="Times New Roman"/>
          <w:noProof/>
        </w:rPr>
        <w:t xml:space="preserve">. Akt o usługach cyfrowych (DSA) zobowiązuje platformy internetowe do tego, by przy opracowywaniu podstawowych wyborów projektowych swoich usług dbały bezpieczeństwo małoletnich. Ramy regulacyjne UE obejmują również kompleksowe zabezpieczenia w przypadku dzieci korzystających z usług streamingowych, gier internetowych, internetowych sprzedawców detalicznych i produktów opartych na AI. Ogólne rozporządzenie o ochronie danych (RODO) przewiduje szczegółowe zasady i zabezpieczenia dotyczące wykorzystywania danych osobowych, w tym także danych dzieci. Unijne przepisy dotyczące ochrony konsumentów, w tym dyrektywa o nieuczciwych praktykach handlowych, chronią małoletnich jako konsumentów podatnych na zagrożenia. </w:t>
      </w:r>
    </w:p>
    <w:p>
      <w:pPr>
        <w:spacing w:after="120" w:line="240" w:lineRule="auto"/>
        <w:jc w:val="both"/>
        <w:rPr>
          <w:rFonts w:ascii="Times New Roman" w:hAnsi="Times New Roman" w:cs="Times New Roman"/>
          <w:noProof/>
        </w:rPr>
      </w:pPr>
      <w:r>
        <w:rPr>
          <w:rFonts w:ascii="Times New Roman" w:hAnsi="Times New Roman"/>
          <w:b/>
          <w:noProof/>
        </w:rPr>
        <w:t>Egzekwowanie tych przepisów jest jednym z kluczowych priorytetów Komisji</w:t>
      </w:r>
      <w:r>
        <w:rPr>
          <w:rFonts w:ascii="Times New Roman" w:hAnsi="Times New Roman"/>
          <w:noProof/>
        </w:rPr>
        <w:t>. Na podstawie DSA Komisja podjęła na przykład działania w zakresie egzekwowania prawa przeciwko ByteDance i Meta w związku z uzależniającymi cechami projektowymi ich sztandarowych platform internetowych Tik Tok, Facebook i Instagram oraz w związku z nieodpowiednim potwierdzaniem wieku na Facebooku i Instagramie. Komisja podjęła również działania w zakresie egzekwowania prawa przeciwko X w związku z wytwarzaniem i rozpowszechnianiem przez narzędzie Grok materiałów przedstawiających niegodziwe traktowanie dzieci w celach seksualnych. Za pośrednictwem sieci współpracy w dziedzinie ochrony konsumentów Komisja i organy krajowe przeciwdziałają szkodliwym praktykom występującym m.in. w grach internetowych i handlu elektronicznym</w:t>
      </w:r>
      <w:r>
        <w:rPr>
          <w:rFonts w:ascii="Times New Roman" w:hAnsi="Times New Roman" w:cs="Times New Roman"/>
          <w:noProof/>
          <w:vertAlign w:val="superscript"/>
        </w:rPr>
        <w:footnoteReference w:id="3"/>
      </w:r>
      <w:r>
        <w:rPr>
          <w:rFonts w:ascii="Times New Roman" w:hAnsi="Times New Roman"/>
          <w:noProof/>
        </w:rPr>
        <w:t>. Również organy ochrony danych podjęły działania przeciwko Meta, Tik Tok, X i innym podmiotom w związku z niewłaściwym wykorzystaniem danych osobowych dzieci.</w:t>
      </w:r>
    </w:p>
    <w:p>
      <w:pPr>
        <w:spacing w:after="120" w:line="240" w:lineRule="auto"/>
        <w:jc w:val="both"/>
        <w:rPr>
          <w:rFonts w:ascii="Times New Roman" w:hAnsi="Times New Roman" w:cs="Times New Roman"/>
          <w:noProof/>
        </w:rPr>
      </w:pPr>
      <w:r>
        <w:rPr>
          <w:rFonts w:ascii="Times New Roman" w:hAnsi="Times New Roman"/>
          <w:b/>
          <w:noProof/>
        </w:rPr>
        <w:t>Obowiązujące przepisy nie są jednak wystarczające</w:t>
      </w:r>
      <w:r>
        <w:rPr>
          <w:rFonts w:ascii="Times New Roman" w:hAnsi="Times New Roman"/>
          <w:noProof/>
        </w:rPr>
        <w:t xml:space="preserve">. Obecne ramy prawne UE nie określają minimalnego wieku dostępu do platform i usług, których cechy i treści są nieodpowiednie do wieku lub ryzykowne. Nie ma również całkowitego zakazu stosowania ogólnych problematycznych funkcji, takich jak przewijanie w nieskończoność, nadmierna liczba powiadomień czy szkodliwe systemy rekomendacji. Aktualne ramy unijne nie zapewniają ponadto wystarczająco silnej harmonizacji i szczegółowości w odniesieniu do uzależniających cech projektowych produktów i usług cyfrowych, do których małoletni mają dostęp. Brakuje również pewności prawa w odniesieniu do systemów weryfikacji wieku i odpowiedzialności prawnej przedsiębiorstw technologicznych za projektowanie swoich usług. </w:t>
      </w:r>
    </w:p>
    <w:p>
      <w:pPr>
        <w:spacing w:after="120" w:line="240" w:lineRule="auto"/>
        <w:jc w:val="both"/>
        <w:rPr>
          <w:rFonts w:ascii="Times New Roman" w:hAnsi="Times New Roman"/>
          <w:noProof/>
        </w:rPr>
      </w:pPr>
      <w:r>
        <w:rPr>
          <w:rFonts w:ascii="Times New Roman" w:hAnsi="Times New Roman"/>
          <w:noProof/>
        </w:rPr>
        <w:t xml:space="preserve">Jak zapowiedziano w orędziu o stanie Unii w 2025 r. </w:t>
      </w:r>
      <w:r>
        <w:rPr>
          <w:rFonts w:ascii="Times New Roman" w:hAnsi="Times New Roman"/>
          <w:b/>
          <w:noProof/>
        </w:rPr>
        <w:t>specjalny panel</w:t>
      </w:r>
      <w:r>
        <w:rPr>
          <w:rFonts w:ascii="Times New Roman" w:hAnsi="Times New Roman"/>
          <w:noProof/>
        </w:rPr>
        <w:t xml:space="preserve"> otrzymał zadanie doradzania przewodniczącej Komisji w sprawie opracowania europejskiego podejścia do zadbania o bezpieczeństwo dzieci w internecie. W specjalnym panelu wzięły udział różne grupy zainteresowanych stron, wysłuchano w nim opinii ekspertów z różnych środowisk, zarówno z Unii, jak i z krajów partnerskich. W wyniku obrad powstało sprawozdanie współprzewodniczących tego specjalnego panelu, w którym przedstawili oni swoje ustalenia i kluczowe zalecenia</w:t>
      </w:r>
      <w:r>
        <w:rPr>
          <w:rStyle w:val="FootnoteReference"/>
          <w:noProof/>
        </w:rPr>
        <w:footnoteReference w:id="4"/>
      </w:r>
      <w:r>
        <w:rPr>
          <w:rFonts w:ascii="Times New Roman" w:hAnsi="Times New Roman"/>
          <w:noProof/>
        </w:rPr>
        <w:t>.</w:t>
      </w:r>
    </w:p>
    <w:p>
      <w:pPr>
        <w:spacing w:after="120" w:line="240" w:lineRule="auto"/>
        <w:jc w:val="both"/>
        <w:rPr>
          <w:rFonts w:ascii="Times New Roman" w:hAnsi="Times New Roman" w:cs="Times New Roman"/>
          <w:noProof/>
        </w:rPr>
      </w:pPr>
      <w:r>
        <w:rPr>
          <w:rFonts w:ascii="Times New Roman" w:hAnsi="Times New Roman"/>
          <w:noProof/>
        </w:rPr>
        <w:t>Jednocześnie bezpieczeństwo dzieci w internecie uznano za globalne wyzwanie wymagające ścisłej współpracy między partnerami. W Stanach Zjednoczonych niedawna ugoda z Meta pokazuje, że dostawcy usług zdają sobie obecnie sprawę, że są coraz częściej postrzegani, zarówno pod względem prawnym, jak i społecznym, jako odpowiedzialni za bezpieczeństwo dzieci, na rzecz których świadczą usługi</w:t>
      </w:r>
      <w:r>
        <w:rPr>
          <w:rStyle w:val="FootnoteReference"/>
          <w:noProof/>
        </w:rPr>
        <w:footnoteReference w:id="5"/>
      </w:r>
      <w:r>
        <w:rPr>
          <w:rFonts w:ascii="Times New Roman" w:hAnsi="Times New Roman"/>
          <w:noProof/>
        </w:rPr>
        <w:t>. W Unii wiele państw członkowskich rozważa różne inicjatywy ustawodawcze mające na celu ochronę małoletnich w internecie, w szczególności przez określenie minimalnego wieku dostępu do niektórych usług</w:t>
      </w:r>
      <w:r>
        <w:rPr>
          <w:rStyle w:val="FootnoteReference"/>
          <w:noProof/>
        </w:rPr>
        <w:footnoteReference w:id="6"/>
      </w:r>
      <w:r>
        <w:rPr>
          <w:rFonts w:ascii="Times New Roman" w:hAnsi="Times New Roman"/>
          <w:noProof/>
        </w:rPr>
        <w:t xml:space="preserve">. </w:t>
      </w:r>
      <w:r>
        <w:rPr>
          <w:rFonts w:ascii="Times New Roman" w:hAnsi="Times New Roman"/>
          <w:b/>
          <w:noProof/>
        </w:rPr>
        <w:t>Ostatnie wydarzenia wyraźnie pokazały jednak złożoność prawną tej kwestii</w:t>
      </w:r>
      <w:r>
        <w:rPr>
          <w:rFonts w:ascii="Times New Roman" w:hAnsi="Times New Roman"/>
          <w:noProof/>
        </w:rPr>
        <w:t>, a także potrzebę ukierunkowanego i proporcjonalnego podejścia oraz ochrony praw podstawowych</w:t>
      </w:r>
      <w:r>
        <w:rPr>
          <w:rStyle w:val="FootnoteReference"/>
          <w:noProof/>
        </w:rPr>
        <w:footnoteReference w:id="7"/>
      </w:r>
      <w:r>
        <w:rPr>
          <w:rFonts w:ascii="Times New Roman" w:hAnsi="Times New Roman"/>
          <w:noProof/>
        </w:rPr>
        <w:t xml:space="preserve"> </w:t>
      </w:r>
    </w:p>
    <w:p>
      <w:pPr>
        <w:spacing w:after="120" w:line="240" w:lineRule="auto"/>
        <w:jc w:val="both"/>
        <w:rPr>
          <w:rFonts w:ascii="Times New Roman" w:hAnsi="Times New Roman"/>
          <w:noProof/>
        </w:rPr>
      </w:pPr>
      <w:r>
        <w:rPr>
          <w:rFonts w:ascii="Times New Roman" w:hAnsi="Times New Roman"/>
          <w:noProof/>
        </w:rPr>
        <w:t xml:space="preserve">W tym kontekście </w:t>
      </w:r>
      <w:r>
        <w:rPr>
          <w:rFonts w:ascii="Times New Roman" w:hAnsi="Times New Roman"/>
          <w:b/>
          <w:noProof/>
        </w:rPr>
        <w:t>najwłaściwszą drogą</w:t>
      </w:r>
      <w:r>
        <w:rPr>
          <w:rFonts w:ascii="Times New Roman" w:hAnsi="Times New Roman"/>
          <w:noProof/>
        </w:rPr>
        <w:t xml:space="preserve"> prowadzącą do skutecznego i szybkiego przeciwdziałania zagrożeniom tej skali i powagi, na jakie narażone są dzieci w internecie, </w:t>
      </w:r>
      <w:r>
        <w:rPr>
          <w:rFonts w:ascii="Times New Roman" w:hAnsi="Times New Roman"/>
          <w:b/>
          <w:noProof/>
        </w:rPr>
        <w:t>są zdecydowane, kompleksowe i pilne działania na szczeblu Unii</w:t>
      </w:r>
      <w:r>
        <w:rPr>
          <w:rFonts w:ascii="Times New Roman" w:hAnsi="Times New Roman"/>
          <w:noProof/>
        </w:rPr>
        <w:t xml:space="preserve">. Stanowią one skuteczną odpowiedź na jednoznaczne apele Rady Europejskiej, współprawodawców i kluczowych zainteresowanych stron opowiadających się za potrzebą wspólnego europejskiego podejścia do ochrony wszystkich dzieci w równym stopniu w całej Unii, gdy poruszają się one w internecie. Pozwoli to Europie ostatecznie ograniczyć szeroki i szkodliwy dostęp przedsiębiorstw technologicznych do dzieci w Europie, tak by ich życie nie było dyktowane przez algorytmy. Ponieważ „Europa uważa, że to rodzice, a nie algorytmy, mają wychowywać dzieci”. </w:t>
      </w:r>
    </w:p>
    <w:p>
      <w:pPr>
        <w:spacing w:after="120" w:line="240" w:lineRule="auto"/>
        <w:jc w:val="both"/>
        <w:rPr>
          <w:rFonts w:ascii="Times New Roman" w:hAnsi="Times New Roman" w:cs="Times New Roman"/>
          <w:noProof/>
        </w:rPr>
      </w:pPr>
    </w:p>
    <w:p>
      <w:pPr>
        <w:pStyle w:val="ListParagraph"/>
        <w:numPr>
          <w:ilvl w:val="0"/>
          <w:numId w:val="2"/>
        </w:numPr>
        <w:spacing w:after="120" w:line="240" w:lineRule="auto"/>
        <w:contextualSpacing w:val="0"/>
        <w:jc w:val="both"/>
        <w:outlineLvl w:val="0"/>
        <w:rPr>
          <w:rFonts w:ascii="Times New Roman" w:hAnsi="Times New Roman" w:cs="Times New Roman"/>
          <w:b/>
          <w:bCs/>
          <w:noProof/>
        </w:rPr>
      </w:pPr>
      <w:r>
        <w:rPr>
          <w:rFonts w:ascii="Times New Roman" w:hAnsi="Times New Roman"/>
          <w:b/>
          <w:noProof/>
        </w:rPr>
        <w:t>W kierunku kompleksowego i ambitnego podejścia europejskiego: Akt prawny UE KIDS</w:t>
      </w:r>
    </w:p>
    <w:p>
      <w:pPr>
        <w:spacing w:after="120" w:line="240" w:lineRule="auto"/>
        <w:jc w:val="both"/>
        <w:rPr>
          <w:rFonts w:ascii="Times New Roman" w:eastAsia="Times New Roman" w:hAnsi="Times New Roman" w:cs="Times New Roman"/>
          <w:noProof/>
        </w:rPr>
      </w:pPr>
      <w:r>
        <w:rPr>
          <w:rFonts w:ascii="Times New Roman" w:hAnsi="Times New Roman"/>
          <w:b/>
          <w:noProof/>
        </w:rPr>
        <w:t>Podejście Unii</w:t>
      </w:r>
      <w:r>
        <w:rPr>
          <w:rFonts w:ascii="Times New Roman" w:hAnsi="Times New Roman"/>
          <w:noProof/>
        </w:rPr>
        <w:t xml:space="preserve"> powinno umożliwiać małoletnim korzystanie z ogromnego potencjału usług cyfrowych, ale jednocześnie chronić ich przed nadużyciami i wykorzystywaniem. </w:t>
      </w:r>
      <w:r>
        <w:rPr>
          <w:rFonts w:ascii="Times New Roman" w:hAnsi="Times New Roman"/>
          <w:b/>
          <w:noProof/>
        </w:rPr>
        <w:t>Musi ono ograniczać dostęp przedsiębiorstw technologicznych do naszych dzieci, a nie odwrotnie</w:t>
      </w:r>
      <w:r>
        <w:rPr>
          <w:rFonts w:ascii="Times New Roman" w:hAnsi="Times New Roman"/>
          <w:noProof/>
        </w:rPr>
        <w:t>. Należy w nim podkreślić, że główną odpowiedzialność za projektowanie bezpiecznych przestrzeni internetowych ponoszą dostawcy usług cyfrowych. Musi ono szanować zmieniającą się dojrzałość dzieci, w miarę jak dorastają, i rolę ich opiekunów, nie przenosząc na nich nadmiernej odpowiedzialności. Podejście Unii powinno być zatem kompleksowe, zbiorowe, dostosowane do wieku i oparte na rzeczywistych zagrożeniach, na jakie narażone są dzieci w internecie. Powinno ono, zgodnie z Kartą praw podstawowych Unii Europejskiej, opierać się na prawach dziecka jako prawach podstawowych, z uwzględnieniem przede wszystkim najlepszego interesu dziecka.</w:t>
      </w:r>
    </w:p>
    <w:p>
      <w:pPr>
        <w:spacing w:after="120" w:line="240" w:lineRule="auto"/>
        <w:jc w:val="both"/>
        <w:rPr>
          <w:rFonts w:ascii="Times New Roman" w:hAnsi="Times New Roman" w:cs="Times New Roman"/>
          <w:noProof/>
        </w:rPr>
      </w:pPr>
      <w:r>
        <w:rPr>
          <w:rFonts w:ascii="Times New Roman" w:hAnsi="Times New Roman"/>
          <w:noProof/>
        </w:rPr>
        <w:t xml:space="preserve">W przyjętym wraz z niniejszym komunikatem akcie prawnym UE KIDS </w:t>
      </w:r>
      <w:r>
        <w:rPr>
          <w:rFonts w:ascii="Times New Roman" w:hAnsi="Times New Roman"/>
          <w:b/>
          <w:noProof/>
        </w:rPr>
        <w:t>przedstawiono jednolity, ogólnounijny zestaw przepisów zapewniających równy poziom ochrony wszystkich dzieci</w:t>
      </w:r>
      <w:r>
        <w:rPr>
          <w:rFonts w:ascii="Times New Roman" w:hAnsi="Times New Roman"/>
          <w:noProof/>
        </w:rPr>
        <w:t xml:space="preserve"> w całej Unii, wraz </w:t>
      </w:r>
      <w:r>
        <w:rPr>
          <w:rFonts w:ascii="Times New Roman" w:hAnsi="Times New Roman"/>
          <w:b/>
          <w:noProof/>
        </w:rPr>
        <w:t>z zestawem narzędzi dla rodziców i opiekunów</w:t>
      </w:r>
      <w:r>
        <w:rPr>
          <w:rStyle w:val="FootnoteReference"/>
          <w:noProof/>
        </w:rPr>
        <w:footnoteReference w:id="8"/>
      </w:r>
      <w:r>
        <w:rPr>
          <w:rFonts w:ascii="Times New Roman" w:hAnsi="Times New Roman"/>
          <w:noProof/>
        </w:rPr>
        <w:t xml:space="preserve">. Wniosek dotyczący tego aktu zmniejszy ryzyko fragmentacji przepisów w państwach członkowskich i zapewni przedsiębiorstwom z UE wyraźną pewność prawa oferowaną przez jednolity rynek. </w:t>
      </w:r>
    </w:p>
    <w:p>
      <w:pPr>
        <w:spacing w:after="120" w:line="240" w:lineRule="auto"/>
        <w:jc w:val="both"/>
        <w:rPr>
          <w:rFonts w:ascii="Times New Roman" w:hAnsi="Times New Roman" w:cs="Times New Roman"/>
          <w:noProof/>
        </w:rPr>
      </w:pPr>
      <w:r>
        <w:rPr>
          <w:rFonts w:ascii="Times New Roman" w:hAnsi="Times New Roman"/>
          <w:b/>
          <w:noProof/>
        </w:rPr>
        <w:t>Wniosek będzie miał zastosowanie do „mediów społecznościowych plus”</w:t>
      </w:r>
      <w:r>
        <w:rPr>
          <w:rFonts w:ascii="Times New Roman" w:hAnsi="Times New Roman"/>
          <w:noProof/>
        </w:rPr>
        <w:t xml:space="preserve"> – grupy usług, które stanowią największe zagrożenie dla małoletnich. Są to media społecznościowe, platformy udostępniania wideo i gry internetowe, których cechy projektowe stwarzają szczególne ryzyko dla małoletnich, a także chatboty oparte na AI i towarzysze AI – jako wirtualne narzędzia, które mogą udzielać małoletnim porad dotyczących zdrowia psychicznego i rozwoju osobistego. Wniosek nie będzie ukierunkowany na usługi, które są projektowane i obsługiwane na potrzeby edukacji lub przez organy publiczne, nie będzie miał też zastosowania do produktów opartych na AI w przemyśle ani do produktów przemysłowych ani biurowych opartych na AI. Będzie on obejmował </w:t>
      </w:r>
      <w:r>
        <w:rPr>
          <w:rFonts w:ascii="Times New Roman" w:hAnsi="Times New Roman"/>
          <w:b/>
          <w:noProof/>
        </w:rPr>
        <w:t>połączone podejście</w:t>
      </w:r>
      <w:r>
        <w:rPr>
          <w:rFonts w:ascii="Times New Roman" w:hAnsi="Times New Roman"/>
          <w:noProof/>
        </w:rPr>
        <w:t xml:space="preserve"> obejmujące (i) </w:t>
      </w:r>
      <w:r>
        <w:rPr>
          <w:rFonts w:ascii="Times New Roman" w:hAnsi="Times New Roman"/>
          <w:b/>
          <w:noProof/>
        </w:rPr>
        <w:t>ogólnounijny minimalny wiek</w:t>
      </w:r>
      <w:r>
        <w:rPr>
          <w:rFonts w:ascii="Times New Roman" w:hAnsi="Times New Roman"/>
          <w:noProof/>
        </w:rPr>
        <w:t xml:space="preserve"> oraz (ii) </w:t>
      </w:r>
      <w:r>
        <w:rPr>
          <w:rFonts w:ascii="Times New Roman" w:hAnsi="Times New Roman"/>
          <w:b/>
          <w:noProof/>
        </w:rPr>
        <w:t>wymogi dotyczące bezpiecznego projektowania</w:t>
      </w:r>
      <w:r>
        <w:rPr>
          <w:rFonts w:ascii="Times New Roman" w:hAnsi="Times New Roman"/>
          <w:noProof/>
        </w:rPr>
        <w:t xml:space="preserve">. </w:t>
      </w:r>
    </w:p>
    <w:p>
      <w:pPr>
        <w:spacing w:after="120" w:line="240" w:lineRule="auto"/>
        <w:ind w:left="567"/>
        <w:jc w:val="both"/>
        <w:outlineLvl w:val="0"/>
        <w:rPr>
          <w:rFonts w:ascii="Times New Roman" w:hAnsi="Times New Roman" w:cs="Times New Roman"/>
          <w:i/>
          <w:iCs/>
          <w:noProof/>
        </w:rPr>
      </w:pPr>
    </w:p>
    <w:p>
      <w:pPr>
        <w:spacing w:after="120" w:line="240" w:lineRule="auto"/>
        <w:ind w:left="567"/>
        <w:jc w:val="both"/>
        <w:outlineLvl w:val="0"/>
        <w:rPr>
          <w:rFonts w:ascii="Times New Roman" w:hAnsi="Times New Roman" w:cs="Times New Roman"/>
          <w:i/>
          <w:iCs/>
          <w:noProof/>
        </w:rPr>
      </w:pPr>
      <w:r>
        <w:rPr>
          <w:rFonts w:ascii="Times New Roman" w:hAnsi="Times New Roman"/>
          <w:i/>
          <w:noProof/>
        </w:rPr>
        <w:t>2.1 Ogólnounijny minimalny wiek w mediach społecznościowych</w:t>
      </w:r>
    </w:p>
    <w:p>
      <w:pPr>
        <w:spacing w:after="120" w:line="240" w:lineRule="auto"/>
        <w:jc w:val="both"/>
        <w:rPr>
          <w:rFonts w:ascii="Times New Roman" w:hAnsi="Times New Roman" w:cs="Times New Roman"/>
          <w:noProof/>
        </w:rPr>
      </w:pPr>
      <w:r>
        <w:rPr>
          <w:rFonts w:ascii="Times New Roman" w:hAnsi="Times New Roman"/>
          <w:noProof/>
        </w:rPr>
        <w:t xml:space="preserve">Dostęp dzieci do platform jest kwestią zasadniczą, a to, czy dzieci mogą mieć własne konto, ma ogromne znaczenie pod względem ryzyka. Mając to na uwadze, we wniosku </w:t>
      </w:r>
      <w:r>
        <w:rPr>
          <w:rFonts w:ascii="Times New Roman" w:hAnsi="Times New Roman"/>
          <w:b/>
          <w:noProof/>
        </w:rPr>
        <w:t>zakazuje się platformom mediów społecznościowych dostępu do dzieci poniżej 13. roku życia i ustanawia się ogólnounijny minimalny wiek 15 lat, w którym małoletni mogą otworzyć własne konto</w:t>
      </w:r>
      <w:r>
        <w:rPr>
          <w:rFonts w:ascii="Times New Roman" w:hAnsi="Times New Roman"/>
          <w:noProof/>
        </w:rPr>
        <w:t>, ale podejście to obejmuje stopniowe rozszerzanie możliwości dostępu wraz z wiekem. W szczególności:</w:t>
      </w:r>
    </w:p>
    <w:p>
      <w:pPr>
        <w:spacing w:after="120" w:line="240" w:lineRule="auto"/>
        <w:jc w:val="both"/>
        <w:rPr>
          <w:rFonts w:ascii="Times New Roman" w:hAnsi="Times New Roman" w:cs="Times New Roman"/>
          <w:b/>
          <w:bCs/>
          <w:noProof/>
        </w:rPr>
      </w:pPr>
      <w:r>
        <w:rPr>
          <w:rFonts w:ascii="Times New Roman" w:hAnsi="Times New Roman"/>
          <w:b/>
          <w:noProof/>
        </w:rPr>
        <w:t xml:space="preserve">Dzieci w wieku od 0 do 3 lat </w:t>
      </w:r>
      <w:r>
        <w:rPr>
          <w:rFonts w:ascii="Times New Roman" w:hAnsi="Times New Roman"/>
          <w:noProof/>
        </w:rPr>
        <w:t>nie powinny w ogóle mieć dostępu do ekranu. W tym wieku dzieci, jako bierni użytkownicy mediów cyfrowych, są głównie narażone na zagrożenia relacyjne. Zagrożenia te często pojawiają się, gdy rodzice i opiekunowie, aby uspokoić małe dzieci lub rozproszyć ich uwagę, zastępują bezpośrednią interakcję z nimi podaniem im ekranu, co może mieć wpływ na umiejętność skupienia się dzieci, naukę mówienia, rozwój wzroku, a także rozwój socjalno-emocjonalny. Rodzice i opiekunowie powinni zatem priorytetowo traktować interakcje bezpośrednie, ograniczać własny czas spędzany w mediach społecznościowych podczas opieki nad dziećmi i unikać pozostawiania dziecka przed ekranem.</w:t>
      </w:r>
    </w:p>
    <w:p>
      <w:pPr>
        <w:spacing w:after="120" w:line="240" w:lineRule="auto"/>
        <w:jc w:val="both"/>
        <w:rPr>
          <w:rFonts w:ascii="Times New Roman" w:hAnsi="Times New Roman" w:cs="Times New Roman"/>
          <w:noProof/>
        </w:rPr>
      </w:pPr>
      <w:r>
        <w:rPr>
          <w:rFonts w:ascii="Times New Roman" w:hAnsi="Times New Roman"/>
          <w:b/>
          <w:noProof/>
        </w:rPr>
        <w:t xml:space="preserve">Dzieci w wieku od 3 do 13 lat </w:t>
      </w:r>
      <w:r>
        <w:rPr>
          <w:rFonts w:ascii="Times New Roman" w:hAnsi="Times New Roman"/>
          <w:noProof/>
        </w:rPr>
        <w:t>nie powinny mieć dostępu do mediów społecznościowych. Dostawcy platform udostępniania wideo mogą jednak oferować usługi przyjazne dziecku, np. materiały edukacyjne lub dostosowaną do wieku rozrywkę, które dzieci mogłyby oglądać za zgodą osoby dorosłej i pod jej nadzorem. W tym celu platformy muszą oferować rodzicom lub opiekunom łatwe w użyciu narzędzie służące ograniczeniu korzystania z konta osoby dorosłej do takich przyjaznych dziecku usług, gdy narzędzie jest przekazywane dzieciom, oraz ograniczeniu pozostawiania dziecka przed ekranem do jednej godziny dziennie. Podejście to jest zgodne z zaleceniami współprzewodniczących specjalnego panelu i umożliwia dzieciom powolne zaznajamianie się z technologią w miarę dorastania. Nadal chroni je przed wszelką nieupoważnioną ingerencją i uzależniającymi cechami projektowymi, na które w przeciwnym razie mogłyby być narażone.</w:t>
      </w:r>
    </w:p>
    <w:p>
      <w:pPr>
        <w:shd w:val="clear" w:color="auto" w:fill="FFFFFF" w:themeFill="background1"/>
        <w:spacing w:after="120" w:line="240" w:lineRule="auto"/>
        <w:jc w:val="both"/>
        <w:rPr>
          <w:rFonts w:ascii="Times New Roman" w:hAnsi="Times New Roman" w:cs="Times New Roman"/>
          <w:noProof/>
        </w:rPr>
      </w:pPr>
      <w:r>
        <w:rPr>
          <w:rFonts w:ascii="Times New Roman" w:hAnsi="Times New Roman"/>
          <w:b/>
          <w:noProof/>
        </w:rPr>
        <w:t>W przypadku dzieci w wieku od 13 do 15 lat</w:t>
      </w:r>
      <w:r>
        <w:rPr>
          <w:rFonts w:ascii="Times New Roman" w:hAnsi="Times New Roman"/>
          <w:noProof/>
        </w:rPr>
        <w:t xml:space="preserve"> rodzice lub opiekunowie mogą zakładać minimalne konta w mediach społecznościowych i na platformach udostępniania wideo, które podlegałyby wymogom dotyczącym minimalnej granicy wieku 13 lat. Konta te miałyby ściśle ograniczoną liczbę funkcji i byłyby pod kontrolą rodzicielską. Funkcje mediów społecznościowych byłyby ograniczone do pewnej maksymalnej liczby kontaktów i to wyłącznie z rówieśnikami, a czas spędzany przed ekranem byłby ograniczony do jednej godziny dziennie. Rodzice i opiekunowie mogliby ponadto wykonywać odpowiedzialność rodzicielską poprzez monitorowanie i kontrolowanie tego, jak dziecko korzysta z konta, przy pomocy specjalnej aplikacji dla opiekunów.</w:t>
      </w:r>
    </w:p>
    <w:p>
      <w:pPr>
        <w:shd w:val="clear" w:color="auto" w:fill="FFFFFF" w:themeFill="background1"/>
        <w:spacing w:after="120" w:line="240" w:lineRule="auto"/>
        <w:jc w:val="both"/>
        <w:rPr>
          <w:rFonts w:ascii="Times New Roman" w:hAnsi="Times New Roman" w:cs="Times New Roman"/>
          <w:noProof/>
        </w:rPr>
      </w:pPr>
      <w:r>
        <w:rPr>
          <w:rFonts w:ascii="Times New Roman" w:hAnsi="Times New Roman"/>
          <w:noProof/>
        </w:rPr>
        <w:t xml:space="preserve">Jeśli chodzi o nastolatków, </w:t>
      </w:r>
      <w:r>
        <w:rPr>
          <w:rFonts w:ascii="Times New Roman" w:hAnsi="Times New Roman"/>
          <w:b/>
          <w:noProof/>
        </w:rPr>
        <w:t>między 15. a 18. rokiem życia</w:t>
      </w:r>
      <w:r>
        <w:rPr>
          <w:rFonts w:ascii="Times New Roman" w:hAnsi="Times New Roman"/>
          <w:noProof/>
        </w:rPr>
        <w:t xml:space="preserve">, mogliby oni zakładać własne niezależne konto w mediach społecznościowych i na platformach udostępniania wideo bez konieczności uzyskania zgody rodziców, ale jednocześnie należałoby zapewnić, by dawało to im nadal tylko dostęp do środowiska, które jest bezpieczne już na etapie projektowania. W tym okresie rodzice i opiekunowie nadal odgrywaliby zasadniczą rolę. </w:t>
      </w:r>
    </w:p>
    <w:p>
      <w:pPr>
        <w:spacing w:after="120" w:line="240" w:lineRule="auto"/>
        <w:rPr>
          <w:rFonts w:ascii="Times New Roman" w:hAnsi="Times New Roman" w:cs="Times New Roman"/>
          <w:i/>
          <w:iCs/>
          <w:noProof/>
        </w:rPr>
      </w:pPr>
    </w:p>
    <w:p>
      <w:pPr>
        <w:spacing w:after="120" w:line="240" w:lineRule="auto"/>
        <w:ind w:left="567"/>
        <w:jc w:val="both"/>
        <w:rPr>
          <w:rFonts w:ascii="Times New Roman" w:eastAsia="Times New Roman" w:hAnsi="Times New Roman" w:cs="Times New Roman"/>
          <w:noProof/>
        </w:rPr>
      </w:pPr>
      <w:r>
        <w:rPr>
          <w:rFonts w:ascii="Times New Roman" w:hAnsi="Times New Roman"/>
          <w:i/>
          <w:noProof/>
        </w:rPr>
        <w:t>2.2 Bezpieczne projektowanie</w:t>
      </w:r>
    </w:p>
    <w:p>
      <w:pPr>
        <w:spacing w:after="120" w:line="240" w:lineRule="auto"/>
        <w:jc w:val="both"/>
        <w:rPr>
          <w:rFonts w:ascii="Times New Roman" w:hAnsi="Times New Roman" w:cs="Times New Roman"/>
          <w:noProof/>
        </w:rPr>
      </w:pPr>
      <w:r>
        <w:rPr>
          <w:rFonts w:ascii="Times New Roman" w:hAnsi="Times New Roman"/>
          <w:noProof/>
        </w:rPr>
        <w:t>Oprócz środków przedstawionych powyżej akt prawny UE KIDS zobowiązuje do bezpiecznego projektowania wszystkich usług objętych jego zakresem zgodnie z rygorystycznymi przepisami i zasadami. Zapewni to bezpieczne korzystanie z ekranu dostosowane do wieku. Do tych przepisów i zasad należą w szczególności:</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b/>
          <w:noProof/>
        </w:rPr>
        <w:t>Brak uzależniających cech projektowych</w:t>
      </w:r>
      <w:r>
        <w:rPr>
          <w:rFonts w:ascii="Times New Roman" w:hAnsi="Times New Roman"/>
          <w:noProof/>
        </w:rPr>
        <w:t>, takich jak przewijanie w nieskończoność, sztuczne powiadomienia lub niektóre cechy polegające na nagradzaniu.</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b/>
          <w:noProof/>
        </w:rPr>
        <w:t>Regulowane systemy rekomendacji</w:t>
      </w:r>
      <w:r>
        <w:rPr>
          <w:rFonts w:ascii="Times New Roman" w:hAnsi="Times New Roman"/>
          <w:noProof/>
        </w:rPr>
        <w:t>, takie jak wybór opcji, treści, w przypadku których zalecane jest dostrajanie i kontrolowanie, unikanie efektów „króliczej nory” i wychodzenie poza sygnały oparte na zaangażowaniu.</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b/>
          <w:noProof/>
        </w:rPr>
        <w:t>Bezpieczne ustawienia konta</w:t>
      </w:r>
      <w:r>
        <w:rPr>
          <w:rFonts w:ascii="Times New Roman" w:hAnsi="Times New Roman"/>
          <w:noProof/>
        </w:rPr>
        <w:t xml:space="preserve"> w celu zachowania prywatności treści, domyślnego wyłączania ryzykownych ustawień i jednoznacznego informowania małoletnich.</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b/>
          <w:noProof/>
        </w:rPr>
        <w:t>Blokowanie niepożądanych kontaktów ze strony innych użytkowników</w:t>
      </w:r>
      <w:r>
        <w:rPr>
          <w:rFonts w:ascii="Times New Roman" w:hAnsi="Times New Roman"/>
          <w:noProof/>
        </w:rPr>
        <w:t xml:space="preserve">. Nieznani użytkownicy nie mogą nawiązywać bezpośredniego kontaktu poza zatwierdzonymi połączeniami, konieczne będzie uzyskanie wyraźnej zgody na dodawanie do grup, łatwe i anonimowe blokowanie. </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noProof/>
        </w:rPr>
        <w:t xml:space="preserve">Umożliwienie dzieciom </w:t>
      </w:r>
      <w:r>
        <w:rPr>
          <w:rFonts w:ascii="Times New Roman" w:hAnsi="Times New Roman"/>
          <w:b/>
          <w:noProof/>
        </w:rPr>
        <w:t>łatwego zgłaszania szkodliwych treści</w:t>
      </w:r>
      <w:r>
        <w:rPr>
          <w:rFonts w:ascii="Times New Roman" w:hAnsi="Times New Roman"/>
          <w:noProof/>
        </w:rPr>
        <w:t xml:space="preserve"> i </w:t>
      </w:r>
      <w:r>
        <w:rPr>
          <w:rFonts w:ascii="Times New Roman" w:hAnsi="Times New Roman"/>
          <w:b/>
          <w:noProof/>
        </w:rPr>
        <w:t>szybkiego</w:t>
      </w:r>
      <w:r>
        <w:rPr>
          <w:rFonts w:ascii="Times New Roman" w:hAnsi="Times New Roman"/>
          <w:noProof/>
        </w:rPr>
        <w:t xml:space="preserve"> dostępu do </w:t>
      </w:r>
      <w:r>
        <w:rPr>
          <w:rFonts w:ascii="Times New Roman" w:hAnsi="Times New Roman"/>
          <w:b/>
          <w:noProof/>
        </w:rPr>
        <w:t>narzędzi wsparcia</w:t>
      </w:r>
      <w:r>
        <w:rPr>
          <w:rFonts w:ascii="Times New Roman" w:hAnsi="Times New Roman"/>
          <w:noProof/>
        </w:rPr>
        <w:t>.</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noProof/>
        </w:rPr>
        <w:t xml:space="preserve">Oferowanie skutecznych i dostosowanych do wieku </w:t>
      </w:r>
      <w:r>
        <w:rPr>
          <w:rFonts w:ascii="Times New Roman" w:hAnsi="Times New Roman"/>
          <w:b/>
          <w:noProof/>
        </w:rPr>
        <w:t>narzędzi kontroli rodzicielskiej</w:t>
      </w:r>
      <w:r>
        <w:rPr>
          <w:rFonts w:ascii="Times New Roman" w:hAnsi="Times New Roman"/>
          <w:noProof/>
        </w:rPr>
        <w:t>.</w:t>
      </w:r>
      <w:r>
        <w:rPr>
          <w:rFonts w:ascii="Times New Roman" w:hAnsi="Times New Roman"/>
          <w:b/>
          <w:noProof/>
        </w:rPr>
        <w:t xml:space="preserve"> </w:t>
      </w:r>
    </w:p>
    <w:p>
      <w:pPr>
        <w:spacing w:after="120" w:line="240" w:lineRule="auto"/>
        <w:jc w:val="both"/>
        <w:rPr>
          <w:rFonts w:ascii="Times New Roman" w:eastAsia="Aptos" w:hAnsi="Times New Roman" w:cs="Times New Roman"/>
          <w:noProof/>
        </w:rPr>
      </w:pPr>
      <w:r>
        <w:rPr>
          <w:rFonts w:ascii="Times New Roman" w:hAnsi="Times New Roman"/>
          <w:noProof/>
        </w:rPr>
        <w:t>Powyższe przepisy i zasady zostaną uzupełnione dostosowanymi do potrzeb zobowiązaniami dotyczącymi gier internetowych, chatbotów opartych na AI i towarzyszy AI, oferując podejście współregulacyjne oparte na prowadzonej przez przemysł samoregulacji. Sklepy z aplikacjami również musiałyby spełniać wymogi skonstruowane w oparciu o obecne najlepsze praktyki samoregulacyjne. Miałyby one stosować spójne klasyfikacje wiekowe i sprawiać, że aplikacje, takie jak gry internetowe, byłyby niedostępne dla małoletnich poniżej wieku określonego w klasyfikacji.</w:t>
      </w:r>
    </w:p>
    <w:p>
      <w:pPr>
        <w:spacing w:after="120" w:line="240" w:lineRule="auto"/>
        <w:jc w:val="both"/>
        <w:rPr>
          <w:rFonts w:ascii="Times New Roman" w:eastAsia="Aptos" w:hAnsi="Times New Roman" w:cs="Times New Roman"/>
          <w:noProof/>
        </w:rPr>
      </w:pPr>
    </w:p>
    <w:p>
      <w:pPr>
        <w:spacing w:after="120" w:line="240" w:lineRule="auto"/>
        <w:ind w:left="567"/>
        <w:jc w:val="both"/>
        <w:outlineLvl w:val="0"/>
        <w:rPr>
          <w:rFonts w:ascii="Times New Roman" w:hAnsi="Times New Roman" w:cs="Times New Roman"/>
          <w:i/>
          <w:iCs/>
          <w:noProof/>
        </w:rPr>
      </w:pPr>
      <w:r>
        <w:rPr>
          <w:rFonts w:ascii="Times New Roman" w:hAnsi="Times New Roman"/>
          <w:i/>
          <w:noProof/>
        </w:rPr>
        <w:t>2.3 Weryfikacja wieku</w:t>
      </w:r>
    </w:p>
    <w:p>
      <w:pPr>
        <w:spacing w:after="120" w:line="240" w:lineRule="auto"/>
        <w:jc w:val="both"/>
        <w:rPr>
          <w:rFonts w:ascii="Times New Roman" w:hAnsi="Times New Roman" w:cs="Times New Roman"/>
          <w:noProof/>
        </w:rPr>
      </w:pPr>
      <w:r>
        <w:rPr>
          <w:rFonts w:ascii="Times New Roman" w:hAnsi="Times New Roman"/>
          <w:noProof/>
        </w:rPr>
        <w:t xml:space="preserve">Wniosek reguluje również </w:t>
      </w:r>
      <w:r>
        <w:rPr>
          <w:rFonts w:ascii="Times New Roman" w:hAnsi="Times New Roman"/>
          <w:b/>
          <w:noProof/>
        </w:rPr>
        <w:t>chroniące prywatność i dostępne systemy weryfikacji wieku</w:t>
      </w:r>
      <w:r>
        <w:rPr>
          <w:rFonts w:ascii="Times New Roman" w:hAnsi="Times New Roman"/>
          <w:noProof/>
        </w:rPr>
        <w:t xml:space="preserve"> oraz sposób ich funkcjonowania. </w:t>
      </w:r>
    </w:p>
    <w:p>
      <w:pPr>
        <w:spacing w:after="120" w:line="240" w:lineRule="auto"/>
        <w:jc w:val="both"/>
        <w:rPr>
          <w:rFonts w:ascii="Times New Roman" w:hAnsi="Times New Roman"/>
          <w:noProof/>
        </w:rPr>
      </w:pPr>
      <w:r>
        <w:rPr>
          <w:rFonts w:ascii="Times New Roman" w:hAnsi="Times New Roman"/>
          <w:noProof/>
        </w:rPr>
        <w:t xml:space="preserve">Akt prawny UE KIDS zobowiąże dostawców usług mediów społecznościowych i platform udostępniania wideo do </w:t>
      </w:r>
      <w:r>
        <w:rPr>
          <w:rFonts w:ascii="Times New Roman" w:hAnsi="Times New Roman"/>
          <w:b/>
          <w:noProof/>
        </w:rPr>
        <w:t>weryfikacji wieku przy otwieraniu przez użytkownika nowego konta</w:t>
      </w:r>
      <w:r>
        <w:rPr>
          <w:rFonts w:ascii="Times New Roman" w:hAnsi="Times New Roman"/>
          <w:noProof/>
        </w:rPr>
        <w:t xml:space="preserve">. Można to osiągnąć, opierając się na unijnym narzędziu weryfikacji wieku lub innych rozwiązaniach stosowanych przez organy publiczne, które zapewniają równoważny poziom dokładności, wiarygodności, odporności, prywatności, bezpieczeństwa, niedyskryminacji i nieinwazyjności. Istniejące konta podlegałyby proporcjonalnym kontrolom, a nie zwykłej wstecznej weryfikacji wieku. Miałoby to miejsce na przykład w przypadku, gdy konto zostało już utworzone wiele lat wcześniej lub w połączeniu z kartą kredytową powiązaną z posiadaczem konta. W szczególności w przypadku gier internetowych konieczne będzie wprowadzenie w odniesieniu do każdej gry </w:t>
      </w:r>
      <w:r>
        <w:rPr>
          <w:rFonts w:ascii="Times New Roman" w:hAnsi="Times New Roman"/>
          <w:b/>
          <w:noProof/>
        </w:rPr>
        <w:t>obowiązkowej rekomendacji z uwagi na wiek</w:t>
      </w:r>
      <w:r>
        <w:rPr>
          <w:rFonts w:ascii="Times New Roman" w:hAnsi="Times New Roman"/>
          <w:noProof/>
        </w:rPr>
        <w:t xml:space="preserve"> oraz ścisłego egzekwowania poprzez weryfikację wieku w sklepie z aplikacjami przed pobraniem gry. </w:t>
      </w:r>
    </w:p>
    <w:p>
      <w:pPr>
        <w:rPr>
          <w:rFonts w:ascii="Times New Roman" w:hAnsi="Times New Roman" w:cs="Times New Roman"/>
          <w:i/>
          <w:iCs/>
          <w:noProof/>
        </w:rPr>
      </w:pPr>
    </w:p>
    <w:p>
      <w:pPr>
        <w:spacing w:after="120" w:line="240" w:lineRule="auto"/>
        <w:ind w:left="567"/>
        <w:jc w:val="both"/>
        <w:outlineLvl w:val="0"/>
        <w:rPr>
          <w:rFonts w:ascii="Times New Roman" w:hAnsi="Times New Roman" w:cs="Times New Roman"/>
          <w:i/>
          <w:iCs/>
          <w:noProof/>
        </w:rPr>
      </w:pPr>
      <w:r>
        <w:rPr>
          <w:rFonts w:ascii="Times New Roman" w:hAnsi="Times New Roman"/>
          <w:i/>
          <w:noProof/>
        </w:rPr>
        <w:t xml:space="preserve">2.4 Egzekwowanie przepisów </w:t>
      </w:r>
    </w:p>
    <w:p>
      <w:pPr>
        <w:spacing w:after="120" w:line="240" w:lineRule="auto"/>
        <w:jc w:val="both"/>
        <w:rPr>
          <w:rFonts w:ascii="Times New Roman" w:hAnsi="Times New Roman" w:cs="Times New Roman"/>
          <w:noProof/>
        </w:rPr>
      </w:pPr>
      <w:r>
        <w:rPr>
          <w:rFonts w:ascii="Times New Roman" w:hAnsi="Times New Roman"/>
          <w:noProof/>
        </w:rPr>
        <w:t xml:space="preserve">Dla zapewnienia skutecznej ochrony dzieci kluczowe znaczenie ma ścisłe egzekwowanie przepisów. Akt prawny UE KIDS opiera się na </w:t>
      </w:r>
      <w:r>
        <w:rPr>
          <w:rFonts w:ascii="Times New Roman" w:hAnsi="Times New Roman"/>
          <w:b/>
          <w:noProof/>
        </w:rPr>
        <w:t>istniejącej strukturze egzekwowania przepisów</w:t>
      </w:r>
      <w:r>
        <w:rPr>
          <w:rFonts w:ascii="Times New Roman" w:hAnsi="Times New Roman"/>
          <w:noProof/>
        </w:rPr>
        <w:t xml:space="preserve"> wynikającej z DSA i aktu w sprawie AI. Ciężar dowodu dla wykazania zgodności z nowymi przepisami spoczywa na podmiotach gospodarczych. W związku z tym bardzo duże platformy internetowe będą musiały przedkładać plan zapewnienia zgodności z przepisami niezależnemu audytorowi, który dokładnie oceni nową usługę, funkcję lub funkcjonalność. Jeżeli na podstawie sprawozdania audytora Komisja uzna, że plan zapewnienia zgodności zawiera jakiekolwiek niedociągnięcia, może zwrócić się do dostawcy usług o zaproponowanie środków naprawczych. Wspomnianym aktem prawnym zostanie także wprowadzona opłata nadzorcza, która umożliwi skuteczne finansowanie i wspieranie prac Komisji związanych z egzekwowaniem przepisów i nadzorem w całej Unii. W ramach tej struktury egzekwowania przepisów </w:t>
      </w:r>
      <w:r>
        <w:rPr>
          <w:rFonts w:ascii="Times New Roman" w:hAnsi="Times New Roman"/>
          <w:b/>
          <w:noProof/>
        </w:rPr>
        <w:t>priorytetowo traktowane będą skargi dotyczące małoletnich</w:t>
      </w:r>
      <w:r>
        <w:rPr>
          <w:rFonts w:ascii="Times New Roman" w:hAnsi="Times New Roman"/>
          <w:noProof/>
        </w:rPr>
        <w:t xml:space="preserve">. </w:t>
      </w:r>
    </w:p>
    <w:p>
      <w:pPr>
        <w:spacing w:after="120" w:line="240" w:lineRule="auto"/>
        <w:jc w:val="both"/>
        <w:rPr>
          <w:rFonts w:ascii="Times New Roman" w:hAnsi="Times New Roman" w:cs="Times New Roman"/>
          <w:noProof/>
        </w:rPr>
      </w:pPr>
      <w:r>
        <w:rPr>
          <w:rFonts w:ascii="Times New Roman" w:hAnsi="Times New Roman"/>
          <w:noProof/>
        </w:rPr>
        <w:t xml:space="preserve">W związku z szybkim postępem technologicznym wniosek przewiduje </w:t>
      </w:r>
      <w:r>
        <w:rPr>
          <w:rFonts w:ascii="Times New Roman" w:hAnsi="Times New Roman"/>
          <w:b/>
          <w:noProof/>
        </w:rPr>
        <w:t>klauzulę przeglądową</w:t>
      </w:r>
      <w:r>
        <w:rPr>
          <w:rFonts w:ascii="Times New Roman" w:hAnsi="Times New Roman"/>
          <w:noProof/>
        </w:rPr>
        <w:t xml:space="preserve"> w celu uwzględnienia ewentualnej potrzeby aktualizacji ram regulacyjnych.</w:t>
      </w:r>
    </w:p>
    <w:p>
      <w:pPr>
        <w:spacing w:after="120" w:line="240" w:lineRule="auto"/>
        <w:jc w:val="both"/>
        <w:rPr>
          <w:rFonts w:ascii="Times New Roman" w:hAnsi="Times New Roman" w:cs="Times New Roman"/>
          <w:noProof/>
        </w:rPr>
      </w:pPr>
    </w:p>
    <w:p>
      <w:pPr>
        <w:pStyle w:val="ListParagraph"/>
        <w:numPr>
          <w:ilvl w:val="0"/>
          <w:numId w:val="2"/>
        </w:numPr>
        <w:spacing w:after="120" w:line="240" w:lineRule="auto"/>
        <w:contextualSpacing w:val="0"/>
        <w:jc w:val="both"/>
        <w:outlineLvl w:val="0"/>
        <w:rPr>
          <w:rFonts w:ascii="Times New Roman" w:hAnsi="Times New Roman" w:cs="Times New Roman"/>
          <w:b/>
          <w:bCs/>
          <w:noProof/>
        </w:rPr>
      </w:pPr>
      <w:r>
        <w:rPr>
          <w:rFonts w:ascii="Times New Roman" w:hAnsi="Times New Roman"/>
          <w:b/>
          <w:noProof/>
        </w:rPr>
        <w:t xml:space="preserve">Środki uzupełniające </w:t>
      </w:r>
    </w:p>
    <w:p>
      <w:pPr>
        <w:pStyle w:val="ListParagraph"/>
        <w:numPr>
          <w:ilvl w:val="1"/>
          <w:numId w:val="2"/>
        </w:numPr>
        <w:spacing w:after="120" w:line="240" w:lineRule="auto"/>
        <w:ind w:left="851" w:hanging="425"/>
        <w:contextualSpacing w:val="0"/>
        <w:jc w:val="both"/>
        <w:outlineLvl w:val="0"/>
        <w:rPr>
          <w:rFonts w:ascii="Times New Roman" w:hAnsi="Times New Roman" w:cs="Times New Roman"/>
          <w:i/>
          <w:iCs/>
          <w:noProof/>
        </w:rPr>
      </w:pPr>
      <w:r>
        <w:rPr>
          <w:rFonts w:ascii="Times New Roman" w:hAnsi="Times New Roman"/>
          <w:i/>
          <w:noProof/>
        </w:rPr>
        <w:t>Uzupełniające środki regulacyjne UE</w:t>
      </w:r>
    </w:p>
    <w:p>
      <w:pPr>
        <w:spacing w:after="120" w:line="240" w:lineRule="auto"/>
        <w:jc w:val="both"/>
        <w:rPr>
          <w:rFonts w:ascii="Times New Roman" w:hAnsi="Times New Roman"/>
          <w:noProof/>
        </w:rPr>
      </w:pPr>
      <w:r>
        <w:rPr>
          <w:rFonts w:ascii="Times New Roman" w:hAnsi="Times New Roman"/>
          <w:noProof/>
        </w:rPr>
        <w:t xml:space="preserve">W akcie prawnym UE KIDS zostaną określone szczegółowe przepisy dotyczące tych usług cyfrowych, z których korzystanie stanowi największe zagrożenie dla bezpieczeństwa i rozwoju małoletnich. Centralnym elementem tego aktu jest podejście polegające na stopniowym umożliwianiu coraz szerszego dostępu oraz zapewnienie, by niektóre funkcje były bezpieczne już na etapie projektowania. Jednocześnie musimy zapewnić bezpieczeństwo małoletnich w odniesieniu do wszystkich usług i produktów, z którymi dzieci mogą zetknąć się w internecie, oraz zadbać o to, by praktyki handlowe, które do nich docierają, nie stanowiły zagrożenia dla ich zdrowia lub bezpieczeństwa. </w:t>
      </w:r>
    </w:p>
    <w:p>
      <w:pPr>
        <w:spacing w:after="120" w:line="240" w:lineRule="auto"/>
        <w:jc w:val="both"/>
        <w:rPr>
          <w:rFonts w:ascii="Times New Roman" w:hAnsi="Times New Roman"/>
          <w:strike/>
          <w:noProof/>
        </w:rPr>
      </w:pPr>
      <w:r>
        <w:rPr>
          <w:rFonts w:ascii="Times New Roman" w:hAnsi="Times New Roman"/>
          <w:noProof/>
        </w:rPr>
        <w:t xml:space="preserve">Planowany </w:t>
      </w:r>
      <w:r>
        <w:rPr>
          <w:rFonts w:ascii="Times New Roman" w:hAnsi="Times New Roman"/>
          <w:b/>
          <w:noProof/>
        </w:rPr>
        <w:t>Akt w sprawie sprawiedliwości cyfrowej</w:t>
      </w:r>
      <w:r>
        <w:rPr>
          <w:rFonts w:ascii="Times New Roman" w:hAnsi="Times New Roman"/>
          <w:noProof/>
        </w:rPr>
        <w:t xml:space="preserve"> i przegląd rozporządzenia w sprawie </w:t>
      </w:r>
      <w:r>
        <w:rPr>
          <w:rFonts w:ascii="Times New Roman" w:hAnsi="Times New Roman"/>
          <w:b/>
          <w:noProof/>
        </w:rPr>
        <w:t>współpracy w dziedzinie ochrony konsumentów</w:t>
      </w:r>
      <w:r>
        <w:rPr>
          <w:rFonts w:ascii="Times New Roman" w:hAnsi="Times New Roman"/>
          <w:noProof/>
        </w:rPr>
        <w:t xml:space="preserve"> stanowią istotną okazję do umieszczenia ochrony dzieci i nastolatków w centrum unijnego prawa ochrony konsumentów. Aktem tym zaktualizowane zostaną horyzontalne przepisy dotyczące ochrony konsumentów przed szkodliwymi praktykami handlowymi w internecie, mającymi również wpływ na dzieci jako młodych konsumentów, takimi jak manipulacyjne praktyki cyfrowe stosowane przez przedsiębiorstwa wobec konsumentów, nieuczciwe techniki ustalania cen, problematyczny marketing influencerów oraz kwestie związane z umowami i abonamentami cyfrowymi. Komisja dokona również przeglądu rozporządzenia w sprawie współpracy w dziedzinie ochrony konsumentów, aby zapewnić skuteczniejsze egzekwowanie prawa z korzyścią dla wszystkich, ze szczególnym uwzględnieniem małoletnich, opierając się na akcie prawnym UE KIDS i uzupełniając egzekwowanie prawa na podstawie tego aktu. Przygotowując zmianę tego rozporządzenia, Komisja rozważy sposoby poprawy koordynacji egzekwowania prawa między krajowymi organami ochrony konsumentów w sytuacjach transgranicznych oraz scentralizowania uprawnień dochodzeniowych i wykonawczych na szczeblu UE w konkretnych przypadkach. </w:t>
      </w:r>
    </w:p>
    <w:p>
      <w:pPr>
        <w:spacing w:after="120" w:line="240" w:lineRule="auto"/>
        <w:jc w:val="both"/>
        <w:rPr>
          <w:rFonts w:ascii="Times New Roman" w:hAnsi="Times New Roman" w:cs="Times New Roman"/>
          <w:noProof/>
        </w:rPr>
      </w:pPr>
      <w:r>
        <w:rPr>
          <w:rFonts w:ascii="Times New Roman" w:hAnsi="Times New Roman"/>
          <w:noProof/>
        </w:rPr>
        <w:t xml:space="preserve">Ponadto Komisja przedstawi wniosek dotyczący przeglądu </w:t>
      </w:r>
      <w:r>
        <w:rPr>
          <w:rFonts w:ascii="Times New Roman" w:hAnsi="Times New Roman"/>
          <w:b/>
          <w:noProof/>
        </w:rPr>
        <w:t>dyrektywy o audiowizualnych usługach medialnych</w:t>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Zostaną w nim określone kategorie szkodliwych treści, przed którymi platformy udostępniania plików wideo muszą chronić małoletnich, oraz doprecyzowane możliwości stosowania unijnych przepisów audiowizualnych do influencerów jako dostawców treści. </w:t>
      </w:r>
    </w:p>
    <w:p>
      <w:pPr>
        <w:spacing w:after="120" w:line="240" w:lineRule="auto"/>
        <w:jc w:val="both"/>
        <w:rPr>
          <w:rFonts w:ascii="Times New Roman" w:hAnsi="Times New Roman" w:cs="Times New Roman"/>
          <w:noProof/>
        </w:rPr>
      </w:pPr>
      <w:r>
        <w:rPr>
          <w:rFonts w:ascii="Times New Roman" w:hAnsi="Times New Roman"/>
          <w:noProof/>
        </w:rPr>
        <w:t>Oprócz opracowania odpowiednich ram regulacyjnych i ich skutecznego egzekwowania reakcja Unii musi opierać się na szeregu środków wspierających, takich jak te przedstawione poniżej.</w:t>
      </w:r>
    </w:p>
    <w:p>
      <w:pPr>
        <w:spacing w:after="120" w:line="240" w:lineRule="auto"/>
        <w:jc w:val="both"/>
        <w:rPr>
          <w:rFonts w:ascii="Times New Roman" w:hAnsi="Times New Roman"/>
          <w:i/>
          <w:noProof/>
        </w:rPr>
      </w:pPr>
    </w:p>
    <w:p>
      <w:pPr>
        <w:spacing w:after="120" w:line="240" w:lineRule="auto"/>
        <w:ind w:firstLine="720"/>
        <w:jc w:val="both"/>
        <w:rPr>
          <w:rFonts w:ascii="Times New Roman" w:eastAsia="Times New Roman" w:hAnsi="Times New Roman" w:cs="Times New Roman"/>
          <w:noProof/>
        </w:rPr>
      </w:pPr>
      <w:r>
        <w:rPr>
          <w:rFonts w:ascii="Times New Roman" w:hAnsi="Times New Roman"/>
          <w:i/>
          <w:noProof/>
        </w:rPr>
        <w:t>3.2 Wzmocnienie pozycji dzieci i młodzieży poprzez edukację</w:t>
      </w:r>
      <w:r>
        <w:rPr>
          <w:rFonts w:ascii="Times New Roman" w:hAnsi="Times New Roman"/>
          <w:noProof/>
        </w:rPr>
        <w:t xml:space="preserve"> </w:t>
      </w:r>
    </w:p>
    <w:p>
      <w:pPr>
        <w:spacing w:after="120" w:line="240" w:lineRule="auto"/>
        <w:jc w:val="both"/>
        <w:rPr>
          <w:rFonts w:ascii="Times New Roman" w:eastAsia="Times New Roman" w:hAnsi="Times New Roman" w:cs="Times New Roman"/>
          <w:noProof/>
        </w:rPr>
      </w:pPr>
      <w:r>
        <w:rPr>
          <w:rFonts w:ascii="Times New Roman" w:hAnsi="Times New Roman"/>
          <w:noProof/>
        </w:rPr>
        <w:t xml:space="preserve">Po pierwsze, </w:t>
      </w:r>
      <w:r>
        <w:rPr>
          <w:rFonts w:ascii="Times New Roman" w:hAnsi="Times New Roman"/>
          <w:b/>
          <w:noProof/>
        </w:rPr>
        <w:t>edukacja ma kluczowe znaczenie dla wspierania rozwoju każdego dziecka</w:t>
      </w:r>
      <w:r>
        <w:rPr>
          <w:rFonts w:ascii="Times New Roman" w:hAnsi="Times New Roman"/>
          <w:noProof/>
        </w:rPr>
        <w:t xml:space="preserve">, gdyż wyposaża małoletnich w odpowiednią wiedzę pozwalającą im lepiej zrozumieć środowisko internetowe i umożliwia im dostrzeganie różnic między zachowaniami prawidłowymi a ryzykownymi, w tym takimi zachowaniami w internecie. W związku z tym konieczne jest, by młodzi ludzie nabywali umiejętności potrzebne do bezpiecznego i odpowiedzialnego korzystania z „mediów społecznościowych plus”, w tym w kontekście przyspieszonego używania sztucznej inteligencji. </w:t>
      </w:r>
    </w:p>
    <w:p>
      <w:pPr>
        <w:spacing w:after="120" w:line="240" w:lineRule="auto"/>
        <w:jc w:val="both"/>
        <w:rPr>
          <w:rFonts w:ascii="Times New Roman" w:eastAsia="Times New Roman" w:hAnsi="Times New Roman" w:cs="Times New Roman"/>
          <w:noProof/>
        </w:rPr>
      </w:pPr>
      <w:r>
        <w:rPr>
          <w:rFonts w:ascii="Times New Roman" w:hAnsi="Times New Roman"/>
          <w:noProof/>
        </w:rPr>
        <w:t xml:space="preserve">Mając to na uwadze, Komisja przyjmie </w:t>
      </w:r>
      <w:r>
        <w:rPr>
          <w:rFonts w:ascii="Times New Roman" w:hAnsi="Times New Roman"/>
          <w:b/>
          <w:noProof/>
        </w:rPr>
        <w:t>pakiet edukacyjny</w:t>
      </w:r>
      <w:r>
        <w:rPr>
          <w:rFonts w:ascii="Times New Roman" w:hAnsi="Times New Roman"/>
          <w:noProof/>
        </w:rPr>
        <w:t xml:space="preserve">, aby wesprzeć szkoły w ich wysiłkach na rzecz rozpowszechniania umiejętności cyfrowych i umiejętności w zakresie AI, podnoszenia świadomości i budowania odporności wśród małoletnich w zakresie wpływu „mediów społecznościowych plus” na zdrowie psychiczne i rozwój poznawczy, </w:t>
      </w:r>
      <w:r>
        <w:rPr>
          <w:rFonts w:ascii="Times New Roman" w:hAnsi="Times New Roman"/>
          <w:b/>
          <w:noProof/>
        </w:rPr>
        <w:t>w tym poprzez przygotowanie nauczycieli i kadry kierowniczej szkół</w:t>
      </w:r>
      <w:r>
        <w:rPr>
          <w:rFonts w:ascii="Times New Roman" w:hAnsi="Times New Roman"/>
          <w:noProof/>
        </w:rPr>
        <w:t>. W tym kontekście kluczowe znaczenie mają wsparcie psychologiczne oraz kompleksowa edukacja dostosowana do wieku.</w:t>
      </w:r>
    </w:p>
    <w:p>
      <w:pPr>
        <w:spacing w:after="120" w:line="240" w:lineRule="auto"/>
        <w:jc w:val="both"/>
        <w:rPr>
          <w:rFonts w:ascii="Times New Roman" w:hAnsi="Times New Roman"/>
          <w:noProof/>
        </w:rPr>
      </w:pPr>
      <w:r>
        <w:rPr>
          <w:rFonts w:ascii="Times New Roman" w:hAnsi="Times New Roman"/>
          <w:noProof/>
        </w:rPr>
        <w:t xml:space="preserve">Przyszły pakiet edukacyjny przyczyni się do jeszcze większego </w:t>
      </w:r>
      <w:r>
        <w:rPr>
          <w:rFonts w:ascii="Times New Roman" w:hAnsi="Times New Roman"/>
          <w:b/>
          <w:noProof/>
        </w:rPr>
        <w:t>upowszechnienia edukacji dotyczącej kompetencji w zakresie AI</w:t>
      </w:r>
      <w:r>
        <w:rPr>
          <w:rFonts w:ascii="Times New Roman" w:hAnsi="Times New Roman"/>
          <w:noProof/>
        </w:rPr>
        <w:t xml:space="preserve">, w tym </w:t>
      </w:r>
      <w:r>
        <w:rPr>
          <w:rFonts w:ascii="Times New Roman" w:hAnsi="Times New Roman"/>
          <w:b/>
          <w:noProof/>
        </w:rPr>
        <w:t>za pośrednictwem ram UE-OECD dotyczących umiejętności korzystania ze sztucznej inteligencji dla szkół podstawowych i średnich</w:t>
      </w:r>
      <w:r>
        <w:rPr>
          <w:rFonts w:ascii="Times New Roman" w:hAnsi="Times New Roman"/>
          <w:noProof/>
        </w:rPr>
        <w:t>, oraz będzie stanowił wsparcie dla szkół w opracowywaniu strategii na rzecz dobrostanu cyfrowego dzieci, ze szczególnym uwzględnieniem ich bezpieczeństwa i wzmocnienia ich pozycji. Umożliwi on również zapewnienie bezpiecznej, interoperacyjnej europejskiej infrastruktury edukacji cyfrowej i treści edukacyjnych opartych na solidnych podstawach pedagogicznych oraz pomoże zmniejszyć strategiczne zależności Europy od technologii edukacyjnych.</w:t>
      </w:r>
    </w:p>
    <w:p>
      <w:pPr>
        <w:spacing w:after="120" w:line="240" w:lineRule="auto"/>
        <w:jc w:val="both"/>
        <w:rPr>
          <w:rFonts w:ascii="Times New Roman" w:hAnsi="Times New Roman"/>
          <w:noProof/>
        </w:rPr>
      </w:pPr>
      <w:r>
        <w:rPr>
          <w:rFonts w:ascii="Times New Roman" w:hAnsi="Times New Roman"/>
          <w:noProof/>
        </w:rPr>
        <w:t xml:space="preserve">Współfinansowane przez UE </w:t>
      </w:r>
      <w:r>
        <w:rPr>
          <w:rFonts w:ascii="Times New Roman" w:hAnsi="Times New Roman"/>
          <w:b/>
          <w:noProof/>
        </w:rPr>
        <w:t>centra bezpieczniejszego internetu</w:t>
      </w:r>
      <w:r>
        <w:rPr>
          <w:rFonts w:ascii="Times New Roman" w:hAnsi="Times New Roman"/>
          <w:noProof/>
        </w:rPr>
        <w:t xml:space="preserve"> już teraz zapewniają skuteczną i godną zaufania pomoc w zapewnieniu dzieciom bezpieczeństwa w internecie. Obecność takich centrów na szczeblu krajowym, ich szeroki zasięg i specjalistyczna wiedza sprawiają, że sieć ta jest cennym partnerem państw członkowskich w opracowywaniu i wdrażaniu skutecznych strategii krajowych na rzecz bezpieczniejszego i lepszego środowiska cyfrowego dla dzieci. W oparciu o te prace Komisja planuje zapewnić </w:t>
      </w:r>
      <w:r>
        <w:rPr>
          <w:rFonts w:ascii="Times New Roman" w:hAnsi="Times New Roman"/>
          <w:b/>
          <w:noProof/>
        </w:rPr>
        <w:t>dostosowane do potrzeb wytyczne dotyczące nowych przepisów</w:t>
      </w:r>
      <w:r>
        <w:rPr>
          <w:rFonts w:ascii="Times New Roman" w:hAnsi="Times New Roman"/>
          <w:noProof/>
        </w:rPr>
        <w:t xml:space="preserve"> dla różnych grup, w tym dzieci, opiekunów, wychowawców, szkół i organów regulacyjnych. Będą one obejmować seminaria internetowe, wczesne wykrywanie szkód, zarządzanie dostępem dostosowanym do wieku oraz bezpieczne korzystanie z chatbotów i towarzyszy AI. Państwa członkowskie powinny wykorzystać te prace i wzmocnić je w kontekście krajowym, regionalnym i lokalnym.</w:t>
      </w:r>
    </w:p>
    <w:p>
      <w:pPr>
        <w:spacing w:after="120" w:line="240" w:lineRule="auto"/>
        <w:jc w:val="both"/>
        <w:rPr>
          <w:rFonts w:ascii="Times New Roman" w:hAnsi="Times New Roman" w:cs="Times New Roman"/>
          <w:noProof/>
        </w:rPr>
      </w:pPr>
      <w:r>
        <w:rPr>
          <w:rFonts w:ascii="Times New Roman" w:hAnsi="Times New Roman"/>
          <w:noProof/>
        </w:rPr>
        <w:t xml:space="preserve">Jeśli chodzi o finansowanie, Komisja finansuje już badania nad bezpieczeństwem dzieci w internecie w ramach </w:t>
      </w:r>
      <w:r>
        <w:rPr>
          <w:rFonts w:ascii="Times New Roman" w:hAnsi="Times New Roman"/>
          <w:b/>
          <w:noProof/>
        </w:rPr>
        <w:t>programu „Horyzont Europa”</w:t>
      </w:r>
      <w:r>
        <w:rPr>
          <w:rFonts w:ascii="Times New Roman" w:hAnsi="Times New Roman"/>
          <w:noProof/>
        </w:rPr>
        <w:t xml:space="preserve">. Program prac na 2026 r. obejmuje wpływ korzystania z narzędzi cyfrowych poza szkołą oraz komunikat dotyczący wyników kształcenia i zdrowia psychicznego, a odpowiednie projekty rozpoczną się w 2027 r. Ponadto Komisja może określić </w:t>
      </w:r>
      <w:r>
        <w:rPr>
          <w:rFonts w:ascii="Times New Roman" w:hAnsi="Times New Roman"/>
          <w:b/>
          <w:noProof/>
        </w:rPr>
        <w:t>pojawiające się priorytety w zakresie finansowania badań</w:t>
      </w:r>
      <w:r>
        <w:rPr>
          <w:rFonts w:ascii="Times New Roman" w:hAnsi="Times New Roman"/>
          <w:noProof/>
        </w:rPr>
        <w:t xml:space="preserve">, a także możliwości wspierania bezpiecznych usług i ukierunkowanych na dzieci innowacji za pomocą bezpośrednich inwestycji w sektorze prywatnym i publicznym. </w:t>
      </w:r>
    </w:p>
    <w:p>
      <w:pPr>
        <w:spacing w:after="120" w:line="240" w:lineRule="auto"/>
        <w:jc w:val="both"/>
        <w:rPr>
          <w:rFonts w:ascii="Times New Roman" w:hAnsi="Times New Roman" w:cs="Times New Roman"/>
          <w:noProof/>
        </w:rPr>
      </w:pPr>
      <w:r>
        <w:rPr>
          <w:rFonts w:ascii="Times New Roman" w:hAnsi="Times New Roman"/>
          <w:noProof/>
        </w:rPr>
        <w:t xml:space="preserve">Jednocześnie należy podjąć działania w celu </w:t>
      </w:r>
      <w:r>
        <w:rPr>
          <w:rFonts w:ascii="Times New Roman" w:hAnsi="Times New Roman"/>
          <w:b/>
          <w:noProof/>
        </w:rPr>
        <w:t>zapewnienia, aby dzieci spędzały czas w świecie offline</w:t>
      </w:r>
      <w:r>
        <w:rPr>
          <w:rFonts w:ascii="Times New Roman" w:hAnsi="Times New Roman"/>
          <w:noProof/>
        </w:rPr>
        <w:t>. Za pośrednictwem programu Erasmus+ Komisja wspiera środowisko i działania offline, mając na uwadze, że mają one kluczowe znaczenie dla rozwoju dzieci, ponieważ pomagają promować zdrową aktywność i oferują alternatywy dla korzystania z ekranów. Komisja zachęca zatem państwa członkowskie do rozszerzenia dostępu do przystępnych cenowo możliwości uprawiania sportu, sztuki, uczęszczania do klubów młodzieżowych, korzystania z bibliotek i przestrzeni społecznościowych. Państwa członkowskie i regiony UE powinny w pełni wykorzystywać dostępne finansowanie krajowe i unijne w celu zapewnienia odpowiedniej infrastruktury nauczycielom, rodzicom i dzieciom.</w:t>
      </w:r>
    </w:p>
    <w:p>
      <w:pPr>
        <w:spacing w:after="120" w:line="240" w:lineRule="auto"/>
        <w:jc w:val="both"/>
        <w:rPr>
          <w:rFonts w:ascii="Times New Roman" w:eastAsia="Times New Roman" w:hAnsi="Times New Roman" w:cs="Times New Roman"/>
          <w:noProof/>
        </w:rPr>
      </w:pPr>
      <w:r>
        <w:rPr>
          <w:rFonts w:ascii="Times New Roman" w:hAnsi="Times New Roman"/>
          <w:noProof/>
        </w:rPr>
        <w:t xml:space="preserve">Wysiłki te powinny być częścią szerszego, zdecydowanego zbiorowego zobowiązania zarówno na szczeblu unijnym, jak i krajowym do </w:t>
      </w:r>
      <w:r>
        <w:rPr>
          <w:rFonts w:ascii="Times New Roman" w:hAnsi="Times New Roman"/>
          <w:b/>
          <w:noProof/>
        </w:rPr>
        <w:t>mobilizacji wszystkich dostępnych zasobów na rzecz edukacji, podnoszenia świadomości i wymiany najlepszych praktyk</w:t>
      </w:r>
      <w:r>
        <w:rPr>
          <w:rFonts w:ascii="Times New Roman" w:hAnsi="Times New Roman"/>
          <w:noProof/>
        </w:rPr>
        <w:t>, tak by wzmocnić mechanizmy profilaktyki, wsparcia i ochrony dzieci w środowisku cyfrowym w ramach zintegrowanego podejścia do ochrony dzieci. W tym kontekście szybka transpozycja i wdrożenie dyrektywy w sprawie odpowiedzialności za produkty umożliwią ofiarom wadliwych produktów, w tym produktów cyfrowych, dochodzenie odszkodowania na jednolitych warunkach w całej UE.</w:t>
      </w:r>
    </w:p>
    <w:p>
      <w:pPr>
        <w:spacing w:after="120" w:line="240" w:lineRule="auto"/>
        <w:jc w:val="both"/>
        <w:rPr>
          <w:rFonts w:ascii="Times New Roman" w:hAnsi="Times New Roman" w:cs="Times New Roman"/>
          <w:noProof/>
        </w:rPr>
      </w:pPr>
    </w:p>
    <w:p>
      <w:pPr>
        <w:pStyle w:val="ListParagraph"/>
        <w:numPr>
          <w:ilvl w:val="1"/>
          <w:numId w:val="14"/>
        </w:numPr>
        <w:spacing w:after="120" w:line="240" w:lineRule="auto"/>
        <w:ind w:left="993"/>
        <w:contextualSpacing w:val="0"/>
        <w:jc w:val="both"/>
        <w:outlineLvl w:val="0"/>
        <w:rPr>
          <w:rFonts w:ascii="Times New Roman" w:hAnsi="Times New Roman" w:cs="Times New Roman"/>
          <w:i/>
          <w:iCs/>
          <w:noProof/>
        </w:rPr>
      </w:pPr>
      <w:r>
        <w:rPr>
          <w:rFonts w:ascii="Times New Roman" w:hAnsi="Times New Roman"/>
          <w:i/>
          <w:noProof/>
        </w:rPr>
        <w:t>Szerzej zakrojone unijne środki wsparcia</w:t>
      </w:r>
    </w:p>
    <w:p>
      <w:pPr>
        <w:spacing w:after="120" w:line="240" w:lineRule="auto"/>
        <w:jc w:val="both"/>
        <w:rPr>
          <w:rFonts w:ascii="Times New Roman" w:hAnsi="Times New Roman" w:cs="Times New Roman"/>
          <w:noProof/>
        </w:rPr>
      </w:pPr>
      <w:r>
        <w:rPr>
          <w:rFonts w:ascii="Times New Roman" w:hAnsi="Times New Roman"/>
          <w:noProof/>
        </w:rPr>
        <w:t>Oprócz edukacji i umiejętności korzystania z mediów kluczowe znaczenie dla zapewnienia ochrony dzieci w internecie ma szereg dalszych unijnych środków uzupełniających. Środki te obejmują kompleksowe podejście do zdrowia, zwłaszcza zdrowia psychicznego, oraz lepszą współpracę i koordynację między podmiotami zaangażowanymi w przeciwdziałanie zagrożeniom w internecie i przestępstwom przeciwko dzieciom.</w:t>
      </w:r>
    </w:p>
    <w:p>
      <w:pPr>
        <w:spacing w:after="120" w:line="240" w:lineRule="auto"/>
        <w:jc w:val="both"/>
        <w:rPr>
          <w:rFonts w:ascii="Times New Roman" w:hAnsi="Times New Roman" w:cs="Times New Roman"/>
          <w:noProof/>
        </w:rPr>
      </w:pPr>
      <w:r>
        <w:rPr>
          <w:rFonts w:ascii="Times New Roman" w:hAnsi="Times New Roman"/>
          <w:noProof/>
        </w:rPr>
        <w:t xml:space="preserve">W 2023 r. Komisja przyjęła już komunikat w sprawie kompleksowego podejścia do zdrowia psychicznego, obejmujący 20 inicjatyw przewodnich i możliwości finansowania na kwotę prawie 1,3 mld EUR. W ramach tej inicjatywy kładzie się większy nacisk na włączenie społeczne i wspieranie słabszych grup społecznych, takich jak dzieci i młodzież. Komisja opracowuje obecnie, wspólnie z UNICEF-em, </w:t>
      </w:r>
      <w:r>
        <w:rPr>
          <w:rFonts w:ascii="Times New Roman" w:hAnsi="Times New Roman"/>
          <w:b/>
          <w:noProof/>
        </w:rPr>
        <w:t>zestaw narzędzi profilaktycznych</w:t>
      </w:r>
      <w:r>
        <w:rPr>
          <w:rFonts w:ascii="Times New Roman" w:hAnsi="Times New Roman"/>
          <w:noProof/>
        </w:rPr>
        <w:t xml:space="preserve">, który pomoże decydentom politycznym lepiej angażować się we wspieranie zdrowia psychicznego i fizycznego dzieci. Ten zestaw narzędzi zostanie uruchomiony z okazji Światowego Dnia Zdrowia Psychicznego w październiku 2026 r. Zostaną w nim uwzględnione również wyzwania związane z wpływem cyfryzacji na zdrowie psychiczne dzieci. Ponadto Komisja współpracuje ze Światową Organizacją Zdrowia w zakresie </w:t>
      </w:r>
      <w:r>
        <w:rPr>
          <w:rFonts w:ascii="Times New Roman" w:hAnsi="Times New Roman"/>
          <w:b/>
          <w:noProof/>
        </w:rPr>
        <w:t>budowania zdolności w systemach zdrowia psychicznego</w:t>
      </w:r>
      <w:r>
        <w:rPr>
          <w:rFonts w:ascii="Times New Roman" w:hAnsi="Times New Roman"/>
          <w:noProof/>
        </w:rPr>
        <w:t>, które dotyczą również cyfrowych uwarunkowań zdrowia psychicznego młodzieży.</w:t>
      </w:r>
    </w:p>
    <w:p>
      <w:pPr>
        <w:spacing w:after="120" w:line="240" w:lineRule="auto"/>
        <w:jc w:val="both"/>
        <w:rPr>
          <w:rFonts w:ascii="Times New Roman" w:hAnsi="Times New Roman"/>
          <w:noProof/>
        </w:rPr>
      </w:pPr>
      <w:r>
        <w:rPr>
          <w:rFonts w:ascii="Times New Roman" w:hAnsi="Times New Roman"/>
          <w:b/>
          <w:noProof/>
        </w:rPr>
        <w:t>Dzieci mogą być również ofiarami przestępstw</w:t>
      </w:r>
      <w:r>
        <w:rPr>
          <w:rFonts w:ascii="Times New Roman" w:hAnsi="Times New Roman"/>
          <w:noProof/>
        </w:rPr>
        <w:t>. W przypadku gdy dzieci padają ofiarą przestępstw w internecie, czy to w charakterze poszkodowanych, czy sprawców, czy w obu tych przypadkach, zastosowanie ma dorobek prawny UE w zakresie prawa karnego procesowego, w szczególności dyrektywa o prawach ofiar i dyrektywa w sprawie gwarancji procesowych z 2016 r. Jeśli chodzi o zapobieganie przestępczości, mającymi zastosowanie ramami są unijne przepisy prawa karnego materialnego, w tym w szczególności dyrektywa w sprawie niegodziwego traktowania dzieci w celach seksualnych.</w:t>
      </w:r>
    </w:p>
    <w:p>
      <w:pPr>
        <w:spacing w:after="120" w:line="240" w:lineRule="auto"/>
        <w:jc w:val="both"/>
        <w:rPr>
          <w:rFonts w:ascii="Times New Roman" w:hAnsi="Times New Roman"/>
          <w:noProof/>
          <w:u w:val="single"/>
        </w:rPr>
      </w:pPr>
      <w:r>
        <w:rPr>
          <w:rFonts w:ascii="Times New Roman" w:hAnsi="Times New Roman"/>
          <w:noProof/>
        </w:rPr>
        <w:t xml:space="preserve">Przestępstwa w internecie, których ofiarami padają dzieci, obejmują zarówno przestępstwa z nienawiści, handel ludźmi, niegodziwe traktowanie w celach seksualnych i wykorzystywanie seksualne, jak i werbowanie do przestępczości zorganizowanej i brutalnego ekstremizmu lub terroryzmu. Organy unijne i krajowe egzekwujące różne przepisy będą nadal sprawnie współpracować i wymieniać się informacjami i danymi, aby zapewnić najwyższy poziom ochrony małoletnich. Przyszły </w:t>
      </w:r>
      <w:r>
        <w:rPr>
          <w:rFonts w:ascii="Times New Roman" w:hAnsi="Times New Roman"/>
          <w:b/>
          <w:noProof/>
        </w:rPr>
        <w:t>plan działania na rzecz ochrony dzieci przed przestępstwami</w:t>
      </w:r>
      <w:r>
        <w:rPr>
          <w:rFonts w:ascii="Times New Roman" w:hAnsi="Times New Roman"/>
          <w:noProof/>
        </w:rPr>
        <w:t xml:space="preserve"> posłuży do zapewnienia spójnej i kompleksowej reakcji na różne zagrożenia, z jakimi mierzą się dzieci w związku z przestępczością, zarówno w internecie, jak i poza nim. Jego celem będzie ograniczenie do minimum narażenia dzieci na przestępstwa oraz wzmocnienie zdolności organów ścigania i innych właściwych organów do prowadzenia śledztw i ścigania przestępstw dotyczących dzieci. Centralnym elementem tego planu będzie udzielanie wsparcia dzieciom w styczności z krajowymi systemami wymiaru sprawiedliwości w sprawach karnych. </w:t>
      </w:r>
      <w:r>
        <w:rPr>
          <w:rFonts w:ascii="Times New Roman" w:hAnsi="Times New Roman"/>
          <w:b/>
          <w:noProof/>
        </w:rPr>
        <w:t>Bazując na podejściu skupiającym się na potrzebach dzieci, prawa dzieci i najlepszy interes dziecka będą centralnym elementem wszystkich inicjatyw.</w:t>
      </w:r>
      <w:r>
        <w:rPr>
          <w:rFonts w:ascii="Times New Roman" w:hAnsi="Times New Roman"/>
          <w:noProof/>
          <w:u w:val="single"/>
        </w:rPr>
        <w:t xml:space="preserve"> </w:t>
      </w:r>
    </w:p>
    <w:p>
      <w:pPr>
        <w:spacing w:after="120" w:line="240" w:lineRule="auto"/>
        <w:jc w:val="both"/>
        <w:rPr>
          <w:rFonts w:ascii="Times New Roman" w:hAnsi="Times New Roman" w:cs="Times New Roman"/>
          <w:noProof/>
        </w:rPr>
      </w:pPr>
    </w:p>
    <w:p>
      <w:pPr>
        <w:spacing w:after="120" w:line="240" w:lineRule="auto"/>
        <w:ind w:firstLine="720"/>
        <w:jc w:val="both"/>
        <w:rPr>
          <w:rFonts w:ascii="Times New Roman" w:eastAsia="Aptos" w:hAnsi="Times New Roman" w:cs="Times New Roman"/>
          <w:i/>
          <w:iCs/>
          <w:noProof/>
        </w:rPr>
      </w:pPr>
      <w:r>
        <w:rPr>
          <w:rFonts w:ascii="Times New Roman" w:hAnsi="Times New Roman"/>
          <w:i/>
          <w:noProof/>
        </w:rPr>
        <w:t>3.4 Współpraca międzynarodowa</w:t>
      </w:r>
    </w:p>
    <w:p>
      <w:pPr>
        <w:spacing w:after="120" w:line="240" w:lineRule="auto"/>
        <w:jc w:val="both"/>
        <w:rPr>
          <w:rFonts w:ascii="Times New Roman" w:hAnsi="Times New Roman" w:cs="Times New Roman"/>
          <w:noProof/>
        </w:rPr>
      </w:pPr>
      <w:r>
        <w:rPr>
          <w:rFonts w:ascii="Times New Roman" w:hAnsi="Times New Roman"/>
          <w:noProof/>
        </w:rPr>
        <w:t>Zgodnie z unijną międzynarodową strategią cyfrową Unia współpracowała do tej pory z Australią, Brazylią, Kanadą, Singapurem, Zjednoczonym Królestwem i Japonią w celu ochrony dzieci w internecie, kształtując wspólny zbiór zasad G-7 dotyczących małoletnich w internecie</w:t>
      </w:r>
      <w:r>
        <w:rPr>
          <w:rStyle w:val="FootnoteReference"/>
          <w:noProof/>
        </w:rPr>
        <w:footnoteReference w:id="9"/>
      </w:r>
      <w:r>
        <w:rPr>
          <w:rFonts w:ascii="Times New Roman" w:hAnsi="Times New Roman"/>
          <w:noProof/>
        </w:rPr>
        <w:t>. Unia wniosła ponadto wkład w debaty na szczeblu wielostronnym, w tym na forum Organizacji Narodów Zjednoczonych</w:t>
      </w:r>
      <w:r>
        <w:rPr>
          <w:rFonts w:ascii="Times New Roman" w:hAnsi="Times New Roman" w:cs="Times New Roman"/>
          <w:noProof/>
          <w:vertAlign w:val="superscript"/>
          <w:lang w:val="en-US"/>
        </w:rPr>
        <w:footnoteReference w:id="10"/>
      </w:r>
      <w:r>
        <w:rPr>
          <w:rFonts w:ascii="Times New Roman" w:hAnsi="Times New Roman"/>
          <w:noProof/>
        </w:rPr>
        <w:t xml:space="preserve">. Wzmocnienie współpracy z naszymi partnerami międzynarodowymi pozostaje priorytetem, by móc skutecznie chronić małoletnich w internecie. Wprowadzenie, za pośrednictwem aktu prawnego UE KIDS, podejścia polegającego na przeciwdziałaniu wpływowi sztucznej inteligencji na dzieci przez chatboty i towarzyszy AI </w:t>
      </w:r>
      <w:r>
        <w:rPr>
          <w:rFonts w:ascii="Times New Roman" w:hAnsi="Times New Roman"/>
          <w:b/>
          <w:noProof/>
        </w:rPr>
        <w:t>wzmacnia unijne podejście do AI oparte na prawach i na ryzyku</w:t>
      </w:r>
      <w:r>
        <w:rPr>
          <w:rFonts w:ascii="Times New Roman" w:hAnsi="Times New Roman"/>
          <w:noProof/>
        </w:rPr>
        <w:t xml:space="preserve">, co leży w interesie wielu partnerów na całym świecie. Ogólnie rzecz biorąc, jednolite podejście do ochrony dzieci w internecie w całej UE zwiększy skuteczność tej współpracy międzynarodowej, gdyż będzie stanowiło silny punkt odniesienia dla nawiązywania kontaktów z partnerami w celu osiągnięcia celów niniejszej inicjatywy. </w:t>
      </w:r>
    </w:p>
    <w:p>
      <w:pPr>
        <w:spacing w:after="120" w:line="240" w:lineRule="auto"/>
        <w:jc w:val="both"/>
        <w:rPr>
          <w:rFonts w:ascii="Times New Roman" w:eastAsia="Times New Roman" w:hAnsi="Times New Roman" w:cs="Times New Roman"/>
          <w:noProof/>
        </w:rPr>
      </w:pPr>
    </w:p>
    <w:p>
      <w:pPr>
        <w:spacing w:after="120" w:line="240" w:lineRule="auto"/>
        <w:ind w:firstLine="720"/>
        <w:jc w:val="both"/>
        <w:rPr>
          <w:rFonts w:ascii="Times New Roman" w:eastAsia="Times New Roman" w:hAnsi="Times New Roman" w:cs="Times New Roman"/>
          <w:i/>
          <w:iCs/>
          <w:noProof/>
        </w:rPr>
      </w:pPr>
      <w:r>
        <w:rPr>
          <w:rFonts w:ascii="Times New Roman" w:hAnsi="Times New Roman"/>
          <w:i/>
          <w:noProof/>
        </w:rPr>
        <w:t>3.5 Monitorowanie</w:t>
      </w:r>
    </w:p>
    <w:p>
      <w:pPr>
        <w:spacing w:after="120" w:line="240" w:lineRule="auto"/>
        <w:jc w:val="both"/>
        <w:rPr>
          <w:rFonts w:ascii="Times New Roman" w:hAnsi="Times New Roman" w:cs="Times New Roman"/>
          <w:noProof/>
        </w:rPr>
      </w:pPr>
      <w:r>
        <w:rPr>
          <w:rFonts w:ascii="Times New Roman" w:hAnsi="Times New Roman"/>
          <w:noProof/>
        </w:rPr>
        <w:t xml:space="preserve">Ważne jest, aby stale analizować rozwój usług cyfrowych dla małoletnich, ich wpływ na małoletnich oraz skutki inicjatyw podejmowanych w Unii. </w:t>
      </w:r>
      <w:r>
        <w:rPr>
          <w:rFonts w:ascii="Times New Roman" w:hAnsi="Times New Roman"/>
          <w:b/>
          <w:noProof/>
        </w:rPr>
        <w:t>Komisja będzie regularnie podsumowywać postępy</w:t>
      </w:r>
      <w:r>
        <w:rPr>
          <w:rFonts w:ascii="Times New Roman" w:hAnsi="Times New Roman"/>
          <w:noProof/>
        </w:rPr>
        <w:t xml:space="preserve"> przy wsparciu zainteresowanych stron, w tym organizacji zajmujących się prawami młodzieży i dzieci oraz samych dzieci i stowarzyszeń rodziców. Będzie monitorować wpływ i skuteczność pakietu środków związanych z niniejszym komunikatem.</w:t>
      </w:r>
    </w:p>
    <w:p>
      <w:pPr>
        <w:spacing w:after="120" w:line="240" w:lineRule="auto"/>
        <w:jc w:val="both"/>
        <w:rPr>
          <w:rFonts w:ascii="Times New Roman" w:eastAsia="Times New Roman" w:hAnsi="Times New Roman" w:cs="Times New Roman"/>
          <w:noProof/>
        </w:rPr>
      </w:pPr>
      <w:r>
        <w:rPr>
          <w:rFonts w:ascii="Times New Roman" w:hAnsi="Times New Roman"/>
          <w:noProof/>
        </w:rPr>
        <w:t xml:space="preserve">Monitorowanie to pozwoli śledzić </w:t>
      </w:r>
      <w:r>
        <w:rPr>
          <w:rFonts w:ascii="Times New Roman" w:hAnsi="Times New Roman"/>
          <w:b/>
          <w:noProof/>
        </w:rPr>
        <w:t>skutki i ewentualną potrzebę dostosowania ram dotyczących minimalnego wieku</w:t>
      </w:r>
      <w:r>
        <w:rPr>
          <w:rFonts w:ascii="Times New Roman" w:hAnsi="Times New Roman"/>
          <w:noProof/>
        </w:rPr>
        <w:t xml:space="preserve"> w celu ustanowienia ustrukturyzowanego systemu regularnego gromadzenia danych, aby zrozumieć doświadczenia małoletnich w internecie w całej UE. Ramy te będą opierać się na uczestnictwie dzieci, w szczególności za pośrednictwem unijnej platformy uczestnictwa dzieci w ramach strategii UE na rzecz praw dziecka oraz BIK+ (Lepszy internet dla dzieci+). Ich podstawą będą badania, prace prowadzone na podstawie DSA i przez Europejskie Centrum Przejrzystości Algorytmicznej, które śledzi zmiany w zakresie bezpieczeństwa dzieci w internecie, powstających technologii i wzorców korzystania z sieci.</w:t>
      </w:r>
    </w:p>
    <w:p>
      <w:pPr>
        <w:spacing w:after="120" w:line="240" w:lineRule="auto"/>
        <w:jc w:val="both"/>
        <w:rPr>
          <w:rFonts w:ascii="Times New Roman" w:eastAsia="Aptos" w:hAnsi="Times New Roman" w:cs="Times New Roman"/>
          <w:noProof/>
        </w:rPr>
      </w:pPr>
      <w:r>
        <w:rPr>
          <w:rFonts w:ascii="Times New Roman" w:hAnsi="Times New Roman"/>
          <w:b/>
          <w:noProof/>
        </w:rPr>
        <w:t>Monitorowanie będzie w szczególności skupione na wpływie na zdrowie psychiczne młodzieży</w:t>
      </w:r>
      <w:r>
        <w:rPr>
          <w:rFonts w:ascii="Times New Roman" w:hAnsi="Times New Roman"/>
          <w:noProof/>
        </w:rPr>
        <w:t>. Uwzględnione zostaną również pozytywne aspekty doświadczeń dzieci w internecie, w tym to, czy i w jakim stopniu małoletni czują się upodmiotowieni i bezpieczni w internecie oraz jak czas spędzany przez nich przed ekranem rozkłada na różne aktywności.</w:t>
      </w:r>
    </w:p>
    <w:p>
      <w:pPr>
        <w:spacing w:after="120" w:line="240" w:lineRule="auto"/>
        <w:jc w:val="both"/>
        <w:rPr>
          <w:rFonts w:ascii="Times New Roman" w:eastAsia="Times New Roman" w:hAnsi="Times New Roman" w:cs="Times New Roman"/>
          <w:noProof/>
        </w:rPr>
      </w:pPr>
    </w:p>
    <w:p>
      <w:pPr>
        <w:pStyle w:val="ListParagraph"/>
        <w:numPr>
          <w:ilvl w:val="0"/>
          <w:numId w:val="2"/>
        </w:numPr>
        <w:spacing w:after="120" w:line="240" w:lineRule="auto"/>
        <w:contextualSpacing w:val="0"/>
        <w:jc w:val="both"/>
        <w:outlineLvl w:val="0"/>
        <w:rPr>
          <w:rFonts w:ascii="Times New Roman" w:hAnsi="Times New Roman" w:cs="Times New Roman"/>
          <w:b/>
          <w:bCs/>
          <w:noProof/>
        </w:rPr>
      </w:pPr>
      <w:r>
        <w:rPr>
          <w:rFonts w:ascii="Times New Roman" w:hAnsi="Times New Roman"/>
          <w:b/>
          <w:noProof/>
        </w:rPr>
        <w:t>Wnioski i dalsze działania</w:t>
      </w:r>
    </w:p>
    <w:p>
      <w:pPr>
        <w:spacing w:after="120" w:line="240" w:lineRule="auto"/>
        <w:jc w:val="both"/>
        <w:rPr>
          <w:rFonts w:ascii="Times New Roman" w:hAnsi="Times New Roman" w:cs="Times New Roman"/>
          <w:noProof/>
        </w:rPr>
      </w:pPr>
      <w:r>
        <w:rPr>
          <w:rFonts w:ascii="Times New Roman" w:hAnsi="Times New Roman"/>
          <w:noProof/>
        </w:rPr>
        <w:t xml:space="preserve">W niniejszym komunikacie określono ramy oparte na jasnym przekonaniu: to przedsiębiorstwa technologiczne ponoszą główną odpowiedzialność za zapewnienie bezpieczeństwa swoich produktów. </w:t>
      </w:r>
      <w:r>
        <w:rPr>
          <w:rFonts w:ascii="Times New Roman" w:hAnsi="Times New Roman"/>
          <w:b/>
          <w:noProof/>
        </w:rPr>
        <w:t>W Europie wychowaniem dzieci powinni zajmować się rodzice, a nie algorytmy</w:t>
      </w:r>
      <w:r>
        <w:rPr>
          <w:rFonts w:ascii="Times New Roman" w:hAnsi="Times New Roman"/>
          <w:noProof/>
        </w:rPr>
        <w:t>.</w:t>
      </w:r>
    </w:p>
    <w:p>
      <w:pPr>
        <w:spacing w:after="120" w:line="240" w:lineRule="auto"/>
        <w:jc w:val="both"/>
        <w:rPr>
          <w:rFonts w:ascii="Times New Roman" w:hAnsi="Times New Roman" w:cs="Times New Roman"/>
          <w:noProof/>
        </w:rPr>
      </w:pPr>
      <w:r>
        <w:rPr>
          <w:rFonts w:ascii="Times New Roman" w:hAnsi="Times New Roman"/>
          <w:noProof/>
        </w:rPr>
        <w:t xml:space="preserve">Musimy zbudować cyfrowy świat, w którym nasze </w:t>
      </w:r>
      <w:r>
        <w:rPr>
          <w:rFonts w:ascii="Times New Roman" w:hAnsi="Times New Roman"/>
          <w:b/>
          <w:noProof/>
        </w:rPr>
        <w:t>dzieci będą mogły dorastać swobodnie i bezpiecznie</w:t>
      </w:r>
      <w:r>
        <w:rPr>
          <w:rFonts w:ascii="Times New Roman" w:hAnsi="Times New Roman"/>
          <w:noProof/>
        </w:rPr>
        <w:t>, i będą chronione przez wartości, za którymi opowiada się Europa. Europa musi być najlepszym miejscem do dorastania i najlepszym miejscem do dożywania starości. I to jest standard, w kontekście którego należy oceniać niniejszą reakcję.</w:t>
      </w:r>
    </w:p>
    <w:p>
      <w:pPr>
        <w:spacing w:after="120" w:line="240" w:lineRule="auto"/>
        <w:jc w:val="both"/>
        <w:rPr>
          <w:rFonts w:ascii="Times New Roman" w:hAnsi="Times New Roman" w:cs="Times New Roman"/>
          <w:noProof/>
        </w:rPr>
      </w:pPr>
      <w:r>
        <w:rPr>
          <w:rFonts w:ascii="Times New Roman" w:hAnsi="Times New Roman"/>
          <w:noProof/>
        </w:rPr>
        <w:t xml:space="preserve">Specjalny zespół przedstawił dowody. Obecnie to instytucje Unii, wraz z państwami członkowskimi, przedsiębiorstwami, społeczeństwem obywatelskim, szkołami i rodzinami, muszą </w:t>
      </w:r>
      <w:r>
        <w:rPr>
          <w:rFonts w:ascii="Times New Roman" w:hAnsi="Times New Roman"/>
          <w:b/>
          <w:noProof/>
        </w:rPr>
        <w:t>zrealizować zmiany, których domagają się dzieci i rodzice w całej Europie</w:t>
      </w:r>
      <w:r>
        <w:rPr>
          <w:rFonts w:ascii="Times New Roman" w:hAnsi="Times New Roman"/>
          <w:noProof/>
        </w:rPr>
        <w:t xml:space="preserve"> – tj. świat zaprojektowany z myślą o ich dobrostanie. </w:t>
      </w:r>
    </w:p>
    <w:p>
      <w:pPr>
        <w:spacing w:after="120" w:line="240" w:lineRule="auto"/>
        <w:jc w:val="both"/>
        <w:rPr>
          <w:rFonts w:ascii="Times New Roman" w:hAnsi="Times New Roman"/>
          <w:noProof/>
          <w:sz w:val="10"/>
        </w:rPr>
      </w:pPr>
    </w:p>
    <w:tbl>
      <w:tblPr>
        <w:tblStyle w:val="TableGrid"/>
        <w:tblW w:w="0" w:type="auto"/>
        <w:tblLook w:val="04A0" w:firstRow="1" w:lastRow="0" w:firstColumn="1" w:lastColumn="0" w:noHBand="0" w:noVBand="1"/>
      </w:tblPr>
      <w:tblGrid>
        <w:gridCol w:w="9016"/>
      </w:tblGrid>
      <w:tr>
        <w:tc>
          <w:tcPr>
            <w:tcW w:w="9016" w:type="dxa"/>
          </w:tcPr>
          <w:p>
            <w:pPr>
              <w:spacing w:after="120"/>
              <w:jc w:val="both"/>
              <w:rPr>
                <w:rFonts w:ascii="Times New Roman" w:eastAsia="Times New Roman" w:hAnsi="Times New Roman" w:cs="Times New Roman"/>
                <w:b/>
                <w:bCs/>
                <w:noProof/>
                <w:sz w:val="24"/>
                <w:szCs w:val="24"/>
              </w:rPr>
            </w:pPr>
            <w:r>
              <w:rPr>
                <w:rFonts w:ascii="Times New Roman" w:hAnsi="Times New Roman"/>
                <w:b/>
                <w:noProof/>
              </w:rPr>
              <w:t>Komisja:</w:t>
            </w:r>
          </w:p>
          <w:p>
            <w:pPr>
              <w:numPr>
                <w:ilvl w:val="0"/>
                <w:numId w:val="3"/>
              </w:numPr>
              <w:spacing w:after="120"/>
              <w:ind w:left="714" w:hanging="357"/>
              <w:jc w:val="both"/>
              <w:rPr>
                <w:rFonts w:ascii="Times New Roman" w:eastAsia="Times New Roman" w:hAnsi="Times New Roman" w:cs="Times New Roman"/>
                <w:noProof/>
                <w:sz w:val="24"/>
                <w:szCs w:val="24"/>
              </w:rPr>
            </w:pPr>
            <w:r>
              <w:rPr>
                <w:rFonts w:ascii="Times New Roman" w:hAnsi="Times New Roman"/>
                <w:noProof/>
              </w:rPr>
              <w:t xml:space="preserve">przedłoży wniosek dotyczący </w:t>
            </w:r>
            <w:r>
              <w:rPr>
                <w:rFonts w:ascii="Times New Roman" w:hAnsi="Times New Roman"/>
                <w:b/>
                <w:noProof/>
              </w:rPr>
              <w:t>Aktu w sprawie sprawiedliwości cyfrowej</w:t>
            </w:r>
            <w:r>
              <w:rPr>
                <w:rFonts w:ascii="Times New Roman" w:hAnsi="Times New Roman"/>
                <w:noProof/>
              </w:rPr>
              <w:t xml:space="preserve"> </w:t>
            </w:r>
          </w:p>
          <w:p>
            <w:pPr>
              <w:numPr>
                <w:ilvl w:val="0"/>
                <w:numId w:val="3"/>
              </w:numPr>
              <w:spacing w:after="120"/>
              <w:ind w:left="714" w:hanging="357"/>
              <w:jc w:val="both"/>
              <w:rPr>
                <w:rFonts w:ascii="Times New Roman" w:eastAsia="Times New Roman" w:hAnsi="Times New Roman" w:cs="Times New Roman"/>
                <w:noProof/>
                <w:sz w:val="24"/>
                <w:szCs w:val="24"/>
              </w:rPr>
            </w:pPr>
            <w:r>
              <w:rPr>
                <w:rFonts w:ascii="Times New Roman" w:hAnsi="Times New Roman"/>
                <w:noProof/>
              </w:rPr>
              <w:t xml:space="preserve">przedłoży wniosek dotyczący </w:t>
            </w:r>
            <w:r>
              <w:rPr>
                <w:rFonts w:ascii="Times New Roman" w:hAnsi="Times New Roman"/>
                <w:b/>
                <w:noProof/>
              </w:rPr>
              <w:t>przeglądu rozporządzenia w sprawie współpracy w dziedzinie ochrony konsumentów</w:t>
            </w:r>
          </w:p>
          <w:p>
            <w:pPr>
              <w:numPr>
                <w:ilvl w:val="0"/>
                <w:numId w:val="3"/>
              </w:numPr>
              <w:spacing w:after="120"/>
              <w:ind w:left="714" w:hanging="357"/>
              <w:jc w:val="both"/>
              <w:rPr>
                <w:rFonts w:ascii="Times New Roman" w:eastAsia="Times New Roman" w:hAnsi="Times New Roman" w:cs="Times New Roman"/>
                <w:noProof/>
                <w:sz w:val="24"/>
                <w:szCs w:val="24"/>
              </w:rPr>
            </w:pPr>
            <w:r>
              <w:rPr>
                <w:rFonts w:ascii="Times New Roman" w:hAnsi="Times New Roman"/>
                <w:noProof/>
              </w:rPr>
              <w:t xml:space="preserve">przedłoży wniosek dotyczący </w:t>
            </w:r>
            <w:r>
              <w:rPr>
                <w:rFonts w:ascii="Times New Roman" w:hAnsi="Times New Roman"/>
                <w:b/>
                <w:noProof/>
              </w:rPr>
              <w:t>przeglądu</w:t>
            </w:r>
            <w:r>
              <w:rPr>
                <w:rFonts w:ascii="Times New Roman" w:hAnsi="Times New Roman"/>
                <w:noProof/>
              </w:rPr>
              <w:t xml:space="preserve"> </w:t>
            </w:r>
            <w:r>
              <w:rPr>
                <w:rFonts w:ascii="Times New Roman" w:hAnsi="Times New Roman"/>
                <w:b/>
                <w:noProof/>
              </w:rPr>
              <w:t>dyrektywy o audiowizualnych usługach medialnych</w:t>
            </w:r>
            <w:r>
              <w:rPr>
                <w:rFonts w:ascii="Times New Roman" w:hAnsi="Times New Roman"/>
                <w:noProof/>
              </w:rPr>
              <w:t xml:space="preserve"> </w:t>
            </w:r>
          </w:p>
          <w:p>
            <w:pPr>
              <w:numPr>
                <w:ilvl w:val="0"/>
                <w:numId w:val="3"/>
              </w:numPr>
              <w:spacing w:after="120"/>
              <w:ind w:left="714" w:hanging="357"/>
              <w:jc w:val="both"/>
              <w:rPr>
                <w:rFonts w:ascii="Times New Roman" w:eastAsia="Times New Roman" w:hAnsi="Times New Roman" w:cs="Times New Roman"/>
                <w:noProof/>
                <w:sz w:val="24"/>
                <w:szCs w:val="24"/>
              </w:rPr>
            </w:pPr>
            <w:r>
              <w:rPr>
                <w:rFonts w:ascii="Times New Roman" w:hAnsi="Times New Roman"/>
                <w:noProof/>
              </w:rPr>
              <w:t xml:space="preserve">przedstawi </w:t>
            </w:r>
            <w:r>
              <w:rPr>
                <w:rFonts w:ascii="Times New Roman" w:hAnsi="Times New Roman"/>
                <w:b/>
                <w:noProof/>
              </w:rPr>
              <w:t xml:space="preserve">plan działania na rzecz ochrony dzieci przed przestępczością </w:t>
            </w:r>
          </w:p>
          <w:p>
            <w:pPr>
              <w:numPr>
                <w:ilvl w:val="0"/>
                <w:numId w:val="3"/>
              </w:numPr>
              <w:spacing w:after="120"/>
              <w:ind w:left="714" w:hanging="357"/>
              <w:jc w:val="both"/>
              <w:rPr>
                <w:rFonts w:ascii="Times New Roman" w:eastAsia="Times New Roman" w:hAnsi="Times New Roman" w:cs="Times New Roman"/>
                <w:b/>
                <w:bCs/>
                <w:noProof/>
                <w:sz w:val="24"/>
                <w:szCs w:val="24"/>
              </w:rPr>
            </w:pPr>
            <w:r>
              <w:rPr>
                <w:rFonts w:ascii="Times New Roman" w:hAnsi="Times New Roman"/>
                <w:noProof/>
              </w:rPr>
              <w:t xml:space="preserve">przedstawi </w:t>
            </w:r>
            <w:r>
              <w:rPr>
                <w:rFonts w:ascii="Times New Roman" w:hAnsi="Times New Roman"/>
                <w:b/>
                <w:noProof/>
              </w:rPr>
              <w:t xml:space="preserve">pakiet edukacyjny </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quot;Aptos&quot;,sans-serif">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tab/>
    </w:r>
    <w:r>
      <w:rPr>
        <w:rFonts w:ascii="Arial" w:hAnsi="Arial" w:cs="Arial"/>
        <w:b/>
        <w:sz w:val="48"/>
      </w:rPr>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tab/>
    </w:r>
    <w:r>
      <w:rPr>
        <w:rFonts w:ascii="Arial" w:hAnsi="Arial" w:cs="Arial"/>
        <w:b/>
        <w:sz w:val="48"/>
      </w:rPr>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6330408"/>
      <w:docPartObj>
        <w:docPartGallery w:val="Page Numbers (Bottom of Page)"/>
        <w:docPartUnique/>
      </w:docPartObj>
    </w:sdtPr>
    <w:sdtEndPr>
      <w:rPr>
        <w:rFonts w:ascii="Times New Roman" w:hAnsi="Times New Roman" w:cs="Times New Roman"/>
        <w:noProof/>
        <w:sz w:val="20"/>
        <w:szCs w:val="20"/>
      </w:rPr>
    </w:sdtEndPr>
    <w:sdtContent>
      <w:p>
        <w:pPr>
          <w:pStyle w:val="Footer"/>
          <w:jc w:val="center"/>
          <w:rPr>
            <w:rFonts w:ascii="Times New Roman" w:hAnsi="Times New Roman" w:cs="Times New Roman"/>
            <w:sz w:val="20"/>
            <w:szCs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Pr>
            <w:rFonts w:ascii="Times New Roman" w:hAnsi="Times New Roman" w:cs="Times New Roman"/>
            <w:sz w:val="20"/>
          </w:rPr>
          <w:t>2</w:t>
        </w:r>
        <w:r>
          <w:rPr>
            <w:rFonts w:ascii="Times New Roman" w:hAnsi="Times New Roman" w:cs="Times New Roman"/>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hyperlink r:id="rId1" w:history="1">
        <w:r>
          <w:rPr>
            <w:rStyle w:val="Hyperlink"/>
            <w:rFonts w:ascii="Times New Roman" w:hAnsi="Times New Roman"/>
            <w:color w:val="auto"/>
            <w:u w:val="none"/>
          </w:rPr>
          <w:t>Wpływ spędzania zbyt dużej ilości czasu przed ekranem i na korzystaniu z mediów społecznościowych na zdrowie psychiczne młodych ludzi – czerwiec 2026 r. – badanie Eurobarometr</w:t>
        </w:r>
      </w:hyperlink>
      <w:r>
        <w:t>.</w:t>
      </w:r>
    </w:p>
  </w:footnote>
  <w:footnote w:id="2">
    <w:p>
      <w:pPr>
        <w:pStyle w:val="FootnoteText"/>
        <w:jc w:val="both"/>
        <w:rPr>
          <w:rFonts w:ascii="Times New Roman" w:hAnsi="Times New Roman"/>
        </w:rPr>
      </w:pPr>
      <w:r>
        <w:rPr>
          <w:rStyle w:val="FootnoteReference"/>
        </w:rPr>
        <w:footnoteRef/>
      </w:r>
      <w:r>
        <w:rPr>
          <w:rFonts w:ascii="Times New Roman" w:hAnsi="Times New Roman"/>
        </w:rPr>
        <w:t xml:space="preserve"> </w:t>
      </w:r>
      <w:r>
        <w:rPr>
          <w:rStyle w:val="Hyperlink"/>
          <w:rFonts w:ascii="Times New Roman" w:hAnsi="Times New Roman"/>
          <w:color w:val="0000FF"/>
        </w:rPr>
        <w:t>https://www.childlight.org/reports/itl-interim-update-2026</w:t>
      </w:r>
    </w:p>
  </w:footnote>
  <w:footnote w:id="3">
    <w:p>
      <w:pPr>
        <w:pStyle w:val="FootnoteText"/>
        <w:jc w:val="both"/>
        <w:rPr>
          <w:rFonts w:ascii="Times New Roman" w:eastAsia="Times New Roman" w:hAnsi="Times New Roman" w:cs="Times New Roman"/>
          <w:color w:val="008080"/>
          <w:u w:val="single"/>
        </w:rPr>
      </w:pPr>
      <w:r>
        <w:rPr>
          <w:rStyle w:val="FootnoteReference"/>
        </w:rPr>
        <w:footnoteRef/>
      </w:r>
      <w:r>
        <w:rPr>
          <w:rStyle w:val="FootnoteReference"/>
        </w:rPr>
        <w:t xml:space="preserve"> </w:t>
      </w:r>
      <w:r>
        <w:rPr>
          <w:rFonts w:ascii="Times New Roman" w:hAnsi="Times New Roman"/>
        </w:rPr>
        <w:t>Sieć współpracy w dziedzinie ochrony konsumentów zbadała na przykład w sprawie Star Stable Online kwestię nakłaniania dzieci do bezpośredniego zakupu, taktykę sprzedaży pod naciskiem i niejasne informacje na temat walut w grze i zwróciła się do tego przedsiębiorstwa o przedstawienie zobowiązań do poprawy jego praktyk. Sieć współpracy w dziedzinie ochrony konsumentów prowadzi ponadto skoordynowane działania przeciwko przedsiębiorstwom Temu i Shein w związku z naruszeniami prawa ochrony konsumentów dotyczącymi zwodniczych interfejsów, fałszywych zniżek i innych nieuczciwych praktyk handlowych.</w:t>
      </w:r>
    </w:p>
  </w:footnote>
  <w:footnote w:id="4">
    <w:p>
      <w:pPr>
        <w:pStyle w:val="FootnoteText"/>
        <w:jc w:val="both"/>
        <w:rPr>
          <w:rFonts w:ascii="Times New Roman" w:hAnsi="Times New Roman" w:cs="Times New Roman"/>
        </w:rPr>
      </w:pPr>
      <w:r>
        <w:rPr>
          <w:rStyle w:val="FootnoteReference"/>
        </w:rPr>
        <w:footnoteRef/>
      </w:r>
      <w:r>
        <w:rPr>
          <w:rFonts w:ascii="Times New Roman" w:hAnsi="Times New Roman"/>
        </w:rPr>
        <w:t xml:space="preserve"> Child safety online protecting and empowering minors in a digital world [Bezpieczeństwo dzieci w internecie – ochrona i wzmocnienie pozycji małoletnich w świecie cyfrowym], dostępne pod adresem: https://commission.europa.eu/document/download/d833504d-5ec3-4fac-945f-38e7d0bd5326_en?filename=Special-panel-report.pdf</w:t>
      </w:r>
    </w:p>
  </w:footnote>
  <w:footnote w:id="5">
    <w:p>
      <w:pPr>
        <w:pStyle w:val="FootnoteText"/>
        <w:rPr>
          <w:rFonts w:ascii="Times New Roman" w:hAnsi="Times New Roman" w:cs="Times New Roman"/>
        </w:rPr>
      </w:pPr>
      <w:r>
        <w:rPr>
          <w:rStyle w:val="FootnoteReference"/>
        </w:rPr>
        <w:footnoteRef/>
      </w:r>
      <w:r>
        <w:rPr>
          <w:rFonts w:ascii="Times New Roman" w:hAnsi="Times New Roman"/>
        </w:rPr>
        <w:t xml:space="preserve"> https://www.oag.state.va.us/media-center/news-releases/3105-attorney-general-jay-jones-announces-a-17-billion-landmark-settlement-with-meta-with-353-million-guaranteed-for-virginia</w:t>
      </w:r>
    </w:p>
  </w:footnote>
  <w:footnote w:id="6">
    <w:p>
      <w:pPr>
        <w:pStyle w:val="FootnoteText"/>
      </w:pPr>
      <w:r>
        <w:rPr>
          <w:rStyle w:val="FootnoteReference"/>
        </w:rPr>
        <w:footnoteRef/>
      </w:r>
      <w:r>
        <w:t xml:space="preserve"> </w:t>
      </w:r>
      <w:r>
        <w:rPr>
          <w:rFonts w:ascii="Times New Roman" w:hAnsi="Times New Roman"/>
        </w:rPr>
        <w:t>W 17 państwach członkowskich przygotowywane lub negocjowane są projekty aktów prawnych.</w:t>
      </w:r>
    </w:p>
  </w:footnote>
  <w:footnote w:id="7">
    <w:p>
      <w:pPr>
        <w:pStyle w:val="FootnoteText"/>
        <w:jc w:val="both"/>
        <w:rPr>
          <w:rFonts w:ascii="Times New Roman" w:hAnsi="Times New Roman" w:cs="Times New Roman"/>
        </w:rPr>
      </w:pPr>
      <w:r>
        <w:rPr>
          <w:rStyle w:val="FootnoteReference"/>
        </w:rPr>
        <w:footnoteRef/>
      </w:r>
      <w:r>
        <w:rPr>
          <w:rFonts w:ascii="Times New Roman" w:hAnsi="Times New Roman"/>
        </w:rPr>
        <w:t xml:space="preserve"> https://www.conseil-constitutionnel.fr/decision/2026/2026911DC.htm</w:t>
      </w:r>
    </w:p>
  </w:footnote>
  <w:footnote w:id="8">
    <w:p>
      <w:pPr>
        <w:pStyle w:val="FootnoteText"/>
        <w:jc w:val="both"/>
        <w:rPr>
          <w:rFonts w:ascii="Times New Roman" w:hAnsi="Times New Roman" w:cs="Times New Roman"/>
        </w:rPr>
      </w:pPr>
      <w:r>
        <w:rPr>
          <w:rStyle w:val="FootnoteReference"/>
        </w:rPr>
        <w:footnoteRef/>
      </w:r>
      <w:r>
        <w:rPr>
          <w:rFonts w:ascii="Times New Roman" w:hAnsi="Times New Roman"/>
        </w:rPr>
        <w:t xml:space="preserve"> Definicja rodzicielstwa będzie zgodna z przepisami krajowymi w każdym państwie członkowskim UE.</w:t>
      </w:r>
    </w:p>
  </w:footnote>
  <w:footnote w:id="9">
    <w:p>
      <w:pPr>
        <w:pStyle w:val="FootnoteText"/>
        <w:jc w:val="both"/>
        <w:rPr>
          <w:rFonts w:ascii="Times New Roman" w:hAnsi="Times New Roman"/>
        </w:rPr>
      </w:pPr>
      <w:r>
        <w:rPr>
          <w:rStyle w:val="FootnoteReference"/>
        </w:rPr>
        <w:footnoteRef/>
      </w:r>
      <w:r>
        <w:rPr>
          <w:rFonts w:ascii="Times New Roman" w:hAnsi="Times New Roman"/>
        </w:rPr>
        <w:t>Poparty następnie przez przywódców Brazylii, Egiptu, Kenii, Indii i Korei Południowej.</w:t>
      </w:r>
    </w:p>
  </w:footnote>
  <w:footnote w:id="1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Wspólny zbiór zasad G-7 definiujący bezpieczniejszą i lepiej chronioną przestrzeń cyfrową dla małoletnich.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9F66"/>
    <w:multiLevelType w:val="hybridMultilevel"/>
    <w:tmpl w:val="FFFFFFFF"/>
    <w:lvl w:ilvl="0" w:tplc="994EDDBA">
      <w:start w:val="1"/>
      <w:numFmt w:val="bullet"/>
      <w:lvlText w:val="-"/>
      <w:lvlJc w:val="left"/>
      <w:pPr>
        <w:ind w:left="720" w:hanging="360"/>
      </w:pPr>
      <w:rPr>
        <w:rFonts w:ascii="&quot;Aptos&quot;,sans-serif" w:hAnsi="&quot;Aptos&quot;,sans-serif" w:hint="default"/>
      </w:rPr>
    </w:lvl>
    <w:lvl w:ilvl="1" w:tplc="B6C2A0D2">
      <w:start w:val="1"/>
      <w:numFmt w:val="bullet"/>
      <w:lvlText w:val="o"/>
      <w:lvlJc w:val="left"/>
      <w:pPr>
        <w:ind w:left="1440" w:hanging="360"/>
      </w:pPr>
      <w:rPr>
        <w:rFonts w:ascii="Courier New" w:hAnsi="Courier New" w:hint="default"/>
      </w:rPr>
    </w:lvl>
    <w:lvl w:ilvl="2" w:tplc="04883986">
      <w:start w:val="1"/>
      <w:numFmt w:val="bullet"/>
      <w:lvlText w:val=""/>
      <w:lvlJc w:val="left"/>
      <w:pPr>
        <w:ind w:left="2160" w:hanging="360"/>
      </w:pPr>
      <w:rPr>
        <w:rFonts w:ascii="Wingdings" w:hAnsi="Wingdings" w:hint="default"/>
      </w:rPr>
    </w:lvl>
    <w:lvl w:ilvl="3" w:tplc="2A5ECB0A">
      <w:start w:val="1"/>
      <w:numFmt w:val="bullet"/>
      <w:lvlText w:val=""/>
      <w:lvlJc w:val="left"/>
      <w:pPr>
        <w:ind w:left="2880" w:hanging="360"/>
      </w:pPr>
      <w:rPr>
        <w:rFonts w:ascii="Symbol" w:hAnsi="Symbol" w:hint="default"/>
      </w:rPr>
    </w:lvl>
    <w:lvl w:ilvl="4" w:tplc="B2DACE1A">
      <w:start w:val="1"/>
      <w:numFmt w:val="bullet"/>
      <w:lvlText w:val="o"/>
      <w:lvlJc w:val="left"/>
      <w:pPr>
        <w:ind w:left="3600" w:hanging="360"/>
      </w:pPr>
      <w:rPr>
        <w:rFonts w:ascii="Courier New" w:hAnsi="Courier New" w:hint="default"/>
      </w:rPr>
    </w:lvl>
    <w:lvl w:ilvl="5" w:tplc="626AD61E">
      <w:start w:val="1"/>
      <w:numFmt w:val="bullet"/>
      <w:lvlText w:val=""/>
      <w:lvlJc w:val="left"/>
      <w:pPr>
        <w:ind w:left="4320" w:hanging="360"/>
      </w:pPr>
      <w:rPr>
        <w:rFonts w:ascii="Wingdings" w:hAnsi="Wingdings" w:hint="default"/>
      </w:rPr>
    </w:lvl>
    <w:lvl w:ilvl="6" w:tplc="B4F25930">
      <w:start w:val="1"/>
      <w:numFmt w:val="bullet"/>
      <w:lvlText w:val=""/>
      <w:lvlJc w:val="left"/>
      <w:pPr>
        <w:ind w:left="5040" w:hanging="360"/>
      </w:pPr>
      <w:rPr>
        <w:rFonts w:ascii="Symbol" w:hAnsi="Symbol" w:hint="default"/>
      </w:rPr>
    </w:lvl>
    <w:lvl w:ilvl="7" w:tplc="06A2DD1C">
      <w:start w:val="1"/>
      <w:numFmt w:val="bullet"/>
      <w:lvlText w:val="o"/>
      <w:lvlJc w:val="left"/>
      <w:pPr>
        <w:ind w:left="5760" w:hanging="360"/>
      </w:pPr>
      <w:rPr>
        <w:rFonts w:ascii="Courier New" w:hAnsi="Courier New" w:hint="default"/>
      </w:rPr>
    </w:lvl>
    <w:lvl w:ilvl="8" w:tplc="25E0667E">
      <w:start w:val="1"/>
      <w:numFmt w:val="bullet"/>
      <w:lvlText w:val=""/>
      <w:lvlJc w:val="left"/>
      <w:pPr>
        <w:ind w:left="6480" w:hanging="360"/>
      </w:pPr>
      <w:rPr>
        <w:rFonts w:ascii="Wingdings" w:hAnsi="Wingdings" w:hint="default"/>
      </w:rPr>
    </w:lvl>
  </w:abstractNum>
  <w:abstractNum w:abstractNumId="1" w15:restartNumberingAfterBreak="0">
    <w:nsid w:val="144250E1"/>
    <w:multiLevelType w:val="hybridMultilevel"/>
    <w:tmpl w:val="56A8D9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74D766E"/>
    <w:multiLevelType w:val="hybridMultilevel"/>
    <w:tmpl w:val="1C66CDCE"/>
    <w:lvl w:ilvl="0" w:tplc="10000001">
      <w:start w:val="1"/>
      <w:numFmt w:val="bullet"/>
      <w:lvlText w:val=""/>
      <w:lvlJc w:val="left"/>
      <w:pPr>
        <w:tabs>
          <w:tab w:val="num" w:pos="360"/>
        </w:tabs>
        <w:ind w:left="360" w:hanging="360"/>
      </w:pPr>
      <w:rPr>
        <w:rFonts w:ascii="Symbol" w:hAnsi="Symbol" w:hint="default"/>
      </w:rPr>
    </w:lvl>
    <w:lvl w:ilvl="1" w:tplc="FFFFFFFF">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2DEE20DC"/>
    <w:multiLevelType w:val="multilevel"/>
    <w:tmpl w:val="B5CCE40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4055E19"/>
    <w:multiLevelType w:val="hybridMultilevel"/>
    <w:tmpl w:val="25A44752"/>
    <w:lvl w:ilvl="0" w:tplc="C6F6494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394965C0"/>
    <w:multiLevelType w:val="multilevel"/>
    <w:tmpl w:val="A8485D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E0F7426"/>
    <w:multiLevelType w:val="hybridMultilevel"/>
    <w:tmpl w:val="6206E3EA"/>
    <w:lvl w:ilvl="0" w:tplc="380C870A">
      <w:start w:val="1"/>
      <w:numFmt w:val="bullet"/>
      <w:lvlText w:val="•"/>
      <w:lvlJc w:val="left"/>
      <w:pPr>
        <w:tabs>
          <w:tab w:val="num" w:pos="360"/>
        </w:tabs>
        <w:ind w:left="360" w:hanging="360"/>
      </w:pPr>
      <w:rPr>
        <w:rFonts w:ascii="Arial" w:hAnsi="Arial" w:hint="default"/>
      </w:rPr>
    </w:lvl>
    <w:lvl w:ilvl="1" w:tplc="18F81FC4">
      <w:numFmt w:val="bullet"/>
      <w:lvlText w:val="•"/>
      <w:lvlJc w:val="left"/>
      <w:pPr>
        <w:tabs>
          <w:tab w:val="num" w:pos="1080"/>
        </w:tabs>
        <w:ind w:left="1080" w:hanging="360"/>
      </w:pPr>
      <w:rPr>
        <w:rFonts w:ascii="Arial" w:hAnsi="Arial" w:hint="default"/>
      </w:rPr>
    </w:lvl>
    <w:lvl w:ilvl="2" w:tplc="0C32466E" w:tentative="1">
      <w:start w:val="1"/>
      <w:numFmt w:val="bullet"/>
      <w:lvlText w:val="•"/>
      <w:lvlJc w:val="left"/>
      <w:pPr>
        <w:tabs>
          <w:tab w:val="num" w:pos="1800"/>
        </w:tabs>
        <w:ind w:left="1800" w:hanging="360"/>
      </w:pPr>
      <w:rPr>
        <w:rFonts w:ascii="Arial" w:hAnsi="Arial" w:hint="default"/>
      </w:rPr>
    </w:lvl>
    <w:lvl w:ilvl="3" w:tplc="566A81EC" w:tentative="1">
      <w:start w:val="1"/>
      <w:numFmt w:val="bullet"/>
      <w:lvlText w:val="•"/>
      <w:lvlJc w:val="left"/>
      <w:pPr>
        <w:tabs>
          <w:tab w:val="num" w:pos="2520"/>
        </w:tabs>
        <w:ind w:left="2520" w:hanging="360"/>
      </w:pPr>
      <w:rPr>
        <w:rFonts w:ascii="Arial" w:hAnsi="Arial" w:hint="default"/>
      </w:rPr>
    </w:lvl>
    <w:lvl w:ilvl="4" w:tplc="BEA091E4" w:tentative="1">
      <w:start w:val="1"/>
      <w:numFmt w:val="bullet"/>
      <w:lvlText w:val="•"/>
      <w:lvlJc w:val="left"/>
      <w:pPr>
        <w:tabs>
          <w:tab w:val="num" w:pos="3240"/>
        </w:tabs>
        <w:ind w:left="3240" w:hanging="360"/>
      </w:pPr>
      <w:rPr>
        <w:rFonts w:ascii="Arial" w:hAnsi="Arial" w:hint="default"/>
      </w:rPr>
    </w:lvl>
    <w:lvl w:ilvl="5" w:tplc="42E6C010" w:tentative="1">
      <w:start w:val="1"/>
      <w:numFmt w:val="bullet"/>
      <w:lvlText w:val="•"/>
      <w:lvlJc w:val="left"/>
      <w:pPr>
        <w:tabs>
          <w:tab w:val="num" w:pos="3960"/>
        </w:tabs>
        <w:ind w:left="3960" w:hanging="360"/>
      </w:pPr>
      <w:rPr>
        <w:rFonts w:ascii="Arial" w:hAnsi="Arial" w:hint="default"/>
      </w:rPr>
    </w:lvl>
    <w:lvl w:ilvl="6" w:tplc="CA6C09E4" w:tentative="1">
      <w:start w:val="1"/>
      <w:numFmt w:val="bullet"/>
      <w:lvlText w:val="•"/>
      <w:lvlJc w:val="left"/>
      <w:pPr>
        <w:tabs>
          <w:tab w:val="num" w:pos="4680"/>
        </w:tabs>
        <w:ind w:left="4680" w:hanging="360"/>
      </w:pPr>
      <w:rPr>
        <w:rFonts w:ascii="Arial" w:hAnsi="Arial" w:hint="default"/>
      </w:rPr>
    </w:lvl>
    <w:lvl w:ilvl="7" w:tplc="BBF05E8A" w:tentative="1">
      <w:start w:val="1"/>
      <w:numFmt w:val="bullet"/>
      <w:lvlText w:val="•"/>
      <w:lvlJc w:val="left"/>
      <w:pPr>
        <w:tabs>
          <w:tab w:val="num" w:pos="5400"/>
        </w:tabs>
        <w:ind w:left="5400" w:hanging="360"/>
      </w:pPr>
      <w:rPr>
        <w:rFonts w:ascii="Arial" w:hAnsi="Arial" w:hint="default"/>
      </w:rPr>
    </w:lvl>
    <w:lvl w:ilvl="8" w:tplc="600E54EE"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49453BA7"/>
    <w:multiLevelType w:val="hybridMultilevel"/>
    <w:tmpl w:val="2B4C87C8"/>
    <w:lvl w:ilvl="0" w:tplc="9DC4D332">
      <w:start w:val="1"/>
      <w:numFmt w:val="decimal"/>
      <w:lvlText w:val="%1."/>
      <w:lvlJc w:val="left"/>
      <w:pPr>
        <w:ind w:left="720" w:hanging="360"/>
      </w:pPr>
    </w:lvl>
    <w:lvl w:ilvl="1" w:tplc="B7DAC8FA">
      <w:start w:val="1"/>
      <w:numFmt w:val="lowerLetter"/>
      <w:lvlText w:val="%2."/>
      <w:lvlJc w:val="left"/>
      <w:pPr>
        <w:ind w:left="1440" w:hanging="360"/>
      </w:pPr>
    </w:lvl>
    <w:lvl w:ilvl="2" w:tplc="C0203536">
      <w:start w:val="1"/>
      <w:numFmt w:val="lowerRoman"/>
      <w:lvlText w:val="%3."/>
      <w:lvlJc w:val="right"/>
      <w:pPr>
        <w:ind w:left="2160" w:hanging="180"/>
      </w:pPr>
    </w:lvl>
    <w:lvl w:ilvl="3" w:tplc="C122C6D0">
      <w:start w:val="1"/>
      <w:numFmt w:val="decimal"/>
      <w:lvlText w:val="%4."/>
      <w:lvlJc w:val="left"/>
      <w:pPr>
        <w:ind w:left="2880" w:hanging="360"/>
      </w:pPr>
    </w:lvl>
    <w:lvl w:ilvl="4" w:tplc="AC7A3C74">
      <w:start w:val="1"/>
      <w:numFmt w:val="lowerLetter"/>
      <w:lvlText w:val="%5."/>
      <w:lvlJc w:val="left"/>
      <w:pPr>
        <w:ind w:left="3600" w:hanging="360"/>
      </w:pPr>
    </w:lvl>
    <w:lvl w:ilvl="5" w:tplc="8EAAB2E0">
      <w:start w:val="1"/>
      <w:numFmt w:val="lowerRoman"/>
      <w:lvlText w:val="%6."/>
      <w:lvlJc w:val="right"/>
      <w:pPr>
        <w:ind w:left="4320" w:hanging="180"/>
      </w:pPr>
    </w:lvl>
    <w:lvl w:ilvl="6" w:tplc="BEA41994">
      <w:start w:val="1"/>
      <w:numFmt w:val="decimal"/>
      <w:lvlText w:val="%7."/>
      <w:lvlJc w:val="left"/>
      <w:pPr>
        <w:ind w:left="5040" w:hanging="360"/>
      </w:pPr>
    </w:lvl>
    <w:lvl w:ilvl="7" w:tplc="C902D42E">
      <w:start w:val="1"/>
      <w:numFmt w:val="lowerLetter"/>
      <w:lvlText w:val="%8."/>
      <w:lvlJc w:val="left"/>
      <w:pPr>
        <w:ind w:left="5760" w:hanging="360"/>
      </w:pPr>
    </w:lvl>
    <w:lvl w:ilvl="8" w:tplc="75E8AB6E">
      <w:start w:val="1"/>
      <w:numFmt w:val="lowerRoman"/>
      <w:lvlText w:val="%9."/>
      <w:lvlJc w:val="right"/>
      <w:pPr>
        <w:ind w:left="6480" w:hanging="180"/>
      </w:pPr>
    </w:lvl>
  </w:abstractNum>
  <w:abstractNum w:abstractNumId="8" w15:restartNumberingAfterBreak="0">
    <w:nsid w:val="4B2F1096"/>
    <w:multiLevelType w:val="hybridMultilevel"/>
    <w:tmpl w:val="C59EAFD6"/>
    <w:lvl w:ilvl="0" w:tplc="1000000F">
      <w:start w:val="4"/>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4E9A2E73"/>
    <w:multiLevelType w:val="hybridMultilevel"/>
    <w:tmpl w:val="54F48F24"/>
    <w:lvl w:ilvl="0" w:tplc="C93A2B1E">
      <w:start w:val="1"/>
      <w:numFmt w:val="bullet"/>
      <w:lvlText w:val=""/>
      <w:lvlJc w:val="left"/>
      <w:pPr>
        <w:ind w:left="2880" w:hanging="360"/>
      </w:pPr>
      <w:rPr>
        <w:rFonts w:ascii="Symbol" w:hAnsi="Symbol"/>
      </w:rPr>
    </w:lvl>
    <w:lvl w:ilvl="1" w:tplc="9710CDFA">
      <w:start w:val="1"/>
      <w:numFmt w:val="bullet"/>
      <w:lvlText w:val=""/>
      <w:lvlJc w:val="left"/>
      <w:pPr>
        <w:ind w:left="2880" w:hanging="360"/>
      </w:pPr>
      <w:rPr>
        <w:rFonts w:ascii="Symbol" w:hAnsi="Symbol"/>
      </w:rPr>
    </w:lvl>
    <w:lvl w:ilvl="2" w:tplc="82C8C184">
      <w:start w:val="1"/>
      <w:numFmt w:val="bullet"/>
      <w:lvlText w:val=""/>
      <w:lvlJc w:val="left"/>
      <w:pPr>
        <w:ind w:left="2880" w:hanging="360"/>
      </w:pPr>
      <w:rPr>
        <w:rFonts w:ascii="Symbol" w:hAnsi="Symbol"/>
      </w:rPr>
    </w:lvl>
    <w:lvl w:ilvl="3" w:tplc="9C60BB90">
      <w:start w:val="1"/>
      <w:numFmt w:val="bullet"/>
      <w:lvlText w:val=""/>
      <w:lvlJc w:val="left"/>
      <w:pPr>
        <w:ind w:left="2880" w:hanging="360"/>
      </w:pPr>
      <w:rPr>
        <w:rFonts w:ascii="Symbol" w:hAnsi="Symbol"/>
      </w:rPr>
    </w:lvl>
    <w:lvl w:ilvl="4" w:tplc="2FEA8EFA">
      <w:start w:val="1"/>
      <w:numFmt w:val="bullet"/>
      <w:lvlText w:val=""/>
      <w:lvlJc w:val="left"/>
      <w:pPr>
        <w:ind w:left="2880" w:hanging="360"/>
      </w:pPr>
      <w:rPr>
        <w:rFonts w:ascii="Symbol" w:hAnsi="Symbol"/>
      </w:rPr>
    </w:lvl>
    <w:lvl w:ilvl="5" w:tplc="A4DAC00E">
      <w:start w:val="1"/>
      <w:numFmt w:val="bullet"/>
      <w:lvlText w:val=""/>
      <w:lvlJc w:val="left"/>
      <w:pPr>
        <w:ind w:left="2880" w:hanging="360"/>
      </w:pPr>
      <w:rPr>
        <w:rFonts w:ascii="Symbol" w:hAnsi="Symbol"/>
      </w:rPr>
    </w:lvl>
    <w:lvl w:ilvl="6" w:tplc="6206F594">
      <w:start w:val="1"/>
      <w:numFmt w:val="bullet"/>
      <w:lvlText w:val=""/>
      <w:lvlJc w:val="left"/>
      <w:pPr>
        <w:ind w:left="2880" w:hanging="360"/>
      </w:pPr>
      <w:rPr>
        <w:rFonts w:ascii="Symbol" w:hAnsi="Symbol"/>
      </w:rPr>
    </w:lvl>
    <w:lvl w:ilvl="7" w:tplc="E8163ED8">
      <w:start w:val="1"/>
      <w:numFmt w:val="bullet"/>
      <w:lvlText w:val=""/>
      <w:lvlJc w:val="left"/>
      <w:pPr>
        <w:ind w:left="2880" w:hanging="360"/>
      </w:pPr>
      <w:rPr>
        <w:rFonts w:ascii="Symbol" w:hAnsi="Symbol"/>
      </w:rPr>
    </w:lvl>
    <w:lvl w:ilvl="8" w:tplc="7448633E">
      <w:start w:val="1"/>
      <w:numFmt w:val="bullet"/>
      <w:lvlText w:val=""/>
      <w:lvlJc w:val="left"/>
      <w:pPr>
        <w:ind w:left="2880" w:hanging="360"/>
      </w:pPr>
      <w:rPr>
        <w:rFonts w:ascii="Symbol" w:hAnsi="Symbol"/>
      </w:rPr>
    </w:lvl>
  </w:abstractNum>
  <w:abstractNum w:abstractNumId="10" w15:restartNumberingAfterBreak="0">
    <w:nsid w:val="50B87794"/>
    <w:multiLevelType w:val="hybridMultilevel"/>
    <w:tmpl w:val="86CE213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57FF2295"/>
    <w:multiLevelType w:val="hybridMultilevel"/>
    <w:tmpl w:val="3D042F82"/>
    <w:lvl w:ilvl="0" w:tplc="FFFFFFFF">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0B7B8D"/>
    <w:multiLevelType w:val="multilevel"/>
    <w:tmpl w:val="3C2CBDC4"/>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79712E2A"/>
    <w:multiLevelType w:val="hybridMultilevel"/>
    <w:tmpl w:val="0F300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13"/>
  </w:num>
  <w:num w:numId="5">
    <w:abstractNumId w:val="11"/>
  </w:num>
  <w:num w:numId="6">
    <w:abstractNumId w:val="4"/>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0"/>
  </w:num>
  <w:num w:numId="12">
    <w:abstractNumId w:val="8"/>
  </w:num>
  <w:num w:numId="13">
    <w:abstractNumId w:val="0"/>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C54ACE50-8F44-4EA2-92A2-E9FF94FC400D"/>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ksela, dnia "/>
    <w:docVar w:name="LW_EMISSION_SUFFIX" w:val=" r."/>
    <w:docVar w:name="LW_ID_DOCTYPE_NONLW" w:val="CP-012"/>
    <w:docVar w:name="LW_LANGUE" w:val="PL"/>
    <w:docVar w:name="LW_LEVEL_OF_SENSITIVITY" w:val="Standard treatment"/>
    <w:docVar w:name="LW_NOM.INST" w:val="KOMISJA EUROPEJSKA"/>
    <w:docVar w:name="LW_NOM.INST_JOINTDOC" w:val="&lt;EMPTY&gt;"/>
    <w:docVar w:name="LW_PART_NBR" w:val="1"/>
    <w:docVar w:name="LW_PART_NBR_TOTAL" w:val="1"/>
    <w:docVar w:name="LW_REF.INST.NEW" w:val="COM"/>
    <w:docVar w:name="LW_REF.INST.NEW_ADOPTED" w:val="final"/>
    <w:docVar w:name="LW_REF.INST.NEW_TEXT" w:val="(2026) 6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dej\u347?cie UE do bezpiecze\u324?stwa dzieci w internecie_x000d__x000d__x000d__x000d__x000d__x000d__x000d__x000d__x000b_"/>
    <w:docVar w:name="LW_TYPE.DOC.CP" w:val="KOMUNIKAT KOMISJI DO PARLAMENTU EUROPEJSKIEGO I RADY"/>
    <w:docVar w:name="LW_TYPE.DOC.CP.USERTEXT" w:val="&lt;EMPTY&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87C0848F-1B37-4A09-B791-8B85DD058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rFonts w:ascii="Times New Roman" w:hAnsi="Times New Roman" w:cs="Times New Roman"/>
      <w:vertAlign w:val="superscript"/>
      <w:lang w:val="pl-PL"/>
    </w:rPr>
  </w:style>
  <w:style w:type="paragraph" w:customStyle="1" w:styleId="CharCharChar1">
    <w:name w:val="Char Char Char1"/>
    <w:basedOn w:val="Normal"/>
    <w:link w:val="FootnoteReference"/>
    <w:uiPriority w:val="99"/>
    <w:pPr>
      <w:spacing w:before="120" w:after="120" w:line="240" w:lineRule="exact"/>
      <w:jc w:val="both"/>
    </w:pPr>
    <w:rPr>
      <w:rFonts w:ascii="Times New Roman" w:hAnsi="Times New Roman" w:cs="Times New Roman"/>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table" w:styleId="TableGrid">
    <w:name w:val="Table Grid"/>
    <w:basedOn w:val="TableNormal"/>
    <w:uiPriority w:val="3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467886"/>
      <w:u w:val="single"/>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6607D" w:themeColor="followedHyperlink"/>
      <w:u w:val="single"/>
    </w:rPr>
  </w:style>
  <w:style w:type="character" w:styleId="Mention">
    <w:name w:val="Mention"/>
    <w:basedOn w:val="DefaultParagraphFont"/>
    <w:uiPriority w:val="99"/>
    <w:unhideWhenUsed/>
    <w:rPr>
      <w:color w:val="2B579A"/>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opa.eu/eurobarometer/surveys/detail/36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D39EE-7A59-4D4A-8510-CB404E34C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4710</Words>
  <Characters>26848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8</cp:revision>
  <dcterms:created xsi:type="dcterms:W3CDTF">2026-09-15T15:03:00Z</dcterms:created>
  <dcterms:modified xsi:type="dcterms:W3CDTF">2026-09-17T08:10:00Z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2026-09-15T14:12:19Z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b24a1a61-0cbc-4f29-81aa-69fcd1a88a09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y name="OP_sanitized" fmtid="{D5CDD505-2E9C-101B-9397-08002B2CF9AE}" pid="16">
    <vt:lpwstr>True</vt:lpwstr>
  </property>
</Properties>
</file>