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4F267" w14:textId="6E626485" w:rsidR="0026613F" w:rsidRPr="0038139B" w:rsidRDefault="00EE3624" w:rsidP="00EE3624">
      <w:pPr>
        <w:pStyle w:val="Pagedecouverture"/>
        <w:rPr>
          <w:noProof/>
        </w:rPr>
      </w:pPr>
      <w:bookmarkStart w:id="0" w:name="LW_BM_COVERPAGE"/>
      <w:r>
        <w:rPr>
          <w:noProof/>
        </w:rPr>
        <w:pict w14:anchorId="4EAE3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ABFA23C-6CEE-4142-8B41-0353CEB664E3" style="width:455.25pt;height:426.75pt">
            <v:imagedata r:id="rId11" o:title=""/>
          </v:shape>
        </w:pict>
      </w:r>
    </w:p>
    <w:bookmarkEnd w:id="0"/>
    <w:p w14:paraId="08944D69" w14:textId="77777777" w:rsidR="0026613F" w:rsidRPr="0038139B" w:rsidRDefault="0026613F" w:rsidP="0026613F">
      <w:pPr>
        <w:rPr>
          <w:noProof/>
        </w:rPr>
        <w:sectPr w:rsidR="0026613F" w:rsidRPr="0038139B" w:rsidSect="00EE362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A44E189" w14:textId="3F19EB26" w:rsidR="00F31280" w:rsidRPr="0038139B" w:rsidRDefault="00785570" w:rsidP="009A4EAF">
      <w:pPr>
        <w:pStyle w:val="Sections"/>
        <w:jc w:val="both"/>
        <w:rPr>
          <w:rFonts w:ascii="Times New Roman" w:hAnsi="Times New Roman"/>
          <w:noProof/>
        </w:rPr>
      </w:pPr>
      <w:bookmarkStart w:id="1" w:name="_GoBack"/>
      <w:bookmarkEnd w:id="1"/>
      <w:r w:rsidRPr="0038139B">
        <w:rPr>
          <w:rFonts w:ascii="Times New Roman" w:hAnsi="Times New Roman"/>
          <w:noProof/>
        </w:rPr>
        <w:lastRenderedPageBreak/>
        <w:t xml:space="preserve">Zasadność działań </w:t>
      </w:r>
    </w:p>
    <w:p w14:paraId="7DF167B4" w14:textId="76C5A5CB" w:rsidR="00785570" w:rsidRPr="0038139B" w:rsidRDefault="00785570" w:rsidP="009A4EAF">
      <w:pPr>
        <w:pStyle w:val="Sub-sections"/>
        <w:jc w:val="both"/>
        <w:rPr>
          <w:rFonts w:ascii="Times New Roman" w:hAnsi="Times New Roman"/>
          <w:noProof/>
        </w:rPr>
      </w:pPr>
      <w:r w:rsidRPr="0038139B">
        <w:rPr>
          <w:rFonts w:ascii="Times New Roman" w:hAnsi="Times New Roman"/>
          <w:noProof/>
        </w:rPr>
        <w:t xml:space="preserve">Dlaczego należy podjąć działania? Na czym polega problem? </w:t>
      </w:r>
    </w:p>
    <w:p w14:paraId="519436CC" w14:textId="1654D168" w:rsidR="006C0989" w:rsidRPr="0038139B" w:rsidRDefault="006C0989" w:rsidP="009A4EAF">
      <w:pPr>
        <w:pStyle w:val="ListBullet"/>
        <w:tabs>
          <w:tab w:val="clear" w:pos="283"/>
        </w:tabs>
        <w:ind w:left="0" w:firstLine="1"/>
        <w:rPr>
          <w:noProof/>
        </w:rPr>
      </w:pPr>
      <w:r w:rsidRPr="0038139B">
        <w:rPr>
          <w:noProof/>
        </w:rPr>
        <w:t>Główną przyczyną zgonów związanych</w:t>
      </w:r>
      <w:r w:rsidR="0038139B" w:rsidRPr="0038139B">
        <w:rPr>
          <w:noProof/>
        </w:rPr>
        <w:t xml:space="preserve"> z pra</w:t>
      </w:r>
      <w:r w:rsidRPr="0038139B">
        <w:rPr>
          <w:noProof/>
        </w:rPr>
        <w:t>cą w UE nadal są nowotwory,</w:t>
      </w:r>
      <w:r w:rsidR="0038139B" w:rsidRPr="0038139B">
        <w:rPr>
          <w:noProof/>
        </w:rPr>
        <w:t xml:space="preserve"> a dru</w:t>
      </w:r>
      <w:r w:rsidRPr="0038139B">
        <w:rPr>
          <w:noProof/>
        </w:rPr>
        <w:t>gą najczęstszą przyczynę stanowią choroby układu krążenia. Szacuje się, że co roku</w:t>
      </w:r>
      <w:r w:rsidR="0038139B" w:rsidRPr="0038139B">
        <w:rPr>
          <w:noProof/>
        </w:rPr>
        <w:t xml:space="preserve"> z pow</w:t>
      </w:r>
      <w:r w:rsidRPr="0038139B">
        <w:rPr>
          <w:noProof/>
        </w:rPr>
        <w:t>odu narażenia na działanie czynników rakotwórczych</w:t>
      </w:r>
      <w:r w:rsidR="0038139B" w:rsidRPr="0038139B">
        <w:rPr>
          <w:noProof/>
        </w:rPr>
        <w:t xml:space="preserve"> w mie</w:t>
      </w:r>
      <w:r w:rsidRPr="0038139B">
        <w:rPr>
          <w:noProof/>
        </w:rPr>
        <w:t>jscu pracy w UE życie traci około 80 000 osób</w:t>
      </w:r>
      <w:r w:rsidRPr="0038139B">
        <w:rPr>
          <w:rStyle w:val="FootnoteReference"/>
          <w:noProof/>
        </w:rPr>
        <w:footnoteReference w:id="2"/>
      </w:r>
      <w:r w:rsidRPr="0038139B">
        <w:rPr>
          <w:noProof/>
        </w:rPr>
        <w:t xml:space="preserve">. </w:t>
      </w:r>
    </w:p>
    <w:p w14:paraId="6E55E186" w14:textId="1C1150AD" w:rsidR="006C0989" w:rsidRPr="0038139B" w:rsidRDefault="006C0989" w:rsidP="009A4EAF">
      <w:pPr>
        <w:pStyle w:val="ListBullet"/>
        <w:tabs>
          <w:tab w:val="clear" w:pos="283"/>
        </w:tabs>
        <w:ind w:left="0" w:firstLine="1"/>
        <w:rPr>
          <w:noProof/>
        </w:rPr>
      </w:pPr>
      <w:r w:rsidRPr="0038139B">
        <w:rPr>
          <w:noProof/>
        </w:rPr>
        <w:t>Aby poprawić zapobieganie chorobom zawodowym w UE, Komisja stale aktualizuje dyrektywę 2004/37/WE</w:t>
      </w:r>
      <w:r w:rsidR="0038139B" w:rsidRPr="0038139B">
        <w:rPr>
          <w:noProof/>
        </w:rPr>
        <w:t xml:space="preserve"> w spr</w:t>
      </w:r>
      <w:r w:rsidRPr="0038139B">
        <w:rPr>
          <w:noProof/>
        </w:rPr>
        <w:t>awie czynników rakotwórczych, mutagenów</w:t>
      </w:r>
      <w:r w:rsidR="0038139B" w:rsidRPr="0038139B">
        <w:rPr>
          <w:noProof/>
        </w:rPr>
        <w:t xml:space="preserve"> i sub</w:t>
      </w:r>
      <w:r w:rsidRPr="0038139B">
        <w:rPr>
          <w:noProof/>
        </w:rPr>
        <w:t>stancji reprotoksycznych</w:t>
      </w:r>
      <w:r w:rsidRPr="0038139B">
        <w:rPr>
          <w:rStyle w:val="FootnoteReference"/>
          <w:noProof/>
        </w:rPr>
        <w:footnoteReference w:id="3"/>
      </w:r>
      <w:r w:rsidRPr="0038139B">
        <w:rPr>
          <w:noProof/>
        </w:rPr>
        <w:t>. Ten proces przeglądu przyczynia się do dalszego ograniczania występowania chorób zawodowych w UE dzięki poprawie zapobiegania, które stanowi kluczowy cel strategicznych ram UE dotyczących bezpieczeństwa</w:t>
      </w:r>
      <w:r w:rsidR="0038139B" w:rsidRPr="0038139B">
        <w:rPr>
          <w:noProof/>
        </w:rPr>
        <w:t xml:space="preserve"> i hig</w:t>
      </w:r>
      <w:r w:rsidRPr="0038139B">
        <w:rPr>
          <w:noProof/>
        </w:rPr>
        <w:t>ieny pracy na lata 2021–2027</w:t>
      </w:r>
      <w:r w:rsidRPr="0038139B">
        <w:rPr>
          <w:rStyle w:val="FootnoteReference"/>
          <w:noProof/>
        </w:rPr>
        <w:footnoteReference w:id="4"/>
      </w:r>
      <w:r w:rsidRPr="0038139B">
        <w:rPr>
          <w:noProof/>
        </w:rPr>
        <w:t xml:space="preserve"> („strategiczne ramy UE dotyczące BHP”).</w:t>
      </w:r>
    </w:p>
    <w:p w14:paraId="05172E90" w14:textId="56F177A8" w:rsidR="008D5DA6" w:rsidRPr="0038139B" w:rsidRDefault="00D82033" w:rsidP="009A4EAF">
      <w:pPr>
        <w:pStyle w:val="ListBullet"/>
        <w:tabs>
          <w:tab w:val="clear" w:pos="283"/>
        </w:tabs>
        <w:spacing w:after="60"/>
        <w:ind w:left="0" w:firstLine="1"/>
        <w:rPr>
          <w:noProof/>
        </w:rPr>
      </w:pPr>
      <w:r w:rsidRPr="0038139B">
        <w:rPr>
          <w:noProof/>
        </w:rPr>
        <w:t>W ramach 6. przeglądu dyrektywy</w:t>
      </w:r>
      <w:r w:rsidR="0038139B" w:rsidRPr="0038139B">
        <w:rPr>
          <w:noProof/>
        </w:rPr>
        <w:t xml:space="preserve"> w spr</w:t>
      </w:r>
      <w:r w:rsidRPr="0038139B">
        <w:rPr>
          <w:noProof/>
        </w:rPr>
        <w:t>awie czynników rakotwórczych, mutagenów</w:t>
      </w:r>
      <w:r w:rsidR="0038139B" w:rsidRPr="0038139B">
        <w:rPr>
          <w:noProof/>
        </w:rPr>
        <w:t xml:space="preserve"> i sub</w:t>
      </w:r>
      <w:r w:rsidRPr="0038139B">
        <w:rPr>
          <w:noProof/>
        </w:rPr>
        <w:t>stancji reprotoksycznych</w:t>
      </w:r>
      <w:r w:rsidR="0038139B" w:rsidRPr="0038139B">
        <w:rPr>
          <w:noProof/>
        </w:rPr>
        <w:t xml:space="preserve"> w nas</w:t>
      </w:r>
      <w:r w:rsidRPr="0038139B">
        <w:rPr>
          <w:noProof/>
        </w:rPr>
        <w:t>tępstwie dyskusji</w:t>
      </w:r>
      <w:r w:rsidR="0038139B" w:rsidRPr="0038139B">
        <w:rPr>
          <w:noProof/>
        </w:rPr>
        <w:t xml:space="preserve"> z czł</w:t>
      </w:r>
      <w:r w:rsidRPr="0038139B">
        <w:rPr>
          <w:noProof/>
        </w:rPr>
        <w:t>onkami grupy roboczej ds. chemikaliów Komitetu Doradczego ds. Bezpieczeństwa</w:t>
      </w:r>
      <w:r w:rsidR="0038139B" w:rsidRPr="0038139B">
        <w:rPr>
          <w:noProof/>
        </w:rPr>
        <w:t xml:space="preserve"> i Och</w:t>
      </w:r>
      <w:r w:rsidRPr="0038139B">
        <w:rPr>
          <w:noProof/>
        </w:rPr>
        <w:t>rony Zdrowia</w:t>
      </w:r>
      <w:r w:rsidR="0038139B" w:rsidRPr="0038139B">
        <w:rPr>
          <w:noProof/>
        </w:rPr>
        <w:t xml:space="preserve"> w Mie</w:t>
      </w:r>
      <w:r w:rsidRPr="0038139B">
        <w:rPr>
          <w:noProof/>
        </w:rPr>
        <w:t>jscu Pracy (ACSH) Komisja uznała następujących pięć substancji, grup substancji lub substancji powstających</w:t>
      </w:r>
      <w:r w:rsidR="0038139B" w:rsidRPr="0038139B">
        <w:rPr>
          <w:noProof/>
        </w:rPr>
        <w:t xml:space="preserve"> w wyn</w:t>
      </w:r>
      <w:r w:rsidRPr="0038139B">
        <w:rPr>
          <w:noProof/>
        </w:rPr>
        <w:t xml:space="preserve">iku procesów technologicznych za priorytetowe pod względem podjęcia ewentualnych działań: </w:t>
      </w:r>
    </w:p>
    <w:p w14:paraId="7F1C6CAE" w14:textId="00A7BF87" w:rsidR="00C51673" w:rsidRPr="0038139B" w:rsidRDefault="00C51673" w:rsidP="009A4EAF">
      <w:pPr>
        <w:pStyle w:val="ListParagraph"/>
        <w:numPr>
          <w:ilvl w:val="0"/>
          <w:numId w:val="2"/>
        </w:numPr>
        <w:spacing w:after="60" w:line="256" w:lineRule="auto"/>
        <w:jc w:val="both"/>
        <w:rPr>
          <w:rFonts w:ascii="Times New Roman" w:hAnsi="Times New Roman" w:cs="Times New Roman"/>
          <w:noProof/>
          <w:sz w:val="24"/>
          <w:szCs w:val="24"/>
        </w:rPr>
      </w:pPr>
      <w:r w:rsidRPr="0038139B">
        <w:rPr>
          <w:rFonts w:ascii="Times New Roman" w:hAnsi="Times New Roman"/>
          <w:noProof/>
          <w:sz w:val="24"/>
        </w:rPr>
        <w:t>ustalenie wartości dopuszczalnych</w:t>
      </w:r>
      <w:r w:rsidR="0038139B" w:rsidRPr="0038139B">
        <w:rPr>
          <w:rFonts w:ascii="Times New Roman" w:hAnsi="Times New Roman"/>
          <w:noProof/>
          <w:sz w:val="24"/>
        </w:rPr>
        <w:t xml:space="preserve"> w odn</w:t>
      </w:r>
      <w:r w:rsidRPr="0038139B">
        <w:rPr>
          <w:rFonts w:ascii="Times New Roman" w:hAnsi="Times New Roman"/>
          <w:noProof/>
          <w:sz w:val="24"/>
        </w:rPr>
        <w:t>iesieniu do: kobaltu</w:t>
      </w:r>
      <w:r w:rsidR="0038139B" w:rsidRPr="0038139B">
        <w:rPr>
          <w:rFonts w:ascii="Times New Roman" w:hAnsi="Times New Roman"/>
          <w:noProof/>
          <w:sz w:val="24"/>
        </w:rPr>
        <w:t xml:space="preserve"> i nie</w:t>
      </w:r>
      <w:r w:rsidRPr="0038139B">
        <w:rPr>
          <w:rFonts w:ascii="Times New Roman" w:hAnsi="Times New Roman"/>
          <w:noProof/>
          <w:sz w:val="24"/>
        </w:rPr>
        <w:t>organicznych związków kobaltu, wielopierścieniowych węglowodorów aromatycznych („WWA”), 1,4-dioksanu</w:t>
      </w:r>
      <w:r w:rsidR="0038139B" w:rsidRPr="0038139B">
        <w:rPr>
          <w:rFonts w:ascii="Times New Roman" w:hAnsi="Times New Roman"/>
          <w:noProof/>
          <w:sz w:val="24"/>
        </w:rPr>
        <w:t xml:space="preserve"> i izo</w:t>
      </w:r>
      <w:r w:rsidRPr="0038139B">
        <w:rPr>
          <w:rFonts w:ascii="Times New Roman" w:hAnsi="Times New Roman"/>
          <w:noProof/>
          <w:sz w:val="24"/>
        </w:rPr>
        <w:t>prenu; oraz</w:t>
      </w:r>
    </w:p>
    <w:p w14:paraId="0CA34A47" w14:textId="5F7290FB" w:rsidR="00C51673" w:rsidRPr="0038139B" w:rsidRDefault="00C51673" w:rsidP="009A4EAF">
      <w:pPr>
        <w:pStyle w:val="ListParagraph"/>
        <w:numPr>
          <w:ilvl w:val="0"/>
          <w:numId w:val="2"/>
        </w:numPr>
        <w:spacing w:after="240" w:line="256" w:lineRule="auto"/>
        <w:jc w:val="both"/>
        <w:rPr>
          <w:rFonts w:ascii="Times New Roman" w:hAnsi="Times New Roman" w:cs="Times New Roman"/>
          <w:noProof/>
          <w:sz w:val="24"/>
          <w:szCs w:val="24"/>
        </w:rPr>
      </w:pPr>
      <w:r w:rsidRPr="0038139B">
        <w:rPr>
          <w:rFonts w:ascii="Times New Roman" w:hAnsi="Times New Roman"/>
          <w:noProof/>
          <w:sz w:val="24"/>
        </w:rPr>
        <w:t>objęcie zakresem dyrektywy</w:t>
      </w:r>
      <w:r w:rsidR="0038139B" w:rsidRPr="0038139B">
        <w:rPr>
          <w:rFonts w:ascii="Times New Roman" w:hAnsi="Times New Roman"/>
          <w:noProof/>
          <w:sz w:val="24"/>
        </w:rPr>
        <w:t xml:space="preserve"> w spr</w:t>
      </w:r>
      <w:r w:rsidRPr="0038139B">
        <w:rPr>
          <w:rFonts w:ascii="Times New Roman" w:hAnsi="Times New Roman"/>
          <w:noProof/>
          <w:sz w:val="24"/>
        </w:rPr>
        <w:t>awie czynników rakotwórczych, mutagenów</w:t>
      </w:r>
      <w:r w:rsidR="0038139B" w:rsidRPr="0038139B">
        <w:rPr>
          <w:rFonts w:ascii="Times New Roman" w:hAnsi="Times New Roman"/>
          <w:noProof/>
          <w:sz w:val="24"/>
        </w:rPr>
        <w:t xml:space="preserve"> i sub</w:t>
      </w:r>
      <w:r w:rsidRPr="0038139B">
        <w:rPr>
          <w:rFonts w:ascii="Times New Roman" w:hAnsi="Times New Roman"/>
          <w:noProof/>
          <w:sz w:val="24"/>
        </w:rPr>
        <w:t>stancji reprotoksycznych za pośrednictwem jej załącznika I: dymu spawalniczego.</w:t>
      </w:r>
    </w:p>
    <w:p w14:paraId="1560D7C6" w14:textId="4D956BE7" w:rsidR="000E06DE" w:rsidRPr="0038139B" w:rsidRDefault="009D7EC8" w:rsidP="009A4EAF">
      <w:pPr>
        <w:spacing w:after="240" w:line="256" w:lineRule="auto"/>
        <w:jc w:val="both"/>
        <w:rPr>
          <w:rFonts w:ascii="Times New Roman" w:hAnsi="Times New Roman" w:cs="Times New Roman"/>
          <w:noProof/>
          <w:sz w:val="24"/>
          <w:szCs w:val="24"/>
        </w:rPr>
      </w:pPr>
      <w:r w:rsidRPr="0038139B">
        <w:rPr>
          <w:rFonts w:ascii="Times New Roman" w:hAnsi="Times New Roman"/>
          <w:noProof/>
          <w:sz w:val="24"/>
        </w:rPr>
        <w:t>Ze zgromadzonych dowodów</w:t>
      </w:r>
      <w:r w:rsidRPr="0038139B">
        <w:rPr>
          <w:rStyle w:val="FootnoteReference"/>
          <w:rFonts w:ascii="Times New Roman" w:hAnsi="Times New Roman" w:cs="Times New Roman"/>
          <w:noProof/>
          <w:sz w:val="24"/>
          <w:szCs w:val="24"/>
        </w:rPr>
        <w:footnoteReference w:id="5"/>
      </w:r>
      <w:r w:rsidRPr="0038139B">
        <w:rPr>
          <w:rFonts w:ascii="Times New Roman" w:hAnsi="Times New Roman"/>
          <w:noProof/>
          <w:sz w:val="24"/>
        </w:rPr>
        <w:t xml:space="preserve"> wynika, że ponad 2,6 mln pracowników w UE jest narażonych na działanie jednej</w:t>
      </w:r>
      <w:r w:rsidR="0038139B" w:rsidRPr="0038139B">
        <w:rPr>
          <w:rFonts w:ascii="Times New Roman" w:hAnsi="Times New Roman"/>
          <w:noProof/>
          <w:sz w:val="24"/>
        </w:rPr>
        <w:t xml:space="preserve"> z tyc</w:t>
      </w:r>
      <w:r w:rsidRPr="0038139B">
        <w:rPr>
          <w:rFonts w:ascii="Times New Roman" w:hAnsi="Times New Roman"/>
          <w:noProof/>
          <w:sz w:val="24"/>
        </w:rPr>
        <w:t>h pięciu substancji</w:t>
      </w:r>
      <w:r w:rsidR="0038139B" w:rsidRPr="0038139B">
        <w:rPr>
          <w:rFonts w:ascii="Times New Roman" w:hAnsi="Times New Roman"/>
          <w:noProof/>
          <w:sz w:val="24"/>
        </w:rPr>
        <w:t>. W prz</w:t>
      </w:r>
      <w:r w:rsidRPr="0038139B">
        <w:rPr>
          <w:rFonts w:ascii="Times New Roman" w:hAnsi="Times New Roman"/>
          <w:noProof/>
          <w:sz w:val="24"/>
        </w:rPr>
        <w:t>ypadku braku działań na poziomie UE</w:t>
      </w:r>
      <w:r w:rsidR="0038139B" w:rsidRPr="0038139B">
        <w:rPr>
          <w:rFonts w:ascii="Times New Roman" w:hAnsi="Times New Roman"/>
          <w:noProof/>
          <w:sz w:val="24"/>
        </w:rPr>
        <w:t xml:space="preserve"> w cią</w:t>
      </w:r>
      <w:r w:rsidRPr="0038139B">
        <w:rPr>
          <w:rFonts w:ascii="Times New Roman" w:hAnsi="Times New Roman"/>
          <w:noProof/>
          <w:sz w:val="24"/>
        </w:rPr>
        <w:t>gu najbliższych 40 lat sytuacja ta doprowadziłaby do ponad 29 000 przypadków raka płuc</w:t>
      </w:r>
      <w:r w:rsidRPr="0038139B">
        <w:rPr>
          <w:rStyle w:val="FootnoteReference"/>
          <w:rFonts w:ascii="Times New Roman" w:hAnsi="Times New Roman" w:cs="Times New Roman"/>
          <w:noProof/>
          <w:sz w:val="24"/>
          <w:szCs w:val="24"/>
        </w:rPr>
        <w:footnoteReference w:id="6"/>
      </w:r>
      <w:r w:rsidR="0038139B" w:rsidRPr="0038139B">
        <w:rPr>
          <w:rFonts w:ascii="Times New Roman" w:hAnsi="Times New Roman"/>
          <w:noProof/>
          <w:sz w:val="24"/>
        </w:rPr>
        <w:t xml:space="preserve"> i 2</w:t>
      </w:r>
      <w:r w:rsidRPr="0038139B">
        <w:rPr>
          <w:rFonts w:ascii="Times New Roman" w:hAnsi="Times New Roman"/>
          <w:noProof/>
          <w:sz w:val="24"/>
        </w:rPr>
        <w:t xml:space="preserve">7 000 zachorowań innych niż na nowotwory. </w:t>
      </w:r>
    </w:p>
    <w:p w14:paraId="6212C934" w14:textId="48B9523B" w:rsidR="0029354D" w:rsidRPr="0038139B" w:rsidRDefault="0029354D" w:rsidP="009A4EAF">
      <w:pPr>
        <w:spacing w:after="240" w:line="256" w:lineRule="auto"/>
        <w:jc w:val="both"/>
        <w:rPr>
          <w:rFonts w:ascii="Times New Roman" w:hAnsi="Times New Roman" w:cs="Times New Roman"/>
          <w:noProof/>
          <w:sz w:val="24"/>
          <w:szCs w:val="24"/>
        </w:rPr>
      </w:pPr>
      <w:r w:rsidRPr="0038139B">
        <w:rPr>
          <w:rFonts w:ascii="Times New Roman" w:hAnsi="Times New Roman"/>
          <w:noProof/>
          <w:sz w:val="24"/>
        </w:rPr>
        <w:t>Szczególnie dotkliwe skutki dla pracowników, przedsiębiorstw</w:t>
      </w:r>
      <w:r w:rsidR="0038139B" w:rsidRPr="0038139B">
        <w:rPr>
          <w:rFonts w:ascii="Times New Roman" w:hAnsi="Times New Roman"/>
          <w:noProof/>
          <w:sz w:val="24"/>
        </w:rPr>
        <w:t xml:space="preserve"> i pań</w:t>
      </w:r>
      <w:r w:rsidRPr="0038139B">
        <w:rPr>
          <w:rFonts w:ascii="Times New Roman" w:hAnsi="Times New Roman"/>
          <w:noProof/>
          <w:sz w:val="24"/>
        </w:rPr>
        <w:t>stw członkowskich ma niewystarczające zapobieganie narażeniu zawodowemu na działanie kobaltu</w:t>
      </w:r>
      <w:r w:rsidR="0038139B" w:rsidRPr="0038139B">
        <w:rPr>
          <w:rFonts w:ascii="Times New Roman" w:hAnsi="Times New Roman"/>
          <w:noProof/>
          <w:sz w:val="24"/>
        </w:rPr>
        <w:t xml:space="preserve"> i jeg</w:t>
      </w:r>
      <w:r w:rsidRPr="0038139B">
        <w:rPr>
          <w:rFonts w:ascii="Times New Roman" w:hAnsi="Times New Roman"/>
          <w:noProof/>
          <w:sz w:val="24"/>
        </w:rPr>
        <w:t>o związków nieorganicznych, WWA, 1,4-dioksanu</w:t>
      </w:r>
      <w:r w:rsidR="0038139B" w:rsidRPr="0038139B">
        <w:rPr>
          <w:rFonts w:ascii="Times New Roman" w:hAnsi="Times New Roman"/>
          <w:noProof/>
          <w:sz w:val="24"/>
        </w:rPr>
        <w:t xml:space="preserve"> i dym</w:t>
      </w:r>
      <w:r w:rsidRPr="0038139B">
        <w:rPr>
          <w:rFonts w:ascii="Times New Roman" w:hAnsi="Times New Roman"/>
          <w:noProof/>
          <w:sz w:val="24"/>
        </w:rPr>
        <w:t>u spawalniczego. Ze zgromadzonych dowodów wynika jednak, że pracownicy są narażeni na działanie izoprenu na poziomie niższym od bezpiecznej dla zdrowia dopuszczalnej wartości</w:t>
      </w:r>
      <w:r w:rsidRPr="0038139B">
        <w:rPr>
          <w:rStyle w:val="FootnoteReference"/>
          <w:rFonts w:ascii="Times New Roman" w:hAnsi="Times New Roman" w:cs="Times New Roman"/>
          <w:noProof/>
          <w:sz w:val="24"/>
          <w:szCs w:val="24"/>
        </w:rPr>
        <w:footnoteReference w:id="7"/>
      </w:r>
      <w:r w:rsidRPr="0038139B">
        <w:rPr>
          <w:rFonts w:ascii="Times New Roman" w:hAnsi="Times New Roman"/>
          <w:noProof/>
          <w:sz w:val="24"/>
        </w:rPr>
        <w:t xml:space="preserve"> wskazanej</w:t>
      </w:r>
      <w:r w:rsidR="0038139B" w:rsidRPr="0038139B">
        <w:rPr>
          <w:rFonts w:ascii="Times New Roman" w:hAnsi="Times New Roman"/>
          <w:noProof/>
          <w:sz w:val="24"/>
        </w:rPr>
        <w:t xml:space="preserve"> w opi</w:t>
      </w:r>
      <w:r w:rsidRPr="0038139B">
        <w:rPr>
          <w:rFonts w:ascii="Times New Roman" w:hAnsi="Times New Roman"/>
          <w:noProof/>
          <w:sz w:val="24"/>
        </w:rPr>
        <w:t>nii</w:t>
      </w:r>
      <w:r w:rsidRPr="0038139B">
        <w:rPr>
          <w:rStyle w:val="FootnoteReference"/>
          <w:rFonts w:ascii="Times New Roman" w:hAnsi="Times New Roman" w:cs="Times New Roman"/>
          <w:noProof/>
          <w:sz w:val="24"/>
          <w:szCs w:val="24"/>
        </w:rPr>
        <w:footnoteReference w:id="8"/>
      </w:r>
      <w:r w:rsidRPr="0038139B">
        <w:rPr>
          <w:rFonts w:ascii="Times New Roman" w:hAnsi="Times New Roman"/>
          <w:noProof/>
          <w:sz w:val="24"/>
        </w:rPr>
        <w:t xml:space="preserve"> Komitetu ds. Oceny Ryzyka („RAC”) Europejskiej Agencji Chemikaliów („ECHA”), co sugeruje, że obecne sposoby zapobiegania narażeniu zawodowemu na działanie izoprenu są wystarczające.</w:t>
      </w:r>
    </w:p>
    <w:p w14:paraId="4B3A1D3C" w14:textId="390441F0" w:rsidR="00603363" w:rsidRPr="0038139B" w:rsidRDefault="00D548A4" w:rsidP="009A4EAF">
      <w:pPr>
        <w:pStyle w:val="Sub-sections"/>
        <w:jc w:val="both"/>
        <w:rPr>
          <w:rFonts w:ascii="Times New Roman" w:hAnsi="Times New Roman"/>
          <w:noProof/>
        </w:rPr>
      </w:pPr>
      <w:r w:rsidRPr="0038139B">
        <w:rPr>
          <w:rFonts w:ascii="Times New Roman" w:hAnsi="Times New Roman"/>
          <w:noProof/>
        </w:rPr>
        <w:t xml:space="preserve">Jaki jest cel inicjatywy? </w:t>
      </w:r>
    </w:p>
    <w:p w14:paraId="4466842D" w14:textId="4B050A8B" w:rsidR="00271F6A" w:rsidRPr="0038139B" w:rsidRDefault="00271F6A" w:rsidP="009A4EAF">
      <w:pPr>
        <w:pStyle w:val="Paragraph"/>
        <w:spacing w:after="60"/>
        <w:jc w:val="both"/>
        <w:rPr>
          <w:noProof/>
        </w:rPr>
      </w:pPr>
      <w:r w:rsidRPr="0038139B">
        <w:rPr>
          <w:noProof/>
        </w:rPr>
        <w:t>Niniejsza inicjatywa ma na celu wypełnienie zobowiązań prawnych określonych</w:t>
      </w:r>
      <w:r w:rsidR="0038139B" w:rsidRPr="0038139B">
        <w:rPr>
          <w:noProof/>
        </w:rPr>
        <w:t xml:space="preserve"> w art</w:t>
      </w:r>
      <w:r w:rsidRPr="0038139B">
        <w:rPr>
          <w:noProof/>
        </w:rPr>
        <w:t>.</w:t>
      </w:r>
      <w:r w:rsidR="0038139B" w:rsidRPr="0038139B">
        <w:rPr>
          <w:noProof/>
        </w:rPr>
        <w:t> </w:t>
      </w:r>
      <w:r w:rsidRPr="0038139B">
        <w:rPr>
          <w:noProof/>
        </w:rPr>
        <w:t>16 dyrektywy</w:t>
      </w:r>
      <w:r w:rsidR="0038139B" w:rsidRPr="0038139B">
        <w:rPr>
          <w:noProof/>
        </w:rPr>
        <w:t xml:space="preserve"> w spr</w:t>
      </w:r>
      <w:r w:rsidRPr="0038139B">
        <w:rPr>
          <w:noProof/>
        </w:rPr>
        <w:t>awie czynników rakotwórczych, mutagenów</w:t>
      </w:r>
      <w:r w:rsidR="0038139B" w:rsidRPr="0038139B">
        <w:rPr>
          <w:noProof/>
        </w:rPr>
        <w:t xml:space="preserve"> i sub</w:t>
      </w:r>
      <w:r w:rsidRPr="0038139B">
        <w:rPr>
          <w:noProof/>
        </w:rPr>
        <w:t>stancji reprotoksycznych, które odnoszą się do ustalania wartości dopuszczalnych oraz zapobiegania zgonom</w:t>
      </w:r>
      <w:r w:rsidR="0038139B" w:rsidRPr="0038139B">
        <w:rPr>
          <w:noProof/>
        </w:rPr>
        <w:t xml:space="preserve"> i cho</w:t>
      </w:r>
      <w:r w:rsidRPr="0038139B">
        <w:rPr>
          <w:noProof/>
        </w:rPr>
        <w:t>robom związanym</w:t>
      </w:r>
      <w:r w:rsidR="0038139B" w:rsidRPr="0038139B">
        <w:rPr>
          <w:noProof/>
        </w:rPr>
        <w:t xml:space="preserve"> z pra</w:t>
      </w:r>
      <w:r w:rsidRPr="0038139B">
        <w:rPr>
          <w:noProof/>
        </w:rPr>
        <w:t>cą, zgodnie</w:t>
      </w:r>
      <w:r w:rsidR="0038139B" w:rsidRPr="0038139B">
        <w:rPr>
          <w:noProof/>
        </w:rPr>
        <w:t xml:space="preserve"> z dru</w:t>
      </w:r>
      <w:r w:rsidRPr="0038139B">
        <w:rPr>
          <w:noProof/>
        </w:rPr>
        <w:t xml:space="preserve">gim kluczowym celem strategicznych ram UE dotyczących BHP. Inicjatywa ma następujące cele szczegółowe: </w:t>
      </w:r>
    </w:p>
    <w:p w14:paraId="2F7FCA5B" w14:textId="5378E21F" w:rsidR="0029354D" w:rsidRPr="0038139B" w:rsidRDefault="0029354D" w:rsidP="009A4EAF">
      <w:pPr>
        <w:pStyle w:val="ListParagraph"/>
        <w:numPr>
          <w:ilvl w:val="0"/>
          <w:numId w:val="2"/>
        </w:numPr>
        <w:spacing w:after="120" w:line="240" w:lineRule="auto"/>
        <w:ind w:left="720" w:hanging="357"/>
        <w:contextualSpacing w:val="0"/>
        <w:jc w:val="both"/>
        <w:rPr>
          <w:rFonts w:ascii="Times New Roman" w:hAnsi="Times New Roman" w:cs="Times New Roman"/>
          <w:noProof/>
          <w:sz w:val="24"/>
          <w:szCs w:val="24"/>
        </w:rPr>
      </w:pPr>
      <w:r w:rsidRPr="0038139B">
        <w:rPr>
          <w:rFonts w:ascii="Times New Roman" w:hAnsi="Times New Roman"/>
          <w:noProof/>
          <w:sz w:val="24"/>
        </w:rPr>
        <w:t>dalsza poprawa ochrony pracowników przed narażeniem na działanie kobaltu</w:t>
      </w:r>
      <w:r w:rsidR="0038139B" w:rsidRPr="0038139B">
        <w:rPr>
          <w:rFonts w:ascii="Times New Roman" w:hAnsi="Times New Roman"/>
          <w:noProof/>
          <w:sz w:val="24"/>
        </w:rPr>
        <w:t xml:space="preserve"> i jeg</w:t>
      </w:r>
      <w:r w:rsidRPr="0038139B">
        <w:rPr>
          <w:rFonts w:ascii="Times New Roman" w:hAnsi="Times New Roman"/>
          <w:noProof/>
          <w:sz w:val="24"/>
        </w:rPr>
        <w:t>o związków nieorganicznych, WWA</w:t>
      </w:r>
      <w:r w:rsidR="0038139B" w:rsidRPr="0038139B">
        <w:rPr>
          <w:rFonts w:ascii="Times New Roman" w:hAnsi="Times New Roman"/>
          <w:noProof/>
          <w:sz w:val="24"/>
        </w:rPr>
        <w:t xml:space="preserve"> i 1</w:t>
      </w:r>
      <w:r w:rsidRPr="0038139B">
        <w:rPr>
          <w:rFonts w:ascii="Times New Roman" w:hAnsi="Times New Roman"/>
          <w:noProof/>
          <w:sz w:val="24"/>
        </w:rPr>
        <w:t xml:space="preserve">,4-dioksanu w UE poprzez przyjęcie odpowiednich środków zarządzania ryzykiem przez pracodawców; </w:t>
      </w:r>
    </w:p>
    <w:p w14:paraId="5482BF6D" w14:textId="62AAF25A" w:rsidR="0029354D" w:rsidRPr="0038139B" w:rsidRDefault="0029354D" w:rsidP="009A4EAF">
      <w:pPr>
        <w:pStyle w:val="ListParagraph"/>
        <w:numPr>
          <w:ilvl w:val="0"/>
          <w:numId w:val="2"/>
        </w:numPr>
        <w:spacing w:after="120" w:line="240" w:lineRule="auto"/>
        <w:ind w:left="720" w:hanging="357"/>
        <w:contextualSpacing w:val="0"/>
        <w:jc w:val="both"/>
        <w:rPr>
          <w:rFonts w:ascii="Times New Roman" w:hAnsi="Times New Roman" w:cs="Times New Roman"/>
          <w:noProof/>
          <w:sz w:val="24"/>
          <w:szCs w:val="24"/>
        </w:rPr>
      </w:pPr>
      <w:r w:rsidRPr="0038139B">
        <w:rPr>
          <w:rFonts w:ascii="Times New Roman" w:hAnsi="Times New Roman"/>
          <w:noProof/>
          <w:sz w:val="24"/>
        </w:rPr>
        <w:t>zwiększenie jasności</w:t>
      </w:r>
      <w:r w:rsidR="0038139B" w:rsidRPr="0038139B">
        <w:rPr>
          <w:rFonts w:ascii="Times New Roman" w:hAnsi="Times New Roman"/>
          <w:noProof/>
          <w:sz w:val="24"/>
        </w:rPr>
        <w:t xml:space="preserve"> i sku</w:t>
      </w:r>
      <w:r w:rsidRPr="0038139B">
        <w:rPr>
          <w:rFonts w:ascii="Times New Roman" w:hAnsi="Times New Roman"/>
          <w:noProof/>
          <w:sz w:val="24"/>
        </w:rPr>
        <w:t>teczności dyrektywy</w:t>
      </w:r>
      <w:r w:rsidR="0038139B" w:rsidRPr="0038139B">
        <w:rPr>
          <w:rFonts w:ascii="Times New Roman" w:hAnsi="Times New Roman"/>
          <w:noProof/>
          <w:sz w:val="24"/>
        </w:rPr>
        <w:t xml:space="preserve"> w spr</w:t>
      </w:r>
      <w:r w:rsidRPr="0038139B">
        <w:rPr>
          <w:rFonts w:ascii="Times New Roman" w:hAnsi="Times New Roman"/>
          <w:noProof/>
          <w:sz w:val="24"/>
        </w:rPr>
        <w:t>awie czynników rakotwórczych, mutagenów</w:t>
      </w:r>
      <w:r w:rsidR="0038139B" w:rsidRPr="0038139B">
        <w:rPr>
          <w:rFonts w:ascii="Times New Roman" w:hAnsi="Times New Roman"/>
          <w:noProof/>
          <w:sz w:val="24"/>
        </w:rPr>
        <w:t xml:space="preserve"> i sub</w:t>
      </w:r>
      <w:r w:rsidRPr="0038139B">
        <w:rPr>
          <w:rFonts w:ascii="Times New Roman" w:hAnsi="Times New Roman"/>
          <w:noProof/>
          <w:sz w:val="24"/>
        </w:rPr>
        <w:t xml:space="preserve">stancji reprotoksycznych poprzez aktualizowanie jej przepisów na podstawie najnowszych danych naukowych umożliwiających ustalenie wartości dopuszczalnych; </w:t>
      </w:r>
    </w:p>
    <w:p w14:paraId="36F6A58B" w14:textId="3BA87DC0" w:rsidR="0029354D" w:rsidRPr="0038139B" w:rsidRDefault="0029354D" w:rsidP="009A4EAF">
      <w:pPr>
        <w:pStyle w:val="ListParagraph"/>
        <w:numPr>
          <w:ilvl w:val="0"/>
          <w:numId w:val="2"/>
        </w:numPr>
        <w:spacing w:after="120" w:line="240" w:lineRule="auto"/>
        <w:ind w:left="720" w:hanging="357"/>
        <w:contextualSpacing w:val="0"/>
        <w:jc w:val="both"/>
        <w:rPr>
          <w:rFonts w:ascii="Times New Roman" w:hAnsi="Times New Roman" w:cs="Times New Roman"/>
          <w:noProof/>
          <w:sz w:val="24"/>
          <w:szCs w:val="24"/>
        </w:rPr>
      </w:pPr>
      <w:r w:rsidRPr="0038139B">
        <w:rPr>
          <w:rFonts w:ascii="Times New Roman" w:hAnsi="Times New Roman"/>
          <w:noProof/>
          <w:sz w:val="24"/>
        </w:rPr>
        <w:t>ułatwienie wdrażania</w:t>
      </w:r>
      <w:r w:rsidR="0038139B" w:rsidRPr="0038139B">
        <w:rPr>
          <w:rFonts w:ascii="Times New Roman" w:hAnsi="Times New Roman"/>
          <w:noProof/>
          <w:sz w:val="24"/>
        </w:rPr>
        <w:t xml:space="preserve"> i prz</w:t>
      </w:r>
      <w:r w:rsidRPr="0038139B">
        <w:rPr>
          <w:rFonts w:ascii="Times New Roman" w:hAnsi="Times New Roman"/>
          <w:noProof/>
          <w:sz w:val="24"/>
        </w:rPr>
        <w:t>yczynienie się do zapewnienia bardziej wyrównanych warunków działania dla podmiotów gospodarczych poprzez przyjęcie minimalnych wymogów na poziomie UE, które będą obowiązkowe dla wszystkich przedsiębiorstw, niezależnie od ich lokalizacji; oraz</w:t>
      </w:r>
    </w:p>
    <w:p w14:paraId="04B01DB7" w14:textId="38982784" w:rsidR="00A375A9" w:rsidRPr="0038139B" w:rsidRDefault="0029354D" w:rsidP="0087385F">
      <w:pPr>
        <w:pStyle w:val="ListParagraph"/>
        <w:numPr>
          <w:ilvl w:val="0"/>
          <w:numId w:val="2"/>
        </w:numPr>
        <w:spacing w:after="120" w:line="240" w:lineRule="auto"/>
        <w:ind w:left="720" w:hanging="357"/>
        <w:contextualSpacing w:val="0"/>
        <w:jc w:val="both"/>
        <w:rPr>
          <w:rFonts w:ascii="Times New Roman" w:hAnsi="Times New Roman" w:cs="Times New Roman"/>
          <w:noProof/>
          <w:sz w:val="24"/>
          <w:szCs w:val="24"/>
        </w:rPr>
      </w:pPr>
      <w:r w:rsidRPr="0038139B">
        <w:rPr>
          <w:rFonts w:ascii="Times New Roman" w:hAnsi="Times New Roman"/>
          <w:noProof/>
          <w:sz w:val="24"/>
        </w:rPr>
        <w:t>zapewnienie większej przejrzystości zakresu dyrektywy</w:t>
      </w:r>
      <w:r w:rsidR="0038139B" w:rsidRPr="0038139B">
        <w:rPr>
          <w:rFonts w:ascii="Times New Roman" w:hAnsi="Times New Roman"/>
          <w:noProof/>
          <w:sz w:val="24"/>
        </w:rPr>
        <w:t xml:space="preserve"> w spr</w:t>
      </w:r>
      <w:r w:rsidRPr="0038139B">
        <w:rPr>
          <w:rFonts w:ascii="Times New Roman" w:hAnsi="Times New Roman"/>
          <w:noProof/>
          <w:sz w:val="24"/>
        </w:rPr>
        <w:t>awie czynników rakotwórczych, mutagenów</w:t>
      </w:r>
      <w:r w:rsidR="0038139B" w:rsidRPr="0038139B">
        <w:rPr>
          <w:rFonts w:ascii="Times New Roman" w:hAnsi="Times New Roman"/>
          <w:noProof/>
          <w:sz w:val="24"/>
        </w:rPr>
        <w:t xml:space="preserve"> i sub</w:t>
      </w:r>
      <w:r w:rsidRPr="0038139B">
        <w:rPr>
          <w:rFonts w:ascii="Times New Roman" w:hAnsi="Times New Roman"/>
          <w:noProof/>
          <w:sz w:val="24"/>
        </w:rPr>
        <w:t>stancji reprotoksycznych</w:t>
      </w:r>
      <w:r w:rsidR="0038139B" w:rsidRPr="0038139B">
        <w:rPr>
          <w:rFonts w:ascii="Times New Roman" w:hAnsi="Times New Roman"/>
          <w:noProof/>
          <w:sz w:val="24"/>
        </w:rPr>
        <w:t xml:space="preserve"> w odn</w:t>
      </w:r>
      <w:r w:rsidRPr="0038139B">
        <w:rPr>
          <w:rFonts w:ascii="Times New Roman" w:hAnsi="Times New Roman"/>
          <w:noProof/>
          <w:sz w:val="24"/>
        </w:rPr>
        <w:t>iesieniu do dymu spawalniczego, aby przedsiębiorstwa przeprowadzały obowiązkową ocenę ryzyka</w:t>
      </w:r>
      <w:r w:rsidR="0038139B" w:rsidRPr="0038139B">
        <w:rPr>
          <w:rFonts w:ascii="Times New Roman" w:hAnsi="Times New Roman"/>
          <w:noProof/>
          <w:sz w:val="24"/>
        </w:rPr>
        <w:t xml:space="preserve"> i sto</w:t>
      </w:r>
      <w:r w:rsidRPr="0038139B">
        <w:rPr>
          <w:rFonts w:ascii="Times New Roman" w:hAnsi="Times New Roman"/>
          <w:noProof/>
          <w:sz w:val="24"/>
        </w:rPr>
        <w:t>sowały wszystkie wymogi, jeżeli zgodnie z tą oceną pracownicy mogą być narażeni na działanie czynników rakotwórczych, mutagenów lub substancji reprotoksycznych.</w:t>
      </w:r>
    </w:p>
    <w:p w14:paraId="63502D6D" w14:textId="77777777" w:rsidR="0087385F" w:rsidRPr="0038139B" w:rsidRDefault="0087385F" w:rsidP="0087385F">
      <w:pPr>
        <w:pStyle w:val="ListParagraph"/>
        <w:spacing w:after="120" w:line="240" w:lineRule="auto"/>
        <w:contextualSpacing w:val="0"/>
        <w:jc w:val="both"/>
        <w:rPr>
          <w:rFonts w:ascii="Times New Roman" w:hAnsi="Times New Roman" w:cs="Times New Roman"/>
          <w:noProof/>
          <w:sz w:val="24"/>
          <w:szCs w:val="24"/>
        </w:rPr>
      </w:pPr>
    </w:p>
    <w:p w14:paraId="2199DA6D" w14:textId="3DB8F56C" w:rsidR="00D548A4" w:rsidRPr="0038139B" w:rsidRDefault="00D548A4" w:rsidP="009A4EAF">
      <w:pPr>
        <w:pStyle w:val="Sub-sections"/>
        <w:jc w:val="both"/>
        <w:rPr>
          <w:rFonts w:ascii="Times New Roman" w:hAnsi="Times New Roman"/>
          <w:noProof/>
        </w:rPr>
      </w:pPr>
      <w:r w:rsidRPr="0038139B">
        <w:rPr>
          <w:rFonts w:ascii="Times New Roman" w:hAnsi="Times New Roman"/>
          <w:noProof/>
        </w:rPr>
        <w:t xml:space="preserve">Na czym polega wartość dodana podjęcia działań na poziomie UE? </w:t>
      </w:r>
    </w:p>
    <w:p w14:paraId="339B40DE" w14:textId="7370A9DA" w:rsidR="005E56E4" w:rsidRPr="0038139B" w:rsidRDefault="005E56E4" w:rsidP="009A4EAF">
      <w:pPr>
        <w:pStyle w:val="Paragraph"/>
        <w:jc w:val="both"/>
        <w:rPr>
          <w:noProof/>
        </w:rPr>
      </w:pPr>
      <w:r w:rsidRPr="0038139B">
        <w:rPr>
          <w:noProof/>
        </w:rPr>
        <w:t xml:space="preserve">Dzięki podjęciu działań na poziomie UE niniejsza inicjatywa: </w:t>
      </w:r>
    </w:p>
    <w:p w14:paraId="2D6CCDB2" w14:textId="3793109F" w:rsidR="009D30A8" w:rsidRPr="0038139B" w:rsidRDefault="005E56E4" w:rsidP="009A4EAF">
      <w:pPr>
        <w:pStyle w:val="Paragraph"/>
        <w:numPr>
          <w:ilvl w:val="0"/>
          <w:numId w:val="3"/>
        </w:numPr>
        <w:jc w:val="both"/>
        <w:rPr>
          <w:noProof/>
        </w:rPr>
      </w:pPr>
      <w:r w:rsidRPr="0038139B">
        <w:rPr>
          <w:i/>
          <w:noProof/>
        </w:rPr>
        <w:t>zwiększy przejrzystość</w:t>
      </w:r>
      <w:r w:rsidR="0038139B" w:rsidRPr="0038139B">
        <w:rPr>
          <w:i/>
          <w:noProof/>
        </w:rPr>
        <w:t xml:space="preserve"> i umo</w:t>
      </w:r>
      <w:r w:rsidRPr="0038139B">
        <w:rPr>
          <w:i/>
          <w:noProof/>
        </w:rPr>
        <w:t>żliwi lepsze egzekwowanie przepisów:</w:t>
      </w:r>
      <w:r w:rsidRPr="0038139B">
        <w:rPr>
          <w:noProof/>
        </w:rPr>
        <w:t xml:space="preserve"> ustanowienie wartości dopuszczalnych dla dodatkowych substancji lub grup substancji zapewni powszechnie obowiązujące punkty referencyjne, które posłużą pracodawcom, pracownikom</w:t>
      </w:r>
      <w:r w:rsidR="0038139B" w:rsidRPr="0038139B">
        <w:rPr>
          <w:noProof/>
        </w:rPr>
        <w:t xml:space="preserve"> i org</w:t>
      </w:r>
      <w:r w:rsidRPr="0038139B">
        <w:rPr>
          <w:noProof/>
        </w:rPr>
        <w:t>anom odpowiedzialnym za egzekwowanie przepisów jako praktyczne narzędzie oceny zgodności</w:t>
      </w:r>
      <w:r w:rsidR="0038139B" w:rsidRPr="0038139B">
        <w:rPr>
          <w:noProof/>
        </w:rPr>
        <w:t xml:space="preserve"> z ogó</w:t>
      </w:r>
      <w:r w:rsidRPr="0038139B">
        <w:rPr>
          <w:noProof/>
        </w:rPr>
        <w:t>lnymi wymogami,</w:t>
      </w:r>
      <w:r w:rsidR="0038139B" w:rsidRPr="0038139B">
        <w:rPr>
          <w:noProof/>
        </w:rPr>
        <w:t xml:space="preserve"> w szc</w:t>
      </w:r>
      <w:r w:rsidRPr="0038139B">
        <w:rPr>
          <w:noProof/>
        </w:rPr>
        <w:t>zególności</w:t>
      </w:r>
      <w:r w:rsidR="0038139B" w:rsidRPr="0038139B">
        <w:rPr>
          <w:noProof/>
        </w:rPr>
        <w:t xml:space="preserve"> w pań</w:t>
      </w:r>
      <w:r w:rsidRPr="0038139B">
        <w:rPr>
          <w:noProof/>
        </w:rPr>
        <w:t>stwach członkowskich,</w:t>
      </w:r>
      <w:r w:rsidR="0038139B" w:rsidRPr="0038139B">
        <w:rPr>
          <w:noProof/>
        </w:rPr>
        <w:t xml:space="preserve"> w któ</w:t>
      </w:r>
      <w:r w:rsidRPr="0038139B">
        <w:rPr>
          <w:noProof/>
        </w:rPr>
        <w:t>rych nie obowiązują wartości dopuszczalne. Włączenie dymu spawalniczego do załącznika I do dyrektywy</w:t>
      </w:r>
      <w:r w:rsidR="0038139B" w:rsidRPr="0038139B">
        <w:rPr>
          <w:noProof/>
        </w:rPr>
        <w:t xml:space="preserve"> w spr</w:t>
      </w:r>
      <w:r w:rsidRPr="0038139B">
        <w:rPr>
          <w:noProof/>
        </w:rPr>
        <w:t>awie czynników rakotwórczych, mutagenów</w:t>
      </w:r>
      <w:r w:rsidR="0038139B" w:rsidRPr="0038139B">
        <w:rPr>
          <w:noProof/>
        </w:rPr>
        <w:t xml:space="preserve"> i sub</w:t>
      </w:r>
      <w:r w:rsidRPr="0038139B">
        <w:rPr>
          <w:noProof/>
        </w:rPr>
        <w:t>stancji reprotoksycznych przyczyni się również do rozwiązania problemu braku jasności co do ewentualnego zagrożenia, które</w:t>
      </w:r>
      <w:r w:rsidR="0038139B" w:rsidRPr="0038139B">
        <w:rPr>
          <w:noProof/>
        </w:rPr>
        <w:t xml:space="preserve"> </w:t>
      </w:r>
      <w:r w:rsidRPr="0038139B">
        <w:rPr>
          <w:noProof/>
        </w:rPr>
        <w:t>kontakt</w:t>
      </w:r>
      <w:r w:rsidR="0038139B" w:rsidRPr="0038139B">
        <w:rPr>
          <w:noProof/>
        </w:rPr>
        <w:t xml:space="preserve"> z tym</w:t>
      </w:r>
      <w:r w:rsidRPr="0038139B">
        <w:rPr>
          <w:noProof/>
        </w:rPr>
        <w:t xml:space="preserve"> dymem stwarza dla pracowników,</w:t>
      </w:r>
      <w:r w:rsidR="0038139B" w:rsidRPr="0038139B">
        <w:rPr>
          <w:noProof/>
        </w:rPr>
        <w:t xml:space="preserve"> a tym</w:t>
      </w:r>
      <w:r w:rsidRPr="0038139B">
        <w:rPr>
          <w:noProof/>
        </w:rPr>
        <w:t xml:space="preserve"> samym braku odpowiednich środków zarządzania ryzykiem; </w:t>
      </w:r>
    </w:p>
    <w:p w14:paraId="32A40137" w14:textId="653572AA" w:rsidR="003D21EE" w:rsidRPr="0038139B" w:rsidRDefault="001A1C58" w:rsidP="009A4EAF">
      <w:pPr>
        <w:pStyle w:val="Paragraph"/>
        <w:numPr>
          <w:ilvl w:val="0"/>
          <w:numId w:val="3"/>
        </w:numPr>
        <w:jc w:val="both"/>
        <w:rPr>
          <w:noProof/>
        </w:rPr>
      </w:pPr>
      <w:r w:rsidRPr="0038139B">
        <w:rPr>
          <w:i/>
          <w:noProof/>
        </w:rPr>
        <w:t>zapewni podobny minimalny poziom ochrony</w:t>
      </w:r>
      <w:r w:rsidR="0038139B" w:rsidRPr="0038139B">
        <w:rPr>
          <w:i/>
          <w:noProof/>
        </w:rPr>
        <w:t xml:space="preserve"> w cał</w:t>
      </w:r>
      <w:r w:rsidRPr="0038139B">
        <w:rPr>
          <w:i/>
          <w:noProof/>
        </w:rPr>
        <w:t xml:space="preserve">ej UE: </w:t>
      </w:r>
      <w:r w:rsidRPr="0038139B">
        <w:rPr>
          <w:noProof/>
        </w:rPr>
        <w:t>krajowe wartości dopuszczalne</w:t>
      </w:r>
      <w:r w:rsidR="0038139B" w:rsidRPr="0038139B">
        <w:rPr>
          <w:noProof/>
        </w:rPr>
        <w:t xml:space="preserve"> w odn</w:t>
      </w:r>
      <w:r w:rsidRPr="0038139B">
        <w:rPr>
          <w:noProof/>
        </w:rPr>
        <w:t>iesieniu do kobaltu</w:t>
      </w:r>
      <w:r w:rsidR="0038139B" w:rsidRPr="0038139B">
        <w:rPr>
          <w:noProof/>
        </w:rPr>
        <w:t xml:space="preserve"> i jeg</w:t>
      </w:r>
      <w:r w:rsidRPr="0038139B">
        <w:rPr>
          <w:noProof/>
        </w:rPr>
        <w:t>o związków nieorganicznych, WWA</w:t>
      </w:r>
      <w:r w:rsidR="0038139B" w:rsidRPr="0038139B">
        <w:rPr>
          <w:noProof/>
        </w:rPr>
        <w:t xml:space="preserve"> i 1</w:t>
      </w:r>
      <w:r w:rsidRPr="0038139B">
        <w:rPr>
          <w:noProof/>
        </w:rPr>
        <w:t>,4-dioksanu są bardzo zróżnicowane</w:t>
      </w:r>
      <w:r w:rsidR="0038139B" w:rsidRPr="0038139B">
        <w:rPr>
          <w:noProof/>
        </w:rPr>
        <w:t xml:space="preserve"> w pos</w:t>
      </w:r>
      <w:r w:rsidRPr="0038139B">
        <w:rPr>
          <w:noProof/>
        </w:rPr>
        <w:t>zczególnych państwach członkowskich,</w:t>
      </w:r>
      <w:r w:rsidR="0038139B" w:rsidRPr="0038139B">
        <w:rPr>
          <w:noProof/>
        </w:rPr>
        <w:t xml:space="preserve"> w któ</w:t>
      </w:r>
      <w:r w:rsidRPr="0038139B">
        <w:rPr>
          <w:noProof/>
        </w:rPr>
        <w:t>rych wartości te obowiązują. Np.</w:t>
      </w:r>
      <w:r w:rsidR="0038139B" w:rsidRPr="0038139B">
        <w:rPr>
          <w:noProof/>
        </w:rPr>
        <w:t xml:space="preserve"> w sto</w:t>
      </w:r>
      <w:r w:rsidRPr="0038139B">
        <w:rPr>
          <w:noProof/>
        </w:rPr>
        <w:t>sujących je państwach członkowskich krajowe wartości dopuszczalne</w:t>
      </w:r>
      <w:r w:rsidR="0038139B" w:rsidRPr="0038139B">
        <w:rPr>
          <w:noProof/>
        </w:rPr>
        <w:t xml:space="preserve"> w odn</w:t>
      </w:r>
      <w:r w:rsidRPr="0038139B">
        <w:rPr>
          <w:noProof/>
        </w:rPr>
        <w:t>iesieniu do kobaltu wynoszą od</w:t>
      </w:r>
      <w:r w:rsidR="0038139B" w:rsidRPr="0038139B">
        <w:rPr>
          <w:noProof/>
        </w:rPr>
        <w:t> </w:t>
      </w:r>
      <w:r w:rsidRPr="0038139B">
        <w:rPr>
          <w:noProof/>
        </w:rPr>
        <w:t>10 do</w:t>
      </w:r>
      <w:r w:rsidR="0038139B" w:rsidRPr="0038139B">
        <w:rPr>
          <w:noProof/>
        </w:rPr>
        <w:t> </w:t>
      </w:r>
      <w:r w:rsidRPr="0038139B">
        <w:rPr>
          <w:noProof/>
        </w:rPr>
        <w:t>500 μg/m³. Bez podjęcia działań na poziomie UE prawdopodobnie</w:t>
      </w:r>
      <w:r w:rsidR="0038139B" w:rsidRPr="0038139B">
        <w:rPr>
          <w:noProof/>
        </w:rPr>
        <w:t xml:space="preserve"> w dal</w:t>
      </w:r>
      <w:r w:rsidRPr="0038139B">
        <w:rPr>
          <w:noProof/>
        </w:rPr>
        <w:t xml:space="preserve">szym ciągu będą występować znaczne różnice pod względem poziomu ochrony pracowników; </w:t>
      </w:r>
    </w:p>
    <w:p w14:paraId="27E53C78" w14:textId="5D255985" w:rsidR="00240195" w:rsidRPr="0038139B" w:rsidRDefault="003D21EE" w:rsidP="009A4EAF">
      <w:pPr>
        <w:pStyle w:val="Paragraph"/>
        <w:numPr>
          <w:ilvl w:val="0"/>
          <w:numId w:val="3"/>
        </w:numPr>
        <w:jc w:val="both"/>
        <w:rPr>
          <w:noProof/>
        </w:rPr>
      </w:pPr>
      <w:r w:rsidRPr="0038139B">
        <w:rPr>
          <w:i/>
          <w:noProof/>
        </w:rPr>
        <w:t xml:space="preserve">przyczyni się do zapewnienia bardziej wyrównanych warunków działania: </w:t>
      </w:r>
      <w:r w:rsidRPr="0038139B">
        <w:rPr>
          <w:noProof/>
        </w:rPr>
        <w:t>koszty przestrzegania niższych wartości krajowych są zazwyczaj wyższe</w:t>
      </w:r>
      <w:r w:rsidR="0038139B" w:rsidRPr="0038139B">
        <w:rPr>
          <w:noProof/>
        </w:rPr>
        <w:t xml:space="preserve"> i w zwi</w:t>
      </w:r>
      <w:r w:rsidRPr="0038139B">
        <w:rPr>
          <w:noProof/>
        </w:rPr>
        <w:t>ązku</w:t>
      </w:r>
      <w:r w:rsidR="0038139B" w:rsidRPr="0038139B">
        <w:rPr>
          <w:noProof/>
        </w:rPr>
        <w:t xml:space="preserve"> z tym</w:t>
      </w:r>
      <w:r w:rsidRPr="0038139B">
        <w:rPr>
          <w:noProof/>
        </w:rPr>
        <w:t xml:space="preserve"> wiążą się</w:t>
      </w:r>
      <w:r w:rsidR="0038139B" w:rsidRPr="0038139B">
        <w:rPr>
          <w:noProof/>
        </w:rPr>
        <w:t xml:space="preserve"> z prz</w:t>
      </w:r>
      <w:r w:rsidRPr="0038139B">
        <w:rPr>
          <w:noProof/>
        </w:rPr>
        <w:t>ewagą konkurencyjną przedsiębiorstw działających na rynkach, na których krajowe wartości dopuszczalne nie obowiązują lub są mniej rygorystyczne. Ustanowienie unijnych wartości dopuszczalnych pomoże zapewnić równe warunki działania dla przemysłu dzięki ograniczeniu zakresu rozbieżności</w:t>
      </w:r>
      <w:r w:rsidR="0038139B" w:rsidRPr="0038139B">
        <w:rPr>
          <w:noProof/>
        </w:rPr>
        <w:t xml:space="preserve"> i zwi</w:t>
      </w:r>
      <w:r w:rsidRPr="0038139B">
        <w:rPr>
          <w:noProof/>
        </w:rPr>
        <w:t>ększeniu pewności co do tego, że we wszystkich państwach członkowskich stosuje się podstawową definicję lub możliwą do wyegzekwowania wartość dopuszczalną. Pozwoli to również zmniejszyć złożoność regulacyjną wynikającą</w:t>
      </w:r>
      <w:r w:rsidR="0038139B" w:rsidRPr="0038139B">
        <w:rPr>
          <w:noProof/>
        </w:rPr>
        <w:t xml:space="preserve"> z duż</w:t>
      </w:r>
      <w:r w:rsidRPr="0038139B">
        <w:rPr>
          <w:noProof/>
        </w:rPr>
        <w:t>ej rozbieżności przepisów między państwami członkowskimi, przyczyniając się do zmniejszenia obciążeń administracyjnych związanych</w:t>
      </w:r>
      <w:r w:rsidR="0038139B" w:rsidRPr="0038139B">
        <w:rPr>
          <w:noProof/>
        </w:rPr>
        <w:t xml:space="preserve"> z prz</w:t>
      </w:r>
      <w:r w:rsidRPr="0038139B">
        <w:rPr>
          <w:noProof/>
        </w:rPr>
        <w:t xml:space="preserve">estrzeganiem przepisów przez przedsiębiorstwa działające na całym jednolitym rynku; </w:t>
      </w:r>
    </w:p>
    <w:p w14:paraId="2EA89BAA" w14:textId="2A920A59" w:rsidR="00240195" w:rsidRPr="0038139B" w:rsidRDefault="00240195" w:rsidP="009A4EAF">
      <w:pPr>
        <w:pStyle w:val="Paragraph"/>
        <w:numPr>
          <w:ilvl w:val="0"/>
          <w:numId w:val="3"/>
        </w:numPr>
        <w:jc w:val="both"/>
        <w:rPr>
          <w:noProof/>
        </w:rPr>
      </w:pPr>
      <w:r w:rsidRPr="0038139B">
        <w:rPr>
          <w:i/>
          <w:noProof/>
        </w:rPr>
        <w:t>zmniejszy obciążenia związane</w:t>
      </w:r>
      <w:r w:rsidR="0038139B" w:rsidRPr="0038139B">
        <w:rPr>
          <w:i/>
          <w:noProof/>
        </w:rPr>
        <w:t xml:space="preserve"> z ust</w:t>
      </w:r>
      <w:r w:rsidRPr="0038139B">
        <w:rPr>
          <w:i/>
          <w:noProof/>
        </w:rPr>
        <w:t>alaniem wartości dopuszczalnych:</w:t>
      </w:r>
      <w:r w:rsidRPr="0038139B">
        <w:rPr>
          <w:noProof/>
        </w:rPr>
        <w:t xml:space="preserve"> proces ustalania wartości dopuszczalnych jest bardzo złożony</w:t>
      </w:r>
      <w:r w:rsidR="0038139B" w:rsidRPr="0038139B">
        <w:rPr>
          <w:noProof/>
        </w:rPr>
        <w:t xml:space="preserve"> i wym</w:t>
      </w:r>
      <w:r w:rsidRPr="0038139B">
        <w:rPr>
          <w:noProof/>
        </w:rPr>
        <w:t>aga wysokiego poziomu wiedzy naukowej,</w:t>
      </w:r>
      <w:r w:rsidR="0038139B" w:rsidRPr="0038139B">
        <w:rPr>
          <w:noProof/>
        </w:rPr>
        <w:t xml:space="preserve"> a tak</w:t>
      </w:r>
      <w:r w:rsidRPr="0038139B">
        <w:rPr>
          <w:noProof/>
        </w:rPr>
        <w:t>że oceny skutków</w:t>
      </w:r>
      <w:r w:rsidR="0038139B" w:rsidRPr="0038139B">
        <w:rPr>
          <w:noProof/>
        </w:rPr>
        <w:t xml:space="preserve"> i odb</w:t>
      </w:r>
      <w:r w:rsidRPr="0038139B">
        <w:rPr>
          <w:noProof/>
        </w:rPr>
        <w:t>ycia dyskusji</w:t>
      </w:r>
      <w:r w:rsidR="0038139B" w:rsidRPr="0038139B">
        <w:rPr>
          <w:noProof/>
        </w:rPr>
        <w:t xml:space="preserve"> z zai</w:t>
      </w:r>
      <w:r w:rsidRPr="0038139B">
        <w:rPr>
          <w:noProof/>
        </w:rPr>
        <w:t>nteresowanymi stronami (w zależności od praktyk krajowych). Istotną zaletą ustalania OEL na poziomie UE jest wyeliminowanie konieczności przeprowadzania przez państwa członkowskie własnej analizy,</w:t>
      </w:r>
      <w:r w:rsidR="0038139B" w:rsidRPr="0038139B">
        <w:rPr>
          <w:noProof/>
        </w:rPr>
        <w:t xml:space="preserve"> w tym</w:t>
      </w:r>
      <w:r w:rsidRPr="0038139B">
        <w:rPr>
          <w:noProof/>
        </w:rPr>
        <w:t xml:space="preserve"> oceny naukowej, co prawdopodobnie przyniesie znaczne oszczędności pod względem kosztów administracyjnych. </w:t>
      </w:r>
    </w:p>
    <w:p w14:paraId="12840725" w14:textId="644C1048" w:rsidR="00D548A4" w:rsidRPr="0038139B" w:rsidRDefault="00D548A4" w:rsidP="009A4EAF">
      <w:pPr>
        <w:pStyle w:val="Sections"/>
        <w:jc w:val="both"/>
        <w:rPr>
          <w:rFonts w:ascii="Times New Roman" w:hAnsi="Times New Roman"/>
          <w:noProof/>
        </w:rPr>
      </w:pPr>
      <w:r w:rsidRPr="0038139B">
        <w:rPr>
          <w:rFonts w:ascii="Times New Roman" w:hAnsi="Times New Roman"/>
          <w:noProof/>
        </w:rPr>
        <w:t xml:space="preserve">Warianty strategiczne </w:t>
      </w:r>
    </w:p>
    <w:p w14:paraId="51DEF19F" w14:textId="4DEF8697" w:rsidR="00D548A4" w:rsidRPr="0038139B" w:rsidRDefault="00D548A4" w:rsidP="009A4EAF">
      <w:pPr>
        <w:pStyle w:val="Sub-sections"/>
        <w:jc w:val="both"/>
        <w:rPr>
          <w:rFonts w:ascii="Times New Roman" w:hAnsi="Times New Roman"/>
          <w:noProof/>
        </w:rPr>
      </w:pPr>
      <w:r w:rsidRPr="0038139B">
        <w:rPr>
          <w:rFonts w:ascii="Times New Roman" w:hAnsi="Times New Roman"/>
          <w:noProof/>
        </w:rPr>
        <w:t>Jakie warianty legislacyjne</w:t>
      </w:r>
      <w:r w:rsidR="0038139B" w:rsidRPr="0038139B">
        <w:rPr>
          <w:rFonts w:ascii="Times New Roman" w:hAnsi="Times New Roman"/>
          <w:noProof/>
        </w:rPr>
        <w:t xml:space="preserve"> i nie</w:t>
      </w:r>
      <w:r w:rsidRPr="0038139B">
        <w:rPr>
          <w:rFonts w:ascii="Times New Roman" w:hAnsi="Times New Roman"/>
          <w:noProof/>
        </w:rPr>
        <w:t xml:space="preserve">legislacyjne rozważono? Czy wskazano preferowany wariant? Dlaczego należy podjąć działania? </w:t>
      </w:r>
    </w:p>
    <w:p w14:paraId="65A9BAD7" w14:textId="0AAFACBE" w:rsidR="005725C4" w:rsidRPr="0038139B" w:rsidRDefault="005725C4" w:rsidP="009A4EAF">
      <w:pPr>
        <w:pStyle w:val="Sub-sections"/>
        <w:numPr>
          <w:ilvl w:val="2"/>
          <w:numId w:val="1"/>
        </w:numPr>
        <w:ind w:left="1418" w:hanging="709"/>
        <w:jc w:val="both"/>
        <w:rPr>
          <w:rFonts w:ascii="Times New Roman" w:hAnsi="Times New Roman"/>
          <w:b w:val="0"/>
          <w:bCs w:val="0"/>
          <w:i/>
          <w:iCs/>
          <w:noProof/>
          <w:u w:val="single"/>
        </w:rPr>
      </w:pPr>
      <w:r w:rsidRPr="0038139B">
        <w:rPr>
          <w:rFonts w:ascii="Times New Roman" w:hAnsi="Times New Roman"/>
          <w:b w:val="0"/>
          <w:i/>
          <w:noProof/>
          <w:u w:val="single"/>
        </w:rPr>
        <w:t xml:space="preserve">Substancje, dla których ustalenie wartości dopuszczalnych uznano za priorytet </w:t>
      </w:r>
    </w:p>
    <w:p w14:paraId="5EFD65FB" w14:textId="5889CBE7" w:rsidR="001A3423" w:rsidRPr="0038139B" w:rsidRDefault="001A3423" w:rsidP="009A4EAF">
      <w:pPr>
        <w:pStyle w:val="Paragraph"/>
        <w:jc w:val="both"/>
        <w:rPr>
          <w:noProof/>
        </w:rPr>
      </w:pPr>
      <w:r w:rsidRPr="0038139B">
        <w:rPr>
          <w:noProof/>
        </w:rPr>
        <w:t>W odniesieniu do każdej substancji, dla której ustala się wartości dopuszczalne (kobalt</w:t>
      </w:r>
      <w:r w:rsidR="0038139B" w:rsidRPr="0038139B">
        <w:rPr>
          <w:noProof/>
        </w:rPr>
        <w:t xml:space="preserve"> i jeg</w:t>
      </w:r>
      <w:r w:rsidRPr="0038139B">
        <w:rPr>
          <w:noProof/>
        </w:rPr>
        <w:t>o związki nieorganiczne, WWA</w:t>
      </w:r>
      <w:r w:rsidR="0038139B" w:rsidRPr="0038139B">
        <w:rPr>
          <w:noProof/>
        </w:rPr>
        <w:t xml:space="preserve"> i 1</w:t>
      </w:r>
      <w:r w:rsidRPr="0038139B">
        <w:rPr>
          <w:noProof/>
        </w:rPr>
        <w:t>,4-dioksan)</w:t>
      </w:r>
      <w:r w:rsidR="0038139B" w:rsidRPr="0038139B">
        <w:rPr>
          <w:noProof/>
        </w:rPr>
        <w:t xml:space="preserve"> i dla</w:t>
      </w:r>
      <w:r w:rsidRPr="0038139B">
        <w:rPr>
          <w:noProof/>
        </w:rPr>
        <w:t xml:space="preserve"> której obecnie nie istnieją wiążące wartości dopuszczalne na poziomie UE</w:t>
      </w:r>
      <w:r w:rsidRPr="0038139B">
        <w:rPr>
          <w:rStyle w:val="FootnoteReference"/>
          <w:noProof/>
        </w:rPr>
        <w:footnoteReference w:id="9"/>
      </w:r>
      <w:r w:rsidRPr="0038139B">
        <w:rPr>
          <w:noProof/>
        </w:rPr>
        <w:t>, określono kilka wariantów strategicznych dotyczących wartości dopuszczalnych</w:t>
      </w:r>
      <w:r w:rsidR="0038139B" w:rsidRPr="0038139B">
        <w:rPr>
          <w:noProof/>
        </w:rPr>
        <w:t>. W każ</w:t>
      </w:r>
      <w:r w:rsidRPr="0038139B">
        <w:rPr>
          <w:noProof/>
        </w:rPr>
        <w:t>dym przypadku te warianty strategiczne obejmują wartości dopuszczalne określone przez RAC (ekspertów naukowych),</w:t>
      </w:r>
      <w:r w:rsidR="0038139B" w:rsidRPr="0038139B">
        <w:rPr>
          <w:noProof/>
        </w:rPr>
        <w:t xml:space="preserve"> o ile</w:t>
      </w:r>
      <w:r w:rsidRPr="0038139B">
        <w:rPr>
          <w:noProof/>
        </w:rPr>
        <w:t xml:space="preserve"> takie istnieją, oraz wartości zalecane przez trójstronny ACSH (zainteresowane strony). </w:t>
      </w:r>
    </w:p>
    <w:p w14:paraId="3A3E368F" w14:textId="519F59F6" w:rsidR="001A3423" w:rsidRPr="0038139B" w:rsidRDefault="001A3423" w:rsidP="009A4EAF">
      <w:pPr>
        <w:pStyle w:val="Paragraph"/>
        <w:jc w:val="both"/>
        <w:rPr>
          <w:noProof/>
        </w:rPr>
      </w:pPr>
      <w:r w:rsidRPr="0038139B">
        <w:rPr>
          <w:noProof/>
        </w:rPr>
        <w:t>Ponadto jako warianty strategiczne wybrano inne odpowiednie punkty referencyjne, aby zapewnić szeroki zakres poziomów podlegających ocenie. Do opracowania tych dodatkowych wariantów strategicznych wykorzystano przede wszystkim nową metodykę określania wartości dopuszczalnych opartych na analizie zagrożeń</w:t>
      </w:r>
      <w:r w:rsidR="0038139B" w:rsidRPr="0038139B">
        <w:rPr>
          <w:noProof/>
        </w:rPr>
        <w:t xml:space="preserve"> w odn</w:t>
      </w:r>
      <w:r w:rsidRPr="0038139B">
        <w:rPr>
          <w:noProof/>
        </w:rPr>
        <w:t>iesieniu do substancji rakotwórczych</w:t>
      </w:r>
      <w:r w:rsidR="0038139B" w:rsidRPr="0038139B">
        <w:rPr>
          <w:noProof/>
        </w:rPr>
        <w:t xml:space="preserve"> o dzi</w:t>
      </w:r>
      <w:r w:rsidRPr="0038139B">
        <w:rPr>
          <w:noProof/>
        </w:rPr>
        <w:t>ałaniu bezprogowym</w:t>
      </w:r>
      <w:r w:rsidRPr="0038139B">
        <w:rPr>
          <w:rStyle w:val="FootnoteReference"/>
          <w:noProof/>
        </w:rPr>
        <w:footnoteReference w:id="10"/>
      </w:r>
      <w:r w:rsidRPr="0038139B">
        <w:rPr>
          <w:noProof/>
        </w:rPr>
        <w:t xml:space="preserve"> oraz istniejące krajowe wartości dopuszczalne. </w:t>
      </w:r>
    </w:p>
    <w:p w14:paraId="58235C15" w14:textId="564ADE8C" w:rsidR="009A4EAF" w:rsidRPr="0038139B" w:rsidRDefault="009A4EAF" w:rsidP="000D7F21">
      <w:pPr>
        <w:jc w:val="both"/>
        <w:rPr>
          <w:rFonts w:ascii="Times New Roman" w:hAnsi="Times New Roman" w:cs="Times New Roman"/>
          <w:noProof/>
          <w:sz w:val="24"/>
          <w:szCs w:val="24"/>
        </w:rPr>
      </w:pPr>
      <w:r w:rsidRPr="0038139B">
        <w:rPr>
          <w:rFonts w:ascii="Times New Roman" w:hAnsi="Times New Roman"/>
          <w:noProof/>
          <w:sz w:val="24"/>
        </w:rPr>
        <w:t>W odniesieniu do izoprenu ze zgromadzonych dowodów wynika, że obecne</w:t>
      </w:r>
      <w:r w:rsidR="0038139B" w:rsidRPr="0038139B">
        <w:rPr>
          <w:rFonts w:ascii="Times New Roman" w:hAnsi="Times New Roman"/>
          <w:noProof/>
          <w:sz w:val="24"/>
        </w:rPr>
        <w:t xml:space="preserve"> i prz</w:t>
      </w:r>
      <w:r w:rsidRPr="0038139B">
        <w:rPr>
          <w:rFonts w:ascii="Times New Roman" w:hAnsi="Times New Roman"/>
          <w:noProof/>
          <w:sz w:val="24"/>
        </w:rPr>
        <w:t>yszłe poziomy narażenia pracowników są już niższe niż bezpieczna dla zdrowia dopuszczalna wartość wskazana</w:t>
      </w:r>
      <w:r w:rsidR="0038139B" w:rsidRPr="0038139B">
        <w:rPr>
          <w:rFonts w:ascii="Times New Roman" w:hAnsi="Times New Roman"/>
          <w:noProof/>
          <w:sz w:val="24"/>
        </w:rPr>
        <w:t xml:space="preserve"> w opi</w:t>
      </w:r>
      <w:r w:rsidRPr="0038139B">
        <w:rPr>
          <w:rFonts w:ascii="Times New Roman" w:hAnsi="Times New Roman"/>
          <w:noProof/>
          <w:sz w:val="24"/>
        </w:rPr>
        <w:t>nii RAC. Mimo jednomyślnego poparcia wyrażonego</w:t>
      </w:r>
      <w:r w:rsidR="0038139B" w:rsidRPr="0038139B">
        <w:rPr>
          <w:rFonts w:ascii="Times New Roman" w:hAnsi="Times New Roman"/>
          <w:noProof/>
          <w:sz w:val="24"/>
        </w:rPr>
        <w:t xml:space="preserve"> w ram</w:t>
      </w:r>
      <w:r w:rsidRPr="0038139B">
        <w:rPr>
          <w:rFonts w:ascii="Times New Roman" w:hAnsi="Times New Roman"/>
          <w:noProof/>
          <w:sz w:val="24"/>
        </w:rPr>
        <w:t>ach ACSH przez przedstawicieli przedsiębiorstw, pracowników</w:t>
      </w:r>
      <w:r w:rsidR="0038139B" w:rsidRPr="0038139B">
        <w:rPr>
          <w:rFonts w:ascii="Times New Roman" w:hAnsi="Times New Roman"/>
          <w:noProof/>
          <w:sz w:val="24"/>
        </w:rPr>
        <w:t xml:space="preserve"> i pań</w:t>
      </w:r>
      <w:r w:rsidRPr="0038139B">
        <w:rPr>
          <w:rFonts w:ascii="Times New Roman" w:hAnsi="Times New Roman"/>
          <w:noProof/>
          <w:sz w:val="24"/>
        </w:rPr>
        <w:t>stw członkowskich dla ustalenia wartości dopuszczalnej</w:t>
      </w:r>
      <w:r w:rsidR="0038139B" w:rsidRPr="0038139B">
        <w:rPr>
          <w:rFonts w:ascii="Times New Roman" w:hAnsi="Times New Roman"/>
          <w:noProof/>
          <w:sz w:val="24"/>
        </w:rPr>
        <w:t xml:space="preserve"> w odn</w:t>
      </w:r>
      <w:r w:rsidRPr="0038139B">
        <w:rPr>
          <w:rFonts w:ascii="Times New Roman" w:hAnsi="Times New Roman"/>
          <w:noProof/>
          <w:sz w:val="24"/>
        </w:rPr>
        <w:t>iesieniu do izoprenu podjęcie działania na szczeblu UE nie wydaje się konieczne do poprawy ochrony pracowników</w:t>
      </w:r>
      <w:r w:rsidR="0038139B" w:rsidRPr="0038139B">
        <w:rPr>
          <w:rFonts w:ascii="Times New Roman" w:hAnsi="Times New Roman"/>
          <w:noProof/>
          <w:sz w:val="24"/>
        </w:rPr>
        <w:t>. W zwi</w:t>
      </w:r>
      <w:r w:rsidRPr="0038139B">
        <w:rPr>
          <w:rFonts w:ascii="Times New Roman" w:hAnsi="Times New Roman"/>
          <w:noProof/>
          <w:sz w:val="24"/>
        </w:rPr>
        <w:t>ązku</w:t>
      </w:r>
      <w:r w:rsidR="0038139B" w:rsidRPr="0038139B">
        <w:rPr>
          <w:rFonts w:ascii="Times New Roman" w:hAnsi="Times New Roman"/>
          <w:noProof/>
          <w:sz w:val="24"/>
        </w:rPr>
        <w:t xml:space="preserve"> z tym</w:t>
      </w:r>
      <w:r w:rsidRPr="0038139B">
        <w:rPr>
          <w:rFonts w:ascii="Times New Roman" w:hAnsi="Times New Roman"/>
          <w:noProof/>
          <w:sz w:val="24"/>
        </w:rPr>
        <w:t xml:space="preserve"> nie rozważono żadnego wariantu strategicznego</w:t>
      </w:r>
      <w:r w:rsidR="0038139B" w:rsidRPr="0038139B">
        <w:rPr>
          <w:rFonts w:ascii="Times New Roman" w:hAnsi="Times New Roman"/>
          <w:noProof/>
          <w:sz w:val="24"/>
        </w:rPr>
        <w:t xml:space="preserve"> w odn</w:t>
      </w:r>
      <w:r w:rsidRPr="0038139B">
        <w:rPr>
          <w:rFonts w:ascii="Times New Roman" w:hAnsi="Times New Roman"/>
          <w:noProof/>
          <w:sz w:val="24"/>
        </w:rPr>
        <w:t>iesieniu do tej konkretnej substancji.</w:t>
      </w:r>
    </w:p>
    <w:p w14:paraId="7FD963C3" w14:textId="3972FCF2" w:rsidR="001A3423" w:rsidRPr="0038139B" w:rsidRDefault="001A3423" w:rsidP="009A4EAF">
      <w:pPr>
        <w:pStyle w:val="Sub-sub-section"/>
        <w:ind w:left="1418" w:hanging="709"/>
        <w:jc w:val="both"/>
        <w:rPr>
          <w:rFonts w:ascii="Times New Roman" w:hAnsi="Times New Roman"/>
          <w:noProof/>
        </w:rPr>
      </w:pPr>
      <w:r w:rsidRPr="0038139B">
        <w:rPr>
          <w:rFonts w:ascii="Times New Roman" w:hAnsi="Times New Roman"/>
          <w:noProof/>
        </w:rPr>
        <w:t>Dym spawalniczy, substancja powstająca</w:t>
      </w:r>
      <w:r w:rsidR="0038139B" w:rsidRPr="0038139B">
        <w:rPr>
          <w:rFonts w:ascii="Times New Roman" w:hAnsi="Times New Roman"/>
          <w:noProof/>
        </w:rPr>
        <w:t xml:space="preserve"> w wyn</w:t>
      </w:r>
      <w:r w:rsidRPr="0038139B">
        <w:rPr>
          <w:rFonts w:ascii="Times New Roman" w:hAnsi="Times New Roman"/>
          <w:noProof/>
        </w:rPr>
        <w:t>iku procesów technologicznych, którą należy włączyć do załącznika I do dyrektywy</w:t>
      </w:r>
      <w:r w:rsidR="0038139B" w:rsidRPr="0038139B">
        <w:rPr>
          <w:rFonts w:ascii="Times New Roman" w:hAnsi="Times New Roman"/>
          <w:noProof/>
        </w:rPr>
        <w:t xml:space="preserve"> w spr</w:t>
      </w:r>
      <w:r w:rsidRPr="0038139B">
        <w:rPr>
          <w:rFonts w:ascii="Times New Roman" w:hAnsi="Times New Roman"/>
          <w:noProof/>
        </w:rPr>
        <w:t>awie czynników rakotwórczych, mutagenów</w:t>
      </w:r>
      <w:r w:rsidR="0038139B" w:rsidRPr="0038139B">
        <w:rPr>
          <w:rFonts w:ascii="Times New Roman" w:hAnsi="Times New Roman"/>
          <w:noProof/>
        </w:rPr>
        <w:t xml:space="preserve"> i sub</w:t>
      </w:r>
      <w:r w:rsidRPr="0038139B">
        <w:rPr>
          <w:rFonts w:ascii="Times New Roman" w:hAnsi="Times New Roman"/>
          <w:noProof/>
        </w:rPr>
        <w:t>stancji reprotoksycznych</w:t>
      </w:r>
    </w:p>
    <w:p w14:paraId="2F669D2E" w14:textId="44F5805F" w:rsidR="001A3423" w:rsidRPr="0038139B" w:rsidRDefault="001A3423" w:rsidP="009A4EAF">
      <w:pPr>
        <w:pStyle w:val="Paragraph"/>
        <w:jc w:val="both"/>
        <w:rPr>
          <w:noProof/>
        </w:rPr>
      </w:pPr>
      <w:r w:rsidRPr="0038139B">
        <w:rPr>
          <w:noProof/>
        </w:rPr>
        <w:t>Jak wynika ze zgromadzonych dowodów</w:t>
      </w:r>
      <w:r w:rsidRPr="0038139B">
        <w:rPr>
          <w:rStyle w:val="FootnoteReference"/>
          <w:noProof/>
        </w:rPr>
        <w:footnoteReference w:id="11"/>
      </w:r>
      <w:r w:rsidRPr="0038139B">
        <w:rPr>
          <w:noProof/>
        </w:rPr>
        <w:t>, niektórzy pracodawcy nie są świadomi, że</w:t>
      </w:r>
      <w:r w:rsidR="0038139B" w:rsidRPr="0038139B">
        <w:rPr>
          <w:noProof/>
        </w:rPr>
        <w:t xml:space="preserve"> w sto</w:t>
      </w:r>
      <w:r w:rsidRPr="0038139B">
        <w:rPr>
          <w:noProof/>
        </w:rPr>
        <w:t>sowanych przez nich procesach spawania może dochodzić do uwalniania dymu zawierającego czynniki rakotwórcze, mutageny lub substancje reprotoksyczne. Ci pracodawcy mogą zatem nie zdawać sobie sprawy ze skali niebezpieczeństwa dla ich pracowników</w:t>
      </w:r>
      <w:r w:rsidR="0038139B" w:rsidRPr="0038139B">
        <w:rPr>
          <w:noProof/>
        </w:rPr>
        <w:t xml:space="preserve"> w zwi</w:t>
      </w:r>
      <w:r w:rsidRPr="0038139B">
        <w:rPr>
          <w:noProof/>
        </w:rPr>
        <w:t>ązku</w:t>
      </w:r>
      <w:r w:rsidR="0038139B" w:rsidRPr="0038139B">
        <w:rPr>
          <w:noProof/>
        </w:rPr>
        <w:t xml:space="preserve"> z nar</w:t>
      </w:r>
      <w:r w:rsidRPr="0038139B">
        <w:rPr>
          <w:noProof/>
        </w:rPr>
        <w:t>ażeniem na dym spawalniczy</w:t>
      </w:r>
      <w:r w:rsidR="0038139B" w:rsidRPr="0038139B">
        <w:rPr>
          <w:noProof/>
        </w:rPr>
        <w:t>. Z teg</w:t>
      </w:r>
      <w:r w:rsidRPr="0038139B">
        <w:rPr>
          <w:noProof/>
        </w:rPr>
        <w:t>o powodu rozważanym wariantem strategicznym dotyczącym dymu spawalniczego jest włączenie go do załącznika I do dyrektywy</w:t>
      </w:r>
      <w:r w:rsidR="0038139B" w:rsidRPr="0038139B">
        <w:rPr>
          <w:noProof/>
        </w:rPr>
        <w:t xml:space="preserve"> w spr</w:t>
      </w:r>
      <w:r w:rsidRPr="0038139B">
        <w:rPr>
          <w:noProof/>
        </w:rPr>
        <w:t>awie czynników rakotwórczych, mutagenów</w:t>
      </w:r>
      <w:r w:rsidR="0038139B" w:rsidRPr="0038139B">
        <w:rPr>
          <w:noProof/>
        </w:rPr>
        <w:t xml:space="preserve"> i sub</w:t>
      </w:r>
      <w:r w:rsidRPr="0038139B">
        <w:rPr>
          <w:noProof/>
        </w:rPr>
        <w:t>stancji reprotoksycznych</w:t>
      </w:r>
      <w:r w:rsidR="0038139B" w:rsidRPr="0038139B">
        <w:rPr>
          <w:noProof/>
        </w:rPr>
        <w:t xml:space="preserve"> w cel</w:t>
      </w:r>
      <w:r w:rsidRPr="0038139B">
        <w:rPr>
          <w:noProof/>
        </w:rPr>
        <w:t>u zwiększenia jasności prawa</w:t>
      </w:r>
      <w:r w:rsidR="0038139B" w:rsidRPr="0038139B">
        <w:rPr>
          <w:noProof/>
        </w:rPr>
        <w:t xml:space="preserve"> i sze</w:t>
      </w:r>
      <w:r w:rsidRPr="0038139B">
        <w:rPr>
          <w:noProof/>
        </w:rPr>
        <w:t>rzenia wiedzy na temat możliwego zagrożenia związanego</w:t>
      </w:r>
      <w:r w:rsidR="0038139B" w:rsidRPr="0038139B">
        <w:rPr>
          <w:noProof/>
        </w:rPr>
        <w:t xml:space="preserve"> z kon</w:t>
      </w:r>
      <w:r w:rsidRPr="0038139B">
        <w:rPr>
          <w:noProof/>
        </w:rPr>
        <w:t>taktem</w:t>
      </w:r>
      <w:r w:rsidR="0038139B" w:rsidRPr="0038139B">
        <w:rPr>
          <w:noProof/>
        </w:rPr>
        <w:t xml:space="preserve"> z tym</w:t>
      </w:r>
      <w:r w:rsidRPr="0038139B">
        <w:rPr>
          <w:noProof/>
        </w:rPr>
        <w:t xml:space="preserve"> dymem. </w:t>
      </w:r>
    </w:p>
    <w:p w14:paraId="118C9F7E" w14:textId="32A18024" w:rsidR="004468F5" w:rsidRPr="0038139B" w:rsidRDefault="004468F5" w:rsidP="009A4EAF">
      <w:pPr>
        <w:pStyle w:val="Sub-sub-section"/>
        <w:ind w:left="1418" w:hanging="709"/>
        <w:jc w:val="both"/>
        <w:rPr>
          <w:rFonts w:ascii="Times New Roman" w:hAnsi="Times New Roman"/>
          <w:noProof/>
        </w:rPr>
      </w:pPr>
      <w:r w:rsidRPr="0038139B">
        <w:rPr>
          <w:rFonts w:ascii="Times New Roman" w:hAnsi="Times New Roman"/>
          <w:noProof/>
        </w:rPr>
        <w:t xml:space="preserve">Preferowane warianty </w:t>
      </w:r>
    </w:p>
    <w:p w14:paraId="4B835ABD" w14:textId="585ECBDF" w:rsidR="005B591B" w:rsidRPr="0038139B" w:rsidRDefault="004468F5" w:rsidP="009A4EAF">
      <w:pPr>
        <w:pStyle w:val="Paragraph"/>
        <w:jc w:val="both"/>
        <w:rPr>
          <w:noProof/>
        </w:rPr>
      </w:pPr>
      <w:r w:rsidRPr="0038139B">
        <w:rPr>
          <w:noProof/>
        </w:rPr>
        <w:t>W wyniku dogłębnej oceny skutków wartości dopuszczalne zalecone przez ACSH zachowano jako preferowane warianty dla kobaltu</w:t>
      </w:r>
      <w:r w:rsidR="0038139B" w:rsidRPr="0038139B">
        <w:rPr>
          <w:noProof/>
        </w:rPr>
        <w:t xml:space="preserve"> i jeg</w:t>
      </w:r>
      <w:r w:rsidRPr="0038139B">
        <w:rPr>
          <w:noProof/>
        </w:rPr>
        <w:t>o związków nieorganicznych, WWA, 1,4-dioksanu</w:t>
      </w:r>
      <w:r w:rsidR="0038139B" w:rsidRPr="0038139B">
        <w:rPr>
          <w:noProof/>
        </w:rPr>
        <w:t xml:space="preserve"> i dym</w:t>
      </w:r>
      <w:r w:rsidRPr="0038139B">
        <w:rPr>
          <w:noProof/>
        </w:rPr>
        <w:t>u spawalniczego, ponieważ zapewniają one optymalną równowagę pod względem skuteczności, efektywności</w:t>
      </w:r>
      <w:r w:rsidR="0038139B" w:rsidRPr="0038139B">
        <w:rPr>
          <w:noProof/>
        </w:rPr>
        <w:t xml:space="preserve"> i spó</w:t>
      </w:r>
      <w:r w:rsidRPr="0038139B">
        <w:rPr>
          <w:noProof/>
        </w:rPr>
        <w:t xml:space="preserve">jności. </w:t>
      </w:r>
    </w:p>
    <w:p w14:paraId="7CF1F3B8" w14:textId="35F7F691" w:rsidR="00D548A4" w:rsidRPr="0038139B" w:rsidRDefault="00D548A4" w:rsidP="009A4EAF">
      <w:pPr>
        <w:pStyle w:val="Sub-sections"/>
        <w:jc w:val="both"/>
        <w:rPr>
          <w:rFonts w:ascii="Times New Roman" w:hAnsi="Times New Roman"/>
          <w:noProof/>
        </w:rPr>
      </w:pPr>
      <w:r w:rsidRPr="0038139B">
        <w:rPr>
          <w:rFonts w:ascii="Times New Roman" w:hAnsi="Times New Roman"/>
          <w:noProof/>
        </w:rPr>
        <w:t xml:space="preserve">Jak kształtuje się poparcie dla poszczególnych wariantów? </w:t>
      </w:r>
    </w:p>
    <w:p w14:paraId="3AD323A0" w14:textId="03D97371" w:rsidR="00E939ED" w:rsidRPr="0038139B" w:rsidRDefault="00E939ED" w:rsidP="009A4EAF">
      <w:pPr>
        <w:pStyle w:val="Paragraph"/>
        <w:jc w:val="both"/>
        <w:rPr>
          <w:noProof/>
        </w:rPr>
      </w:pPr>
      <w:r w:rsidRPr="0038139B">
        <w:rPr>
          <w:noProof/>
        </w:rPr>
        <w:t>W ramach formalnych dwuetapowych konsultacji partnerzy społeczni poparli listę priorytetowych substancji, które należy uwzględnić</w:t>
      </w:r>
      <w:r w:rsidR="0038139B" w:rsidRPr="0038139B">
        <w:rPr>
          <w:noProof/>
        </w:rPr>
        <w:t xml:space="preserve"> w szó</w:t>
      </w:r>
      <w:r w:rsidRPr="0038139B">
        <w:rPr>
          <w:noProof/>
        </w:rPr>
        <w:t>stej zmianie dyrektywy</w:t>
      </w:r>
      <w:r w:rsidR="0038139B" w:rsidRPr="0038139B">
        <w:rPr>
          <w:noProof/>
        </w:rPr>
        <w:t xml:space="preserve"> w spr</w:t>
      </w:r>
      <w:r w:rsidRPr="0038139B">
        <w:rPr>
          <w:noProof/>
        </w:rPr>
        <w:t>awie czynników rakotwórczych, mutagenów</w:t>
      </w:r>
      <w:r w:rsidR="0038139B" w:rsidRPr="0038139B">
        <w:rPr>
          <w:noProof/>
        </w:rPr>
        <w:t xml:space="preserve"> i sub</w:t>
      </w:r>
      <w:r w:rsidRPr="0038139B">
        <w:rPr>
          <w:noProof/>
        </w:rPr>
        <w:t>stancji reprotoksycznych. Przedstawiciele rządów, pracodawców</w:t>
      </w:r>
      <w:r w:rsidR="0038139B" w:rsidRPr="0038139B">
        <w:rPr>
          <w:noProof/>
        </w:rPr>
        <w:t xml:space="preserve"> i pra</w:t>
      </w:r>
      <w:r w:rsidRPr="0038139B">
        <w:rPr>
          <w:noProof/>
        </w:rPr>
        <w:t>cowników w ACSH popierają preferowane warianty dotyczące kobaltu</w:t>
      </w:r>
      <w:r w:rsidR="0038139B" w:rsidRPr="0038139B">
        <w:rPr>
          <w:noProof/>
        </w:rPr>
        <w:t xml:space="preserve"> i jeg</w:t>
      </w:r>
      <w:r w:rsidRPr="0038139B">
        <w:rPr>
          <w:noProof/>
        </w:rPr>
        <w:t>o związków nieorganicznych, WWA, 1,4-dioksanu</w:t>
      </w:r>
      <w:r w:rsidR="0038139B" w:rsidRPr="0038139B">
        <w:rPr>
          <w:noProof/>
        </w:rPr>
        <w:t xml:space="preserve"> i dym</w:t>
      </w:r>
      <w:r w:rsidRPr="0038139B">
        <w:rPr>
          <w:noProof/>
        </w:rPr>
        <w:t>u spawalniczego,</w:t>
      </w:r>
      <w:r w:rsidR="0038139B" w:rsidRPr="0038139B">
        <w:rPr>
          <w:noProof/>
        </w:rPr>
        <w:t xml:space="preserve"> w tym</w:t>
      </w:r>
      <w:r w:rsidRPr="0038139B">
        <w:rPr>
          <w:noProof/>
        </w:rPr>
        <w:t xml:space="preserve"> okresy przejściowe zaproponowane</w:t>
      </w:r>
      <w:r w:rsidR="0038139B" w:rsidRPr="0038139B">
        <w:rPr>
          <w:noProof/>
        </w:rPr>
        <w:t xml:space="preserve"> w cel</w:t>
      </w:r>
      <w:r w:rsidRPr="0038139B">
        <w:rPr>
          <w:noProof/>
        </w:rPr>
        <w:t>u zmniejszenia technicznych lub ekonomicznych trudności dla pracodawców</w:t>
      </w:r>
      <w:r w:rsidR="0038139B" w:rsidRPr="0038139B">
        <w:rPr>
          <w:noProof/>
        </w:rPr>
        <w:t xml:space="preserve"> w odn</w:t>
      </w:r>
      <w:r w:rsidRPr="0038139B">
        <w:rPr>
          <w:noProof/>
        </w:rPr>
        <w:t>iesieniu do kobaltu</w:t>
      </w:r>
      <w:r w:rsidR="0038139B" w:rsidRPr="0038139B">
        <w:rPr>
          <w:noProof/>
        </w:rPr>
        <w:t xml:space="preserve"> i jeg</w:t>
      </w:r>
      <w:r w:rsidRPr="0038139B">
        <w:rPr>
          <w:noProof/>
        </w:rPr>
        <w:t xml:space="preserve">o związków nieorganicznych oraz WWA. </w:t>
      </w:r>
    </w:p>
    <w:p w14:paraId="11727516" w14:textId="4855A666" w:rsidR="00D548A4" w:rsidRPr="0038139B" w:rsidRDefault="00D548A4" w:rsidP="009A4EAF">
      <w:pPr>
        <w:pStyle w:val="Sections"/>
        <w:jc w:val="both"/>
        <w:rPr>
          <w:rFonts w:ascii="Times New Roman" w:hAnsi="Times New Roman"/>
          <w:noProof/>
        </w:rPr>
      </w:pPr>
      <w:r w:rsidRPr="0038139B">
        <w:rPr>
          <w:rFonts w:ascii="Times New Roman" w:hAnsi="Times New Roman"/>
          <w:noProof/>
        </w:rPr>
        <w:t xml:space="preserve">Skutki wdrożenia preferowanego wariantu </w:t>
      </w:r>
    </w:p>
    <w:p w14:paraId="02F8CA97" w14:textId="29E828B1" w:rsidR="00D548A4" w:rsidRPr="0038139B" w:rsidRDefault="00D548A4" w:rsidP="009A4EAF">
      <w:pPr>
        <w:pStyle w:val="Sub-sections"/>
        <w:jc w:val="both"/>
        <w:rPr>
          <w:rFonts w:ascii="Times New Roman" w:hAnsi="Times New Roman"/>
          <w:noProof/>
        </w:rPr>
      </w:pPr>
      <w:r w:rsidRPr="0038139B">
        <w:rPr>
          <w:rFonts w:ascii="Times New Roman" w:hAnsi="Times New Roman"/>
          <w:noProof/>
        </w:rPr>
        <w:t>Jakie korzyści wynikają</w:t>
      </w:r>
      <w:r w:rsidR="0038139B" w:rsidRPr="0038139B">
        <w:rPr>
          <w:rFonts w:ascii="Times New Roman" w:hAnsi="Times New Roman"/>
          <w:noProof/>
        </w:rPr>
        <w:t xml:space="preserve"> z pre</w:t>
      </w:r>
      <w:r w:rsidRPr="0038139B">
        <w:rPr>
          <w:rFonts w:ascii="Times New Roman" w:hAnsi="Times New Roman"/>
          <w:noProof/>
        </w:rPr>
        <w:t xml:space="preserve">ferowanych wariantów? </w:t>
      </w:r>
    </w:p>
    <w:p w14:paraId="6B69C4B2" w14:textId="7CD2D455" w:rsidR="00FE1E24" w:rsidRPr="0038139B" w:rsidRDefault="00370B31" w:rsidP="009A4EAF">
      <w:pPr>
        <w:pStyle w:val="Paragraph"/>
        <w:jc w:val="both"/>
        <w:rPr>
          <w:noProof/>
        </w:rPr>
      </w:pPr>
      <w:r w:rsidRPr="0038139B">
        <w:rPr>
          <w:noProof/>
        </w:rPr>
        <w:t>Jeżeli chodzi</w:t>
      </w:r>
      <w:r w:rsidR="0038139B" w:rsidRPr="0038139B">
        <w:rPr>
          <w:noProof/>
        </w:rPr>
        <w:t xml:space="preserve"> o pra</w:t>
      </w:r>
      <w:r w:rsidRPr="0038139B">
        <w:rPr>
          <w:noProof/>
        </w:rPr>
        <w:t>cowników, oczekuje się, że</w:t>
      </w:r>
      <w:r w:rsidR="0038139B" w:rsidRPr="0038139B">
        <w:rPr>
          <w:noProof/>
        </w:rPr>
        <w:t xml:space="preserve"> w cią</w:t>
      </w:r>
      <w:r w:rsidRPr="0038139B">
        <w:rPr>
          <w:noProof/>
        </w:rPr>
        <w:t>gu najbliższych 40 lat preferowane warianty dotyczące przedmiotowych czterech substancji pozwolą uniknąć około 1 700 przypadków raka płuc</w:t>
      </w:r>
      <w:r w:rsidR="0038139B" w:rsidRPr="0038139B">
        <w:rPr>
          <w:noProof/>
        </w:rPr>
        <w:t xml:space="preserve"> i 1</w:t>
      </w:r>
      <w:r w:rsidRPr="0038139B">
        <w:rPr>
          <w:noProof/>
        </w:rPr>
        <w:t>9 000 zachorowań innych niż na nowotwór. Uniknięcie tych zachorowań oznacza oszczędności</w:t>
      </w:r>
      <w:r w:rsidR="0038139B" w:rsidRPr="0038139B">
        <w:rPr>
          <w:noProof/>
        </w:rPr>
        <w:t xml:space="preserve"> w wys</w:t>
      </w:r>
      <w:r w:rsidRPr="0038139B">
        <w:rPr>
          <w:noProof/>
        </w:rPr>
        <w:t>okości do</w:t>
      </w:r>
      <w:r w:rsidR="0038139B" w:rsidRPr="0038139B">
        <w:rPr>
          <w:noProof/>
        </w:rPr>
        <w:t> </w:t>
      </w:r>
      <w:r w:rsidRPr="0038139B">
        <w:rPr>
          <w:noProof/>
        </w:rPr>
        <w:t>1,16 mld EUR</w:t>
      </w:r>
      <w:r w:rsidRPr="0038139B">
        <w:rPr>
          <w:rStyle w:val="FootnoteReference"/>
          <w:noProof/>
        </w:rPr>
        <w:footnoteReference w:id="12"/>
      </w:r>
      <w:r w:rsidRPr="0038139B">
        <w:rPr>
          <w:noProof/>
        </w:rPr>
        <w:t>.</w:t>
      </w:r>
    </w:p>
    <w:p w14:paraId="78BAB179" w14:textId="7F5372C0" w:rsidR="00370B31" w:rsidRPr="0038139B" w:rsidRDefault="00370B31" w:rsidP="009A4EAF">
      <w:pPr>
        <w:pStyle w:val="Paragraph"/>
        <w:jc w:val="both"/>
        <w:rPr>
          <w:noProof/>
        </w:rPr>
      </w:pPr>
      <w:r w:rsidRPr="0038139B">
        <w:rPr>
          <w:noProof/>
        </w:rPr>
        <w:t>Preferowane warianty przyniosłyby również korzyści przedsiębiorstwom</w:t>
      </w:r>
      <w:r w:rsidR="0038139B" w:rsidRPr="0038139B">
        <w:rPr>
          <w:noProof/>
        </w:rPr>
        <w:t xml:space="preserve"> w pos</w:t>
      </w:r>
      <w:r w:rsidRPr="0038139B">
        <w:rPr>
          <w:noProof/>
        </w:rPr>
        <w:t>taci zmniejszenia</w:t>
      </w:r>
      <w:r w:rsidR="0038139B" w:rsidRPr="0038139B">
        <w:rPr>
          <w:noProof/>
        </w:rPr>
        <w:t xml:space="preserve"> </w:t>
      </w:r>
      <w:r w:rsidRPr="0038139B">
        <w:rPr>
          <w:noProof/>
        </w:rPr>
        <w:t>nieobecności</w:t>
      </w:r>
      <w:r w:rsidR="0038139B" w:rsidRPr="0038139B">
        <w:rPr>
          <w:noProof/>
        </w:rPr>
        <w:t xml:space="preserve"> w pra</w:t>
      </w:r>
      <w:r w:rsidRPr="0038139B">
        <w:rPr>
          <w:noProof/>
        </w:rPr>
        <w:t>cy, strat pod względem wydajności</w:t>
      </w:r>
      <w:r w:rsidR="0038139B" w:rsidRPr="0038139B">
        <w:rPr>
          <w:noProof/>
        </w:rPr>
        <w:t xml:space="preserve"> i pła</w:t>
      </w:r>
      <w:r w:rsidRPr="0038139B">
        <w:rPr>
          <w:noProof/>
        </w:rPr>
        <w:t>tności</w:t>
      </w:r>
      <w:r w:rsidR="0038139B" w:rsidRPr="0038139B">
        <w:rPr>
          <w:noProof/>
        </w:rPr>
        <w:t xml:space="preserve"> z tyt</w:t>
      </w:r>
      <w:r w:rsidRPr="0038139B">
        <w:rPr>
          <w:noProof/>
        </w:rPr>
        <w:t>ułu ubezpieczeń</w:t>
      </w:r>
      <w:r w:rsidR="0038139B" w:rsidRPr="0038139B">
        <w:rPr>
          <w:noProof/>
        </w:rPr>
        <w:t xml:space="preserve"> w wys</w:t>
      </w:r>
      <w:r w:rsidRPr="0038139B">
        <w:rPr>
          <w:noProof/>
        </w:rPr>
        <w:t>okości około 7 mln EUR</w:t>
      </w:r>
      <w:r w:rsidR="0038139B" w:rsidRPr="0038139B">
        <w:rPr>
          <w:noProof/>
        </w:rPr>
        <w:t xml:space="preserve"> w cią</w:t>
      </w:r>
      <w:r w:rsidRPr="0038139B">
        <w:rPr>
          <w:noProof/>
        </w:rPr>
        <w:t>gu najbliższych 40 lat. Szacowane korzyści dla przedsiębiorstw nie obejmują pewnych pozytywnych skutków, takich jak większa jasność prawa. Ponadto preferowane warianty przyniosłyby również korzyści organom publicznym pod względem oszczędności kosztów związanych</w:t>
      </w:r>
      <w:r w:rsidR="0038139B" w:rsidRPr="0038139B">
        <w:rPr>
          <w:noProof/>
        </w:rPr>
        <w:t xml:space="preserve"> z wyd</w:t>
      </w:r>
      <w:r w:rsidRPr="0038139B">
        <w:rPr>
          <w:noProof/>
        </w:rPr>
        <w:t>atkami na opiekę zdrowotną</w:t>
      </w:r>
      <w:r w:rsidR="0038139B" w:rsidRPr="0038139B">
        <w:rPr>
          <w:noProof/>
        </w:rPr>
        <w:t xml:space="preserve"> w wys</w:t>
      </w:r>
      <w:r w:rsidRPr="0038139B">
        <w:rPr>
          <w:noProof/>
        </w:rPr>
        <w:t>okości 26,65 mln EUR oraz uniknięcia kosztów ustalania wartości dopuszczalnych</w:t>
      </w:r>
      <w:r w:rsidR="0038139B" w:rsidRPr="0038139B">
        <w:rPr>
          <w:noProof/>
        </w:rPr>
        <w:t xml:space="preserve"> w ram</w:t>
      </w:r>
      <w:r w:rsidRPr="0038139B">
        <w:rPr>
          <w:noProof/>
        </w:rPr>
        <w:t>ach procesów krajowych, które to koszty wyniosłyby do</w:t>
      </w:r>
      <w:r w:rsidR="0038139B" w:rsidRPr="0038139B">
        <w:rPr>
          <w:noProof/>
        </w:rPr>
        <w:t> </w:t>
      </w:r>
      <w:r w:rsidRPr="0038139B">
        <w:rPr>
          <w:noProof/>
        </w:rPr>
        <w:t xml:space="preserve">3,75 mln EUR. </w:t>
      </w:r>
    </w:p>
    <w:p w14:paraId="740B59D9" w14:textId="712E5D88" w:rsidR="00D548A4" w:rsidRPr="0038139B" w:rsidRDefault="00D548A4" w:rsidP="009A4EAF">
      <w:pPr>
        <w:pStyle w:val="Sub-sections"/>
        <w:jc w:val="both"/>
        <w:rPr>
          <w:rFonts w:ascii="Times New Roman" w:hAnsi="Times New Roman"/>
          <w:noProof/>
        </w:rPr>
      </w:pPr>
      <w:r w:rsidRPr="0038139B">
        <w:rPr>
          <w:rFonts w:ascii="Times New Roman" w:hAnsi="Times New Roman"/>
          <w:noProof/>
        </w:rPr>
        <w:t xml:space="preserve">Jakie są koszty preferowanych wariantów? </w:t>
      </w:r>
    </w:p>
    <w:p w14:paraId="0089A3BE" w14:textId="0127C228" w:rsidR="009828CC" w:rsidRPr="0038139B" w:rsidRDefault="00370B31" w:rsidP="009A4EAF">
      <w:pPr>
        <w:pStyle w:val="Paragraph"/>
        <w:jc w:val="both"/>
        <w:rPr>
          <w:noProof/>
        </w:rPr>
      </w:pPr>
      <w:r w:rsidRPr="0038139B">
        <w:rPr>
          <w:noProof/>
        </w:rPr>
        <w:t>Całkowite koszty dostosowania poniesione przez przedsiębiorstwa</w:t>
      </w:r>
      <w:r w:rsidR="0038139B" w:rsidRPr="0038139B">
        <w:rPr>
          <w:noProof/>
        </w:rPr>
        <w:t xml:space="preserve"> w zwi</w:t>
      </w:r>
      <w:r w:rsidRPr="0038139B">
        <w:rPr>
          <w:noProof/>
        </w:rPr>
        <w:t>ązku</w:t>
      </w:r>
      <w:r w:rsidR="0038139B" w:rsidRPr="0038139B">
        <w:rPr>
          <w:noProof/>
        </w:rPr>
        <w:t xml:space="preserve"> z pre</w:t>
      </w:r>
      <w:r w:rsidRPr="0038139B">
        <w:rPr>
          <w:noProof/>
        </w:rPr>
        <w:t>ferowanymi wariantami</w:t>
      </w:r>
      <w:r w:rsidR="0038139B" w:rsidRPr="0038139B">
        <w:rPr>
          <w:noProof/>
        </w:rPr>
        <w:t xml:space="preserve"> w cią</w:t>
      </w:r>
      <w:r w:rsidRPr="0038139B">
        <w:rPr>
          <w:noProof/>
        </w:rPr>
        <w:t>gu 40 lat wyniosłyby do</w:t>
      </w:r>
      <w:r w:rsidR="0038139B" w:rsidRPr="0038139B">
        <w:rPr>
          <w:noProof/>
        </w:rPr>
        <w:t> </w:t>
      </w:r>
      <w:r w:rsidRPr="0038139B">
        <w:rPr>
          <w:noProof/>
        </w:rPr>
        <w:t>3,3 mld EUR. Wobec braku dowodów podzielenie kosztów dostosowania na koszty związane</w:t>
      </w:r>
      <w:r w:rsidR="0038139B" w:rsidRPr="0038139B">
        <w:rPr>
          <w:noProof/>
        </w:rPr>
        <w:t xml:space="preserve"> z inw</w:t>
      </w:r>
      <w:r w:rsidRPr="0038139B">
        <w:rPr>
          <w:noProof/>
        </w:rPr>
        <w:t>estycjami</w:t>
      </w:r>
      <w:r w:rsidR="0038139B" w:rsidRPr="0038139B">
        <w:rPr>
          <w:noProof/>
        </w:rPr>
        <w:t xml:space="preserve"> w dod</w:t>
      </w:r>
      <w:r w:rsidRPr="0038139B">
        <w:rPr>
          <w:noProof/>
        </w:rPr>
        <w:t>atkowe środki zarządzania ryzykiem (dokonane</w:t>
      </w:r>
      <w:r w:rsidR="0038139B" w:rsidRPr="0038139B">
        <w:rPr>
          <w:noProof/>
        </w:rPr>
        <w:t xml:space="preserve"> w pie</w:t>
      </w:r>
      <w:r w:rsidRPr="0038139B">
        <w:rPr>
          <w:noProof/>
        </w:rPr>
        <w:t>rwszym roku</w:t>
      </w:r>
      <w:r w:rsidR="0038139B" w:rsidRPr="0038139B">
        <w:rPr>
          <w:noProof/>
        </w:rPr>
        <w:t xml:space="preserve"> i cyk</w:t>
      </w:r>
      <w:r w:rsidRPr="0038139B">
        <w:rPr>
          <w:noProof/>
        </w:rPr>
        <w:t>liczne) oraz na koszty zaprzestania działalności nie jest możliwe. Oczekuje się jednak, że okresy przejściowe przewidziane</w:t>
      </w:r>
      <w:r w:rsidR="0038139B" w:rsidRPr="0038139B">
        <w:rPr>
          <w:noProof/>
        </w:rPr>
        <w:t xml:space="preserve"> w pak</w:t>
      </w:r>
      <w:r w:rsidRPr="0038139B">
        <w:rPr>
          <w:noProof/>
        </w:rPr>
        <w:t>iecie preferowanych wariantów</w:t>
      </w:r>
      <w:r w:rsidR="0038139B" w:rsidRPr="0038139B">
        <w:rPr>
          <w:noProof/>
        </w:rPr>
        <w:t xml:space="preserve"> w odn</w:t>
      </w:r>
      <w:r w:rsidRPr="0038139B">
        <w:rPr>
          <w:noProof/>
        </w:rPr>
        <w:t>iesieniu do kobaltu</w:t>
      </w:r>
      <w:r w:rsidR="0038139B" w:rsidRPr="0038139B">
        <w:rPr>
          <w:noProof/>
        </w:rPr>
        <w:t xml:space="preserve"> i jeg</w:t>
      </w:r>
      <w:r w:rsidRPr="0038139B">
        <w:rPr>
          <w:noProof/>
        </w:rPr>
        <w:t>o związków nieorganicznych oraz WWA zmniejszą liczbę przypadków zaprzestania działalności</w:t>
      </w:r>
      <w:r w:rsidR="0038139B" w:rsidRPr="0038139B">
        <w:rPr>
          <w:noProof/>
        </w:rPr>
        <w:t xml:space="preserve"> w por</w:t>
      </w:r>
      <w:r w:rsidRPr="0038139B">
        <w:rPr>
          <w:noProof/>
        </w:rPr>
        <w:t>ównaniu ze scenariuszem przewidującym te same wartości dopuszczalne bez żadnych okresów przejściowych,</w:t>
      </w:r>
      <w:r w:rsidR="0038139B" w:rsidRPr="0038139B">
        <w:rPr>
          <w:noProof/>
        </w:rPr>
        <w:t xml:space="preserve"> w odn</w:t>
      </w:r>
      <w:r w:rsidRPr="0038139B">
        <w:rPr>
          <w:noProof/>
        </w:rPr>
        <w:t>iesieniu do którego oszacowano, że spowoduje 209 przypadków zaprzestania działalności</w:t>
      </w:r>
      <w:r w:rsidR="0038139B" w:rsidRPr="0038139B">
        <w:rPr>
          <w:noProof/>
        </w:rPr>
        <w:t>. W zwi</w:t>
      </w:r>
      <w:r w:rsidRPr="0038139B">
        <w:rPr>
          <w:noProof/>
        </w:rPr>
        <w:t>ązku</w:t>
      </w:r>
      <w:r w:rsidR="0038139B" w:rsidRPr="0038139B">
        <w:rPr>
          <w:noProof/>
        </w:rPr>
        <w:t xml:space="preserve"> z tym</w:t>
      </w:r>
      <w:r w:rsidRPr="0038139B">
        <w:rPr>
          <w:noProof/>
        </w:rPr>
        <w:t xml:space="preserve"> koszty zaprzestania działalności powinny wynieść znacznie poniżej 2,6 mld EUR, której to kwoty należy spodziewać się</w:t>
      </w:r>
      <w:r w:rsidR="0038139B" w:rsidRPr="0038139B">
        <w:rPr>
          <w:noProof/>
        </w:rPr>
        <w:t xml:space="preserve"> w raz</w:t>
      </w:r>
      <w:r w:rsidRPr="0038139B">
        <w:rPr>
          <w:noProof/>
        </w:rPr>
        <w:t>ie nieuwzględnienia okresu przejściowego. Ponadto przedsiębiorstwa będą zmuszone ponieść koszty monitorowania</w:t>
      </w:r>
      <w:r w:rsidR="0038139B" w:rsidRPr="0038139B">
        <w:rPr>
          <w:noProof/>
        </w:rPr>
        <w:t xml:space="preserve"> i kos</w:t>
      </w:r>
      <w:r w:rsidRPr="0038139B">
        <w:rPr>
          <w:noProof/>
        </w:rPr>
        <w:t>zty administracyjne</w:t>
      </w:r>
      <w:r w:rsidR="0038139B" w:rsidRPr="0038139B">
        <w:rPr>
          <w:noProof/>
        </w:rPr>
        <w:t xml:space="preserve"> w wys</w:t>
      </w:r>
      <w:r w:rsidRPr="0038139B">
        <w:rPr>
          <w:noProof/>
        </w:rPr>
        <w:t>okości około 535 mln EUR</w:t>
      </w:r>
      <w:r w:rsidR="0038139B" w:rsidRPr="0038139B">
        <w:rPr>
          <w:noProof/>
        </w:rPr>
        <w:t xml:space="preserve"> w cią</w:t>
      </w:r>
      <w:r w:rsidRPr="0038139B">
        <w:rPr>
          <w:noProof/>
        </w:rPr>
        <w:t>gu 40 lat. Łączne koszty dla przedsiębiorstw wynikające</w:t>
      </w:r>
      <w:r w:rsidR="0038139B" w:rsidRPr="0038139B">
        <w:rPr>
          <w:noProof/>
        </w:rPr>
        <w:t xml:space="preserve"> z pre</w:t>
      </w:r>
      <w:r w:rsidRPr="0038139B">
        <w:rPr>
          <w:noProof/>
        </w:rPr>
        <w:t>ferowanych wariantów wyniosą</w:t>
      </w:r>
      <w:r w:rsidR="0038139B" w:rsidRPr="0038139B">
        <w:rPr>
          <w:noProof/>
        </w:rPr>
        <w:t xml:space="preserve"> w tym</w:t>
      </w:r>
      <w:r w:rsidRPr="0038139B">
        <w:rPr>
          <w:noProof/>
        </w:rPr>
        <w:t xml:space="preserve"> samym okresie ogółem ok.</w:t>
      </w:r>
      <w:r w:rsidR="0038139B" w:rsidRPr="0038139B">
        <w:rPr>
          <w:noProof/>
        </w:rPr>
        <w:t> </w:t>
      </w:r>
      <w:r w:rsidRPr="0038139B">
        <w:rPr>
          <w:noProof/>
        </w:rPr>
        <w:t>3,8 mld EUR</w:t>
      </w:r>
      <w:r w:rsidR="0038139B" w:rsidRPr="0038139B">
        <w:rPr>
          <w:noProof/>
        </w:rPr>
        <w:t>. W prz</w:t>
      </w:r>
      <w:r w:rsidRPr="0038139B">
        <w:rPr>
          <w:noProof/>
        </w:rPr>
        <w:t xml:space="preserve">ypadku większości przedsiębiorstw koszty te będą stanowić mniej (a często znacznie mniej) niż 1 % wielkości ich obrotu. Warto zauważyć, że liczba przypadków zaprzestania działalności prawdopodobnie jest przeszacowana. </w:t>
      </w:r>
    </w:p>
    <w:p w14:paraId="514958FB" w14:textId="3DFA7685" w:rsidR="00370B31" w:rsidRPr="0038139B" w:rsidRDefault="009828CC" w:rsidP="009A4EAF">
      <w:pPr>
        <w:pStyle w:val="Paragraph"/>
        <w:jc w:val="both"/>
        <w:rPr>
          <w:noProof/>
        </w:rPr>
      </w:pPr>
      <w:r w:rsidRPr="0038139B">
        <w:rPr>
          <w:noProof/>
        </w:rPr>
        <w:t>Ogólnie rzecz biorąc, pakiet preferowanych wariantów kosztowałby organy publiczne ok.</w:t>
      </w:r>
      <w:r w:rsidR="0038139B" w:rsidRPr="0038139B">
        <w:rPr>
          <w:noProof/>
        </w:rPr>
        <w:t> </w:t>
      </w:r>
      <w:r w:rsidRPr="0038139B">
        <w:rPr>
          <w:noProof/>
        </w:rPr>
        <w:t>66 mln EUR</w:t>
      </w:r>
      <w:r w:rsidR="0038139B" w:rsidRPr="0038139B">
        <w:rPr>
          <w:noProof/>
        </w:rPr>
        <w:t xml:space="preserve"> w cią</w:t>
      </w:r>
      <w:r w:rsidRPr="0038139B">
        <w:rPr>
          <w:noProof/>
        </w:rPr>
        <w:t>gu 40 lat,</w:t>
      </w:r>
      <w:r w:rsidR="0038139B" w:rsidRPr="0038139B">
        <w:rPr>
          <w:noProof/>
        </w:rPr>
        <w:t xml:space="preserve"> z cze</w:t>
      </w:r>
      <w:r w:rsidRPr="0038139B">
        <w:rPr>
          <w:noProof/>
        </w:rPr>
        <w:t>go ponad 95 % kosztów przypadałoby na dostosowanie, monitorowanie</w:t>
      </w:r>
      <w:r w:rsidR="0038139B" w:rsidRPr="0038139B">
        <w:rPr>
          <w:noProof/>
        </w:rPr>
        <w:t xml:space="preserve"> i kos</w:t>
      </w:r>
      <w:r w:rsidRPr="0038139B">
        <w:rPr>
          <w:noProof/>
        </w:rPr>
        <w:t>zty administracyjne związane</w:t>
      </w:r>
      <w:r w:rsidR="0038139B" w:rsidRPr="0038139B">
        <w:rPr>
          <w:noProof/>
        </w:rPr>
        <w:t xml:space="preserve"> z och</w:t>
      </w:r>
      <w:r w:rsidRPr="0038139B">
        <w:rPr>
          <w:noProof/>
        </w:rPr>
        <w:t>roną strażaków przed narażeniem na działanie WWA. Pozostałe 5 % stanowią koszty transpozycji.</w:t>
      </w:r>
    </w:p>
    <w:p w14:paraId="628FD8E3" w14:textId="70059763" w:rsidR="00D548A4" w:rsidRPr="0038139B" w:rsidRDefault="00D548A4" w:rsidP="009A4EAF">
      <w:pPr>
        <w:pStyle w:val="Sub-sections"/>
        <w:jc w:val="both"/>
        <w:rPr>
          <w:rFonts w:ascii="Times New Roman" w:hAnsi="Times New Roman"/>
          <w:noProof/>
        </w:rPr>
      </w:pPr>
      <w:r w:rsidRPr="0038139B">
        <w:rPr>
          <w:rFonts w:ascii="Times New Roman" w:hAnsi="Times New Roman"/>
          <w:noProof/>
        </w:rPr>
        <w:t>Jakie będą skutki dla przedsiębiorstw, MŚP</w:t>
      </w:r>
      <w:r w:rsidR="0038139B" w:rsidRPr="0038139B">
        <w:rPr>
          <w:rFonts w:ascii="Times New Roman" w:hAnsi="Times New Roman"/>
          <w:noProof/>
        </w:rPr>
        <w:t xml:space="preserve"> i mik</w:t>
      </w:r>
      <w:r w:rsidRPr="0038139B">
        <w:rPr>
          <w:rFonts w:ascii="Times New Roman" w:hAnsi="Times New Roman"/>
          <w:noProof/>
        </w:rPr>
        <w:t xml:space="preserve">roprzedsiębiorstw? </w:t>
      </w:r>
    </w:p>
    <w:p w14:paraId="1F3B2EB2" w14:textId="77E159FE" w:rsidR="005E396B" w:rsidRPr="0038139B" w:rsidRDefault="005E396B" w:rsidP="009A4EAF">
      <w:pPr>
        <w:pStyle w:val="Paragraph"/>
        <w:jc w:val="both"/>
        <w:rPr>
          <w:noProof/>
        </w:rPr>
      </w:pPr>
      <w:r w:rsidRPr="0038139B">
        <w:rPr>
          <w:noProof/>
        </w:rPr>
        <w:t>Udział kosztów przestrzegania przepisów</w:t>
      </w:r>
      <w:r w:rsidR="0038139B" w:rsidRPr="0038139B">
        <w:rPr>
          <w:noProof/>
        </w:rPr>
        <w:t xml:space="preserve"> w sto</w:t>
      </w:r>
      <w:r w:rsidRPr="0038139B">
        <w:rPr>
          <w:noProof/>
        </w:rPr>
        <w:t>sunku do wielkości obrotu lub zysku brutto</w:t>
      </w:r>
      <w:r w:rsidR="0038139B" w:rsidRPr="0038139B">
        <w:rPr>
          <w:noProof/>
        </w:rPr>
        <w:t xml:space="preserve"> z dzi</w:t>
      </w:r>
      <w:r w:rsidRPr="0038139B">
        <w:rPr>
          <w:noProof/>
        </w:rPr>
        <w:t>ałalności operacyjnej jest wyższy</w:t>
      </w:r>
      <w:r w:rsidR="0038139B" w:rsidRPr="0038139B">
        <w:rPr>
          <w:noProof/>
        </w:rPr>
        <w:t xml:space="preserve"> w prz</w:t>
      </w:r>
      <w:r w:rsidRPr="0038139B">
        <w:rPr>
          <w:noProof/>
        </w:rPr>
        <w:t>ypadku MŚP niż dużych przedsiębiorstw prowadzących działalność</w:t>
      </w:r>
      <w:r w:rsidR="0038139B" w:rsidRPr="0038139B">
        <w:rPr>
          <w:noProof/>
        </w:rPr>
        <w:t xml:space="preserve"> w tym</w:t>
      </w:r>
      <w:r w:rsidRPr="0038139B">
        <w:rPr>
          <w:noProof/>
        </w:rPr>
        <w:t xml:space="preserve"> samym sektorze</w:t>
      </w:r>
      <w:r w:rsidR="0038139B" w:rsidRPr="0038139B">
        <w:rPr>
          <w:noProof/>
        </w:rPr>
        <w:t>. W zwi</w:t>
      </w:r>
      <w:r w:rsidRPr="0038139B">
        <w:rPr>
          <w:noProof/>
        </w:rPr>
        <w:t>ązku</w:t>
      </w:r>
      <w:r w:rsidR="0038139B" w:rsidRPr="0038139B">
        <w:rPr>
          <w:noProof/>
        </w:rPr>
        <w:t xml:space="preserve"> z tym</w:t>
      </w:r>
      <w:r w:rsidRPr="0038139B">
        <w:rPr>
          <w:noProof/>
        </w:rPr>
        <w:t xml:space="preserve"> pakiet preferowanych wariantów prawdopodobnie będzie miał silniejszy wpływ na MŚP niż na większe przedsiębiorstwa. </w:t>
      </w:r>
    </w:p>
    <w:p w14:paraId="79D78C9A" w14:textId="725652FA" w:rsidR="005E396B" w:rsidRPr="0038139B" w:rsidRDefault="005E396B" w:rsidP="009A4EAF">
      <w:pPr>
        <w:pStyle w:val="Paragraph"/>
        <w:jc w:val="both"/>
        <w:rPr>
          <w:noProof/>
        </w:rPr>
      </w:pPr>
      <w:r w:rsidRPr="0038139B">
        <w:rPr>
          <w:noProof/>
        </w:rPr>
        <w:t>Ponadto przypadki zaprzestania działalności prawdopodobnie będą częstsze wśród MŚP</w:t>
      </w:r>
      <w:r w:rsidR="0038139B" w:rsidRPr="0038139B">
        <w:rPr>
          <w:noProof/>
        </w:rPr>
        <w:t xml:space="preserve"> w por</w:t>
      </w:r>
      <w:r w:rsidRPr="0038139B">
        <w:rPr>
          <w:noProof/>
        </w:rPr>
        <w:t>ównaniu</w:t>
      </w:r>
      <w:r w:rsidR="0038139B" w:rsidRPr="0038139B">
        <w:rPr>
          <w:noProof/>
        </w:rPr>
        <w:t xml:space="preserve"> z wię</w:t>
      </w:r>
      <w:r w:rsidRPr="0038139B">
        <w:rPr>
          <w:noProof/>
        </w:rPr>
        <w:t>kszymi przedsiębiorstwami</w:t>
      </w:r>
      <w:r w:rsidR="0038139B" w:rsidRPr="0038139B">
        <w:rPr>
          <w:noProof/>
        </w:rPr>
        <w:t>. W zwi</w:t>
      </w:r>
      <w:r w:rsidRPr="0038139B">
        <w:rPr>
          <w:noProof/>
        </w:rPr>
        <w:t>ązku</w:t>
      </w:r>
      <w:r w:rsidR="0038139B" w:rsidRPr="0038139B">
        <w:rPr>
          <w:noProof/>
        </w:rPr>
        <w:t xml:space="preserve"> z tym</w:t>
      </w:r>
      <w:r w:rsidRPr="0038139B">
        <w:rPr>
          <w:noProof/>
        </w:rPr>
        <w:t xml:space="preserve"> środki przejściowe przewidziane</w:t>
      </w:r>
      <w:r w:rsidR="0038139B" w:rsidRPr="0038139B">
        <w:rPr>
          <w:noProof/>
        </w:rPr>
        <w:t xml:space="preserve"> w pak</w:t>
      </w:r>
      <w:r w:rsidRPr="0038139B">
        <w:rPr>
          <w:noProof/>
        </w:rPr>
        <w:t>iecie preferowanych wariantów przyniosą MŚP większe korzyści niż dużym przedsiębiorstwom. MŚP będą mieć więcej czasu na zaplanowanie inwestycji, co powinno również zmniejszyć liczbę przypadków zaprzestania działalności</w:t>
      </w:r>
      <w:r w:rsidR="0038139B" w:rsidRPr="0038139B">
        <w:rPr>
          <w:noProof/>
        </w:rPr>
        <w:t xml:space="preserve"> w por</w:t>
      </w:r>
      <w:r w:rsidRPr="0038139B">
        <w:rPr>
          <w:noProof/>
        </w:rPr>
        <w:t>ównaniu</w:t>
      </w:r>
      <w:r w:rsidR="0038139B" w:rsidRPr="0038139B">
        <w:rPr>
          <w:noProof/>
        </w:rPr>
        <w:t xml:space="preserve"> z tym</w:t>
      </w:r>
      <w:r w:rsidRPr="0038139B">
        <w:rPr>
          <w:noProof/>
        </w:rPr>
        <w:t xml:space="preserve"> samym pakietem wariantów bez uwzględnienia okresów przejściowych. </w:t>
      </w:r>
    </w:p>
    <w:p w14:paraId="32AB5E46" w14:textId="5CFF0053" w:rsidR="00031D93" w:rsidRPr="0038139B" w:rsidRDefault="00031D93" w:rsidP="009A4EAF">
      <w:pPr>
        <w:pStyle w:val="Paragraph"/>
        <w:jc w:val="both"/>
        <w:rPr>
          <w:noProof/>
        </w:rPr>
      </w:pPr>
      <w:r w:rsidRPr="0038139B">
        <w:rPr>
          <w:noProof/>
        </w:rPr>
        <w:t>Wpływ na MŚP, choć będzie silniejszy niż</w:t>
      </w:r>
      <w:r w:rsidR="0038139B" w:rsidRPr="0038139B">
        <w:rPr>
          <w:noProof/>
        </w:rPr>
        <w:t xml:space="preserve"> w prz</w:t>
      </w:r>
      <w:r w:rsidRPr="0038139B">
        <w:rPr>
          <w:noProof/>
        </w:rPr>
        <w:t>ypadku większych przedsiębiorstw, powinien zatem pozostać ograniczony. Środki przejściowe pomagają uniknąć nałożenia ograniczeń finansowych utrudniających zakładanie</w:t>
      </w:r>
      <w:r w:rsidR="0038139B" w:rsidRPr="0038139B">
        <w:rPr>
          <w:noProof/>
        </w:rPr>
        <w:t xml:space="preserve"> i roz</w:t>
      </w:r>
      <w:r w:rsidRPr="0038139B">
        <w:rPr>
          <w:noProof/>
        </w:rPr>
        <w:t>wój MŚP.</w:t>
      </w:r>
    </w:p>
    <w:p w14:paraId="20CAC57B" w14:textId="75250A09" w:rsidR="00D548A4" w:rsidRPr="0038139B" w:rsidRDefault="005E396B" w:rsidP="009A4EAF">
      <w:pPr>
        <w:pStyle w:val="Sub-sections"/>
        <w:jc w:val="both"/>
        <w:rPr>
          <w:rFonts w:ascii="Times New Roman" w:hAnsi="Times New Roman"/>
          <w:noProof/>
        </w:rPr>
      </w:pPr>
      <w:r w:rsidRPr="0038139B">
        <w:rPr>
          <w:rFonts w:ascii="Times New Roman" w:hAnsi="Times New Roman"/>
          <w:noProof/>
        </w:rPr>
        <w:t>Czy przewiduje się znaczące skutki dla budżetów</w:t>
      </w:r>
      <w:r w:rsidR="0038139B" w:rsidRPr="0038139B">
        <w:rPr>
          <w:rFonts w:ascii="Times New Roman" w:hAnsi="Times New Roman"/>
          <w:noProof/>
        </w:rPr>
        <w:t xml:space="preserve"> i adm</w:t>
      </w:r>
      <w:r w:rsidRPr="0038139B">
        <w:rPr>
          <w:rFonts w:ascii="Times New Roman" w:hAnsi="Times New Roman"/>
          <w:noProof/>
        </w:rPr>
        <w:t xml:space="preserve">inistracji krajowych? </w:t>
      </w:r>
    </w:p>
    <w:p w14:paraId="643BDD9B" w14:textId="02ADD46B" w:rsidR="009828CC" w:rsidRPr="0038139B" w:rsidRDefault="009828CC" w:rsidP="009A4EAF">
      <w:pPr>
        <w:pStyle w:val="Paragraph"/>
        <w:jc w:val="both"/>
        <w:rPr>
          <w:noProof/>
        </w:rPr>
      </w:pPr>
      <w:r w:rsidRPr="0038139B">
        <w:rPr>
          <w:noProof/>
        </w:rPr>
        <w:t>Ogólnie rzecz biorąc, oczekuje się, że organy publiczne wydadzą 66 mln EUR</w:t>
      </w:r>
      <w:r w:rsidR="0038139B" w:rsidRPr="0038139B">
        <w:rPr>
          <w:noProof/>
        </w:rPr>
        <w:t xml:space="preserve"> w cią</w:t>
      </w:r>
      <w:r w:rsidRPr="0038139B">
        <w:rPr>
          <w:noProof/>
        </w:rPr>
        <w:t>gu 40 lat (ok.</w:t>
      </w:r>
      <w:r w:rsidR="0038139B" w:rsidRPr="0038139B">
        <w:rPr>
          <w:noProof/>
        </w:rPr>
        <w:t> </w:t>
      </w:r>
      <w:r w:rsidRPr="0038139B">
        <w:rPr>
          <w:noProof/>
        </w:rPr>
        <w:t>1,65 mln EUR rocznie). Na poziomie państw członkowskich koszty te prawdopodobnie będą mieć ograniczony wpływ na budżety</w:t>
      </w:r>
      <w:r w:rsidR="0038139B" w:rsidRPr="0038139B">
        <w:rPr>
          <w:noProof/>
        </w:rPr>
        <w:t xml:space="preserve"> i adm</w:t>
      </w:r>
      <w:r w:rsidRPr="0038139B">
        <w:rPr>
          <w:noProof/>
        </w:rPr>
        <w:t>inistracje krajowe. Ponadto koszty te zostaną złagodzone dzięki korzyściom wynikającym</w:t>
      </w:r>
      <w:r w:rsidR="0038139B" w:rsidRPr="0038139B">
        <w:rPr>
          <w:noProof/>
        </w:rPr>
        <w:t xml:space="preserve"> z pre</w:t>
      </w:r>
      <w:r w:rsidRPr="0038139B">
        <w:rPr>
          <w:noProof/>
        </w:rPr>
        <w:t>ferowanych wariantów (ok.</w:t>
      </w:r>
      <w:r w:rsidR="0038139B" w:rsidRPr="0038139B">
        <w:rPr>
          <w:noProof/>
        </w:rPr>
        <w:t> </w:t>
      </w:r>
      <w:r w:rsidRPr="0038139B">
        <w:rPr>
          <w:noProof/>
        </w:rPr>
        <w:t>30 mln EUR),</w:t>
      </w:r>
      <w:r w:rsidR="0038139B" w:rsidRPr="0038139B">
        <w:rPr>
          <w:noProof/>
        </w:rPr>
        <w:t xml:space="preserve"> w szc</w:t>
      </w:r>
      <w:r w:rsidRPr="0038139B">
        <w:rPr>
          <w:noProof/>
        </w:rPr>
        <w:t xml:space="preserve">zególności oszczędnościom pod względem kosztów opieki zdrowotnej. </w:t>
      </w:r>
    </w:p>
    <w:p w14:paraId="0EFBD106" w14:textId="1C462174" w:rsidR="00D548A4" w:rsidRPr="0038139B" w:rsidRDefault="00D548A4" w:rsidP="009A4EAF">
      <w:pPr>
        <w:pStyle w:val="Sub-sections"/>
        <w:jc w:val="both"/>
        <w:rPr>
          <w:rFonts w:ascii="Times New Roman" w:hAnsi="Times New Roman"/>
          <w:noProof/>
        </w:rPr>
      </w:pPr>
      <w:r w:rsidRPr="0038139B">
        <w:rPr>
          <w:rFonts w:ascii="Times New Roman" w:hAnsi="Times New Roman"/>
          <w:noProof/>
        </w:rPr>
        <w:t xml:space="preserve">Czy wystąpią inne znaczące skutki? </w:t>
      </w:r>
    </w:p>
    <w:p w14:paraId="6749EAFB" w14:textId="6F784C0F" w:rsidR="00004ADD" w:rsidRPr="0038139B" w:rsidRDefault="00004ADD" w:rsidP="009A4EAF">
      <w:pPr>
        <w:pStyle w:val="Paragraph"/>
        <w:jc w:val="both"/>
        <w:rPr>
          <w:noProof/>
        </w:rPr>
      </w:pPr>
      <w:r w:rsidRPr="0038139B">
        <w:rPr>
          <w:noProof/>
        </w:rPr>
        <w:t>Pakiet preferowanych wariantów może mieć pewien negatywny pośredni wpływ na transformację ekologiczną lub cyfrową ze względu na przypadki zaprzestania działalności przez przedsiębiorstwa</w:t>
      </w:r>
      <w:r w:rsidR="0038139B" w:rsidRPr="0038139B">
        <w:rPr>
          <w:noProof/>
        </w:rPr>
        <w:t xml:space="preserve"> w klu</w:t>
      </w:r>
      <w:r w:rsidRPr="0038139B">
        <w:rPr>
          <w:noProof/>
        </w:rPr>
        <w:t>czowych sektorach, takich jak koksownie, procesy hutnictwa pozostałych metali nieżelaznych, destylacja smoły węglowej oraz produkcja elektrod grafitowych</w:t>
      </w:r>
      <w:r w:rsidR="0038139B" w:rsidRPr="0038139B">
        <w:rPr>
          <w:noProof/>
        </w:rPr>
        <w:t xml:space="preserve"> i węg</w:t>
      </w:r>
      <w:r w:rsidRPr="0038139B">
        <w:rPr>
          <w:noProof/>
        </w:rPr>
        <w:t>lowych. Sektory te odgrywają kluczową rolę</w:t>
      </w:r>
      <w:r w:rsidR="0038139B" w:rsidRPr="0038139B">
        <w:rPr>
          <w:noProof/>
        </w:rPr>
        <w:t xml:space="preserve"> w roz</w:t>
      </w:r>
      <w:r w:rsidRPr="0038139B">
        <w:rPr>
          <w:noProof/>
        </w:rPr>
        <w:t>woju gospodarki</w:t>
      </w:r>
      <w:r w:rsidR="0038139B" w:rsidRPr="0038139B">
        <w:rPr>
          <w:noProof/>
        </w:rPr>
        <w:t xml:space="preserve"> o obi</w:t>
      </w:r>
      <w:r w:rsidRPr="0038139B">
        <w:rPr>
          <w:noProof/>
        </w:rPr>
        <w:t>egu zamkniętym, produkcji zielonej infrastruktury oraz produkcji półprzewodników. Oczekuje się jednak, że ryzyko zaprzestania działalności przez przedsiębiorstwa zostanie złagodzone dzięki środkom przejściowym przewidzianym</w:t>
      </w:r>
      <w:r w:rsidR="0038139B" w:rsidRPr="0038139B">
        <w:rPr>
          <w:noProof/>
        </w:rPr>
        <w:t xml:space="preserve"> w pak</w:t>
      </w:r>
      <w:r w:rsidRPr="0038139B">
        <w:rPr>
          <w:noProof/>
        </w:rPr>
        <w:t>iecie preferowanych wariantów,</w:t>
      </w:r>
      <w:r w:rsidR="0038139B" w:rsidRPr="0038139B">
        <w:rPr>
          <w:noProof/>
        </w:rPr>
        <w:t xml:space="preserve"> w szc</w:t>
      </w:r>
      <w:r w:rsidRPr="0038139B">
        <w:rPr>
          <w:noProof/>
        </w:rPr>
        <w:t>zególności dzięki wprowadzeniu okresu przejściowego</w:t>
      </w:r>
      <w:r w:rsidR="0038139B" w:rsidRPr="0038139B">
        <w:rPr>
          <w:noProof/>
        </w:rPr>
        <w:t xml:space="preserve"> w odn</w:t>
      </w:r>
      <w:r w:rsidRPr="0038139B">
        <w:rPr>
          <w:noProof/>
        </w:rPr>
        <w:t>iesieniu do WWA</w:t>
      </w:r>
      <w:r w:rsidR="0038139B" w:rsidRPr="0038139B">
        <w:rPr>
          <w:noProof/>
        </w:rPr>
        <w:t>. W zwi</w:t>
      </w:r>
      <w:r w:rsidRPr="0038139B">
        <w:rPr>
          <w:noProof/>
        </w:rPr>
        <w:t>ązku</w:t>
      </w:r>
      <w:r w:rsidR="0038139B" w:rsidRPr="0038139B">
        <w:rPr>
          <w:noProof/>
        </w:rPr>
        <w:t xml:space="preserve"> z tym</w:t>
      </w:r>
      <w:r w:rsidRPr="0038139B">
        <w:rPr>
          <w:noProof/>
        </w:rPr>
        <w:t xml:space="preserve"> ogólny pośredni wpływ na transformację ekologiczną</w:t>
      </w:r>
      <w:r w:rsidR="0038139B" w:rsidRPr="0038139B">
        <w:rPr>
          <w:noProof/>
        </w:rPr>
        <w:t xml:space="preserve"> i cyf</w:t>
      </w:r>
      <w:r w:rsidRPr="0038139B">
        <w:rPr>
          <w:noProof/>
        </w:rPr>
        <w:t xml:space="preserve">rową powinien być ograniczony. </w:t>
      </w:r>
    </w:p>
    <w:p w14:paraId="0815411D" w14:textId="6C07F09F" w:rsidR="00D548A4" w:rsidRPr="0038139B" w:rsidRDefault="00D548A4" w:rsidP="009A4EAF">
      <w:pPr>
        <w:pStyle w:val="Sections"/>
        <w:jc w:val="both"/>
        <w:rPr>
          <w:rFonts w:ascii="Times New Roman" w:hAnsi="Times New Roman"/>
          <w:noProof/>
        </w:rPr>
      </w:pPr>
      <w:r w:rsidRPr="0038139B">
        <w:rPr>
          <w:rFonts w:ascii="Times New Roman" w:hAnsi="Times New Roman"/>
          <w:noProof/>
        </w:rPr>
        <w:t>Działania następcze</w:t>
      </w:r>
    </w:p>
    <w:p w14:paraId="2D24CE58" w14:textId="34EF13B1" w:rsidR="00D548A4" w:rsidRPr="0038139B" w:rsidRDefault="00D548A4" w:rsidP="009A4EAF">
      <w:pPr>
        <w:pStyle w:val="Sub-sections"/>
        <w:jc w:val="both"/>
        <w:rPr>
          <w:rFonts w:ascii="Times New Roman" w:hAnsi="Times New Roman"/>
          <w:noProof/>
        </w:rPr>
      </w:pPr>
      <w:r w:rsidRPr="0038139B">
        <w:rPr>
          <w:rFonts w:ascii="Times New Roman" w:hAnsi="Times New Roman"/>
          <w:noProof/>
        </w:rPr>
        <w:t xml:space="preserve">Kiedy nastąpi przegląd przyjętej polityki? </w:t>
      </w:r>
    </w:p>
    <w:p w14:paraId="31CBB12B" w14:textId="52517A9F" w:rsidR="009377A8" w:rsidRPr="0038139B" w:rsidRDefault="009377A8" w:rsidP="009A4EAF">
      <w:pPr>
        <w:pStyle w:val="Paragraph"/>
        <w:jc w:val="both"/>
        <w:rPr>
          <w:noProof/>
        </w:rPr>
      </w:pPr>
      <w:r w:rsidRPr="0038139B">
        <w:rPr>
          <w:noProof/>
        </w:rPr>
        <w:t>Skuteczność proponowanej zmiany dyrektywy</w:t>
      </w:r>
      <w:r w:rsidR="0038139B" w:rsidRPr="0038139B">
        <w:rPr>
          <w:noProof/>
        </w:rPr>
        <w:t xml:space="preserve"> w spr</w:t>
      </w:r>
      <w:r w:rsidRPr="0038139B">
        <w:rPr>
          <w:noProof/>
        </w:rPr>
        <w:t>awie czynników rakotwórczych, mutagenów</w:t>
      </w:r>
      <w:r w:rsidR="0038139B" w:rsidRPr="0038139B">
        <w:rPr>
          <w:noProof/>
        </w:rPr>
        <w:t xml:space="preserve"> i sub</w:t>
      </w:r>
      <w:r w:rsidRPr="0038139B">
        <w:rPr>
          <w:noProof/>
        </w:rPr>
        <w:t>stancji reprotoksycznych zostanie zmierzona</w:t>
      </w:r>
      <w:r w:rsidR="0038139B" w:rsidRPr="0038139B">
        <w:rPr>
          <w:noProof/>
        </w:rPr>
        <w:t xml:space="preserve"> w dro</w:t>
      </w:r>
      <w:r w:rsidRPr="0038139B">
        <w:rPr>
          <w:noProof/>
        </w:rPr>
        <w:t>dze oceny unijnych dyrektyw dotyczących bezpieczeństwa</w:t>
      </w:r>
      <w:r w:rsidR="0038139B" w:rsidRPr="0038139B">
        <w:rPr>
          <w:noProof/>
        </w:rPr>
        <w:t xml:space="preserve"> i hig</w:t>
      </w:r>
      <w:r w:rsidRPr="0038139B">
        <w:rPr>
          <w:noProof/>
        </w:rPr>
        <w:t>ieny pracy, jak określono</w:t>
      </w:r>
      <w:r w:rsidR="0038139B" w:rsidRPr="0038139B">
        <w:rPr>
          <w:noProof/>
        </w:rPr>
        <w:t xml:space="preserve"> w art</w:t>
      </w:r>
      <w:r w:rsidRPr="0038139B">
        <w:rPr>
          <w:noProof/>
        </w:rPr>
        <w:t>.</w:t>
      </w:r>
      <w:r w:rsidR="0038139B" w:rsidRPr="0038139B">
        <w:rPr>
          <w:noProof/>
        </w:rPr>
        <w:t> </w:t>
      </w:r>
      <w:r w:rsidRPr="0038139B">
        <w:rPr>
          <w:noProof/>
        </w:rPr>
        <w:t>17a dyrektywy 89/391/EWG</w:t>
      </w:r>
      <w:r w:rsidRPr="0038139B">
        <w:rPr>
          <w:rStyle w:val="FootnoteReference"/>
          <w:noProof/>
        </w:rPr>
        <w:footnoteReference w:id="13"/>
      </w:r>
      <w:r w:rsidRPr="0038139B">
        <w:rPr>
          <w:noProof/>
        </w:rPr>
        <w:t>.</w:t>
      </w:r>
    </w:p>
    <w:sectPr w:rsidR="009377A8" w:rsidRPr="0038139B" w:rsidSect="0026613F">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D2A36" w14:textId="77777777" w:rsidR="006E00F2" w:rsidRPr="0038139B" w:rsidRDefault="006E00F2" w:rsidP="0026613F">
      <w:pPr>
        <w:spacing w:after="0" w:line="240" w:lineRule="auto"/>
      </w:pPr>
      <w:r w:rsidRPr="0038139B">
        <w:separator/>
      </w:r>
    </w:p>
  </w:endnote>
  <w:endnote w:type="continuationSeparator" w:id="0">
    <w:p w14:paraId="51845F91" w14:textId="77777777" w:rsidR="006E00F2" w:rsidRPr="0038139B" w:rsidRDefault="006E00F2" w:rsidP="0026613F">
      <w:pPr>
        <w:spacing w:after="0" w:line="240" w:lineRule="auto"/>
      </w:pPr>
      <w:r w:rsidRPr="0038139B">
        <w:continuationSeparator/>
      </w:r>
    </w:p>
  </w:endnote>
  <w:endnote w:type="continuationNotice" w:id="1">
    <w:p w14:paraId="3612E51B" w14:textId="77777777" w:rsidR="006E00F2" w:rsidRPr="0038139B" w:rsidRDefault="006E0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01999" w14:textId="6FB470F3" w:rsidR="00EE3624" w:rsidRPr="00EE3624" w:rsidRDefault="00EE3624" w:rsidP="00EE3624">
    <w:pPr>
      <w:pStyle w:val="FooterCoverPage"/>
      <w:rPr>
        <w:rFonts w:ascii="Arial" w:hAnsi="Arial" w:cs="Arial"/>
        <w:b/>
        <w:sz w:val="48"/>
      </w:rPr>
    </w:pPr>
    <w:r w:rsidRPr="00EE3624">
      <w:rPr>
        <w:rFonts w:ascii="Arial" w:hAnsi="Arial" w:cs="Arial"/>
        <w:b/>
        <w:sz w:val="48"/>
      </w:rPr>
      <w:t>PL</w:t>
    </w:r>
    <w:r w:rsidRPr="00EE3624">
      <w:rPr>
        <w:rFonts w:ascii="Arial" w:hAnsi="Arial" w:cs="Arial"/>
        <w:b/>
        <w:sz w:val="48"/>
      </w:rPr>
      <w:tab/>
    </w:r>
    <w:r w:rsidRPr="00EE3624">
      <w:rPr>
        <w:rFonts w:ascii="Arial" w:hAnsi="Arial" w:cs="Arial"/>
        <w:b/>
        <w:sz w:val="48"/>
      </w:rPr>
      <w:tab/>
    </w:r>
    <w:r w:rsidRPr="00EE3624">
      <w:tab/>
    </w:r>
    <w:r w:rsidRPr="00EE3624">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3EB3" w14:textId="2BBDF764" w:rsidR="00EE3624" w:rsidRPr="00EE3624" w:rsidRDefault="00EE3624" w:rsidP="00EE3624">
    <w:pPr>
      <w:pStyle w:val="FooterCoverPage"/>
      <w:rPr>
        <w:rFonts w:ascii="Arial" w:hAnsi="Arial" w:cs="Arial"/>
        <w:b/>
        <w:sz w:val="48"/>
      </w:rPr>
    </w:pPr>
    <w:r w:rsidRPr="00EE3624">
      <w:rPr>
        <w:rFonts w:ascii="Arial" w:hAnsi="Arial" w:cs="Arial"/>
        <w:b/>
        <w:sz w:val="48"/>
      </w:rPr>
      <w:t>PL</w:t>
    </w:r>
    <w:r w:rsidRPr="00EE3624">
      <w:rPr>
        <w:rFonts w:ascii="Arial" w:hAnsi="Arial" w:cs="Arial"/>
        <w:b/>
        <w:sz w:val="48"/>
      </w:rPr>
      <w:tab/>
    </w:r>
    <w:r w:rsidRPr="00EE3624">
      <w:rPr>
        <w:rFonts w:ascii="Arial" w:hAnsi="Arial" w:cs="Arial"/>
        <w:b/>
        <w:sz w:val="48"/>
      </w:rPr>
      <w:tab/>
    </w:r>
    <w:r w:rsidRPr="00EE3624">
      <w:tab/>
    </w:r>
    <w:r w:rsidRPr="00EE3624">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B0637" w14:textId="77777777" w:rsidR="00EE3624" w:rsidRPr="00EE3624" w:rsidRDefault="00EE3624" w:rsidP="00EE362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867E3" w14:textId="77777777" w:rsidR="0026613F" w:rsidRDefault="002661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100745"/>
      <w:docPartObj>
        <w:docPartGallery w:val="Page Numbers (Bottom of Page)"/>
        <w:docPartUnique/>
      </w:docPartObj>
    </w:sdtPr>
    <w:sdtEndPr>
      <w:rPr>
        <w:noProof/>
      </w:rPr>
    </w:sdtEndPr>
    <w:sdtContent>
      <w:p w14:paraId="44F14D6B" w14:textId="56A92F78" w:rsidR="0026613F" w:rsidRDefault="0026613F">
        <w:pPr>
          <w:pStyle w:val="Footer"/>
          <w:jc w:val="center"/>
        </w:pPr>
        <w:r>
          <w:fldChar w:fldCharType="begin"/>
        </w:r>
        <w:r>
          <w:instrText xml:space="preserve"> PAGE   \* MERGEFORMAT </w:instrText>
        </w:r>
        <w:r>
          <w:fldChar w:fldCharType="separate"/>
        </w:r>
        <w:r w:rsidR="00EE3624">
          <w:rPr>
            <w:noProof/>
          </w:rPr>
          <w:t>4</w:t>
        </w:r>
        <w:r>
          <w:fldChar w:fldCharType="end"/>
        </w:r>
      </w:p>
    </w:sdtContent>
  </w:sdt>
  <w:p w14:paraId="7833D796" w14:textId="77777777" w:rsidR="0026613F" w:rsidRDefault="0026613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BECC1" w14:textId="77777777" w:rsidR="0026613F" w:rsidRDefault="0026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28C0F" w14:textId="77777777" w:rsidR="006E00F2" w:rsidRPr="0038139B" w:rsidRDefault="006E00F2" w:rsidP="0026613F">
      <w:pPr>
        <w:spacing w:after="0" w:line="240" w:lineRule="auto"/>
      </w:pPr>
      <w:r w:rsidRPr="0038139B">
        <w:separator/>
      </w:r>
    </w:p>
  </w:footnote>
  <w:footnote w:type="continuationSeparator" w:id="0">
    <w:p w14:paraId="006DC150" w14:textId="77777777" w:rsidR="006E00F2" w:rsidRPr="0038139B" w:rsidRDefault="006E00F2" w:rsidP="0026613F">
      <w:pPr>
        <w:spacing w:after="0" w:line="240" w:lineRule="auto"/>
      </w:pPr>
      <w:r w:rsidRPr="0038139B">
        <w:continuationSeparator/>
      </w:r>
    </w:p>
  </w:footnote>
  <w:footnote w:type="continuationNotice" w:id="1">
    <w:p w14:paraId="7728783B" w14:textId="77777777" w:rsidR="006E00F2" w:rsidRPr="0038139B" w:rsidRDefault="006E00F2">
      <w:pPr>
        <w:spacing w:after="0" w:line="240" w:lineRule="auto"/>
      </w:pPr>
    </w:p>
  </w:footnote>
  <w:footnote w:id="2">
    <w:p w14:paraId="033F0548" w14:textId="5AA4AC8E" w:rsidR="006C0989" w:rsidRPr="0038139B" w:rsidRDefault="006C0989" w:rsidP="006C0989">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Komunikat Komisji „Strategiczne ramy UE dotyczące bezpieczeństwa</w:t>
      </w:r>
      <w:r w:rsidR="0038139B" w:rsidRPr="0038139B">
        <w:rPr>
          <w:rFonts w:ascii="Times New Roman" w:hAnsi="Times New Roman"/>
        </w:rPr>
        <w:t xml:space="preserve"> i hig</w:t>
      </w:r>
      <w:r w:rsidRPr="0038139B">
        <w:rPr>
          <w:rFonts w:ascii="Times New Roman" w:hAnsi="Times New Roman"/>
        </w:rPr>
        <w:t>ieny pracy na lata 2021–2027. Bezpieczeństwo</w:t>
      </w:r>
      <w:r w:rsidR="0038139B" w:rsidRPr="0038139B">
        <w:rPr>
          <w:rFonts w:ascii="Times New Roman" w:hAnsi="Times New Roman"/>
        </w:rPr>
        <w:t xml:space="preserve"> i hig</w:t>
      </w:r>
      <w:r w:rsidRPr="0038139B">
        <w:rPr>
          <w:rFonts w:ascii="Times New Roman" w:hAnsi="Times New Roman"/>
        </w:rPr>
        <w:t>iena pracy</w:t>
      </w:r>
      <w:r w:rsidR="0038139B" w:rsidRPr="0038139B">
        <w:rPr>
          <w:rFonts w:ascii="Times New Roman" w:hAnsi="Times New Roman"/>
        </w:rPr>
        <w:t xml:space="preserve"> w zmi</w:t>
      </w:r>
      <w:r w:rsidRPr="0038139B">
        <w:rPr>
          <w:rFonts w:ascii="Times New Roman" w:hAnsi="Times New Roman"/>
        </w:rPr>
        <w:t>eniającym się świecie pracy”, COM(2021) 323 final.</w:t>
      </w:r>
    </w:p>
  </w:footnote>
  <w:footnote w:id="3">
    <w:p w14:paraId="75FD53C0" w14:textId="14579BAE" w:rsidR="006C0989" w:rsidRPr="0038139B" w:rsidRDefault="006C0989" w:rsidP="006C0989">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Dyrektywa 2004/37/WE Parlamentu Europejskiego</w:t>
      </w:r>
      <w:r w:rsidR="0038139B" w:rsidRPr="0038139B">
        <w:rPr>
          <w:rFonts w:ascii="Times New Roman" w:hAnsi="Times New Roman"/>
        </w:rPr>
        <w:t xml:space="preserve"> i Rad</w:t>
      </w:r>
      <w:r w:rsidRPr="0038139B">
        <w:rPr>
          <w:rFonts w:ascii="Times New Roman" w:hAnsi="Times New Roman"/>
        </w:rPr>
        <w:t>y</w:t>
      </w:r>
      <w:r w:rsidR="0038139B" w:rsidRPr="0038139B">
        <w:rPr>
          <w:rFonts w:ascii="Times New Roman" w:hAnsi="Times New Roman"/>
        </w:rPr>
        <w:t xml:space="preserve"> z dni</w:t>
      </w:r>
      <w:r w:rsidRPr="0038139B">
        <w:rPr>
          <w:rFonts w:ascii="Times New Roman" w:hAnsi="Times New Roman"/>
        </w:rPr>
        <w:t>a 29 kwietnia 2004</w:t>
      </w:r>
      <w:r w:rsidR="0038139B" w:rsidRPr="0038139B">
        <w:rPr>
          <w:rFonts w:ascii="Times New Roman" w:hAnsi="Times New Roman"/>
        </w:rPr>
        <w:t> </w:t>
      </w:r>
      <w:r w:rsidRPr="0038139B">
        <w:rPr>
          <w:rFonts w:ascii="Times New Roman" w:hAnsi="Times New Roman"/>
        </w:rPr>
        <w:t>r.</w:t>
      </w:r>
      <w:r w:rsidR="0038139B" w:rsidRPr="0038139B">
        <w:rPr>
          <w:rFonts w:ascii="Times New Roman" w:hAnsi="Times New Roman"/>
        </w:rPr>
        <w:t xml:space="preserve"> w spr</w:t>
      </w:r>
      <w:r w:rsidRPr="0038139B">
        <w:rPr>
          <w:rFonts w:ascii="Times New Roman" w:hAnsi="Times New Roman"/>
        </w:rPr>
        <w:t>awie ochrony pracowników przed zagrożeniem dotyczącym narażenia na działanie czynników rakotwórczych lub mutagenów podczas pracy, Dz.U. L 158</w:t>
      </w:r>
      <w:r w:rsidR="0038139B" w:rsidRPr="0038139B">
        <w:rPr>
          <w:rFonts w:ascii="Times New Roman" w:hAnsi="Times New Roman"/>
        </w:rPr>
        <w:t xml:space="preserve"> z 3</w:t>
      </w:r>
      <w:r w:rsidRPr="0038139B">
        <w:rPr>
          <w:rFonts w:ascii="Times New Roman" w:hAnsi="Times New Roman"/>
        </w:rPr>
        <w:t>0.4.2004, s. 50.</w:t>
      </w:r>
    </w:p>
  </w:footnote>
  <w:footnote w:id="4">
    <w:p w14:paraId="1079CA3D" w14:textId="7C36381B" w:rsidR="006C0989" w:rsidRPr="0038139B" w:rsidRDefault="006C0989">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COM/2021/323 final, op. cit.</w:t>
      </w:r>
    </w:p>
  </w:footnote>
  <w:footnote w:id="5">
    <w:p w14:paraId="79E8F467" w14:textId="2CF98715" w:rsidR="009D7EC8" w:rsidRPr="0038139B" w:rsidRDefault="009D7EC8">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RPA (2024), „Study on collecting the most recent information on substances to analyse health, socio-economic and environmental impacts in connection with possible amendments of Directive 2004/37/EC on the protection of workers from the risks related to exposure to carcinogens, mutagens or reprotoxic substances at work” [Badanie dotyczące gromadzenia najnowszych informacji na temat substancji</w:t>
      </w:r>
      <w:r w:rsidR="0038139B" w:rsidRPr="0038139B">
        <w:rPr>
          <w:rFonts w:ascii="Times New Roman" w:hAnsi="Times New Roman"/>
        </w:rPr>
        <w:t xml:space="preserve"> w cel</w:t>
      </w:r>
      <w:r w:rsidRPr="0038139B">
        <w:rPr>
          <w:rFonts w:ascii="Times New Roman" w:hAnsi="Times New Roman"/>
        </w:rPr>
        <w:t>u analizy skutków zdrowotnych, społeczno-ekonomicznych</w:t>
      </w:r>
      <w:r w:rsidR="0038139B" w:rsidRPr="0038139B">
        <w:rPr>
          <w:rFonts w:ascii="Times New Roman" w:hAnsi="Times New Roman"/>
        </w:rPr>
        <w:t xml:space="preserve"> i śro</w:t>
      </w:r>
      <w:r w:rsidRPr="0038139B">
        <w:rPr>
          <w:rFonts w:ascii="Times New Roman" w:hAnsi="Times New Roman"/>
        </w:rPr>
        <w:t>dowiskowych</w:t>
      </w:r>
      <w:r w:rsidR="0038139B" w:rsidRPr="0038139B">
        <w:rPr>
          <w:rFonts w:ascii="Times New Roman" w:hAnsi="Times New Roman"/>
        </w:rPr>
        <w:t xml:space="preserve"> w zwi</w:t>
      </w:r>
      <w:r w:rsidRPr="0038139B">
        <w:rPr>
          <w:rFonts w:ascii="Times New Roman" w:hAnsi="Times New Roman"/>
        </w:rPr>
        <w:t>ązku</w:t>
      </w:r>
      <w:r w:rsidR="0038139B" w:rsidRPr="0038139B">
        <w:rPr>
          <w:rFonts w:ascii="Times New Roman" w:hAnsi="Times New Roman"/>
        </w:rPr>
        <w:t xml:space="preserve"> z moż</w:t>
      </w:r>
      <w:r w:rsidRPr="0038139B">
        <w:rPr>
          <w:rFonts w:ascii="Times New Roman" w:hAnsi="Times New Roman"/>
        </w:rPr>
        <w:t>liwymi zmianami dyrektywy 2004/37/WE</w:t>
      </w:r>
      <w:r w:rsidR="0038139B" w:rsidRPr="0038139B">
        <w:rPr>
          <w:rFonts w:ascii="Times New Roman" w:hAnsi="Times New Roman"/>
        </w:rPr>
        <w:t xml:space="preserve"> w spr</w:t>
      </w:r>
      <w:r w:rsidRPr="0038139B">
        <w:rPr>
          <w:rFonts w:ascii="Times New Roman" w:hAnsi="Times New Roman"/>
        </w:rPr>
        <w:t>awie ochrony pracowników przed zagrożeniem dotyczącym narażenia na działanie czynników rakotwórczych, mutagenów lub substancji reprotoksycznych podczas pracy].</w:t>
      </w:r>
    </w:p>
  </w:footnote>
  <w:footnote w:id="6">
    <w:p w14:paraId="7AC14030" w14:textId="7545B2C6" w:rsidR="002B7003" w:rsidRPr="0038139B" w:rsidRDefault="002B7003">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4 365 zachorowań na obturacyjną chorobę płuc, 14 152 przypadków podrażnienia górnych dróg oddechowych, 38 przypadków toksyczności rozwojowej, 3 157 przypadków niepłodności</w:t>
      </w:r>
      <w:r w:rsidR="0038139B" w:rsidRPr="0038139B">
        <w:rPr>
          <w:rFonts w:ascii="Times New Roman" w:hAnsi="Times New Roman"/>
        </w:rPr>
        <w:t xml:space="preserve"> u męż</w:t>
      </w:r>
      <w:r w:rsidRPr="0038139B">
        <w:rPr>
          <w:rFonts w:ascii="Times New Roman" w:hAnsi="Times New Roman"/>
        </w:rPr>
        <w:t>czyzn, 633 przypadków wpływu na wątrobę, 497 przypadków wpływu na nerki</w:t>
      </w:r>
      <w:r w:rsidR="0038139B" w:rsidRPr="0038139B">
        <w:rPr>
          <w:rFonts w:ascii="Times New Roman" w:hAnsi="Times New Roman"/>
        </w:rPr>
        <w:t xml:space="preserve"> i 4</w:t>
      </w:r>
      <w:r w:rsidRPr="0038139B">
        <w:rPr>
          <w:rFonts w:ascii="Times New Roman" w:hAnsi="Times New Roman"/>
        </w:rPr>
        <w:t> 381 przypadków miejscowego podrażnienia</w:t>
      </w:r>
      <w:r w:rsidR="0038139B" w:rsidRPr="0038139B">
        <w:rPr>
          <w:rFonts w:ascii="Times New Roman" w:hAnsi="Times New Roman"/>
        </w:rPr>
        <w:t xml:space="preserve"> w jam</w:t>
      </w:r>
      <w:r w:rsidRPr="0038139B">
        <w:rPr>
          <w:rFonts w:ascii="Times New Roman" w:hAnsi="Times New Roman"/>
        </w:rPr>
        <w:t>ie nosowej.</w:t>
      </w:r>
    </w:p>
  </w:footnote>
  <w:footnote w:id="7">
    <w:p w14:paraId="3C3981BE" w14:textId="68C19B4F" w:rsidR="0029354D" w:rsidRPr="0038139B" w:rsidRDefault="0029354D" w:rsidP="0029354D">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Poziom narażenia uznawany za bezpieczny (dla zdrowia)</w:t>
      </w:r>
      <w:r w:rsidR="0038139B" w:rsidRPr="0038139B">
        <w:rPr>
          <w:rFonts w:ascii="Times New Roman" w:hAnsi="Times New Roman"/>
        </w:rPr>
        <w:t xml:space="preserve"> w odn</w:t>
      </w:r>
      <w:r w:rsidRPr="0038139B">
        <w:rPr>
          <w:rFonts w:ascii="Times New Roman" w:hAnsi="Times New Roman"/>
        </w:rPr>
        <w:t>iesieniu do substancji chemicznej znajdującej się</w:t>
      </w:r>
      <w:r w:rsidR="0038139B" w:rsidRPr="0038139B">
        <w:rPr>
          <w:rFonts w:ascii="Times New Roman" w:hAnsi="Times New Roman"/>
        </w:rPr>
        <w:t xml:space="preserve"> w pow</w:t>
      </w:r>
      <w:r w:rsidRPr="0038139B">
        <w:rPr>
          <w:rFonts w:ascii="Times New Roman" w:hAnsi="Times New Roman"/>
        </w:rPr>
        <w:t>ietrzu</w:t>
      </w:r>
      <w:r w:rsidR="0038139B" w:rsidRPr="0038139B">
        <w:rPr>
          <w:rFonts w:ascii="Times New Roman" w:hAnsi="Times New Roman"/>
        </w:rPr>
        <w:t xml:space="preserve"> w mie</w:t>
      </w:r>
      <w:r w:rsidRPr="0038139B">
        <w:rPr>
          <w:rFonts w:ascii="Times New Roman" w:hAnsi="Times New Roman"/>
        </w:rPr>
        <w:t>jscu pracy.</w:t>
      </w:r>
    </w:p>
  </w:footnote>
  <w:footnote w:id="8">
    <w:p w14:paraId="05333B41" w14:textId="7E341BD7" w:rsidR="0029354D" w:rsidRPr="0038139B" w:rsidRDefault="0029354D" w:rsidP="0029354D">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RAC (2022), Opinia</w:t>
      </w:r>
      <w:r w:rsidR="0038139B" w:rsidRPr="0038139B">
        <w:rPr>
          <w:rFonts w:ascii="Times New Roman" w:hAnsi="Times New Roman"/>
        </w:rPr>
        <w:t xml:space="preserve"> w spr</w:t>
      </w:r>
      <w:r w:rsidRPr="0038139B">
        <w:rPr>
          <w:rFonts w:ascii="Times New Roman" w:hAnsi="Times New Roman"/>
        </w:rPr>
        <w:t xml:space="preserve">awie naukowej oceny dopuszczalnych wartości narażenia zawodowego na działanie izoprenu, dostępna pod adresem: </w:t>
      </w:r>
      <w:hyperlink r:id="rId1" w:history="1">
        <w:r w:rsidRPr="0038139B">
          <w:rPr>
            <w:rStyle w:val="Hyperlink"/>
            <w:rFonts w:ascii="Times New Roman" w:hAnsi="Times New Roman"/>
          </w:rPr>
          <w:t>11c4dd13-2117-8cd1-83d6-44fc9e591b8f (europa.eu)</w:t>
        </w:r>
      </w:hyperlink>
    </w:p>
  </w:footnote>
  <w:footnote w:id="9">
    <w:p w14:paraId="0004A661" w14:textId="69994258" w:rsidR="001A3423" w:rsidRPr="0038139B" w:rsidRDefault="001A3423" w:rsidP="001A3423">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Określona</w:t>
      </w:r>
      <w:r w:rsidR="0038139B" w:rsidRPr="0038139B">
        <w:rPr>
          <w:rFonts w:ascii="Times New Roman" w:hAnsi="Times New Roman"/>
        </w:rPr>
        <w:t xml:space="preserve"> w dyr</w:t>
      </w:r>
      <w:r w:rsidRPr="0038139B">
        <w:rPr>
          <w:rFonts w:ascii="Times New Roman" w:hAnsi="Times New Roman"/>
        </w:rPr>
        <w:t>ektywie</w:t>
      </w:r>
      <w:r w:rsidR="0038139B" w:rsidRPr="0038139B">
        <w:rPr>
          <w:rFonts w:ascii="Times New Roman" w:hAnsi="Times New Roman"/>
        </w:rPr>
        <w:t xml:space="preserve"> w spr</w:t>
      </w:r>
      <w:r w:rsidRPr="0038139B">
        <w:rPr>
          <w:rFonts w:ascii="Times New Roman" w:hAnsi="Times New Roman"/>
        </w:rPr>
        <w:t>awie środków chemicznych wartość dopuszczalna dla</w:t>
      </w:r>
      <w:r w:rsidR="0038139B" w:rsidRPr="0038139B">
        <w:rPr>
          <w:rFonts w:ascii="Times New Roman" w:hAnsi="Times New Roman"/>
        </w:rPr>
        <w:t> </w:t>
      </w:r>
      <w:r w:rsidRPr="0038139B">
        <w:rPr>
          <w:rFonts w:ascii="Times New Roman" w:hAnsi="Times New Roman"/>
        </w:rPr>
        <w:t>1,4-dioksanu wynosi 73 mg/m³. Ta wartość dopuszczalna ma jednak charakter orientacyjny</w:t>
      </w:r>
      <w:r w:rsidR="0038139B" w:rsidRPr="0038139B">
        <w:rPr>
          <w:rFonts w:ascii="Times New Roman" w:hAnsi="Times New Roman"/>
        </w:rPr>
        <w:t xml:space="preserve"> i nie</w:t>
      </w:r>
      <w:r w:rsidRPr="0038139B">
        <w:rPr>
          <w:rFonts w:ascii="Times New Roman" w:hAnsi="Times New Roman"/>
        </w:rPr>
        <w:t xml:space="preserve"> jest wiążąca</w:t>
      </w:r>
      <w:r w:rsidR="0038139B" w:rsidRPr="0038139B">
        <w:rPr>
          <w:rFonts w:ascii="Times New Roman" w:hAnsi="Times New Roman"/>
        </w:rPr>
        <w:t>. W nas</w:t>
      </w:r>
      <w:r w:rsidRPr="0038139B">
        <w:rPr>
          <w:rFonts w:ascii="Times New Roman" w:hAnsi="Times New Roman"/>
        </w:rPr>
        <w:t>tępstwie niedawnej zmiany klasyfikacji 1,4-dioksanu, który uznano w UE za substancję rakotwórczą, jest on obecnie objęty zakresem dyrektywy</w:t>
      </w:r>
      <w:r w:rsidR="0038139B" w:rsidRPr="0038139B">
        <w:rPr>
          <w:rFonts w:ascii="Times New Roman" w:hAnsi="Times New Roman"/>
        </w:rPr>
        <w:t xml:space="preserve"> w spr</w:t>
      </w:r>
      <w:r w:rsidRPr="0038139B">
        <w:rPr>
          <w:rFonts w:ascii="Times New Roman" w:hAnsi="Times New Roman"/>
        </w:rPr>
        <w:t>awie czynników rakotwórczych, mutagenów</w:t>
      </w:r>
      <w:r w:rsidR="0038139B" w:rsidRPr="0038139B">
        <w:rPr>
          <w:rFonts w:ascii="Times New Roman" w:hAnsi="Times New Roman"/>
        </w:rPr>
        <w:t xml:space="preserve"> i sub</w:t>
      </w:r>
      <w:r w:rsidRPr="0038139B">
        <w:rPr>
          <w:rFonts w:ascii="Times New Roman" w:hAnsi="Times New Roman"/>
        </w:rPr>
        <w:t>stancji rakotwórczych</w:t>
      </w:r>
      <w:r w:rsidR="0038139B" w:rsidRPr="0038139B">
        <w:rPr>
          <w:rFonts w:ascii="Times New Roman" w:hAnsi="Times New Roman"/>
        </w:rPr>
        <w:t xml:space="preserve"> i wym</w:t>
      </w:r>
      <w:r w:rsidRPr="0038139B">
        <w:rPr>
          <w:rFonts w:ascii="Times New Roman" w:hAnsi="Times New Roman"/>
        </w:rPr>
        <w:t xml:space="preserve">aga ustalenia wiążącej wartości dopuszczalnej. </w:t>
      </w:r>
    </w:p>
  </w:footnote>
  <w:footnote w:id="10">
    <w:p w14:paraId="4D6F7B21" w14:textId="287EB47E" w:rsidR="001A3423" w:rsidRPr="0038139B" w:rsidRDefault="001A3423" w:rsidP="001A3423">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DG EMPL (2023), Metodyka określania wartości dopuszczalnych opartych na analizie zagrożeń</w:t>
      </w:r>
      <w:r w:rsidR="0038139B" w:rsidRPr="0038139B">
        <w:rPr>
          <w:rFonts w:ascii="Times New Roman" w:hAnsi="Times New Roman"/>
        </w:rPr>
        <w:t xml:space="preserve"> w odn</w:t>
      </w:r>
      <w:r w:rsidRPr="0038139B">
        <w:rPr>
          <w:rFonts w:ascii="Times New Roman" w:hAnsi="Times New Roman"/>
        </w:rPr>
        <w:t>iesieniu do substancji rakotwórczych</w:t>
      </w:r>
      <w:r w:rsidR="0038139B" w:rsidRPr="0038139B">
        <w:rPr>
          <w:rFonts w:ascii="Times New Roman" w:hAnsi="Times New Roman"/>
        </w:rPr>
        <w:t xml:space="preserve"> o dzi</w:t>
      </w:r>
      <w:r w:rsidRPr="0038139B">
        <w:rPr>
          <w:rFonts w:ascii="Times New Roman" w:hAnsi="Times New Roman"/>
        </w:rPr>
        <w:t>ałaniu bezprogowym do celów art.</w:t>
      </w:r>
      <w:r w:rsidR="0038139B" w:rsidRPr="0038139B">
        <w:rPr>
          <w:rFonts w:ascii="Times New Roman" w:hAnsi="Times New Roman"/>
        </w:rPr>
        <w:t> </w:t>
      </w:r>
      <w:r w:rsidRPr="0038139B">
        <w:rPr>
          <w:rFonts w:ascii="Times New Roman" w:hAnsi="Times New Roman"/>
        </w:rPr>
        <w:t>1 ust.</w:t>
      </w:r>
      <w:r w:rsidR="0038139B" w:rsidRPr="0038139B">
        <w:rPr>
          <w:rFonts w:ascii="Times New Roman" w:hAnsi="Times New Roman"/>
        </w:rPr>
        <w:t> </w:t>
      </w:r>
      <w:r w:rsidRPr="0038139B">
        <w:rPr>
          <w:rFonts w:ascii="Times New Roman" w:hAnsi="Times New Roman"/>
        </w:rPr>
        <w:t xml:space="preserve">18a dyrektywy 2004/37/WE, dostępna pod adresem: </w:t>
      </w:r>
      <w:hyperlink r:id="rId2" w:history="1">
        <w:r w:rsidRPr="0038139B">
          <w:rPr>
            <w:rStyle w:val="Hyperlink"/>
            <w:rFonts w:ascii="Times New Roman" w:hAnsi="Times New Roman"/>
          </w:rPr>
          <w:t>https://ec.europa.eu/social/BlobServlet?docId=27151&amp;langId=en</w:t>
        </w:r>
      </w:hyperlink>
      <w:r w:rsidRPr="0038139B">
        <w:rPr>
          <w:rFonts w:ascii="Times New Roman" w:hAnsi="Times New Roman"/>
        </w:rPr>
        <w:t xml:space="preserve"> </w:t>
      </w:r>
    </w:p>
  </w:footnote>
  <w:footnote w:id="11">
    <w:p w14:paraId="0F76262F" w14:textId="493C420C" w:rsidR="001A3423" w:rsidRPr="0038139B" w:rsidRDefault="001A3423">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RPA (2024), op. cit. </w:t>
      </w:r>
    </w:p>
  </w:footnote>
  <w:footnote w:id="12">
    <w:p w14:paraId="0826B8CA" w14:textId="77777777" w:rsidR="00870A73" w:rsidRPr="0038139B" w:rsidRDefault="00870A73" w:rsidP="00870A73">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tab/>
      </w:r>
      <w:r w:rsidRPr="0038139B">
        <w:rPr>
          <w:rFonts w:ascii="Times New Roman" w:hAnsi="Times New Roman"/>
        </w:rPr>
        <w:t xml:space="preserve">W każdym przypadku zastosowano wartości gotowości do płacenia (= metoda 1). </w:t>
      </w:r>
    </w:p>
  </w:footnote>
  <w:footnote w:id="13">
    <w:p w14:paraId="23870D7D" w14:textId="69302A74" w:rsidR="00E47F48" w:rsidRPr="0038139B" w:rsidRDefault="00E47F48">
      <w:pPr>
        <w:pStyle w:val="FootnoteText"/>
        <w:rPr>
          <w:rFonts w:ascii="Times New Roman" w:hAnsi="Times New Roman" w:cs="Times New Roman"/>
        </w:rPr>
      </w:pPr>
      <w:r w:rsidRPr="0038139B">
        <w:rPr>
          <w:rStyle w:val="FootnoteReference"/>
          <w:rFonts w:ascii="Times New Roman" w:hAnsi="Times New Roman" w:cs="Times New Roman"/>
        </w:rPr>
        <w:footnoteRef/>
      </w:r>
      <w:r w:rsidRPr="0038139B">
        <w:rPr>
          <w:rFonts w:ascii="Times New Roman" w:hAnsi="Times New Roman"/>
        </w:rPr>
        <w:t xml:space="preserve"> Dyrektywa Rady 89/391/EWG</w:t>
      </w:r>
      <w:r w:rsidR="0038139B" w:rsidRPr="0038139B">
        <w:rPr>
          <w:rFonts w:ascii="Times New Roman" w:hAnsi="Times New Roman"/>
        </w:rPr>
        <w:t xml:space="preserve"> z dni</w:t>
      </w:r>
      <w:r w:rsidRPr="0038139B">
        <w:rPr>
          <w:rFonts w:ascii="Times New Roman" w:hAnsi="Times New Roman"/>
        </w:rPr>
        <w:t>a 12 czerwca 1989</w:t>
      </w:r>
      <w:r w:rsidR="0038139B" w:rsidRPr="0038139B">
        <w:rPr>
          <w:rFonts w:ascii="Times New Roman" w:hAnsi="Times New Roman"/>
        </w:rPr>
        <w:t> </w:t>
      </w:r>
      <w:r w:rsidRPr="0038139B">
        <w:rPr>
          <w:rFonts w:ascii="Times New Roman" w:hAnsi="Times New Roman"/>
        </w:rPr>
        <w:t>r.</w:t>
      </w:r>
      <w:r w:rsidR="0038139B" w:rsidRPr="0038139B">
        <w:rPr>
          <w:rFonts w:ascii="Times New Roman" w:hAnsi="Times New Roman"/>
        </w:rPr>
        <w:t xml:space="preserve"> w spr</w:t>
      </w:r>
      <w:r w:rsidRPr="0038139B">
        <w:rPr>
          <w:rFonts w:ascii="Times New Roman" w:hAnsi="Times New Roman"/>
        </w:rPr>
        <w:t>awie wprowadzenia środków</w:t>
      </w:r>
      <w:r w:rsidR="0038139B" w:rsidRPr="0038139B">
        <w:rPr>
          <w:rFonts w:ascii="Times New Roman" w:hAnsi="Times New Roman"/>
        </w:rPr>
        <w:t xml:space="preserve"> w cel</w:t>
      </w:r>
      <w:r w:rsidRPr="0038139B">
        <w:rPr>
          <w:rFonts w:ascii="Times New Roman" w:hAnsi="Times New Roman"/>
        </w:rPr>
        <w:t>u poprawy bezpieczeństwa</w:t>
      </w:r>
      <w:r w:rsidR="0038139B" w:rsidRPr="0038139B">
        <w:rPr>
          <w:rFonts w:ascii="Times New Roman" w:hAnsi="Times New Roman"/>
        </w:rPr>
        <w:t xml:space="preserve"> i zdr</w:t>
      </w:r>
      <w:r w:rsidRPr="0038139B">
        <w:rPr>
          <w:rFonts w:ascii="Times New Roman" w:hAnsi="Times New Roman"/>
        </w:rPr>
        <w:t>owia pracowników</w:t>
      </w:r>
      <w:r w:rsidR="0038139B" w:rsidRPr="0038139B">
        <w:rPr>
          <w:rFonts w:ascii="Times New Roman" w:hAnsi="Times New Roman"/>
        </w:rPr>
        <w:t xml:space="preserve"> w mie</w:t>
      </w:r>
      <w:r w:rsidRPr="0038139B">
        <w:rPr>
          <w:rFonts w:ascii="Times New Roman" w:hAnsi="Times New Roman"/>
        </w:rPr>
        <w:t>jscu pracy, Dz.U. L 183</w:t>
      </w:r>
      <w:r w:rsidR="0038139B" w:rsidRPr="0038139B">
        <w:rPr>
          <w:rFonts w:ascii="Times New Roman" w:hAnsi="Times New Roman"/>
        </w:rPr>
        <w:t xml:space="preserve"> z 2</w:t>
      </w:r>
      <w:r w:rsidRPr="0038139B">
        <w:rPr>
          <w:rFonts w:ascii="Times New Roman" w:hAnsi="Times New Roman"/>
        </w:rPr>
        <w:t xml:space="preserve">9.6.1989, s.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504F" w14:textId="77777777" w:rsidR="00EE3624" w:rsidRPr="00EE3624" w:rsidRDefault="00EE3624" w:rsidP="00EE362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F736" w14:textId="77777777" w:rsidR="00EE3624" w:rsidRPr="00EE3624" w:rsidRDefault="00EE3624" w:rsidP="00EE362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22B84" w14:textId="77777777" w:rsidR="00EE3624" w:rsidRPr="00EE3624" w:rsidRDefault="00EE3624" w:rsidP="00EE362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486E" w14:textId="77777777" w:rsidR="0026613F" w:rsidRDefault="002661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ED0D4" w14:textId="77777777" w:rsidR="0026613F" w:rsidRDefault="002661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ACDC" w14:textId="77777777" w:rsidR="0026613F" w:rsidRDefault="00266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530F1"/>
    <w:multiLevelType w:val="hybridMultilevel"/>
    <w:tmpl w:val="A9BAE51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519B6A67"/>
    <w:multiLevelType w:val="hybridMultilevel"/>
    <w:tmpl w:val="D26ABF16"/>
    <w:lvl w:ilvl="0" w:tplc="18090001">
      <w:start w:val="1"/>
      <w:numFmt w:val="bullet"/>
      <w:lvlText w:val=""/>
      <w:lvlJc w:val="left"/>
      <w:pPr>
        <w:ind w:left="721" w:hanging="360"/>
      </w:pPr>
      <w:rPr>
        <w:rFonts w:ascii="Symbol" w:hAnsi="Symbol" w:hint="default"/>
      </w:rPr>
    </w:lvl>
    <w:lvl w:ilvl="1" w:tplc="18090003" w:tentative="1">
      <w:start w:val="1"/>
      <w:numFmt w:val="bullet"/>
      <w:lvlText w:val="o"/>
      <w:lvlJc w:val="left"/>
      <w:pPr>
        <w:ind w:left="1441" w:hanging="360"/>
      </w:pPr>
      <w:rPr>
        <w:rFonts w:ascii="Courier New" w:hAnsi="Courier New" w:cs="Courier New" w:hint="default"/>
      </w:rPr>
    </w:lvl>
    <w:lvl w:ilvl="2" w:tplc="18090005" w:tentative="1">
      <w:start w:val="1"/>
      <w:numFmt w:val="bullet"/>
      <w:lvlText w:val=""/>
      <w:lvlJc w:val="left"/>
      <w:pPr>
        <w:ind w:left="2161" w:hanging="360"/>
      </w:pPr>
      <w:rPr>
        <w:rFonts w:ascii="Wingdings" w:hAnsi="Wingdings" w:hint="default"/>
      </w:rPr>
    </w:lvl>
    <w:lvl w:ilvl="3" w:tplc="18090001" w:tentative="1">
      <w:start w:val="1"/>
      <w:numFmt w:val="bullet"/>
      <w:lvlText w:val=""/>
      <w:lvlJc w:val="left"/>
      <w:pPr>
        <w:ind w:left="2881" w:hanging="360"/>
      </w:pPr>
      <w:rPr>
        <w:rFonts w:ascii="Symbol" w:hAnsi="Symbol" w:hint="default"/>
      </w:rPr>
    </w:lvl>
    <w:lvl w:ilvl="4" w:tplc="18090003" w:tentative="1">
      <w:start w:val="1"/>
      <w:numFmt w:val="bullet"/>
      <w:lvlText w:val="o"/>
      <w:lvlJc w:val="left"/>
      <w:pPr>
        <w:ind w:left="3601" w:hanging="360"/>
      </w:pPr>
      <w:rPr>
        <w:rFonts w:ascii="Courier New" w:hAnsi="Courier New" w:cs="Courier New" w:hint="default"/>
      </w:rPr>
    </w:lvl>
    <w:lvl w:ilvl="5" w:tplc="18090005" w:tentative="1">
      <w:start w:val="1"/>
      <w:numFmt w:val="bullet"/>
      <w:lvlText w:val=""/>
      <w:lvlJc w:val="left"/>
      <w:pPr>
        <w:ind w:left="4321" w:hanging="360"/>
      </w:pPr>
      <w:rPr>
        <w:rFonts w:ascii="Wingdings" w:hAnsi="Wingdings" w:hint="default"/>
      </w:rPr>
    </w:lvl>
    <w:lvl w:ilvl="6" w:tplc="18090001" w:tentative="1">
      <w:start w:val="1"/>
      <w:numFmt w:val="bullet"/>
      <w:lvlText w:val=""/>
      <w:lvlJc w:val="left"/>
      <w:pPr>
        <w:ind w:left="5041" w:hanging="360"/>
      </w:pPr>
      <w:rPr>
        <w:rFonts w:ascii="Symbol" w:hAnsi="Symbol" w:hint="default"/>
      </w:rPr>
    </w:lvl>
    <w:lvl w:ilvl="7" w:tplc="18090003" w:tentative="1">
      <w:start w:val="1"/>
      <w:numFmt w:val="bullet"/>
      <w:lvlText w:val="o"/>
      <w:lvlJc w:val="left"/>
      <w:pPr>
        <w:ind w:left="5761" w:hanging="360"/>
      </w:pPr>
      <w:rPr>
        <w:rFonts w:ascii="Courier New" w:hAnsi="Courier New" w:cs="Courier New" w:hint="default"/>
      </w:rPr>
    </w:lvl>
    <w:lvl w:ilvl="8" w:tplc="18090005" w:tentative="1">
      <w:start w:val="1"/>
      <w:numFmt w:val="bullet"/>
      <w:lvlText w:val=""/>
      <w:lvlJc w:val="left"/>
      <w:pPr>
        <w:ind w:left="6481" w:hanging="360"/>
      </w:pPr>
      <w:rPr>
        <w:rFonts w:ascii="Wingdings" w:hAnsi="Wingdings" w:hint="default"/>
      </w:rPr>
    </w:lvl>
  </w:abstractNum>
  <w:abstractNum w:abstractNumId="2" w15:restartNumberingAfterBreak="0">
    <w:nsid w:val="5392420D"/>
    <w:multiLevelType w:val="hybridMultilevel"/>
    <w:tmpl w:val="7B2853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4630435"/>
    <w:multiLevelType w:val="hybridMultilevel"/>
    <w:tmpl w:val="2F7E51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36A773E"/>
    <w:multiLevelType w:val="multilevel"/>
    <w:tmpl w:val="078CBF5C"/>
    <w:lvl w:ilvl="0">
      <w:start w:val="1"/>
      <w:numFmt w:val="decimal"/>
      <w:pStyle w:val="Sections"/>
      <w:lvlText w:val="%1."/>
      <w:lvlJc w:val="left"/>
      <w:pPr>
        <w:ind w:left="360" w:hanging="360"/>
      </w:pPr>
    </w:lvl>
    <w:lvl w:ilvl="1">
      <w:start w:val="1"/>
      <w:numFmt w:val="decimal"/>
      <w:pStyle w:val="Sub-sections"/>
      <w:lvlText w:val="%1.%2."/>
      <w:lvlJc w:val="left"/>
      <w:pPr>
        <w:ind w:left="792" w:hanging="432"/>
      </w:pPr>
    </w:lvl>
    <w:lvl w:ilvl="2">
      <w:start w:val="1"/>
      <w:numFmt w:val="decimal"/>
      <w:pStyle w:val="Sub-sub-sectio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C41BA7"/>
    <w:multiLevelType w:val="hybridMultilevel"/>
    <w:tmpl w:val="0BAE7F1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warzysz\u261?cy dokumentowi:"/>
    <w:docVar w:name="LW_CORRIGENDUM" w:val="&lt;UNUSED&gt;"/>
    <w:docVar w:name="LW_COVERPAGE_EXISTS" w:val="True"/>
    <w:docVar w:name="LW_COVERPAGE_GUID" w:val="6ABFA23C-6CEE-4142-8B41-0353CEB664E3"/>
    <w:docVar w:name="LW_COVERPAGE_TYPE" w:val="1"/>
    <w:docVar w:name="LW_CROSSREFERENCE" w:val="{COM(2025) 418 final} - {SEC(2025) 217 final} - {SWD(2025) 191 final} - {SWD(2025) 192 final}"/>
    <w:docVar w:name="LW_DocType" w:val="NORMAL"/>
    <w:docVar w:name="LW_EMISSION" w:val="18.7.2025"/>
    <w:docVar w:name="LW_EMISSION_ISODATE" w:val="2025-07-18"/>
    <w:docVar w:name="LW_EMISSION_LOCATION" w:val="BRX"/>
    <w:docVar w:name="LW_EMISSION_PREFIX" w:val="Bruksela, dnia "/>
    <w:docVar w:name="LW_EMISSION_SUFFIX" w:val=" r."/>
    <w:docVar w:name="LW_ID_DOCTYPE_NONLW" w:val="CP-027"/>
    <w:docVar w:name="LW_LANGUE" w:val="PL"/>
    <w:docVar w:name="LW_LEVEL_OF_SENSITIVITY" w:val="Standard treatment"/>
    <w:docVar w:name="LW_NOM.INST" w:val="KOMISJA EUROPEJSKA"/>
    <w:docVar w:name="LW_NOM.INST_JOINTDOC" w:val="&lt;EMPTY&gt;"/>
    <w:docVar w:name="LW_OBJETACTEPRINCIPAL.CP" w:val="zmieniaj\u261?cej dyrektyw\u281? 2004/37/WE w odniesieniu do dodania substancji i ustalenia warto\u347?ci dopuszczalnych w za\u322?\u261?cznikach I, III i IIIa_x000d__x000d__x000b_"/>
    <w:docVar w:name="LW_PART_NBR" w:val="1"/>
    <w:docVar w:name="LW_PART_NBR_TOTAL" w:val="1"/>
    <w:docVar w:name="LW_REF.INST.NEW" w:val="SWD"/>
    <w:docVar w:name="LW_REF.INST.NEW_ADOPTED" w:val="final"/>
    <w:docVar w:name="LW_REF.INST.NEW_TEXT" w:val="(2025) 1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OKUMENT ROBOCZY S\u321?U\u379?B KOMISJI_x000b__x000b_STRESZCZENIE SPRAWOZDANIA Z OCENY SKUTKÓW_x000b_"/>
    <w:docVar w:name="LW_TYPEACTEPRINCIPAL.CP" w:val="Wniosek dotycz\u261?cy dyrektywy Parlamentu Europejskiego i Rady"/>
    <w:docVar w:name="LwApiVersions" w:val="LW4CoDe 1.24.5.0; LW 9.0, Build 20240221"/>
  </w:docVars>
  <w:rsids>
    <w:rsidRoot w:val="0026613F"/>
    <w:rsid w:val="00004ADD"/>
    <w:rsid w:val="00012875"/>
    <w:rsid w:val="00031D93"/>
    <w:rsid w:val="000706B8"/>
    <w:rsid w:val="000D7F21"/>
    <w:rsid w:val="000E06DE"/>
    <w:rsid w:val="00123402"/>
    <w:rsid w:val="001371D1"/>
    <w:rsid w:val="00141A42"/>
    <w:rsid w:val="00190EB0"/>
    <w:rsid w:val="001A1C58"/>
    <w:rsid w:val="001A3423"/>
    <w:rsid w:val="001B6BB9"/>
    <w:rsid w:val="001D3E1C"/>
    <w:rsid w:val="00201712"/>
    <w:rsid w:val="00204A07"/>
    <w:rsid w:val="00240195"/>
    <w:rsid w:val="002529A1"/>
    <w:rsid w:val="0026613F"/>
    <w:rsid w:val="00271F6A"/>
    <w:rsid w:val="0029354D"/>
    <w:rsid w:val="002958D0"/>
    <w:rsid w:val="002A60E7"/>
    <w:rsid w:val="002B7003"/>
    <w:rsid w:val="002C35DB"/>
    <w:rsid w:val="002F75F8"/>
    <w:rsid w:val="003141D7"/>
    <w:rsid w:val="003400DB"/>
    <w:rsid w:val="00361E73"/>
    <w:rsid w:val="003670E0"/>
    <w:rsid w:val="00370B31"/>
    <w:rsid w:val="0038139B"/>
    <w:rsid w:val="003866AB"/>
    <w:rsid w:val="003A7527"/>
    <w:rsid w:val="003C72F4"/>
    <w:rsid w:val="003D21EE"/>
    <w:rsid w:val="003F61A6"/>
    <w:rsid w:val="00405D77"/>
    <w:rsid w:val="00422D92"/>
    <w:rsid w:val="004468F5"/>
    <w:rsid w:val="004A3979"/>
    <w:rsid w:val="004B10F2"/>
    <w:rsid w:val="004D3162"/>
    <w:rsid w:val="00536BB3"/>
    <w:rsid w:val="00547FD9"/>
    <w:rsid w:val="005725C4"/>
    <w:rsid w:val="005754D7"/>
    <w:rsid w:val="005824AC"/>
    <w:rsid w:val="005B591B"/>
    <w:rsid w:val="005C7CC3"/>
    <w:rsid w:val="005D4E4A"/>
    <w:rsid w:val="005E396B"/>
    <w:rsid w:val="005E56E4"/>
    <w:rsid w:val="00603363"/>
    <w:rsid w:val="006049BE"/>
    <w:rsid w:val="00624693"/>
    <w:rsid w:val="006369E3"/>
    <w:rsid w:val="006546A2"/>
    <w:rsid w:val="006C01BC"/>
    <w:rsid w:val="006C0989"/>
    <w:rsid w:val="006C38D4"/>
    <w:rsid w:val="006D4024"/>
    <w:rsid w:val="006E00F2"/>
    <w:rsid w:val="0072497B"/>
    <w:rsid w:val="00725941"/>
    <w:rsid w:val="0072712F"/>
    <w:rsid w:val="00761C55"/>
    <w:rsid w:val="00774957"/>
    <w:rsid w:val="00785570"/>
    <w:rsid w:val="007952B0"/>
    <w:rsid w:val="007954B6"/>
    <w:rsid w:val="007A6E83"/>
    <w:rsid w:val="00842D4A"/>
    <w:rsid w:val="00847F9C"/>
    <w:rsid w:val="008705FE"/>
    <w:rsid w:val="00870654"/>
    <w:rsid w:val="00870A73"/>
    <w:rsid w:val="0087385F"/>
    <w:rsid w:val="0089759E"/>
    <w:rsid w:val="008C54E5"/>
    <w:rsid w:val="008D2F13"/>
    <w:rsid w:val="008D5DA6"/>
    <w:rsid w:val="0090274C"/>
    <w:rsid w:val="009377A8"/>
    <w:rsid w:val="00982817"/>
    <w:rsid w:val="009828CC"/>
    <w:rsid w:val="009A484B"/>
    <w:rsid w:val="009A4EAF"/>
    <w:rsid w:val="009B3BE5"/>
    <w:rsid w:val="009D30A8"/>
    <w:rsid w:val="009D64A2"/>
    <w:rsid w:val="009D7EC8"/>
    <w:rsid w:val="00A05248"/>
    <w:rsid w:val="00A375A9"/>
    <w:rsid w:val="00A46692"/>
    <w:rsid w:val="00A929E6"/>
    <w:rsid w:val="00AE0E54"/>
    <w:rsid w:val="00AE4E87"/>
    <w:rsid w:val="00B1566B"/>
    <w:rsid w:val="00B52D45"/>
    <w:rsid w:val="00B53A91"/>
    <w:rsid w:val="00B56330"/>
    <w:rsid w:val="00BA610A"/>
    <w:rsid w:val="00BA64B2"/>
    <w:rsid w:val="00BB5290"/>
    <w:rsid w:val="00BE548B"/>
    <w:rsid w:val="00C07C16"/>
    <w:rsid w:val="00C20FFC"/>
    <w:rsid w:val="00C45956"/>
    <w:rsid w:val="00C51673"/>
    <w:rsid w:val="00C55165"/>
    <w:rsid w:val="00D20FD1"/>
    <w:rsid w:val="00D548A4"/>
    <w:rsid w:val="00D5548D"/>
    <w:rsid w:val="00D71F14"/>
    <w:rsid w:val="00D82033"/>
    <w:rsid w:val="00D90D80"/>
    <w:rsid w:val="00E24BF3"/>
    <w:rsid w:val="00E35E94"/>
    <w:rsid w:val="00E47F48"/>
    <w:rsid w:val="00E841D3"/>
    <w:rsid w:val="00E939ED"/>
    <w:rsid w:val="00E9643A"/>
    <w:rsid w:val="00EB4AFE"/>
    <w:rsid w:val="00EC4D8E"/>
    <w:rsid w:val="00EE3624"/>
    <w:rsid w:val="00F06A6D"/>
    <w:rsid w:val="00F15703"/>
    <w:rsid w:val="00F22E64"/>
    <w:rsid w:val="00F31280"/>
    <w:rsid w:val="00F618A8"/>
    <w:rsid w:val="00FD3BE3"/>
    <w:rsid w:val="00FE1E24"/>
    <w:rsid w:val="1AD1A091"/>
    <w:rsid w:val="1FB73B21"/>
    <w:rsid w:val="21577D30"/>
    <w:rsid w:val="2B0D3AFB"/>
    <w:rsid w:val="3E709202"/>
    <w:rsid w:val="467327F4"/>
    <w:rsid w:val="4C04DCAF"/>
    <w:rsid w:val="5490B5C2"/>
    <w:rsid w:val="56DA2EC5"/>
    <w:rsid w:val="5FF9A850"/>
    <w:rsid w:val="6A75D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D52611"/>
  <w15:chartTrackingRefBased/>
  <w15:docId w15:val="{A4339711-EFE9-4CAC-AE70-8533DD64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paragraph" w:styleId="ListParagraph">
    <w:name w:val="List Paragraph"/>
    <w:aliases w:val="Style Bullet,Heading 2_sj,Dot pt,Numbered Para 1,No Spacing1,List Paragraph Char Char Char,Indicator Text,Bullet 1,List Paragraph1,Bullet Points,MAIN CONTENT,List Paragraph12,F5 List Paragraph,Report Para,1st level - Bullet List Paragraph"/>
    <w:basedOn w:val="Normal"/>
    <w:link w:val="ListParagraphChar"/>
    <w:uiPriority w:val="34"/>
    <w:qFormat/>
    <w:rsid w:val="00785570"/>
    <w:pPr>
      <w:ind w:left="720"/>
      <w:contextualSpacing/>
    </w:pPr>
  </w:style>
  <w:style w:type="paragraph" w:customStyle="1" w:styleId="Sections">
    <w:name w:val="Sections"/>
    <w:basedOn w:val="ListParagraph"/>
    <w:link w:val="SectionsChar"/>
    <w:qFormat/>
    <w:rsid w:val="00785570"/>
    <w:pPr>
      <w:numPr>
        <w:numId w:val="1"/>
      </w:numPr>
      <w:ind w:left="357" w:hanging="357"/>
      <w:contextualSpacing w:val="0"/>
    </w:pPr>
    <w:rPr>
      <w:rFonts w:ascii="Times New Roman Bold" w:hAnsi="Times New Roman Bold" w:cs="Times New Roman"/>
      <w:b/>
      <w:bCs/>
      <w:smallCaps/>
      <w:sz w:val="24"/>
      <w:szCs w:val="24"/>
    </w:rPr>
  </w:style>
  <w:style w:type="character" w:customStyle="1" w:styleId="ListParagraphChar">
    <w:name w:val="List Paragraph Char"/>
    <w:aliases w:val="Style Bullet Char,Heading 2_sj Char,Dot pt Char,Numbered Para 1 Char,No Spacing1 Char,List Paragraph Char Char Char Char,Indicator Text Char,Bullet 1 Char,List Paragraph1 Char,Bullet Points Char,MAIN CONTENT Char,Report Para Char"/>
    <w:basedOn w:val="DefaultParagraphFont"/>
    <w:link w:val="ListParagraph"/>
    <w:uiPriority w:val="34"/>
    <w:qFormat/>
    <w:rsid w:val="00785570"/>
  </w:style>
  <w:style w:type="character" w:customStyle="1" w:styleId="SectionsChar">
    <w:name w:val="Sections Char"/>
    <w:basedOn w:val="ListParagraphChar"/>
    <w:link w:val="Sections"/>
    <w:rsid w:val="00785570"/>
    <w:rPr>
      <w:rFonts w:ascii="Times New Roman Bold" w:hAnsi="Times New Roman Bold" w:cs="Times New Roman"/>
      <w:b/>
      <w:bCs/>
      <w:smallCaps/>
      <w:sz w:val="24"/>
      <w:szCs w:val="24"/>
    </w:rPr>
  </w:style>
  <w:style w:type="paragraph" w:customStyle="1" w:styleId="Sub-sections">
    <w:name w:val="Sub-sections"/>
    <w:basedOn w:val="ListParagraph"/>
    <w:link w:val="Sub-sectionsChar"/>
    <w:qFormat/>
    <w:rsid w:val="00603363"/>
    <w:pPr>
      <w:numPr>
        <w:ilvl w:val="1"/>
        <w:numId w:val="1"/>
      </w:numPr>
      <w:ind w:left="788" w:hanging="431"/>
      <w:contextualSpacing w:val="0"/>
    </w:pPr>
    <w:rPr>
      <w:rFonts w:ascii="Times New Roman Bold" w:hAnsi="Times New Roman Bold" w:cs="Times New Roman"/>
      <w:b/>
      <w:bCs/>
    </w:rPr>
  </w:style>
  <w:style w:type="character" w:customStyle="1" w:styleId="Sub-sectionsChar">
    <w:name w:val="Sub-sections Char"/>
    <w:basedOn w:val="ListParagraphChar"/>
    <w:link w:val="Sub-sections"/>
    <w:rsid w:val="00603363"/>
    <w:rPr>
      <w:rFonts w:ascii="Times New Roman Bold" w:hAnsi="Times New Roman Bold" w:cs="Times New Roman"/>
      <w:b/>
      <w:bCs/>
    </w:rPr>
  </w:style>
  <w:style w:type="paragraph" w:customStyle="1" w:styleId="Paragraph">
    <w:name w:val="Paragraph"/>
    <w:basedOn w:val="Normal"/>
    <w:qFormat/>
    <w:rsid w:val="006C0989"/>
    <w:rPr>
      <w:rFonts w:ascii="Times New Roman" w:hAnsi="Times New Roman" w:cs="Times New Roman"/>
      <w:sz w:val="24"/>
    </w:rPr>
  </w:style>
  <w:style w:type="paragraph" w:styleId="ListBullet">
    <w:name w:val="List Bullet"/>
    <w:aliases w:val="BULLET,*List Bullet,IPA Bullet,Знак,Aufzählungszeichen, Char, Знак"/>
    <w:basedOn w:val="Normal"/>
    <w:uiPriority w:val="4"/>
    <w:qFormat/>
    <w:rsid w:val="006C0989"/>
    <w:pPr>
      <w:tabs>
        <w:tab w:val="num" w:pos="283"/>
      </w:tabs>
      <w:spacing w:after="240" w:line="240" w:lineRule="auto"/>
      <w:ind w:left="283" w:hanging="283"/>
      <w:jc w:val="both"/>
    </w:pPr>
    <w:rPr>
      <w:rFonts w:ascii="Times New Roman" w:eastAsia="Times New Roman" w:hAnsi="Times New Roman" w:cs="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6C0989"/>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6C0989"/>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6C0989"/>
    <w:rPr>
      <w:vertAlign w:val="superscript"/>
    </w:rPr>
  </w:style>
  <w:style w:type="paragraph" w:customStyle="1" w:styleId="CharCharChar1">
    <w:name w:val="Char Char Char1"/>
    <w:basedOn w:val="Normal"/>
    <w:link w:val="FootnoteReference"/>
    <w:uiPriority w:val="99"/>
    <w:rsid w:val="006C0989"/>
    <w:pPr>
      <w:spacing w:after="160" w:line="240" w:lineRule="exact"/>
      <w:jc w:val="both"/>
    </w:pPr>
    <w:rPr>
      <w:vertAlign w:val="superscript"/>
    </w:rPr>
  </w:style>
  <w:style w:type="paragraph" w:customStyle="1" w:styleId="Sub-sub-section">
    <w:name w:val="Sub-sub-section"/>
    <w:qFormat/>
    <w:rsid w:val="005725C4"/>
    <w:pPr>
      <w:numPr>
        <w:ilvl w:val="2"/>
        <w:numId w:val="1"/>
      </w:numPr>
    </w:pPr>
    <w:rPr>
      <w:rFonts w:ascii="Times New Roman Bold" w:hAnsi="Times New Roman Bold" w:cs="Times New Roman"/>
      <w:bCs/>
      <w:i/>
      <w:u w:val="single"/>
    </w:rPr>
  </w:style>
  <w:style w:type="character" w:styleId="Hyperlink">
    <w:name w:val="Hyperlink"/>
    <w:aliases w:val="Znak Znak Znak, Znak Znak Znak"/>
    <w:basedOn w:val="DefaultParagraphFont"/>
    <w:uiPriority w:val="99"/>
    <w:unhideWhenUsed/>
    <w:qFormat/>
    <w:rsid w:val="001A3423"/>
    <w:rPr>
      <w:color w:val="0000FF" w:themeColor="hyperlink"/>
      <w:u w:val="single"/>
    </w:rPr>
  </w:style>
  <w:style w:type="table" w:styleId="TableGrid">
    <w:name w:val="Table Grid"/>
    <w:aliases w:val="Document Table,CV1,Tabellengitternetz,TabelEcorys"/>
    <w:rsid w:val="00E939ED"/>
    <w:pPr>
      <w:spacing w:after="0" w:line="240" w:lineRule="auto"/>
    </w:pPr>
    <w:rPr>
      <w:rFonts w:ascii="Times New Roman" w:eastAsia="Times New Roman" w:hAnsi="Times New Roman" w:cs="Times New Roman"/>
      <w:sz w:val="24"/>
      <w:szCs w:val="20"/>
      <w:lang w:eastAsia="en-IE"/>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Revision">
    <w:name w:val="Revision"/>
    <w:hidden/>
    <w:uiPriority w:val="99"/>
    <w:semiHidden/>
    <w:rsid w:val="00201712"/>
    <w:pPr>
      <w:spacing w:after="0" w:line="240" w:lineRule="auto"/>
    </w:pPr>
  </w:style>
  <w:style w:type="character" w:styleId="CommentReference">
    <w:name w:val="annotation reference"/>
    <w:basedOn w:val="DefaultParagraphFont"/>
    <w:uiPriority w:val="99"/>
    <w:unhideWhenUsed/>
    <w:rsid w:val="00F15703"/>
    <w:rPr>
      <w:sz w:val="16"/>
      <w:szCs w:val="16"/>
    </w:rPr>
  </w:style>
  <w:style w:type="paragraph" w:styleId="CommentText">
    <w:name w:val="annotation text"/>
    <w:basedOn w:val="Normal"/>
    <w:link w:val="CommentTextChar"/>
    <w:uiPriority w:val="99"/>
    <w:unhideWhenUsed/>
    <w:rsid w:val="00F15703"/>
    <w:pPr>
      <w:spacing w:line="240" w:lineRule="auto"/>
    </w:pPr>
    <w:rPr>
      <w:sz w:val="20"/>
      <w:szCs w:val="20"/>
    </w:rPr>
  </w:style>
  <w:style w:type="character" w:customStyle="1" w:styleId="CommentTextChar">
    <w:name w:val="Comment Text Char"/>
    <w:basedOn w:val="DefaultParagraphFont"/>
    <w:link w:val="CommentText"/>
    <w:uiPriority w:val="99"/>
    <w:rsid w:val="00F15703"/>
    <w:rPr>
      <w:sz w:val="20"/>
      <w:szCs w:val="20"/>
    </w:rPr>
  </w:style>
  <w:style w:type="paragraph" w:styleId="CommentSubject">
    <w:name w:val="annotation subject"/>
    <w:basedOn w:val="CommentText"/>
    <w:next w:val="CommentText"/>
    <w:link w:val="CommentSubjectChar"/>
    <w:uiPriority w:val="99"/>
    <w:semiHidden/>
    <w:unhideWhenUsed/>
    <w:rsid w:val="00F15703"/>
    <w:rPr>
      <w:b/>
      <w:bCs/>
    </w:rPr>
  </w:style>
  <w:style w:type="character" w:customStyle="1" w:styleId="CommentSubjectChar">
    <w:name w:val="Comment Subject Char"/>
    <w:basedOn w:val="CommentTextChar"/>
    <w:link w:val="CommentSubject"/>
    <w:uiPriority w:val="99"/>
    <w:semiHidden/>
    <w:rsid w:val="00F15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514586">
      <w:bodyDiv w:val="1"/>
      <w:marLeft w:val="0"/>
      <w:marRight w:val="0"/>
      <w:marTop w:val="0"/>
      <w:marBottom w:val="0"/>
      <w:divBdr>
        <w:top w:val="none" w:sz="0" w:space="0" w:color="auto"/>
        <w:left w:val="none" w:sz="0" w:space="0" w:color="auto"/>
        <w:bottom w:val="none" w:sz="0" w:space="0" w:color="auto"/>
        <w:right w:val="none" w:sz="0" w:space="0" w:color="auto"/>
      </w:divBdr>
    </w:div>
    <w:div w:id="1092818572">
      <w:bodyDiv w:val="1"/>
      <w:marLeft w:val="0"/>
      <w:marRight w:val="0"/>
      <w:marTop w:val="0"/>
      <w:marBottom w:val="0"/>
      <w:divBdr>
        <w:top w:val="none" w:sz="0" w:space="0" w:color="auto"/>
        <w:left w:val="none" w:sz="0" w:space="0" w:color="auto"/>
        <w:bottom w:val="none" w:sz="0" w:space="0" w:color="auto"/>
        <w:right w:val="none" w:sz="0" w:space="0" w:color="auto"/>
      </w:divBdr>
    </w:div>
    <w:div w:id="1253859381">
      <w:bodyDiv w:val="1"/>
      <w:marLeft w:val="0"/>
      <w:marRight w:val="0"/>
      <w:marTop w:val="0"/>
      <w:marBottom w:val="0"/>
      <w:divBdr>
        <w:top w:val="none" w:sz="0" w:space="0" w:color="auto"/>
        <w:left w:val="none" w:sz="0" w:space="0" w:color="auto"/>
        <w:bottom w:val="none" w:sz="0" w:space="0" w:color="auto"/>
        <w:right w:val="none" w:sz="0" w:space="0" w:color="auto"/>
      </w:divBdr>
    </w:div>
    <w:div w:id="1831558957">
      <w:bodyDiv w:val="1"/>
      <w:marLeft w:val="0"/>
      <w:marRight w:val="0"/>
      <w:marTop w:val="0"/>
      <w:marBottom w:val="0"/>
      <w:divBdr>
        <w:top w:val="none" w:sz="0" w:space="0" w:color="auto"/>
        <w:left w:val="none" w:sz="0" w:space="0" w:color="auto"/>
        <w:bottom w:val="none" w:sz="0" w:space="0" w:color="auto"/>
        <w:right w:val="none" w:sz="0" w:space="0" w:color="auto"/>
      </w:divBdr>
    </w:div>
    <w:div w:id="19845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social/BlobServlet?docId=27151&amp;langId=en" TargetMode="External"/><Relationship Id="rId1" Type="http://schemas.openxmlformats.org/officeDocument/2006/relationships/hyperlink" Target="https://echa.europa.eu/documents/10162/7937606/1_final_opinion_oel_isoprene_en.pdf/11c4dd13-2117-8cd1-83d6-44fc9e591b8f?t=1656314298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37CA0440CB947B17CA0D6EBAF2777" ma:contentTypeVersion="6" ma:contentTypeDescription="Create a new document." ma:contentTypeScope="" ma:versionID="07e3970b9e87b630c3dcfd5a02211093">
  <xsd:schema xmlns:xsd="http://www.w3.org/2001/XMLSchema" xmlns:xs="http://www.w3.org/2001/XMLSchema" xmlns:p="http://schemas.microsoft.com/office/2006/metadata/properties" xmlns:ns2="0d4b4035-59a8-4b62-ad92-ffbcd42be113" xmlns:ns3="9daf2acc-f5a0-4d7b-8417-c5a21b349d56" targetNamespace="http://schemas.microsoft.com/office/2006/metadata/properties" ma:root="true" ma:fieldsID="91229441ab188fa4ab6b8ac09164620e" ns2:_="" ns3:_="">
    <xsd:import namespace="0d4b4035-59a8-4b62-ad92-ffbcd42be113"/>
    <xsd:import namespace="9daf2acc-f5a0-4d7b-8417-c5a21b349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b4035-59a8-4b62-ad92-ffbcd42be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f2acc-f5a0-4d7b-8417-c5a21b349d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A40F8-E14B-4173-B64F-3BFB3F49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b4035-59a8-4b62-ad92-ffbcd42be113"/>
    <ds:schemaRef ds:uri="9daf2acc-f5a0-4d7b-8417-c5a21b349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041C7-8A1C-4625-B6CA-99B8F4FF47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E63074-D008-4DEA-9BA1-BE11DAB6E7EF}">
  <ds:schemaRefs>
    <ds:schemaRef ds:uri="http://schemas.microsoft.com/sharepoint/v3/contenttype/forms"/>
  </ds:schemaRefs>
</ds:datastoreItem>
</file>

<file path=customXml/itemProps4.xml><?xml version="1.0" encoding="utf-8"?>
<ds:datastoreItem xmlns:ds="http://schemas.openxmlformats.org/officeDocument/2006/customXml" ds:itemID="{550EAC44-B4AC-4D55-A1CB-C7BAEEE1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16207</CharactersWithSpaces>
  <SharedDoc>false</SharedDoc>
  <HLinks>
    <vt:vector size="6" baseType="variant">
      <vt:variant>
        <vt:i4>5177411</vt:i4>
      </vt:variant>
      <vt:variant>
        <vt:i4>0</vt:i4>
      </vt:variant>
      <vt:variant>
        <vt:i4>0</vt:i4>
      </vt:variant>
      <vt:variant>
        <vt:i4>5</vt:i4>
      </vt:variant>
      <vt:variant>
        <vt:lpwstr>https://ec.europa.eu/social/BlobServlet?docId=27151&amp;langId=en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2025-07-09T14:34:00Z</dcterms:created>
  <dcterms:modified xsi:type="dcterms:W3CDTF">2025-08-26T06:10:00Z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9.1, Build 20240808</vt:lpwstr>
  </property>
  <property fmtid="{D5CDD505-2E9C-101B-9397-08002B2CF9AE}" pid="8" name="Created using">
    <vt:lpwstr>LW 7.0.1, Build 20190916</vt:lpwstr>
  </property>
  <property fmtid="{D5CDD505-2E9C-101B-9397-08002B2CF9AE}" pid="9" name="MSIP_Label_6bd9ddd1-4d20-43f6-abfa-fc3c07406f94_Enabled">
    <vt:lpwstr>true</vt:lpwstr>
  </property>
  <property fmtid="{D5CDD505-2E9C-101B-9397-08002B2CF9AE}" pid="10" name="MSIP_Label_6bd9ddd1-4d20-43f6-abfa-fc3c07406f94_SetDate">
    <vt:lpwstr>2024-04-11T13:32:26Z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a98d251f-b088-4468-86b0-f340f8def5e7</vt:lpwstr>
  </property>
  <property fmtid="{D5CDD505-2E9C-101B-9397-08002B2CF9AE}" pid="15" name="MSIP_Label_6bd9ddd1-4d20-43f6-abfa-fc3c07406f94_ContentBits">
    <vt:lpwstr>0</vt:lpwstr>
  </property>
  <property fmtid="{D5CDD505-2E9C-101B-9397-08002B2CF9AE}" pid="16" name="ContentTypeId">
    <vt:lpwstr>0x0101005C737CA0440CB947B17CA0D6EBAF2777</vt:lpwstr>
  </property>
</Properties>
</file>