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BD389" w14:textId="6C2F58B6" w:rsidR="00F9231E" w:rsidRPr="00392E88" w:rsidRDefault="0042520F" w:rsidP="0042520F">
      <w:pPr>
        <w:pStyle w:val="Pagedecouverture"/>
      </w:pPr>
      <w:r>
        <w:pict w14:anchorId="61136F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412773E9-8A06-44DD-BCBE-39CC4B9ABFB0" style="width:455.4pt;height:357.6pt">
            <v:imagedata r:id="rId8" o:title=""/>
          </v:shape>
        </w:pict>
      </w:r>
    </w:p>
    <w:p w14:paraId="57CF07AC" w14:textId="77777777" w:rsidR="00BD10AD" w:rsidRPr="00392E88" w:rsidRDefault="00BD10AD" w:rsidP="00BD10AD">
      <w:pPr>
        <w:pStyle w:val="Pagedecouverture"/>
        <w:sectPr w:rsidR="00BD10AD" w:rsidRPr="00392E88" w:rsidSect="0042520F">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0"/>
          <w:cols w:space="720"/>
          <w:docGrid w:linePitch="360"/>
        </w:sectPr>
      </w:pPr>
    </w:p>
    <w:p w14:paraId="36B2BFA9" w14:textId="77777777" w:rsidR="00AC2BE5" w:rsidRPr="00392E88" w:rsidRDefault="00AC2BE5">
      <w:pPr>
        <w:pStyle w:val="Exposdesmotifstitre"/>
      </w:pPr>
      <w:r w:rsidRPr="00392E88">
        <w:lastRenderedPageBreak/>
        <w:t>UZASADNIENIE</w:t>
      </w:r>
    </w:p>
    <w:p w14:paraId="026F9110" w14:textId="77777777" w:rsidR="00AC2BE5" w:rsidRPr="00392E88" w:rsidRDefault="00AC2BE5">
      <w:pPr>
        <w:pStyle w:val="ManualHeading1"/>
      </w:pPr>
      <w:r w:rsidRPr="00392E88">
        <w:t>1.</w:t>
      </w:r>
      <w:r w:rsidRPr="00392E88">
        <w:tab/>
        <w:t>KONTEKST WNIOSKU</w:t>
      </w:r>
    </w:p>
    <w:p w14:paraId="0D1CBE0D" w14:textId="0BF7AEC5" w:rsidR="00AC2BE5" w:rsidRPr="00392E88" w:rsidRDefault="00AC2BE5">
      <w:pPr>
        <w:pStyle w:val="ManualHeading2"/>
        <w:rPr>
          <w:rFonts w:eastAsia="Arial Unicode MS"/>
        </w:rPr>
      </w:pPr>
      <w:r w:rsidRPr="00392E88">
        <w:rPr>
          <w:color w:val="000000"/>
          <w:u w:color="000000"/>
          <w:bdr w:val="nil"/>
        </w:rPr>
        <w:t>•</w:t>
      </w:r>
      <w:r w:rsidRPr="00392E88">
        <w:tab/>
        <w:t>Przyczyny</w:t>
      </w:r>
      <w:r w:rsidR="006E6446" w:rsidRPr="00392E88">
        <w:t xml:space="preserve"> i</w:t>
      </w:r>
      <w:r w:rsidR="006E6446">
        <w:t> </w:t>
      </w:r>
      <w:r w:rsidR="006E6446" w:rsidRPr="00392E88">
        <w:t>cel</w:t>
      </w:r>
      <w:r w:rsidRPr="00392E88">
        <w:t>e wniosku</w:t>
      </w:r>
    </w:p>
    <w:p w14:paraId="22B3A4C9" w14:textId="496C28C1" w:rsidR="00C72017" w:rsidRPr="00392E88" w:rsidRDefault="005D6D32" w:rsidP="00C72017">
      <w:pPr>
        <w:pBdr>
          <w:top w:val="nil"/>
          <w:left w:val="nil"/>
          <w:bottom w:val="nil"/>
          <w:right w:val="nil"/>
          <w:between w:val="nil"/>
          <w:bar w:val="nil"/>
        </w:pBdr>
        <w:spacing w:before="0" w:after="240"/>
      </w:pPr>
      <w:r w:rsidRPr="00392E88">
        <w:t>Zapewnienie, aby ludzie</w:t>
      </w:r>
      <w:r w:rsidR="006E6446" w:rsidRPr="00392E88">
        <w:t xml:space="preserve"> w</w:t>
      </w:r>
      <w:r w:rsidR="006E6446">
        <w:t> </w:t>
      </w:r>
      <w:r w:rsidR="006E6446" w:rsidRPr="00392E88">
        <w:t>cał</w:t>
      </w:r>
      <w:r w:rsidRPr="00392E88">
        <w:t>ej UE mogli przejść na emeryturę</w:t>
      </w:r>
      <w:r w:rsidR="006E6446" w:rsidRPr="00392E88">
        <w:t xml:space="preserve"> z</w:t>
      </w:r>
      <w:r w:rsidR="006E6446">
        <w:t> </w:t>
      </w:r>
      <w:r w:rsidR="006E6446" w:rsidRPr="00392E88">
        <w:t>god</w:t>
      </w:r>
      <w:r w:rsidRPr="00392E88">
        <w:t>nością, poczuciem bezpieczeństwa</w:t>
      </w:r>
      <w:r w:rsidR="006E6446" w:rsidRPr="00392E88">
        <w:t xml:space="preserve"> i</w:t>
      </w:r>
      <w:r w:rsidR="006E6446">
        <w:t> </w:t>
      </w:r>
      <w:r w:rsidR="006E6446" w:rsidRPr="00392E88">
        <w:t>odp</w:t>
      </w:r>
      <w:r w:rsidRPr="00392E88">
        <w:t>owiednim dochodem, jest centralnym elementem unijnej agendy społecznej</w:t>
      </w:r>
      <w:r w:rsidR="006E6446" w:rsidRPr="00392E88">
        <w:t xml:space="preserve"> i</w:t>
      </w:r>
      <w:r w:rsidR="006E6446">
        <w:t> </w:t>
      </w:r>
      <w:r w:rsidR="006E6446" w:rsidRPr="00392E88">
        <w:t>gos</w:t>
      </w:r>
      <w:r w:rsidRPr="00392E88">
        <w:t>podarczej. Ponieważ obywatele UE żyją dłużej, coraz pilniejsze staje się wyzwanie, jakim jest utrzymanie godnego poziomu życia na emeryturze. Obywatele oczekują, że po zakończeniu życia zawodowego będą mieli dostęp do stabilnego dochodu wystarczającego do zapewnienia godnej jakości życia. Coraz trudniej jest jednak zapewnić stabilność systemów emerytalnych</w:t>
      </w:r>
      <w:r w:rsidR="006E6446" w:rsidRPr="00392E88">
        <w:t xml:space="preserve"> i</w:t>
      </w:r>
      <w:r w:rsidR="006E6446">
        <w:t> </w:t>
      </w:r>
      <w:r w:rsidR="006E6446" w:rsidRPr="00392E88">
        <w:t>ade</w:t>
      </w:r>
      <w:r w:rsidRPr="00392E88">
        <w:t>kwatność dochodów emerytalnych</w:t>
      </w:r>
      <w:r w:rsidR="006E6446" w:rsidRPr="00392E88">
        <w:t xml:space="preserve"> w</w:t>
      </w:r>
      <w:r w:rsidR="006E6446">
        <w:t> </w:t>
      </w:r>
      <w:r w:rsidR="006E6446" w:rsidRPr="00392E88">
        <w:t>cał</w:t>
      </w:r>
      <w:r w:rsidRPr="00392E88">
        <w:t>ej UE ze względu na starzenie się społeczeństwa</w:t>
      </w:r>
      <w:r w:rsidR="006E6446" w:rsidRPr="00392E88">
        <w:t xml:space="preserve"> i</w:t>
      </w:r>
      <w:r w:rsidR="006E6446">
        <w:t> </w:t>
      </w:r>
      <w:r w:rsidR="006E6446" w:rsidRPr="00392E88">
        <w:t>now</w:t>
      </w:r>
      <w:r w:rsidRPr="00392E88">
        <w:t>e formy pracy. Ludność UE żyje dłużej, natomiast liczba ludności</w:t>
      </w:r>
      <w:r w:rsidR="006E6446" w:rsidRPr="00392E88">
        <w:t xml:space="preserve"> w</w:t>
      </w:r>
      <w:r w:rsidR="006E6446">
        <w:t> </w:t>
      </w:r>
      <w:r w:rsidR="006E6446" w:rsidRPr="00392E88">
        <w:t>wie</w:t>
      </w:r>
      <w:r w:rsidRPr="00392E88">
        <w:t>ku produkcyjnym maleje. Ta zmiana strukturalna oznacza, że mniej pracowników będzie mogło finansować emerytury coraz większej liczby emerytów, co stwarza presję fiskalną</w:t>
      </w:r>
      <w:r w:rsidR="006E6446" w:rsidRPr="00392E88">
        <w:t xml:space="preserve"> i</w:t>
      </w:r>
      <w:r w:rsidR="006E6446">
        <w:t> </w:t>
      </w:r>
      <w:r w:rsidR="006E6446" w:rsidRPr="00392E88">
        <w:t>spo</w:t>
      </w:r>
      <w:r w:rsidRPr="00392E88">
        <w:t>łeczną, która – jeśli nie zostanie wyeliminowana – może obniżyć poziom życia</w:t>
      </w:r>
      <w:r w:rsidR="006E6446" w:rsidRPr="00392E88">
        <w:t xml:space="preserve"> i</w:t>
      </w:r>
      <w:r w:rsidR="006E6446">
        <w:t> </w:t>
      </w:r>
      <w:r w:rsidR="006E6446" w:rsidRPr="00392E88">
        <w:t>zmn</w:t>
      </w:r>
      <w:r w:rsidRPr="00392E88">
        <w:t>iejszyć sprawiedliwość międzypokoleniową.</w:t>
      </w:r>
    </w:p>
    <w:p w14:paraId="60C575FF" w14:textId="5DDE464B" w:rsidR="00742551" w:rsidRPr="00392E88" w:rsidRDefault="00742551" w:rsidP="005D0C3B">
      <w:pPr>
        <w:spacing w:before="0" w:after="160" w:line="259" w:lineRule="auto"/>
      </w:pPr>
      <w:r w:rsidRPr="00392E88">
        <w:t>UE musi zatem podjąć działania, aby pomóc obywatelom</w:t>
      </w:r>
      <w:r w:rsidR="006E6446" w:rsidRPr="00392E88">
        <w:t xml:space="preserve"> w</w:t>
      </w:r>
      <w:r w:rsidR="006E6446">
        <w:t> </w:t>
      </w:r>
      <w:r w:rsidR="006E6446" w:rsidRPr="00392E88">
        <w:t>zab</w:t>
      </w:r>
      <w:r w:rsidRPr="00392E88">
        <w:t>ezpieczeniu ich dochodów emerytalnych</w:t>
      </w:r>
      <w:r w:rsidR="006E6446" w:rsidRPr="00392E88">
        <w:t xml:space="preserve"> i</w:t>
      </w:r>
      <w:r w:rsidR="006E6446">
        <w:t> </w:t>
      </w:r>
      <w:r w:rsidR="006E6446" w:rsidRPr="00392E88">
        <w:t>utr</w:t>
      </w:r>
      <w:r w:rsidRPr="00392E88">
        <w:t>zymaniu poziomu życia</w:t>
      </w:r>
      <w:r w:rsidR="006E6446" w:rsidRPr="00392E88">
        <w:t xml:space="preserve"> w</w:t>
      </w:r>
      <w:r w:rsidR="006E6446">
        <w:t> </w:t>
      </w:r>
      <w:r w:rsidR="006E6446" w:rsidRPr="00392E88">
        <w:t>obl</w:t>
      </w:r>
      <w:r w:rsidRPr="00392E88">
        <w:t>iczu niekorzystnych zmian demograficznych, ograniczonego wzrostu wydajności</w:t>
      </w:r>
      <w:r w:rsidR="006E6446" w:rsidRPr="00392E88">
        <w:t xml:space="preserve"> i</w:t>
      </w:r>
      <w:r w:rsidR="006E6446">
        <w:t> </w:t>
      </w:r>
      <w:r w:rsidR="006E6446" w:rsidRPr="00392E88">
        <w:t>sze</w:t>
      </w:r>
      <w:r w:rsidRPr="00392E88">
        <w:t>rszych wyzwań transformacyjnych związanych ze zmianą klimatu, cyfryzacją</w:t>
      </w:r>
      <w:r w:rsidR="006E6446" w:rsidRPr="00392E88">
        <w:t xml:space="preserve"> i</w:t>
      </w:r>
      <w:r w:rsidR="006E6446">
        <w:t> </w:t>
      </w:r>
      <w:r w:rsidR="006E6446" w:rsidRPr="00392E88">
        <w:t>nie</w:t>
      </w:r>
      <w:r w:rsidRPr="00392E88">
        <w:t>pewnością geopolityczną. Zdolność do skutecznego sprostania wyzwaniu</w:t>
      </w:r>
      <w:r w:rsidR="006E6446" w:rsidRPr="00392E88">
        <w:t xml:space="preserve"> w</w:t>
      </w:r>
      <w:r w:rsidR="006E6446">
        <w:t> </w:t>
      </w:r>
      <w:r w:rsidR="006E6446" w:rsidRPr="00392E88">
        <w:t>zak</w:t>
      </w:r>
      <w:r w:rsidRPr="00392E88">
        <w:t>resie emerytur będzie kształtować odporność gospodarczą</w:t>
      </w:r>
      <w:r w:rsidR="006E6446" w:rsidRPr="00392E88">
        <w:t xml:space="preserve"> i</w:t>
      </w:r>
      <w:r w:rsidR="006E6446">
        <w:t> </w:t>
      </w:r>
      <w:r w:rsidR="006E6446" w:rsidRPr="00392E88">
        <w:t>spó</w:t>
      </w:r>
      <w:r w:rsidRPr="00392E88">
        <w:t>jność społeczną UE</w:t>
      </w:r>
      <w:r w:rsidR="006E6446" w:rsidRPr="00392E88">
        <w:t xml:space="preserve"> w</w:t>
      </w:r>
      <w:r w:rsidR="006E6446">
        <w:t> </w:t>
      </w:r>
      <w:r w:rsidR="006E6446" w:rsidRPr="00392E88">
        <w:t>nad</w:t>
      </w:r>
      <w:r w:rsidRPr="00392E88">
        <w:t>chodzących dziesięcioleciach.</w:t>
      </w:r>
    </w:p>
    <w:p w14:paraId="124C9111" w14:textId="1A440C97" w:rsidR="00C72017" w:rsidRPr="00392E88" w:rsidRDefault="00C72017" w:rsidP="00C72017">
      <w:pPr>
        <w:pBdr>
          <w:top w:val="nil"/>
          <w:left w:val="nil"/>
          <w:bottom w:val="nil"/>
          <w:right w:val="nil"/>
          <w:between w:val="nil"/>
          <w:bar w:val="nil"/>
        </w:pBdr>
        <w:spacing w:before="0" w:after="240"/>
      </w:pPr>
      <w:r w:rsidRPr="00392E88">
        <w:t>Wyzwanie</w:t>
      </w:r>
      <w:r w:rsidR="006E6446" w:rsidRPr="00392E88">
        <w:t xml:space="preserve"> w</w:t>
      </w:r>
      <w:r w:rsidR="006E6446">
        <w:t> </w:t>
      </w:r>
      <w:r w:rsidR="006E6446" w:rsidRPr="00392E88">
        <w:t>zak</w:t>
      </w:r>
      <w:r w:rsidRPr="00392E88">
        <w:t>resie emerytur ma zatem kluczowe znaczenie dla gospodarczej</w:t>
      </w:r>
      <w:r w:rsidR="006E6446" w:rsidRPr="00392E88">
        <w:t xml:space="preserve"> i</w:t>
      </w:r>
      <w:r w:rsidR="006E6446">
        <w:t> </w:t>
      </w:r>
      <w:r w:rsidR="006E6446" w:rsidRPr="00392E88">
        <w:t>spo</w:t>
      </w:r>
      <w:r w:rsidRPr="00392E88">
        <w:t>łecznej przyszłości UE. Wyzwanie polega na znalezieniu rozwiązania pozwalającego zapewnić rosnącemu odsetkowi ludności odpowiedni poziom życia po przejściu na emeryturę, przy jednoczesnym dopilnowaniu, aby obciążenie przyszłych pokoleń pozostało stabilne. W Europejskim filarze praw socjalnych</w:t>
      </w:r>
      <w:r w:rsidRPr="00392E88">
        <w:rPr>
          <w:rStyle w:val="FootnoteReference"/>
          <w:rFonts w:eastAsia="Arial Unicode MS"/>
        </w:rPr>
        <w:footnoteReference w:id="2"/>
      </w:r>
      <w:r w:rsidRPr="00392E88">
        <w:t>,</w:t>
      </w:r>
      <w:r w:rsidR="006E6446" w:rsidRPr="00392E88">
        <w:t xml:space="preserve"> w</w:t>
      </w:r>
      <w:r w:rsidR="006E6446">
        <w:t> </w:t>
      </w:r>
      <w:r w:rsidR="006E6446" w:rsidRPr="00392E88">
        <w:t>szc</w:t>
      </w:r>
      <w:r w:rsidRPr="00392E88">
        <w:t>zególności</w:t>
      </w:r>
      <w:r w:rsidR="006E6446" w:rsidRPr="00392E88">
        <w:t xml:space="preserve"> w</w:t>
      </w:r>
      <w:r w:rsidR="006E6446">
        <w:t> </w:t>
      </w:r>
      <w:r w:rsidR="006E6446" w:rsidRPr="00392E88">
        <w:t>zas</w:t>
      </w:r>
      <w:r w:rsidRPr="00392E88">
        <w:t>adzie 15 „Świadczenia emerytalne</w:t>
      </w:r>
      <w:r w:rsidR="006E6446" w:rsidRPr="00392E88">
        <w:t xml:space="preserve"> i</w:t>
      </w:r>
      <w:r w:rsidR="006E6446">
        <w:t> </w:t>
      </w:r>
      <w:r w:rsidR="006E6446" w:rsidRPr="00392E88">
        <w:t>ren</w:t>
      </w:r>
      <w:r w:rsidRPr="00392E88">
        <w:t>ty”, zapisano prawo pracowników</w:t>
      </w:r>
      <w:r w:rsidR="006E6446" w:rsidRPr="00392E88">
        <w:t xml:space="preserve"> i</w:t>
      </w:r>
      <w:r w:rsidR="006E6446">
        <w:t> </w:t>
      </w:r>
      <w:r w:rsidR="006E6446" w:rsidRPr="00392E88">
        <w:t>osó</w:t>
      </w:r>
      <w:r w:rsidRPr="00392E88">
        <w:t>b samozatrudnionych do emerytury proporcjonalnej do ich składek</w:t>
      </w:r>
      <w:r w:rsidR="006E6446" w:rsidRPr="00392E88">
        <w:t xml:space="preserve"> i</w:t>
      </w:r>
      <w:r w:rsidR="006E6446">
        <w:t> </w:t>
      </w:r>
      <w:r w:rsidR="006E6446" w:rsidRPr="00392E88">
        <w:t>zap</w:t>
      </w:r>
      <w:r w:rsidRPr="00392E88">
        <w:t>ewniającej odpowiedni dochód,</w:t>
      </w:r>
      <w:r w:rsidR="006E6446" w:rsidRPr="00392E88">
        <w:t xml:space="preserve"> z</w:t>
      </w:r>
      <w:r w:rsidR="006E6446">
        <w:t> </w:t>
      </w:r>
      <w:r w:rsidR="006E6446" w:rsidRPr="00392E88">
        <w:t>uwz</w:t>
      </w:r>
      <w:r w:rsidRPr="00392E88">
        <w:t>ględnieniem równych szans kobiet</w:t>
      </w:r>
      <w:r w:rsidR="006E6446" w:rsidRPr="00392E88">
        <w:t xml:space="preserve"> i</w:t>
      </w:r>
      <w:r w:rsidR="006E6446">
        <w:t> </w:t>
      </w:r>
      <w:r w:rsidR="006E6446" w:rsidRPr="00392E88">
        <w:t>męż</w:t>
      </w:r>
      <w:r w:rsidRPr="00392E88">
        <w:t>czyzn</w:t>
      </w:r>
      <w:r w:rsidR="006E6446" w:rsidRPr="00392E88">
        <w:t xml:space="preserve"> w</w:t>
      </w:r>
      <w:r w:rsidR="006E6446">
        <w:t> </w:t>
      </w:r>
      <w:r w:rsidR="006E6446" w:rsidRPr="00392E88">
        <w:t>nab</w:t>
      </w:r>
      <w:r w:rsidRPr="00392E88">
        <w:t>ywaniu praw emerytalnych.</w:t>
      </w:r>
    </w:p>
    <w:p w14:paraId="1E65F7AB" w14:textId="463C0DB4" w:rsidR="00C72017" w:rsidRPr="00392E88" w:rsidRDefault="00D26062" w:rsidP="00C72017">
      <w:pPr>
        <w:pBdr>
          <w:top w:val="nil"/>
          <w:left w:val="nil"/>
          <w:bottom w:val="nil"/>
          <w:right w:val="nil"/>
          <w:between w:val="nil"/>
          <w:bar w:val="nil"/>
        </w:pBdr>
        <w:spacing w:before="0" w:after="240"/>
      </w:pPr>
      <w:r w:rsidRPr="00392E88">
        <w:t>Obietnica odpowiedniej</w:t>
      </w:r>
      <w:r w:rsidR="006E6446" w:rsidRPr="00392E88">
        <w:t xml:space="preserve"> i</w:t>
      </w:r>
      <w:r w:rsidR="006E6446">
        <w:t> </w:t>
      </w:r>
      <w:r w:rsidR="006E6446" w:rsidRPr="00392E88">
        <w:t>sta</w:t>
      </w:r>
      <w:r w:rsidRPr="00392E88">
        <w:t>bilnej emerytury pozostaje pod presją pomimo licznych reform na szczeblu krajowym. Wiele państw członkowskich obniżyło stopy zastąpienia dochodów netto przez świadczenie emerytalne, podniosło ustawowy wiek emerytalny lub przeszło</w:t>
      </w:r>
      <w:r w:rsidR="006E6446" w:rsidRPr="00392E88">
        <w:t xml:space="preserve"> z</w:t>
      </w:r>
      <w:r w:rsidR="006E6446">
        <w:t> </w:t>
      </w:r>
      <w:r w:rsidR="006E6446" w:rsidRPr="00392E88">
        <w:t>sys</w:t>
      </w:r>
      <w:r w:rsidRPr="00392E88">
        <w:t>temów</w:t>
      </w:r>
      <w:r w:rsidR="006E6446" w:rsidRPr="00392E88">
        <w:t xml:space="preserve"> o</w:t>
      </w:r>
      <w:r w:rsidR="006E6446">
        <w:t> </w:t>
      </w:r>
      <w:r w:rsidR="006E6446" w:rsidRPr="00392E88">
        <w:t>zde</w:t>
      </w:r>
      <w:r w:rsidRPr="00392E88">
        <w:t>finiowanym świadczeniu na systemy</w:t>
      </w:r>
      <w:r w:rsidR="006E6446" w:rsidRPr="00392E88">
        <w:t xml:space="preserve"> o</w:t>
      </w:r>
      <w:r w:rsidR="006E6446">
        <w:t> </w:t>
      </w:r>
      <w:r w:rsidR="006E6446" w:rsidRPr="00392E88">
        <w:t>zde</w:t>
      </w:r>
      <w:r w:rsidRPr="00392E88">
        <w:t>finiowanej składce</w:t>
      </w:r>
      <w:r w:rsidR="006E6446" w:rsidRPr="00392E88">
        <w:t>. W</w:t>
      </w:r>
      <w:r w:rsidR="006E6446">
        <w:t> </w:t>
      </w:r>
      <w:r w:rsidR="006E6446" w:rsidRPr="00392E88">
        <w:t>zwi</w:t>
      </w:r>
      <w:r w:rsidRPr="00392E88">
        <w:t>ązku</w:t>
      </w:r>
      <w:r w:rsidR="006E6446" w:rsidRPr="00392E88">
        <w:t xml:space="preserve"> z</w:t>
      </w:r>
      <w:r w:rsidR="006E6446">
        <w:t> </w:t>
      </w:r>
      <w:r w:rsidR="006E6446" w:rsidRPr="00392E88">
        <w:t>tym</w:t>
      </w:r>
      <w:r w:rsidRPr="00392E88">
        <w:t xml:space="preserve"> coraz częściej oczekuje się, że ludzie będą uzupełniać ustawowe emerytury oszczędnościami pracowniczymi lub osobistymi. Stanowi to „podwójne obciążenie” dla ludności</w:t>
      </w:r>
      <w:r w:rsidR="006E6446" w:rsidRPr="00392E88">
        <w:t xml:space="preserve"> w</w:t>
      </w:r>
      <w:r w:rsidR="006E6446">
        <w:t> </w:t>
      </w:r>
      <w:r w:rsidR="006E6446" w:rsidRPr="00392E88">
        <w:t>wie</w:t>
      </w:r>
      <w:r w:rsidRPr="00392E88">
        <w:t>ku produkcyjnym, która musi finansować świadczenia dla obecnych emerytów,</w:t>
      </w:r>
      <w:r w:rsidR="006E6446" w:rsidRPr="00392E88">
        <w:t xml:space="preserve"> a</w:t>
      </w:r>
      <w:r w:rsidR="006E6446">
        <w:t> </w:t>
      </w:r>
      <w:r w:rsidR="006E6446" w:rsidRPr="00392E88">
        <w:t>jed</w:t>
      </w:r>
      <w:r w:rsidRPr="00392E88">
        <w:t>nocześnie oszczędzać na własne dochody emerytalne.</w:t>
      </w:r>
    </w:p>
    <w:p w14:paraId="48DB2154" w14:textId="737A4CBB" w:rsidR="00C72017" w:rsidRPr="00392E88" w:rsidRDefault="00F5323E" w:rsidP="00C72017">
      <w:pPr>
        <w:pBdr>
          <w:top w:val="nil"/>
          <w:left w:val="nil"/>
          <w:bottom w:val="nil"/>
          <w:right w:val="nil"/>
          <w:between w:val="nil"/>
          <w:bar w:val="nil"/>
        </w:pBdr>
        <w:spacing w:before="0" w:after="240"/>
      </w:pPr>
      <w:r w:rsidRPr="00392E88">
        <w:t>Ludzie muszą mieć dostęp do bezpiecznych, efektywnych, przejrzystych</w:t>
      </w:r>
      <w:r w:rsidR="006E6446" w:rsidRPr="00392E88">
        <w:t xml:space="preserve"> i</w:t>
      </w:r>
      <w:r w:rsidR="006E6446">
        <w:t> </w:t>
      </w:r>
      <w:r w:rsidR="006E6446" w:rsidRPr="00392E88">
        <w:t>wys</w:t>
      </w:r>
      <w:r w:rsidRPr="00392E88">
        <w:t>okowydajnych produktów emerytalnych, aby zgromadzić wystarczające oszczędności emerytalne. Przeniesienie oszczędności gospodarstw domowych</w:t>
      </w:r>
      <w:r w:rsidR="006E6446" w:rsidRPr="00392E88">
        <w:t xml:space="preserve"> z</w:t>
      </w:r>
      <w:r w:rsidR="006E6446">
        <w:t> </w:t>
      </w:r>
      <w:r w:rsidR="006E6446" w:rsidRPr="00392E88">
        <w:t>nis</w:t>
      </w:r>
      <w:r w:rsidRPr="00392E88">
        <w:t>ko oprocentowanych depozytów do dodatkowych produktów emerytalnych, które oferują długoterminowe możliwości inwestycyjne, może pomóc osobom fizycznym</w:t>
      </w:r>
      <w:r w:rsidR="006E6446" w:rsidRPr="00392E88">
        <w:t xml:space="preserve"> w</w:t>
      </w:r>
      <w:r w:rsidR="006E6446">
        <w:t> </w:t>
      </w:r>
      <w:r w:rsidR="006E6446" w:rsidRPr="00392E88">
        <w:t>osi</w:t>
      </w:r>
      <w:r w:rsidRPr="00392E88">
        <w:t>ągnięciu wyższego</w:t>
      </w:r>
      <w:r w:rsidR="006E6446" w:rsidRPr="00392E88">
        <w:t xml:space="preserve"> i</w:t>
      </w:r>
      <w:r w:rsidR="006E6446">
        <w:t> </w:t>
      </w:r>
      <w:r w:rsidR="006E6446" w:rsidRPr="00392E88">
        <w:t>bar</w:t>
      </w:r>
      <w:r w:rsidRPr="00392E88">
        <w:t>dziej stabilnego dochodu emerytalnego. Jednocześnie oszczędności te, przekazywane za pośrednictwem dobrze</w:t>
      </w:r>
      <w:r w:rsidR="006E6446" w:rsidRPr="00392E88">
        <w:t xml:space="preserve"> i</w:t>
      </w:r>
      <w:r w:rsidR="006E6446">
        <w:t> </w:t>
      </w:r>
      <w:r w:rsidR="006E6446" w:rsidRPr="00392E88">
        <w:t>sku</w:t>
      </w:r>
      <w:r w:rsidRPr="00392E88">
        <w:t>tecznie zarządzanych towarzystw emerytalno-rentowych, stanowią ważne źródło długoterminowego kapitału dla gospodarki europejskiej. Sektor emerytur dodatkowych odgrywa podwójną rolę: zapewnia bezpieczeństwo finansowe osób na emeryturze</w:t>
      </w:r>
      <w:r w:rsidR="006E6446" w:rsidRPr="00392E88">
        <w:t xml:space="preserve"> i</w:t>
      </w:r>
      <w:r w:rsidR="006E6446">
        <w:t> </w:t>
      </w:r>
      <w:r w:rsidR="006E6446" w:rsidRPr="00392E88">
        <w:t>prz</w:t>
      </w:r>
      <w:r w:rsidRPr="00392E88">
        <w:t>yczynia się do długoterminowej stabilności gospodarczej UE.</w:t>
      </w:r>
    </w:p>
    <w:p w14:paraId="199A74ED" w14:textId="0962CEEC" w:rsidR="00C72017" w:rsidRPr="00392E88" w:rsidRDefault="00C72017" w:rsidP="00C72017">
      <w:pPr>
        <w:pBdr>
          <w:top w:val="nil"/>
          <w:left w:val="nil"/>
          <w:bottom w:val="nil"/>
          <w:right w:val="nil"/>
          <w:between w:val="nil"/>
          <w:bar w:val="nil"/>
        </w:pBdr>
        <w:spacing w:before="0" w:after="240"/>
      </w:pPr>
      <w:r w:rsidRPr="00392E88">
        <w:t>Niedawno przeprowadzone analizy wysokiego szczebla uwypukliły znaczenie wzmocnienia tego kanału między oszczędnościami</w:t>
      </w:r>
      <w:r w:rsidR="006E6446" w:rsidRPr="00392E88">
        <w:t xml:space="preserve"> a</w:t>
      </w:r>
      <w:r w:rsidR="006E6446">
        <w:t> </w:t>
      </w:r>
      <w:r w:rsidR="006E6446" w:rsidRPr="00392E88">
        <w:t>inw</w:t>
      </w:r>
      <w:r w:rsidRPr="00392E88">
        <w:t>estycjami</w:t>
      </w:r>
      <w:r w:rsidR="006E6446" w:rsidRPr="00392E88">
        <w:t>. W</w:t>
      </w:r>
      <w:r w:rsidR="006E6446">
        <w:t> </w:t>
      </w:r>
      <w:r w:rsidR="006E6446" w:rsidRPr="00392E88">
        <w:t>spr</w:t>
      </w:r>
      <w:r w:rsidRPr="00392E88">
        <w:t>awozdaniach Maria Draghiego</w:t>
      </w:r>
      <w:r w:rsidRPr="00392E88">
        <w:rPr>
          <w:rStyle w:val="FootnoteReference"/>
          <w:rFonts w:eastAsia="Arial Unicode MS"/>
        </w:rPr>
        <w:footnoteReference w:id="3"/>
      </w:r>
      <w:r w:rsidR="006E6446" w:rsidRPr="00392E88">
        <w:t xml:space="preserve"> i</w:t>
      </w:r>
      <w:r w:rsidR="006E6446">
        <w:t> </w:t>
      </w:r>
      <w:r w:rsidR="006E6446" w:rsidRPr="00392E88">
        <w:t>Enr</w:t>
      </w:r>
      <w:r w:rsidRPr="00392E88">
        <w:t>ica Letty</w:t>
      </w:r>
      <w:r w:rsidRPr="00392E88">
        <w:rPr>
          <w:rStyle w:val="FootnoteReference"/>
          <w:rFonts w:eastAsia="Arial Unicode MS"/>
        </w:rPr>
        <w:footnoteReference w:id="4"/>
      </w:r>
      <w:r w:rsidRPr="00392E88">
        <w:t xml:space="preserve"> podkreślono, że utrzymanie poziomu życia w UE</w:t>
      </w:r>
      <w:r w:rsidR="006E6446" w:rsidRPr="00392E88">
        <w:t xml:space="preserve"> w</w:t>
      </w:r>
      <w:r w:rsidR="006E6446">
        <w:t> </w:t>
      </w:r>
      <w:r w:rsidR="006E6446" w:rsidRPr="00392E88">
        <w:t>kon</w:t>
      </w:r>
      <w:r w:rsidRPr="00392E88">
        <w:t>tekście kurczącej się siły roboczej będzie wymagało większej wydajności</w:t>
      </w:r>
      <w:r w:rsidR="006E6446" w:rsidRPr="00392E88">
        <w:t xml:space="preserve"> i</w:t>
      </w:r>
      <w:r w:rsidR="006E6446">
        <w:t> </w:t>
      </w:r>
      <w:r w:rsidR="006E6446" w:rsidRPr="00392E88">
        <w:t>wię</w:t>
      </w:r>
      <w:r w:rsidRPr="00392E88">
        <w:t>kszych inwestycji</w:t>
      </w:r>
      <w:r w:rsidR="006E6446" w:rsidRPr="00392E88">
        <w:t>. W</w:t>
      </w:r>
      <w:r w:rsidR="006E6446">
        <w:t> </w:t>
      </w:r>
      <w:r w:rsidR="006E6446" w:rsidRPr="00392E88">
        <w:t>spr</w:t>
      </w:r>
      <w:r w:rsidRPr="00392E88">
        <w:t>awozdaniu Draghiego wezwano</w:t>
      </w:r>
      <w:r w:rsidR="006E6446" w:rsidRPr="00392E88">
        <w:t xml:space="preserve"> w</w:t>
      </w:r>
      <w:r w:rsidR="006E6446">
        <w:t> </w:t>
      </w:r>
      <w:r w:rsidR="006E6446" w:rsidRPr="00392E88">
        <w:t>szc</w:t>
      </w:r>
      <w:r w:rsidRPr="00392E88">
        <w:t>zególności do skuteczniejszego uruchamiania oszczędności gospodarstw domowych za pomocą długoterminowych produktów oszczędnościowych, takich jak emerytury zakładowe, wskazując na udane przykłady krajowe, które mogłyby stanowić inspirację dla szerszego podejścia UE.</w:t>
      </w:r>
    </w:p>
    <w:p w14:paraId="558460AB" w14:textId="2D5CAF1C" w:rsidR="00C72017" w:rsidRPr="00392E88" w:rsidRDefault="00A675F5" w:rsidP="00C72017">
      <w:pPr>
        <w:pBdr>
          <w:top w:val="nil"/>
          <w:left w:val="nil"/>
          <w:bottom w:val="nil"/>
          <w:right w:val="nil"/>
          <w:between w:val="nil"/>
          <w:bar w:val="nil"/>
        </w:pBdr>
        <w:spacing w:before="0" w:after="240"/>
      </w:pPr>
      <w:r w:rsidRPr="00392E88">
        <w:t>Istnieje silna potrzeba wzmocnienia emerytur dodatkowych</w:t>
      </w:r>
      <w:r w:rsidR="006E6446" w:rsidRPr="00392E88">
        <w:t xml:space="preserve"> w</w:t>
      </w:r>
      <w:r w:rsidR="006E6446">
        <w:t> </w:t>
      </w:r>
      <w:r w:rsidR="006E6446" w:rsidRPr="00392E88">
        <w:t>ram</w:t>
      </w:r>
      <w:r w:rsidRPr="00392E88">
        <w:t>ach szerszej umowy społecznej UE</w:t>
      </w:r>
      <w:r w:rsidR="006E6446" w:rsidRPr="00392E88">
        <w:t>. W</w:t>
      </w:r>
      <w:r w:rsidR="006E6446">
        <w:t> </w:t>
      </w:r>
      <w:r w:rsidR="006E6446" w:rsidRPr="00392E88">
        <w:t>kon</w:t>
      </w:r>
      <w:r w:rsidRPr="00392E88">
        <w:t>kluzjach Rady Europejskiej</w:t>
      </w:r>
      <w:r w:rsidR="006E6446" w:rsidRPr="00392E88">
        <w:t xml:space="preserve"> z</w:t>
      </w:r>
      <w:r w:rsidR="006E6446">
        <w:t> </w:t>
      </w:r>
      <w:r w:rsidR="006E6446" w:rsidRPr="00392E88">
        <w:t>dni</w:t>
      </w:r>
      <w:r w:rsidRPr="00392E88">
        <w:t>a 17–18 kwietnia 20</w:t>
      </w:r>
      <w:r w:rsidRPr="006E6446">
        <w:t>24</w:t>
      </w:r>
      <w:r w:rsidR="006E6446" w:rsidRPr="006E6446">
        <w:t> </w:t>
      </w:r>
      <w:r w:rsidRPr="006E6446">
        <w:t>r.</w:t>
      </w:r>
      <w:r w:rsidRPr="00392E88">
        <w:rPr>
          <w:rStyle w:val="FootnoteReference"/>
          <w:rFonts w:eastAsia="Arial Unicode MS"/>
        </w:rPr>
        <w:footnoteReference w:id="5"/>
      </w:r>
      <w:r w:rsidRPr="00392E88">
        <w:t xml:space="preserve"> wezwano do dalszych prac nad opracowaniem produktów emerytalnych</w:t>
      </w:r>
      <w:r w:rsidR="006E6446" w:rsidRPr="00392E88">
        <w:t xml:space="preserve"> i</w:t>
      </w:r>
      <w:r w:rsidR="006E6446">
        <w:t> </w:t>
      </w:r>
      <w:r w:rsidR="006E6446" w:rsidRPr="00392E88">
        <w:t>dłu</w:t>
      </w:r>
      <w:r w:rsidRPr="00392E88">
        <w:t>goterminowych produktów oszczędnościowych, uznając ich wkład</w:t>
      </w:r>
      <w:r w:rsidR="006E6446" w:rsidRPr="00392E88">
        <w:t xml:space="preserve"> w</w:t>
      </w:r>
      <w:r w:rsidR="006E6446">
        <w:t> </w:t>
      </w:r>
      <w:r w:rsidR="006E6446" w:rsidRPr="00392E88">
        <w:t>tra</w:t>
      </w:r>
      <w:r w:rsidRPr="00392E88">
        <w:t>nsformację ekologiczną</w:t>
      </w:r>
      <w:r w:rsidR="006E6446" w:rsidRPr="00392E88">
        <w:t xml:space="preserve"> i</w:t>
      </w:r>
      <w:r w:rsidR="006E6446">
        <w:t> </w:t>
      </w:r>
      <w:r w:rsidR="006E6446" w:rsidRPr="00392E88">
        <w:t>cyf</w:t>
      </w:r>
      <w:r w:rsidRPr="00392E88">
        <w:t>rową oraz we wzrost przedsiębiorstw w UE</w:t>
      </w:r>
      <w:r w:rsidR="006E6446" w:rsidRPr="00392E88">
        <w:t>. W</w:t>
      </w:r>
      <w:r w:rsidR="006E6446">
        <w:t> </w:t>
      </w:r>
      <w:r w:rsidR="006E6446" w:rsidRPr="00392E88">
        <w:t>kon</w:t>
      </w:r>
      <w:r w:rsidRPr="00392E88">
        <w:t>kluzjach Rady Europejskiej</w:t>
      </w:r>
      <w:r w:rsidR="006E6446" w:rsidRPr="00392E88">
        <w:t xml:space="preserve"> z</w:t>
      </w:r>
      <w:r w:rsidR="006E6446">
        <w:t> </w:t>
      </w:r>
      <w:r w:rsidR="006E6446" w:rsidRPr="00392E88">
        <w:t>2</w:t>
      </w:r>
      <w:r w:rsidRPr="00392E88">
        <w:t>0 marca 20</w:t>
      </w:r>
      <w:r w:rsidRPr="006E6446">
        <w:t>25</w:t>
      </w:r>
      <w:r w:rsidR="006E6446" w:rsidRPr="006E6446">
        <w:t> </w:t>
      </w:r>
      <w:r w:rsidRPr="006E6446">
        <w:t>r.</w:t>
      </w:r>
      <w:r w:rsidRPr="00392E88">
        <w:rPr>
          <w:rStyle w:val="FootnoteReference"/>
          <w:rFonts w:eastAsia="Arial Unicode MS"/>
        </w:rPr>
        <w:footnoteReference w:id="6"/>
      </w:r>
      <w:r w:rsidRPr="00392E88">
        <w:t xml:space="preserve"> ponownie podkreślono znaczenie zwiększenia udziału kapitału prywatnego</w:t>
      </w:r>
      <w:r w:rsidR="006E6446" w:rsidRPr="00392E88">
        <w:t xml:space="preserve"> w</w:t>
      </w:r>
      <w:r w:rsidR="006E6446">
        <w:t> </w:t>
      </w:r>
      <w:r w:rsidR="006E6446" w:rsidRPr="00392E88">
        <w:t>cel</w:t>
      </w:r>
      <w:r w:rsidRPr="00392E88">
        <w:t>u wspierania inwestycji</w:t>
      </w:r>
      <w:r w:rsidR="006E6446" w:rsidRPr="00392E88">
        <w:t xml:space="preserve"> i</w:t>
      </w:r>
      <w:r w:rsidR="006E6446">
        <w:t> </w:t>
      </w:r>
      <w:r w:rsidR="006E6446" w:rsidRPr="00392E88">
        <w:t>kon</w:t>
      </w:r>
      <w:r w:rsidRPr="00392E88">
        <w:t>kurencyjności oraz zwrócono się do Komisji</w:t>
      </w:r>
      <w:r w:rsidR="006E6446" w:rsidRPr="00392E88">
        <w:t xml:space="preserve"> o</w:t>
      </w:r>
      <w:r w:rsidR="006E6446">
        <w:t> </w:t>
      </w:r>
      <w:r w:rsidR="006E6446" w:rsidRPr="00392E88">
        <w:t>pro</w:t>
      </w:r>
      <w:r w:rsidRPr="00392E88">
        <w:t>mowanie większego udziału inwestorów detalicznych</w:t>
      </w:r>
      <w:r w:rsidR="006E6446" w:rsidRPr="00392E88">
        <w:t xml:space="preserve"> w</w:t>
      </w:r>
      <w:r w:rsidR="006E6446">
        <w:t> </w:t>
      </w:r>
      <w:r w:rsidR="006E6446" w:rsidRPr="00392E88">
        <w:t>ryn</w:t>
      </w:r>
      <w:r w:rsidRPr="00392E88">
        <w:t>kach kapitałowych,</w:t>
      </w:r>
      <w:r w:rsidR="006E6446" w:rsidRPr="00392E88">
        <w:t xml:space="preserve"> w</w:t>
      </w:r>
      <w:r w:rsidR="006E6446">
        <w:t> </w:t>
      </w:r>
      <w:r w:rsidR="006E6446" w:rsidRPr="00392E88">
        <w:t>tym</w:t>
      </w:r>
      <w:r w:rsidRPr="00392E88">
        <w:t xml:space="preserve"> za pośrednictwem produktów emerytalnych.</w:t>
      </w:r>
    </w:p>
    <w:p w14:paraId="527D5F47" w14:textId="521BEAC2" w:rsidR="00757FF1" w:rsidRPr="00392E88" w:rsidRDefault="00C72017" w:rsidP="00C72017">
      <w:pPr>
        <w:pBdr>
          <w:top w:val="nil"/>
          <w:left w:val="nil"/>
          <w:bottom w:val="nil"/>
          <w:right w:val="nil"/>
          <w:between w:val="nil"/>
          <w:bar w:val="nil"/>
        </w:pBdr>
        <w:spacing w:before="0" w:after="240"/>
      </w:pPr>
      <w:r w:rsidRPr="00392E88">
        <w:t>W 20</w:t>
      </w:r>
      <w:r w:rsidRPr="006E6446">
        <w:t>19</w:t>
      </w:r>
      <w:r w:rsidR="006E6446" w:rsidRPr="006E6446">
        <w:t> </w:t>
      </w:r>
      <w:r w:rsidRPr="006E6446">
        <w:t>r.</w:t>
      </w:r>
      <w:r w:rsidRPr="00392E88">
        <w:t xml:space="preserve"> Grupa Ekspertów Wysokiego Szczebla ds. Emerytur</w:t>
      </w:r>
      <w:r w:rsidRPr="00392E88">
        <w:rPr>
          <w:rStyle w:val="FootnoteReference"/>
          <w:rFonts w:eastAsia="Arial Unicode MS"/>
        </w:rPr>
        <w:footnoteReference w:id="7"/>
      </w:r>
      <w:r w:rsidRPr="00392E88">
        <w:t>,</w:t>
      </w:r>
      <w:r w:rsidR="006E6446" w:rsidRPr="00392E88">
        <w:t xml:space="preserve"> w</w:t>
      </w:r>
      <w:r w:rsidR="006E6446">
        <w:t> </w:t>
      </w:r>
      <w:r w:rsidR="006E6446" w:rsidRPr="00392E88">
        <w:t>któ</w:t>
      </w:r>
      <w:r w:rsidRPr="00392E88">
        <w:t>rej uczestniczyli partnerzy społeczni, zapewniła strategiczne doradztwo na temat tego,</w:t>
      </w:r>
      <w:r w:rsidR="006E6446" w:rsidRPr="00392E88">
        <w:t xml:space="preserve"> w</w:t>
      </w:r>
      <w:r w:rsidR="006E6446">
        <w:t> </w:t>
      </w:r>
      <w:r w:rsidR="006E6446" w:rsidRPr="00392E88">
        <w:t>jak</w:t>
      </w:r>
      <w:r w:rsidRPr="00392E88">
        <w:t>i sposób dodatkowe emerytury mogą przyczynić się do adekwatności świadczeń emerytalnych i do rozwoju unijnego rynku emerytalnego</w:t>
      </w:r>
      <w:r w:rsidR="006E6446" w:rsidRPr="00392E88">
        <w:t>. W</w:t>
      </w:r>
      <w:r w:rsidR="006E6446">
        <w:t> </w:t>
      </w:r>
      <w:r w:rsidR="006E6446" w:rsidRPr="00392E88">
        <w:t>spr</w:t>
      </w:r>
      <w:r w:rsidRPr="00392E88">
        <w:t>awozdaniu</w:t>
      </w:r>
      <w:r w:rsidR="006E6446" w:rsidRPr="00392E88">
        <w:t xml:space="preserve"> z</w:t>
      </w:r>
      <w:r w:rsidR="006E6446">
        <w:t> </w:t>
      </w:r>
      <w:r w:rsidR="006E6446" w:rsidRPr="00392E88">
        <w:t>2</w:t>
      </w:r>
      <w:r w:rsidRPr="00392E88">
        <w:t>0</w:t>
      </w:r>
      <w:r w:rsidRPr="006E6446">
        <w:t>24</w:t>
      </w:r>
      <w:r w:rsidR="006E6446" w:rsidRPr="006E6446">
        <w:t> </w:t>
      </w:r>
      <w:r w:rsidRPr="006E6446">
        <w:t>r.</w:t>
      </w:r>
      <w:r w:rsidRPr="00392E88">
        <w:rPr>
          <w:rStyle w:val="FootnoteReference"/>
          <w:rFonts w:eastAsia="Arial Unicode MS"/>
        </w:rPr>
        <w:footnoteReference w:id="8"/>
      </w:r>
      <w:r w:rsidRPr="00392E88">
        <w:t xml:space="preserve"> Europejski Trybunał Obrachunkowy stwierdził, że skuteczność działań UE była jak dotąd ograniczona,</w:t>
      </w:r>
      <w:r w:rsidR="006E6446" w:rsidRPr="00392E88">
        <w:t xml:space="preserve"> i</w:t>
      </w:r>
      <w:r w:rsidR="006E6446">
        <w:t> </w:t>
      </w:r>
      <w:r w:rsidR="006E6446" w:rsidRPr="00392E88">
        <w:t>wez</w:t>
      </w:r>
      <w:r w:rsidRPr="00392E88">
        <w:t xml:space="preserve">wał do zintensyfikowania starań na rzecz zwiększenia roli pracowniczych programów emerytalnych jako uzupełnienia programów publicznych. </w:t>
      </w:r>
    </w:p>
    <w:p w14:paraId="2EBD1ADC" w14:textId="7FB2D7E6" w:rsidR="00C72017" w:rsidRPr="00392E88" w:rsidRDefault="00651D74" w:rsidP="00C72017">
      <w:pPr>
        <w:pBdr>
          <w:top w:val="nil"/>
          <w:left w:val="nil"/>
          <w:bottom w:val="nil"/>
          <w:right w:val="nil"/>
          <w:between w:val="nil"/>
          <w:bar w:val="nil"/>
        </w:pBdr>
        <w:spacing w:before="0" w:after="240"/>
      </w:pPr>
      <w:r w:rsidRPr="00392E88">
        <w:t>Struktura systemów emerytalnych pozostaje</w:t>
      </w:r>
      <w:r w:rsidR="006E6446" w:rsidRPr="00392E88">
        <w:t xml:space="preserve"> w</w:t>
      </w:r>
      <w:r w:rsidR="006E6446">
        <w:t> </w:t>
      </w:r>
      <w:r w:rsidR="006E6446" w:rsidRPr="00392E88">
        <w:t>kom</w:t>
      </w:r>
      <w:r w:rsidRPr="00392E88">
        <w:t>petencji państw członkowskich, ale działania na szczeblu UE mogą wspierać</w:t>
      </w:r>
      <w:r w:rsidR="006E6446" w:rsidRPr="00392E88">
        <w:t xml:space="preserve"> i</w:t>
      </w:r>
      <w:r w:rsidR="006E6446">
        <w:t> </w:t>
      </w:r>
      <w:r w:rsidR="006E6446" w:rsidRPr="00392E88">
        <w:t>uzu</w:t>
      </w:r>
      <w:r w:rsidRPr="00392E88">
        <w:t>pełniać krajowe wysiłki na rzecz zapewnienia adekwatnych dochodów emerytalnych. Ramy instytucji pracowniczych programów emerytalnych (IORP) zapewniły podstawę regulacyjną dla pracowniczych programów emerytalnych w UE, ustanawiając standardy nadzoru ostrożnościowego, zarządzania oraz ochrony uczestników</w:t>
      </w:r>
      <w:r w:rsidR="006E6446" w:rsidRPr="00392E88">
        <w:t xml:space="preserve"> i</w:t>
      </w:r>
      <w:r w:rsidR="006E6446">
        <w:t> </w:t>
      </w:r>
      <w:r w:rsidR="006E6446" w:rsidRPr="00392E88">
        <w:t>ben</w:t>
      </w:r>
      <w:r w:rsidRPr="00392E88">
        <w:t>eficjentów. Chociaż nie wszystkie pracownicze fundusze emerytalne są objęte dyrektywą IORP II, uczestnicy</w:t>
      </w:r>
      <w:r w:rsidR="006E6446" w:rsidRPr="00392E88">
        <w:t xml:space="preserve"> i</w:t>
      </w:r>
      <w:r w:rsidR="006E6446">
        <w:t> </w:t>
      </w:r>
      <w:r w:rsidR="006E6446" w:rsidRPr="00392E88">
        <w:t>ben</w:t>
      </w:r>
      <w:r w:rsidRPr="00392E88">
        <w:t>eficjenci programów niebędących programami IORP powinni podlegać należytemu zarządzaniu</w:t>
      </w:r>
      <w:r w:rsidR="006E6446" w:rsidRPr="00392E88">
        <w:t xml:space="preserve"> i</w:t>
      </w:r>
      <w:r w:rsidR="006E6446">
        <w:t> </w:t>
      </w:r>
      <w:r w:rsidR="006E6446" w:rsidRPr="00392E88">
        <w:t>nad</w:t>
      </w:r>
      <w:r w:rsidRPr="00392E88">
        <w:t>zorowi oraz mogliby odnieść korzyści</w:t>
      </w:r>
      <w:r w:rsidR="006E6446" w:rsidRPr="00392E88">
        <w:t xml:space="preserve"> z</w:t>
      </w:r>
      <w:r w:rsidR="006E6446">
        <w:t> </w:t>
      </w:r>
      <w:r w:rsidR="006E6446" w:rsidRPr="00392E88">
        <w:t>obj</w:t>
      </w:r>
      <w:r w:rsidRPr="00392E88">
        <w:t xml:space="preserve">ęcia dyrektywą IORP II. </w:t>
      </w:r>
    </w:p>
    <w:p w14:paraId="27BC2B43" w14:textId="240A2F2D" w:rsidR="00C72017" w:rsidRPr="00392E88" w:rsidRDefault="00C72017" w:rsidP="00C72017">
      <w:pPr>
        <w:pBdr>
          <w:top w:val="nil"/>
          <w:left w:val="nil"/>
          <w:bottom w:val="nil"/>
          <w:right w:val="nil"/>
          <w:between w:val="nil"/>
          <w:bar w:val="nil"/>
        </w:pBdr>
        <w:spacing w:before="0" w:after="240"/>
      </w:pPr>
      <w:r w:rsidRPr="00392E88">
        <w:t>W wytycznych politycznych na lata 2024–2029</w:t>
      </w:r>
      <w:r w:rsidRPr="00392E88">
        <w:rPr>
          <w:rStyle w:val="FootnoteReference"/>
          <w:rFonts w:eastAsia="Arial Unicode MS"/>
        </w:rPr>
        <w:footnoteReference w:id="9"/>
      </w:r>
      <w:r w:rsidRPr="00392E88">
        <w:t xml:space="preserve"> przewodnicząca Ursula von der Leyen zapowiedziała utworzenie europejskiej unii oszczędności</w:t>
      </w:r>
      <w:r w:rsidR="006E6446" w:rsidRPr="00392E88">
        <w:t xml:space="preserve"> i</w:t>
      </w:r>
      <w:r w:rsidR="006E6446">
        <w:t> </w:t>
      </w:r>
      <w:r w:rsidR="006E6446" w:rsidRPr="00392E88">
        <w:t>inw</w:t>
      </w:r>
      <w:r w:rsidRPr="00392E88">
        <w:t>estycji, której celem jest zwiększenie skuteczności oszczędności UE</w:t>
      </w:r>
      <w:r w:rsidR="006E6446" w:rsidRPr="00392E88">
        <w:t xml:space="preserve"> z</w:t>
      </w:r>
      <w:r w:rsidR="006E6446">
        <w:t> </w:t>
      </w:r>
      <w:r w:rsidR="006E6446" w:rsidRPr="00392E88">
        <w:t>myś</w:t>
      </w:r>
      <w:r w:rsidRPr="00392E88">
        <w:t>lą</w:t>
      </w:r>
      <w:r w:rsidR="006E6446" w:rsidRPr="00392E88">
        <w:t xml:space="preserve"> o</w:t>
      </w:r>
      <w:r w:rsidR="006E6446">
        <w:t> </w:t>
      </w:r>
      <w:r w:rsidR="006E6446" w:rsidRPr="00392E88">
        <w:t>dłu</w:t>
      </w:r>
      <w:r w:rsidRPr="00392E88">
        <w:t>goterminowym wzroście gospodarczym</w:t>
      </w:r>
      <w:r w:rsidR="006E6446" w:rsidRPr="00392E88">
        <w:t xml:space="preserve"> i</w:t>
      </w:r>
      <w:r w:rsidR="006E6446">
        <w:t> </w:t>
      </w:r>
      <w:r w:rsidR="006E6446" w:rsidRPr="00392E88">
        <w:t>dob</w:t>
      </w:r>
      <w:r w:rsidRPr="00392E88">
        <w:t>robycie</w:t>
      </w:r>
      <w:r w:rsidR="006E6446" w:rsidRPr="00392E88">
        <w:t>. W</w:t>
      </w:r>
      <w:r w:rsidR="006E6446">
        <w:t> </w:t>
      </w:r>
      <w:r w:rsidR="006E6446" w:rsidRPr="00392E88">
        <w:t>swo</w:t>
      </w:r>
      <w:r w:rsidRPr="00392E88">
        <w:t>im komunikacie</w:t>
      </w:r>
      <w:r w:rsidR="006E6446" w:rsidRPr="00392E88">
        <w:t xml:space="preserve"> z</w:t>
      </w:r>
      <w:r w:rsidR="006E6446">
        <w:t> </w:t>
      </w:r>
      <w:r w:rsidR="006E6446" w:rsidRPr="00392E88">
        <w:t>dni</w:t>
      </w:r>
      <w:r w:rsidRPr="00392E88">
        <w:t>a 19 marca 20</w:t>
      </w:r>
      <w:r w:rsidRPr="006E6446">
        <w:t>25</w:t>
      </w:r>
      <w:r w:rsidR="006E6446" w:rsidRPr="006E6446">
        <w:t> </w:t>
      </w:r>
      <w:r w:rsidRPr="006E6446">
        <w:t>r.</w:t>
      </w:r>
      <w:r w:rsidR="006E6446" w:rsidRPr="00392E88">
        <w:t xml:space="preserve"> w</w:t>
      </w:r>
      <w:r w:rsidR="006E6446">
        <w:t> </w:t>
      </w:r>
      <w:r w:rsidR="006E6446" w:rsidRPr="00392E88">
        <w:t>spr</w:t>
      </w:r>
      <w:r w:rsidRPr="00392E88">
        <w:t>awie unii oszczędności</w:t>
      </w:r>
      <w:r w:rsidR="006E6446" w:rsidRPr="00392E88">
        <w:t xml:space="preserve"> i</w:t>
      </w:r>
      <w:r w:rsidR="006E6446">
        <w:t> </w:t>
      </w:r>
      <w:r w:rsidR="006E6446" w:rsidRPr="00392E88">
        <w:t>inw</w:t>
      </w:r>
      <w:r w:rsidRPr="00392E88">
        <w:t>estycji Komisja uznała potencjał sektora emerytur dodatkowych</w:t>
      </w:r>
      <w:r w:rsidR="006E6446" w:rsidRPr="00392E88">
        <w:t xml:space="preserve"> w</w:t>
      </w:r>
      <w:r w:rsidR="006E6446">
        <w:t> </w:t>
      </w:r>
      <w:r w:rsidR="006E6446" w:rsidRPr="00392E88">
        <w:t>zak</w:t>
      </w:r>
      <w:r w:rsidRPr="00392E88">
        <w:t>resie przyczyniania się do osiągnięcia tego celu przez uruchomienie prywatnych oszczędności na rzecz inwestycji produkcyjnych oraz zapewnienie, aby korzyści</w:t>
      </w:r>
      <w:r w:rsidR="006E6446" w:rsidRPr="00392E88">
        <w:t xml:space="preserve"> z</w:t>
      </w:r>
      <w:r w:rsidR="006E6446">
        <w:t> </w:t>
      </w:r>
      <w:r w:rsidR="006E6446" w:rsidRPr="00392E88">
        <w:t>tak</w:t>
      </w:r>
      <w:r w:rsidRPr="00392E88">
        <w:t>ich inwestycji były zwracane obywatelom</w:t>
      </w:r>
      <w:r w:rsidR="006E6446" w:rsidRPr="00392E88">
        <w:t xml:space="preserve"> w</w:t>
      </w:r>
      <w:r w:rsidR="006E6446">
        <w:t> </w:t>
      </w:r>
      <w:r w:rsidR="006E6446" w:rsidRPr="00392E88">
        <w:t>pos</w:t>
      </w:r>
      <w:r w:rsidRPr="00392E88">
        <w:t>taci wyższych</w:t>
      </w:r>
      <w:r w:rsidR="006E6446" w:rsidRPr="00392E88">
        <w:t xml:space="preserve"> i</w:t>
      </w:r>
      <w:r w:rsidR="006E6446">
        <w:t> </w:t>
      </w:r>
      <w:r w:rsidR="006E6446" w:rsidRPr="00392E88">
        <w:t>nie</w:t>
      </w:r>
      <w:r w:rsidRPr="00392E88">
        <w:t>zawodnych dochodów emerytalnych. Ponadto</w:t>
      </w:r>
      <w:r w:rsidR="006E6446" w:rsidRPr="00392E88">
        <w:t xml:space="preserve"> w</w:t>
      </w:r>
      <w:r w:rsidR="006E6446">
        <w:t> </w:t>
      </w:r>
      <w:r w:rsidR="006E6446" w:rsidRPr="00392E88">
        <w:t>piś</w:t>
      </w:r>
      <w:r w:rsidRPr="00392E88">
        <w:t>mie określającym zadania</w:t>
      </w:r>
      <w:r w:rsidRPr="00392E88">
        <w:rPr>
          <w:rStyle w:val="FootnoteReference"/>
        </w:rPr>
        <w:footnoteReference w:id="10"/>
      </w:r>
      <w:r w:rsidRPr="00392E88">
        <w:t xml:space="preserve"> skierowanym do ówczesnego kandydata na komisarza do spraw usług finansowych oraz unii oszczędności</w:t>
      </w:r>
      <w:r w:rsidR="006E6446" w:rsidRPr="00392E88">
        <w:t xml:space="preserve"> i</w:t>
      </w:r>
      <w:r w:rsidR="006E6446">
        <w:t> </w:t>
      </w:r>
      <w:r w:rsidR="006E6446" w:rsidRPr="00392E88">
        <w:t>inw</w:t>
      </w:r>
      <w:r w:rsidRPr="00392E88">
        <w:t>estycji przewodnicząca Ursula von der Leyen podkreśliła znaczenie wykorzystania potencjału prywatnych</w:t>
      </w:r>
      <w:r w:rsidR="006E6446" w:rsidRPr="00392E88">
        <w:t xml:space="preserve"> i</w:t>
      </w:r>
      <w:r w:rsidR="006E6446">
        <w:t> </w:t>
      </w:r>
      <w:r w:rsidR="006E6446" w:rsidRPr="00392E88">
        <w:t>pra</w:t>
      </w:r>
      <w:r w:rsidRPr="00392E88">
        <w:t>cowniczych programów emerytalnych</w:t>
      </w:r>
      <w:r w:rsidR="006E6446" w:rsidRPr="00392E88">
        <w:t xml:space="preserve"> w</w:t>
      </w:r>
      <w:r w:rsidR="006E6446">
        <w:t> </w:t>
      </w:r>
      <w:r w:rsidR="006E6446" w:rsidRPr="00392E88">
        <w:t>cel</w:t>
      </w:r>
      <w:r w:rsidRPr="00392E88">
        <w:t>u wsparcia obywateli UE</w:t>
      </w:r>
      <w:r w:rsidR="006E6446" w:rsidRPr="00392E88">
        <w:t xml:space="preserve"> w</w:t>
      </w:r>
      <w:r w:rsidR="006E6446">
        <w:t> </w:t>
      </w:r>
      <w:r w:rsidR="006E6446" w:rsidRPr="00392E88">
        <w:t>zap</w:t>
      </w:r>
      <w:r w:rsidRPr="00392E88">
        <w:t>ewnieniu im emerytury oraz ułatwienia przekierowywania oszczędności do szerszej gospodarki.</w:t>
      </w:r>
    </w:p>
    <w:p w14:paraId="78D46BCC" w14:textId="0F718094" w:rsidR="00F201C0" w:rsidRPr="00392E88" w:rsidRDefault="00E549BA" w:rsidP="00C72017">
      <w:pPr>
        <w:pBdr>
          <w:top w:val="nil"/>
          <w:left w:val="nil"/>
          <w:bottom w:val="nil"/>
          <w:right w:val="nil"/>
          <w:between w:val="nil"/>
          <w:bar w:val="nil"/>
        </w:pBdr>
        <w:spacing w:before="0" w:after="240"/>
      </w:pPr>
      <w:r w:rsidRPr="00392E88">
        <w:t>Dyrektywa 2008/94/WE</w:t>
      </w:r>
      <w:r w:rsidRPr="00392E88">
        <w:rPr>
          <w:rStyle w:val="FootnoteReference"/>
        </w:rPr>
        <w:footnoteReference w:id="11"/>
      </w:r>
      <w:r w:rsidR="006E6446" w:rsidRPr="00392E88">
        <w:t xml:space="preserve"> w</w:t>
      </w:r>
      <w:r w:rsidR="006E6446">
        <w:t> </w:t>
      </w:r>
      <w:r w:rsidR="006E6446" w:rsidRPr="00392E88">
        <w:t>spr</w:t>
      </w:r>
      <w:r w:rsidRPr="00392E88">
        <w:t>awie ochrony pracowników na wypadek niewypłacalności pracodawcy stanowi, że państwa członkowskie mają zapewnić ochronę uprawnień emerytalnych pracowników</w:t>
      </w:r>
      <w:r w:rsidR="006E6446" w:rsidRPr="00392E88">
        <w:t xml:space="preserve"> w</w:t>
      </w:r>
      <w:r w:rsidR="006E6446">
        <w:t> </w:t>
      </w:r>
      <w:r w:rsidR="006E6446" w:rsidRPr="00392E88">
        <w:t>raz</w:t>
      </w:r>
      <w:r w:rsidRPr="00392E88">
        <w:t>ie niewypłacalności pracodawcy.</w:t>
      </w:r>
    </w:p>
    <w:p w14:paraId="083875BC" w14:textId="6413EF65" w:rsidR="004026FF" w:rsidRPr="00392E88" w:rsidRDefault="00DD6433" w:rsidP="00C72017">
      <w:pPr>
        <w:pBdr>
          <w:top w:val="nil"/>
          <w:left w:val="nil"/>
          <w:bottom w:val="nil"/>
          <w:right w:val="nil"/>
          <w:between w:val="nil"/>
          <w:bar w:val="nil"/>
        </w:pBdr>
        <w:spacing w:before="0" w:after="240"/>
      </w:pPr>
      <w:r w:rsidRPr="00392E88">
        <w:t>Dyrektywa 2003/41/WE</w:t>
      </w:r>
      <w:r w:rsidRPr="00392E88">
        <w:rPr>
          <w:rStyle w:val="FootnoteReference"/>
          <w:rFonts w:eastAsia="Arial Unicode MS"/>
        </w:rPr>
        <w:footnoteReference w:id="12"/>
      </w:r>
      <w:r w:rsidR="006E6446" w:rsidRPr="00392E88">
        <w:t xml:space="preserve"> w</w:t>
      </w:r>
      <w:r w:rsidR="006E6446">
        <w:t> </w:t>
      </w:r>
      <w:r w:rsidR="006E6446" w:rsidRPr="00392E88">
        <w:t>spr</w:t>
      </w:r>
      <w:r w:rsidRPr="00392E88">
        <w:t>awie działalności instytucji pracowniczych programów emerytalnych oraz nadzoru nad takimi instytucjami (pierwsza dyrektywa IORP) została wprowadzona</w:t>
      </w:r>
      <w:r w:rsidR="006E6446" w:rsidRPr="00392E88">
        <w:t xml:space="preserve"> w</w:t>
      </w:r>
      <w:r w:rsidR="006E6446">
        <w:t> </w:t>
      </w:r>
      <w:r w:rsidR="006E6446" w:rsidRPr="00392E88">
        <w:t>cel</w:t>
      </w:r>
      <w:r w:rsidRPr="00392E88">
        <w:t>u stworzenia spójnych ram ostrożnościowych dla instytucji pracowniczych programów emerytalnych na rynku wewnętrznym. Jej główne cele obejmowały zwiększenie ochrony uczestników</w:t>
      </w:r>
      <w:r w:rsidR="006E6446" w:rsidRPr="00392E88">
        <w:t xml:space="preserve"> i</w:t>
      </w:r>
      <w:r w:rsidR="006E6446">
        <w:t> </w:t>
      </w:r>
      <w:r w:rsidR="006E6446" w:rsidRPr="00392E88">
        <w:t>ben</w:t>
      </w:r>
      <w:r w:rsidRPr="00392E88">
        <w:t>eficjentów, promowanie należytego zarządzania</w:t>
      </w:r>
      <w:r w:rsidR="006E6446" w:rsidRPr="00392E88">
        <w:t xml:space="preserve"> i</w:t>
      </w:r>
      <w:r w:rsidR="006E6446">
        <w:t> </w:t>
      </w:r>
      <w:r w:rsidR="006E6446" w:rsidRPr="00392E88">
        <w:t>prz</w:t>
      </w:r>
      <w:r w:rsidRPr="00392E88">
        <w:t>ejrzystości oraz rozwiązanie problemu rozdrobnienia spowodowanego różnicami</w:t>
      </w:r>
      <w:r w:rsidR="006E6446" w:rsidRPr="00392E88">
        <w:t xml:space="preserve"> w</w:t>
      </w:r>
      <w:r w:rsidR="006E6446">
        <w:t> </w:t>
      </w:r>
      <w:r w:rsidR="006E6446" w:rsidRPr="00392E88">
        <w:t>kra</w:t>
      </w:r>
      <w:r w:rsidRPr="00392E88">
        <w:t>jowych systemach nadzoru</w:t>
      </w:r>
      <w:r w:rsidR="006E6446" w:rsidRPr="00392E88">
        <w:t xml:space="preserve"> i</w:t>
      </w:r>
      <w:r w:rsidR="006E6446">
        <w:t> </w:t>
      </w:r>
      <w:r w:rsidR="006E6446" w:rsidRPr="00392E88">
        <w:t>sys</w:t>
      </w:r>
      <w:r w:rsidRPr="00392E88">
        <w:t>temach regulacyjnych. Przez ustanowienie minimalnych wspólnych standardów</w:t>
      </w:r>
      <w:r w:rsidR="006E6446" w:rsidRPr="00392E88">
        <w:t xml:space="preserve"> i</w:t>
      </w:r>
      <w:r w:rsidR="006E6446">
        <w:t> </w:t>
      </w:r>
      <w:r w:rsidR="006E6446" w:rsidRPr="00392E88">
        <w:t>umo</w:t>
      </w:r>
      <w:r w:rsidRPr="00392E88">
        <w:t>żliwienie transgranicznego zarządzania pracowniczymi programami emerytalnymi dyrektywa IORP miała na celu stworzenie wewnętrznego rynku pracowniczych programów emerytalnych. Zachęciła również do rozważnego</w:t>
      </w:r>
      <w:r w:rsidR="006E6446" w:rsidRPr="00392E88">
        <w:t xml:space="preserve"> i</w:t>
      </w:r>
      <w:r w:rsidR="006E6446">
        <w:t> </w:t>
      </w:r>
      <w:r w:rsidR="006E6446" w:rsidRPr="00392E88">
        <w:t>efe</w:t>
      </w:r>
      <w:r w:rsidRPr="00392E88">
        <w:t>ktywnego inwestowania aktywów emerytalnych, wspierając tym samym długoterminową stabilność systemów emerytalnych</w:t>
      </w:r>
      <w:r w:rsidR="006E6446" w:rsidRPr="00392E88">
        <w:t xml:space="preserve"> i</w:t>
      </w:r>
      <w:r w:rsidR="006E6446">
        <w:t> </w:t>
      </w:r>
      <w:r w:rsidR="006E6446" w:rsidRPr="00392E88">
        <w:t>mob</w:t>
      </w:r>
      <w:r w:rsidRPr="00392E88">
        <w:t>ilizację oszczędności na rzecz inwestycji produkcyjnych</w:t>
      </w:r>
      <w:r w:rsidR="006E6446" w:rsidRPr="00392E88">
        <w:t xml:space="preserve"> w</w:t>
      </w:r>
      <w:r w:rsidR="006E6446">
        <w:t> </w:t>
      </w:r>
      <w:r w:rsidR="006E6446" w:rsidRPr="00392E88">
        <w:t>gos</w:t>
      </w:r>
      <w:r w:rsidRPr="00392E88">
        <w:t>podarce UE.</w:t>
      </w:r>
    </w:p>
    <w:p w14:paraId="79097440" w14:textId="2799EB46" w:rsidR="007C7CA9" w:rsidRPr="00392E88" w:rsidRDefault="00B4133C" w:rsidP="00C72017">
      <w:pPr>
        <w:pBdr>
          <w:top w:val="nil"/>
          <w:left w:val="nil"/>
          <w:bottom w:val="nil"/>
          <w:right w:val="nil"/>
          <w:between w:val="nil"/>
          <w:bar w:val="nil"/>
        </w:pBdr>
        <w:spacing w:before="0" w:after="240"/>
      </w:pPr>
      <w:r w:rsidRPr="00392E88">
        <w:t>Dyrektywa 2016/2341</w:t>
      </w:r>
      <w:r w:rsidRPr="00392E88">
        <w:rPr>
          <w:rStyle w:val="FootnoteReference"/>
          <w:rFonts w:eastAsia="Arial Unicode MS"/>
        </w:rPr>
        <w:footnoteReference w:id="13"/>
      </w:r>
      <w:r w:rsidRPr="00392E88">
        <w:t xml:space="preserve"> (dyrektywa IORP II), która przekształciła</w:t>
      </w:r>
      <w:r w:rsidR="006E6446" w:rsidRPr="00392E88">
        <w:t xml:space="preserve"> i</w:t>
      </w:r>
      <w:r w:rsidR="006E6446">
        <w:t> </w:t>
      </w:r>
      <w:r w:rsidR="006E6446" w:rsidRPr="00392E88">
        <w:t>uch</w:t>
      </w:r>
      <w:r w:rsidRPr="00392E88">
        <w:t>yliła pierwszą dyrektywę IORP, była podyktowana potrzebą poprawy zarządzania, przejrzystości</w:t>
      </w:r>
      <w:r w:rsidR="006E6446" w:rsidRPr="00392E88">
        <w:t xml:space="preserve"> i</w:t>
      </w:r>
      <w:r w:rsidR="006E6446">
        <w:t> </w:t>
      </w:r>
      <w:r w:rsidR="006E6446" w:rsidRPr="00392E88">
        <w:t>tra</w:t>
      </w:r>
      <w:r w:rsidRPr="00392E88">
        <w:t>nsgranicznej skuteczności operacyjnej pracowniczych funduszy emerytalnych w UE. Spostrzeżenia uzyskane podczas wdrażania pierwszej dyrektywy IORP uwypukliły znaczne różnice</w:t>
      </w:r>
      <w:r w:rsidR="006E6446" w:rsidRPr="00392E88">
        <w:t xml:space="preserve"> w</w:t>
      </w:r>
      <w:r w:rsidR="006E6446">
        <w:t> </w:t>
      </w:r>
      <w:r w:rsidR="006E6446" w:rsidRPr="00392E88">
        <w:t>wyk</w:t>
      </w:r>
      <w:r w:rsidRPr="00392E88">
        <w:t>onywaniu</w:t>
      </w:r>
      <w:r w:rsidR="006E6446" w:rsidRPr="00392E88">
        <w:t xml:space="preserve"> w</w:t>
      </w:r>
      <w:r w:rsidR="006E6446">
        <w:t> </w:t>
      </w:r>
      <w:r w:rsidR="006E6446" w:rsidRPr="00392E88">
        <w:t>pos</w:t>
      </w:r>
      <w:r w:rsidRPr="00392E88">
        <w:t>zczególnych państwach członkowskich</w:t>
      </w:r>
      <w:r w:rsidR="006E6446" w:rsidRPr="00392E88">
        <w:t xml:space="preserve"> i</w:t>
      </w:r>
      <w:r w:rsidR="006E6446">
        <w:t> </w:t>
      </w:r>
      <w:r w:rsidR="006E6446" w:rsidRPr="00392E88">
        <w:t>wyk</w:t>
      </w:r>
      <w:r w:rsidRPr="00392E88">
        <w:t>azały niedociągnięcia</w:t>
      </w:r>
      <w:r w:rsidR="006E6446" w:rsidRPr="00392E88">
        <w:t xml:space="preserve"> w</w:t>
      </w:r>
      <w:r w:rsidR="006E6446">
        <w:t> </w:t>
      </w:r>
      <w:r w:rsidR="006E6446" w:rsidRPr="00392E88">
        <w:t>zak</w:t>
      </w:r>
      <w:r w:rsidRPr="00392E88">
        <w:t>resie poziomu ochrony oferowanej uczestnikom</w:t>
      </w:r>
      <w:r w:rsidR="006E6446" w:rsidRPr="00392E88">
        <w:t xml:space="preserve"> i</w:t>
      </w:r>
      <w:r w:rsidR="006E6446">
        <w:t> </w:t>
      </w:r>
      <w:r w:rsidR="006E6446" w:rsidRPr="00392E88">
        <w:t>ben</w:t>
      </w:r>
      <w:r w:rsidRPr="00392E88">
        <w:t>eficjentom</w:t>
      </w:r>
      <w:r w:rsidR="006E6446" w:rsidRPr="00392E88">
        <w:t>. W</w:t>
      </w:r>
      <w:r w:rsidR="006E6446">
        <w:t> </w:t>
      </w:r>
      <w:r w:rsidR="006E6446" w:rsidRPr="00392E88">
        <w:t>odp</w:t>
      </w:r>
      <w:r w:rsidRPr="00392E88">
        <w:t>owiedzi</w:t>
      </w:r>
      <w:r w:rsidR="006E6446" w:rsidRPr="00392E88">
        <w:t xml:space="preserve"> w</w:t>
      </w:r>
      <w:r w:rsidR="006E6446">
        <w:t> </w:t>
      </w:r>
      <w:r w:rsidR="006E6446" w:rsidRPr="00392E88">
        <w:t>dyr</w:t>
      </w:r>
      <w:r w:rsidRPr="00392E88">
        <w:t>ektywie IORP II określono bardziej rygorystyczne normy ostrożnościowe</w:t>
      </w:r>
      <w:r w:rsidR="006E6446" w:rsidRPr="00392E88">
        <w:t xml:space="preserve"> i</w:t>
      </w:r>
      <w:r w:rsidR="006E6446">
        <w:t> </w:t>
      </w:r>
      <w:r w:rsidR="006E6446" w:rsidRPr="00392E88">
        <w:t>nor</w:t>
      </w:r>
      <w:r w:rsidRPr="00392E88">
        <w:t>my zarządzania,</w:t>
      </w:r>
      <w:r w:rsidR="006E6446" w:rsidRPr="00392E88">
        <w:t xml:space="preserve"> a</w:t>
      </w:r>
      <w:r w:rsidR="006E6446">
        <w:t> </w:t>
      </w:r>
      <w:r w:rsidR="006E6446" w:rsidRPr="00392E88">
        <w:t>tak</w:t>
      </w:r>
      <w:r w:rsidRPr="00392E88">
        <w:t>że udoskonalono wymogi dotyczące ujawniania informacji</w:t>
      </w:r>
      <w:r w:rsidR="006E6446" w:rsidRPr="00392E88">
        <w:t xml:space="preserve"> i</w:t>
      </w:r>
      <w:r w:rsidR="006E6446">
        <w:t> </w:t>
      </w:r>
      <w:r w:rsidR="006E6446" w:rsidRPr="00392E88">
        <w:t>prz</w:t>
      </w:r>
      <w:r w:rsidRPr="00392E88">
        <w:t>ejrzystości oraz uwzględniono środki mające na celu ułatwienie zarządzania transgranicznymi programami emerytalnymi. Usprawnienia te miały na celu zapewnienie, aby pracownicze programy emerytalne pozostały bezpieczne, stabilne</w:t>
      </w:r>
      <w:r w:rsidR="006E6446" w:rsidRPr="00392E88">
        <w:t xml:space="preserve"> i</w:t>
      </w:r>
      <w:r w:rsidR="006E6446">
        <w:t> </w:t>
      </w:r>
      <w:r w:rsidR="006E6446" w:rsidRPr="00392E88">
        <w:t>sku</w:t>
      </w:r>
      <w:r w:rsidRPr="00392E88">
        <w:t>teczne na coraz bardziej mobilnym</w:t>
      </w:r>
      <w:r w:rsidR="006E6446" w:rsidRPr="00392E88">
        <w:t xml:space="preserve"> i</w:t>
      </w:r>
      <w:r w:rsidR="006E6446">
        <w:t> </w:t>
      </w:r>
      <w:r w:rsidR="006E6446" w:rsidRPr="00392E88">
        <w:t>zin</w:t>
      </w:r>
      <w:r w:rsidRPr="00392E88">
        <w:t>tegrowanym rynku pracy UE.</w:t>
      </w:r>
    </w:p>
    <w:p w14:paraId="7ABDBBF9" w14:textId="18CD09C5" w:rsidR="00AC2BE5" w:rsidRPr="00392E88" w:rsidRDefault="00C72017" w:rsidP="00C72017">
      <w:pPr>
        <w:pBdr>
          <w:top w:val="nil"/>
          <w:left w:val="nil"/>
          <w:bottom w:val="nil"/>
          <w:right w:val="nil"/>
          <w:between w:val="nil"/>
          <w:bar w:val="nil"/>
        </w:pBdr>
        <w:spacing w:before="0" w:after="240"/>
      </w:pPr>
      <w:r w:rsidRPr="00392E88">
        <w:t>Dążenie do przeglądu dyrektywy IORP II jest odpowiedzią na utrzymujące się wyzwania gospodarcze, demograficzne</w:t>
      </w:r>
      <w:r w:rsidR="006E6446" w:rsidRPr="00392E88">
        <w:t xml:space="preserve"> i</w:t>
      </w:r>
      <w:r w:rsidR="006E6446">
        <w:t> </w:t>
      </w:r>
      <w:r w:rsidR="006E6446" w:rsidRPr="00392E88">
        <w:t>pol</w:t>
      </w:r>
      <w:r w:rsidRPr="00392E88">
        <w:t>ityczne, przy czym ponownie kładzie się nacisk na bezpieczeństwo emerytalne obywateli. Celem jest wzmocnienie zdolności pracowniczych funduszy emerytalnych do zapewniania adekwatnych dochodów emerytalnych, do działania jako stabilni inwestorzy długoterminowi wspierający zrównoważony wzrost gospodarczy oraz do przyczyniania się do odporności</w:t>
      </w:r>
      <w:r w:rsidR="006E6446" w:rsidRPr="00392E88">
        <w:t xml:space="preserve"> i</w:t>
      </w:r>
      <w:r w:rsidR="006E6446">
        <w:t> </w:t>
      </w:r>
      <w:r w:rsidR="006E6446" w:rsidRPr="00392E88">
        <w:t>pog</w:t>
      </w:r>
      <w:r w:rsidRPr="00392E88">
        <w:t>łębiania rynków kapitałowych UE. Przegląd dyrektywy IORP II ma zatem na celu wzmocnienie ram dla świadczeń emerytalnych zabezpieczonych aktywami oraz wspieranie lepszych długoterminowych wyników inwestycyjnych dla uczestników</w:t>
      </w:r>
      <w:r w:rsidR="006E6446" w:rsidRPr="00392E88">
        <w:t xml:space="preserve"> i</w:t>
      </w:r>
      <w:r w:rsidR="006E6446">
        <w:t> </w:t>
      </w:r>
      <w:r w:rsidR="006E6446" w:rsidRPr="00392E88">
        <w:t>ben</w:t>
      </w:r>
      <w:r w:rsidRPr="00392E88">
        <w:t>eficjentów. Jego celem jest uczynienie IORP bardziej odpowiednimi</w:t>
      </w:r>
      <w:r w:rsidR="006E6446" w:rsidRPr="00392E88">
        <w:t xml:space="preserve"> i</w:t>
      </w:r>
      <w:r w:rsidR="006E6446">
        <w:t> </w:t>
      </w:r>
      <w:r w:rsidR="006E6446" w:rsidRPr="00392E88">
        <w:t>dos</w:t>
      </w:r>
      <w:r w:rsidRPr="00392E88">
        <w:t>tępnymi dla państw członkowskich,</w:t>
      </w:r>
      <w:r w:rsidR="006E6446" w:rsidRPr="00392E88">
        <w:t xml:space="preserve"> w</w:t>
      </w:r>
      <w:r w:rsidR="006E6446">
        <w:t> </w:t>
      </w:r>
      <w:r w:rsidR="006E6446" w:rsidRPr="00392E88">
        <w:t>któ</w:t>
      </w:r>
      <w:r w:rsidRPr="00392E88">
        <w:t>rych są one obecnie słabo rozwinięte, przy jednoczesnym promowaniu lepszych</w:t>
      </w:r>
      <w:r w:rsidR="006E6446" w:rsidRPr="00392E88">
        <w:t xml:space="preserve"> i</w:t>
      </w:r>
      <w:r w:rsidR="006E6446">
        <w:t> </w:t>
      </w:r>
      <w:r w:rsidR="006E6446" w:rsidRPr="00392E88">
        <w:t>bar</w:t>
      </w:r>
      <w:r w:rsidRPr="00392E88">
        <w:t>dziej zrównoważonych wyników inwestycyjnych</w:t>
      </w:r>
      <w:r w:rsidR="006E6446" w:rsidRPr="00392E88">
        <w:t xml:space="preserve"> w</w:t>
      </w:r>
      <w:r w:rsidR="006E6446">
        <w:t> </w:t>
      </w:r>
      <w:r w:rsidR="006E6446" w:rsidRPr="00392E88">
        <w:t>cał</w:t>
      </w:r>
      <w:r w:rsidRPr="00392E88">
        <w:t>ej UE. Ma on również na celu zwiększenie przejrzystości zarówno</w:t>
      </w:r>
      <w:r w:rsidR="006E6446" w:rsidRPr="00392E88">
        <w:t xml:space="preserve"> w</w:t>
      </w:r>
      <w:r w:rsidR="006E6446">
        <w:t> </w:t>
      </w:r>
      <w:r w:rsidR="006E6446" w:rsidRPr="00392E88">
        <w:t>odn</w:t>
      </w:r>
      <w:r w:rsidRPr="00392E88">
        <w:t>iesieniu do kosztów, jak</w:t>
      </w:r>
      <w:r w:rsidR="006E6446" w:rsidRPr="00392E88">
        <w:t xml:space="preserve"> i</w:t>
      </w:r>
      <w:r w:rsidR="006E6446">
        <w:t> </w:t>
      </w:r>
      <w:r w:rsidR="006E6446" w:rsidRPr="00392E88">
        <w:t>zwr</w:t>
      </w:r>
      <w:r w:rsidRPr="00392E88">
        <w:t>otów, wzmocnienie praktyk zarządzania ryzykiem</w:t>
      </w:r>
      <w:r w:rsidR="006E6446" w:rsidRPr="00392E88">
        <w:t xml:space="preserve"> i</w:t>
      </w:r>
      <w:r w:rsidR="006E6446">
        <w:t> </w:t>
      </w:r>
      <w:r w:rsidR="006E6446" w:rsidRPr="00392E88">
        <w:t>usu</w:t>
      </w:r>
      <w:r w:rsidRPr="00392E88">
        <w:t>nięcie barier, które obecnie utrudniają skuteczne inwestycje. Zmienione ramy będą zatem wspierać bardziej efektywną alokację aktywów</w:t>
      </w:r>
      <w:r w:rsidR="006E6446" w:rsidRPr="00392E88">
        <w:t xml:space="preserve"> i</w:t>
      </w:r>
      <w:r w:rsidR="006E6446">
        <w:t> </w:t>
      </w:r>
      <w:r w:rsidR="006E6446" w:rsidRPr="00392E88">
        <w:t>prz</w:t>
      </w:r>
      <w:r w:rsidRPr="00392E88">
        <w:t>yniosą większą wartość uczestnikom</w:t>
      </w:r>
      <w:r w:rsidR="006E6446" w:rsidRPr="00392E88">
        <w:t>. W</w:t>
      </w:r>
      <w:r w:rsidR="006E6446">
        <w:t> </w:t>
      </w:r>
      <w:r w:rsidR="006E6446" w:rsidRPr="00392E88">
        <w:t>ten</w:t>
      </w:r>
      <w:r w:rsidRPr="00392E88">
        <w:t xml:space="preserve"> sposób proponowana reforma ma na celu podniesienie standardów</w:t>
      </w:r>
      <w:r w:rsidR="006E6446" w:rsidRPr="00392E88">
        <w:t xml:space="preserve"> w</w:t>
      </w:r>
      <w:r w:rsidR="006E6446">
        <w:t> </w:t>
      </w:r>
      <w:r w:rsidR="006E6446" w:rsidRPr="00392E88">
        <w:t>cał</w:t>
      </w:r>
      <w:r w:rsidRPr="00392E88">
        <w:t>ym obszarze emerytur dodatkowych, wspierając przy tym tworzenie większej wartości oraz zwiększenie odporności</w:t>
      </w:r>
      <w:r w:rsidR="006E6446" w:rsidRPr="00392E88">
        <w:t xml:space="preserve"> i</w:t>
      </w:r>
      <w:r w:rsidR="006E6446">
        <w:t> </w:t>
      </w:r>
      <w:r w:rsidR="006E6446" w:rsidRPr="00392E88">
        <w:t>dłu</w:t>
      </w:r>
      <w:r w:rsidRPr="00392E88">
        <w:t>goterminowego bezpieczeństwa uczestników. Może to pomóc</w:t>
      </w:r>
      <w:r w:rsidR="006E6446" w:rsidRPr="00392E88">
        <w:t xml:space="preserve"> w</w:t>
      </w:r>
      <w:r w:rsidR="006E6446">
        <w:t> </w:t>
      </w:r>
      <w:r w:rsidR="006E6446" w:rsidRPr="00392E88">
        <w:t>roz</w:t>
      </w:r>
      <w:r w:rsidRPr="00392E88">
        <w:t>wiązaniu problemu utrzymującej się fragmentacji, odblokowaniu skuteczniejszych</w:t>
      </w:r>
      <w:r w:rsidR="006E6446" w:rsidRPr="00392E88">
        <w:t xml:space="preserve"> i</w:t>
      </w:r>
      <w:r w:rsidR="006E6446">
        <w:t> </w:t>
      </w:r>
      <w:r w:rsidR="006E6446" w:rsidRPr="00392E88">
        <w:t>wyd</w:t>
      </w:r>
      <w:r w:rsidRPr="00392E88">
        <w:t>ajniejszych inwestycji długoterminowych oraz zapewnieniu, aby szerszy zakres systemów emerytalnych funkcjonował zgodnie ze standardami należytego zarządzania</w:t>
      </w:r>
      <w:r w:rsidR="006E6446" w:rsidRPr="00392E88">
        <w:t xml:space="preserve"> i</w:t>
      </w:r>
      <w:r w:rsidR="006E6446">
        <w:t> </w:t>
      </w:r>
      <w:r w:rsidR="006E6446" w:rsidRPr="00392E88">
        <w:t>prz</w:t>
      </w:r>
      <w:r w:rsidRPr="00392E88">
        <w:t>ejrzystości. Zmiana przyczyni się również do osiągnięcia celów unii oszczędności</w:t>
      </w:r>
      <w:r w:rsidR="006E6446" w:rsidRPr="00392E88">
        <w:t xml:space="preserve"> i</w:t>
      </w:r>
      <w:r w:rsidR="006E6446">
        <w:t> </w:t>
      </w:r>
      <w:r w:rsidR="006E6446" w:rsidRPr="00392E88">
        <w:t>inw</w:t>
      </w:r>
      <w:r w:rsidRPr="00392E88">
        <w:t>estycji dzięki odblokowaniu produktywnych inwestycji długoterminowych, zwiększeniu integracji rynku</w:t>
      </w:r>
      <w:r w:rsidR="006E6446" w:rsidRPr="00392E88">
        <w:t xml:space="preserve"> i</w:t>
      </w:r>
      <w:r w:rsidR="006E6446">
        <w:t> </w:t>
      </w:r>
      <w:r w:rsidR="006E6446" w:rsidRPr="00392E88">
        <w:t>wsp</w:t>
      </w:r>
      <w:r w:rsidRPr="00392E88">
        <w:t xml:space="preserve">ieraniu zrównoważonego wzrostu gospodarczego w UE. </w:t>
      </w:r>
    </w:p>
    <w:p w14:paraId="5BE1420E" w14:textId="2F86A9AE" w:rsidR="00AC2BE5" w:rsidRPr="00392E88" w:rsidRDefault="00AC2BE5">
      <w:pPr>
        <w:pStyle w:val="ManualHeading2"/>
        <w:rPr>
          <w:rFonts w:eastAsia="Arial Unicode MS"/>
          <w:u w:color="000000"/>
          <w:bdr w:val="nil"/>
        </w:rPr>
      </w:pPr>
      <w:r w:rsidRPr="00392E88">
        <w:rPr>
          <w:u w:color="000000"/>
          <w:bdr w:val="nil"/>
        </w:rPr>
        <w:t>•</w:t>
      </w:r>
      <w:r w:rsidRPr="00392E88">
        <w:tab/>
        <w:t>Spójność</w:t>
      </w:r>
      <w:r w:rsidR="006E6446" w:rsidRPr="00392E88">
        <w:t xml:space="preserve"> z</w:t>
      </w:r>
      <w:r w:rsidR="006E6446">
        <w:t> </w:t>
      </w:r>
      <w:r w:rsidR="006E6446" w:rsidRPr="00392E88">
        <w:t>prz</w:t>
      </w:r>
      <w:r w:rsidRPr="00392E88">
        <w:t>episami obowiązującymi</w:t>
      </w:r>
      <w:r w:rsidR="006E6446" w:rsidRPr="00392E88">
        <w:t xml:space="preserve"> w</w:t>
      </w:r>
      <w:r w:rsidR="006E6446">
        <w:t> </w:t>
      </w:r>
      <w:r w:rsidR="006E6446" w:rsidRPr="00392E88">
        <w:t>tej</w:t>
      </w:r>
      <w:r w:rsidRPr="00392E88">
        <w:t xml:space="preserve"> dziedzinie polityki</w:t>
      </w:r>
    </w:p>
    <w:p w14:paraId="6BB00400" w14:textId="77777777" w:rsidR="006F1891" w:rsidRPr="00392E88" w:rsidRDefault="00182B12" w:rsidP="006F1891">
      <w:pPr>
        <w:pBdr>
          <w:top w:val="nil"/>
          <w:left w:val="nil"/>
          <w:bottom w:val="nil"/>
          <w:right w:val="nil"/>
          <w:between w:val="nil"/>
          <w:bar w:val="nil"/>
        </w:pBdr>
        <w:spacing w:before="0" w:after="240"/>
      </w:pPr>
      <w:r w:rsidRPr="00392E88">
        <w:t>UE wdrożyła kilka kluczowych inicjatyw mających na celu wzmocnienie systemu emerytur dodatkowych, takich jak:</w:t>
      </w:r>
    </w:p>
    <w:p w14:paraId="5A9669F0" w14:textId="518E852E" w:rsidR="004272BC" w:rsidRPr="00392E88" w:rsidRDefault="006F1891" w:rsidP="005D0C3B">
      <w:pPr>
        <w:pStyle w:val="ListBullet1"/>
      </w:pPr>
      <w:r w:rsidRPr="00392E88">
        <w:t>dyrektywa 98/49/WE</w:t>
      </w:r>
      <w:r w:rsidR="006E6446" w:rsidRPr="00392E88">
        <w:t xml:space="preserve"> z</w:t>
      </w:r>
      <w:r w:rsidR="006E6446">
        <w:t> </w:t>
      </w:r>
      <w:r w:rsidR="006E6446" w:rsidRPr="00392E88">
        <w:t>dni</w:t>
      </w:r>
      <w:r w:rsidRPr="00392E88">
        <w:t>a 29 czerwca 19</w:t>
      </w:r>
      <w:r w:rsidRPr="006E6446">
        <w:t>98</w:t>
      </w:r>
      <w:r w:rsidR="006E6446" w:rsidRPr="006E6446">
        <w:t> </w:t>
      </w:r>
      <w:r w:rsidRPr="006E6446">
        <w:t>r.</w:t>
      </w:r>
      <w:r w:rsidR="006E6446" w:rsidRPr="00392E88">
        <w:t xml:space="preserve"> w</w:t>
      </w:r>
      <w:r w:rsidR="006E6446">
        <w:t> </w:t>
      </w:r>
      <w:r w:rsidR="006E6446" w:rsidRPr="00392E88">
        <w:t>spr</w:t>
      </w:r>
      <w:r w:rsidRPr="00392E88">
        <w:t>awie ochrony uprawnień do dodatkowych świadczeń emerytalnych lub rentowych pracowników</w:t>
      </w:r>
      <w:r w:rsidR="006E6446" w:rsidRPr="00392E88">
        <w:t xml:space="preserve"> i</w:t>
      </w:r>
      <w:r w:rsidR="006E6446">
        <w:t> </w:t>
      </w:r>
      <w:r w:rsidR="006E6446" w:rsidRPr="00392E88">
        <w:t>osó</w:t>
      </w:r>
      <w:r w:rsidRPr="00392E88">
        <w:t>b prowadzących działalność na własny rachunek przemieszczających się w UE</w:t>
      </w:r>
      <w:r w:rsidRPr="00392E88">
        <w:rPr>
          <w:rStyle w:val="FootnoteReference"/>
        </w:rPr>
        <w:footnoteReference w:id="14"/>
      </w:r>
      <w:r w:rsidRPr="00392E88">
        <w:t>;</w:t>
      </w:r>
    </w:p>
    <w:p w14:paraId="576AF26E" w14:textId="1DC225AD" w:rsidR="004272BC" w:rsidRPr="00392E88" w:rsidRDefault="006F1891" w:rsidP="005D0C3B">
      <w:pPr>
        <w:pStyle w:val="ListBullet1"/>
      </w:pPr>
      <w:r w:rsidRPr="00392E88">
        <w:t>dyrektywa 2014/50/UE</w:t>
      </w:r>
      <w:r w:rsidR="006E6446" w:rsidRPr="00392E88">
        <w:t xml:space="preserve"> z</w:t>
      </w:r>
      <w:r w:rsidR="006E6446">
        <w:t> </w:t>
      </w:r>
      <w:r w:rsidR="006E6446" w:rsidRPr="00392E88">
        <w:t>dni</w:t>
      </w:r>
      <w:r w:rsidRPr="00392E88">
        <w:t>a 16 kwietnia 20</w:t>
      </w:r>
      <w:r w:rsidRPr="006E6446">
        <w:t>14</w:t>
      </w:r>
      <w:r w:rsidR="006E6446" w:rsidRPr="006E6446">
        <w:t> </w:t>
      </w:r>
      <w:r w:rsidRPr="006E6446">
        <w:t>r.</w:t>
      </w:r>
      <w:r w:rsidR="006E6446" w:rsidRPr="00392E88">
        <w:t xml:space="preserve"> w</w:t>
      </w:r>
      <w:r w:rsidR="006E6446">
        <w:t> </w:t>
      </w:r>
      <w:r w:rsidR="006E6446" w:rsidRPr="00392E88">
        <w:t>spr</w:t>
      </w:r>
      <w:r w:rsidRPr="00392E88">
        <w:t>awie minimalnych wymogów służących zwiększeniu mobilności pracowników między państwami członkowskimi dzięki łatwiejszemu nabywaniu</w:t>
      </w:r>
      <w:r w:rsidR="006E6446" w:rsidRPr="00392E88">
        <w:t xml:space="preserve"> i</w:t>
      </w:r>
      <w:r w:rsidR="006E6446">
        <w:t> </w:t>
      </w:r>
      <w:r w:rsidR="006E6446" w:rsidRPr="00392E88">
        <w:t>zac</w:t>
      </w:r>
      <w:r w:rsidRPr="00392E88">
        <w:t>howywaniu uprawnień do dodatkowych emerytur</w:t>
      </w:r>
      <w:r w:rsidRPr="00392E88">
        <w:rPr>
          <w:rStyle w:val="FootnoteReference"/>
        </w:rPr>
        <w:footnoteReference w:id="15"/>
      </w:r>
      <w:r w:rsidRPr="00392E88">
        <w:t>;</w:t>
      </w:r>
    </w:p>
    <w:p w14:paraId="3CE3426C" w14:textId="622D862F" w:rsidR="006F1891" w:rsidRPr="00392E88" w:rsidRDefault="006F1891" w:rsidP="005D0C3B">
      <w:pPr>
        <w:pStyle w:val="ListBullet1"/>
      </w:pPr>
      <w:r w:rsidRPr="00392E88">
        <w:t>dyrektywa (UE) 2016/2341</w:t>
      </w:r>
      <w:r w:rsidR="006E6446" w:rsidRPr="00392E88">
        <w:t xml:space="preserve"> z</w:t>
      </w:r>
      <w:r w:rsidR="006E6446">
        <w:t> </w:t>
      </w:r>
      <w:r w:rsidR="006E6446" w:rsidRPr="00392E88">
        <w:t>dni</w:t>
      </w:r>
      <w:r w:rsidRPr="00392E88">
        <w:t>a 14 grudnia 20</w:t>
      </w:r>
      <w:r w:rsidRPr="006E6446">
        <w:t>16</w:t>
      </w:r>
      <w:r w:rsidR="006E6446" w:rsidRPr="006E6446">
        <w:t> </w:t>
      </w:r>
      <w:r w:rsidRPr="006E6446">
        <w:t>r.</w:t>
      </w:r>
      <w:r w:rsidR="006E6446" w:rsidRPr="00392E88">
        <w:t xml:space="preserve"> w</w:t>
      </w:r>
      <w:r w:rsidR="006E6446">
        <w:t> </w:t>
      </w:r>
      <w:r w:rsidR="006E6446" w:rsidRPr="00392E88">
        <w:t>spr</w:t>
      </w:r>
      <w:r w:rsidRPr="00392E88">
        <w:t>awie działalności instytucji pracowniczych programów emerytalnych oraz nadzoru nad takimi instytucjami (IORP), znana jako IORP II, która wzmacnia zarządzanie, ujawnianie informacji</w:t>
      </w:r>
      <w:r w:rsidR="006E6446" w:rsidRPr="00392E88">
        <w:t xml:space="preserve"> i</w:t>
      </w:r>
      <w:r w:rsidR="006E6446">
        <w:t> </w:t>
      </w:r>
      <w:r w:rsidR="006E6446" w:rsidRPr="00392E88">
        <w:t>wym</w:t>
      </w:r>
      <w:r w:rsidRPr="00392E88">
        <w:t>ogi transgraniczne dla pracowniczych funduszy emerytalnych</w:t>
      </w:r>
      <w:r w:rsidRPr="00392E88">
        <w:rPr>
          <w:rStyle w:val="FootnoteReference"/>
        </w:rPr>
        <w:footnoteReference w:id="16"/>
      </w:r>
      <w:r w:rsidRPr="00392E88">
        <w:t>;</w:t>
      </w:r>
    </w:p>
    <w:p w14:paraId="7578089D" w14:textId="4595E745" w:rsidR="003A6FCF" w:rsidRPr="00392E88" w:rsidRDefault="006F1891" w:rsidP="005D0C3B">
      <w:pPr>
        <w:pStyle w:val="ListBullet1"/>
      </w:pPr>
      <w:r w:rsidRPr="00392E88">
        <w:t>rozporządzenie (UE) 2019/1238</w:t>
      </w:r>
      <w:r w:rsidR="006E6446" w:rsidRPr="00392E88">
        <w:t xml:space="preserve"> z</w:t>
      </w:r>
      <w:r w:rsidR="006E6446">
        <w:t> </w:t>
      </w:r>
      <w:r w:rsidR="006E6446" w:rsidRPr="00392E88">
        <w:t>dni</w:t>
      </w:r>
      <w:r w:rsidRPr="00392E88">
        <w:t>a 20 czerwca 20</w:t>
      </w:r>
      <w:r w:rsidRPr="006E6446">
        <w:t>19</w:t>
      </w:r>
      <w:r w:rsidR="006E6446" w:rsidRPr="006E6446">
        <w:t> </w:t>
      </w:r>
      <w:r w:rsidRPr="006E6446">
        <w:t>r.</w:t>
      </w:r>
      <w:r w:rsidR="006E6446" w:rsidRPr="00392E88">
        <w:t xml:space="preserve"> w</w:t>
      </w:r>
      <w:r w:rsidR="006E6446">
        <w:t> </w:t>
      </w:r>
      <w:r w:rsidR="006E6446" w:rsidRPr="00392E88">
        <w:t>spr</w:t>
      </w:r>
      <w:r w:rsidRPr="00392E88">
        <w:t>awie ogólnoeuropejskiego indywidualnego produktu emerytalnego (OIPE), ustanawiające dobrowolne, znormalizowane ramy emerytur indywidualnych</w:t>
      </w:r>
      <w:r w:rsidR="006E6446" w:rsidRPr="00392E88">
        <w:t xml:space="preserve"> w</w:t>
      </w:r>
      <w:r w:rsidR="006E6446">
        <w:t> </w:t>
      </w:r>
      <w:r w:rsidR="006E6446" w:rsidRPr="00392E88">
        <w:t>cał</w:t>
      </w:r>
      <w:r w:rsidRPr="00392E88">
        <w:t>ej UE</w:t>
      </w:r>
      <w:r w:rsidRPr="00392E88">
        <w:rPr>
          <w:rStyle w:val="FootnoteReference"/>
        </w:rPr>
        <w:footnoteReference w:id="17"/>
      </w:r>
      <w:r w:rsidRPr="00392E88">
        <w:t xml:space="preserve">. </w:t>
      </w:r>
    </w:p>
    <w:p w14:paraId="18EF7802" w14:textId="7A4EB1A0" w:rsidR="00AC2BE5" w:rsidRPr="00392E88" w:rsidRDefault="003A6FCF" w:rsidP="00C9746B">
      <w:pPr>
        <w:rPr>
          <w:rFonts w:eastAsia="Arial Unicode MS"/>
        </w:rPr>
      </w:pPr>
      <w:r w:rsidRPr="00392E88">
        <w:t>Niniejszy wniosek opiera się na ramach dotyczących IORP określonych</w:t>
      </w:r>
      <w:r w:rsidR="006E6446" w:rsidRPr="00392E88">
        <w:t xml:space="preserve"> w</w:t>
      </w:r>
      <w:r w:rsidR="006E6446">
        <w:t> </w:t>
      </w:r>
      <w:r w:rsidR="006E6446" w:rsidRPr="00392E88">
        <w:t>dyr</w:t>
      </w:r>
      <w:r w:rsidRPr="00392E88">
        <w:t>ektywie IORP II</w:t>
      </w:r>
      <w:r w:rsidR="006E6446" w:rsidRPr="00392E88">
        <w:t xml:space="preserve"> i</w:t>
      </w:r>
      <w:r w:rsidR="006E6446">
        <w:t> </w:t>
      </w:r>
      <w:r w:rsidR="006E6446" w:rsidRPr="00392E88">
        <w:t>wzm</w:t>
      </w:r>
      <w:r w:rsidRPr="00392E88">
        <w:t>acnia te ramy, jak wyjaśniono bardziej szczegółowo</w:t>
      </w:r>
      <w:r w:rsidR="006E6446" w:rsidRPr="00392E88">
        <w:t xml:space="preserve"> w</w:t>
      </w:r>
      <w:r w:rsidR="006E6446">
        <w:t> </w:t>
      </w:r>
      <w:r w:rsidR="006E6446" w:rsidRPr="00392E88">
        <w:t>sek</w:t>
      </w:r>
      <w:r w:rsidRPr="00392E88">
        <w:t>cji 3 poniżej. Jest on częścią szerszego pakietu emerytalnego, który obejmuje przegląd rozporządzenia (UE) 2019/1238 (rozporządzenie</w:t>
      </w:r>
      <w:r w:rsidR="006E6446" w:rsidRPr="00392E88">
        <w:t xml:space="preserve"> w</w:t>
      </w:r>
      <w:r w:rsidR="006E6446">
        <w:t> </w:t>
      </w:r>
      <w:r w:rsidR="006E6446" w:rsidRPr="00392E88">
        <w:t>spr</w:t>
      </w:r>
      <w:r w:rsidRPr="00392E88">
        <w:t>awie OIPE), zalecenia Komisji</w:t>
      </w:r>
      <w:r w:rsidR="006E6446" w:rsidRPr="00392E88">
        <w:t xml:space="preserve"> w</w:t>
      </w:r>
      <w:r w:rsidR="006E6446">
        <w:t> </w:t>
      </w:r>
      <w:r w:rsidR="006E6446" w:rsidRPr="00392E88">
        <w:t>spr</w:t>
      </w:r>
      <w:r w:rsidRPr="00392E88">
        <w:t>awie tablic wskaźników emerytalnych, systemów monitorowania uprawnień emerytalnych</w:t>
      </w:r>
      <w:r w:rsidR="006E6446" w:rsidRPr="00392E88">
        <w:t xml:space="preserve"> i</w:t>
      </w:r>
      <w:r w:rsidR="006E6446">
        <w:t> </w:t>
      </w:r>
      <w:r w:rsidR="006E6446" w:rsidRPr="00392E88">
        <w:t>aut</w:t>
      </w:r>
      <w:r w:rsidRPr="00392E88">
        <w:t>omatycznego uczestnictwa</w:t>
      </w:r>
      <w:r w:rsidR="006E6446" w:rsidRPr="00392E88">
        <w:t xml:space="preserve"> w</w:t>
      </w:r>
      <w:r w:rsidR="006E6446">
        <w:t> </w:t>
      </w:r>
      <w:r w:rsidR="006E6446" w:rsidRPr="00392E88">
        <w:t>pro</w:t>
      </w:r>
      <w:r w:rsidRPr="00392E88">
        <w:t>gramie,</w:t>
      </w:r>
      <w:r w:rsidR="006E6446" w:rsidRPr="00392E88">
        <w:t xml:space="preserve"> a</w:t>
      </w:r>
      <w:r w:rsidR="006E6446">
        <w:t> </w:t>
      </w:r>
      <w:r w:rsidR="006E6446" w:rsidRPr="00392E88">
        <w:t>tak</w:t>
      </w:r>
      <w:r w:rsidRPr="00392E88">
        <w:t>że komunikat ogólny</w:t>
      </w:r>
      <w:r w:rsidR="006E6446" w:rsidRPr="00392E88">
        <w:t xml:space="preserve"> w</w:t>
      </w:r>
      <w:r w:rsidR="006E6446">
        <w:t> </w:t>
      </w:r>
      <w:r w:rsidR="006E6446" w:rsidRPr="00392E88">
        <w:t>spr</w:t>
      </w:r>
      <w:r w:rsidRPr="00392E88">
        <w:t>awie pakietu emerytur dodatkowych. Pakiet emerytalny jest jednym</w:t>
      </w:r>
      <w:r w:rsidR="006E6446" w:rsidRPr="00392E88">
        <w:t xml:space="preserve"> z</w:t>
      </w:r>
      <w:r w:rsidR="006E6446">
        <w:t> </w:t>
      </w:r>
      <w:r w:rsidR="006E6446" w:rsidRPr="00392E88">
        <w:t>głó</w:t>
      </w:r>
      <w:r w:rsidRPr="00392E88">
        <w:t>wnych celów programu unii oszczędności</w:t>
      </w:r>
      <w:r w:rsidR="006E6446" w:rsidRPr="00392E88">
        <w:t xml:space="preserve"> i</w:t>
      </w:r>
      <w:r w:rsidR="006E6446">
        <w:t> </w:t>
      </w:r>
      <w:r w:rsidR="006E6446" w:rsidRPr="00392E88">
        <w:t>inw</w:t>
      </w:r>
      <w:r w:rsidRPr="00392E88">
        <w:t>estycji. Proponowane zmiany</w:t>
      </w:r>
      <w:r w:rsidR="006E6446" w:rsidRPr="00392E88">
        <w:t xml:space="preserve"> i</w:t>
      </w:r>
      <w:r w:rsidR="006E6446">
        <w:t> </w:t>
      </w:r>
      <w:r w:rsidR="006E6446" w:rsidRPr="00392E88">
        <w:t>zal</w:t>
      </w:r>
      <w:r w:rsidRPr="00392E88">
        <w:t>ecenia zostały opracowane</w:t>
      </w:r>
      <w:r w:rsidR="006E6446" w:rsidRPr="00392E88">
        <w:t xml:space="preserve"> w</w:t>
      </w:r>
      <w:r w:rsidR="006E6446">
        <w:t> </w:t>
      </w:r>
      <w:r w:rsidR="006E6446" w:rsidRPr="00392E88">
        <w:t>cel</w:t>
      </w:r>
      <w:r w:rsidRPr="00392E88">
        <w:t>u zapewnienia spójności między poszczególnymi aktami prawnymi oraz</w:t>
      </w:r>
      <w:r w:rsidR="006E6446" w:rsidRPr="00392E88">
        <w:t xml:space="preserve"> w</w:t>
      </w:r>
      <w:r w:rsidR="006E6446">
        <w:t> </w:t>
      </w:r>
      <w:r w:rsidR="006E6446" w:rsidRPr="00392E88">
        <w:t>tym</w:t>
      </w:r>
      <w:r w:rsidRPr="00392E88">
        <w:t xml:space="preserve"> samym celu.</w:t>
      </w:r>
    </w:p>
    <w:p w14:paraId="35DB99B4" w14:textId="0D74EAD4" w:rsidR="00AC2BE5" w:rsidRPr="00392E88" w:rsidRDefault="00AC2BE5">
      <w:pPr>
        <w:pStyle w:val="ManualHeading2"/>
        <w:rPr>
          <w:rFonts w:eastAsia="Arial Unicode MS"/>
        </w:rPr>
      </w:pPr>
      <w:r w:rsidRPr="00392E88">
        <w:rPr>
          <w:u w:color="000000"/>
          <w:bdr w:val="nil"/>
        </w:rPr>
        <w:t>•</w:t>
      </w:r>
      <w:r w:rsidRPr="00392E88">
        <w:tab/>
        <w:t>Spójność</w:t>
      </w:r>
      <w:r w:rsidR="006E6446" w:rsidRPr="00392E88">
        <w:t xml:space="preserve"> z</w:t>
      </w:r>
      <w:r w:rsidR="006E6446">
        <w:t> </w:t>
      </w:r>
      <w:r w:rsidR="006E6446" w:rsidRPr="00392E88">
        <w:t>inn</w:t>
      </w:r>
      <w:r w:rsidRPr="00392E88">
        <w:t>ymi politykami UE</w:t>
      </w:r>
    </w:p>
    <w:p w14:paraId="44A451FA" w14:textId="5765E91B" w:rsidR="003A36A1" w:rsidRPr="00392E88" w:rsidRDefault="003A36A1" w:rsidP="003A36A1">
      <w:pPr>
        <w:pBdr>
          <w:top w:val="nil"/>
          <w:left w:val="nil"/>
          <w:bottom w:val="nil"/>
          <w:right w:val="nil"/>
          <w:between w:val="nil"/>
          <w:bar w:val="nil"/>
        </w:pBdr>
        <w:spacing w:before="0" w:after="240"/>
      </w:pPr>
      <w:r w:rsidRPr="00392E88">
        <w:t>Wdrożenie unii oszczędności</w:t>
      </w:r>
      <w:r w:rsidR="006E6446" w:rsidRPr="00392E88">
        <w:t xml:space="preserve"> i</w:t>
      </w:r>
      <w:r w:rsidR="006E6446">
        <w:t> </w:t>
      </w:r>
      <w:r w:rsidR="006E6446" w:rsidRPr="00392E88">
        <w:t>inw</w:t>
      </w:r>
      <w:r w:rsidRPr="00392E88">
        <w:t>estycji wymaga szerokiej gamy środków</w:t>
      </w:r>
      <w:r w:rsidR="006E6446" w:rsidRPr="00392E88">
        <w:t xml:space="preserve"> z</w:t>
      </w:r>
      <w:r w:rsidR="006E6446">
        <w:t> </w:t>
      </w:r>
      <w:r w:rsidR="006E6446" w:rsidRPr="00392E88">
        <w:t>zak</w:t>
      </w:r>
      <w:r w:rsidRPr="00392E88">
        <w:t>resu polityki mających wpływ na różne wymiary systemu finansowego UE. Środki</w:t>
      </w:r>
      <w:r w:rsidR="006E6446" w:rsidRPr="00392E88">
        <w:t xml:space="preserve"> z</w:t>
      </w:r>
      <w:r w:rsidR="006E6446">
        <w:t> </w:t>
      </w:r>
      <w:r w:rsidR="006E6446" w:rsidRPr="00392E88">
        <w:t>zak</w:t>
      </w:r>
      <w:r w:rsidRPr="00392E88">
        <w:t>resu polityki można podzielić na cztery odrębne, ale powiązane ze sobą kategorie: a) obywatele</w:t>
      </w:r>
      <w:r w:rsidR="006E6446" w:rsidRPr="00392E88">
        <w:t xml:space="preserve"> i</w:t>
      </w:r>
      <w:r w:rsidR="006E6446">
        <w:t> </w:t>
      </w:r>
      <w:r w:rsidR="006E6446" w:rsidRPr="00392E88">
        <w:t>osz</w:t>
      </w:r>
      <w:r w:rsidRPr="00392E88">
        <w:t>czędności, b) inwestycje</w:t>
      </w:r>
      <w:r w:rsidR="006E6446" w:rsidRPr="00392E88">
        <w:t xml:space="preserve"> i</w:t>
      </w:r>
      <w:r w:rsidR="006E6446">
        <w:t> </w:t>
      </w:r>
      <w:r w:rsidR="006E6446" w:rsidRPr="00392E88">
        <w:t>fin</w:t>
      </w:r>
      <w:r w:rsidRPr="00392E88">
        <w:t>ansowanie, c) integracja</w:t>
      </w:r>
      <w:r w:rsidR="006E6446" w:rsidRPr="00392E88">
        <w:t xml:space="preserve"> i</w:t>
      </w:r>
      <w:r w:rsidR="006E6446">
        <w:t> </w:t>
      </w:r>
      <w:r w:rsidR="006E6446" w:rsidRPr="00392E88">
        <w:t>ska</w:t>
      </w:r>
      <w:r w:rsidRPr="00392E88">
        <w:t>la oraz d) efektywny nadzór na jednolitym rynku. Każdą</w:t>
      </w:r>
      <w:r w:rsidR="006E6446" w:rsidRPr="00392E88">
        <w:t xml:space="preserve"> z</w:t>
      </w:r>
      <w:r w:rsidR="006E6446">
        <w:t> </w:t>
      </w:r>
      <w:r w:rsidR="006E6446" w:rsidRPr="00392E88">
        <w:t>tyc</w:t>
      </w:r>
      <w:r w:rsidRPr="00392E88">
        <w:t>h kategorii omówiono</w:t>
      </w:r>
      <w:r w:rsidR="006E6446" w:rsidRPr="00392E88">
        <w:t xml:space="preserve"> w</w:t>
      </w:r>
      <w:r w:rsidR="006E6446">
        <w:t> </w:t>
      </w:r>
      <w:r w:rsidR="006E6446" w:rsidRPr="00392E88">
        <w:t>pon</w:t>
      </w:r>
      <w:r w:rsidRPr="00392E88">
        <w:t>iższych sekcjach.</w:t>
      </w:r>
    </w:p>
    <w:p w14:paraId="6EE9B783" w14:textId="7B541C33" w:rsidR="00573D41" w:rsidRPr="00392E88" w:rsidRDefault="003A36A1" w:rsidP="003A36A1">
      <w:pPr>
        <w:pBdr>
          <w:top w:val="nil"/>
          <w:left w:val="nil"/>
          <w:bottom w:val="nil"/>
          <w:right w:val="nil"/>
          <w:between w:val="nil"/>
          <w:bar w:val="nil"/>
        </w:pBdr>
        <w:spacing w:before="0" w:after="240"/>
      </w:pPr>
      <w:r w:rsidRPr="00392E88">
        <w:t>Pakiet emerytalny wchodzi</w:t>
      </w:r>
      <w:r w:rsidR="006E6446" w:rsidRPr="00392E88">
        <w:t xml:space="preserve"> w</w:t>
      </w:r>
      <w:r w:rsidR="006E6446">
        <w:t> </w:t>
      </w:r>
      <w:r w:rsidR="006E6446" w:rsidRPr="00392E88">
        <w:t>zak</w:t>
      </w:r>
      <w:r w:rsidRPr="00392E88">
        <w:t>res kategorii „Obywatele</w:t>
      </w:r>
      <w:r w:rsidR="006E6446" w:rsidRPr="00392E88">
        <w:t xml:space="preserve"> i</w:t>
      </w:r>
      <w:r w:rsidR="006E6446">
        <w:t> </w:t>
      </w:r>
      <w:r w:rsidR="006E6446" w:rsidRPr="00392E88">
        <w:t>osz</w:t>
      </w:r>
      <w:r w:rsidRPr="00392E88">
        <w:t>czędności”. Wzmacniając ramy dla IORP, Komisja przyczynia się do osiągnięcia celu unii oszczędności</w:t>
      </w:r>
      <w:r w:rsidR="006E6446" w:rsidRPr="00392E88">
        <w:t xml:space="preserve"> i</w:t>
      </w:r>
      <w:r w:rsidR="006E6446">
        <w:t> </w:t>
      </w:r>
      <w:r w:rsidR="006E6446" w:rsidRPr="00392E88">
        <w:t>inw</w:t>
      </w:r>
      <w:r w:rsidRPr="00392E88">
        <w:t>estycji, jakim jest umożliwienie obywatelom oszczędzania</w:t>
      </w:r>
      <w:r w:rsidR="006E6446" w:rsidRPr="00392E88">
        <w:t xml:space="preserve"> i</w:t>
      </w:r>
      <w:r w:rsidR="006E6446">
        <w:t> </w:t>
      </w:r>
      <w:r w:rsidR="006E6446" w:rsidRPr="00392E88">
        <w:t>inw</w:t>
      </w:r>
      <w:r w:rsidRPr="00392E88">
        <w:t>estowania</w:t>
      </w:r>
      <w:r w:rsidR="006E6446" w:rsidRPr="00392E88">
        <w:t xml:space="preserve"> z</w:t>
      </w:r>
      <w:r w:rsidR="006E6446">
        <w:t> </w:t>
      </w:r>
      <w:r w:rsidR="006E6446" w:rsidRPr="00392E88">
        <w:t>myś</w:t>
      </w:r>
      <w:r w:rsidRPr="00392E88">
        <w:t>lą</w:t>
      </w:r>
      <w:r w:rsidR="006E6446" w:rsidRPr="00392E88">
        <w:t xml:space="preserve"> o</w:t>
      </w:r>
      <w:r w:rsidR="006E6446">
        <w:t> </w:t>
      </w:r>
      <w:r w:rsidR="006E6446" w:rsidRPr="00392E88">
        <w:t>prz</w:t>
      </w:r>
      <w:r w:rsidRPr="00392E88">
        <w:t>yszłości dzięki przejrzystym, konkurencyjnym</w:t>
      </w:r>
      <w:r w:rsidR="006E6446" w:rsidRPr="00392E88">
        <w:t xml:space="preserve"> i</w:t>
      </w:r>
      <w:r w:rsidR="006E6446">
        <w:t> </w:t>
      </w:r>
      <w:r w:rsidR="006E6446" w:rsidRPr="00392E88">
        <w:t>dos</w:t>
      </w:r>
      <w:r w:rsidRPr="00392E88">
        <w:t>tępnym produktom. Wzmocnienie ram IORP sprzyja większej skali, konsolidacji</w:t>
      </w:r>
      <w:r w:rsidR="006E6446" w:rsidRPr="00392E88">
        <w:t xml:space="preserve"> i</w:t>
      </w:r>
      <w:r w:rsidR="006E6446">
        <w:t> </w:t>
      </w:r>
      <w:r w:rsidR="006E6446" w:rsidRPr="00392E88">
        <w:t>tra</w:t>
      </w:r>
      <w:r w:rsidRPr="00392E88">
        <w:t>nsgranicznej wydajności</w:t>
      </w:r>
      <w:r w:rsidR="006E6446" w:rsidRPr="00392E88">
        <w:t xml:space="preserve"> w</w:t>
      </w:r>
      <w:r w:rsidR="006E6446">
        <w:t> </w:t>
      </w:r>
      <w:r w:rsidR="006E6446" w:rsidRPr="00392E88">
        <w:t>sek</w:t>
      </w:r>
      <w:r w:rsidRPr="00392E88">
        <w:t>torze emerytur dodatkowych przez wzmocnioną kontrolę nadzorczą</w:t>
      </w:r>
      <w:r w:rsidR="006E6446" w:rsidRPr="00392E88">
        <w:t xml:space="preserve"> i</w:t>
      </w:r>
      <w:r w:rsidR="006E6446">
        <w:t> </w:t>
      </w:r>
      <w:r w:rsidR="006E6446" w:rsidRPr="00392E88">
        <w:t>sze</w:t>
      </w:r>
      <w:r w:rsidRPr="00392E88">
        <w:t>rszy przegląd tematyczny. Ułatwiając większy udział oszczędzających na emeryturę</w:t>
      </w:r>
      <w:r w:rsidR="006E6446" w:rsidRPr="00392E88">
        <w:t xml:space="preserve"> w</w:t>
      </w:r>
      <w:r w:rsidR="006E6446">
        <w:t> </w:t>
      </w:r>
      <w:r w:rsidR="006E6446" w:rsidRPr="00392E88">
        <w:t>ryn</w:t>
      </w:r>
      <w:r w:rsidRPr="00392E88">
        <w:t>kach kapitałowych, pakiet emerytalny przyczynia się również do osiągnięcia szerszych celów unii oszczędności</w:t>
      </w:r>
      <w:r w:rsidR="006E6446" w:rsidRPr="00392E88">
        <w:t xml:space="preserve"> i</w:t>
      </w:r>
      <w:r w:rsidR="006E6446">
        <w:t> </w:t>
      </w:r>
      <w:r w:rsidR="006E6446" w:rsidRPr="00392E88">
        <w:t>inw</w:t>
      </w:r>
      <w:r w:rsidRPr="00392E88">
        <w:t>estycji, jakimi są mobilizowanie oszczędności gospodarstw domowych na inwestycje produkcyjne; zwiększenie możliwości finansowania gospodarki UE, również przez przyciągnięcie środków</w:t>
      </w:r>
      <w:r w:rsidR="006E6446" w:rsidRPr="00392E88">
        <w:t xml:space="preserve"> z</w:t>
      </w:r>
      <w:r w:rsidR="006E6446">
        <w:t> </w:t>
      </w:r>
      <w:r w:rsidR="006E6446" w:rsidRPr="00392E88">
        <w:t>fun</w:t>
      </w:r>
      <w:r w:rsidRPr="00392E88">
        <w:t>duszy emerytalnych do programów takich jak InvestEU oraz pomoc instytucjom finansowym</w:t>
      </w:r>
      <w:r w:rsidR="006E6446" w:rsidRPr="00392E88">
        <w:t xml:space="preserve"> w</w:t>
      </w:r>
      <w:r w:rsidR="006E6446">
        <w:t> </w:t>
      </w:r>
      <w:r w:rsidR="006E6446" w:rsidRPr="00392E88">
        <w:t>osi</w:t>
      </w:r>
      <w:r w:rsidRPr="00392E88">
        <w:t>ągnięciu skali, globalnej konkurencyjności</w:t>
      </w:r>
      <w:r w:rsidR="006E6446" w:rsidRPr="00392E88">
        <w:t xml:space="preserve"> i</w:t>
      </w:r>
      <w:r w:rsidR="006E6446">
        <w:t> </w:t>
      </w:r>
      <w:r w:rsidR="006E6446" w:rsidRPr="00392E88">
        <w:t>dyw</w:t>
      </w:r>
      <w:r w:rsidRPr="00392E88">
        <w:t>ersyfikacji. Wspiera on zatem zdolność UE do zaspokojenia długoterminowych potrzeb inwestycyjnych, zwłaszcza</w:t>
      </w:r>
      <w:r w:rsidR="006E6446" w:rsidRPr="00392E88">
        <w:t xml:space="preserve"> w</w:t>
      </w:r>
      <w:r w:rsidR="006E6446">
        <w:t> </w:t>
      </w:r>
      <w:r w:rsidR="006E6446" w:rsidRPr="00392E88">
        <w:t>kon</w:t>
      </w:r>
      <w:r w:rsidRPr="00392E88">
        <w:t>tekście transformacji ekologicznej</w:t>
      </w:r>
      <w:r w:rsidR="006E6446" w:rsidRPr="00392E88">
        <w:t xml:space="preserve"> i</w:t>
      </w:r>
      <w:r w:rsidR="006E6446">
        <w:t> </w:t>
      </w:r>
      <w:r w:rsidR="006E6446" w:rsidRPr="00392E88">
        <w:t>cyf</w:t>
      </w:r>
      <w:r w:rsidRPr="00392E88">
        <w:t>rowej.</w:t>
      </w:r>
    </w:p>
    <w:p w14:paraId="173218AD" w14:textId="14270216" w:rsidR="004D2251" w:rsidRPr="00392E88" w:rsidRDefault="00C5309C" w:rsidP="00BC3DF1">
      <w:r w:rsidRPr="00392E88">
        <w:t>Rozwój</w:t>
      </w:r>
      <w:r w:rsidR="006E6446" w:rsidRPr="00392E88">
        <w:t xml:space="preserve"> i</w:t>
      </w:r>
      <w:r w:rsidR="006E6446">
        <w:t> </w:t>
      </w:r>
      <w:r w:rsidR="006E6446" w:rsidRPr="00392E88">
        <w:t>wzr</w:t>
      </w:r>
      <w:r w:rsidRPr="00392E88">
        <w:t>ost IORP mogą pomóc</w:t>
      </w:r>
      <w:r w:rsidR="006E6446" w:rsidRPr="00392E88">
        <w:t xml:space="preserve"> w</w:t>
      </w:r>
      <w:r w:rsidR="006E6446">
        <w:t> </w:t>
      </w:r>
      <w:r w:rsidR="006E6446" w:rsidRPr="00392E88">
        <w:t>prz</w:t>
      </w:r>
      <w:r w:rsidRPr="00392E88">
        <w:t>ekierowaniu większej ilości kapitału długoterminowego do rynków kapitałowych UE, a za ich pośrednictwem do gospodarki ogólnej –</w:t>
      </w:r>
      <w:r w:rsidR="006E6446" w:rsidRPr="00392E88">
        <w:t xml:space="preserve"> w</w:t>
      </w:r>
      <w:r w:rsidR="006E6446">
        <w:t> </w:t>
      </w:r>
      <w:r w:rsidR="006E6446" w:rsidRPr="00392E88">
        <w:t>mom</w:t>
      </w:r>
      <w:r w:rsidRPr="00392E88">
        <w:t>encie, gdy gospodarka UE musi pilnie uruchomić inwestycje</w:t>
      </w:r>
      <w:r w:rsidR="006E6446" w:rsidRPr="00392E88">
        <w:t xml:space="preserve"> w</w:t>
      </w:r>
      <w:r w:rsidR="006E6446">
        <w:t> </w:t>
      </w:r>
      <w:r w:rsidR="006E6446" w:rsidRPr="00392E88">
        <w:t>cel</w:t>
      </w:r>
      <w:r w:rsidRPr="00392E88">
        <w:t>u zwiększenia swojej konkurencyjności. Przegląd dyrektywy IORP II jest zatem również zgodny</w:t>
      </w:r>
      <w:r w:rsidR="006E6446" w:rsidRPr="00392E88">
        <w:t xml:space="preserve"> z</w:t>
      </w:r>
      <w:r w:rsidR="006E6446">
        <w:t> </w:t>
      </w:r>
      <w:r w:rsidR="006E6446" w:rsidRPr="00392E88">
        <w:t>sze</w:t>
      </w:r>
      <w:r w:rsidRPr="00392E88">
        <w:t>rszą strategią Komisji mającą na celu ożywienie gospodarki UE, którą określono</w:t>
      </w:r>
      <w:r w:rsidR="006E6446" w:rsidRPr="00392E88">
        <w:t xml:space="preserve"> w</w:t>
      </w:r>
      <w:r w:rsidR="006E6446">
        <w:t> </w:t>
      </w:r>
      <w:r w:rsidR="006E6446" w:rsidRPr="00392E88">
        <w:t>Kom</w:t>
      </w:r>
      <w:r w:rsidRPr="00392E88">
        <w:t>pasie konkurencyjności</w:t>
      </w:r>
      <w:r w:rsidRPr="00392E88">
        <w:rPr>
          <w:rStyle w:val="FootnoteReference"/>
          <w:rFonts w:eastAsia="Arial Unicode MS"/>
        </w:rPr>
        <w:footnoteReference w:id="18"/>
      </w:r>
      <w:r w:rsidRPr="00392E88">
        <w:t>.</w:t>
      </w:r>
    </w:p>
    <w:p w14:paraId="77E95087" w14:textId="10DACE80" w:rsidR="00B32F8A" w:rsidRPr="00392E88" w:rsidRDefault="00B32F8A" w:rsidP="00BC3DF1">
      <w:r w:rsidRPr="00392E88">
        <w:t>Przegląd dyrektywy IORP II jest spójny</w:t>
      </w:r>
      <w:r w:rsidR="006E6446" w:rsidRPr="00392E88">
        <w:t xml:space="preserve"> z</w:t>
      </w:r>
      <w:r w:rsidR="006E6446">
        <w:t> </w:t>
      </w:r>
      <w:r w:rsidR="006E6446" w:rsidRPr="00392E88">
        <w:t>wdr</w:t>
      </w:r>
      <w:r w:rsidRPr="00392E88">
        <w:t>ażaniem Europejskiego filaru praw socjalnych,</w:t>
      </w:r>
      <w:r w:rsidR="006E6446" w:rsidRPr="00392E88">
        <w:t xml:space="preserve"> w</w:t>
      </w:r>
      <w:r w:rsidR="006E6446">
        <w:t> </w:t>
      </w:r>
      <w:r w:rsidR="006E6446" w:rsidRPr="00392E88">
        <w:t>szc</w:t>
      </w:r>
      <w:r w:rsidRPr="00392E88">
        <w:t>zególności jego zasady 15, która potwierdza „prawo do odpowiedniego dochodu</w:t>
      </w:r>
      <w:r w:rsidR="006E6446" w:rsidRPr="00392E88">
        <w:t xml:space="preserve"> w</w:t>
      </w:r>
      <w:r w:rsidR="006E6446">
        <w:t> </w:t>
      </w:r>
      <w:r w:rsidR="006E6446" w:rsidRPr="00392E88">
        <w:t>pod</w:t>
      </w:r>
      <w:r w:rsidRPr="00392E88">
        <w:t>eszłym wieku” i „godny poziom życia” dla emerytów. Chociaż dyrektywa IORP II stanowi przede wszystkim ramy ostrożnościowe</w:t>
      </w:r>
      <w:r w:rsidR="006E6446" w:rsidRPr="00392E88">
        <w:t xml:space="preserve"> i</w:t>
      </w:r>
      <w:r w:rsidR="006E6446">
        <w:t> </w:t>
      </w:r>
      <w:r w:rsidR="006E6446" w:rsidRPr="00392E88">
        <w:t>ram</w:t>
      </w:r>
      <w:r w:rsidRPr="00392E88">
        <w:t>y zarządzania, jej główne cele – wzmocnienie zdolności funduszy pracowniczych do zapewniania odpowiedniego dochodu, ochrona interesów uczestników</w:t>
      </w:r>
      <w:r w:rsidR="006E6446" w:rsidRPr="00392E88">
        <w:t xml:space="preserve"> i</w:t>
      </w:r>
      <w:r w:rsidR="006E6446">
        <w:t> </w:t>
      </w:r>
      <w:r w:rsidR="006E6446" w:rsidRPr="00392E88">
        <w:t>ben</w:t>
      </w:r>
      <w:r w:rsidRPr="00392E88">
        <w:t>eficjentów oraz poprawa przejrzystości zarówno</w:t>
      </w:r>
      <w:r w:rsidR="006E6446" w:rsidRPr="00392E88">
        <w:t xml:space="preserve"> w</w:t>
      </w:r>
      <w:r w:rsidR="006E6446">
        <w:t> </w:t>
      </w:r>
      <w:r w:rsidR="006E6446" w:rsidRPr="00392E88">
        <w:t>zak</w:t>
      </w:r>
      <w:r w:rsidRPr="00392E88">
        <w:t>resie kosztów, jak</w:t>
      </w:r>
      <w:r w:rsidR="006E6446" w:rsidRPr="00392E88">
        <w:t xml:space="preserve"> i</w:t>
      </w:r>
      <w:r w:rsidR="006E6446">
        <w:t> </w:t>
      </w:r>
      <w:r w:rsidR="006E6446" w:rsidRPr="00392E88">
        <w:t>zwr</w:t>
      </w:r>
      <w:r w:rsidRPr="00392E88">
        <w:t>otu – mają zasadnicze znaczenie dla zapewnienia stabilnych</w:t>
      </w:r>
      <w:r w:rsidR="006E6446" w:rsidRPr="00392E88">
        <w:t xml:space="preserve"> i</w:t>
      </w:r>
      <w:r w:rsidR="006E6446">
        <w:t> </w:t>
      </w:r>
      <w:r w:rsidR="006E6446" w:rsidRPr="00392E88">
        <w:t>odp</w:t>
      </w:r>
      <w:r w:rsidRPr="00392E88">
        <w:t>owiednich emerytur dodatkowych.</w:t>
      </w:r>
    </w:p>
    <w:p w14:paraId="4CC34746" w14:textId="77777777" w:rsidR="00AC2BE5" w:rsidRPr="00392E88" w:rsidRDefault="00AC2BE5">
      <w:pPr>
        <w:pStyle w:val="ManualHeading1"/>
      </w:pPr>
      <w:r w:rsidRPr="00392E88">
        <w:t>2.</w:t>
      </w:r>
      <w:r w:rsidRPr="00392E88">
        <w:tab/>
        <w:t>PODSTAWA PRAWNA, POMOCNICZOŚĆ I PROPORCJONALNOŚĆ</w:t>
      </w:r>
    </w:p>
    <w:p w14:paraId="7A92288F" w14:textId="77777777" w:rsidR="00AC2BE5" w:rsidRPr="00392E88" w:rsidRDefault="00AC2BE5">
      <w:pPr>
        <w:pStyle w:val="ManualHeading2"/>
        <w:rPr>
          <w:rFonts w:eastAsia="Arial Unicode MS"/>
          <w:u w:color="000000"/>
          <w:bdr w:val="nil"/>
        </w:rPr>
      </w:pPr>
      <w:r w:rsidRPr="00392E88">
        <w:rPr>
          <w:u w:color="000000"/>
          <w:bdr w:val="nil"/>
        </w:rPr>
        <w:t>•</w:t>
      </w:r>
      <w:r w:rsidRPr="00392E88">
        <w:tab/>
      </w:r>
      <w:r w:rsidRPr="00392E88">
        <w:rPr>
          <w:u w:color="000000"/>
          <w:bdr w:val="nil"/>
        </w:rPr>
        <w:t>Podstawa prawna</w:t>
      </w:r>
    </w:p>
    <w:p w14:paraId="542AF7E0" w14:textId="240A7CC2" w:rsidR="00271AD5" w:rsidRPr="00392E88" w:rsidRDefault="00E97A4E" w:rsidP="001C21D5">
      <w:r w:rsidRPr="00392E88">
        <w:t xml:space="preserve">Podstawę prawną zmiany dyrektywy IORP II stanowią </w:t>
      </w:r>
      <w:r w:rsidRPr="006E6446">
        <w:t>art.</w:t>
      </w:r>
      <w:r w:rsidR="006E6446" w:rsidRPr="006E6446">
        <w:t> </w:t>
      </w:r>
      <w:r w:rsidRPr="006E6446">
        <w:t>5</w:t>
      </w:r>
      <w:r w:rsidRPr="00392E88">
        <w:t>3</w:t>
      </w:r>
      <w:r w:rsidR="006E6446" w:rsidRPr="00392E88">
        <w:t xml:space="preserve"> i</w:t>
      </w:r>
      <w:r w:rsidR="006E6446">
        <w:t> </w:t>
      </w:r>
      <w:r w:rsidR="006E6446" w:rsidRPr="00392E88">
        <w:t>6</w:t>
      </w:r>
      <w:r w:rsidRPr="00392E88">
        <w:t xml:space="preserve">2 oraz </w:t>
      </w:r>
      <w:r w:rsidRPr="006E6446">
        <w:t>art.</w:t>
      </w:r>
      <w:r w:rsidR="006E6446" w:rsidRPr="006E6446">
        <w:t> </w:t>
      </w:r>
      <w:r w:rsidRPr="006E6446">
        <w:t>1</w:t>
      </w:r>
      <w:r w:rsidRPr="00392E88">
        <w:t xml:space="preserve">14 </w:t>
      </w:r>
      <w:r w:rsidRPr="006E6446">
        <w:t>ust.</w:t>
      </w:r>
      <w:r w:rsidR="006E6446" w:rsidRPr="006E6446">
        <w:t> </w:t>
      </w:r>
      <w:r w:rsidRPr="006E6446">
        <w:t>1</w:t>
      </w:r>
      <w:r w:rsidRPr="00392E88">
        <w:t xml:space="preserve"> Traktatu</w:t>
      </w:r>
      <w:r w:rsidR="006E6446" w:rsidRPr="00392E88">
        <w:t xml:space="preserve"> o</w:t>
      </w:r>
      <w:r w:rsidR="006E6446">
        <w:t> </w:t>
      </w:r>
      <w:r w:rsidR="006E6446" w:rsidRPr="00392E88">
        <w:t>fun</w:t>
      </w:r>
      <w:r w:rsidRPr="00392E88">
        <w:t>kcjonowaniu Unii Europejskiej (TFUE). Art. 53</w:t>
      </w:r>
      <w:r w:rsidR="006E6446" w:rsidRPr="00392E88">
        <w:t xml:space="preserve"> i</w:t>
      </w:r>
      <w:r w:rsidR="006E6446">
        <w:t> </w:t>
      </w:r>
      <w:r w:rsidR="006E6446" w:rsidRPr="00392E88">
        <w:t>6</w:t>
      </w:r>
      <w:r w:rsidRPr="00392E88">
        <w:t>2 przewidują koordynację przepisów krajowych regulujących podejmowanie</w:t>
      </w:r>
      <w:r w:rsidR="006E6446" w:rsidRPr="00392E88">
        <w:t xml:space="preserve"> i</w:t>
      </w:r>
      <w:r w:rsidR="006E6446">
        <w:t> </w:t>
      </w:r>
      <w:r w:rsidR="006E6446" w:rsidRPr="00392E88">
        <w:t>wyk</w:t>
      </w:r>
      <w:r w:rsidRPr="00392E88">
        <w:t>onywanie działalności prowadzonej na własny rachunek oraz swobodę świadczenia usług. Przepisy te umożliwiają zakładanie</w:t>
      </w:r>
      <w:r w:rsidR="006E6446" w:rsidRPr="00392E88">
        <w:t xml:space="preserve"> i</w:t>
      </w:r>
      <w:r w:rsidR="006E6446">
        <w:t> </w:t>
      </w:r>
      <w:r w:rsidR="006E6446" w:rsidRPr="00392E88">
        <w:t>fun</w:t>
      </w:r>
      <w:r w:rsidRPr="00392E88">
        <w:t>kcjonowanie</w:t>
      </w:r>
      <w:r w:rsidR="006E6446" w:rsidRPr="00392E88">
        <w:t xml:space="preserve"> w</w:t>
      </w:r>
      <w:r w:rsidR="006E6446">
        <w:t> </w:t>
      </w:r>
      <w:r w:rsidR="006E6446" w:rsidRPr="00392E88">
        <w:t>wym</w:t>
      </w:r>
      <w:r w:rsidRPr="00392E88">
        <w:t>iarze transgranicznym IORP na rynku wewnętrznym zgodnie ze spójnymi standardami ostrożnościowymi, standardami zarządzania</w:t>
      </w:r>
      <w:r w:rsidR="006E6446" w:rsidRPr="00392E88">
        <w:t xml:space="preserve"> i</w:t>
      </w:r>
      <w:r w:rsidR="006E6446">
        <w:t> </w:t>
      </w:r>
      <w:r w:rsidR="006E6446" w:rsidRPr="00392E88">
        <w:t>sta</w:t>
      </w:r>
      <w:r w:rsidRPr="00392E88">
        <w:t xml:space="preserve">ndardami nadzoru. Art. 114 </w:t>
      </w:r>
      <w:r w:rsidRPr="006E6446">
        <w:t>ust.</w:t>
      </w:r>
      <w:r w:rsidR="006E6446" w:rsidRPr="006E6446">
        <w:t> </w:t>
      </w:r>
      <w:r w:rsidRPr="006E6446">
        <w:t>1</w:t>
      </w:r>
      <w:r w:rsidRPr="00392E88">
        <w:t xml:space="preserve"> umożliwia przyjęcie środków służących zbliżeniu przepisów krajowych, których celem jest ustanowienie</w:t>
      </w:r>
      <w:r w:rsidR="006E6446" w:rsidRPr="00392E88">
        <w:t xml:space="preserve"> i</w:t>
      </w:r>
      <w:r w:rsidR="006E6446">
        <w:t> </w:t>
      </w:r>
      <w:r w:rsidR="006E6446" w:rsidRPr="00392E88">
        <w:t>fun</w:t>
      </w:r>
      <w:r w:rsidRPr="00392E88">
        <w:t>kcjonowanie rynku wewnętrznego.</w:t>
      </w:r>
    </w:p>
    <w:p w14:paraId="0F742505" w14:textId="1A61D48B" w:rsidR="004D2251" w:rsidRPr="00392E88" w:rsidRDefault="00D93859" w:rsidP="00BC3DF1">
      <w:r w:rsidRPr="00392E88">
        <w:t>Możliwość korzystania przez dostawców ze swobody świadczenia usług jest nadal ograniczona ze względu na brak standaryzacji istniejących pracowniczych produktów emerytalnych. Wniosek ma zatem na celu poprawę kluczowych elementów ram dla IORP, aby stworzyć bardziej spójny model. Pozwoli to ich uczestnikom</w:t>
      </w:r>
      <w:r w:rsidR="006E6446" w:rsidRPr="00392E88">
        <w:t xml:space="preserve"> i</w:t>
      </w:r>
      <w:r w:rsidR="006E6446">
        <w:t> </w:t>
      </w:r>
      <w:r w:rsidR="006E6446" w:rsidRPr="00392E88">
        <w:t>ben</w:t>
      </w:r>
      <w:r w:rsidRPr="00392E88">
        <w:t>eficjentom korzystać</w:t>
      </w:r>
      <w:r w:rsidR="006E6446" w:rsidRPr="00392E88">
        <w:t xml:space="preserve"> w</w:t>
      </w:r>
      <w:r w:rsidR="006E6446">
        <w:t> </w:t>
      </w:r>
      <w:r w:rsidR="006E6446" w:rsidRPr="00392E88">
        <w:t>peł</w:t>
      </w:r>
      <w:r w:rsidRPr="00392E88">
        <w:t>ni</w:t>
      </w:r>
      <w:r w:rsidR="006E6446" w:rsidRPr="00392E88">
        <w:t xml:space="preserve"> z</w:t>
      </w:r>
      <w:r w:rsidR="006E6446">
        <w:t> </w:t>
      </w:r>
      <w:r w:rsidR="006E6446" w:rsidRPr="00392E88">
        <w:t>pot</w:t>
      </w:r>
      <w:r w:rsidRPr="00392E88">
        <w:t>encjału rynku wewnętrznego, oferując im większe możliwości wyboru dostawców,</w:t>
      </w:r>
      <w:r w:rsidR="006E6446" w:rsidRPr="00392E88">
        <w:t xml:space="preserve"> w</w:t>
      </w:r>
      <w:r w:rsidR="006E6446">
        <w:t> </w:t>
      </w:r>
      <w:r w:rsidR="006E6446" w:rsidRPr="00392E88">
        <w:t>tym</w:t>
      </w:r>
      <w:r w:rsidRPr="00392E88">
        <w:t xml:space="preserve"> dostawców</w:t>
      </w:r>
      <w:r w:rsidR="006E6446" w:rsidRPr="00392E88">
        <w:t xml:space="preserve"> z</w:t>
      </w:r>
      <w:r w:rsidR="006E6446">
        <w:t> </w:t>
      </w:r>
      <w:r w:rsidR="006E6446" w:rsidRPr="00392E88">
        <w:t>inn</w:t>
      </w:r>
      <w:r w:rsidRPr="00392E88">
        <w:t>ych państw członkowskich UE. Wniosek ujednolica główne aspekty związane z IORP: zwiększenie przejrzystości zarówno</w:t>
      </w:r>
      <w:r w:rsidR="006E6446" w:rsidRPr="00392E88">
        <w:t xml:space="preserve"> w</w:t>
      </w:r>
      <w:r w:rsidR="006E6446">
        <w:t> </w:t>
      </w:r>
      <w:r w:rsidR="006E6446" w:rsidRPr="00392E88">
        <w:t>odn</w:t>
      </w:r>
      <w:r w:rsidRPr="00392E88">
        <w:t>iesieniu do kosztów, jak</w:t>
      </w:r>
      <w:r w:rsidR="006E6446" w:rsidRPr="00392E88">
        <w:t xml:space="preserve"> i</w:t>
      </w:r>
      <w:r w:rsidR="006E6446">
        <w:t> </w:t>
      </w:r>
      <w:r w:rsidR="006E6446" w:rsidRPr="00392E88">
        <w:t>zwr</w:t>
      </w:r>
      <w:r w:rsidRPr="00392E88">
        <w:t>otów, praktyki zarządzania ryzykiem</w:t>
      </w:r>
      <w:r w:rsidR="006E6446" w:rsidRPr="00392E88">
        <w:t xml:space="preserve"> i</w:t>
      </w:r>
      <w:r w:rsidR="006E6446">
        <w:t> </w:t>
      </w:r>
      <w:r w:rsidR="006E6446" w:rsidRPr="00392E88">
        <w:t>sku</w:t>
      </w:r>
      <w:r w:rsidRPr="00392E88">
        <w:t>teczne polityki inwestycyjne.</w:t>
      </w:r>
    </w:p>
    <w:p w14:paraId="75BCDFB8" w14:textId="77777777" w:rsidR="00AC2BE5" w:rsidRPr="00392E88" w:rsidRDefault="00AC2BE5">
      <w:pPr>
        <w:pStyle w:val="ManualHeading2"/>
        <w:rPr>
          <w:rFonts w:eastAsia="Arial Unicode MS"/>
          <w:bdr w:val="nil"/>
        </w:rPr>
      </w:pPr>
      <w:r w:rsidRPr="00392E88">
        <w:rPr>
          <w:bdr w:val="nil"/>
        </w:rPr>
        <w:t>•</w:t>
      </w:r>
      <w:r w:rsidRPr="00392E88">
        <w:tab/>
      </w:r>
      <w:r w:rsidRPr="00392E88">
        <w:rPr>
          <w:bdr w:val="nil"/>
        </w:rPr>
        <w:t>Pomocniczość</w:t>
      </w:r>
    </w:p>
    <w:p w14:paraId="69DF8ACE" w14:textId="602B9376" w:rsidR="00AC2BE5" w:rsidRPr="00392E88" w:rsidRDefault="003C5637">
      <w:pPr>
        <w:pBdr>
          <w:top w:val="nil"/>
          <w:left w:val="nil"/>
          <w:bottom w:val="nil"/>
          <w:right w:val="nil"/>
          <w:between w:val="nil"/>
          <w:bar w:val="nil"/>
        </w:pBdr>
        <w:spacing w:before="0" w:after="240"/>
        <w:rPr>
          <w:rFonts w:eastAsia="Arial Unicode MS"/>
        </w:rPr>
      </w:pPr>
      <w:r w:rsidRPr="00392E88">
        <w:t>Zgodnie</w:t>
      </w:r>
      <w:r w:rsidR="006E6446" w:rsidRPr="00392E88">
        <w:t xml:space="preserve"> z</w:t>
      </w:r>
      <w:r w:rsidR="006E6446">
        <w:t> </w:t>
      </w:r>
      <w:r w:rsidR="006E6446" w:rsidRPr="00392E88">
        <w:t>zas</w:t>
      </w:r>
      <w:r w:rsidRPr="00392E88">
        <w:t>adą pomocniczości działanie na szczeblu UE można podjąć tylko wtedy, gdy cele zamierzonego działania nie mogą zostać osiągnięte przez państwa członkowskie działające indywidualnie. Dyrektywę IORP II przyjęto na szczeblu UE</w:t>
      </w:r>
      <w:r w:rsidR="006E6446" w:rsidRPr="00392E88">
        <w:t xml:space="preserve"> w</w:t>
      </w:r>
      <w:r w:rsidR="006E6446">
        <w:t> </w:t>
      </w:r>
      <w:r w:rsidR="006E6446" w:rsidRPr="00392E88">
        <w:t>2</w:t>
      </w:r>
      <w:r w:rsidRPr="00392E88">
        <w:t>0</w:t>
      </w:r>
      <w:r w:rsidRPr="006E6446">
        <w:t>19</w:t>
      </w:r>
      <w:r w:rsidR="006E6446" w:rsidRPr="006E6446">
        <w:t> </w:t>
      </w:r>
      <w:r w:rsidRPr="006E6446">
        <w:t>r.</w:t>
      </w:r>
      <w:r w:rsidRPr="00392E88">
        <w:t>, ponieważ jedynie działaniem na szczeblu UE można ustanowić wspólne ramy regulacyjne dla IORP</w:t>
      </w:r>
      <w:r w:rsidR="006E6446" w:rsidRPr="00392E88">
        <w:t>. W</w:t>
      </w:r>
      <w:r w:rsidR="006E6446">
        <w:t> </w:t>
      </w:r>
      <w:r w:rsidR="006E6446" w:rsidRPr="00392E88">
        <w:t>zwi</w:t>
      </w:r>
      <w:r w:rsidRPr="00392E88">
        <w:t>ązku</w:t>
      </w:r>
      <w:r w:rsidR="006E6446" w:rsidRPr="00392E88">
        <w:t xml:space="preserve"> z</w:t>
      </w:r>
      <w:r w:rsidR="006E6446">
        <w:t> </w:t>
      </w:r>
      <w:r w:rsidR="006E6446" w:rsidRPr="00392E88">
        <w:t>tym</w:t>
      </w:r>
      <w:r w:rsidRPr="00392E88">
        <w:t xml:space="preserve"> niniejszy wniosek, podobnie jak zmieniana nim dyrektywa IORP II, jest</w:t>
      </w:r>
      <w:r w:rsidR="006E6446" w:rsidRPr="00392E88">
        <w:t xml:space="preserve"> w</w:t>
      </w:r>
      <w:r w:rsidR="006E6446">
        <w:t> </w:t>
      </w:r>
      <w:r w:rsidR="006E6446" w:rsidRPr="00392E88">
        <w:t>peł</w:t>
      </w:r>
      <w:r w:rsidRPr="00392E88">
        <w:t>ni zgodny</w:t>
      </w:r>
      <w:r w:rsidR="006E6446" w:rsidRPr="00392E88">
        <w:t xml:space="preserve"> z</w:t>
      </w:r>
      <w:r w:rsidR="006E6446">
        <w:t> </w:t>
      </w:r>
      <w:r w:rsidR="006E6446" w:rsidRPr="00392E88">
        <w:t>zas</w:t>
      </w:r>
      <w:r w:rsidRPr="00392E88">
        <w:t xml:space="preserve">adą pomocniczości. </w:t>
      </w:r>
    </w:p>
    <w:p w14:paraId="3FDCEF81" w14:textId="77777777" w:rsidR="00AC2BE5" w:rsidRPr="00392E88" w:rsidRDefault="00AC2BE5">
      <w:pPr>
        <w:pStyle w:val="ManualHeading2"/>
        <w:rPr>
          <w:rFonts w:eastAsia="Arial Unicode MS"/>
          <w:u w:color="000000"/>
          <w:bdr w:val="nil"/>
        </w:rPr>
      </w:pPr>
      <w:r w:rsidRPr="00392E88">
        <w:rPr>
          <w:u w:color="000000"/>
          <w:bdr w:val="nil"/>
        </w:rPr>
        <w:t>•</w:t>
      </w:r>
      <w:r w:rsidRPr="00392E88">
        <w:tab/>
      </w:r>
      <w:r w:rsidRPr="00392E88">
        <w:rPr>
          <w:u w:color="000000"/>
          <w:bdr w:val="nil"/>
        </w:rPr>
        <w:t>Proporcjonalność</w:t>
      </w:r>
    </w:p>
    <w:p w14:paraId="19DD0C92" w14:textId="2599DE32" w:rsidR="00013FE3" w:rsidRPr="00392E88" w:rsidRDefault="00013FE3" w:rsidP="00013FE3">
      <w:pPr>
        <w:pBdr>
          <w:top w:val="nil"/>
          <w:left w:val="nil"/>
          <w:bottom w:val="nil"/>
          <w:right w:val="nil"/>
          <w:between w:val="nil"/>
          <w:bar w:val="nil"/>
        </w:pBdr>
        <w:spacing w:before="0" w:after="240"/>
      </w:pPr>
      <w:r w:rsidRPr="00392E88">
        <w:t>Zgodnie</w:t>
      </w:r>
      <w:r w:rsidR="006E6446" w:rsidRPr="00392E88">
        <w:t xml:space="preserve"> z</w:t>
      </w:r>
      <w:r w:rsidR="006E6446">
        <w:t> </w:t>
      </w:r>
      <w:r w:rsidR="006E6446" w:rsidRPr="00392E88">
        <w:t>zas</w:t>
      </w:r>
      <w:r w:rsidRPr="00392E88">
        <w:t>adą proporcjonalności zakres</w:t>
      </w:r>
      <w:r w:rsidR="006E6446" w:rsidRPr="00392E88">
        <w:t xml:space="preserve"> i</w:t>
      </w:r>
      <w:r w:rsidR="006E6446">
        <w:t> </w:t>
      </w:r>
      <w:r w:rsidR="006E6446" w:rsidRPr="00392E88">
        <w:t>for</w:t>
      </w:r>
      <w:r w:rsidRPr="00392E88">
        <w:t>ma działania Unii nie powinny wykraczać poza to, co jest konieczne do osiągnięcia celów określonych</w:t>
      </w:r>
      <w:r w:rsidR="006E6446" w:rsidRPr="00392E88">
        <w:t xml:space="preserve"> w</w:t>
      </w:r>
      <w:r w:rsidR="006E6446">
        <w:t> </w:t>
      </w:r>
      <w:r w:rsidR="006E6446" w:rsidRPr="00392E88">
        <w:t>Tra</w:t>
      </w:r>
      <w:r w:rsidRPr="00392E88">
        <w:t xml:space="preserve">ktatach. </w:t>
      </w:r>
    </w:p>
    <w:p w14:paraId="5037F54F" w14:textId="71F9A469" w:rsidR="00013FE3" w:rsidRPr="00392E88" w:rsidRDefault="00641BB7" w:rsidP="00013FE3">
      <w:pPr>
        <w:pBdr>
          <w:top w:val="nil"/>
          <w:left w:val="nil"/>
          <w:bottom w:val="nil"/>
          <w:right w:val="nil"/>
          <w:between w:val="nil"/>
          <w:bar w:val="nil"/>
        </w:pBdr>
        <w:spacing w:before="0" w:after="240"/>
      </w:pPr>
      <w:r w:rsidRPr="00392E88">
        <w:t>Zasadniczo IORP mogą już zostać ustanowione we wszystkich państwach członkowskich, ale nie wykorzystały one</w:t>
      </w:r>
      <w:r w:rsidR="006E6446" w:rsidRPr="00392E88">
        <w:t xml:space="preserve"> w</w:t>
      </w:r>
      <w:r w:rsidR="006E6446">
        <w:t> </w:t>
      </w:r>
      <w:r w:rsidR="006E6446" w:rsidRPr="00392E88">
        <w:t>peł</w:t>
      </w:r>
      <w:r w:rsidRPr="00392E88">
        <w:t>ni swojego potencjału</w:t>
      </w:r>
      <w:r w:rsidR="006E6446" w:rsidRPr="00392E88">
        <w:t xml:space="preserve"> w</w:t>
      </w:r>
      <w:r w:rsidR="006E6446">
        <w:t> </w:t>
      </w:r>
      <w:r w:rsidR="006E6446" w:rsidRPr="00392E88">
        <w:t>zak</w:t>
      </w:r>
      <w:r w:rsidRPr="00392E88">
        <w:t>resie przekierowywania wystarczająco dużej puli oszczędności na rynki kapitałowe</w:t>
      </w:r>
      <w:r w:rsidR="006E6446" w:rsidRPr="00392E88">
        <w:t xml:space="preserve"> i</w:t>
      </w:r>
      <w:r w:rsidR="006E6446">
        <w:t> </w:t>
      </w:r>
      <w:r w:rsidR="006E6446" w:rsidRPr="00392E88">
        <w:t>prz</w:t>
      </w:r>
      <w:r w:rsidRPr="00392E88">
        <w:t>yczyniania się do tworzenia unii oszczędności</w:t>
      </w:r>
      <w:r w:rsidR="006E6446" w:rsidRPr="00392E88">
        <w:t xml:space="preserve"> i</w:t>
      </w:r>
      <w:r w:rsidR="006E6446">
        <w:t> </w:t>
      </w:r>
      <w:r w:rsidR="006E6446" w:rsidRPr="00392E88">
        <w:t>inw</w:t>
      </w:r>
      <w:r w:rsidRPr="00392E88">
        <w:t>estycji. Jest to szczególnie istotne ze względu na presję demograficzną</w:t>
      </w:r>
      <w:r w:rsidR="006E6446" w:rsidRPr="00392E88">
        <w:t xml:space="preserve"> i</w:t>
      </w:r>
      <w:r w:rsidR="006E6446">
        <w:t> </w:t>
      </w:r>
      <w:r w:rsidR="006E6446" w:rsidRPr="00392E88">
        <w:t>ros</w:t>
      </w:r>
      <w:r w:rsidRPr="00392E88">
        <w:t>nącą potrzebę zapewnienia stabilnych</w:t>
      </w:r>
      <w:r w:rsidR="006E6446" w:rsidRPr="00392E88">
        <w:t xml:space="preserve"> i</w:t>
      </w:r>
      <w:r w:rsidR="006E6446">
        <w:t> </w:t>
      </w:r>
      <w:r w:rsidR="006E6446" w:rsidRPr="00392E88">
        <w:t>odp</w:t>
      </w:r>
      <w:r w:rsidRPr="00392E88">
        <w:t xml:space="preserve">owiednich dochodów emerytalnych. </w:t>
      </w:r>
    </w:p>
    <w:p w14:paraId="0DCAC15A" w14:textId="67450A15" w:rsidR="00D700A3" w:rsidRPr="00392E88" w:rsidRDefault="00013FE3" w:rsidP="00013FE3">
      <w:pPr>
        <w:pBdr>
          <w:top w:val="nil"/>
          <w:left w:val="nil"/>
          <w:bottom w:val="nil"/>
          <w:right w:val="nil"/>
          <w:between w:val="nil"/>
          <w:bar w:val="nil"/>
        </w:pBdr>
        <w:spacing w:before="0" w:after="240"/>
      </w:pPr>
      <w:r w:rsidRPr="00392E88">
        <w:t>Ramy ustanowione dyrektywą IORP II nie osiągnęły wystarczającej skali, co jest kluczowym warunkiem poprawy długoterminowych wyników dla uczestników</w:t>
      </w:r>
      <w:r w:rsidR="006E6446" w:rsidRPr="00392E88">
        <w:t xml:space="preserve"> i</w:t>
      </w:r>
      <w:r w:rsidR="006E6446">
        <w:t> </w:t>
      </w:r>
      <w:r w:rsidR="006E6446" w:rsidRPr="00392E88">
        <w:t>ben</w:t>
      </w:r>
      <w:r w:rsidRPr="00392E88">
        <w:t>eficjentów</w:t>
      </w:r>
      <w:r w:rsidR="006E6446" w:rsidRPr="00392E88">
        <w:t>. W</w:t>
      </w:r>
      <w:r w:rsidR="006E6446">
        <w:t> </w:t>
      </w:r>
      <w:r w:rsidR="006E6446" w:rsidRPr="00392E88">
        <w:t>dok</w:t>
      </w:r>
      <w:r w:rsidRPr="00392E88">
        <w:t>umencie roboczym służb Komisji towarzyszącym niniejszemu wnioskowi przeanalizowano zatem kilka wariantów strategicznych.</w:t>
      </w:r>
    </w:p>
    <w:p w14:paraId="36685185" w14:textId="302034C2" w:rsidR="00D700A3" w:rsidRPr="00392E88" w:rsidRDefault="00D700A3" w:rsidP="00D700A3">
      <w:pPr>
        <w:pBdr>
          <w:top w:val="nil"/>
          <w:left w:val="nil"/>
          <w:bottom w:val="nil"/>
          <w:right w:val="nil"/>
          <w:between w:val="nil"/>
          <w:bar w:val="nil"/>
        </w:pBdr>
        <w:spacing w:before="0" w:after="240"/>
      </w:pPr>
      <w:r w:rsidRPr="00392E88">
        <w:t>Scenariusz zakładający niepodejmowanie jakichkolwiek działań na poziomie UE nie pozwoliłby osiągnąć celów UE. Pełna harmonizacja krajowych pracowniczych programów emerytalnych byłaby jednak nieproporcjonalna, biorąc pod uwagę różnorodność rynków krajowych</w:t>
      </w:r>
      <w:r w:rsidR="006E6446" w:rsidRPr="00392E88">
        <w:t xml:space="preserve"> i</w:t>
      </w:r>
      <w:r w:rsidR="006E6446">
        <w:t> </w:t>
      </w:r>
      <w:r w:rsidR="006E6446" w:rsidRPr="00392E88">
        <w:t>róż</w:t>
      </w:r>
      <w:r w:rsidRPr="00392E88">
        <w:t>ny poziom rozwoju systemów emerytalnych.</w:t>
      </w:r>
    </w:p>
    <w:p w14:paraId="5B0C1B27" w14:textId="1DF0FCA4" w:rsidR="00CF6417" w:rsidRPr="00392E88" w:rsidRDefault="00CF6417" w:rsidP="00CF6417">
      <w:pPr>
        <w:pBdr>
          <w:top w:val="nil"/>
          <w:left w:val="nil"/>
          <w:bottom w:val="nil"/>
          <w:right w:val="nil"/>
          <w:between w:val="nil"/>
          <w:bar w:val="nil"/>
        </w:pBdr>
        <w:spacing w:before="0" w:after="240"/>
      </w:pPr>
      <w:r w:rsidRPr="00392E88">
        <w:t>W tym kontekście ukierunkowany przegląd ram IORP stanowi proporcjonalną odpowiedź. Proponowane podejście uzupełnia istniejące systemy krajowe, ale zapewnia również wystarczający poziom harmonizacji, aby ułatwić zwiększenie skali</w:t>
      </w:r>
      <w:r w:rsidR="006E6446" w:rsidRPr="00392E88">
        <w:t xml:space="preserve"> i</w:t>
      </w:r>
      <w:r w:rsidR="006E6446">
        <w:t> </w:t>
      </w:r>
      <w:r w:rsidR="006E6446" w:rsidRPr="00392E88">
        <w:t>pop</w:t>
      </w:r>
      <w:r w:rsidRPr="00392E88">
        <w:t>rawić wyniki inwestycyjne. Kluczowe elementy – większa przejrzystość kosztów</w:t>
      </w:r>
      <w:r w:rsidR="006E6446" w:rsidRPr="00392E88">
        <w:t xml:space="preserve"> i</w:t>
      </w:r>
      <w:r w:rsidR="006E6446">
        <w:t> </w:t>
      </w:r>
      <w:r w:rsidR="006E6446" w:rsidRPr="00392E88">
        <w:t>zwr</w:t>
      </w:r>
      <w:r w:rsidRPr="00392E88">
        <w:t>otów, wzmocnione solidne praktyki zarządzania ryzykiem oraz usunięcie barier, które obecnie utrudniają skuteczne inwestycje – zostały opracowane</w:t>
      </w:r>
      <w:r w:rsidR="006E6446" w:rsidRPr="00392E88">
        <w:t xml:space="preserve"> w</w:t>
      </w:r>
      <w:r w:rsidR="006E6446">
        <w:t> </w:t>
      </w:r>
      <w:r w:rsidR="006E6446" w:rsidRPr="00392E88">
        <w:t>cel</w:t>
      </w:r>
      <w:r w:rsidRPr="00392E88">
        <w:t xml:space="preserve">u zapewnienia wystarczającej ochrony konsumentów bez nakładania zbędnych obciążeń regulacyjnych. </w:t>
      </w:r>
    </w:p>
    <w:p w14:paraId="7A7A9E13" w14:textId="3BFC97DD" w:rsidR="00CF6417" w:rsidRPr="00392E88" w:rsidRDefault="0027428D" w:rsidP="00D700A3">
      <w:pPr>
        <w:pBdr>
          <w:top w:val="nil"/>
          <w:left w:val="nil"/>
          <w:bottom w:val="nil"/>
          <w:right w:val="nil"/>
          <w:between w:val="nil"/>
          <w:bar w:val="nil"/>
        </w:pBdr>
        <w:spacing w:before="0" w:after="240"/>
      </w:pPr>
      <w:r w:rsidRPr="00392E88">
        <w:t>Oczekuje się, że obciążenie administracyjne wynikające</w:t>
      </w:r>
      <w:r w:rsidR="006E6446" w:rsidRPr="00392E88">
        <w:t xml:space="preserve"> z</w:t>
      </w:r>
      <w:r w:rsidR="006E6446">
        <w:t> </w:t>
      </w:r>
      <w:r w:rsidR="006E6446" w:rsidRPr="00392E88">
        <w:t>wni</w:t>
      </w:r>
      <w:r w:rsidRPr="00392E88">
        <w:t>osku pozostanie ograniczone, ponieważ wniosek zakłada jedynie dostosowanie cech istniejących ogólnounijnych przepisów dotyczących IORP. Podmioty te podlegają już nadzorowi regulacyjnemu ze strony właściwych organów krajowych na podstawie istniejących ram sektorowych. Wszelkie nowe obowiązki sprawozdawcze byłyby proporcjonalne do ryzyka związanego</w:t>
      </w:r>
      <w:r w:rsidR="006E6446" w:rsidRPr="00392E88">
        <w:t xml:space="preserve"> z</w:t>
      </w:r>
      <w:r w:rsidR="006E6446">
        <w:t> </w:t>
      </w:r>
      <w:r w:rsidR="006E6446" w:rsidRPr="00392E88">
        <w:t>ros</w:t>
      </w:r>
      <w:r w:rsidRPr="00392E88">
        <w:t>nącą działalnością transgraniczną</w:t>
      </w:r>
      <w:r w:rsidR="006E6446" w:rsidRPr="00392E88">
        <w:t xml:space="preserve"> i</w:t>
      </w:r>
      <w:r w:rsidR="006E6446">
        <w:t> </w:t>
      </w:r>
      <w:r w:rsidR="006E6446" w:rsidRPr="00392E88">
        <w:t>wsp</w:t>
      </w:r>
      <w:r w:rsidRPr="00392E88">
        <w:t>ierałyby skuteczne monitorowanie rynku</w:t>
      </w:r>
      <w:r w:rsidR="006E6446" w:rsidRPr="00392E88">
        <w:t xml:space="preserve"> i</w:t>
      </w:r>
      <w:r w:rsidR="006E6446">
        <w:t> </w:t>
      </w:r>
      <w:r w:rsidR="006E6446" w:rsidRPr="00392E88">
        <w:t>och</w:t>
      </w:r>
      <w:r w:rsidRPr="00392E88">
        <w:t>ronę konsumentów. Ogólnie rzecz biorąc, wniosek usprawniłby istniejące praktyki</w:t>
      </w:r>
      <w:r w:rsidR="006E6446" w:rsidRPr="00392E88">
        <w:t xml:space="preserve"> w</w:t>
      </w:r>
      <w:r w:rsidR="006E6446">
        <w:t> </w:t>
      </w:r>
      <w:r w:rsidR="006E6446" w:rsidRPr="00392E88">
        <w:t>cał</w:t>
      </w:r>
      <w:r w:rsidRPr="00392E88">
        <w:t>ej UE.</w:t>
      </w:r>
    </w:p>
    <w:p w14:paraId="4D0F4938" w14:textId="77777777" w:rsidR="00AC2BE5" w:rsidRPr="00392E88" w:rsidRDefault="00AC2BE5">
      <w:pPr>
        <w:pStyle w:val="ManualHeading2"/>
        <w:rPr>
          <w:rFonts w:eastAsia="Arial Unicode MS"/>
          <w:u w:color="000000"/>
          <w:bdr w:val="nil"/>
        </w:rPr>
      </w:pPr>
      <w:r w:rsidRPr="00392E88">
        <w:rPr>
          <w:u w:color="000000"/>
          <w:bdr w:val="nil"/>
        </w:rPr>
        <w:t>•</w:t>
      </w:r>
      <w:r w:rsidRPr="00392E88">
        <w:tab/>
      </w:r>
      <w:r w:rsidRPr="00392E88">
        <w:rPr>
          <w:u w:color="000000"/>
          <w:bdr w:val="nil"/>
        </w:rPr>
        <w:t>Wybór instrumentu</w:t>
      </w:r>
    </w:p>
    <w:p w14:paraId="5E78CF2B" w14:textId="77777777" w:rsidR="00AC2BE5" w:rsidRPr="00392E88" w:rsidRDefault="000437CA">
      <w:pPr>
        <w:pBdr>
          <w:top w:val="nil"/>
          <w:left w:val="nil"/>
          <w:bottom w:val="nil"/>
          <w:right w:val="nil"/>
          <w:between w:val="nil"/>
          <w:bar w:val="nil"/>
        </w:pBdr>
        <w:spacing w:before="0" w:after="240"/>
        <w:rPr>
          <w:rFonts w:eastAsia="Arial Unicode MS"/>
        </w:rPr>
      </w:pPr>
      <w:r w:rsidRPr="00392E88">
        <w:t xml:space="preserve">Niniejszy wniosek stanowi zmianę dyrektywy IORP II. Wybranym instrumentem jest zatem dyrektywa zmieniająca, ponieważ do osiągnięcia celów niniejszego wniosku nie można zastosować żadnych alternatywnych środków – ani legislacyjnych, ani operacyjnych. </w:t>
      </w:r>
    </w:p>
    <w:p w14:paraId="5BB09F0D" w14:textId="77777777" w:rsidR="00AC2BE5" w:rsidRPr="00392E88" w:rsidRDefault="00AC2BE5" w:rsidP="00D00B5B">
      <w:pPr>
        <w:pStyle w:val="ManualHeading1"/>
      </w:pPr>
      <w:r w:rsidRPr="00392E88">
        <w:t>3.</w:t>
      </w:r>
      <w:r w:rsidRPr="00392E88">
        <w:tab/>
        <w:t xml:space="preserve">WYNIKI OCEN </w:t>
      </w:r>
      <w:r w:rsidRPr="00392E88">
        <w:rPr>
          <w:i/>
          <w:iCs/>
        </w:rPr>
        <w:t>EX POST</w:t>
      </w:r>
      <w:r w:rsidRPr="00392E88">
        <w:t>, KONSULTACJI Z ZAINTERESOWANYMI STRONAMI I OCEN SKUTKÓW</w:t>
      </w:r>
    </w:p>
    <w:p w14:paraId="21D2AE49" w14:textId="1DE5358D" w:rsidR="00AC2BE5" w:rsidRPr="00392E88" w:rsidRDefault="00AC2BE5">
      <w:pPr>
        <w:pStyle w:val="ManualHeading2"/>
        <w:rPr>
          <w:rFonts w:eastAsia="Arial Unicode MS"/>
          <w:u w:color="000000"/>
          <w:bdr w:val="nil"/>
        </w:rPr>
      </w:pPr>
      <w:r w:rsidRPr="00392E88">
        <w:rPr>
          <w:u w:color="000000"/>
          <w:bdr w:val="nil"/>
        </w:rPr>
        <w:t>•</w:t>
      </w:r>
      <w:r w:rsidRPr="00392E88">
        <w:tab/>
      </w:r>
      <w:r w:rsidRPr="00392E88">
        <w:rPr>
          <w:u w:color="000000"/>
          <w:bdr w:val="nil"/>
        </w:rPr>
        <w:t>Konsultacje</w:t>
      </w:r>
      <w:r w:rsidR="006E6446" w:rsidRPr="00392E88">
        <w:rPr>
          <w:u w:color="000000"/>
          <w:bdr w:val="nil"/>
        </w:rPr>
        <w:t xml:space="preserve"> z</w:t>
      </w:r>
      <w:r w:rsidR="006E6446">
        <w:rPr>
          <w:u w:color="000000"/>
          <w:bdr w:val="nil"/>
        </w:rPr>
        <w:t> </w:t>
      </w:r>
      <w:r w:rsidR="006E6446" w:rsidRPr="00392E88">
        <w:rPr>
          <w:u w:color="000000"/>
          <w:bdr w:val="nil"/>
        </w:rPr>
        <w:t>zai</w:t>
      </w:r>
      <w:r w:rsidRPr="00392E88">
        <w:rPr>
          <w:u w:color="000000"/>
          <w:bdr w:val="nil"/>
        </w:rPr>
        <w:t>nteresowanymi stronami</w:t>
      </w:r>
    </w:p>
    <w:p w14:paraId="2A74E3F6" w14:textId="6D87358A" w:rsidR="00806052" w:rsidRPr="00392E88" w:rsidRDefault="00806052" w:rsidP="00806052">
      <w:pPr>
        <w:pBdr>
          <w:top w:val="nil"/>
          <w:left w:val="nil"/>
          <w:bottom w:val="nil"/>
          <w:right w:val="nil"/>
          <w:between w:val="nil"/>
          <w:bar w:val="nil"/>
        </w:pBdr>
        <w:spacing w:before="0" w:after="240"/>
      </w:pPr>
      <w:r w:rsidRPr="00392E88">
        <w:t xml:space="preserve">W okresie </w:t>
      </w:r>
      <w:r w:rsidRPr="006E6446">
        <w:t>od</w:t>
      </w:r>
      <w:r w:rsidR="006E6446" w:rsidRPr="006E6446">
        <w:t> </w:t>
      </w:r>
      <w:r w:rsidRPr="006E6446">
        <w:t>1</w:t>
      </w:r>
      <w:r w:rsidRPr="00392E88">
        <w:t>3 czerwca 20</w:t>
      </w:r>
      <w:r w:rsidRPr="006E6446">
        <w:t>25</w:t>
      </w:r>
      <w:r w:rsidR="006E6446" w:rsidRPr="006E6446">
        <w:t> </w:t>
      </w:r>
      <w:r w:rsidRPr="006E6446">
        <w:t>r.</w:t>
      </w:r>
      <w:r w:rsidRPr="00392E88">
        <w:t xml:space="preserve"> </w:t>
      </w:r>
      <w:r w:rsidRPr="006E6446">
        <w:t>do</w:t>
      </w:r>
      <w:r w:rsidR="006E6446" w:rsidRPr="006E6446">
        <w:t> </w:t>
      </w:r>
      <w:r w:rsidRPr="006E6446">
        <w:t>2</w:t>
      </w:r>
      <w:r w:rsidRPr="00392E88">
        <w:t>9 sierpnia 20</w:t>
      </w:r>
      <w:r w:rsidRPr="006E6446">
        <w:t>25</w:t>
      </w:r>
      <w:r w:rsidR="006E6446" w:rsidRPr="006E6446">
        <w:t> </w:t>
      </w:r>
      <w:r w:rsidRPr="006E6446">
        <w:t>r.</w:t>
      </w:r>
      <w:r w:rsidRPr="00392E88">
        <w:t xml:space="preserve"> Komisja prowadziła ukierunkowane konsultacje publiczne, aby uzyskać informacje zwrotne na temat ewentualnych zmian dyrektywy IORP II</w:t>
      </w:r>
      <w:r w:rsidR="006E6446" w:rsidRPr="00392E88">
        <w:t>. W</w:t>
      </w:r>
      <w:r w:rsidR="006E6446">
        <w:t> </w:t>
      </w:r>
      <w:r w:rsidR="006E6446" w:rsidRPr="00392E88">
        <w:t>ram</w:t>
      </w:r>
      <w:r w:rsidRPr="00392E88">
        <w:t>ach konsultacji otrzymano łącznie 112 odpowiedzi od różnych grup zainteresowanych stron,</w:t>
      </w:r>
      <w:r w:rsidR="006E6446" w:rsidRPr="00392E88">
        <w:t xml:space="preserve"> w</w:t>
      </w:r>
      <w:r w:rsidR="006E6446">
        <w:t> </w:t>
      </w:r>
      <w:r w:rsidR="006E6446" w:rsidRPr="00392E88">
        <w:t>tym</w:t>
      </w:r>
      <w:r w:rsidRPr="00392E88">
        <w:t xml:space="preserve"> stowarzyszeń przedsiębiorców, przedsiębiorstw, organizacji konsumenckich, organizacji pozarządowych, organów publicznych</w:t>
      </w:r>
      <w:r w:rsidR="006E6446" w:rsidRPr="00392E88">
        <w:t xml:space="preserve"> i</w:t>
      </w:r>
      <w:r w:rsidR="006E6446">
        <w:t> </w:t>
      </w:r>
      <w:r w:rsidR="006E6446" w:rsidRPr="00392E88">
        <w:t>oby</w:t>
      </w:r>
      <w:r w:rsidRPr="00392E88">
        <w:t>wateli, reprezentujących 11 państw członkowskich UE</w:t>
      </w:r>
      <w:r w:rsidR="006E6446" w:rsidRPr="00392E88">
        <w:t xml:space="preserve"> i</w:t>
      </w:r>
      <w:r w:rsidR="006E6446">
        <w:t> </w:t>
      </w:r>
      <w:r w:rsidR="006E6446" w:rsidRPr="00392E88">
        <w:t>dwa</w:t>
      </w:r>
      <w:r w:rsidRPr="00392E88">
        <w:t xml:space="preserve"> państwa spoza UE. Zainteresowane strony wskazały, że elastyczność</w:t>
      </w:r>
      <w:r w:rsidR="006E6446" w:rsidRPr="00392E88">
        <w:t xml:space="preserve"> i</w:t>
      </w:r>
      <w:r w:rsidR="006E6446">
        <w:t> </w:t>
      </w:r>
      <w:r w:rsidR="006E6446" w:rsidRPr="00392E88">
        <w:t>dyw</w:t>
      </w:r>
      <w:r w:rsidRPr="00392E88">
        <w:t>ersyfikacja inwestycji – wraz</w:t>
      </w:r>
      <w:r w:rsidR="006E6446" w:rsidRPr="00392E88">
        <w:t xml:space="preserve"> z</w:t>
      </w:r>
      <w:r w:rsidR="006E6446">
        <w:t> </w:t>
      </w:r>
      <w:r w:rsidR="006E6446" w:rsidRPr="00392E88">
        <w:t>sil</w:t>
      </w:r>
      <w:r w:rsidRPr="00392E88">
        <w:t>nym zarządzaniem</w:t>
      </w:r>
      <w:r w:rsidR="006E6446" w:rsidRPr="00392E88">
        <w:t xml:space="preserve"> i</w:t>
      </w:r>
      <w:r w:rsidR="006E6446">
        <w:t> </w:t>
      </w:r>
      <w:r w:rsidR="006E6446" w:rsidRPr="00392E88">
        <w:t>wię</w:t>
      </w:r>
      <w:r w:rsidRPr="00392E88">
        <w:t>kszą przejrzystością – poprawiłyby obecne ramy.</w:t>
      </w:r>
    </w:p>
    <w:p w14:paraId="615A2C1B" w14:textId="6C847D8F" w:rsidR="00D00B5B" w:rsidRPr="00392E88" w:rsidRDefault="004F2264" w:rsidP="005D0C3B">
      <w:pPr>
        <w:rPr>
          <w:rFonts w:eastAsia="Arial Unicode MS"/>
          <w:u w:color="000000"/>
          <w:bdr w:val="nil"/>
        </w:rPr>
      </w:pPr>
      <w:r w:rsidRPr="00392E88">
        <w:t>23 czerwca 20</w:t>
      </w:r>
      <w:r w:rsidRPr="006E6446">
        <w:t>25</w:t>
      </w:r>
      <w:r w:rsidR="006E6446" w:rsidRPr="006E6446">
        <w:t> </w:t>
      </w:r>
      <w:r w:rsidRPr="006E6446">
        <w:t>r.</w:t>
      </w:r>
      <w:r w:rsidRPr="00392E88">
        <w:t xml:space="preserve"> Komisja wystosowała zaproszenie do zgłaszania uwag,</w:t>
      </w:r>
      <w:r w:rsidR="006E6446" w:rsidRPr="00392E88">
        <w:t xml:space="preserve"> z</w:t>
      </w:r>
      <w:r w:rsidR="006E6446">
        <w:t> </w:t>
      </w:r>
      <w:r w:rsidR="006E6446" w:rsidRPr="00392E88">
        <w:t>ter</w:t>
      </w:r>
      <w:r w:rsidRPr="00392E88">
        <w:t>minem upływającym 21 lipca 20</w:t>
      </w:r>
      <w:r w:rsidRPr="006E6446">
        <w:t>25</w:t>
      </w:r>
      <w:r w:rsidR="006E6446" w:rsidRPr="006E6446">
        <w:t> </w:t>
      </w:r>
      <w:r w:rsidRPr="006E6446">
        <w:t>r.</w:t>
      </w:r>
      <w:r w:rsidRPr="00392E88">
        <w:t>,</w:t>
      </w:r>
      <w:r w:rsidR="006E6446" w:rsidRPr="00392E88">
        <w:t xml:space="preserve"> w</w:t>
      </w:r>
      <w:r w:rsidR="006E6446">
        <w:t> </w:t>
      </w:r>
      <w:r w:rsidR="006E6446" w:rsidRPr="00392E88">
        <w:t>cel</w:t>
      </w:r>
      <w:r w:rsidRPr="00392E88">
        <w:t>u zebrania ogólnych uwag, opinii</w:t>
      </w:r>
      <w:r w:rsidR="006E6446" w:rsidRPr="00392E88">
        <w:t xml:space="preserve"> i</w:t>
      </w:r>
      <w:r w:rsidR="006E6446">
        <w:t> </w:t>
      </w:r>
      <w:r w:rsidR="006E6446" w:rsidRPr="00392E88">
        <w:t>pog</w:t>
      </w:r>
      <w:r w:rsidRPr="00392E88">
        <w:t>lądów na temat poprawy istniejących ram dotyczących emerytur dodatkowych oraz podzielenia się przykładami najlepszych praktyk</w:t>
      </w:r>
      <w:r w:rsidR="006E6446" w:rsidRPr="00392E88">
        <w:t>. W</w:t>
      </w:r>
      <w:r w:rsidR="006E6446">
        <w:t> </w:t>
      </w:r>
      <w:r w:rsidR="006E6446" w:rsidRPr="00392E88">
        <w:t>odp</w:t>
      </w:r>
      <w:r w:rsidRPr="00392E88">
        <w:t xml:space="preserve">owiedzi na zaproszenie do zgłaszania uwag otrzymano łącznie 47 odpowiedzi, na które złożyło </w:t>
      </w:r>
      <w:r w:rsidRPr="006E6446">
        <w:t>się</w:t>
      </w:r>
      <w:r w:rsidR="006E6446" w:rsidRPr="006E6446">
        <w:t> </w:t>
      </w:r>
      <w:r w:rsidRPr="006E6446">
        <w:t>3</w:t>
      </w:r>
      <w:r w:rsidRPr="00392E88">
        <w:t>5 indywidualnych odpowiedzi od różnych organizacji, takich jak stowarzyszenia przedsiębiorców</w:t>
      </w:r>
      <w:r w:rsidR="006E6446" w:rsidRPr="00392E88">
        <w:t xml:space="preserve"> i</w:t>
      </w:r>
      <w:r w:rsidR="006E6446">
        <w:t> </w:t>
      </w:r>
      <w:r w:rsidR="006E6446" w:rsidRPr="00392E88">
        <w:t>pra</w:t>
      </w:r>
      <w:r w:rsidRPr="00392E88">
        <w:t>codawców, organizacje pozarządowe, organizacje konsumenckie</w:t>
      </w:r>
      <w:r w:rsidR="006E6446" w:rsidRPr="00392E88">
        <w:t xml:space="preserve"> i</w:t>
      </w:r>
      <w:r w:rsidR="006E6446">
        <w:t> </w:t>
      </w:r>
      <w:r w:rsidR="006E6446" w:rsidRPr="00392E88">
        <w:t>oby</w:t>
      </w:r>
      <w:r w:rsidRPr="00392E88">
        <w:t>watele,</w:t>
      </w:r>
      <w:r w:rsidR="006E6446" w:rsidRPr="00392E88">
        <w:t xml:space="preserve"> z</w:t>
      </w:r>
      <w:r w:rsidR="006E6446">
        <w:t> </w:t>
      </w:r>
      <w:r w:rsidR="006E6446" w:rsidRPr="00392E88">
        <w:t>1</w:t>
      </w:r>
      <w:r w:rsidRPr="00392E88">
        <w:t>2 państw członkowskich UE</w:t>
      </w:r>
      <w:r w:rsidR="006E6446" w:rsidRPr="00392E88">
        <w:t xml:space="preserve"> i</w:t>
      </w:r>
      <w:r w:rsidR="006E6446">
        <w:t> </w:t>
      </w:r>
      <w:r w:rsidR="006E6446" w:rsidRPr="00392E88">
        <w:t>czt</w:t>
      </w:r>
      <w:r w:rsidRPr="00392E88">
        <w:t>erech państw spoza UE. Ogólnie rzecz biorąc, zdecydowana większość respondentów zgodziła się, że konieczne są usprawnienia</w:t>
      </w:r>
      <w:r w:rsidR="006E6446" w:rsidRPr="00392E88">
        <w:t xml:space="preserve"> w</w:t>
      </w:r>
      <w:r w:rsidR="006E6446">
        <w:t> </w:t>
      </w:r>
      <w:r w:rsidR="006E6446" w:rsidRPr="00392E88">
        <w:t>zak</w:t>
      </w:r>
      <w:r w:rsidRPr="00392E88">
        <w:t>resie emerytur dodatkowych, aby uwolnić ich pełny potencjał</w:t>
      </w:r>
      <w:r w:rsidR="006E6446" w:rsidRPr="00392E88">
        <w:t xml:space="preserve"> z</w:t>
      </w:r>
      <w:r w:rsidR="006E6446">
        <w:t> </w:t>
      </w:r>
      <w:r w:rsidR="006E6446" w:rsidRPr="00392E88">
        <w:t>kor</w:t>
      </w:r>
      <w:r w:rsidRPr="00392E88">
        <w:t>zyścią dla obywateli</w:t>
      </w:r>
      <w:r w:rsidR="006E6446" w:rsidRPr="00392E88">
        <w:t xml:space="preserve"> i</w:t>
      </w:r>
      <w:r w:rsidR="006E6446">
        <w:t> </w:t>
      </w:r>
      <w:r w:rsidR="006E6446" w:rsidRPr="00392E88">
        <w:t>gos</w:t>
      </w:r>
      <w:r w:rsidRPr="00392E88">
        <w:t xml:space="preserve">podarki UE. </w:t>
      </w:r>
    </w:p>
    <w:p w14:paraId="5B5AFC8C" w14:textId="7138E50F" w:rsidR="00AC2BE5" w:rsidRPr="00392E88" w:rsidRDefault="00D00B5B" w:rsidP="00D00B5B">
      <w:pPr>
        <w:pStyle w:val="ManualHeading2"/>
        <w:rPr>
          <w:rFonts w:eastAsia="Arial Unicode MS"/>
          <w:u w:color="000000"/>
          <w:bdr w:val="nil"/>
        </w:rPr>
      </w:pPr>
      <w:r w:rsidRPr="00392E88">
        <w:rPr>
          <w:u w:color="000000"/>
          <w:bdr w:val="nil"/>
        </w:rPr>
        <w:t>•</w:t>
      </w:r>
      <w:r w:rsidRPr="00392E88">
        <w:tab/>
      </w:r>
      <w:r w:rsidRPr="00392E88">
        <w:rPr>
          <w:u w:color="000000"/>
          <w:bdr w:val="nil"/>
        </w:rPr>
        <w:t>Gromadzenie</w:t>
      </w:r>
      <w:r w:rsidR="006E6446" w:rsidRPr="00392E88">
        <w:rPr>
          <w:u w:color="000000"/>
          <w:bdr w:val="nil"/>
        </w:rPr>
        <w:t xml:space="preserve"> i</w:t>
      </w:r>
      <w:r w:rsidR="006E6446">
        <w:rPr>
          <w:u w:color="000000"/>
          <w:bdr w:val="nil"/>
        </w:rPr>
        <w:t> </w:t>
      </w:r>
      <w:r w:rsidR="006E6446" w:rsidRPr="00392E88">
        <w:rPr>
          <w:u w:color="000000"/>
          <w:bdr w:val="nil"/>
        </w:rPr>
        <w:t>wyk</w:t>
      </w:r>
      <w:r w:rsidRPr="00392E88">
        <w:rPr>
          <w:u w:color="000000"/>
          <w:bdr w:val="nil"/>
        </w:rPr>
        <w:t>orzystanie wiedzy eksperckiej</w:t>
      </w:r>
    </w:p>
    <w:p w14:paraId="4C97608C" w14:textId="3B621235" w:rsidR="00EF1EA2" w:rsidRPr="00392E88" w:rsidRDefault="0097090D" w:rsidP="001F1B99">
      <w:pPr>
        <w:pBdr>
          <w:top w:val="nil"/>
          <w:left w:val="nil"/>
          <w:bottom w:val="nil"/>
          <w:right w:val="nil"/>
          <w:between w:val="nil"/>
          <w:bar w:val="nil"/>
        </w:pBdr>
        <w:spacing w:before="0" w:after="240"/>
        <w:rPr>
          <w:highlight w:val="yellow"/>
        </w:rPr>
      </w:pPr>
      <w:r w:rsidRPr="00392E88">
        <w:t>28 września 20</w:t>
      </w:r>
      <w:r w:rsidRPr="006E6446">
        <w:t>23</w:t>
      </w:r>
      <w:r w:rsidR="006E6446" w:rsidRPr="006E6446">
        <w:t> </w:t>
      </w:r>
      <w:r w:rsidRPr="006E6446">
        <w:t>r.</w:t>
      </w:r>
      <w:r w:rsidRPr="00392E88">
        <w:t xml:space="preserve"> EIOPA wydał opinię techniczną na potrzeby przeglądu dyrektywy IORP II</w:t>
      </w:r>
      <w:r w:rsidRPr="00392E88">
        <w:rPr>
          <w:rStyle w:val="FootnoteReference"/>
          <w:rFonts w:eastAsia="Arial Unicode MS"/>
        </w:rPr>
        <w:footnoteReference w:id="19"/>
      </w:r>
      <w:r w:rsidRPr="00392E88">
        <w:t>. EIOPA zalecił (i) aktualizację ram regulacyjnych IORP</w:t>
      </w:r>
      <w:r w:rsidR="006E6446" w:rsidRPr="00392E88">
        <w:t xml:space="preserve"> w</w:t>
      </w:r>
      <w:r w:rsidR="006E6446">
        <w:t> </w:t>
      </w:r>
      <w:r w:rsidR="006E6446" w:rsidRPr="00392E88">
        <w:t>cel</w:t>
      </w:r>
      <w:r w:rsidRPr="00392E88">
        <w:t>u uwzględnienia przejścia</w:t>
      </w:r>
      <w:r w:rsidR="006E6446" w:rsidRPr="00392E88">
        <w:t xml:space="preserve"> z</w:t>
      </w:r>
      <w:r w:rsidR="006E6446">
        <w:t> </w:t>
      </w:r>
      <w:r w:rsidR="006E6446" w:rsidRPr="00392E88">
        <w:t>eme</w:t>
      </w:r>
      <w:r w:rsidRPr="00392E88">
        <w:t>rytur</w:t>
      </w:r>
      <w:r w:rsidR="006E6446" w:rsidRPr="00392E88">
        <w:t xml:space="preserve"> o</w:t>
      </w:r>
      <w:r w:rsidR="006E6446">
        <w:t> </w:t>
      </w:r>
      <w:r w:rsidR="006E6446" w:rsidRPr="00392E88">
        <w:t>zde</w:t>
      </w:r>
      <w:r w:rsidRPr="00392E88">
        <w:t>finiowanym świadczeniu na emerytury</w:t>
      </w:r>
      <w:r w:rsidR="006E6446" w:rsidRPr="00392E88">
        <w:t xml:space="preserve"> o</w:t>
      </w:r>
      <w:r w:rsidR="006E6446">
        <w:t> </w:t>
      </w:r>
      <w:r w:rsidR="006E6446" w:rsidRPr="00392E88">
        <w:t>zde</w:t>
      </w:r>
      <w:r w:rsidRPr="00392E88">
        <w:t>finiowanej składce oraz wyzwań społeczno-środowiskowych; (ii) zwiększenie przejrzystości kosztów, stabilności inwestycji</w:t>
      </w:r>
      <w:r w:rsidR="006E6446" w:rsidRPr="00392E88">
        <w:t xml:space="preserve"> i</w:t>
      </w:r>
      <w:r w:rsidR="006E6446">
        <w:t> </w:t>
      </w:r>
      <w:r w:rsidR="006E6446" w:rsidRPr="00392E88">
        <w:t>wła</w:t>
      </w:r>
      <w:r w:rsidRPr="00392E88">
        <w:t>ściwej regulacji systemów</w:t>
      </w:r>
      <w:r w:rsidR="006E6446" w:rsidRPr="00392E88">
        <w:t xml:space="preserve"> o</w:t>
      </w:r>
      <w:r w:rsidR="006E6446">
        <w:t> </w:t>
      </w:r>
      <w:r w:rsidR="006E6446" w:rsidRPr="00392E88">
        <w:t>zde</w:t>
      </w:r>
      <w:r w:rsidRPr="00392E88">
        <w:t>finiowanym świadczeniu; oraz (iii) poprawę środków dotyczących proporcjonalności.</w:t>
      </w:r>
    </w:p>
    <w:p w14:paraId="665FC4F5" w14:textId="4BEBD03A" w:rsidR="001F1B99" w:rsidRPr="00392E88" w:rsidRDefault="001F1B99" w:rsidP="001F1B99">
      <w:pPr>
        <w:pBdr>
          <w:top w:val="nil"/>
          <w:left w:val="nil"/>
          <w:bottom w:val="nil"/>
          <w:right w:val="nil"/>
          <w:between w:val="nil"/>
          <w:bar w:val="nil"/>
        </w:pBdr>
        <w:spacing w:before="0" w:after="240"/>
      </w:pPr>
      <w:r w:rsidRPr="00392E88">
        <w:t>16 czerwca 20</w:t>
      </w:r>
      <w:r w:rsidRPr="006E6446">
        <w:t>25</w:t>
      </w:r>
      <w:r w:rsidR="006E6446" w:rsidRPr="006E6446">
        <w:t> </w:t>
      </w:r>
      <w:r w:rsidRPr="006E6446">
        <w:t>r.</w:t>
      </w:r>
      <w:r w:rsidRPr="00392E88">
        <w:t xml:space="preserve"> Komisja zorganizowała forum zainteresowanych stron</w:t>
      </w:r>
      <w:r w:rsidRPr="00392E88">
        <w:rPr>
          <w:rStyle w:val="FootnoteReference"/>
          <w:rFonts w:eastAsia="Arial Unicode MS"/>
        </w:rPr>
        <w:footnoteReference w:id="20"/>
      </w:r>
      <w:r w:rsidRPr="00392E88">
        <w:t>, aby zbadać pojawiające się tendencje</w:t>
      </w:r>
      <w:r w:rsidR="006E6446" w:rsidRPr="00392E88">
        <w:t xml:space="preserve"> w</w:t>
      </w:r>
      <w:r w:rsidR="006E6446">
        <w:t> </w:t>
      </w:r>
      <w:r w:rsidR="006E6446" w:rsidRPr="00392E88">
        <w:t>zak</w:t>
      </w:r>
      <w:r w:rsidRPr="00392E88">
        <w:t>resie świadczeń emerytalnych</w:t>
      </w:r>
      <w:r w:rsidR="006E6446" w:rsidRPr="00392E88">
        <w:t xml:space="preserve"> w</w:t>
      </w:r>
      <w:r w:rsidR="006E6446">
        <w:t> </w:t>
      </w:r>
      <w:r w:rsidR="006E6446" w:rsidRPr="00392E88">
        <w:t>cał</w:t>
      </w:r>
      <w:r w:rsidRPr="00392E88">
        <w:t>ej UE</w:t>
      </w:r>
      <w:r w:rsidR="006E6446" w:rsidRPr="00392E88">
        <w:t>. W</w:t>
      </w:r>
      <w:r w:rsidR="006E6446">
        <w:t> </w:t>
      </w:r>
      <w:r w:rsidR="006E6446" w:rsidRPr="00392E88">
        <w:t>tra</w:t>
      </w:r>
      <w:r w:rsidRPr="00392E88">
        <w:t>kcie obrad forum zwrócono uwagę na najlepsze praktyki państw członkowskich</w:t>
      </w:r>
      <w:r w:rsidR="006E6446" w:rsidRPr="00392E88">
        <w:t xml:space="preserve"> i</w:t>
      </w:r>
      <w:r w:rsidR="006E6446">
        <w:t> </w:t>
      </w:r>
      <w:r w:rsidR="006E6446" w:rsidRPr="00392E88">
        <w:t>uto</w:t>
      </w:r>
      <w:r w:rsidRPr="00392E88">
        <w:t>rowano drogę do dzielenia się skutecznymi strategiami</w:t>
      </w:r>
      <w:r w:rsidR="006E6446" w:rsidRPr="00392E88">
        <w:t xml:space="preserve"> w</w:t>
      </w:r>
      <w:r w:rsidR="006E6446">
        <w:t> </w:t>
      </w:r>
      <w:r w:rsidR="006E6446" w:rsidRPr="00392E88">
        <w:t>cał</w:t>
      </w:r>
      <w:r w:rsidRPr="00392E88">
        <w:t>ej UE. Podczas spotkania na temat stosowania przepisów</w:t>
      </w:r>
      <w:r w:rsidR="006E6446" w:rsidRPr="00392E88">
        <w:t xml:space="preserve"> w</w:t>
      </w:r>
      <w:r w:rsidR="006E6446">
        <w:t> </w:t>
      </w:r>
      <w:r w:rsidR="006E6446" w:rsidRPr="00392E88">
        <w:t>pra</w:t>
      </w:r>
      <w:r w:rsidRPr="00392E88">
        <w:t>ktyce zaprezentowano przykłady udanych działań</w:t>
      </w:r>
      <w:r w:rsidR="006E6446" w:rsidRPr="00392E88">
        <w:t xml:space="preserve"> w</w:t>
      </w:r>
      <w:r w:rsidR="006E6446">
        <w:t> </w:t>
      </w:r>
      <w:r w:rsidR="006E6446" w:rsidRPr="00392E88">
        <w:t>zak</w:t>
      </w:r>
      <w:r w:rsidRPr="00392E88">
        <w:t>resie emerytur</w:t>
      </w:r>
      <w:r w:rsidR="006E6446" w:rsidRPr="00392E88">
        <w:t xml:space="preserve"> w</w:t>
      </w:r>
      <w:r w:rsidR="006E6446">
        <w:t> </w:t>
      </w:r>
      <w:r w:rsidR="006E6446" w:rsidRPr="00392E88">
        <w:t>fil</w:t>
      </w:r>
      <w:r w:rsidRPr="00392E88">
        <w:t>arach drugim</w:t>
      </w:r>
      <w:r w:rsidR="006E6446" w:rsidRPr="00392E88">
        <w:t xml:space="preserve"> i</w:t>
      </w:r>
      <w:r w:rsidR="006E6446">
        <w:t> </w:t>
      </w:r>
      <w:r w:rsidR="006E6446" w:rsidRPr="00392E88">
        <w:t>trz</w:t>
      </w:r>
      <w:r w:rsidRPr="00392E88">
        <w:t>ecim oraz zbadano,</w:t>
      </w:r>
      <w:r w:rsidR="006E6446" w:rsidRPr="00392E88">
        <w:t xml:space="preserve"> w</w:t>
      </w:r>
      <w:r w:rsidR="006E6446">
        <w:t> </w:t>
      </w:r>
      <w:r w:rsidR="006E6446" w:rsidRPr="00392E88">
        <w:t>jak</w:t>
      </w:r>
      <w:r w:rsidRPr="00392E88">
        <w:t>i sposób najlepsze praktyki można wykorzystać jako wytyczne dla dalszych reform</w:t>
      </w:r>
      <w:r w:rsidR="006E6446" w:rsidRPr="00392E88">
        <w:t>. W</w:t>
      </w:r>
      <w:r w:rsidR="006E6446">
        <w:t> </w:t>
      </w:r>
      <w:r w:rsidR="006E6446" w:rsidRPr="00392E88">
        <w:t>tra</w:t>
      </w:r>
      <w:r w:rsidRPr="00392E88">
        <w:t>kcie rozmów uzyskano informacje zwrotne od wszystkich zainteresowanych stron oferujących produkty emerytalne. Uczestnicy zgodzili się, że konieczny jest przegląd dyrektywy IORP II</w:t>
      </w:r>
      <w:r w:rsidR="006E6446" w:rsidRPr="00392E88">
        <w:t xml:space="preserve"> w</w:t>
      </w:r>
      <w:r w:rsidR="006E6446">
        <w:t> </w:t>
      </w:r>
      <w:r w:rsidR="006E6446" w:rsidRPr="00392E88">
        <w:t>cel</w:t>
      </w:r>
      <w:r w:rsidRPr="00392E88">
        <w:t>u poprawy wyników dla emerytów.</w:t>
      </w:r>
    </w:p>
    <w:p w14:paraId="0313CCA4" w14:textId="2F26A990" w:rsidR="00F15079" w:rsidRPr="00392E88" w:rsidRDefault="00AF47E8" w:rsidP="005D0C3B">
      <w:r w:rsidRPr="00392E88">
        <w:t>5 września 20</w:t>
      </w:r>
      <w:r w:rsidRPr="006E6446">
        <w:t>25</w:t>
      </w:r>
      <w:r w:rsidR="006E6446" w:rsidRPr="006E6446">
        <w:t> </w:t>
      </w:r>
      <w:r w:rsidRPr="006E6446">
        <w:t>r.</w:t>
      </w:r>
      <w:r w:rsidRPr="00392E88">
        <w:t xml:space="preserve"> EIOPA przedłożył uwagi techniczne</w:t>
      </w:r>
      <w:r w:rsidRPr="00392E88">
        <w:rPr>
          <w:rStyle w:val="FootnoteReference"/>
          <w:rFonts w:eastAsia="Arial Unicode MS"/>
        </w:rPr>
        <w:footnoteReference w:id="21"/>
      </w:r>
      <w:r w:rsidRPr="00392E88">
        <w:t>,</w:t>
      </w:r>
      <w:r w:rsidR="006E6446" w:rsidRPr="00392E88">
        <w:t xml:space="preserve"> o</w:t>
      </w:r>
      <w:r w:rsidR="006E6446">
        <w:t> </w:t>
      </w:r>
      <w:r w:rsidR="006E6446" w:rsidRPr="00392E88">
        <w:t>któ</w:t>
      </w:r>
      <w:r w:rsidRPr="00392E88">
        <w:t>re zwróciła się Komisja</w:t>
      </w:r>
      <w:r w:rsidR="006E6446" w:rsidRPr="00392E88">
        <w:t xml:space="preserve"> w</w:t>
      </w:r>
      <w:r w:rsidR="006E6446">
        <w:t> </w:t>
      </w:r>
      <w:r w:rsidR="006E6446" w:rsidRPr="00392E88">
        <w:t>cel</w:t>
      </w:r>
      <w:r w:rsidRPr="00392E88">
        <w:t>u wsparcia rozwoju emerytur dodatkowych</w:t>
      </w:r>
      <w:r w:rsidR="006E6446" w:rsidRPr="00392E88">
        <w:t xml:space="preserve"> i</w:t>
      </w:r>
      <w:r w:rsidR="006E6446">
        <w:t> </w:t>
      </w:r>
      <w:r w:rsidR="006E6446" w:rsidRPr="00392E88">
        <w:t>usp</w:t>
      </w:r>
      <w:r w:rsidRPr="00392E88">
        <w:t>rawnienia systemu emerytur dodatkowych. EIOPA opowiedział się za (i) ściślejszym nadzorem, (ii) stosowaniem podejścia</w:t>
      </w:r>
      <w:r w:rsidR="006E6446" w:rsidRPr="00392E88">
        <w:t xml:space="preserve"> w</w:t>
      </w:r>
      <w:r w:rsidR="006E6446">
        <w:t> </w:t>
      </w:r>
      <w:r w:rsidR="006E6446" w:rsidRPr="00392E88">
        <w:t>wię</w:t>
      </w:r>
      <w:r w:rsidRPr="00392E88">
        <w:t>kszym stopniu opartego na analizie ryzyka</w:t>
      </w:r>
      <w:r w:rsidR="006E6446" w:rsidRPr="00392E88">
        <w:t xml:space="preserve"> w</w:t>
      </w:r>
      <w:r w:rsidR="006E6446">
        <w:t> </w:t>
      </w:r>
      <w:r w:rsidR="006E6446" w:rsidRPr="00392E88">
        <w:t>cel</w:t>
      </w:r>
      <w:r w:rsidRPr="00392E88">
        <w:t>u wspierania możliwości inwestycyjnych</w:t>
      </w:r>
      <w:r w:rsidR="006E6446" w:rsidRPr="00392E88">
        <w:t xml:space="preserve"> w</w:t>
      </w:r>
      <w:r w:rsidR="006E6446">
        <w:t> </w:t>
      </w:r>
      <w:r w:rsidR="006E6446" w:rsidRPr="00392E88">
        <w:t>zak</w:t>
      </w:r>
      <w:r w:rsidRPr="00392E88">
        <w:t>resie aktywów alternatywnych oraz (iii) doprecyzowaniem zakresu dyrektywy IORP II</w:t>
      </w:r>
      <w:r w:rsidR="006E6446" w:rsidRPr="00392E88">
        <w:t xml:space="preserve"> w</w:t>
      </w:r>
      <w:r w:rsidR="006E6446">
        <w:t> </w:t>
      </w:r>
      <w:r w:rsidR="006E6446" w:rsidRPr="00392E88">
        <w:t>cel</w:t>
      </w:r>
      <w:r w:rsidRPr="00392E88">
        <w:t>u dalszego odblokowania korzyści płynących</w:t>
      </w:r>
      <w:r w:rsidR="006E6446" w:rsidRPr="00392E88">
        <w:t xml:space="preserve"> z</w:t>
      </w:r>
      <w:r w:rsidR="006E6446">
        <w:t> </w:t>
      </w:r>
      <w:r w:rsidR="006E6446" w:rsidRPr="00392E88">
        <w:t>dłu</w:t>
      </w:r>
      <w:r w:rsidRPr="00392E88">
        <w:t xml:space="preserve">goterminowych oszczędności. </w:t>
      </w:r>
    </w:p>
    <w:p w14:paraId="299E56B1" w14:textId="77777777" w:rsidR="00AC2BE5" w:rsidRPr="00392E88" w:rsidRDefault="00AC2BE5">
      <w:pPr>
        <w:pStyle w:val="ManualHeading2"/>
        <w:rPr>
          <w:rFonts w:eastAsia="Arial Unicode MS"/>
          <w:u w:color="000000"/>
          <w:bdr w:val="nil"/>
        </w:rPr>
      </w:pPr>
      <w:r w:rsidRPr="00392E88">
        <w:rPr>
          <w:u w:color="000000"/>
          <w:bdr w:val="nil"/>
        </w:rPr>
        <w:t>•</w:t>
      </w:r>
      <w:r w:rsidRPr="00392E88">
        <w:tab/>
      </w:r>
      <w:r w:rsidRPr="00392E88">
        <w:rPr>
          <w:u w:color="000000"/>
          <w:bdr w:val="nil"/>
        </w:rPr>
        <w:t>Ocena skutków</w:t>
      </w:r>
    </w:p>
    <w:p w14:paraId="3A709719" w14:textId="2C9BC8E5" w:rsidR="00D75B99" w:rsidRPr="00392E88" w:rsidRDefault="00053262" w:rsidP="00D75B99">
      <w:pPr>
        <w:pBdr>
          <w:top w:val="nil"/>
          <w:left w:val="nil"/>
          <w:bottom w:val="nil"/>
          <w:right w:val="nil"/>
          <w:between w:val="nil"/>
          <w:bar w:val="nil"/>
        </w:pBdr>
        <w:spacing w:before="0" w:after="240"/>
      </w:pPr>
      <w:r w:rsidRPr="00392E88">
        <w:t>Wniosek jest poparty dokumentem roboczym służb Komisji,</w:t>
      </w:r>
      <w:r w:rsidR="006E6446" w:rsidRPr="00392E88">
        <w:t xml:space="preserve"> w</w:t>
      </w:r>
      <w:r w:rsidR="006E6446">
        <w:t> </w:t>
      </w:r>
      <w:r w:rsidR="006E6446" w:rsidRPr="00392E88">
        <w:t>któ</w:t>
      </w:r>
      <w:r w:rsidRPr="00392E88">
        <w:t xml:space="preserve">rym oceniono wpływ proponowanych zmian. </w:t>
      </w:r>
    </w:p>
    <w:p w14:paraId="0C617FEA" w14:textId="77777777" w:rsidR="00AC2BE5" w:rsidRPr="00392E88" w:rsidRDefault="00053262" w:rsidP="00053262">
      <w:pPr>
        <w:pBdr>
          <w:top w:val="nil"/>
          <w:left w:val="nil"/>
          <w:bottom w:val="nil"/>
          <w:right w:val="nil"/>
          <w:between w:val="nil"/>
          <w:bar w:val="nil"/>
        </w:pBdr>
        <w:spacing w:before="0" w:after="240"/>
      </w:pPr>
      <w:r w:rsidRPr="00392E88">
        <w:t>W dokumencie roboczym służb Komisji przeanalizowano cztery warianty proponowanej dyrektywy zmieniającej:</w:t>
      </w:r>
    </w:p>
    <w:p w14:paraId="1374E1B8" w14:textId="2F19FFE8" w:rsidR="005C177F" w:rsidRPr="00392E88" w:rsidRDefault="00395530" w:rsidP="00395530">
      <w:pPr>
        <w:pBdr>
          <w:top w:val="nil"/>
          <w:left w:val="nil"/>
          <w:bottom w:val="nil"/>
          <w:right w:val="nil"/>
          <w:between w:val="nil"/>
          <w:bar w:val="nil"/>
        </w:pBdr>
        <w:spacing w:before="0" w:after="240"/>
        <w:rPr>
          <w:rFonts w:eastAsia="Arial Unicode MS"/>
        </w:rPr>
      </w:pPr>
      <w:r w:rsidRPr="00392E88">
        <w:t xml:space="preserve">W </w:t>
      </w:r>
      <w:r w:rsidRPr="00392E88">
        <w:rPr>
          <w:b/>
        </w:rPr>
        <w:t>wariancie 1</w:t>
      </w:r>
      <w:r w:rsidRPr="00392E88">
        <w:t xml:space="preserve"> obecne ramy dyrektywy IORP II pozostałyby niezmienione</w:t>
      </w:r>
      <w:r w:rsidR="006E6446" w:rsidRPr="00392E88">
        <w:t xml:space="preserve"> i</w:t>
      </w:r>
      <w:r w:rsidR="006E6446">
        <w:t> </w:t>
      </w:r>
      <w:r w:rsidR="006E6446" w:rsidRPr="00392E88">
        <w:t>opi</w:t>
      </w:r>
      <w:r w:rsidRPr="00392E88">
        <w:t>erałyby się na powolnym, organicznym wzroście</w:t>
      </w:r>
      <w:r w:rsidR="006E6446" w:rsidRPr="00392E88">
        <w:t xml:space="preserve"> w</w:t>
      </w:r>
      <w:r w:rsidR="006E6446">
        <w:t> </w:t>
      </w:r>
      <w:r w:rsidR="006E6446" w:rsidRPr="00392E88">
        <w:t>cel</w:t>
      </w:r>
      <w:r w:rsidRPr="00392E88">
        <w:t>u zapewnienia skali</w:t>
      </w:r>
      <w:r w:rsidR="006E6446" w:rsidRPr="00392E88">
        <w:t xml:space="preserve"> i</w:t>
      </w:r>
      <w:r w:rsidR="006E6446">
        <w:t> </w:t>
      </w:r>
      <w:r w:rsidR="006E6446" w:rsidRPr="00392E88">
        <w:t>ule</w:t>
      </w:r>
      <w:r w:rsidRPr="00392E88">
        <w:t>pszeń</w:t>
      </w:r>
      <w:r w:rsidR="006E6446" w:rsidRPr="00392E88">
        <w:t xml:space="preserve"> w</w:t>
      </w:r>
      <w:r w:rsidR="006E6446">
        <w:t> </w:t>
      </w:r>
      <w:r w:rsidR="006E6446" w:rsidRPr="00392E88">
        <w:t>mia</w:t>
      </w:r>
      <w:r w:rsidRPr="00392E88">
        <w:t>rę upływu czasu. Wariant ten został odrzucony ze względu na potrzebę wzmocnienia przepisów dotyczących emerytur dodatkowych obywateli UE, jak opisano powyżej.</w:t>
      </w:r>
    </w:p>
    <w:p w14:paraId="0603FBAE" w14:textId="49D53749" w:rsidR="00E04C24" w:rsidRPr="00392E88" w:rsidRDefault="000C14FD" w:rsidP="00395530">
      <w:pPr>
        <w:pBdr>
          <w:top w:val="nil"/>
          <w:left w:val="nil"/>
          <w:bottom w:val="nil"/>
          <w:right w:val="nil"/>
          <w:between w:val="nil"/>
          <w:bar w:val="nil"/>
        </w:pBdr>
        <w:spacing w:before="0" w:after="240"/>
        <w:rPr>
          <w:rStyle w:val="normaltextrun"/>
          <w:rFonts w:eastAsia="Times New Roman"/>
        </w:rPr>
      </w:pPr>
      <w:r w:rsidRPr="00392E88">
        <w:rPr>
          <w:rStyle w:val="normaltextrun"/>
        </w:rPr>
        <w:t xml:space="preserve">W </w:t>
      </w:r>
      <w:r w:rsidRPr="00392E88">
        <w:rPr>
          <w:rStyle w:val="normaltextrun"/>
          <w:b/>
        </w:rPr>
        <w:t>wariancie 2</w:t>
      </w:r>
      <w:r w:rsidRPr="00392E88">
        <w:rPr>
          <w:rStyle w:val="normaltextrun"/>
        </w:rPr>
        <w:t xml:space="preserve"> doprecyzowano by zasadę „ostrożnego inwestora”. Doprecyzowanie to przyczyniłoby się do przesunięcia punktu ciężkości polityki inwestycyjnej IORP</w:t>
      </w:r>
      <w:r w:rsidR="006E6446" w:rsidRPr="00392E88">
        <w:rPr>
          <w:rStyle w:val="normaltextrun"/>
        </w:rPr>
        <w:t xml:space="preserve"> z</w:t>
      </w:r>
      <w:r w:rsidR="006E6446">
        <w:rPr>
          <w:rStyle w:val="normaltextrun"/>
        </w:rPr>
        <w:t> </w:t>
      </w:r>
      <w:r w:rsidR="006E6446" w:rsidRPr="00392E88">
        <w:rPr>
          <w:rStyle w:val="normaltextrun"/>
        </w:rPr>
        <w:t>upr</w:t>
      </w:r>
      <w:r w:rsidRPr="00392E88">
        <w:rPr>
          <w:rStyle w:val="normaltextrun"/>
        </w:rPr>
        <w:t>oszczonej, konserwatywnej alokacji aktywów, nieuwzględniającej zwrotu</w:t>
      </w:r>
      <w:r w:rsidR="006E6446" w:rsidRPr="00392E88">
        <w:rPr>
          <w:rStyle w:val="normaltextrun"/>
        </w:rPr>
        <w:t xml:space="preserve"> z</w:t>
      </w:r>
      <w:r w:rsidR="006E6446">
        <w:rPr>
          <w:rStyle w:val="normaltextrun"/>
        </w:rPr>
        <w:t> </w:t>
      </w:r>
      <w:r w:rsidR="006E6446" w:rsidRPr="00392E88">
        <w:rPr>
          <w:rStyle w:val="normaltextrun"/>
        </w:rPr>
        <w:t>cel</w:t>
      </w:r>
      <w:r w:rsidRPr="00392E88">
        <w:rPr>
          <w:rStyle w:val="normaltextrun"/>
        </w:rPr>
        <w:t>ów funduszy emerytalnych, na bardziej zrównoważone strategie inwestycyjne</w:t>
      </w:r>
      <w:r w:rsidR="006E6446" w:rsidRPr="00392E88">
        <w:rPr>
          <w:rStyle w:val="normaltextrun"/>
        </w:rPr>
        <w:t xml:space="preserve"> w</w:t>
      </w:r>
      <w:r w:rsidR="006E6446">
        <w:rPr>
          <w:rStyle w:val="normaltextrun"/>
        </w:rPr>
        <w:t> </w:t>
      </w:r>
      <w:r w:rsidR="006E6446" w:rsidRPr="00392E88">
        <w:rPr>
          <w:rStyle w:val="normaltextrun"/>
        </w:rPr>
        <w:t>ryz</w:t>
      </w:r>
      <w:r w:rsidRPr="00392E88">
        <w:rPr>
          <w:rStyle w:val="normaltextrun"/>
        </w:rPr>
        <w:t>yka</w:t>
      </w:r>
      <w:r w:rsidR="006E6446" w:rsidRPr="00392E88">
        <w:rPr>
          <w:rStyle w:val="normaltextrun"/>
        </w:rPr>
        <w:t xml:space="preserve"> i</w:t>
      </w:r>
      <w:r w:rsidR="006E6446">
        <w:rPr>
          <w:rStyle w:val="normaltextrun"/>
        </w:rPr>
        <w:t> </w:t>
      </w:r>
      <w:r w:rsidR="006E6446" w:rsidRPr="00392E88">
        <w:rPr>
          <w:rStyle w:val="normaltextrun"/>
        </w:rPr>
        <w:t>zwr</w:t>
      </w:r>
      <w:r w:rsidRPr="00392E88">
        <w:rPr>
          <w:rStyle w:val="normaltextrun"/>
        </w:rPr>
        <w:t>otu, które (i) dążą do osiągnięcia długoterminowej wartości dla uczestników programów emerytalnych</w:t>
      </w:r>
      <w:r w:rsidR="006E6446" w:rsidRPr="00392E88">
        <w:rPr>
          <w:rStyle w:val="normaltextrun"/>
        </w:rPr>
        <w:t xml:space="preserve"> w</w:t>
      </w:r>
      <w:r w:rsidR="006E6446">
        <w:rPr>
          <w:rStyle w:val="normaltextrun"/>
        </w:rPr>
        <w:t> </w:t>
      </w:r>
      <w:r w:rsidR="006E6446" w:rsidRPr="00392E88">
        <w:rPr>
          <w:rStyle w:val="normaltextrun"/>
        </w:rPr>
        <w:t>dro</w:t>
      </w:r>
      <w:r w:rsidRPr="00392E88">
        <w:rPr>
          <w:rStyle w:val="normaltextrun"/>
        </w:rPr>
        <w:t>dze dywersyfikacji ryzyka,</w:t>
      </w:r>
      <w:r w:rsidR="006E6446" w:rsidRPr="00392E88">
        <w:rPr>
          <w:rStyle w:val="normaltextrun"/>
        </w:rPr>
        <w:t xml:space="preserve"> w</w:t>
      </w:r>
      <w:r w:rsidR="006E6446">
        <w:rPr>
          <w:rStyle w:val="normaltextrun"/>
        </w:rPr>
        <w:t> </w:t>
      </w:r>
      <w:r w:rsidR="006E6446" w:rsidRPr="00392E88">
        <w:rPr>
          <w:rStyle w:val="normaltextrun"/>
        </w:rPr>
        <w:t>tym</w:t>
      </w:r>
      <w:r w:rsidRPr="00392E88">
        <w:rPr>
          <w:rStyle w:val="normaltextrun"/>
        </w:rPr>
        <w:t xml:space="preserve"> między klasami aktywów, oraz (ii) opierają się na należytym zarządzaniu oraz wiedzy</w:t>
      </w:r>
      <w:r w:rsidR="006E6446" w:rsidRPr="00392E88">
        <w:rPr>
          <w:rStyle w:val="normaltextrun"/>
        </w:rPr>
        <w:t xml:space="preserve"> i</w:t>
      </w:r>
      <w:r w:rsidR="006E6446">
        <w:rPr>
          <w:rStyle w:val="normaltextrun"/>
        </w:rPr>
        <w:t> </w:t>
      </w:r>
      <w:r w:rsidR="006E6446" w:rsidRPr="00392E88">
        <w:rPr>
          <w:rStyle w:val="normaltextrun"/>
        </w:rPr>
        <w:t>zdo</w:t>
      </w:r>
      <w:r w:rsidRPr="00392E88">
        <w:rPr>
          <w:rStyle w:val="normaltextrun"/>
        </w:rPr>
        <w:t>lności do zarządzania podejmowanym ryzykiem. Należy podkreślić, że osiągnięcie odpowiedniej skali zwiększa zdolność IORP do skutecznej dywersyfikacji, całościowego zarządzania ryzykiem</w:t>
      </w:r>
      <w:r w:rsidR="006E6446" w:rsidRPr="00392E88">
        <w:rPr>
          <w:rStyle w:val="normaltextrun"/>
        </w:rPr>
        <w:t xml:space="preserve"> i</w:t>
      </w:r>
      <w:r w:rsidR="006E6446">
        <w:rPr>
          <w:rStyle w:val="normaltextrun"/>
        </w:rPr>
        <w:t> </w:t>
      </w:r>
      <w:r w:rsidR="006E6446" w:rsidRPr="00392E88">
        <w:rPr>
          <w:rStyle w:val="normaltextrun"/>
        </w:rPr>
        <w:t>dos</w:t>
      </w:r>
      <w:r w:rsidRPr="00392E88">
        <w:rPr>
          <w:rStyle w:val="normaltextrun"/>
        </w:rPr>
        <w:t>tępu do szerszego zestawu możliwości inwestycyjnych, przy jednoczesnym utrzymaniu standardów należytego zarządzania</w:t>
      </w:r>
      <w:r w:rsidR="006E6446" w:rsidRPr="00392E88">
        <w:rPr>
          <w:rStyle w:val="normaltextrun"/>
        </w:rPr>
        <w:t xml:space="preserve"> i</w:t>
      </w:r>
      <w:r w:rsidR="006E6446">
        <w:rPr>
          <w:rStyle w:val="normaltextrun"/>
        </w:rPr>
        <w:t> </w:t>
      </w:r>
      <w:r w:rsidR="006E6446" w:rsidRPr="00392E88">
        <w:rPr>
          <w:rStyle w:val="normaltextrun"/>
        </w:rPr>
        <w:t>zar</w:t>
      </w:r>
      <w:r w:rsidRPr="00392E88">
        <w:rPr>
          <w:rStyle w:val="normaltextrun"/>
        </w:rPr>
        <w:t>ządzania ryzykiem.</w:t>
      </w:r>
    </w:p>
    <w:p w14:paraId="61DAFFA7" w14:textId="223F4FE7" w:rsidR="00B45C1F" w:rsidRPr="00392E88" w:rsidRDefault="00B45C1F" w:rsidP="00395530">
      <w:pPr>
        <w:pBdr>
          <w:top w:val="nil"/>
          <w:left w:val="nil"/>
          <w:bottom w:val="nil"/>
          <w:right w:val="nil"/>
          <w:between w:val="nil"/>
          <w:bar w:val="nil"/>
        </w:pBdr>
        <w:spacing w:before="0" w:after="240"/>
        <w:rPr>
          <w:rFonts w:eastAsia="Arial Unicode MS"/>
        </w:rPr>
      </w:pPr>
      <w:r w:rsidRPr="00392E88">
        <w:rPr>
          <w:b/>
        </w:rPr>
        <w:t>Wariant 3</w:t>
      </w:r>
      <w:r w:rsidRPr="00392E88">
        <w:t xml:space="preserve"> zmieniłby dyrektywę IORP II</w:t>
      </w:r>
      <w:r w:rsidR="006E6446" w:rsidRPr="00392E88">
        <w:t xml:space="preserve"> w</w:t>
      </w:r>
      <w:r w:rsidR="006E6446">
        <w:t> </w:t>
      </w:r>
      <w:r w:rsidR="006E6446" w:rsidRPr="00392E88">
        <w:t>cel</w:t>
      </w:r>
      <w:r w:rsidRPr="00392E88">
        <w:t>u wzmocnienia nadzoru, standardów zarządzania</w:t>
      </w:r>
      <w:r w:rsidR="006E6446" w:rsidRPr="00392E88">
        <w:t xml:space="preserve"> i</w:t>
      </w:r>
      <w:r w:rsidR="006E6446">
        <w:t> </w:t>
      </w:r>
      <w:r w:rsidR="006E6446" w:rsidRPr="00392E88">
        <w:t>prz</w:t>
      </w:r>
      <w:r w:rsidRPr="00392E88">
        <w:t>ejrzystości,</w:t>
      </w:r>
      <w:r w:rsidR="006E6446" w:rsidRPr="00392E88">
        <w:t xml:space="preserve"> a</w:t>
      </w:r>
      <w:r w:rsidR="006E6446">
        <w:t> </w:t>
      </w:r>
      <w:r w:rsidR="006E6446" w:rsidRPr="00392E88">
        <w:t>jed</w:t>
      </w:r>
      <w:r w:rsidRPr="00392E88">
        <w:t>nocześnie polegałby przede wszystkim na dialogu nadzorczym</w:t>
      </w:r>
      <w:r w:rsidR="006E6446" w:rsidRPr="00392E88">
        <w:t xml:space="preserve"> i</w:t>
      </w:r>
      <w:r w:rsidR="006E6446">
        <w:t> </w:t>
      </w:r>
      <w:r w:rsidR="006E6446" w:rsidRPr="00392E88">
        <w:t>mor</w:t>
      </w:r>
      <w:r w:rsidRPr="00392E88">
        <w:t>alnej perswazji</w:t>
      </w:r>
      <w:r w:rsidR="006E6446" w:rsidRPr="00392E88">
        <w:t xml:space="preserve"> w</w:t>
      </w:r>
      <w:r w:rsidR="006E6446">
        <w:t> </w:t>
      </w:r>
      <w:r w:rsidR="006E6446" w:rsidRPr="00392E88">
        <w:t>cel</w:t>
      </w:r>
      <w:r w:rsidRPr="00392E88">
        <w:t>u zachęcenia do poprawy skali, efektywności</w:t>
      </w:r>
      <w:r w:rsidR="006E6446" w:rsidRPr="00392E88">
        <w:t xml:space="preserve"> i</w:t>
      </w:r>
      <w:r w:rsidR="006E6446">
        <w:t> </w:t>
      </w:r>
      <w:r w:rsidR="006E6446" w:rsidRPr="00392E88">
        <w:t>jak</w:t>
      </w:r>
      <w:r w:rsidRPr="00392E88">
        <w:t>ości systemu</w:t>
      </w:r>
      <w:r w:rsidR="006E6446" w:rsidRPr="00392E88">
        <w:t>. W</w:t>
      </w:r>
      <w:r w:rsidR="006E6446">
        <w:t> </w:t>
      </w:r>
      <w:r w:rsidR="006E6446" w:rsidRPr="00392E88">
        <w:t>ram</w:t>
      </w:r>
      <w:r w:rsidRPr="00392E88">
        <w:t>ach tego podejścia właściwe organy krajowe stosują środki nadzorcze</w:t>
      </w:r>
      <w:r w:rsidR="006E6446" w:rsidRPr="00392E88">
        <w:t xml:space="preserve"> i</w:t>
      </w:r>
      <w:r w:rsidR="006E6446">
        <w:t> </w:t>
      </w:r>
      <w:r w:rsidR="006E6446" w:rsidRPr="00392E88">
        <w:t>prz</w:t>
      </w:r>
      <w:r w:rsidRPr="00392E88">
        <w:t>eprowadzałyby regularne przeglądy tematyczne kluczowych obszarów skuteczności działania, takich jak wyniki inwestycji, oszczędność kosztowa, realizacja indeksacji</w:t>
      </w:r>
      <w:r w:rsidR="006E6446" w:rsidRPr="00392E88">
        <w:t xml:space="preserve"> i</w:t>
      </w:r>
      <w:r w:rsidR="006E6446">
        <w:t> </w:t>
      </w:r>
      <w:r w:rsidR="006E6446" w:rsidRPr="00392E88">
        <w:t>wsz</w:t>
      </w:r>
      <w:r w:rsidRPr="00392E88">
        <w:t>elkie ograniczenia korzyści</w:t>
      </w:r>
      <w:r w:rsidR="006E6446" w:rsidRPr="00392E88">
        <w:t>. W</w:t>
      </w:r>
      <w:r w:rsidR="006E6446">
        <w:t> </w:t>
      </w:r>
      <w:r w:rsidR="006E6446" w:rsidRPr="00392E88">
        <w:t>ram</w:t>
      </w:r>
      <w:r w:rsidRPr="00392E88">
        <w:t>ach tych przeglądów oceniano by również dostosowanie strategii inwestycyjnych do zobowiązań funduszy emerytalnych oraz kompetencji powierników lub zarządów nadzorujących systemy. Po uzgodnieniu</w:t>
      </w:r>
      <w:r w:rsidR="006E6446" w:rsidRPr="00392E88">
        <w:t xml:space="preserve"> i</w:t>
      </w:r>
      <w:r w:rsidR="006E6446">
        <w:t> </w:t>
      </w:r>
      <w:r w:rsidR="006E6446" w:rsidRPr="00392E88">
        <w:t>wdr</w:t>
      </w:r>
      <w:r w:rsidRPr="00392E88">
        <w:t>ożeniu planów zaradzenia niedociągnięciom proces ten mógłby –</w:t>
      </w:r>
      <w:r w:rsidR="006E6446" w:rsidRPr="00392E88">
        <w:t xml:space="preserve"> w</w:t>
      </w:r>
      <w:r w:rsidR="006E6446">
        <w:t> </w:t>
      </w:r>
      <w:r w:rsidR="006E6446" w:rsidRPr="00392E88">
        <w:t>raz</w:t>
      </w:r>
      <w:r w:rsidRPr="00392E88">
        <w:t>ie potrzeby – obejmować rozważenie potencjalnych sposobów zwiększenia skali. Przepisy dotyczące przenoszenia uprawnień zostałyby uproszczone</w:t>
      </w:r>
      <w:r w:rsidR="006E6446" w:rsidRPr="00392E88">
        <w:t xml:space="preserve"> w</w:t>
      </w:r>
      <w:r w:rsidR="006E6446">
        <w:t> </w:t>
      </w:r>
      <w:r w:rsidR="006E6446" w:rsidRPr="00392E88">
        <w:t>cel</w:t>
      </w:r>
      <w:r w:rsidRPr="00392E88">
        <w:t>u zwiększenia dostępności ram IORP II, zwłaszcza</w:t>
      </w:r>
      <w:r w:rsidR="006E6446" w:rsidRPr="00392E88">
        <w:t xml:space="preserve"> w</w:t>
      </w:r>
      <w:r w:rsidR="006E6446">
        <w:t> </w:t>
      </w:r>
      <w:r w:rsidR="006E6446" w:rsidRPr="00392E88">
        <w:t>pań</w:t>
      </w:r>
      <w:r w:rsidRPr="00392E88">
        <w:t>stwach członkowskich,</w:t>
      </w:r>
      <w:r w:rsidR="006E6446" w:rsidRPr="00392E88">
        <w:t xml:space="preserve"> w</w:t>
      </w:r>
      <w:r w:rsidR="006E6446">
        <w:t> </w:t>
      </w:r>
      <w:r w:rsidR="006E6446" w:rsidRPr="00392E88">
        <w:t>któ</w:t>
      </w:r>
      <w:r w:rsidRPr="00392E88">
        <w:t xml:space="preserve">rych sektor pracowniczych programów emerytalnych jest nadal słabo rozwinięty. </w:t>
      </w:r>
    </w:p>
    <w:p w14:paraId="298E8169" w14:textId="5A773EF2" w:rsidR="00627AC2" w:rsidRPr="00392E88" w:rsidRDefault="00627AC2" w:rsidP="00627AC2">
      <w:pPr>
        <w:spacing w:before="0" w:after="160" w:line="259" w:lineRule="auto"/>
      </w:pPr>
      <w:r w:rsidRPr="00392E88">
        <w:t>Oprócz moralnej perswazji wariant ten wdrażałby główne elementy zaleceń technicznych EIOPA</w:t>
      </w:r>
      <w:r w:rsidR="006E6446" w:rsidRPr="00392E88">
        <w:t xml:space="preserve"> w</w:t>
      </w:r>
      <w:r w:rsidR="006E6446">
        <w:t> </w:t>
      </w:r>
      <w:r w:rsidR="006E6446" w:rsidRPr="00392E88">
        <w:t>cel</w:t>
      </w:r>
      <w:r w:rsidRPr="00392E88">
        <w:t>u stopniowej poprawy praktyk inwestycyjnych, przejrzystości</w:t>
      </w:r>
      <w:r w:rsidR="006E6446" w:rsidRPr="00392E88">
        <w:t xml:space="preserve"> i</w:t>
      </w:r>
      <w:r w:rsidR="006E6446">
        <w:t> </w:t>
      </w:r>
      <w:r w:rsidR="006E6446" w:rsidRPr="00392E88">
        <w:t>zar</w:t>
      </w:r>
      <w:r w:rsidRPr="00392E88">
        <w:t>ządzania we wszystkich dodatkowych programach emerytalnych. Nacisk położono by na wzmocnienie ram zarządzania ryzykiem, poprawę ujawniania kosztów</w:t>
      </w:r>
      <w:r w:rsidR="006E6446" w:rsidRPr="00392E88">
        <w:t xml:space="preserve"> i</w:t>
      </w:r>
      <w:r w:rsidR="006E6446">
        <w:t> </w:t>
      </w:r>
      <w:r w:rsidR="006E6446" w:rsidRPr="00392E88">
        <w:t>zwr</w:t>
      </w:r>
      <w:r w:rsidRPr="00392E88">
        <w:t>otów oraz wspieranie stabilniejszych</w:t>
      </w:r>
      <w:r w:rsidR="006E6446" w:rsidRPr="00392E88">
        <w:t xml:space="preserve"> i</w:t>
      </w:r>
      <w:r w:rsidR="006E6446">
        <w:t> </w:t>
      </w:r>
      <w:r w:rsidR="006E6446" w:rsidRPr="00392E88">
        <w:t>bar</w:t>
      </w:r>
      <w:r w:rsidRPr="00392E88">
        <w:t xml:space="preserve">dziej zrównoważonych strategii inwestycyjnych. </w:t>
      </w:r>
      <w:r w:rsidRPr="00392E88">
        <w:rPr>
          <w:rStyle w:val="normaltextrun"/>
        </w:rPr>
        <w:t>Reforma miałaby również na celu usunięcie barier strukturalnych, które ograniczają efektywność</w:t>
      </w:r>
      <w:r w:rsidR="006E6446" w:rsidRPr="00392E88">
        <w:rPr>
          <w:rStyle w:val="normaltextrun"/>
        </w:rPr>
        <w:t xml:space="preserve"> i</w:t>
      </w:r>
      <w:r w:rsidR="006E6446">
        <w:rPr>
          <w:rStyle w:val="normaltextrun"/>
        </w:rPr>
        <w:t> </w:t>
      </w:r>
      <w:r w:rsidR="006E6446" w:rsidRPr="00392E88">
        <w:rPr>
          <w:rStyle w:val="normaltextrun"/>
        </w:rPr>
        <w:t>ska</w:t>
      </w:r>
      <w:r w:rsidRPr="00392E88">
        <w:rPr>
          <w:rStyle w:val="normaltextrun"/>
        </w:rPr>
        <w:t>lę, takich jak rozdrobnienie, ograniczona współpraca między systemami</w:t>
      </w:r>
      <w:r w:rsidR="006E6446" w:rsidRPr="00392E88">
        <w:rPr>
          <w:rStyle w:val="normaltextrun"/>
        </w:rPr>
        <w:t xml:space="preserve"> i</w:t>
      </w:r>
      <w:r w:rsidR="006E6446">
        <w:rPr>
          <w:rStyle w:val="normaltextrun"/>
        </w:rPr>
        <w:t> </w:t>
      </w:r>
      <w:r w:rsidR="006E6446" w:rsidRPr="00392E88">
        <w:rPr>
          <w:rStyle w:val="normaltextrun"/>
        </w:rPr>
        <w:t>nie</w:t>
      </w:r>
      <w:r w:rsidRPr="00392E88">
        <w:rPr>
          <w:rStyle w:val="normaltextrun"/>
        </w:rPr>
        <w:t>równomierne zdolności nadzorcze.</w:t>
      </w:r>
      <w:r w:rsidRPr="00392E88">
        <w:t xml:space="preserve"> Środki te nie przekształciłyby radykalnie systemu</w:t>
      </w:r>
      <w:r w:rsidR="006E6446" w:rsidRPr="00392E88">
        <w:t xml:space="preserve"> w</w:t>
      </w:r>
      <w:r w:rsidR="006E6446">
        <w:t> </w:t>
      </w:r>
      <w:r w:rsidR="006E6446" w:rsidRPr="00392E88">
        <w:t>per</w:t>
      </w:r>
      <w:r w:rsidRPr="00392E88">
        <w:t>spektywie krótkoterminowej, ale stopniowo poprawiłyby wyniki, stabilność</w:t>
      </w:r>
      <w:r w:rsidR="006E6446" w:rsidRPr="00392E88">
        <w:t xml:space="preserve"> i</w:t>
      </w:r>
      <w:r w:rsidR="006E6446">
        <w:t> </w:t>
      </w:r>
      <w:r w:rsidR="006E6446" w:rsidRPr="00392E88">
        <w:t>efe</w:t>
      </w:r>
      <w:r w:rsidRPr="00392E88">
        <w:t>ktywność IORP</w:t>
      </w:r>
      <w:r w:rsidR="006E6446" w:rsidRPr="00392E88">
        <w:t>. Z</w:t>
      </w:r>
      <w:r w:rsidR="006E6446">
        <w:t> </w:t>
      </w:r>
      <w:r w:rsidR="006E6446" w:rsidRPr="00392E88">
        <w:t>cza</w:t>
      </w:r>
      <w:r w:rsidRPr="00392E88">
        <w:t>sem ramy te wspierałyby skuteczniejsze działania transgraniczne, lepsze wyniki inwestycyjne</w:t>
      </w:r>
      <w:r w:rsidR="006E6446" w:rsidRPr="00392E88">
        <w:t xml:space="preserve"> i</w:t>
      </w:r>
      <w:r w:rsidR="006E6446">
        <w:t> </w:t>
      </w:r>
      <w:r w:rsidR="006E6446" w:rsidRPr="00392E88">
        <w:t>wyż</w:t>
      </w:r>
      <w:r w:rsidRPr="00392E88">
        <w:t>szy poziom ochrony uczestników</w:t>
      </w:r>
      <w:r w:rsidR="006E6446" w:rsidRPr="00392E88">
        <w:t xml:space="preserve"> i</w:t>
      </w:r>
      <w:r w:rsidR="006E6446">
        <w:t> </w:t>
      </w:r>
      <w:r w:rsidR="006E6446" w:rsidRPr="00392E88">
        <w:t>ben</w:t>
      </w:r>
      <w:r w:rsidRPr="00392E88">
        <w:t>eficjentów.</w:t>
      </w:r>
    </w:p>
    <w:p w14:paraId="5B076785" w14:textId="38381990" w:rsidR="004F052E" w:rsidRPr="00392E88" w:rsidRDefault="008D702C" w:rsidP="004F052E">
      <w:pPr>
        <w:spacing w:line="259" w:lineRule="auto"/>
        <w:rPr>
          <w:rStyle w:val="normaltextrun"/>
          <w:rFonts w:eastAsia="Times New Roman"/>
        </w:rPr>
      </w:pPr>
      <w:r w:rsidRPr="00392E88">
        <w:rPr>
          <w:b/>
        </w:rPr>
        <w:t>Wariant 4</w:t>
      </w:r>
      <w:r w:rsidRPr="00392E88">
        <w:t xml:space="preserve"> </w:t>
      </w:r>
      <w:r w:rsidRPr="00392E88">
        <w:rPr>
          <w:rStyle w:val="normaltextrun"/>
        </w:rPr>
        <w:t>zachowałby wszystkie elementy wariantu 3,</w:t>
      </w:r>
      <w:r w:rsidR="006E6446" w:rsidRPr="00392E88">
        <w:rPr>
          <w:rStyle w:val="normaltextrun"/>
        </w:rPr>
        <w:t xml:space="preserve"> w</w:t>
      </w:r>
      <w:r w:rsidR="006E6446">
        <w:rPr>
          <w:rStyle w:val="normaltextrun"/>
        </w:rPr>
        <w:t> </w:t>
      </w:r>
      <w:r w:rsidR="006E6446" w:rsidRPr="00392E88">
        <w:rPr>
          <w:rStyle w:val="normaltextrun"/>
        </w:rPr>
        <w:t>tym</w:t>
      </w:r>
      <w:r w:rsidRPr="00392E88">
        <w:rPr>
          <w:rStyle w:val="normaltextrun"/>
        </w:rPr>
        <w:t xml:space="preserve"> przeglądy tematyczne, zachęty, ulepszone praktyki nadzorcze oraz wdrożenie większości zaleceń EIOPA. Przewidywałby on jednak również wprowadzenie wiążących wymogów regulacyjnych</w:t>
      </w:r>
      <w:r w:rsidR="006E6446" w:rsidRPr="00392E88">
        <w:rPr>
          <w:rStyle w:val="normaltextrun"/>
        </w:rPr>
        <w:t xml:space="preserve"> i</w:t>
      </w:r>
      <w:r w:rsidR="006E6446">
        <w:rPr>
          <w:rStyle w:val="normaltextrun"/>
        </w:rPr>
        <w:t> </w:t>
      </w:r>
      <w:r w:rsidR="006E6446" w:rsidRPr="00392E88">
        <w:rPr>
          <w:rStyle w:val="normaltextrun"/>
        </w:rPr>
        <w:t>kon</w:t>
      </w:r>
      <w:r w:rsidRPr="00392E88">
        <w:rPr>
          <w:rStyle w:val="normaltextrun"/>
        </w:rPr>
        <w:t>kretnych interwencji nadzorczych</w:t>
      </w:r>
      <w:r w:rsidR="006E6446" w:rsidRPr="00392E88">
        <w:rPr>
          <w:rStyle w:val="normaltextrun"/>
        </w:rPr>
        <w:t xml:space="preserve"> w</w:t>
      </w:r>
      <w:r w:rsidR="006E6446">
        <w:rPr>
          <w:rStyle w:val="normaltextrun"/>
        </w:rPr>
        <w:t> </w:t>
      </w:r>
      <w:r w:rsidR="006E6446" w:rsidRPr="00392E88">
        <w:rPr>
          <w:rStyle w:val="normaltextrun"/>
        </w:rPr>
        <w:t>cel</w:t>
      </w:r>
      <w:r w:rsidRPr="00392E88">
        <w:rPr>
          <w:rStyle w:val="normaltextrun"/>
        </w:rPr>
        <w:t>u rozwiązania problemu utrzymującej się nieefektywności strukturalnej. Jednym</w:t>
      </w:r>
      <w:r w:rsidR="006E6446" w:rsidRPr="00392E88">
        <w:rPr>
          <w:rStyle w:val="normaltextrun"/>
        </w:rPr>
        <w:t xml:space="preserve"> z</w:t>
      </w:r>
      <w:r w:rsidR="006E6446">
        <w:rPr>
          <w:rStyle w:val="normaltextrun"/>
        </w:rPr>
        <w:t> </w:t>
      </w:r>
      <w:r w:rsidR="006E6446" w:rsidRPr="00392E88">
        <w:rPr>
          <w:rStyle w:val="normaltextrun"/>
        </w:rPr>
        <w:t>klu</w:t>
      </w:r>
      <w:r w:rsidRPr="00392E88">
        <w:rPr>
          <w:rStyle w:val="normaltextrun"/>
        </w:rPr>
        <w:t>czowych środków byłoby ustanowienie obowiązkowej minimalnej skali efektywności dla IORP. Mogłoby to obejmować zapewnienie wzorów na potrzeby likwidacji lub łączenia programów</w:t>
      </w:r>
      <w:r w:rsidR="006E6446" w:rsidRPr="00392E88">
        <w:rPr>
          <w:rStyle w:val="normaltextrun"/>
        </w:rPr>
        <w:t xml:space="preserve"> w</w:t>
      </w:r>
      <w:r w:rsidR="006E6446">
        <w:rPr>
          <w:rStyle w:val="normaltextrun"/>
        </w:rPr>
        <w:t> </w:t>
      </w:r>
      <w:r w:rsidR="006E6446" w:rsidRPr="00392E88">
        <w:rPr>
          <w:rStyle w:val="normaltextrun"/>
        </w:rPr>
        <w:t>prz</w:t>
      </w:r>
      <w:r w:rsidRPr="00392E88">
        <w:rPr>
          <w:rStyle w:val="normaltextrun"/>
        </w:rPr>
        <w:t>ypadkach,</w:t>
      </w:r>
      <w:r w:rsidR="006E6446" w:rsidRPr="00392E88">
        <w:rPr>
          <w:rStyle w:val="normaltextrun"/>
        </w:rPr>
        <w:t xml:space="preserve"> w</w:t>
      </w:r>
      <w:r w:rsidR="006E6446">
        <w:rPr>
          <w:rStyle w:val="normaltextrun"/>
        </w:rPr>
        <w:t> </w:t>
      </w:r>
      <w:r w:rsidR="006E6446" w:rsidRPr="00392E88">
        <w:rPr>
          <w:rStyle w:val="normaltextrun"/>
        </w:rPr>
        <w:t>któ</w:t>
      </w:r>
      <w:r w:rsidRPr="00392E88">
        <w:rPr>
          <w:rStyle w:val="normaltextrun"/>
        </w:rPr>
        <w:t>rych nie osiągnięto minimalnej skali efektywności</w:t>
      </w:r>
      <w:r w:rsidR="006E6446" w:rsidRPr="00392E88">
        <w:rPr>
          <w:rStyle w:val="normaltextrun"/>
        </w:rPr>
        <w:t xml:space="preserve"> i</w:t>
      </w:r>
      <w:r w:rsidR="006E6446">
        <w:rPr>
          <w:rStyle w:val="normaltextrun"/>
        </w:rPr>
        <w:t> </w:t>
      </w:r>
      <w:r w:rsidR="006E6446" w:rsidRPr="00392E88">
        <w:rPr>
          <w:rStyle w:val="normaltextrun"/>
        </w:rPr>
        <w:t>wyn</w:t>
      </w:r>
      <w:r w:rsidRPr="00392E88">
        <w:rPr>
          <w:rStyle w:val="normaltextrun"/>
        </w:rPr>
        <w:t>ików. Mogłoby to obejmować również obowiązkowe wyznaczanie powierników programu, gdyby istniejące wakaty nie zostały szybko obsadzone lub osoby sprawujące obecnie urząd nie posiadały umiejętności niezbędnych do skutecznego zarządzania strategią portfela inwestycyjnego. Podejście to nakłada jednak znaczne wymagania na zdolności nadzorcze</w:t>
      </w:r>
      <w:r w:rsidR="006E6446" w:rsidRPr="00392E88">
        <w:rPr>
          <w:rStyle w:val="normaltextrun"/>
        </w:rPr>
        <w:t xml:space="preserve"> i</w:t>
      </w:r>
      <w:r w:rsidR="006E6446">
        <w:rPr>
          <w:rStyle w:val="normaltextrun"/>
        </w:rPr>
        <w:t> </w:t>
      </w:r>
      <w:r w:rsidR="006E6446" w:rsidRPr="00392E88">
        <w:rPr>
          <w:rStyle w:val="normaltextrun"/>
        </w:rPr>
        <w:t>moż</w:t>
      </w:r>
      <w:r w:rsidRPr="00392E88">
        <w:rPr>
          <w:rStyle w:val="normaltextrun"/>
        </w:rPr>
        <w:t>e narazić organy nadzoru na ryzyko odpowiedzialności cywilnej, jeżeli podmioty świadczące usługi emerytalne wystąpią</w:t>
      </w:r>
      <w:r w:rsidR="006E6446" w:rsidRPr="00392E88">
        <w:rPr>
          <w:rStyle w:val="normaltextrun"/>
        </w:rPr>
        <w:t xml:space="preserve"> o</w:t>
      </w:r>
      <w:r w:rsidR="006E6446">
        <w:rPr>
          <w:rStyle w:val="normaltextrun"/>
        </w:rPr>
        <w:t> </w:t>
      </w:r>
      <w:r w:rsidR="006E6446" w:rsidRPr="00392E88">
        <w:rPr>
          <w:rStyle w:val="normaltextrun"/>
        </w:rPr>
        <w:t>kon</w:t>
      </w:r>
      <w:r w:rsidRPr="00392E88">
        <w:rPr>
          <w:rStyle w:val="normaltextrun"/>
        </w:rPr>
        <w:t>trolę sądową. Ponadto ustanowienie obowiązkowej minimalnej skali efektywności dla IORP wymagałoby znacznego czasu</w:t>
      </w:r>
      <w:r w:rsidR="006E6446" w:rsidRPr="00392E88">
        <w:rPr>
          <w:rStyle w:val="normaltextrun"/>
        </w:rPr>
        <w:t xml:space="preserve"> i</w:t>
      </w:r>
      <w:r w:rsidR="006E6446">
        <w:rPr>
          <w:rStyle w:val="normaltextrun"/>
        </w:rPr>
        <w:t> </w:t>
      </w:r>
      <w:r w:rsidR="006E6446" w:rsidRPr="00392E88">
        <w:rPr>
          <w:rStyle w:val="normaltextrun"/>
        </w:rPr>
        <w:t>zas</w:t>
      </w:r>
      <w:r w:rsidRPr="00392E88">
        <w:rPr>
          <w:rStyle w:val="normaltextrun"/>
        </w:rPr>
        <w:t>obów, podczas gdy optymalna skala mogłaby nadal różnić się</w:t>
      </w:r>
      <w:r w:rsidR="006E6446" w:rsidRPr="00392E88">
        <w:rPr>
          <w:rStyle w:val="normaltextrun"/>
        </w:rPr>
        <w:t xml:space="preserve"> w</w:t>
      </w:r>
      <w:r w:rsidR="006E6446">
        <w:rPr>
          <w:rStyle w:val="normaltextrun"/>
        </w:rPr>
        <w:t> </w:t>
      </w:r>
      <w:r w:rsidR="006E6446" w:rsidRPr="00392E88">
        <w:rPr>
          <w:rStyle w:val="normaltextrun"/>
        </w:rPr>
        <w:t>zal</w:t>
      </w:r>
      <w:r w:rsidRPr="00392E88">
        <w:rPr>
          <w:rStyle w:val="normaltextrun"/>
        </w:rPr>
        <w:t>eżności od IORP. Taki środek byłby również sprzeczny</w:t>
      </w:r>
      <w:r w:rsidR="006E6446" w:rsidRPr="00392E88">
        <w:rPr>
          <w:rStyle w:val="normaltextrun"/>
        </w:rPr>
        <w:t xml:space="preserve"> z</w:t>
      </w:r>
      <w:r w:rsidR="006E6446">
        <w:rPr>
          <w:rStyle w:val="normaltextrun"/>
        </w:rPr>
        <w:t> </w:t>
      </w:r>
      <w:r w:rsidR="006E6446" w:rsidRPr="00392E88">
        <w:rPr>
          <w:rStyle w:val="normaltextrun"/>
        </w:rPr>
        <w:t>pod</w:t>
      </w:r>
      <w:r w:rsidRPr="00392E88">
        <w:rPr>
          <w:rStyle w:val="normaltextrun"/>
        </w:rPr>
        <w:t>ejściem rynkowym, ponieważ nakazywałby „odgórną” konsolidację, która nie jest zgodna</w:t>
      </w:r>
      <w:r w:rsidR="006E6446" w:rsidRPr="00392E88">
        <w:rPr>
          <w:rStyle w:val="normaltextrun"/>
        </w:rPr>
        <w:t xml:space="preserve"> z</w:t>
      </w:r>
      <w:r w:rsidR="006E6446">
        <w:rPr>
          <w:rStyle w:val="normaltextrun"/>
        </w:rPr>
        <w:t> </w:t>
      </w:r>
      <w:r w:rsidR="006E6446" w:rsidRPr="00392E88">
        <w:rPr>
          <w:rStyle w:val="normaltextrun"/>
        </w:rPr>
        <w:t>obe</w:t>
      </w:r>
      <w:r w:rsidRPr="00392E88">
        <w:rPr>
          <w:rStyle w:val="normaltextrun"/>
        </w:rPr>
        <w:t>cnymi strukturami zarządzania IORP</w:t>
      </w:r>
      <w:r w:rsidRPr="00392E88">
        <w:rPr>
          <w:rStyle w:val="FootnoteReference"/>
          <w:rFonts w:eastAsia="Arial Unicode MS"/>
        </w:rPr>
        <w:footnoteReference w:id="22"/>
      </w:r>
      <w:r w:rsidRPr="00392E88">
        <w:rPr>
          <w:rStyle w:val="normaltextrun"/>
        </w:rPr>
        <w:t>.</w:t>
      </w:r>
      <w:r w:rsidRPr="00392E88">
        <w:t xml:space="preserve"> </w:t>
      </w:r>
    </w:p>
    <w:p w14:paraId="461B3301" w14:textId="77777777" w:rsidR="00627AC2" w:rsidRPr="00392E88" w:rsidRDefault="008337FD" w:rsidP="005D0C3B">
      <w:pPr>
        <w:spacing w:line="259" w:lineRule="auto"/>
        <w:rPr>
          <w:rFonts w:eastAsia="Arial Unicode MS"/>
        </w:rPr>
      </w:pPr>
      <w:r w:rsidRPr="00392E88">
        <w:rPr>
          <w:rStyle w:val="normaltextrun"/>
          <w:b/>
          <w:u w:val="single"/>
        </w:rPr>
        <w:t xml:space="preserve">Wybranym wariantem jest wariant 3. </w:t>
      </w:r>
    </w:p>
    <w:p w14:paraId="1C809777" w14:textId="77777777" w:rsidR="00AC2BE5" w:rsidRPr="00392E88" w:rsidRDefault="00AC2BE5">
      <w:pPr>
        <w:pStyle w:val="ManualHeading2"/>
        <w:rPr>
          <w:rFonts w:eastAsia="Arial Unicode MS"/>
          <w:u w:color="000000"/>
          <w:bdr w:val="nil"/>
        </w:rPr>
      </w:pPr>
      <w:r w:rsidRPr="00392E88">
        <w:rPr>
          <w:u w:color="000000"/>
          <w:bdr w:val="nil"/>
        </w:rPr>
        <w:t>•</w:t>
      </w:r>
      <w:r w:rsidRPr="00392E88">
        <w:tab/>
      </w:r>
      <w:r w:rsidRPr="00392E88">
        <w:rPr>
          <w:u w:color="000000"/>
          <w:bdr w:val="nil"/>
        </w:rPr>
        <w:t>Prawa podstawowe</w:t>
      </w:r>
    </w:p>
    <w:p w14:paraId="0C3F6B81" w14:textId="20CC5296" w:rsidR="00F15079" w:rsidRPr="00392E88" w:rsidRDefault="004701C1" w:rsidP="00D00B5B">
      <w:r w:rsidRPr="00392E88">
        <w:t>Niniejszy wniosek zredagowano</w:t>
      </w:r>
      <w:r w:rsidR="006E6446" w:rsidRPr="00392E88">
        <w:t xml:space="preserve"> z</w:t>
      </w:r>
      <w:r w:rsidR="006E6446">
        <w:t> </w:t>
      </w:r>
      <w:r w:rsidR="006E6446" w:rsidRPr="00392E88">
        <w:t>pos</w:t>
      </w:r>
      <w:r w:rsidRPr="00392E88">
        <w:t>zanowaniem praw podstawowych</w:t>
      </w:r>
      <w:r w:rsidR="006E6446" w:rsidRPr="00392E88">
        <w:t xml:space="preserve"> i</w:t>
      </w:r>
      <w:r w:rsidR="006E6446">
        <w:t> </w:t>
      </w:r>
      <w:r w:rsidR="006E6446" w:rsidRPr="00392E88">
        <w:t>zas</w:t>
      </w:r>
      <w:r w:rsidRPr="00392E88">
        <w:t>ad zapisanych</w:t>
      </w:r>
      <w:r w:rsidR="006E6446" w:rsidRPr="00392E88">
        <w:t xml:space="preserve"> w</w:t>
      </w:r>
      <w:r w:rsidR="006E6446">
        <w:t> </w:t>
      </w:r>
      <w:r w:rsidR="006E6446" w:rsidRPr="00392E88">
        <w:t>Kar</w:t>
      </w:r>
      <w:r w:rsidRPr="00392E88">
        <w:t>cie praw podstawowych Unii Europejskiej,</w:t>
      </w:r>
      <w:r w:rsidR="006E6446" w:rsidRPr="00392E88">
        <w:t xml:space="preserve"> w</w:t>
      </w:r>
      <w:r w:rsidR="006E6446">
        <w:t> </w:t>
      </w:r>
      <w:r w:rsidR="006E6446" w:rsidRPr="00392E88">
        <w:t>szc</w:t>
      </w:r>
      <w:r w:rsidRPr="00392E88">
        <w:t xml:space="preserve">zególności prawa do ochrony danych osobowych, prawa własności, wolność prowadzenia działalności gospodarczej oraz zasady równości płci. Przyczynia się on do osiągnięcia celów </w:t>
      </w:r>
      <w:r w:rsidRPr="006E6446">
        <w:t>art.</w:t>
      </w:r>
      <w:r w:rsidR="006E6446" w:rsidRPr="006E6446">
        <w:t> </w:t>
      </w:r>
      <w:r w:rsidRPr="006E6446">
        <w:t>3</w:t>
      </w:r>
      <w:r w:rsidRPr="00392E88">
        <w:t>8 Karty,</w:t>
      </w:r>
      <w:r w:rsidR="006E6446" w:rsidRPr="00392E88">
        <w:t xml:space="preserve"> w</w:t>
      </w:r>
      <w:r w:rsidR="006E6446">
        <w:t> </w:t>
      </w:r>
      <w:r w:rsidR="006E6446" w:rsidRPr="00392E88">
        <w:t>któ</w:t>
      </w:r>
      <w:r w:rsidRPr="00392E88">
        <w:t>rym przewidziano wysoki poziom ochrony konsumentów.</w:t>
      </w:r>
    </w:p>
    <w:p w14:paraId="780BDAF9" w14:textId="77777777" w:rsidR="00AC2BE5" w:rsidRPr="00392E88" w:rsidRDefault="00AC2BE5">
      <w:pPr>
        <w:pStyle w:val="ManualHeading1"/>
      </w:pPr>
      <w:r w:rsidRPr="00392E88">
        <w:t>4.</w:t>
      </w:r>
      <w:r w:rsidRPr="00392E88">
        <w:tab/>
        <w:t>WPŁYW NA BUDŻET</w:t>
      </w:r>
    </w:p>
    <w:p w14:paraId="79DC7B9D" w14:textId="26102357" w:rsidR="004D2251" w:rsidRPr="00392E88" w:rsidRDefault="00CE1236" w:rsidP="00D00B5B">
      <w:r w:rsidRPr="00392E88">
        <w:t>Wniosek nie ma istotnego wpływu na budżet UE. EIOPA powinien mieć możliwość realizacji dodatkowych zadań</w:t>
      </w:r>
      <w:r w:rsidR="006E6446" w:rsidRPr="00392E88">
        <w:t xml:space="preserve"> w</w:t>
      </w:r>
      <w:r w:rsidR="006E6446">
        <w:t> </w:t>
      </w:r>
      <w:r w:rsidR="006E6446" w:rsidRPr="00392E88">
        <w:t>zak</w:t>
      </w:r>
      <w:r w:rsidRPr="00392E88">
        <w:t>resie koordynacji</w:t>
      </w:r>
      <w:r w:rsidR="006E6446" w:rsidRPr="00392E88">
        <w:t xml:space="preserve"> i</w:t>
      </w:r>
      <w:r w:rsidR="006E6446">
        <w:t> </w:t>
      </w:r>
      <w:r w:rsidR="006E6446" w:rsidRPr="00392E88">
        <w:t>kon</w:t>
      </w:r>
      <w:r w:rsidRPr="00392E88">
        <w:t>wergencji praktyk nadzorczych,</w:t>
      </w:r>
      <w:r w:rsidR="006E6446" w:rsidRPr="00392E88">
        <w:t xml:space="preserve"> w</w:t>
      </w:r>
      <w:r w:rsidR="006E6446">
        <w:t> </w:t>
      </w:r>
      <w:r w:rsidR="006E6446" w:rsidRPr="00392E88">
        <w:t>tym</w:t>
      </w:r>
      <w:r w:rsidRPr="00392E88">
        <w:t xml:space="preserve"> ustanowienia platform współpracy,</w:t>
      </w:r>
      <w:r w:rsidR="006E6446" w:rsidRPr="00392E88">
        <w:t xml:space="preserve"> w</w:t>
      </w:r>
      <w:r w:rsidR="006E6446">
        <w:t> </w:t>
      </w:r>
      <w:r w:rsidR="006E6446" w:rsidRPr="00392E88">
        <w:t>ram</w:t>
      </w:r>
      <w:r w:rsidRPr="00392E88">
        <w:t>ach swoich istniejących zasobów.</w:t>
      </w:r>
    </w:p>
    <w:p w14:paraId="1A7F2B4D" w14:textId="77777777" w:rsidR="00AC2BE5" w:rsidRPr="00392E88" w:rsidRDefault="00AC2BE5">
      <w:pPr>
        <w:pStyle w:val="ManualHeading1"/>
      </w:pPr>
      <w:r w:rsidRPr="00392E88">
        <w:t>5.</w:t>
      </w:r>
      <w:r w:rsidRPr="00392E88">
        <w:tab/>
        <w:t>ELEMENTY FAKULTATYWNE</w:t>
      </w:r>
    </w:p>
    <w:p w14:paraId="1BACE6CB" w14:textId="1E778A02" w:rsidR="00AC2BE5" w:rsidRPr="00392E88" w:rsidRDefault="00AC2BE5">
      <w:pPr>
        <w:pStyle w:val="ManualHeading2"/>
        <w:rPr>
          <w:rFonts w:eastAsia="Arial Unicode MS"/>
          <w:u w:color="000000"/>
          <w:bdr w:val="nil"/>
        </w:rPr>
      </w:pPr>
      <w:r w:rsidRPr="00392E88">
        <w:rPr>
          <w:u w:color="000000"/>
          <w:bdr w:val="nil"/>
        </w:rPr>
        <w:t>•</w:t>
      </w:r>
      <w:r w:rsidRPr="00392E88">
        <w:tab/>
      </w:r>
      <w:r w:rsidRPr="00392E88">
        <w:rPr>
          <w:u w:color="000000"/>
          <w:bdr w:val="nil"/>
        </w:rPr>
        <w:t>Plany wdrożenia</w:t>
      </w:r>
      <w:r w:rsidR="006E6446" w:rsidRPr="00392E88">
        <w:rPr>
          <w:u w:color="000000"/>
          <w:bdr w:val="nil"/>
        </w:rPr>
        <w:t xml:space="preserve"> i</w:t>
      </w:r>
      <w:r w:rsidR="006E6446">
        <w:rPr>
          <w:u w:color="000000"/>
          <w:bdr w:val="nil"/>
        </w:rPr>
        <w:t> </w:t>
      </w:r>
      <w:r w:rsidR="006E6446" w:rsidRPr="00392E88">
        <w:rPr>
          <w:u w:color="000000"/>
          <w:bdr w:val="nil"/>
        </w:rPr>
        <w:t>mon</w:t>
      </w:r>
      <w:r w:rsidRPr="00392E88">
        <w:rPr>
          <w:u w:color="000000"/>
          <w:bdr w:val="nil"/>
        </w:rPr>
        <w:t>itorowanie, ocena</w:t>
      </w:r>
      <w:r w:rsidR="006E6446" w:rsidRPr="00392E88">
        <w:rPr>
          <w:u w:color="000000"/>
          <w:bdr w:val="nil"/>
        </w:rPr>
        <w:t xml:space="preserve"> i</w:t>
      </w:r>
      <w:r w:rsidR="006E6446">
        <w:rPr>
          <w:u w:color="000000"/>
          <w:bdr w:val="nil"/>
        </w:rPr>
        <w:t> </w:t>
      </w:r>
      <w:r w:rsidR="006E6446" w:rsidRPr="00392E88">
        <w:rPr>
          <w:u w:color="000000"/>
          <w:bdr w:val="nil"/>
        </w:rPr>
        <w:t>spr</w:t>
      </w:r>
      <w:r w:rsidRPr="00392E88">
        <w:rPr>
          <w:u w:color="000000"/>
          <w:bdr w:val="nil"/>
        </w:rPr>
        <w:t>awozdania</w:t>
      </w:r>
    </w:p>
    <w:p w14:paraId="531EA79A" w14:textId="7EAF1C42" w:rsidR="00AC2BE5" w:rsidRPr="00392E88" w:rsidRDefault="00F1507A">
      <w:pPr>
        <w:pBdr>
          <w:top w:val="nil"/>
          <w:left w:val="nil"/>
          <w:bottom w:val="nil"/>
          <w:right w:val="nil"/>
          <w:between w:val="nil"/>
          <w:bar w:val="nil"/>
        </w:pBdr>
        <w:spacing w:before="0" w:after="240"/>
        <w:rPr>
          <w:rFonts w:eastAsia="Arial Unicode MS"/>
        </w:rPr>
      </w:pPr>
      <w:r w:rsidRPr="00392E88">
        <w:t>Państwa członkowskie byłyby zobowiązane do transpozycji dyrektywy</w:t>
      </w:r>
      <w:r w:rsidR="006E6446" w:rsidRPr="00392E88">
        <w:t xml:space="preserve"> w</w:t>
      </w:r>
      <w:r w:rsidR="006E6446">
        <w:t> </w:t>
      </w:r>
      <w:r w:rsidR="006E6446" w:rsidRPr="00392E88">
        <w:t>ter</w:t>
      </w:r>
      <w:r w:rsidRPr="00392E88">
        <w:t>minie jednego roku od daty wejścia</w:t>
      </w:r>
      <w:r w:rsidR="006E6446" w:rsidRPr="00392E88">
        <w:t xml:space="preserve"> w</w:t>
      </w:r>
      <w:r w:rsidR="006E6446">
        <w:t> </w:t>
      </w:r>
      <w:r w:rsidR="006E6446" w:rsidRPr="00392E88">
        <w:t>życ</w:t>
      </w:r>
      <w:r w:rsidRPr="00392E88">
        <w:t>ie zmian do dyrektywy IORP II. Państwa członkowskie przekazałyby następnie Komisji teksty głównych przyjętych przepisów prawa krajowego.</w:t>
      </w:r>
      <w:r w:rsidRPr="00392E88">
        <w:rPr>
          <w:highlight w:val="yellow"/>
        </w:rPr>
        <w:t xml:space="preserve"> </w:t>
      </w:r>
    </w:p>
    <w:p w14:paraId="5A109F14" w14:textId="77777777" w:rsidR="00AC2BE5" w:rsidRPr="00392E88" w:rsidRDefault="00AC2BE5">
      <w:pPr>
        <w:pStyle w:val="ManualHeading2"/>
        <w:rPr>
          <w:rFonts w:eastAsia="Arial Unicode MS"/>
          <w:u w:color="000000"/>
          <w:bdr w:val="nil"/>
        </w:rPr>
      </w:pPr>
      <w:r w:rsidRPr="00392E88">
        <w:rPr>
          <w:u w:color="000000"/>
          <w:bdr w:val="nil"/>
        </w:rPr>
        <w:t>•</w:t>
      </w:r>
      <w:r w:rsidRPr="00392E88">
        <w:tab/>
      </w:r>
      <w:r w:rsidRPr="00392E88">
        <w:rPr>
          <w:u w:color="000000"/>
          <w:bdr w:val="nil"/>
        </w:rPr>
        <w:t xml:space="preserve">Dokumenty wyjaśniające </w:t>
      </w:r>
    </w:p>
    <w:p w14:paraId="4AB39DD4" w14:textId="2832BFC0" w:rsidR="004D2251" w:rsidRPr="00392E88" w:rsidRDefault="0010629D" w:rsidP="005D0C3B">
      <w:r w:rsidRPr="00392E88">
        <w:t>Proponowana dyrektywa wprowadzałaby konkretne zmiany do istniejącej dyrektywy. Państwa członkowskie powinny zatem przekazać Komisji tekst odpowiednich zmian</w:t>
      </w:r>
      <w:r w:rsidR="006E6446" w:rsidRPr="00392E88">
        <w:t xml:space="preserve"> w</w:t>
      </w:r>
      <w:r w:rsidR="006E6446">
        <w:t> </w:t>
      </w:r>
      <w:r w:rsidR="006E6446" w:rsidRPr="00392E88">
        <w:t>swo</w:t>
      </w:r>
      <w:r w:rsidRPr="00392E88">
        <w:t>ich przepisach krajowych albo, jeżeli uznają, że takie zmiany nie są konieczne, wyjaśnić, które przepisy szczegółowe prawa krajowego wdrażają już zmiany określone we wniosku.</w:t>
      </w:r>
    </w:p>
    <w:p w14:paraId="67BAA681" w14:textId="77777777" w:rsidR="00AC2BE5" w:rsidRPr="00392E88" w:rsidRDefault="4F3BDE54">
      <w:pPr>
        <w:pStyle w:val="ManualHeading2"/>
        <w:rPr>
          <w:rFonts w:eastAsia="Arial Unicode MS"/>
          <w:u w:color="000000"/>
          <w:bdr w:val="nil"/>
        </w:rPr>
      </w:pPr>
      <w:r w:rsidRPr="00392E88">
        <w:rPr>
          <w:bdr w:val="nil"/>
        </w:rPr>
        <w:t>•</w:t>
      </w:r>
      <w:r w:rsidRPr="00392E88">
        <w:tab/>
      </w:r>
      <w:r w:rsidRPr="00392E88">
        <w:rPr>
          <w:bdr w:val="nil"/>
        </w:rPr>
        <w:t>Szczegółowe objaśnienia poszczególnych przepisów wniosku</w:t>
      </w:r>
    </w:p>
    <w:p w14:paraId="7E92908E" w14:textId="7D0D100E" w:rsidR="006D4ACE" w:rsidRPr="00392E88" w:rsidRDefault="007178AA" w:rsidP="005D0C3B">
      <w:r w:rsidRPr="00392E88">
        <w:rPr>
          <w:b/>
        </w:rPr>
        <w:t xml:space="preserve">Na podstawie </w:t>
      </w:r>
      <w:r w:rsidRPr="006E6446">
        <w:rPr>
          <w:b/>
        </w:rPr>
        <w:t>art.</w:t>
      </w:r>
      <w:r w:rsidR="006E6446" w:rsidRPr="006E6446">
        <w:rPr>
          <w:b/>
        </w:rPr>
        <w:t> </w:t>
      </w:r>
      <w:r w:rsidRPr="006E6446">
        <w:rPr>
          <w:b/>
        </w:rPr>
        <w:t>1</w:t>
      </w:r>
      <w:r w:rsidRPr="00392E88">
        <w:rPr>
          <w:b/>
        </w:rPr>
        <w:t xml:space="preserve"> wniosku wprowadza się zmiany</w:t>
      </w:r>
      <w:r w:rsidR="006E6446" w:rsidRPr="00392E88">
        <w:rPr>
          <w:b/>
        </w:rPr>
        <w:t xml:space="preserve"> w</w:t>
      </w:r>
      <w:r w:rsidR="006E6446">
        <w:rPr>
          <w:b/>
        </w:rPr>
        <w:t> </w:t>
      </w:r>
      <w:r w:rsidR="006E6446" w:rsidRPr="00392E88">
        <w:rPr>
          <w:b/>
        </w:rPr>
        <w:t>dyr</w:t>
      </w:r>
      <w:r w:rsidRPr="00392E88">
        <w:rPr>
          <w:b/>
        </w:rPr>
        <w:t>ektywie (UE) 2016/2341</w:t>
      </w:r>
      <w:r w:rsidRPr="00392E88">
        <w:t>. Zmiany wprowadza się</w:t>
      </w:r>
      <w:r w:rsidR="006E6446" w:rsidRPr="00392E88">
        <w:t xml:space="preserve"> w</w:t>
      </w:r>
      <w:r w:rsidR="006E6446">
        <w:t> </w:t>
      </w:r>
      <w:r w:rsidR="006E6446" w:rsidRPr="00392E88">
        <w:t>nas</w:t>
      </w:r>
      <w:r w:rsidRPr="00392E88">
        <w:t>tępujących przepisach szczegółowych:</w:t>
      </w:r>
    </w:p>
    <w:p w14:paraId="57C094CA" w14:textId="413B55AF" w:rsidR="00D7633E" w:rsidRPr="00392E88" w:rsidRDefault="00D7633E" w:rsidP="005D0C3B">
      <w:pPr>
        <w:pStyle w:val="ListDash"/>
      </w:pPr>
      <w:r w:rsidRPr="00392E88">
        <w:t xml:space="preserve">w </w:t>
      </w:r>
      <w:r w:rsidRPr="006E6446">
        <w:t>art.</w:t>
      </w:r>
      <w:r w:rsidR="006E6446" w:rsidRPr="006E6446">
        <w:t> </w:t>
      </w:r>
      <w:r w:rsidRPr="006E6446">
        <w:t>4</w:t>
      </w:r>
      <w:r w:rsidRPr="00392E88">
        <w:t xml:space="preserve"> zezwala się państwom członkowskim na stosowanie dyrektywy (UE) 2016/2341 do instytucji finansowanych zapewniających świadczenia emerytalne, które nie są</w:t>
      </w:r>
      <w:r w:rsidR="006E6446" w:rsidRPr="00392E88">
        <w:t xml:space="preserve"> w</w:t>
      </w:r>
      <w:r w:rsidR="006E6446">
        <w:t> </w:t>
      </w:r>
      <w:r w:rsidR="006E6446" w:rsidRPr="00392E88">
        <w:t>inn</w:t>
      </w:r>
      <w:r w:rsidRPr="00392E88">
        <w:t>y sposób objęte przepisami ostrożnościowymi Unii;</w:t>
      </w:r>
    </w:p>
    <w:p w14:paraId="1218F74E" w14:textId="4407B2D1" w:rsidR="00243A55" w:rsidRPr="00392E88" w:rsidRDefault="00243A55">
      <w:pPr>
        <w:pStyle w:val="ListDash"/>
      </w:pPr>
      <w:r w:rsidRPr="00392E88">
        <w:t xml:space="preserve">w </w:t>
      </w:r>
      <w:r w:rsidRPr="006E6446">
        <w:t>art.</w:t>
      </w:r>
      <w:r w:rsidR="006E6446" w:rsidRPr="006E6446">
        <w:t> </w:t>
      </w:r>
      <w:r w:rsidRPr="006E6446">
        <w:t>9</w:t>
      </w:r>
      <w:r w:rsidRPr="00392E88">
        <w:t xml:space="preserve"> wymaga się, aby IORP zostały poddane przez właściwy organ procedurze udzielania zezwoleń, która obejmuje ocenę ostrożnościową</w:t>
      </w:r>
      <w:r w:rsidR="006E6446" w:rsidRPr="00392E88">
        <w:t xml:space="preserve"> i</w:t>
      </w:r>
      <w:r w:rsidR="006E6446">
        <w:t> </w:t>
      </w:r>
      <w:r w:rsidR="006E6446" w:rsidRPr="00392E88">
        <w:t>prz</w:t>
      </w:r>
      <w:r w:rsidRPr="00392E88">
        <w:t>ygotowanie biznesplanu;</w:t>
      </w:r>
    </w:p>
    <w:p w14:paraId="62D430B8" w14:textId="00050DD5" w:rsidR="001567CF" w:rsidRPr="00392E88" w:rsidRDefault="001567CF" w:rsidP="005D0C3B">
      <w:pPr>
        <w:pStyle w:val="ListDash"/>
      </w:pPr>
      <w:r w:rsidRPr="006E6446">
        <w:t>art.</w:t>
      </w:r>
      <w:r w:rsidR="006E6446" w:rsidRPr="006E6446">
        <w:t> </w:t>
      </w:r>
      <w:r w:rsidRPr="006E6446">
        <w:t>9</w:t>
      </w:r>
      <w:r w:rsidRPr="00392E88">
        <w:t>a zapewnia IORP możliwość obsługi różnych programów emerytalnych,</w:t>
      </w:r>
      <w:r w:rsidR="006E6446" w:rsidRPr="00392E88">
        <w:t xml:space="preserve"> w</w:t>
      </w:r>
      <w:r w:rsidR="006E6446">
        <w:t> </w:t>
      </w:r>
      <w:r w:rsidR="006E6446" w:rsidRPr="00392E88">
        <w:t>tym</w:t>
      </w:r>
      <w:r w:rsidRPr="00392E88">
        <w:t xml:space="preserve"> programów</w:t>
      </w:r>
      <w:r w:rsidR="006E6446" w:rsidRPr="00392E88">
        <w:t xml:space="preserve"> o</w:t>
      </w:r>
      <w:r w:rsidR="006E6446">
        <w:t> </w:t>
      </w:r>
      <w:r w:rsidR="006E6446" w:rsidRPr="00392E88">
        <w:t>róż</w:t>
      </w:r>
      <w:r w:rsidRPr="00392E88">
        <w:t>nej polityce inwestycyjnej, oraz przyjmowania finansowania ze strony wielu instytucji finansujących</w:t>
      </w:r>
      <w:r w:rsidR="006E6446" w:rsidRPr="00392E88">
        <w:t xml:space="preserve"> w</w:t>
      </w:r>
      <w:r w:rsidR="006E6446">
        <w:t> </w:t>
      </w:r>
      <w:r w:rsidR="006E6446" w:rsidRPr="00392E88">
        <w:t>ram</w:t>
      </w:r>
      <w:r w:rsidRPr="00392E88">
        <w:t>ach tego samego programu emerytalnego;</w:t>
      </w:r>
    </w:p>
    <w:p w14:paraId="015DE454" w14:textId="29B81146" w:rsidR="0076038C" w:rsidRPr="00392E88" w:rsidRDefault="00B84FC3" w:rsidP="005D0C3B">
      <w:pPr>
        <w:pStyle w:val="ListDash"/>
      </w:pPr>
      <w:r w:rsidRPr="00392E88">
        <w:t xml:space="preserve">w </w:t>
      </w:r>
      <w:r w:rsidRPr="006E6446">
        <w:t>art.</w:t>
      </w:r>
      <w:r w:rsidR="006E6446" w:rsidRPr="006E6446">
        <w:t> </w:t>
      </w:r>
      <w:r w:rsidRPr="006E6446">
        <w:t>1</w:t>
      </w:r>
      <w:r w:rsidRPr="00392E88">
        <w:t>1</w:t>
      </w:r>
      <w:r w:rsidR="006E6446" w:rsidRPr="00392E88">
        <w:t xml:space="preserve"> i</w:t>
      </w:r>
      <w:r w:rsidR="006E6446">
        <w:t> </w:t>
      </w:r>
      <w:r w:rsidR="006E6446" w:rsidRPr="00392E88">
        <w:t>1</w:t>
      </w:r>
      <w:r w:rsidRPr="00392E88">
        <w:t>1a usprawniono procedury transgraniczne dla IORP przez wprowadzenie jaśniej określonych terminów, ulepszenie koordynacji między właściwymi organami,</w:t>
      </w:r>
      <w:r w:rsidR="006E6446" w:rsidRPr="00392E88">
        <w:t xml:space="preserve"> a</w:t>
      </w:r>
      <w:r w:rsidR="006E6446">
        <w:t> </w:t>
      </w:r>
      <w:r w:rsidR="006E6446" w:rsidRPr="00392E88">
        <w:t>tak</w:t>
      </w:r>
      <w:r w:rsidRPr="00392E88">
        <w:t>że uproszczenie procedury powiadamiania</w:t>
      </w:r>
      <w:r w:rsidR="006E6446" w:rsidRPr="00392E88">
        <w:t xml:space="preserve"> o</w:t>
      </w:r>
      <w:r w:rsidR="006E6446">
        <w:t> </w:t>
      </w:r>
      <w:r w:rsidR="006E6446" w:rsidRPr="00392E88">
        <w:t>roz</w:t>
      </w:r>
      <w:r w:rsidRPr="00392E88">
        <w:t>szerzeniu istniejącej działalności transgranicznej</w:t>
      </w:r>
      <w:r w:rsidR="006E6446" w:rsidRPr="00392E88">
        <w:t xml:space="preserve"> w</w:t>
      </w:r>
      <w:r w:rsidR="006E6446">
        <w:t> </w:t>
      </w:r>
      <w:r w:rsidR="006E6446" w:rsidRPr="00392E88">
        <w:t>tym</w:t>
      </w:r>
      <w:r w:rsidRPr="00392E88">
        <w:t xml:space="preserve"> samym przyjmującym państwie członkowskim;</w:t>
      </w:r>
    </w:p>
    <w:p w14:paraId="0A0D2A0F" w14:textId="3015D4A0" w:rsidR="00B84FC3" w:rsidRPr="00392E88" w:rsidRDefault="00B84FC3" w:rsidP="005D0C3B">
      <w:pPr>
        <w:pStyle w:val="ListDash"/>
      </w:pPr>
      <w:r w:rsidRPr="00392E88">
        <w:t xml:space="preserve">w </w:t>
      </w:r>
      <w:r w:rsidRPr="006E6446">
        <w:t>art.</w:t>
      </w:r>
      <w:r w:rsidR="006E6446" w:rsidRPr="006E6446">
        <w:t> </w:t>
      </w:r>
      <w:r w:rsidRPr="006E6446">
        <w:t>1</w:t>
      </w:r>
      <w:r w:rsidRPr="00392E88">
        <w:t>2 uproszczono zasady regulujące przenoszenie programów emerytalnych, ograniczając nadmierne przeszkody dla konsolidacji</w:t>
      </w:r>
      <w:r w:rsidR="006E6446" w:rsidRPr="00392E88">
        <w:t xml:space="preserve"> i</w:t>
      </w:r>
      <w:r w:rsidR="006E6446">
        <w:t> </w:t>
      </w:r>
      <w:r w:rsidR="006E6446" w:rsidRPr="00392E88">
        <w:t>ska</w:t>
      </w:r>
      <w:r w:rsidRPr="00392E88">
        <w:t>li przy jednoczesnym zapewnieniu odpowiedniej ochrony uczestników</w:t>
      </w:r>
      <w:r w:rsidR="006E6446" w:rsidRPr="00392E88">
        <w:t xml:space="preserve"> i</w:t>
      </w:r>
      <w:r w:rsidR="006E6446">
        <w:t> </w:t>
      </w:r>
      <w:r w:rsidR="006E6446" w:rsidRPr="00392E88">
        <w:t>ben</w:t>
      </w:r>
      <w:r w:rsidRPr="00392E88">
        <w:t>eficjentów;</w:t>
      </w:r>
    </w:p>
    <w:p w14:paraId="36133620" w14:textId="624A4975" w:rsidR="00121564" w:rsidRPr="00392E88" w:rsidRDefault="00121564">
      <w:pPr>
        <w:pStyle w:val="ListDash"/>
      </w:pPr>
      <w:r w:rsidRPr="006E6446">
        <w:t>art.</w:t>
      </w:r>
      <w:r w:rsidR="006E6446" w:rsidRPr="006E6446">
        <w:t> </w:t>
      </w:r>
      <w:r w:rsidRPr="006E6446">
        <w:t>1</w:t>
      </w:r>
      <w:r w:rsidRPr="00392E88">
        <w:t>4 stanowi, że właściwe organy mogą dopuszczać niepełne finansowanie przez ograniczony okres ustalony</w:t>
      </w:r>
      <w:r w:rsidR="006E6446" w:rsidRPr="00392E88">
        <w:t xml:space="preserve"> w</w:t>
      </w:r>
      <w:r w:rsidR="006E6446">
        <w:t> </w:t>
      </w:r>
      <w:r w:rsidR="006E6446" w:rsidRPr="00392E88">
        <w:t>pra</w:t>
      </w:r>
      <w:r w:rsidRPr="00392E88">
        <w:t>wie krajowym, który</w:t>
      </w:r>
      <w:r w:rsidR="006E6446" w:rsidRPr="00392E88">
        <w:t xml:space="preserve"> w</w:t>
      </w:r>
      <w:r w:rsidR="006E6446">
        <w:t> </w:t>
      </w:r>
      <w:r w:rsidR="006E6446" w:rsidRPr="00392E88">
        <w:t>żad</w:t>
      </w:r>
      <w:r w:rsidRPr="00392E88">
        <w:t>nym przypadku nie powinien przekraczać dziesięciu lat</w:t>
      </w:r>
      <w:r w:rsidR="006E6446" w:rsidRPr="00392E88">
        <w:t xml:space="preserve"> i</w:t>
      </w:r>
      <w:r w:rsidR="006E6446">
        <w:t> </w:t>
      </w:r>
      <w:r w:rsidR="006E6446" w:rsidRPr="00392E88">
        <w:t>któ</w:t>
      </w:r>
      <w:r w:rsidRPr="00392E88">
        <w:t>ry znosi dodatkowe wymogi dotyczące transgranicznych IORP;</w:t>
      </w:r>
    </w:p>
    <w:p w14:paraId="1A104334" w14:textId="6B84C412" w:rsidR="001567CF" w:rsidRPr="00392E88" w:rsidRDefault="001567CF" w:rsidP="005D0C3B">
      <w:pPr>
        <w:pStyle w:val="ListDash"/>
      </w:pPr>
      <w:r w:rsidRPr="00392E88">
        <w:t xml:space="preserve">w </w:t>
      </w:r>
      <w:r w:rsidRPr="006E6446">
        <w:t>art.</w:t>
      </w:r>
      <w:r w:rsidR="006E6446" w:rsidRPr="006E6446">
        <w:t> </w:t>
      </w:r>
      <w:r w:rsidRPr="006E6446">
        <w:t>1</w:t>
      </w:r>
      <w:r w:rsidRPr="00392E88">
        <w:t>7 uprawniono Komisję do przyjęcia aktu delegowanego</w:t>
      </w:r>
      <w:r w:rsidR="006E6446" w:rsidRPr="00392E88">
        <w:t xml:space="preserve"> w</w:t>
      </w:r>
      <w:r w:rsidR="006E6446">
        <w:t> </w:t>
      </w:r>
      <w:r w:rsidR="006E6446" w:rsidRPr="00392E88">
        <w:t>cel</w:t>
      </w:r>
      <w:r w:rsidRPr="00392E88">
        <w:t>u zmiany liczb</w:t>
      </w:r>
      <w:r w:rsidR="006E6446" w:rsidRPr="00392E88">
        <w:t xml:space="preserve"> i</w:t>
      </w:r>
      <w:r w:rsidR="006E6446">
        <w:t> </w:t>
      </w:r>
      <w:r w:rsidR="006E6446" w:rsidRPr="00392E88">
        <w:t>war</w:t>
      </w:r>
      <w:r w:rsidRPr="00392E88">
        <w:t>tości procentowych wymaganego marginesu wypłacalności, aby dostosować się do zmian na rynku;</w:t>
      </w:r>
    </w:p>
    <w:p w14:paraId="7CEEEE50" w14:textId="702A6FF0" w:rsidR="009F606D" w:rsidRPr="00392E88" w:rsidRDefault="009F606D" w:rsidP="005D0C3B">
      <w:pPr>
        <w:pStyle w:val="ListDash"/>
      </w:pPr>
      <w:r w:rsidRPr="00392E88">
        <w:t xml:space="preserve">w </w:t>
      </w:r>
      <w:r w:rsidRPr="006E6446">
        <w:t>art.</w:t>
      </w:r>
      <w:r w:rsidR="006E6446" w:rsidRPr="006E6446">
        <w:t> </w:t>
      </w:r>
      <w:r w:rsidRPr="006E6446">
        <w:t>1</w:t>
      </w:r>
      <w:r w:rsidRPr="00392E88">
        <w:t>8a wymaga się, aby IORP, które nie podlegają opartym na analizie ryzyka wymogom</w:t>
      </w:r>
      <w:r w:rsidR="006E6446" w:rsidRPr="00392E88">
        <w:t xml:space="preserve"> w</w:t>
      </w:r>
      <w:r w:rsidR="006E6446">
        <w:t> </w:t>
      </w:r>
      <w:r w:rsidR="006E6446" w:rsidRPr="00392E88">
        <w:t>zak</w:t>
      </w:r>
      <w:r w:rsidRPr="00392E88">
        <w:t>resie ustawowych funduszy własnych</w:t>
      </w:r>
      <w:r w:rsidR="006E6446" w:rsidRPr="00392E88">
        <w:t xml:space="preserve"> i</w:t>
      </w:r>
      <w:r w:rsidR="006E6446">
        <w:t> </w:t>
      </w:r>
      <w:r w:rsidR="006E6446" w:rsidRPr="00392E88">
        <w:t>któ</w:t>
      </w:r>
      <w:r w:rsidRPr="00392E88">
        <w:t>re ponoszą zobowiązania</w:t>
      </w:r>
      <w:r w:rsidR="006E6446" w:rsidRPr="00392E88">
        <w:t xml:space="preserve"> z</w:t>
      </w:r>
      <w:r w:rsidR="006E6446">
        <w:t> </w:t>
      </w:r>
      <w:r w:rsidR="006E6446" w:rsidRPr="00392E88">
        <w:t>tyt</w:t>
      </w:r>
      <w:r w:rsidRPr="00392E88">
        <w:t>ułu biometrycznych rodzajów ryzyka lub zapewniają gwarancje, przeprowadzały test warunków skrajnych co najmniej raz na trzy lata, oceniający ich zdolność do wywiązywania się</w:t>
      </w:r>
      <w:r w:rsidR="006E6446" w:rsidRPr="00392E88">
        <w:t xml:space="preserve"> z</w:t>
      </w:r>
      <w:r w:rsidR="006E6446">
        <w:t> </w:t>
      </w:r>
      <w:r w:rsidR="006E6446" w:rsidRPr="00392E88">
        <w:t>obo</w:t>
      </w:r>
      <w:r w:rsidRPr="00392E88">
        <w:t>wiązków</w:t>
      </w:r>
      <w:r w:rsidR="006E6446" w:rsidRPr="00392E88">
        <w:t xml:space="preserve"> w</w:t>
      </w:r>
      <w:r w:rsidR="006E6446">
        <w:t> </w:t>
      </w:r>
      <w:r w:rsidR="006E6446" w:rsidRPr="00392E88">
        <w:t>nie</w:t>
      </w:r>
      <w:r w:rsidRPr="00392E88">
        <w:t>korzystnych scenariuszach rynkowych</w:t>
      </w:r>
      <w:r w:rsidR="006E6446" w:rsidRPr="00392E88">
        <w:t xml:space="preserve"> i</w:t>
      </w:r>
      <w:r w:rsidR="006E6446">
        <w:t> </w:t>
      </w:r>
      <w:r w:rsidR="006E6446" w:rsidRPr="00392E88">
        <w:t>dem</w:t>
      </w:r>
      <w:r w:rsidRPr="00392E88">
        <w:t>ograficznych</w:t>
      </w:r>
      <w:r w:rsidR="006E6446" w:rsidRPr="00392E88">
        <w:t>. W</w:t>
      </w:r>
      <w:r w:rsidR="006E6446">
        <w:t> </w:t>
      </w:r>
      <w:r w:rsidR="006E6446" w:rsidRPr="00392E88">
        <w:t>prz</w:t>
      </w:r>
      <w:r w:rsidRPr="00392E88">
        <w:t>ypadku stwierdzenia podatności właściwe organy mogą wymagać częstszego przeprowadzania testów. Przepis ten określa standardowe scenariusze warunków skrajnych</w:t>
      </w:r>
      <w:r w:rsidR="006E6446" w:rsidRPr="00392E88">
        <w:t xml:space="preserve"> i</w:t>
      </w:r>
      <w:r w:rsidR="006E6446">
        <w:t> </w:t>
      </w:r>
      <w:r w:rsidR="006E6446" w:rsidRPr="00392E88">
        <w:t>umo</w:t>
      </w:r>
      <w:r w:rsidRPr="00392E88">
        <w:t>żliwia państwom członkowskim narzucenie dłuższych horyzontów prognozy lub surowszych założeń. Artykuł ten stanowi również, że</w:t>
      </w:r>
      <w:r w:rsidR="006E6446" w:rsidRPr="00392E88">
        <w:t xml:space="preserve"> w</w:t>
      </w:r>
      <w:r w:rsidR="006E6446">
        <w:t> </w:t>
      </w:r>
      <w:r w:rsidR="006E6446" w:rsidRPr="00392E88">
        <w:t>prz</w:t>
      </w:r>
      <w:r w:rsidRPr="00392E88">
        <w:t xml:space="preserve">ypadku gdy wyniki testu warunków skrajnych wskazują na niewystarczające aktywa lub dostępne marginesy wypłacalności, IORP przedkładają plan konwergencji określający środki naprawcze. Ostatecznie właściwe organy mogą wymagać wyższych marginesów wypłacalności, jeżeli plan nie jest wiarygodny lub nie został przedłożony; </w:t>
      </w:r>
    </w:p>
    <w:p w14:paraId="75397DC0" w14:textId="326DD388" w:rsidR="004A226F" w:rsidRPr="00392E88" w:rsidRDefault="004A226F" w:rsidP="005D0C3B">
      <w:pPr>
        <w:pStyle w:val="ListDash"/>
      </w:pPr>
      <w:r w:rsidRPr="00392E88">
        <w:t xml:space="preserve">w </w:t>
      </w:r>
      <w:r w:rsidRPr="006E6446">
        <w:t>art.</w:t>
      </w:r>
      <w:r w:rsidR="006E6446" w:rsidRPr="006E6446">
        <w:t> </w:t>
      </w:r>
      <w:r w:rsidRPr="006E6446">
        <w:t>1</w:t>
      </w:r>
      <w:r w:rsidRPr="00392E88">
        <w:t>9 wprowadzono zasadę „ostrożnego inwestora” opartą</w:t>
      </w:r>
      <w:r w:rsidR="006E6446" w:rsidRPr="00392E88">
        <w:t xml:space="preserve"> w</w:t>
      </w:r>
      <w:r w:rsidR="006E6446">
        <w:t> </w:t>
      </w:r>
      <w:r w:rsidR="006E6446" w:rsidRPr="00392E88">
        <w:t>wię</w:t>
      </w:r>
      <w:r w:rsidRPr="00392E88">
        <w:t>kszym stopniu na zasadach</w:t>
      </w:r>
      <w:r w:rsidR="006E6446" w:rsidRPr="00392E88">
        <w:t xml:space="preserve"> i</w:t>
      </w:r>
      <w:r w:rsidR="006E6446">
        <w:t> </w:t>
      </w:r>
      <w:r w:rsidR="006E6446" w:rsidRPr="00392E88">
        <w:t>ogr</w:t>
      </w:r>
      <w:r w:rsidRPr="00392E88">
        <w:t>aniczono możliwość ustanawiania bardziej szczegółowych przepisów do programów,</w:t>
      </w:r>
      <w:r w:rsidR="006E6446" w:rsidRPr="00392E88">
        <w:t xml:space="preserve"> w</w:t>
      </w:r>
      <w:r w:rsidR="006E6446">
        <w:t> </w:t>
      </w:r>
      <w:r w:rsidR="006E6446" w:rsidRPr="00392E88">
        <w:t>któ</w:t>
      </w:r>
      <w:r w:rsidRPr="00392E88">
        <w:t>rych uczestnicy</w:t>
      </w:r>
      <w:r w:rsidR="006E6446" w:rsidRPr="00392E88">
        <w:t xml:space="preserve"> i</w:t>
      </w:r>
      <w:r w:rsidR="006E6446">
        <w:t> </w:t>
      </w:r>
      <w:r w:rsidR="006E6446" w:rsidRPr="00392E88">
        <w:t>ben</w:t>
      </w:r>
      <w:r w:rsidRPr="00392E88">
        <w:t>eficjenci ponoszą ryzyko inwestycyjne, bez możliwości ograniczenia rodzajów aktywów,</w:t>
      </w:r>
      <w:r w:rsidR="006E6446" w:rsidRPr="00392E88">
        <w:t xml:space="preserve"> w</w:t>
      </w:r>
      <w:r w:rsidR="006E6446">
        <w:t> </w:t>
      </w:r>
      <w:r w:rsidR="006E6446" w:rsidRPr="00392E88">
        <w:t>któ</w:t>
      </w:r>
      <w:r w:rsidRPr="00392E88">
        <w:t>re IORP może inwestować. Nie narusza to możliwości wymagania przez właściwe organy ograniczeń,</w:t>
      </w:r>
      <w:r w:rsidR="006E6446" w:rsidRPr="00392E88">
        <w:t xml:space="preserve"> w</w:t>
      </w:r>
      <w:r w:rsidR="006E6446">
        <w:t> </w:t>
      </w:r>
      <w:r w:rsidR="006E6446" w:rsidRPr="00392E88">
        <w:t>prz</w:t>
      </w:r>
      <w:r w:rsidRPr="00392E88">
        <w:t>ypadku gdy ryzyko ponoszą uczestnicy</w:t>
      </w:r>
      <w:r w:rsidR="006E6446" w:rsidRPr="00392E88">
        <w:t xml:space="preserve"> i</w:t>
      </w:r>
      <w:r w:rsidR="006E6446">
        <w:t> </w:t>
      </w:r>
      <w:r w:rsidR="006E6446" w:rsidRPr="00392E88">
        <w:t>ben</w:t>
      </w:r>
      <w:r w:rsidRPr="00392E88">
        <w:t>eficjenci,</w:t>
      </w:r>
      <w:r w:rsidR="006E6446" w:rsidRPr="00392E88">
        <w:t xml:space="preserve"> o</w:t>
      </w:r>
      <w:r w:rsidR="006E6446">
        <w:t> </w:t>
      </w:r>
      <w:r w:rsidR="006E6446" w:rsidRPr="00392E88">
        <w:t>ile</w:t>
      </w:r>
      <w:r w:rsidRPr="00392E88">
        <w:t xml:space="preserve"> takie ograniczenia nie są równoznaczne</w:t>
      </w:r>
      <w:r w:rsidR="006E6446" w:rsidRPr="00392E88">
        <w:t xml:space="preserve"> z</w:t>
      </w:r>
      <w:r w:rsidR="006E6446">
        <w:t> </w:t>
      </w:r>
      <w:r w:rsidR="006E6446" w:rsidRPr="00392E88">
        <w:t>pus</w:t>
      </w:r>
      <w:r w:rsidRPr="00392E88">
        <w:t>tymi zakazami;</w:t>
      </w:r>
    </w:p>
    <w:p w14:paraId="399A3758" w14:textId="65D65E5D" w:rsidR="006849D6" w:rsidRPr="00392E88" w:rsidRDefault="006849D6" w:rsidP="005D0C3B">
      <w:pPr>
        <w:pStyle w:val="ListDash"/>
      </w:pPr>
      <w:r w:rsidRPr="006E6446">
        <w:t>art.</w:t>
      </w:r>
      <w:r w:rsidR="006E6446" w:rsidRPr="006E6446">
        <w:t> </w:t>
      </w:r>
      <w:r w:rsidRPr="006E6446">
        <w:t>2</w:t>
      </w:r>
      <w:r w:rsidRPr="00392E88">
        <w:t>1 stanowi, że system zarządzania musi obejmować skuteczny mechanizm zarządzania konfliktami interesów oraz funkcję zgodności</w:t>
      </w:r>
      <w:r w:rsidR="006E6446" w:rsidRPr="00392E88">
        <w:t xml:space="preserve"> z</w:t>
      </w:r>
      <w:r w:rsidR="006E6446">
        <w:t> </w:t>
      </w:r>
      <w:r w:rsidR="006E6446" w:rsidRPr="00392E88">
        <w:t>prz</w:t>
      </w:r>
      <w:r w:rsidRPr="00392E88">
        <w:t>episami;</w:t>
      </w:r>
    </w:p>
    <w:p w14:paraId="6C4A09E7" w14:textId="0E426641" w:rsidR="0031335F" w:rsidRPr="00392E88" w:rsidRDefault="0031335F" w:rsidP="005D0C3B">
      <w:pPr>
        <w:pStyle w:val="ListDash"/>
        <w:rPr>
          <w:szCs w:val="24"/>
        </w:rPr>
      </w:pPr>
      <w:r w:rsidRPr="00392E88">
        <w:t xml:space="preserve">w </w:t>
      </w:r>
      <w:r w:rsidRPr="006E6446">
        <w:t>art.</w:t>
      </w:r>
      <w:r w:rsidR="006E6446" w:rsidRPr="006E6446">
        <w:t> </w:t>
      </w:r>
      <w:r w:rsidRPr="006E6446">
        <w:t>2</w:t>
      </w:r>
      <w:r w:rsidRPr="00392E88">
        <w:t>2 zaostrzono wymogi dotyczące kompetencji</w:t>
      </w:r>
      <w:r w:rsidR="006E6446" w:rsidRPr="00392E88">
        <w:t xml:space="preserve"> i</w:t>
      </w:r>
      <w:r w:rsidR="006E6446">
        <w:t> </w:t>
      </w:r>
      <w:r w:rsidR="006E6446" w:rsidRPr="00392E88">
        <w:t>rep</w:t>
      </w:r>
      <w:r w:rsidRPr="00392E88">
        <w:t>utacji. Kwalifikacje, wiedza</w:t>
      </w:r>
      <w:r w:rsidR="006E6446" w:rsidRPr="00392E88">
        <w:t xml:space="preserve"> i</w:t>
      </w:r>
      <w:r w:rsidR="006E6446">
        <w:t> </w:t>
      </w:r>
      <w:r w:rsidR="006E6446" w:rsidRPr="00392E88">
        <w:t>doś</w:t>
      </w:r>
      <w:r w:rsidRPr="00392E88">
        <w:t>wiadczenie członków organu administrującego, zarządzającego lub nadzorczego są nadal łącznie wystarczające, aby umożliwić im skuteczne wykonywanie obowiązków. Zaostrzono natomiast wymogi dotyczące osób faktycznie zarządzających IORP, które indywidualnie spełniają wymagane standardy dotyczące kompetencji</w:t>
      </w:r>
      <w:r w:rsidR="006E6446" w:rsidRPr="00392E88">
        <w:t xml:space="preserve"> i</w:t>
      </w:r>
      <w:r w:rsidR="006E6446">
        <w:t> </w:t>
      </w:r>
      <w:r w:rsidR="006E6446" w:rsidRPr="00392E88">
        <w:t>rep</w:t>
      </w:r>
      <w:r w:rsidRPr="00392E88">
        <w:t>utacji;</w:t>
      </w:r>
    </w:p>
    <w:p w14:paraId="6F6AC213" w14:textId="4F1A3EA9" w:rsidR="00B97833" w:rsidRPr="00392E88" w:rsidRDefault="00B97833" w:rsidP="005D0C3B">
      <w:pPr>
        <w:pStyle w:val="ListDash"/>
        <w:rPr>
          <w:szCs w:val="24"/>
        </w:rPr>
      </w:pPr>
      <w:r w:rsidRPr="006E6446">
        <w:t>art.</w:t>
      </w:r>
      <w:r w:rsidR="006E6446" w:rsidRPr="006E6446">
        <w:t> </w:t>
      </w:r>
      <w:r w:rsidRPr="006E6446">
        <w:t>2</w:t>
      </w:r>
      <w:r w:rsidRPr="00392E88">
        <w:t>6 stanowi, że</w:t>
      </w:r>
      <w:r w:rsidR="006E6446" w:rsidRPr="00392E88">
        <w:t xml:space="preserve"> o</w:t>
      </w:r>
      <w:r w:rsidR="006E6446">
        <w:t> </w:t>
      </w:r>
      <w:r w:rsidR="006E6446" w:rsidRPr="00392E88">
        <w:t>wyn</w:t>
      </w:r>
      <w:r w:rsidRPr="00392E88">
        <w:t>ikach</w:t>
      </w:r>
      <w:r w:rsidR="006E6446" w:rsidRPr="00392E88">
        <w:t xml:space="preserve"> i</w:t>
      </w:r>
      <w:r w:rsidR="006E6446">
        <w:t> </w:t>
      </w:r>
      <w:r w:rsidR="006E6446" w:rsidRPr="00392E88">
        <w:t>zal</w:t>
      </w:r>
      <w:r w:rsidRPr="00392E88">
        <w:t>eceniach audytu wewnętrznego informowany jest organ administrujący, zarządzający lub nadzorczy, który określa odpowiednie działania, jakie należy podjąć</w:t>
      </w:r>
      <w:r w:rsidR="006E6446" w:rsidRPr="00392E88">
        <w:t xml:space="preserve"> w</w:t>
      </w:r>
      <w:r w:rsidR="006E6446">
        <w:t> </w:t>
      </w:r>
      <w:r w:rsidR="006E6446" w:rsidRPr="00392E88">
        <w:t>odn</w:t>
      </w:r>
      <w:r w:rsidRPr="00392E88">
        <w:t>iesieniu do poszczególnych wyników</w:t>
      </w:r>
      <w:r w:rsidR="006E6446" w:rsidRPr="00392E88">
        <w:t xml:space="preserve"> i</w:t>
      </w:r>
      <w:r w:rsidR="006E6446">
        <w:t> </w:t>
      </w:r>
      <w:r w:rsidR="006E6446" w:rsidRPr="00392E88">
        <w:t>zal</w:t>
      </w:r>
      <w:r w:rsidRPr="00392E88">
        <w:t>eceń, oraz zapewnia ich skuteczne wdrożenie;</w:t>
      </w:r>
    </w:p>
    <w:p w14:paraId="6DA4471D" w14:textId="2C5AFBDD" w:rsidR="00056B60" w:rsidRPr="00392E88" w:rsidRDefault="00056B60" w:rsidP="005D0C3B">
      <w:pPr>
        <w:pStyle w:val="ListDash"/>
        <w:rPr>
          <w:szCs w:val="24"/>
        </w:rPr>
      </w:pPr>
      <w:r w:rsidRPr="00392E88">
        <w:t xml:space="preserve">w </w:t>
      </w:r>
      <w:r w:rsidRPr="006E6446">
        <w:t>art.</w:t>
      </w:r>
      <w:r w:rsidR="006E6446" w:rsidRPr="006E6446">
        <w:t> </w:t>
      </w:r>
      <w:r w:rsidRPr="006E6446">
        <w:t>2</w:t>
      </w:r>
      <w:r w:rsidRPr="00392E88">
        <w:t>8 zapewniono, aby IORP ustanowiły pisemną politykę dotyczącą własnej oceny ryzyka określającą procesy</w:t>
      </w:r>
      <w:r w:rsidR="006E6446" w:rsidRPr="00392E88">
        <w:t xml:space="preserve"> i</w:t>
      </w:r>
      <w:r w:rsidR="006E6446">
        <w:t> </w:t>
      </w:r>
      <w:r w:rsidR="006E6446" w:rsidRPr="00392E88">
        <w:t>pro</w:t>
      </w:r>
      <w:r w:rsidRPr="00392E88">
        <w:t>cedury przeprowadzania oceny, częstotliwość oceny oraz metody;</w:t>
      </w:r>
    </w:p>
    <w:p w14:paraId="5249193F" w14:textId="1D973D20" w:rsidR="009C74DE" w:rsidRPr="00392E88" w:rsidRDefault="009C74DE" w:rsidP="005D0C3B">
      <w:pPr>
        <w:pStyle w:val="ListDash"/>
        <w:rPr>
          <w:szCs w:val="24"/>
        </w:rPr>
      </w:pPr>
      <w:r w:rsidRPr="00392E88">
        <w:t xml:space="preserve">w </w:t>
      </w:r>
      <w:r w:rsidRPr="006E6446">
        <w:t>art.</w:t>
      </w:r>
      <w:r w:rsidR="006E6446" w:rsidRPr="006E6446">
        <w:t> </w:t>
      </w:r>
      <w:r w:rsidRPr="006E6446">
        <w:t>3</w:t>
      </w:r>
      <w:r w:rsidRPr="00392E88">
        <w:t>0 wymaga się, aby</w:t>
      </w:r>
      <w:r w:rsidR="006E6446" w:rsidRPr="00392E88">
        <w:t xml:space="preserve"> w</w:t>
      </w:r>
      <w:r w:rsidR="006E6446">
        <w:t> </w:t>
      </w:r>
      <w:r w:rsidR="006E6446" w:rsidRPr="00392E88">
        <w:t>ośw</w:t>
      </w:r>
      <w:r w:rsidRPr="00392E88">
        <w:t>iadczeniu</w:t>
      </w:r>
      <w:r w:rsidR="006E6446" w:rsidRPr="00392E88">
        <w:t xml:space="preserve"> o</w:t>
      </w:r>
      <w:r w:rsidR="006E6446">
        <w:t> </w:t>
      </w:r>
      <w:r w:rsidR="006E6446" w:rsidRPr="00392E88">
        <w:t>zas</w:t>
      </w:r>
      <w:r w:rsidRPr="00392E88">
        <w:t>adach zasad polityki inwestycyjnej jasno określono cele inwestycyjne spójne</w:t>
      </w:r>
      <w:r w:rsidR="006E6446" w:rsidRPr="00392E88">
        <w:t xml:space="preserve"> z</w:t>
      </w:r>
      <w:r w:rsidR="006E6446">
        <w:t> </w:t>
      </w:r>
      <w:r w:rsidR="006E6446" w:rsidRPr="00392E88">
        <w:t>cel</w:t>
      </w:r>
      <w:r w:rsidRPr="00392E88">
        <w:t>ami</w:t>
      </w:r>
      <w:r w:rsidR="006E6446" w:rsidRPr="00392E88">
        <w:t xml:space="preserve"> w</w:t>
      </w:r>
      <w:r w:rsidR="006E6446">
        <w:t> </w:t>
      </w:r>
      <w:r w:rsidR="006E6446" w:rsidRPr="00392E88">
        <w:t>zak</w:t>
      </w:r>
      <w:r w:rsidRPr="00392E88">
        <w:t>resie dochodów emerytalnych każdego programu oraz określono tolerancje dla odchyleń od celów</w:t>
      </w:r>
      <w:r w:rsidR="006E6446" w:rsidRPr="00392E88">
        <w:t xml:space="preserve"> w</w:t>
      </w:r>
      <w:r w:rsidR="006E6446">
        <w:t> </w:t>
      </w:r>
      <w:r w:rsidR="006E6446" w:rsidRPr="00392E88">
        <w:t>zak</w:t>
      </w:r>
      <w:r w:rsidRPr="00392E88">
        <w:t>resie alokacji aktywów</w:t>
      </w:r>
      <w:r w:rsidR="006E6446" w:rsidRPr="00392E88">
        <w:t xml:space="preserve"> i</w:t>
      </w:r>
      <w:r w:rsidR="006E6446">
        <w:t> </w:t>
      </w:r>
      <w:r w:rsidR="006E6446" w:rsidRPr="00392E88">
        <w:t>wyn</w:t>
      </w:r>
      <w:r w:rsidRPr="00392E88">
        <w:t>ików, zgodnie</w:t>
      </w:r>
      <w:r w:rsidR="006E6446" w:rsidRPr="00392E88">
        <w:t xml:space="preserve"> z</w:t>
      </w:r>
      <w:r w:rsidR="006E6446">
        <w:t> </w:t>
      </w:r>
      <w:r w:rsidR="006E6446" w:rsidRPr="00392E88">
        <w:t>pod</w:t>
      </w:r>
      <w:r w:rsidRPr="00392E88">
        <w:t>stawowymi zasadami OECD dotyczącymi regulacji emerytur prywatnych oraz związanymi</w:t>
      </w:r>
      <w:r w:rsidR="006E6446" w:rsidRPr="00392E88">
        <w:t xml:space="preserve"> z</w:t>
      </w:r>
      <w:r w:rsidR="006E6446">
        <w:t> </w:t>
      </w:r>
      <w:r w:rsidR="006E6446" w:rsidRPr="00392E88">
        <w:t>nim</w:t>
      </w:r>
      <w:r w:rsidRPr="00392E88">
        <w:t>i wytycznymi wykonawczymi;</w:t>
      </w:r>
    </w:p>
    <w:p w14:paraId="595A6D83" w14:textId="1EDC5221" w:rsidR="00417462" w:rsidRPr="00392E88" w:rsidRDefault="00417462" w:rsidP="005D0C3B">
      <w:pPr>
        <w:pStyle w:val="ListDash"/>
      </w:pPr>
      <w:r w:rsidRPr="006E6446">
        <w:t>art.</w:t>
      </w:r>
      <w:r w:rsidR="006E6446" w:rsidRPr="006E6446">
        <w:t> </w:t>
      </w:r>
      <w:r w:rsidRPr="006E6446">
        <w:t>3</w:t>
      </w:r>
      <w:r w:rsidRPr="00392E88">
        <w:t>3 zapewnia, aby</w:t>
      </w:r>
      <w:r w:rsidR="006E6446" w:rsidRPr="00392E88">
        <w:t xml:space="preserve"> w</w:t>
      </w:r>
      <w:r w:rsidR="006E6446">
        <w:t> </w:t>
      </w:r>
      <w:r w:rsidR="006E6446" w:rsidRPr="00392E88">
        <w:t>prz</w:t>
      </w:r>
      <w:r w:rsidRPr="00392E88">
        <w:t>ypadku programu emerytalnego,</w:t>
      </w:r>
      <w:r w:rsidR="006E6446" w:rsidRPr="00392E88">
        <w:t xml:space="preserve"> w</w:t>
      </w:r>
      <w:r w:rsidR="006E6446">
        <w:t> </w:t>
      </w:r>
      <w:r w:rsidR="006E6446" w:rsidRPr="00392E88">
        <w:t>któ</w:t>
      </w:r>
      <w:r w:rsidRPr="00392E88">
        <w:t>rym uczestnicy</w:t>
      </w:r>
      <w:r w:rsidR="006E6446" w:rsidRPr="00392E88">
        <w:t xml:space="preserve"> i</w:t>
      </w:r>
      <w:r w:rsidR="006E6446">
        <w:t> </w:t>
      </w:r>
      <w:r w:rsidR="006E6446" w:rsidRPr="00392E88">
        <w:t>ben</w:t>
      </w:r>
      <w:r w:rsidRPr="00392E88">
        <w:t>eficjenci ponoszą</w:t>
      </w:r>
      <w:r w:rsidR="006E6446" w:rsidRPr="00392E88">
        <w:t xml:space="preserve"> w</w:t>
      </w:r>
      <w:r w:rsidR="006E6446">
        <w:t> </w:t>
      </w:r>
      <w:r w:rsidR="006E6446" w:rsidRPr="00392E88">
        <w:t>peł</w:t>
      </w:r>
      <w:r w:rsidRPr="00392E88">
        <w:t>ni ryzyko inwestycyjne, wzmocnione zostały obowiązki</w:t>
      </w:r>
      <w:r w:rsidR="006E6446" w:rsidRPr="00392E88">
        <w:t xml:space="preserve"> w</w:t>
      </w:r>
      <w:r w:rsidR="006E6446">
        <w:t> </w:t>
      </w:r>
      <w:r w:rsidR="006E6446" w:rsidRPr="00392E88">
        <w:t>zak</w:t>
      </w:r>
      <w:r w:rsidRPr="00392E88">
        <w:t>resie przechowywania aktywów oraz obowiązki nadzorcze;</w:t>
      </w:r>
    </w:p>
    <w:p w14:paraId="7D281C71" w14:textId="1E295AF9" w:rsidR="00527492" w:rsidRPr="00392E88" w:rsidRDefault="00E77BD8" w:rsidP="005D0C3B">
      <w:pPr>
        <w:pStyle w:val="ListDash"/>
      </w:pPr>
      <w:r w:rsidRPr="00392E88">
        <w:t xml:space="preserve">w </w:t>
      </w:r>
      <w:r w:rsidRPr="006E6446">
        <w:t>art.</w:t>
      </w:r>
      <w:r w:rsidR="006E6446" w:rsidRPr="006E6446">
        <w:t> </w:t>
      </w:r>
      <w:r w:rsidRPr="006E6446">
        <w:t>3</w:t>
      </w:r>
      <w:r w:rsidRPr="00392E88">
        <w:t>6–44 zapewniono sprawniejsze informowanie uczestników</w:t>
      </w:r>
      <w:r w:rsidR="006E6446" w:rsidRPr="00392E88">
        <w:t xml:space="preserve"> i</w:t>
      </w:r>
      <w:r w:rsidR="006E6446">
        <w:t> </w:t>
      </w:r>
      <w:r w:rsidR="006E6446" w:rsidRPr="00392E88">
        <w:t>ben</w:t>
      </w:r>
      <w:r w:rsidRPr="00392E88">
        <w:t>eficjentów</w:t>
      </w:r>
      <w:r w:rsidR="006E6446" w:rsidRPr="00392E88">
        <w:t xml:space="preserve"> w</w:t>
      </w:r>
      <w:r w:rsidR="006E6446">
        <w:t> </w:t>
      </w:r>
      <w:r w:rsidR="006E6446" w:rsidRPr="00392E88">
        <w:t>faz</w:t>
      </w:r>
      <w:r w:rsidRPr="00392E88">
        <w:t>ie akumulacji</w:t>
      </w:r>
      <w:r w:rsidR="006E6446" w:rsidRPr="00392E88">
        <w:t xml:space="preserve"> i</w:t>
      </w:r>
      <w:r w:rsidR="006E6446">
        <w:t> </w:t>
      </w:r>
      <w:r w:rsidR="006E6446" w:rsidRPr="00392E88">
        <w:t>dek</w:t>
      </w:r>
      <w:r w:rsidRPr="00392E88">
        <w:t>umulacji</w:t>
      </w:r>
      <w:r w:rsidR="006E6446" w:rsidRPr="00392E88">
        <w:t>. W</w:t>
      </w:r>
      <w:r w:rsidR="006E6446">
        <w:t> </w:t>
      </w:r>
      <w:r w:rsidR="006E6446" w:rsidRPr="00392E88">
        <w:t>szc</w:t>
      </w:r>
      <w:r w:rsidRPr="00392E88">
        <w:t xml:space="preserve">zególności </w:t>
      </w:r>
      <w:r w:rsidRPr="006E6446">
        <w:t>art.</w:t>
      </w:r>
      <w:r w:rsidR="006E6446" w:rsidRPr="006E6446">
        <w:t> </w:t>
      </w:r>
      <w:r w:rsidRPr="006E6446">
        <w:t>3</w:t>
      </w:r>
      <w:r w:rsidRPr="00392E88">
        <w:t>7a zobowiązuje IORP do wymiany istotnych informacji</w:t>
      </w:r>
      <w:r w:rsidR="006E6446" w:rsidRPr="00392E88">
        <w:t xml:space="preserve"> z</w:t>
      </w:r>
      <w:r w:rsidR="006E6446">
        <w:t> </w:t>
      </w:r>
      <w:r w:rsidR="006E6446" w:rsidRPr="00392E88">
        <w:t>sys</w:t>
      </w:r>
      <w:r w:rsidRPr="00392E88">
        <w:t>temami monitorowania uprawnień emerytalnych</w:t>
      </w:r>
      <w:r w:rsidR="006E6446" w:rsidRPr="00392E88">
        <w:t xml:space="preserve"> w</w:t>
      </w:r>
      <w:r w:rsidR="006E6446">
        <w:t> </w:t>
      </w:r>
      <w:r w:rsidR="006E6446" w:rsidRPr="00392E88">
        <w:t>cel</w:t>
      </w:r>
      <w:r w:rsidRPr="00392E88">
        <w:t>u zwiększenia przejrzystości</w:t>
      </w:r>
      <w:r w:rsidR="006E6446" w:rsidRPr="00392E88">
        <w:t xml:space="preserve"> i</w:t>
      </w:r>
      <w:r w:rsidR="006E6446">
        <w:t> </w:t>
      </w:r>
      <w:r w:rsidR="006E6446" w:rsidRPr="00392E88">
        <w:t>uła</w:t>
      </w:r>
      <w:r w:rsidRPr="00392E88">
        <w:t>twienia uczestnikom</w:t>
      </w:r>
      <w:r w:rsidR="006E6446" w:rsidRPr="00392E88">
        <w:t xml:space="preserve"> i</w:t>
      </w:r>
      <w:r w:rsidR="006E6446">
        <w:t> </w:t>
      </w:r>
      <w:r w:rsidR="006E6446" w:rsidRPr="00392E88">
        <w:t>ben</w:t>
      </w:r>
      <w:r w:rsidRPr="00392E88">
        <w:t>eficjentom poznania ich uprawnień;</w:t>
      </w:r>
    </w:p>
    <w:p w14:paraId="06D823CC" w14:textId="41D988F8" w:rsidR="00E77BD8" w:rsidRPr="00392E88" w:rsidRDefault="00E77BD8" w:rsidP="005D0C3B">
      <w:pPr>
        <w:pStyle w:val="ListDash"/>
      </w:pPr>
      <w:r w:rsidRPr="00392E88">
        <w:t xml:space="preserve">w </w:t>
      </w:r>
      <w:r w:rsidRPr="006E6446">
        <w:t>art.</w:t>
      </w:r>
      <w:r w:rsidR="006E6446" w:rsidRPr="006E6446">
        <w:t> </w:t>
      </w:r>
      <w:r w:rsidRPr="006E6446">
        <w:t>4</w:t>
      </w:r>
      <w:r w:rsidRPr="00392E88">
        <w:t>4a wprowadzono wyraźny obowiązek dochowania należytej staranności przez IORP, zobowiązując je do działania</w:t>
      </w:r>
      <w:r w:rsidR="006E6446" w:rsidRPr="00392E88">
        <w:t xml:space="preserve"> w</w:t>
      </w:r>
      <w:r w:rsidR="006E6446">
        <w:t> </w:t>
      </w:r>
      <w:r w:rsidR="006E6446" w:rsidRPr="00392E88">
        <w:t>spo</w:t>
      </w:r>
      <w:r w:rsidRPr="00392E88">
        <w:t>sób uczciwy, sprawiedliwy</w:t>
      </w:r>
      <w:r w:rsidR="006E6446" w:rsidRPr="00392E88">
        <w:t xml:space="preserve"> i</w:t>
      </w:r>
      <w:r w:rsidR="006E6446">
        <w:t> </w:t>
      </w:r>
      <w:r w:rsidR="006E6446" w:rsidRPr="00392E88">
        <w:t>pro</w:t>
      </w:r>
      <w:r w:rsidRPr="00392E88">
        <w:t>fesjonalny zgodnie</w:t>
      </w:r>
      <w:r w:rsidR="006E6446" w:rsidRPr="00392E88">
        <w:t xml:space="preserve"> z</w:t>
      </w:r>
      <w:r w:rsidR="006E6446">
        <w:t> </w:t>
      </w:r>
      <w:r w:rsidR="006E6446" w:rsidRPr="00392E88">
        <w:t>naj</w:t>
      </w:r>
      <w:r w:rsidRPr="00392E88">
        <w:t>lepiej pojętym interesem swoich uczestników</w:t>
      </w:r>
      <w:r w:rsidR="006E6446" w:rsidRPr="00392E88">
        <w:t xml:space="preserve"> i</w:t>
      </w:r>
      <w:r w:rsidR="006E6446">
        <w:t> </w:t>
      </w:r>
      <w:r w:rsidR="006E6446" w:rsidRPr="00392E88">
        <w:t>ben</w:t>
      </w:r>
      <w:r w:rsidRPr="00392E88">
        <w:t>eficjentów.</w:t>
      </w:r>
    </w:p>
    <w:p w14:paraId="2CE20F9E" w14:textId="455934EA" w:rsidR="00E750B0" w:rsidRPr="00392E88" w:rsidRDefault="00E750B0" w:rsidP="005D0C3B">
      <w:pPr>
        <w:pStyle w:val="ListDash"/>
        <w:rPr>
          <w:szCs w:val="24"/>
        </w:rPr>
      </w:pPr>
      <w:r w:rsidRPr="00392E88">
        <w:t xml:space="preserve">w </w:t>
      </w:r>
      <w:r w:rsidRPr="006E6446">
        <w:t>art.</w:t>
      </w:r>
      <w:r w:rsidR="006E6446" w:rsidRPr="006E6446">
        <w:t> </w:t>
      </w:r>
      <w:r w:rsidRPr="006E6446">
        <w:t>4</w:t>
      </w:r>
      <w:r w:rsidRPr="00392E88">
        <w:t>4c</w:t>
      </w:r>
      <w:r w:rsidR="006E6446" w:rsidRPr="00392E88">
        <w:t xml:space="preserve"> i</w:t>
      </w:r>
      <w:r w:rsidR="006E6446">
        <w:t> </w:t>
      </w:r>
      <w:r w:rsidR="006E6446" w:rsidRPr="00392E88">
        <w:t>4</w:t>
      </w:r>
      <w:r w:rsidRPr="00392E88">
        <w:t>4d zobowiązano IORP do ustanowienia skutecznych procedur rozpatrywania skarg,</w:t>
      </w:r>
      <w:r w:rsidR="006E6446" w:rsidRPr="00392E88">
        <w:t xml:space="preserve"> a</w:t>
      </w:r>
      <w:r w:rsidR="006E6446">
        <w:t> </w:t>
      </w:r>
      <w:r w:rsidR="006E6446" w:rsidRPr="00392E88">
        <w:t>pań</w:t>
      </w:r>
      <w:r w:rsidRPr="00392E88">
        <w:t>stwa członkowskie do zapewnienia dostępności odpowiednich, niezależnych</w:t>
      </w:r>
      <w:r w:rsidR="006E6446" w:rsidRPr="00392E88">
        <w:t xml:space="preserve"> i</w:t>
      </w:r>
      <w:r w:rsidR="006E6446">
        <w:t> </w:t>
      </w:r>
      <w:r w:rsidR="006E6446" w:rsidRPr="00392E88">
        <w:t>bez</w:t>
      </w:r>
      <w:r w:rsidRPr="00392E88">
        <w:t>stronnych organów rozstrzygania sporów,</w:t>
      </w:r>
      <w:r w:rsidR="006E6446" w:rsidRPr="00392E88">
        <w:t xml:space="preserve"> w</w:t>
      </w:r>
      <w:r w:rsidR="006E6446">
        <w:t> </w:t>
      </w:r>
      <w:r w:rsidR="006E6446" w:rsidRPr="00392E88">
        <w:t>tym w</w:t>
      </w:r>
      <w:r w:rsidR="006E6446">
        <w:t> </w:t>
      </w:r>
      <w:r w:rsidR="006E6446" w:rsidRPr="00392E88">
        <w:t>spr</w:t>
      </w:r>
      <w:r w:rsidRPr="00392E88">
        <w:t>awach transgranicznych;</w:t>
      </w:r>
    </w:p>
    <w:p w14:paraId="777DF750" w14:textId="401220D4" w:rsidR="00372D60" w:rsidRPr="00392E88" w:rsidRDefault="006800C0" w:rsidP="005D0C3B">
      <w:pPr>
        <w:pStyle w:val="ListDash"/>
        <w:rPr>
          <w:szCs w:val="24"/>
        </w:rPr>
      </w:pPr>
      <w:r w:rsidRPr="00392E88">
        <w:t xml:space="preserve">w </w:t>
      </w:r>
      <w:r w:rsidRPr="006E6446">
        <w:t>art.</w:t>
      </w:r>
      <w:r w:rsidR="006E6446" w:rsidRPr="006E6446">
        <w:t> </w:t>
      </w:r>
      <w:r w:rsidRPr="006E6446">
        <w:t>4</w:t>
      </w:r>
      <w:r w:rsidRPr="00392E88">
        <w:t>5–51 wzmocniono nadzór</w:t>
      </w:r>
      <w:r w:rsidR="006E6446" w:rsidRPr="00392E88">
        <w:t xml:space="preserve"> i</w:t>
      </w:r>
      <w:r w:rsidR="006E6446">
        <w:t> </w:t>
      </w:r>
      <w:r w:rsidR="006E6446" w:rsidRPr="00392E88">
        <w:t>zwi</w:t>
      </w:r>
      <w:r w:rsidRPr="00392E88">
        <w:t>ększono uprawnienia właściwych organów</w:t>
      </w:r>
      <w:r w:rsidR="006E6446" w:rsidRPr="00392E88">
        <w:t>. W</w:t>
      </w:r>
      <w:r w:rsidR="006E6446">
        <w:t> </w:t>
      </w:r>
      <w:r w:rsidR="006E6446" w:rsidRPr="00392E88">
        <w:t>szc</w:t>
      </w:r>
      <w:r w:rsidRPr="00392E88">
        <w:t xml:space="preserve">zególności </w:t>
      </w:r>
      <w:r w:rsidRPr="006E6446">
        <w:t>art.</w:t>
      </w:r>
      <w:r w:rsidR="006E6446" w:rsidRPr="006E6446">
        <w:t> </w:t>
      </w:r>
      <w:r w:rsidRPr="006E6446">
        <w:t>4</w:t>
      </w:r>
      <w:r w:rsidRPr="00392E88">
        <w:t>9a wprowadza regularny dialog nadzorczy mający na celu zachęcenie do strategicznej refleksji nad długoterminową adekwatnością, efektywnością</w:t>
      </w:r>
      <w:r w:rsidR="006E6446" w:rsidRPr="00392E88">
        <w:t xml:space="preserve"> i</w:t>
      </w:r>
      <w:r w:rsidR="006E6446">
        <w:t> </w:t>
      </w:r>
      <w:r w:rsidR="006E6446" w:rsidRPr="00392E88">
        <w:t>sta</w:t>
      </w:r>
      <w:r w:rsidRPr="00392E88">
        <w:t>bilnością IORP;</w:t>
      </w:r>
    </w:p>
    <w:p w14:paraId="3685ACE0" w14:textId="055961B5" w:rsidR="002B0C12" w:rsidRPr="00392E88" w:rsidRDefault="002B0C12" w:rsidP="005D0C3B">
      <w:pPr>
        <w:pStyle w:val="ListDash"/>
      </w:pPr>
      <w:r w:rsidRPr="00392E88">
        <w:t xml:space="preserve">w </w:t>
      </w:r>
      <w:r w:rsidRPr="006E6446">
        <w:t>art.</w:t>
      </w:r>
      <w:r w:rsidR="006E6446" w:rsidRPr="006E6446">
        <w:t> </w:t>
      </w:r>
      <w:r w:rsidRPr="006E6446">
        <w:t>6</w:t>
      </w:r>
      <w:r w:rsidRPr="00392E88">
        <w:t>, 7, 13, 16, 36, 47, 50</w:t>
      </w:r>
      <w:r w:rsidR="006E6446" w:rsidRPr="00392E88">
        <w:t xml:space="preserve"> i</w:t>
      </w:r>
      <w:r w:rsidR="006E6446">
        <w:t> </w:t>
      </w:r>
      <w:r w:rsidR="006E6446" w:rsidRPr="00392E88">
        <w:t>5</w:t>
      </w:r>
      <w:r w:rsidRPr="00392E88">
        <w:t>1 uznano, że</w:t>
      </w:r>
      <w:r w:rsidR="006E6446" w:rsidRPr="00392E88">
        <w:t xml:space="preserve"> w</w:t>
      </w:r>
      <w:r w:rsidR="006E6446">
        <w:t> </w:t>
      </w:r>
      <w:r w:rsidR="006E6446" w:rsidRPr="00392E88">
        <w:t>nie</w:t>
      </w:r>
      <w:r w:rsidRPr="00392E88">
        <w:t>których państwach członkowskich IORP mogą oferować indywidualne produkty emerytalne,</w:t>
      </w:r>
      <w:r w:rsidR="006E6446" w:rsidRPr="00392E88">
        <w:t xml:space="preserve"> w</w:t>
      </w:r>
      <w:r w:rsidR="006E6446">
        <w:t> </w:t>
      </w:r>
      <w:r w:rsidR="006E6446" w:rsidRPr="00392E88">
        <w:t>tym</w:t>
      </w:r>
      <w:r w:rsidRPr="00392E88">
        <w:t xml:space="preserve"> ogólnoeuropejski indywidualny produkt emerytalny (OIPE), oraz zapewniono, aby ramy ostrożnościowe odzwierciedlały tę możliwość wspierania spójności, właściwej organizacji</w:t>
      </w:r>
      <w:r w:rsidR="006E6446" w:rsidRPr="00392E88">
        <w:t xml:space="preserve"> i</w:t>
      </w:r>
      <w:r w:rsidR="006E6446">
        <w:t> </w:t>
      </w:r>
      <w:r w:rsidR="006E6446" w:rsidRPr="00392E88">
        <w:t>sku</w:t>
      </w:r>
      <w:r w:rsidRPr="00392E88">
        <w:t>tecznego nadzoru</w:t>
      </w:r>
      <w:r w:rsidR="006E6446" w:rsidRPr="00392E88">
        <w:t xml:space="preserve"> w</w:t>
      </w:r>
      <w:r w:rsidR="006E6446">
        <w:t> </w:t>
      </w:r>
      <w:r w:rsidR="006E6446" w:rsidRPr="00392E88">
        <w:t>odn</w:t>
      </w:r>
      <w:r w:rsidRPr="00392E88">
        <w:t>iesieniu do różnych form świadczeń emerytalnych;</w:t>
      </w:r>
    </w:p>
    <w:p w14:paraId="4145EE1C" w14:textId="46009C1A" w:rsidR="00675445" w:rsidRPr="00392E88" w:rsidRDefault="002C1F73" w:rsidP="005D0C3B">
      <w:pPr>
        <w:pStyle w:val="ListDash"/>
        <w:rPr>
          <w:szCs w:val="24"/>
        </w:rPr>
      </w:pPr>
      <w:r w:rsidRPr="00392E88">
        <w:t xml:space="preserve">w </w:t>
      </w:r>
      <w:r w:rsidRPr="006E6446">
        <w:t>art.</w:t>
      </w:r>
      <w:r w:rsidR="006E6446" w:rsidRPr="006E6446">
        <w:t> </w:t>
      </w:r>
      <w:r w:rsidRPr="006E6446">
        <w:t>1</w:t>
      </w:r>
      <w:r w:rsidRPr="00392E88">
        <w:t>9, 21, 23–26, 28, 47</w:t>
      </w:r>
      <w:r w:rsidR="006E6446" w:rsidRPr="00392E88">
        <w:t xml:space="preserve"> i</w:t>
      </w:r>
      <w:r w:rsidR="006E6446">
        <w:t> </w:t>
      </w:r>
      <w:r w:rsidR="006E6446" w:rsidRPr="00392E88">
        <w:t>4</w:t>
      </w:r>
      <w:r w:rsidRPr="00392E88">
        <w:t>9 wprowadzono zmiany polegające na zastąpieniu odniesień do „wielkości, charakteru, skali</w:t>
      </w:r>
      <w:r w:rsidR="006E6446" w:rsidRPr="00392E88">
        <w:t xml:space="preserve"> i</w:t>
      </w:r>
      <w:r w:rsidR="006E6446">
        <w:t> </w:t>
      </w:r>
      <w:r w:rsidR="006E6446" w:rsidRPr="00392E88">
        <w:t>zło</w:t>
      </w:r>
      <w:r w:rsidRPr="00392E88">
        <w:t>żoności” odniesieniami do „charakteru, skali</w:t>
      </w:r>
      <w:r w:rsidR="006E6446" w:rsidRPr="00392E88">
        <w:t xml:space="preserve"> i</w:t>
      </w:r>
      <w:r w:rsidR="006E6446">
        <w:t> </w:t>
      </w:r>
      <w:r w:rsidR="006E6446" w:rsidRPr="00392E88">
        <w:t>zło</w:t>
      </w:r>
      <w:r w:rsidRPr="00392E88">
        <w:t>żoności”, ponieważ „wielkość” nie jest odpowiednim kryterium dla IORP, których wymogi ostrożnościowe</w:t>
      </w:r>
      <w:r w:rsidR="006E6446" w:rsidRPr="00392E88">
        <w:t xml:space="preserve"> i</w:t>
      </w:r>
      <w:r w:rsidR="006E6446">
        <w:t> </w:t>
      </w:r>
      <w:r w:rsidR="006E6446" w:rsidRPr="00392E88">
        <w:t>wym</w:t>
      </w:r>
      <w:r w:rsidRPr="00392E88">
        <w:t>ogi</w:t>
      </w:r>
      <w:r w:rsidR="006E6446" w:rsidRPr="00392E88">
        <w:t xml:space="preserve"> w</w:t>
      </w:r>
      <w:r w:rsidR="006E6446">
        <w:t> </w:t>
      </w:r>
      <w:r w:rsidR="006E6446" w:rsidRPr="00392E88">
        <w:t>zak</w:t>
      </w:r>
      <w:r w:rsidRPr="00392E88">
        <w:t>resie zarządzania powinny odzwierciedlać ich profil ryzyka,</w:t>
      </w:r>
      <w:r w:rsidR="006E6446" w:rsidRPr="00392E88">
        <w:t xml:space="preserve"> a</w:t>
      </w:r>
      <w:r w:rsidR="006E6446">
        <w:t> </w:t>
      </w:r>
      <w:r w:rsidR="006E6446" w:rsidRPr="00392E88">
        <w:t>nie</w:t>
      </w:r>
      <w:r w:rsidRPr="00392E88">
        <w:t xml:space="preserve"> ich wielkość bezwzględną, zgodnie</w:t>
      </w:r>
      <w:r w:rsidR="006E6446" w:rsidRPr="00392E88">
        <w:t xml:space="preserve"> z</w:t>
      </w:r>
      <w:r w:rsidR="006E6446">
        <w:t> </w:t>
      </w:r>
      <w:r w:rsidR="006E6446" w:rsidRPr="00392E88">
        <w:t>zas</w:t>
      </w:r>
      <w:r w:rsidRPr="00392E88">
        <w:t>adą nadzoru opartego na analizie ryzyka.</w:t>
      </w:r>
    </w:p>
    <w:p w14:paraId="32CC6EC1" w14:textId="6AA65844" w:rsidR="00DE3802" w:rsidRPr="00392E88" w:rsidRDefault="00E750B0" w:rsidP="005D0C3B">
      <w:r w:rsidRPr="00392E88">
        <w:t>Inne przepisy zmienia się</w:t>
      </w:r>
      <w:r w:rsidR="006E6446" w:rsidRPr="00392E88">
        <w:t xml:space="preserve"> w</w:t>
      </w:r>
      <w:r w:rsidR="006E6446">
        <w:t> </w:t>
      </w:r>
      <w:r w:rsidR="006E6446" w:rsidRPr="00392E88">
        <w:t>cel</w:t>
      </w:r>
      <w:r w:rsidRPr="00392E88">
        <w:t>u aktualizacji</w:t>
      </w:r>
      <w:r w:rsidR="006E6446" w:rsidRPr="00392E88">
        <w:t xml:space="preserve"> i</w:t>
      </w:r>
      <w:r w:rsidR="006E6446">
        <w:t> </w:t>
      </w:r>
      <w:r w:rsidR="006E6446" w:rsidRPr="00392E88">
        <w:t>wpr</w:t>
      </w:r>
      <w:r w:rsidRPr="00392E88">
        <w:t xml:space="preserve">owadzenia poprawek. </w:t>
      </w:r>
    </w:p>
    <w:p w14:paraId="67C1BFFF" w14:textId="747236E8" w:rsidR="00AC2BE5" w:rsidRPr="00392E88" w:rsidRDefault="00E750B0" w:rsidP="00E04C24">
      <w:r w:rsidRPr="00392E88">
        <w:rPr>
          <w:b/>
        </w:rPr>
        <w:t xml:space="preserve">Art. 2 wniosku zmienia dyrektywę (UE) 2016/97. </w:t>
      </w:r>
      <w:r w:rsidRPr="00392E88">
        <w:t>Zapewnia on uczestnikom</w:t>
      </w:r>
      <w:r w:rsidR="006E6446" w:rsidRPr="00392E88">
        <w:t xml:space="preserve"> i</w:t>
      </w:r>
      <w:r w:rsidR="006E6446">
        <w:t> </w:t>
      </w:r>
      <w:r w:rsidR="006E6446" w:rsidRPr="00392E88">
        <w:t>ben</w:t>
      </w:r>
      <w:r w:rsidRPr="00392E88">
        <w:t>eficjentom pracowniczych programów emerytalnych obsługiwanych przez zakłady ubezpieczeń dostęp co najmniej do tych samych informacji co uczestnicy</w:t>
      </w:r>
      <w:r w:rsidR="006E6446" w:rsidRPr="00392E88">
        <w:t xml:space="preserve"> i</w:t>
      </w:r>
      <w:r w:rsidR="006E6446">
        <w:t> </w:t>
      </w:r>
      <w:r w:rsidR="006E6446" w:rsidRPr="00392E88">
        <w:t>ben</w:t>
      </w:r>
      <w:r w:rsidRPr="00392E88">
        <w:t>eficjenci, jak</w:t>
      </w:r>
      <w:r w:rsidR="006E6446" w:rsidRPr="00392E88">
        <w:t xml:space="preserve"> w</w:t>
      </w:r>
      <w:r w:rsidR="006E6446">
        <w:t> </w:t>
      </w:r>
      <w:r w:rsidR="006E6446" w:rsidRPr="00392E88">
        <w:t>prz</w:t>
      </w:r>
      <w:r w:rsidRPr="00392E88">
        <w:t>ypadku programów obsługiwanych przez IORP, oraz zapewnia zakładom ubezpieczeń</w:t>
      </w:r>
      <w:r w:rsidR="006E6446" w:rsidRPr="00392E88">
        <w:t xml:space="preserve"> i</w:t>
      </w:r>
      <w:r w:rsidR="006E6446">
        <w:t> </w:t>
      </w:r>
      <w:r w:rsidR="006E6446" w:rsidRPr="00392E88">
        <w:t>poś</w:t>
      </w:r>
      <w:r w:rsidRPr="00392E88">
        <w:t>rednikom ubezpieczeniowym odpowiednią podstawę prawną do wymiany informacji</w:t>
      </w:r>
      <w:r w:rsidR="006E6446" w:rsidRPr="00392E88">
        <w:t xml:space="preserve"> z</w:t>
      </w:r>
      <w:r w:rsidR="006E6446">
        <w:t> </w:t>
      </w:r>
      <w:r w:rsidR="006E6446" w:rsidRPr="00392E88">
        <w:t>sys</w:t>
      </w:r>
      <w:r w:rsidRPr="00392E88">
        <w:t>temami monitorowania uprawnień emerytalnych.</w:t>
      </w:r>
    </w:p>
    <w:p w14:paraId="0EEF8A55" w14:textId="38CEA63C" w:rsidR="005F0281" w:rsidRPr="00392E88" w:rsidRDefault="005F0281" w:rsidP="005F0281">
      <w:r w:rsidRPr="00392E88">
        <w:rPr>
          <w:b/>
        </w:rPr>
        <w:t xml:space="preserve">W </w:t>
      </w:r>
      <w:r w:rsidRPr="006E6446">
        <w:rPr>
          <w:b/>
        </w:rPr>
        <w:t>art.</w:t>
      </w:r>
      <w:r w:rsidR="006E6446" w:rsidRPr="006E6446">
        <w:rPr>
          <w:b/>
        </w:rPr>
        <w:t> </w:t>
      </w:r>
      <w:r w:rsidRPr="006E6446">
        <w:rPr>
          <w:b/>
        </w:rPr>
        <w:t>3</w:t>
      </w:r>
      <w:r w:rsidRPr="00392E88">
        <w:rPr>
          <w:b/>
        </w:rPr>
        <w:t xml:space="preserve"> wniosku wprowadzono przepisy przewidujące zasadę praw nabytych</w:t>
      </w:r>
      <w:r w:rsidRPr="00392E88">
        <w:t>, tak aby IORP, które zostały zarejestrowane lub uzyskały zezwolenie na podstawie dyrektywy (UE) 2016/2341 (UE) przed zmianą przepisów dotyczących udzielania zezwoleń, nie musiały ubiegać się</w:t>
      </w:r>
      <w:r w:rsidR="006E6446" w:rsidRPr="00392E88">
        <w:t xml:space="preserve"> o</w:t>
      </w:r>
      <w:r w:rsidR="006E6446">
        <w:t> </w:t>
      </w:r>
      <w:r w:rsidR="006E6446" w:rsidRPr="00392E88">
        <w:t>now</w:t>
      </w:r>
      <w:r w:rsidRPr="00392E88">
        <w:t>e zezwolenie.</w:t>
      </w:r>
    </w:p>
    <w:p w14:paraId="169A998D" w14:textId="77777777" w:rsidR="00AC2BE5" w:rsidRPr="00392E88" w:rsidRDefault="00AC2BE5" w:rsidP="0048259C">
      <w:pPr>
        <w:sectPr w:rsidR="00AC2BE5" w:rsidRPr="00392E88" w:rsidSect="00682C29">
          <w:headerReference w:type="even" r:id="rId15"/>
          <w:headerReference w:type="default" r:id="rId16"/>
          <w:footerReference w:type="even" r:id="rId17"/>
          <w:footerReference w:type="default" r:id="rId18"/>
          <w:headerReference w:type="first" r:id="rId19"/>
          <w:footerReference w:type="first" r:id="rId20"/>
          <w:pgSz w:w="11907" w:h="16839"/>
          <w:pgMar w:top="1134" w:right="1417" w:bottom="1134" w:left="1417" w:header="709" w:footer="709" w:gutter="0"/>
          <w:cols w:space="708"/>
          <w:docGrid w:linePitch="360"/>
        </w:sectPr>
      </w:pPr>
    </w:p>
    <w:p w14:paraId="3CB19A11" w14:textId="6DEC904C" w:rsidR="00FE2E28" w:rsidRPr="00392E88" w:rsidRDefault="00682C29" w:rsidP="00682C29">
      <w:pPr>
        <w:pStyle w:val="Rfrenceinterinstitutionnelle"/>
      </w:pPr>
      <w:bookmarkStart w:id="0" w:name="_Hlk213863869"/>
      <w:r>
        <w:t>2025/0362 (COD)</w:t>
      </w:r>
    </w:p>
    <w:p w14:paraId="44017251" w14:textId="71FB9B74" w:rsidR="00AC2BE5" w:rsidRPr="00392E88" w:rsidRDefault="00682C29" w:rsidP="00682C29">
      <w:pPr>
        <w:pStyle w:val="Statut"/>
      </w:pPr>
      <w:r w:rsidRPr="00682C29">
        <w:t>Wniosek</w:t>
      </w:r>
    </w:p>
    <w:p w14:paraId="068B5AD5" w14:textId="5BD9783B" w:rsidR="00AC2BE5" w:rsidRPr="00392E88" w:rsidRDefault="00682C29" w:rsidP="00682C29">
      <w:pPr>
        <w:pStyle w:val="Typedudocument"/>
      </w:pPr>
      <w:r w:rsidRPr="00682C29">
        <w:t>DYREKTYWA PARLAMENTU EUROPEJSKIEGO I RADY</w:t>
      </w:r>
    </w:p>
    <w:p w14:paraId="2B2842D8" w14:textId="5EB2674C" w:rsidR="00AC2BE5" w:rsidRPr="00392E88" w:rsidRDefault="00682C29" w:rsidP="00682C29">
      <w:pPr>
        <w:pStyle w:val="Titreobjet"/>
      </w:pPr>
      <w:r w:rsidRPr="00682C29">
        <w:t>zmieniająca dyrektywy (UE) 2016/2341 i 2016/97 w odniesieniu do wzmocnienia ram pracowniczych programów emerytalnych</w:t>
      </w:r>
    </w:p>
    <w:bookmarkEnd w:id="0"/>
    <w:p w14:paraId="42992B6A" w14:textId="77205E0A" w:rsidR="00AC2BE5" w:rsidRPr="00392E88" w:rsidRDefault="00682C29" w:rsidP="00682C29">
      <w:pPr>
        <w:pStyle w:val="IntrtEEE"/>
      </w:pPr>
      <w:r w:rsidRPr="00682C29">
        <w:t>(Tekst mający znaczenie dla EOG)</w:t>
      </w:r>
    </w:p>
    <w:p w14:paraId="09235E46" w14:textId="77777777" w:rsidR="00AC2BE5" w:rsidRPr="00392E88" w:rsidRDefault="00AC2BE5">
      <w:pPr>
        <w:pStyle w:val="Institutionquiagit"/>
      </w:pPr>
      <w:r w:rsidRPr="00392E88">
        <w:t>PARLAMENT EUROPEJSKI I RADA UNII EUROPEJSKIEJ,</w:t>
      </w:r>
    </w:p>
    <w:p w14:paraId="2CE451F6" w14:textId="1E5E9022" w:rsidR="00AC2BE5" w:rsidRPr="00392E88" w:rsidRDefault="00AC2BE5">
      <w:r w:rsidRPr="00392E88">
        <w:t>uwzględniając Traktat</w:t>
      </w:r>
      <w:r w:rsidR="006E6446" w:rsidRPr="00392E88">
        <w:t xml:space="preserve"> o</w:t>
      </w:r>
      <w:r w:rsidR="006E6446">
        <w:t> </w:t>
      </w:r>
      <w:r w:rsidR="006E6446" w:rsidRPr="00392E88">
        <w:t>fun</w:t>
      </w:r>
      <w:r w:rsidRPr="00392E88">
        <w:t>kcjonowaniu Unii Europejskiej,</w:t>
      </w:r>
      <w:r w:rsidR="006E6446" w:rsidRPr="00392E88">
        <w:t xml:space="preserve"> w</w:t>
      </w:r>
      <w:r w:rsidR="006E6446">
        <w:t> </w:t>
      </w:r>
      <w:r w:rsidR="006E6446" w:rsidRPr="00392E88">
        <w:t>szc</w:t>
      </w:r>
      <w:r w:rsidRPr="00392E88">
        <w:t>zególności jego art. 53, art. 62</w:t>
      </w:r>
      <w:r w:rsidR="006E6446" w:rsidRPr="00392E88">
        <w:t xml:space="preserve"> i</w:t>
      </w:r>
      <w:r w:rsidR="006E6446">
        <w:t> </w:t>
      </w:r>
      <w:r w:rsidR="006E6446" w:rsidRPr="00392E88">
        <w:t>art</w:t>
      </w:r>
      <w:r w:rsidRPr="00392E88">
        <w:t>. 114 ust. 1,</w:t>
      </w:r>
    </w:p>
    <w:p w14:paraId="4E291C7D" w14:textId="77777777" w:rsidR="00AC2BE5" w:rsidRPr="00392E88" w:rsidRDefault="00AC2BE5">
      <w:r w:rsidRPr="00392E88">
        <w:t>uwzględniając wniosek Komisji Europejskiej,</w:t>
      </w:r>
    </w:p>
    <w:p w14:paraId="1A36C440" w14:textId="32FED2C3" w:rsidR="00983496" w:rsidRPr="00392E88" w:rsidRDefault="00983496">
      <w:r w:rsidRPr="00392E88">
        <w:t>po przekazaniu projektu aktu ustawodawczego parlamentom narodowym,</w:t>
      </w:r>
    </w:p>
    <w:p w14:paraId="421380C0" w14:textId="267DE89F" w:rsidR="00983496" w:rsidRPr="00392E88" w:rsidRDefault="00983496">
      <w:r w:rsidRPr="00392E88">
        <w:t>uwzględniając opinię Europejskiego Komitetu Ekonomiczno-Społecznego</w:t>
      </w:r>
      <w:bookmarkStart w:id="1" w:name="_Hlk214029965"/>
      <w:r w:rsidRPr="00392E88">
        <w:rPr>
          <w:rStyle w:val="FootnoteReference"/>
        </w:rPr>
        <w:footnoteReference w:id="23"/>
      </w:r>
      <w:bookmarkEnd w:id="1"/>
      <w:r w:rsidRPr="00392E88">
        <w:t>,</w:t>
      </w:r>
    </w:p>
    <w:p w14:paraId="50F183AB" w14:textId="6D709A3C" w:rsidR="00E91AB1" w:rsidRPr="00392E88" w:rsidRDefault="00E91AB1">
      <w:r w:rsidRPr="00392E88">
        <w:t>po zasięgnięciu opinii Europejskiego Inspektora Ochrony Danych,</w:t>
      </w:r>
    </w:p>
    <w:p w14:paraId="013F13C1" w14:textId="385A7715" w:rsidR="00AC2BE5" w:rsidRPr="00392E88" w:rsidRDefault="00AC2BE5">
      <w:r w:rsidRPr="00392E88">
        <w:t>stanowiąc zgodnie ze zwykłą procedurą ustawodawczą</w:t>
      </w:r>
      <w:r w:rsidRPr="00392E88">
        <w:rPr>
          <w:rStyle w:val="FootnoteReference"/>
        </w:rPr>
        <w:footnoteReference w:id="24"/>
      </w:r>
      <w:r w:rsidRPr="00392E88">
        <w:t>,</w:t>
      </w:r>
    </w:p>
    <w:p w14:paraId="6BE589F5" w14:textId="77777777" w:rsidR="00AC2BE5" w:rsidRPr="00392E88" w:rsidRDefault="00AC2BE5">
      <w:r w:rsidRPr="00392E88">
        <w:t>a także mając na uwadze, co następuje:</w:t>
      </w:r>
    </w:p>
    <w:p w14:paraId="5FEA7AB5" w14:textId="0CC3EBEA" w:rsidR="00215979" w:rsidRPr="00392E88" w:rsidRDefault="00215979" w:rsidP="0011525B">
      <w:pPr>
        <w:pStyle w:val="ManualConsidrant"/>
      </w:pPr>
      <w:r>
        <w:t>(1)</w:t>
      </w:r>
      <w:r>
        <w:tab/>
      </w:r>
      <w:r w:rsidRPr="00392E88">
        <w:t>W związku ze starzeniem się społeczeństwa</w:t>
      </w:r>
      <w:r w:rsidR="006E6446" w:rsidRPr="00392E88">
        <w:t xml:space="preserve"> w</w:t>
      </w:r>
      <w:r w:rsidR="006E6446">
        <w:t> </w:t>
      </w:r>
      <w:r w:rsidR="006E6446" w:rsidRPr="00392E88">
        <w:t>Uni</w:t>
      </w:r>
      <w:r w:rsidRPr="00392E88">
        <w:t>i Europejskiej</w:t>
      </w:r>
      <w:r w:rsidR="006E6446" w:rsidRPr="00392E88">
        <w:t xml:space="preserve"> i</w:t>
      </w:r>
      <w:r w:rsidR="006E6446">
        <w:t> </w:t>
      </w:r>
      <w:r w:rsidR="006E6446" w:rsidRPr="00392E88">
        <w:t>ros</w:t>
      </w:r>
      <w:r w:rsidRPr="00392E88">
        <w:t>nącym wskaźnikiem obciążenia demograficznego wzmocnienie uzupełniających źródeł dochodów emerytalnych stało się niezbędne do zachowania solidarności międzypokoleniowej, spójności społecznej</w:t>
      </w:r>
      <w:r w:rsidR="006E6446" w:rsidRPr="00392E88">
        <w:t xml:space="preserve"> i</w:t>
      </w:r>
      <w:r w:rsidR="006E6446">
        <w:t> </w:t>
      </w:r>
      <w:r w:rsidR="006E6446" w:rsidRPr="00392E88">
        <w:t>dłu</w:t>
      </w:r>
      <w:r w:rsidRPr="00392E88">
        <w:t>goterminowej stabilności systemów emerytalnych</w:t>
      </w:r>
      <w:r w:rsidR="006E6446" w:rsidRPr="00392E88">
        <w:t xml:space="preserve"> w</w:t>
      </w:r>
      <w:r w:rsidR="006E6446">
        <w:t> </w:t>
      </w:r>
      <w:r w:rsidR="006E6446" w:rsidRPr="00392E88">
        <w:t>cał</w:t>
      </w:r>
      <w:r w:rsidRPr="00392E88">
        <w:t>ej Unii.</w:t>
      </w:r>
    </w:p>
    <w:p w14:paraId="41725D20" w14:textId="62DD40D8" w:rsidR="00D70652" w:rsidRPr="00392E88" w:rsidRDefault="00D70652" w:rsidP="00D70652">
      <w:pPr>
        <w:pStyle w:val="ManualConsidrant"/>
      </w:pPr>
      <w:r>
        <w:t>(2)</w:t>
      </w:r>
      <w:r>
        <w:tab/>
      </w:r>
      <w:r w:rsidRPr="00392E88">
        <w:t>Chociaż organizacja systemów emerytalnych pozostaje kompetencją krajową, adekwatność</w:t>
      </w:r>
      <w:r w:rsidR="006E6446" w:rsidRPr="00392E88">
        <w:t xml:space="preserve"> i</w:t>
      </w:r>
      <w:r w:rsidR="006E6446">
        <w:t> </w:t>
      </w:r>
      <w:r w:rsidR="006E6446" w:rsidRPr="00392E88">
        <w:t>sta</w:t>
      </w:r>
      <w:r w:rsidRPr="00392E88">
        <w:t>bilność finansowania emerytur są przedmiotem wspólnego zainteresowania</w:t>
      </w:r>
      <w:r w:rsidR="006E6446" w:rsidRPr="00392E88">
        <w:t xml:space="preserve"> w</w:t>
      </w:r>
      <w:r w:rsidR="006E6446">
        <w:t> </w:t>
      </w:r>
      <w:r w:rsidR="006E6446" w:rsidRPr="00392E88">
        <w:t>kon</w:t>
      </w:r>
      <w:r w:rsidRPr="00392E88">
        <w:t>tekście zapewnienia stabilności</w:t>
      </w:r>
      <w:r w:rsidR="006E6446" w:rsidRPr="00392E88">
        <w:t xml:space="preserve"> i</w:t>
      </w:r>
      <w:r w:rsidR="006E6446">
        <w:t> </w:t>
      </w:r>
      <w:r w:rsidR="006E6446" w:rsidRPr="00392E88">
        <w:t>spó</w:t>
      </w:r>
      <w:r w:rsidRPr="00392E88">
        <w:t>jności Unii. Zapewnienie obywatelom dostępu do dobrze zaprojektowanych indywidualnych produktów emerytalnych przyczynia się zarówno do indywidualnego bezpieczeństwa finansowego, jak i do odporności gospodarki Unii.</w:t>
      </w:r>
    </w:p>
    <w:p w14:paraId="5B6B79A1" w14:textId="481683F2" w:rsidR="00D70652" w:rsidRPr="00392E88" w:rsidRDefault="00D70652" w:rsidP="00D70652">
      <w:pPr>
        <w:pStyle w:val="ManualConsidrant"/>
      </w:pPr>
      <w:r>
        <w:t>(3)</w:t>
      </w:r>
      <w:r>
        <w:tab/>
      </w:r>
      <w:r w:rsidRPr="00392E88">
        <w:t>Mimo że gospodarstwa domowe</w:t>
      </w:r>
      <w:r w:rsidR="006E6446" w:rsidRPr="00392E88">
        <w:t xml:space="preserve"> w</w:t>
      </w:r>
      <w:r w:rsidR="006E6446">
        <w:t> </w:t>
      </w:r>
      <w:r w:rsidR="006E6446" w:rsidRPr="00392E88">
        <w:t>Uni</w:t>
      </w:r>
      <w:r w:rsidRPr="00392E88">
        <w:t>i są jednymi</w:t>
      </w:r>
      <w:r w:rsidR="006E6446" w:rsidRPr="00392E88">
        <w:t xml:space="preserve"> z</w:t>
      </w:r>
      <w:r w:rsidR="006E6446">
        <w:t> </w:t>
      </w:r>
      <w:r w:rsidR="006E6446" w:rsidRPr="00392E88">
        <w:t>naj</w:t>
      </w:r>
      <w:r w:rsidRPr="00392E88">
        <w:t>większych oszczędzających na świecie, nadal posiadają dużą część swojego majątku finansowego</w:t>
      </w:r>
      <w:r w:rsidR="006E6446" w:rsidRPr="00392E88">
        <w:t xml:space="preserve"> w</w:t>
      </w:r>
      <w:r w:rsidR="006E6446">
        <w:t> </w:t>
      </w:r>
      <w:r w:rsidR="006E6446" w:rsidRPr="00392E88">
        <w:t>pos</w:t>
      </w:r>
      <w:r w:rsidRPr="00392E88">
        <w:t>taci krótkoterminowych depozytów bankowych</w:t>
      </w:r>
      <w:r w:rsidR="006E6446" w:rsidRPr="00392E88">
        <w:t xml:space="preserve"> o</w:t>
      </w:r>
      <w:r w:rsidR="006E6446">
        <w:t> </w:t>
      </w:r>
      <w:r w:rsidR="006E6446" w:rsidRPr="00392E88">
        <w:t>ogr</w:t>
      </w:r>
      <w:r w:rsidRPr="00392E88">
        <w:t>aniczonych zwrotach. Opracowanie atrakcyjnych pracowniczych</w:t>
      </w:r>
      <w:r w:rsidR="006E6446" w:rsidRPr="00392E88">
        <w:t xml:space="preserve"> i</w:t>
      </w:r>
      <w:r w:rsidR="006E6446">
        <w:t> </w:t>
      </w:r>
      <w:r w:rsidR="006E6446" w:rsidRPr="00392E88">
        <w:t>ind</w:t>
      </w:r>
      <w:r w:rsidRPr="00392E88">
        <w:t>ywidualnych produktów emerytalnych może pomóc zmobilizować te oszczędności na inwestycje długoterminowe, co wygeneruje wyższe zwroty dla oszczędzających</w:t>
      </w:r>
      <w:r w:rsidR="006E6446" w:rsidRPr="00392E88">
        <w:t xml:space="preserve"> i</w:t>
      </w:r>
      <w:r w:rsidR="006E6446">
        <w:t> </w:t>
      </w:r>
      <w:r w:rsidR="006E6446" w:rsidRPr="00392E88">
        <w:t>prz</w:t>
      </w:r>
      <w:r w:rsidRPr="00392E88">
        <w:t>ekieruje kapitał na produktywne zastosowania wspierające wzrost gospodarczy, innowacje oraz transformację ekologiczną</w:t>
      </w:r>
      <w:r w:rsidR="006E6446" w:rsidRPr="00392E88">
        <w:t xml:space="preserve"> i</w:t>
      </w:r>
      <w:r w:rsidR="006E6446">
        <w:t> </w:t>
      </w:r>
      <w:r w:rsidR="006E6446" w:rsidRPr="00392E88">
        <w:t>cyf</w:t>
      </w:r>
      <w:r w:rsidRPr="00392E88">
        <w:t>rową.</w:t>
      </w:r>
    </w:p>
    <w:p w14:paraId="4525E9A2" w14:textId="680EADCF" w:rsidR="00B76F0C" w:rsidRPr="00392E88" w:rsidRDefault="007A3E2F">
      <w:pPr>
        <w:pStyle w:val="ManualConsidrant"/>
      </w:pPr>
      <w:r>
        <w:t>(4)</w:t>
      </w:r>
      <w:r>
        <w:tab/>
      </w:r>
      <w:r w:rsidRPr="00392E88">
        <w:t>Odpowiednie uregulowanie</w:t>
      </w:r>
      <w:r w:rsidR="006E6446" w:rsidRPr="00392E88">
        <w:t xml:space="preserve"> i</w:t>
      </w:r>
      <w:r w:rsidR="006E6446">
        <w:t> </w:t>
      </w:r>
      <w:r w:rsidR="006E6446" w:rsidRPr="00392E88">
        <w:t>nad</w:t>
      </w:r>
      <w:r w:rsidRPr="00392E88">
        <w:t>zór na poziomie unijnym</w:t>
      </w:r>
      <w:r w:rsidR="006E6446" w:rsidRPr="00392E88">
        <w:t xml:space="preserve"> i</w:t>
      </w:r>
      <w:r w:rsidR="006E6446">
        <w:t> </w:t>
      </w:r>
      <w:r w:rsidR="006E6446" w:rsidRPr="00392E88">
        <w:t>kra</w:t>
      </w:r>
      <w:r w:rsidRPr="00392E88">
        <w:t>jowym pozostają istotne dla rozwoju pewnych</w:t>
      </w:r>
      <w:r w:rsidR="006E6446" w:rsidRPr="00392E88">
        <w:t xml:space="preserve"> i</w:t>
      </w:r>
      <w:r w:rsidR="006E6446">
        <w:t> </w:t>
      </w:r>
      <w:r w:rsidR="006E6446" w:rsidRPr="00392E88">
        <w:t>bez</w:t>
      </w:r>
      <w:r w:rsidRPr="00392E88">
        <w:t>piecznych pracowniczych programów emerytalnych we wszystkich państwach członkowskich. Dyrektywa Parlamentu Europejskiego</w:t>
      </w:r>
      <w:r w:rsidR="006E6446" w:rsidRPr="00392E88">
        <w:t xml:space="preserve"> i</w:t>
      </w:r>
      <w:r w:rsidR="006E6446">
        <w:t> </w:t>
      </w:r>
      <w:r w:rsidR="006E6446" w:rsidRPr="00392E88">
        <w:t>Rad</w:t>
      </w:r>
      <w:r w:rsidRPr="00392E88">
        <w:t>y (UE) 2016/2341</w:t>
      </w:r>
      <w:r w:rsidRPr="00392E88">
        <w:rPr>
          <w:rStyle w:val="FootnoteReference"/>
        </w:rPr>
        <w:footnoteReference w:id="25"/>
      </w:r>
      <w:r w:rsidRPr="00392E88">
        <w:t xml:space="preserve"> przyczyniła się do bardziej zharmonizowanych ram ostrożnościowych dla instytucji pracowniczych programów emerytalnych (IORP)</w:t>
      </w:r>
      <w:r w:rsidR="006E6446" w:rsidRPr="00392E88">
        <w:t>. W</w:t>
      </w:r>
      <w:r w:rsidR="006E6446">
        <w:t> </w:t>
      </w:r>
      <w:r w:rsidR="006E6446" w:rsidRPr="00392E88">
        <w:t>wie</w:t>
      </w:r>
      <w:r w:rsidRPr="00392E88">
        <w:t>lu państwach członkowskich sektor emerytur dodatkowych jest jednak nadal słabo rozwinięty, co może zagrozić bezpieczeństwu finansowemu obywateli,</w:t>
      </w:r>
      <w:r w:rsidR="006E6446" w:rsidRPr="00392E88">
        <w:t xml:space="preserve"> w</w:t>
      </w:r>
      <w:r w:rsidR="006E6446">
        <w:t> </w:t>
      </w:r>
      <w:r w:rsidR="006E6446" w:rsidRPr="00392E88">
        <w:t>szc</w:t>
      </w:r>
      <w:r w:rsidRPr="00392E88">
        <w:t>zególności</w:t>
      </w:r>
      <w:r w:rsidR="006E6446" w:rsidRPr="00392E88">
        <w:t xml:space="preserve"> w</w:t>
      </w:r>
      <w:r w:rsidR="006E6446">
        <w:t> </w:t>
      </w:r>
      <w:r w:rsidR="006E6446" w:rsidRPr="00392E88">
        <w:t>świ</w:t>
      </w:r>
      <w:r w:rsidRPr="00392E88">
        <w:t>etle bieżących tendencji demograficznych</w:t>
      </w:r>
      <w:r w:rsidR="006E6446" w:rsidRPr="00392E88">
        <w:t xml:space="preserve"> w</w:t>
      </w:r>
      <w:r w:rsidR="006E6446">
        <w:t> </w:t>
      </w:r>
      <w:r w:rsidR="006E6446" w:rsidRPr="00392E88">
        <w:t>Uni</w:t>
      </w:r>
      <w:r w:rsidRPr="00392E88">
        <w:t>i</w:t>
      </w:r>
      <w:r w:rsidR="006E6446" w:rsidRPr="00392E88">
        <w:t>. W</w:t>
      </w:r>
      <w:r w:rsidR="006E6446">
        <w:t> </w:t>
      </w:r>
      <w:r w:rsidR="006E6446" w:rsidRPr="00392E88">
        <w:t>ram</w:t>
      </w:r>
      <w:r w:rsidRPr="00392E88">
        <w:t>ach silnych wielofilarowych systemów emerytalnych, opracowanych</w:t>
      </w:r>
      <w:r w:rsidR="006E6446" w:rsidRPr="00392E88">
        <w:t xml:space="preserve"> w</w:t>
      </w:r>
      <w:r w:rsidR="006E6446">
        <w:t> </w:t>
      </w:r>
      <w:r w:rsidR="006E6446" w:rsidRPr="00392E88">
        <w:t>por</w:t>
      </w:r>
      <w:r w:rsidRPr="00392E88">
        <w:t>ozumieniu</w:t>
      </w:r>
      <w:r w:rsidR="006E6446" w:rsidRPr="00392E88">
        <w:t xml:space="preserve"> z</w:t>
      </w:r>
      <w:r w:rsidR="006E6446">
        <w:t> </w:t>
      </w:r>
      <w:r w:rsidR="006E6446" w:rsidRPr="00392E88">
        <w:t>par</w:t>
      </w:r>
      <w:r w:rsidRPr="00392E88">
        <w:t>tnerami społecznymi, zasadnicze znaczenie ma wspieranie dalszego upowszechniania emerytur dodatkowych, takich jak IORP, oraz pomoc</w:t>
      </w:r>
      <w:r w:rsidR="006E6446" w:rsidRPr="00392E88">
        <w:t xml:space="preserve"> w</w:t>
      </w:r>
      <w:r w:rsidR="006E6446">
        <w:t> </w:t>
      </w:r>
      <w:r w:rsidR="006E6446" w:rsidRPr="00392E88">
        <w:t>osi</w:t>
      </w:r>
      <w:r w:rsidRPr="00392E88">
        <w:t>ąganiu lepszych wyników dla osób oszczędzających</w:t>
      </w:r>
      <w:r w:rsidR="006E6446" w:rsidRPr="00392E88">
        <w:t xml:space="preserve"> w</w:t>
      </w:r>
      <w:r w:rsidR="006E6446">
        <w:t> </w:t>
      </w:r>
      <w:r w:rsidR="006E6446" w:rsidRPr="00392E88">
        <w:t>per</w:t>
      </w:r>
      <w:r w:rsidRPr="00392E88">
        <w:t>spektywie długoterminowej. Wymaga to działań politycznych zarówno na szczeblu krajowym, jak</w:t>
      </w:r>
      <w:r w:rsidR="006E6446" w:rsidRPr="00392E88">
        <w:t xml:space="preserve"> i</w:t>
      </w:r>
      <w:r w:rsidR="006E6446">
        <w:t> </w:t>
      </w:r>
      <w:r w:rsidR="006E6446" w:rsidRPr="00392E88">
        <w:t>uni</w:t>
      </w:r>
      <w:r w:rsidRPr="00392E88">
        <w:t>jnym.</w:t>
      </w:r>
    </w:p>
    <w:p w14:paraId="5A80C504" w14:textId="388A0B27" w:rsidR="007B2405" w:rsidRPr="00392E88" w:rsidRDefault="007B2405" w:rsidP="1FA00472">
      <w:pPr>
        <w:pStyle w:val="ManualConsidrant"/>
      </w:pPr>
      <w:r>
        <w:t>(5)</w:t>
      </w:r>
      <w:r>
        <w:tab/>
      </w:r>
      <w:r w:rsidRPr="00392E88">
        <w:t>Unia oszczędności</w:t>
      </w:r>
      <w:r w:rsidR="006E6446" w:rsidRPr="00392E88">
        <w:t xml:space="preserve"> i</w:t>
      </w:r>
      <w:r w:rsidR="006E6446">
        <w:t> </w:t>
      </w:r>
      <w:r w:rsidR="006E6446" w:rsidRPr="00392E88">
        <w:t>inw</w:t>
      </w:r>
      <w:r w:rsidRPr="00392E88">
        <w:t>estycji zapowiedziana przez Komisję</w:t>
      </w:r>
      <w:r w:rsidR="006E6446" w:rsidRPr="00392E88">
        <w:t xml:space="preserve"> w</w:t>
      </w:r>
      <w:r w:rsidR="006E6446">
        <w:t> </w:t>
      </w:r>
      <w:r w:rsidR="006E6446" w:rsidRPr="00392E88">
        <w:t>kom</w:t>
      </w:r>
      <w:r w:rsidRPr="00392E88">
        <w:t>unikacie</w:t>
      </w:r>
      <w:r w:rsidR="006E6446" w:rsidRPr="00392E88">
        <w:t xml:space="preserve"> z</w:t>
      </w:r>
      <w:r w:rsidR="006E6446">
        <w:t> </w:t>
      </w:r>
      <w:r w:rsidR="006E6446" w:rsidRPr="00392E88">
        <w:t>dni</w:t>
      </w:r>
      <w:r w:rsidRPr="00392E88">
        <w:t>a 19 marca 20</w:t>
      </w:r>
      <w:r w:rsidRPr="006E6446">
        <w:t>15</w:t>
      </w:r>
      <w:r w:rsidR="006E6446" w:rsidRPr="006E6446">
        <w:t> </w:t>
      </w:r>
      <w:r w:rsidRPr="006E6446">
        <w:t>r.</w:t>
      </w:r>
      <w:r w:rsidRPr="00392E88">
        <w:rPr>
          <w:rStyle w:val="FootnoteReference"/>
        </w:rPr>
        <w:footnoteReference w:id="26"/>
      </w:r>
      <w:r w:rsidRPr="00392E88">
        <w:t xml:space="preserve"> ma na celu umożliwienie obywatelom gromadzenia oszczędności</w:t>
      </w:r>
      <w:r w:rsidR="006E6446" w:rsidRPr="00392E88">
        <w:t xml:space="preserve"> i</w:t>
      </w:r>
      <w:r w:rsidR="006E6446">
        <w:t> </w:t>
      </w:r>
      <w:r w:rsidR="006E6446" w:rsidRPr="00392E88">
        <w:t>ich</w:t>
      </w:r>
      <w:r w:rsidRPr="00392E88">
        <w:t xml:space="preserve"> inwestowania</w:t>
      </w:r>
      <w:r w:rsidR="006E6446" w:rsidRPr="00392E88">
        <w:t xml:space="preserve"> z</w:t>
      </w:r>
      <w:r w:rsidR="006E6446">
        <w:t> </w:t>
      </w:r>
      <w:r w:rsidR="006E6446" w:rsidRPr="00392E88">
        <w:t>myś</w:t>
      </w:r>
      <w:r w:rsidRPr="00392E88">
        <w:t>lą</w:t>
      </w:r>
      <w:r w:rsidR="006E6446" w:rsidRPr="00392E88">
        <w:t xml:space="preserve"> o</w:t>
      </w:r>
      <w:r w:rsidR="006E6446">
        <w:t> </w:t>
      </w:r>
      <w:r w:rsidR="006E6446" w:rsidRPr="00392E88">
        <w:t>prz</w:t>
      </w:r>
      <w:r w:rsidRPr="00392E88">
        <w:t>yszłości, przekierowywanie inwestycji na priorytety Unii, pogłębienie integracji</w:t>
      </w:r>
      <w:r w:rsidR="006E6446" w:rsidRPr="00392E88">
        <w:t xml:space="preserve"> i</w:t>
      </w:r>
      <w:r w:rsidR="006E6446">
        <w:t> </w:t>
      </w:r>
      <w:r w:rsidR="006E6446" w:rsidRPr="00392E88">
        <w:t>zwi</w:t>
      </w:r>
      <w:r w:rsidRPr="00392E88">
        <w:t>ększenie skali unijnych rynków kapitałowych oraz zapewnienie skutecznego nadzoru na całym jednolitym rynku. Jednym</w:t>
      </w:r>
      <w:r w:rsidR="006E6446" w:rsidRPr="00392E88">
        <w:t xml:space="preserve"> z</w:t>
      </w:r>
      <w:r w:rsidR="006E6446">
        <w:t> </w:t>
      </w:r>
      <w:r w:rsidR="006E6446" w:rsidRPr="00392E88">
        <w:t>tyc</w:t>
      </w:r>
      <w:r w:rsidRPr="00392E88">
        <w:t>h czterech aspektów jest pomoc obywatelom</w:t>
      </w:r>
      <w:r w:rsidR="006E6446" w:rsidRPr="00392E88">
        <w:t xml:space="preserve"> w</w:t>
      </w:r>
      <w:r w:rsidR="006E6446">
        <w:t> </w:t>
      </w:r>
      <w:r w:rsidR="006E6446" w:rsidRPr="00392E88">
        <w:t>osz</w:t>
      </w:r>
      <w:r w:rsidRPr="00392E88">
        <w:t>czędzaniu</w:t>
      </w:r>
      <w:r w:rsidR="006E6446" w:rsidRPr="00392E88">
        <w:t xml:space="preserve"> i</w:t>
      </w:r>
      <w:r w:rsidR="006E6446">
        <w:t> </w:t>
      </w:r>
      <w:r w:rsidR="006E6446" w:rsidRPr="00392E88">
        <w:t>inw</w:t>
      </w:r>
      <w:r w:rsidRPr="00392E88">
        <w:t>estowaniu</w:t>
      </w:r>
      <w:r w:rsidR="006E6446" w:rsidRPr="00392E88">
        <w:t xml:space="preserve"> z</w:t>
      </w:r>
      <w:r w:rsidR="006E6446">
        <w:t> </w:t>
      </w:r>
      <w:r w:rsidR="006E6446" w:rsidRPr="00392E88">
        <w:t>myś</w:t>
      </w:r>
      <w:r w:rsidRPr="00392E88">
        <w:t>lą</w:t>
      </w:r>
      <w:r w:rsidR="006E6446" w:rsidRPr="00392E88">
        <w:t xml:space="preserve"> o</w:t>
      </w:r>
      <w:r w:rsidR="006E6446">
        <w:t> </w:t>
      </w:r>
      <w:r w:rsidR="006E6446" w:rsidRPr="00392E88">
        <w:t>prz</w:t>
      </w:r>
      <w:r w:rsidRPr="00392E88">
        <w:t>yszłości, co jest centralnym elementem ambicji unii oszczędności</w:t>
      </w:r>
      <w:r w:rsidR="006E6446" w:rsidRPr="00392E88">
        <w:t xml:space="preserve"> i</w:t>
      </w:r>
      <w:r w:rsidR="006E6446">
        <w:t> </w:t>
      </w:r>
      <w:r w:rsidR="006E6446" w:rsidRPr="00392E88">
        <w:t>inw</w:t>
      </w:r>
      <w:r w:rsidRPr="00392E88">
        <w:t>estycji. Zapewnienie obywatelom Unii możliwości zgromadzenia odpowiedniego dochodu emerytalnego jest jednym</w:t>
      </w:r>
      <w:r w:rsidR="006E6446" w:rsidRPr="00392E88">
        <w:t xml:space="preserve"> z</w:t>
      </w:r>
      <w:r w:rsidR="006E6446">
        <w:t> </w:t>
      </w:r>
      <w:r w:rsidR="006E6446" w:rsidRPr="00392E88">
        <w:t>naj</w:t>
      </w:r>
      <w:r w:rsidRPr="00392E88">
        <w:t>bardziej konkretnych sposobów wpływu Unii na życie ludzi. Prace nad emeryturami dodatkowymi,</w:t>
      </w:r>
      <w:r w:rsidR="006E6446" w:rsidRPr="00392E88">
        <w:t xml:space="preserve"> a</w:t>
      </w:r>
      <w:r w:rsidR="006E6446">
        <w:t> </w:t>
      </w:r>
      <w:r w:rsidR="006E6446" w:rsidRPr="00392E88">
        <w:t>w</w:t>
      </w:r>
      <w:r w:rsidR="006E6446">
        <w:t> </w:t>
      </w:r>
      <w:r w:rsidR="006E6446" w:rsidRPr="00392E88">
        <w:t>szc</w:t>
      </w:r>
      <w:r w:rsidRPr="00392E88">
        <w:t xml:space="preserve">zególności nad emeryturami pracowniczymi, odzwierciedlają to podejście skoncentrowane na obywatelach. </w:t>
      </w:r>
    </w:p>
    <w:p w14:paraId="19130A24" w14:textId="71F44DB4" w:rsidR="001071BA" w:rsidRPr="00392E88" w:rsidRDefault="001071BA" w:rsidP="1FA00472">
      <w:pPr>
        <w:pStyle w:val="ManualConsidrant"/>
      </w:pPr>
      <w:r>
        <w:t>(6)</w:t>
      </w:r>
      <w:r>
        <w:tab/>
      </w:r>
      <w:r w:rsidRPr="00392E88">
        <w:t>Instytucje pracowniczych programów emerytalnych („IORP”), które zarządzają aktywami</w:t>
      </w:r>
      <w:r w:rsidR="006E6446" w:rsidRPr="00392E88">
        <w:t xml:space="preserve"> o</w:t>
      </w:r>
      <w:r w:rsidR="006E6446">
        <w:t> </w:t>
      </w:r>
      <w:r w:rsidR="006E6446" w:rsidRPr="00392E88">
        <w:t>war</w:t>
      </w:r>
      <w:r w:rsidRPr="00392E88">
        <w:t>tości około trzech bilionów euro, odgrywają zasadniczą rolę</w:t>
      </w:r>
      <w:r w:rsidR="006E6446" w:rsidRPr="00392E88">
        <w:t xml:space="preserve"> w</w:t>
      </w:r>
      <w:r w:rsidR="006E6446">
        <w:t> </w:t>
      </w:r>
      <w:r w:rsidR="006E6446" w:rsidRPr="00392E88">
        <w:t>sys</w:t>
      </w:r>
      <w:r w:rsidRPr="00392E88">
        <w:t>temie finansowym Unii, ale zazwyczaj są mniej aktywne na notowanych rynkach akcji, niepublicznych rynkach kapitałowych, rynkach kapitału wysokiego ryzyka</w:t>
      </w:r>
      <w:r w:rsidR="006E6446" w:rsidRPr="00392E88">
        <w:t xml:space="preserve"> i</w:t>
      </w:r>
      <w:r w:rsidR="006E6446">
        <w:t> </w:t>
      </w:r>
      <w:r w:rsidR="006E6446" w:rsidRPr="00392E88">
        <w:t>ryn</w:t>
      </w:r>
      <w:r w:rsidRPr="00392E88">
        <w:t>kach infrastrukturalnych. Pod warunkiem ostrożnego zarządzania inwestycjami</w:t>
      </w:r>
      <w:r w:rsidR="006E6446" w:rsidRPr="00392E88">
        <w:t xml:space="preserve"> w</w:t>
      </w:r>
      <w:r w:rsidR="006E6446">
        <w:t> </w:t>
      </w:r>
      <w:r w:rsidR="006E6446" w:rsidRPr="00392E88">
        <w:t>akc</w:t>
      </w:r>
      <w:r w:rsidRPr="00392E88">
        <w:t>je</w:t>
      </w:r>
      <w:r w:rsidR="006E6446" w:rsidRPr="00392E88">
        <w:t xml:space="preserve"> i</w:t>
      </w:r>
      <w:r w:rsidR="006E6446">
        <w:t> </w:t>
      </w:r>
      <w:r w:rsidR="006E6446" w:rsidRPr="00392E88">
        <w:t>kla</w:t>
      </w:r>
      <w:r w:rsidRPr="00392E88">
        <w:t>sy aktywów alternatywnych takie inwestycje mogą stanowić cenny element ich portfeli, oferując dywersyfikację, wyższe długoterminowe zwroty dla oszczędzających na emeryturę</w:t>
      </w:r>
      <w:r w:rsidR="006E6446" w:rsidRPr="00392E88">
        <w:t xml:space="preserve"> i</w:t>
      </w:r>
      <w:r w:rsidR="006E6446">
        <w:t> </w:t>
      </w:r>
      <w:r w:rsidR="006E6446" w:rsidRPr="00392E88">
        <w:t>och</w:t>
      </w:r>
      <w:r w:rsidRPr="00392E88">
        <w:t>ronę przed inflacją,</w:t>
      </w:r>
      <w:r w:rsidR="006E6446" w:rsidRPr="00392E88">
        <w:t xml:space="preserve"> a</w:t>
      </w:r>
      <w:r w:rsidR="006E6446">
        <w:t> </w:t>
      </w:r>
      <w:r w:rsidR="006E6446" w:rsidRPr="00392E88">
        <w:t>jed</w:t>
      </w:r>
      <w:r w:rsidRPr="00392E88">
        <w:t>nocześnie zapewniając kluczowe finansowanie dla gospodarki realnej. Ważne jest zatem zapewnienie, aby nie istniały nieuzasadnione bariery regulacyjne dla takich inwestycji.</w:t>
      </w:r>
    </w:p>
    <w:p w14:paraId="0A78B8D6" w14:textId="44932EF4" w:rsidR="5C3C8FEA" w:rsidRPr="00392E88" w:rsidRDefault="00586E69" w:rsidP="1FA00472">
      <w:pPr>
        <w:pStyle w:val="ManualConsidrant"/>
      </w:pPr>
      <w:r>
        <w:t>(7)</w:t>
      </w:r>
      <w:r>
        <w:tab/>
      </w:r>
      <w:r w:rsidRPr="00392E88">
        <w:t>Przegląd dyrektywy (UE) 2016/2341 opiera się na opinii technicznej Europejskiego Urzędu Nadzoru Ubezpieczeń</w:t>
      </w:r>
      <w:r w:rsidR="006E6446" w:rsidRPr="00392E88">
        <w:t xml:space="preserve"> i</w:t>
      </w:r>
      <w:r w:rsidR="006E6446">
        <w:t> </w:t>
      </w:r>
      <w:r w:rsidR="006E6446" w:rsidRPr="00392E88">
        <w:t>Pra</w:t>
      </w:r>
      <w:r w:rsidRPr="00392E88">
        <w:t>cowniczych Programów Emerytalnych (EIOPA)</w:t>
      </w:r>
      <w:r w:rsidR="006E6446" w:rsidRPr="00392E88">
        <w:t xml:space="preserve"> z</w:t>
      </w:r>
      <w:r w:rsidR="006E6446">
        <w:t> </w:t>
      </w:r>
      <w:r w:rsidR="006E6446" w:rsidRPr="00392E88">
        <w:t>2</w:t>
      </w:r>
      <w:r w:rsidRPr="00392E88">
        <w:t>0</w:t>
      </w:r>
      <w:r w:rsidRPr="006E6446">
        <w:t>23</w:t>
      </w:r>
      <w:r w:rsidR="006E6446" w:rsidRPr="006E6446">
        <w:t> </w:t>
      </w:r>
      <w:r w:rsidRPr="006E6446">
        <w:t>r.</w:t>
      </w:r>
      <w:r w:rsidRPr="00392E88">
        <w:t xml:space="preserve"> na potrzeby przeglądu dyrektywy IORP II</w:t>
      </w:r>
      <w:r w:rsidRPr="00392E88">
        <w:rPr>
          <w:rStyle w:val="FootnoteReference"/>
        </w:rPr>
        <w:footnoteReference w:id="27"/>
      </w:r>
      <w:r w:rsidRPr="00392E88">
        <w:t xml:space="preserve"> oraz na jego „uwagach technicznych na potrzeby przeglądu dyrektywy IORP II</w:t>
      </w:r>
      <w:r w:rsidR="006E6446" w:rsidRPr="00392E88">
        <w:t xml:space="preserve"> i</w:t>
      </w:r>
      <w:r w:rsidR="006E6446">
        <w:t> </w:t>
      </w:r>
      <w:r w:rsidR="006E6446" w:rsidRPr="00392E88">
        <w:t>roz</w:t>
      </w:r>
      <w:r w:rsidRPr="00392E88">
        <w:t>porządzenia</w:t>
      </w:r>
      <w:r w:rsidR="006E6446" w:rsidRPr="00392E88">
        <w:t xml:space="preserve"> w</w:t>
      </w:r>
      <w:r w:rsidR="006E6446">
        <w:t> </w:t>
      </w:r>
      <w:r w:rsidR="006E6446" w:rsidRPr="00392E88">
        <w:t>spr</w:t>
      </w:r>
      <w:r w:rsidRPr="00392E88">
        <w:t>awie OIPE</w:t>
      </w:r>
      <w:r w:rsidR="006E6446" w:rsidRPr="00392E88">
        <w:t xml:space="preserve"> w</w:t>
      </w:r>
      <w:r w:rsidR="006E6446">
        <w:t> </w:t>
      </w:r>
      <w:r w:rsidR="006E6446" w:rsidRPr="00392E88">
        <w:t>kon</w:t>
      </w:r>
      <w:r w:rsidRPr="00392E88">
        <w:t>tekście unii oszczędności</w:t>
      </w:r>
      <w:r w:rsidR="006E6446" w:rsidRPr="00392E88">
        <w:t xml:space="preserve"> i</w:t>
      </w:r>
      <w:r w:rsidR="006E6446">
        <w:t> </w:t>
      </w:r>
      <w:r w:rsidR="006E6446" w:rsidRPr="00392E88">
        <w:t>inw</w:t>
      </w:r>
      <w:r w:rsidRPr="00392E88">
        <w:t>estycji”</w:t>
      </w:r>
      <w:r w:rsidR="006E6446" w:rsidRPr="00392E88">
        <w:t xml:space="preserve"> z</w:t>
      </w:r>
      <w:r w:rsidR="006E6446">
        <w:t> </w:t>
      </w:r>
      <w:r w:rsidR="006E6446" w:rsidRPr="00392E88">
        <w:t>2</w:t>
      </w:r>
      <w:r w:rsidRPr="00392E88">
        <w:t>0</w:t>
      </w:r>
      <w:r w:rsidRPr="006E6446">
        <w:t>25</w:t>
      </w:r>
      <w:r w:rsidR="006E6446" w:rsidRPr="006E6446">
        <w:t> </w:t>
      </w:r>
      <w:r w:rsidRPr="006E6446">
        <w:t>r.</w:t>
      </w:r>
      <w:r w:rsidRPr="00392E88">
        <w:rPr>
          <w:rStyle w:val="FootnoteReference"/>
        </w:rPr>
        <w:footnoteReference w:id="28"/>
      </w:r>
      <w:r w:rsidRPr="00392E88">
        <w:t>. Uwzględniono</w:t>
      </w:r>
      <w:r w:rsidR="006E6446" w:rsidRPr="00392E88">
        <w:t xml:space="preserve"> w</w:t>
      </w:r>
      <w:r w:rsidR="006E6446">
        <w:t> </w:t>
      </w:r>
      <w:r w:rsidR="006E6446" w:rsidRPr="00392E88">
        <w:t>nim</w:t>
      </w:r>
      <w:r w:rsidRPr="00392E88">
        <w:t xml:space="preserve"> również najnowsze ustalenia</w:t>
      </w:r>
      <w:r w:rsidR="006E6446" w:rsidRPr="00392E88">
        <w:t xml:space="preserve"> i</w:t>
      </w:r>
      <w:r w:rsidR="006E6446">
        <w:t> </w:t>
      </w:r>
      <w:r w:rsidR="006E6446" w:rsidRPr="00392E88">
        <w:t>zal</w:t>
      </w:r>
      <w:r w:rsidRPr="00392E88">
        <w:t>ecenia zawarte</w:t>
      </w:r>
      <w:r w:rsidR="006E6446" w:rsidRPr="00392E88">
        <w:t xml:space="preserve"> w</w:t>
      </w:r>
      <w:r w:rsidR="006E6446">
        <w:t> </w:t>
      </w:r>
      <w:r w:rsidR="006E6446" w:rsidRPr="00392E88">
        <w:t>spr</w:t>
      </w:r>
      <w:r w:rsidRPr="00392E88">
        <w:t>awozdaniu specjalnym 14/2025 Europejskiego Trybunału Obrachunkowego dotyczącym upowszechniania dodatkowych programów emerytalnych</w:t>
      </w:r>
      <w:r w:rsidR="006E6446" w:rsidRPr="00392E88">
        <w:t xml:space="preserve"> w</w:t>
      </w:r>
      <w:r w:rsidR="006E6446">
        <w:t> </w:t>
      </w:r>
      <w:r w:rsidR="006E6446" w:rsidRPr="00392E88">
        <w:t>Uni</w:t>
      </w:r>
      <w:r w:rsidRPr="00392E88">
        <w:t>i</w:t>
      </w:r>
      <w:r w:rsidRPr="00392E88">
        <w:rPr>
          <w:rStyle w:val="FootnoteReference"/>
        </w:rPr>
        <w:footnoteReference w:id="29"/>
      </w:r>
      <w:r w:rsidRPr="00392E88">
        <w:t>,</w:t>
      </w:r>
      <w:r w:rsidR="006E6446" w:rsidRPr="00392E88">
        <w:t xml:space="preserve"> a</w:t>
      </w:r>
      <w:r w:rsidR="006E6446">
        <w:t> </w:t>
      </w:r>
      <w:r w:rsidR="006E6446" w:rsidRPr="00392E88">
        <w:t>tak</w:t>
      </w:r>
      <w:r w:rsidRPr="00392E88">
        <w:t>że podstawowe zasady OECD dotyczące regulacji emerytur prywatnych</w:t>
      </w:r>
      <w:r w:rsidRPr="00392E88">
        <w:rPr>
          <w:rStyle w:val="FootnoteReference"/>
        </w:rPr>
        <w:footnoteReference w:id="30"/>
      </w:r>
      <w:r w:rsidRPr="00392E88">
        <w:t>,</w:t>
      </w:r>
      <w:r w:rsidR="006E6446" w:rsidRPr="00392E88">
        <w:t xml:space="preserve"> w</w:t>
      </w:r>
      <w:r w:rsidR="006E6446">
        <w:t> </w:t>
      </w:r>
      <w:r w:rsidR="006E6446" w:rsidRPr="00392E88">
        <w:t>któ</w:t>
      </w:r>
      <w:r w:rsidRPr="00392E88">
        <w:t>rych określono uznane na szczeblu międzynarodowym standardy zarządzania emeryturami pracowniczymi, ich przejrzystości</w:t>
      </w:r>
      <w:r w:rsidR="006E6446" w:rsidRPr="00392E88">
        <w:t xml:space="preserve"> i</w:t>
      </w:r>
      <w:r w:rsidR="006E6446">
        <w:t> </w:t>
      </w:r>
      <w:r w:rsidR="006E6446" w:rsidRPr="00392E88">
        <w:t>nad</w:t>
      </w:r>
      <w:r w:rsidRPr="00392E88">
        <w:t xml:space="preserve">zoru nad nimi. </w:t>
      </w:r>
    </w:p>
    <w:p w14:paraId="54578E3B" w14:textId="1CA91269" w:rsidR="70B036D0" w:rsidRPr="00392E88" w:rsidRDefault="2DB1F536" w:rsidP="70B036D0">
      <w:pPr>
        <w:pStyle w:val="ManualConsidrant"/>
      </w:pPr>
      <w:r>
        <w:t>(8)</w:t>
      </w:r>
      <w:r>
        <w:tab/>
      </w:r>
      <w:r w:rsidRPr="00392E88">
        <w:t>Osiągnięcie wystarczającej skali jest często warunkiem wstępnym skutecznego</w:t>
      </w:r>
      <w:r w:rsidR="006E6446" w:rsidRPr="00392E88">
        <w:t xml:space="preserve"> i</w:t>
      </w:r>
      <w:r w:rsidR="006E6446">
        <w:t> </w:t>
      </w:r>
      <w:r w:rsidR="006E6446" w:rsidRPr="00392E88">
        <w:t>zró</w:t>
      </w:r>
      <w:r w:rsidRPr="00392E88">
        <w:t>wnoważonego funkcjonowania IORP. Mniejsze IORP mogą borykać się</w:t>
      </w:r>
      <w:r w:rsidR="006E6446" w:rsidRPr="00392E88">
        <w:t xml:space="preserve"> z</w:t>
      </w:r>
      <w:r w:rsidR="006E6446">
        <w:t> </w:t>
      </w:r>
      <w:r w:rsidR="006E6446" w:rsidRPr="00392E88">
        <w:t>wyż</w:t>
      </w:r>
      <w:r w:rsidRPr="00392E88">
        <w:t>szymi kosztami administracyjnymi</w:t>
      </w:r>
      <w:r w:rsidR="006E6446" w:rsidRPr="00392E88">
        <w:t xml:space="preserve"> i</w:t>
      </w:r>
      <w:r w:rsidR="006E6446">
        <w:t> </w:t>
      </w:r>
      <w:r w:rsidR="006E6446" w:rsidRPr="00392E88">
        <w:t>inw</w:t>
      </w:r>
      <w:r w:rsidRPr="00392E88">
        <w:t>estycyjnymi, ograniczoną dywersyfikacją oraz trudnościami</w:t>
      </w:r>
      <w:r w:rsidR="006E6446" w:rsidRPr="00392E88">
        <w:t xml:space="preserve"> w</w:t>
      </w:r>
      <w:r w:rsidR="006E6446">
        <w:t> </w:t>
      </w:r>
      <w:r w:rsidR="006E6446" w:rsidRPr="00392E88">
        <w:t>prz</w:t>
      </w:r>
      <w:r w:rsidRPr="00392E88">
        <w:t>yciągnięciu lub utrzymaniu niezbędnej wiedzy fachowej. Większa skala może pomóc</w:t>
      </w:r>
      <w:r w:rsidR="006E6446" w:rsidRPr="00392E88">
        <w:t xml:space="preserve"> w</w:t>
      </w:r>
      <w:r w:rsidR="006E6446">
        <w:t> </w:t>
      </w:r>
      <w:r w:rsidR="006E6446" w:rsidRPr="00392E88">
        <w:t>zła</w:t>
      </w:r>
      <w:r w:rsidRPr="00392E88">
        <w:t>godzeniu tych ograniczeń dzięki poprawie łączenia ryzyka, zdolności zarządzania</w:t>
      </w:r>
      <w:r w:rsidR="006E6446" w:rsidRPr="00392E88">
        <w:t xml:space="preserve"> i</w:t>
      </w:r>
      <w:r w:rsidR="006E6446">
        <w:t> </w:t>
      </w:r>
      <w:r w:rsidR="006E6446" w:rsidRPr="00392E88">
        <w:t>dos</w:t>
      </w:r>
      <w:r w:rsidRPr="00392E88">
        <w:t>tępu do szerszego zakresu możliwości inwestycyjnych, przyczyniając się tym samym do bardziej stabilnych</w:t>
      </w:r>
      <w:r w:rsidR="006E6446" w:rsidRPr="00392E88">
        <w:t xml:space="preserve"> i</w:t>
      </w:r>
      <w:r w:rsidR="006E6446">
        <w:t> </w:t>
      </w:r>
      <w:r w:rsidR="006E6446" w:rsidRPr="00392E88">
        <w:t>opł</w:t>
      </w:r>
      <w:r w:rsidRPr="00392E88">
        <w:t>acalnych wyników dla uczestników</w:t>
      </w:r>
      <w:r w:rsidR="006E6446" w:rsidRPr="00392E88">
        <w:t xml:space="preserve"> i</w:t>
      </w:r>
      <w:r w:rsidR="006E6446">
        <w:t> </w:t>
      </w:r>
      <w:r w:rsidR="006E6446" w:rsidRPr="00392E88">
        <w:t>ben</w:t>
      </w:r>
      <w:r w:rsidRPr="00392E88">
        <w:t xml:space="preserve">eficjentów. </w:t>
      </w:r>
    </w:p>
    <w:p w14:paraId="3DF858E2" w14:textId="1999C551" w:rsidR="006E463E" w:rsidRPr="00392E88" w:rsidRDefault="006E463E" w:rsidP="006E463E">
      <w:pPr>
        <w:pStyle w:val="ManualConsidrant"/>
      </w:pPr>
      <w:r>
        <w:t>(9)</w:t>
      </w:r>
      <w:r>
        <w:tab/>
      </w:r>
      <w:r w:rsidRPr="00392E88">
        <w:t>Dyrektywa (UE) 2016/2341 nie jest jednak wystarczająco skuteczna pod względem wspierania korzyści skali, co skutkowało tym, że dostawcy usług emerytalnych, którzy są często zbyt mali, aby korzystać</w:t>
      </w:r>
      <w:r w:rsidR="006E6446" w:rsidRPr="00392E88">
        <w:t xml:space="preserve"> z</w:t>
      </w:r>
      <w:r w:rsidR="006E6446">
        <w:t> </w:t>
      </w:r>
      <w:r w:rsidR="006E6446" w:rsidRPr="00392E88">
        <w:t>dyw</w:t>
      </w:r>
      <w:r w:rsidRPr="00392E88">
        <w:t>ersyfikacji lub przyrostu efektywności, narażali</w:t>
      </w:r>
      <w:r w:rsidR="006E6446" w:rsidRPr="00392E88">
        <w:t xml:space="preserve"> w</w:t>
      </w:r>
      <w:r w:rsidR="006E6446">
        <w:t> </w:t>
      </w:r>
      <w:r w:rsidR="006E6446" w:rsidRPr="00392E88">
        <w:t>ten</w:t>
      </w:r>
      <w:r w:rsidRPr="00392E88">
        <w:t xml:space="preserve"> sposób uczestników</w:t>
      </w:r>
      <w:r w:rsidR="006E6446" w:rsidRPr="00392E88">
        <w:t xml:space="preserve"> i</w:t>
      </w:r>
      <w:r w:rsidR="006E6446">
        <w:t> </w:t>
      </w:r>
      <w:r w:rsidR="006E6446" w:rsidRPr="00392E88">
        <w:t>ben</w:t>
      </w:r>
      <w:r w:rsidRPr="00392E88">
        <w:t>eficjentów na wyższe koszty</w:t>
      </w:r>
      <w:r w:rsidR="006E6446" w:rsidRPr="00392E88">
        <w:t xml:space="preserve"> i</w:t>
      </w:r>
      <w:r w:rsidR="006E6446">
        <w:t> </w:t>
      </w:r>
      <w:r w:rsidR="006E6446" w:rsidRPr="00392E88">
        <w:t>niż</w:t>
      </w:r>
      <w:r w:rsidRPr="00392E88">
        <w:t>sze zwroty netto. Konieczne jest zatem ułatwienie osiągnięcia takich korzyści skali.</w:t>
      </w:r>
    </w:p>
    <w:p w14:paraId="7B769BB5" w14:textId="10F27163" w:rsidR="00463474" w:rsidRPr="00392E88" w:rsidRDefault="00463474" w:rsidP="00463474">
      <w:pPr>
        <w:pStyle w:val="ManualConsidrant"/>
      </w:pPr>
      <w:r>
        <w:t>(10)</w:t>
      </w:r>
      <w:r>
        <w:tab/>
      </w:r>
      <w:r w:rsidRPr="00392E88">
        <w:t xml:space="preserve">Dyrektywa (UE) 2016/2341 powinna mieć zastosowanie do wszystkich IORP, chyba że są one wyraźnie wyłączone na podstawie </w:t>
      </w:r>
      <w:r w:rsidRPr="006E6446">
        <w:t>art.</w:t>
      </w:r>
      <w:r w:rsidR="006E6446" w:rsidRPr="006E6446">
        <w:t> </w:t>
      </w:r>
      <w:r w:rsidRPr="006E6446">
        <w:t>2</w:t>
      </w:r>
      <w:r w:rsidRPr="00392E88">
        <w:t xml:space="preserve"> </w:t>
      </w:r>
      <w:r w:rsidRPr="006E6446">
        <w:t>ust.</w:t>
      </w:r>
      <w:r w:rsidR="006E6446" w:rsidRPr="006E6446">
        <w:t> </w:t>
      </w:r>
      <w:r w:rsidRPr="006E6446">
        <w:t>2</w:t>
      </w:r>
      <w:r w:rsidRPr="00392E88">
        <w:t>. Jej stosowanie powinno odzwierciedlać cele tej dyrektywy</w:t>
      </w:r>
      <w:r w:rsidR="006E6446" w:rsidRPr="00392E88">
        <w:t xml:space="preserve"> i</w:t>
      </w:r>
      <w:r w:rsidR="006E6446">
        <w:t> </w:t>
      </w:r>
      <w:r w:rsidR="006E6446" w:rsidRPr="00392E88">
        <w:t>róż</w:t>
      </w:r>
      <w:r w:rsidRPr="00392E88">
        <w:t>norodność rozwiązań</w:t>
      </w:r>
      <w:r w:rsidR="006E6446" w:rsidRPr="00392E88">
        <w:t xml:space="preserve"> w</w:t>
      </w:r>
      <w:r w:rsidR="006E6446">
        <w:t> </w:t>
      </w:r>
      <w:r w:rsidR="006E6446" w:rsidRPr="00392E88">
        <w:t>pań</w:t>
      </w:r>
      <w:r w:rsidRPr="00392E88">
        <w:t>stwach członkowskich oraz powinno być wdrażane</w:t>
      </w:r>
      <w:r w:rsidR="006E6446" w:rsidRPr="00392E88">
        <w:t xml:space="preserve"> w</w:t>
      </w:r>
      <w:r w:rsidR="006E6446">
        <w:t> </w:t>
      </w:r>
      <w:r w:rsidR="006E6446" w:rsidRPr="00392E88">
        <w:t>spo</w:t>
      </w:r>
      <w:r w:rsidRPr="00392E88">
        <w:t>sób uwzględniający pełne spektrum istniejących pracowniczych programów emerytalnych.</w:t>
      </w:r>
    </w:p>
    <w:p w14:paraId="10406525" w14:textId="16055F09" w:rsidR="00844930" w:rsidRPr="00392E88" w:rsidRDefault="001A4963" w:rsidP="007E377A">
      <w:pPr>
        <w:pStyle w:val="ManualConsidrant"/>
      </w:pPr>
      <w:r>
        <w:t>(11)</w:t>
      </w:r>
      <w:r>
        <w:tab/>
      </w:r>
      <w:r w:rsidRPr="00392E88">
        <w:t>W niektórych państwach członkowskich prawo krajowe stanowi, że IORP, mimo posiadania osobowości prawnej, mają być obsługiwane przez upoważnione podmioty odpowiedzialne za działanie na ich rzecz</w:t>
      </w:r>
      <w:r w:rsidR="006E6446" w:rsidRPr="00392E88">
        <w:t>. W</w:t>
      </w:r>
      <w:r w:rsidR="006E6446">
        <w:t> </w:t>
      </w:r>
      <w:r w:rsidR="006E6446" w:rsidRPr="00392E88">
        <w:t>zwi</w:t>
      </w:r>
      <w:r w:rsidRPr="00392E88">
        <w:t>ązku</w:t>
      </w:r>
      <w:r w:rsidR="006E6446" w:rsidRPr="00392E88">
        <w:t xml:space="preserve"> z</w:t>
      </w:r>
      <w:r w:rsidR="006E6446">
        <w:t> </w:t>
      </w:r>
      <w:r w:rsidR="006E6446" w:rsidRPr="00392E88">
        <w:t>tym</w:t>
      </w:r>
      <w:r w:rsidRPr="00392E88">
        <w:t xml:space="preserve"> </w:t>
      </w:r>
      <w:r w:rsidRPr="006E6446">
        <w:t>art.</w:t>
      </w:r>
      <w:r w:rsidR="006E6446" w:rsidRPr="006E6446">
        <w:t> </w:t>
      </w:r>
      <w:r w:rsidRPr="006E6446">
        <w:t>2</w:t>
      </w:r>
      <w:r w:rsidRPr="00392E88">
        <w:t xml:space="preserve"> </w:t>
      </w:r>
      <w:r w:rsidRPr="006E6446">
        <w:t>ust.</w:t>
      </w:r>
      <w:r w:rsidR="006E6446" w:rsidRPr="006E6446">
        <w:t> </w:t>
      </w:r>
      <w:r w:rsidRPr="006E6446">
        <w:t>1</w:t>
      </w:r>
      <w:r w:rsidRPr="00392E88">
        <w:t xml:space="preserve"> dyrektywy (UE) 2016/2341 powinien wyraźnie odnosić się nie tylko do sytuacji,</w:t>
      </w:r>
      <w:r w:rsidR="006E6446" w:rsidRPr="00392E88">
        <w:t xml:space="preserve"> w</w:t>
      </w:r>
      <w:r w:rsidR="006E6446">
        <w:t> </w:t>
      </w:r>
      <w:r w:rsidR="006E6446" w:rsidRPr="00392E88">
        <w:t>któ</w:t>
      </w:r>
      <w:r w:rsidRPr="00392E88">
        <w:t>rych IORP nie mają osobowości prawnej, które to sytuacje powinny być nadal objęte dyrektywą, ale również do przypadków,</w:t>
      </w:r>
      <w:r w:rsidR="006E6446" w:rsidRPr="00392E88">
        <w:t xml:space="preserve"> w</w:t>
      </w:r>
      <w:r w:rsidR="006E6446">
        <w:t> </w:t>
      </w:r>
      <w:r w:rsidR="006E6446" w:rsidRPr="00392E88">
        <w:t>któ</w:t>
      </w:r>
      <w:r w:rsidRPr="00392E88">
        <w:t>rych IORP mają jeszcze osobowość prawną</w:t>
      </w:r>
      <w:r w:rsidR="006E6446" w:rsidRPr="00392E88">
        <w:t xml:space="preserve"> i</w:t>
      </w:r>
      <w:r w:rsidR="006E6446">
        <w:t> </w:t>
      </w:r>
      <w:r w:rsidR="006E6446" w:rsidRPr="00392E88">
        <w:t>zgo</w:t>
      </w:r>
      <w:r w:rsidRPr="00392E88">
        <w:t>dnie</w:t>
      </w:r>
      <w:r w:rsidR="006E6446" w:rsidRPr="00392E88">
        <w:t xml:space="preserve"> z</w:t>
      </w:r>
      <w:r w:rsidR="006E6446">
        <w:t> </w:t>
      </w:r>
      <w:r w:rsidR="006E6446" w:rsidRPr="00392E88">
        <w:t>pra</w:t>
      </w:r>
      <w:r w:rsidRPr="00392E88">
        <w:t xml:space="preserve">wem krajowym mają być obsługiwane przez takie upoważnione podmioty. </w:t>
      </w:r>
    </w:p>
    <w:p w14:paraId="1174EF9F" w14:textId="2EC275A2" w:rsidR="00844930" w:rsidRPr="00392E88" w:rsidRDefault="00370ABF" w:rsidP="00844930">
      <w:pPr>
        <w:pStyle w:val="ManualConsidrant"/>
      </w:pPr>
      <w:r>
        <w:t>(12)</w:t>
      </w:r>
      <w:r>
        <w:tab/>
      </w:r>
      <w:r w:rsidRPr="00392E88">
        <w:t>W niektórych państwach członkowskich odpowiedzialność za obsługiwanie IORP może być dzielona między samą IORP</w:t>
      </w:r>
      <w:r w:rsidR="006E6446" w:rsidRPr="00392E88">
        <w:t xml:space="preserve"> a</w:t>
      </w:r>
      <w:r w:rsidR="006E6446">
        <w:t> </w:t>
      </w:r>
      <w:r w:rsidR="006E6446" w:rsidRPr="00392E88">
        <w:t>upo</w:t>
      </w:r>
      <w:r w:rsidRPr="00392E88">
        <w:t>ważnionym podmiotem działającym na jej rzecz, przy czym każdy</w:t>
      </w:r>
      <w:r w:rsidR="006E6446" w:rsidRPr="00392E88">
        <w:t xml:space="preserve"> z</w:t>
      </w:r>
      <w:r w:rsidR="006E6446">
        <w:t> </w:t>
      </w:r>
      <w:r w:rsidR="006E6446" w:rsidRPr="00392E88">
        <w:t>tyc</w:t>
      </w:r>
      <w:r w:rsidRPr="00392E88">
        <w:t>h podmiotów pełni odrębne, lecz uzupełniające się funkcje. Stosowanie dyrektywy (UE) 2016/2341 powinno być spójne</w:t>
      </w:r>
      <w:r w:rsidR="006E6446" w:rsidRPr="00392E88">
        <w:t xml:space="preserve"> z</w:t>
      </w:r>
      <w:r w:rsidR="006E6446">
        <w:t> </w:t>
      </w:r>
      <w:r w:rsidR="006E6446" w:rsidRPr="00392E88">
        <w:t>tym</w:t>
      </w:r>
      <w:r w:rsidRPr="00392E88">
        <w:t xml:space="preserve"> podziałem obowiązków na mocy prawa krajowego</w:t>
      </w:r>
      <w:r w:rsidR="006E6446" w:rsidRPr="00392E88">
        <w:t xml:space="preserve"> i</w:t>
      </w:r>
      <w:r w:rsidR="006E6446">
        <w:t> </w:t>
      </w:r>
      <w:r w:rsidR="006E6446" w:rsidRPr="00392E88">
        <w:t>pow</w:t>
      </w:r>
      <w:r w:rsidRPr="00392E88">
        <w:t>inno zapewniać, aby wszystkie odpowiedzialne podmioty</w:t>
      </w:r>
      <w:r w:rsidR="006E6446" w:rsidRPr="00392E88">
        <w:t xml:space="preserve"> w</w:t>
      </w:r>
      <w:r w:rsidR="006E6446">
        <w:t> </w:t>
      </w:r>
      <w:r w:rsidR="006E6446" w:rsidRPr="00392E88">
        <w:t>peł</w:t>
      </w:r>
      <w:r w:rsidRPr="00392E88">
        <w:t>ni podlegały jej wymogom, niezależnie od formy prawnej IORP. Sytuację tę należy jednak odróżnić od outsourcingu,</w:t>
      </w:r>
      <w:r w:rsidR="006E6446" w:rsidRPr="00392E88">
        <w:t xml:space="preserve"> o</w:t>
      </w:r>
      <w:r w:rsidR="006E6446">
        <w:t> </w:t>
      </w:r>
      <w:r w:rsidR="006E6446" w:rsidRPr="00392E88">
        <w:t>któ</w:t>
      </w:r>
      <w:r w:rsidRPr="00392E88">
        <w:t>rym mowa</w:t>
      </w:r>
      <w:r w:rsidR="006E6446" w:rsidRPr="00392E88">
        <w:t xml:space="preserve"> w</w:t>
      </w:r>
      <w:r w:rsidR="006E6446">
        <w:t> </w:t>
      </w:r>
      <w:r w:rsidR="006E6446" w:rsidRPr="006E6446">
        <w:t>art</w:t>
      </w:r>
      <w:r w:rsidRPr="006E6446">
        <w:t>.</w:t>
      </w:r>
      <w:r w:rsidR="006E6446" w:rsidRPr="006E6446">
        <w:t> </w:t>
      </w:r>
      <w:r w:rsidRPr="006E6446">
        <w:t>3</w:t>
      </w:r>
      <w:r w:rsidRPr="00392E88">
        <w:t>1 tej dyrektywy, ponieważ wspólne wykonywanie obowiązków</w:t>
      </w:r>
      <w:r w:rsidR="006E6446" w:rsidRPr="00392E88">
        <w:t xml:space="preserve"> w</w:t>
      </w:r>
      <w:r w:rsidR="006E6446">
        <w:t> </w:t>
      </w:r>
      <w:r w:rsidR="006E6446" w:rsidRPr="00392E88">
        <w:t>tyc</w:t>
      </w:r>
      <w:r w:rsidRPr="00392E88">
        <w:t>h przypadkach wynika ze struktury instytucjonalnej IORP określonej</w:t>
      </w:r>
      <w:r w:rsidR="006E6446" w:rsidRPr="00392E88">
        <w:t xml:space="preserve"> w</w:t>
      </w:r>
      <w:r w:rsidR="006E6446">
        <w:t> </w:t>
      </w:r>
      <w:r w:rsidR="006E6446" w:rsidRPr="00392E88">
        <w:t>pra</w:t>
      </w:r>
      <w:r w:rsidRPr="00392E88">
        <w:t>wie krajowym,</w:t>
      </w:r>
      <w:r w:rsidR="006E6446" w:rsidRPr="00392E88">
        <w:t xml:space="preserve"> a</w:t>
      </w:r>
      <w:r w:rsidR="006E6446">
        <w:t> </w:t>
      </w:r>
      <w:r w:rsidR="006E6446" w:rsidRPr="00392E88">
        <w:t>nie z</w:t>
      </w:r>
      <w:r w:rsidR="006E6446">
        <w:t> </w:t>
      </w:r>
      <w:r w:rsidR="006E6446" w:rsidRPr="00392E88">
        <w:t>umo</w:t>
      </w:r>
      <w:r w:rsidRPr="00392E88">
        <w:t xml:space="preserve">wnego outsourcingu funkcji. Państwa członkowskie powinny również zapewnić, aby aktywa IORP były prawnie oddzielone od aktywów upoważnionych podmiotów obsługujących te instytucje. </w:t>
      </w:r>
    </w:p>
    <w:p w14:paraId="4E195C8F" w14:textId="36A7745B" w:rsidR="002261E4" w:rsidRPr="00392E88" w:rsidRDefault="00CE430A" w:rsidP="00B973F1">
      <w:pPr>
        <w:pStyle w:val="ManualConsidrant"/>
      </w:pPr>
      <w:r>
        <w:t>(13)</w:t>
      </w:r>
      <w:r>
        <w:tab/>
      </w:r>
      <w:r w:rsidRPr="00392E88">
        <w:t>Ustalenie, czy instytucja kwalifikuje się jako IORP, powinno zależeć od prowadzonej działalności, niezależnie od jej formy prawnej lub wyznaczenia na mocy prawa krajowego</w:t>
      </w:r>
      <w:r w:rsidR="006E6446" w:rsidRPr="00392E88">
        <w:t>. W</w:t>
      </w:r>
      <w:r w:rsidR="006E6446">
        <w:t> </w:t>
      </w:r>
      <w:r w:rsidR="006E6446" w:rsidRPr="00392E88">
        <w:t>kil</w:t>
      </w:r>
      <w:r w:rsidRPr="00392E88">
        <w:t>ku państwach członkowskich świadczenia emerytalne związane</w:t>
      </w:r>
      <w:r w:rsidR="006E6446" w:rsidRPr="00392E88">
        <w:t xml:space="preserve"> z</w:t>
      </w:r>
      <w:r w:rsidR="006E6446">
        <w:t> </w:t>
      </w:r>
      <w:r w:rsidR="006E6446" w:rsidRPr="00392E88">
        <w:t>zat</w:t>
      </w:r>
      <w:r w:rsidRPr="00392E88">
        <w:t>rudnieniem są oferowane przez instytucje finansowane, które są wyłączone</w:t>
      </w:r>
      <w:r w:rsidR="006E6446" w:rsidRPr="00392E88">
        <w:t xml:space="preserve"> z</w:t>
      </w:r>
      <w:r w:rsidR="006E6446">
        <w:t> </w:t>
      </w:r>
      <w:r w:rsidR="006E6446" w:rsidRPr="00392E88">
        <w:t>zak</w:t>
      </w:r>
      <w:r w:rsidRPr="00392E88">
        <w:t>resu stosowania dyrektywy (UE) 2016/2341 zgodnie</w:t>
      </w:r>
      <w:r w:rsidR="006E6446" w:rsidRPr="00392E88">
        <w:t xml:space="preserve"> z</w:t>
      </w:r>
      <w:r w:rsidR="006E6446">
        <w:t> </w:t>
      </w:r>
      <w:r w:rsidR="006E6446" w:rsidRPr="00392E88">
        <w:t>jej</w:t>
      </w:r>
      <w:r w:rsidRPr="00392E88">
        <w:t xml:space="preserve"> </w:t>
      </w:r>
      <w:r w:rsidRPr="006E6446">
        <w:t>art.</w:t>
      </w:r>
      <w:r w:rsidR="006E6446" w:rsidRPr="006E6446">
        <w:t> </w:t>
      </w:r>
      <w:r w:rsidRPr="006E6446">
        <w:t>2</w:t>
      </w:r>
      <w:r w:rsidRPr="00392E88">
        <w:t xml:space="preserve"> </w:t>
      </w:r>
      <w:r w:rsidRPr="006E6446">
        <w:t>ust.</w:t>
      </w:r>
      <w:r w:rsidR="006E6446" w:rsidRPr="006E6446">
        <w:t> </w:t>
      </w:r>
      <w:r w:rsidRPr="006E6446">
        <w:t>2</w:t>
      </w:r>
      <w:r w:rsidRPr="00392E88">
        <w:t xml:space="preserve"> lub</w:t>
      </w:r>
      <w:r w:rsidR="006E6446" w:rsidRPr="00392E88">
        <w:t xml:space="preserve"> w</w:t>
      </w:r>
      <w:r w:rsidR="006E6446">
        <w:t> </w:t>
      </w:r>
      <w:r w:rsidR="006E6446" w:rsidRPr="00392E88">
        <w:t>inn</w:t>
      </w:r>
      <w:r w:rsidRPr="00392E88">
        <w:t>y sposób nie są objęte tą dyrektywą</w:t>
      </w:r>
      <w:r w:rsidR="006E6446" w:rsidRPr="00392E88">
        <w:t xml:space="preserve"> i</w:t>
      </w:r>
      <w:r w:rsidR="006E6446">
        <w:t> </w:t>
      </w:r>
      <w:r w:rsidR="006E6446" w:rsidRPr="00392E88">
        <w:t>nie</w:t>
      </w:r>
      <w:r w:rsidRPr="00392E88">
        <w:t xml:space="preserve"> podlegają żadnym innym przepisom ostrożnościowym Unii. Niektóre</w:t>
      </w:r>
      <w:r w:rsidR="006E6446" w:rsidRPr="00392E88">
        <w:t xml:space="preserve"> z</w:t>
      </w:r>
      <w:r w:rsidR="006E6446">
        <w:t> </w:t>
      </w:r>
      <w:r w:rsidR="006E6446" w:rsidRPr="00392E88">
        <w:t>tyc</w:t>
      </w:r>
      <w:r w:rsidRPr="00392E88">
        <w:t>h instytucji są już objęte rozporządzeniem Europejskiego Banku Centralnego (UE) 2018/231</w:t>
      </w:r>
      <w:r w:rsidRPr="00392E88">
        <w:rPr>
          <w:rStyle w:val="FootnoteReference"/>
        </w:rPr>
        <w:footnoteReference w:id="31"/>
      </w:r>
      <w:r w:rsidR="006E6446" w:rsidRPr="00392E88">
        <w:t xml:space="preserve"> w</w:t>
      </w:r>
      <w:r w:rsidR="006E6446">
        <w:t> </w:t>
      </w:r>
      <w:r w:rsidR="006E6446" w:rsidRPr="00392E88">
        <w:t>spr</w:t>
      </w:r>
      <w:r w:rsidRPr="00392E88">
        <w:t>awie wymogów sprawozdawczości statystycznej</w:t>
      </w:r>
      <w:r w:rsidR="006E6446" w:rsidRPr="00392E88">
        <w:t xml:space="preserve"> w</w:t>
      </w:r>
      <w:r w:rsidR="006E6446">
        <w:t> </w:t>
      </w:r>
      <w:r w:rsidR="006E6446" w:rsidRPr="00392E88">
        <w:t>odn</w:t>
      </w:r>
      <w:r w:rsidRPr="00392E88">
        <w:t>iesieniu do funduszy emerytalno-rentowych, co odzwierciedla ich znaczenie gospodarcze oraz potrzebę kompleksowych</w:t>
      </w:r>
      <w:r w:rsidR="006E6446" w:rsidRPr="00392E88">
        <w:t xml:space="preserve"> i</w:t>
      </w:r>
      <w:r w:rsidR="006E6446">
        <w:t> </w:t>
      </w:r>
      <w:r w:rsidR="006E6446" w:rsidRPr="00392E88">
        <w:t>spó</w:t>
      </w:r>
      <w:r w:rsidRPr="00392E88">
        <w:t>jnych informacji we wszystkich rodzajach towarzystw emerytalno-rentowych. Łącznie takie instytucje wyłączone</w:t>
      </w:r>
      <w:r w:rsidR="006E6446" w:rsidRPr="00392E88">
        <w:t xml:space="preserve"> z</w:t>
      </w:r>
      <w:r w:rsidR="006E6446">
        <w:t> </w:t>
      </w:r>
      <w:r w:rsidR="006E6446" w:rsidRPr="00392E88">
        <w:t>zak</w:t>
      </w:r>
      <w:r w:rsidRPr="00392E88">
        <w:t>resu stosowania dyrektywy (UE) 2016/2341 posiadają znaczne aktywa</w:t>
      </w:r>
      <w:r w:rsidR="006E6446" w:rsidRPr="00392E88">
        <w:t xml:space="preserve"> i</w:t>
      </w:r>
      <w:r w:rsidR="006E6446">
        <w:t> </w:t>
      </w:r>
      <w:r w:rsidR="006E6446" w:rsidRPr="00392E88">
        <w:t>wra</w:t>
      </w:r>
      <w:r w:rsidRPr="00392E88">
        <w:t>z z IORP stanowią ważny element ogólnego krajobrazu emerytalnego związanego</w:t>
      </w:r>
      <w:r w:rsidR="006E6446" w:rsidRPr="00392E88">
        <w:t xml:space="preserve"> z</w:t>
      </w:r>
      <w:r w:rsidR="006E6446">
        <w:t> </w:t>
      </w:r>
      <w:r w:rsidR="006E6446" w:rsidRPr="00392E88">
        <w:t>zat</w:t>
      </w:r>
      <w:r w:rsidRPr="00392E88">
        <w:t>rudnieniem. Ze względu na ich skalę</w:t>
      </w:r>
      <w:r w:rsidR="006E6446" w:rsidRPr="00392E88">
        <w:t xml:space="preserve"> i</w:t>
      </w:r>
      <w:r w:rsidR="006E6446">
        <w:t> </w:t>
      </w:r>
      <w:r w:rsidR="006E6446" w:rsidRPr="00392E88">
        <w:t>zna</w:t>
      </w:r>
      <w:r w:rsidRPr="00392E88">
        <w:t>czenie dla stabilności finansowej</w:t>
      </w:r>
      <w:r w:rsidR="006E6446" w:rsidRPr="00392E88">
        <w:t xml:space="preserve"> i</w:t>
      </w:r>
      <w:r w:rsidR="006E6446">
        <w:t> </w:t>
      </w:r>
      <w:r w:rsidR="006E6446" w:rsidRPr="00392E88">
        <w:t>ade</w:t>
      </w:r>
      <w:r w:rsidRPr="00392E88">
        <w:t>kwatności emerytur ważne jest, aby państwa członkowskie zapewniły, by wszystkie instytucje zarządzające oszczędnościami emerytalnymi, zarówno pracowniczymi, jak</w:t>
      </w:r>
      <w:r w:rsidR="006E6446" w:rsidRPr="00392E88">
        <w:t xml:space="preserve"> i</w:t>
      </w:r>
      <w:r w:rsidR="006E6446">
        <w:t> </w:t>
      </w:r>
      <w:r w:rsidR="006E6446" w:rsidRPr="00392E88">
        <w:t>ind</w:t>
      </w:r>
      <w:r w:rsidRPr="00392E88">
        <w:t>ywidualnymi, podlegały należytemu zarządzaniu, skutecznemu nadzorowi</w:t>
      </w:r>
      <w:r w:rsidR="006E6446" w:rsidRPr="00392E88">
        <w:t xml:space="preserve"> i</w:t>
      </w:r>
      <w:r w:rsidR="006E6446">
        <w:t> </w:t>
      </w:r>
      <w:r w:rsidR="006E6446" w:rsidRPr="00392E88">
        <w:t>wym</w:t>
      </w:r>
      <w:r w:rsidRPr="00392E88">
        <w:t>ogom ostrożnościowym współmiernym do charakteru</w:t>
      </w:r>
      <w:r w:rsidR="006E6446" w:rsidRPr="00392E88">
        <w:t xml:space="preserve"> i</w:t>
      </w:r>
      <w:r w:rsidR="006E6446">
        <w:t> </w:t>
      </w:r>
      <w:r w:rsidR="006E6446" w:rsidRPr="00392E88">
        <w:t>ska</w:t>
      </w:r>
      <w:r w:rsidRPr="00392E88">
        <w:t>li ponoszonego przez nie ryzyka</w:t>
      </w:r>
      <w:r w:rsidR="006E6446" w:rsidRPr="00392E88">
        <w:t>. W</w:t>
      </w:r>
      <w:r w:rsidR="006E6446">
        <w:t> </w:t>
      </w:r>
      <w:r w:rsidR="006E6446" w:rsidRPr="00392E88">
        <w:t>świ</w:t>
      </w:r>
      <w:r w:rsidRPr="00392E88">
        <w:t>etle solidnych ram przewidzianych</w:t>
      </w:r>
      <w:r w:rsidR="006E6446" w:rsidRPr="00392E88">
        <w:t xml:space="preserve"> w</w:t>
      </w:r>
      <w:r w:rsidR="006E6446">
        <w:t> </w:t>
      </w:r>
      <w:r w:rsidR="006E6446" w:rsidRPr="00392E88">
        <w:t>dyr</w:t>
      </w:r>
      <w:r w:rsidRPr="00392E88">
        <w:t>ektywie (UE) 2016/2341 oraz</w:t>
      </w:r>
      <w:r w:rsidR="006E6446" w:rsidRPr="00392E88">
        <w:t xml:space="preserve"> w</w:t>
      </w:r>
      <w:r w:rsidR="006E6446">
        <w:t> </w:t>
      </w:r>
      <w:r w:rsidR="006E6446" w:rsidRPr="00392E88">
        <w:t>cel</w:t>
      </w:r>
      <w:r w:rsidRPr="00392E88">
        <w:t>u promowania spójności praktyk nadzorczych, zapewnienia równych warunków działania</w:t>
      </w:r>
      <w:r w:rsidR="006E6446" w:rsidRPr="00392E88">
        <w:t xml:space="preserve"> i</w:t>
      </w:r>
      <w:r w:rsidR="006E6446">
        <w:t> </w:t>
      </w:r>
      <w:r w:rsidR="006E6446" w:rsidRPr="00392E88">
        <w:t>wys</w:t>
      </w:r>
      <w:r w:rsidRPr="00392E88">
        <w:t>okich standardów zarządzania</w:t>
      </w:r>
      <w:r w:rsidR="006E6446" w:rsidRPr="00392E88">
        <w:t xml:space="preserve"> i</w:t>
      </w:r>
      <w:r w:rsidR="006E6446">
        <w:t> </w:t>
      </w:r>
      <w:r w:rsidR="006E6446" w:rsidRPr="00392E88">
        <w:t>zar</w:t>
      </w:r>
      <w:r w:rsidRPr="00392E88">
        <w:t>ządzania ryzykiem we wszystkich formach świadczeń emerytalnych, przy jednoczesnym poszanowaniu różnorodności krajowych systemów emerytalnych</w:t>
      </w:r>
      <w:r w:rsidR="006E6446" w:rsidRPr="00392E88">
        <w:t xml:space="preserve"> i</w:t>
      </w:r>
      <w:r w:rsidR="006E6446">
        <w:t> </w:t>
      </w:r>
      <w:r w:rsidR="006E6446" w:rsidRPr="00392E88">
        <w:t>ist</w:t>
      </w:r>
      <w:r w:rsidRPr="00392E88">
        <w:t>niejących rozwiązań instytucjonalnych, państwa członkowskie powinny mieć możliwość stosowania tej dyrektywy do instytucji</w:t>
      </w:r>
      <w:r w:rsidR="006E6446" w:rsidRPr="00392E88">
        <w:t xml:space="preserve"> w</w:t>
      </w:r>
      <w:r w:rsidR="006E6446">
        <w:t> </w:t>
      </w:r>
      <w:r w:rsidR="006E6446" w:rsidRPr="00392E88">
        <w:t>inn</w:t>
      </w:r>
      <w:r w:rsidRPr="00392E88">
        <w:t>y sposób wyłączonych</w:t>
      </w:r>
      <w:r w:rsidR="006E6446" w:rsidRPr="00392E88">
        <w:t xml:space="preserve"> z</w:t>
      </w:r>
      <w:r w:rsidR="006E6446">
        <w:t> </w:t>
      </w:r>
      <w:r w:rsidR="006E6446" w:rsidRPr="00392E88">
        <w:t>jej</w:t>
      </w:r>
      <w:r w:rsidRPr="00392E88">
        <w:t xml:space="preserve"> zakresu</w:t>
      </w:r>
      <w:r w:rsidR="006E6446" w:rsidRPr="00392E88">
        <w:t xml:space="preserve"> i</w:t>
      </w:r>
      <w:r w:rsidR="006E6446">
        <w:t> </w:t>
      </w:r>
      <w:r w:rsidR="006E6446" w:rsidRPr="00392E88">
        <w:t>nie</w:t>
      </w:r>
      <w:r w:rsidRPr="00392E88">
        <w:t>objętych żadnymi innymi unijnymi ramami ostrożnościowymi. Jest to szczególnie istotne</w:t>
      </w:r>
      <w:r w:rsidR="006E6446" w:rsidRPr="00392E88">
        <w:t xml:space="preserve"> w</w:t>
      </w:r>
      <w:r w:rsidR="006E6446">
        <w:t> </w:t>
      </w:r>
      <w:r w:rsidR="006E6446" w:rsidRPr="00392E88">
        <w:t>prz</w:t>
      </w:r>
      <w:r w:rsidRPr="00392E88">
        <w:t>ypadku, gdy poziom świadczeń oferowanych uczestnikom</w:t>
      </w:r>
      <w:r w:rsidR="006E6446" w:rsidRPr="00392E88">
        <w:t xml:space="preserve"> i</w:t>
      </w:r>
      <w:r w:rsidR="006E6446">
        <w:t> </w:t>
      </w:r>
      <w:r w:rsidR="006E6446" w:rsidRPr="00392E88">
        <w:t>ben</w:t>
      </w:r>
      <w:r w:rsidRPr="00392E88">
        <w:t>eficjentom zależy od wyników instytucji</w:t>
      </w:r>
      <w:r w:rsidR="006E6446" w:rsidRPr="00392E88">
        <w:t xml:space="preserve"> w</w:t>
      </w:r>
      <w:r w:rsidR="006E6446">
        <w:t> </w:t>
      </w:r>
      <w:r w:rsidR="006E6446" w:rsidRPr="00392E88">
        <w:t>zar</w:t>
      </w:r>
      <w:r w:rsidRPr="00392E88">
        <w:t>ządzaniu aktywami</w:t>
      </w:r>
      <w:r w:rsidR="006E6446" w:rsidRPr="00392E88">
        <w:t xml:space="preserve"> i</w:t>
      </w:r>
      <w:r w:rsidR="006E6446">
        <w:t> </w:t>
      </w:r>
      <w:r w:rsidR="006E6446" w:rsidRPr="00392E88">
        <w:t>nie</w:t>
      </w:r>
      <w:r w:rsidRPr="00392E88">
        <w:t xml:space="preserve"> jest gwarantowany przez organ publiczny. Państwa członkowskie powinny powiadomić Komisję</w:t>
      </w:r>
      <w:r w:rsidR="006E6446" w:rsidRPr="00392E88">
        <w:t xml:space="preserve"> i</w:t>
      </w:r>
      <w:r w:rsidR="006E6446">
        <w:t> </w:t>
      </w:r>
      <w:r w:rsidR="006E6446" w:rsidRPr="00392E88">
        <w:t>Eur</w:t>
      </w:r>
      <w:r w:rsidRPr="00392E88">
        <w:t>opejski Urząd Nadzoru Ubezpieczeń</w:t>
      </w:r>
      <w:r w:rsidR="006E6446" w:rsidRPr="00392E88">
        <w:t xml:space="preserve"> i</w:t>
      </w:r>
      <w:r w:rsidR="006E6446">
        <w:t> </w:t>
      </w:r>
      <w:r w:rsidR="006E6446" w:rsidRPr="00392E88">
        <w:t>Pra</w:t>
      </w:r>
      <w:r w:rsidRPr="00392E88">
        <w:t>cowniczych Programów Emerytalnych</w:t>
      </w:r>
      <w:r w:rsidR="006E6446" w:rsidRPr="00392E88">
        <w:t xml:space="preserve"> o</w:t>
      </w:r>
      <w:r w:rsidR="006E6446">
        <w:t> </w:t>
      </w:r>
      <w:r w:rsidR="006E6446" w:rsidRPr="00392E88">
        <w:t>sko</w:t>
      </w:r>
      <w:r w:rsidRPr="00392E88">
        <w:t>rzystaniu</w:t>
      </w:r>
      <w:r w:rsidR="006E6446" w:rsidRPr="00392E88">
        <w:t xml:space="preserve"> z</w:t>
      </w:r>
      <w:r w:rsidR="006E6446">
        <w:t> </w:t>
      </w:r>
      <w:r w:rsidR="006E6446" w:rsidRPr="00392E88">
        <w:t>tej</w:t>
      </w:r>
      <w:r w:rsidRPr="00392E88">
        <w:t xml:space="preserve"> możliwości.</w:t>
      </w:r>
    </w:p>
    <w:p w14:paraId="3E00C3D3" w14:textId="1799D059" w:rsidR="00D64D0D" w:rsidRPr="00392E88" w:rsidRDefault="00734070" w:rsidP="00305CCD">
      <w:pPr>
        <w:pStyle w:val="ManualConsidrant"/>
        <w:rPr>
          <w:b/>
          <w:bCs/>
        </w:rPr>
      </w:pPr>
      <w:r>
        <w:t>(14)</w:t>
      </w:r>
      <w:r>
        <w:tab/>
      </w:r>
      <w:r w:rsidRPr="00392E88">
        <w:t>W niektórych państwach członkowskich IORP mogą również mieć możliwość oferowania indywidualnych produktów emerytalnych,</w:t>
      </w:r>
      <w:r w:rsidR="006E6446" w:rsidRPr="00392E88">
        <w:t xml:space="preserve"> w</w:t>
      </w:r>
      <w:r w:rsidR="006E6446">
        <w:t> </w:t>
      </w:r>
      <w:r w:rsidR="006E6446" w:rsidRPr="00392E88">
        <w:t>tym</w:t>
      </w:r>
      <w:r w:rsidRPr="00392E88">
        <w:t xml:space="preserve"> ogólnoeuropejskiego indywidualnego produktu emerytalnego, co znajduje odzwierciedlenie</w:t>
      </w:r>
      <w:r w:rsidR="006E6446" w:rsidRPr="00392E88">
        <w:t xml:space="preserve"> w</w:t>
      </w:r>
      <w:r w:rsidR="006E6446">
        <w:t> </w:t>
      </w:r>
      <w:r w:rsidR="006E6446" w:rsidRPr="00392E88">
        <w:t>roz</w:t>
      </w:r>
      <w:r w:rsidRPr="00392E88">
        <w:t>porządzeniu Parlamentu Europejskiego</w:t>
      </w:r>
      <w:r w:rsidR="006E6446" w:rsidRPr="00392E88">
        <w:t xml:space="preserve"> i</w:t>
      </w:r>
      <w:r w:rsidR="006E6446">
        <w:t> </w:t>
      </w:r>
      <w:r w:rsidR="006E6446" w:rsidRPr="00392E88">
        <w:t>Rad</w:t>
      </w:r>
      <w:r w:rsidRPr="00392E88">
        <w:t>y (UE) 2019/1238</w:t>
      </w:r>
      <w:r w:rsidRPr="00392E88">
        <w:rPr>
          <w:rStyle w:val="FootnoteReference"/>
        </w:rPr>
        <w:footnoteReference w:id="32"/>
      </w:r>
      <w:r w:rsidRPr="00392E88">
        <w:t>. Aby zapewnić jasną</w:t>
      </w:r>
      <w:r w:rsidR="006E6446" w:rsidRPr="00392E88">
        <w:t xml:space="preserve"> i</w:t>
      </w:r>
      <w:r w:rsidR="006E6446">
        <w:t> </w:t>
      </w:r>
      <w:r w:rsidR="006E6446" w:rsidRPr="00392E88">
        <w:t>wła</w:t>
      </w:r>
      <w:r w:rsidRPr="00392E88">
        <w:t>ściwą organizację takiej działalności oraz spójny</w:t>
      </w:r>
      <w:r w:rsidR="006E6446" w:rsidRPr="00392E88">
        <w:t xml:space="preserve"> i</w:t>
      </w:r>
      <w:r w:rsidR="006E6446">
        <w:t> </w:t>
      </w:r>
      <w:r w:rsidR="006E6446" w:rsidRPr="00392E88">
        <w:t>sku</w:t>
      </w:r>
      <w:r w:rsidRPr="00392E88">
        <w:t>teczny nadzór</w:t>
      </w:r>
      <w:r w:rsidR="006E6446" w:rsidRPr="00392E88">
        <w:t xml:space="preserve"> w</w:t>
      </w:r>
      <w:r w:rsidR="006E6446">
        <w:t> </w:t>
      </w:r>
      <w:r w:rsidR="006E6446" w:rsidRPr="00392E88">
        <w:t>odn</w:t>
      </w:r>
      <w:r w:rsidRPr="00392E88">
        <w:t>iesieniu do różnych form świadczeń emerytalnych, należy to odzwierciedlić</w:t>
      </w:r>
      <w:r w:rsidR="006E6446" w:rsidRPr="00392E88">
        <w:t xml:space="preserve"> w</w:t>
      </w:r>
      <w:r w:rsidR="006E6446">
        <w:t> </w:t>
      </w:r>
      <w:r w:rsidR="006E6446" w:rsidRPr="00392E88">
        <w:t>dyr</w:t>
      </w:r>
      <w:r w:rsidRPr="00392E88">
        <w:t>ektywie (UE) 2016/2341.</w:t>
      </w:r>
    </w:p>
    <w:p w14:paraId="3E654261" w14:textId="489A8048" w:rsidR="008608CF" w:rsidRPr="00392E88" w:rsidRDefault="00FA7AEC" w:rsidP="008608CF">
      <w:pPr>
        <w:pStyle w:val="ManualConsidrant"/>
      </w:pPr>
      <w:r>
        <w:t>(15)</w:t>
      </w:r>
      <w:r>
        <w:tab/>
      </w:r>
      <w:r w:rsidRPr="00392E88">
        <w:t>Funkcjonowanie pracowniczych programów emerytalnych może zyskać dzięki zapewnieniu IORP większej elastyczności</w:t>
      </w:r>
      <w:r w:rsidR="006E6446" w:rsidRPr="00392E88">
        <w:t xml:space="preserve"> w</w:t>
      </w:r>
      <w:r w:rsidR="006E6446">
        <w:t> </w:t>
      </w:r>
      <w:r w:rsidR="006E6446" w:rsidRPr="00392E88">
        <w:t>zak</w:t>
      </w:r>
      <w:r w:rsidRPr="00392E88">
        <w:t>resie organizacji programów emerytalnych</w:t>
      </w:r>
      <w:r w:rsidR="006E6446" w:rsidRPr="00392E88">
        <w:t xml:space="preserve"> i</w:t>
      </w:r>
      <w:r w:rsidR="006E6446">
        <w:t> </w:t>
      </w:r>
      <w:r w:rsidR="006E6446" w:rsidRPr="00392E88">
        <w:t>ust</w:t>
      </w:r>
      <w:r w:rsidRPr="00392E88">
        <w:t>aleń dotyczących finansowania oraz zarządzania nimi</w:t>
      </w:r>
      <w:r w:rsidR="006E6446" w:rsidRPr="00392E88">
        <w:t>. W</w:t>
      </w:r>
      <w:r w:rsidR="006E6446">
        <w:t> </w:t>
      </w:r>
      <w:r w:rsidR="006E6446" w:rsidRPr="00392E88">
        <w:t>zwi</w:t>
      </w:r>
      <w:r w:rsidRPr="00392E88">
        <w:t>ązku</w:t>
      </w:r>
      <w:r w:rsidR="006E6446" w:rsidRPr="00392E88">
        <w:t xml:space="preserve"> z</w:t>
      </w:r>
      <w:r w:rsidR="006E6446">
        <w:t> </w:t>
      </w:r>
      <w:r w:rsidR="006E6446" w:rsidRPr="00392E88">
        <w:t>tym</w:t>
      </w:r>
      <w:r w:rsidRPr="00392E88">
        <w:t xml:space="preserve"> państwa członkowskie powinny zapewnić IORP możliwość obsługi różnych programów emerytalnych,</w:t>
      </w:r>
      <w:r w:rsidR="006E6446" w:rsidRPr="00392E88">
        <w:t xml:space="preserve"> w</w:t>
      </w:r>
      <w:r w:rsidR="006E6446">
        <w:t> </w:t>
      </w:r>
      <w:r w:rsidR="006E6446" w:rsidRPr="00392E88">
        <w:t>tym</w:t>
      </w:r>
      <w:r w:rsidRPr="00392E88">
        <w:t xml:space="preserve"> programów</w:t>
      </w:r>
      <w:r w:rsidR="006E6446" w:rsidRPr="00392E88">
        <w:t xml:space="preserve"> o</w:t>
      </w:r>
      <w:r w:rsidR="006E6446">
        <w:t> </w:t>
      </w:r>
      <w:r w:rsidR="006E6446" w:rsidRPr="00392E88">
        <w:t>róż</w:t>
      </w:r>
      <w:r w:rsidRPr="00392E88">
        <w:t>nej polityce inwestycyjnej, oraz przyjmowania finansowania ze strony wielu instytucji finansujących,</w:t>
      </w:r>
      <w:r w:rsidR="006E6446" w:rsidRPr="00392E88">
        <w:t xml:space="preserve"> w</w:t>
      </w:r>
      <w:r w:rsidR="006E6446">
        <w:t> </w:t>
      </w:r>
      <w:r w:rsidR="006E6446" w:rsidRPr="00392E88">
        <w:t>tym w</w:t>
      </w:r>
      <w:r w:rsidR="006E6446">
        <w:t> </w:t>
      </w:r>
      <w:r w:rsidR="006E6446" w:rsidRPr="00392E88">
        <w:t>ram</w:t>
      </w:r>
      <w:r w:rsidRPr="00392E88">
        <w:t>ach tego samego programu emerytalnego. Elastyczność ta może ułatwić osiągnięcie większej skali, zwiększając tym samym efektywność kosztową, dywersyfikację ryzyka</w:t>
      </w:r>
      <w:r w:rsidR="006E6446" w:rsidRPr="00392E88">
        <w:t xml:space="preserve"> i</w:t>
      </w:r>
      <w:r w:rsidR="006E6446">
        <w:t> </w:t>
      </w:r>
      <w:r w:rsidR="006E6446" w:rsidRPr="00392E88">
        <w:t>zdo</w:t>
      </w:r>
      <w:r w:rsidRPr="00392E88">
        <w:t>lność zarządzania,</w:t>
      </w:r>
      <w:r w:rsidR="006E6446" w:rsidRPr="00392E88">
        <w:t xml:space="preserve"> z</w:t>
      </w:r>
      <w:r w:rsidR="006E6446">
        <w:t> </w:t>
      </w:r>
      <w:r w:rsidR="006E6446" w:rsidRPr="00392E88">
        <w:t>kor</w:t>
      </w:r>
      <w:r w:rsidRPr="00392E88">
        <w:t>zyścią dla uczestników</w:t>
      </w:r>
      <w:r w:rsidR="006E6446" w:rsidRPr="00392E88">
        <w:t xml:space="preserve"> i</w:t>
      </w:r>
      <w:r w:rsidR="006E6446">
        <w:t> </w:t>
      </w:r>
      <w:r w:rsidR="006E6446" w:rsidRPr="00392E88">
        <w:t>ben</w:t>
      </w:r>
      <w:r w:rsidRPr="00392E88">
        <w:t>eficjentów.</w:t>
      </w:r>
    </w:p>
    <w:p w14:paraId="4DB05D14" w14:textId="722348E7" w:rsidR="00635C7D" w:rsidRPr="00392E88" w:rsidRDefault="00635C7D">
      <w:pPr>
        <w:pStyle w:val="ManualConsidrant"/>
      </w:pPr>
      <w:r>
        <w:t>(16)</w:t>
      </w:r>
      <w:r>
        <w:tab/>
      </w:r>
      <w:r w:rsidRPr="00392E88">
        <w:t>W dyrektywie (UE) 2016/2341 wprowadzono rozróżnienie między udzielaniem zezwoleń IORP</w:t>
      </w:r>
      <w:r w:rsidR="006E6446" w:rsidRPr="00392E88">
        <w:t xml:space="preserve"> a</w:t>
      </w:r>
      <w:r w:rsidR="006E6446">
        <w:t> </w:t>
      </w:r>
      <w:r w:rsidR="006E6446" w:rsidRPr="00392E88">
        <w:t>rej</w:t>
      </w:r>
      <w:r w:rsidRPr="00392E88">
        <w:t>estracją tych instytucji, ale nie zdefiniowano żadnego</w:t>
      </w:r>
      <w:r w:rsidR="006E6446" w:rsidRPr="00392E88">
        <w:t xml:space="preserve"> z</w:t>
      </w:r>
      <w:r w:rsidR="006E6446">
        <w:t> </w:t>
      </w:r>
      <w:r w:rsidR="006E6446" w:rsidRPr="00392E88">
        <w:t>tyc</w:t>
      </w:r>
      <w:r w:rsidRPr="00392E88">
        <w:t>h pojęć,</w:t>
      </w:r>
      <w:r w:rsidR="006E6446" w:rsidRPr="00392E88">
        <w:t xml:space="preserve"> a</w:t>
      </w:r>
      <w:r w:rsidR="006E6446">
        <w:t> </w:t>
      </w:r>
      <w:r w:rsidR="006E6446" w:rsidRPr="00392E88">
        <w:t>jed</w:t>
      </w:r>
      <w:r w:rsidRPr="00392E88">
        <w:t>nocześnie zobowiązano państwa członkowskie do prowadzenia krajowego rejestru IORP. Doprowadziło to do rozbieżnych praktyk nadzorczych,</w:t>
      </w:r>
      <w:r w:rsidR="006E6446" w:rsidRPr="00392E88">
        <w:t xml:space="preserve"> w</w:t>
      </w:r>
      <w:r w:rsidR="006E6446">
        <w:t> </w:t>
      </w:r>
      <w:r w:rsidR="006E6446" w:rsidRPr="00392E88">
        <w:t>tym w</w:t>
      </w:r>
      <w:r w:rsidR="006E6446">
        <w:t> </w:t>
      </w:r>
      <w:r w:rsidR="006E6446" w:rsidRPr="00392E88">
        <w:t>prz</w:t>
      </w:r>
      <w:r w:rsidRPr="00392E88">
        <w:t xml:space="preserve">ypadkach, gdy właściwe organy nie przeprowadzają oceny ostrożnościowej </w:t>
      </w:r>
      <w:r w:rsidRPr="00392E88">
        <w:rPr>
          <w:i/>
        </w:rPr>
        <w:t>ex ante</w:t>
      </w:r>
      <w:r w:rsidRPr="00392E88">
        <w:t xml:space="preserve"> lub,</w:t>
      </w:r>
      <w:r w:rsidR="006E6446" w:rsidRPr="00392E88">
        <w:t xml:space="preserve"> w</w:t>
      </w:r>
      <w:r w:rsidR="006E6446">
        <w:t> </w:t>
      </w:r>
      <w:r w:rsidR="006E6446" w:rsidRPr="00392E88">
        <w:t>nie</w:t>
      </w:r>
      <w:r w:rsidRPr="00392E88">
        <w:t>których przypadkach, gdy</w:t>
      </w:r>
      <w:r w:rsidR="006E6446" w:rsidRPr="00392E88">
        <w:t xml:space="preserve"> w</w:t>
      </w:r>
      <w:r w:rsidR="006E6446">
        <w:t> </w:t>
      </w:r>
      <w:r w:rsidR="006E6446" w:rsidRPr="00392E88">
        <w:t>ogó</w:t>
      </w:r>
      <w:r w:rsidRPr="00392E88">
        <w:t>le nie przeprowadza się oceny ostrożnościowej. Brak oceny ostrożnościowej</w:t>
      </w:r>
      <w:r w:rsidR="006E6446" w:rsidRPr="00392E88">
        <w:t xml:space="preserve"> w</w:t>
      </w:r>
      <w:r w:rsidR="006E6446">
        <w:t> </w:t>
      </w:r>
      <w:r w:rsidR="006E6446" w:rsidRPr="00392E88">
        <w:t>ram</w:t>
      </w:r>
      <w:r w:rsidRPr="00392E88">
        <w:t>ach procesu rejestracji lub udzielania zezwolenia może zagrozić prawidłowemu funkcjonowaniu rynku wewnętrznego oraz ochronie praw uczestników</w:t>
      </w:r>
      <w:r w:rsidR="006E6446" w:rsidRPr="00392E88">
        <w:t xml:space="preserve"> i</w:t>
      </w:r>
      <w:r w:rsidR="006E6446">
        <w:t> </w:t>
      </w:r>
      <w:r w:rsidR="006E6446" w:rsidRPr="00392E88">
        <w:t>ben</w:t>
      </w:r>
      <w:r w:rsidRPr="00392E88">
        <w:t>eficjentów. Aby uniknąć arbitrażu regulacyjnego</w:t>
      </w:r>
      <w:r w:rsidR="006E6446" w:rsidRPr="00392E88">
        <w:t xml:space="preserve"> i</w:t>
      </w:r>
      <w:r w:rsidR="006E6446">
        <w:t> </w:t>
      </w:r>
      <w:r w:rsidR="006E6446" w:rsidRPr="00392E88">
        <w:t>chr</w:t>
      </w:r>
      <w:r w:rsidRPr="00392E88">
        <w:t>onić interesy oszczędzających na emeryturę, wszystkie IORP powinny podlegać procedurze udzielania zezwoleń, która obejmuje odpowiednią ocenę ostrożnościową przeprowadzaną przez właściwy organ. Zgodnie</w:t>
      </w:r>
      <w:r w:rsidR="006E6446" w:rsidRPr="00392E88">
        <w:t xml:space="preserve"> z</w:t>
      </w:r>
      <w:r w:rsidR="006E6446">
        <w:t> </w:t>
      </w:r>
      <w:r w:rsidR="006E6446" w:rsidRPr="00392E88">
        <w:t>opi</w:t>
      </w:r>
      <w:r w:rsidRPr="00392E88">
        <w:t>nią techniczną EIOPA na potrzeby przeglądu dyrektywy IORP II oraz</w:t>
      </w:r>
      <w:r w:rsidR="006E6446" w:rsidRPr="00392E88">
        <w:t xml:space="preserve"> z</w:t>
      </w:r>
      <w:r w:rsidR="006E6446">
        <w:t> </w:t>
      </w:r>
      <w:r w:rsidR="006E6446" w:rsidRPr="00392E88">
        <w:t>wyt</w:t>
      </w:r>
      <w:r w:rsidRPr="00392E88">
        <w:t>ycznymi wykonawczymi do zalecenia OECD</w:t>
      </w:r>
      <w:r w:rsidR="006E6446" w:rsidRPr="00392E88">
        <w:t xml:space="preserve"> w</w:t>
      </w:r>
      <w:r w:rsidR="006E6446">
        <w:t> </w:t>
      </w:r>
      <w:r w:rsidR="006E6446" w:rsidRPr="00392E88">
        <w:t>spr</w:t>
      </w:r>
      <w:r w:rsidRPr="00392E88">
        <w:t>awie podstawowych zasad regulacji emerytur prywatnych</w:t>
      </w:r>
      <w:r w:rsidR="006E6446" w:rsidRPr="00392E88">
        <w:t xml:space="preserve"> w</w:t>
      </w:r>
      <w:r w:rsidR="006E6446">
        <w:t> </w:t>
      </w:r>
      <w:r w:rsidR="006E6446" w:rsidRPr="00392E88">
        <w:t>pro</w:t>
      </w:r>
      <w:r w:rsidRPr="00392E88">
        <w:t>cesie udzielania zezwoleń należy również zobowiązać IORP do opracowania</w:t>
      </w:r>
      <w:r w:rsidR="006E6446" w:rsidRPr="00392E88">
        <w:t xml:space="preserve"> i</w:t>
      </w:r>
      <w:r w:rsidR="006E6446">
        <w:t> </w:t>
      </w:r>
      <w:r w:rsidR="006E6446" w:rsidRPr="00392E88">
        <w:t>pro</w:t>
      </w:r>
      <w:r w:rsidRPr="00392E88">
        <w:t>wadzenia biznesplanu</w:t>
      </w:r>
      <w:r w:rsidR="006E6446" w:rsidRPr="00392E88">
        <w:t xml:space="preserve"> w</w:t>
      </w:r>
      <w:r w:rsidR="006E6446">
        <w:t> </w:t>
      </w:r>
      <w:r w:rsidR="006E6446" w:rsidRPr="00392E88">
        <w:t>odn</w:t>
      </w:r>
      <w:r w:rsidRPr="00392E88">
        <w:t>iesieniu do wszystkich planowanych rodzajów działalności.</w:t>
      </w:r>
    </w:p>
    <w:p w14:paraId="01EF99F1" w14:textId="563E556C" w:rsidR="000A400D" w:rsidRPr="00392E88" w:rsidRDefault="00853775" w:rsidP="00D00B5B">
      <w:pPr>
        <w:pStyle w:val="ManualConsidrant"/>
        <w:rPr>
          <w:b/>
          <w:bCs/>
        </w:rPr>
      </w:pPr>
      <w:r>
        <w:t>(17)</w:t>
      </w:r>
      <w:r>
        <w:tab/>
      </w:r>
      <w:r w:rsidRPr="00392E88">
        <w:t>Aby zwiększyć skuteczność</w:t>
      </w:r>
      <w:r w:rsidR="006E6446" w:rsidRPr="00392E88">
        <w:t xml:space="preserve"> i</w:t>
      </w:r>
      <w:r w:rsidR="006E6446">
        <w:t> </w:t>
      </w:r>
      <w:r w:rsidR="006E6446" w:rsidRPr="00392E88">
        <w:t>ela</w:t>
      </w:r>
      <w:r w:rsidRPr="00392E88">
        <w:t>styczność pracowniczych programów emerytalnych,</w:t>
      </w:r>
      <w:r w:rsidR="006E6446" w:rsidRPr="00392E88">
        <w:t xml:space="preserve"> a</w:t>
      </w:r>
      <w:r w:rsidR="006E6446">
        <w:t> </w:t>
      </w:r>
      <w:r w:rsidR="006E6446" w:rsidRPr="00392E88">
        <w:t>tak</w:t>
      </w:r>
      <w:r w:rsidRPr="00392E88">
        <w:t>że korzyści skali, IORP powinny mieć możliwość prowadzenia kilku programów emerytalnych,</w:t>
      </w:r>
      <w:r w:rsidR="006E6446" w:rsidRPr="00392E88">
        <w:t xml:space="preserve"> w</w:t>
      </w:r>
      <w:r w:rsidR="006E6446">
        <w:t> </w:t>
      </w:r>
      <w:r w:rsidR="006E6446" w:rsidRPr="00392E88">
        <w:t>tym</w:t>
      </w:r>
      <w:r w:rsidRPr="00392E88">
        <w:t xml:space="preserve"> programów</w:t>
      </w:r>
      <w:r w:rsidR="006E6446" w:rsidRPr="00392E88">
        <w:t xml:space="preserve"> o</w:t>
      </w:r>
      <w:r w:rsidR="006E6446">
        <w:t> </w:t>
      </w:r>
      <w:r w:rsidR="006E6446" w:rsidRPr="00392E88">
        <w:t>róż</w:t>
      </w:r>
      <w:r w:rsidRPr="00392E88">
        <w:t>nych podejściach inwestycyjnych, oraz akceptowania finansowania przez kilka instytucji</w:t>
      </w:r>
      <w:r w:rsidR="006E6446" w:rsidRPr="00392E88">
        <w:t xml:space="preserve"> w</w:t>
      </w:r>
      <w:r w:rsidR="006E6446">
        <w:t> </w:t>
      </w:r>
      <w:r w:rsidR="006E6446" w:rsidRPr="00392E88">
        <w:t>ram</w:t>
      </w:r>
      <w:r w:rsidRPr="00392E88">
        <w:t>ach tego samego programu, przy jednoczesnym zapewnieniu właściwego zarządzania oraz ochrony uczestników</w:t>
      </w:r>
      <w:r w:rsidR="006E6446" w:rsidRPr="00392E88">
        <w:t xml:space="preserve"> i</w:t>
      </w:r>
      <w:r w:rsidR="006E6446">
        <w:t> </w:t>
      </w:r>
      <w:r w:rsidR="006E6446" w:rsidRPr="00392E88">
        <w:t>ben</w:t>
      </w:r>
      <w:r w:rsidRPr="00392E88">
        <w:t>eficjentów.</w:t>
      </w:r>
    </w:p>
    <w:p w14:paraId="5FF16593" w14:textId="51DA7653" w:rsidR="001D38BE" w:rsidRPr="00392E88" w:rsidRDefault="00945435" w:rsidP="00D00B5B">
      <w:pPr>
        <w:pStyle w:val="ManualConsidrant"/>
        <w:rPr>
          <w:b/>
          <w:bCs/>
        </w:rPr>
      </w:pPr>
      <w:r>
        <w:t>(18)</w:t>
      </w:r>
      <w:r>
        <w:tab/>
      </w:r>
      <w:r w:rsidRPr="00392E88">
        <w:t>Doświadczenia związane</w:t>
      </w:r>
      <w:r w:rsidR="006E6446" w:rsidRPr="00392E88">
        <w:t xml:space="preserve"> z</w:t>
      </w:r>
      <w:r w:rsidR="006E6446">
        <w:t> </w:t>
      </w:r>
      <w:r w:rsidR="006E6446" w:rsidRPr="00392E88">
        <w:t>fun</w:t>
      </w:r>
      <w:r w:rsidRPr="00392E88">
        <w:t>kcjonowaniem dyrektywy (UE) 2016/2341 pokazały, że procedury regulujące udzielanie zezwoleń IORP</w:t>
      </w:r>
      <w:r w:rsidR="006E6446" w:rsidRPr="00392E88">
        <w:t xml:space="preserve"> i</w:t>
      </w:r>
      <w:r w:rsidR="006E6446">
        <w:t> </w:t>
      </w:r>
      <w:r w:rsidR="006E6446" w:rsidRPr="00392E88">
        <w:t>nad</w:t>
      </w:r>
      <w:r w:rsidRPr="00392E88">
        <w:t>zór nad nimi,</w:t>
      </w:r>
      <w:r w:rsidR="006E6446" w:rsidRPr="00392E88">
        <w:t xml:space="preserve"> w</w:t>
      </w:r>
      <w:r w:rsidR="006E6446">
        <w:t> </w:t>
      </w:r>
      <w:r w:rsidR="006E6446" w:rsidRPr="00392E88">
        <w:t>szc</w:t>
      </w:r>
      <w:r w:rsidRPr="00392E88">
        <w:t>zególności</w:t>
      </w:r>
      <w:r w:rsidR="006E6446" w:rsidRPr="00392E88">
        <w:t xml:space="preserve"> w</w:t>
      </w:r>
      <w:r w:rsidR="006E6446">
        <w:t> </w:t>
      </w:r>
      <w:r w:rsidR="006E6446" w:rsidRPr="00392E88">
        <w:t>kon</w:t>
      </w:r>
      <w:r w:rsidRPr="00392E88">
        <w:t>tekście działalności transgranicznej, mogą powodować opóźnienia</w:t>
      </w:r>
      <w:r w:rsidR="006E6446" w:rsidRPr="00392E88">
        <w:t xml:space="preserve"> i</w:t>
      </w:r>
      <w:r w:rsidR="006E6446">
        <w:t> </w:t>
      </w:r>
      <w:r w:rsidR="006E6446" w:rsidRPr="00392E88">
        <w:t>nie</w:t>
      </w:r>
      <w:r w:rsidRPr="00392E88">
        <w:t>spójności</w:t>
      </w:r>
      <w:r w:rsidR="006E6446" w:rsidRPr="00392E88">
        <w:t xml:space="preserve"> w</w:t>
      </w:r>
      <w:r w:rsidR="006E6446">
        <w:t> </w:t>
      </w:r>
      <w:r w:rsidR="006E6446" w:rsidRPr="00392E88">
        <w:t>pań</w:t>
      </w:r>
      <w:r w:rsidRPr="00392E88">
        <w:t>stwach członkowskich, co może zniechęcać IORP do podejmowania lub rozszerzania działalności transgranicznej.</w:t>
      </w:r>
      <w:r w:rsidRPr="00392E88">
        <w:rPr>
          <w:b/>
        </w:rPr>
        <w:t xml:space="preserve"> </w:t>
      </w:r>
      <w:r w:rsidRPr="00392E88">
        <w:t>Aby poprawić funkcjonowanie IORP</w:t>
      </w:r>
      <w:r w:rsidR="006E6446" w:rsidRPr="00392E88">
        <w:t xml:space="preserve"> i</w:t>
      </w:r>
      <w:r w:rsidR="006E6446">
        <w:t> </w:t>
      </w:r>
      <w:r w:rsidR="006E6446" w:rsidRPr="00392E88">
        <w:t>nad</w:t>
      </w:r>
      <w:r w:rsidRPr="00392E88">
        <w:t>zór nad ich działalnością transgraniczną, należy zatem opracować</w:t>
      </w:r>
      <w:r w:rsidR="006E6446" w:rsidRPr="00392E88">
        <w:t xml:space="preserve"> i</w:t>
      </w:r>
      <w:r w:rsidR="006E6446">
        <w:t> </w:t>
      </w:r>
      <w:r w:rsidR="006E6446" w:rsidRPr="00392E88">
        <w:t>usp</w:t>
      </w:r>
      <w:r w:rsidRPr="00392E88">
        <w:t>rawnić kroki proceduralne</w:t>
      </w:r>
      <w:r w:rsidR="006E6446" w:rsidRPr="00392E88">
        <w:t xml:space="preserve"> w</w:t>
      </w:r>
      <w:r w:rsidR="006E6446">
        <w:t> </w:t>
      </w:r>
      <w:r w:rsidR="006E6446" w:rsidRPr="00392E88">
        <w:t>zak</w:t>
      </w:r>
      <w:r w:rsidRPr="00392E88">
        <w:t>resie udzielania zezwoleń</w:t>
      </w:r>
      <w:r w:rsidR="006E6446" w:rsidRPr="00392E88">
        <w:t xml:space="preserve"> i</w:t>
      </w:r>
      <w:r w:rsidR="006E6446">
        <w:t> </w:t>
      </w:r>
      <w:r w:rsidR="006E6446" w:rsidRPr="00392E88">
        <w:t>dzi</w:t>
      </w:r>
      <w:r w:rsidRPr="00392E88">
        <w:t>ałalności transgranicznej. Należy doprecyzować terminy oraz przyspieszyć wymianę informacji między właściwymi organami rodzimego państwa członkowskiego</w:t>
      </w:r>
      <w:r w:rsidR="006E6446" w:rsidRPr="00392E88">
        <w:t xml:space="preserve"> i</w:t>
      </w:r>
      <w:r w:rsidR="006E6446">
        <w:t> </w:t>
      </w:r>
      <w:r w:rsidR="006E6446" w:rsidRPr="00392E88">
        <w:t>prz</w:t>
      </w:r>
      <w:r w:rsidRPr="00392E88">
        <w:t>yjmującego państwa członkowskiego, co umożliwi ściślejszą koordynację,</w:t>
      </w:r>
      <w:r w:rsidR="006E6446" w:rsidRPr="00392E88">
        <w:t xml:space="preserve"> w</w:t>
      </w:r>
      <w:r w:rsidR="006E6446">
        <w:t> </w:t>
      </w:r>
      <w:r w:rsidR="006E6446" w:rsidRPr="00392E88">
        <w:t>tym</w:t>
      </w:r>
      <w:r w:rsidRPr="00392E88">
        <w:t>,</w:t>
      </w:r>
      <w:r w:rsidR="006E6446" w:rsidRPr="00392E88">
        <w:t xml:space="preserve"> w</w:t>
      </w:r>
      <w:r w:rsidR="006E6446">
        <w:t> </w:t>
      </w:r>
      <w:r w:rsidR="006E6446" w:rsidRPr="00392E88">
        <w:t>sto</w:t>
      </w:r>
      <w:r w:rsidRPr="00392E88">
        <w:t>sownych przypadkach, przez zaangażowanie Europejskiego Urzędu Nadzoru Ubezpieczeń</w:t>
      </w:r>
      <w:r w:rsidR="006E6446" w:rsidRPr="00392E88">
        <w:t xml:space="preserve"> i</w:t>
      </w:r>
      <w:r w:rsidR="006E6446">
        <w:t> </w:t>
      </w:r>
      <w:r w:rsidR="006E6446" w:rsidRPr="00392E88">
        <w:t>Pra</w:t>
      </w:r>
      <w:r w:rsidRPr="00392E88">
        <w:t>cowniczych Programów Emerytalnych („EIOPA”).</w:t>
      </w:r>
    </w:p>
    <w:p w14:paraId="4AD2ACFE" w14:textId="484D7F65" w:rsidR="00D65C66" w:rsidRPr="00392E88" w:rsidRDefault="00C17914" w:rsidP="0071494D">
      <w:pPr>
        <w:pStyle w:val="ManualConsidrant"/>
        <w:rPr>
          <w:b/>
          <w:bCs/>
        </w:rPr>
      </w:pPr>
      <w:r>
        <w:t>(19)</w:t>
      </w:r>
      <w:r>
        <w:tab/>
      </w:r>
      <w:r w:rsidRPr="00392E88">
        <w:t>Nakładanie na IORP, która prowadzi działalność transgraniczną</w:t>
      </w:r>
      <w:r w:rsidR="006E6446" w:rsidRPr="00392E88">
        <w:t xml:space="preserve"> w</w:t>
      </w:r>
      <w:r w:rsidR="006E6446">
        <w:t> </w:t>
      </w:r>
      <w:r w:rsidR="006E6446" w:rsidRPr="00392E88">
        <w:t>prz</w:t>
      </w:r>
      <w:r w:rsidRPr="00392E88">
        <w:t>yjmującym państwie członkowskim, pełnych wstępnych procedur transgranicznych jest niepotrzebnie uciążliwe, jeżeli taka IORP chce rozszerzyć tę działalność na dodatkowe instytucje finansujące lub programy</w:t>
      </w:r>
      <w:r w:rsidR="006E6446" w:rsidRPr="00392E88">
        <w:t xml:space="preserve"> w</w:t>
      </w:r>
      <w:r w:rsidR="006E6446">
        <w:t> </w:t>
      </w:r>
      <w:r w:rsidR="006E6446" w:rsidRPr="00392E88">
        <w:t>tym</w:t>
      </w:r>
      <w:r w:rsidRPr="00392E88">
        <w:t xml:space="preserve"> samym przyjmującym państwie członkowskim. Takie podejście mogłoby prowadzić do powielania procedur, wzrostu kosztów administracyjnych</w:t>
      </w:r>
      <w:r w:rsidR="006E6446" w:rsidRPr="00392E88">
        <w:t xml:space="preserve"> i</w:t>
      </w:r>
      <w:r w:rsidR="006E6446">
        <w:t> </w:t>
      </w:r>
      <w:r w:rsidR="006E6446" w:rsidRPr="00392E88">
        <w:t>opó</w:t>
      </w:r>
      <w:r w:rsidRPr="00392E88">
        <w:t>źnień, bez poprawy ochrony uczestników</w:t>
      </w:r>
      <w:r w:rsidR="006E6446" w:rsidRPr="00392E88">
        <w:t xml:space="preserve"> i</w:t>
      </w:r>
      <w:r w:rsidR="006E6446">
        <w:t> </w:t>
      </w:r>
      <w:r w:rsidR="006E6446" w:rsidRPr="00392E88">
        <w:t>ben</w:t>
      </w:r>
      <w:r w:rsidRPr="00392E88">
        <w:t>eficjentów. Aby ułatwić proporcjonalny</w:t>
      </w:r>
      <w:r w:rsidR="006E6446" w:rsidRPr="00392E88">
        <w:t xml:space="preserve"> i</w:t>
      </w:r>
      <w:r w:rsidR="006E6446">
        <w:t> </w:t>
      </w:r>
      <w:r w:rsidR="006E6446" w:rsidRPr="00392E88">
        <w:t>sku</w:t>
      </w:r>
      <w:r w:rsidRPr="00392E88">
        <w:t>teczny nadzór oraz zapewnić skuteczną współpracę między właściwymi organami rodzimego państwa członkowskiego</w:t>
      </w:r>
      <w:r w:rsidR="006E6446" w:rsidRPr="00392E88">
        <w:t xml:space="preserve"> i</w:t>
      </w:r>
      <w:r w:rsidR="006E6446">
        <w:t> </w:t>
      </w:r>
      <w:r w:rsidR="006E6446" w:rsidRPr="00392E88">
        <w:t>prz</w:t>
      </w:r>
      <w:r w:rsidRPr="00392E88">
        <w:t>yjmującego państwa członkowskiego, takie rozszerzenia powinny podlegać uproszczonej procedurze powiadamiania, którą należy przeprowadzić</w:t>
      </w:r>
      <w:r w:rsidR="006E6446" w:rsidRPr="00392E88">
        <w:t xml:space="preserve"> w</w:t>
      </w:r>
      <w:r w:rsidR="006E6446">
        <w:t> </w:t>
      </w:r>
      <w:r w:rsidR="006E6446" w:rsidRPr="00392E88">
        <w:t>ter</w:t>
      </w:r>
      <w:r w:rsidRPr="00392E88">
        <w:t>minie jednego miesiąca. Harmonogram ten zapewnia właściwym organom możliwość prowadzenia niezbędnej koordynacji</w:t>
      </w:r>
      <w:r w:rsidR="006E6446" w:rsidRPr="00392E88">
        <w:t xml:space="preserve"> i</w:t>
      </w:r>
      <w:r w:rsidR="006E6446">
        <w:t> </w:t>
      </w:r>
      <w:r w:rsidR="006E6446" w:rsidRPr="00392E88">
        <w:t>nad</w:t>
      </w:r>
      <w:r w:rsidRPr="00392E88">
        <w:t>zoru bez powodowania zbędnych opóźnień lub obciążeń dla IORP.</w:t>
      </w:r>
    </w:p>
    <w:p w14:paraId="0F436F08" w14:textId="55F2EAA0" w:rsidR="0071494D" w:rsidRPr="00392E88" w:rsidRDefault="001F4489" w:rsidP="0071494D">
      <w:pPr>
        <w:pStyle w:val="ManualConsidrant"/>
      </w:pPr>
      <w:r>
        <w:t>(20)</w:t>
      </w:r>
      <w:r>
        <w:tab/>
      </w:r>
      <w:r w:rsidRPr="00392E88">
        <w:t>Zasady regulujące zbiorowe przenoszenie</w:t>
      </w:r>
      <w:r w:rsidR="006E6446" w:rsidRPr="00392E88">
        <w:t xml:space="preserve"> w</w:t>
      </w:r>
      <w:r w:rsidR="006E6446">
        <w:t> </w:t>
      </w:r>
      <w:r w:rsidR="006E6446" w:rsidRPr="00392E88">
        <w:t>cał</w:t>
      </w:r>
      <w:r w:rsidRPr="00392E88">
        <w:t>ości lub częściowo zobowiązań programu emerytalnego, rezerw techniczno-ubezpieczeniowych oraz innych zobowiązań</w:t>
      </w:r>
      <w:r w:rsidR="006E6446" w:rsidRPr="00392E88">
        <w:t xml:space="preserve"> i</w:t>
      </w:r>
      <w:r w:rsidR="006E6446">
        <w:t> </w:t>
      </w:r>
      <w:r w:rsidR="006E6446" w:rsidRPr="00392E88">
        <w:t>pra</w:t>
      </w:r>
      <w:r w:rsidRPr="00392E88">
        <w:t>w odgrywają kluczową rolę we wspieraniu konsolidacji</w:t>
      </w:r>
      <w:r w:rsidR="006E6446" w:rsidRPr="00392E88">
        <w:t xml:space="preserve"> i</w:t>
      </w:r>
      <w:r w:rsidR="006E6446">
        <w:t> </w:t>
      </w:r>
      <w:r w:rsidR="006E6446" w:rsidRPr="00392E88">
        <w:t>osi</w:t>
      </w:r>
      <w:r w:rsidRPr="00392E88">
        <w:t>ągania skali</w:t>
      </w:r>
      <w:r w:rsidR="006E6446" w:rsidRPr="00392E88">
        <w:t xml:space="preserve"> w</w:t>
      </w:r>
      <w:r w:rsidR="006E6446">
        <w:t> </w:t>
      </w:r>
      <w:r w:rsidR="006E6446" w:rsidRPr="00392E88">
        <w:t>pra</w:t>
      </w:r>
      <w:r w:rsidRPr="00392E88">
        <w:t>cowniczych programach emerytalnych. Jeżeli takie przepisy są zbyt rygorystyczne, stwarzają nadmierne przeszkody</w:t>
      </w:r>
      <w:r w:rsidR="006E6446" w:rsidRPr="00392E88">
        <w:t xml:space="preserve"> w</w:t>
      </w:r>
      <w:r w:rsidR="006E6446">
        <w:t> </w:t>
      </w:r>
      <w:r w:rsidR="006E6446" w:rsidRPr="00392E88">
        <w:t>osi</w:t>
      </w:r>
      <w:r w:rsidRPr="00392E88">
        <w:t>ąganiu skali</w:t>
      </w:r>
      <w:r w:rsidR="006E6446" w:rsidRPr="00392E88">
        <w:t xml:space="preserve"> i</w:t>
      </w:r>
      <w:r w:rsidR="006E6446">
        <w:t> </w:t>
      </w:r>
      <w:r w:rsidR="006E6446" w:rsidRPr="00392E88">
        <w:t>uła</w:t>
      </w:r>
      <w:r w:rsidRPr="00392E88">
        <w:t>twianiu konsolidacji, co może być szkodliwe dla długoterminowych interesów oszczędzających. Jednocześnie ważne jest, aby uczestnicy</w:t>
      </w:r>
      <w:r w:rsidR="006E6446" w:rsidRPr="00392E88">
        <w:t xml:space="preserve"> i</w:t>
      </w:r>
      <w:r w:rsidR="006E6446">
        <w:t> </w:t>
      </w:r>
      <w:r w:rsidR="006E6446" w:rsidRPr="00392E88">
        <w:t>ben</w:t>
      </w:r>
      <w:r w:rsidRPr="00392E88">
        <w:t>eficjenci lub ich przedstawiciele mogli skutecznie wyrażać swoje poglądy na temat proponowanych przeniesień transgranicznych. Aby ułatwić takie przeniesienia, należy zatem doprecyzować</w:t>
      </w:r>
      <w:r w:rsidR="006E6446" w:rsidRPr="00392E88">
        <w:t xml:space="preserve"> i</w:t>
      </w:r>
      <w:r w:rsidR="006E6446">
        <w:t> </w:t>
      </w:r>
      <w:r w:rsidR="006E6446" w:rsidRPr="00392E88">
        <w:t>upr</w:t>
      </w:r>
      <w:r w:rsidRPr="00392E88">
        <w:t>ościć mające zastosowanie przepisy unijne, zapewniając, aby procedury pozostały przejrzyste, proporcjonalne</w:t>
      </w:r>
      <w:r w:rsidR="006E6446" w:rsidRPr="00392E88">
        <w:t xml:space="preserve"> i</w:t>
      </w:r>
      <w:r w:rsidR="006E6446">
        <w:t> </w:t>
      </w:r>
      <w:r w:rsidR="006E6446" w:rsidRPr="00392E88">
        <w:t>spó</w:t>
      </w:r>
      <w:r w:rsidRPr="00392E88">
        <w:t>jne</w:t>
      </w:r>
      <w:r w:rsidR="006E6446" w:rsidRPr="00392E88">
        <w:t xml:space="preserve"> z</w:t>
      </w:r>
      <w:r w:rsidR="006E6446">
        <w:t> </w:t>
      </w:r>
      <w:r w:rsidR="006E6446" w:rsidRPr="00392E88">
        <w:t>och</w:t>
      </w:r>
      <w:r w:rsidRPr="00392E88">
        <w:t>roną uczestników</w:t>
      </w:r>
      <w:r w:rsidR="006E6446" w:rsidRPr="00392E88">
        <w:t xml:space="preserve"> i</w:t>
      </w:r>
      <w:r w:rsidR="006E6446">
        <w:t> </w:t>
      </w:r>
      <w:r w:rsidR="006E6446" w:rsidRPr="00392E88">
        <w:t>ben</w:t>
      </w:r>
      <w:r w:rsidRPr="00392E88">
        <w:t>eficjentów,</w:t>
      </w:r>
      <w:r w:rsidR="006E6446" w:rsidRPr="00392E88">
        <w:t xml:space="preserve"> a</w:t>
      </w:r>
      <w:r w:rsidR="006E6446">
        <w:t> </w:t>
      </w:r>
      <w:r w:rsidR="006E6446" w:rsidRPr="00392E88">
        <w:t>jed</w:t>
      </w:r>
      <w:r w:rsidRPr="00392E88">
        <w:t>nocześnie umożliwiały większą efektywność</w:t>
      </w:r>
      <w:r w:rsidR="006E6446" w:rsidRPr="00392E88">
        <w:t xml:space="preserve"> i</w:t>
      </w:r>
      <w:r w:rsidR="006E6446">
        <w:t> </w:t>
      </w:r>
      <w:r w:rsidR="006E6446" w:rsidRPr="00392E88">
        <w:t>int</w:t>
      </w:r>
      <w:r w:rsidRPr="00392E88">
        <w:t>egrację na rynku wewnętrznym. Powinno to obejmować przepisy dotyczące terminowego powiadamiania, zatwierdzania przez instytucję finansującą,</w:t>
      </w:r>
      <w:r w:rsidR="006E6446" w:rsidRPr="00392E88">
        <w:t xml:space="preserve"> w</w:t>
      </w:r>
      <w:r w:rsidR="006E6446">
        <w:t> </w:t>
      </w:r>
      <w:r w:rsidR="006E6446" w:rsidRPr="00392E88">
        <w:t>sto</w:t>
      </w:r>
      <w:r w:rsidRPr="00392E88">
        <w:t>sownych przypadkach, oraz możliwości formalnego wyrażenia sprzeciwu przez uczestników</w:t>
      </w:r>
      <w:r w:rsidR="006E6446" w:rsidRPr="00392E88">
        <w:t xml:space="preserve"> i</w:t>
      </w:r>
      <w:r w:rsidR="006E6446">
        <w:t> </w:t>
      </w:r>
      <w:r w:rsidR="006E6446" w:rsidRPr="00392E88">
        <w:t>ben</w:t>
      </w:r>
      <w:r w:rsidRPr="00392E88">
        <w:t>eficjentów.</w:t>
      </w:r>
    </w:p>
    <w:p w14:paraId="290748D2" w14:textId="5A4ABC9F" w:rsidR="0072599A" w:rsidRPr="00392E88" w:rsidRDefault="0072599A" w:rsidP="0071494D">
      <w:pPr>
        <w:pStyle w:val="ManualConsidrant"/>
      </w:pPr>
      <w:r>
        <w:t>(21)</w:t>
      </w:r>
      <w:r>
        <w:tab/>
      </w:r>
      <w:r w:rsidRPr="00392E88">
        <w:t>W przypadku krajowych przeniesień zbiorowych</w:t>
      </w:r>
      <w:r w:rsidR="006E6446" w:rsidRPr="00392E88">
        <w:t xml:space="preserve"> z</w:t>
      </w:r>
      <w:r w:rsidR="006E6446">
        <w:t> </w:t>
      </w:r>
      <w:r w:rsidR="006E6446" w:rsidRPr="00392E88">
        <w:t>jed</w:t>
      </w:r>
      <w:r w:rsidRPr="00392E88">
        <w:t>nej IORP do drugiej państwa członkowskie powinny zapewnić wprowadzenie prostych, przejrzystych</w:t>
      </w:r>
      <w:r w:rsidR="006E6446" w:rsidRPr="00392E88">
        <w:t xml:space="preserve"> i</w:t>
      </w:r>
      <w:r w:rsidR="006E6446">
        <w:t> </w:t>
      </w:r>
      <w:r w:rsidR="006E6446" w:rsidRPr="00392E88">
        <w:t>sku</w:t>
      </w:r>
      <w:r w:rsidRPr="00392E88">
        <w:t>tecznych pod względem operacyjnym procedur umożliwiających konsolidację</w:t>
      </w:r>
      <w:r w:rsidR="006E6446" w:rsidRPr="00392E88">
        <w:t xml:space="preserve"> i</w:t>
      </w:r>
      <w:r w:rsidR="006E6446">
        <w:t> </w:t>
      </w:r>
      <w:r w:rsidR="006E6446" w:rsidRPr="00392E88">
        <w:t>res</w:t>
      </w:r>
      <w:r w:rsidRPr="00392E88">
        <w:t>trukturyzację programów emerytalnych na ich terytorium. Takie procedury powinny ułatwiać osiągnięcie skali</w:t>
      </w:r>
      <w:r w:rsidR="006E6446" w:rsidRPr="00392E88">
        <w:t xml:space="preserve"> i</w:t>
      </w:r>
      <w:r w:rsidR="006E6446">
        <w:t> </w:t>
      </w:r>
      <w:r w:rsidR="006E6446" w:rsidRPr="00392E88">
        <w:t>osz</w:t>
      </w:r>
      <w:r w:rsidRPr="00392E88">
        <w:t>czędności kosztowej oraz nie powinny być bardziej restrykcyjne niż procedury mające zastosowanie do przeniesień transgranicznych.</w:t>
      </w:r>
    </w:p>
    <w:p w14:paraId="17815BA3" w14:textId="0044EAD8" w:rsidR="00797CEF" w:rsidRPr="00392E88" w:rsidRDefault="00394517" w:rsidP="00A04EE6">
      <w:pPr>
        <w:pStyle w:val="ManualConsidrant"/>
        <w:rPr>
          <w:b/>
          <w:bCs/>
        </w:rPr>
      </w:pPr>
      <w:r>
        <w:t>(22)</w:t>
      </w:r>
      <w:r>
        <w:tab/>
      </w:r>
      <w:r w:rsidRPr="00392E88">
        <w:t>Państwa członkowskie mogą dopuścić niepełne finansowanie pracowniczych programów emerytalnych na okres przejściowy. Różne państwa członkowskie wdrożyły tę opcję na różne sposoby, podczas gdy inne zdecydowały się</w:t>
      </w:r>
      <w:r w:rsidR="006E6446" w:rsidRPr="00392E88">
        <w:t xml:space="preserve"> z</w:t>
      </w:r>
      <w:r w:rsidR="006E6446">
        <w:t> </w:t>
      </w:r>
      <w:r w:rsidR="006E6446" w:rsidRPr="00392E88">
        <w:t>nie</w:t>
      </w:r>
      <w:r w:rsidRPr="00392E88">
        <w:t>j nie korzystać, co prowadzi do niespójności, które mogą mieć wpływ na ochronę uczestników</w:t>
      </w:r>
      <w:r w:rsidR="006E6446" w:rsidRPr="00392E88">
        <w:t xml:space="preserve"> i</w:t>
      </w:r>
      <w:r w:rsidR="006E6446">
        <w:t> </w:t>
      </w:r>
      <w:r w:rsidR="006E6446" w:rsidRPr="00392E88">
        <w:t>ben</w:t>
      </w:r>
      <w:r w:rsidRPr="00392E88">
        <w:t>eficjentów. Chociaż zapobieganie niepełnemu finansowaniu jest ważne, bezwzględny zakaz mógłby</w:t>
      </w:r>
      <w:r w:rsidR="006E6446" w:rsidRPr="00392E88">
        <w:t xml:space="preserve"> w</w:t>
      </w:r>
      <w:r w:rsidR="006E6446">
        <w:t> </w:t>
      </w:r>
      <w:r w:rsidR="006E6446" w:rsidRPr="00392E88">
        <w:t>nie</w:t>
      </w:r>
      <w:r w:rsidRPr="00392E88">
        <w:t>których przypadkach spowodować nagłe obniżenie przyrzeczeń emerytury, co może być szkodliwe dla uczestników</w:t>
      </w:r>
      <w:r w:rsidR="006E6446" w:rsidRPr="00392E88">
        <w:t xml:space="preserve"> i</w:t>
      </w:r>
      <w:r w:rsidR="006E6446">
        <w:t> </w:t>
      </w:r>
      <w:r w:rsidR="006E6446" w:rsidRPr="00392E88">
        <w:t>ben</w:t>
      </w:r>
      <w:r w:rsidRPr="00392E88">
        <w:t>eficjentów. Aby zapewnić zrównoważone</w:t>
      </w:r>
      <w:r w:rsidR="006E6446" w:rsidRPr="00392E88">
        <w:t xml:space="preserve"> i</w:t>
      </w:r>
      <w:r w:rsidR="006E6446">
        <w:t> </w:t>
      </w:r>
      <w:r w:rsidR="006E6446" w:rsidRPr="00392E88">
        <w:t>pro</w:t>
      </w:r>
      <w:r w:rsidRPr="00392E88">
        <w:t>porcjonalne podejście oraz odpowiednią ochronę uczestników</w:t>
      </w:r>
      <w:r w:rsidR="006E6446" w:rsidRPr="00392E88">
        <w:t xml:space="preserve"> i</w:t>
      </w:r>
      <w:r w:rsidR="006E6446">
        <w:t> </w:t>
      </w:r>
      <w:r w:rsidR="006E6446" w:rsidRPr="00392E88">
        <w:t>ben</w:t>
      </w:r>
      <w:r w:rsidRPr="00392E88">
        <w:t>eficjentów, państwa członkowskie powinny dopuścić niepełne finansowanie programów emerytalnych na okres przejściowy, określony</w:t>
      </w:r>
      <w:r w:rsidR="006E6446" w:rsidRPr="00392E88">
        <w:t xml:space="preserve"> w</w:t>
      </w:r>
      <w:r w:rsidR="006E6446">
        <w:t> </w:t>
      </w:r>
      <w:r w:rsidR="006E6446" w:rsidRPr="00392E88">
        <w:t>pra</w:t>
      </w:r>
      <w:r w:rsidRPr="00392E88">
        <w:t>wie krajowym, który</w:t>
      </w:r>
      <w:r w:rsidR="006E6446" w:rsidRPr="00392E88">
        <w:t xml:space="preserve"> w</w:t>
      </w:r>
      <w:r w:rsidR="006E6446">
        <w:t> </w:t>
      </w:r>
      <w:r w:rsidR="006E6446" w:rsidRPr="00392E88">
        <w:t>żad</w:t>
      </w:r>
      <w:r w:rsidRPr="00392E88">
        <w:t>nym przypadku nie powinien przekraczać dziesięciu lat.</w:t>
      </w:r>
    </w:p>
    <w:p w14:paraId="58A52A4B" w14:textId="5799D689" w:rsidR="003726D1" w:rsidRPr="00392E88" w:rsidRDefault="00B048DC" w:rsidP="00A04EE6">
      <w:pPr>
        <w:pStyle w:val="ManualConsidrant"/>
        <w:rPr>
          <w:b/>
          <w:bCs/>
        </w:rPr>
      </w:pPr>
      <w:r>
        <w:t>(23)</w:t>
      </w:r>
      <w:r>
        <w:tab/>
      </w:r>
      <w:r w:rsidRPr="00392E88">
        <w:t>Niektóre parametry techniczne określone</w:t>
      </w:r>
      <w:r w:rsidR="006E6446" w:rsidRPr="00392E88">
        <w:t xml:space="preserve"> w</w:t>
      </w:r>
      <w:r w:rsidR="006E6446">
        <w:t> </w:t>
      </w:r>
      <w:r w:rsidR="006E6446" w:rsidRPr="00392E88">
        <w:t>dyr</w:t>
      </w:r>
      <w:r w:rsidRPr="00392E88">
        <w:t>ektywie (UE) 2016/2341 wynikają</w:t>
      </w:r>
      <w:r w:rsidR="006E6446" w:rsidRPr="00392E88">
        <w:t xml:space="preserve"> z</w:t>
      </w:r>
      <w:r w:rsidR="006E6446">
        <w:t> </w:t>
      </w:r>
      <w:r w:rsidR="006E6446" w:rsidRPr="00392E88">
        <w:t>dyr</w:t>
      </w:r>
      <w:r w:rsidRPr="00392E88">
        <w:t>ektywy Rady 79/267/EWG</w:t>
      </w:r>
      <w:r w:rsidRPr="00392E88">
        <w:rPr>
          <w:rStyle w:val="FootnoteReference"/>
        </w:rPr>
        <w:footnoteReference w:id="33"/>
      </w:r>
      <w:r w:rsidRPr="00392E88">
        <w:t>, pierwszej dyrektywy</w:t>
      </w:r>
      <w:r w:rsidR="006E6446" w:rsidRPr="00392E88">
        <w:t xml:space="preserve"> w</w:t>
      </w:r>
      <w:r w:rsidR="006E6446">
        <w:t> </w:t>
      </w:r>
      <w:r w:rsidR="006E6446" w:rsidRPr="00392E88">
        <w:t>spr</w:t>
      </w:r>
      <w:r w:rsidRPr="00392E88">
        <w:t>awie ubezpieczeń na życie,</w:t>
      </w:r>
      <w:r w:rsidR="006E6446" w:rsidRPr="00392E88">
        <w:t xml:space="preserve"> i</w:t>
      </w:r>
      <w:r w:rsidR="006E6446">
        <w:t> </w:t>
      </w:r>
      <w:r w:rsidR="006E6446" w:rsidRPr="00392E88">
        <w:t>poz</w:t>
      </w:r>
      <w:r w:rsidRPr="00392E88">
        <w:t>ostają niezmienione od czasu ich wprowadzenia. Należy zatem przewidzieć możliwość ich dostosowania</w:t>
      </w:r>
      <w:r w:rsidR="006E6446" w:rsidRPr="00392E88">
        <w:t xml:space="preserve"> w</w:t>
      </w:r>
      <w:r w:rsidR="006E6446">
        <w:t> </w:t>
      </w:r>
      <w:r w:rsidR="006E6446" w:rsidRPr="00392E88">
        <w:t>dro</w:t>
      </w:r>
      <w:r w:rsidRPr="00392E88">
        <w:t>dze aktów delegowanych, jeżeli zostanie to uznane za konieczne</w:t>
      </w:r>
      <w:r w:rsidR="006E6446" w:rsidRPr="00392E88">
        <w:t xml:space="preserve"> w</w:t>
      </w:r>
      <w:r w:rsidR="006E6446">
        <w:t> </w:t>
      </w:r>
      <w:r w:rsidR="006E6446" w:rsidRPr="00392E88">
        <w:t>cel</w:t>
      </w:r>
      <w:r w:rsidRPr="00392E88">
        <w:t>u zapewnienia, aby pozostały one odpowiednie</w:t>
      </w:r>
      <w:r w:rsidR="006E6446" w:rsidRPr="00392E88">
        <w:t xml:space="preserve"> w</w:t>
      </w:r>
      <w:r w:rsidR="006E6446">
        <w:t> </w:t>
      </w:r>
      <w:r w:rsidR="006E6446" w:rsidRPr="00392E88">
        <w:t>świ</w:t>
      </w:r>
      <w:r w:rsidRPr="00392E88">
        <w:t>etle zmian na rynku</w:t>
      </w:r>
      <w:r w:rsidR="006E6446" w:rsidRPr="00392E88">
        <w:t xml:space="preserve"> i</w:t>
      </w:r>
      <w:r w:rsidR="006E6446">
        <w:t> </w:t>
      </w:r>
      <w:r w:rsidR="006E6446" w:rsidRPr="00392E88">
        <w:t>pra</w:t>
      </w:r>
      <w:r w:rsidRPr="00392E88">
        <w:t>ktyk nadzorczych.</w:t>
      </w:r>
    </w:p>
    <w:p w14:paraId="53547449" w14:textId="28FB4722" w:rsidR="00D67501" w:rsidRPr="00392E88" w:rsidRDefault="00D67501">
      <w:pPr>
        <w:pStyle w:val="ManualConsidrant"/>
      </w:pPr>
      <w:r>
        <w:t>(24)</w:t>
      </w:r>
      <w:r>
        <w:tab/>
      </w:r>
      <w:r w:rsidRPr="00392E88">
        <w:t>Dyrektywa (UE) 2016/2341 wymaga, aby IORP posiadały odpowiedni dostępny margines wypłacalności. Ten margines wypłacalności nie obejmuje</w:t>
      </w:r>
      <w:r w:rsidR="006E6446" w:rsidRPr="00392E88">
        <w:t xml:space="preserve"> w</w:t>
      </w:r>
      <w:r w:rsidR="006E6446">
        <w:t> </w:t>
      </w:r>
      <w:r w:rsidR="006E6446" w:rsidRPr="00392E88">
        <w:t>peł</w:t>
      </w:r>
      <w:r w:rsidRPr="00392E88">
        <w:t>ni ekspozycji na ryzyko rynkowe</w:t>
      </w:r>
      <w:r w:rsidR="006E6446" w:rsidRPr="00392E88">
        <w:t xml:space="preserve"> i</w:t>
      </w:r>
      <w:r w:rsidR="006E6446">
        <w:t> </w:t>
      </w:r>
      <w:r w:rsidR="006E6446" w:rsidRPr="00392E88">
        <w:t>ryz</w:t>
      </w:r>
      <w:r w:rsidRPr="00392E88">
        <w:t>yko długowieczności,</w:t>
      </w:r>
      <w:r w:rsidR="006E6446" w:rsidRPr="00392E88">
        <w:t xml:space="preserve"> w</w:t>
      </w:r>
      <w:r w:rsidR="006E6446">
        <w:t> </w:t>
      </w:r>
      <w:r w:rsidR="006E6446" w:rsidRPr="00392E88">
        <w:t>tym w</w:t>
      </w:r>
      <w:r w:rsidR="006E6446">
        <w:t> </w:t>
      </w:r>
      <w:r w:rsidR="006E6446" w:rsidRPr="00392E88">
        <w:t>prz</w:t>
      </w:r>
      <w:r w:rsidRPr="00392E88">
        <w:t>ypadku gdy IORP ponosi zobowiązania</w:t>
      </w:r>
      <w:r w:rsidR="006E6446" w:rsidRPr="00392E88">
        <w:t xml:space="preserve"> z</w:t>
      </w:r>
      <w:r w:rsidR="006E6446">
        <w:t> </w:t>
      </w:r>
      <w:r w:rsidR="006E6446" w:rsidRPr="00392E88">
        <w:t>tyt</w:t>
      </w:r>
      <w:r w:rsidRPr="00392E88">
        <w:t>ułu biometrycznych rodzajów ryzyka lub gwarantuje określone wyniki inwestycyjne lub określony poziom korzyści. Niektóre państwa członkowskie wymagają, aby IORP posiadały dodatkowe, oparte na analizie ryzyka, ustawowe fundusze własne powyżej wymaganego marginesu wypłacalności</w:t>
      </w:r>
      <w:r w:rsidR="006E6446" w:rsidRPr="00392E88">
        <w:t>. W</w:t>
      </w:r>
      <w:r w:rsidR="006E6446">
        <w:t> </w:t>
      </w:r>
      <w:r w:rsidR="006E6446" w:rsidRPr="00392E88">
        <w:t>pań</w:t>
      </w:r>
      <w:r w:rsidRPr="00392E88">
        <w:t>stwach członkowskich,</w:t>
      </w:r>
      <w:r w:rsidR="006E6446" w:rsidRPr="00392E88">
        <w:t xml:space="preserve"> w</w:t>
      </w:r>
      <w:r w:rsidR="006E6446">
        <w:t> </w:t>
      </w:r>
      <w:r w:rsidR="006E6446" w:rsidRPr="00392E88">
        <w:t>któ</w:t>
      </w:r>
      <w:r w:rsidRPr="00392E88">
        <w:t>rych takie wymogi oparte na analizie ryzyka nie istnieją, należy zapewnić porównywalną ochronę oszczędzających</w:t>
      </w:r>
      <w:r w:rsidR="006E6446" w:rsidRPr="00392E88">
        <w:t xml:space="preserve"> i</w:t>
      </w:r>
      <w:r w:rsidR="006E6446">
        <w:t> </w:t>
      </w:r>
      <w:r w:rsidR="006E6446" w:rsidRPr="00392E88">
        <w:t>ben</w:t>
      </w:r>
      <w:r w:rsidRPr="00392E88">
        <w:t>eficjentów</w:t>
      </w:r>
      <w:r w:rsidR="006E6446" w:rsidRPr="00392E88">
        <w:t>. W</w:t>
      </w:r>
      <w:r w:rsidR="006E6446">
        <w:t> </w:t>
      </w:r>
      <w:r w:rsidR="006E6446" w:rsidRPr="00392E88">
        <w:t>szc</w:t>
      </w:r>
      <w:r w:rsidRPr="00392E88">
        <w:t>zególności IORP pokrywające biometryczne rodzaje ryzyka lub oferujące gwarancje, które nie podlegają wymogom kapitałowym opartym na analizie ryzyka, powinny przeprowadzać regularne testy warunków skrajnych</w:t>
      </w:r>
      <w:r w:rsidR="006E6446" w:rsidRPr="00392E88">
        <w:t xml:space="preserve"> w</w:t>
      </w:r>
      <w:r w:rsidR="006E6446">
        <w:t> </w:t>
      </w:r>
      <w:r w:rsidR="006E6446" w:rsidRPr="00392E88">
        <w:t>cel</w:t>
      </w:r>
      <w:r w:rsidRPr="00392E88">
        <w:t>u oceny ich zdolności do utrzymania finansowania</w:t>
      </w:r>
      <w:r w:rsidR="006E6446" w:rsidRPr="00392E88">
        <w:t xml:space="preserve"> w</w:t>
      </w:r>
      <w:r w:rsidR="006E6446">
        <w:t> </w:t>
      </w:r>
      <w:r w:rsidR="006E6446" w:rsidRPr="00392E88">
        <w:t>per</w:t>
      </w:r>
      <w:r w:rsidRPr="00392E88">
        <w:t>spektywie długoterminowej,</w:t>
      </w:r>
      <w:r w:rsidR="006E6446" w:rsidRPr="00392E88">
        <w:t xml:space="preserve"> w</w:t>
      </w:r>
      <w:r w:rsidR="006E6446">
        <w:t> </w:t>
      </w:r>
      <w:r w:rsidR="006E6446" w:rsidRPr="00392E88">
        <w:t>tym w</w:t>
      </w:r>
      <w:r w:rsidR="006E6446">
        <w:t> </w:t>
      </w:r>
      <w:r w:rsidR="006E6446" w:rsidRPr="00392E88">
        <w:t>nie</w:t>
      </w:r>
      <w:r w:rsidRPr="00392E88">
        <w:t>korzystnych scenariuszach rynkowych</w:t>
      </w:r>
      <w:r w:rsidR="006E6446" w:rsidRPr="00392E88">
        <w:t xml:space="preserve"> i</w:t>
      </w:r>
      <w:r w:rsidR="006E6446">
        <w:t> </w:t>
      </w:r>
      <w:r w:rsidR="006E6446" w:rsidRPr="00392E88">
        <w:t>dem</w:t>
      </w:r>
      <w:r w:rsidRPr="00392E88">
        <w:t>ograficznych,</w:t>
      </w:r>
      <w:r w:rsidR="006E6446" w:rsidRPr="00392E88">
        <w:t xml:space="preserve"> a</w:t>
      </w:r>
      <w:r w:rsidR="006E6446">
        <w:t> </w:t>
      </w:r>
      <w:r w:rsidR="006E6446" w:rsidRPr="00392E88">
        <w:t>wła</w:t>
      </w:r>
      <w:r w:rsidRPr="00392E88">
        <w:t>ściwe organy powinny być uprawnione do żądania podjęcia działań naprawczych</w:t>
      </w:r>
      <w:r w:rsidR="006E6446" w:rsidRPr="00392E88">
        <w:t xml:space="preserve"> w</w:t>
      </w:r>
      <w:r w:rsidR="006E6446">
        <w:t> </w:t>
      </w:r>
      <w:r w:rsidR="006E6446" w:rsidRPr="00392E88">
        <w:t>prz</w:t>
      </w:r>
      <w:r w:rsidRPr="00392E88">
        <w:t>ypadku stwierdzenia niepełnego finansowania.</w:t>
      </w:r>
    </w:p>
    <w:p w14:paraId="69FDE3B7" w14:textId="7A2FACD1" w:rsidR="002F1389" w:rsidRPr="00392E88" w:rsidRDefault="00963472" w:rsidP="007B13F4">
      <w:pPr>
        <w:pStyle w:val="ManualConsidrant"/>
      </w:pPr>
      <w:r>
        <w:t>(25)</w:t>
      </w:r>
      <w:r>
        <w:tab/>
      </w:r>
      <w:r w:rsidRPr="00392E88">
        <w:t>Aktywa prywatne,</w:t>
      </w:r>
      <w:r w:rsidR="006E6446" w:rsidRPr="00392E88">
        <w:t xml:space="preserve"> w</w:t>
      </w:r>
      <w:r w:rsidR="006E6446">
        <w:t> </w:t>
      </w:r>
      <w:r w:rsidR="006E6446" w:rsidRPr="00392E88">
        <w:t>tym</w:t>
      </w:r>
      <w:r w:rsidRPr="00392E88">
        <w:t xml:space="preserve"> kapitał </w:t>
      </w:r>
      <w:r w:rsidRPr="00392E88">
        <w:rPr>
          <w:i/>
          <w:iCs/>
        </w:rPr>
        <w:t>private equity</w:t>
      </w:r>
      <w:r w:rsidRPr="00392E88">
        <w:t>, dług prywatny</w:t>
      </w:r>
      <w:r w:rsidR="006E6446" w:rsidRPr="00392E88">
        <w:t xml:space="preserve"> i</w:t>
      </w:r>
      <w:r w:rsidR="006E6446">
        <w:t> </w:t>
      </w:r>
      <w:r w:rsidR="006E6446" w:rsidRPr="00392E88">
        <w:t>kap</w:t>
      </w:r>
      <w:r w:rsidRPr="00392E88">
        <w:t>itał wysokiego ryzyka, mogą poprawić charakterystykę stosunku ryzyka do zwrotu portfeli inwestycyjnych przez zwiększenie dywersyfikacji</w:t>
      </w:r>
      <w:r w:rsidR="006E6446" w:rsidRPr="00392E88">
        <w:t xml:space="preserve"> i</w:t>
      </w:r>
      <w:r w:rsidR="006E6446">
        <w:t> </w:t>
      </w:r>
      <w:r w:rsidR="006E6446" w:rsidRPr="00392E88">
        <w:t>pot</w:t>
      </w:r>
      <w:r w:rsidRPr="00392E88">
        <w:t>encjalne zapewnienie wyższych zwrotów długoterminowych. Takie aktywa są jednak często bardziej złożone pod względem wartości</w:t>
      </w:r>
      <w:r w:rsidR="006E6446" w:rsidRPr="00392E88">
        <w:t xml:space="preserve"> i</w:t>
      </w:r>
      <w:r w:rsidR="006E6446">
        <w:t> </w:t>
      </w:r>
      <w:r w:rsidR="006E6446" w:rsidRPr="00392E88">
        <w:t>oce</w:t>
      </w:r>
      <w:r w:rsidRPr="00392E88">
        <w:t>ny ryzyka,</w:t>
      </w:r>
      <w:r w:rsidR="006E6446" w:rsidRPr="00392E88">
        <w:t xml:space="preserve"> w</w:t>
      </w:r>
      <w:r w:rsidR="006E6446">
        <w:t> </w:t>
      </w:r>
      <w:r w:rsidR="006E6446" w:rsidRPr="00392E88">
        <w:t>zwi</w:t>
      </w:r>
      <w:r w:rsidRPr="00392E88">
        <w:t>ązku</w:t>
      </w:r>
      <w:r w:rsidR="006E6446" w:rsidRPr="00392E88">
        <w:t xml:space="preserve"> z</w:t>
      </w:r>
      <w:r w:rsidR="006E6446">
        <w:t> </w:t>
      </w:r>
      <w:r w:rsidR="006E6446" w:rsidRPr="00392E88">
        <w:t>czy</w:t>
      </w:r>
      <w:r w:rsidRPr="00392E88">
        <w:t>m wymagają znacznej wiedzy fachowej. Zgodnie</w:t>
      </w:r>
      <w:r w:rsidR="006E6446" w:rsidRPr="00392E88">
        <w:t xml:space="preserve"> z</w:t>
      </w:r>
      <w:r w:rsidR="006E6446">
        <w:t> </w:t>
      </w:r>
      <w:r w:rsidR="006E6446" w:rsidRPr="006E6446">
        <w:t>art</w:t>
      </w:r>
      <w:r w:rsidRPr="006E6446">
        <w:t>.</w:t>
      </w:r>
      <w:r w:rsidR="006E6446" w:rsidRPr="006E6446">
        <w:t> </w:t>
      </w:r>
      <w:r w:rsidRPr="006E6446">
        <w:t>1</w:t>
      </w:r>
      <w:r w:rsidRPr="00392E88">
        <w:t>9 dyrektywy (UE) 2016/2341 IORP powinny inwestować</w:t>
      </w:r>
      <w:r w:rsidR="006E6446" w:rsidRPr="00392E88">
        <w:t xml:space="preserve"> w</w:t>
      </w:r>
      <w:r w:rsidR="006E6446">
        <w:t> </w:t>
      </w:r>
      <w:r w:rsidR="006E6446" w:rsidRPr="00392E88">
        <w:t>naj</w:t>
      </w:r>
      <w:r w:rsidRPr="00392E88">
        <w:t>lepszym długoterminowym interesie uczestników</w:t>
      </w:r>
      <w:r w:rsidR="006E6446" w:rsidRPr="00392E88">
        <w:t xml:space="preserve"> i</w:t>
      </w:r>
      <w:r w:rsidR="006E6446">
        <w:t> </w:t>
      </w:r>
      <w:r w:rsidR="006E6446" w:rsidRPr="00392E88">
        <w:t>ben</w:t>
      </w:r>
      <w:r w:rsidRPr="00392E88">
        <w:t>eficjentów oraz zgodnie</w:t>
      </w:r>
      <w:r w:rsidR="006E6446" w:rsidRPr="00392E88">
        <w:t xml:space="preserve"> z</w:t>
      </w:r>
      <w:r w:rsidR="006E6446">
        <w:t> </w:t>
      </w:r>
      <w:r w:rsidR="006E6446" w:rsidRPr="00392E88">
        <w:t>zas</w:t>
      </w:r>
      <w:r w:rsidRPr="00392E88">
        <w:t>adą „ostrożnego inwestora”. Zasada ta nie jest jednak wystarczająco precyzyjna,</w:t>
      </w:r>
      <w:r w:rsidR="006E6446" w:rsidRPr="00392E88">
        <w:t xml:space="preserve"> a</w:t>
      </w:r>
      <w:r w:rsidR="006E6446">
        <w:t> </w:t>
      </w:r>
      <w:r w:rsidR="006E6446" w:rsidRPr="00392E88">
        <w:t>kil</w:t>
      </w:r>
      <w:r w:rsidRPr="00392E88">
        <w:t>ka państw członkowskich wprowadziło, zgodnie</w:t>
      </w:r>
      <w:r w:rsidR="006E6446" w:rsidRPr="00392E88">
        <w:t xml:space="preserve"> z</w:t>
      </w:r>
      <w:r w:rsidR="006E6446">
        <w:t> </w:t>
      </w:r>
      <w:r w:rsidR="006E6446" w:rsidRPr="00392E88">
        <w:t>tym</w:t>
      </w:r>
      <w:r w:rsidRPr="00392E88">
        <w:t xml:space="preserve"> artykułem, szczegółowe,</w:t>
      </w:r>
      <w:r w:rsidR="006E6446" w:rsidRPr="00392E88">
        <w:t xml:space="preserve"> a</w:t>
      </w:r>
      <w:r w:rsidR="006E6446">
        <w:t> </w:t>
      </w:r>
      <w:r w:rsidR="006E6446" w:rsidRPr="00392E88">
        <w:t>cza</w:t>
      </w:r>
      <w:r w:rsidRPr="00392E88">
        <w:t>sem restrykcyjne limity inwestycyjne. Takie ogólne ograniczenia mogą uniemożliwić dobrze zarządzanym instytucjom</w:t>
      </w:r>
      <w:r w:rsidR="006E6446" w:rsidRPr="00392E88">
        <w:t xml:space="preserve"> o</w:t>
      </w:r>
      <w:r w:rsidR="006E6446">
        <w:t> </w:t>
      </w:r>
      <w:r w:rsidR="006E6446" w:rsidRPr="00392E88">
        <w:t>odp</w:t>
      </w:r>
      <w:r w:rsidRPr="00392E88">
        <w:t>owiedniej zdolności zarządzania ryzykiem skuteczne inwestowanie</w:t>
      </w:r>
      <w:r w:rsidR="006E6446" w:rsidRPr="00392E88">
        <w:t xml:space="preserve"> w</w:t>
      </w:r>
      <w:r w:rsidR="006E6446">
        <w:t> </w:t>
      </w:r>
      <w:r w:rsidR="006E6446" w:rsidRPr="00392E88">
        <w:t>akt</w:t>
      </w:r>
      <w:r w:rsidRPr="00392E88">
        <w:t>ywa alternatywne. Należy zatem określić, że kluczowe ramy inwestycyjne stanowią opartą na analizie ryzyka zasadę „ostrożnego inwestora”, umożliwiającą instytucjom inwestowanie</w:t>
      </w:r>
      <w:r w:rsidR="006E6446" w:rsidRPr="00392E88">
        <w:t xml:space="preserve"> w</w:t>
      </w:r>
      <w:r w:rsidR="006E6446">
        <w:t> </w:t>
      </w:r>
      <w:r w:rsidR="006E6446" w:rsidRPr="00392E88">
        <w:t>dow</w:t>
      </w:r>
      <w:r w:rsidRPr="00392E88">
        <w:t>olny rodzaj aktywów, pod warunkiem że instytucje te są</w:t>
      </w:r>
      <w:r w:rsidR="006E6446" w:rsidRPr="00392E88">
        <w:t xml:space="preserve"> w</w:t>
      </w:r>
      <w:r w:rsidR="006E6446">
        <w:t> </w:t>
      </w:r>
      <w:r w:rsidR="006E6446" w:rsidRPr="00392E88">
        <w:t>sta</w:t>
      </w:r>
      <w:r w:rsidRPr="00392E88">
        <w:t>nie właściwie określać, mierzyć</w:t>
      </w:r>
      <w:r w:rsidR="006E6446" w:rsidRPr="00392E88">
        <w:t xml:space="preserve"> i</w:t>
      </w:r>
      <w:r w:rsidR="006E6446">
        <w:t> </w:t>
      </w:r>
      <w:r w:rsidR="006E6446" w:rsidRPr="00392E88">
        <w:t>mon</w:t>
      </w:r>
      <w:r w:rsidRPr="00392E88">
        <w:t>itorować powiązane rodzaje ryzyka, zarządzać nimi</w:t>
      </w:r>
      <w:r w:rsidR="006E6446" w:rsidRPr="00392E88">
        <w:t xml:space="preserve"> i</w:t>
      </w:r>
      <w:r w:rsidR="006E6446">
        <w:t> </w:t>
      </w:r>
      <w:r w:rsidR="006E6446" w:rsidRPr="00392E88">
        <w:t>skł</w:t>
      </w:r>
      <w:r w:rsidRPr="00392E88">
        <w:t>adać sprawozdań</w:t>
      </w:r>
      <w:r w:rsidR="006E6446" w:rsidRPr="00392E88">
        <w:t xml:space="preserve"> w</w:t>
      </w:r>
      <w:r w:rsidR="006E6446">
        <w:t> </w:t>
      </w:r>
      <w:r w:rsidR="006E6446" w:rsidRPr="00392E88">
        <w:t>zwi</w:t>
      </w:r>
      <w:r w:rsidRPr="00392E88">
        <w:t>ązku</w:t>
      </w:r>
      <w:r w:rsidR="006E6446" w:rsidRPr="00392E88">
        <w:t xml:space="preserve"> z</w:t>
      </w:r>
      <w:r w:rsidR="006E6446">
        <w:t> </w:t>
      </w:r>
      <w:r w:rsidR="006E6446" w:rsidRPr="00392E88">
        <w:t>nim</w:t>
      </w:r>
      <w:r w:rsidRPr="00392E88">
        <w:t>i</w:t>
      </w:r>
      <w:r w:rsidR="006E6446" w:rsidRPr="00392E88">
        <w:t>. W</w:t>
      </w:r>
      <w:r w:rsidR="006E6446">
        <w:t> </w:t>
      </w:r>
      <w:r w:rsidR="006E6446" w:rsidRPr="00392E88">
        <w:t>zwi</w:t>
      </w:r>
      <w:r w:rsidRPr="00392E88">
        <w:t>ązku</w:t>
      </w:r>
      <w:r w:rsidR="006E6446" w:rsidRPr="00392E88">
        <w:t xml:space="preserve"> z</w:t>
      </w:r>
      <w:r w:rsidR="006E6446">
        <w:t> </w:t>
      </w:r>
      <w:r w:rsidR="006E6446" w:rsidRPr="00392E88">
        <w:t>tym</w:t>
      </w:r>
      <w:r w:rsidRPr="00392E88">
        <w:t>, jako zabezpieczenie dla uczestników</w:t>
      </w:r>
      <w:r w:rsidR="006E6446" w:rsidRPr="00392E88">
        <w:t xml:space="preserve"> i</w:t>
      </w:r>
      <w:r w:rsidR="006E6446">
        <w:t> </w:t>
      </w:r>
      <w:r w:rsidR="006E6446" w:rsidRPr="00392E88">
        <w:t>ben</w:t>
      </w:r>
      <w:r w:rsidRPr="00392E88">
        <w:t>eficjentów, możliwość stosowania przez państwa członkowskie ograniczeń inwestycyjnych powinna być ograniczona do przypadków,</w:t>
      </w:r>
      <w:r w:rsidR="006E6446" w:rsidRPr="00392E88">
        <w:t xml:space="preserve"> w</w:t>
      </w:r>
      <w:r w:rsidR="006E6446">
        <w:t> </w:t>
      </w:r>
      <w:r w:rsidR="006E6446" w:rsidRPr="00392E88">
        <w:t>któ</w:t>
      </w:r>
      <w:r w:rsidRPr="00392E88">
        <w:t>rych ryzyko inwestycyjne ponoszą uczestnicy</w:t>
      </w:r>
      <w:r w:rsidR="006E6446" w:rsidRPr="00392E88">
        <w:t xml:space="preserve"> i</w:t>
      </w:r>
      <w:r w:rsidR="006E6446">
        <w:t> </w:t>
      </w:r>
      <w:r w:rsidR="006E6446" w:rsidRPr="00392E88">
        <w:t>ben</w:t>
      </w:r>
      <w:r w:rsidRPr="00392E88">
        <w:t>eficjenci,</w:t>
      </w:r>
      <w:r w:rsidR="006E6446" w:rsidRPr="00392E88">
        <w:t xml:space="preserve"> a</w:t>
      </w:r>
      <w:r w:rsidR="006E6446">
        <w:t> </w:t>
      </w:r>
      <w:r w:rsidR="006E6446" w:rsidRPr="00392E88">
        <w:t>ogr</w:t>
      </w:r>
      <w:r w:rsidRPr="00392E88">
        <w:t>aniczenia te nie powinny skutkować ogólnym zakazem inwestowania</w:t>
      </w:r>
      <w:r w:rsidR="006E6446" w:rsidRPr="00392E88">
        <w:t xml:space="preserve"> w</w:t>
      </w:r>
      <w:r w:rsidR="006E6446">
        <w:t> </w:t>
      </w:r>
      <w:r w:rsidR="006E6446" w:rsidRPr="00392E88">
        <w:t>nie</w:t>
      </w:r>
      <w:r w:rsidRPr="00392E88">
        <w:t>które klasy aktywów. Komunikat ogólny</w:t>
      </w:r>
      <w:r w:rsidR="006E6446" w:rsidRPr="00392E88">
        <w:t xml:space="preserve"> z</w:t>
      </w:r>
      <w:r w:rsidR="006E6446">
        <w:t> </w:t>
      </w:r>
      <w:r w:rsidR="006E6446" w:rsidRPr="00392E88">
        <w:t>dni</w:t>
      </w:r>
      <w:r w:rsidRPr="00392E88">
        <w:t>a 19 listopada 20</w:t>
      </w:r>
      <w:r w:rsidRPr="006E6446">
        <w:t>25</w:t>
      </w:r>
      <w:r w:rsidR="006E6446" w:rsidRPr="006E6446">
        <w:t> </w:t>
      </w:r>
      <w:r w:rsidRPr="006E6446">
        <w:t>r.</w:t>
      </w:r>
      <w:r w:rsidRPr="00392E88">
        <w:rPr>
          <w:rStyle w:val="FootnoteReference"/>
        </w:rPr>
        <w:footnoteReference w:id="34"/>
      </w:r>
      <w:r w:rsidRPr="00392E88">
        <w:t xml:space="preserve"> zawiera dalsze niewiążące wytyczne dotyczące stosowania zasady „ostrożnego inwestora”,</w:t>
      </w:r>
      <w:r w:rsidR="006E6446" w:rsidRPr="00392E88">
        <w:t xml:space="preserve"> w</w:t>
      </w:r>
      <w:r w:rsidR="006E6446">
        <w:t> </w:t>
      </w:r>
      <w:r w:rsidR="006E6446" w:rsidRPr="00392E88">
        <w:t>tym</w:t>
      </w:r>
      <w:r w:rsidRPr="00392E88">
        <w:t xml:space="preserve"> dotyczące sposobu,</w:t>
      </w:r>
      <w:r w:rsidR="006E6446" w:rsidRPr="00392E88">
        <w:t xml:space="preserve"> w</w:t>
      </w:r>
      <w:r w:rsidR="006E6446">
        <w:t> </w:t>
      </w:r>
      <w:r w:rsidR="006E6446" w:rsidRPr="00392E88">
        <w:t>jak</w:t>
      </w:r>
      <w:r w:rsidRPr="00392E88">
        <w:t xml:space="preserve">i powinna ona wspierać skuteczną alokację oszczędności długoterminowych. </w:t>
      </w:r>
    </w:p>
    <w:p w14:paraId="4C15E375" w14:textId="4A228B50" w:rsidR="003D2E0A" w:rsidRPr="00392E88" w:rsidRDefault="003D2E0A" w:rsidP="00E338B6">
      <w:pPr>
        <w:pStyle w:val="ManualConsidrant"/>
      </w:pPr>
      <w:r>
        <w:t>(26)</w:t>
      </w:r>
      <w:r>
        <w:tab/>
      </w:r>
      <w:r w:rsidRPr="00392E88">
        <w:t>Doświadczenie pokazuje, że wymogi</w:t>
      </w:r>
      <w:r w:rsidR="006E6446" w:rsidRPr="00392E88">
        <w:t xml:space="preserve"> w</w:t>
      </w:r>
      <w:r w:rsidR="006E6446">
        <w:t> </w:t>
      </w:r>
      <w:r w:rsidR="006E6446" w:rsidRPr="00392E88">
        <w:t>zak</w:t>
      </w:r>
      <w:r w:rsidRPr="00392E88">
        <w:t>resie zarządzania określone</w:t>
      </w:r>
      <w:r w:rsidR="006E6446" w:rsidRPr="00392E88">
        <w:t xml:space="preserve"> w</w:t>
      </w:r>
      <w:r w:rsidR="006E6446">
        <w:t> </w:t>
      </w:r>
      <w:r w:rsidR="006E6446" w:rsidRPr="00392E88">
        <w:t>dyr</w:t>
      </w:r>
      <w:r w:rsidRPr="00392E88">
        <w:t>ektywie (UE) 2016/2341 nie zawsze zapewniają spójne standardy należytego zarządzania</w:t>
      </w:r>
      <w:r w:rsidR="006E6446" w:rsidRPr="00392E88">
        <w:t xml:space="preserve"> i</w:t>
      </w:r>
      <w:r w:rsidR="006E6446">
        <w:t> </w:t>
      </w:r>
      <w:r w:rsidR="006E6446" w:rsidRPr="00392E88">
        <w:t>sku</w:t>
      </w:r>
      <w:r w:rsidRPr="00392E88">
        <w:t>tecznego nadzoru we wszystkich IORP</w:t>
      </w:r>
      <w:r w:rsidR="006E6446" w:rsidRPr="00392E88">
        <w:t>. W</w:t>
      </w:r>
      <w:r w:rsidR="006E6446">
        <w:t> </w:t>
      </w:r>
      <w:r w:rsidR="006E6446" w:rsidRPr="00392E88">
        <w:t>szc</w:t>
      </w:r>
      <w:r w:rsidRPr="00392E88">
        <w:t>zególności różnice</w:t>
      </w:r>
      <w:r w:rsidR="006E6446" w:rsidRPr="00392E88">
        <w:t xml:space="preserve"> w</w:t>
      </w:r>
      <w:r w:rsidR="006E6446">
        <w:t> </w:t>
      </w:r>
      <w:r w:rsidR="006E6446" w:rsidRPr="00392E88">
        <w:t>fun</w:t>
      </w:r>
      <w:r w:rsidRPr="00392E88">
        <w:t>kcjach kontroli wewnętrznej, rozwiązywaniu konfliktów interesów oraz składzie</w:t>
      </w:r>
      <w:r w:rsidR="006E6446" w:rsidRPr="00392E88">
        <w:t xml:space="preserve"> i</w:t>
      </w:r>
      <w:r w:rsidR="006E6446">
        <w:t> </w:t>
      </w:r>
      <w:r w:rsidR="006E6446" w:rsidRPr="00392E88">
        <w:t>sku</w:t>
      </w:r>
      <w:r w:rsidRPr="00392E88">
        <w:t>teczności organów administrujących, zarządzających lub nadzorczych mogą osłabić ochronę uczestników</w:t>
      </w:r>
      <w:r w:rsidR="006E6446" w:rsidRPr="00392E88">
        <w:t xml:space="preserve"> i</w:t>
      </w:r>
      <w:r w:rsidR="006E6446">
        <w:t> </w:t>
      </w:r>
      <w:r w:rsidR="006E6446" w:rsidRPr="00392E88">
        <w:t>ben</w:t>
      </w:r>
      <w:r w:rsidRPr="00392E88">
        <w:t>eficjentów oraz integralność zarządzania programami emerytalnymi. Aby zwiększyć odporność, przejrzystość</w:t>
      </w:r>
      <w:r w:rsidR="006E6446" w:rsidRPr="00392E88">
        <w:t xml:space="preserve"> i</w:t>
      </w:r>
      <w:r w:rsidR="006E6446">
        <w:t> </w:t>
      </w:r>
      <w:r w:rsidR="006E6446" w:rsidRPr="00392E88">
        <w:t>odp</w:t>
      </w:r>
      <w:r w:rsidRPr="00392E88">
        <w:t>owiedzialność IORP, należy zatem doprecyzować system zarządzania,</w:t>
      </w:r>
      <w:r w:rsidR="006E6446" w:rsidRPr="00392E88">
        <w:t xml:space="preserve"> a</w:t>
      </w:r>
      <w:r w:rsidR="006E6446">
        <w:t> </w:t>
      </w:r>
      <w:r w:rsidR="006E6446" w:rsidRPr="00392E88">
        <w:t>wła</w:t>
      </w:r>
      <w:r w:rsidRPr="00392E88">
        <w:t>ściwe organy powinny dysponować uprawnieniami niezbędnymi do oceny i,</w:t>
      </w:r>
      <w:r w:rsidR="006E6446" w:rsidRPr="00392E88">
        <w:t xml:space="preserve"> w</w:t>
      </w:r>
      <w:r w:rsidR="006E6446">
        <w:t> </w:t>
      </w:r>
      <w:r w:rsidR="006E6446" w:rsidRPr="00392E88">
        <w:t>sto</w:t>
      </w:r>
      <w:r w:rsidRPr="00392E88">
        <w:t>sownych przypadkach, wzmocnienia systemów zarządzania IORP.</w:t>
      </w:r>
    </w:p>
    <w:p w14:paraId="7EC3E2A1" w14:textId="7E99C4E3" w:rsidR="008B4BAA" w:rsidRPr="00392E88" w:rsidRDefault="00B407F3" w:rsidP="00B407F3">
      <w:pPr>
        <w:pStyle w:val="ManualConsidrant"/>
      </w:pPr>
      <w:r>
        <w:t>(27)</w:t>
      </w:r>
      <w:r>
        <w:tab/>
      </w:r>
      <w:r w:rsidRPr="00392E88">
        <w:t>Skuteczne</w:t>
      </w:r>
      <w:r w:rsidR="006E6446" w:rsidRPr="00392E88">
        <w:t xml:space="preserve"> i</w:t>
      </w:r>
      <w:r w:rsidR="006E6446">
        <w:t> </w:t>
      </w:r>
      <w:r w:rsidR="006E6446" w:rsidRPr="00392E88">
        <w:t>ost</w:t>
      </w:r>
      <w:r w:rsidRPr="00392E88">
        <w:t>rożne zarządzanie IORP zależy od kompetencji</w:t>
      </w:r>
      <w:r w:rsidR="006E6446" w:rsidRPr="00392E88">
        <w:t xml:space="preserve"> i</w:t>
      </w:r>
      <w:r w:rsidR="006E6446">
        <w:t> </w:t>
      </w:r>
      <w:r w:rsidR="006E6446" w:rsidRPr="00392E88">
        <w:t>rep</w:t>
      </w:r>
      <w:r w:rsidRPr="00392E88">
        <w:t>utacji osób faktycznie zarządzających IORP, jej organów administrujących, zarządzających lub nadzorczych oraz osób pełniących kluczowe funkcje,</w:t>
      </w:r>
      <w:r w:rsidR="006E6446" w:rsidRPr="00392E88">
        <w:t xml:space="preserve"> w</w:t>
      </w:r>
      <w:r w:rsidR="006E6446">
        <w:t> </w:t>
      </w:r>
      <w:r w:rsidR="006E6446" w:rsidRPr="00392E88">
        <w:t>tym</w:t>
      </w:r>
      <w:r w:rsidRPr="00392E88">
        <w:t xml:space="preserve"> osób, którym zlecono wykonywanie funkcji na zasadzie outsourcingu. Dyrektywa (UE) 2016/2341 odnosi się do pojęcia zbiorczych kompetencji osób faktycznie zarządzających IORP. Potrzebne są dalsze wyjaśnienia, aby zapewnić stosowanie tej koncepcji</w:t>
      </w:r>
      <w:r w:rsidR="006E6446" w:rsidRPr="00392E88">
        <w:t xml:space="preserve"> w</w:t>
      </w:r>
      <w:r w:rsidR="006E6446">
        <w:t> </w:t>
      </w:r>
      <w:r w:rsidR="006E6446" w:rsidRPr="00392E88">
        <w:t>spo</w:t>
      </w:r>
      <w:r w:rsidRPr="00392E88">
        <w:t>sób spójny</w:t>
      </w:r>
      <w:r w:rsidR="006E6446" w:rsidRPr="00392E88">
        <w:t xml:space="preserve"> z</w:t>
      </w:r>
      <w:r w:rsidR="006E6446">
        <w:t> </w:t>
      </w:r>
      <w:r w:rsidR="006E6446" w:rsidRPr="00392E88">
        <w:t>róż</w:t>
      </w:r>
      <w:r w:rsidRPr="00392E88">
        <w:t>norodnością struktur zarządzania</w:t>
      </w:r>
      <w:r w:rsidR="006E6446" w:rsidRPr="00392E88">
        <w:t xml:space="preserve"> w</w:t>
      </w:r>
      <w:r w:rsidR="006E6446">
        <w:t> </w:t>
      </w:r>
      <w:r w:rsidR="006E6446" w:rsidRPr="00392E88">
        <w:t>pań</w:t>
      </w:r>
      <w:r w:rsidRPr="00392E88">
        <w:t>stwach członkowskich</w:t>
      </w:r>
      <w:r w:rsidR="006E6446" w:rsidRPr="00392E88">
        <w:t>. W</w:t>
      </w:r>
      <w:r w:rsidR="006E6446">
        <w:t> </w:t>
      </w:r>
      <w:r w:rsidR="006E6446" w:rsidRPr="00392E88">
        <w:t>szc</w:t>
      </w:r>
      <w:r w:rsidRPr="00392E88">
        <w:t>zególności zbiorcze kompetencje powinny mieć zastosowanie</w:t>
      </w:r>
      <w:r w:rsidR="006E6446" w:rsidRPr="00392E88">
        <w:t xml:space="preserve"> w</w:t>
      </w:r>
      <w:r w:rsidR="006E6446">
        <w:t> </w:t>
      </w:r>
      <w:r w:rsidR="006E6446" w:rsidRPr="00392E88">
        <w:t>prz</w:t>
      </w:r>
      <w:r w:rsidRPr="00392E88">
        <w:t>ypadku, gdy organ administrujący, zarządzający lub nadzorczy działa jako organ kolegialny, którego członkowie wspólnie pełnią funkcje strategiczne lub nadzorcze</w:t>
      </w:r>
      <w:r w:rsidR="006E6446" w:rsidRPr="00392E88">
        <w:t>. W</w:t>
      </w:r>
      <w:r w:rsidR="006E6446">
        <w:t> </w:t>
      </w:r>
      <w:r w:rsidR="006E6446" w:rsidRPr="00392E88">
        <w:t>prz</w:t>
      </w:r>
      <w:r w:rsidRPr="00392E88">
        <w:t>ypadku gdy funkcje są odrębne lub wykonywane indywidualnie, ocena kompetencji powinna odnosić się do konkretnej roli oraz do konkretnych obowiązków</w:t>
      </w:r>
      <w:r w:rsidR="006E6446" w:rsidRPr="00392E88">
        <w:t xml:space="preserve"> i</w:t>
      </w:r>
      <w:r w:rsidR="006E6446">
        <w:t> </w:t>
      </w:r>
      <w:r w:rsidR="006E6446" w:rsidRPr="00392E88">
        <w:t>upr</w:t>
      </w:r>
      <w:r w:rsidRPr="00392E88">
        <w:t>awnień decyzyjnych poszczególnych osób. Ponadto obecne przepisy nie przewidują wyraźnie bieżącego monitorowania zmian ani terminowego powiadamiania</w:t>
      </w:r>
      <w:r w:rsidR="006E6446" w:rsidRPr="00392E88">
        <w:t xml:space="preserve"> o</w:t>
      </w:r>
      <w:r w:rsidR="006E6446">
        <w:t> </w:t>
      </w:r>
      <w:r w:rsidR="006E6446" w:rsidRPr="00392E88">
        <w:t>zmi</w:t>
      </w:r>
      <w:r w:rsidRPr="00392E88">
        <w:t>anach, które mogą również prowadzić do luk</w:t>
      </w:r>
      <w:r w:rsidR="006E6446" w:rsidRPr="00392E88">
        <w:t xml:space="preserve"> w</w:t>
      </w:r>
      <w:r w:rsidR="006E6446">
        <w:t> </w:t>
      </w:r>
      <w:r w:rsidR="006E6446" w:rsidRPr="00392E88">
        <w:t>zar</w:t>
      </w:r>
      <w:r w:rsidRPr="00392E88">
        <w:t>ządzaniu, niewystarczającego nadzoru nad ryzykiem lub nierozwiązanych konfliktów interesów. Aby zapewnić odpowiednią ochronę uczestników</w:t>
      </w:r>
      <w:r w:rsidR="006E6446" w:rsidRPr="00392E88">
        <w:t xml:space="preserve"> i</w:t>
      </w:r>
      <w:r w:rsidR="006E6446">
        <w:t> </w:t>
      </w:r>
      <w:r w:rsidR="006E6446" w:rsidRPr="00392E88">
        <w:t>ben</w:t>
      </w:r>
      <w:r w:rsidRPr="00392E88">
        <w:t>eficjentów oraz skuteczny nadzór ze strony właściwych organów, należy określić wymogi dotyczące kompetencji</w:t>
      </w:r>
      <w:r w:rsidR="006E6446" w:rsidRPr="00392E88">
        <w:t xml:space="preserve"> i</w:t>
      </w:r>
      <w:r w:rsidR="006E6446">
        <w:t> </w:t>
      </w:r>
      <w:r w:rsidR="006E6446" w:rsidRPr="00392E88">
        <w:t>rep</w:t>
      </w:r>
      <w:r w:rsidRPr="00392E88">
        <w:t>utacji,</w:t>
      </w:r>
      <w:r w:rsidR="006E6446" w:rsidRPr="00392E88">
        <w:t xml:space="preserve"> a</w:t>
      </w:r>
      <w:r w:rsidR="006E6446">
        <w:t> </w:t>
      </w:r>
      <w:r w:rsidR="006E6446" w:rsidRPr="00392E88">
        <w:t>wła</w:t>
      </w:r>
      <w:r w:rsidRPr="00392E88">
        <w:t>ściwe organy powinny być odpowiedzialne za bieżącą ocenę odpowiedniości</w:t>
      </w:r>
      <w:r w:rsidR="006E6446" w:rsidRPr="00392E88">
        <w:t xml:space="preserve"> i</w:t>
      </w:r>
      <w:r w:rsidR="006E6446">
        <w:t> </w:t>
      </w:r>
      <w:r w:rsidR="006E6446" w:rsidRPr="00392E88">
        <w:t>pow</w:t>
      </w:r>
      <w:r w:rsidRPr="00392E88">
        <w:t>inny być uprawnione do żądania usunięcia osób, które nie spełniają już tych wymogów.</w:t>
      </w:r>
    </w:p>
    <w:p w14:paraId="3BDA469B" w14:textId="16FF0CF7" w:rsidR="00700C17" w:rsidRPr="00392E88" w:rsidRDefault="00700C17" w:rsidP="00FA5826">
      <w:pPr>
        <w:pStyle w:val="ManualConsidrant"/>
      </w:pPr>
      <w:r>
        <w:t>(28)</w:t>
      </w:r>
      <w:r>
        <w:tab/>
      </w:r>
      <w:r w:rsidRPr="00392E88">
        <w:t>Skuteczne zarządzanie ryzykiem ma zasadnicze znaczenie dla zapewnienia należytego</w:t>
      </w:r>
      <w:r w:rsidR="006E6446" w:rsidRPr="00392E88">
        <w:t xml:space="preserve"> i</w:t>
      </w:r>
      <w:r w:rsidR="006E6446">
        <w:t> </w:t>
      </w:r>
      <w:r w:rsidR="006E6446" w:rsidRPr="00392E88">
        <w:t>ost</w:t>
      </w:r>
      <w:r w:rsidRPr="00392E88">
        <w:t>rożnego funkcjonowania IORP oraz ochrony uczestników</w:t>
      </w:r>
      <w:r w:rsidR="006E6446" w:rsidRPr="00392E88">
        <w:t xml:space="preserve"> i</w:t>
      </w:r>
      <w:r w:rsidR="006E6446">
        <w:t> </w:t>
      </w:r>
      <w:r w:rsidR="006E6446" w:rsidRPr="00392E88">
        <w:t>ben</w:t>
      </w:r>
      <w:r w:rsidRPr="00392E88">
        <w:t>eficjentów. Wybory operacyjne</w:t>
      </w:r>
      <w:r w:rsidR="006E6446" w:rsidRPr="00392E88">
        <w:t xml:space="preserve"> i</w:t>
      </w:r>
      <w:r w:rsidR="006E6446">
        <w:t> </w:t>
      </w:r>
      <w:r w:rsidR="006E6446" w:rsidRPr="00392E88">
        <w:t>str</w:t>
      </w:r>
      <w:r w:rsidRPr="00392E88">
        <w:t>ukturalne IORP,</w:t>
      </w:r>
      <w:r w:rsidR="006E6446" w:rsidRPr="00392E88">
        <w:t xml:space="preserve"> w</w:t>
      </w:r>
      <w:r w:rsidR="006E6446">
        <w:t> </w:t>
      </w:r>
      <w:r w:rsidR="006E6446" w:rsidRPr="00392E88">
        <w:t>tym</w:t>
      </w:r>
      <w:r w:rsidRPr="00392E88">
        <w:t xml:space="preserve"> udział</w:t>
      </w:r>
      <w:r w:rsidR="006E6446" w:rsidRPr="00392E88">
        <w:t xml:space="preserve"> w</w:t>
      </w:r>
      <w:r w:rsidR="006E6446">
        <w:t> </w:t>
      </w:r>
      <w:r w:rsidR="006E6446" w:rsidRPr="00392E88">
        <w:t>zbi</w:t>
      </w:r>
      <w:r w:rsidRPr="00392E88">
        <w:t>orczych strukturach inwestycyjnych, usługach dzielonych lub przeniesieniach, mogą mieć wpływ na ich ogólny profil ryzyka</w:t>
      </w:r>
      <w:r w:rsidR="006E6446" w:rsidRPr="00392E88">
        <w:t>. W</w:t>
      </w:r>
      <w:r w:rsidR="006E6446">
        <w:t> </w:t>
      </w:r>
      <w:r w:rsidR="006E6446" w:rsidRPr="00392E88">
        <w:t>cel</w:t>
      </w:r>
      <w:r w:rsidRPr="00392E88">
        <w:t>u zapewnienia należytego</w:t>
      </w:r>
      <w:r w:rsidR="006E6446" w:rsidRPr="00392E88">
        <w:t xml:space="preserve"> i</w:t>
      </w:r>
      <w:r w:rsidR="006E6446">
        <w:t> </w:t>
      </w:r>
      <w:r w:rsidR="006E6446" w:rsidRPr="00392E88">
        <w:t>ost</w:t>
      </w:r>
      <w:r w:rsidRPr="00392E88">
        <w:t>rożnego zarządzania IORP powinny oceniać rodzaje ryzyka, na które są lub mogą być narażone,</w:t>
      </w:r>
      <w:r w:rsidR="006E6446" w:rsidRPr="00392E88">
        <w:t xml:space="preserve"> w</w:t>
      </w:r>
      <w:r w:rsidR="006E6446">
        <w:t> </w:t>
      </w:r>
      <w:r w:rsidR="006E6446" w:rsidRPr="00392E88">
        <w:t>sto</w:t>
      </w:r>
      <w:r w:rsidRPr="00392E88">
        <w:t>sunku do limitów tolerancji ryzyka zatwierdzonych przez ich organ zarządzający lub nadzorczy, biorąc pod uwagę zdolność</w:t>
      </w:r>
      <w:r w:rsidR="006E6446" w:rsidRPr="00392E88">
        <w:t xml:space="preserve"> i</w:t>
      </w:r>
      <w:r w:rsidR="006E6446">
        <w:t> </w:t>
      </w:r>
      <w:r w:rsidR="006E6446" w:rsidRPr="00392E88">
        <w:t>skł</w:t>
      </w:r>
      <w:r w:rsidRPr="00392E88">
        <w:t>onność uczestników</w:t>
      </w:r>
      <w:r w:rsidR="006E6446" w:rsidRPr="00392E88">
        <w:t xml:space="preserve"> i</w:t>
      </w:r>
      <w:r w:rsidR="006E6446">
        <w:t> </w:t>
      </w:r>
      <w:r w:rsidR="006E6446" w:rsidRPr="00392E88">
        <w:t>ben</w:t>
      </w:r>
      <w:r w:rsidRPr="00392E88">
        <w:t>eficjentów do podejmowania ryzyka. Korzyści skali</w:t>
      </w:r>
      <w:r w:rsidR="006E6446" w:rsidRPr="00392E88">
        <w:t xml:space="preserve"> i</w:t>
      </w:r>
      <w:r w:rsidR="006E6446">
        <w:t> </w:t>
      </w:r>
      <w:r w:rsidR="006E6446" w:rsidRPr="00392E88">
        <w:t>war</w:t>
      </w:r>
      <w:r w:rsidRPr="00392E88">
        <w:t>ianty</w:t>
      </w:r>
      <w:r w:rsidR="006E6446" w:rsidRPr="00392E88">
        <w:t xml:space="preserve"> w</w:t>
      </w:r>
      <w:r w:rsidR="006E6446">
        <w:t> </w:t>
      </w:r>
      <w:r w:rsidR="006E6446" w:rsidRPr="00392E88">
        <w:t>zak</w:t>
      </w:r>
      <w:r w:rsidRPr="00392E88">
        <w:t>resie efektywności mogą zmniejszyć ryzyko operacyjne</w:t>
      </w:r>
      <w:r w:rsidR="006E6446" w:rsidRPr="00392E88">
        <w:t xml:space="preserve"> i</w:t>
      </w:r>
      <w:r w:rsidR="006E6446">
        <w:t> </w:t>
      </w:r>
      <w:r w:rsidR="006E6446" w:rsidRPr="00392E88">
        <w:t>inw</w:t>
      </w:r>
      <w:r w:rsidRPr="00392E88">
        <w:t>estycyjne dla uczestników</w:t>
      </w:r>
      <w:r w:rsidR="006E6446" w:rsidRPr="00392E88">
        <w:t xml:space="preserve"> i</w:t>
      </w:r>
      <w:r w:rsidR="006E6446">
        <w:t> </w:t>
      </w:r>
      <w:r w:rsidR="006E6446" w:rsidRPr="00392E88">
        <w:t>ben</w:t>
      </w:r>
      <w:r w:rsidRPr="00392E88">
        <w:t>eficjentów,</w:t>
      </w:r>
      <w:r w:rsidR="006E6446" w:rsidRPr="00392E88">
        <w:t xml:space="preserve"> w</w:t>
      </w:r>
      <w:r w:rsidR="006E6446">
        <w:t> </w:t>
      </w:r>
      <w:r w:rsidR="006E6446" w:rsidRPr="00392E88">
        <w:t>zwi</w:t>
      </w:r>
      <w:r w:rsidRPr="00392E88">
        <w:t>ązku</w:t>
      </w:r>
      <w:r w:rsidR="006E6446" w:rsidRPr="00392E88">
        <w:t xml:space="preserve"> z</w:t>
      </w:r>
      <w:r w:rsidR="006E6446">
        <w:t> </w:t>
      </w:r>
      <w:r w:rsidR="006E6446" w:rsidRPr="00392E88">
        <w:t>czy</w:t>
      </w:r>
      <w:r w:rsidRPr="00392E88">
        <w:t>m należy je uwzględnić we własnej ocenie ryzyka.</w:t>
      </w:r>
    </w:p>
    <w:p w14:paraId="3FD3758F" w14:textId="6498E333" w:rsidR="00893DB9" w:rsidRPr="00392E88" w:rsidRDefault="008C6129" w:rsidP="00FA5826">
      <w:pPr>
        <w:pStyle w:val="ManualConsidrant"/>
      </w:pPr>
      <w:r>
        <w:t>(29)</w:t>
      </w:r>
      <w:r>
        <w:tab/>
      </w:r>
      <w:r w:rsidRPr="00392E88">
        <w:t>Zgodnie</w:t>
      </w:r>
      <w:r w:rsidR="006E6446" w:rsidRPr="00392E88">
        <w:t xml:space="preserve"> z</w:t>
      </w:r>
      <w:r w:rsidR="006E6446">
        <w:t> </w:t>
      </w:r>
      <w:r w:rsidR="006E6446" w:rsidRPr="00392E88">
        <w:t>pod</w:t>
      </w:r>
      <w:r w:rsidRPr="00392E88">
        <w:t>stawowymi zasadami OECD dotyczącymi regulacji emerytur prywatnych oraz związanymi</w:t>
      </w:r>
      <w:r w:rsidR="006E6446" w:rsidRPr="00392E88">
        <w:t xml:space="preserve"> z</w:t>
      </w:r>
      <w:r w:rsidR="006E6446">
        <w:t> </w:t>
      </w:r>
      <w:r w:rsidR="006E6446" w:rsidRPr="00392E88">
        <w:t>nim</w:t>
      </w:r>
      <w:r w:rsidRPr="00392E88">
        <w:t>i wytycznymi wykonawczymi należy dodatkowo zaostrzyć wymogi oświadczenia</w:t>
      </w:r>
      <w:r w:rsidR="006E6446" w:rsidRPr="00392E88">
        <w:t xml:space="preserve"> o</w:t>
      </w:r>
      <w:r w:rsidR="006E6446">
        <w:t> </w:t>
      </w:r>
      <w:r w:rsidR="006E6446" w:rsidRPr="00392E88">
        <w:t>zas</w:t>
      </w:r>
      <w:r w:rsidRPr="00392E88">
        <w:t>adach polityki inwestycyjnej przez zapewnienie, aby określało ono jasne cele inwestycyjne spójne</w:t>
      </w:r>
      <w:r w:rsidR="006E6446" w:rsidRPr="00392E88">
        <w:t xml:space="preserve"> z</w:t>
      </w:r>
      <w:r w:rsidR="006E6446">
        <w:t> </w:t>
      </w:r>
      <w:r w:rsidR="006E6446" w:rsidRPr="00392E88">
        <w:t>cel</w:t>
      </w:r>
      <w:r w:rsidRPr="00392E88">
        <w:t>em poszczególnych programów</w:t>
      </w:r>
      <w:r w:rsidR="006E6446" w:rsidRPr="00392E88">
        <w:t xml:space="preserve"> w</w:t>
      </w:r>
      <w:r w:rsidR="006E6446">
        <w:t> </w:t>
      </w:r>
      <w:r w:rsidR="006E6446" w:rsidRPr="00392E88">
        <w:t>zak</w:t>
      </w:r>
      <w:r w:rsidRPr="00392E88">
        <w:t>resie dochodów emerytalnych, zobowiązaniami</w:t>
      </w:r>
      <w:r w:rsidR="006E6446" w:rsidRPr="00392E88">
        <w:t xml:space="preserve"> i</w:t>
      </w:r>
      <w:r w:rsidR="006E6446">
        <w:t> </w:t>
      </w:r>
      <w:r w:rsidR="006E6446" w:rsidRPr="00392E88">
        <w:t>tol</w:t>
      </w:r>
      <w:r w:rsidRPr="00392E88">
        <w:t>erancją ryzyka,</w:t>
      </w:r>
      <w:r w:rsidR="006E6446" w:rsidRPr="00392E88">
        <w:t xml:space="preserve"> a</w:t>
      </w:r>
      <w:r w:rsidR="006E6446">
        <w:t> </w:t>
      </w:r>
      <w:r w:rsidR="006E6446" w:rsidRPr="00392E88">
        <w:t>tak</w:t>
      </w:r>
      <w:r w:rsidRPr="00392E88">
        <w:t>że aby określało ono cele</w:t>
      </w:r>
      <w:r w:rsidR="006E6446" w:rsidRPr="00392E88">
        <w:t xml:space="preserve"> w</w:t>
      </w:r>
      <w:r w:rsidR="006E6446">
        <w:t> </w:t>
      </w:r>
      <w:r w:rsidR="006E6446" w:rsidRPr="00392E88">
        <w:t>zak</w:t>
      </w:r>
      <w:r w:rsidRPr="00392E88">
        <w:t>resie wyników</w:t>
      </w:r>
      <w:r w:rsidR="006E6446" w:rsidRPr="00392E88">
        <w:t xml:space="preserve"> i</w:t>
      </w:r>
      <w:r w:rsidR="006E6446">
        <w:t> </w:t>
      </w:r>
      <w:r w:rsidR="006E6446" w:rsidRPr="00392E88">
        <w:t>met</w:t>
      </w:r>
      <w:r w:rsidRPr="00392E88">
        <w:t>ody monitorowania oraz uwzględniało stosowanie złożonych lub alternatywnych klas aktywów</w:t>
      </w:r>
      <w:r w:rsidR="006E6446" w:rsidRPr="00392E88">
        <w:t xml:space="preserve"> i</w:t>
      </w:r>
      <w:r w:rsidR="006E6446">
        <w:t> </w:t>
      </w:r>
      <w:r w:rsidR="006E6446" w:rsidRPr="00392E88">
        <w:t>pow</w:t>
      </w:r>
      <w:r w:rsidRPr="00392E88">
        <w:t>iązanego ryzyka kontrahenta</w:t>
      </w:r>
      <w:r w:rsidR="006E6446" w:rsidRPr="00392E88">
        <w:t>. W</w:t>
      </w:r>
      <w:r w:rsidR="006E6446">
        <w:t> </w:t>
      </w:r>
      <w:r w:rsidR="006E6446" w:rsidRPr="00392E88">
        <w:t>prz</w:t>
      </w:r>
      <w:r w:rsidRPr="00392E88">
        <w:t>ypadku gdy uczestnicy mogą wybrać inwestycje,</w:t>
      </w:r>
      <w:r w:rsidR="006E6446" w:rsidRPr="00392E88">
        <w:t xml:space="preserve"> w</w:t>
      </w:r>
      <w:r w:rsidR="006E6446">
        <w:t> </w:t>
      </w:r>
      <w:r w:rsidR="006E6446" w:rsidRPr="00392E88">
        <w:t>ośw</w:t>
      </w:r>
      <w:r w:rsidRPr="00392E88">
        <w:t>iadczeniu tym należy również przewidzieć odpowiedni zakres wariantów,</w:t>
      </w:r>
      <w:r w:rsidR="006E6446" w:rsidRPr="00392E88">
        <w:t xml:space="preserve"> w</w:t>
      </w:r>
      <w:r w:rsidR="006E6446">
        <w:t> </w:t>
      </w:r>
      <w:r w:rsidR="006E6446" w:rsidRPr="00392E88">
        <w:t>tym</w:t>
      </w:r>
      <w:r w:rsidRPr="00392E88">
        <w:t xml:space="preserve"> wariant domyślny.</w:t>
      </w:r>
    </w:p>
    <w:p w14:paraId="2E51D334" w14:textId="6A75B1B6" w:rsidR="007B7CE5" w:rsidRPr="00392E88" w:rsidRDefault="00E4592E" w:rsidP="00E338B6">
      <w:pPr>
        <w:pStyle w:val="ManualConsidrant"/>
      </w:pPr>
      <w:r>
        <w:t>(30)</w:t>
      </w:r>
      <w:r>
        <w:tab/>
      </w:r>
      <w:r w:rsidRPr="00392E88">
        <w:t>Łączenie aktywów może przynieść korzyści skali, poprawić wyniki inwestycyjne</w:t>
      </w:r>
      <w:r w:rsidR="006E6446" w:rsidRPr="00392E88">
        <w:t xml:space="preserve"> i</w:t>
      </w:r>
      <w:r w:rsidR="006E6446">
        <w:t> </w:t>
      </w:r>
      <w:r w:rsidR="006E6446" w:rsidRPr="00392E88">
        <w:t>obn</w:t>
      </w:r>
      <w:r w:rsidRPr="00392E88">
        <w:t>iżyć koszty ponoszone przez uczestników</w:t>
      </w:r>
      <w:r w:rsidR="006E6446" w:rsidRPr="00392E88">
        <w:t xml:space="preserve"> i</w:t>
      </w:r>
      <w:r w:rsidR="006E6446">
        <w:t> </w:t>
      </w:r>
      <w:r w:rsidR="006E6446" w:rsidRPr="00392E88">
        <w:t>ben</w:t>
      </w:r>
      <w:r w:rsidRPr="00392E88">
        <w:t>eficjentów. Art. 31 dyrektywy (UE) 2016/2341 zezwala jednak państwom członkowskim na zakazanie outsourcingu działalności przez IORP,</w:t>
      </w:r>
      <w:r w:rsidR="006E6446" w:rsidRPr="00392E88">
        <w:t xml:space="preserve"> w</w:t>
      </w:r>
      <w:r w:rsidR="006E6446">
        <w:t> </w:t>
      </w:r>
      <w:r w:rsidR="006E6446" w:rsidRPr="00392E88">
        <w:t>tym</w:t>
      </w:r>
      <w:r w:rsidRPr="00392E88">
        <w:t xml:space="preserve"> outsourcingu zarządzania inwestycjami. Skorzystanie</w:t>
      </w:r>
      <w:r w:rsidR="006E6446" w:rsidRPr="00392E88">
        <w:t xml:space="preserve"> z</w:t>
      </w:r>
      <w:r w:rsidR="006E6446">
        <w:t> </w:t>
      </w:r>
      <w:r w:rsidR="006E6446" w:rsidRPr="00392E88">
        <w:t>teg</w:t>
      </w:r>
      <w:r w:rsidRPr="00392E88">
        <w:t>o wariantu doprowadziło do powstania barier regulacyjnych dla przyrostu efektywności</w:t>
      </w:r>
      <w:r w:rsidR="006E6446" w:rsidRPr="00392E88">
        <w:t xml:space="preserve"> i</w:t>
      </w:r>
      <w:r w:rsidR="006E6446">
        <w:t> </w:t>
      </w:r>
      <w:r w:rsidR="006E6446" w:rsidRPr="00392E88">
        <w:t>kor</w:t>
      </w:r>
      <w:r w:rsidRPr="00392E88">
        <w:t>zyści skali. Podejście</w:t>
      </w:r>
      <w:r w:rsidR="006E6446" w:rsidRPr="00392E88">
        <w:t xml:space="preserve"> w</w:t>
      </w:r>
      <w:r w:rsidR="006E6446">
        <w:t> </w:t>
      </w:r>
      <w:r w:rsidR="006E6446" w:rsidRPr="00392E88">
        <w:t>wię</w:t>
      </w:r>
      <w:r w:rsidRPr="00392E88">
        <w:t>kszym stopniu oparte na analizie ryzyka zagwarantowałoby, że outsourcing byłby zasadniczo dozwolony lub wymagany, pod warunkiem że nie pogarszałby jakości zarządzania, nie prowadziłby do nadmiernego zwiększenia ryzyka operacyjnego, nie pogarszałby ciągłego</w:t>
      </w:r>
      <w:r w:rsidR="006E6446" w:rsidRPr="00392E88">
        <w:t xml:space="preserve"> i</w:t>
      </w:r>
      <w:r w:rsidR="006E6446">
        <w:t> </w:t>
      </w:r>
      <w:r w:rsidR="006E6446" w:rsidRPr="00392E88">
        <w:t>zad</w:t>
      </w:r>
      <w:r w:rsidRPr="00392E88">
        <w:t>owalającego świadczenia usług uczestnikom</w:t>
      </w:r>
      <w:r w:rsidR="006E6446" w:rsidRPr="00392E88">
        <w:t xml:space="preserve"> i</w:t>
      </w:r>
      <w:r w:rsidR="006E6446">
        <w:t> </w:t>
      </w:r>
      <w:r w:rsidR="006E6446" w:rsidRPr="00392E88">
        <w:t>ben</w:t>
      </w:r>
      <w:r w:rsidRPr="00392E88">
        <w:t>eficjentom ani nie utrudniałby skutecznego nadzoru. Należy zatem określić, że państwa członkowskie powinny zezwolić takim instytucjom na outsourcing lub,</w:t>
      </w:r>
      <w:r w:rsidR="006E6446" w:rsidRPr="00392E88">
        <w:t xml:space="preserve"> w</w:t>
      </w:r>
      <w:r w:rsidR="006E6446">
        <w:t> </w:t>
      </w:r>
      <w:r w:rsidR="006E6446" w:rsidRPr="00392E88">
        <w:t>sto</w:t>
      </w:r>
      <w:r w:rsidRPr="00392E88">
        <w:t>sownych przypadkach, wymagać takiego outsourcingu, bez uszczerbku dla możliwości sprzeciwienia się szczególnym uzgodnieniom dotyczącym outsourcingu</w:t>
      </w:r>
      <w:r w:rsidR="006E6446" w:rsidRPr="00392E88">
        <w:t xml:space="preserve"> w</w:t>
      </w:r>
      <w:r w:rsidR="006E6446">
        <w:t> </w:t>
      </w:r>
      <w:r w:rsidR="006E6446" w:rsidRPr="00392E88">
        <w:t>pos</w:t>
      </w:r>
      <w:r w:rsidRPr="00392E88">
        <w:t>zczególnych przypadkach na podstawie należycie uzasadnionych względów ostrożnościowych.</w:t>
      </w:r>
    </w:p>
    <w:p w14:paraId="14204D15" w14:textId="57052C3B" w:rsidR="0099662F" w:rsidRPr="00392E88" w:rsidRDefault="00631B6B" w:rsidP="0099662F">
      <w:pPr>
        <w:pStyle w:val="ManualConsidrant"/>
      </w:pPr>
      <w:r>
        <w:t>(31)</w:t>
      </w:r>
      <w:r>
        <w:tab/>
      </w:r>
      <w:r w:rsidRPr="00392E88">
        <w:t>Depozytariusze zapewniają dogodny środek ochrony aktywów</w:t>
      </w:r>
      <w:r w:rsidR="006E6446" w:rsidRPr="00392E88">
        <w:t xml:space="preserve"> i</w:t>
      </w:r>
      <w:r w:rsidR="006E6446">
        <w:t> </w:t>
      </w:r>
      <w:r w:rsidR="006E6446" w:rsidRPr="00392E88">
        <w:t>nad</w:t>
      </w:r>
      <w:r w:rsidRPr="00392E88">
        <w:t>zoru nad zarządzaniem pracowniczymi programami emerytalnymi, zwłaszcza</w:t>
      </w:r>
      <w:r w:rsidR="006E6446" w:rsidRPr="00392E88">
        <w:t xml:space="preserve"> w</w:t>
      </w:r>
      <w:r w:rsidR="006E6446">
        <w:t> </w:t>
      </w:r>
      <w:r w:rsidR="006E6446" w:rsidRPr="00392E88">
        <w:t>sys</w:t>
      </w:r>
      <w:r w:rsidRPr="00392E88">
        <w:t>temach</w:t>
      </w:r>
      <w:r w:rsidR="006E6446" w:rsidRPr="00392E88">
        <w:t xml:space="preserve"> o</w:t>
      </w:r>
      <w:r w:rsidR="006E6446">
        <w:t> </w:t>
      </w:r>
      <w:r w:rsidR="006E6446" w:rsidRPr="00392E88">
        <w:t>zde</w:t>
      </w:r>
      <w:r w:rsidRPr="00392E88">
        <w:t>finiowanej składce,</w:t>
      </w:r>
      <w:r w:rsidR="006E6446" w:rsidRPr="00392E88">
        <w:t xml:space="preserve"> w</w:t>
      </w:r>
      <w:r w:rsidR="006E6446">
        <w:t> </w:t>
      </w:r>
      <w:r w:rsidR="006E6446" w:rsidRPr="00392E88">
        <w:t>któ</w:t>
      </w:r>
      <w:r w:rsidRPr="00392E88">
        <w:t>rych uczestnicy</w:t>
      </w:r>
      <w:r w:rsidR="006E6446" w:rsidRPr="00392E88">
        <w:t xml:space="preserve"> i</w:t>
      </w:r>
      <w:r w:rsidR="006E6446">
        <w:t> </w:t>
      </w:r>
      <w:r w:rsidR="006E6446" w:rsidRPr="00392E88">
        <w:t>ben</w:t>
      </w:r>
      <w:r w:rsidRPr="00392E88">
        <w:t>eficjenci ponoszą</w:t>
      </w:r>
      <w:r w:rsidR="006E6446" w:rsidRPr="00392E88">
        <w:t xml:space="preserve"> w</w:t>
      </w:r>
      <w:r w:rsidR="006E6446">
        <w:t> </w:t>
      </w:r>
      <w:r w:rsidR="006E6446" w:rsidRPr="00392E88">
        <w:t>peł</w:t>
      </w:r>
      <w:r w:rsidRPr="00392E88">
        <w:t>ni ryzyko inwestycyjne. Zgodnie</w:t>
      </w:r>
      <w:r w:rsidR="006E6446" w:rsidRPr="00392E88">
        <w:t xml:space="preserve"> z</w:t>
      </w:r>
      <w:r w:rsidR="006E6446">
        <w:t> </w:t>
      </w:r>
      <w:r w:rsidR="006E6446" w:rsidRPr="00392E88">
        <w:t>dyr</w:t>
      </w:r>
      <w:r w:rsidRPr="00392E88">
        <w:t>ektywą (UE) 2016/2341 państwa członkowskie mają swobodę</w:t>
      </w:r>
      <w:r w:rsidR="006E6446" w:rsidRPr="00392E88">
        <w:t xml:space="preserve"> w</w:t>
      </w:r>
      <w:r w:rsidR="006E6446">
        <w:t> </w:t>
      </w:r>
      <w:r w:rsidR="006E6446" w:rsidRPr="00392E88">
        <w:t>zak</w:t>
      </w:r>
      <w:r w:rsidRPr="00392E88">
        <w:t>resie wymagania, co do zasady, od depozytariusza samodzielnego wykonywania tych funkcji lub zezwolenia IORP na samodzielne wykonywanie tych funkcji. Swoboda ta doprowadziła do niespójności</w:t>
      </w:r>
      <w:r w:rsidR="006E6446" w:rsidRPr="00392E88">
        <w:t xml:space="preserve"> i</w:t>
      </w:r>
      <w:r w:rsidR="006E6446">
        <w:t> </w:t>
      </w:r>
      <w:r w:rsidR="006E6446" w:rsidRPr="00392E88">
        <w:t>wyz</w:t>
      </w:r>
      <w:r w:rsidRPr="00392E88">
        <w:t>wań nadzorczych</w:t>
      </w:r>
      <w:r w:rsidR="006E6446" w:rsidRPr="00392E88">
        <w:t xml:space="preserve"> w</w:t>
      </w:r>
      <w:r w:rsidR="006E6446">
        <w:t> </w:t>
      </w:r>
      <w:r w:rsidR="006E6446" w:rsidRPr="00392E88">
        <w:t>dzi</w:t>
      </w:r>
      <w:r w:rsidRPr="00392E88">
        <w:t>ałalności transgranicznej. Różnice</w:t>
      </w:r>
      <w:r w:rsidR="006E6446" w:rsidRPr="00392E88">
        <w:t xml:space="preserve"> w</w:t>
      </w:r>
      <w:r w:rsidR="006E6446">
        <w:t> </w:t>
      </w:r>
      <w:r w:rsidR="006E6446" w:rsidRPr="00392E88">
        <w:t>prz</w:t>
      </w:r>
      <w:r w:rsidRPr="00392E88">
        <w:t>episach krajowych dotyczących rodzajów podmiotów, które mogą działać jako depozytariusze, oraz zakresu ich obowiązków mogą osłabić skuteczny nadzór ostrożnościowy, zmniejszyć przejrzystość</w:t>
      </w:r>
      <w:r w:rsidR="006E6446" w:rsidRPr="00392E88">
        <w:t xml:space="preserve"> i</w:t>
      </w:r>
      <w:r w:rsidR="006E6446">
        <w:t> </w:t>
      </w:r>
      <w:r w:rsidR="006E6446" w:rsidRPr="00392E88">
        <w:t>zwi</w:t>
      </w:r>
      <w:r w:rsidRPr="00392E88">
        <w:t>ększyć ryzyko konfliktów interesów lub błędów operacyjnych</w:t>
      </w:r>
      <w:r w:rsidR="006E6446" w:rsidRPr="00392E88">
        <w:t>. W</w:t>
      </w:r>
      <w:r w:rsidR="006E6446">
        <w:t> </w:t>
      </w:r>
      <w:r w:rsidR="006E6446" w:rsidRPr="00392E88">
        <w:t>ost</w:t>
      </w:r>
      <w:r w:rsidRPr="00392E88">
        <w:t>atnich latach przepisy dotyczące depozytariuszy określone</w:t>
      </w:r>
      <w:r w:rsidR="006E6446" w:rsidRPr="00392E88">
        <w:t xml:space="preserve"> w</w:t>
      </w:r>
      <w:r w:rsidR="006E6446">
        <w:t> </w:t>
      </w:r>
      <w:r w:rsidR="006E6446" w:rsidRPr="00392E88">
        <w:t>dyr</w:t>
      </w:r>
      <w:r w:rsidRPr="00392E88">
        <w:t>ektywie Parlamentu Europejskiego</w:t>
      </w:r>
      <w:r w:rsidR="006E6446" w:rsidRPr="00392E88">
        <w:t xml:space="preserve"> i</w:t>
      </w:r>
      <w:r w:rsidR="006E6446">
        <w:t> </w:t>
      </w:r>
      <w:r w:rsidR="006E6446" w:rsidRPr="00392E88">
        <w:t>Rad</w:t>
      </w:r>
      <w:r w:rsidRPr="00392E88">
        <w:t>y 2009/65/WE</w:t>
      </w:r>
      <w:r w:rsidRPr="00392E88">
        <w:rPr>
          <w:rStyle w:val="FootnoteReference"/>
        </w:rPr>
        <w:footnoteReference w:id="35"/>
      </w:r>
      <w:r w:rsidRPr="00392E88">
        <w:t xml:space="preserve"> zostały zaktualizowane</w:t>
      </w:r>
      <w:r w:rsidR="006E6446" w:rsidRPr="00392E88">
        <w:t xml:space="preserve"> i</w:t>
      </w:r>
      <w:r w:rsidR="006E6446">
        <w:t> </w:t>
      </w:r>
      <w:r w:rsidR="006E6446" w:rsidRPr="00392E88">
        <w:t>wzm</w:t>
      </w:r>
      <w:r w:rsidRPr="00392E88">
        <w:t>ocnione</w:t>
      </w:r>
      <w:r w:rsidR="006E6446" w:rsidRPr="00392E88">
        <w:t xml:space="preserve"> w</w:t>
      </w:r>
      <w:r w:rsidR="006E6446">
        <w:t> </w:t>
      </w:r>
      <w:r w:rsidR="006E6446" w:rsidRPr="00392E88">
        <w:t>cel</w:t>
      </w:r>
      <w:r w:rsidRPr="00392E88">
        <w:t>u zapewnienia wysokiego poziomu ochrony inwestorów. Uczestnicy</w:t>
      </w:r>
      <w:r w:rsidR="006E6446" w:rsidRPr="00392E88">
        <w:t xml:space="preserve"> i</w:t>
      </w:r>
      <w:r w:rsidR="006E6446">
        <w:t> </w:t>
      </w:r>
      <w:r w:rsidR="006E6446" w:rsidRPr="00392E88">
        <w:t>ben</w:t>
      </w:r>
      <w:r w:rsidRPr="00392E88">
        <w:t>eficjenci IORP, którzy podobnie powierzają swoje oszczędności emerytalne profesjonalnym zarządzającym, powinni korzystać</w:t>
      </w:r>
      <w:r w:rsidR="006E6446" w:rsidRPr="00392E88">
        <w:t xml:space="preserve"> z</w:t>
      </w:r>
      <w:r w:rsidR="006E6446">
        <w:t> </w:t>
      </w:r>
      <w:r w:rsidR="006E6446" w:rsidRPr="00392E88">
        <w:t>nie</w:t>
      </w:r>
      <w:r w:rsidRPr="00392E88">
        <w:t xml:space="preserve"> mniejszej ochrony niż inwestorzy objęci dyrektywą 2009/65/WE</w:t>
      </w:r>
      <w:r w:rsidR="006E6446" w:rsidRPr="00392E88">
        <w:t>. W</w:t>
      </w:r>
      <w:r w:rsidR="006E6446">
        <w:t> </w:t>
      </w:r>
      <w:r w:rsidR="006E6446" w:rsidRPr="00392E88">
        <w:t>zwi</w:t>
      </w:r>
      <w:r w:rsidRPr="00392E88">
        <w:t>ązku</w:t>
      </w:r>
      <w:r w:rsidR="006E6446" w:rsidRPr="00392E88">
        <w:t xml:space="preserve"> z</w:t>
      </w:r>
      <w:r w:rsidR="006E6446">
        <w:t> </w:t>
      </w:r>
      <w:r w:rsidR="006E6446" w:rsidRPr="00392E88">
        <w:t>tym</w:t>
      </w:r>
      <w:r w:rsidRPr="00392E88">
        <w:t>, aby zapewnić spójną ochronę uczestników</w:t>
      </w:r>
      <w:r w:rsidR="006E6446" w:rsidRPr="00392E88">
        <w:t xml:space="preserve"> i</w:t>
      </w:r>
      <w:r w:rsidR="006E6446">
        <w:t> </w:t>
      </w:r>
      <w:r w:rsidR="006E6446" w:rsidRPr="00392E88">
        <w:t>ben</w:t>
      </w:r>
      <w:r w:rsidRPr="00392E88">
        <w:t>eficjentów, zwiększyć zaufanie do systemu emerytalnego</w:t>
      </w:r>
      <w:r w:rsidR="006E6446" w:rsidRPr="00392E88">
        <w:t xml:space="preserve"> i</w:t>
      </w:r>
      <w:r w:rsidR="006E6446">
        <w:t> </w:t>
      </w:r>
      <w:r w:rsidR="006E6446" w:rsidRPr="00392E88">
        <w:t>uła</w:t>
      </w:r>
      <w:r w:rsidRPr="00392E88">
        <w:t>twić działalność transgraniczną,</w:t>
      </w:r>
      <w:r w:rsidR="006E6446" w:rsidRPr="00392E88">
        <w:t xml:space="preserve"> w</w:t>
      </w:r>
      <w:r w:rsidR="006E6446">
        <w:t> </w:t>
      </w:r>
      <w:r w:rsidR="006E6446" w:rsidRPr="00392E88">
        <w:t>dyr</w:t>
      </w:r>
      <w:r w:rsidRPr="00392E88">
        <w:t>ektywie (UE) 2016/2341 należy wprowadzić wymóg wyznaczenia profesjonalnego depozytariusza na potrzeby pracowniczych programów emerytalnych,</w:t>
      </w:r>
      <w:r w:rsidR="006E6446" w:rsidRPr="00392E88">
        <w:t xml:space="preserve"> w</w:t>
      </w:r>
      <w:r w:rsidR="006E6446">
        <w:t> </w:t>
      </w:r>
      <w:r w:rsidR="006E6446" w:rsidRPr="00392E88">
        <w:t>któ</w:t>
      </w:r>
      <w:r w:rsidRPr="00392E88">
        <w:t>rych uczestnicy</w:t>
      </w:r>
      <w:r w:rsidR="006E6446" w:rsidRPr="00392E88">
        <w:t xml:space="preserve"> i</w:t>
      </w:r>
      <w:r w:rsidR="006E6446">
        <w:t> </w:t>
      </w:r>
      <w:r w:rsidR="006E6446" w:rsidRPr="00392E88">
        <w:t>ben</w:t>
      </w:r>
      <w:r w:rsidRPr="00392E88">
        <w:t>eficjenci ponoszą</w:t>
      </w:r>
      <w:r w:rsidR="006E6446" w:rsidRPr="00392E88">
        <w:t xml:space="preserve"> w</w:t>
      </w:r>
      <w:r w:rsidR="006E6446">
        <w:t> </w:t>
      </w:r>
      <w:r w:rsidR="006E6446" w:rsidRPr="00392E88">
        <w:t>peł</w:t>
      </w:r>
      <w:r w:rsidRPr="00392E88">
        <w:t>ni ryzyko inwestycyjne. Zmiany powinny określać jasne zasady dla takiego depozytariusza dotyczące przechowywania aktywów</w:t>
      </w:r>
      <w:r w:rsidR="006E6446" w:rsidRPr="00392E88">
        <w:t xml:space="preserve"> i</w:t>
      </w:r>
      <w:r w:rsidR="006E6446">
        <w:t> </w:t>
      </w:r>
      <w:r w:rsidR="006E6446" w:rsidRPr="00392E88">
        <w:t>obo</w:t>
      </w:r>
      <w:r w:rsidRPr="00392E88">
        <w:t>wiązków nadzorczych dla depozytariuszy, przy jednoczesnym umożliwieniu większej elastyczności</w:t>
      </w:r>
      <w:r w:rsidR="006E6446" w:rsidRPr="00392E88">
        <w:t xml:space="preserve"> w</w:t>
      </w:r>
      <w:r w:rsidR="006E6446">
        <w:t> </w:t>
      </w:r>
      <w:r w:rsidR="006E6446" w:rsidRPr="00392E88">
        <w:t>odn</w:t>
      </w:r>
      <w:r w:rsidRPr="00392E88">
        <w:t>iesieniu do innych systemów</w:t>
      </w:r>
      <w:r w:rsidR="006E6446" w:rsidRPr="00392E88">
        <w:t xml:space="preserve"> i</w:t>
      </w:r>
      <w:r w:rsidR="006E6446">
        <w:t> </w:t>
      </w:r>
      <w:r w:rsidR="006E6446" w:rsidRPr="00392E88">
        <w:t>zap</w:t>
      </w:r>
      <w:r w:rsidRPr="00392E88">
        <w:t>ewnieniu, aby właściwe organy nie mogły nadmiernie ograniczać wyboru depozytariuszy mających siedzibę</w:t>
      </w:r>
      <w:r w:rsidR="006E6446" w:rsidRPr="00392E88">
        <w:t xml:space="preserve"> w</w:t>
      </w:r>
      <w:r w:rsidR="006E6446">
        <w:t> </w:t>
      </w:r>
      <w:r w:rsidR="006E6446" w:rsidRPr="00392E88">
        <w:t>inn</w:t>
      </w:r>
      <w:r w:rsidRPr="00392E88">
        <w:t>ym państwie członkowskim. Aby jednak uniknąć niepotrzebnych obciążeń dla IORP, państwa członkowskie mogą utrzymać istniejące środki</w:t>
      </w:r>
      <w:r w:rsidR="006E6446" w:rsidRPr="00392E88">
        <w:t xml:space="preserve"> w</w:t>
      </w:r>
      <w:r w:rsidR="006E6446">
        <w:t> </w:t>
      </w:r>
      <w:r w:rsidR="006E6446" w:rsidRPr="00392E88">
        <w:t>zak</w:t>
      </w:r>
      <w:r w:rsidRPr="00392E88">
        <w:t>resie przechowywania zapewniające poziom ochrony porównywalny</w:t>
      </w:r>
      <w:r w:rsidR="006E6446" w:rsidRPr="00392E88">
        <w:t xml:space="preserve"> z</w:t>
      </w:r>
      <w:r w:rsidR="006E6446">
        <w:t> </w:t>
      </w:r>
      <w:r w:rsidR="006E6446" w:rsidRPr="00392E88">
        <w:t>poz</w:t>
      </w:r>
      <w:r w:rsidRPr="00392E88">
        <w:t>iomem zapewnianym przez depozytariuszy.</w:t>
      </w:r>
    </w:p>
    <w:p w14:paraId="3639D447" w14:textId="206588A8" w:rsidR="00EE24A5" w:rsidRPr="00392E88" w:rsidRDefault="00EE24A5" w:rsidP="00EE24A5">
      <w:pPr>
        <w:pStyle w:val="ManualConsidrant"/>
      </w:pPr>
      <w:r>
        <w:t>(32)</w:t>
      </w:r>
      <w:r>
        <w:tab/>
      </w:r>
      <w:r w:rsidRPr="00392E88">
        <w:t>Fragmentaryczne</w:t>
      </w:r>
      <w:r w:rsidR="006E6446" w:rsidRPr="00392E88">
        <w:t xml:space="preserve"> i</w:t>
      </w:r>
      <w:r w:rsidR="006E6446">
        <w:t> </w:t>
      </w:r>
      <w:r w:rsidR="006E6446" w:rsidRPr="00392E88">
        <w:t>nie</w:t>
      </w:r>
      <w:r w:rsidRPr="00392E88">
        <w:t>kompletne informacje na temat nabytych</w:t>
      </w:r>
      <w:r w:rsidR="006E6446" w:rsidRPr="00392E88">
        <w:t xml:space="preserve"> i</w:t>
      </w:r>
      <w:r w:rsidR="006E6446">
        <w:t> </w:t>
      </w:r>
      <w:r w:rsidR="006E6446" w:rsidRPr="00392E88">
        <w:t>pro</w:t>
      </w:r>
      <w:r w:rsidRPr="00392E88">
        <w:t>gnozowanych uprawnień emerytalnych utrudniają uczestnikom</w:t>
      </w:r>
      <w:r w:rsidR="006E6446" w:rsidRPr="00392E88">
        <w:t xml:space="preserve"> i</w:t>
      </w:r>
      <w:r w:rsidR="006E6446">
        <w:t> </w:t>
      </w:r>
      <w:r w:rsidR="006E6446" w:rsidRPr="00392E88">
        <w:t>ben</w:t>
      </w:r>
      <w:r w:rsidRPr="00392E88">
        <w:t>eficjentom uzyskanie jasnego oglądu ich przyszłych dochodów emerytalnych, zwłaszcza gdy uczestniczą</w:t>
      </w:r>
      <w:r w:rsidR="006E6446" w:rsidRPr="00392E88">
        <w:t xml:space="preserve"> w</w:t>
      </w:r>
      <w:r w:rsidR="006E6446">
        <w:t> </w:t>
      </w:r>
      <w:r w:rsidR="006E6446" w:rsidRPr="00392E88">
        <w:t>kil</w:t>
      </w:r>
      <w:r w:rsidRPr="00392E88">
        <w:t>ku dodatkowych programach emerytalnych. Ten brak przejrzystości może osłabić zaangażowanie</w:t>
      </w:r>
      <w:r w:rsidR="006E6446" w:rsidRPr="00392E88">
        <w:t xml:space="preserve"> w</w:t>
      </w:r>
      <w:r w:rsidR="006E6446">
        <w:t> </w:t>
      </w:r>
      <w:r w:rsidR="006E6446" w:rsidRPr="00392E88">
        <w:t>pla</w:t>
      </w:r>
      <w:r w:rsidRPr="00392E88">
        <w:t>nowanie emerytury</w:t>
      </w:r>
      <w:r w:rsidR="006E6446" w:rsidRPr="00392E88">
        <w:t xml:space="preserve"> i</w:t>
      </w:r>
      <w:r w:rsidR="006E6446">
        <w:t> </w:t>
      </w:r>
      <w:r w:rsidR="006E6446" w:rsidRPr="00392E88">
        <w:t>zau</w:t>
      </w:r>
      <w:r w:rsidRPr="00392E88">
        <w:t>fanie do systemu emerytalnego</w:t>
      </w:r>
      <w:r w:rsidR="006E6446" w:rsidRPr="00392E88">
        <w:t>. W</w:t>
      </w:r>
      <w:r w:rsidR="006E6446">
        <w:t> </w:t>
      </w:r>
      <w:r w:rsidR="006E6446" w:rsidRPr="00392E88">
        <w:t>cel</w:t>
      </w:r>
      <w:r w:rsidRPr="00392E88">
        <w:t>u zapewnienia, aby oszczędzający otrzymywali kompleksowe, wiarygodne</w:t>
      </w:r>
      <w:r w:rsidR="006E6446" w:rsidRPr="00392E88">
        <w:t xml:space="preserve"> i</w:t>
      </w:r>
      <w:r w:rsidR="006E6446">
        <w:t> </w:t>
      </w:r>
      <w:r w:rsidR="006E6446" w:rsidRPr="00392E88">
        <w:t>akt</w:t>
      </w:r>
      <w:r w:rsidRPr="00392E88">
        <w:t>ualne informacje, państwa członkowskie powinny wymagać od IORP przekazywania danych do krajowych systemów monitorowania uprawnień emerytalnych, jeżeli takie systemy istnieją,</w:t>
      </w:r>
      <w:r w:rsidR="006E6446" w:rsidRPr="00392E88">
        <w:t xml:space="preserve"> w</w:t>
      </w:r>
      <w:r w:rsidR="006E6446">
        <w:t> </w:t>
      </w:r>
      <w:r w:rsidR="006E6446" w:rsidRPr="00392E88">
        <w:t>zno</w:t>
      </w:r>
      <w:r w:rsidRPr="00392E88">
        <w:t>rmalizowanym</w:t>
      </w:r>
      <w:r w:rsidR="006E6446" w:rsidRPr="00392E88">
        <w:t xml:space="preserve"> i</w:t>
      </w:r>
      <w:r w:rsidR="006E6446">
        <w:t> </w:t>
      </w:r>
      <w:r w:rsidR="006E6446" w:rsidRPr="00392E88">
        <w:t>int</w:t>
      </w:r>
      <w:r w:rsidRPr="00392E88">
        <w:t>eroperacyjnym formacie. Takie systemy powinny umożliwiać uczestnikom</w:t>
      </w:r>
      <w:r w:rsidR="006E6446" w:rsidRPr="00392E88">
        <w:t xml:space="preserve"> i</w:t>
      </w:r>
      <w:r w:rsidR="006E6446">
        <w:t> </w:t>
      </w:r>
      <w:r w:rsidR="006E6446" w:rsidRPr="00392E88">
        <w:t>ben</w:t>
      </w:r>
      <w:r w:rsidRPr="00392E88">
        <w:t>eficjentom dostęp,</w:t>
      </w:r>
      <w:r w:rsidR="006E6446" w:rsidRPr="00392E88">
        <w:t xml:space="preserve"> w</w:t>
      </w:r>
      <w:r w:rsidR="006E6446">
        <w:t> </w:t>
      </w:r>
      <w:r w:rsidR="006E6446" w:rsidRPr="00392E88">
        <w:t>spó</w:t>
      </w:r>
      <w:r w:rsidRPr="00392E88">
        <w:t>jny</w:t>
      </w:r>
      <w:r w:rsidR="006E6446" w:rsidRPr="00392E88">
        <w:t xml:space="preserve"> i</w:t>
      </w:r>
      <w:r w:rsidR="006E6446">
        <w:t> </w:t>
      </w:r>
      <w:r w:rsidR="006E6446" w:rsidRPr="00392E88">
        <w:t>por</w:t>
      </w:r>
      <w:r w:rsidRPr="00392E88">
        <w:t>ównywalny sposób, do informacji na temat ich nabytych praw, zgromadzonego kapitału</w:t>
      </w:r>
      <w:r w:rsidR="006E6446" w:rsidRPr="00392E88">
        <w:t xml:space="preserve"> i</w:t>
      </w:r>
      <w:r w:rsidR="006E6446">
        <w:t> </w:t>
      </w:r>
      <w:r w:rsidR="006E6446" w:rsidRPr="00392E88">
        <w:t>pro</w:t>
      </w:r>
      <w:r w:rsidRPr="00392E88">
        <w:t>gnozowanych świadczeń, przy jednoczesnym zapewnieniu, aby IORP pozostały odpowiedzialne za dokładność</w:t>
      </w:r>
      <w:r w:rsidR="006E6446" w:rsidRPr="00392E88">
        <w:t xml:space="preserve"> i</w:t>
      </w:r>
      <w:r w:rsidR="006E6446">
        <w:t> </w:t>
      </w:r>
      <w:r w:rsidR="006E6446" w:rsidRPr="00392E88">
        <w:t>kom</w:t>
      </w:r>
      <w:r w:rsidRPr="00392E88">
        <w:t>pletność przekazywanych danych. Aby uniknąć powielania wymogów sprawozdawczych dla IORP, format</w:t>
      </w:r>
      <w:r w:rsidR="006E6446" w:rsidRPr="00392E88">
        <w:t xml:space="preserve"> i</w:t>
      </w:r>
      <w:r w:rsidR="006E6446">
        <w:t> </w:t>
      </w:r>
      <w:r w:rsidR="006E6446" w:rsidRPr="00392E88">
        <w:t>str</w:t>
      </w:r>
      <w:r w:rsidRPr="00392E88">
        <w:t>uktura informacji powinny być spójne</w:t>
      </w:r>
      <w:r w:rsidR="006E6446" w:rsidRPr="00392E88">
        <w:t xml:space="preserve"> z</w:t>
      </w:r>
      <w:r w:rsidR="006E6446">
        <w:t> </w:t>
      </w:r>
      <w:r w:rsidR="006E6446" w:rsidRPr="00392E88">
        <w:t>inf</w:t>
      </w:r>
      <w:r w:rsidRPr="00392E88">
        <w:t>ormacjami zawartymi</w:t>
      </w:r>
      <w:r w:rsidR="006E6446" w:rsidRPr="00392E88">
        <w:t xml:space="preserve"> w</w:t>
      </w:r>
      <w:r w:rsidR="006E6446">
        <w:t> </w:t>
      </w:r>
      <w:r w:rsidR="006E6446" w:rsidRPr="00392E88">
        <w:t>inf</w:t>
      </w:r>
      <w:r w:rsidRPr="00392E88">
        <w:t>ormacjach</w:t>
      </w:r>
      <w:r w:rsidR="006E6446" w:rsidRPr="00392E88">
        <w:t xml:space="preserve"> o</w:t>
      </w:r>
      <w:r w:rsidR="006E6446">
        <w:t> </w:t>
      </w:r>
      <w:r w:rsidR="006E6446" w:rsidRPr="00392E88">
        <w:t>świ</w:t>
      </w:r>
      <w:r w:rsidRPr="00392E88">
        <w:t>adczeniach emerytalnych.</w:t>
      </w:r>
    </w:p>
    <w:p w14:paraId="639183BA" w14:textId="55E4F86A" w:rsidR="00170086" w:rsidRPr="00392E88" w:rsidRDefault="00171C00" w:rsidP="001A6B0D">
      <w:pPr>
        <w:pStyle w:val="ManualConsidrant"/>
      </w:pPr>
      <w:r>
        <w:t>(33)</w:t>
      </w:r>
      <w:r>
        <w:tab/>
      </w:r>
      <w:r w:rsidRPr="00392E88">
        <w:t>Informacja</w:t>
      </w:r>
      <w:r w:rsidR="006E6446" w:rsidRPr="00392E88">
        <w:t xml:space="preserve"> o</w:t>
      </w:r>
      <w:r w:rsidR="006E6446">
        <w:t> </w:t>
      </w:r>
      <w:r w:rsidR="006E6446" w:rsidRPr="00392E88">
        <w:t>świ</w:t>
      </w:r>
      <w:r w:rsidRPr="00392E88">
        <w:t>adczeniu emerytalnym jest podstawowym instrumentem umożliwiającym uczestnikom</w:t>
      </w:r>
      <w:r w:rsidR="006E6446" w:rsidRPr="00392E88">
        <w:t xml:space="preserve"> i</w:t>
      </w:r>
      <w:r w:rsidR="006E6446">
        <w:t> </w:t>
      </w:r>
      <w:r w:rsidR="006E6446" w:rsidRPr="00392E88">
        <w:t>ben</w:t>
      </w:r>
      <w:r w:rsidRPr="00392E88">
        <w:t>eficjentom zrozumienie, jak uprawnienia emerytalne kształtują się</w:t>
      </w:r>
      <w:r w:rsidR="006E6446" w:rsidRPr="00392E88">
        <w:t xml:space="preserve"> w</w:t>
      </w:r>
      <w:r w:rsidR="006E6446">
        <w:t> </w:t>
      </w:r>
      <w:r w:rsidR="006E6446" w:rsidRPr="00392E88">
        <w:t>cza</w:t>
      </w:r>
      <w:r w:rsidRPr="00392E88">
        <w:t>sie</w:t>
      </w:r>
      <w:r w:rsidR="006E6446" w:rsidRPr="00392E88">
        <w:t xml:space="preserve"> w</w:t>
      </w:r>
      <w:r w:rsidR="006E6446">
        <w:t> </w:t>
      </w:r>
      <w:r w:rsidR="006E6446" w:rsidRPr="00392E88">
        <w:t>róż</w:t>
      </w:r>
      <w:r w:rsidRPr="00392E88">
        <w:t>nych programach emerytalnych. Powinna ona zawierać jasne, kompleksowe</w:t>
      </w:r>
      <w:r w:rsidR="006E6446" w:rsidRPr="00392E88">
        <w:t xml:space="preserve"> i</w:t>
      </w:r>
      <w:r w:rsidR="006E6446">
        <w:t> </w:t>
      </w:r>
      <w:r w:rsidR="006E6446" w:rsidRPr="00392E88">
        <w:t>ist</w:t>
      </w:r>
      <w:r w:rsidRPr="00392E88">
        <w:t>otne informacje, które umożliwią uczestnikom</w:t>
      </w:r>
      <w:r w:rsidR="006E6446" w:rsidRPr="00392E88">
        <w:t xml:space="preserve"> i</w:t>
      </w:r>
      <w:r w:rsidR="006E6446">
        <w:t> </w:t>
      </w:r>
      <w:r w:rsidR="006E6446" w:rsidRPr="00392E88">
        <w:t>ben</w:t>
      </w:r>
      <w:r w:rsidRPr="00392E88">
        <w:t>eficjentom ocenę ich sytuacji finansowej</w:t>
      </w:r>
      <w:r w:rsidR="006E6446" w:rsidRPr="00392E88">
        <w:t xml:space="preserve"> i</w:t>
      </w:r>
      <w:r w:rsidR="006E6446">
        <w:t> </w:t>
      </w:r>
      <w:r w:rsidR="006E6446" w:rsidRPr="00392E88">
        <w:t>pod</w:t>
      </w:r>
      <w:r w:rsidRPr="00392E88">
        <w:t>jęcie wszelkich niezbędnych działań</w:t>
      </w:r>
      <w:r w:rsidR="006E6446" w:rsidRPr="00392E88">
        <w:t xml:space="preserve"> w</w:t>
      </w:r>
      <w:r w:rsidR="006E6446">
        <w:t> </w:t>
      </w:r>
      <w:r w:rsidR="006E6446" w:rsidRPr="00392E88">
        <w:t>cel</w:t>
      </w:r>
      <w:r w:rsidRPr="00392E88">
        <w:t>u zapewnienia odpowiedniej emerytury. Obecnie brak jednolitego podejścia na szczeblu państw członkowskich, wraz</w:t>
      </w:r>
      <w:r w:rsidR="006E6446" w:rsidRPr="00392E88">
        <w:t xml:space="preserve"> z</w:t>
      </w:r>
      <w:r w:rsidR="006E6446">
        <w:t> </w:t>
      </w:r>
      <w:r w:rsidR="006E6446" w:rsidRPr="00392E88">
        <w:t>fak</w:t>
      </w:r>
      <w:r w:rsidRPr="00392E88">
        <w:t>tem, że większość uczestników nabywa świadczenia emerytalne</w:t>
      </w:r>
      <w:r w:rsidR="006E6446" w:rsidRPr="00392E88">
        <w:t xml:space="preserve"> w</w:t>
      </w:r>
      <w:r w:rsidR="006E6446">
        <w:t> </w:t>
      </w:r>
      <w:r w:rsidR="006E6446" w:rsidRPr="00392E88">
        <w:t>wie</w:t>
      </w:r>
      <w:r w:rsidRPr="00392E88">
        <w:t>lu IORP</w:t>
      </w:r>
      <w:r w:rsidR="006E6446" w:rsidRPr="00392E88">
        <w:t xml:space="preserve"> w</w:t>
      </w:r>
      <w:r w:rsidR="006E6446">
        <w:t> </w:t>
      </w:r>
      <w:r w:rsidR="006E6446" w:rsidRPr="00392E88">
        <w:t>tra</w:t>
      </w:r>
      <w:r w:rsidRPr="00392E88">
        <w:t>kcie swojej kariery zawodowej, skutkuje zróżnicowaniem formatu</w:t>
      </w:r>
      <w:r w:rsidR="006E6446" w:rsidRPr="00392E88">
        <w:t xml:space="preserve"> i</w:t>
      </w:r>
      <w:r w:rsidR="006E6446">
        <w:t> </w:t>
      </w:r>
      <w:r w:rsidR="006E6446" w:rsidRPr="00392E88">
        <w:t>pre</w:t>
      </w:r>
      <w:r w:rsidRPr="00392E88">
        <w:t>zentacji informacji</w:t>
      </w:r>
      <w:r w:rsidR="006E6446" w:rsidRPr="00392E88">
        <w:t xml:space="preserve"> o</w:t>
      </w:r>
      <w:r w:rsidR="006E6446">
        <w:t> </w:t>
      </w:r>
      <w:r w:rsidR="006E6446" w:rsidRPr="00392E88">
        <w:t>świ</w:t>
      </w:r>
      <w:r w:rsidRPr="00392E88">
        <w:t>adczeniu emerytalnym, co ogranicza porównywalność</w:t>
      </w:r>
      <w:r w:rsidR="006E6446" w:rsidRPr="00392E88">
        <w:t xml:space="preserve"> i</w:t>
      </w:r>
      <w:r w:rsidR="006E6446">
        <w:t> </w:t>
      </w:r>
      <w:r w:rsidR="006E6446" w:rsidRPr="00392E88">
        <w:t>agr</w:t>
      </w:r>
      <w:r w:rsidRPr="00392E88">
        <w:t>egację. Obecne przepisy nie wymagają również uwzględnienia informacji na temat kosztów, wyników inwestycji ani wszelkich dostępnych opcji inwestycyjnych</w:t>
      </w:r>
      <w:r w:rsidR="006E6446" w:rsidRPr="00392E88">
        <w:t xml:space="preserve"> i</w:t>
      </w:r>
      <w:r w:rsidR="006E6446">
        <w:t> </w:t>
      </w:r>
      <w:r w:rsidR="006E6446" w:rsidRPr="00392E88">
        <w:t>zwi</w:t>
      </w:r>
      <w:r w:rsidRPr="00392E88">
        <w:t>ązanego</w:t>
      </w:r>
      <w:r w:rsidR="006E6446" w:rsidRPr="00392E88">
        <w:t xml:space="preserve"> z</w:t>
      </w:r>
      <w:r w:rsidR="006E6446">
        <w:t> </w:t>
      </w:r>
      <w:r w:rsidR="006E6446" w:rsidRPr="00392E88">
        <w:t>nim</w:t>
      </w:r>
      <w:r w:rsidRPr="00392E88">
        <w:t>i ryzyka</w:t>
      </w:r>
      <w:r w:rsidR="006E6446" w:rsidRPr="00392E88">
        <w:t>. W</w:t>
      </w:r>
      <w:r w:rsidR="006E6446">
        <w:t> </w:t>
      </w:r>
      <w:r w:rsidR="006E6446" w:rsidRPr="00392E88">
        <w:t>cel</w:t>
      </w:r>
      <w:r w:rsidRPr="00392E88">
        <w:t>u zwiększenia przejrzystości</w:t>
      </w:r>
      <w:r w:rsidR="006E6446" w:rsidRPr="00392E88">
        <w:t xml:space="preserve"> i</w:t>
      </w:r>
      <w:r w:rsidR="006E6446">
        <w:t> </w:t>
      </w:r>
      <w:r w:rsidR="006E6446" w:rsidRPr="00392E88">
        <w:t>wsp</w:t>
      </w:r>
      <w:r w:rsidRPr="00392E88">
        <w:t>ierania świadomego podejmowania decyzji konieczne jest wprowadzenie wymogów dotyczących opracowywania informacji</w:t>
      </w:r>
      <w:r w:rsidR="006E6446" w:rsidRPr="00392E88">
        <w:t xml:space="preserve"> o</w:t>
      </w:r>
      <w:r w:rsidR="006E6446">
        <w:t> </w:t>
      </w:r>
      <w:r w:rsidR="006E6446" w:rsidRPr="00392E88">
        <w:t>świ</w:t>
      </w:r>
      <w:r w:rsidRPr="00392E88">
        <w:t>adczeniu emerytalnym oraz przekazywania informacji na temat kosztów, zwrotów</w:t>
      </w:r>
      <w:r w:rsidR="006E6446" w:rsidRPr="00392E88">
        <w:t xml:space="preserve"> z</w:t>
      </w:r>
      <w:r w:rsidR="006E6446">
        <w:t> </w:t>
      </w:r>
      <w:r w:rsidR="006E6446" w:rsidRPr="00392E88">
        <w:t>inw</w:t>
      </w:r>
      <w:r w:rsidRPr="00392E88">
        <w:t>estycji</w:t>
      </w:r>
      <w:r w:rsidR="006E6446" w:rsidRPr="00392E88">
        <w:t xml:space="preserve"> i</w:t>
      </w:r>
      <w:r w:rsidR="006E6446">
        <w:t> </w:t>
      </w:r>
      <w:r w:rsidR="006E6446" w:rsidRPr="00392E88">
        <w:t>opc</w:t>
      </w:r>
      <w:r w:rsidRPr="00392E88">
        <w:t>ji inwestycyjnych</w:t>
      </w:r>
      <w:r w:rsidR="006E6446" w:rsidRPr="00392E88">
        <w:t>. Z</w:t>
      </w:r>
      <w:r w:rsidR="006E6446">
        <w:t> </w:t>
      </w:r>
      <w:r w:rsidR="006E6446" w:rsidRPr="00392E88">
        <w:t>teg</w:t>
      </w:r>
      <w:r w:rsidRPr="00392E88">
        <w:t>o samego powodu konieczne jest zapewnienie większej standaryzacji oraz,</w:t>
      </w:r>
      <w:r w:rsidR="006E6446" w:rsidRPr="00392E88">
        <w:t xml:space="preserve"> w</w:t>
      </w:r>
      <w:r w:rsidR="006E6446">
        <w:t> </w:t>
      </w:r>
      <w:r w:rsidR="006E6446" w:rsidRPr="00392E88">
        <w:t>mia</w:t>
      </w:r>
      <w:r w:rsidRPr="00392E88">
        <w:t>rę możliwości, dostosowanie do informacji</w:t>
      </w:r>
      <w:r w:rsidR="006E6446" w:rsidRPr="00392E88">
        <w:t xml:space="preserve"> o</w:t>
      </w:r>
      <w:r w:rsidR="006E6446">
        <w:t> </w:t>
      </w:r>
      <w:r w:rsidR="006E6446" w:rsidRPr="00392E88">
        <w:t>świ</w:t>
      </w:r>
      <w:r w:rsidRPr="00392E88">
        <w:t>adczeniach z OIPE,</w:t>
      </w:r>
      <w:r w:rsidR="006E6446" w:rsidRPr="00392E88">
        <w:t xml:space="preserve"> o</w:t>
      </w:r>
      <w:r w:rsidR="006E6446">
        <w:t> </w:t>
      </w:r>
      <w:r w:rsidR="006E6446" w:rsidRPr="00392E88">
        <w:t>któ</w:t>
      </w:r>
      <w:r w:rsidRPr="00392E88">
        <w:t>rej mowa</w:t>
      </w:r>
      <w:r w:rsidR="006E6446" w:rsidRPr="00392E88">
        <w:t xml:space="preserve"> w</w:t>
      </w:r>
      <w:r w:rsidR="006E6446">
        <w:t> </w:t>
      </w:r>
      <w:r w:rsidR="006E6446" w:rsidRPr="006E6446">
        <w:t>art</w:t>
      </w:r>
      <w:r w:rsidRPr="006E6446">
        <w:t>.</w:t>
      </w:r>
      <w:r w:rsidR="006E6446" w:rsidRPr="006E6446">
        <w:t> </w:t>
      </w:r>
      <w:r w:rsidRPr="006E6446">
        <w:t>3</w:t>
      </w:r>
      <w:r w:rsidRPr="00392E88">
        <w:t xml:space="preserve">6 rozporządzenia (UE) 2019/1238, przy jednoczesnym uwzględnieniu charakterystyki programów emerytalnych pod względem określonych świadczeń lub określonych składek oraz specyfiki pracowniczych programów emerytalnych. </w:t>
      </w:r>
    </w:p>
    <w:p w14:paraId="607771E7" w14:textId="7BED3CCD" w:rsidR="0017444A" w:rsidRPr="00392E88" w:rsidRDefault="00170C65" w:rsidP="00CC2ED9">
      <w:pPr>
        <w:pStyle w:val="ManualConsidrant"/>
      </w:pPr>
      <w:r>
        <w:t>(34)</w:t>
      </w:r>
      <w:r>
        <w:tab/>
      </w:r>
      <w:r w:rsidRPr="00392E88">
        <w:t>Utrzymujące się niezadowalające wyniki IORP mogą zmniejszyć wartość nabytych praw uczestników</w:t>
      </w:r>
      <w:r w:rsidR="006E6446" w:rsidRPr="00392E88">
        <w:t xml:space="preserve"> i</w:t>
      </w:r>
      <w:r w:rsidR="006E6446">
        <w:t> </w:t>
      </w:r>
      <w:r w:rsidR="006E6446" w:rsidRPr="00392E88">
        <w:t>ben</w:t>
      </w:r>
      <w:r w:rsidRPr="00392E88">
        <w:t>eficjentów oraz podważyć zaufanie do emerytur dodatkowych. Zgodnie</w:t>
      </w:r>
      <w:r w:rsidR="006E6446" w:rsidRPr="00392E88">
        <w:t xml:space="preserve"> z</w:t>
      </w:r>
      <w:r w:rsidR="006E6446">
        <w:t> </w:t>
      </w:r>
      <w:r w:rsidR="006E6446" w:rsidRPr="00392E88">
        <w:t>wyt</w:t>
      </w:r>
      <w:r w:rsidRPr="00392E88">
        <w:t>ycznymi wykonawczymi do zalecenia OECD</w:t>
      </w:r>
      <w:r w:rsidR="006E6446" w:rsidRPr="00392E88">
        <w:t xml:space="preserve"> w</w:t>
      </w:r>
      <w:r w:rsidR="006E6446">
        <w:t> </w:t>
      </w:r>
      <w:r w:rsidR="006E6446" w:rsidRPr="00392E88">
        <w:t>spr</w:t>
      </w:r>
      <w:r w:rsidRPr="00392E88">
        <w:t>awie podstawowych zasad regulacji emerytur prywatnych wyniki powinny być</w:t>
      </w:r>
      <w:r w:rsidR="006E6446" w:rsidRPr="00392E88">
        <w:t xml:space="preserve"> w</w:t>
      </w:r>
      <w:r w:rsidR="006E6446">
        <w:t> </w:t>
      </w:r>
      <w:r w:rsidR="006E6446" w:rsidRPr="00392E88">
        <w:t>spo</w:t>
      </w:r>
      <w:r w:rsidRPr="00392E88">
        <w:t>sób porównywalny ujawniane</w:t>
      </w:r>
      <w:r w:rsidR="006E6446" w:rsidRPr="00392E88">
        <w:t xml:space="preserve"> i</w:t>
      </w:r>
      <w:r w:rsidR="006E6446">
        <w:t> </w:t>
      </w:r>
      <w:r w:rsidR="006E6446" w:rsidRPr="00392E88">
        <w:t>oce</w:t>
      </w:r>
      <w:r w:rsidRPr="00392E88">
        <w:t>niane na podstawie jasnych</w:t>
      </w:r>
      <w:r w:rsidR="006E6446" w:rsidRPr="00392E88">
        <w:t xml:space="preserve"> i</w:t>
      </w:r>
      <w:r w:rsidR="006E6446">
        <w:t> </w:t>
      </w:r>
      <w:r w:rsidR="006E6446" w:rsidRPr="00392E88">
        <w:t>obi</w:t>
      </w:r>
      <w:r w:rsidRPr="00392E88">
        <w:t>ektywnych poziomów odniesienia odzwierciedlających politykę inwestycyjną. Obecnie nie istnieją zharmonizowane ramy informowania uczestników</w:t>
      </w:r>
      <w:r w:rsidR="006E6446" w:rsidRPr="00392E88">
        <w:t xml:space="preserve"> i</w:t>
      </w:r>
      <w:r w:rsidR="006E6446">
        <w:t> </w:t>
      </w:r>
      <w:r w:rsidR="006E6446" w:rsidRPr="00392E88">
        <w:t>ben</w:t>
      </w:r>
      <w:r w:rsidRPr="00392E88">
        <w:t>eficjentów</w:t>
      </w:r>
      <w:r w:rsidR="006E6446" w:rsidRPr="00392E88">
        <w:t xml:space="preserve"> o</w:t>
      </w:r>
      <w:r w:rsidR="006E6446">
        <w:t> </w:t>
      </w:r>
      <w:r w:rsidR="006E6446" w:rsidRPr="00392E88">
        <w:t>nie</w:t>
      </w:r>
      <w:r w:rsidRPr="00392E88">
        <w:t>zadowalających wynikach. Aby rozwiązać ten problem, IORP powinny być zobowiązane do niezwłocznego informowania swojego właściwego organu</w:t>
      </w:r>
      <w:r w:rsidR="006E6446" w:rsidRPr="00392E88">
        <w:t xml:space="preserve"> i</w:t>
      </w:r>
      <w:r w:rsidR="006E6446">
        <w:t> </w:t>
      </w:r>
      <w:r w:rsidR="006E6446" w:rsidRPr="00392E88">
        <w:t>prz</w:t>
      </w:r>
      <w:r w:rsidRPr="00392E88">
        <w:t>edstawiania dowodów na to, że koszty</w:t>
      </w:r>
      <w:r w:rsidR="006E6446" w:rsidRPr="00392E88">
        <w:t xml:space="preserve"> i</w:t>
      </w:r>
      <w:r w:rsidR="006E6446">
        <w:t> </w:t>
      </w:r>
      <w:r w:rsidR="006E6446" w:rsidRPr="00392E88">
        <w:t>opł</w:t>
      </w:r>
      <w:r w:rsidRPr="00392E88">
        <w:t>aty programu są uzasadnione</w:t>
      </w:r>
      <w:r w:rsidR="006E6446" w:rsidRPr="00392E88">
        <w:t xml:space="preserve"> i</w:t>
      </w:r>
      <w:r w:rsidR="006E6446">
        <w:t> </w:t>
      </w:r>
      <w:r w:rsidR="006E6446" w:rsidRPr="00392E88">
        <w:t>pro</w:t>
      </w:r>
      <w:r w:rsidRPr="00392E88">
        <w:t>porcjonalne oraz że program jest zgodny</w:t>
      </w:r>
      <w:r w:rsidR="006E6446" w:rsidRPr="00392E88">
        <w:t xml:space="preserve"> z</w:t>
      </w:r>
      <w:r w:rsidR="006E6446">
        <w:t> </w:t>
      </w:r>
      <w:r w:rsidR="006E6446" w:rsidRPr="00392E88">
        <w:t>tol</w:t>
      </w:r>
      <w:r w:rsidRPr="00392E88">
        <w:t>erancją ryzyka jego uczestników</w:t>
      </w:r>
      <w:r w:rsidR="006E6446" w:rsidRPr="00392E88">
        <w:t xml:space="preserve"> i</w:t>
      </w:r>
      <w:r w:rsidR="006E6446">
        <w:t> </w:t>
      </w:r>
      <w:r w:rsidR="006E6446" w:rsidRPr="00392E88">
        <w:t>ben</w:t>
      </w:r>
      <w:r w:rsidRPr="00392E88">
        <w:t>eficjentów. Jeżeli właściwy organ nie jest usatysfakcjonowany takim uzasadnieniem lub niezadowalające wyniki utrzymują się przez co najmniej trzy lata, IORP powinny wyraźnie poinformować uczestników</w:t>
      </w:r>
      <w:r w:rsidR="006E6446" w:rsidRPr="00392E88">
        <w:t xml:space="preserve"> i</w:t>
      </w:r>
      <w:r w:rsidR="006E6446">
        <w:t> </w:t>
      </w:r>
      <w:r w:rsidR="006E6446" w:rsidRPr="00392E88">
        <w:t>ben</w:t>
      </w:r>
      <w:r w:rsidRPr="00392E88">
        <w:t>eficjentów</w:t>
      </w:r>
      <w:r w:rsidR="006E6446" w:rsidRPr="00392E88">
        <w:t xml:space="preserve"> o</w:t>
      </w:r>
      <w:r w:rsidR="006E6446">
        <w:t> </w:t>
      </w:r>
      <w:r w:rsidR="006E6446" w:rsidRPr="00392E88">
        <w:t>tak</w:t>
      </w:r>
      <w:r w:rsidRPr="00392E88">
        <w:t>ich niezadowalających wynikach, wyjaśnić ich przyczyny</w:t>
      </w:r>
      <w:r w:rsidR="006E6446" w:rsidRPr="00392E88">
        <w:t xml:space="preserve"> i</w:t>
      </w:r>
      <w:r w:rsidR="006E6446">
        <w:t> </w:t>
      </w:r>
      <w:r w:rsidR="006E6446" w:rsidRPr="00392E88">
        <w:t>prz</w:t>
      </w:r>
      <w:r w:rsidRPr="00392E88">
        <w:t>edstawić środki zaradcze. Państwa członkowskie powinny zapewnić ustanowienie obiektywnych poziomów odniesienia na potrzeby oceny niezadowalających wyników.</w:t>
      </w:r>
    </w:p>
    <w:p w14:paraId="61598402" w14:textId="3718E2C8" w:rsidR="001843B0" w:rsidRPr="00392E88" w:rsidRDefault="00582A76" w:rsidP="001843B0">
      <w:pPr>
        <w:pStyle w:val="ManualConsidrant"/>
      </w:pPr>
      <w:r>
        <w:t>(35)</w:t>
      </w:r>
      <w:r>
        <w:tab/>
      </w:r>
      <w:r w:rsidRPr="00392E88">
        <w:t>Wraz ze wzrostem średniej długości życia uczestnicy</w:t>
      </w:r>
      <w:r w:rsidR="006E6446" w:rsidRPr="00392E88">
        <w:t xml:space="preserve"> i</w:t>
      </w:r>
      <w:r w:rsidR="006E6446">
        <w:t> </w:t>
      </w:r>
      <w:r w:rsidR="006E6446" w:rsidRPr="00392E88">
        <w:t>ben</w:t>
      </w:r>
      <w:r w:rsidRPr="00392E88">
        <w:t>eficjenci mogą stanąć</w:t>
      </w:r>
      <w:r w:rsidR="006E6446" w:rsidRPr="00392E88">
        <w:t xml:space="preserve"> w</w:t>
      </w:r>
      <w:r w:rsidR="006E6446">
        <w:t> </w:t>
      </w:r>
      <w:r w:rsidR="006E6446" w:rsidRPr="00392E88">
        <w:t>obl</w:t>
      </w:r>
      <w:r w:rsidRPr="00392E88">
        <w:t>iczu większej potrzeby zarządzania ryzykiem długowieczności,</w:t>
      </w:r>
      <w:r w:rsidR="006E6446" w:rsidRPr="00392E88">
        <w:t xml:space="preserve"> a</w:t>
      </w:r>
      <w:r w:rsidR="006E6446">
        <w:t> </w:t>
      </w:r>
      <w:r w:rsidR="006E6446" w:rsidRPr="00392E88">
        <w:t>osz</w:t>
      </w:r>
      <w:r w:rsidRPr="00392E88">
        <w:t>czędnościami emerytalnymi należy skutecznie zarządzać, aby zapewnić odpowiedni dochód</w:t>
      </w:r>
      <w:r w:rsidR="006E6446" w:rsidRPr="00392E88">
        <w:t xml:space="preserve"> w</w:t>
      </w:r>
      <w:r w:rsidR="006E6446">
        <w:t> </w:t>
      </w:r>
      <w:r w:rsidR="006E6446" w:rsidRPr="00392E88">
        <w:t>faz</w:t>
      </w:r>
      <w:r w:rsidRPr="00392E88">
        <w:t>ie dekumulacji</w:t>
      </w:r>
      <w:r w:rsidR="006E6446" w:rsidRPr="00392E88">
        <w:t>. W</w:t>
      </w:r>
      <w:r w:rsidR="006E6446">
        <w:t> </w:t>
      </w:r>
      <w:r w:rsidR="006E6446" w:rsidRPr="00392E88">
        <w:t>dyr</w:t>
      </w:r>
      <w:r w:rsidRPr="00392E88">
        <w:t>ektywie (UE) 2016/2341 zobowiązano IORP do dostarczania ogólnych informacji na etapie przed przejściem na emeryturę i na etapie wypłaty, ale nie określono rodzaju informacji niezbędnych do wspierania uczestników</w:t>
      </w:r>
      <w:r w:rsidR="006E6446" w:rsidRPr="00392E88">
        <w:t xml:space="preserve"> i</w:t>
      </w:r>
      <w:r w:rsidR="006E6446">
        <w:t> </w:t>
      </w:r>
      <w:r w:rsidR="006E6446" w:rsidRPr="00392E88">
        <w:t>ben</w:t>
      </w:r>
      <w:r w:rsidRPr="00392E88">
        <w:t>eficjentów</w:t>
      </w:r>
      <w:r w:rsidR="006E6446" w:rsidRPr="00392E88">
        <w:t xml:space="preserve"> w</w:t>
      </w:r>
      <w:r w:rsidR="006E6446">
        <w:t> </w:t>
      </w:r>
      <w:r w:rsidR="006E6446" w:rsidRPr="00392E88">
        <w:t>dok</w:t>
      </w:r>
      <w:r w:rsidRPr="00392E88">
        <w:t>onywaniu świadomych wyborów podczas dekumulacji</w:t>
      </w:r>
      <w:r w:rsidR="006E6446" w:rsidRPr="00392E88">
        <w:t>. W</w:t>
      </w:r>
      <w:r w:rsidR="006E6446">
        <w:t> </w:t>
      </w:r>
      <w:r w:rsidR="006E6446" w:rsidRPr="00392E88">
        <w:t>cel</w:t>
      </w:r>
      <w:r w:rsidRPr="00392E88">
        <w:t>u zwiększenia przejrzystości, porównywalności</w:t>
      </w:r>
      <w:r w:rsidR="006E6446" w:rsidRPr="00392E88">
        <w:t xml:space="preserve"> i</w:t>
      </w:r>
      <w:r w:rsidR="006E6446">
        <w:t> </w:t>
      </w:r>
      <w:r w:rsidR="006E6446" w:rsidRPr="00392E88">
        <w:t>świ</w:t>
      </w:r>
      <w:r w:rsidRPr="00392E88">
        <w:t>adomego podejmowania decyzji IORP powinny zatem podlegać minimalnym wymogom dotyczącym ujawniania informacji</w:t>
      </w:r>
      <w:r w:rsidR="006E6446" w:rsidRPr="00392E88">
        <w:t xml:space="preserve"> w</w:t>
      </w:r>
      <w:r w:rsidR="006E6446">
        <w:t> </w:t>
      </w:r>
      <w:r w:rsidR="006E6446" w:rsidRPr="00392E88">
        <w:t>faz</w:t>
      </w:r>
      <w:r w:rsidRPr="00392E88">
        <w:t>ie dekumulacji. Takie ujawniane informacje powinny być jasne, dostępne</w:t>
      </w:r>
      <w:r w:rsidR="006E6446" w:rsidRPr="00392E88">
        <w:t xml:space="preserve"> i</w:t>
      </w:r>
      <w:r w:rsidR="006E6446">
        <w:t> </w:t>
      </w:r>
      <w:r w:rsidR="006E6446" w:rsidRPr="00392E88">
        <w:t>pro</w:t>
      </w:r>
      <w:r w:rsidRPr="00392E88">
        <w:t>porcjonalne,</w:t>
      </w:r>
      <w:r w:rsidR="006E6446" w:rsidRPr="00392E88">
        <w:t xml:space="preserve"> z</w:t>
      </w:r>
      <w:r w:rsidR="006E6446">
        <w:t> </w:t>
      </w:r>
      <w:r w:rsidR="006E6446" w:rsidRPr="00392E88">
        <w:t>uwz</w:t>
      </w:r>
      <w:r w:rsidRPr="00392E88">
        <w:t>ględnieniem specyfiki krajowej, oraz powinny obejmować opcje wypłaty, powiązane koszty</w:t>
      </w:r>
      <w:r w:rsidR="006E6446" w:rsidRPr="00392E88">
        <w:t xml:space="preserve"> i</w:t>
      </w:r>
      <w:r w:rsidR="006E6446">
        <w:t> </w:t>
      </w:r>
      <w:r w:rsidR="006E6446" w:rsidRPr="00392E88">
        <w:t>opł</w:t>
      </w:r>
      <w:r w:rsidRPr="00392E88">
        <w:t>aty, mające zastosowanie podatki, ryzyko</w:t>
      </w:r>
      <w:r w:rsidR="006E6446" w:rsidRPr="00392E88">
        <w:t xml:space="preserve"> i</w:t>
      </w:r>
      <w:r w:rsidR="006E6446">
        <w:t> </w:t>
      </w:r>
      <w:r w:rsidR="006E6446" w:rsidRPr="00392E88">
        <w:t>pro</w:t>
      </w:r>
      <w:r w:rsidRPr="00392E88">
        <w:t>gnozy,</w:t>
      </w:r>
      <w:r w:rsidR="006E6446" w:rsidRPr="00392E88">
        <w:t xml:space="preserve"> w</w:t>
      </w:r>
      <w:r w:rsidR="006E6446">
        <w:t> </w:t>
      </w:r>
      <w:r w:rsidR="006E6446" w:rsidRPr="00392E88">
        <w:t>tym w</w:t>
      </w:r>
      <w:r w:rsidR="006E6446">
        <w:t> </w:t>
      </w:r>
      <w:r w:rsidR="006E6446" w:rsidRPr="00392E88">
        <w:t>odn</w:t>
      </w:r>
      <w:r w:rsidRPr="00392E88">
        <w:t>iesieniu do rent zmiennych.</w:t>
      </w:r>
    </w:p>
    <w:p w14:paraId="422A1971" w14:textId="0C3C5C66" w:rsidR="00422E7D" w:rsidRPr="00392E88" w:rsidRDefault="0068702C" w:rsidP="006F46E3">
      <w:pPr>
        <w:pStyle w:val="ManualConsidrant"/>
      </w:pPr>
      <w:r>
        <w:t>(36)</w:t>
      </w:r>
      <w:r>
        <w:tab/>
      </w:r>
      <w:r w:rsidRPr="00392E88">
        <w:t>Przejście</w:t>
      </w:r>
      <w:r w:rsidR="006E6446" w:rsidRPr="00392E88">
        <w:t xml:space="preserve"> z</w:t>
      </w:r>
      <w:r w:rsidR="006E6446">
        <w:t> </w:t>
      </w:r>
      <w:r w:rsidR="006E6446" w:rsidRPr="00392E88">
        <w:t>pro</w:t>
      </w:r>
      <w:r w:rsidRPr="00392E88">
        <w:t>gramów emerytalnych</w:t>
      </w:r>
      <w:r w:rsidR="006E6446" w:rsidRPr="00392E88">
        <w:t xml:space="preserve"> o</w:t>
      </w:r>
      <w:r w:rsidR="006E6446">
        <w:t> </w:t>
      </w:r>
      <w:r w:rsidR="006E6446" w:rsidRPr="00392E88">
        <w:t>zde</w:t>
      </w:r>
      <w:r w:rsidRPr="00392E88">
        <w:t>finiowanym świadczeniu na programy emerytalne</w:t>
      </w:r>
      <w:r w:rsidR="006E6446" w:rsidRPr="00392E88">
        <w:t xml:space="preserve"> o</w:t>
      </w:r>
      <w:r w:rsidR="006E6446">
        <w:t> </w:t>
      </w:r>
      <w:r w:rsidR="006E6446" w:rsidRPr="00392E88">
        <w:t>zde</w:t>
      </w:r>
      <w:r w:rsidRPr="00392E88">
        <w:t>finiowanej składce wiąże się</w:t>
      </w:r>
      <w:r w:rsidR="006E6446" w:rsidRPr="00392E88">
        <w:t xml:space="preserve"> z</w:t>
      </w:r>
      <w:r w:rsidR="006E6446">
        <w:t> </w:t>
      </w:r>
      <w:r w:rsidR="006E6446" w:rsidRPr="00392E88">
        <w:t>wię</w:t>
      </w:r>
      <w:r w:rsidRPr="00392E88">
        <w:t>kszym ryzykiem finansowym dla uczestników</w:t>
      </w:r>
      <w:r w:rsidR="006E6446" w:rsidRPr="00392E88">
        <w:t xml:space="preserve"> i</w:t>
      </w:r>
      <w:r w:rsidR="006E6446">
        <w:t> </w:t>
      </w:r>
      <w:r w:rsidR="006E6446" w:rsidRPr="00392E88">
        <w:t>ben</w:t>
      </w:r>
      <w:r w:rsidRPr="00392E88">
        <w:t>eficjentów, ponieważ świadczenia zmienne zastępują wcześniej gwarantowane świadczenia. Uczestnicy</w:t>
      </w:r>
      <w:r w:rsidR="006E6446" w:rsidRPr="00392E88">
        <w:t xml:space="preserve"> i</w:t>
      </w:r>
      <w:r w:rsidR="006E6446">
        <w:t> </w:t>
      </w:r>
      <w:r w:rsidR="006E6446" w:rsidRPr="00392E88">
        <w:t>ben</w:t>
      </w:r>
      <w:r w:rsidRPr="00392E88">
        <w:t>eficjenci często mają do czynienia ze złożonymi wyborami dotyczącymi korzyści lub inwestycji,</w:t>
      </w:r>
      <w:r w:rsidR="006E6446" w:rsidRPr="00392E88">
        <w:t xml:space="preserve"> a</w:t>
      </w:r>
      <w:r w:rsidR="006E6446">
        <w:t> </w:t>
      </w:r>
      <w:r w:rsidR="006E6446" w:rsidRPr="00392E88">
        <w:t>ich</w:t>
      </w:r>
      <w:r w:rsidRPr="00392E88">
        <w:t xml:space="preserve"> zdolność do podejmowania odpowiednich decyzji może być ograniczona</w:t>
      </w:r>
      <w:r w:rsidR="006E6446" w:rsidRPr="00392E88">
        <w:t xml:space="preserve"> z</w:t>
      </w:r>
      <w:r w:rsidR="006E6446">
        <w:t> </w:t>
      </w:r>
      <w:r w:rsidR="006E6446" w:rsidRPr="00392E88">
        <w:t>pow</w:t>
      </w:r>
      <w:r w:rsidRPr="00392E88">
        <w:t>odu asymetrii informacji, ograniczonej wiedzy lub ograniczonego zrozumienia, błędów poznawczych lub złożonych</w:t>
      </w:r>
      <w:r w:rsidR="006E6446" w:rsidRPr="00392E88">
        <w:t xml:space="preserve"> i</w:t>
      </w:r>
      <w:r w:rsidR="006E6446">
        <w:t> </w:t>
      </w:r>
      <w:r w:rsidR="006E6446" w:rsidRPr="00392E88">
        <w:t>nie</w:t>
      </w:r>
      <w:r w:rsidRPr="00392E88">
        <w:t>odpowiednich środowisk wyboru. Łączenie wielu wyborów jeszcze bardziej utrudnia uczestnikom</w:t>
      </w:r>
      <w:r w:rsidR="006E6446" w:rsidRPr="00392E88">
        <w:t xml:space="preserve"> i</w:t>
      </w:r>
      <w:r w:rsidR="006E6446">
        <w:t> </w:t>
      </w:r>
      <w:r w:rsidR="006E6446" w:rsidRPr="00392E88">
        <w:t>ben</w:t>
      </w:r>
      <w:r w:rsidRPr="00392E88">
        <w:t>eficjentom ocenę potencjalnych skutków ich decyzji. IORP odgrywają kluczową rolę</w:t>
      </w:r>
      <w:r w:rsidR="006E6446" w:rsidRPr="00392E88">
        <w:t xml:space="preserve"> w</w:t>
      </w:r>
      <w:r w:rsidR="006E6446">
        <w:t> </w:t>
      </w:r>
      <w:r w:rsidR="006E6446" w:rsidRPr="00392E88">
        <w:t>och</w:t>
      </w:r>
      <w:r w:rsidRPr="00392E88">
        <w:t>ronie długoterminowych interesów uczestników</w:t>
      </w:r>
      <w:r w:rsidR="006E6446" w:rsidRPr="00392E88">
        <w:t xml:space="preserve"> i</w:t>
      </w:r>
      <w:r w:rsidR="006E6446">
        <w:t> </w:t>
      </w:r>
      <w:r w:rsidR="006E6446" w:rsidRPr="00392E88">
        <w:t>ben</w:t>
      </w:r>
      <w:r w:rsidRPr="00392E88">
        <w:t>eficjentów przez ostrożne zarządzanie aktywami</w:t>
      </w:r>
      <w:r w:rsidR="006E6446" w:rsidRPr="00392E88">
        <w:t xml:space="preserve"> i</w:t>
      </w:r>
      <w:r w:rsidR="006E6446">
        <w:t> </w:t>
      </w:r>
      <w:r w:rsidR="006E6446" w:rsidRPr="00392E88">
        <w:t>nal</w:t>
      </w:r>
      <w:r w:rsidRPr="00392E88">
        <w:t>eżyte zarządzanie. Aby zwiększyć zaufanie do systemu</w:t>
      </w:r>
      <w:r w:rsidR="006E6446" w:rsidRPr="00392E88">
        <w:t xml:space="preserve"> i</w:t>
      </w:r>
      <w:r w:rsidR="006E6446">
        <w:t> </w:t>
      </w:r>
      <w:r w:rsidR="006E6446" w:rsidRPr="00392E88">
        <w:t>zap</w:t>
      </w:r>
      <w:r w:rsidRPr="00392E88">
        <w:t>ewnić zgodność decyzji inwestycyjnych</w:t>
      </w:r>
      <w:r w:rsidR="006E6446" w:rsidRPr="00392E88">
        <w:t xml:space="preserve"> z</w:t>
      </w:r>
      <w:r w:rsidR="006E6446">
        <w:t> </w:t>
      </w:r>
      <w:r w:rsidR="006E6446" w:rsidRPr="00392E88">
        <w:t>naj</w:t>
      </w:r>
      <w:r w:rsidRPr="00392E88">
        <w:t>lepiej pojętym interesem uczestników, należy wzmocnić obowiązki powiernicze związane</w:t>
      </w:r>
      <w:r w:rsidR="006E6446" w:rsidRPr="00392E88">
        <w:t xml:space="preserve"> z</w:t>
      </w:r>
      <w:r w:rsidR="006E6446">
        <w:t> </w:t>
      </w:r>
      <w:r w:rsidR="006E6446" w:rsidRPr="00392E88">
        <w:t>zar</w:t>
      </w:r>
      <w:r w:rsidRPr="00392E88">
        <w:t>ządzaniem ryzykiem</w:t>
      </w:r>
      <w:r w:rsidR="006E6446" w:rsidRPr="00392E88">
        <w:t xml:space="preserve"> i</w:t>
      </w:r>
      <w:r w:rsidR="006E6446">
        <w:t> </w:t>
      </w:r>
      <w:r w:rsidR="006E6446" w:rsidRPr="00392E88">
        <w:t>pol</w:t>
      </w:r>
      <w:r w:rsidRPr="00392E88">
        <w:t>ityką inwestycyjną</w:t>
      </w:r>
      <w:r w:rsidR="006E6446" w:rsidRPr="00392E88">
        <w:t>. W</w:t>
      </w:r>
      <w:r w:rsidR="006E6446">
        <w:t> </w:t>
      </w:r>
      <w:r w:rsidR="006E6446" w:rsidRPr="00392E88">
        <w:t>cel</w:t>
      </w:r>
      <w:r w:rsidRPr="00392E88">
        <w:t>u zwiększenia ochrony</w:t>
      </w:r>
      <w:r w:rsidR="006E6446" w:rsidRPr="00392E88">
        <w:t xml:space="preserve"> i</w:t>
      </w:r>
      <w:r w:rsidR="006E6446">
        <w:t> </w:t>
      </w:r>
      <w:r w:rsidR="006E6446" w:rsidRPr="00392E88">
        <w:t>zap</w:t>
      </w:r>
      <w:r w:rsidRPr="00392E88">
        <w:t>ewnienia, aby programy emerytalne przynosiły wyniki, których uczestnicy</w:t>
      </w:r>
      <w:r w:rsidR="006E6446" w:rsidRPr="00392E88">
        <w:t xml:space="preserve"> i</w:t>
      </w:r>
      <w:r w:rsidR="006E6446">
        <w:t> </w:t>
      </w:r>
      <w:r w:rsidR="006E6446" w:rsidRPr="00392E88">
        <w:t>ben</w:t>
      </w:r>
      <w:r w:rsidRPr="00392E88">
        <w:t>eficjenci mogą zasadnie oczekiwać, IORP powinny podlegać ogólnemu obowiązkowi dochowania należytej staranności. Taki obowiązek powinien zobowiązywać instytucje do uczciwego, sprawiedliwego</w:t>
      </w:r>
      <w:r w:rsidR="006E6446" w:rsidRPr="00392E88">
        <w:t xml:space="preserve"> i</w:t>
      </w:r>
      <w:r w:rsidR="006E6446">
        <w:t> </w:t>
      </w:r>
      <w:r w:rsidR="006E6446" w:rsidRPr="00392E88">
        <w:t>pro</w:t>
      </w:r>
      <w:r w:rsidRPr="00392E88">
        <w:t>fesjonalnego działania</w:t>
      </w:r>
      <w:r w:rsidR="006E6446" w:rsidRPr="00392E88">
        <w:t xml:space="preserve"> w</w:t>
      </w:r>
      <w:r w:rsidR="006E6446">
        <w:t> </w:t>
      </w:r>
      <w:r w:rsidR="006E6446" w:rsidRPr="00392E88">
        <w:t>naj</w:t>
      </w:r>
      <w:r w:rsidRPr="00392E88">
        <w:t>lepszym interesie uczestników</w:t>
      </w:r>
      <w:r w:rsidR="006E6446" w:rsidRPr="00392E88">
        <w:t xml:space="preserve"> i</w:t>
      </w:r>
      <w:r w:rsidR="006E6446">
        <w:t> </w:t>
      </w:r>
      <w:r w:rsidR="006E6446" w:rsidRPr="00392E88">
        <w:t>ben</w:t>
      </w:r>
      <w:r w:rsidRPr="00392E88">
        <w:t>eficjentów, dążenia do odpowiednich, skorygowanych</w:t>
      </w:r>
      <w:r w:rsidR="006E6446" w:rsidRPr="00392E88">
        <w:t xml:space="preserve"> o</w:t>
      </w:r>
      <w:r w:rsidR="006E6446">
        <w:t> </w:t>
      </w:r>
      <w:r w:rsidR="006E6446" w:rsidRPr="00392E88">
        <w:t>ryz</w:t>
      </w:r>
      <w:r w:rsidRPr="00392E88">
        <w:t>yko</w:t>
      </w:r>
      <w:r w:rsidR="006E6446" w:rsidRPr="00392E88">
        <w:t xml:space="preserve"> i</w:t>
      </w:r>
      <w:r w:rsidR="006E6446">
        <w:t> </w:t>
      </w:r>
      <w:r w:rsidR="006E6446" w:rsidRPr="00392E88">
        <w:t>opł</w:t>
      </w:r>
      <w:r w:rsidRPr="00392E88">
        <w:t>acalnych zwrotów</w:t>
      </w:r>
      <w:r w:rsidR="006E6446" w:rsidRPr="00392E88">
        <w:t xml:space="preserve"> w</w:t>
      </w:r>
      <w:r w:rsidR="006E6446">
        <w:t> </w:t>
      </w:r>
      <w:r w:rsidR="006E6446" w:rsidRPr="00392E88">
        <w:t>per</w:t>
      </w:r>
      <w:r w:rsidRPr="00392E88">
        <w:t>spektywie długoterminowej oraz do zapewnienia wytycznych</w:t>
      </w:r>
      <w:r w:rsidR="006E6446" w:rsidRPr="00392E88">
        <w:t xml:space="preserve"> i</w:t>
      </w:r>
      <w:r w:rsidR="006E6446">
        <w:t> </w:t>
      </w:r>
      <w:r w:rsidR="006E6446" w:rsidRPr="00392E88">
        <w:t>zab</w:t>
      </w:r>
      <w:r w:rsidRPr="00392E88">
        <w:t>ezpieczeń wspierających świadome</w:t>
      </w:r>
      <w:r w:rsidR="006E6446" w:rsidRPr="00392E88">
        <w:t xml:space="preserve"> i</w:t>
      </w:r>
      <w:r w:rsidR="006E6446">
        <w:t> </w:t>
      </w:r>
      <w:r w:rsidR="006E6446" w:rsidRPr="00392E88">
        <w:t>odp</w:t>
      </w:r>
      <w:r w:rsidRPr="00392E88">
        <w:t>owiednie podejmowanie decyzji,</w:t>
      </w:r>
      <w:r w:rsidR="006E6446" w:rsidRPr="00392E88">
        <w:t xml:space="preserve"> z</w:t>
      </w:r>
      <w:r w:rsidR="006E6446">
        <w:t> </w:t>
      </w:r>
      <w:r w:rsidR="006E6446" w:rsidRPr="00392E88">
        <w:t>uwz</w:t>
      </w:r>
      <w:r w:rsidRPr="00392E88">
        <w:t>ględnieniem charakteru programu emerytalnego, ryzyka ponoszonego przez uczestników</w:t>
      </w:r>
      <w:r w:rsidR="006E6446" w:rsidRPr="00392E88">
        <w:t xml:space="preserve"> i</w:t>
      </w:r>
      <w:r w:rsidR="006E6446">
        <w:t> </w:t>
      </w:r>
      <w:r w:rsidR="006E6446" w:rsidRPr="00392E88">
        <w:t>ben</w:t>
      </w:r>
      <w:r w:rsidRPr="00392E88">
        <w:t>eficjentów, obowiązków instytucji oraz,</w:t>
      </w:r>
      <w:r w:rsidR="006E6446" w:rsidRPr="00392E88">
        <w:t xml:space="preserve"> w</w:t>
      </w:r>
      <w:r w:rsidR="006E6446">
        <w:t> </w:t>
      </w:r>
      <w:r w:rsidR="006E6446" w:rsidRPr="00392E88">
        <w:t>sto</w:t>
      </w:r>
      <w:r w:rsidRPr="00392E88">
        <w:t>sownych przypadkach, roli partnerów społecznych</w:t>
      </w:r>
      <w:r w:rsidR="006E6446" w:rsidRPr="00392E88">
        <w:t xml:space="preserve"> i</w:t>
      </w:r>
      <w:r w:rsidR="006E6446">
        <w:t> </w:t>
      </w:r>
      <w:r w:rsidR="006E6446" w:rsidRPr="00392E88">
        <w:t>ins</w:t>
      </w:r>
      <w:r w:rsidRPr="00392E88">
        <w:t>tytucji finansujących.</w:t>
      </w:r>
    </w:p>
    <w:p w14:paraId="641EE049" w14:textId="56FBA417" w:rsidR="00D9270F" w:rsidRPr="00392E88" w:rsidRDefault="009A5641" w:rsidP="00E36FAC">
      <w:pPr>
        <w:pStyle w:val="ManualConsidrant"/>
      </w:pPr>
      <w:r>
        <w:t>(37)</w:t>
      </w:r>
      <w:r>
        <w:tab/>
      </w:r>
      <w:r w:rsidRPr="00392E88">
        <w:t>Pracownicze programy emerytalne są długoterminowymi rozwiązaniami,</w:t>
      </w:r>
      <w:r w:rsidR="006E6446" w:rsidRPr="00392E88">
        <w:t xml:space="preserve"> z</w:t>
      </w:r>
      <w:r w:rsidR="006E6446">
        <w:t> </w:t>
      </w:r>
      <w:r w:rsidR="006E6446" w:rsidRPr="00392E88">
        <w:t>któ</w:t>
      </w:r>
      <w:r w:rsidRPr="00392E88">
        <w:t>rych pracownicy korzystają</w:t>
      </w:r>
      <w:r w:rsidR="006E6446" w:rsidRPr="00392E88">
        <w:t xml:space="preserve"> w</w:t>
      </w:r>
      <w:r w:rsidR="006E6446">
        <w:t> </w:t>
      </w:r>
      <w:r w:rsidR="006E6446" w:rsidRPr="00392E88">
        <w:t>cel</w:t>
      </w:r>
      <w:r w:rsidRPr="00392E88">
        <w:t>u zapewnienia sobie odpowiedniego dochodu emerytalnego. Uczestnicy programów</w:t>
      </w:r>
      <w:r w:rsidR="006E6446" w:rsidRPr="00392E88">
        <w:t xml:space="preserve"> o</w:t>
      </w:r>
      <w:r w:rsidR="006E6446">
        <w:t> </w:t>
      </w:r>
      <w:r w:rsidR="006E6446" w:rsidRPr="00392E88">
        <w:t>zde</w:t>
      </w:r>
      <w:r w:rsidRPr="00392E88">
        <w:t>finiowanej składce ponoszą szczególne ryzyko,</w:t>
      </w:r>
      <w:r w:rsidR="006E6446" w:rsidRPr="00392E88">
        <w:t xml:space="preserve"> w</w:t>
      </w:r>
      <w:r w:rsidR="006E6446">
        <w:t> </w:t>
      </w:r>
      <w:r w:rsidR="006E6446" w:rsidRPr="00392E88">
        <w:t>tym</w:t>
      </w:r>
      <w:r w:rsidRPr="00392E88">
        <w:t xml:space="preserve"> ryzyko związane</w:t>
      </w:r>
      <w:r w:rsidR="006E6446" w:rsidRPr="00392E88">
        <w:t xml:space="preserve"> z</w:t>
      </w:r>
      <w:r w:rsidR="006E6446">
        <w:t> </w:t>
      </w:r>
      <w:r w:rsidR="006E6446" w:rsidRPr="00392E88">
        <w:t>doc</w:t>
      </w:r>
      <w:r w:rsidRPr="00392E88">
        <w:t>hodami emerytalnymi, ryzyko inwestycyjne, koszty</w:t>
      </w:r>
      <w:r w:rsidR="006E6446" w:rsidRPr="00392E88">
        <w:t xml:space="preserve"> i</w:t>
      </w:r>
      <w:r w:rsidR="006E6446">
        <w:t> </w:t>
      </w:r>
      <w:r w:rsidR="006E6446" w:rsidRPr="00392E88">
        <w:t>opł</w:t>
      </w:r>
      <w:r w:rsidRPr="00392E88">
        <w:t>aty, ryzyko administracyjne</w:t>
      </w:r>
      <w:r w:rsidR="006E6446" w:rsidRPr="00392E88">
        <w:t xml:space="preserve"> i</w:t>
      </w:r>
      <w:r w:rsidR="006E6446">
        <w:t> </w:t>
      </w:r>
      <w:r w:rsidR="006E6446" w:rsidRPr="00392E88">
        <w:t>ryz</w:t>
      </w:r>
      <w:r w:rsidRPr="00392E88">
        <w:t>yko związane</w:t>
      </w:r>
      <w:r w:rsidR="006E6446" w:rsidRPr="00392E88">
        <w:t xml:space="preserve"> z</w:t>
      </w:r>
      <w:r w:rsidR="006E6446">
        <w:t> </w:t>
      </w:r>
      <w:r w:rsidR="006E6446" w:rsidRPr="00392E88">
        <w:t>zar</w:t>
      </w:r>
      <w:r w:rsidRPr="00392E88">
        <w:t>ządzaniem oraz braki</w:t>
      </w:r>
      <w:r w:rsidR="006E6446" w:rsidRPr="00392E88">
        <w:t xml:space="preserve"> w</w:t>
      </w:r>
      <w:r w:rsidR="006E6446">
        <w:t> </w:t>
      </w:r>
      <w:r w:rsidR="006E6446" w:rsidRPr="00392E88">
        <w:t>wie</w:t>
      </w:r>
      <w:r w:rsidRPr="00392E88">
        <w:t>dzy. Aby opracować odpowiednie strategie inwestycyjne</w:t>
      </w:r>
      <w:r w:rsidR="006E6446" w:rsidRPr="00392E88">
        <w:t xml:space="preserve"> i</w:t>
      </w:r>
      <w:r w:rsidR="006E6446">
        <w:t> </w:t>
      </w:r>
      <w:r w:rsidR="006E6446" w:rsidRPr="00392E88">
        <w:t>zao</w:t>
      </w:r>
      <w:r w:rsidRPr="00392E88">
        <w:t>ferować odpowiednie opcje inwestycyjne zgodne ze zdolnością uczestników do ponoszenia strat</w:t>
      </w:r>
      <w:r w:rsidR="006E6446" w:rsidRPr="00392E88">
        <w:t xml:space="preserve"> i</w:t>
      </w:r>
      <w:r w:rsidR="006E6446">
        <w:t> </w:t>
      </w:r>
      <w:r w:rsidR="006E6446" w:rsidRPr="00392E88">
        <w:t>ich</w:t>
      </w:r>
      <w:r w:rsidRPr="00392E88">
        <w:t xml:space="preserve"> preferencjami</w:t>
      </w:r>
      <w:r w:rsidR="006E6446" w:rsidRPr="00392E88">
        <w:t xml:space="preserve"> w</w:t>
      </w:r>
      <w:r w:rsidR="006E6446">
        <w:t> </w:t>
      </w:r>
      <w:r w:rsidR="006E6446" w:rsidRPr="00392E88">
        <w:t>zak</w:t>
      </w:r>
      <w:r w:rsidRPr="00392E88">
        <w:t>resie relacji ryzyka do zwrotu, IORP odgrywają kluczową rolę</w:t>
      </w:r>
      <w:r w:rsidR="006E6446" w:rsidRPr="00392E88">
        <w:t xml:space="preserve"> w</w:t>
      </w:r>
      <w:r w:rsidR="006E6446">
        <w:t> </w:t>
      </w:r>
      <w:r w:rsidR="006E6446" w:rsidRPr="00392E88">
        <w:t>oce</w:t>
      </w:r>
      <w:r w:rsidRPr="00392E88">
        <w:t>nie tego ryzyka</w:t>
      </w:r>
      <w:r w:rsidR="006E6446" w:rsidRPr="00392E88">
        <w:t xml:space="preserve"> z</w:t>
      </w:r>
      <w:r w:rsidR="006E6446">
        <w:t> </w:t>
      </w:r>
      <w:r w:rsidR="006E6446" w:rsidRPr="00392E88">
        <w:t>per</w:t>
      </w:r>
      <w:r w:rsidRPr="00392E88">
        <w:t>spektywy uczestników</w:t>
      </w:r>
      <w:r w:rsidR="006E6446" w:rsidRPr="00392E88">
        <w:t xml:space="preserve"> i</w:t>
      </w:r>
      <w:r w:rsidR="006E6446">
        <w:t> </w:t>
      </w:r>
      <w:r w:rsidR="006E6446" w:rsidRPr="00392E88">
        <w:t>ben</w:t>
      </w:r>
      <w:r w:rsidRPr="00392E88">
        <w:t>eficjentów. Aby wspierać świadome podejmowanie decyzji</w:t>
      </w:r>
      <w:r w:rsidR="006E6446" w:rsidRPr="00392E88">
        <w:t xml:space="preserve"> i</w:t>
      </w:r>
      <w:r w:rsidR="006E6446">
        <w:t> </w:t>
      </w:r>
      <w:r w:rsidR="006E6446" w:rsidRPr="00392E88">
        <w:t>chr</w:t>
      </w:r>
      <w:r w:rsidRPr="00392E88">
        <w:t>onić interesy uczestników, IORP powinny przeprowadzać długoterminowe oceny ryzyka, zapewniać odpowiednie wybory inwestycyjne</w:t>
      </w:r>
      <w:r w:rsidR="006E6446" w:rsidRPr="00392E88">
        <w:t xml:space="preserve"> i</w:t>
      </w:r>
      <w:r w:rsidR="006E6446">
        <w:t> </w:t>
      </w:r>
      <w:r w:rsidR="006E6446" w:rsidRPr="00392E88">
        <w:t>dos</w:t>
      </w:r>
      <w:r w:rsidRPr="00392E88">
        <w:t>tarczać kluczowe informacje,</w:t>
      </w:r>
      <w:r w:rsidR="006E6446" w:rsidRPr="00392E88">
        <w:t xml:space="preserve"> w</w:t>
      </w:r>
      <w:r w:rsidR="006E6446">
        <w:t> </w:t>
      </w:r>
      <w:r w:rsidR="006E6446" w:rsidRPr="00392E88">
        <w:t>tym</w:t>
      </w:r>
      <w:r w:rsidRPr="00392E88">
        <w:t xml:space="preserve"> na temat wszystkich kosztów</w:t>
      </w:r>
      <w:r w:rsidR="006E6446" w:rsidRPr="00392E88">
        <w:t xml:space="preserve"> i</w:t>
      </w:r>
      <w:r w:rsidR="006E6446">
        <w:t> </w:t>
      </w:r>
      <w:r w:rsidR="006E6446" w:rsidRPr="00392E88">
        <w:t>opł</w:t>
      </w:r>
      <w:r w:rsidRPr="00392E88">
        <w:t>at oraz prognoz,</w:t>
      </w:r>
      <w:r w:rsidR="006E6446" w:rsidRPr="00392E88">
        <w:t xml:space="preserve"> z</w:t>
      </w:r>
      <w:r w:rsidR="006E6446">
        <w:t> </w:t>
      </w:r>
      <w:r w:rsidR="006E6446" w:rsidRPr="00392E88">
        <w:t>uwz</w:t>
      </w:r>
      <w:r w:rsidRPr="00392E88">
        <w:t xml:space="preserve">ględnieniem specyfiki krajowej. </w:t>
      </w:r>
    </w:p>
    <w:p w14:paraId="0F8F415D" w14:textId="72952090" w:rsidR="00BD698A" w:rsidRPr="00392E88" w:rsidRDefault="00BD698A" w:rsidP="00BD698A">
      <w:pPr>
        <w:pStyle w:val="ManualConsidrant"/>
      </w:pPr>
      <w:r>
        <w:t>(38)</w:t>
      </w:r>
      <w:r>
        <w:tab/>
      </w:r>
      <w:r w:rsidRPr="00392E88">
        <w:t>Aby zapewnić uczestnikom</w:t>
      </w:r>
      <w:r w:rsidR="006E6446" w:rsidRPr="00392E88">
        <w:t xml:space="preserve"> i</w:t>
      </w:r>
      <w:r w:rsidR="006E6446">
        <w:t> </w:t>
      </w:r>
      <w:r w:rsidR="006E6446" w:rsidRPr="00392E88">
        <w:t>ben</w:t>
      </w:r>
      <w:r w:rsidRPr="00392E88">
        <w:t>eficjentom możliwość skutecznego korzystania</w:t>
      </w:r>
      <w:r w:rsidR="006E6446" w:rsidRPr="00392E88">
        <w:t xml:space="preserve"> z</w:t>
      </w:r>
      <w:r w:rsidR="006E6446">
        <w:t> </w:t>
      </w:r>
      <w:r w:rsidR="006E6446" w:rsidRPr="00392E88">
        <w:t>prz</w:t>
      </w:r>
      <w:r w:rsidRPr="00392E88">
        <w:t>ysługujących im praw oraz dostęp do sprawiedliwego</w:t>
      </w:r>
      <w:r w:rsidR="006E6446" w:rsidRPr="00392E88">
        <w:t xml:space="preserve"> i</w:t>
      </w:r>
      <w:r w:rsidR="006E6446">
        <w:t> </w:t>
      </w:r>
      <w:r w:rsidR="006E6446" w:rsidRPr="00392E88">
        <w:t>ter</w:t>
      </w:r>
      <w:r w:rsidRPr="00392E88">
        <w:t>minowego dochodzenia roszczeń, IORP powinny ustanowić skuteczne procedury rozpatrywania skarg</w:t>
      </w:r>
      <w:r w:rsidR="006E6446" w:rsidRPr="00392E88">
        <w:t xml:space="preserve"> i</w:t>
      </w:r>
      <w:r w:rsidR="006E6446">
        <w:t> </w:t>
      </w:r>
      <w:r w:rsidR="006E6446" w:rsidRPr="00392E88">
        <w:t>dos</w:t>
      </w:r>
      <w:r w:rsidRPr="00392E88">
        <w:t>tarczać informacji na temat dostępnych alternatywnych mechanizmów rozstrzygania sporów</w:t>
      </w:r>
      <w:r w:rsidR="006E6446" w:rsidRPr="00392E88">
        <w:t>. Z</w:t>
      </w:r>
      <w:r w:rsidR="006E6446">
        <w:t> </w:t>
      </w:r>
      <w:r w:rsidR="006E6446" w:rsidRPr="00392E88">
        <w:t>teg</w:t>
      </w:r>
      <w:r w:rsidRPr="00392E88">
        <w:t>o samego powodu państwa członkowskie powinny dysponować odpowiednimi, niezależnymi</w:t>
      </w:r>
      <w:r w:rsidR="006E6446" w:rsidRPr="00392E88">
        <w:t xml:space="preserve"> i</w:t>
      </w:r>
      <w:r w:rsidR="006E6446">
        <w:t> </w:t>
      </w:r>
      <w:r w:rsidR="006E6446" w:rsidRPr="00392E88">
        <w:t>bez</w:t>
      </w:r>
      <w:r w:rsidRPr="00392E88">
        <w:t>stronnymi organami pozasądowego rozstrzygania sporów,</w:t>
      </w:r>
      <w:r w:rsidR="006E6446" w:rsidRPr="00392E88">
        <w:t xml:space="preserve"> w</w:t>
      </w:r>
      <w:r w:rsidR="006E6446">
        <w:t> </w:t>
      </w:r>
      <w:r w:rsidR="006E6446" w:rsidRPr="00392E88">
        <w:t>tym w</w:t>
      </w:r>
      <w:r w:rsidR="006E6446">
        <w:t> </w:t>
      </w:r>
      <w:r w:rsidR="006E6446" w:rsidRPr="00392E88">
        <w:t>spr</w:t>
      </w:r>
      <w:r w:rsidRPr="00392E88">
        <w:t>awach transgranicznych, oraz zapewnić właściwym organom możliwość rejestrowania skarg dotyczących domniemanych naruszeń dyrektywy (UE) 2016/2341</w:t>
      </w:r>
      <w:r w:rsidR="006E6446" w:rsidRPr="00392E88">
        <w:t xml:space="preserve"> i</w:t>
      </w:r>
      <w:r w:rsidR="006E6446">
        <w:t> </w:t>
      </w:r>
      <w:r w:rsidR="006E6446" w:rsidRPr="00392E88">
        <w:t>rea</w:t>
      </w:r>
      <w:r w:rsidRPr="00392E88">
        <w:t>gowania na nie.</w:t>
      </w:r>
    </w:p>
    <w:p w14:paraId="05CB5565" w14:textId="1431D66E" w:rsidR="008131D4" w:rsidRPr="00392E88" w:rsidRDefault="008131D4" w:rsidP="00E8215D">
      <w:pPr>
        <w:pStyle w:val="ManualConsidrant"/>
      </w:pPr>
      <w:r>
        <w:t>(39)</w:t>
      </w:r>
      <w:r>
        <w:tab/>
      </w:r>
      <w:r w:rsidRPr="00392E88">
        <w:t>Różnice</w:t>
      </w:r>
      <w:r w:rsidR="006E6446" w:rsidRPr="00392E88">
        <w:t xml:space="preserve"> w</w:t>
      </w:r>
      <w:r w:rsidR="006E6446">
        <w:t> </w:t>
      </w:r>
      <w:r w:rsidR="006E6446" w:rsidRPr="00392E88">
        <w:t>upr</w:t>
      </w:r>
      <w:r w:rsidRPr="00392E88">
        <w:t>awnieniach, narzędziach</w:t>
      </w:r>
      <w:r w:rsidR="006E6446" w:rsidRPr="00392E88">
        <w:t xml:space="preserve"> i</w:t>
      </w:r>
      <w:r w:rsidR="006E6446">
        <w:t> </w:t>
      </w:r>
      <w:r w:rsidR="006E6446" w:rsidRPr="00392E88">
        <w:t>pra</w:t>
      </w:r>
      <w:r w:rsidRPr="00392E88">
        <w:t>ktykach dostępnych właściwym organom</w:t>
      </w:r>
      <w:r w:rsidR="006E6446" w:rsidRPr="00392E88">
        <w:t xml:space="preserve"> w</w:t>
      </w:r>
      <w:r w:rsidR="006E6446">
        <w:t> </w:t>
      </w:r>
      <w:r w:rsidR="006E6446" w:rsidRPr="00392E88">
        <w:t>pos</w:t>
      </w:r>
      <w:r w:rsidRPr="00392E88">
        <w:t>zczególnych państwach członkowskich mogą utrudniać skuteczny nadzór nad IORP oraz terminowe zapobieganie naruszeniom lub ich korygowanie. Bez uprawnień do uzyskiwania niezbędnych informacji, do wymagania zgodności</w:t>
      </w:r>
      <w:r w:rsidR="006E6446" w:rsidRPr="00392E88">
        <w:t xml:space="preserve"> z</w:t>
      </w:r>
      <w:r w:rsidR="006E6446">
        <w:t> </w:t>
      </w:r>
      <w:r w:rsidR="006E6446" w:rsidRPr="00392E88">
        <w:t>maj</w:t>
      </w:r>
      <w:r w:rsidRPr="00392E88">
        <w:t>ącymi zastosowanie przepisami ustawowymi</w:t>
      </w:r>
      <w:r w:rsidR="006E6446" w:rsidRPr="00392E88">
        <w:t xml:space="preserve"> i</w:t>
      </w:r>
      <w:r w:rsidR="006E6446">
        <w:t> </w:t>
      </w:r>
      <w:r w:rsidR="006E6446" w:rsidRPr="00392E88">
        <w:t>wyk</w:t>
      </w:r>
      <w:r w:rsidRPr="00392E88">
        <w:t>onawczymi, do przeglądu</w:t>
      </w:r>
      <w:r w:rsidR="006E6446" w:rsidRPr="00392E88">
        <w:t xml:space="preserve"> i</w:t>
      </w:r>
      <w:r w:rsidR="006E6446">
        <w:t> </w:t>
      </w:r>
      <w:r w:rsidR="006E6446" w:rsidRPr="00392E88">
        <w:t>oce</w:t>
      </w:r>
      <w:r w:rsidRPr="00392E88">
        <w:t>ny strategii, procesów</w:t>
      </w:r>
      <w:r w:rsidR="006E6446" w:rsidRPr="00392E88">
        <w:t xml:space="preserve"> i</w:t>
      </w:r>
      <w:r w:rsidR="006E6446">
        <w:t> </w:t>
      </w:r>
      <w:r w:rsidR="006E6446" w:rsidRPr="00392E88">
        <w:t>pro</w:t>
      </w:r>
      <w:r w:rsidRPr="00392E88">
        <w:t>cedur sprawozdawczych IORP lub do nakładania sankcji właściwe organy mogą nie być</w:t>
      </w:r>
      <w:r w:rsidR="006E6446" w:rsidRPr="00392E88">
        <w:t xml:space="preserve"> w</w:t>
      </w:r>
      <w:r w:rsidR="006E6446">
        <w:t> </w:t>
      </w:r>
      <w:r w:rsidR="006E6446" w:rsidRPr="00392E88">
        <w:t>sta</w:t>
      </w:r>
      <w:r w:rsidRPr="00392E88">
        <w:t>nie zapewnić, aby IORP utrzymywały wystarczające zasoby finansowe, spełniały wymogi</w:t>
      </w:r>
      <w:r w:rsidR="006E6446" w:rsidRPr="00392E88">
        <w:t xml:space="preserve"> w</w:t>
      </w:r>
      <w:r w:rsidR="006E6446">
        <w:t> </w:t>
      </w:r>
      <w:r w:rsidR="006E6446" w:rsidRPr="00392E88">
        <w:t>zak</w:t>
      </w:r>
      <w:r w:rsidRPr="00392E88">
        <w:t>resie zarządzania</w:t>
      </w:r>
      <w:r w:rsidR="006E6446" w:rsidRPr="00392E88">
        <w:t xml:space="preserve"> i</w:t>
      </w:r>
      <w:r w:rsidR="006E6446">
        <w:t> </w:t>
      </w:r>
      <w:r w:rsidR="006E6446" w:rsidRPr="00392E88">
        <w:t>zar</w:t>
      </w:r>
      <w:r w:rsidRPr="00392E88">
        <w:t>ządzania ryzykiem lub były</w:t>
      </w:r>
      <w:r w:rsidR="006E6446" w:rsidRPr="00392E88">
        <w:t xml:space="preserve"> w</w:t>
      </w:r>
      <w:r w:rsidR="006E6446">
        <w:t> </w:t>
      </w:r>
      <w:r w:rsidR="006E6446" w:rsidRPr="00392E88">
        <w:t>sta</w:t>
      </w:r>
      <w:r w:rsidRPr="00392E88">
        <w:t>nie sprostać niekorzystnym wydarzeniom lub zmianom warunków ekonomicznych. Aby przeciwdziałać tym zagrożeniom, państwa członkowskie powinny zapewnić, aby właściwe organy posiadały wszelkie niezbędne uprawnienia do uzyskiwania informacji, przeprowadzania systematycznych</w:t>
      </w:r>
      <w:r w:rsidR="006E6446" w:rsidRPr="00392E88">
        <w:t xml:space="preserve"> i</w:t>
      </w:r>
      <w:r w:rsidR="006E6446">
        <w:t> </w:t>
      </w:r>
      <w:r w:rsidR="006E6446" w:rsidRPr="00392E88">
        <w:t>opa</w:t>
      </w:r>
      <w:r w:rsidRPr="00392E88">
        <w:t>rtych na analizie ryzyka przeglądów</w:t>
      </w:r>
      <w:r w:rsidR="006E6446" w:rsidRPr="00392E88">
        <w:t xml:space="preserve"> i</w:t>
      </w:r>
      <w:r w:rsidR="006E6446">
        <w:t> </w:t>
      </w:r>
      <w:r w:rsidR="006E6446" w:rsidRPr="00392E88">
        <w:t>oce</w:t>
      </w:r>
      <w:r w:rsidRPr="00392E88">
        <w:t>n, monitorowania pogarszającej się kondycji finansowej, angażowania się</w:t>
      </w:r>
      <w:r w:rsidR="006E6446" w:rsidRPr="00392E88">
        <w:t xml:space="preserve"> w</w:t>
      </w:r>
      <w:r w:rsidR="006E6446">
        <w:t> </w:t>
      </w:r>
      <w:r w:rsidR="006E6446" w:rsidRPr="00392E88">
        <w:t>reg</w:t>
      </w:r>
      <w:r w:rsidRPr="00392E88">
        <w:t>ularny dialog nadzorczy, podejmowania</w:t>
      </w:r>
      <w:r w:rsidR="006E6446" w:rsidRPr="00392E88">
        <w:t xml:space="preserve"> w</w:t>
      </w:r>
      <w:r w:rsidR="006E6446">
        <w:t> </w:t>
      </w:r>
      <w:r w:rsidR="006E6446" w:rsidRPr="00392E88">
        <w:t>odp</w:t>
      </w:r>
      <w:r w:rsidRPr="00392E88">
        <w:t>owiednim czasie środków zapobiegawczych</w:t>
      </w:r>
      <w:r w:rsidR="006E6446" w:rsidRPr="00392E88">
        <w:t xml:space="preserve"> i</w:t>
      </w:r>
      <w:r w:rsidR="006E6446">
        <w:t> </w:t>
      </w:r>
      <w:r w:rsidR="006E6446" w:rsidRPr="00392E88">
        <w:t>nap</w:t>
      </w:r>
      <w:r w:rsidRPr="00392E88">
        <w:t>rawczych oraz nakładania skutecznych, proporcjonalnych</w:t>
      </w:r>
      <w:r w:rsidR="006E6446" w:rsidRPr="00392E88">
        <w:t xml:space="preserve"> i</w:t>
      </w:r>
      <w:r w:rsidR="006E6446">
        <w:t> </w:t>
      </w:r>
      <w:r w:rsidR="006E6446" w:rsidRPr="00392E88">
        <w:t>ods</w:t>
      </w:r>
      <w:r w:rsidRPr="00392E88">
        <w:t>traszających sankcji administracyjnych. </w:t>
      </w:r>
    </w:p>
    <w:p w14:paraId="6497B78A" w14:textId="1A7C17FF" w:rsidR="0039669E" w:rsidRPr="00392E88" w:rsidRDefault="00C102EF" w:rsidP="25F88385">
      <w:pPr>
        <w:pStyle w:val="ManualConsidrant"/>
      </w:pPr>
      <w:r>
        <w:t>(40)</w:t>
      </w:r>
      <w:r>
        <w:tab/>
      </w:r>
      <w:r w:rsidRPr="00392E88">
        <w:t>IORP różnią się znacznie pod względem skali, efektywności operacyjnej</w:t>
      </w:r>
      <w:r w:rsidR="006E6446" w:rsidRPr="00392E88">
        <w:t xml:space="preserve"> i</w:t>
      </w:r>
      <w:r w:rsidR="006E6446">
        <w:t> </w:t>
      </w:r>
      <w:r w:rsidR="006E6446" w:rsidRPr="00392E88">
        <w:t>str</w:t>
      </w:r>
      <w:r w:rsidRPr="00392E88">
        <w:t>uktury organizacyjnej. Mniejsze lub rozdrobnione IORP mogą mieć trudności</w:t>
      </w:r>
      <w:r w:rsidR="006E6446" w:rsidRPr="00392E88">
        <w:t xml:space="preserve"> z</w:t>
      </w:r>
      <w:r w:rsidR="006E6446">
        <w:t> </w:t>
      </w:r>
      <w:r w:rsidR="006E6446" w:rsidRPr="00392E88">
        <w:t>osi</w:t>
      </w:r>
      <w:r w:rsidRPr="00392E88">
        <w:t>ąganiem korzyści skali, angażowaniem się</w:t>
      </w:r>
      <w:r w:rsidR="006E6446" w:rsidRPr="00392E88">
        <w:t xml:space="preserve"> w</w:t>
      </w:r>
      <w:r w:rsidR="006E6446">
        <w:t> </w:t>
      </w:r>
      <w:r w:rsidR="006E6446" w:rsidRPr="00392E88">
        <w:t>sku</w:t>
      </w:r>
      <w:r w:rsidRPr="00392E88">
        <w:t>teczne łączenie aktywów lub optymalizacją efektywności operacyjnej</w:t>
      </w:r>
      <w:r w:rsidR="006E6446" w:rsidRPr="00392E88">
        <w:t xml:space="preserve"> i</w:t>
      </w:r>
      <w:r w:rsidR="006E6446">
        <w:t> </w:t>
      </w:r>
      <w:r w:rsidR="006E6446" w:rsidRPr="00392E88">
        <w:t>inw</w:t>
      </w:r>
      <w:r w:rsidRPr="00392E88">
        <w:t>estycyjnej. Wczesne rozpoznanie wyzwań strukturalnych</w:t>
      </w:r>
      <w:r w:rsidR="006E6446" w:rsidRPr="00392E88">
        <w:t xml:space="preserve"> i</w:t>
      </w:r>
      <w:r w:rsidR="006E6446">
        <w:t> </w:t>
      </w:r>
      <w:r w:rsidR="006E6446" w:rsidRPr="00392E88">
        <w:t>pod</w:t>
      </w:r>
      <w:r w:rsidRPr="00392E88">
        <w:t>atności na zagrożenia ma zatem zasadnicze znaczenie dla zapewnienia, aby IORP mogły przynieść korzyści uczestnikom</w:t>
      </w:r>
      <w:r w:rsidR="006E6446" w:rsidRPr="00392E88">
        <w:t xml:space="preserve"> i</w:t>
      </w:r>
      <w:r w:rsidR="006E6446">
        <w:t> </w:t>
      </w:r>
      <w:r w:rsidR="006E6446" w:rsidRPr="00392E88">
        <w:t>ben</w:t>
      </w:r>
      <w:r w:rsidRPr="00392E88">
        <w:t>eficjentom</w:t>
      </w:r>
      <w:r w:rsidR="006E6446" w:rsidRPr="00392E88">
        <w:t xml:space="preserve"> w</w:t>
      </w:r>
      <w:r w:rsidR="006E6446">
        <w:t> </w:t>
      </w:r>
      <w:r w:rsidR="006E6446" w:rsidRPr="00392E88">
        <w:t>per</w:t>
      </w:r>
      <w:r w:rsidRPr="00392E88">
        <w:t>spektywie długoterminowej. Właściwe organy odgrywają ważną rolę we wspieraniu strategicznej refleksji IORP na temat ich długoterminowej stabilności,</w:t>
      </w:r>
      <w:r w:rsidR="006E6446" w:rsidRPr="00392E88">
        <w:t xml:space="preserve"> w</w:t>
      </w:r>
      <w:r w:rsidR="006E6446">
        <w:t> </w:t>
      </w:r>
      <w:r w:rsidR="006E6446" w:rsidRPr="00392E88">
        <w:t>tym</w:t>
      </w:r>
      <w:r w:rsidRPr="00392E88">
        <w:t xml:space="preserve"> na temat takich aspektów, jak skala, struktura organizacyjna</w:t>
      </w:r>
      <w:r w:rsidR="006E6446" w:rsidRPr="00392E88">
        <w:t xml:space="preserve"> i</w:t>
      </w:r>
      <w:r w:rsidR="006E6446">
        <w:t> </w:t>
      </w:r>
      <w:r w:rsidR="006E6446" w:rsidRPr="00392E88">
        <w:t>pot</w:t>
      </w:r>
      <w:r w:rsidRPr="00392E88">
        <w:t>encjał konsolidacji lub współpracy,</w:t>
      </w:r>
      <w:r w:rsidR="006E6446" w:rsidRPr="00392E88">
        <w:t xml:space="preserve"> w</w:t>
      </w:r>
      <w:r w:rsidR="006E6446">
        <w:t> </w:t>
      </w:r>
      <w:r w:rsidR="006E6446" w:rsidRPr="00392E88">
        <w:t>prz</w:t>
      </w:r>
      <w:r w:rsidRPr="00392E88">
        <w:t>ypadku gdy są to sposoby zaradzenia stwierdzonym niedociągnięciom. Właściwe organy powinny zatem prowadzić regularne ustrukturyzowane dialogi nadzorcze z IORP, podczas których IORP mogą zidentyfikować potencjalne słabości</w:t>
      </w:r>
      <w:r w:rsidR="006E6446" w:rsidRPr="00392E88">
        <w:t xml:space="preserve"> i</w:t>
      </w:r>
      <w:r w:rsidR="006E6446">
        <w:t> </w:t>
      </w:r>
      <w:r w:rsidR="006E6446" w:rsidRPr="00392E88">
        <w:t>roz</w:t>
      </w:r>
      <w:r w:rsidRPr="00392E88">
        <w:t>ważyć warianty strategiczne,</w:t>
      </w:r>
      <w:r w:rsidR="006E6446" w:rsidRPr="00392E88">
        <w:t xml:space="preserve"> w</w:t>
      </w:r>
      <w:r w:rsidR="006E6446">
        <w:t> </w:t>
      </w:r>
      <w:r w:rsidR="006E6446" w:rsidRPr="00392E88">
        <w:t>tym</w:t>
      </w:r>
      <w:r w:rsidRPr="00392E88">
        <w:t xml:space="preserve"> środki mające na celu zwiększenie efektywności, skali</w:t>
      </w:r>
      <w:r w:rsidR="006E6446" w:rsidRPr="00392E88">
        <w:t xml:space="preserve"> i</w:t>
      </w:r>
      <w:r w:rsidR="006E6446">
        <w:t> </w:t>
      </w:r>
      <w:r w:rsidR="006E6446" w:rsidRPr="00392E88">
        <w:t>wsp</w:t>
      </w:r>
      <w:r w:rsidRPr="00392E88">
        <w:t>ólnego korzystania</w:t>
      </w:r>
      <w:r w:rsidR="006E6446" w:rsidRPr="00392E88">
        <w:t xml:space="preserve"> z</w:t>
      </w:r>
      <w:r w:rsidR="006E6446">
        <w:t> </w:t>
      </w:r>
      <w:r w:rsidR="006E6446" w:rsidRPr="00392E88">
        <w:t>zas</w:t>
      </w:r>
      <w:r w:rsidRPr="00392E88">
        <w:t>obów, przy jednoczesnym zachowaniu głównej odpowiedzialności za zapewnienie uczestnikom</w:t>
      </w:r>
      <w:r w:rsidR="006E6446" w:rsidRPr="00392E88">
        <w:t xml:space="preserve"> i</w:t>
      </w:r>
      <w:r w:rsidR="006E6446">
        <w:t> </w:t>
      </w:r>
      <w:r w:rsidR="006E6446" w:rsidRPr="00392E88">
        <w:t>ben</w:t>
      </w:r>
      <w:r w:rsidRPr="00392E88">
        <w:t>eficjentom odpowiednich świadczeń emerytalnych.</w:t>
      </w:r>
    </w:p>
    <w:p w14:paraId="2B691DA6" w14:textId="4638D9F0" w:rsidR="002823FB" w:rsidRPr="00392E88" w:rsidRDefault="002823FB" w:rsidP="002823FB">
      <w:pPr>
        <w:pStyle w:val="ManualConsidrant"/>
        <w:rPr>
          <w:b/>
          <w:bCs/>
        </w:rPr>
      </w:pPr>
      <w:r>
        <w:t>(41)</w:t>
      </w:r>
      <w:r>
        <w:tab/>
      </w:r>
      <w:r w:rsidRPr="00392E88">
        <w:t>Bez terminowych, kompletnych</w:t>
      </w:r>
      <w:r w:rsidR="006E6446" w:rsidRPr="00392E88">
        <w:t xml:space="preserve"> i</w:t>
      </w:r>
      <w:r w:rsidR="006E6446">
        <w:t> </w:t>
      </w:r>
      <w:r w:rsidR="006E6446" w:rsidRPr="00392E88">
        <w:t>por</w:t>
      </w:r>
      <w:r w:rsidRPr="00392E88">
        <w:t>ównywalnych informacji właściwe organy mogą nie być</w:t>
      </w:r>
      <w:r w:rsidR="006E6446" w:rsidRPr="00392E88">
        <w:t xml:space="preserve"> w</w:t>
      </w:r>
      <w:r w:rsidR="006E6446">
        <w:t> </w:t>
      </w:r>
      <w:r w:rsidR="006E6446" w:rsidRPr="00392E88">
        <w:t>sta</w:t>
      </w:r>
      <w:r w:rsidRPr="00392E88">
        <w:t>nie oceniać zgodności, monitorować ryzyka lub skutecznie wprowadzać środków zapobiegawczych</w:t>
      </w:r>
      <w:r w:rsidR="006E6446" w:rsidRPr="00392E88">
        <w:t xml:space="preserve"> i</w:t>
      </w:r>
      <w:r w:rsidR="006E6446">
        <w:t> </w:t>
      </w:r>
      <w:r w:rsidR="006E6446" w:rsidRPr="00392E88">
        <w:t>nap</w:t>
      </w:r>
      <w:r w:rsidRPr="00392E88">
        <w:t>rawczych. Aby rozwiązać ten problem, państwa członkowskie powinny zapewnić właściwym organom uprawnienia do wymagania, by IORP przedkładały wszystkie informacje niezbędne do nadzoru, przeprowadzały kontrolę na miejscu oraz uzyskiwały szczegółowe sprawozdania na temat kosztów, opłat</w:t>
      </w:r>
      <w:r w:rsidR="006E6446" w:rsidRPr="00392E88">
        <w:t xml:space="preserve"> i</w:t>
      </w:r>
      <w:r w:rsidR="006E6446">
        <w:t> </w:t>
      </w:r>
      <w:r w:rsidR="006E6446" w:rsidRPr="00392E88">
        <w:t>zwr</w:t>
      </w:r>
      <w:r w:rsidRPr="00392E88">
        <w:t>otów</w:t>
      </w:r>
      <w:r w:rsidR="006E6446" w:rsidRPr="00392E88">
        <w:t xml:space="preserve"> z</w:t>
      </w:r>
      <w:r w:rsidR="006E6446">
        <w:t> </w:t>
      </w:r>
      <w:r w:rsidR="006E6446" w:rsidRPr="00392E88">
        <w:t>inw</w:t>
      </w:r>
      <w:r w:rsidRPr="00392E88">
        <w:t>estycji.</w:t>
      </w:r>
    </w:p>
    <w:p w14:paraId="7AA32E16" w14:textId="00265E57" w:rsidR="006B42D0" w:rsidRPr="00392E88" w:rsidRDefault="005024F9" w:rsidP="006B42D0">
      <w:pPr>
        <w:pStyle w:val="ManualConsidrant"/>
      </w:pPr>
      <w:r>
        <w:t>(42)</w:t>
      </w:r>
      <w:r>
        <w:tab/>
      </w:r>
      <w:r w:rsidRPr="00392E88">
        <w:t>Zlecanie przez IORP</w:t>
      </w:r>
      <w:r w:rsidR="006E6446" w:rsidRPr="00392E88">
        <w:t xml:space="preserve"> w</w:t>
      </w:r>
      <w:r w:rsidR="006E6446">
        <w:t> </w:t>
      </w:r>
      <w:r w:rsidR="006E6446" w:rsidRPr="00392E88">
        <w:t>dro</w:t>
      </w:r>
      <w:r w:rsidRPr="00392E88">
        <w:t>dze outsourcingu kluczowych funkcji lub innej działalności może przynieść korzyści skali,</w:t>
      </w:r>
      <w:r w:rsidR="006E6446" w:rsidRPr="00392E88">
        <w:t xml:space="preserve"> a</w:t>
      </w:r>
      <w:r w:rsidR="006E6446">
        <w:t> </w:t>
      </w:r>
      <w:r w:rsidR="006E6446" w:rsidRPr="00392E88">
        <w:t>tak</w:t>
      </w:r>
      <w:r w:rsidRPr="00392E88">
        <w:t>że może przynieść uczestnikom</w:t>
      </w:r>
      <w:r w:rsidR="006E6446" w:rsidRPr="00392E88">
        <w:t xml:space="preserve"> i</w:t>
      </w:r>
      <w:r w:rsidR="006E6446">
        <w:t> </w:t>
      </w:r>
      <w:r w:rsidR="006E6446" w:rsidRPr="00392E88">
        <w:t>ben</w:t>
      </w:r>
      <w:r w:rsidRPr="00392E88">
        <w:t>eficjentom wartość dodaną lub obniżyć ponoszone przez nich koszty. Może to jednak również stwarzać dodatkowe ryzyko</w:t>
      </w:r>
      <w:r w:rsidR="006E6446" w:rsidRPr="00392E88">
        <w:t xml:space="preserve"> i</w:t>
      </w:r>
      <w:r w:rsidR="006E6446">
        <w:t> </w:t>
      </w:r>
      <w:r w:rsidR="006E6446" w:rsidRPr="00392E88">
        <w:t>utr</w:t>
      </w:r>
      <w:r w:rsidRPr="00392E88">
        <w:t>udniać skuteczny nadzór. Bez dostępu do odpowiednich informacji</w:t>
      </w:r>
      <w:r w:rsidR="006E6446" w:rsidRPr="00392E88">
        <w:t xml:space="preserve"> i</w:t>
      </w:r>
      <w:r w:rsidR="006E6446">
        <w:t> </w:t>
      </w:r>
      <w:r w:rsidR="006E6446" w:rsidRPr="00392E88">
        <w:t>lok</w:t>
      </w:r>
      <w:r w:rsidRPr="00392E88">
        <w:t>ali oraz bez współpracy ze strony usługodawców właściwe organy mogą nie być</w:t>
      </w:r>
      <w:r w:rsidR="006E6446" w:rsidRPr="00392E88">
        <w:t xml:space="preserve"> w</w:t>
      </w:r>
      <w:r w:rsidR="006E6446">
        <w:t> </w:t>
      </w:r>
      <w:r w:rsidR="006E6446" w:rsidRPr="00392E88">
        <w:t>sta</w:t>
      </w:r>
      <w:r w:rsidRPr="00392E88">
        <w:t>nie monitorować działalności zleconej</w:t>
      </w:r>
      <w:r w:rsidR="006E6446" w:rsidRPr="00392E88">
        <w:t xml:space="preserve"> w</w:t>
      </w:r>
      <w:r w:rsidR="006E6446">
        <w:t> </w:t>
      </w:r>
      <w:r w:rsidR="006E6446" w:rsidRPr="00392E88">
        <w:t>dro</w:t>
      </w:r>
      <w:r w:rsidRPr="00392E88">
        <w:t>dze outsourcingu lub zapewnić zgodności. Aby przeciwdziałać tym zagrożeniom, państwa członkowskie powinny zapewnić, aby IORP umożliwiały właściwym organom dostęp do danych</w:t>
      </w:r>
      <w:r w:rsidR="006E6446" w:rsidRPr="00392E88">
        <w:t xml:space="preserve"> i</w:t>
      </w:r>
      <w:r w:rsidR="006E6446">
        <w:t> </w:t>
      </w:r>
      <w:r w:rsidR="006E6446" w:rsidRPr="00392E88">
        <w:t>lok</w:t>
      </w:r>
      <w:r w:rsidRPr="00392E88">
        <w:t>ali usługodawców oraz przeprowadzanie kontroli na miejscu bezpośrednio lub za pośrednictwem organów delegowanych. IORP powinny również</w:t>
      </w:r>
      <w:r w:rsidR="006E6446" w:rsidRPr="00392E88">
        <w:t xml:space="preserve"> w</w:t>
      </w:r>
      <w:r w:rsidR="006E6446">
        <w:t> </w:t>
      </w:r>
      <w:r w:rsidR="006E6446" w:rsidRPr="00392E88">
        <w:t>peł</w:t>
      </w:r>
      <w:r w:rsidRPr="00392E88">
        <w:t>ni współpracować podczas nadzoru. Aby zapewnić skuteczny transgraniczny nadzór nad funkcjami zlecanymi na zasadzie outsourcingu, EIOPA powinien mieć możliwość wspierania właściwych organów we wspólnych kontrolach na miejscu.</w:t>
      </w:r>
    </w:p>
    <w:p w14:paraId="612BF874" w14:textId="620DE5EC" w:rsidR="00A425E1" w:rsidRPr="00392E88" w:rsidRDefault="00712AA9" w:rsidP="00712AA9">
      <w:pPr>
        <w:pStyle w:val="ManualConsidrant"/>
      </w:pPr>
      <w:r>
        <w:t>(43)</w:t>
      </w:r>
      <w:r>
        <w:tab/>
      </w:r>
      <w:r w:rsidRPr="00392E88">
        <w:t>Przejrzyste, porównywalne</w:t>
      </w:r>
      <w:r w:rsidR="006E6446" w:rsidRPr="00392E88">
        <w:t xml:space="preserve"> i</w:t>
      </w:r>
      <w:r w:rsidR="006E6446">
        <w:t> </w:t>
      </w:r>
      <w:r w:rsidR="006E6446" w:rsidRPr="00392E88">
        <w:t>łat</w:t>
      </w:r>
      <w:r w:rsidRPr="00392E88">
        <w:t>wo dostępne informacje na temat całkowitych rocznych kosztów, wyników osiągniętych</w:t>
      </w:r>
      <w:r w:rsidR="006E6446" w:rsidRPr="00392E88">
        <w:t xml:space="preserve"> w</w:t>
      </w:r>
      <w:r w:rsidR="006E6446">
        <w:t> </w:t>
      </w:r>
      <w:r w:rsidR="006E6446" w:rsidRPr="00392E88">
        <w:t>prz</w:t>
      </w:r>
      <w:r w:rsidRPr="00392E88">
        <w:t>eszłości</w:t>
      </w:r>
      <w:r w:rsidR="006E6446" w:rsidRPr="00392E88">
        <w:t xml:space="preserve"> i</w:t>
      </w:r>
      <w:r w:rsidR="006E6446">
        <w:t> </w:t>
      </w:r>
      <w:r w:rsidR="006E6446" w:rsidRPr="00392E88">
        <w:t>pro</w:t>
      </w:r>
      <w:r w:rsidRPr="00392E88">
        <w:t>fili ryzyka programów emerytalnych obsługiwanych przez IORP są niezbędne uczestnikom</w:t>
      </w:r>
      <w:r w:rsidR="006E6446" w:rsidRPr="00392E88">
        <w:t xml:space="preserve"> i</w:t>
      </w:r>
      <w:r w:rsidR="006E6446">
        <w:t> </w:t>
      </w:r>
      <w:r w:rsidR="006E6446" w:rsidRPr="00392E88">
        <w:t>ben</w:t>
      </w:r>
      <w:r w:rsidRPr="00392E88">
        <w:t>eficjentom do podejmowania świadomych decyzji dotyczących ich oszczędności emerytalnych. Takie ujawnianie informacji mogłoby zwiększyć efektywność, opłacalność</w:t>
      </w:r>
      <w:r w:rsidR="006E6446" w:rsidRPr="00392E88">
        <w:t xml:space="preserve"> i</w:t>
      </w:r>
      <w:r w:rsidR="006E6446">
        <w:t> </w:t>
      </w:r>
      <w:r w:rsidR="006E6446" w:rsidRPr="00392E88">
        <w:t>pot</w:t>
      </w:r>
      <w:r w:rsidRPr="00392E88">
        <w:t>encjał osiągnięcia korzyści skali, co ostatecznie przyniosłoby korzyści uczestnikom</w:t>
      </w:r>
      <w:r w:rsidR="006E6446" w:rsidRPr="00392E88">
        <w:t xml:space="preserve"> i</w:t>
      </w:r>
      <w:r w:rsidR="006E6446">
        <w:t> </w:t>
      </w:r>
      <w:r w:rsidR="006E6446" w:rsidRPr="00392E88">
        <w:t>ben</w:t>
      </w:r>
      <w:r w:rsidRPr="00392E88">
        <w:t>eficjentom. Aby zapewnić porównywalność</w:t>
      </w:r>
      <w:r w:rsidR="006E6446" w:rsidRPr="00392E88">
        <w:t xml:space="preserve"> i</w:t>
      </w:r>
      <w:r w:rsidR="006E6446">
        <w:t> </w:t>
      </w:r>
      <w:r w:rsidR="006E6446" w:rsidRPr="00392E88">
        <w:t>dos</w:t>
      </w:r>
      <w:r w:rsidRPr="00392E88">
        <w:t>tępność, właściwe organy powinny publikować te informacje na jednej ogólnodostępnej stronie internetowej dotyczącej wszystkich odpowiednich programów emerytalnych lub opcji inwestycyjnych, obejmującej co najmniej ostatnie dziesięć lat.</w:t>
      </w:r>
    </w:p>
    <w:p w14:paraId="6EE75AB8" w14:textId="5BC100CA" w:rsidR="009B1FAD" w:rsidRPr="00392E88" w:rsidRDefault="009B1FAD" w:rsidP="009D30F7">
      <w:pPr>
        <w:pStyle w:val="ManualConsidrant"/>
        <w:rPr>
          <w:b/>
          <w:bCs/>
        </w:rPr>
      </w:pPr>
      <w:r>
        <w:t>(44)</w:t>
      </w:r>
      <w:r>
        <w:tab/>
      </w:r>
      <w:r w:rsidRPr="00392E88">
        <w:t>W przypadku gdy działalność transgraniczna jest znacząca</w:t>
      </w:r>
      <w:r w:rsidR="006E6446" w:rsidRPr="00392E88">
        <w:t xml:space="preserve"> w</w:t>
      </w:r>
      <w:r w:rsidR="006E6446">
        <w:t> </w:t>
      </w:r>
      <w:r w:rsidR="006E6446" w:rsidRPr="00392E88">
        <w:t>odn</w:t>
      </w:r>
      <w:r w:rsidRPr="00392E88">
        <w:t>iesieniu do rynku przyjmującego państwa członkowskiego</w:t>
      </w:r>
      <w:r w:rsidR="006E6446" w:rsidRPr="00392E88">
        <w:t xml:space="preserve"> i</w:t>
      </w:r>
      <w:r w:rsidR="006E6446">
        <w:t> </w:t>
      </w:r>
      <w:r w:rsidR="006E6446" w:rsidRPr="00392E88">
        <w:t>wym</w:t>
      </w:r>
      <w:r w:rsidRPr="00392E88">
        <w:t>aga ścisłej współpracy między właściwymi organami rodzimego państwa członkowskiego</w:t>
      </w:r>
      <w:r w:rsidR="006E6446" w:rsidRPr="00392E88">
        <w:t xml:space="preserve"> i</w:t>
      </w:r>
      <w:r w:rsidR="006E6446">
        <w:t> </w:t>
      </w:r>
      <w:r w:rsidR="006E6446" w:rsidRPr="00392E88">
        <w:t>prz</w:t>
      </w:r>
      <w:r w:rsidRPr="00392E88">
        <w:t>yjmującego państwa członkowskiego, zwłaszcza gdy istnieje ryzyko, że IORP może się znaleźć</w:t>
      </w:r>
      <w:r w:rsidR="006E6446" w:rsidRPr="00392E88">
        <w:t xml:space="preserve"> w</w:t>
      </w:r>
      <w:r w:rsidR="006E6446">
        <w:t> </w:t>
      </w:r>
      <w:r w:rsidR="006E6446" w:rsidRPr="00392E88">
        <w:t>tru</w:t>
      </w:r>
      <w:r w:rsidRPr="00392E88">
        <w:t>dnej sytuacji finansowej ze szkodą dla uczestników</w:t>
      </w:r>
      <w:r w:rsidR="006E6446" w:rsidRPr="00392E88">
        <w:t xml:space="preserve"> i</w:t>
      </w:r>
      <w:r w:rsidR="006E6446">
        <w:t> </w:t>
      </w:r>
      <w:r w:rsidR="006E6446" w:rsidRPr="00392E88">
        <w:t>ben</w:t>
      </w:r>
      <w:r w:rsidRPr="00392E88">
        <w:t>eficjentów, EIOPA powinien mieć możliwość ustanowienia</w:t>
      </w:r>
      <w:r w:rsidR="006E6446" w:rsidRPr="00392E88">
        <w:t xml:space="preserve"> i</w:t>
      </w:r>
      <w:r w:rsidR="006E6446">
        <w:t> </w:t>
      </w:r>
      <w:r w:rsidR="006E6446" w:rsidRPr="00392E88">
        <w:t>koo</w:t>
      </w:r>
      <w:r w:rsidRPr="00392E88">
        <w:t>rdynacji platform współpracy</w:t>
      </w:r>
      <w:r w:rsidR="006E6446" w:rsidRPr="00392E88">
        <w:t xml:space="preserve"> w</w:t>
      </w:r>
      <w:r w:rsidR="006E6446">
        <w:t> </w:t>
      </w:r>
      <w:r w:rsidR="006E6446" w:rsidRPr="00392E88">
        <w:t>pod</w:t>
      </w:r>
      <w:r w:rsidRPr="00392E88">
        <w:t>obny sposób jak na mocy dyrektywy Parlamentu Europejskiego</w:t>
      </w:r>
      <w:r w:rsidR="006E6446" w:rsidRPr="00392E88">
        <w:t xml:space="preserve"> i</w:t>
      </w:r>
      <w:r w:rsidR="006E6446">
        <w:t> </w:t>
      </w:r>
      <w:r w:rsidR="006E6446" w:rsidRPr="00392E88">
        <w:t>Rad</w:t>
      </w:r>
      <w:r w:rsidRPr="00392E88">
        <w:t>y 2009/138/WE</w:t>
      </w:r>
      <w:r w:rsidRPr="00392E88">
        <w:rPr>
          <w:rStyle w:val="FootnoteReference"/>
        </w:rPr>
        <w:footnoteReference w:id="36"/>
      </w:r>
      <w:r w:rsidRPr="00392E88">
        <w:t>.</w:t>
      </w:r>
    </w:p>
    <w:p w14:paraId="3C904A37" w14:textId="79E74CBE" w:rsidR="00C319DF" w:rsidRPr="00392E88" w:rsidRDefault="000D2EB2" w:rsidP="00C319DF">
      <w:pPr>
        <w:pStyle w:val="ManualConsidrant"/>
      </w:pPr>
      <w:r>
        <w:t>(45)</w:t>
      </w:r>
      <w:r>
        <w:tab/>
      </w:r>
      <w:r w:rsidRPr="00392E88">
        <w:t>Zakłady ubezpieczeń</w:t>
      </w:r>
      <w:r w:rsidR="006E6446" w:rsidRPr="00392E88">
        <w:t xml:space="preserve"> i</w:t>
      </w:r>
      <w:r w:rsidR="006E6446">
        <w:t> </w:t>
      </w:r>
      <w:r w:rsidR="006E6446" w:rsidRPr="00392E88">
        <w:t>poś</w:t>
      </w:r>
      <w:r w:rsidRPr="00392E88">
        <w:t>rednicy ubezpieczeniowi również mogą dystrybuować pracownicze produkty emerytalne</w:t>
      </w:r>
      <w:r w:rsidR="006E6446" w:rsidRPr="00392E88">
        <w:t>. W</w:t>
      </w:r>
      <w:r w:rsidR="006E6446">
        <w:t> </w:t>
      </w:r>
      <w:r w:rsidR="006E6446" w:rsidRPr="00392E88">
        <w:t>cel</w:t>
      </w:r>
      <w:r w:rsidRPr="00392E88">
        <w:t>u zapewnienia, aby wszyscy potencjalni uczestnicy, uczestnicy</w:t>
      </w:r>
      <w:r w:rsidR="006E6446" w:rsidRPr="00392E88">
        <w:t xml:space="preserve"> i</w:t>
      </w:r>
      <w:r w:rsidR="006E6446">
        <w:t> </w:t>
      </w:r>
      <w:r w:rsidR="006E6446" w:rsidRPr="00392E88">
        <w:t>ben</w:t>
      </w:r>
      <w:r w:rsidRPr="00392E88">
        <w:t xml:space="preserve">eficjenci otrzymywali </w:t>
      </w:r>
      <w:r w:rsidRPr="00392E88">
        <w:rPr>
          <w:rStyle w:val="Strong"/>
          <w:b w:val="0"/>
        </w:rPr>
        <w:t>równoważne informacje</w:t>
      </w:r>
      <w:r w:rsidR="006E6446" w:rsidRPr="00392E88">
        <w:rPr>
          <w:rStyle w:val="Strong"/>
          <w:b w:val="0"/>
        </w:rPr>
        <w:t xml:space="preserve"> i</w:t>
      </w:r>
      <w:r w:rsidR="006E6446">
        <w:rPr>
          <w:rStyle w:val="Strong"/>
          <w:b w:val="0"/>
        </w:rPr>
        <w:t> </w:t>
      </w:r>
      <w:r w:rsidR="006E6446" w:rsidRPr="00392E88">
        <w:rPr>
          <w:rStyle w:val="Strong"/>
          <w:b w:val="0"/>
        </w:rPr>
        <w:t>och</w:t>
      </w:r>
      <w:r w:rsidRPr="00392E88">
        <w:rPr>
          <w:rStyle w:val="Strong"/>
          <w:b w:val="0"/>
        </w:rPr>
        <w:t>ronę</w:t>
      </w:r>
      <w:r w:rsidRPr="00392E88">
        <w:t>, takie zakłady</w:t>
      </w:r>
      <w:r w:rsidR="006E6446" w:rsidRPr="00392E88">
        <w:t xml:space="preserve"> i</w:t>
      </w:r>
      <w:r w:rsidR="006E6446">
        <w:t> </w:t>
      </w:r>
      <w:r w:rsidR="006E6446" w:rsidRPr="00392E88">
        <w:t>tac</w:t>
      </w:r>
      <w:r w:rsidRPr="00392E88">
        <w:t xml:space="preserve">y pośrednicy powinni podlegać </w:t>
      </w:r>
      <w:r w:rsidRPr="00392E88">
        <w:rPr>
          <w:rStyle w:val="Strong"/>
          <w:b w:val="0"/>
        </w:rPr>
        <w:t>przepisom dotyczącym informacji zgodnym</w:t>
      </w:r>
      <w:r w:rsidR="006E6446" w:rsidRPr="00392E88">
        <w:rPr>
          <w:rStyle w:val="Strong"/>
          <w:b w:val="0"/>
        </w:rPr>
        <w:t xml:space="preserve"> z</w:t>
      </w:r>
      <w:r w:rsidR="006E6446">
        <w:rPr>
          <w:rStyle w:val="Strong"/>
          <w:b w:val="0"/>
        </w:rPr>
        <w:t> </w:t>
      </w:r>
      <w:r w:rsidR="006E6446" w:rsidRPr="00392E88">
        <w:rPr>
          <w:rStyle w:val="Strong"/>
          <w:b w:val="0"/>
        </w:rPr>
        <w:t>prz</w:t>
      </w:r>
      <w:r w:rsidRPr="00392E88">
        <w:rPr>
          <w:rStyle w:val="Strong"/>
          <w:b w:val="0"/>
        </w:rPr>
        <w:t>episami mającymi zastosowanie do IORP,</w:t>
      </w:r>
      <w:r w:rsidR="006E6446" w:rsidRPr="00392E88">
        <w:rPr>
          <w:rStyle w:val="Strong"/>
          <w:b w:val="0"/>
        </w:rPr>
        <w:t xml:space="preserve"> w</w:t>
      </w:r>
      <w:r w:rsidR="006E6446">
        <w:rPr>
          <w:rStyle w:val="Strong"/>
          <w:b w:val="0"/>
        </w:rPr>
        <w:t> </w:t>
      </w:r>
      <w:r w:rsidR="006E6446" w:rsidRPr="00392E88">
        <w:rPr>
          <w:rStyle w:val="Strong"/>
          <w:b w:val="0"/>
        </w:rPr>
        <w:t>tym</w:t>
      </w:r>
      <w:r w:rsidRPr="00392E88">
        <w:rPr>
          <w:rStyle w:val="Strong"/>
          <w:b w:val="0"/>
        </w:rPr>
        <w:t xml:space="preserve"> obowiązkom dotyczącym przekazywania informacji do systemów monitorowania uprawnień emerytalnych</w:t>
      </w:r>
      <w:r w:rsidRPr="00392E88">
        <w:t xml:space="preserve">. </w:t>
      </w:r>
    </w:p>
    <w:p w14:paraId="067C061D" w14:textId="19887F03" w:rsidR="00F562E0" w:rsidRPr="00392E88" w:rsidRDefault="00F562E0" w:rsidP="00F562E0">
      <w:pPr>
        <w:pStyle w:val="ManualConsidrant"/>
      </w:pPr>
      <w:r>
        <w:t>(46)</w:t>
      </w:r>
      <w:r>
        <w:tab/>
      </w:r>
      <w:r w:rsidRPr="00392E88">
        <w:t>Aby osiągnąć cele określone</w:t>
      </w:r>
      <w:r w:rsidR="006E6446" w:rsidRPr="00392E88">
        <w:t xml:space="preserve"> w</w:t>
      </w:r>
      <w:r w:rsidR="006E6446">
        <w:t> </w:t>
      </w:r>
      <w:r w:rsidR="006E6446" w:rsidRPr="00392E88">
        <w:t>dyr</w:t>
      </w:r>
      <w:r w:rsidRPr="00392E88">
        <w:t>ektywie (UE) 2016/2341</w:t>
      </w:r>
      <w:r w:rsidR="006E6446" w:rsidRPr="00392E88">
        <w:t xml:space="preserve"> i</w:t>
      </w:r>
      <w:r w:rsidR="006E6446">
        <w:t> </w:t>
      </w:r>
      <w:r w:rsidR="006E6446" w:rsidRPr="00392E88">
        <w:t>w</w:t>
      </w:r>
      <w:r w:rsidR="006E6446">
        <w:t> </w:t>
      </w:r>
      <w:r w:rsidR="006E6446" w:rsidRPr="00392E88">
        <w:t>nin</w:t>
      </w:r>
      <w:r w:rsidRPr="00392E88">
        <w:t>iejszej dyrektywie, należy przekazać Komisji uprawnienia do przyjmowania aktów zgodnie</w:t>
      </w:r>
      <w:r w:rsidR="006E6446" w:rsidRPr="00392E88">
        <w:t xml:space="preserve"> z</w:t>
      </w:r>
      <w:r w:rsidR="006E6446">
        <w:t> </w:t>
      </w:r>
      <w:r w:rsidR="006E6446" w:rsidRPr="006E6446">
        <w:t>art</w:t>
      </w:r>
      <w:r w:rsidRPr="006E6446">
        <w:t>.</w:t>
      </w:r>
      <w:r w:rsidR="006E6446" w:rsidRPr="006E6446">
        <w:t> </w:t>
      </w:r>
      <w:r w:rsidRPr="006E6446">
        <w:t>2</w:t>
      </w:r>
      <w:r w:rsidRPr="00392E88">
        <w:t>90 Traktatu</w:t>
      </w:r>
      <w:r w:rsidR="006E6446" w:rsidRPr="00392E88">
        <w:t xml:space="preserve"> o</w:t>
      </w:r>
      <w:r w:rsidR="006E6446">
        <w:t> </w:t>
      </w:r>
      <w:r w:rsidR="006E6446" w:rsidRPr="00392E88">
        <w:t>fun</w:t>
      </w:r>
      <w:r w:rsidRPr="00392E88">
        <w:t>kcjonowaniu Unii Europejskiej</w:t>
      </w:r>
      <w:r w:rsidR="006E6446" w:rsidRPr="00392E88">
        <w:t xml:space="preserve"> w</w:t>
      </w:r>
      <w:r w:rsidR="006E6446">
        <w:t> </w:t>
      </w:r>
      <w:r w:rsidR="006E6446" w:rsidRPr="00392E88">
        <w:t>odn</w:t>
      </w:r>
      <w:r w:rsidRPr="00392E88">
        <w:t>iesieniu do niektórych parametrów technicznych określonych</w:t>
      </w:r>
      <w:r w:rsidR="006E6446" w:rsidRPr="00392E88">
        <w:t xml:space="preserve"> w</w:t>
      </w:r>
      <w:r w:rsidR="006E6446">
        <w:t> </w:t>
      </w:r>
      <w:r w:rsidR="006E6446" w:rsidRPr="00392E88">
        <w:t>dyr</w:t>
      </w:r>
      <w:r w:rsidRPr="00392E88">
        <w:t>ektywie (UE) 2016/2341 wynikających</w:t>
      </w:r>
      <w:r w:rsidR="006E6446" w:rsidRPr="00392E88">
        <w:t xml:space="preserve"> z</w:t>
      </w:r>
      <w:r w:rsidR="006E6446">
        <w:t> </w:t>
      </w:r>
      <w:r w:rsidR="006E6446" w:rsidRPr="00392E88">
        <w:t>dyr</w:t>
      </w:r>
      <w:r w:rsidRPr="00392E88">
        <w:t>ektywy Rady 79/267/EWG, które pozostały niezmienione od czasu ich wprowadzenia,</w:t>
      </w:r>
      <w:r w:rsidR="006E6446" w:rsidRPr="00392E88">
        <w:t xml:space="preserve"> a</w:t>
      </w:r>
      <w:r w:rsidR="006E6446">
        <w:t> </w:t>
      </w:r>
      <w:r w:rsidR="006E6446" w:rsidRPr="00392E88">
        <w:t>tak</w:t>
      </w:r>
      <w:r w:rsidRPr="00392E88">
        <w:t>że</w:t>
      </w:r>
      <w:r w:rsidR="006E6446" w:rsidRPr="00392E88">
        <w:t xml:space="preserve"> w</w:t>
      </w:r>
      <w:r w:rsidR="006E6446">
        <w:t> </w:t>
      </w:r>
      <w:r w:rsidR="006E6446" w:rsidRPr="00392E88">
        <w:t>odn</w:t>
      </w:r>
      <w:r w:rsidRPr="00392E88">
        <w:t>iesieniu do informacji</w:t>
      </w:r>
      <w:r w:rsidR="006E6446" w:rsidRPr="00392E88">
        <w:t xml:space="preserve"> o</w:t>
      </w:r>
      <w:r w:rsidR="006E6446">
        <w:t> </w:t>
      </w:r>
      <w:r w:rsidR="006E6446" w:rsidRPr="00392E88">
        <w:t>świ</w:t>
      </w:r>
      <w:r w:rsidRPr="00392E88">
        <w:t>adczeniu emerytalnym. Szczególnie ważne jest, aby</w:t>
      </w:r>
      <w:r w:rsidR="006E6446" w:rsidRPr="00392E88">
        <w:t xml:space="preserve"> w</w:t>
      </w:r>
      <w:r w:rsidR="006E6446">
        <w:t> </w:t>
      </w:r>
      <w:r w:rsidR="006E6446" w:rsidRPr="00392E88">
        <w:t>cza</w:t>
      </w:r>
      <w:r w:rsidRPr="00392E88">
        <w:t>sie prac przygotowawczych Komisja prowadziła stosowne konsultacje,</w:t>
      </w:r>
      <w:r w:rsidR="006E6446" w:rsidRPr="00392E88">
        <w:t xml:space="preserve"> w</w:t>
      </w:r>
      <w:r w:rsidR="006E6446">
        <w:t> </w:t>
      </w:r>
      <w:r w:rsidR="006E6446" w:rsidRPr="00392E88">
        <w:t>tym</w:t>
      </w:r>
      <w:r w:rsidRPr="00392E88">
        <w:t xml:space="preserve"> na poziomie ekspertów. Przygotowując</w:t>
      </w:r>
      <w:r w:rsidR="006E6446" w:rsidRPr="00392E88">
        <w:t xml:space="preserve"> i</w:t>
      </w:r>
      <w:r w:rsidR="006E6446">
        <w:t> </w:t>
      </w:r>
      <w:r w:rsidR="006E6446" w:rsidRPr="00392E88">
        <w:t>opr</w:t>
      </w:r>
      <w:r w:rsidRPr="00392E88">
        <w:t>acowując akty delegowane, Komisja powinna zapewnić jednoczesne, terminowe</w:t>
      </w:r>
      <w:r w:rsidR="006E6446" w:rsidRPr="00392E88">
        <w:t xml:space="preserve"> i</w:t>
      </w:r>
      <w:r w:rsidR="006E6446">
        <w:t> </w:t>
      </w:r>
      <w:r w:rsidR="006E6446" w:rsidRPr="00392E88">
        <w:t>odp</w:t>
      </w:r>
      <w:r w:rsidRPr="00392E88">
        <w:t>owiednie przekazywanie stosownych dokumentów Parlamentowi Europejskiemu</w:t>
      </w:r>
      <w:r w:rsidR="006E6446" w:rsidRPr="00392E88">
        <w:t xml:space="preserve"> i</w:t>
      </w:r>
      <w:r w:rsidR="006E6446">
        <w:t> </w:t>
      </w:r>
      <w:r w:rsidR="006E6446" w:rsidRPr="00392E88">
        <w:t>Rad</w:t>
      </w:r>
      <w:r w:rsidRPr="00392E88">
        <w:t>zie.</w:t>
      </w:r>
    </w:p>
    <w:p w14:paraId="5F0329C0" w14:textId="07E7BD52" w:rsidR="00F562E0" w:rsidRPr="00392E88" w:rsidRDefault="00F562E0" w:rsidP="00F562E0">
      <w:pPr>
        <w:pStyle w:val="ManualConsidrant"/>
      </w:pPr>
      <w:r>
        <w:t>(47)</w:t>
      </w:r>
      <w:r>
        <w:tab/>
      </w:r>
      <w:r w:rsidRPr="00392E88">
        <w:t>W celu zapewnienia jednolitych warunków stosowania przepisów dotyczących sprawozdawczości</w:t>
      </w:r>
      <w:r w:rsidR="006E6446" w:rsidRPr="00392E88">
        <w:t xml:space="preserve"> w</w:t>
      </w:r>
      <w:r w:rsidR="006E6446">
        <w:t> </w:t>
      </w:r>
      <w:r w:rsidR="006E6446" w:rsidRPr="00392E88">
        <w:t>zak</w:t>
      </w:r>
      <w:r w:rsidRPr="00392E88">
        <w:t>resie zwrotów</w:t>
      </w:r>
      <w:r w:rsidR="006E6446" w:rsidRPr="00392E88">
        <w:t xml:space="preserve"> z</w:t>
      </w:r>
      <w:r w:rsidR="006E6446">
        <w:t> </w:t>
      </w:r>
      <w:r w:rsidR="006E6446" w:rsidRPr="00392E88">
        <w:t>inw</w:t>
      </w:r>
      <w:r w:rsidRPr="00392E88">
        <w:t>estycji po odliczeniu kosztów inwestycji oraz wszystkich kosztów</w:t>
      </w:r>
      <w:r w:rsidR="006E6446" w:rsidRPr="00392E88">
        <w:t xml:space="preserve"> i</w:t>
      </w:r>
      <w:r w:rsidR="006E6446">
        <w:t> </w:t>
      </w:r>
      <w:r w:rsidR="006E6446" w:rsidRPr="00392E88">
        <w:t>opł</w:t>
      </w:r>
      <w:r w:rsidRPr="00392E88">
        <w:t>at poniesionych</w:t>
      </w:r>
      <w:r w:rsidR="006E6446" w:rsidRPr="00392E88">
        <w:t xml:space="preserve"> w</w:t>
      </w:r>
      <w:r w:rsidR="006E6446">
        <w:t> </w:t>
      </w:r>
      <w:r w:rsidR="006E6446" w:rsidRPr="00392E88">
        <w:t>zwi</w:t>
      </w:r>
      <w:r w:rsidRPr="00392E88">
        <w:t>ązku</w:t>
      </w:r>
      <w:r w:rsidR="006E6446" w:rsidRPr="00392E88">
        <w:t xml:space="preserve"> z</w:t>
      </w:r>
      <w:r w:rsidR="006E6446">
        <w:t> </w:t>
      </w:r>
      <w:r w:rsidR="006E6446" w:rsidRPr="00392E88">
        <w:t>dzi</w:t>
      </w:r>
      <w:r w:rsidRPr="00392E88">
        <w:t>ałalnością IORP należy powierzyć Komisji uprawnienia wykonawcze. Uprawnienia te powinny być wykonywane zgodnie</w:t>
      </w:r>
      <w:r w:rsidR="006E6446" w:rsidRPr="00392E88">
        <w:t xml:space="preserve"> z</w:t>
      </w:r>
      <w:r w:rsidR="006E6446">
        <w:t> </w:t>
      </w:r>
      <w:r w:rsidR="006E6446" w:rsidRPr="00392E88">
        <w:t>roz</w:t>
      </w:r>
      <w:r w:rsidRPr="00392E88">
        <w:t>porządzeniem Parlamentu Europejskiego</w:t>
      </w:r>
      <w:r w:rsidR="006E6446" w:rsidRPr="00392E88">
        <w:t xml:space="preserve"> i</w:t>
      </w:r>
      <w:r w:rsidR="006E6446">
        <w:t> </w:t>
      </w:r>
      <w:r w:rsidR="006E6446" w:rsidRPr="00392E88">
        <w:t>Rad</w:t>
      </w:r>
      <w:r w:rsidRPr="00392E88">
        <w:t xml:space="preserve">y (UE) </w:t>
      </w:r>
      <w:r w:rsidRPr="006E6446">
        <w:t>nr</w:t>
      </w:r>
      <w:r w:rsidR="006E6446" w:rsidRPr="006E6446">
        <w:t> </w:t>
      </w:r>
      <w:r w:rsidRPr="006E6446">
        <w:t>1</w:t>
      </w:r>
      <w:r w:rsidRPr="00392E88">
        <w:t>80/2011</w:t>
      </w:r>
      <w:r w:rsidRPr="00392E88">
        <w:rPr>
          <w:rStyle w:val="FootnoteReference"/>
        </w:rPr>
        <w:footnoteReference w:id="37"/>
      </w:r>
      <w:r w:rsidRPr="00392E88">
        <w:t>.</w:t>
      </w:r>
    </w:p>
    <w:p w14:paraId="176592D4" w14:textId="77777777" w:rsidR="00D77992" w:rsidRPr="00392E88" w:rsidRDefault="00F562E0" w:rsidP="00D77992">
      <w:pPr>
        <w:pStyle w:val="ManualConsidrant"/>
      </w:pPr>
      <w:r>
        <w:t>(48)</w:t>
      </w:r>
      <w:r>
        <w:tab/>
      </w:r>
      <w:r w:rsidRPr="00392E88">
        <w:t>Należy zatem odpowiednio zmienić dyrektywy (UE) 2016/97 i (UE) 2016/2341.</w:t>
      </w:r>
    </w:p>
    <w:p w14:paraId="2EBE8DF5" w14:textId="607473A5" w:rsidR="003B7C99" w:rsidRPr="00392E88" w:rsidRDefault="007A6723" w:rsidP="009F1BB4">
      <w:pPr>
        <w:pStyle w:val="ManualConsidrant"/>
      </w:pPr>
      <w:r>
        <w:t>(49)</w:t>
      </w:r>
      <w:r>
        <w:tab/>
      </w:r>
      <w:r w:rsidRPr="00392E88">
        <w:t>Zmiany</w:t>
      </w:r>
      <w:r w:rsidR="006E6446" w:rsidRPr="00392E88">
        <w:t xml:space="preserve"> w</w:t>
      </w:r>
      <w:r w:rsidR="006E6446">
        <w:t> </w:t>
      </w:r>
      <w:r w:rsidR="006E6446" w:rsidRPr="00392E88">
        <w:t>dyr</w:t>
      </w:r>
      <w:r w:rsidRPr="00392E88">
        <w:t>ektywie (UE) 2016/2341 dotyczące udzielania zezwoleń IORP powinny zastąpić obecny system rejestracji lub udzielania zezwoleń</w:t>
      </w:r>
      <w:r w:rsidR="006E6446" w:rsidRPr="00392E88">
        <w:t xml:space="preserve"> w</w:t>
      </w:r>
      <w:r w:rsidR="006E6446">
        <w:t> </w:t>
      </w:r>
      <w:r w:rsidR="006E6446" w:rsidRPr="00392E88">
        <w:t>cel</w:t>
      </w:r>
      <w:r w:rsidRPr="00392E88">
        <w:t>u zapewnienia spójnych standardów nadzoru</w:t>
      </w:r>
      <w:r w:rsidR="006E6446" w:rsidRPr="00392E88">
        <w:t xml:space="preserve"> w</w:t>
      </w:r>
      <w:r w:rsidR="006E6446">
        <w:t> </w:t>
      </w:r>
      <w:r w:rsidR="006E6446" w:rsidRPr="00392E88">
        <w:t>cał</w:t>
      </w:r>
      <w:r w:rsidRPr="00392E88">
        <w:t>ej Unii. Wymaganie od wszystkich IORP ubiegania się</w:t>
      </w:r>
      <w:r w:rsidR="006E6446" w:rsidRPr="00392E88">
        <w:t xml:space="preserve"> o</w:t>
      </w:r>
      <w:r w:rsidR="006E6446">
        <w:t> </w:t>
      </w:r>
      <w:r w:rsidR="006E6446" w:rsidRPr="00392E88">
        <w:t>now</w:t>
      </w:r>
      <w:r w:rsidRPr="00392E88">
        <w:t xml:space="preserve">e zezwolenie byłoby jednak zbyt uciążliwe. Państwa członkowskie powinny zatem mieć możliwość automatycznego uznawania IORP już zarejestrowanych lub wykonujących działalność na podstawie zezwolenia udzielonego na mocy tej dyrektywy. </w:t>
      </w:r>
    </w:p>
    <w:p w14:paraId="5F58B9A8" w14:textId="3D1DDB93" w:rsidR="001A7050" w:rsidRPr="00392E88" w:rsidRDefault="004A14E8" w:rsidP="00D77992">
      <w:pPr>
        <w:pStyle w:val="ManualConsidrant"/>
      </w:pPr>
      <w:r>
        <w:t>(50)</w:t>
      </w:r>
      <w:r>
        <w:tab/>
      </w:r>
      <w:r w:rsidRPr="00392E88">
        <w:t>Do przetwarzania danych osobowych do celów niniejszej dyrektywy zastosowanie ma rozporządzenie Parlamentu Europejskiego</w:t>
      </w:r>
      <w:r w:rsidR="006E6446" w:rsidRPr="00392E88">
        <w:t xml:space="preserve"> i</w:t>
      </w:r>
      <w:r w:rsidR="006E6446">
        <w:t> </w:t>
      </w:r>
      <w:r w:rsidR="006E6446" w:rsidRPr="00392E88">
        <w:t>Rad</w:t>
      </w:r>
      <w:r w:rsidRPr="00392E88">
        <w:t>y (UE) 2016/679. Państwa członkowskie powinny zapewnić, aby przetwarzanie danych prowadzone</w:t>
      </w:r>
      <w:r w:rsidR="006E6446" w:rsidRPr="00392E88">
        <w:t xml:space="preserve"> w</w:t>
      </w:r>
      <w:r w:rsidR="006E6446">
        <w:t> </w:t>
      </w:r>
      <w:r w:rsidR="006E6446" w:rsidRPr="00392E88">
        <w:t>ram</w:t>
      </w:r>
      <w:r w:rsidRPr="00392E88">
        <w:t>ach stosowania niniejszej dyrektywy było</w:t>
      </w:r>
      <w:r w:rsidR="006E6446" w:rsidRPr="00392E88">
        <w:t xml:space="preserve"> w</w:t>
      </w:r>
      <w:r w:rsidR="006E6446">
        <w:t> </w:t>
      </w:r>
      <w:r w:rsidR="006E6446" w:rsidRPr="00392E88">
        <w:t>peł</w:t>
      </w:r>
      <w:r w:rsidRPr="00392E88">
        <w:t>ni zgodne</w:t>
      </w:r>
      <w:r w:rsidR="006E6446" w:rsidRPr="00392E88">
        <w:t xml:space="preserve"> z</w:t>
      </w:r>
      <w:r w:rsidR="006E6446">
        <w:t> </w:t>
      </w:r>
      <w:r w:rsidR="006E6446" w:rsidRPr="00392E88">
        <w:t>dyr</w:t>
      </w:r>
      <w:r w:rsidRPr="00392E88">
        <w:t>ektywą 2002/58/WE Parlamentu Europejskiego</w:t>
      </w:r>
      <w:r w:rsidR="006E6446" w:rsidRPr="00392E88">
        <w:t xml:space="preserve"> i</w:t>
      </w:r>
      <w:r w:rsidR="006E6446">
        <w:t> </w:t>
      </w:r>
      <w:r w:rsidR="006E6446" w:rsidRPr="00392E88">
        <w:t>Rad</w:t>
      </w:r>
      <w:r w:rsidRPr="00392E88">
        <w:t>y</w:t>
      </w:r>
      <w:r w:rsidRPr="00392E88">
        <w:rPr>
          <w:rStyle w:val="FootnoteReference"/>
        </w:rPr>
        <w:footnoteReference w:id="38"/>
      </w:r>
      <w:r w:rsidRPr="00392E88">
        <w:t>,</w:t>
      </w:r>
      <w:r w:rsidR="006E6446" w:rsidRPr="00392E88">
        <w:t xml:space="preserve"> w</w:t>
      </w:r>
      <w:r w:rsidR="006E6446">
        <w:t> </w:t>
      </w:r>
      <w:r w:rsidR="006E6446" w:rsidRPr="00392E88">
        <w:t>prz</w:t>
      </w:r>
      <w:r w:rsidRPr="00392E88">
        <w:t>ypadku gdy dyrektywa ta ma zastosowanie,</w:t>
      </w:r>
    </w:p>
    <w:p w14:paraId="69D75113" w14:textId="77777777" w:rsidR="00AC2BE5" w:rsidRPr="00392E88" w:rsidRDefault="00AC2BE5">
      <w:pPr>
        <w:pStyle w:val="Formuledadoption"/>
      </w:pPr>
      <w:r w:rsidRPr="00392E88">
        <w:t>PRZYJMUJĄ NINIEJSZĄ DYREKTYWĘ:</w:t>
      </w:r>
    </w:p>
    <w:p w14:paraId="044E2717" w14:textId="77777777" w:rsidR="00AC2BE5" w:rsidRPr="00392E88" w:rsidRDefault="00AC2BE5">
      <w:pPr>
        <w:pStyle w:val="Titrearticle"/>
      </w:pPr>
      <w:r w:rsidRPr="00392E88">
        <w:t>Artykuł 1</w:t>
      </w:r>
    </w:p>
    <w:p w14:paraId="453E4105" w14:textId="1B204AFD" w:rsidR="00362BC9" w:rsidRPr="00392E88" w:rsidRDefault="00297A29" w:rsidP="00297A29">
      <w:pPr>
        <w:jc w:val="center"/>
        <w:rPr>
          <w:b/>
          <w:bCs/>
        </w:rPr>
      </w:pPr>
      <w:r w:rsidRPr="00392E88">
        <w:rPr>
          <w:b/>
        </w:rPr>
        <w:t>Zmiany</w:t>
      </w:r>
      <w:r w:rsidR="006E6446" w:rsidRPr="00392E88">
        <w:rPr>
          <w:b/>
        </w:rPr>
        <w:t xml:space="preserve"> w</w:t>
      </w:r>
      <w:r w:rsidR="006E6446">
        <w:rPr>
          <w:b/>
        </w:rPr>
        <w:t> </w:t>
      </w:r>
      <w:r w:rsidR="006E6446" w:rsidRPr="00392E88">
        <w:rPr>
          <w:b/>
        </w:rPr>
        <w:t>dyr</w:t>
      </w:r>
      <w:r w:rsidRPr="00392E88">
        <w:rPr>
          <w:b/>
        </w:rPr>
        <w:t>ektywie (UE) 2016/2341</w:t>
      </w:r>
    </w:p>
    <w:p w14:paraId="00514858" w14:textId="77777777" w:rsidR="00A14774" w:rsidRPr="00392E88" w:rsidRDefault="00771D71">
      <w:r w:rsidRPr="00392E88">
        <w:t>W dyrektywie (UE) 2016/2341 wprowadza się następujące zmiany:</w:t>
      </w:r>
    </w:p>
    <w:p w14:paraId="4950FE2F" w14:textId="2E4A152F" w:rsidR="172002BE" w:rsidRPr="00392E88" w:rsidRDefault="006E6446" w:rsidP="006E6446">
      <w:pPr>
        <w:pStyle w:val="Point0"/>
      </w:pPr>
      <w:r>
        <w:t>1)</w:t>
      </w:r>
      <w:r>
        <w:tab/>
      </w:r>
      <w:r w:rsidR="00001A83" w:rsidRPr="00392E88">
        <w:t>słowa „zarejestrowana lub wykonująca działalność na podstawie zezwolenia” zastępuje się słowami „wykonująca działalność na podstawie zezwolenia”</w:t>
      </w:r>
      <w:r w:rsidRPr="00392E88">
        <w:t xml:space="preserve"> w</w:t>
      </w:r>
      <w:r>
        <w:t> </w:t>
      </w:r>
      <w:r w:rsidRPr="00392E88">
        <w:t>cał</w:t>
      </w:r>
      <w:r w:rsidR="00001A83" w:rsidRPr="00392E88">
        <w:t>ej dyrektywie;</w:t>
      </w:r>
    </w:p>
    <w:p w14:paraId="43341CFA" w14:textId="7BE72750" w:rsidR="1602773E" w:rsidRPr="00392E88" w:rsidRDefault="006E6446" w:rsidP="006E6446">
      <w:pPr>
        <w:pStyle w:val="Point0"/>
      </w:pPr>
      <w:r>
        <w:t>2)</w:t>
      </w:r>
      <w:r>
        <w:tab/>
      </w:r>
      <w:r w:rsidR="004D79C3" w:rsidRPr="00392E88">
        <w:t>słowa „wielkość, charakter, skala</w:t>
      </w:r>
      <w:r w:rsidRPr="00392E88">
        <w:t xml:space="preserve"> i</w:t>
      </w:r>
      <w:r>
        <w:t> </w:t>
      </w:r>
      <w:r w:rsidRPr="00392E88">
        <w:t>zło</w:t>
      </w:r>
      <w:r w:rsidR="004D79C3" w:rsidRPr="00392E88">
        <w:t>żoność” zastępuje się słowami „charakter, skala</w:t>
      </w:r>
      <w:r w:rsidRPr="00392E88">
        <w:t xml:space="preserve"> i</w:t>
      </w:r>
      <w:r>
        <w:t> </w:t>
      </w:r>
      <w:r w:rsidRPr="00392E88">
        <w:t>zło</w:t>
      </w:r>
      <w:r w:rsidR="004D79C3" w:rsidRPr="00392E88">
        <w:t>żoność”</w:t>
      </w:r>
      <w:r w:rsidRPr="00392E88">
        <w:t xml:space="preserve"> w</w:t>
      </w:r>
      <w:r>
        <w:t> </w:t>
      </w:r>
      <w:r w:rsidRPr="00392E88">
        <w:t>cał</w:t>
      </w:r>
      <w:r w:rsidR="004D79C3" w:rsidRPr="00392E88">
        <w:t>ej dyrektywie;</w:t>
      </w:r>
    </w:p>
    <w:p w14:paraId="41488B1F" w14:textId="6733EA1F" w:rsidR="29F0AA92" w:rsidRPr="00392E88" w:rsidRDefault="006E6446" w:rsidP="006E6446">
      <w:pPr>
        <w:pStyle w:val="Point0"/>
      </w:pPr>
      <w:r>
        <w:t>3)</w:t>
      </w:r>
      <w:r>
        <w:tab/>
      </w:r>
      <w:r w:rsidR="002B15F8" w:rsidRPr="00392E88">
        <w:t>słowa „ich wielkości</w:t>
      </w:r>
      <w:r w:rsidRPr="00392E88">
        <w:t xml:space="preserve"> i</w:t>
      </w:r>
      <w:r>
        <w:t> </w:t>
      </w:r>
      <w:r w:rsidRPr="00392E88">
        <w:t>org</w:t>
      </w:r>
      <w:r w:rsidR="002B15F8" w:rsidRPr="00392E88">
        <w:t>anizacji wewnętrznej,</w:t>
      </w:r>
      <w:r w:rsidRPr="00392E88">
        <w:t xml:space="preserve"> a</w:t>
      </w:r>
      <w:r>
        <w:t> </w:t>
      </w:r>
      <w:r w:rsidRPr="00392E88">
        <w:t>tak</w:t>
      </w:r>
      <w:r w:rsidR="002B15F8" w:rsidRPr="00392E88">
        <w:t>że do wielkości, charakteru, skali</w:t>
      </w:r>
      <w:r w:rsidRPr="00392E88">
        <w:t xml:space="preserve"> i</w:t>
      </w:r>
      <w:r>
        <w:t> </w:t>
      </w:r>
      <w:r w:rsidRPr="00392E88">
        <w:t>zło</w:t>
      </w:r>
      <w:r w:rsidR="002B15F8" w:rsidRPr="00392E88">
        <w:t>żoności ich działalności” zastępuje się słowami „charakteru, skali</w:t>
      </w:r>
      <w:r w:rsidRPr="00392E88">
        <w:t xml:space="preserve"> i</w:t>
      </w:r>
      <w:r>
        <w:t> </w:t>
      </w:r>
      <w:r w:rsidRPr="00392E88">
        <w:t>zło</w:t>
      </w:r>
      <w:r w:rsidR="002B15F8" w:rsidRPr="00392E88">
        <w:t>żoności ich działalności”</w:t>
      </w:r>
      <w:r w:rsidRPr="00392E88">
        <w:t xml:space="preserve"> w</w:t>
      </w:r>
      <w:r>
        <w:t> </w:t>
      </w:r>
      <w:r w:rsidRPr="00392E88">
        <w:t>cał</w:t>
      </w:r>
      <w:r w:rsidR="002B15F8" w:rsidRPr="00392E88">
        <w:t>ej dyrektywie;</w:t>
      </w:r>
    </w:p>
    <w:p w14:paraId="170DF81C" w14:textId="7DE1A038" w:rsidR="000D56A8" w:rsidRPr="00392E88" w:rsidRDefault="006E6446" w:rsidP="006E6446">
      <w:pPr>
        <w:pStyle w:val="Point0"/>
      </w:pPr>
      <w:r>
        <w:t>4)</w:t>
      </w:r>
      <w:r>
        <w:tab/>
      </w:r>
      <w:r w:rsidR="00164FFB" w:rsidRPr="00392E88">
        <w:t xml:space="preserve">w </w:t>
      </w:r>
      <w:r w:rsidR="00164FFB" w:rsidRPr="006E6446">
        <w:t>art.</w:t>
      </w:r>
      <w:r w:rsidRPr="006E6446">
        <w:t> </w:t>
      </w:r>
      <w:r w:rsidR="00164FFB" w:rsidRPr="006E6446">
        <w:t>2</w:t>
      </w:r>
      <w:r w:rsidR="00164FFB" w:rsidRPr="00392E88">
        <w:t xml:space="preserve"> wprowadza się następujące zmiany:</w:t>
      </w:r>
    </w:p>
    <w:p w14:paraId="0DF40777" w14:textId="71F180EF" w:rsidR="00E51DD1" w:rsidRPr="00392E88" w:rsidRDefault="006E6446" w:rsidP="006E6446">
      <w:pPr>
        <w:pStyle w:val="Point1"/>
      </w:pPr>
      <w:r>
        <w:t>a)</w:t>
      </w:r>
      <w:r>
        <w:tab/>
      </w:r>
      <w:r w:rsidR="002446FB" w:rsidRPr="00392E88">
        <w:t>ust. 1 zdanie drugie otrzymuje brzmienie:</w:t>
      </w:r>
    </w:p>
    <w:p w14:paraId="65CF2A08" w14:textId="79053D6B" w:rsidR="00706D2D" w:rsidRPr="00392E88" w:rsidRDefault="00706D2D">
      <w:pPr>
        <w:pStyle w:val="Text1"/>
      </w:pPr>
      <w:r w:rsidRPr="00392E88">
        <w:t>„W przypadku gdy zgodnie</w:t>
      </w:r>
      <w:r w:rsidR="006E6446" w:rsidRPr="00392E88">
        <w:t xml:space="preserve"> z</w:t>
      </w:r>
      <w:r w:rsidR="006E6446">
        <w:t> </w:t>
      </w:r>
      <w:r w:rsidR="006E6446" w:rsidRPr="00392E88">
        <w:t>pra</w:t>
      </w:r>
      <w:r w:rsidRPr="00392E88">
        <w:t>wem krajowym IORP są tworzone</w:t>
      </w:r>
      <w:r w:rsidR="006E6446" w:rsidRPr="00392E88">
        <w:t xml:space="preserve"> w</w:t>
      </w:r>
      <w:r w:rsidR="006E6446">
        <w:t> </w:t>
      </w:r>
      <w:r w:rsidR="006E6446" w:rsidRPr="00392E88">
        <w:t>for</w:t>
      </w:r>
      <w:r w:rsidRPr="00392E88">
        <w:t>mie,</w:t>
      </w:r>
      <w:r w:rsidR="006E6446" w:rsidRPr="00392E88">
        <w:t xml:space="preserve"> w</w:t>
      </w:r>
      <w:r w:rsidR="006E6446">
        <w:t> </w:t>
      </w:r>
      <w:r w:rsidR="006E6446" w:rsidRPr="00392E88">
        <w:t>któ</w:t>
      </w:r>
      <w:r w:rsidRPr="00392E88">
        <w:t>rej upoważnione podmioty są odpowiedzialne za ich obsługę</w:t>
      </w:r>
      <w:r w:rsidR="006E6446" w:rsidRPr="00392E88">
        <w:t xml:space="preserve"> i</w:t>
      </w:r>
      <w:r w:rsidR="006E6446">
        <w:t> </w:t>
      </w:r>
      <w:r w:rsidR="006E6446" w:rsidRPr="00392E88">
        <w:t>dzi</w:t>
      </w:r>
      <w:r w:rsidRPr="00392E88">
        <w:t>ałają</w:t>
      </w:r>
      <w:r w:rsidR="006E6446" w:rsidRPr="00392E88">
        <w:t xml:space="preserve"> w</w:t>
      </w:r>
      <w:r w:rsidR="006E6446">
        <w:t> </w:t>
      </w:r>
      <w:r w:rsidR="006E6446" w:rsidRPr="00392E88">
        <w:t>ich</w:t>
      </w:r>
      <w:r w:rsidRPr="00392E88">
        <w:t xml:space="preserve"> imieniu, państwa członkowskie stosują niniejszą dyrektywę do tych IORP, lub,</w:t>
      </w:r>
      <w:r w:rsidR="006E6446" w:rsidRPr="00392E88">
        <w:t xml:space="preserve"> z</w:t>
      </w:r>
      <w:r w:rsidR="006E6446">
        <w:t> </w:t>
      </w:r>
      <w:r w:rsidR="006E6446" w:rsidRPr="00392E88">
        <w:t>zas</w:t>
      </w:r>
      <w:r w:rsidRPr="00392E88">
        <w:t xml:space="preserve">trzeżeniem </w:t>
      </w:r>
      <w:r w:rsidRPr="006E6446">
        <w:t>ust.</w:t>
      </w:r>
      <w:r w:rsidR="006E6446" w:rsidRPr="006E6446">
        <w:t> </w:t>
      </w:r>
      <w:r w:rsidRPr="006E6446">
        <w:t>2</w:t>
      </w:r>
      <w:r w:rsidRPr="00392E88">
        <w:t>, do takich upoważnionych podmiotów, albo do obu tych kategorii, stosownie do przypadku.”;</w:t>
      </w:r>
    </w:p>
    <w:p w14:paraId="578C71E3" w14:textId="6E78C979" w:rsidR="00AF4478" w:rsidRPr="00392E88" w:rsidRDefault="006E6446" w:rsidP="006E6446">
      <w:pPr>
        <w:pStyle w:val="Point1"/>
      </w:pPr>
      <w:r>
        <w:t>b)</w:t>
      </w:r>
      <w:r>
        <w:tab/>
      </w:r>
      <w:r w:rsidR="001D0A1B" w:rsidRPr="00392E88">
        <w:t>dodaje się ust. 3</w:t>
      </w:r>
      <w:r w:rsidRPr="00392E88">
        <w:t xml:space="preserve"> w</w:t>
      </w:r>
      <w:r>
        <w:t> </w:t>
      </w:r>
      <w:r w:rsidRPr="00392E88">
        <w:t>brz</w:t>
      </w:r>
      <w:r w:rsidR="001D0A1B" w:rsidRPr="00392E88">
        <w:t>mieniu:</w:t>
      </w:r>
    </w:p>
    <w:p w14:paraId="41F9EA68" w14:textId="3B857EDD" w:rsidR="00C4414D" w:rsidRPr="00392E88" w:rsidRDefault="00164FFB" w:rsidP="00732D73">
      <w:pPr>
        <w:pStyle w:val="Text1"/>
      </w:pPr>
      <w:r w:rsidRPr="00392E88">
        <w:t>„3.</w:t>
      </w:r>
      <w:r w:rsidRPr="00392E88">
        <w:tab/>
        <w:t>W przypadku gdy zgodnie</w:t>
      </w:r>
      <w:r w:rsidR="006E6446" w:rsidRPr="00392E88">
        <w:t xml:space="preserve"> z</w:t>
      </w:r>
      <w:r w:rsidR="006E6446">
        <w:t> </w:t>
      </w:r>
      <w:r w:rsidR="006E6446" w:rsidRPr="006E6446">
        <w:t>ust</w:t>
      </w:r>
      <w:r w:rsidRPr="006E6446">
        <w:t>.</w:t>
      </w:r>
      <w:r w:rsidR="006E6446" w:rsidRPr="006E6446">
        <w:t> </w:t>
      </w:r>
      <w:r w:rsidRPr="006E6446">
        <w:t>1</w:t>
      </w:r>
      <w:r w:rsidRPr="00392E88">
        <w:t xml:space="preserve"> upoważnione podmioty są odpowiedzialne za działalność IORP</w:t>
      </w:r>
      <w:r w:rsidR="006E6446" w:rsidRPr="00392E88">
        <w:t xml:space="preserve"> i</w:t>
      </w:r>
      <w:r w:rsidR="006E6446">
        <w:t> </w:t>
      </w:r>
      <w:r w:rsidR="006E6446" w:rsidRPr="00392E88">
        <w:t>dzi</w:t>
      </w:r>
      <w:r w:rsidRPr="00392E88">
        <w:t>ałają</w:t>
      </w:r>
      <w:r w:rsidR="006E6446" w:rsidRPr="00392E88">
        <w:t xml:space="preserve"> w</w:t>
      </w:r>
      <w:r w:rsidR="006E6446">
        <w:t> </w:t>
      </w:r>
      <w:r w:rsidR="006E6446" w:rsidRPr="00392E88">
        <w:t>ich</w:t>
      </w:r>
      <w:r w:rsidRPr="00392E88">
        <w:t xml:space="preserve"> imieniu, państwa członkowskie zapewniają, aby aktywa IORP były prawnie oddzielone od aktywów upoważnionych podmiotów. </w:t>
      </w:r>
    </w:p>
    <w:p w14:paraId="2BA26290" w14:textId="2B222242" w:rsidR="00164FFB" w:rsidRPr="00392E88" w:rsidRDefault="000E231A" w:rsidP="00315F22">
      <w:pPr>
        <w:pStyle w:val="Text1"/>
      </w:pPr>
      <w:r w:rsidRPr="00392E88">
        <w:t>Do celów akapitu pierwszego,</w:t>
      </w:r>
      <w:r w:rsidR="006E6446" w:rsidRPr="00392E88">
        <w:t xml:space="preserve"> w</w:t>
      </w:r>
      <w:r w:rsidR="006E6446">
        <w:t> </w:t>
      </w:r>
      <w:r w:rsidR="006E6446" w:rsidRPr="00392E88">
        <w:t>prz</w:t>
      </w:r>
      <w:r w:rsidRPr="00392E88">
        <w:t>ypadku gdy upoważnione podmioty,</w:t>
      </w:r>
      <w:r w:rsidR="006E6446" w:rsidRPr="00392E88">
        <w:t xml:space="preserve"> o</w:t>
      </w:r>
      <w:r w:rsidR="006E6446">
        <w:t> </w:t>
      </w:r>
      <w:r w:rsidR="006E6446" w:rsidRPr="00392E88">
        <w:t>któ</w:t>
      </w:r>
      <w:r w:rsidRPr="00392E88">
        <w:t>rych mowa</w:t>
      </w:r>
      <w:r w:rsidR="006E6446" w:rsidRPr="00392E88">
        <w:t xml:space="preserve"> w</w:t>
      </w:r>
      <w:r w:rsidR="006E6446">
        <w:t> </w:t>
      </w:r>
      <w:r w:rsidR="006E6446" w:rsidRPr="006E6446">
        <w:t>ust</w:t>
      </w:r>
      <w:r w:rsidRPr="006E6446">
        <w:t>.</w:t>
      </w:r>
      <w:r w:rsidR="006E6446" w:rsidRPr="006E6446">
        <w:t> </w:t>
      </w:r>
      <w:r w:rsidRPr="006E6446">
        <w:t>2</w:t>
      </w:r>
      <w:r w:rsidRPr="00392E88">
        <w:t xml:space="preserve"> </w:t>
      </w:r>
      <w:r w:rsidRPr="006E6446">
        <w:t>lit.</w:t>
      </w:r>
      <w:r w:rsidR="006E6446" w:rsidRPr="006E6446">
        <w:t> </w:t>
      </w:r>
      <w:r w:rsidRPr="006E6446">
        <w:t>b)</w:t>
      </w:r>
      <w:r w:rsidRPr="00392E88">
        <w:t>, prowadzą działalność IORP</w:t>
      </w:r>
      <w:r w:rsidR="006E6446" w:rsidRPr="00392E88">
        <w:t xml:space="preserve"> i</w:t>
      </w:r>
      <w:r w:rsidR="006E6446">
        <w:t> </w:t>
      </w:r>
      <w:r w:rsidR="006E6446" w:rsidRPr="00392E88">
        <w:t>dzi</w:t>
      </w:r>
      <w:r w:rsidRPr="00392E88">
        <w:t>ałają</w:t>
      </w:r>
      <w:r w:rsidR="006E6446" w:rsidRPr="00392E88">
        <w:t xml:space="preserve"> w</w:t>
      </w:r>
      <w:r w:rsidR="006E6446">
        <w:t> </w:t>
      </w:r>
      <w:r w:rsidR="006E6446" w:rsidRPr="00392E88">
        <w:t>ich</w:t>
      </w:r>
      <w:r w:rsidRPr="00392E88">
        <w:t xml:space="preserve"> imieniu, państwa członkowskie nie ograniczają prowadzenia tej działalności przez takie upoważnione podmioty mające siedzibę</w:t>
      </w:r>
      <w:r w:rsidR="006E6446" w:rsidRPr="00392E88">
        <w:t xml:space="preserve"> w</w:t>
      </w:r>
      <w:r w:rsidR="006E6446">
        <w:t> </w:t>
      </w:r>
      <w:r w:rsidR="006E6446" w:rsidRPr="00392E88">
        <w:t>inn</w:t>
      </w:r>
      <w:r w:rsidRPr="00392E88">
        <w:t>ym państwie członkowskim.”;</w:t>
      </w:r>
    </w:p>
    <w:p w14:paraId="0FABEC6E" w14:textId="214D899C" w:rsidR="006D3707" w:rsidRPr="00392E88" w:rsidRDefault="006E6446" w:rsidP="006E6446">
      <w:pPr>
        <w:pStyle w:val="Point0"/>
      </w:pPr>
      <w:r>
        <w:t>5)</w:t>
      </w:r>
      <w:r>
        <w:tab/>
      </w:r>
      <w:r w:rsidR="006D3707" w:rsidRPr="006E6446">
        <w:t>art.</w:t>
      </w:r>
      <w:r w:rsidRPr="006E6446">
        <w:t> </w:t>
      </w:r>
      <w:r w:rsidR="006D3707" w:rsidRPr="006E6446">
        <w:t>3</w:t>
      </w:r>
      <w:r w:rsidRPr="00392E88">
        <w:t xml:space="preserve"> i</w:t>
      </w:r>
      <w:r>
        <w:t> </w:t>
      </w:r>
      <w:r w:rsidRPr="00392E88">
        <w:t>4</w:t>
      </w:r>
      <w:r w:rsidR="006D3707" w:rsidRPr="00392E88">
        <w:t xml:space="preserve"> otrzymują brzmienie:</w:t>
      </w:r>
    </w:p>
    <w:p w14:paraId="519A01B1" w14:textId="77777777" w:rsidR="00754E44" w:rsidRPr="00392E88" w:rsidRDefault="00754E44" w:rsidP="005D0C3B">
      <w:pPr>
        <w:pStyle w:val="Titrearticle"/>
        <w:rPr>
          <w:b/>
          <w:bCs/>
          <w:iCs/>
        </w:rPr>
      </w:pPr>
      <w:r w:rsidRPr="00392E88">
        <w:t xml:space="preserve">„Artykuł 3 </w:t>
      </w:r>
      <w:r w:rsidRPr="00392E88">
        <w:br/>
      </w:r>
      <w:r w:rsidRPr="00392E88">
        <w:rPr>
          <w:b/>
          <w:i w:val="0"/>
        </w:rPr>
        <w:t>Zastosowanie do IORP obsługujących systemy zabezpieczenia społecznego</w:t>
      </w:r>
    </w:p>
    <w:p w14:paraId="1C3FB2F4" w14:textId="37121442" w:rsidR="00315F22" w:rsidRPr="00392E88" w:rsidRDefault="00943528" w:rsidP="00E338B6">
      <w:pPr>
        <w:pStyle w:val="Text1"/>
      </w:pPr>
      <w:r w:rsidRPr="00392E88">
        <w:t xml:space="preserve">IORP, które obsługują również programy emerytalne uznawane za systemy zabezpieczenia społecznego objęte rozporządzeniami (WE) </w:t>
      </w:r>
      <w:r w:rsidRPr="006E6446">
        <w:t>nr</w:t>
      </w:r>
      <w:r w:rsidR="006E6446" w:rsidRPr="006E6446">
        <w:t> </w:t>
      </w:r>
      <w:r w:rsidRPr="006E6446">
        <w:t>8</w:t>
      </w:r>
      <w:r w:rsidRPr="00392E88">
        <w:t xml:space="preserve">83/2004 i (WE) </w:t>
      </w:r>
      <w:r w:rsidRPr="006E6446">
        <w:t>nr</w:t>
      </w:r>
      <w:r w:rsidR="006E6446" w:rsidRPr="006E6446">
        <w:t> </w:t>
      </w:r>
      <w:r w:rsidRPr="006E6446">
        <w:t>9</w:t>
      </w:r>
      <w:r w:rsidRPr="00392E88">
        <w:t>87/2009, są objęte niniejszą dyrektywą</w:t>
      </w:r>
      <w:r w:rsidR="006E6446" w:rsidRPr="00392E88">
        <w:t xml:space="preserve"> w</w:t>
      </w:r>
      <w:r w:rsidR="006E6446">
        <w:t> </w:t>
      </w:r>
      <w:r w:rsidR="006E6446" w:rsidRPr="00392E88">
        <w:t>odn</w:t>
      </w:r>
      <w:r w:rsidRPr="00392E88">
        <w:t>iesieniu do prowadzonej przez nie działalności</w:t>
      </w:r>
      <w:r w:rsidR="006E6446" w:rsidRPr="00392E88">
        <w:t xml:space="preserve"> w</w:t>
      </w:r>
      <w:r w:rsidR="006E6446">
        <w:t> </w:t>
      </w:r>
      <w:r w:rsidR="006E6446" w:rsidRPr="00392E88">
        <w:t>zak</w:t>
      </w:r>
      <w:r w:rsidRPr="00392E88">
        <w:t>resie programów emerytalnych nieobjętej tymi rozporządzeniami</w:t>
      </w:r>
      <w:r w:rsidR="006E6446" w:rsidRPr="00392E88">
        <w:t>. W</w:t>
      </w:r>
      <w:r w:rsidR="006E6446">
        <w:t> </w:t>
      </w:r>
      <w:r w:rsidR="006E6446" w:rsidRPr="00392E88">
        <w:t>tak</w:t>
      </w:r>
      <w:r w:rsidRPr="00392E88">
        <w:t>im przypadku wyodrębnia się pasywa</w:t>
      </w:r>
      <w:r w:rsidR="006E6446" w:rsidRPr="00392E88">
        <w:t xml:space="preserve"> i</w:t>
      </w:r>
      <w:r w:rsidR="006E6446">
        <w:t> </w:t>
      </w:r>
      <w:r w:rsidR="006E6446" w:rsidRPr="00392E88">
        <w:t>odp</w:t>
      </w:r>
      <w:r w:rsidRPr="00392E88">
        <w:t>owiadające im aktywa</w:t>
      </w:r>
      <w:r w:rsidR="006E6446" w:rsidRPr="00392E88">
        <w:t xml:space="preserve"> i</w:t>
      </w:r>
      <w:r w:rsidR="006E6446">
        <w:t> </w:t>
      </w:r>
      <w:r w:rsidR="006E6446" w:rsidRPr="00392E88">
        <w:t>nie</w:t>
      </w:r>
      <w:r w:rsidRPr="00392E88">
        <w:t xml:space="preserve"> jest możliwe przeniesienie tych pasywów</w:t>
      </w:r>
      <w:r w:rsidR="006E6446" w:rsidRPr="00392E88">
        <w:t xml:space="preserve"> i</w:t>
      </w:r>
      <w:r w:rsidR="006E6446">
        <w:t> </w:t>
      </w:r>
      <w:r w:rsidR="006E6446" w:rsidRPr="00392E88">
        <w:t>odp</w:t>
      </w:r>
      <w:r w:rsidRPr="00392E88">
        <w:t>owiadających im aktywów do programów emerytalnych, które są traktowane jako programy</w:t>
      </w:r>
      <w:r w:rsidR="006E6446" w:rsidRPr="00392E88">
        <w:t xml:space="preserve"> w</w:t>
      </w:r>
      <w:r w:rsidR="006E6446">
        <w:t> </w:t>
      </w:r>
      <w:r w:rsidR="006E6446" w:rsidRPr="00392E88">
        <w:t>ram</w:t>
      </w:r>
      <w:r w:rsidRPr="00392E88">
        <w:t>ach systemów zabezpieczenia społecznego, ani odwrotnie.</w:t>
      </w:r>
    </w:p>
    <w:p w14:paraId="52C0F156" w14:textId="77777777" w:rsidR="009D070E" w:rsidRPr="00392E88" w:rsidRDefault="009D070E" w:rsidP="008A4847">
      <w:pPr>
        <w:pStyle w:val="Titrearticle"/>
      </w:pPr>
      <w:r w:rsidRPr="00392E88">
        <w:t xml:space="preserve">Artykuł 4 </w:t>
      </w:r>
      <w:r w:rsidRPr="00392E88">
        <w:br/>
      </w:r>
      <w:r w:rsidRPr="00392E88">
        <w:rPr>
          <w:b/>
          <w:i w:val="0"/>
        </w:rPr>
        <w:t>Dobrowolne zastosowanie</w:t>
      </w:r>
    </w:p>
    <w:p w14:paraId="4EF76102" w14:textId="0BAD5E42" w:rsidR="00E6249B" w:rsidRPr="00392E88" w:rsidRDefault="000D6F2B" w:rsidP="00BE7678">
      <w:pPr>
        <w:pStyle w:val="Text1"/>
      </w:pPr>
      <w:r w:rsidRPr="00392E88">
        <w:t>Państwa członkowskie mogą stosować niektóre lub wszystkie przepisy niniejszej dyrektywy do instytucji, niezależnie od ich formy prawnej, działających na bazie kapitałowej</w:t>
      </w:r>
      <w:r w:rsidR="006E6446" w:rsidRPr="00392E88">
        <w:t xml:space="preserve"> w</w:t>
      </w:r>
      <w:r w:rsidR="006E6446">
        <w:t> </w:t>
      </w:r>
      <w:r w:rsidR="006E6446" w:rsidRPr="00392E88">
        <w:t>cel</w:t>
      </w:r>
      <w:r w:rsidRPr="00392E88">
        <w:t>u zapewnienia świadczeń emerytalnych:</w:t>
      </w:r>
    </w:p>
    <w:p w14:paraId="035171BB" w14:textId="5DC57DA0" w:rsidR="00FA1339" w:rsidRPr="00392E88" w:rsidRDefault="006E6446" w:rsidP="006E6446">
      <w:pPr>
        <w:pStyle w:val="Point1"/>
      </w:pPr>
      <w:r>
        <w:t>a)</w:t>
      </w:r>
      <w:r>
        <w:tab/>
      </w:r>
      <w:r w:rsidR="005774F4" w:rsidRPr="00392E88">
        <w:t>które są wyłączone</w:t>
      </w:r>
      <w:r w:rsidRPr="00392E88">
        <w:t xml:space="preserve"> z</w:t>
      </w:r>
      <w:r>
        <w:t> </w:t>
      </w:r>
      <w:r w:rsidRPr="00392E88">
        <w:t>zak</w:t>
      </w:r>
      <w:r w:rsidR="005774F4" w:rsidRPr="00392E88">
        <w:t xml:space="preserve">resu stosowania niniejszej dyrektywy na podstawie </w:t>
      </w:r>
      <w:r w:rsidR="005774F4" w:rsidRPr="006E6446">
        <w:t>art.</w:t>
      </w:r>
      <w:r w:rsidRPr="006E6446">
        <w:t> </w:t>
      </w:r>
      <w:r w:rsidR="005774F4" w:rsidRPr="006E6446">
        <w:t>2</w:t>
      </w:r>
      <w:r w:rsidR="005774F4" w:rsidRPr="00392E88">
        <w:t xml:space="preserve"> </w:t>
      </w:r>
      <w:r w:rsidR="005774F4" w:rsidRPr="006E6446">
        <w:t>ust.</w:t>
      </w:r>
      <w:r w:rsidRPr="006E6446">
        <w:t> </w:t>
      </w:r>
      <w:r w:rsidR="005774F4" w:rsidRPr="006E6446">
        <w:t>2</w:t>
      </w:r>
      <w:r w:rsidR="005774F4" w:rsidRPr="00392E88">
        <w:t xml:space="preserve"> </w:t>
      </w:r>
      <w:r w:rsidR="005774F4" w:rsidRPr="006E6446">
        <w:t>lit.</w:t>
      </w:r>
      <w:r w:rsidRPr="006E6446">
        <w:t> </w:t>
      </w:r>
      <w:r w:rsidR="005774F4" w:rsidRPr="006E6446">
        <w:t>a)</w:t>
      </w:r>
      <w:r w:rsidR="005774F4" w:rsidRPr="00392E88">
        <w:t xml:space="preserve"> i d); lub </w:t>
      </w:r>
    </w:p>
    <w:p w14:paraId="6684CAE7" w14:textId="5E271E52" w:rsidR="00EE22C3" w:rsidRPr="00392E88" w:rsidRDefault="006E6446" w:rsidP="006E6446">
      <w:pPr>
        <w:pStyle w:val="Point1"/>
      </w:pPr>
      <w:r>
        <w:t>b)</w:t>
      </w:r>
      <w:r>
        <w:tab/>
      </w:r>
      <w:r w:rsidR="005774F4" w:rsidRPr="00392E88">
        <w:t>które nie są objęte niniejszą dyrektywą ani dyrektywami 2009/65/WE, 2009/138/WE, 2011/61/UE, 2013/36/UE</w:t>
      </w:r>
      <w:r w:rsidRPr="00392E88">
        <w:t xml:space="preserve"> i</w:t>
      </w:r>
      <w:r>
        <w:t> </w:t>
      </w:r>
      <w:r w:rsidRPr="00392E88">
        <w:t>2</w:t>
      </w:r>
      <w:r w:rsidR="005774F4" w:rsidRPr="00392E88">
        <w:t xml:space="preserve">014/65/UE. </w:t>
      </w:r>
    </w:p>
    <w:p w14:paraId="0F68F410" w14:textId="005C3A62" w:rsidR="003E4ED3" w:rsidRPr="00392E88" w:rsidRDefault="003E4ED3" w:rsidP="00BE7678">
      <w:pPr>
        <w:pStyle w:val="Text1"/>
      </w:pPr>
      <w:r w:rsidRPr="00392E88">
        <w:t>W przypadku instytucji,</w:t>
      </w:r>
      <w:r w:rsidR="006E6446" w:rsidRPr="00392E88">
        <w:t xml:space="preserve"> o</w:t>
      </w:r>
      <w:r w:rsidR="006E6446">
        <w:t> </w:t>
      </w:r>
      <w:r w:rsidR="006E6446" w:rsidRPr="00392E88">
        <w:t>któ</w:t>
      </w:r>
      <w:r w:rsidRPr="00392E88">
        <w:t>rych mowa</w:t>
      </w:r>
      <w:r w:rsidR="006E6446" w:rsidRPr="00392E88">
        <w:t xml:space="preserve"> w</w:t>
      </w:r>
      <w:r w:rsidR="006E6446">
        <w:t> </w:t>
      </w:r>
      <w:r w:rsidR="006E6446" w:rsidRPr="006E6446">
        <w:t>art</w:t>
      </w:r>
      <w:r w:rsidRPr="006E6446">
        <w:t>.</w:t>
      </w:r>
      <w:r w:rsidR="006E6446" w:rsidRPr="006E6446">
        <w:t> </w:t>
      </w:r>
      <w:r w:rsidRPr="006E6446">
        <w:t>2</w:t>
      </w:r>
      <w:r w:rsidRPr="00392E88">
        <w:t xml:space="preserve"> </w:t>
      </w:r>
      <w:r w:rsidRPr="006E6446">
        <w:t>ust.</w:t>
      </w:r>
      <w:r w:rsidR="006E6446" w:rsidRPr="006E6446">
        <w:t> </w:t>
      </w:r>
      <w:r w:rsidRPr="006E6446">
        <w:t>2</w:t>
      </w:r>
      <w:r w:rsidRPr="00392E88">
        <w:t xml:space="preserve"> </w:t>
      </w:r>
      <w:r w:rsidRPr="006E6446">
        <w:t>lit.</w:t>
      </w:r>
      <w:r w:rsidR="006E6446" w:rsidRPr="006E6446">
        <w:t> </w:t>
      </w:r>
      <w:r w:rsidRPr="006E6446">
        <w:t>a)</w:t>
      </w:r>
      <w:r w:rsidRPr="00392E88">
        <w:t>, państwa członkowskie mogą podjąć decyzję</w:t>
      </w:r>
      <w:r w:rsidR="006E6446" w:rsidRPr="00392E88">
        <w:t xml:space="preserve"> o</w:t>
      </w:r>
      <w:r w:rsidR="006E6446">
        <w:t> </w:t>
      </w:r>
      <w:r w:rsidR="006E6446" w:rsidRPr="00392E88">
        <w:t>sto</w:t>
      </w:r>
      <w:r w:rsidRPr="00392E88">
        <w:t>sowaniu przepisów niniejszej dyrektywy wyłącznie</w:t>
      </w:r>
      <w:r w:rsidR="006E6446" w:rsidRPr="00392E88">
        <w:t xml:space="preserve"> w</w:t>
      </w:r>
      <w:r w:rsidR="006E6446">
        <w:t> </w:t>
      </w:r>
      <w:r w:rsidR="006E6446" w:rsidRPr="00392E88">
        <w:t>zak</w:t>
      </w:r>
      <w:r w:rsidRPr="00392E88">
        <w:t>resie,</w:t>
      </w:r>
      <w:r w:rsidR="006E6446" w:rsidRPr="00392E88">
        <w:t xml:space="preserve"> w</w:t>
      </w:r>
      <w:r w:rsidR="006E6446">
        <w:t> </w:t>
      </w:r>
      <w:r w:rsidR="006E6446" w:rsidRPr="00392E88">
        <w:t>jak</w:t>
      </w:r>
      <w:r w:rsidRPr="00392E88">
        <w:t>im stosowanie to jest zgodne</w:t>
      </w:r>
      <w:r w:rsidR="006E6446" w:rsidRPr="00392E88">
        <w:t xml:space="preserve"> z</w:t>
      </w:r>
      <w:r w:rsidR="006E6446">
        <w:t> </w:t>
      </w:r>
      <w:r w:rsidR="006E6446" w:rsidRPr="00392E88">
        <w:t>roz</w:t>
      </w:r>
      <w:r w:rsidRPr="00392E88">
        <w:t xml:space="preserve">porządzeniami (WE) </w:t>
      </w:r>
      <w:r w:rsidRPr="006E6446">
        <w:t>nr</w:t>
      </w:r>
      <w:r w:rsidR="006E6446" w:rsidRPr="006E6446">
        <w:t> </w:t>
      </w:r>
      <w:r w:rsidRPr="006E6446">
        <w:t>8</w:t>
      </w:r>
      <w:r w:rsidRPr="00392E88">
        <w:t xml:space="preserve">83/2004 i (WE) </w:t>
      </w:r>
      <w:r w:rsidRPr="006E6446">
        <w:t>nr</w:t>
      </w:r>
      <w:r w:rsidR="006E6446" w:rsidRPr="006E6446">
        <w:t> </w:t>
      </w:r>
      <w:r w:rsidRPr="006E6446">
        <w:t>9</w:t>
      </w:r>
      <w:r w:rsidRPr="00392E88">
        <w:t>87/2009.</w:t>
      </w:r>
    </w:p>
    <w:p w14:paraId="4867C2C2" w14:textId="63B4F44C" w:rsidR="00046CC4" w:rsidRPr="00392E88" w:rsidRDefault="00AF48F9" w:rsidP="00BE7678">
      <w:pPr>
        <w:pStyle w:val="Text1"/>
      </w:pPr>
      <w:r w:rsidRPr="00392E88">
        <w:t>W przypadku gdy zgodnie</w:t>
      </w:r>
      <w:r w:rsidR="006E6446" w:rsidRPr="00392E88">
        <w:t xml:space="preserve"> z</w:t>
      </w:r>
      <w:r w:rsidR="006E6446">
        <w:t> </w:t>
      </w:r>
      <w:r w:rsidR="006E6446" w:rsidRPr="00392E88">
        <w:t>pra</w:t>
      </w:r>
      <w:r w:rsidRPr="00392E88">
        <w:t>wem krajowym instytucje,</w:t>
      </w:r>
      <w:r w:rsidR="006E6446" w:rsidRPr="00392E88">
        <w:t xml:space="preserve"> o</w:t>
      </w:r>
      <w:r w:rsidR="006E6446">
        <w:t> </w:t>
      </w:r>
      <w:r w:rsidR="006E6446" w:rsidRPr="00392E88">
        <w:t>któ</w:t>
      </w:r>
      <w:r w:rsidRPr="00392E88">
        <w:t>rych mowa</w:t>
      </w:r>
      <w:r w:rsidR="006E6446" w:rsidRPr="00392E88">
        <w:t xml:space="preserve"> w</w:t>
      </w:r>
      <w:r w:rsidR="006E6446">
        <w:t> </w:t>
      </w:r>
      <w:r w:rsidR="006E6446" w:rsidRPr="00392E88">
        <w:t>aka</w:t>
      </w:r>
      <w:r w:rsidRPr="00392E88">
        <w:t>picie pierwszym, są obsługiwane przez upoważnione podmioty odpowiedzialne za działanie na ich rzecz, państwa członkowskie mogą podjąć decyzję</w:t>
      </w:r>
      <w:r w:rsidR="006E6446" w:rsidRPr="00392E88">
        <w:t xml:space="preserve"> o</w:t>
      </w:r>
      <w:r w:rsidR="006E6446">
        <w:t> </w:t>
      </w:r>
      <w:r w:rsidR="006E6446" w:rsidRPr="00392E88">
        <w:t>sto</w:t>
      </w:r>
      <w:r w:rsidRPr="00392E88">
        <w:t>sowaniu niniejszej dyrektywy do tych instytucji albo do upoważnionych podmiotów odpowiedzialnych za ich działalność</w:t>
      </w:r>
      <w:r w:rsidR="006E6446" w:rsidRPr="00392E88">
        <w:t xml:space="preserve"> i</w:t>
      </w:r>
      <w:r w:rsidR="006E6446">
        <w:t> </w:t>
      </w:r>
      <w:r w:rsidR="006E6446" w:rsidRPr="00392E88">
        <w:t>dzi</w:t>
      </w:r>
      <w:r w:rsidRPr="00392E88">
        <w:t>ałających na ich rzecz, lub do obu tych podmiotów, stosownie do przypadku.</w:t>
      </w:r>
    </w:p>
    <w:p w14:paraId="4FA7681D" w14:textId="6864CF28" w:rsidR="001D3E5B" w:rsidRPr="00392E88" w:rsidRDefault="00DC2354" w:rsidP="00BE7678">
      <w:pPr>
        <w:pStyle w:val="Text1"/>
      </w:pPr>
      <w:r w:rsidRPr="00392E88">
        <w:t>Państwa członkowskie mogą podjąć decyzję</w:t>
      </w:r>
      <w:r w:rsidR="006E6446" w:rsidRPr="00392E88">
        <w:t xml:space="preserve"> o</w:t>
      </w:r>
      <w:r w:rsidR="006E6446">
        <w:t> </w:t>
      </w:r>
      <w:r w:rsidR="006E6446" w:rsidRPr="00392E88">
        <w:t>sto</w:t>
      </w:r>
      <w:r w:rsidRPr="00392E88">
        <w:t xml:space="preserve">sowaniu </w:t>
      </w:r>
      <w:r w:rsidRPr="006E6446">
        <w:t>art.</w:t>
      </w:r>
      <w:r w:rsidR="006E6446" w:rsidRPr="006E6446">
        <w:t> </w:t>
      </w:r>
      <w:r w:rsidRPr="006E6446">
        <w:t>1</w:t>
      </w:r>
      <w:r w:rsidRPr="00392E88">
        <w:t>1</w:t>
      </w:r>
      <w:r w:rsidR="006E6446" w:rsidRPr="00392E88">
        <w:t xml:space="preserve"> i</w:t>
      </w:r>
      <w:r w:rsidR="006E6446">
        <w:t> </w:t>
      </w:r>
      <w:r w:rsidR="006E6446" w:rsidRPr="00392E88">
        <w:t>1</w:t>
      </w:r>
      <w:r w:rsidRPr="00392E88">
        <w:t>1a na podstawie niniejszego artykułu tylko wtedy, gdy zastosowanie mają wszystkie przepisy niniejszej dyrektywy.</w:t>
      </w:r>
    </w:p>
    <w:p w14:paraId="6451FFFE" w14:textId="48189BE9" w:rsidR="00927706" w:rsidRPr="00392E88" w:rsidRDefault="00046CC4" w:rsidP="00BE7678">
      <w:pPr>
        <w:pStyle w:val="Text1"/>
      </w:pPr>
      <w:r w:rsidRPr="00392E88">
        <w:t>Państwa członkowskie powiadamiają Komisję i EIOPA</w:t>
      </w:r>
      <w:r w:rsidR="006E6446" w:rsidRPr="00392E88">
        <w:t xml:space="preserve"> o</w:t>
      </w:r>
      <w:r w:rsidR="006E6446">
        <w:t> </w:t>
      </w:r>
      <w:r w:rsidR="006E6446" w:rsidRPr="00392E88">
        <w:t>sko</w:t>
      </w:r>
      <w:r w:rsidRPr="00392E88">
        <w:t>rzystaniu</w:t>
      </w:r>
      <w:r w:rsidR="006E6446" w:rsidRPr="00392E88">
        <w:t xml:space="preserve"> z</w:t>
      </w:r>
      <w:r w:rsidR="006E6446">
        <w:t> </w:t>
      </w:r>
      <w:r w:rsidR="006E6446" w:rsidRPr="00392E88">
        <w:t>opc</w:t>
      </w:r>
      <w:r w:rsidRPr="00392E88">
        <w:t>ji,</w:t>
      </w:r>
      <w:r w:rsidR="006E6446" w:rsidRPr="00392E88">
        <w:t xml:space="preserve"> o</w:t>
      </w:r>
      <w:r w:rsidR="006E6446">
        <w:t> </w:t>
      </w:r>
      <w:r w:rsidR="006E6446" w:rsidRPr="00392E88">
        <w:t>któ</w:t>
      </w:r>
      <w:r w:rsidRPr="00392E88">
        <w:t>rych mowa</w:t>
      </w:r>
      <w:r w:rsidR="006E6446" w:rsidRPr="00392E88">
        <w:t xml:space="preserve"> w</w:t>
      </w:r>
      <w:r w:rsidR="006E6446">
        <w:t> </w:t>
      </w:r>
      <w:r w:rsidR="006E6446" w:rsidRPr="00392E88">
        <w:t>aka</w:t>
      </w:r>
      <w:r w:rsidRPr="00392E88">
        <w:t>pitach pierwszym</w:t>
      </w:r>
      <w:r w:rsidR="006E6446" w:rsidRPr="00392E88">
        <w:t xml:space="preserve"> i</w:t>
      </w:r>
      <w:r w:rsidR="006E6446">
        <w:t> </w:t>
      </w:r>
      <w:r w:rsidR="006E6446" w:rsidRPr="00392E88">
        <w:t>dru</w:t>
      </w:r>
      <w:r w:rsidRPr="00392E88">
        <w:t>gim, wskazując rodzaje instytucji lub,</w:t>
      </w:r>
      <w:r w:rsidR="006E6446" w:rsidRPr="00392E88">
        <w:t xml:space="preserve"> w</w:t>
      </w:r>
      <w:r w:rsidR="006E6446">
        <w:t> </w:t>
      </w:r>
      <w:r w:rsidR="006E6446" w:rsidRPr="00392E88">
        <w:t>sto</w:t>
      </w:r>
      <w:r w:rsidRPr="00392E88">
        <w:t>sownych przypadkach, upoważnionych podmiotów objętych możliwością korzystania</w:t>
      </w:r>
      <w:r w:rsidR="006E6446" w:rsidRPr="00392E88">
        <w:t xml:space="preserve"> z</w:t>
      </w:r>
      <w:r w:rsidR="006E6446">
        <w:t> </w:t>
      </w:r>
      <w:r w:rsidR="006E6446" w:rsidRPr="00392E88">
        <w:t>tyc</w:t>
      </w:r>
      <w:r w:rsidRPr="00392E88">
        <w:t xml:space="preserve">h opcji oraz przepisy niniejszej dyrektywy mające do nich zastosowanie. </w:t>
      </w:r>
    </w:p>
    <w:p w14:paraId="38D69CD9" w14:textId="77777777" w:rsidR="00C72DC4" w:rsidRPr="00392E88" w:rsidRDefault="00F22CB0" w:rsidP="00BE7678">
      <w:pPr>
        <w:pStyle w:val="Text1"/>
      </w:pPr>
      <w:r w:rsidRPr="00392E88">
        <w:t>Komisja podaje te informacje do wiadomości publicznej.”;</w:t>
      </w:r>
    </w:p>
    <w:p w14:paraId="1C4C080D" w14:textId="59214EEA" w:rsidR="00004720" w:rsidRPr="00392E88" w:rsidRDefault="006E6446" w:rsidP="006E6446">
      <w:pPr>
        <w:pStyle w:val="Point0"/>
      </w:pPr>
      <w:r>
        <w:t>6)</w:t>
      </w:r>
      <w:r>
        <w:tab/>
      </w:r>
      <w:r w:rsidR="008D723E" w:rsidRPr="00392E88">
        <w:t xml:space="preserve">w </w:t>
      </w:r>
      <w:r w:rsidR="008D723E" w:rsidRPr="006E6446">
        <w:t>art.</w:t>
      </w:r>
      <w:r w:rsidRPr="006E6446">
        <w:t> </w:t>
      </w:r>
      <w:r w:rsidR="008D723E" w:rsidRPr="006E6446">
        <w:t>5</w:t>
      </w:r>
      <w:r w:rsidR="008D723E" w:rsidRPr="00392E88">
        <w:t xml:space="preserve"> wprowadza się następujące zmiany:</w:t>
      </w:r>
    </w:p>
    <w:p w14:paraId="2BDD9EAF" w14:textId="622BEAAE" w:rsidR="00A37E4A" w:rsidRPr="00392E88" w:rsidRDefault="006E6446" w:rsidP="006E6446">
      <w:pPr>
        <w:pStyle w:val="Point1"/>
      </w:pPr>
      <w:r>
        <w:t>a)</w:t>
      </w:r>
      <w:r>
        <w:tab/>
      </w:r>
      <w:r w:rsidR="00A37E4A" w:rsidRPr="00392E88">
        <w:t>tytuł otrzymuje brzmienie:</w:t>
      </w:r>
    </w:p>
    <w:p w14:paraId="701D6FBF" w14:textId="1E0D8144" w:rsidR="00A37E4A" w:rsidRPr="006E6446" w:rsidRDefault="00687113" w:rsidP="002E1B25">
      <w:pPr>
        <w:pStyle w:val="Titrearticle"/>
        <w:rPr>
          <w:b/>
          <w:bCs/>
        </w:rPr>
      </w:pPr>
      <w:r w:rsidRPr="00392E88">
        <w:rPr>
          <w:b/>
          <w:i w:val="0"/>
        </w:rPr>
        <w:t>„IORP</w:t>
      </w:r>
      <w:r w:rsidR="006E6446" w:rsidRPr="00392E88">
        <w:rPr>
          <w:b/>
          <w:i w:val="0"/>
        </w:rPr>
        <w:t xml:space="preserve"> o</w:t>
      </w:r>
      <w:r w:rsidR="006E6446">
        <w:rPr>
          <w:b/>
          <w:i w:val="0"/>
        </w:rPr>
        <w:t> </w:t>
      </w:r>
      <w:r w:rsidR="006E6446" w:rsidRPr="00392E88">
        <w:rPr>
          <w:b/>
          <w:i w:val="0"/>
        </w:rPr>
        <w:t>mał</w:t>
      </w:r>
      <w:r w:rsidRPr="00392E88">
        <w:rPr>
          <w:b/>
          <w:i w:val="0"/>
        </w:rPr>
        <w:t>ym zasięgu”;</w:t>
      </w:r>
    </w:p>
    <w:p w14:paraId="3454D9DD" w14:textId="1EAFDA85" w:rsidR="00213036" w:rsidRPr="00392E88" w:rsidRDefault="006E6446" w:rsidP="006E6446">
      <w:pPr>
        <w:pStyle w:val="Point1"/>
      </w:pPr>
      <w:r>
        <w:t>b)</w:t>
      </w:r>
      <w:r>
        <w:tab/>
      </w:r>
      <w:r w:rsidR="00213036" w:rsidRPr="006E6446">
        <w:t>u</w:t>
      </w:r>
      <w:r w:rsidR="00213036" w:rsidRPr="00392E88">
        <w:t>chyla się akapit drugi;</w:t>
      </w:r>
    </w:p>
    <w:p w14:paraId="3636C748" w14:textId="6D389E25" w:rsidR="001449B4" w:rsidRPr="00392E88" w:rsidRDefault="006E6446" w:rsidP="006E6446">
      <w:pPr>
        <w:pStyle w:val="Point0"/>
      </w:pPr>
      <w:r>
        <w:t>7)</w:t>
      </w:r>
      <w:r>
        <w:tab/>
      </w:r>
      <w:r w:rsidR="001449B4" w:rsidRPr="00392E88">
        <w:t xml:space="preserve">w </w:t>
      </w:r>
      <w:r w:rsidR="001449B4" w:rsidRPr="006E6446">
        <w:t>art.</w:t>
      </w:r>
      <w:r w:rsidRPr="006E6446">
        <w:t> </w:t>
      </w:r>
      <w:r w:rsidR="001449B4" w:rsidRPr="006E6446">
        <w:t>6</w:t>
      </w:r>
      <w:r w:rsidR="001449B4" w:rsidRPr="00392E88">
        <w:t xml:space="preserve"> wprowadza się następujące zmiany:</w:t>
      </w:r>
    </w:p>
    <w:p w14:paraId="6E87E062" w14:textId="601C1F20" w:rsidR="00451CF3" w:rsidRPr="00392E88" w:rsidRDefault="006E6446" w:rsidP="006E6446">
      <w:pPr>
        <w:pStyle w:val="Point1"/>
      </w:pPr>
      <w:r>
        <w:t>a)</w:t>
      </w:r>
      <w:r>
        <w:tab/>
      </w:r>
      <w:r w:rsidR="00451CF3" w:rsidRPr="00392E88">
        <w:t xml:space="preserve">w </w:t>
      </w:r>
      <w:r w:rsidR="00451CF3" w:rsidRPr="006E6446">
        <w:t>pkt</w:t>
      </w:r>
      <w:r w:rsidRPr="006E6446">
        <w:t> </w:t>
      </w:r>
      <w:r w:rsidR="00451CF3" w:rsidRPr="006E6446">
        <w:t>1</w:t>
      </w:r>
      <w:r w:rsidR="00451CF3" w:rsidRPr="00392E88">
        <w:t xml:space="preserve"> słowa „i która prowadzi działalność bezpośrednio</w:t>
      </w:r>
      <w:r w:rsidRPr="00392E88">
        <w:t xml:space="preserve"> z</w:t>
      </w:r>
      <w:r>
        <w:t> </w:t>
      </w:r>
      <w:r w:rsidRPr="00392E88">
        <w:t>nic</w:t>
      </w:r>
      <w:r w:rsidR="00451CF3" w:rsidRPr="00392E88">
        <w:t>h wynikającą;” zastępuje się słowami „i która prowadzi działalność bezpośrednio</w:t>
      </w:r>
      <w:r w:rsidRPr="00392E88">
        <w:t xml:space="preserve"> z</w:t>
      </w:r>
      <w:r>
        <w:t> </w:t>
      </w:r>
      <w:r w:rsidRPr="00392E88">
        <w:t>nic</w:t>
      </w:r>
      <w:r w:rsidR="00451CF3" w:rsidRPr="00392E88">
        <w:t>h wynikającą oraz – jeżeli dopuszcza to prawo krajowe – oferuje indywidualne programy emerytalne;”;</w:t>
      </w:r>
    </w:p>
    <w:p w14:paraId="6DB7F786" w14:textId="7CDF2906" w:rsidR="00B86D44" w:rsidRPr="00392E88" w:rsidRDefault="006E6446" w:rsidP="006E6446">
      <w:pPr>
        <w:pStyle w:val="Point1"/>
      </w:pPr>
      <w:r>
        <w:t>b)</w:t>
      </w:r>
      <w:r>
        <w:tab/>
      </w:r>
      <w:r w:rsidR="00F27B29" w:rsidRPr="006E6446">
        <w:t>pkt</w:t>
      </w:r>
      <w:r w:rsidRPr="006E6446">
        <w:t> </w:t>
      </w:r>
      <w:r w:rsidR="00F27B29" w:rsidRPr="006E6446">
        <w:t>3</w:t>
      </w:r>
      <w:r w:rsidR="00F27B29" w:rsidRPr="00392E88">
        <w:t xml:space="preserve"> otrzymuje brzmienie:</w:t>
      </w:r>
    </w:p>
    <w:p w14:paraId="459FCD7C" w14:textId="68165BBA" w:rsidR="00F92BD8" w:rsidRPr="00392E88" w:rsidRDefault="00B86D44" w:rsidP="002E1B25">
      <w:pPr>
        <w:pStyle w:val="Point1"/>
      </w:pPr>
      <w:r w:rsidRPr="00392E88">
        <w:t xml:space="preserve">„3) </w:t>
      </w:r>
      <w:r w:rsidRPr="00392E88">
        <w:tab/>
        <w:t>»instytucja finansująca« oznacza każde przedsiębiorstwo lub inny podmiot, niezależnie od tego, czy obejmuje jedną lub więcej osób prawnych lub fizycznych, która działa</w:t>
      </w:r>
      <w:r w:rsidR="006E6446" w:rsidRPr="00392E88">
        <w:t xml:space="preserve"> w</w:t>
      </w:r>
      <w:r w:rsidR="006E6446">
        <w:t> </w:t>
      </w:r>
      <w:r w:rsidR="006E6446" w:rsidRPr="00392E88">
        <w:t>cha</w:t>
      </w:r>
      <w:r w:rsidRPr="00392E88">
        <w:t>rakterze pracodawcy, samorządu bądź organu zawodowego lub osoby prowadzącej działalność na własny rachunek lub jakiegokolwiek ich połączenia</w:t>
      </w:r>
      <w:r w:rsidR="006E6446" w:rsidRPr="00392E88">
        <w:t xml:space="preserve"> i</w:t>
      </w:r>
      <w:r w:rsidR="006E6446">
        <w:t> </w:t>
      </w:r>
      <w:r w:rsidR="006E6446" w:rsidRPr="00392E88">
        <w:t>któ</w:t>
      </w:r>
      <w:r w:rsidRPr="00392E88">
        <w:t>ra oferuje program emerytalny lub wpłaca składki do IORP;”;</w:t>
      </w:r>
    </w:p>
    <w:p w14:paraId="1E9AE6FD" w14:textId="684357A2" w:rsidR="00283D94" w:rsidRPr="00392E88" w:rsidRDefault="006E6446" w:rsidP="006E6446">
      <w:pPr>
        <w:pStyle w:val="Point1"/>
      </w:pPr>
      <w:r>
        <w:t>c)</w:t>
      </w:r>
      <w:r>
        <w:tab/>
      </w:r>
      <w:r w:rsidR="00283D94" w:rsidRPr="006E6446">
        <w:t>pkt</w:t>
      </w:r>
      <w:r w:rsidRPr="006E6446">
        <w:t> </w:t>
      </w:r>
      <w:r w:rsidR="00283D94" w:rsidRPr="006E6446">
        <w:t>5</w:t>
      </w:r>
      <w:r w:rsidR="00283D94" w:rsidRPr="00392E88">
        <w:t xml:space="preserve"> otrzymuje brzmienie:</w:t>
      </w:r>
    </w:p>
    <w:p w14:paraId="379C42B0" w14:textId="4A362128" w:rsidR="0029517D" w:rsidRPr="00392E88" w:rsidRDefault="07FF5032" w:rsidP="002E1B25">
      <w:pPr>
        <w:pStyle w:val="Point1"/>
      </w:pPr>
      <w:r w:rsidRPr="00392E88">
        <w:t xml:space="preserve">„5) </w:t>
      </w:r>
      <w:r w:rsidRPr="00392E88">
        <w:tab/>
        <w:t>»uczestnik« oznacza osobę niebędącą beneficjentem ani potencjalnym uczestnikiem, której przeszła lub obecna działalność zawodowa uprawnia lub uprawni ją do świadczeń emerytalnych zgodnie</w:t>
      </w:r>
      <w:r w:rsidR="006E6446" w:rsidRPr="00392E88">
        <w:t xml:space="preserve"> z</w:t>
      </w:r>
      <w:r w:rsidR="006E6446">
        <w:t> </w:t>
      </w:r>
      <w:r w:rsidR="006E6446" w:rsidRPr="00392E88">
        <w:t>pos</w:t>
      </w:r>
      <w:r w:rsidRPr="00392E88">
        <w:t>tanowieniami programu emerytalnego,</w:t>
      </w:r>
      <w:r w:rsidR="006E6446" w:rsidRPr="00392E88">
        <w:t xml:space="preserve"> z</w:t>
      </w:r>
      <w:r w:rsidR="006E6446">
        <w:t> </w:t>
      </w:r>
      <w:r w:rsidR="006E6446" w:rsidRPr="00392E88">
        <w:t>tym</w:t>
      </w:r>
      <w:r w:rsidRPr="00392E88">
        <w:t xml:space="preserve"> że do celów tytułów I, II, III, V i VI »uczestnik« oznacza również oszczędzającego na emeryturę indywidualną,</w:t>
      </w:r>
      <w:r w:rsidR="006E6446" w:rsidRPr="00392E88">
        <w:t xml:space="preserve"> w</w:t>
      </w:r>
      <w:r w:rsidR="006E6446">
        <w:t> </w:t>
      </w:r>
      <w:r w:rsidR="006E6446" w:rsidRPr="00392E88">
        <w:t>prz</w:t>
      </w:r>
      <w:r w:rsidRPr="00392E88">
        <w:t>ypadku gdy prawo krajowe zezwala na dostarczanie indywidualnych produktów emerytalnych przez IORP;”;</w:t>
      </w:r>
    </w:p>
    <w:p w14:paraId="00B73E6C" w14:textId="70CA1B1C" w:rsidR="001449B4" w:rsidRPr="00392E88" w:rsidRDefault="006E6446" w:rsidP="006E6446">
      <w:pPr>
        <w:pStyle w:val="Point1"/>
      </w:pPr>
      <w:r>
        <w:t>d)</w:t>
      </w:r>
      <w:r>
        <w:tab/>
      </w:r>
      <w:r w:rsidR="00642E63" w:rsidRPr="00392E88">
        <w:t xml:space="preserve">dodaje się </w:t>
      </w:r>
      <w:r w:rsidR="00642E63" w:rsidRPr="006E6446">
        <w:t>pkt</w:t>
      </w:r>
      <w:r w:rsidRPr="006E6446">
        <w:t> </w:t>
      </w:r>
      <w:r w:rsidR="00642E63" w:rsidRPr="006E6446">
        <w:t>2</w:t>
      </w:r>
      <w:r w:rsidR="00642E63" w:rsidRPr="00392E88">
        <w:t>0, 21</w:t>
      </w:r>
      <w:r w:rsidRPr="00392E88">
        <w:t xml:space="preserve"> i</w:t>
      </w:r>
      <w:r>
        <w:t> </w:t>
      </w:r>
      <w:r w:rsidRPr="00392E88">
        <w:t>2</w:t>
      </w:r>
      <w:r w:rsidR="00642E63" w:rsidRPr="00392E88">
        <w:t>2</w:t>
      </w:r>
      <w:r w:rsidRPr="00392E88">
        <w:t xml:space="preserve"> w</w:t>
      </w:r>
      <w:r>
        <w:t> </w:t>
      </w:r>
      <w:r w:rsidRPr="00392E88">
        <w:t>brz</w:t>
      </w:r>
      <w:r w:rsidR="00642E63" w:rsidRPr="00392E88">
        <w:t>mieniu:</w:t>
      </w:r>
    </w:p>
    <w:p w14:paraId="10E2589B" w14:textId="77777777" w:rsidR="00AD66D8" w:rsidRPr="00392E88" w:rsidRDefault="00642E63" w:rsidP="00CF38C2">
      <w:pPr>
        <w:pStyle w:val="Point1"/>
      </w:pPr>
      <w:r w:rsidRPr="00392E88">
        <w:t xml:space="preserve">„20) </w:t>
      </w:r>
      <w:r w:rsidRPr="00392E88">
        <w:tab/>
        <w:t>»usługodawca« oznacza instytucję, której IORP zleciła na zasadzie outsourcingu działalność objętą niniejszą dyrektywą;</w:t>
      </w:r>
    </w:p>
    <w:p w14:paraId="566DDB98" w14:textId="45F543FE" w:rsidR="00A456E7" w:rsidRPr="00392E88" w:rsidRDefault="00AD66D8" w:rsidP="005D0C3B">
      <w:pPr>
        <w:pStyle w:val="Point1"/>
      </w:pPr>
      <w:r w:rsidRPr="00392E88">
        <w:t>21) »indywidualny produkt emerytalny« oznacza indywidualny produkt emerytalny zdefiniowany</w:t>
      </w:r>
      <w:r w:rsidR="006E6446" w:rsidRPr="00392E88">
        <w:t xml:space="preserve"> w</w:t>
      </w:r>
      <w:r w:rsidR="006E6446">
        <w:t> </w:t>
      </w:r>
      <w:r w:rsidR="006E6446" w:rsidRPr="006E6446">
        <w:t>art</w:t>
      </w:r>
      <w:r w:rsidRPr="006E6446">
        <w:t>.</w:t>
      </w:r>
      <w:r w:rsidR="006E6446" w:rsidRPr="006E6446">
        <w:t> </w:t>
      </w:r>
      <w:r w:rsidRPr="006E6446">
        <w:t>2</w:t>
      </w:r>
      <w:r w:rsidRPr="00392E88">
        <w:t xml:space="preserve"> </w:t>
      </w:r>
      <w:r w:rsidRPr="006E6446">
        <w:t>pkt</w:t>
      </w:r>
      <w:r w:rsidR="006E6446" w:rsidRPr="006E6446">
        <w:t> </w:t>
      </w:r>
      <w:r w:rsidRPr="006E6446">
        <w:t>1</w:t>
      </w:r>
      <w:r w:rsidRPr="00392E88">
        <w:t xml:space="preserve"> rozporządzenia Parlamentu Europejskiego</w:t>
      </w:r>
      <w:r w:rsidR="006E6446" w:rsidRPr="00392E88">
        <w:t xml:space="preserve"> i</w:t>
      </w:r>
      <w:r w:rsidR="006E6446">
        <w:t> </w:t>
      </w:r>
      <w:r w:rsidR="006E6446" w:rsidRPr="00392E88">
        <w:t>Rad</w:t>
      </w:r>
      <w:r w:rsidRPr="00392E88">
        <w:t>y (UE) 2019/1238*.</w:t>
      </w:r>
    </w:p>
    <w:p w14:paraId="4F8E3EC8" w14:textId="28938AC5" w:rsidR="00B06D71" w:rsidRPr="00392E88" w:rsidRDefault="002B626C" w:rsidP="00CF38C2">
      <w:pPr>
        <w:pStyle w:val="Point1"/>
      </w:pPr>
      <w:r w:rsidRPr="00392E88">
        <w:t>22) »system monitorowania uprawnień emerytalnych« oznacza narzędzie cyfrowe, zazwyczaj bezpieczny portal internetowy lub aplikację mobilną, które zapewnia osobom fizycznym przegląd ich indywidualnych nabytych uprawnień emerytalnych oraz prognozy dotyczące przyszłych świadczeń</w:t>
      </w:r>
      <w:r w:rsidR="006E6446" w:rsidRPr="00392E88">
        <w:t xml:space="preserve"> w</w:t>
      </w:r>
      <w:r w:rsidR="006E6446">
        <w:t> </w:t>
      </w:r>
      <w:r w:rsidR="006E6446" w:rsidRPr="00392E88">
        <w:t>ram</w:t>
      </w:r>
      <w:r w:rsidRPr="00392E88">
        <w:t>ach programów emerytalnych, których dana osoba jest uczestnikiem lub beneficjentem.</w:t>
      </w:r>
    </w:p>
    <w:p w14:paraId="1F0B57AC" w14:textId="77777777" w:rsidR="00691AD7" w:rsidRPr="00392E88" w:rsidRDefault="00691AD7" w:rsidP="005D0C3B">
      <w:pPr>
        <w:pStyle w:val="Text2"/>
      </w:pPr>
      <w:r w:rsidRPr="00392E88">
        <w:t>__________</w:t>
      </w:r>
    </w:p>
    <w:p w14:paraId="112F333C" w14:textId="406A2EB3" w:rsidR="00691AD7" w:rsidRPr="00392E88" w:rsidRDefault="00691AD7" w:rsidP="005D0C3B">
      <w:pPr>
        <w:pStyle w:val="Text2"/>
        <w:rPr>
          <w:sz w:val="20"/>
          <w:szCs w:val="18"/>
        </w:rPr>
      </w:pPr>
      <w:r w:rsidRPr="00392E88">
        <w:rPr>
          <w:sz w:val="20"/>
        </w:rPr>
        <w:t xml:space="preserve">* </w:t>
      </w:r>
      <w:r w:rsidRPr="00392E88">
        <w:tab/>
      </w:r>
      <w:r w:rsidRPr="00392E88">
        <w:rPr>
          <w:sz w:val="20"/>
        </w:rPr>
        <w:t>Rozporządzenie Parlamentu Europejskiego</w:t>
      </w:r>
      <w:r w:rsidR="006E6446" w:rsidRPr="00392E88">
        <w:rPr>
          <w:sz w:val="20"/>
        </w:rPr>
        <w:t xml:space="preserve"> i</w:t>
      </w:r>
      <w:r w:rsidR="006E6446">
        <w:rPr>
          <w:sz w:val="20"/>
        </w:rPr>
        <w:t> </w:t>
      </w:r>
      <w:r w:rsidR="006E6446" w:rsidRPr="00392E88">
        <w:rPr>
          <w:sz w:val="20"/>
        </w:rPr>
        <w:t>Rad</w:t>
      </w:r>
      <w:r w:rsidRPr="00392E88">
        <w:rPr>
          <w:sz w:val="20"/>
        </w:rPr>
        <w:t>y (UE) 2019/1238</w:t>
      </w:r>
      <w:r w:rsidR="006E6446" w:rsidRPr="00392E88">
        <w:rPr>
          <w:sz w:val="20"/>
        </w:rPr>
        <w:t xml:space="preserve"> z</w:t>
      </w:r>
      <w:r w:rsidR="006E6446">
        <w:rPr>
          <w:sz w:val="20"/>
        </w:rPr>
        <w:t> </w:t>
      </w:r>
      <w:r w:rsidR="006E6446" w:rsidRPr="00392E88">
        <w:rPr>
          <w:sz w:val="20"/>
        </w:rPr>
        <w:t>dni</w:t>
      </w:r>
      <w:r w:rsidRPr="00392E88">
        <w:rPr>
          <w:sz w:val="20"/>
        </w:rPr>
        <w:t>a 20 czerwca 20</w:t>
      </w:r>
      <w:r w:rsidRPr="006E6446">
        <w:rPr>
          <w:sz w:val="20"/>
        </w:rPr>
        <w:t>19</w:t>
      </w:r>
      <w:r w:rsidR="006E6446" w:rsidRPr="006E6446">
        <w:rPr>
          <w:sz w:val="20"/>
        </w:rPr>
        <w:t> </w:t>
      </w:r>
      <w:r w:rsidRPr="006E6446">
        <w:rPr>
          <w:sz w:val="20"/>
        </w:rPr>
        <w:t>r.</w:t>
      </w:r>
      <w:r w:rsidR="006E6446" w:rsidRPr="00392E88">
        <w:rPr>
          <w:sz w:val="20"/>
        </w:rPr>
        <w:t xml:space="preserve"> w</w:t>
      </w:r>
      <w:r w:rsidR="006E6446">
        <w:rPr>
          <w:sz w:val="20"/>
        </w:rPr>
        <w:t> </w:t>
      </w:r>
      <w:r w:rsidR="006E6446" w:rsidRPr="00392E88">
        <w:rPr>
          <w:sz w:val="20"/>
        </w:rPr>
        <w:t>spr</w:t>
      </w:r>
      <w:r w:rsidRPr="00392E88">
        <w:rPr>
          <w:sz w:val="20"/>
        </w:rPr>
        <w:t>awie ogólnoeuropejskiego indywidualnego produktu emerytalnego (OIPE) (Dz.U. L 198</w:t>
      </w:r>
      <w:r w:rsidR="006E6446" w:rsidRPr="00392E88">
        <w:rPr>
          <w:sz w:val="20"/>
        </w:rPr>
        <w:t xml:space="preserve"> z</w:t>
      </w:r>
      <w:r w:rsidR="006E6446">
        <w:rPr>
          <w:sz w:val="20"/>
        </w:rPr>
        <w:t> </w:t>
      </w:r>
      <w:r w:rsidR="006E6446" w:rsidRPr="00392E88">
        <w:rPr>
          <w:sz w:val="20"/>
        </w:rPr>
        <w:t>2</w:t>
      </w:r>
      <w:r w:rsidRPr="00392E88">
        <w:rPr>
          <w:sz w:val="20"/>
        </w:rPr>
        <w:t>5.7.2019, s. 1, ELI: http://data.europa.eu/eli/reg/2019/1238/oj).”;</w:t>
      </w:r>
    </w:p>
    <w:p w14:paraId="5ACD3ECA" w14:textId="011B1E53" w:rsidR="00EF7E2A" w:rsidRPr="00392E88" w:rsidRDefault="006E6446" w:rsidP="006E6446">
      <w:pPr>
        <w:pStyle w:val="Point0"/>
      </w:pPr>
      <w:r>
        <w:t>8)</w:t>
      </w:r>
      <w:r>
        <w:tab/>
      </w:r>
      <w:r w:rsidR="005B0C1D" w:rsidRPr="00392E88">
        <w:t>art. 7 akapit drugi otrzymuje brzmienie:</w:t>
      </w:r>
    </w:p>
    <w:p w14:paraId="0EEEBBDA" w14:textId="3D827DEE" w:rsidR="00DE37DE" w:rsidRPr="00392E88" w:rsidRDefault="00DE37DE" w:rsidP="005B0C1D">
      <w:pPr>
        <w:pStyle w:val="Text1"/>
      </w:pPr>
      <w:r w:rsidRPr="00392E88">
        <w:t>„W przypadku gdy zgodnie</w:t>
      </w:r>
      <w:r w:rsidR="006E6446" w:rsidRPr="00392E88">
        <w:t xml:space="preserve"> z</w:t>
      </w:r>
      <w:r w:rsidR="006E6446">
        <w:t> </w:t>
      </w:r>
      <w:r w:rsidR="006E6446" w:rsidRPr="00392E88">
        <w:t>pra</w:t>
      </w:r>
      <w:r w:rsidRPr="00392E88">
        <w:t>wem krajowym IORP są uprawnione do oferowania indywidualnych produktów emerytalnych, wszystkie aktywa</w:t>
      </w:r>
      <w:r w:rsidR="006E6446" w:rsidRPr="00392E88">
        <w:t xml:space="preserve"> i</w:t>
      </w:r>
      <w:r w:rsidR="006E6446">
        <w:t> </w:t>
      </w:r>
      <w:r w:rsidR="006E6446" w:rsidRPr="00392E88">
        <w:t>pas</w:t>
      </w:r>
      <w:r w:rsidRPr="00392E88">
        <w:t>ywa odpowiadające działalności</w:t>
      </w:r>
      <w:r w:rsidR="006E6446" w:rsidRPr="00392E88">
        <w:t xml:space="preserve"> w</w:t>
      </w:r>
      <w:r w:rsidR="006E6446">
        <w:t> </w:t>
      </w:r>
      <w:r w:rsidR="006E6446" w:rsidRPr="00392E88">
        <w:t>zak</w:t>
      </w:r>
      <w:r w:rsidRPr="00392E88">
        <w:t>resie oferowania indywidualnych programów emerytalnych są wyodrębniane, bez możliwości przeniesienia tych aktywów</w:t>
      </w:r>
      <w:r w:rsidR="006E6446" w:rsidRPr="00392E88">
        <w:t xml:space="preserve"> i</w:t>
      </w:r>
      <w:r w:rsidR="006E6446">
        <w:t> </w:t>
      </w:r>
      <w:r w:rsidR="006E6446" w:rsidRPr="00392E88">
        <w:t>pas</w:t>
      </w:r>
      <w:r w:rsidRPr="00392E88">
        <w:t>ywów na inną działalność instytucji</w:t>
      </w:r>
      <w:r w:rsidR="006E6446" w:rsidRPr="00392E88">
        <w:t xml:space="preserve"> w</w:t>
      </w:r>
      <w:r w:rsidR="006E6446">
        <w:t> </w:t>
      </w:r>
      <w:r w:rsidR="006E6446" w:rsidRPr="00392E88">
        <w:t>zak</w:t>
      </w:r>
      <w:r w:rsidRPr="00392E88">
        <w:t>resie programów emerytalnych.”;</w:t>
      </w:r>
    </w:p>
    <w:p w14:paraId="77A96652" w14:textId="2E2EDF13" w:rsidR="00553436" w:rsidRPr="00392E88" w:rsidRDefault="006E6446" w:rsidP="006E6446">
      <w:pPr>
        <w:pStyle w:val="Point0"/>
      </w:pPr>
      <w:r>
        <w:t>9)</w:t>
      </w:r>
      <w:r>
        <w:tab/>
      </w:r>
      <w:r w:rsidR="00553436" w:rsidRPr="00392E88">
        <w:t xml:space="preserve">dodaje się </w:t>
      </w:r>
      <w:r w:rsidR="00553436" w:rsidRPr="006E6446">
        <w:t>art.</w:t>
      </w:r>
      <w:r w:rsidRPr="006E6446">
        <w:t> </w:t>
      </w:r>
      <w:r w:rsidR="00553436" w:rsidRPr="006E6446">
        <w:t>8</w:t>
      </w:r>
      <w:r w:rsidR="00553436" w:rsidRPr="00392E88">
        <w:t>a</w:t>
      </w:r>
      <w:r w:rsidRPr="00392E88">
        <w:t xml:space="preserve"> w</w:t>
      </w:r>
      <w:r>
        <w:t> </w:t>
      </w:r>
      <w:r w:rsidRPr="00392E88">
        <w:t>brz</w:t>
      </w:r>
      <w:r w:rsidR="00553436" w:rsidRPr="00392E88">
        <w:t xml:space="preserve">mieniu: </w:t>
      </w:r>
    </w:p>
    <w:p w14:paraId="38C7469C" w14:textId="569BEE51" w:rsidR="00304E76" w:rsidRPr="00392E88" w:rsidRDefault="00304E76" w:rsidP="00304E76">
      <w:pPr>
        <w:pStyle w:val="Titrearticle"/>
        <w:rPr>
          <w:i w:val="0"/>
          <w:iCs/>
        </w:rPr>
      </w:pPr>
      <w:r w:rsidRPr="00392E88">
        <w:t xml:space="preserve">„Artykuł 8a </w:t>
      </w:r>
      <w:r w:rsidRPr="00392E88">
        <w:br/>
      </w:r>
      <w:r w:rsidRPr="00392E88">
        <w:rPr>
          <w:b/>
          <w:i w:val="0"/>
        </w:rPr>
        <w:t>Prawo przedsiębiorczości</w:t>
      </w:r>
      <w:r w:rsidR="006E6446" w:rsidRPr="00392E88">
        <w:rPr>
          <w:b/>
          <w:i w:val="0"/>
        </w:rPr>
        <w:t xml:space="preserve"> i</w:t>
      </w:r>
      <w:r w:rsidR="006E6446">
        <w:rPr>
          <w:b/>
          <w:i w:val="0"/>
        </w:rPr>
        <w:t> </w:t>
      </w:r>
      <w:r w:rsidR="006E6446" w:rsidRPr="00392E88">
        <w:rPr>
          <w:b/>
          <w:i w:val="0"/>
        </w:rPr>
        <w:t>swo</w:t>
      </w:r>
      <w:r w:rsidRPr="00392E88">
        <w:rPr>
          <w:b/>
          <w:i w:val="0"/>
        </w:rPr>
        <w:t>boda świadczenia usług</w:t>
      </w:r>
    </w:p>
    <w:p w14:paraId="4FEC9B06" w14:textId="11E161A7" w:rsidR="00733BD3" w:rsidRPr="00392E88" w:rsidRDefault="00733BD3" w:rsidP="00304E76">
      <w:pPr>
        <w:pStyle w:val="Text1"/>
      </w:pPr>
      <w:r w:rsidRPr="00392E88">
        <w:t>1.</w:t>
      </w:r>
      <w:r w:rsidRPr="00392E88">
        <w:tab/>
        <w:t>IORP mogą świadczyć usługi</w:t>
      </w:r>
      <w:r w:rsidR="006E6446" w:rsidRPr="00392E88">
        <w:t xml:space="preserve"> w</w:t>
      </w:r>
      <w:r w:rsidR="006E6446">
        <w:t> </w:t>
      </w:r>
      <w:r w:rsidR="006E6446" w:rsidRPr="00392E88">
        <w:t>cał</w:t>
      </w:r>
      <w:r w:rsidRPr="00392E88">
        <w:t>ej Unii zgodnie</w:t>
      </w:r>
      <w:r w:rsidR="006E6446" w:rsidRPr="00392E88">
        <w:t xml:space="preserve"> z</w:t>
      </w:r>
      <w:r w:rsidR="006E6446">
        <w:t> </w:t>
      </w:r>
      <w:r w:rsidR="006E6446" w:rsidRPr="006E6446">
        <w:t>art</w:t>
      </w:r>
      <w:r w:rsidRPr="006E6446">
        <w:t>.</w:t>
      </w:r>
      <w:r w:rsidR="006E6446" w:rsidRPr="006E6446">
        <w:t> </w:t>
      </w:r>
      <w:r w:rsidRPr="006E6446">
        <w:t>1</w:t>
      </w:r>
      <w:r w:rsidRPr="00392E88">
        <w:t>1</w:t>
      </w:r>
      <w:r w:rsidR="006E6446" w:rsidRPr="00392E88">
        <w:t xml:space="preserve"> i</w:t>
      </w:r>
      <w:r w:rsidR="006E6446">
        <w:t> </w:t>
      </w:r>
      <w:r w:rsidR="006E6446" w:rsidRPr="00392E88">
        <w:t>1</w:t>
      </w:r>
      <w:r w:rsidRPr="00392E88">
        <w:t>1a.</w:t>
      </w:r>
    </w:p>
    <w:p w14:paraId="4304128A" w14:textId="3B20969B" w:rsidR="00304E76" w:rsidRPr="00392E88" w:rsidRDefault="00733BD3" w:rsidP="00304E76">
      <w:pPr>
        <w:pStyle w:val="Text1"/>
      </w:pPr>
      <w:r w:rsidRPr="00392E88">
        <w:t>2.</w:t>
      </w:r>
      <w:r w:rsidRPr="00392E88">
        <w:tab/>
        <w:t>Państwa członkowskie nie mogą ograniczać IORP</w:t>
      </w:r>
      <w:r w:rsidR="006E6446" w:rsidRPr="00392E88">
        <w:t xml:space="preserve"> w</w:t>
      </w:r>
      <w:r w:rsidR="006E6446">
        <w:t> </w:t>
      </w:r>
      <w:r w:rsidR="006E6446" w:rsidRPr="00392E88">
        <w:t>zak</w:t>
      </w:r>
      <w:r w:rsidRPr="00392E88">
        <w:t>resie zakładania działalności na ich terytorium.”;</w:t>
      </w:r>
    </w:p>
    <w:p w14:paraId="0E481E6A" w14:textId="10ECF230" w:rsidR="0062154E" w:rsidRPr="00392E88" w:rsidRDefault="006E6446" w:rsidP="006E6446">
      <w:pPr>
        <w:pStyle w:val="Point0"/>
      </w:pPr>
      <w:r>
        <w:t>10)</w:t>
      </w:r>
      <w:r>
        <w:tab/>
      </w:r>
      <w:r w:rsidR="0062154E" w:rsidRPr="00392E88">
        <w:t xml:space="preserve">w </w:t>
      </w:r>
      <w:r w:rsidR="0062154E" w:rsidRPr="006E6446">
        <w:t>art.</w:t>
      </w:r>
      <w:r w:rsidRPr="006E6446">
        <w:t> </w:t>
      </w:r>
      <w:r w:rsidR="0062154E" w:rsidRPr="006E6446">
        <w:t>9</w:t>
      </w:r>
      <w:r w:rsidR="0062154E" w:rsidRPr="00392E88">
        <w:t xml:space="preserve"> wprowadza się następujące zmiany:</w:t>
      </w:r>
    </w:p>
    <w:p w14:paraId="7FC379A8" w14:textId="4038C660" w:rsidR="00950E28" w:rsidRPr="00392E88" w:rsidRDefault="006E6446" w:rsidP="006E6446">
      <w:pPr>
        <w:pStyle w:val="Point1"/>
      </w:pPr>
      <w:r>
        <w:t>a)</w:t>
      </w:r>
      <w:r>
        <w:tab/>
      </w:r>
      <w:r w:rsidR="00BF629B" w:rsidRPr="00392E88">
        <w:t>tytuł otrzymuje brzmienie:</w:t>
      </w:r>
    </w:p>
    <w:p w14:paraId="091F283B" w14:textId="77777777" w:rsidR="00BF629B" w:rsidRPr="00392E88" w:rsidRDefault="00BF629B" w:rsidP="00003763">
      <w:pPr>
        <w:pStyle w:val="Titrearticle"/>
        <w:rPr>
          <w:i w:val="0"/>
          <w:iCs/>
        </w:rPr>
      </w:pPr>
      <w:r w:rsidRPr="00392E88">
        <w:rPr>
          <w:i w:val="0"/>
        </w:rPr>
        <w:t>„</w:t>
      </w:r>
      <w:r w:rsidRPr="00392E88">
        <w:rPr>
          <w:b/>
          <w:i w:val="0"/>
        </w:rPr>
        <w:t>Zezwolenie</w:t>
      </w:r>
      <w:r w:rsidRPr="00392E88">
        <w:rPr>
          <w:i w:val="0"/>
        </w:rPr>
        <w:t>”;</w:t>
      </w:r>
    </w:p>
    <w:p w14:paraId="0B571F33" w14:textId="685B9361" w:rsidR="00950E28" w:rsidRPr="00392E88" w:rsidRDefault="006E6446" w:rsidP="006E6446">
      <w:pPr>
        <w:pStyle w:val="Point1"/>
      </w:pPr>
      <w:r>
        <w:t>b)</w:t>
      </w:r>
      <w:r>
        <w:tab/>
      </w:r>
      <w:r w:rsidR="00950E28" w:rsidRPr="00392E88">
        <w:t>ust. 1 otrzymuje brzmienie:</w:t>
      </w:r>
    </w:p>
    <w:p w14:paraId="2854B11C" w14:textId="1C15714A" w:rsidR="003B53FA" w:rsidRPr="00392E88" w:rsidRDefault="00AF77C9" w:rsidP="00F31A0D">
      <w:pPr>
        <w:pStyle w:val="Text1"/>
      </w:pPr>
      <w:r w:rsidRPr="00392E88">
        <w:t>„1.</w:t>
      </w:r>
      <w:r w:rsidRPr="00392E88">
        <w:tab/>
        <w:t>Państwa członkowskie,</w:t>
      </w:r>
      <w:r w:rsidR="006E6446" w:rsidRPr="00392E88">
        <w:t xml:space="preserve"> w</w:t>
      </w:r>
      <w:r w:rsidR="006E6446">
        <w:t> </w:t>
      </w:r>
      <w:r w:rsidR="006E6446" w:rsidRPr="00392E88">
        <w:t>odn</w:t>
      </w:r>
      <w:r w:rsidRPr="00392E88">
        <w:t>iesieniu do każdej IORP, której zarząd znajduje się na ich terytoriach, zapewniają, aby IORP uzyskała zezwolenie właściwego organu</w:t>
      </w:r>
      <w:r w:rsidR="006E6446" w:rsidRPr="00392E88">
        <w:t xml:space="preserve"> i</w:t>
      </w:r>
      <w:r w:rsidR="006E6446">
        <w:t> </w:t>
      </w:r>
      <w:r w:rsidR="006E6446" w:rsidRPr="00392E88">
        <w:t>zos</w:t>
      </w:r>
      <w:r w:rsidRPr="00392E88">
        <w:t>tała wpisana do rejestru krajowego.</w:t>
      </w:r>
    </w:p>
    <w:p w14:paraId="541B40E2" w14:textId="5DF1A233" w:rsidR="00087D09" w:rsidRPr="00392E88" w:rsidRDefault="006F7523" w:rsidP="00F31A0D">
      <w:pPr>
        <w:pStyle w:val="Text1"/>
      </w:pPr>
      <w:r w:rsidRPr="00392E88">
        <w:t>Zarząd znajduje się</w:t>
      </w:r>
      <w:r w:rsidR="006E6446" w:rsidRPr="00392E88">
        <w:t xml:space="preserve"> w</w:t>
      </w:r>
      <w:r w:rsidR="006E6446">
        <w:t> </w:t>
      </w:r>
      <w:r w:rsidR="006E6446" w:rsidRPr="00392E88">
        <w:t>mie</w:t>
      </w:r>
      <w:r w:rsidRPr="00392E88">
        <w:t>jscu,</w:t>
      </w:r>
      <w:r w:rsidR="006E6446" w:rsidRPr="00392E88">
        <w:t xml:space="preserve"> w</w:t>
      </w:r>
      <w:r w:rsidR="006E6446">
        <w:t> </w:t>
      </w:r>
      <w:r w:rsidR="006E6446" w:rsidRPr="00392E88">
        <w:t>któ</w:t>
      </w:r>
      <w:r w:rsidRPr="00392E88">
        <w:t>rym podejmowane są główne decyzje strategiczne IORP.</w:t>
      </w:r>
    </w:p>
    <w:p w14:paraId="34950368" w14:textId="303D8048" w:rsidR="006F161E" w:rsidRPr="00392E88" w:rsidRDefault="00C723C9" w:rsidP="00F31A0D">
      <w:pPr>
        <w:pStyle w:val="Text1"/>
      </w:pPr>
      <w:r w:rsidRPr="00392E88">
        <w:t>Państwa członkowskie wymagają, aby właściwe organy przeprowadzały ocenę ostrożnościową</w:t>
      </w:r>
      <w:r w:rsidR="006E6446" w:rsidRPr="00392E88">
        <w:t xml:space="preserve"> w</w:t>
      </w:r>
      <w:r w:rsidR="006E6446">
        <w:t> </w:t>
      </w:r>
      <w:r w:rsidR="006E6446" w:rsidRPr="00392E88">
        <w:t>ram</w:t>
      </w:r>
      <w:r w:rsidRPr="00392E88">
        <w:t>ach udzielania zezwoleń IORP</w:t>
      </w:r>
      <w:r w:rsidR="006E6446" w:rsidRPr="00392E88">
        <w:t>. W</w:t>
      </w:r>
      <w:r w:rsidR="006E6446">
        <w:t> </w:t>
      </w:r>
      <w:r w:rsidR="006E6446" w:rsidRPr="00392E88">
        <w:t>oce</w:t>
      </w:r>
      <w:r w:rsidRPr="00392E88">
        <w:t>nie uwzględnia się charakter, skalę</w:t>
      </w:r>
      <w:r w:rsidR="006E6446" w:rsidRPr="00392E88">
        <w:t xml:space="preserve"> i</w:t>
      </w:r>
      <w:r w:rsidR="006E6446">
        <w:t> </w:t>
      </w:r>
      <w:r w:rsidR="006E6446" w:rsidRPr="00392E88">
        <w:t>zło</w:t>
      </w:r>
      <w:r w:rsidRPr="00392E88">
        <w:t xml:space="preserve">żoność działalności danej IORP. </w:t>
      </w:r>
    </w:p>
    <w:p w14:paraId="53B0766F" w14:textId="2905677A" w:rsidR="0037761D" w:rsidRPr="00392E88" w:rsidRDefault="00161D26" w:rsidP="00560365">
      <w:pPr>
        <w:pStyle w:val="Text1"/>
      </w:pPr>
      <w:r w:rsidRPr="00392E88">
        <w:t>IORP ubiegające się</w:t>
      </w:r>
      <w:r w:rsidR="006E6446" w:rsidRPr="00392E88">
        <w:t xml:space="preserve"> o</w:t>
      </w:r>
      <w:r w:rsidR="006E6446">
        <w:t> </w:t>
      </w:r>
      <w:r w:rsidR="006E6446" w:rsidRPr="00392E88">
        <w:t>zez</w:t>
      </w:r>
      <w:r w:rsidRPr="00392E88">
        <w:t>wolenie przygotowują</w:t>
      </w:r>
      <w:r w:rsidR="006E6446" w:rsidRPr="00392E88">
        <w:t xml:space="preserve"> i</w:t>
      </w:r>
      <w:r w:rsidR="006E6446">
        <w:t> </w:t>
      </w:r>
      <w:r w:rsidR="006E6446" w:rsidRPr="00392E88">
        <w:t>prz</w:t>
      </w:r>
      <w:r w:rsidRPr="00392E88">
        <w:t>edkładają właściwemu organowi biznesplan dotyczący ich całej planowanej działalności, wyszczególniający dostępne zasoby finansowe na pokrycie bieżących</w:t>
      </w:r>
      <w:r w:rsidR="006E6446" w:rsidRPr="00392E88">
        <w:t xml:space="preserve"> i</w:t>
      </w:r>
      <w:r w:rsidR="006E6446">
        <w:t> </w:t>
      </w:r>
      <w:r w:rsidR="006E6446" w:rsidRPr="00392E88">
        <w:t>prz</w:t>
      </w:r>
      <w:r w:rsidRPr="00392E88">
        <w:t>yszłych kosztów operacyjnych. Biznesplan zawiera prognozy przychodów</w:t>
      </w:r>
      <w:r w:rsidR="006E6446" w:rsidRPr="00392E88">
        <w:t xml:space="preserve"> i</w:t>
      </w:r>
      <w:r w:rsidR="006E6446">
        <w:t> </w:t>
      </w:r>
      <w:r w:rsidR="006E6446" w:rsidRPr="00392E88">
        <w:t>kos</w:t>
      </w:r>
      <w:r w:rsidRPr="00392E88">
        <w:t>ztów IORP</w:t>
      </w:r>
      <w:r w:rsidR="006E6446" w:rsidRPr="00392E88">
        <w:t xml:space="preserve"> w</w:t>
      </w:r>
      <w:r w:rsidR="006E6446">
        <w:t> </w:t>
      </w:r>
      <w:r w:rsidR="006E6446" w:rsidRPr="00392E88">
        <w:t>okr</w:t>
      </w:r>
      <w:r w:rsidRPr="00392E88">
        <w:t>esie obejmującym co najmniej trzy lata oraz podział kosztów operacyjnych IORP,</w:t>
      </w:r>
      <w:r w:rsidR="006E6446" w:rsidRPr="00392E88">
        <w:t xml:space="preserve"> w</w:t>
      </w:r>
      <w:r w:rsidR="006E6446">
        <w:t> </w:t>
      </w:r>
      <w:r w:rsidR="006E6446" w:rsidRPr="00392E88">
        <w:t>tym</w:t>
      </w:r>
      <w:r w:rsidRPr="00392E88">
        <w:t>,</w:t>
      </w:r>
      <w:r w:rsidR="006E6446" w:rsidRPr="00392E88">
        <w:t xml:space="preserve"> w</w:t>
      </w:r>
      <w:r w:rsidR="006E6446">
        <w:t> </w:t>
      </w:r>
      <w:r w:rsidR="006E6446" w:rsidRPr="00392E88">
        <w:t>sto</w:t>
      </w:r>
      <w:r w:rsidRPr="00392E88">
        <w:t>sownych przypadkach, koszty dystrybucji</w:t>
      </w:r>
      <w:r w:rsidR="006E6446" w:rsidRPr="00392E88">
        <w:t xml:space="preserve"> i</w:t>
      </w:r>
      <w:r w:rsidR="006E6446">
        <w:t> </w:t>
      </w:r>
      <w:r w:rsidR="006E6446" w:rsidRPr="00392E88">
        <w:t>nab</w:t>
      </w:r>
      <w:r w:rsidRPr="00392E88">
        <w:t>ycia oraz wszelkie inne elementy, które mają pomóc właściwym organom</w:t>
      </w:r>
      <w:r w:rsidR="006E6446" w:rsidRPr="00392E88">
        <w:t xml:space="preserve"> w</w:t>
      </w:r>
      <w:r w:rsidR="006E6446">
        <w:t> </w:t>
      </w:r>
      <w:r w:rsidR="006E6446" w:rsidRPr="00392E88">
        <w:t>oce</w:t>
      </w:r>
      <w:r w:rsidRPr="00392E88">
        <w:t>nie zgodności</w:t>
      </w:r>
      <w:r w:rsidR="006E6446" w:rsidRPr="00392E88">
        <w:t xml:space="preserve"> z</w:t>
      </w:r>
      <w:r w:rsidR="006E6446">
        <w:t> </w:t>
      </w:r>
      <w:r w:rsidR="006E6446" w:rsidRPr="00392E88">
        <w:t>wym</w:t>
      </w:r>
      <w:r w:rsidRPr="00392E88">
        <w:t>ogami operacyjnymi.</w:t>
      </w:r>
    </w:p>
    <w:p w14:paraId="33BC6F5E" w14:textId="77777777" w:rsidR="00C1417F" w:rsidRPr="00392E88" w:rsidRDefault="00AF544C" w:rsidP="00F31A0D">
      <w:pPr>
        <w:pStyle w:val="Text1"/>
      </w:pPr>
      <w:r w:rsidRPr="00392E88">
        <w:t>Późniejsze zatwierdzenie jednego lub większej liczby instytucji finansujących nie wymaga od IORP poddania się nowej procedurze udzielania zezwolenia.”;</w:t>
      </w:r>
    </w:p>
    <w:p w14:paraId="5F094A54" w14:textId="23229B93" w:rsidR="00CE4A61" w:rsidRPr="00392E88" w:rsidRDefault="006E6446" w:rsidP="006E6446">
      <w:pPr>
        <w:pStyle w:val="Point1"/>
      </w:pPr>
      <w:r>
        <w:t>c)</w:t>
      </w:r>
      <w:r>
        <w:tab/>
      </w:r>
      <w:r w:rsidR="00CE4A61" w:rsidRPr="00392E88">
        <w:t xml:space="preserve">dodaje się </w:t>
      </w:r>
      <w:r w:rsidR="00CE4A61" w:rsidRPr="006E6446">
        <w:t>ust.</w:t>
      </w:r>
      <w:r w:rsidRPr="006E6446">
        <w:t> </w:t>
      </w:r>
      <w:r w:rsidR="00CE4A61" w:rsidRPr="006E6446">
        <w:t>1</w:t>
      </w:r>
      <w:r w:rsidR="00CE4A61" w:rsidRPr="00392E88">
        <w:t>a</w:t>
      </w:r>
      <w:r w:rsidRPr="00392E88">
        <w:t xml:space="preserve"> w</w:t>
      </w:r>
      <w:r>
        <w:t> </w:t>
      </w:r>
      <w:r w:rsidRPr="00392E88">
        <w:t>brz</w:t>
      </w:r>
      <w:r w:rsidR="00CE4A61" w:rsidRPr="00392E88">
        <w:t>mieniu:</w:t>
      </w:r>
    </w:p>
    <w:p w14:paraId="027568EA" w14:textId="14CC2F2D" w:rsidR="00BE4240" w:rsidRPr="00392E88" w:rsidRDefault="00CE4A61" w:rsidP="00CE4A61">
      <w:pPr>
        <w:pStyle w:val="Text1"/>
      </w:pPr>
      <w:r w:rsidRPr="00392E88">
        <w:t>„1a.</w:t>
      </w:r>
      <w:r w:rsidRPr="00392E88">
        <w:tab/>
        <w:t>Każdej decyzji odmawiającej udzielenia zezwolenia na prowadzenie działalności towarzyszy dokładne uzasadnienie</w:t>
      </w:r>
      <w:r w:rsidR="006E6446" w:rsidRPr="00392E88">
        <w:t xml:space="preserve"> i</w:t>
      </w:r>
      <w:r w:rsidR="006E6446">
        <w:t> </w:t>
      </w:r>
      <w:r w:rsidR="006E6446" w:rsidRPr="00392E88">
        <w:t>inf</w:t>
      </w:r>
      <w:r w:rsidRPr="00392E88">
        <w:t>ormuje się</w:t>
      </w:r>
      <w:r w:rsidR="006E6446" w:rsidRPr="00392E88">
        <w:t xml:space="preserve"> o</w:t>
      </w:r>
      <w:r w:rsidR="006E6446">
        <w:t> </w:t>
      </w:r>
      <w:r w:rsidR="006E6446" w:rsidRPr="00392E88">
        <w:t>nie</w:t>
      </w:r>
      <w:r w:rsidRPr="00392E88">
        <w:t>j daną IORP.</w:t>
      </w:r>
    </w:p>
    <w:p w14:paraId="6D4677CD" w14:textId="2D24CFF5" w:rsidR="00CE4A61" w:rsidRPr="00392E88" w:rsidRDefault="00E14DB1" w:rsidP="00CE4A61">
      <w:pPr>
        <w:pStyle w:val="Text1"/>
      </w:pPr>
      <w:r w:rsidRPr="00392E88">
        <w:t xml:space="preserve">Bez uszczerbku dla </w:t>
      </w:r>
      <w:r w:rsidRPr="006E6446">
        <w:t>art.</w:t>
      </w:r>
      <w:r w:rsidR="006E6446" w:rsidRPr="006E6446">
        <w:t> </w:t>
      </w:r>
      <w:r w:rsidRPr="006E6446">
        <w:t>4</w:t>
      </w:r>
      <w:r w:rsidRPr="00392E88">
        <w:t xml:space="preserve">8 </w:t>
      </w:r>
      <w:r w:rsidRPr="006E6446">
        <w:t>ust.</w:t>
      </w:r>
      <w:r w:rsidR="006E6446" w:rsidRPr="006E6446">
        <w:t> </w:t>
      </w:r>
      <w:r w:rsidRPr="006E6446">
        <w:t>9</w:t>
      </w:r>
      <w:r w:rsidRPr="00392E88">
        <w:t xml:space="preserve"> każde państwo członkowskie zapewnia prawo do odwołania się do sądu,</w:t>
      </w:r>
      <w:r w:rsidR="006E6446" w:rsidRPr="00392E88">
        <w:t xml:space="preserve"> w</w:t>
      </w:r>
      <w:r w:rsidR="006E6446">
        <w:t> </w:t>
      </w:r>
      <w:r w:rsidR="006E6446" w:rsidRPr="00392E88">
        <w:t>prz</w:t>
      </w:r>
      <w:r w:rsidRPr="00392E88">
        <w:t>ypadku gdy jego właściwe organy nie rozpatrzą wniosku</w:t>
      </w:r>
      <w:r w:rsidR="006E6446" w:rsidRPr="00392E88">
        <w:t xml:space="preserve"> o</w:t>
      </w:r>
      <w:r w:rsidR="006E6446">
        <w:t> </w:t>
      </w:r>
      <w:r w:rsidR="006E6446" w:rsidRPr="00392E88">
        <w:t>udz</w:t>
      </w:r>
      <w:r w:rsidRPr="00392E88">
        <w:t>ielenie zezwolenia</w:t>
      </w:r>
      <w:r w:rsidR="006E6446" w:rsidRPr="00392E88">
        <w:t xml:space="preserve"> w</w:t>
      </w:r>
      <w:r w:rsidR="006E6446">
        <w:t> </w:t>
      </w:r>
      <w:r w:rsidR="006E6446" w:rsidRPr="00392E88">
        <w:t>ter</w:t>
      </w:r>
      <w:r w:rsidRPr="00392E88">
        <w:t>minie sześciu miesięcy od daty jego otrzymania.”;</w:t>
      </w:r>
    </w:p>
    <w:p w14:paraId="436EE66A" w14:textId="09122E41" w:rsidR="00CC136D" w:rsidRPr="00392E88" w:rsidRDefault="006E6446" w:rsidP="006E6446">
      <w:pPr>
        <w:pStyle w:val="Point0"/>
      </w:pPr>
      <w:r>
        <w:t>11)</w:t>
      </w:r>
      <w:r>
        <w:tab/>
      </w:r>
      <w:r w:rsidR="2C0DFB81" w:rsidRPr="00392E88">
        <w:t xml:space="preserve">dodaje się </w:t>
      </w:r>
      <w:r w:rsidR="2C0DFB81" w:rsidRPr="006E6446">
        <w:t>art.</w:t>
      </w:r>
      <w:r w:rsidRPr="006E6446">
        <w:t> </w:t>
      </w:r>
      <w:r w:rsidR="2C0DFB81" w:rsidRPr="006E6446">
        <w:t>9</w:t>
      </w:r>
      <w:r w:rsidR="2C0DFB81" w:rsidRPr="00392E88">
        <w:t>a</w:t>
      </w:r>
      <w:r w:rsidRPr="00392E88">
        <w:t xml:space="preserve"> w</w:t>
      </w:r>
      <w:r>
        <w:t> </w:t>
      </w:r>
      <w:r w:rsidRPr="00392E88">
        <w:t>brz</w:t>
      </w:r>
      <w:r w:rsidR="2C0DFB81" w:rsidRPr="00392E88">
        <w:t>mieniu:</w:t>
      </w:r>
    </w:p>
    <w:p w14:paraId="108A537E" w14:textId="7C9CF143" w:rsidR="00CC136D" w:rsidRPr="00392E88" w:rsidRDefault="00CC136D" w:rsidP="00C9746B">
      <w:pPr>
        <w:pStyle w:val="Titrearticle"/>
      </w:pPr>
      <w:r w:rsidRPr="00392E88">
        <w:t xml:space="preserve">„Artykuł 9a </w:t>
      </w:r>
      <w:r w:rsidRPr="00392E88">
        <w:br/>
      </w:r>
      <w:r w:rsidRPr="00392E88">
        <w:rPr>
          <w:b/>
          <w:i w:val="0"/>
        </w:rPr>
        <w:t>IORP,</w:t>
      </w:r>
      <w:r w:rsidR="006E6446" w:rsidRPr="00392E88">
        <w:rPr>
          <w:b/>
          <w:i w:val="0"/>
        </w:rPr>
        <w:t xml:space="preserve"> w</w:t>
      </w:r>
      <w:r w:rsidR="006E6446">
        <w:rPr>
          <w:b/>
          <w:i w:val="0"/>
        </w:rPr>
        <w:t> </w:t>
      </w:r>
      <w:r w:rsidR="006E6446" w:rsidRPr="00392E88">
        <w:rPr>
          <w:b/>
          <w:i w:val="0"/>
        </w:rPr>
        <w:t>któ</w:t>
      </w:r>
      <w:r w:rsidRPr="00392E88">
        <w:rPr>
          <w:b/>
          <w:i w:val="0"/>
        </w:rPr>
        <w:t>rych uczestniczy wiele instytucji finansujących</w:t>
      </w:r>
    </w:p>
    <w:p w14:paraId="7E74CFA1" w14:textId="7E16A6C0" w:rsidR="00E91AB1" w:rsidRPr="00392E88" w:rsidRDefault="00D134E9" w:rsidP="073AE836">
      <w:pPr>
        <w:pStyle w:val="Text1"/>
      </w:pPr>
      <w:r w:rsidRPr="00392E88">
        <w:t>Państwa członkowskie zapewniają IORP możliwość obsługi różnych programów emerytalnych,</w:t>
      </w:r>
      <w:r w:rsidR="006E6446" w:rsidRPr="00392E88">
        <w:t xml:space="preserve"> w</w:t>
      </w:r>
      <w:r w:rsidR="006E6446">
        <w:t> </w:t>
      </w:r>
      <w:r w:rsidR="006E6446" w:rsidRPr="00392E88">
        <w:t>tym</w:t>
      </w:r>
      <w:r w:rsidRPr="00392E88">
        <w:t xml:space="preserve"> programów</w:t>
      </w:r>
      <w:r w:rsidR="006E6446" w:rsidRPr="00392E88">
        <w:t xml:space="preserve"> o</w:t>
      </w:r>
      <w:r w:rsidR="006E6446">
        <w:t> </w:t>
      </w:r>
      <w:r w:rsidR="006E6446" w:rsidRPr="00392E88">
        <w:t>róż</w:t>
      </w:r>
      <w:r w:rsidRPr="00392E88">
        <w:t>nej polityce inwestycyjnej, oraz przyjmowania finansowania ze strony wielu instytucji finansujących</w:t>
      </w:r>
      <w:r w:rsidR="006E6446" w:rsidRPr="00392E88">
        <w:t xml:space="preserve"> w</w:t>
      </w:r>
      <w:r w:rsidR="006E6446">
        <w:t> </w:t>
      </w:r>
      <w:r w:rsidR="006E6446" w:rsidRPr="00392E88">
        <w:t>ram</w:t>
      </w:r>
      <w:r w:rsidRPr="00392E88">
        <w:t>ach tego samego programu emerytalnego.</w:t>
      </w:r>
    </w:p>
    <w:p w14:paraId="25B1BA3A" w14:textId="4F52FB52" w:rsidR="006D776B" w:rsidRPr="00392E88" w:rsidRDefault="00E91AB1" w:rsidP="073AE836">
      <w:pPr>
        <w:pStyle w:val="Text1"/>
      </w:pPr>
      <w:r w:rsidRPr="00392E88">
        <w:t>Akapit pierwszy pozostaje bez uszczerbku dla decyzji państwa członkowskiego wymagającej, aby programy obejmujące wiele instytucji finansujących były obsługiwane na podstawie dyrektywy 2009/138/WE.”;</w:t>
      </w:r>
    </w:p>
    <w:p w14:paraId="2E42186A" w14:textId="1333D32A" w:rsidR="000A5A2A" w:rsidRPr="00392E88" w:rsidRDefault="006E6446" w:rsidP="006E6446">
      <w:pPr>
        <w:pStyle w:val="Point0"/>
      </w:pPr>
      <w:r>
        <w:t>12)</w:t>
      </w:r>
      <w:r>
        <w:tab/>
      </w:r>
      <w:r w:rsidR="006F161E" w:rsidRPr="00392E88">
        <w:t xml:space="preserve">w </w:t>
      </w:r>
      <w:r w:rsidR="006F161E" w:rsidRPr="006E6446">
        <w:t>art.</w:t>
      </w:r>
      <w:r w:rsidRPr="006E6446">
        <w:t> </w:t>
      </w:r>
      <w:r w:rsidR="006F161E" w:rsidRPr="006E6446">
        <w:t>1</w:t>
      </w:r>
      <w:r w:rsidR="006F161E" w:rsidRPr="00392E88">
        <w:t>0 wprowadza się następujące zmiany:</w:t>
      </w:r>
    </w:p>
    <w:p w14:paraId="38AF7014" w14:textId="74BD0801" w:rsidR="007E0997" w:rsidRPr="00392E88" w:rsidRDefault="006E6446" w:rsidP="006E6446">
      <w:pPr>
        <w:pStyle w:val="Point1"/>
      </w:pPr>
      <w:r>
        <w:t>a)</w:t>
      </w:r>
      <w:r>
        <w:tab/>
      </w:r>
      <w:r w:rsidR="009A2CA6" w:rsidRPr="00392E88">
        <w:t>w ust. 1 dodaje się lit. c)</w:t>
      </w:r>
      <w:r w:rsidRPr="00392E88">
        <w:t xml:space="preserve"> w</w:t>
      </w:r>
      <w:r>
        <w:t> </w:t>
      </w:r>
      <w:r w:rsidRPr="00392E88">
        <w:t>brz</w:t>
      </w:r>
      <w:r w:rsidR="009A2CA6" w:rsidRPr="00392E88">
        <w:t>mieniu:</w:t>
      </w:r>
    </w:p>
    <w:p w14:paraId="3D6B7360" w14:textId="41F9B27F" w:rsidR="00B76782" w:rsidRPr="00392E88" w:rsidRDefault="00767114" w:rsidP="00A13488">
      <w:pPr>
        <w:pStyle w:val="Point1"/>
      </w:pPr>
      <w:r w:rsidRPr="00392E88">
        <w:t xml:space="preserve">„c) </w:t>
      </w:r>
      <w:r w:rsidRPr="00392E88">
        <w:tab/>
        <w:t>aby IORP posiadała wystarczające zasoby finansowe na pokrycie swoich bieżących</w:t>
      </w:r>
      <w:r w:rsidR="006E6446" w:rsidRPr="00392E88">
        <w:t xml:space="preserve"> i</w:t>
      </w:r>
      <w:r w:rsidR="006E6446">
        <w:t> </w:t>
      </w:r>
      <w:r w:rsidR="006E6446" w:rsidRPr="00392E88">
        <w:t>prz</w:t>
      </w:r>
      <w:r w:rsidRPr="00392E88">
        <w:t>yszłych kosztów operacyjnych.”;</w:t>
      </w:r>
    </w:p>
    <w:p w14:paraId="5E3607FC" w14:textId="5F036628" w:rsidR="00EB63D6" w:rsidRPr="00392E88" w:rsidRDefault="006E6446" w:rsidP="006E6446">
      <w:pPr>
        <w:pStyle w:val="Point1"/>
      </w:pPr>
      <w:r>
        <w:t>b)</w:t>
      </w:r>
      <w:r>
        <w:tab/>
      </w:r>
      <w:r w:rsidR="33024F7A" w:rsidRPr="00392E88">
        <w:t>dodaje się ust. 3</w:t>
      </w:r>
      <w:r w:rsidRPr="00392E88">
        <w:t xml:space="preserve"> w</w:t>
      </w:r>
      <w:r>
        <w:t> </w:t>
      </w:r>
      <w:r w:rsidRPr="00392E88">
        <w:t>brz</w:t>
      </w:r>
      <w:r w:rsidR="33024F7A" w:rsidRPr="00392E88">
        <w:t>mieniu:</w:t>
      </w:r>
    </w:p>
    <w:p w14:paraId="59DD2DC8" w14:textId="29F55F8A" w:rsidR="00D00B5B" w:rsidRPr="00392E88" w:rsidRDefault="33024F7A" w:rsidP="00D00B5B">
      <w:pPr>
        <w:pStyle w:val="Text1"/>
      </w:pPr>
      <w:r w:rsidRPr="00392E88">
        <w:t>„3.</w:t>
      </w:r>
      <w:r w:rsidRPr="00392E88">
        <w:tab/>
        <w:t>EIOPA wydaje wytyczne, zgodnie</w:t>
      </w:r>
      <w:r w:rsidR="006E6446" w:rsidRPr="00392E88">
        <w:t xml:space="preserve"> z</w:t>
      </w:r>
      <w:r w:rsidR="006E6446">
        <w:t> </w:t>
      </w:r>
      <w:r w:rsidR="006E6446" w:rsidRPr="006E6446">
        <w:t>art</w:t>
      </w:r>
      <w:r w:rsidRPr="006E6446">
        <w:t>.</w:t>
      </w:r>
      <w:r w:rsidR="006E6446" w:rsidRPr="006E6446">
        <w:t> </w:t>
      </w:r>
      <w:r w:rsidRPr="006E6446">
        <w:t>1</w:t>
      </w:r>
      <w:r w:rsidRPr="00392E88">
        <w:t xml:space="preserve">6 rozporządzenia (UE) </w:t>
      </w:r>
      <w:r w:rsidRPr="006E6446">
        <w:t>nr</w:t>
      </w:r>
      <w:r w:rsidR="006E6446" w:rsidRPr="006E6446">
        <w:t> </w:t>
      </w:r>
      <w:r w:rsidRPr="006E6446">
        <w:t>1</w:t>
      </w:r>
      <w:r w:rsidRPr="00392E88">
        <w:t>094/2010,</w:t>
      </w:r>
      <w:r w:rsidR="006E6446" w:rsidRPr="00392E88">
        <w:t xml:space="preserve"> w</w:t>
      </w:r>
      <w:r w:rsidR="006E6446">
        <w:t> </w:t>
      </w:r>
      <w:r w:rsidR="006E6446" w:rsidRPr="00392E88">
        <w:t>spr</w:t>
      </w:r>
      <w:r w:rsidRPr="00392E88">
        <w:t>awie oceny ostrożnościowej, którą należy przeprowadzić</w:t>
      </w:r>
      <w:r w:rsidR="006E6446" w:rsidRPr="00392E88">
        <w:t xml:space="preserve"> w</w:t>
      </w:r>
      <w:r w:rsidR="006E6446">
        <w:t> </w:t>
      </w:r>
      <w:r w:rsidR="006E6446" w:rsidRPr="00392E88">
        <w:t>ram</w:t>
      </w:r>
      <w:r w:rsidRPr="00392E88">
        <w:t>ach udzielania zezwolenia IORP,</w:t>
      </w:r>
      <w:r w:rsidR="006E6446" w:rsidRPr="00392E88">
        <w:t xml:space="preserve"> a</w:t>
      </w:r>
      <w:r w:rsidR="006E6446">
        <w:t> </w:t>
      </w:r>
      <w:r w:rsidR="006E6446" w:rsidRPr="00392E88">
        <w:t>tak</w:t>
      </w:r>
      <w:r w:rsidRPr="00392E88">
        <w:t>że</w:t>
      </w:r>
      <w:r w:rsidR="006E6446" w:rsidRPr="00392E88">
        <w:t xml:space="preserve"> w</w:t>
      </w:r>
      <w:r w:rsidR="006E6446">
        <w:t> </w:t>
      </w:r>
      <w:r w:rsidR="006E6446" w:rsidRPr="00392E88">
        <w:t>spr</w:t>
      </w:r>
      <w:r w:rsidRPr="00392E88">
        <w:t>awie wymogów określonych</w:t>
      </w:r>
      <w:r w:rsidR="006E6446" w:rsidRPr="00392E88">
        <w:t xml:space="preserve"> w</w:t>
      </w:r>
      <w:r w:rsidR="006E6446">
        <w:t> </w:t>
      </w:r>
      <w:r w:rsidR="006E6446" w:rsidRPr="00392E88">
        <w:t>tyt</w:t>
      </w:r>
      <w:r w:rsidRPr="00392E88">
        <w:t>ułach II i III.”;</w:t>
      </w:r>
    </w:p>
    <w:p w14:paraId="15322654" w14:textId="31B3EDAC" w:rsidR="00A018CF" w:rsidRPr="00392E88" w:rsidRDefault="006E6446" w:rsidP="006E6446">
      <w:pPr>
        <w:pStyle w:val="Point0"/>
      </w:pPr>
      <w:r>
        <w:t>13)</w:t>
      </w:r>
      <w:r>
        <w:tab/>
      </w:r>
      <w:r w:rsidR="006E00E2" w:rsidRPr="00392E88">
        <w:t xml:space="preserve">w </w:t>
      </w:r>
      <w:r w:rsidR="006E00E2" w:rsidRPr="006E6446">
        <w:t>art.</w:t>
      </w:r>
      <w:r w:rsidRPr="006E6446">
        <w:t> </w:t>
      </w:r>
      <w:r w:rsidR="006E00E2" w:rsidRPr="006E6446">
        <w:t>1</w:t>
      </w:r>
      <w:r w:rsidR="006E00E2" w:rsidRPr="00392E88">
        <w:t>1 wprowadza się następujące zmiany:</w:t>
      </w:r>
    </w:p>
    <w:p w14:paraId="3FF521BB" w14:textId="1017AA83" w:rsidR="00054267" w:rsidRPr="00392E88" w:rsidRDefault="006E6446" w:rsidP="006E6446">
      <w:pPr>
        <w:pStyle w:val="Point1"/>
      </w:pPr>
      <w:r>
        <w:t>a)</w:t>
      </w:r>
      <w:r>
        <w:tab/>
      </w:r>
      <w:r w:rsidR="003362C6" w:rsidRPr="00392E88">
        <w:t xml:space="preserve">uchyla się </w:t>
      </w:r>
      <w:r w:rsidR="003362C6" w:rsidRPr="006E6446">
        <w:t>ust.</w:t>
      </w:r>
      <w:r w:rsidRPr="006E6446">
        <w:t> </w:t>
      </w:r>
      <w:r w:rsidR="003362C6" w:rsidRPr="006E6446">
        <w:t>2</w:t>
      </w:r>
      <w:r w:rsidR="003362C6" w:rsidRPr="00392E88">
        <w:t>;</w:t>
      </w:r>
    </w:p>
    <w:p w14:paraId="3A1BEC22" w14:textId="472908CC" w:rsidR="00B32703" w:rsidRPr="00392E88" w:rsidRDefault="006E6446" w:rsidP="006E6446">
      <w:pPr>
        <w:pStyle w:val="Point1"/>
      </w:pPr>
      <w:r>
        <w:t>b)</w:t>
      </w:r>
      <w:r>
        <w:tab/>
      </w:r>
      <w:r w:rsidR="00D45CA8" w:rsidRPr="006E6446">
        <w:t>ust.</w:t>
      </w:r>
      <w:r w:rsidRPr="006E6446">
        <w:t> </w:t>
      </w:r>
      <w:r w:rsidR="00D45CA8" w:rsidRPr="006E6446">
        <w:t>3</w:t>
      </w:r>
      <w:r w:rsidRPr="00392E88">
        <w:t xml:space="preserve"> i</w:t>
      </w:r>
      <w:r>
        <w:t> </w:t>
      </w:r>
      <w:r w:rsidRPr="00392E88">
        <w:t>4</w:t>
      </w:r>
      <w:r w:rsidR="00D45CA8" w:rsidRPr="00392E88">
        <w:t xml:space="preserve"> otrzymują brzmienie:</w:t>
      </w:r>
    </w:p>
    <w:p w14:paraId="5C3EAF17" w14:textId="379F8EBF" w:rsidR="00054267" w:rsidRPr="00392E88" w:rsidRDefault="00441D9B" w:rsidP="00F31A0D">
      <w:pPr>
        <w:pStyle w:val="Text1"/>
      </w:pPr>
      <w:r w:rsidRPr="00392E88">
        <w:t>„3.</w:t>
      </w:r>
      <w:r w:rsidRPr="00392E88">
        <w:tab/>
        <w:t>Rodzime państwo członkowskie zapewnia, aby IORP powiadomiła swój właściwy organ</w:t>
      </w:r>
      <w:r w:rsidR="006E6446" w:rsidRPr="00392E88">
        <w:t xml:space="preserve"> o</w:t>
      </w:r>
      <w:r w:rsidR="006E6446">
        <w:t> </w:t>
      </w:r>
      <w:r w:rsidR="006E6446" w:rsidRPr="00392E88">
        <w:t>zam</w:t>
      </w:r>
      <w:r w:rsidRPr="00392E88">
        <w:t xml:space="preserve">iarze prowadzenia działalności transgranicznej. </w:t>
      </w:r>
    </w:p>
    <w:p w14:paraId="6BCFDDEB" w14:textId="52384B10" w:rsidR="0021430A" w:rsidRPr="00392E88" w:rsidRDefault="0021430A" w:rsidP="00F31A0D">
      <w:pPr>
        <w:pStyle w:val="Text1"/>
      </w:pPr>
      <w:r w:rsidRPr="00392E88">
        <w:t>Państwa członkowskie wymagają od IORP dostarczenia następujących informacji</w:t>
      </w:r>
      <w:r w:rsidR="006E6446" w:rsidRPr="00392E88">
        <w:t xml:space="preserve"> w</w:t>
      </w:r>
      <w:r w:rsidR="006E6446">
        <w:t> </w:t>
      </w:r>
      <w:r w:rsidR="006E6446" w:rsidRPr="00392E88">
        <w:t>ram</w:t>
      </w:r>
      <w:r w:rsidRPr="00392E88">
        <w:t>ach powiadomienia:</w:t>
      </w:r>
    </w:p>
    <w:p w14:paraId="20817509" w14:textId="23DAB02D" w:rsidR="0021430A" w:rsidRPr="00392E88" w:rsidRDefault="0021430A" w:rsidP="005D0C3B">
      <w:pPr>
        <w:pStyle w:val="Point1"/>
      </w:pPr>
      <w:r w:rsidRPr="00392E88">
        <w:t xml:space="preserve">a) </w:t>
      </w:r>
      <w:r w:rsidRPr="00392E88">
        <w:tab/>
        <w:t>nazwa przyjmującego państwa członkowskiego lub państw członkowskich,</w:t>
      </w:r>
      <w:r w:rsidRPr="00392E88">
        <w:rPr>
          <w:sz w:val="27"/>
          <w:shd w:val="clear" w:color="auto" w:fill="FFFFFF"/>
        </w:rPr>
        <w:t xml:space="preserve"> </w:t>
      </w:r>
      <w:r w:rsidRPr="00392E88">
        <w:t>którą określają</w:t>
      </w:r>
      <w:r w:rsidR="006E6446" w:rsidRPr="00392E88">
        <w:t xml:space="preserve"> w</w:t>
      </w:r>
      <w:r w:rsidR="006E6446">
        <w:t> </w:t>
      </w:r>
      <w:r w:rsidR="006E6446" w:rsidRPr="00392E88">
        <w:t>sto</w:t>
      </w:r>
      <w:r w:rsidRPr="00392E88">
        <w:t>sownych przypadkach instytucja finansująca lub instytucje finansujące;</w:t>
      </w:r>
    </w:p>
    <w:p w14:paraId="2173AD11" w14:textId="6D678645" w:rsidR="007D481E" w:rsidRPr="00392E88" w:rsidRDefault="0021430A" w:rsidP="005D0C3B">
      <w:pPr>
        <w:pStyle w:val="Point1"/>
      </w:pPr>
      <w:r w:rsidRPr="00392E88">
        <w:t xml:space="preserve">b) </w:t>
      </w:r>
      <w:r w:rsidRPr="00392E88">
        <w:tab/>
        <w:t>nazwa instytucji finansującej lub instytucji finansujących</w:t>
      </w:r>
      <w:r w:rsidR="006E6446" w:rsidRPr="00392E88">
        <w:t xml:space="preserve"> i</w:t>
      </w:r>
      <w:r w:rsidR="006E6446">
        <w:t> </w:t>
      </w:r>
      <w:r w:rsidR="006E6446" w:rsidRPr="00392E88">
        <w:t>mie</w:t>
      </w:r>
      <w:r w:rsidRPr="00392E88">
        <w:t>jsce,</w:t>
      </w:r>
      <w:r w:rsidR="006E6446" w:rsidRPr="00392E88">
        <w:t xml:space="preserve"> w</w:t>
      </w:r>
      <w:r w:rsidR="006E6446">
        <w:t> </w:t>
      </w:r>
      <w:r w:rsidR="006E6446" w:rsidRPr="00392E88">
        <w:t>któ</w:t>
      </w:r>
      <w:r w:rsidRPr="00392E88">
        <w:t>rym znajduje się ich zarząd;</w:t>
      </w:r>
    </w:p>
    <w:p w14:paraId="6DC333FF" w14:textId="77777777" w:rsidR="009A1225" w:rsidRPr="00392E88" w:rsidRDefault="007D481E" w:rsidP="005D0C3B">
      <w:pPr>
        <w:pStyle w:val="Point1"/>
      </w:pPr>
      <w:r w:rsidRPr="00392E88">
        <w:t xml:space="preserve">c) </w:t>
      </w:r>
      <w:r w:rsidRPr="00392E88">
        <w:tab/>
        <w:t>główne cechy charakterystyczne programu emerytalnego lub programów emerytalnych, jakie mają być obsługiwane dla instytucji finansującej lub instytucji finansujących.</w:t>
      </w:r>
    </w:p>
    <w:p w14:paraId="74AEC122" w14:textId="229395E6" w:rsidR="007B4C28" w:rsidRPr="00392E88" w:rsidRDefault="00D64D78" w:rsidP="0094694A">
      <w:pPr>
        <w:pStyle w:val="Text1"/>
      </w:pPr>
      <w:r w:rsidRPr="00392E88">
        <w:t>4.</w:t>
      </w:r>
      <w:r w:rsidRPr="00392E88">
        <w:tab/>
        <w:t>Państwa członkowskie zapewniają, aby właściwy organ rodzimego państwa członkowskiego, który został powiadomiony zgodnie</w:t>
      </w:r>
      <w:r w:rsidR="006E6446" w:rsidRPr="00392E88">
        <w:t xml:space="preserve"> z</w:t>
      </w:r>
      <w:r w:rsidR="006E6446">
        <w:t> </w:t>
      </w:r>
      <w:r w:rsidR="006E6446" w:rsidRPr="006E6446">
        <w:t>ust</w:t>
      </w:r>
      <w:r w:rsidRPr="006E6446">
        <w:t>.</w:t>
      </w:r>
      <w:r w:rsidR="006E6446" w:rsidRPr="006E6446">
        <w:t> </w:t>
      </w:r>
      <w:r w:rsidRPr="006E6446">
        <w:t>3</w:t>
      </w:r>
      <w:r w:rsidR="006E6446" w:rsidRPr="00392E88">
        <w:t xml:space="preserve"> i</w:t>
      </w:r>
      <w:r w:rsidR="006E6446">
        <w:t> </w:t>
      </w:r>
      <w:r w:rsidR="006E6446" w:rsidRPr="00392E88">
        <w:t>nie</w:t>
      </w:r>
      <w:r w:rsidRPr="00392E88">
        <w:t xml:space="preserve"> wydał uzasadnionej decyzji,</w:t>
      </w:r>
      <w:r w:rsidR="006E6446" w:rsidRPr="00392E88">
        <w:t xml:space="preserve"> w</w:t>
      </w:r>
      <w:r w:rsidR="006E6446">
        <w:t> </w:t>
      </w:r>
      <w:r w:rsidR="006E6446" w:rsidRPr="00392E88">
        <w:t>któ</w:t>
      </w:r>
      <w:r w:rsidRPr="00392E88">
        <w:t>rej stwierdził, że struktura administracyjna lub sytuacja finansowa IORP bądź nieposzlakowana opinia</w:t>
      </w:r>
      <w:r w:rsidR="006E6446" w:rsidRPr="00392E88">
        <w:t xml:space="preserve"> i</w:t>
      </w:r>
      <w:r w:rsidR="006E6446">
        <w:t> </w:t>
      </w:r>
      <w:r w:rsidR="006E6446" w:rsidRPr="00392E88">
        <w:t>kwa</w:t>
      </w:r>
      <w:r w:rsidRPr="00392E88">
        <w:t>lifikacje zawodowe lub doświadczenie osób kierujących IORP są niezgodne</w:t>
      </w:r>
      <w:r w:rsidR="006E6446" w:rsidRPr="00392E88">
        <w:t xml:space="preserve"> z</w:t>
      </w:r>
      <w:r w:rsidR="006E6446">
        <w:t> </w:t>
      </w:r>
      <w:r w:rsidR="006E6446" w:rsidRPr="00392E88">
        <w:t>pro</w:t>
      </w:r>
      <w:r w:rsidRPr="00392E88">
        <w:t>ponowaną działalnością transgraniczną, przekazał informacje,</w:t>
      </w:r>
      <w:r w:rsidR="006E6446" w:rsidRPr="00392E88">
        <w:t xml:space="preserve"> o</w:t>
      </w:r>
      <w:r w:rsidR="006E6446">
        <w:t> </w:t>
      </w:r>
      <w:r w:rsidR="006E6446" w:rsidRPr="00392E88">
        <w:t>któ</w:t>
      </w:r>
      <w:r w:rsidRPr="00392E88">
        <w:t>rych mowa</w:t>
      </w:r>
      <w:r w:rsidR="006E6446" w:rsidRPr="00392E88">
        <w:t xml:space="preserve"> w</w:t>
      </w:r>
      <w:r w:rsidR="006E6446">
        <w:t> </w:t>
      </w:r>
      <w:r w:rsidR="006E6446" w:rsidRPr="006E6446">
        <w:t>ust</w:t>
      </w:r>
      <w:r w:rsidRPr="006E6446">
        <w:t>.</w:t>
      </w:r>
      <w:r w:rsidR="006E6446" w:rsidRPr="006E6446">
        <w:t> </w:t>
      </w:r>
      <w:r w:rsidRPr="006E6446">
        <w:t>3</w:t>
      </w:r>
      <w:r w:rsidRPr="00392E88">
        <w:t>, właściwemu organowi przyjmującego państwa członkowskiego</w:t>
      </w:r>
      <w:r w:rsidR="006E6446" w:rsidRPr="00392E88">
        <w:t xml:space="preserve"> w</w:t>
      </w:r>
      <w:r w:rsidR="006E6446">
        <w:t> </w:t>
      </w:r>
      <w:r w:rsidR="006E6446" w:rsidRPr="00392E88">
        <w:t>ter</w:t>
      </w:r>
      <w:r w:rsidRPr="00392E88">
        <w:t>minie dwóch miesięcy od otrzymania tych informacji. Państwa członkowskie zapewniają, aby właściwy organ przyjmującego państwa członkowskiego niezwłocznie potwierdził otrzymanie tych informacji. Państwa członkowskie zapewniają, aby właściwy organ rodzimego państwa członkowskiego poinformował IORP na piśmie</w:t>
      </w:r>
      <w:r w:rsidR="006E6446" w:rsidRPr="00392E88">
        <w:t xml:space="preserve"> o</w:t>
      </w:r>
      <w:r w:rsidR="006E6446">
        <w:t> </w:t>
      </w:r>
      <w:r w:rsidR="006E6446" w:rsidRPr="00392E88">
        <w:t>otr</w:t>
      </w:r>
      <w:r w:rsidRPr="00392E88">
        <w:t>zymaniu informacji przez właściwy organ przyjmującego państwa członkowskiego.</w:t>
      </w:r>
    </w:p>
    <w:p w14:paraId="6F342D29" w14:textId="1EAE46F2" w:rsidR="005E340B" w:rsidRPr="00392E88" w:rsidRDefault="00C45E3C" w:rsidP="0094694A">
      <w:pPr>
        <w:pStyle w:val="Text1"/>
      </w:pPr>
      <w:r w:rsidRPr="00392E88">
        <w:t>Państwa członkowskie zapewniają, aby właściwy organ rodzimego państwa członkowskiego wydał uzasadnioną decyzję,</w:t>
      </w:r>
      <w:r w:rsidR="006E6446" w:rsidRPr="00392E88">
        <w:t xml:space="preserve"> o</w:t>
      </w:r>
      <w:r w:rsidR="006E6446">
        <w:t> </w:t>
      </w:r>
      <w:r w:rsidR="006E6446" w:rsidRPr="00392E88">
        <w:t>któ</w:t>
      </w:r>
      <w:r w:rsidRPr="00392E88">
        <w:t>rej mowa</w:t>
      </w:r>
      <w:r w:rsidR="006E6446" w:rsidRPr="00392E88">
        <w:t xml:space="preserve"> w</w:t>
      </w:r>
      <w:r w:rsidR="006E6446">
        <w:t> </w:t>
      </w:r>
      <w:r w:rsidR="006E6446" w:rsidRPr="00392E88">
        <w:t>aka</w:t>
      </w:r>
      <w:r w:rsidRPr="00392E88">
        <w:t>picie pierwszym,</w:t>
      </w:r>
      <w:r w:rsidR="006E6446" w:rsidRPr="00392E88">
        <w:t xml:space="preserve"> w</w:t>
      </w:r>
      <w:r w:rsidR="006E6446">
        <w:t> </w:t>
      </w:r>
      <w:r w:rsidR="006E6446" w:rsidRPr="00392E88">
        <w:t>ter</w:t>
      </w:r>
      <w:r w:rsidRPr="00392E88">
        <w:t>minie jednego miesiąca od otrzymania wszystkich informacji,</w:t>
      </w:r>
      <w:r w:rsidR="006E6446" w:rsidRPr="00392E88">
        <w:t xml:space="preserve"> o</w:t>
      </w:r>
      <w:r w:rsidR="006E6446">
        <w:t> </w:t>
      </w:r>
      <w:r w:rsidR="006E6446" w:rsidRPr="00392E88">
        <w:t>któ</w:t>
      </w:r>
      <w:r w:rsidRPr="00392E88">
        <w:t>rych mowa</w:t>
      </w:r>
      <w:r w:rsidR="006E6446" w:rsidRPr="00392E88">
        <w:t xml:space="preserve"> w</w:t>
      </w:r>
      <w:r w:rsidR="006E6446">
        <w:t> </w:t>
      </w:r>
      <w:r w:rsidR="006E6446" w:rsidRPr="006E6446">
        <w:t>ust</w:t>
      </w:r>
      <w:r w:rsidRPr="006E6446">
        <w:t>.</w:t>
      </w:r>
      <w:r w:rsidR="006E6446" w:rsidRPr="006E6446">
        <w:t> </w:t>
      </w:r>
      <w:r w:rsidRPr="006E6446">
        <w:t>3</w:t>
      </w:r>
      <w:r w:rsidRPr="00392E88">
        <w:t>.”;</w:t>
      </w:r>
    </w:p>
    <w:p w14:paraId="3FB568D1" w14:textId="42EA396D" w:rsidR="009A6174" w:rsidRPr="00392E88" w:rsidRDefault="006E6446" w:rsidP="006E6446">
      <w:pPr>
        <w:pStyle w:val="Point1"/>
      </w:pPr>
      <w:r>
        <w:t>c)</w:t>
      </w:r>
      <w:r>
        <w:tab/>
      </w:r>
      <w:r w:rsidR="00C32031" w:rsidRPr="006E6446">
        <w:t>ust.</w:t>
      </w:r>
      <w:r w:rsidRPr="006E6446">
        <w:t> </w:t>
      </w:r>
      <w:r w:rsidR="00C32031" w:rsidRPr="006E6446">
        <w:t>6</w:t>
      </w:r>
      <w:r w:rsidRPr="00392E88">
        <w:t xml:space="preserve"> i</w:t>
      </w:r>
      <w:r>
        <w:t> </w:t>
      </w:r>
      <w:r w:rsidRPr="00392E88">
        <w:t>7</w:t>
      </w:r>
      <w:r w:rsidR="00C32031" w:rsidRPr="00392E88">
        <w:t xml:space="preserve"> otrzymują brzmienie:</w:t>
      </w:r>
    </w:p>
    <w:p w14:paraId="2D82FB8F" w14:textId="285A3109" w:rsidR="00151D67" w:rsidRPr="00392E88" w:rsidRDefault="00446E34" w:rsidP="00470DE3">
      <w:pPr>
        <w:pStyle w:val="Text1"/>
        <w:rPr>
          <w:b/>
          <w:bCs/>
        </w:rPr>
      </w:pPr>
      <w:r w:rsidRPr="00392E88">
        <w:t>„6.</w:t>
      </w:r>
      <w:r w:rsidRPr="00392E88">
        <w:tab/>
        <w:t>IORP prowadząca działalność transgraniczną podlega wprowadzonym przez przyjmujące państwo członkowskie wymogom dotyczącym przekazywania informacji,</w:t>
      </w:r>
      <w:r w:rsidR="006E6446" w:rsidRPr="00392E88">
        <w:t xml:space="preserve"> o</w:t>
      </w:r>
      <w:r w:rsidR="006E6446">
        <w:t> </w:t>
      </w:r>
      <w:r w:rsidR="006E6446" w:rsidRPr="00392E88">
        <w:t>któ</w:t>
      </w:r>
      <w:r w:rsidRPr="00392E88">
        <w:t>rych mowa</w:t>
      </w:r>
      <w:r w:rsidR="006E6446" w:rsidRPr="00392E88">
        <w:t xml:space="preserve"> w</w:t>
      </w:r>
      <w:r w:rsidR="006E6446">
        <w:t> </w:t>
      </w:r>
      <w:r w:rsidR="006E6446" w:rsidRPr="00392E88">
        <w:t>tyt</w:t>
      </w:r>
      <w:r w:rsidRPr="00392E88">
        <w:t>ule IV, potencjalnym uczestnikom, uczestnikom</w:t>
      </w:r>
      <w:r w:rsidR="006E6446" w:rsidRPr="00392E88">
        <w:t xml:space="preserve"> i</w:t>
      </w:r>
      <w:r w:rsidR="006E6446">
        <w:t> </w:t>
      </w:r>
      <w:r w:rsidR="006E6446" w:rsidRPr="00392E88">
        <w:t>ben</w:t>
      </w:r>
      <w:r w:rsidRPr="00392E88">
        <w:t>eficjentom, których dotyczy ta działalność transgraniczna,</w:t>
      </w:r>
      <w:r w:rsidR="006E6446" w:rsidRPr="00392E88">
        <w:t xml:space="preserve"> z</w:t>
      </w:r>
      <w:r w:rsidR="006E6446">
        <w:t> </w:t>
      </w:r>
      <w:r w:rsidR="006E6446" w:rsidRPr="00392E88">
        <w:t>wyj</w:t>
      </w:r>
      <w:r w:rsidRPr="00392E88">
        <w:t>ątkiem informacji</w:t>
      </w:r>
      <w:r w:rsidR="006E6446" w:rsidRPr="00392E88">
        <w:t xml:space="preserve"> o</w:t>
      </w:r>
      <w:r w:rsidR="006E6446">
        <w:t> </w:t>
      </w:r>
      <w:r w:rsidR="006E6446" w:rsidRPr="00392E88">
        <w:t>świ</w:t>
      </w:r>
      <w:r w:rsidRPr="00392E88">
        <w:t>adczeniu emerytalnym,</w:t>
      </w:r>
      <w:r w:rsidR="006E6446" w:rsidRPr="00392E88">
        <w:t xml:space="preserve"> o</w:t>
      </w:r>
      <w:r w:rsidR="006E6446">
        <w:t> </w:t>
      </w:r>
      <w:r w:rsidR="006E6446" w:rsidRPr="00392E88">
        <w:t>któ</w:t>
      </w:r>
      <w:r w:rsidRPr="00392E88">
        <w:t>rej mowa</w:t>
      </w:r>
      <w:r w:rsidR="006E6446" w:rsidRPr="00392E88">
        <w:t xml:space="preserve"> w</w:t>
      </w:r>
      <w:r w:rsidR="006E6446">
        <w:t> </w:t>
      </w:r>
      <w:r w:rsidR="006E6446" w:rsidRPr="006E6446">
        <w:t>art</w:t>
      </w:r>
      <w:r w:rsidRPr="006E6446">
        <w:t>.</w:t>
      </w:r>
      <w:r w:rsidR="006E6446" w:rsidRPr="006E6446">
        <w:t> </w:t>
      </w:r>
      <w:r w:rsidRPr="006E6446">
        <w:t>3</w:t>
      </w:r>
      <w:r w:rsidRPr="00392E88">
        <w:t>8</w:t>
      </w:r>
      <w:r w:rsidR="006E6446" w:rsidRPr="00392E88">
        <w:t xml:space="preserve"> i</w:t>
      </w:r>
      <w:r w:rsidR="006E6446">
        <w:t> </w:t>
      </w:r>
      <w:r w:rsidR="006E6446" w:rsidRPr="00392E88">
        <w:t>któ</w:t>
      </w:r>
      <w:r w:rsidRPr="00392E88">
        <w:t>ra podlega zharmonizowanym przepisom unijnym zgodnie</w:t>
      </w:r>
      <w:r w:rsidR="006E6446" w:rsidRPr="00392E88">
        <w:t xml:space="preserve"> z</w:t>
      </w:r>
      <w:r w:rsidR="006E6446">
        <w:t> </w:t>
      </w:r>
      <w:r w:rsidR="006E6446" w:rsidRPr="006E6446">
        <w:t>ust</w:t>
      </w:r>
      <w:r w:rsidRPr="006E6446">
        <w:t>.</w:t>
      </w:r>
      <w:r w:rsidR="006E6446" w:rsidRPr="006E6446">
        <w:t> </w:t>
      </w:r>
      <w:r w:rsidRPr="006E6446">
        <w:t>6</w:t>
      </w:r>
      <w:r w:rsidRPr="00392E88">
        <w:t xml:space="preserve"> tego artykułu.</w:t>
      </w:r>
    </w:p>
    <w:p w14:paraId="14F96A6E" w14:textId="3DC7508B" w:rsidR="004C2575" w:rsidRPr="00392E88" w:rsidRDefault="008C7687" w:rsidP="004C2575">
      <w:pPr>
        <w:pStyle w:val="Text1"/>
      </w:pPr>
      <w:r w:rsidRPr="00392E88">
        <w:t>7.</w:t>
      </w:r>
      <w:r w:rsidRPr="00392E88">
        <w:tab/>
        <w:t>Zanim IORP rozpocznie prowadzenie działalności transgranicznej, właściwy organ przyjmującego państwa członkowskiego,</w:t>
      </w:r>
      <w:r w:rsidR="006E6446" w:rsidRPr="00392E88">
        <w:t xml:space="preserve"> w</w:t>
      </w:r>
      <w:r w:rsidR="006E6446">
        <w:t> </w:t>
      </w:r>
      <w:r w:rsidR="006E6446" w:rsidRPr="00392E88">
        <w:t>ter</w:t>
      </w:r>
      <w:r w:rsidRPr="00392E88">
        <w:t>minie jednego miesiąca od otrzymania informacji,</w:t>
      </w:r>
      <w:r w:rsidR="006E6446" w:rsidRPr="00392E88">
        <w:t xml:space="preserve"> o</w:t>
      </w:r>
      <w:r w:rsidR="006E6446">
        <w:t> </w:t>
      </w:r>
      <w:r w:rsidR="006E6446" w:rsidRPr="00392E88">
        <w:t>któ</w:t>
      </w:r>
      <w:r w:rsidRPr="00392E88">
        <w:t>rych mowa</w:t>
      </w:r>
      <w:r w:rsidR="006E6446" w:rsidRPr="00392E88">
        <w:t xml:space="preserve"> w</w:t>
      </w:r>
      <w:r w:rsidR="006E6446">
        <w:t> </w:t>
      </w:r>
      <w:r w:rsidR="006E6446" w:rsidRPr="006E6446">
        <w:t>ust</w:t>
      </w:r>
      <w:r w:rsidRPr="006E6446">
        <w:t>.</w:t>
      </w:r>
      <w:r w:rsidR="006E6446" w:rsidRPr="006E6446">
        <w:t> </w:t>
      </w:r>
      <w:r w:rsidRPr="006E6446">
        <w:t>3</w:t>
      </w:r>
      <w:r w:rsidRPr="00392E88">
        <w:t>, przygotowuje się do nadzoru nad odnośną działalnością transgraniczną. Przygotowanie to dotyczy wymogów prawa socjalnego</w:t>
      </w:r>
      <w:r w:rsidR="006E6446" w:rsidRPr="00392E88">
        <w:t xml:space="preserve"> i</w:t>
      </w:r>
      <w:r w:rsidR="006E6446">
        <w:t> </w:t>
      </w:r>
      <w:r w:rsidR="006E6446" w:rsidRPr="00392E88">
        <w:t>pra</w:t>
      </w:r>
      <w:r w:rsidRPr="00392E88">
        <w:t>wa pracy odnoszących się do pracowniczych programów emerytalnych,</w:t>
      </w:r>
      <w:r w:rsidR="006E6446" w:rsidRPr="00392E88">
        <w:t xml:space="preserve"> w</w:t>
      </w:r>
      <w:r w:rsidR="006E6446">
        <w:t> </w:t>
      </w:r>
      <w:r w:rsidR="006E6446" w:rsidRPr="00392E88">
        <w:t>ram</w:t>
      </w:r>
      <w:r w:rsidRPr="00392E88">
        <w:t>ach których musi być obsługiwany program emerytalny finansowany przez instytucję finansującą</w:t>
      </w:r>
      <w:r w:rsidR="006E6446" w:rsidRPr="00392E88">
        <w:t xml:space="preserve"> w</w:t>
      </w:r>
      <w:r w:rsidR="006E6446">
        <w:t> </w:t>
      </w:r>
      <w:r w:rsidR="006E6446" w:rsidRPr="00392E88">
        <w:t>prz</w:t>
      </w:r>
      <w:r w:rsidRPr="00392E88">
        <w:t>yjmującym państwie członkowskim, oraz wymogów przyjmującego państwa członkowskiego dotyczących przekazywania informacji określonych</w:t>
      </w:r>
      <w:r w:rsidR="006E6446" w:rsidRPr="00392E88">
        <w:t xml:space="preserve"> w</w:t>
      </w:r>
      <w:r w:rsidR="006E6446">
        <w:t> </w:t>
      </w:r>
      <w:r w:rsidR="006E6446" w:rsidRPr="00392E88">
        <w:t>tyt</w:t>
      </w:r>
      <w:r w:rsidRPr="00392E88">
        <w:t>ule IV, które mają zastosowanie do działalności transgranicznej. Ponadto właściwy organ przyjmującego państwa członkowskiego informuje za pomocą środków,</w:t>
      </w:r>
      <w:r w:rsidR="006E6446" w:rsidRPr="00392E88">
        <w:t xml:space="preserve"> o</w:t>
      </w:r>
      <w:r w:rsidR="006E6446">
        <w:t> </w:t>
      </w:r>
      <w:r w:rsidR="006E6446" w:rsidRPr="00392E88">
        <w:t>któ</w:t>
      </w:r>
      <w:r w:rsidRPr="00392E88">
        <w:t>rych mowa</w:t>
      </w:r>
      <w:r w:rsidR="006E6446" w:rsidRPr="00392E88">
        <w:t xml:space="preserve"> w</w:t>
      </w:r>
      <w:r w:rsidR="006E6446">
        <w:t> </w:t>
      </w:r>
      <w:r w:rsidR="006E6446" w:rsidRPr="006E6446">
        <w:t>art</w:t>
      </w:r>
      <w:r w:rsidRPr="006E6446">
        <w:t>.</w:t>
      </w:r>
      <w:r w:rsidR="006E6446" w:rsidRPr="006E6446">
        <w:t> </w:t>
      </w:r>
      <w:r w:rsidRPr="006E6446">
        <w:t>5</w:t>
      </w:r>
      <w:r w:rsidRPr="00392E88">
        <w:t xml:space="preserve">9 </w:t>
      </w:r>
      <w:r w:rsidRPr="006E6446">
        <w:t>ust.</w:t>
      </w:r>
      <w:r w:rsidR="006E6446" w:rsidRPr="006E6446">
        <w:t> </w:t>
      </w:r>
      <w:r w:rsidRPr="006E6446">
        <w:t>3</w:t>
      </w:r>
      <w:r w:rsidR="006E6446" w:rsidRPr="00392E88">
        <w:t xml:space="preserve"> i</w:t>
      </w:r>
      <w:r w:rsidR="006E6446">
        <w:t> </w:t>
      </w:r>
      <w:r w:rsidR="006E6446" w:rsidRPr="00392E88">
        <w:t>4</w:t>
      </w:r>
      <w:r w:rsidRPr="00392E88">
        <w:t>, właściwy organ rodzimego państwa członkowskiego</w:t>
      </w:r>
      <w:r w:rsidR="006E6446" w:rsidRPr="00392E88">
        <w:t xml:space="preserve"> o</w:t>
      </w:r>
      <w:r w:rsidR="006E6446">
        <w:t> </w:t>
      </w:r>
      <w:r w:rsidR="006E6446" w:rsidRPr="00392E88">
        <w:t>prz</w:t>
      </w:r>
      <w:r w:rsidRPr="00392E88">
        <w:t>episach prawnych,</w:t>
      </w:r>
      <w:r w:rsidR="006E6446" w:rsidRPr="00392E88">
        <w:t xml:space="preserve"> o</w:t>
      </w:r>
      <w:r w:rsidR="006E6446">
        <w:t> </w:t>
      </w:r>
      <w:r w:rsidR="006E6446" w:rsidRPr="00392E88">
        <w:t>któ</w:t>
      </w:r>
      <w:r w:rsidRPr="00392E88">
        <w:t>rych mowa</w:t>
      </w:r>
      <w:r w:rsidR="006E6446" w:rsidRPr="00392E88">
        <w:t xml:space="preserve"> w</w:t>
      </w:r>
      <w:r w:rsidR="006E6446">
        <w:t> </w:t>
      </w:r>
      <w:r w:rsidR="006E6446" w:rsidRPr="006E6446">
        <w:t>art</w:t>
      </w:r>
      <w:r w:rsidRPr="006E6446">
        <w:t>.</w:t>
      </w:r>
      <w:r w:rsidR="006E6446" w:rsidRPr="006E6446">
        <w:t> </w:t>
      </w:r>
      <w:r w:rsidRPr="006E6446">
        <w:t>5</w:t>
      </w:r>
      <w:r w:rsidRPr="00392E88">
        <w:t xml:space="preserve">9 </w:t>
      </w:r>
      <w:r w:rsidRPr="006E6446">
        <w:t>ust.</w:t>
      </w:r>
      <w:r w:rsidR="006E6446" w:rsidRPr="006E6446">
        <w:t> </w:t>
      </w:r>
      <w:r w:rsidRPr="006E6446">
        <w:t>1</w:t>
      </w:r>
      <w:r w:rsidRPr="00392E88">
        <w:t>, mających zastosowanie na jego terytorium. Właściwy organ rodzimego państwa członkowskiego niezwłocznie przekazuje te informacje IORP.”;</w:t>
      </w:r>
    </w:p>
    <w:p w14:paraId="3F74AA65" w14:textId="08A1F419" w:rsidR="0007495C" w:rsidRPr="00392E88" w:rsidRDefault="006E6446" w:rsidP="006E6446">
      <w:pPr>
        <w:pStyle w:val="Point1"/>
      </w:pPr>
      <w:r>
        <w:t>d)</w:t>
      </w:r>
      <w:r>
        <w:tab/>
      </w:r>
      <w:r w:rsidR="00107433" w:rsidRPr="00392E88">
        <w:t xml:space="preserve">dodaje się </w:t>
      </w:r>
      <w:r w:rsidR="00107433" w:rsidRPr="006E6446">
        <w:t>ust.</w:t>
      </w:r>
      <w:r w:rsidRPr="006E6446">
        <w:t> </w:t>
      </w:r>
      <w:r w:rsidR="00107433" w:rsidRPr="006E6446">
        <w:t>9</w:t>
      </w:r>
      <w:r w:rsidR="00107433" w:rsidRPr="00392E88">
        <w:t>a</w:t>
      </w:r>
      <w:r w:rsidRPr="00392E88">
        <w:t xml:space="preserve"> w</w:t>
      </w:r>
      <w:r>
        <w:t> </w:t>
      </w:r>
      <w:r w:rsidRPr="00392E88">
        <w:t>brz</w:t>
      </w:r>
      <w:r w:rsidR="00107433" w:rsidRPr="00392E88">
        <w:t>mieniu:</w:t>
      </w:r>
    </w:p>
    <w:p w14:paraId="79B9B383" w14:textId="2D835225" w:rsidR="00C35F24" w:rsidRPr="00392E88" w:rsidRDefault="00C35F24" w:rsidP="00D00B5B">
      <w:pPr>
        <w:pStyle w:val="Text1"/>
      </w:pPr>
      <w:r w:rsidRPr="00392E88">
        <w:t>„9a.</w:t>
      </w:r>
      <w:r w:rsidRPr="00392E88">
        <w:tab/>
        <w:t>Państwa członkowskie zapewniają, aby wszystkie procedury</w:t>
      </w:r>
      <w:r w:rsidR="006E6446" w:rsidRPr="00392E88">
        <w:t xml:space="preserve"> i</w:t>
      </w:r>
      <w:r w:rsidR="006E6446">
        <w:t> </w:t>
      </w:r>
      <w:r w:rsidR="006E6446" w:rsidRPr="00392E88">
        <w:t>for</w:t>
      </w:r>
      <w:r w:rsidRPr="00392E88">
        <w:t>malności związane</w:t>
      </w:r>
      <w:r w:rsidR="006E6446" w:rsidRPr="00392E88">
        <w:t xml:space="preserve"> z</w:t>
      </w:r>
      <w:r w:rsidR="006E6446">
        <w:t> </w:t>
      </w:r>
      <w:r w:rsidR="006E6446" w:rsidRPr="00392E88">
        <w:t>dzi</w:t>
      </w:r>
      <w:r w:rsidRPr="00392E88">
        <w:t>ałalnością</w:t>
      </w:r>
      <w:r w:rsidR="006E6446" w:rsidRPr="00392E88">
        <w:t xml:space="preserve"> i</w:t>
      </w:r>
      <w:r w:rsidR="006E6446">
        <w:t> </w:t>
      </w:r>
      <w:r w:rsidR="006E6446" w:rsidRPr="00392E88">
        <w:t>pro</w:t>
      </w:r>
      <w:r w:rsidRPr="00392E88">
        <w:t>cedurami transgranicznymi można było łatwo dopełnić drogą elektroniczną.”;</w:t>
      </w:r>
    </w:p>
    <w:p w14:paraId="6428AC16" w14:textId="2A9841C2" w:rsidR="00897432" w:rsidRPr="00392E88" w:rsidRDefault="006E6446" w:rsidP="006E6446">
      <w:pPr>
        <w:pStyle w:val="Point1"/>
      </w:pPr>
      <w:r>
        <w:t>e)</w:t>
      </w:r>
      <w:r>
        <w:tab/>
      </w:r>
      <w:r w:rsidR="00897432" w:rsidRPr="00392E88">
        <w:t>ust. 10 otrzymuje brzmienie:</w:t>
      </w:r>
    </w:p>
    <w:p w14:paraId="075EBFCE" w14:textId="1D09F317" w:rsidR="00897432" w:rsidRPr="00392E88" w:rsidRDefault="000F3052" w:rsidP="003420AE">
      <w:pPr>
        <w:pStyle w:val="Text1"/>
      </w:pPr>
      <w:r w:rsidRPr="00392E88">
        <w:t>„10.</w:t>
      </w:r>
      <w:r w:rsidRPr="00392E88">
        <w:tab/>
        <w:t>Właściwy organ przyjmującego państwa członkowskiego, który ma powody, by uznać, że IORP prowadząca działalność na jego terytorium nie spełnia wymogów prawa socjalnego</w:t>
      </w:r>
      <w:r w:rsidR="006E6446" w:rsidRPr="00392E88">
        <w:t xml:space="preserve"> i</w:t>
      </w:r>
      <w:r w:rsidR="006E6446">
        <w:t> </w:t>
      </w:r>
      <w:r w:rsidR="006E6446" w:rsidRPr="00392E88">
        <w:t>pra</w:t>
      </w:r>
      <w:r w:rsidRPr="00392E88">
        <w:t>wa pracy przyjmującego państwa członkowskiego dotyczących obszaru pracowniczych programów emerytalnych, niezwłocznie informuje</w:t>
      </w:r>
      <w:r w:rsidR="006E6446" w:rsidRPr="00392E88">
        <w:t xml:space="preserve"> o</w:t>
      </w:r>
      <w:r w:rsidR="006E6446">
        <w:t> </w:t>
      </w:r>
      <w:r w:rsidR="006E6446" w:rsidRPr="00392E88">
        <w:t>tym</w:t>
      </w:r>
      <w:r w:rsidRPr="00392E88">
        <w:t xml:space="preserve"> właściwy organ rodzimego państwa członkowskiego.</w:t>
      </w:r>
    </w:p>
    <w:p w14:paraId="58F10652" w14:textId="443E2540" w:rsidR="00094CBD" w:rsidRPr="00392E88" w:rsidRDefault="00094CBD" w:rsidP="00D00B5B">
      <w:pPr>
        <w:pStyle w:val="Text1"/>
      </w:pPr>
      <w:r w:rsidRPr="00392E88">
        <w:t>Właściwy organ rodzimego państwa członkowskiego podejmuje,</w:t>
      </w:r>
      <w:r w:rsidR="006E6446" w:rsidRPr="00392E88">
        <w:t xml:space="preserve"> w</w:t>
      </w:r>
      <w:r w:rsidR="006E6446">
        <w:t> </w:t>
      </w:r>
      <w:r w:rsidR="006E6446" w:rsidRPr="00392E88">
        <w:t>koo</w:t>
      </w:r>
      <w:r w:rsidRPr="00392E88">
        <w:t>rdynacji</w:t>
      </w:r>
      <w:r w:rsidR="006E6446" w:rsidRPr="00392E88">
        <w:t xml:space="preserve"> z</w:t>
      </w:r>
      <w:r w:rsidR="006E6446">
        <w:t> </w:t>
      </w:r>
      <w:r w:rsidR="006E6446" w:rsidRPr="00392E88">
        <w:t>wła</w:t>
      </w:r>
      <w:r w:rsidRPr="00392E88">
        <w:t>ściwym organem przyjmującego państwa członkowskiego, niezbędne kroki</w:t>
      </w:r>
      <w:r w:rsidR="006E6446" w:rsidRPr="00392E88">
        <w:t xml:space="preserve"> w</w:t>
      </w:r>
      <w:r w:rsidR="006E6446">
        <w:t> </w:t>
      </w:r>
      <w:r w:rsidR="006E6446" w:rsidRPr="00392E88">
        <w:t>cel</w:t>
      </w:r>
      <w:r w:rsidRPr="00392E88">
        <w:t>u zapewnienia, aby IORP zaprzestała stwierdzonych naruszeń.”;</w:t>
      </w:r>
    </w:p>
    <w:p w14:paraId="318C5261" w14:textId="26516B93" w:rsidR="00D52D75" w:rsidRPr="00392E88" w:rsidRDefault="006E6446" w:rsidP="006E6446">
      <w:pPr>
        <w:pStyle w:val="Point1"/>
      </w:pPr>
      <w:r>
        <w:t>f)</w:t>
      </w:r>
      <w:r>
        <w:tab/>
      </w:r>
      <w:r w:rsidR="00CF685E" w:rsidRPr="00392E88">
        <w:t>w ust. 11 dodaje się akapity</w:t>
      </w:r>
      <w:r w:rsidRPr="00392E88">
        <w:t xml:space="preserve"> w</w:t>
      </w:r>
      <w:r>
        <w:t> </w:t>
      </w:r>
      <w:r w:rsidRPr="00392E88">
        <w:t>brz</w:t>
      </w:r>
      <w:r w:rsidR="00CF685E" w:rsidRPr="00392E88">
        <w:t>mieniu:</w:t>
      </w:r>
    </w:p>
    <w:p w14:paraId="6F411DDD" w14:textId="1E84311E" w:rsidR="008A2943" w:rsidRPr="00392E88" w:rsidRDefault="00D00B5B" w:rsidP="585743C4">
      <w:pPr>
        <w:pStyle w:val="Text1"/>
      </w:pPr>
      <w:r w:rsidRPr="00392E88">
        <w:t>„Państwa członkowskie zapewniają możliwość doręczania IORP na terytorium tych państw dokumentów prawnych koniecznych</w:t>
      </w:r>
      <w:r w:rsidR="006E6446" w:rsidRPr="00392E88">
        <w:t xml:space="preserve"> w</w:t>
      </w:r>
      <w:r w:rsidR="006E6446">
        <w:t> </w:t>
      </w:r>
      <w:r w:rsidR="006E6446" w:rsidRPr="00392E88">
        <w:t>prz</w:t>
      </w:r>
      <w:r w:rsidRPr="00392E88">
        <w:t>ypadku wprowadzenia takich środków.</w:t>
      </w:r>
    </w:p>
    <w:p w14:paraId="3023A431" w14:textId="19E4F255" w:rsidR="008A2943" w:rsidRPr="00392E88" w:rsidRDefault="5742D885" w:rsidP="6BC8F8DE">
      <w:pPr>
        <w:pStyle w:val="Text1"/>
      </w:pPr>
      <w:r w:rsidRPr="00392E88">
        <w:t>Ponadto właściwy organ rodzimego lub przyjmującego państwa członkowskiego może przekazać sprawę EIOPA oraz zwrócić się</w:t>
      </w:r>
      <w:r w:rsidR="006E6446" w:rsidRPr="00392E88">
        <w:t xml:space="preserve"> o</w:t>
      </w:r>
      <w:r w:rsidR="006E6446">
        <w:t> </w:t>
      </w:r>
      <w:r w:rsidR="006E6446" w:rsidRPr="00392E88">
        <w:t>pom</w:t>
      </w:r>
      <w:r w:rsidRPr="00392E88">
        <w:t>oc zgodnie</w:t>
      </w:r>
      <w:r w:rsidR="006E6446" w:rsidRPr="00392E88">
        <w:t xml:space="preserve"> z</w:t>
      </w:r>
      <w:r w:rsidR="006E6446">
        <w:t> </w:t>
      </w:r>
      <w:r w:rsidR="006E6446" w:rsidRPr="006E6446">
        <w:t>art</w:t>
      </w:r>
      <w:r w:rsidRPr="006E6446">
        <w:t>.</w:t>
      </w:r>
      <w:r w:rsidR="006E6446" w:rsidRPr="006E6446">
        <w:t> </w:t>
      </w:r>
      <w:r w:rsidRPr="006E6446">
        <w:t>1</w:t>
      </w:r>
      <w:r w:rsidRPr="00392E88">
        <w:t xml:space="preserve">9 rozporządzenia (UE) </w:t>
      </w:r>
      <w:r w:rsidRPr="006E6446">
        <w:t>nr</w:t>
      </w:r>
      <w:r w:rsidR="006E6446" w:rsidRPr="006E6446">
        <w:t> </w:t>
      </w:r>
      <w:r w:rsidRPr="006E6446">
        <w:t>1</w:t>
      </w:r>
      <w:r w:rsidRPr="00392E88">
        <w:t>094/2010</w:t>
      </w:r>
      <w:r w:rsidR="006E6446" w:rsidRPr="00392E88">
        <w:t>. W</w:t>
      </w:r>
      <w:r w:rsidR="006E6446">
        <w:t> </w:t>
      </w:r>
      <w:r w:rsidR="006E6446" w:rsidRPr="00392E88">
        <w:t>tak</w:t>
      </w:r>
      <w:r w:rsidRPr="00392E88">
        <w:t>im przypadku EIOPA może podjąć działania zgodnie</w:t>
      </w:r>
      <w:r w:rsidR="006E6446" w:rsidRPr="00392E88">
        <w:t xml:space="preserve"> z</w:t>
      </w:r>
      <w:r w:rsidR="006E6446">
        <w:t> </w:t>
      </w:r>
      <w:r w:rsidR="006E6446" w:rsidRPr="00392E88">
        <w:t>upr</w:t>
      </w:r>
      <w:r w:rsidRPr="00392E88">
        <w:t>awnieniami powierzonymi mu na mocy tego artykułu.”;</w:t>
      </w:r>
    </w:p>
    <w:p w14:paraId="625EBDD8" w14:textId="73E43966" w:rsidR="007548C5" w:rsidRPr="00392E88" w:rsidRDefault="006E6446" w:rsidP="006E6446">
      <w:pPr>
        <w:pStyle w:val="Point1"/>
      </w:pPr>
      <w:r>
        <w:t>g)</w:t>
      </w:r>
      <w:r>
        <w:tab/>
      </w:r>
      <w:r w:rsidR="004A523D" w:rsidRPr="00392E88">
        <w:t xml:space="preserve">dodaje się </w:t>
      </w:r>
      <w:r w:rsidR="004A523D" w:rsidRPr="006E6446">
        <w:t>ust.</w:t>
      </w:r>
      <w:r w:rsidRPr="006E6446">
        <w:t> </w:t>
      </w:r>
      <w:r w:rsidR="004A523D" w:rsidRPr="006E6446">
        <w:t>1</w:t>
      </w:r>
      <w:r w:rsidR="004A523D" w:rsidRPr="00392E88">
        <w:t>2</w:t>
      </w:r>
      <w:r w:rsidRPr="00392E88">
        <w:t xml:space="preserve"> i</w:t>
      </w:r>
      <w:r>
        <w:t> </w:t>
      </w:r>
      <w:r w:rsidRPr="00392E88">
        <w:t>1</w:t>
      </w:r>
      <w:r w:rsidR="004A523D" w:rsidRPr="00392E88">
        <w:t>3</w:t>
      </w:r>
      <w:r w:rsidRPr="00392E88">
        <w:t xml:space="preserve"> w</w:t>
      </w:r>
      <w:r>
        <w:t> </w:t>
      </w:r>
      <w:r w:rsidRPr="00392E88">
        <w:t>brz</w:t>
      </w:r>
      <w:r w:rsidR="004A523D" w:rsidRPr="00392E88">
        <w:t>mieniu:</w:t>
      </w:r>
    </w:p>
    <w:p w14:paraId="67A603B3" w14:textId="1DD8596F" w:rsidR="00C26EFC" w:rsidRPr="00392E88" w:rsidRDefault="00BC76FC" w:rsidP="0094694A">
      <w:pPr>
        <w:pStyle w:val="Text1"/>
      </w:pPr>
      <w:r w:rsidRPr="00392E88">
        <w:t>„12.</w:t>
      </w:r>
      <w:r w:rsidRPr="00392E88">
        <w:tab/>
        <w:t>Ust. 10</w:t>
      </w:r>
      <w:r w:rsidR="006E6446" w:rsidRPr="00392E88">
        <w:t xml:space="preserve"> i</w:t>
      </w:r>
      <w:r w:rsidR="006E6446">
        <w:t> </w:t>
      </w:r>
      <w:r w:rsidR="006E6446" w:rsidRPr="00392E88">
        <w:t>1</w:t>
      </w:r>
      <w:r w:rsidRPr="00392E88">
        <w:t>1 pozostają bez uszczerbku dla uprawnień przyjmujących państw członkowskich do wprowadzenia odpowiednich</w:t>
      </w:r>
      <w:r w:rsidR="006E6446" w:rsidRPr="00392E88">
        <w:t xml:space="preserve"> i</w:t>
      </w:r>
      <w:r w:rsidR="006E6446">
        <w:t> </w:t>
      </w:r>
      <w:r w:rsidR="006E6446" w:rsidRPr="00392E88">
        <w:t>nie</w:t>
      </w:r>
      <w:r w:rsidRPr="00392E88">
        <w:t>dyskryminacyjnych środków nadzwyczajnych mających na celu zapobieganie nieprawidłowościom lub karanie za nieprawidłowości popełnione na ich terytorium</w:t>
      </w:r>
      <w:r w:rsidR="006E6446" w:rsidRPr="00392E88">
        <w:t xml:space="preserve"> w</w:t>
      </w:r>
      <w:r w:rsidR="006E6446">
        <w:t> </w:t>
      </w:r>
      <w:r w:rsidR="006E6446" w:rsidRPr="00392E88">
        <w:t>syt</w:t>
      </w:r>
      <w:r w:rsidRPr="00392E88">
        <w:t>uacjach,</w:t>
      </w:r>
      <w:r w:rsidR="006E6446" w:rsidRPr="00392E88">
        <w:t xml:space="preserve"> w</w:t>
      </w:r>
      <w:r w:rsidR="006E6446">
        <w:t> </w:t>
      </w:r>
      <w:r w:rsidR="006E6446" w:rsidRPr="00392E88">
        <w:t>któ</w:t>
      </w:r>
      <w:r w:rsidRPr="00392E88">
        <w:t>rych natychmiastowe działanie jest absolutnie niezbędne do ochrony praw uczestników</w:t>
      </w:r>
      <w:r w:rsidR="006E6446" w:rsidRPr="00392E88">
        <w:t xml:space="preserve"> i</w:t>
      </w:r>
      <w:r w:rsidR="006E6446">
        <w:t> </w:t>
      </w:r>
      <w:r w:rsidR="006E6446" w:rsidRPr="00392E88">
        <w:t>ben</w:t>
      </w:r>
      <w:r w:rsidRPr="00392E88">
        <w:t>eficjentów, oraz</w:t>
      </w:r>
      <w:r w:rsidR="006E6446" w:rsidRPr="00392E88">
        <w:t xml:space="preserve"> w</w:t>
      </w:r>
      <w:r w:rsidR="006E6446">
        <w:t> </w:t>
      </w:r>
      <w:r w:rsidR="006E6446" w:rsidRPr="00392E88">
        <w:t>prz</w:t>
      </w:r>
      <w:r w:rsidRPr="00392E88">
        <w:t>ypadku gdy równoważne środki rodzimego państwa członkowskiego są niewystarczające lub ich brakuje. Uprawnienia te obejmują możliwość uniemożliwienia IORP,</w:t>
      </w:r>
      <w:r w:rsidR="006E6446" w:rsidRPr="00392E88">
        <w:t xml:space="preserve"> w</w:t>
      </w:r>
      <w:r w:rsidR="006E6446">
        <w:t> </w:t>
      </w:r>
      <w:r w:rsidR="006E6446" w:rsidRPr="00392E88">
        <w:t>zak</w:t>
      </w:r>
      <w:r w:rsidRPr="00392E88">
        <w:t>resie,</w:t>
      </w:r>
      <w:r w:rsidR="006E6446" w:rsidRPr="00392E88">
        <w:t xml:space="preserve"> w</w:t>
      </w:r>
      <w:r w:rsidR="006E6446">
        <w:t> </w:t>
      </w:r>
      <w:r w:rsidR="006E6446" w:rsidRPr="00392E88">
        <w:t>jak</w:t>
      </w:r>
      <w:r w:rsidRPr="00392E88">
        <w:t>im jest to absolutnie niezbędne, prowadzenia działalności</w:t>
      </w:r>
      <w:r w:rsidR="006E6446" w:rsidRPr="00392E88">
        <w:t xml:space="preserve"> w</w:t>
      </w:r>
      <w:r w:rsidR="006E6446">
        <w:t> </w:t>
      </w:r>
      <w:r w:rsidR="006E6446" w:rsidRPr="00392E88">
        <w:t>prz</w:t>
      </w:r>
      <w:r w:rsidRPr="00392E88">
        <w:t>yjmującym państwie członkowskim na rzecz instytucji finansującej.</w:t>
      </w:r>
    </w:p>
    <w:p w14:paraId="66E8CA02" w14:textId="092C6E19" w:rsidR="0040576B" w:rsidRPr="00392E88" w:rsidRDefault="00C26EFC" w:rsidP="003420AE">
      <w:pPr>
        <w:pStyle w:val="Text1"/>
      </w:pPr>
      <w:r w:rsidRPr="00392E88">
        <w:t>13.</w:t>
      </w:r>
      <w:r w:rsidRPr="00392E88">
        <w:tab/>
        <w:t>Każdy środek przyjęty zgodnie</w:t>
      </w:r>
      <w:r w:rsidR="006E6446" w:rsidRPr="00392E88">
        <w:t xml:space="preserve"> z</w:t>
      </w:r>
      <w:r w:rsidR="006E6446">
        <w:t> </w:t>
      </w:r>
      <w:r w:rsidR="006E6446" w:rsidRPr="006E6446">
        <w:t>ust</w:t>
      </w:r>
      <w:r w:rsidRPr="006E6446">
        <w:t>.</w:t>
      </w:r>
      <w:r w:rsidR="006E6446" w:rsidRPr="006E6446">
        <w:t> </w:t>
      </w:r>
      <w:r w:rsidRPr="006E6446">
        <w:t>1</w:t>
      </w:r>
      <w:r w:rsidRPr="00392E88">
        <w:t>0–13, obejmujący ograniczenia dotyczące prowadzenia działalności IORP, musi zostać właściwie uzasadniony</w:t>
      </w:r>
      <w:r w:rsidR="006E6446" w:rsidRPr="00392E88">
        <w:t xml:space="preserve"> i</w:t>
      </w:r>
      <w:r w:rsidR="006E6446">
        <w:t> </w:t>
      </w:r>
      <w:r w:rsidR="006E6446" w:rsidRPr="00392E88">
        <w:t>nie</w:t>
      </w:r>
      <w:r w:rsidRPr="00392E88">
        <w:t>zwłocznie podany do wiadomości danej IORP. Właściwy organ przyjmującego państwa członkowskiego, który przyjmuje taki środek, informuje</w:t>
      </w:r>
      <w:r w:rsidR="006E6446" w:rsidRPr="00392E88">
        <w:t xml:space="preserve"> o</w:t>
      </w:r>
      <w:r w:rsidR="006E6446">
        <w:t> </w:t>
      </w:r>
      <w:r w:rsidR="006E6446" w:rsidRPr="00392E88">
        <w:t>nim</w:t>
      </w:r>
      <w:r w:rsidRPr="00392E88">
        <w:t xml:space="preserve"> również właściwy organ rodzimego państwa członkowskiego oraz,</w:t>
      </w:r>
      <w:r w:rsidR="006E6446" w:rsidRPr="00392E88">
        <w:t xml:space="preserve"> w</w:t>
      </w:r>
      <w:r w:rsidR="006E6446">
        <w:t> </w:t>
      </w:r>
      <w:r w:rsidR="006E6446" w:rsidRPr="00392E88">
        <w:t>kon</w:t>
      </w:r>
      <w:r w:rsidRPr="00392E88">
        <w:t xml:space="preserve">tekście </w:t>
      </w:r>
      <w:r w:rsidRPr="006E6446">
        <w:t>ust.</w:t>
      </w:r>
      <w:r w:rsidR="006E6446" w:rsidRPr="006E6446">
        <w:t> </w:t>
      </w:r>
      <w:r w:rsidRPr="006E6446">
        <w:t>1</w:t>
      </w:r>
      <w:r w:rsidRPr="00392E88">
        <w:t>1 akapit trzeci, EIOPA.”;</w:t>
      </w:r>
    </w:p>
    <w:p w14:paraId="0B9AA2B8" w14:textId="238F3183" w:rsidR="001E719C" w:rsidRPr="00392E88" w:rsidRDefault="006E6446" w:rsidP="006E6446">
      <w:pPr>
        <w:pStyle w:val="Point0"/>
      </w:pPr>
      <w:r>
        <w:t>14)</w:t>
      </w:r>
      <w:r>
        <w:tab/>
      </w:r>
      <w:r w:rsidR="2B130474" w:rsidRPr="00392E88">
        <w:t xml:space="preserve">dodaje się </w:t>
      </w:r>
      <w:r w:rsidR="2B130474" w:rsidRPr="006E6446">
        <w:t>art.</w:t>
      </w:r>
      <w:r w:rsidRPr="006E6446">
        <w:t> </w:t>
      </w:r>
      <w:r w:rsidR="2B130474" w:rsidRPr="006E6446">
        <w:t>1</w:t>
      </w:r>
      <w:r w:rsidR="2B130474" w:rsidRPr="00392E88">
        <w:t>1a</w:t>
      </w:r>
      <w:r w:rsidRPr="00392E88">
        <w:t xml:space="preserve"> w</w:t>
      </w:r>
      <w:r>
        <w:t> </w:t>
      </w:r>
      <w:r w:rsidRPr="00392E88">
        <w:t>brz</w:t>
      </w:r>
      <w:r w:rsidR="2B130474" w:rsidRPr="00392E88">
        <w:t>mieniu:</w:t>
      </w:r>
    </w:p>
    <w:p w14:paraId="46612736" w14:textId="682F9AA0" w:rsidR="00700632" w:rsidRPr="00392E88" w:rsidRDefault="00CC508C" w:rsidP="003420AE">
      <w:pPr>
        <w:pStyle w:val="Titrearticle"/>
      </w:pPr>
      <w:r w:rsidRPr="00392E88">
        <w:t xml:space="preserve">„Artykuł 11a </w:t>
      </w:r>
      <w:r w:rsidRPr="00392E88">
        <w:br/>
      </w:r>
      <w:r w:rsidRPr="00392E88">
        <w:rPr>
          <w:b/>
          <w:i w:val="0"/>
        </w:rPr>
        <w:t>Zmiany</w:t>
      </w:r>
      <w:r w:rsidR="006E6446" w:rsidRPr="00392E88">
        <w:rPr>
          <w:b/>
          <w:i w:val="0"/>
        </w:rPr>
        <w:t xml:space="preserve"> w</w:t>
      </w:r>
      <w:r w:rsidR="006E6446">
        <w:rPr>
          <w:b/>
          <w:i w:val="0"/>
        </w:rPr>
        <w:t> </w:t>
      </w:r>
      <w:r w:rsidR="006E6446" w:rsidRPr="00392E88">
        <w:rPr>
          <w:b/>
          <w:i w:val="0"/>
        </w:rPr>
        <w:t>prz</w:t>
      </w:r>
      <w:r w:rsidRPr="00392E88">
        <w:rPr>
          <w:b/>
          <w:i w:val="0"/>
        </w:rPr>
        <w:t>ekazanych informacjach</w:t>
      </w:r>
    </w:p>
    <w:p w14:paraId="182A2F91" w14:textId="7C00C845" w:rsidR="00154B60" w:rsidRPr="00392E88" w:rsidRDefault="00454EAA" w:rsidP="0094694A">
      <w:pPr>
        <w:pStyle w:val="Text1"/>
      </w:pPr>
      <w:r w:rsidRPr="00392E88">
        <w:t>1.</w:t>
      </w:r>
      <w:r w:rsidRPr="00392E88">
        <w:tab/>
        <w:t>Państwa członkowskie zapewniają, aby</w:t>
      </w:r>
      <w:r w:rsidR="006E6446" w:rsidRPr="00392E88">
        <w:t xml:space="preserve"> w</w:t>
      </w:r>
      <w:r w:rsidR="006E6446">
        <w:t> </w:t>
      </w:r>
      <w:r w:rsidR="006E6446" w:rsidRPr="00392E88">
        <w:t>prz</w:t>
      </w:r>
      <w:r w:rsidRPr="00392E88">
        <w:t xml:space="preserve">ypadku zmiany jakichkolwiek danych przekazanych na podstawie </w:t>
      </w:r>
      <w:r w:rsidRPr="006E6446">
        <w:t>art.</w:t>
      </w:r>
      <w:r w:rsidR="006E6446" w:rsidRPr="006E6446">
        <w:t> </w:t>
      </w:r>
      <w:r w:rsidRPr="006E6446">
        <w:t>1</w:t>
      </w:r>
      <w:r w:rsidRPr="00392E88">
        <w:t xml:space="preserve">1 </w:t>
      </w:r>
      <w:r w:rsidRPr="006E6446">
        <w:t>ust.</w:t>
      </w:r>
      <w:r w:rsidR="006E6446" w:rsidRPr="006E6446">
        <w:t> </w:t>
      </w:r>
      <w:r w:rsidRPr="006E6446">
        <w:t>3</w:t>
      </w:r>
      <w:r w:rsidRPr="00392E88">
        <w:t xml:space="preserve"> </w:t>
      </w:r>
      <w:r w:rsidRPr="006E6446">
        <w:t>lit.</w:t>
      </w:r>
      <w:r w:rsidR="006E6446" w:rsidRPr="006E6446">
        <w:t> </w:t>
      </w:r>
      <w:r w:rsidRPr="006E6446">
        <w:t>b)</w:t>
      </w:r>
      <w:r w:rsidRPr="00392E88">
        <w:t xml:space="preserve"> lub c) IORP pisemnie powiadomiła</w:t>
      </w:r>
      <w:r w:rsidR="006E6446" w:rsidRPr="00392E88">
        <w:t xml:space="preserve"> o</w:t>
      </w:r>
      <w:r w:rsidR="006E6446">
        <w:t> </w:t>
      </w:r>
      <w:r w:rsidR="006E6446" w:rsidRPr="00392E88">
        <w:t>tej</w:t>
      </w:r>
      <w:r w:rsidRPr="00392E88">
        <w:t xml:space="preserve"> zmianie właściwe organy rodzimego państwa członkowskiego</w:t>
      </w:r>
      <w:r w:rsidR="006E6446" w:rsidRPr="00392E88">
        <w:t xml:space="preserve"> i</w:t>
      </w:r>
      <w:r w:rsidR="006E6446">
        <w:t> </w:t>
      </w:r>
      <w:r w:rsidR="006E6446" w:rsidRPr="00392E88">
        <w:t>prz</w:t>
      </w:r>
      <w:r w:rsidRPr="00392E88">
        <w:t>yjmującego państwa członkowskiego co najmniej miesiąc przed dokonaniem zmiany, aby umożliwić właściwym organom rodzimego państwa członkowskiego</w:t>
      </w:r>
      <w:r w:rsidR="006E6446" w:rsidRPr="00392E88">
        <w:t xml:space="preserve"> i</w:t>
      </w:r>
      <w:r w:rsidR="006E6446">
        <w:t> </w:t>
      </w:r>
      <w:r w:rsidR="006E6446" w:rsidRPr="00392E88">
        <w:t>prz</w:t>
      </w:r>
      <w:r w:rsidRPr="00392E88">
        <w:t>yjmującego państwa członkowskiego wypełnienie ich odpowiednich obowiązków wynikających</w:t>
      </w:r>
      <w:r w:rsidR="006E6446" w:rsidRPr="00392E88">
        <w:t xml:space="preserve"> z</w:t>
      </w:r>
      <w:r w:rsidR="006E6446">
        <w:t> </w:t>
      </w:r>
      <w:r w:rsidR="006E6446" w:rsidRPr="006E6446">
        <w:t>art</w:t>
      </w:r>
      <w:r w:rsidRPr="006E6446">
        <w:t>.</w:t>
      </w:r>
      <w:r w:rsidR="006E6446" w:rsidRPr="006E6446">
        <w:t> </w:t>
      </w:r>
      <w:r w:rsidRPr="006E6446">
        <w:t>1</w:t>
      </w:r>
      <w:r w:rsidRPr="00392E88">
        <w:t>1.</w:t>
      </w:r>
    </w:p>
    <w:p w14:paraId="256F8533" w14:textId="06E63F7C" w:rsidR="009F6934" w:rsidRPr="00392E88" w:rsidRDefault="00454EAA" w:rsidP="0094694A">
      <w:pPr>
        <w:pStyle w:val="Text1"/>
      </w:pPr>
      <w:r w:rsidRPr="00392E88">
        <w:t>2.</w:t>
      </w:r>
      <w:r w:rsidRPr="00392E88">
        <w:tab/>
        <w:t>Państwa członkowskie zapewniają, aby</w:t>
      </w:r>
      <w:r w:rsidR="006E6446" w:rsidRPr="00392E88">
        <w:t xml:space="preserve"> w</w:t>
      </w:r>
      <w:r w:rsidR="006E6446">
        <w:t> </w:t>
      </w:r>
      <w:r w:rsidR="006E6446" w:rsidRPr="00392E88">
        <w:t>prz</w:t>
      </w:r>
      <w:r w:rsidRPr="00392E88">
        <w:t>ypadku gdy uczestnicy</w:t>
      </w:r>
      <w:r w:rsidR="006E6446" w:rsidRPr="00392E88">
        <w:t xml:space="preserve"> i</w:t>
      </w:r>
      <w:r w:rsidR="006E6446">
        <w:t> </w:t>
      </w:r>
      <w:r w:rsidR="006E6446" w:rsidRPr="00392E88">
        <w:t>ben</w:t>
      </w:r>
      <w:r w:rsidRPr="00392E88">
        <w:t>eficjenci</w:t>
      </w:r>
      <w:r w:rsidR="006E6446" w:rsidRPr="00392E88">
        <w:t xml:space="preserve"> w</w:t>
      </w:r>
      <w:r w:rsidR="006E6446">
        <w:t> </w:t>
      </w:r>
      <w:r w:rsidR="006E6446" w:rsidRPr="00392E88">
        <w:t>peł</w:t>
      </w:r>
      <w:r w:rsidRPr="00392E88">
        <w:t>ni ponoszą ryzyko inwestycyjne, powiadamianie</w:t>
      </w:r>
      <w:r w:rsidR="006E6446" w:rsidRPr="00392E88">
        <w:t xml:space="preserve"> o</w:t>
      </w:r>
      <w:r w:rsidR="006E6446">
        <w:t> </w:t>
      </w:r>
      <w:r w:rsidR="006E6446" w:rsidRPr="00392E88">
        <w:t>jed</w:t>
      </w:r>
      <w:r w:rsidRPr="00392E88">
        <w:t>nej lub większej liczbie dodatkowych instytucji finansujących</w:t>
      </w:r>
      <w:r w:rsidR="006E6446" w:rsidRPr="00392E88">
        <w:t xml:space="preserve"> w</w:t>
      </w:r>
      <w:r w:rsidR="006E6446">
        <w:t> </w:t>
      </w:r>
      <w:r w:rsidR="006E6446" w:rsidRPr="00392E88">
        <w:t>ram</w:t>
      </w:r>
      <w:r w:rsidRPr="00392E88">
        <w:t>ach uprzednio zgłoszonego programu emerytalnego lub</w:t>
      </w:r>
      <w:r w:rsidR="006E6446" w:rsidRPr="00392E88">
        <w:t xml:space="preserve"> o</w:t>
      </w:r>
      <w:r w:rsidR="006E6446">
        <w:t> </w:t>
      </w:r>
      <w:r w:rsidR="006E6446" w:rsidRPr="00392E88">
        <w:t>nie</w:t>
      </w:r>
      <w:r w:rsidRPr="00392E88">
        <w:t>istotnych zmianach cech charakterystycznych tego programu podlegało uproszczonej procedurze powiadamiania.”;</w:t>
      </w:r>
    </w:p>
    <w:p w14:paraId="4255BFDB" w14:textId="130D2D9E" w:rsidR="00CB223C" w:rsidRPr="00392E88" w:rsidRDefault="006E6446" w:rsidP="006E6446">
      <w:pPr>
        <w:pStyle w:val="Point0"/>
      </w:pPr>
      <w:r>
        <w:t>15)</w:t>
      </w:r>
      <w:r>
        <w:tab/>
      </w:r>
      <w:r w:rsidR="0016732A" w:rsidRPr="00392E88">
        <w:t xml:space="preserve">w </w:t>
      </w:r>
      <w:r w:rsidR="0016732A" w:rsidRPr="006E6446">
        <w:t>art.</w:t>
      </w:r>
      <w:r w:rsidRPr="006E6446">
        <w:t> </w:t>
      </w:r>
      <w:r w:rsidR="0016732A" w:rsidRPr="006E6446">
        <w:t>1</w:t>
      </w:r>
      <w:r w:rsidR="0016732A" w:rsidRPr="00392E88">
        <w:t>2 wprowadza się następujące zmiany:</w:t>
      </w:r>
    </w:p>
    <w:p w14:paraId="6EAE1597" w14:textId="0A4D878F" w:rsidR="00A3591E" w:rsidRPr="00392E88" w:rsidRDefault="006E6446" w:rsidP="006E6446">
      <w:pPr>
        <w:pStyle w:val="Point1"/>
      </w:pPr>
      <w:r>
        <w:t>a)</w:t>
      </w:r>
      <w:r>
        <w:tab/>
      </w:r>
      <w:r w:rsidR="00A3591E" w:rsidRPr="00392E88">
        <w:t xml:space="preserve">dodaje się </w:t>
      </w:r>
      <w:r w:rsidR="00A3591E" w:rsidRPr="006E6446">
        <w:t>ust.</w:t>
      </w:r>
      <w:r w:rsidRPr="006E6446">
        <w:t> </w:t>
      </w:r>
      <w:r w:rsidR="00A3591E" w:rsidRPr="006E6446">
        <w:t>2</w:t>
      </w:r>
      <w:r w:rsidR="00A3591E" w:rsidRPr="00392E88">
        <w:t>a</w:t>
      </w:r>
      <w:r w:rsidRPr="00392E88">
        <w:t xml:space="preserve"> w</w:t>
      </w:r>
      <w:r>
        <w:t> </w:t>
      </w:r>
      <w:r w:rsidRPr="00392E88">
        <w:t>brz</w:t>
      </w:r>
      <w:r w:rsidR="00A3591E" w:rsidRPr="00392E88">
        <w:t>mieniu:</w:t>
      </w:r>
    </w:p>
    <w:p w14:paraId="277F2450" w14:textId="2C8D7593" w:rsidR="00A3591E" w:rsidRPr="00392E88" w:rsidRDefault="00A3591E" w:rsidP="005D0C3B">
      <w:pPr>
        <w:pStyle w:val="Text1"/>
      </w:pPr>
      <w:r w:rsidRPr="00392E88">
        <w:t>„2a.</w:t>
      </w:r>
      <w:r w:rsidRPr="00392E88">
        <w:tab/>
        <w:t>Państwa członkowskie zapewniają, aby IORP przenosząca udostępniła uczestnikom</w:t>
      </w:r>
      <w:r w:rsidR="006E6446" w:rsidRPr="00392E88">
        <w:t xml:space="preserve"> i</w:t>
      </w:r>
      <w:r w:rsidR="006E6446">
        <w:t> </w:t>
      </w:r>
      <w:r w:rsidR="006E6446" w:rsidRPr="00392E88">
        <w:t>ben</w:t>
      </w:r>
      <w:r w:rsidRPr="00392E88">
        <w:t>eficjentom, których to dotyczy, oraz,</w:t>
      </w:r>
      <w:r w:rsidR="006E6446" w:rsidRPr="00392E88">
        <w:t xml:space="preserve"> w</w:t>
      </w:r>
      <w:r w:rsidR="006E6446">
        <w:t> </w:t>
      </w:r>
      <w:r w:rsidR="006E6446" w:rsidRPr="00392E88">
        <w:t>sto</w:t>
      </w:r>
      <w:r w:rsidRPr="00392E88">
        <w:t>sownych przypadkach, ich przedstawicielom informacje</w:t>
      </w:r>
      <w:r w:rsidR="006E6446" w:rsidRPr="00392E88">
        <w:t xml:space="preserve"> o</w:t>
      </w:r>
      <w:r w:rsidR="006E6446">
        <w:t> </w:t>
      </w:r>
      <w:r w:rsidR="006E6446" w:rsidRPr="00392E88">
        <w:t>war</w:t>
      </w:r>
      <w:r w:rsidRPr="00392E88">
        <w:t>unkach przeniesienia</w:t>
      </w:r>
      <w:r w:rsidR="006E6446" w:rsidRPr="00392E88">
        <w:t xml:space="preserve"> w</w:t>
      </w:r>
      <w:r w:rsidR="006E6446">
        <w:t> </w:t>
      </w:r>
      <w:r w:rsidR="006E6446" w:rsidRPr="00392E88">
        <w:t>odp</w:t>
      </w:r>
      <w:r w:rsidRPr="00392E88">
        <w:t>owiednim czasie</w:t>
      </w:r>
      <w:r w:rsidR="006E6446" w:rsidRPr="00392E88">
        <w:t xml:space="preserve"> i</w:t>
      </w:r>
      <w:r w:rsidR="006E6446">
        <w:t> </w:t>
      </w:r>
      <w:r w:rsidR="006E6446" w:rsidRPr="00392E88">
        <w:t>prz</w:t>
      </w:r>
      <w:r w:rsidRPr="00392E88">
        <w:t>ed złożeniem wniosku,</w:t>
      </w:r>
      <w:r w:rsidR="006E6446" w:rsidRPr="00392E88">
        <w:t xml:space="preserve"> o</w:t>
      </w:r>
      <w:r w:rsidR="006E6446">
        <w:t> </w:t>
      </w:r>
      <w:r w:rsidR="006E6446" w:rsidRPr="00392E88">
        <w:t>któ</w:t>
      </w:r>
      <w:r w:rsidRPr="00392E88">
        <w:t>rym mowa</w:t>
      </w:r>
      <w:r w:rsidR="006E6446" w:rsidRPr="00392E88">
        <w:t xml:space="preserve"> w</w:t>
      </w:r>
      <w:r w:rsidR="006E6446">
        <w:t> </w:t>
      </w:r>
      <w:r w:rsidR="006E6446" w:rsidRPr="006E6446">
        <w:t>ust</w:t>
      </w:r>
      <w:r w:rsidRPr="006E6446">
        <w:t>.</w:t>
      </w:r>
      <w:r w:rsidR="006E6446" w:rsidRPr="006E6446">
        <w:t> </w:t>
      </w:r>
      <w:r w:rsidRPr="006E6446">
        <w:t>4</w:t>
      </w:r>
      <w:r w:rsidRPr="00392E88">
        <w:t>.”;</w:t>
      </w:r>
    </w:p>
    <w:p w14:paraId="53A0DE9D" w14:textId="311D55E2" w:rsidR="0016732A" w:rsidRPr="00392E88" w:rsidRDefault="006E6446" w:rsidP="006E6446">
      <w:pPr>
        <w:pStyle w:val="Point1"/>
      </w:pPr>
      <w:r>
        <w:t>b)</w:t>
      </w:r>
      <w:r>
        <w:tab/>
      </w:r>
      <w:r w:rsidR="00374EA3" w:rsidRPr="00392E88">
        <w:t>ust. 3 otrzymuje brzmienie:</w:t>
      </w:r>
    </w:p>
    <w:p w14:paraId="5D8906CC" w14:textId="77777777" w:rsidR="00DD7A0B" w:rsidRPr="00392E88" w:rsidRDefault="00243340" w:rsidP="005D0C3B">
      <w:pPr>
        <w:pStyle w:val="Text1"/>
      </w:pPr>
      <w:r w:rsidRPr="00392E88">
        <w:t>„3.</w:t>
      </w:r>
      <w:r w:rsidRPr="00392E88">
        <w:tab/>
        <w:t xml:space="preserve"> Przeniesienie transgraniczne podlega uprzedniemu zatwierdzeniu przez:</w:t>
      </w:r>
    </w:p>
    <w:p w14:paraId="6CD6B12C" w14:textId="077AC085" w:rsidR="00CA5003" w:rsidRPr="00392E88" w:rsidRDefault="00151E89" w:rsidP="00DD7A0B">
      <w:pPr>
        <w:pStyle w:val="Point1"/>
      </w:pPr>
      <w:r w:rsidRPr="00392E88">
        <w:t xml:space="preserve">a) </w:t>
      </w:r>
      <w:r w:rsidRPr="00392E88">
        <w:tab/>
        <w:t>zwykłą większość uczestników</w:t>
      </w:r>
      <w:r w:rsidR="006E6446" w:rsidRPr="00392E88">
        <w:t xml:space="preserve"> i</w:t>
      </w:r>
      <w:r w:rsidR="006E6446">
        <w:t> </w:t>
      </w:r>
      <w:r w:rsidR="006E6446" w:rsidRPr="00392E88">
        <w:t>ben</w:t>
      </w:r>
      <w:r w:rsidRPr="00392E88">
        <w:t>eficjentów, których ono dotyczy, lub,</w:t>
      </w:r>
      <w:r w:rsidR="006E6446" w:rsidRPr="00392E88">
        <w:t xml:space="preserve"> w</w:t>
      </w:r>
      <w:r w:rsidR="006E6446">
        <w:t> </w:t>
      </w:r>
      <w:r w:rsidR="006E6446" w:rsidRPr="00392E88">
        <w:t>sto</w:t>
      </w:r>
      <w:r w:rsidRPr="00392E88">
        <w:t>sownych przypadkach, zwykłą większość ich przedstawicieli; oraz</w:t>
      </w:r>
    </w:p>
    <w:p w14:paraId="0357E8DD" w14:textId="022C54F7" w:rsidR="00DD7A0B" w:rsidRPr="00392E88" w:rsidRDefault="00DD7A0B" w:rsidP="00DD7A0B">
      <w:pPr>
        <w:pStyle w:val="Point1"/>
      </w:pPr>
      <w:r w:rsidRPr="00392E88">
        <w:t xml:space="preserve">b) </w:t>
      </w:r>
      <w:r w:rsidRPr="00392E88">
        <w:tab/>
        <w:t>instytucję finansującą,</w:t>
      </w:r>
      <w:r w:rsidR="006E6446" w:rsidRPr="00392E88">
        <w:t xml:space="preserve"> w</w:t>
      </w:r>
      <w:r w:rsidR="006E6446">
        <w:t> </w:t>
      </w:r>
      <w:r w:rsidR="006E6446" w:rsidRPr="00392E88">
        <w:t>sto</w:t>
      </w:r>
      <w:r w:rsidRPr="00392E88">
        <w:t>sownych przypadkach.</w:t>
      </w:r>
    </w:p>
    <w:p w14:paraId="640C8657" w14:textId="0A3F2FD9" w:rsidR="00E91AB1" w:rsidRPr="00392E88" w:rsidRDefault="00E44EB6" w:rsidP="006B1868">
      <w:pPr>
        <w:pStyle w:val="Text1"/>
      </w:pPr>
      <w:r w:rsidRPr="00392E88">
        <w:t xml:space="preserve">Do celów akapitu pierwszego </w:t>
      </w:r>
      <w:r w:rsidRPr="006E6446">
        <w:t>lit.</w:t>
      </w:r>
      <w:r w:rsidR="006E6446" w:rsidRPr="006E6446">
        <w:t> </w:t>
      </w:r>
      <w:r w:rsidRPr="006E6446">
        <w:t>a)</w:t>
      </w:r>
      <w:r w:rsidRPr="00392E88">
        <w:t xml:space="preserve"> zwykłą większość oblicza się na podstawie otrzymanych odpowiedzi. </w:t>
      </w:r>
    </w:p>
    <w:p w14:paraId="5E8D0DC5" w14:textId="0E6DE221" w:rsidR="00151E89" w:rsidRPr="00392E88" w:rsidRDefault="00E91AB1" w:rsidP="006B1868">
      <w:pPr>
        <w:pStyle w:val="Text1"/>
      </w:pPr>
      <w:r w:rsidRPr="00392E88">
        <w:t xml:space="preserve">Państwa członkowskie mogą postanowić, że aby przeniesienie mogło zostać zatwierdzone, musi zostać osiągnięty próg uczestnictwa wynoszący </w:t>
      </w:r>
      <w:r w:rsidRPr="006E6446">
        <w:t>do</w:t>
      </w:r>
      <w:r w:rsidR="006E6446" w:rsidRPr="006E6446">
        <w:t> </w:t>
      </w:r>
      <w:r w:rsidRPr="006E6446">
        <w:t>25</w:t>
      </w:r>
      <w:r w:rsidR="006E6446" w:rsidRPr="006E6446">
        <w:t> </w:t>
      </w:r>
      <w:r w:rsidRPr="006E6446">
        <w:t>%</w:t>
      </w:r>
      <w:r w:rsidRPr="00392E88">
        <w:t xml:space="preserve"> uczestników</w:t>
      </w:r>
      <w:r w:rsidR="006E6446" w:rsidRPr="00392E88">
        <w:t xml:space="preserve"> i</w:t>
      </w:r>
      <w:r w:rsidR="006E6446">
        <w:t> </w:t>
      </w:r>
      <w:r w:rsidR="006E6446" w:rsidRPr="00392E88">
        <w:t>ben</w:t>
      </w:r>
      <w:r w:rsidRPr="00392E88">
        <w:t>eficjentów programu.”;</w:t>
      </w:r>
    </w:p>
    <w:p w14:paraId="64563434" w14:textId="6E69DCAB" w:rsidR="007E3840" w:rsidRPr="00392E88" w:rsidRDefault="006E6446" w:rsidP="006E6446">
      <w:pPr>
        <w:pStyle w:val="Point1"/>
      </w:pPr>
      <w:r>
        <w:t>c)</w:t>
      </w:r>
      <w:r>
        <w:tab/>
      </w:r>
      <w:r w:rsidR="007E3840" w:rsidRPr="00392E88">
        <w:t>ust. 11 akapit drugi otrzymuje brzmienie:</w:t>
      </w:r>
    </w:p>
    <w:p w14:paraId="5A1D8F79" w14:textId="029851C2" w:rsidR="004C2575" w:rsidRPr="00392E88" w:rsidRDefault="007E3840" w:rsidP="004C2575">
      <w:pPr>
        <w:pStyle w:val="Text1"/>
      </w:pPr>
      <w:r w:rsidRPr="00392E88">
        <w:t>„W przypadku gdy przeniesienie skutkuje działalnością transgraniczną, właściwy organ rodzimego państwa członkowskiego IORP przenoszącej informuje również właściwy organ rodzimego państwa członkowskiego IORP przyjmującej</w:t>
      </w:r>
      <w:r w:rsidR="006E6446" w:rsidRPr="00392E88">
        <w:t xml:space="preserve"> o</w:t>
      </w:r>
      <w:r w:rsidR="006E6446">
        <w:t> </w:t>
      </w:r>
      <w:r w:rsidR="006E6446" w:rsidRPr="00392E88">
        <w:t>wym</w:t>
      </w:r>
      <w:r w:rsidRPr="00392E88">
        <w:t>ogach prawa socjalnego</w:t>
      </w:r>
      <w:r w:rsidR="006E6446" w:rsidRPr="00392E88">
        <w:t xml:space="preserve"> i</w:t>
      </w:r>
      <w:r w:rsidR="006E6446">
        <w:t> </w:t>
      </w:r>
      <w:r w:rsidR="006E6446" w:rsidRPr="00392E88">
        <w:t>pra</w:t>
      </w:r>
      <w:r w:rsidRPr="00392E88">
        <w:t>wa pracy dotyczących pracowniczych programów emerytalnych, zgodnie</w:t>
      </w:r>
      <w:r w:rsidR="006E6446" w:rsidRPr="00392E88">
        <w:t xml:space="preserve"> z</w:t>
      </w:r>
      <w:r w:rsidR="006E6446">
        <w:t> </w:t>
      </w:r>
      <w:r w:rsidR="006E6446" w:rsidRPr="00392E88">
        <w:t>któ</w:t>
      </w:r>
      <w:r w:rsidRPr="00392E88">
        <w:t>rymi należy obsługiwać program emerytalny,</w:t>
      </w:r>
      <w:r w:rsidR="006E6446" w:rsidRPr="00392E88">
        <w:t xml:space="preserve"> i</w:t>
      </w:r>
      <w:r w:rsidR="006E6446">
        <w:t> </w:t>
      </w:r>
      <w:r w:rsidR="006E6446" w:rsidRPr="00392E88">
        <w:t>o</w:t>
      </w:r>
      <w:r w:rsidR="006E6446">
        <w:t> </w:t>
      </w:r>
      <w:r w:rsidR="006E6446" w:rsidRPr="00392E88">
        <w:t>wym</w:t>
      </w:r>
      <w:r w:rsidRPr="00392E88">
        <w:t>ogach przyjmującego państwa członkowskiego dotyczących przekazywania informacji określonych</w:t>
      </w:r>
      <w:r w:rsidR="006E6446" w:rsidRPr="00392E88">
        <w:t xml:space="preserve"> w</w:t>
      </w:r>
      <w:r w:rsidR="006E6446">
        <w:t> </w:t>
      </w:r>
      <w:r w:rsidR="006E6446" w:rsidRPr="00392E88">
        <w:t>tyt</w:t>
      </w:r>
      <w:r w:rsidRPr="00392E88">
        <w:t>ule IV, które mają zastosowanie do działalności transgranicznej. Informacje te przekazuje się</w:t>
      </w:r>
      <w:r w:rsidR="006E6446" w:rsidRPr="00392E88">
        <w:t xml:space="preserve"> w</w:t>
      </w:r>
      <w:r w:rsidR="006E6446">
        <w:t> </w:t>
      </w:r>
      <w:r w:rsidR="006E6446" w:rsidRPr="00392E88">
        <w:t>cią</w:t>
      </w:r>
      <w:r w:rsidRPr="00392E88">
        <w:t>gu następnych czterech tygodni.”;</w:t>
      </w:r>
    </w:p>
    <w:p w14:paraId="3B15F3F7" w14:textId="06DA2330" w:rsidR="002443F5" w:rsidRPr="00392E88" w:rsidRDefault="006E6446" w:rsidP="006E6446">
      <w:pPr>
        <w:pStyle w:val="Point0"/>
      </w:pPr>
      <w:r>
        <w:t>16)</w:t>
      </w:r>
      <w:r>
        <w:tab/>
      </w:r>
      <w:r w:rsidR="002443F5" w:rsidRPr="00392E88">
        <w:t xml:space="preserve">dodaje się </w:t>
      </w:r>
      <w:r w:rsidR="002443F5" w:rsidRPr="006E6446">
        <w:t>art.</w:t>
      </w:r>
      <w:r w:rsidRPr="006E6446">
        <w:t> </w:t>
      </w:r>
      <w:r w:rsidR="002443F5" w:rsidRPr="006E6446">
        <w:t>1</w:t>
      </w:r>
      <w:r w:rsidR="002443F5" w:rsidRPr="00392E88">
        <w:t>2a</w:t>
      </w:r>
      <w:r w:rsidRPr="00392E88">
        <w:t xml:space="preserve"> w</w:t>
      </w:r>
      <w:r>
        <w:t> </w:t>
      </w:r>
      <w:r w:rsidRPr="00392E88">
        <w:t>brz</w:t>
      </w:r>
      <w:r w:rsidR="002443F5" w:rsidRPr="00392E88">
        <w:t>mieniu:</w:t>
      </w:r>
    </w:p>
    <w:p w14:paraId="543D30DB" w14:textId="77777777" w:rsidR="002443F5" w:rsidRPr="00392E88" w:rsidRDefault="002443F5" w:rsidP="005D0C3B">
      <w:pPr>
        <w:pStyle w:val="Titrearticle"/>
      </w:pPr>
      <w:r w:rsidRPr="00392E88">
        <w:t xml:space="preserve">„Artykuł 12a </w:t>
      </w:r>
      <w:r w:rsidRPr="00392E88">
        <w:br/>
      </w:r>
      <w:r w:rsidRPr="00392E88">
        <w:rPr>
          <w:b/>
          <w:i w:val="0"/>
        </w:rPr>
        <w:t>Przeniesienia krajowe</w:t>
      </w:r>
    </w:p>
    <w:p w14:paraId="4A883180" w14:textId="06FF2283" w:rsidR="00D156B6" w:rsidRPr="00392E88" w:rsidRDefault="00D156B6" w:rsidP="00C57B1A">
      <w:pPr>
        <w:pStyle w:val="Text1"/>
      </w:pPr>
      <w:r w:rsidRPr="00392E88">
        <w:t>Państwa członkowskie zapewniają, aby przeniesienia między IORP, które wykonują działalność na podstawie zezwolenia</w:t>
      </w:r>
      <w:r w:rsidR="006E6446" w:rsidRPr="00392E88">
        <w:t xml:space="preserve"> w</w:t>
      </w:r>
      <w:r w:rsidR="006E6446">
        <w:t> </w:t>
      </w:r>
      <w:r w:rsidR="006E6446" w:rsidRPr="00392E88">
        <w:t>tym</w:t>
      </w:r>
      <w:r w:rsidRPr="00392E88">
        <w:t xml:space="preserve"> samym państwie członkowskim, całości lub części zobowiązań programu emerytalnego, rezerw techniczno-ubezpieczeniowych oraz innych zobowiązań</w:t>
      </w:r>
      <w:r w:rsidR="006E6446" w:rsidRPr="00392E88">
        <w:t xml:space="preserve"> i</w:t>
      </w:r>
      <w:r w:rsidR="006E6446">
        <w:t> </w:t>
      </w:r>
      <w:r w:rsidR="006E6446" w:rsidRPr="00392E88">
        <w:t>pra</w:t>
      </w:r>
      <w:r w:rsidRPr="00392E88">
        <w:t>w,</w:t>
      </w:r>
      <w:r w:rsidR="006E6446" w:rsidRPr="00392E88">
        <w:t xml:space="preserve"> a</w:t>
      </w:r>
      <w:r w:rsidR="006E6446">
        <w:t> </w:t>
      </w:r>
      <w:r w:rsidR="006E6446" w:rsidRPr="00392E88">
        <w:t>tak</w:t>
      </w:r>
      <w:r w:rsidRPr="00392E88">
        <w:t>że związanych</w:t>
      </w:r>
      <w:r w:rsidR="006E6446" w:rsidRPr="00392E88">
        <w:t xml:space="preserve"> z</w:t>
      </w:r>
      <w:r w:rsidR="006E6446">
        <w:t> </w:t>
      </w:r>
      <w:r w:rsidR="006E6446" w:rsidRPr="00392E88">
        <w:t>nim</w:t>
      </w:r>
      <w:r w:rsidRPr="00392E88">
        <w:t>i aktywów lub ich ekwiwalentów pieniężnych, podlegały prostym</w:t>
      </w:r>
      <w:r w:rsidR="006E6446" w:rsidRPr="00392E88">
        <w:t xml:space="preserve"> i</w:t>
      </w:r>
      <w:r w:rsidR="006E6446">
        <w:t> </w:t>
      </w:r>
      <w:r w:rsidR="006E6446" w:rsidRPr="00392E88">
        <w:t>prz</w:t>
      </w:r>
      <w:r w:rsidRPr="00392E88">
        <w:t>ejrzystym procedurom zapewniającym ochronę uczestników</w:t>
      </w:r>
      <w:r w:rsidR="006E6446" w:rsidRPr="00392E88">
        <w:t xml:space="preserve"> i</w:t>
      </w:r>
      <w:r w:rsidR="006E6446">
        <w:t> </w:t>
      </w:r>
      <w:r w:rsidR="006E6446" w:rsidRPr="00392E88">
        <w:t>ben</w:t>
      </w:r>
      <w:r w:rsidRPr="00392E88">
        <w:t>eficjentów oraz stałe należyte zarządzanie danymi programami emerytalnymi.</w:t>
      </w:r>
    </w:p>
    <w:p w14:paraId="65DFE393" w14:textId="77777777" w:rsidR="006153EF" w:rsidRPr="00392E88" w:rsidRDefault="00D156B6" w:rsidP="00C57B1A">
      <w:pPr>
        <w:pStyle w:val="Text1"/>
      </w:pPr>
      <w:r w:rsidRPr="00392E88">
        <w:t>Takie przeniesienia wymagają uprzedniego zatwierdzenia przez właściwy organ, który weryfikuje co najmniej wszystkie następujące elementy:</w:t>
      </w:r>
    </w:p>
    <w:p w14:paraId="592A63B4" w14:textId="1D4DA6E0" w:rsidR="006153EF" w:rsidRPr="00392E88" w:rsidRDefault="006153EF" w:rsidP="005D0C3B">
      <w:pPr>
        <w:pStyle w:val="Point1"/>
      </w:pPr>
      <w:r w:rsidRPr="00392E88">
        <w:t xml:space="preserve">a) </w:t>
      </w:r>
      <w:r w:rsidRPr="00392E88">
        <w:tab/>
        <w:t>czy przedłożone informacje są kompletne</w:t>
      </w:r>
      <w:r w:rsidR="006E6446" w:rsidRPr="00392E88">
        <w:t xml:space="preserve"> i</w:t>
      </w:r>
      <w:r w:rsidR="006E6446">
        <w:t> </w:t>
      </w:r>
      <w:r w:rsidR="006E6446" w:rsidRPr="00392E88">
        <w:t>dok</w:t>
      </w:r>
      <w:r w:rsidRPr="00392E88">
        <w:t>ładne;</w:t>
      </w:r>
    </w:p>
    <w:p w14:paraId="4A3FE068" w14:textId="54A242BB" w:rsidR="006153EF" w:rsidRPr="00392E88" w:rsidRDefault="006153EF" w:rsidP="005D0C3B">
      <w:pPr>
        <w:pStyle w:val="Point1"/>
      </w:pPr>
      <w:r w:rsidRPr="00392E88">
        <w:t>b)</w:t>
      </w:r>
      <w:r w:rsidRPr="00392E88">
        <w:tab/>
        <w:t>czy struktura administracyjna, sytuacja finansowa oraz nieposzlakowana opinia lub kwalifikacje zawodowe</w:t>
      </w:r>
      <w:r w:rsidR="006E6446" w:rsidRPr="00392E88">
        <w:t xml:space="preserve"> i</w:t>
      </w:r>
      <w:r w:rsidR="006E6446">
        <w:t> </w:t>
      </w:r>
      <w:r w:rsidR="006E6446" w:rsidRPr="00392E88">
        <w:t>doś</w:t>
      </w:r>
      <w:r w:rsidRPr="00392E88">
        <w:t>wiadczenie osób, które faktycznie zarządzają danymi IORP, są zgodne</w:t>
      </w:r>
      <w:r w:rsidR="006E6446" w:rsidRPr="00392E88">
        <w:t xml:space="preserve"> z</w:t>
      </w:r>
      <w:r w:rsidR="006E6446">
        <w:t> </w:t>
      </w:r>
      <w:r w:rsidR="006E6446" w:rsidRPr="00392E88">
        <w:t>pro</w:t>
      </w:r>
      <w:r w:rsidRPr="00392E88">
        <w:t>ponowanym przeniesieniem;</w:t>
      </w:r>
    </w:p>
    <w:p w14:paraId="0F90E4D4" w14:textId="26B83558" w:rsidR="006153EF" w:rsidRPr="00392E88" w:rsidRDefault="006153EF" w:rsidP="005D0C3B">
      <w:pPr>
        <w:pStyle w:val="Point1"/>
      </w:pPr>
      <w:r w:rsidRPr="00392E88">
        <w:t xml:space="preserve">c) </w:t>
      </w:r>
      <w:r w:rsidRPr="00392E88">
        <w:tab/>
        <w:t>czy długoterminowe interesy uczestników</w:t>
      </w:r>
      <w:r w:rsidR="006E6446" w:rsidRPr="00392E88">
        <w:t xml:space="preserve"> i</w:t>
      </w:r>
      <w:r w:rsidR="006E6446">
        <w:t> </w:t>
      </w:r>
      <w:r w:rsidR="006E6446" w:rsidRPr="00392E88">
        <w:t>ben</w:t>
      </w:r>
      <w:r w:rsidRPr="00392E88">
        <w:t>eficjentów są odpowiednio chronione;</w:t>
      </w:r>
    </w:p>
    <w:p w14:paraId="44A753D6" w14:textId="6DAFB17D" w:rsidR="00455452" w:rsidRPr="00392E88" w:rsidRDefault="006153EF">
      <w:pPr>
        <w:pStyle w:val="Point1"/>
      </w:pPr>
      <w:r w:rsidRPr="00392E88">
        <w:t xml:space="preserve">d) </w:t>
      </w:r>
      <w:r w:rsidRPr="00392E88">
        <w:tab/>
        <w:t>czy aktywa, które mają zostać przeniesione, są wystarczające</w:t>
      </w:r>
      <w:r w:rsidR="006E6446" w:rsidRPr="00392E88">
        <w:t xml:space="preserve"> i</w:t>
      </w:r>
      <w:r w:rsidR="006E6446">
        <w:t> </w:t>
      </w:r>
      <w:r w:rsidR="006E6446" w:rsidRPr="00392E88">
        <w:t>odp</w:t>
      </w:r>
      <w:r w:rsidRPr="00392E88">
        <w:t>owiednie do pokrycia powiązanych zobowiązań, rezerw techniczno-ubezpieczeniowych oraz innych zobowiązań</w:t>
      </w:r>
      <w:r w:rsidR="006E6446" w:rsidRPr="00392E88">
        <w:t xml:space="preserve"> i</w:t>
      </w:r>
      <w:r w:rsidR="006E6446">
        <w:t> </w:t>
      </w:r>
      <w:r w:rsidR="006E6446" w:rsidRPr="00392E88">
        <w:t>pra</w:t>
      </w:r>
      <w:r w:rsidRPr="00392E88">
        <w:t>w.</w:t>
      </w:r>
    </w:p>
    <w:p w14:paraId="624802C5" w14:textId="152BD140" w:rsidR="006451F8" w:rsidRPr="00392E88" w:rsidRDefault="00455452" w:rsidP="005D0C3B">
      <w:pPr>
        <w:pStyle w:val="Text1"/>
      </w:pPr>
      <w:r w:rsidRPr="00392E88">
        <w:t>W przypadku gdy państwo członkowskie uzależnia przeniesienia krajowe od uprzedniej zgody uczestników</w:t>
      </w:r>
      <w:r w:rsidR="006E6446" w:rsidRPr="00392E88">
        <w:t xml:space="preserve"> i</w:t>
      </w:r>
      <w:r w:rsidR="006E6446">
        <w:t> </w:t>
      </w:r>
      <w:r w:rsidR="006E6446" w:rsidRPr="00392E88">
        <w:t>ben</w:t>
      </w:r>
      <w:r w:rsidRPr="00392E88">
        <w:t>eficjentów, których one dotyczą, procedura zgody nie może być bardziej rygorystyczna niż procedura określona</w:t>
      </w:r>
      <w:r w:rsidR="006E6446" w:rsidRPr="00392E88">
        <w:t xml:space="preserve"> w</w:t>
      </w:r>
      <w:r w:rsidR="006E6446">
        <w:t> </w:t>
      </w:r>
      <w:r w:rsidR="006E6446" w:rsidRPr="006E6446">
        <w:t>art</w:t>
      </w:r>
      <w:r w:rsidRPr="006E6446">
        <w:t>.</w:t>
      </w:r>
      <w:r w:rsidR="006E6446" w:rsidRPr="006E6446">
        <w:t> </w:t>
      </w:r>
      <w:r w:rsidRPr="006E6446">
        <w:t>1</w:t>
      </w:r>
      <w:r w:rsidRPr="00392E88">
        <w:t xml:space="preserve">2 </w:t>
      </w:r>
      <w:r w:rsidRPr="006E6446">
        <w:t>ust.</w:t>
      </w:r>
      <w:r w:rsidR="006E6446" w:rsidRPr="006E6446">
        <w:t> </w:t>
      </w:r>
      <w:r w:rsidRPr="006E6446">
        <w:t>3</w:t>
      </w:r>
      <w:r w:rsidRPr="00392E88">
        <w:t>.”;</w:t>
      </w:r>
    </w:p>
    <w:p w14:paraId="7F9F2B16" w14:textId="2A738DAC" w:rsidR="00A93E4B" w:rsidRPr="00392E88" w:rsidRDefault="006E6446" w:rsidP="006E6446">
      <w:pPr>
        <w:pStyle w:val="Point0"/>
      </w:pPr>
      <w:r>
        <w:t>17)</w:t>
      </w:r>
      <w:r>
        <w:tab/>
      </w:r>
      <w:r w:rsidR="00781F8E" w:rsidRPr="006E6446">
        <w:t>art.</w:t>
      </w:r>
      <w:r w:rsidRPr="006E6446">
        <w:t> </w:t>
      </w:r>
      <w:r w:rsidR="00781F8E" w:rsidRPr="006E6446">
        <w:t>1</w:t>
      </w:r>
      <w:r w:rsidR="00781F8E" w:rsidRPr="00392E88">
        <w:t xml:space="preserve">3 </w:t>
      </w:r>
      <w:r w:rsidR="00781F8E" w:rsidRPr="006E6446">
        <w:t>ust.</w:t>
      </w:r>
      <w:r w:rsidRPr="006E6446">
        <w:t> </w:t>
      </w:r>
      <w:r w:rsidR="00781F8E" w:rsidRPr="006E6446">
        <w:t>1</w:t>
      </w:r>
      <w:r w:rsidRPr="00392E88">
        <w:t xml:space="preserve"> i</w:t>
      </w:r>
      <w:r>
        <w:t> </w:t>
      </w:r>
      <w:r w:rsidRPr="00392E88">
        <w:t>2</w:t>
      </w:r>
      <w:r w:rsidR="00781F8E" w:rsidRPr="00392E88">
        <w:t xml:space="preserve"> otrzymują brzmienie:</w:t>
      </w:r>
    </w:p>
    <w:p w14:paraId="1844DDEF" w14:textId="32FB2297" w:rsidR="00765E00" w:rsidRPr="00392E88" w:rsidRDefault="00A93E4B" w:rsidP="00781F8E">
      <w:pPr>
        <w:pStyle w:val="Text1"/>
      </w:pPr>
      <w:r w:rsidRPr="00392E88">
        <w:t>„1.</w:t>
      </w:r>
      <w:r w:rsidRPr="00392E88">
        <w:tab/>
        <w:t>Rodzime państwo członkowskie zapewnia, aby IORP obsługujące programy emerytalne zawsze ustalały,</w:t>
      </w:r>
      <w:r w:rsidR="006E6446" w:rsidRPr="00392E88">
        <w:t xml:space="preserve"> w</w:t>
      </w:r>
      <w:r w:rsidR="006E6446">
        <w:t> </w:t>
      </w:r>
      <w:r w:rsidR="006E6446" w:rsidRPr="00392E88">
        <w:t>odn</w:t>
      </w:r>
      <w:r w:rsidRPr="00392E88">
        <w:t>iesieniu do pełnego zakresu ich pracowniczych programów emerytalnych oraz, jeżeli zezwala na to prawo krajowe, systemów emerytur indywidualnych dystrybuowanych za pośrednictwem IORP, dostateczną wartość pasywów odpowiadającą zobowiązaniom finansowym, które wynikają</w:t>
      </w:r>
      <w:r w:rsidR="006E6446" w:rsidRPr="00392E88">
        <w:t xml:space="preserve"> z</w:t>
      </w:r>
      <w:r w:rsidR="006E6446">
        <w:t> </w:t>
      </w:r>
      <w:r w:rsidR="006E6446" w:rsidRPr="00392E88">
        <w:t>ich</w:t>
      </w:r>
      <w:r w:rsidRPr="00392E88">
        <w:t xml:space="preserve"> portfela istniejących umów emerytalnych.</w:t>
      </w:r>
    </w:p>
    <w:p w14:paraId="2502E5E1" w14:textId="50F9D09F" w:rsidR="00A93E4B" w:rsidRPr="00392E88" w:rsidRDefault="00765E00" w:rsidP="00781F8E">
      <w:pPr>
        <w:pStyle w:val="Text1"/>
      </w:pPr>
      <w:r w:rsidRPr="00392E88">
        <w:t>2.</w:t>
      </w:r>
      <w:r w:rsidRPr="00392E88">
        <w:tab/>
        <w:t>Rodzime państwo członkowskie zapewnia, aby IORP obsługujące programy emerytalne, które zapewniają pokrycie biometrycznych rodzajów ryzyka lub gwarantują wyniki inwestycyjne albo dany poziom świadczeń, utworzyły wystarczające rezerwy techniczno-ubezpieczeniowe</w:t>
      </w:r>
      <w:r w:rsidR="006E6446" w:rsidRPr="00392E88">
        <w:t xml:space="preserve"> w</w:t>
      </w:r>
      <w:r w:rsidR="006E6446">
        <w:t> </w:t>
      </w:r>
      <w:r w:rsidR="006E6446" w:rsidRPr="00392E88">
        <w:t>odn</w:t>
      </w:r>
      <w:r w:rsidRPr="00392E88">
        <w:t>iesieniu do pełnego zakresu takich programów.”;</w:t>
      </w:r>
    </w:p>
    <w:p w14:paraId="7B39AA39" w14:textId="537F8D97" w:rsidR="00CD047C" w:rsidRPr="00392E88" w:rsidRDefault="006E6446" w:rsidP="006E6446">
      <w:pPr>
        <w:pStyle w:val="Point0"/>
      </w:pPr>
      <w:r>
        <w:t>18)</w:t>
      </w:r>
      <w:r>
        <w:tab/>
      </w:r>
      <w:r w:rsidR="008E4634" w:rsidRPr="00392E88">
        <w:t xml:space="preserve">w </w:t>
      </w:r>
      <w:r w:rsidR="008E4634" w:rsidRPr="006E6446">
        <w:t>art.</w:t>
      </w:r>
      <w:r w:rsidRPr="006E6446">
        <w:t> </w:t>
      </w:r>
      <w:r w:rsidR="008E4634" w:rsidRPr="006E6446">
        <w:t>1</w:t>
      </w:r>
      <w:r w:rsidR="008E4634" w:rsidRPr="00392E88">
        <w:t>4 wprowadza się następujące zmiany:</w:t>
      </w:r>
    </w:p>
    <w:p w14:paraId="6E444377" w14:textId="1182D09B" w:rsidR="00CD047C" w:rsidRPr="00392E88" w:rsidRDefault="006E6446" w:rsidP="006E6446">
      <w:pPr>
        <w:pStyle w:val="Point1"/>
      </w:pPr>
      <w:r>
        <w:t>a)</w:t>
      </w:r>
      <w:r>
        <w:tab/>
      </w:r>
      <w:r w:rsidR="00CD047C" w:rsidRPr="00392E88">
        <w:t xml:space="preserve">w </w:t>
      </w:r>
      <w:r w:rsidR="00CD047C" w:rsidRPr="006E6446">
        <w:t>ust.</w:t>
      </w:r>
      <w:r w:rsidRPr="006E6446">
        <w:t> </w:t>
      </w:r>
      <w:r w:rsidR="00CD047C" w:rsidRPr="006E6446">
        <w:t>2</w:t>
      </w:r>
      <w:r w:rsidR="00CD047C" w:rsidRPr="00392E88">
        <w:t xml:space="preserve"> wprowadza się następujące zmiany:</w:t>
      </w:r>
    </w:p>
    <w:p w14:paraId="4BDD28B0" w14:textId="77777777" w:rsidR="00D07C5F" w:rsidRPr="00392E88" w:rsidRDefault="003B1703" w:rsidP="073AE836">
      <w:pPr>
        <w:pStyle w:val="Point2"/>
      </w:pPr>
      <w:r w:rsidRPr="00392E88">
        <w:t>(i)</w:t>
      </w:r>
      <w:r w:rsidRPr="00392E88">
        <w:tab/>
        <w:t>w akapicie pierwszym formuła wprowadzająca otrzymuje brzmienie:</w:t>
      </w:r>
    </w:p>
    <w:p w14:paraId="7E6EB689" w14:textId="6A7DCDB1" w:rsidR="0013625B" w:rsidRPr="00392E88" w:rsidRDefault="004F5074" w:rsidP="005D0C3B">
      <w:pPr>
        <w:pStyle w:val="Text1"/>
      </w:pPr>
      <w:r w:rsidRPr="00392E88">
        <w:t>„Rodzime państwa członkowskie zapewniają, aby ich właściwe organy posiadały niezbędne uprawnienia zezwalające IORP, przez ograniczony czas, na posiadanie niewystarczających aktywów dla pokrycia rezerw techniczno-ubezpieczeniowych</w:t>
      </w:r>
      <w:r w:rsidR="006E6446" w:rsidRPr="00392E88">
        <w:t>. W</w:t>
      </w:r>
      <w:r w:rsidR="006E6446">
        <w:t> </w:t>
      </w:r>
      <w:r w:rsidR="006E6446" w:rsidRPr="00392E88">
        <w:t>tak</w:t>
      </w:r>
      <w:r w:rsidRPr="00392E88">
        <w:t>im przypadku właściwe organy wymagają, aby IORP przyjęła konkretny</w:t>
      </w:r>
      <w:r w:rsidR="006E6446" w:rsidRPr="00392E88">
        <w:t xml:space="preserve"> i</w:t>
      </w:r>
      <w:r w:rsidR="006E6446">
        <w:t> </w:t>
      </w:r>
      <w:r w:rsidR="006E6446" w:rsidRPr="00392E88">
        <w:t>moż</w:t>
      </w:r>
      <w:r w:rsidRPr="00392E88">
        <w:t>liwy do realizacji plan naprawczy wraz</w:t>
      </w:r>
      <w:r w:rsidR="006E6446" w:rsidRPr="00392E88">
        <w:t xml:space="preserve"> z</w:t>
      </w:r>
      <w:r w:rsidR="006E6446">
        <w:t> </w:t>
      </w:r>
      <w:r w:rsidR="006E6446" w:rsidRPr="00392E88">
        <w:t>har</w:t>
      </w:r>
      <w:r w:rsidRPr="00392E88">
        <w:t>monogramem</w:t>
      </w:r>
      <w:r w:rsidR="006E6446" w:rsidRPr="00392E88">
        <w:t xml:space="preserve"> w</w:t>
      </w:r>
      <w:r w:rsidR="006E6446">
        <w:t> </w:t>
      </w:r>
      <w:r w:rsidR="006E6446" w:rsidRPr="00392E88">
        <w:t>cel</w:t>
      </w:r>
      <w:r w:rsidRPr="00392E88">
        <w:t>u zapewnienia, aby wymogi określone</w:t>
      </w:r>
      <w:r w:rsidR="006E6446" w:rsidRPr="00392E88">
        <w:t xml:space="preserve"> w</w:t>
      </w:r>
      <w:r w:rsidR="006E6446">
        <w:t> </w:t>
      </w:r>
      <w:r w:rsidR="006E6446" w:rsidRPr="006E6446">
        <w:t>ust</w:t>
      </w:r>
      <w:r w:rsidRPr="006E6446">
        <w:t>.</w:t>
      </w:r>
      <w:r w:rsidR="006E6446" w:rsidRPr="006E6446">
        <w:t> </w:t>
      </w:r>
      <w:r w:rsidRPr="006E6446">
        <w:t>1</w:t>
      </w:r>
      <w:r w:rsidRPr="00392E88">
        <w:t xml:space="preserve"> były ponownie spełnione. Plan podlega następującym warunkom:”;</w:t>
      </w:r>
    </w:p>
    <w:p w14:paraId="785D945C" w14:textId="2F9B3F7D" w:rsidR="200CE08A" w:rsidRPr="00392E88" w:rsidRDefault="00AA1E94" w:rsidP="00C9746B">
      <w:pPr>
        <w:pStyle w:val="Point2"/>
      </w:pPr>
      <w:r w:rsidRPr="00392E88">
        <w:t>(ii)</w:t>
      </w:r>
      <w:r w:rsidRPr="00392E88">
        <w:tab/>
        <w:t>dodaje się akapit</w:t>
      </w:r>
      <w:r w:rsidR="006E6446" w:rsidRPr="00392E88">
        <w:t xml:space="preserve"> w</w:t>
      </w:r>
      <w:r w:rsidR="006E6446">
        <w:t> </w:t>
      </w:r>
      <w:r w:rsidR="006E6446" w:rsidRPr="00392E88">
        <w:t>brz</w:t>
      </w:r>
      <w:r w:rsidRPr="00392E88">
        <w:t>mieniu:</w:t>
      </w:r>
    </w:p>
    <w:p w14:paraId="39119185" w14:textId="226B9102" w:rsidR="14B72212" w:rsidRPr="00392E88" w:rsidRDefault="14B72212" w:rsidP="073AE836">
      <w:pPr>
        <w:pStyle w:val="Text1"/>
      </w:pPr>
      <w:r w:rsidRPr="00392E88">
        <w:t>„Ograniczony czas</w:t>
      </w:r>
      <w:r w:rsidR="006E6446" w:rsidRPr="006E6446">
        <w:t xml:space="preserve">, </w:t>
      </w:r>
      <w:r w:rsidR="006E6446" w:rsidRPr="00392E88">
        <w:t>o</w:t>
      </w:r>
      <w:r w:rsidR="006E6446">
        <w:t> </w:t>
      </w:r>
      <w:r w:rsidR="006E6446" w:rsidRPr="00392E88">
        <w:t>któ</w:t>
      </w:r>
      <w:r w:rsidRPr="00392E88">
        <w:t>rym mowa</w:t>
      </w:r>
      <w:r w:rsidR="006E6446" w:rsidRPr="00392E88">
        <w:t xml:space="preserve"> w</w:t>
      </w:r>
      <w:r w:rsidR="006E6446">
        <w:t> </w:t>
      </w:r>
      <w:r w:rsidR="006E6446" w:rsidRPr="00392E88">
        <w:t>for</w:t>
      </w:r>
      <w:r w:rsidRPr="00392E88">
        <w:t>mule wprowadzającej akapitu pierwszego, określa się</w:t>
      </w:r>
      <w:r w:rsidR="006E6446" w:rsidRPr="00392E88">
        <w:t xml:space="preserve"> w</w:t>
      </w:r>
      <w:r w:rsidR="006E6446">
        <w:t> </w:t>
      </w:r>
      <w:r w:rsidR="006E6446" w:rsidRPr="00392E88">
        <w:t>pra</w:t>
      </w:r>
      <w:r w:rsidRPr="00392E88">
        <w:t>wie krajowym</w:t>
      </w:r>
      <w:r w:rsidR="006E6446" w:rsidRPr="00392E88">
        <w:t xml:space="preserve"> i</w:t>
      </w:r>
      <w:r w:rsidR="006E6446">
        <w:t> </w:t>
      </w:r>
      <w:r w:rsidR="006E6446" w:rsidRPr="00392E88">
        <w:t>w</w:t>
      </w:r>
      <w:r w:rsidR="006E6446">
        <w:t> </w:t>
      </w:r>
      <w:r w:rsidR="006E6446" w:rsidRPr="00392E88">
        <w:t>żad</w:t>
      </w:r>
      <w:r w:rsidRPr="00392E88">
        <w:t>nym przypadku nie przekracza on dziesięciu lat.”;</w:t>
      </w:r>
    </w:p>
    <w:p w14:paraId="72087E25" w14:textId="13939000" w:rsidR="008E4634" w:rsidRPr="00392E88" w:rsidRDefault="006E6446" w:rsidP="006E6446">
      <w:pPr>
        <w:pStyle w:val="Point1"/>
      </w:pPr>
      <w:r>
        <w:t>b)</w:t>
      </w:r>
      <w:r>
        <w:tab/>
      </w:r>
      <w:r w:rsidR="00CD047C" w:rsidRPr="00392E88">
        <w:t xml:space="preserve">uchyla się </w:t>
      </w:r>
      <w:r w:rsidR="00CD047C" w:rsidRPr="006E6446">
        <w:t>ust.</w:t>
      </w:r>
      <w:r w:rsidRPr="006E6446">
        <w:t> </w:t>
      </w:r>
      <w:r w:rsidR="00CD047C" w:rsidRPr="006E6446">
        <w:t>3</w:t>
      </w:r>
      <w:r w:rsidR="00CD047C" w:rsidRPr="00392E88">
        <w:t>;</w:t>
      </w:r>
    </w:p>
    <w:p w14:paraId="4ADC41AF" w14:textId="3DC05CA0" w:rsidR="00E70D69" w:rsidRPr="00392E88" w:rsidRDefault="006E6446" w:rsidP="006E6446">
      <w:pPr>
        <w:pStyle w:val="Point0"/>
      </w:pPr>
      <w:r>
        <w:t>19)</w:t>
      </w:r>
      <w:r>
        <w:tab/>
      </w:r>
      <w:r w:rsidR="00E70D69" w:rsidRPr="00392E88">
        <w:t xml:space="preserve">w </w:t>
      </w:r>
      <w:r w:rsidR="00E70D69" w:rsidRPr="006E6446">
        <w:t>art.</w:t>
      </w:r>
      <w:r w:rsidRPr="006E6446">
        <w:t> </w:t>
      </w:r>
      <w:r w:rsidR="00E70D69" w:rsidRPr="006E6446">
        <w:t>1</w:t>
      </w:r>
      <w:r w:rsidR="00E70D69" w:rsidRPr="00392E88">
        <w:t>6 wprowadza się następujące zmiany:</w:t>
      </w:r>
    </w:p>
    <w:p w14:paraId="7ED0B44E" w14:textId="5107C35C" w:rsidR="000700AF" w:rsidRPr="00392E88" w:rsidRDefault="006E6446" w:rsidP="006E6446">
      <w:pPr>
        <w:pStyle w:val="Point1"/>
      </w:pPr>
      <w:r>
        <w:t>a)</w:t>
      </w:r>
      <w:r>
        <w:tab/>
      </w:r>
      <w:r w:rsidR="00DD0C8A" w:rsidRPr="00392E88">
        <w:t>ust. 1 otrzymuje brzmienie:</w:t>
      </w:r>
    </w:p>
    <w:p w14:paraId="27A21D75" w14:textId="453A9FAD" w:rsidR="00E70D69" w:rsidRPr="00392E88" w:rsidRDefault="008A43AB" w:rsidP="00C9746B">
      <w:pPr>
        <w:pStyle w:val="Text1"/>
      </w:pPr>
      <w:r w:rsidRPr="00392E88">
        <w:t>„1.</w:t>
      </w:r>
      <w:r w:rsidRPr="00392E88">
        <w:tab/>
        <w:t>Państwa członkowskie wymagają od wszystkich IORP,</w:t>
      </w:r>
      <w:r w:rsidR="006E6446" w:rsidRPr="00392E88">
        <w:t xml:space="preserve"> o</w:t>
      </w:r>
      <w:r w:rsidR="006E6446">
        <w:t> </w:t>
      </w:r>
      <w:r w:rsidR="006E6446" w:rsidRPr="00392E88">
        <w:t>któ</w:t>
      </w:r>
      <w:r w:rsidRPr="00392E88">
        <w:t>rych mowa</w:t>
      </w:r>
      <w:r w:rsidR="006E6446" w:rsidRPr="00392E88">
        <w:t xml:space="preserve"> w</w:t>
      </w:r>
      <w:r w:rsidR="006E6446">
        <w:t> </w:t>
      </w:r>
      <w:r w:rsidR="006E6446" w:rsidRPr="006E6446">
        <w:t>art</w:t>
      </w:r>
      <w:r w:rsidRPr="006E6446">
        <w:t>.</w:t>
      </w:r>
      <w:r w:rsidR="006E6446" w:rsidRPr="006E6446">
        <w:t> </w:t>
      </w:r>
      <w:r w:rsidRPr="006E6446">
        <w:t>1</w:t>
      </w:r>
      <w:r w:rsidRPr="00392E88">
        <w:t xml:space="preserve">5 </w:t>
      </w:r>
      <w:r w:rsidRPr="006E6446">
        <w:t>ust.</w:t>
      </w:r>
      <w:r w:rsidR="006E6446" w:rsidRPr="006E6446">
        <w:t> </w:t>
      </w:r>
      <w:r w:rsidRPr="006E6446">
        <w:t>1</w:t>
      </w:r>
      <w:r w:rsidRPr="00392E88">
        <w:t>, wykonujących działalność na podstawie zezwolenia na ich terytoriach, utrzymywania odpowiedniego dostępnego marginesu wypłacalności</w:t>
      </w:r>
      <w:r w:rsidR="006E6446" w:rsidRPr="00392E88">
        <w:t xml:space="preserve"> w</w:t>
      </w:r>
      <w:r w:rsidR="006E6446">
        <w:t> </w:t>
      </w:r>
      <w:r w:rsidR="006E6446" w:rsidRPr="00392E88">
        <w:t>odn</w:t>
      </w:r>
      <w:r w:rsidRPr="00392E88">
        <w:t>iesieniu do całej ich działalności, na poziomie co najmniej równym wymogom określonym</w:t>
      </w:r>
      <w:r w:rsidR="006E6446" w:rsidRPr="00392E88">
        <w:t xml:space="preserve"> w</w:t>
      </w:r>
      <w:r w:rsidR="006E6446">
        <w:t> </w:t>
      </w:r>
      <w:r w:rsidR="006E6446" w:rsidRPr="00392E88">
        <w:t>nin</w:t>
      </w:r>
      <w:r w:rsidRPr="00392E88">
        <w:t>iejszej dyrektywie</w:t>
      </w:r>
      <w:r w:rsidR="006E6446" w:rsidRPr="00392E88">
        <w:t xml:space="preserve"> w</w:t>
      </w:r>
      <w:r w:rsidR="006E6446">
        <w:t> </w:t>
      </w:r>
      <w:r w:rsidR="006E6446" w:rsidRPr="00392E88">
        <w:t>cel</w:t>
      </w:r>
      <w:r w:rsidRPr="00392E88">
        <w:t>u zapewnienia długoterminowej stabilności pracowniczych programów emerytalnych oraz, jeżeli zezwala na to prawo krajowe, wizji świadczeń indywidualnych.”;</w:t>
      </w:r>
    </w:p>
    <w:p w14:paraId="1150D491" w14:textId="5E5C4601" w:rsidR="000700AF" w:rsidRPr="00392E88" w:rsidRDefault="006E6446" w:rsidP="006E6446">
      <w:pPr>
        <w:pStyle w:val="Point1"/>
      </w:pPr>
      <w:r>
        <w:t>b)</w:t>
      </w:r>
      <w:r>
        <w:tab/>
      </w:r>
      <w:r w:rsidR="007760DC" w:rsidRPr="00392E88">
        <w:t>ust. 4 akapit drugi otrzymuje brzmienie:</w:t>
      </w:r>
    </w:p>
    <w:p w14:paraId="64F787F4" w14:textId="7A53CD36" w:rsidR="00A1222D" w:rsidRPr="00392E88" w:rsidRDefault="00A1222D" w:rsidP="00C9746B">
      <w:pPr>
        <w:pStyle w:val="Text1"/>
      </w:pPr>
      <w:r w:rsidRPr="00392E88">
        <w:t>„Wielkość,</w:t>
      </w:r>
      <w:r w:rsidR="006E6446" w:rsidRPr="00392E88">
        <w:t xml:space="preserve"> o</w:t>
      </w:r>
      <w:r w:rsidR="006E6446">
        <w:t> </w:t>
      </w:r>
      <w:r w:rsidR="006E6446" w:rsidRPr="00392E88">
        <w:t>któ</w:t>
      </w:r>
      <w:r w:rsidRPr="00392E88">
        <w:t>rej mowa</w:t>
      </w:r>
      <w:r w:rsidR="006E6446" w:rsidRPr="00392E88">
        <w:t xml:space="preserve"> w</w:t>
      </w:r>
      <w:r w:rsidR="006E6446">
        <w:t> </w:t>
      </w:r>
      <w:r w:rsidR="006E6446" w:rsidRPr="00392E88">
        <w:t>aka</w:t>
      </w:r>
      <w:r w:rsidRPr="00392E88">
        <w:t xml:space="preserve">picie pierwszym </w:t>
      </w:r>
      <w:r w:rsidRPr="006E6446">
        <w:t>lit.</w:t>
      </w:r>
      <w:r w:rsidR="006E6446" w:rsidRPr="006E6446">
        <w:t> </w:t>
      </w:r>
      <w:r w:rsidRPr="006E6446">
        <w:t>a)</w:t>
      </w:r>
      <w:r w:rsidRPr="00392E88">
        <w:t>, nie może przekroczyć 3,</w:t>
      </w:r>
      <w:r w:rsidRPr="006E6446">
        <w:t>5</w:t>
      </w:r>
      <w:r w:rsidR="006E6446" w:rsidRPr="006E6446">
        <w:t> </w:t>
      </w:r>
      <w:r w:rsidRPr="006E6446">
        <w:t>%</w:t>
      </w:r>
      <w:r w:rsidRPr="00392E88">
        <w:t xml:space="preserve"> sumy różnic między odpowiednimi sumami kapitału działalności</w:t>
      </w:r>
      <w:r w:rsidR="006E6446" w:rsidRPr="00392E88">
        <w:t xml:space="preserve"> z</w:t>
      </w:r>
      <w:r w:rsidR="006E6446">
        <w:t> </w:t>
      </w:r>
      <w:r w:rsidR="006E6446" w:rsidRPr="00392E88">
        <w:t>zak</w:t>
      </w:r>
      <w:r w:rsidRPr="00392E88">
        <w:t>resu ubezpieczeń na życie, pracowniczych programów emerytalnych oraz, jeżeli zezwala na to prawo krajowe, działalności</w:t>
      </w:r>
      <w:r w:rsidR="006E6446" w:rsidRPr="00392E88">
        <w:t xml:space="preserve"> w</w:t>
      </w:r>
      <w:r w:rsidR="006E6446">
        <w:t> </w:t>
      </w:r>
      <w:r w:rsidR="006E6446" w:rsidRPr="00392E88">
        <w:t>zak</w:t>
      </w:r>
      <w:r w:rsidRPr="00392E88">
        <w:t>resie indywidualnych programów emerytalnych,</w:t>
      </w:r>
      <w:r w:rsidR="006E6446" w:rsidRPr="00392E88">
        <w:t xml:space="preserve"> z</w:t>
      </w:r>
      <w:r w:rsidR="006E6446">
        <w:t> </w:t>
      </w:r>
      <w:r w:rsidR="006E6446" w:rsidRPr="00392E88">
        <w:t>jed</w:t>
      </w:r>
      <w:r w:rsidRPr="00392E88">
        <w:t>nej strony,</w:t>
      </w:r>
      <w:r w:rsidR="006E6446" w:rsidRPr="00392E88">
        <w:t xml:space="preserve"> a</w:t>
      </w:r>
      <w:r w:rsidR="006E6446">
        <w:t> </w:t>
      </w:r>
      <w:r w:rsidR="006E6446" w:rsidRPr="00392E88">
        <w:t>rez</w:t>
      </w:r>
      <w:r w:rsidRPr="00392E88">
        <w:t>erwami matematycznymi dla wszystkich polis, dla których możliwe jest stosowanie metody Zillmera,</w:t>
      </w:r>
      <w:r w:rsidR="006E6446" w:rsidRPr="00392E88">
        <w:t xml:space="preserve"> z</w:t>
      </w:r>
      <w:r w:rsidR="006E6446">
        <w:t> </w:t>
      </w:r>
      <w:r w:rsidR="006E6446" w:rsidRPr="00392E88">
        <w:t>dru</w:t>
      </w:r>
      <w:r w:rsidRPr="00392E88">
        <w:t>giej strony. Różnicę tę pomniejsza się</w:t>
      </w:r>
      <w:r w:rsidR="006E6446" w:rsidRPr="00392E88">
        <w:t xml:space="preserve"> o</w:t>
      </w:r>
      <w:r w:rsidR="006E6446">
        <w:t> </w:t>
      </w:r>
      <w:r w:rsidR="006E6446" w:rsidRPr="00392E88">
        <w:t>kwo</w:t>
      </w:r>
      <w:r w:rsidRPr="00392E88">
        <w:t>tę niezamortyzowanych kosztów uzyskania, zaksięgowaną jako aktywa.”;</w:t>
      </w:r>
    </w:p>
    <w:p w14:paraId="07278E36" w14:textId="256244C4" w:rsidR="008658BA" w:rsidRPr="00392E88" w:rsidRDefault="006E6446" w:rsidP="006E6446">
      <w:pPr>
        <w:pStyle w:val="Point0"/>
      </w:pPr>
      <w:r>
        <w:t>20)</w:t>
      </w:r>
      <w:r>
        <w:tab/>
      </w:r>
      <w:r w:rsidR="008658BA" w:rsidRPr="00392E88">
        <w:t xml:space="preserve">w </w:t>
      </w:r>
      <w:r w:rsidR="008658BA" w:rsidRPr="006E6446">
        <w:t>art.</w:t>
      </w:r>
      <w:r w:rsidRPr="006E6446">
        <w:t> </w:t>
      </w:r>
      <w:r w:rsidR="008658BA" w:rsidRPr="006E6446">
        <w:t>1</w:t>
      </w:r>
      <w:r w:rsidR="008658BA" w:rsidRPr="00392E88">
        <w:t xml:space="preserve">7 dodaje się </w:t>
      </w:r>
      <w:r w:rsidR="008658BA" w:rsidRPr="006E6446">
        <w:t>ust.</w:t>
      </w:r>
      <w:r w:rsidRPr="006E6446">
        <w:t> </w:t>
      </w:r>
      <w:r w:rsidR="008658BA" w:rsidRPr="006E6446">
        <w:t>7</w:t>
      </w:r>
      <w:r w:rsidRPr="00392E88">
        <w:t xml:space="preserve"> w</w:t>
      </w:r>
      <w:r>
        <w:t> </w:t>
      </w:r>
      <w:r w:rsidRPr="00392E88">
        <w:t>brz</w:t>
      </w:r>
      <w:r w:rsidR="008658BA" w:rsidRPr="00392E88">
        <w:t>mieniu:</w:t>
      </w:r>
    </w:p>
    <w:p w14:paraId="138756AE" w14:textId="2605E291" w:rsidR="008658BA" w:rsidRPr="00392E88" w:rsidRDefault="008658BA" w:rsidP="008658BA">
      <w:pPr>
        <w:pStyle w:val="Text1"/>
      </w:pPr>
      <w:r w:rsidRPr="00392E88">
        <w:t>„7.</w:t>
      </w:r>
      <w:r w:rsidRPr="00392E88">
        <w:tab/>
        <w:t>Komisja jest uprawniona do przyjmowania aktów delegowanych zgodnie</w:t>
      </w:r>
      <w:r w:rsidR="006E6446" w:rsidRPr="00392E88">
        <w:t xml:space="preserve"> z</w:t>
      </w:r>
      <w:r w:rsidR="006E6446">
        <w:t> </w:t>
      </w:r>
      <w:r w:rsidR="006E6446" w:rsidRPr="006E6446">
        <w:t>art</w:t>
      </w:r>
      <w:r w:rsidRPr="006E6446">
        <w:t>.</w:t>
      </w:r>
      <w:r w:rsidR="006E6446" w:rsidRPr="006E6446">
        <w:t> </w:t>
      </w:r>
      <w:r w:rsidRPr="006E6446">
        <w:t>6</w:t>
      </w:r>
      <w:r w:rsidRPr="00392E88">
        <w:t>4a</w:t>
      </w:r>
      <w:r w:rsidR="006E6446" w:rsidRPr="00392E88">
        <w:t xml:space="preserve"> w</w:t>
      </w:r>
      <w:r w:rsidR="006E6446">
        <w:t> </w:t>
      </w:r>
      <w:r w:rsidR="006E6446" w:rsidRPr="00392E88">
        <w:t>cel</w:t>
      </w:r>
      <w:r w:rsidRPr="00392E88">
        <w:t>u zmiany liczb</w:t>
      </w:r>
      <w:r w:rsidR="006E6446" w:rsidRPr="00392E88">
        <w:t xml:space="preserve"> i</w:t>
      </w:r>
      <w:r w:rsidR="006E6446">
        <w:t> </w:t>
      </w:r>
      <w:r w:rsidR="006E6446" w:rsidRPr="00392E88">
        <w:t>war</w:t>
      </w:r>
      <w:r w:rsidRPr="00392E88">
        <w:t>tości procentowych,</w:t>
      </w:r>
      <w:r w:rsidR="006E6446" w:rsidRPr="00392E88">
        <w:t xml:space="preserve"> o</w:t>
      </w:r>
      <w:r w:rsidR="006E6446">
        <w:t> </w:t>
      </w:r>
      <w:r w:rsidR="006E6446" w:rsidRPr="00392E88">
        <w:t>któ</w:t>
      </w:r>
      <w:r w:rsidRPr="00392E88">
        <w:t>rych mowa</w:t>
      </w:r>
      <w:r w:rsidR="006E6446" w:rsidRPr="00392E88">
        <w:t xml:space="preserve"> w</w:t>
      </w:r>
      <w:r w:rsidR="006E6446">
        <w:t> </w:t>
      </w:r>
      <w:r w:rsidR="006E6446" w:rsidRPr="00392E88">
        <w:t>nin</w:t>
      </w:r>
      <w:r w:rsidRPr="00392E88">
        <w:t>iejszym artykule</w:t>
      </w:r>
      <w:r w:rsidR="006E6446" w:rsidRPr="00392E88">
        <w:t xml:space="preserve"> i</w:t>
      </w:r>
      <w:r w:rsidR="006E6446">
        <w:t> </w:t>
      </w:r>
      <w:r w:rsidR="006E6446" w:rsidRPr="006E6446">
        <w:t>art</w:t>
      </w:r>
      <w:r w:rsidRPr="006E6446">
        <w:t>.</w:t>
      </w:r>
      <w:r w:rsidR="006E6446" w:rsidRPr="006E6446">
        <w:t> </w:t>
      </w:r>
      <w:r w:rsidRPr="006E6446">
        <w:t>1</w:t>
      </w:r>
      <w:r w:rsidRPr="00392E88">
        <w:t>8.”;</w:t>
      </w:r>
    </w:p>
    <w:p w14:paraId="4A15195E" w14:textId="34C69426" w:rsidR="00AF2273" w:rsidRPr="00392E88" w:rsidRDefault="006E6446" w:rsidP="006E6446">
      <w:pPr>
        <w:pStyle w:val="Point0"/>
      </w:pPr>
      <w:r>
        <w:t>21)</w:t>
      </w:r>
      <w:r>
        <w:tab/>
      </w:r>
      <w:r w:rsidR="774B2141" w:rsidRPr="00392E88">
        <w:t xml:space="preserve">dodaje się </w:t>
      </w:r>
      <w:r w:rsidR="774B2141" w:rsidRPr="006E6446">
        <w:t>art.</w:t>
      </w:r>
      <w:r w:rsidRPr="006E6446">
        <w:t> </w:t>
      </w:r>
      <w:r w:rsidR="774B2141" w:rsidRPr="006E6446">
        <w:t>1</w:t>
      </w:r>
      <w:r w:rsidR="774B2141" w:rsidRPr="00392E88">
        <w:t>8a</w:t>
      </w:r>
      <w:r w:rsidRPr="00392E88">
        <w:t xml:space="preserve"> w</w:t>
      </w:r>
      <w:r>
        <w:t> </w:t>
      </w:r>
      <w:r w:rsidRPr="00392E88">
        <w:t>brz</w:t>
      </w:r>
      <w:r w:rsidR="774B2141" w:rsidRPr="00392E88">
        <w:t>mieniu:</w:t>
      </w:r>
    </w:p>
    <w:p w14:paraId="267B01EB" w14:textId="77777777" w:rsidR="00AF2273" w:rsidRPr="00392E88" w:rsidRDefault="005B70C7" w:rsidP="00AF2273">
      <w:pPr>
        <w:pStyle w:val="Titrearticle"/>
      </w:pPr>
      <w:r w:rsidRPr="00392E88">
        <w:t xml:space="preserve">„Artykuł 18a </w:t>
      </w:r>
      <w:r w:rsidRPr="00392E88">
        <w:br/>
      </w:r>
      <w:r w:rsidRPr="00392E88">
        <w:rPr>
          <w:b/>
          <w:i w:val="0"/>
        </w:rPr>
        <w:t>Wewnętrzne testy warunków skrajnych</w:t>
      </w:r>
    </w:p>
    <w:p w14:paraId="580554E2" w14:textId="1C5C2F63" w:rsidR="00AF2273" w:rsidRPr="00392E88" w:rsidRDefault="00AF2273" w:rsidP="00AF2273">
      <w:pPr>
        <w:pStyle w:val="Text1"/>
      </w:pPr>
      <w:r w:rsidRPr="00392E88">
        <w:t>1.</w:t>
      </w:r>
      <w:r w:rsidRPr="00392E88">
        <w:tab/>
        <w:t>Właściwe organy rodzimych państw członkowskich wymagają, aby IORP obsługujące programy emerytalne,</w:t>
      </w:r>
      <w:r w:rsidR="006E6446" w:rsidRPr="00392E88">
        <w:t xml:space="preserve"> w</w:t>
      </w:r>
      <w:r w:rsidR="006E6446">
        <w:t> </w:t>
      </w:r>
      <w:r w:rsidR="006E6446" w:rsidRPr="00392E88">
        <w:t>prz</w:t>
      </w:r>
      <w:r w:rsidRPr="00392E88">
        <w:t>ypadku gdy sama IORP,</w:t>
      </w:r>
      <w:r w:rsidR="006E6446" w:rsidRPr="00392E88">
        <w:t xml:space="preserve"> a</w:t>
      </w:r>
      <w:r w:rsidR="006E6446">
        <w:t> </w:t>
      </w:r>
      <w:r w:rsidR="006E6446" w:rsidRPr="00392E88">
        <w:t>nie</w:t>
      </w:r>
      <w:r w:rsidRPr="00392E88">
        <w:t xml:space="preserve"> instytucja finansująca, ponosi zobowiązania</w:t>
      </w:r>
      <w:r w:rsidR="006E6446" w:rsidRPr="00392E88">
        <w:t xml:space="preserve"> z</w:t>
      </w:r>
      <w:r w:rsidR="006E6446">
        <w:t> </w:t>
      </w:r>
      <w:r w:rsidR="006E6446" w:rsidRPr="00392E88">
        <w:t>tyt</w:t>
      </w:r>
      <w:r w:rsidRPr="00392E88">
        <w:t>ułu pokrycia biometrycznych rodzajów ryzyka lub gwarantuje określony wynik działalności inwestycyjnej lub dany poziom świadczeń, przeprowadzały test warunków skrajnych co najmniej raz na trzy lata</w:t>
      </w:r>
      <w:r w:rsidR="006E6446" w:rsidRPr="00392E88">
        <w:t xml:space="preserve"> w</w:t>
      </w:r>
      <w:r w:rsidR="006E6446">
        <w:t> </w:t>
      </w:r>
      <w:r w:rsidR="006E6446" w:rsidRPr="00392E88">
        <w:t>cel</w:t>
      </w:r>
      <w:r w:rsidRPr="00392E88">
        <w:t>u oceny ich zdolności do wywiązania się ze swoich zobowiązań wobec uczestników</w:t>
      </w:r>
      <w:r w:rsidR="006E6446" w:rsidRPr="00392E88">
        <w:t xml:space="preserve"> i</w:t>
      </w:r>
      <w:r w:rsidR="006E6446">
        <w:t> </w:t>
      </w:r>
      <w:r w:rsidR="006E6446" w:rsidRPr="00392E88">
        <w:t>ben</w:t>
      </w:r>
      <w:r w:rsidRPr="00392E88">
        <w:t>eficjentów,</w:t>
      </w:r>
      <w:r w:rsidR="006E6446" w:rsidRPr="00392E88">
        <w:t xml:space="preserve"> w</w:t>
      </w:r>
      <w:r w:rsidR="006E6446">
        <w:t> </w:t>
      </w:r>
      <w:r w:rsidR="006E6446" w:rsidRPr="00392E88">
        <w:t>tym w</w:t>
      </w:r>
      <w:r w:rsidR="006E6446">
        <w:t> </w:t>
      </w:r>
      <w:r w:rsidR="006E6446" w:rsidRPr="00392E88">
        <w:t>sce</w:t>
      </w:r>
      <w:r w:rsidRPr="00392E88">
        <w:t>nariuszach przedstawiających niekorzystny rozwój sytuacji rynkowej</w:t>
      </w:r>
      <w:r w:rsidR="006E6446" w:rsidRPr="00392E88">
        <w:t xml:space="preserve"> i</w:t>
      </w:r>
      <w:r w:rsidR="006E6446">
        <w:t> </w:t>
      </w:r>
      <w:r w:rsidR="006E6446" w:rsidRPr="00392E88">
        <w:t>dem</w:t>
      </w:r>
      <w:r w:rsidRPr="00392E88">
        <w:t>ograficznej.</w:t>
      </w:r>
    </w:p>
    <w:p w14:paraId="5F964B00" w14:textId="294E6B94" w:rsidR="00AF2273" w:rsidRPr="00392E88" w:rsidRDefault="00E55088" w:rsidP="00AF2273">
      <w:pPr>
        <w:pStyle w:val="Text1"/>
      </w:pPr>
      <w:r w:rsidRPr="00392E88">
        <w:t>Niezależnie od akapitu pierwszego właściwy organ rodzimego państwa członkowskiego jest uprawniony do wymagania od IORP częstszego przeprowadzania testów warunków skrajnych, przynajmniej</w:t>
      </w:r>
      <w:r w:rsidR="006E6446" w:rsidRPr="00392E88">
        <w:t xml:space="preserve"> w</w:t>
      </w:r>
      <w:r w:rsidR="006E6446">
        <w:t> </w:t>
      </w:r>
      <w:r w:rsidR="006E6446" w:rsidRPr="00392E88">
        <w:t>prz</w:t>
      </w:r>
      <w:r w:rsidRPr="00392E88">
        <w:t>ypadku gdy wyniki testów warunków skrajnych</w:t>
      </w:r>
      <w:r w:rsidR="006E6446" w:rsidRPr="00392E88">
        <w:t xml:space="preserve"> z</w:t>
      </w:r>
      <w:r w:rsidR="006E6446">
        <w:t> </w:t>
      </w:r>
      <w:r w:rsidR="006E6446" w:rsidRPr="00392E88">
        <w:t>pop</w:t>
      </w:r>
      <w:r w:rsidRPr="00392E88">
        <w:t>rzednich lat wskazują na ryzyko braku wystarczających</w:t>
      </w:r>
      <w:r w:rsidR="006E6446" w:rsidRPr="00392E88">
        <w:t xml:space="preserve"> i</w:t>
      </w:r>
      <w:r w:rsidR="006E6446">
        <w:t> </w:t>
      </w:r>
      <w:r w:rsidR="006E6446" w:rsidRPr="00392E88">
        <w:t>odp</w:t>
      </w:r>
      <w:r w:rsidRPr="00392E88">
        <w:t>owiednich aktywów służących pokryciu rezerw techniczno-ubezpieczeniowych</w:t>
      </w:r>
      <w:r w:rsidR="006E6446" w:rsidRPr="00392E88">
        <w:t xml:space="preserve"> w</w:t>
      </w:r>
      <w:r w:rsidR="006E6446">
        <w:t> </w:t>
      </w:r>
      <w:r w:rsidR="006E6446" w:rsidRPr="00392E88">
        <w:t>cią</w:t>
      </w:r>
      <w:r w:rsidRPr="00392E88">
        <w:t>gu najbliższych dziesięciu lat.</w:t>
      </w:r>
    </w:p>
    <w:p w14:paraId="23C8243B" w14:textId="756CEF25" w:rsidR="002F5C0F" w:rsidRPr="00392E88" w:rsidRDefault="00E73A2E" w:rsidP="00AF2273">
      <w:pPr>
        <w:pStyle w:val="Text1"/>
      </w:pPr>
      <w:r w:rsidRPr="00392E88">
        <w:t>Państwa członkowskie mogą również wymagać, aby IORP oceniła, czy jej prognozowany dostępny margines wypłacalności przekracza jej wymagany margines wypłacalności lub,</w:t>
      </w:r>
      <w:r w:rsidR="006E6446" w:rsidRPr="00392E88">
        <w:t xml:space="preserve"> w</w:t>
      </w:r>
      <w:r w:rsidR="006E6446">
        <w:t> </w:t>
      </w:r>
      <w:r w:rsidR="006E6446" w:rsidRPr="00392E88">
        <w:t>sto</w:t>
      </w:r>
      <w:r w:rsidRPr="00392E88">
        <w:t>sownych przypadkach, wyższy poziom ustawowych funduszy własnych wymagany na mocy prawa krajowego zgodnie</w:t>
      </w:r>
      <w:r w:rsidR="006E6446" w:rsidRPr="00392E88">
        <w:t xml:space="preserve"> z</w:t>
      </w:r>
      <w:r w:rsidR="006E6446">
        <w:t> </w:t>
      </w:r>
      <w:r w:rsidR="006E6446" w:rsidRPr="006E6446">
        <w:t>art</w:t>
      </w:r>
      <w:r w:rsidRPr="006E6446">
        <w:t>.</w:t>
      </w:r>
      <w:r w:rsidR="006E6446" w:rsidRPr="006E6446">
        <w:t> </w:t>
      </w:r>
      <w:r w:rsidRPr="006E6446">
        <w:t>1</w:t>
      </w:r>
      <w:r w:rsidRPr="00392E88">
        <w:t>5.</w:t>
      </w:r>
    </w:p>
    <w:p w14:paraId="5022AE1E" w14:textId="09348B16" w:rsidR="00AF2273" w:rsidRPr="00392E88" w:rsidRDefault="00AF2273" w:rsidP="00AF2273">
      <w:pPr>
        <w:pStyle w:val="Text1"/>
      </w:pPr>
      <w:r w:rsidRPr="00392E88">
        <w:t>2.</w:t>
      </w:r>
      <w:r w:rsidRPr="00392E88">
        <w:tab/>
        <w:t xml:space="preserve">Do celów </w:t>
      </w:r>
      <w:r w:rsidRPr="006E6446">
        <w:t>ust.</w:t>
      </w:r>
      <w:r w:rsidR="006E6446" w:rsidRPr="006E6446">
        <w:t> </w:t>
      </w:r>
      <w:r w:rsidRPr="006E6446">
        <w:t>1</w:t>
      </w:r>
      <w:r w:rsidRPr="00392E88">
        <w:t xml:space="preserve"> IORP sporządzają prognozy aktywów</w:t>
      </w:r>
      <w:r w:rsidR="006E6446" w:rsidRPr="00392E88">
        <w:t xml:space="preserve"> i</w:t>
      </w:r>
      <w:r w:rsidR="006E6446">
        <w:t> </w:t>
      </w:r>
      <w:r w:rsidR="006E6446" w:rsidRPr="00392E88">
        <w:t>pas</w:t>
      </w:r>
      <w:r w:rsidRPr="00392E88">
        <w:t>ywów na najbliższe dziesięć lat obrotowych, licząc od daty ostatniego sprawozdania finansowego,</w:t>
      </w:r>
      <w:r w:rsidR="006E6446" w:rsidRPr="00392E88">
        <w:t xml:space="preserve"> w</w:t>
      </w:r>
      <w:r w:rsidR="006E6446">
        <w:t> </w:t>
      </w:r>
      <w:r w:rsidR="006E6446" w:rsidRPr="00392E88">
        <w:t>ram</w:t>
      </w:r>
      <w:r w:rsidRPr="00392E88">
        <w:t>ach każdego</w:t>
      </w:r>
      <w:r w:rsidR="006E6446" w:rsidRPr="00392E88">
        <w:t xml:space="preserve"> z</w:t>
      </w:r>
      <w:r w:rsidR="006E6446">
        <w:t> </w:t>
      </w:r>
      <w:r w:rsidR="006E6446" w:rsidRPr="00392E88">
        <w:t>nas</w:t>
      </w:r>
      <w:r w:rsidRPr="00392E88">
        <w:t>tępujących scenariuszy:</w:t>
      </w:r>
    </w:p>
    <w:p w14:paraId="5D7EA810" w14:textId="4FC49B6D" w:rsidR="00AF2273" w:rsidRPr="00392E88" w:rsidRDefault="006E6446" w:rsidP="006E6446">
      <w:pPr>
        <w:pStyle w:val="Point1"/>
      </w:pPr>
      <w:r>
        <w:t>a)</w:t>
      </w:r>
      <w:r>
        <w:tab/>
      </w:r>
      <w:r w:rsidR="00AF2273" w:rsidRPr="00392E88">
        <w:t>scenariusz odniesienia rozszerzający warunki ekonomiczne panujące na dzień sporządzenia ostatniego sprawozdania finansowego;</w:t>
      </w:r>
    </w:p>
    <w:p w14:paraId="5F024E9E" w14:textId="35F9F792" w:rsidR="00AF2273" w:rsidRPr="00392E88" w:rsidRDefault="006E6446" w:rsidP="006E6446">
      <w:pPr>
        <w:pStyle w:val="Point1"/>
      </w:pPr>
      <w:r>
        <w:t>b)</w:t>
      </w:r>
      <w:r>
        <w:tab/>
      </w:r>
      <w:r w:rsidR="00AF2273" w:rsidRPr="00392E88">
        <w:t>niekorzystny scenariusz stałego względnego spadku stóp procentowych</w:t>
      </w:r>
      <w:r w:rsidRPr="00392E88">
        <w:t xml:space="preserve"> o</w:t>
      </w:r>
      <w:r>
        <w:t> </w:t>
      </w:r>
      <w:r w:rsidRPr="00392E88">
        <w:t>4</w:t>
      </w:r>
      <w:r w:rsidR="00AF2273" w:rsidRPr="006E6446">
        <w:t>0</w:t>
      </w:r>
      <w:r w:rsidRPr="006E6446">
        <w:t> </w:t>
      </w:r>
      <w:r w:rsidR="00AF2273" w:rsidRPr="006E6446">
        <w:t>%</w:t>
      </w:r>
      <w:r w:rsidR="00AF2273" w:rsidRPr="00392E88">
        <w:t xml:space="preserve"> lub bezwzględnego spadku</w:t>
      </w:r>
      <w:r w:rsidRPr="00392E88">
        <w:t xml:space="preserve"> o</w:t>
      </w:r>
      <w:r>
        <w:t> </w:t>
      </w:r>
      <w:r w:rsidRPr="00392E88">
        <w:t>0</w:t>
      </w:r>
      <w:r w:rsidR="00AF2273" w:rsidRPr="00392E88">
        <w:t>,75 punktu procentowego,</w:t>
      </w:r>
      <w:r w:rsidRPr="00392E88">
        <w:t xml:space="preserve"> w</w:t>
      </w:r>
      <w:r>
        <w:t> </w:t>
      </w:r>
      <w:r w:rsidRPr="00392E88">
        <w:t>zal</w:t>
      </w:r>
      <w:r w:rsidR="00AF2273" w:rsidRPr="00392E88">
        <w:t>eżności od tego, który</w:t>
      </w:r>
      <w:r w:rsidRPr="00392E88">
        <w:t xml:space="preserve"> z</w:t>
      </w:r>
      <w:r>
        <w:t> </w:t>
      </w:r>
      <w:r w:rsidRPr="00392E88">
        <w:t>tyc</w:t>
      </w:r>
      <w:r w:rsidR="00AF2273" w:rsidRPr="00392E88">
        <w:t xml:space="preserve">h scenariuszy jest bardziej dotkliwy, przy czym stopy procentowe nie spadną poniżej </w:t>
      </w:r>
      <w:r w:rsidR="00AF2273" w:rsidRPr="006E6446">
        <w:t>0</w:t>
      </w:r>
      <w:r w:rsidRPr="006E6446">
        <w:t> </w:t>
      </w:r>
      <w:r w:rsidR="00AF2273" w:rsidRPr="006E6446">
        <w:t>%</w:t>
      </w:r>
      <w:r w:rsidR="00AF2273" w:rsidRPr="00392E88">
        <w:t xml:space="preserve"> ani nie przekroczą 3,</w:t>
      </w:r>
      <w:r w:rsidR="00AF2273" w:rsidRPr="006E6446">
        <w:t>5</w:t>
      </w:r>
      <w:r w:rsidRPr="006E6446">
        <w:t> </w:t>
      </w:r>
      <w:r w:rsidR="00AF2273" w:rsidRPr="006E6446">
        <w:t>%</w:t>
      </w:r>
      <w:r w:rsidR="00AF2273" w:rsidRPr="00392E88">
        <w:t>;</w:t>
      </w:r>
    </w:p>
    <w:p w14:paraId="768EF74F" w14:textId="4D03BEAD" w:rsidR="00AF2273" w:rsidRPr="00392E88" w:rsidRDefault="006E6446" w:rsidP="006E6446">
      <w:pPr>
        <w:pStyle w:val="Point1"/>
      </w:pPr>
      <w:r>
        <w:t>c)</w:t>
      </w:r>
      <w:r>
        <w:tab/>
      </w:r>
      <w:r w:rsidR="00AF2273" w:rsidRPr="00392E88">
        <w:t>niekorzystny scenariusz spadku zwrotów</w:t>
      </w:r>
      <w:r w:rsidRPr="00392E88">
        <w:t xml:space="preserve"> z</w:t>
      </w:r>
      <w:r>
        <w:t> </w:t>
      </w:r>
      <w:r w:rsidRPr="00392E88">
        <w:t>inw</w:t>
      </w:r>
      <w:r w:rsidR="00AF2273" w:rsidRPr="00392E88">
        <w:t>estycji</w:t>
      </w:r>
      <w:r w:rsidRPr="00392E88">
        <w:t xml:space="preserve"> w</w:t>
      </w:r>
      <w:r>
        <w:t> </w:t>
      </w:r>
      <w:r w:rsidRPr="00392E88">
        <w:t>akt</w:t>
      </w:r>
      <w:r w:rsidR="00AF2273" w:rsidRPr="00392E88">
        <w:t>ywa niepodlegające amortyzacji</w:t>
      </w:r>
      <w:r w:rsidRPr="00392E88">
        <w:t xml:space="preserve"> o</w:t>
      </w:r>
      <w:r>
        <w:t> </w:t>
      </w:r>
      <w:r w:rsidRPr="00392E88">
        <w:t>3</w:t>
      </w:r>
      <w:r w:rsidR="00AF2273" w:rsidRPr="006E6446">
        <w:t>0</w:t>
      </w:r>
      <w:r w:rsidRPr="006E6446">
        <w:t> </w:t>
      </w:r>
      <w:r w:rsidR="00AF2273" w:rsidRPr="006E6446">
        <w:t>%</w:t>
      </w:r>
      <w:r w:rsidR="00AF2273" w:rsidRPr="00392E88">
        <w:t xml:space="preserve">; </w:t>
      </w:r>
    </w:p>
    <w:p w14:paraId="65B291D3" w14:textId="2F5E9FEC" w:rsidR="00AF2273" w:rsidRPr="00392E88" w:rsidRDefault="006E6446" w:rsidP="006E6446">
      <w:pPr>
        <w:pStyle w:val="Point1"/>
      </w:pPr>
      <w:r>
        <w:t>d)</w:t>
      </w:r>
      <w:r>
        <w:tab/>
      </w:r>
      <w:r w:rsidR="00AF2273" w:rsidRPr="00392E88">
        <w:t>spadek współczynników śmiertelności uczestników</w:t>
      </w:r>
      <w:r w:rsidRPr="00392E88">
        <w:t xml:space="preserve"> i</w:t>
      </w:r>
      <w:r>
        <w:t> </w:t>
      </w:r>
      <w:r w:rsidRPr="00392E88">
        <w:t>ben</w:t>
      </w:r>
      <w:r w:rsidR="00AF2273" w:rsidRPr="00392E88">
        <w:t>eficjentów</w:t>
      </w:r>
      <w:r w:rsidRPr="00392E88">
        <w:t xml:space="preserve"> w</w:t>
      </w:r>
      <w:r>
        <w:t> </w:t>
      </w:r>
      <w:r w:rsidRPr="00392E88">
        <w:t>każ</w:t>
      </w:r>
      <w:r w:rsidR="00AF2273" w:rsidRPr="00392E88">
        <w:t>dym wieku</w:t>
      </w:r>
      <w:r w:rsidRPr="00392E88">
        <w:t xml:space="preserve"> o</w:t>
      </w:r>
      <w:r>
        <w:t> </w:t>
      </w:r>
      <w:r w:rsidRPr="00392E88">
        <w:t>1</w:t>
      </w:r>
      <w:r w:rsidR="00AF2273" w:rsidRPr="006E6446">
        <w:t>0</w:t>
      </w:r>
      <w:r w:rsidRPr="006E6446">
        <w:t> </w:t>
      </w:r>
      <w:r w:rsidR="00AF2273" w:rsidRPr="006E6446">
        <w:t>%</w:t>
      </w:r>
      <w:r w:rsidR="00AF2273" w:rsidRPr="00392E88">
        <w:t xml:space="preserve">. </w:t>
      </w:r>
    </w:p>
    <w:p w14:paraId="0E913CDF" w14:textId="77777777" w:rsidR="00B12566" w:rsidRPr="00392E88" w:rsidRDefault="23760E02" w:rsidP="00AF2273">
      <w:pPr>
        <w:pStyle w:val="Text1"/>
      </w:pPr>
      <w:r w:rsidRPr="00392E88">
        <w:t>Na zasadzie odstępstwa od akapitu pierwszego państwa członkowskie mogą wymagać od IORP:</w:t>
      </w:r>
    </w:p>
    <w:p w14:paraId="74D8FC18" w14:textId="20273BFB" w:rsidR="00B12566" w:rsidRPr="00392E88" w:rsidRDefault="006E6446" w:rsidP="006E6446">
      <w:pPr>
        <w:pStyle w:val="Point1"/>
      </w:pPr>
      <w:r>
        <w:t>a)</w:t>
      </w:r>
      <w:r>
        <w:tab/>
      </w:r>
      <w:r w:rsidR="006A4DD4" w:rsidRPr="00392E88">
        <w:t>sporządzania prognoz na okres dłuższy niż dziesięć lat obrotowych;</w:t>
      </w:r>
    </w:p>
    <w:p w14:paraId="434C10B1" w14:textId="7AC14109" w:rsidR="00394ED5" w:rsidRPr="00392E88" w:rsidRDefault="006E6446" w:rsidP="006E6446">
      <w:pPr>
        <w:pStyle w:val="Point1"/>
      </w:pPr>
      <w:r>
        <w:t>b)</w:t>
      </w:r>
      <w:r>
        <w:tab/>
      </w:r>
      <w:r w:rsidR="00EC3802" w:rsidRPr="00392E88">
        <w:t>przeprowadzania prognoz</w:t>
      </w:r>
      <w:r w:rsidRPr="00392E88">
        <w:t xml:space="preserve"> w</w:t>
      </w:r>
      <w:r>
        <w:t> </w:t>
      </w:r>
      <w:r w:rsidRPr="00392E88">
        <w:t>nie</w:t>
      </w:r>
      <w:r w:rsidR="00EC3802" w:rsidRPr="00392E88">
        <w:t>korzystnych scenariuszach, które są bardziej dotkliwe niż scenariusze określone</w:t>
      </w:r>
      <w:r w:rsidRPr="00392E88">
        <w:t xml:space="preserve"> w</w:t>
      </w:r>
      <w:r>
        <w:t> </w:t>
      </w:r>
      <w:r w:rsidRPr="00392E88">
        <w:t>aka</w:t>
      </w:r>
      <w:r w:rsidR="00EC3802" w:rsidRPr="00392E88">
        <w:t xml:space="preserve">picie pierwszym </w:t>
      </w:r>
      <w:r w:rsidR="00EC3802" w:rsidRPr="006E6446">
        <w:t>lit.</w:t>
      </w:r>
      <w:r w:rsidRPr="006E6446">
        <w:t> </w:t>
      </w:r>
      <w:r w:rsidR="00EC3802" w:rsidRPr="006E6446">
        <w:t>b)</w:t>
      </w:r>
      <w:r w:rsidR="00EC3802" w:rsidRPr="00392E88">
        <w:t>, c) lub d);</w:t>
      </w:r>
    </w:p>
    <w:p w14:paraId="58292666" w14:textId="61D75C08" w:rsidR="00B12566" w:rsidRPr="00392E88" w:rsidRDefault="006E6446" w:rsidP="006E6446">
      <w:pPr>
        <w:pStyle w:val="Point1"/>
      </w:pPr>
      <w:r>
        <w:t>c)</w:t>
      </w:r>
      <w:r>
        <w:tab/>
      </w:r>
      <w:r w:rsidR="00394ED5" w:rsidRPr="00392E88">
        <w:t>przeprowadzenia prognoz</w:t>
      </w:r>
      <w:r w:rsidRPr="00392E88">
        <w:t xml:space="preserve"> w</w:t>
      </w:r>
      <w:r>
        <w:t> </w:t>
      </w:r>
      <w:r w:rsidRPr="00392E88">
        <w:t>dod</w:t>
      </w:r>
      <w:r w:rsidR="00394ED5" w:rsidRPr="00392E88">
        <w:t xml:space="preserve">atkowych scenariuszach warunków skrajnych. </w:t>
      </w:r>
    </w:p>
    <w:p w14:paraId="3DB2F790" w14:textId="07AB7519" w:rsidR="00AF2273" w:rsidRPr="00392E88" w:rsidRDefault="00AF2273" w:rsidP="00AF2273">
      <w:pPr>
        <w:pStyle w:val="Text1"/>
      </w:pPr>
      <w:r w:rsidRPr="00392E88">
        <w:t>3</w:t>
      </w:r>
      <w:r w:rsidRPr="00392E88">
        <w:tab/>
        <w:t>Jeżeli wyniki testu warunków skrajnych,</w:t>
      </w:r>
      <w:r w:rsidR="006E6446" w:rsidRPr="00392E88">
        <w:t xml:space="preserve"> o</w:t>
      </w:r>
      <w:r w:rsidR="006E6446">
        <w:t> </w:t>
      </w:r>
      <w:r w:rsidR="006E6446" w:rsidRPr="00392E88">
        <w:t>któ</w:t>
      </w:r>
      <w:r w:rsidRPr="00392E88">
        <w:t>rym mowa</w:t>
      </w:r>
      <w:r w:rsidR="006E6446" w:rsidRPr="00392E88">
        <w:t xml:space="preserve"> w</w:t>
      </w:r>
      <w:r w:rsidR="006E6446">
        <w:t> </w:t>
      </w:r>
      <w:r w:rsidR="006E6446" w:rsidRPr="006E6446">
        <w:t>ust</w:t>
      </w:r>
      <w:r w:rsidRPr="006E6446">
        <w:t>.</w:t>
      </w:r>
      <w:r w:rsidR="006E6446" w:rsidRPr="006E6446">
        <w:t> </w:t>
      </w:r>
      <w:r w:rsidRPr="006E6446">
        <w:t>1</w:t>
      </w:r>
      <w:r w:rsidRPr="00392E88">
        <w:t>, wskazują, że</w:t>
      </w:r>
      <w:r w:rsidR="006E6446" w:rsidRPr="00392E88">
        <w:t xml:space="preserve"> w</w:t>
      </w:r>
      <w:r w:rsidR="006E6446">
        <w:t> </w:t>
      </w:r>
      <w:r w:rsidR="006E6446" w:rsidRPr="00392E88">
        <w:t>ram</w:t>
      </w:r>
      <w:r w:rsidRPr="00392E88">
        <w:t>ach któregokolwiek ze scenariuszy,</w:t>
      </w:r>
      <w:r w:rsidR="006E6446" w:rsidRPr="00392E88">
        <w:t xml:space="preserve"> o</w:t>
      </w:r>
      <w:r w:rsidR="006E6446">
        <w:t> </w:t>
      </w:r>
      <w:r w:rsidR="006E6446" w:rsidRPr="00392E88">
        <w:t>któ</w:t>
      </w:r>
      <w:r w:rsidRPr="00392E88">
        <w:t>rych mowa</w:t>
      </w:r>
      <w:r w:rsidR="006E6446" w:rsidRPr="00392E88">
        <w:t xml:space="preserve"> w</w:t>
      </w:r>
      <w:r w:rsidR="006E6446">
        <w:t> </w:t>
      </w:r>
      <w:r w:rsidR="006E6446" w:rsidRPr="006E6446">
        <w:t>ust</w:t>
      </w:r>
      <w:r w:rsidRPr="006E6446">
        <w:t>.</w:t>
      </w:r>
      <w:r w:rsidR="006E6446" w:rsidRPr="006E6446">
        <w:t> </w:t>
      </w:r>
      <w:r w:rsidRPr="006E6446">
        <w:t>2</w:t>
      </w:r>
      <w:r w:rsidRPr="00392E88">
        <w:t>, IORP posiadałaby albo niewystarczające aktywa dla pokrycia rezerw techniczno-ubezpieczeniowych, albo,</w:t>
      </w:r>
      <w:r w:rsidR="006E6446" w:rsidRPr="00392E88">
        <w:t xml:space="preserve"> w</w:t>
      </w:r>
      <w:r w:rsidR="006E6446">
        <w:t> </w:t>
      </w:r>
      <w:r w:rsidR="006E6446" w:rsidRPr="00392E88">
        <w:t>sto</w:t>
      </w:r>
      <w:r w:rsidRPr="00392E88">
        <w:t>sownych przypadkach, niewystarczający dostępny margines wypłacalności dla pokrycia wymaganego marginesu wypłacalności lub jakiegokolwiek wyższego poziomu ustawowych funduszy własnych wymaganych na mocy prawa krajowego zgodnie</w:t>
      </w:r>
      <w:r w:rsidR="006E6446" w:rsidRPr="00392E88">
        <w:t xml:space="preserve"> z</w:t>
      </w:r>
      <w:r w:rsidR="006E6446">
        <w:t> </w:t>
      </w:r>
      <w:r w:rsidR="006E6446" w:rsidRPr="006E6446">
        <w:t>art</w:t>
      </w:r>
      <w:r w:rsidRPr="006E6446">
        <w:t>.</w:t>
      </w:r>
      <w:r w:rsidR="006E6446" w:rsidRPr="006E6446">
        <w:t> </w:t>
      </w:r>
      <w:r w:rsidRPr="006E6446">
        <w:t>1</w:t>
      </w:r>
      <w:r w:rsidRPr="00392E88">
        <w:t xml:space="preserve">5 na dowolny rok objęty prognozą, państwa członkowskie zapewniają, aby właściwy organ wymagał od IORP przedłożenia planu konwergencji. </w:t>
      </w:r>
    </w:p>
    <w:p w14:paraId="15D0275B" w14:textId="4B30D0DA" w:rsidR="00AF2273" w:rsidRPr="00392E88" w:rsidRDefault="00AF2273" w:rsidP="00AF2273">
      <w:pPr>
        <w:pStyle w:val="Text1"/>
      </w:pPr>
      <w:r w:rsidRPr="00392E88">
        <w:t>W tym planie konwergencji określa się środki, które IORP zamierza wprowadzić</w:t>
      </w:r>
      <w:r w:rsidR="006E6446" w:rsidRPr="00392E88">
        <w:t xml:space="preserve"> w</w:t>
      </w:r>
      <w:r w:rsidR="006E6446">
        <w:t> </w:t>
      </w:r>
      <w:r w:rsidR="006E6446" w:rsidRPr="00392E88">
        <w:t>cel</w:t>
      </w:r>
      <w:r w:rsidRPr="00392E88">
        <w:t>u przywrócenia,</w:t>
      </w:r>
      <w:r w:rsidR="006E6446" w:rsidRPr="00392E88">
        <w:t xml:space="preserve"> w</w:t>
      </w:r>
      <w:r w:rsidR="006E6446">
        <w:t> </w:t>
      </w:r>
      <w:r w:rsidR="006E6446" w:rsidRPr="00392E88">
        <w:t>hor</w:t>
      </w:r>
      <w:r w:rsidRPr="00392E88">
        <w:t>yzoncie prognozy, swojej zdolności do utrzymywania wystarczających aktywów dla pokrycia rezerw techniczno-ubezpieczeniowych lub,</w:t>
      </w:r>
      <w:r w:rsidR="006E6446" w:rsidRPr="00392E88">
        <w:t xml:space="preserve"> w</w:t>
      </w:r>
      <w:r w:rsidR="006E6446">
        <w:t> </w:t>
      </w:r>
      <w:r w:rsidR="006E6446" w:rsidRPr="00392E88">
        <w:t>sto</w:t>
      </w:r>
      <w:r w:rsidRPr="00392E88">
        <w:t>sownych przypadkach, posiadania dostępnego marginesu wypłacalności przekraczającego wymagany margines wypłacalności, we wszystkich scenariuszach,</w:t>
      </w:r>
      <w:r w:rsidR="006E6446" w:rsidRPr="00392E88">
        <w:t xml:space="preserve"> o</w:t>
      </w:r>
      <w:r w:rsidR="006E6446">
        <w:t> </w:t>
      </w:r>
      <w:r w:rsidR="006E6446" w:rsidRPr="00392E88">
        <w:t>któ</w:t>
      </w:r>
      <w:r w:rsidRPr="00392E88">
        <w:t>rych mowa</w:t>
      </w:r>
      <w:r w:rsidR="006E6446" w:rsidRPr="00392E88">
        <w:t xml:space="preserve"> w</w:t>
      </w:r>
      <w:r w:rsidR="006E6446">
        <w:t> </w:t>
      </w:r>
      <w:r w:rsidR="006E6446" w:rsidRPr="006E6446">
        <w:t>ust</w:t>
      </w:r>
      <w:r w:rsidRPr="006E6446">
        <w:t>.</w:t>
      </w:r>
      <w:r w:rsidR="006E6446" w:rsidRPr="006E6446">
        <w:t> </w:t>
      </w:r>
      <w:r w:rsidRPr="006E6446">
        <w:t>2</w:t>
      </w:r>
      <w:r w:rsidRPr="00392E88">
        <w:t xml:space="preserve">. </w:t>
      </w:r>
    </w:p>
    <w:p w14:paraId="6D8291F1" w14:textId="10B1CFE1" w:rsidR="00AF2273" w:rsidRPr="00392E88" w:rsidRDefault="00340AA2" w:rsidP="00AF2273">
      <w:pPr>
        <w:pStyle w:val="Text1"/>
      </w:pPr>
      <w:r w:rsidRPr="00392E88">
        <w:t>Państwa członkowskie zapewniają, aby IORP przedłożyła właściwemu organowi plan konwergencji</w:t>
      </w:r>
      <w:r w:rsidR="006E6446" w:rsidRPr="00392E88">
        <w:t xml:space="preserve"> w</w:t>
      </w:r>
      <w:r w:rsidR="006E6446">
        <w:t> </w:t>
      </w:r>
      <w:r w:rsidR="006E6446" w:rsidRPr="00392E88">
        <w:t>ter</w:t>
      </w:r>
      <w:r w:rsidRPr="00392E88">
        <w:t>minie trzech miesięcy od daty przeprowadzenia testu warunków skrajnych.</w:t>
      </w:r>
    </w:p>
    <w:p w14:paraId="4525BA1E" w14:textId="1460D36E" w:rsidR="00AF2273" w:rsidRPr="00392E88" w:rsidRDefault="00917453" w:rsidP="00AF2273">
      <w:pPr>
        <w:pStyle w:val="Text1"/>
      </w:pPr>
      <w:r w:rsidRPr="00392E88">
        <w:t>W przypadku nieprzedłożenia planu konwergencji</w:t>
      </w:r>
      <w:r w:rsidR="006E6446" w:rsidRPr="00392E88">
        <w:t xml:space="preserve"> w</w:t>
      </w:r>
      <w:r w:rsidR="006E6446">
        <w:t> </w:t>
      </w:r>
      <w:r w:rsidR="006E6446" w:rsidRPr="00392E88">
        <w:t>ter</w:t>
      </w:r>
      <w:r w:rsidRPr="00392E88">
        <w:t>minie trzech miesięcy lub</w:t>
      </w:r>
      <w:r w:rsidR="006E6446" w:rsidRPr="00392E88">
        <w:t xml:space="preserve"> w</w:t>
      </w:r>
      <w:r w:rsidR="006E6446">
        <w:t> </w:t>
      </w:r>
      <w:r w:rsidR="006E6446" w:rsidRPr="00392E88">
        <w:t>prz</w:t>
      </w:r>
      <w:r w:rsidRPr="00392E88">
        <w:t>ypadku gdy plan konwergencji nie zawiera wiarygodnych działań mających na celu zaradzenie stwierdzonemu niepełnemu finansowaniu lub,</w:t>
      </w:r>
      <w:r w:rsidR="006E6446" w:rsidRPr="00392E88">
        <w:t xml:space="preserve"> w</w:t>
      </w:r>
      <w:r w:rsidR="006E6446">
        <w:t> </w:t>
      </w:r>
      <w:r w:rsidR="006E6446" w:rsidRPr="00392E88">
        <w:t>sto</w:t>
      </w:r>
      <w:r w:rsidRPr="00392E88">
        <w:t>sownych przypadkach, niewystarczającemu poziomowi dostępnego marginesu wypłacalności</w:t>
      </w:r>
      <w:r w:rsidR="006E6446" w:rsidRPr="00392E88">
        <w:t xml:space="preserve"> w</w:t>
      </w:r>
      <w:r w:rsidR="006E6446">
        <w:t> </w:t>
      </w:r>
      <w:r w:rsidR="006E6446" w:rsidRPr="00392E88">
        <w:t>teś</w:t>
      </w:r>
      <w:r w:rsidRPr="00392E88">
        <w:t>cie warunków skrajnych, państwa członkowskie zapewniają właściwym organom uprawnienia do wymagania od IORP posiadania wyższego dostępnego marginesu wypłacalności.</w:t>
      </w:r>
    </w:p>
    <w:p w14:paraId="5361FC92" w14:textId="665BC734" w:rsidR="00BE7D00" w:rsidRPr="00392E88" w:rsidRDefault="00AF2273" w:rsidP="68337133">
      <w:pPr>
        <w:pStyle w:val="Text1"/>
        <w:rPr>
          <w:rFonts w:eastAsia="Times New Roman"/>
          <w:u w:val="single"/>
        </w:rPr>
      </w:pPr>
      <w:r w:rsidRPr="00392E88">
        <w:t>4.</w:t>
      </w:r>
      <w:r w:rsidRPr="00392E88">
        <w:tab/>
        <w:t>Ust. 3 nie ma zastosowania</w:t>
      </w:r>
      <w:r w:rsidR="006E6446" w:rsidRPr="00392E88">
        <w:t xml:space="preserve"> w</w:t>
      </w:r>
      <w:r w:rsidR="006E6446">
        <w:t> </w:t>
      </w:r>
      <w:r w:rsidR="006E6446" w:rsidRPr="00392E88">
        <w:t>prz</w:t>
      </w:r>
      <w:r w:rsidRPr="00392E88">
        <w:t>ypadku, gdy zgodnie</w:t>
      </w:r>
      <w:r w:rsidR="006E6446" w:rsidRPr="00392E88">
        <w:t xml:space="preserve"> z</w:t>
      </w:r>
      <w:r w:rsidR="006E6446">
        <w:t> </w:t>
      </w:r>
      <w:r w:rsidR="006E6446" w:rsidRPr="006E6446">
        <w:t>art</w:t>
      </w:r>
      <w:r w:rsidRPr="006E6446">
        <w:t>.</w:t>
      </w:r>
      <w:r w:rsidR="006E6446" w:rsidRPr="006E6446">
        <w:t> </w:t>
      </w:r>
      <w:r w:rsidRPr="006E6446">
        <w:t>1</w:t>
      </w:r>
      <w:r w:rsidRPr="00392E88">
        <w:t xml:space="preserve">4 </w:t>
      </w:r>
      <w:r w:rsidRPr="006E6446">
        <w:t>ust.</w:t>
      </w:r>
      <w:r w:rsidR="006E6446" w:rsidRPr="006E6446">
        <w:t> </w:t>
      </w:r>
      <w:r w:rsidRPr="006E6446">
        <w:t>2</w:t>
      </w:r>
      <w:r w:rsidRPr="00392E88">
        <w:t xml:space="preserve"> IORP może posiadać, na określony czas, niewystarczające aktywa dla pokrycia rezerw techniczno-ubezpieczeniowych</w:t>
      </w:r>
      <w:r w:rsidR="006E6446" w:rsidRPr="00392E88">
        <w:t>. W</w:t>
      </w:r>
      <w:r w:rsidR="006E6446">
        <w:t> </w:t>
      </w:r>
      <w:r w:rsidR="006E6446" w:rsidRPr="00392E88">
        <w:t>tak</w:t>
      </w:r>
      <w:r w:rsidRPr="00392E88">
        <w:t xml:space="preserve">im przypadku państwa członkowskie zapewniają, aby plan naprawczy przyjęty na podstawie </w:t>
      </w:r>
      <w:r w:rsidRPr="006E6446">
        <w:t>art.</w:t>
      </w:r>
      <w:r w:rsidR="006E6446" w:rsidRPr="006E6446">
        <w:t> </w:t>
      </w:r>
      <w:r w:rsidRPr="006E6446">
        <w:t>1</w:t>
      </w:r>
      <w:r w:rsidRPr="00392E88">
        <w:t xml:space="preserve">4 </w:t>
      </w:r>
      <w:r w:rsidRPr="006E6446">
        <w:t>ust.</w:t>
      </w:r>
      <w:r w:rsidR="006E6446" w:rsidRPr="006E6446">
        <w:t> </w:t>
      </w:r>
      <w:r w:rsidRPr="006E6446">
        <w:t>2</w:t>
      </w:r>
      <w:r w:rsidRPr="00392E88">
        <w:t xml:space="preserve"> odzwierciedlał wynik testu warunków skrajnych,</w:t>
      </w:r>
      <w:r w:rsidR="006E6446" w:rsidRPr="00392E88">
        <w:t xml:space="preserve"> o</w:t>
      </w:r>
      <w:r w:rsidR="006E6446">
        <w:t> </w:t>
      </w:r>
      <w:r w:rsidR="006E6446" w:rsidRPr="00392E88">
        <w:t>któ</w:t>
      </w:r>
      <w:r w:rsidRPr="00392E88">
        <w:t>rym mowa</w:t>
      </w:r>
      <w:r w:rsidR="006E6446" w:rsidRPr="00392E88">
        <w:t xml:space="preserve"> w</w:t>
      </w:r>
      <w:r w:rsidR="006E6446">
        <w:t> </w:t>
      </w:r>
      <w:r w:rsidR="006E6446" w:rsidRPr="006E6446">
        <w:t>ust</w:t>
      </w:r>
      <w:r w:rsidRPr="006E6446">
        <w:t>.</w:t>
      </w:r>
      <w:r w:rsidR="006E6446" w:rsidRPr="006E6446">
        <w:t> </w:t>
      </w:r>
      <w:r w:rsidRPr="006E6446">
        <w:t>1</w:t>
      </w:r>
      <w:r w:rsidRPr="00392E88">
        <w:t xml:space="preserve"> niniejszego artykułu, oraz,</w:t>
      </w:r>
      <w:r w:rsidR="006E6446" w:rsidRPr="00392E88">
        <w:t xml:space="preserve"> w</w:t>
      </w:r>
      <w:r w:rsidR="006E6446">
        <w:t> </w:t>
      </w:r>
      <w:r w:rsidR="006E6446" w:rsidRPr="00392E88">
        <w:t>raz</w:t>
      </w:r>
      <w:r w:rsidRPr="00392E88">
        <w:t>ie potrzeby, był odpowiednio aktualizowany,</w:t>
      </w:r>
      <w:r w:rsidR="006E6446" w:rsidRPr="00392E88">
        <w:t xml:space="preserve"> w</w:t>
      </w:r>
      <w:r w:rsidR="006E6446">
        <w:t> </w:t>
      </w:r>
      <w:r w:rsidR="006E6446" w:rsidRPr="00392E88">
        <w:t>szc</w:t>
      </w:r>
      <w:r w:rsidRPr="00392E88">
        <w:t>zególności przy określaniu środków</w:t>
      </w:r>
      <w:r w:rsidR="006E6446" w:rsidRPr="00392E88">
        <w:t xml:space="preserve"> i</w:t>
      </w:r>
      <w:r w:rsidR="006E6446">
        <w:t> </w:t>
      </w:r>
      <w:r w:rsidR="006E6446" w:rsidRPr="00392E88">
        <w:t>okr</w:t>
      </w:r>
      <w:r w:rsidRPr="00392E88">
        <w:t>esu przywrócenia pełnego finansowania.</w:t>
      </w:r>
    </w:p>
    <w:p w14:paraId="7123478D" w14:textId="7382DBBF" w:rsidR="00BE7D00" w:rsidRPr="00392E88" w:rsidRDefault="57456929" w:rsidP="00E95E33">
      <w:pPr>
        <w:pStyle w:val="Text1"/>
      </w:pPr>
      <w:r w:rsidRPr="00392E88">
        <w:t>5.</w:t>
      </w:r>
      <w:r w:rsidRPr="00392E88">
        <w:tab/>
        <w:t>Państwa członkowskie mogą podjąć decyzję</w:t>
      </w:r>
      <w:r w:rsidR="006E6446" w:rsidRPr="00392E88">
        <w:t xml:space="preserve"> o</w:t>
      </w:r>
      <w:r w:rsidR="006E6446">
        <w:t> </w:t>
      </w:r>
      <w:r w:rsidR="006E6446" w:rsidRPr="00392E88">
        <w:t>nie</w:t>
      </w:r>
      <w:r w:rsidRPr="00392E88">
        <w:t xml:space="preserve">stosowaniu </w:t>
      </w:r>
      <w:r w:rsidRPr="006E6446">
        <w:t>ust.</w:t>
      </w:r>
      <w:r w:rsidR="006E6446" w:rsidRPr="006E6446">
        <w:t> </w:t>
      </w:r>
      <w:r w:rsidRPr="006E6446">
        <w:t>1</w:t>
      </w:r>
      <w:r w:rsidRPr="00392E88">
        <w:t>–3, jeżeli wymagają od IORP zlokalizowanych na ich terytorium utrzymywania ustawowych funduszy własnych przekraczających wymagany margines wypłacalności,</w:t>
      </w:r>
      <w:r w:rsidR="006E6446" w:rsidRPr="00392E88">
        <w:t xml:space="preserve"> o</w:t>
      </w:r>
      <w:r w:rsidR="006E6446">
        <w:t> </w:t>
      </w:r>
      <w:r w:rsidR="006E6446" w:rsidRPr="00392E88">
        <w:t>któ</w:t>
      </w:r>
      <w:r w:rsidRPr="00392E88">
        <w:t>rym mowa</w:t>
      </w:r>
      <w:r w:rsidR="006E6446" w:rsidRPr="00392E88">
        <w:t xml:space="preserve"> w</w:t>
      </w:r>
      <w:r w:rsidR="006E6446">
        <w:t> </w:t>
      </w:r>
      <w:r w:rsidR="006E6446" w:rsidRPr="006E6446">
        <w:t>art</w:t>
      </w:r>
      <w:r w:rsidRPr="006E6446">
        <w:t>.</w:t>
      </w:r>
      <w:r w:rsidR="006E6446" w:rsidRPr="006E6446">
        <w:t> </w:t>
      </w:r>
      <w:r w:rsidRPr="006E6446">
        <w:t>1</w:t>
      </w:r>
      <w:r w:rsidRPr="00392E88">
        <w:t>7, pod warunkiem że wymogi dotyczące takich ustawowych funduszy własnych są oparte na analizie ryzyka, przynajmniej</w:t>
      </w:r>
      <w:r w:rsidR="006E6446" w:rsidRPr="00392E88">
        <w:t xml:space="preserve"> w</w:t>
      </w:r>
      <w:r w:rsidR="006E6446">
        <w:t> </w:t>
      </w:r>
      <w:r w:rsidR="006E6446" w:rsidRPr="00392E88">
        <w:t>odn</w:t>
      </w:r>
      <w:r w:rsidRPr="00392E88">
        <w:t>iesieniu do ryzyka rynkowego</w:t>
      </w:r>
      <w:r w:rsidR="006E6446" w:rsidRPr="00392E88">
        <w:t xml:space="preserve"> i</w:t>
      </w:r>
      <w:r w:rsidR="006E6446">
        <w:t> </w:t>
      </w:r>
      <w:r w:rsidR="006E6446" w:rsidRPr="00392E88">
        <w:t>ryz</w:t>
      </w:r>
      <w:r w:rsidRPr="00392E88">
        <w:t xml:space="preserve">yka długowieczności.”; </w:t>
      </w:r>
    </w:p>
    <w:p w14:paraId="717CD63E" w14:textId="12BFB322" w:rsidR="007C30F8" w:rsidRPr="00392E88" w:rsidRDefault="006E6446" w:rsidP="006E6446">
      <w:pPr>
        <w:pStyle w:val="Point0"/>
      </w:pPr>
      <w:r>
        <w:t>22)</w:t>
      </w:r>
      <w:r>
        <w:tab/>
      </w:r>
      <w:r w:rsidR="007C30F8" w:rsidRPr="00392E88">
        <w:t xml:space="preserve">w </w:t>
      </w:r>
      <w:r w:rsidR="007C30F8" w:rsidRPr="006E6446">
        <w:t>art.</w:t>
      </w:r>
      <w:r w:rsidRPr="006E6446">
        <w:t> </w:t>
      </w:r>
      <w:r w:rsidR="007C30F8" w:rsidRPr="006E6446">
        <w:t>1</w:t>
      </w:r>
      <w:r w:rsidR="007C30F8" w:rsidRPr="00392E88">
        <w:t>9 wprowadza się następujące zmiany:</w:t>
      </w:r>
    </w:p>
    <w:p w14:paraId="5D3409A0" w14:textId="2E498BF0" w:rsidR="005843CE" w:rsidRPr="00392E88" w:rsidRDefault="006E6446" w:rsidP="006E6446">
      <w:pPr>
        <w:pStyle w:val="Point1"/>
      </w:pPr>
      <w:r>
        <w:t>a)</w:t>
      </w:r>
      <w:r>
        <w:tab/>
      </w:r>
      <w:r w:rsidR="005843CE" w:rsidRPr="00392E88">
        <w:t xml:space="preserve">w </w:t>
      </w:r>
      <w:r w:rsidR="005843CE" w:rsidRPr="006E6446">
        <w:t>ust.</w:t>
      </w:r>
      <w:r w:rsidRPr="006E6446">
        <w:t> </w:t>
      </w:r>
      <w:r w:rsidR="005843CE" w:rsidRPr="006E6446">
        <w:t>1</w:t>
      </w:r>
      <w:r w:rsidR="005843CE" w:rsidRPr="00392E88">
        <w:t xml:space="preserve"> wprowadza się następujące zmiany:</w:t>
      </w:r>
    </w:p>
    <w:p w14:paraId="306217C4" w14:textId="278EF59A" w:rsidR="00682EF2" w:rsidRPr="00392E88" w:rsidRDefault="006E6446" w:rsidP="006E6446">
      <w:pPr>
        <w:pStyle w:val="Point2"/>
      </w:pPr>
      <w:r>
        <w:t>a)</w:t>
      </w:r>
      <w:r>
        <w:tab/>
      </w:r>
      <w:r w:rsidR="00682EF2" w:rsidRPr="00392E88">
        <w:t>formuła wprowadzająca otrzymuje brzmienie:</w:t>
      </w:r>
    </w:p>
    <w:p w14:paraId="3E368F79" w14:textId="114D1255" w:rsidR="00553F8E" w:rsidRPr="00392E88" w:rsidRDefault="00553F8E" w:rsidP="00C9746B">
      <w:pPr>
        <w:pStyle w:val="Text1"/>
      </w:pPr>
      <w:r w:rsidRPr="00392E88">
        <w:t>„1.</w:t>
      </w:r>
      <w:r w:rsidRPr="00392E88">
        <w:tab/>
        <w:t>Państwa członkowskie wymagają od IORP wykonujących działalność na podstawie zezwolenia na ich terytoriach, aby inwestowały zgodnie</w:t>
      </w:r>
      <w:r w:rsidR="006E6446" w:rsidRPr="00392E88">
        <w:t xml:space="preserve"> z</w:t>
      </w:r>
      <w:r w:rsidR="006E6446">
        <w:t> </w:t>
      </w:r>
      <w:r w:rsidR="006E6446" w:rsidRPr="00392E88">
        <w:t>zas</w:t>
      </w:r>
      <w:r w:rsidRPr="00392E88">
        <w:t>adą »ostrożnego inwestora«,</w:t>
      </w:r>
      <w:r w:rsidR="006E6446" w:rsidRPr="00392E88">
        <w:t xml:space="preserve"> w</w:t>
      </w:r>
      <w:r w:rsidR="006E6446">
        <w:t> </w:t>
      </w:r>
      <w:r w:rsidR="006E6446" w:rsidRPr="00392E88">
        <w:t>szc</w:t>
      </w:r>
      <w:r w:rsidRPr="00392E88">
        <w:t>zególności zgodnie</w:t>
      </w:r>
      <w:r w:rsidR="006E6446" w:rsidRPr="00392E88">
        <w:t xml:space="preserve"> z</w:t>
      </w:r>
      <w:r w:rsidR="006E6446">
        <w:t> </w:t>
      </w:r>
      <w:r w:rsidR="006E6446" w:rsidRPr="00392E88">
        <w:t>nas</w:t>
      </w:r>
      <w:r w:rsidRPr="00392E88">
        <w:t>tępującymi regułami:”;</w:t>
      </w:r>
    </w:p>
    <w:p w14:paraId="4E2AE38E" w14:textId="06D2797D" w:rsidR="00AA578A" w:rsidRPr="00392E88" w:rsidRDefault="006E6446" w:rsidP="006E6446">
      <w:pPr>
        <w:pStyle w:val="Point2"/>
      </w:pPr>
      <w:r>
        <w:t>b)</w:t>
      </w:r>
      <w:r>
        <w:tab/>
      </w:r>
      <w:r w:rsidR="00E8110E" w:rsidRPr="006E6446">
        <w:t>lit.</w:t>
      </w:r>
      <w:r w:rsidRPr="006E6446">
        <w:t> </w:t>
      </w:r>
      <w:r w:rsidR="00E8110E" w:rsidRPr="006E6446">
        <w:t>b)</w:t>
      </w:r>
      <w:r w:rsidR="00E8110E" w:rsidRPr="00392E88">
        <w:t xml:space="preserve"> otrzymuje brzmienie:</w:t>
      </w:r>
    </w:p>
    <w:p w14:paraId="5E68AD2E" w14:textId="562A9788" w:rsidR="0013520E" w:rsidRPr="00392E88" w:rsidRDefault="0013520E" w:rsidP="00DC79C9">
      <w:pPr>
        <w:pStyle w:val="Point1"/>
      </w:pPr>
      <w:r w:rsidRPr="00392E88">
        <w:t xml:space="preserve">„b) </w:t>
      </w:r>
      <w:r w:rsidRPr="00392E88">
        <w:tab/>
        <w:t>w myśl zasady »ostrożnego inwestora« IORP uwzględniają</w:t>
      </w:r>
      <w:r w:rsidR="006E6446" w:rsidRPr="00392E88">
        <w:t xml:space="preserve"> w</w:t>
      </w:r>
      <w:r w:rsidR="006E6446">
        <w:t> </w:t>
      </w:r>
      <w:r w:rsidR="006E6446" w:rsidRPr="00392E88">
        <w:t>swo</w:t>
      </w:r>
      <w:r w:rsidRPr="00392E88">
        <w:t>ich decyzjach inwestycyjnych ryzyka dla zrównoważonego rozwoju zdefiniowane</w:t>
      </w:r>
      <w:r w:rsidR="006E6446" w:rsidRPr="00392E88">
        <w:t xml:space="preserve"> w</w:t>
      </w:r>
      <w:r w:rsidR="006E6446">
        <w:t> </w:t>
      </w:r>
      <w:r w:rsidR="006E6446" w:rsidRPr="006E6446">
        <w:t>art</w:t>
      </w:r>
      <w:r w:rsidRPr="006E6446">
        <w:t>.</w:t>
      </w:r>
      <w:r w:rsidR="006E6446" w:rsidRPr="006E6446">
        <w:t> </w:t>
      </w:r>
      <w:r w:rsidRPr="006E6446">
        <w:t>2</w:t>
      </w:r>
      <w:r w:rsidRPr="00392E88">
        <w:t xml:space="preserve"> </w:t>
      </w:r>
      <w:r w:rsidRPr="006E6446">
        <w:t>pkt</w:t>
      </w:r>
      <w:r w:rsidR="006E6446" w:rsidRPr="006E6446">
        <w:t> </w:t>
      </w:r>
      <w:r w:rsidRPr="006E6446">
        <w:t>2</w:t>
      </w:r>
      <w:r w:rsidRPr="00392E88">
        <w:t>2 rozporządzenia Parlamentu Europejskiego</w:t>
      </w:r>
      <w:r w:rsidR="006E6446" w:rsidRPr="00392E88">
        <w:t xml:space="preserve"> i</w:t>
      </w:r>
      <w:r w:rsidR="006E6446">
        <w:t> </w:t>
      </w:r>
      <w:r w:rsidR="006E6446" w:rsidRPr="00392E88">
        <w:t>Rad</w:t>
      </w:r>
      <w:r w:rsidRPr="00392E88">
        <w:t>y (UE) 2019/2088</w:t>
      </w:r>
      <w:r w:rsidRPr="00392E88">
        <w:rPr>
          <w:vertAlign w:val="superscript"/>
        </w:rPr>
        <w:t>*</w:t>
      </w:r>
      <w:r w:rsidR="006E6446" w:rsidRPr="00392E88">
        <w:t xml:space="preserve"> i</w:t>
      </w:r>
      <w:r w:rsidR="006E6446">
        <w:t> </w:t>
      </w:r>
      <w:r w:rsidR="006E6446" w:rsidRPr="00392E88">
        <w:t>w</w:t>
      </w:r>
      <w:r w:rsidR="006E6446">
        <w:t> </w:t>
      </w:r>
      <w:r w:rsidR="006E6446" w:rsidRPr="00392E88">
        <w:t>tym</w:t>
      </w:r>
      <w:r w:rsidRPr="00392E88">
        <w:t xml:space="preserve"> celu IORP uwzględniają potencjalny długoterminowy wpływ swojej strategii inwestycyjnej</w:t>
      </w:r>
      <w:r w:rsidR="006E6446" w:rsidRPr="00392E88">
        <w:t xml:space="preserve"> i</w:t>
      </w:r>
      <w:r w:rsidR="006E6446">
        <w:t> </w:t>
      </w:r>
      <w:r w:rsidR="006E6446" w:rsidRPr="00392E88">
        <w:t>swo</w:t>
      </w:r>
      <w:r w:rsidRPr="00392E88">
        <w:t>ich decyzji inwestycyjnych na czynniki zrównoważonego rozwoju zdefiniowane</w:t>
      </w:r>
      <w:r w:rsidR="006E6446" w:rsidRPr="00392E88">
        <w:t xml:space="preserve"> w</w:t>
      </w:r>
      <w:r w:rsidR="006E6446">
        <w:t> </w:t>
      </w:r>
      <w:r w:rsidR="006E6446" w:rsidRPr="006E6446">
        <w:t>art</w:t>
      </w:r>
      <w:r w:rsidRPr="006E6446">
        <w:t>.</w:t>
      </w:r>
      <w:r w:rsidR="006E6446" w:rsidRPr="006E6446">
        <w:t> </w:t>
      </w:r>
      <w:r w:rsidRPr="006E6446">
        <w:t>2</w:t>
      </w:r>
      <w:r w:rsidRPr="00392E88">
        <w:t xml:space="preserve"> </w:t>
      </w:r>
      <w:r w:rsidRPr="006E6446">
        <w:t>pkt</w:t>
      </w:r>
      <w:r w:rsidR="006E6446" w:rsidRPr="006E6446">
        <w:t> </w:t>
      </w:r>
      <w:r w:rsidRPr="006E6446">
        <w:t>2</w:t>
      </w:r>
      <w:r w:rsidRPr="00392E88">
        <w:t>4 rozporządzenia (UE) 2019/2088. Odbywa się to</w:t>
      </w:r>
      <w:r w:rsidR="006E6446" w:rsidRPr="00392E88">
        <w:t xml:space="preserve"> w</w:t>
      </w:r>
      <w:r w:rsidR="006E6446">
        <w:t> </w:t>
      </w:r>
      <w:r w:rsidR="006E6446" w:rsidRPr="00392E88">
        <w:t>spo</w:t>
      </w:r>
      <w:r w:rsidRPr="00392E88">
        <w:t>sób proporcjonalny,</w:t>
      </w:r>
      <w:r w:rsidR="006E6446" w:rsidRPr="00392E88">
        <w:t xml:space="preserve"> z</w:t>
      </w:r>
      <w:r w:rsidR="006E6446">
        <w:t> </w:t>
      </w:r>
      <w:r w:rsidR="006E6446" w:rsidRPr="00392E88">
        <w:t>uwz</w:t>
      </w:r>
      <w:r w:rsidRPr="00392E88">
        <w:t>ględnieniem charakteru, skali</w:t>
      </w:r>
      <w:r w:rsidR="006E6446" w:rsidRPr="00392E88">
        <w:t xml:space="preserve"> i</w:t>
      </w:r>
      <w:r w:rsidR="006E6446">
        <w:t> </w:t>
      </w:r>
      <w:r w:rsidR="006E6446" w:rsidRPr="00392E88">
        <w:t>zło</w:t>
      </w:r>
      <w:r w:rsidRPr="00392E88">
        <w:t>żoności działalności IORP.”;</w:t>
      </w:r>
    </w:p>
    <w:p w14:paraId="70C89B72" w14:textId="2509DE62" w:rsidR="00BA4D74" w:rsidRPr="00392E88" w:rsidRDefault="006E6446" w:rsidP="006E6446">
      <w:pPr>
        <w:pStyle w:val="Point2"/>
      </w:pPr>
      <w:r>
        <w:t>c)</w:t>
      </w:r>
      <w:r>
        <w:tab/>
      </w:r>
      <w:r w:rsidR="00641E41" w:rsidRPr="006E6446">
        <w:t>lit.</w:t>
      </w:r>
      <w:r w:rsidRPr="006E6446">
        <w:t> </w:t>
      </w:r>
      <w:r w:rsidR="00641E41" w:rsidRPr="006E6446">
        <w:t>d)</w:t>
      </w:r>
      <w:r w:rsidR="00641E41" w:rsidRPr="00392E88">
        <w:t xml:space="preserve"> otrzymuje brzmienie:</w:t>
      </w:r>
    </w:p>
    <w:p w14:paraId="5B00472B" w14:textId="77777777" w:rsidR="00C443F0" w:rsidRPr="00392E88" w:rsidRDefault="00C443F0" w:rsidP="00DC79C9">
      <w:pPr>
        <w:pStyle w:val="Point1"/>
      </w:pPr>
      <w:r w:rsidRPr="00392E88">
        <w:t xml:space="preserve">„d) </w:t>
      </w:r>
      <w:r w:rsidRPr="00392E88">
        <w:tab/>
        <w:t>aktywa są inwestowane głównie na rynkach regulowanych, MTF lub OTF;”;</w:t>
      </w:r>
    </w:p>
    <w:p w14:paraId="34B7260C" w14:textId="5F44AA2B" w:rsidR="006E16FB" w:rsidRPr="00392E88" w:rsidRDefault="006E6446" w:rsidP="006E6446">
      <w:pPr>
        <w:pStyle w:val="Point1"/>
      </w:pPr>
      <w:r>
        <w:t>b)</w:t>
      </w:r>
      <w:r>
        <w:tab/>
      </w:r>
      <w:r w:rsidR="00CD580B" w:rsidRPr="00392E88">
        <w:t xml:space="preserve">dodaje się </w:t>
      </w:r>
      <w:r w:rsidR="00CD580B" w:rsidRPr="006E6446">
        <w:t>ust.</w:t>
      </w:r>
      <w:r w:rsidRPr="006E6446">
        <w:t> </w:t>
      </w:r>
      <w:r w:rsidR="00CD580B" w:rsidRPr="006E6446">
        <w:t>1</w:t>
      </w:r>
      <w:r w:rsidR="00CD580B" w:rsidRPr="00392E88">
        <w:t>a–1d</w:t>
      </w:r>
      <w:r w:rsidRPr="00392E88">
        <w:t xml:space="preserve"> w</w:t>
      </w:r>
      <w:r>
        <w:t> </w:t>
      </w:r>
      <w:r w:rsidRPr="00392E88">
        <w:t>brz</w:t>
      </w:r>
      <w:r w:rsidR="00CD580B" w:rsidRPr="00392E88">
        <w:t>mieniu:</w:t>
      </w:r>
    </w:p>
    <w:p w14:paraId="713B63A3" w14:textId="1874FFE5" w:rsidR="00945D81" w:rsidRPr="00392E88" w:rsidRDefault="00EE6452" w:rsidP="003420AE">
      <w:pPr>
        <w:pStyle w:val="Text1"/>
      </w:pPr>
      <w:r w:rsidRPr="00392E88">
        <w:t>„1a.</w:t>
      </w:r>
      <w:r w:rsidRPr="00392E88">
        <w:tab/>
        <w:t>Państwa członkowskie wymagają, aby</w:t>
      </w:r>
      <w:r w:rsidR="006E6446" w:rsidRPr="00392E88">
        <w:t xml:space="preserve"> w</w:t>
      </w:r>
      <w:r w:rsidR="006E6446">
        <w:t> </w:t>
      </w:r>
      <w:r w:rsidR="006E6446" w:rsidRPr="00392E88">
        <w:t>odn</w:t>
      </w:r>
      <w:r w:rsidRPr="00392E88">
        <w:t>iesieniu do całego portfela aktywów IORP inwestowały wyłącznie</w:t>
      </w:r>
      <w:r w:rsidR="006E6446" w:rsidRPr="00392E88">
        <w:t xml:space="preserve"> w</w:t>
      </w:r>
      <w:r w:rsidR="006E6446">
        <w:t> </w:t>
      </w:r>
      <w:r w:rsidR="006E6446" w:rsidRPr="00392E88">
        <w:t>akt</w:t>
      </w:r>
      <w:r w:rsidRPr="00392E88">
        <w:t>ywa</w:t>
      </w:r>
      <w:r w:rsidR="006E6446" w:rsidRPr="00392E88">
        <w:t xml:space="preserve"> i</w:t>
      </w:r>
      <w:r w:rsidR="006E6446">
        <w:t> </w:t>
      </w:r>
      <w:r w:rsidR="006E6446" w:rsidRPr="00392E88">
        <w:t>ins</w:t>
      </w:r>
      <w:r w:rsidRPr="00392E88">
        <w:t>trumenty, których ryzyka dana IORP jest</w:t>
      </w:r>
      <w:r w:rsidR="006E6446" w:rsidRPr="00392E88">
        <w:t xml:space="preserve"> w</w:t>
      </w:r>
      <w:r w:rsidR="006E6446">
        <w:t> </w:t>
      </w:r>
      <w:r w:rsidR="006E6446" w:rsidRPr="00392E88">
        <w:t>sta</w:t>
      </w:r>
      <w:r w:rsidRPr="00392E88">
        <w:t>nie właściwie określić, mierzyć, monitorować, którymi może właściwie zarządzać, które może właściwie kontrolować</w:t>
      </w:r>
      <w:r w:rsidR="006E6446" w:rsidRPr="00392E88">
        <w:t xml:space="preserve"> i</w:t>
      </w:r>
      <w:r w:rsidR="006E6446">
        <w:t> </w:t>
      </w:r>
      <w:r w:rsidR="006E6446" w:rsidRPr="00392E88">
        <w:t>w</w:t>
      </w:r>
      <w:r w:rsidR="006E6446">
        <w:t> </w:t>
      </w:r>
      <w:r w:rsidR="006E6446" w:rsidRPr="00392E88">
        <w:t>któ</w:t>
      </w:r>
      <w:r w:rsidRPr="00392E88">
        <w:t>rych zakresie może prowadzić sprawozdawczość oraz które jest</w:t>
      </w:r>
      <w:r w:rsidR="006E6446" w:rsidRPr="00392E88">
        <w:t xml:space="preserve"> w</w:t>
      </w:r>
      <w:r w:rsidR="006E6446">
        <w:t> </w:t>
      </w:r>
      <w:r w:rsidR="006E6446" w:rsidRPr="00392E88">
        <w:t>sta</w:t>
      </w:r>
      <w:r w:rsidRPr="00392E88">
        <w:t>nie odpowiednio uwzględnić</w:t>
      </w:r>
      <w:r w:rsidR="006E6446" w:rsidRPr="00392E88">
        <w:t xml:space="preserve"> w</w:t>
      </w:r>
      <w:r w:rsidR="006E6446">
        <w:t> </w:t>
      </w:r>
      <w:r w:rsidR="006E6446" w:rsidRPr="00392E88">
        <w:t>oce</w:t>
      </w:r>
      <w:r w:rsidRPr="00392E88">
        <w:t>nie swoich ogólnych potrzeb</w:t>
      </w:r>
      <w:r w:rsidR="006E6446" w:rsidRPr="00392E88">
        <w:t xml:space="preserve"> w</w:t>
      </w:r>
      <w:r w:rsidR="006E6446">
        <w:t> </w:t>
      </w:r>
      <w:r w:rsidR="006E6446" w:rsidRPr="00392E88">
        <w:t>zak</w:t>
      </w:r>
      <w:r w:rsidRPr="00392E88">
        <w:t>resie finansowania oraz</w:t>
      </w:r>
      <w:r w:rsidR="006E6446" w:rsidRPr="00392E88">
        <w:t xml:space="preserve"> w</w:t>
      </w:r>
      <w:r w:rsidR="006E6446">
        <w:t> </w:t>
      </w:r>
      <w:r w:rsidR="006E6446" w:rsidRPr="00392E88">
        <w:t>oce</w:t>
      </w:r>
      <w:r w:rsidRPr="00392E88">
        <w:t>nie ryzyka dla uczestników</w:t>
      </w:r>
      <w:r w:rsidR="006E6446" w:rsidRPr="00392E88">
        <w:t xml:space="preserve"> i</w:t>
      </w:r>
      <w:r w:rsidR="006E6446">
        <w:t> </w:t>
      </w:r>
      <w:r w:rsidR="006E6446" w:rsidRPr="00392E88">
        <w:t>ben</w:t>
      </w:r>
      <w:r w:rsidRPr="00392E88">
        <w:t>eficjentów związanego</w:t>
      </w:r>
      <w:r w:rsidR="006E6446" w:rsidRPr="00392E88">
        <w:t xml:space="preserve"> z</w:t>
      </w:r>
      <w:r w:rsidR="006E6446">
        <w:t> </w:t>
      </w:r>
      <w:r w:rsidR="006E6446" w:rsidRPr="00392E88">
        <w:t>wyp</w:t>
      </w:r>
      <w:r w:rsidRPr="00392E88">
        <w:t>łatą ich świadczeń emerytalnych zgodnie</w:t>
      </w:r>
      <w:r w:rsidR="006E6446" w:rsidRPr="00392E88">
        <w:t xml:space="preserve"> z</w:t>
      </w:r>
      <w:r w:rsidR="006E6446">
        <w:t> </w:t>
      </w:r>
      <w:r w:rsidR="006E6446" w:rsidRPr="006E6446">
        <w:t>art</w:t>
      </w:r>
      <w:r w:rsidRPr="006E6446">
        <w:t>.</w:t>
      </w:r>
      <w:r w:rsidR="006E6446" w:rsidRPr="006E6446">
        <w:t> </w:t>
      </w:r>
      <w:r w:rsidRPr="006E6446">
        <w:t>2</w:t>
      </w:r>
      <w:r w:rsidRPr="00392E88">
        <w:t>8.</w:t>
      </w:r>
    </w:p>
    <w:p w14:paraId="0E6A56C9" w14:textId="360190A3" w:rsidR="005257FB" w:rsidRPr="00392E88" w:rsidRDefault="00945D81" w:rsidP="003420AE">
      <w:pPr>
        <w:pStyle w:val="Text1"/>
      </w:pPr>
      <w:r w:rsidRPr="00392E88">
        <w:t>1b.</w:t>
      </w:r>
      <w:r w:rsidRPr="00392E88">
        <w:tab/>
        <w:t>Państwa członkowskie wymagają, aby aktywa utrzymywane</w:t>
      </w:r>
      <w:r w:rsidR="006E6446" w:rsidRPr="00392E88">
        <w:t xml:space="preserve"> w</w:t>
      </w:r>
      <w:r w:rsidR="006E6446">
        <w:t> </w:t>
      </w:r>
      <w:r w:rsidR="006E6446" w:rsidRPr="00392E88">
        <w:t>cel</w:t>
      </w:r>
      <w:r w:rsidRPr="00392E88">
        <w:t>u pokrycia rezerw techniczno-ubezpieczeniowych również były inwestowane</w:t>
      </w:r>
      <w:r w:rsidR="006E6446" w:rsidRPr="00392E88">
        <w:t xml:space="preserve"> w</w:t>
      </w:r>
      <w:r w:rsidR="006E6446">
        <w:t> </w:t>
      </w:r>
      <w:r w:rsidR="006E6446" w:rsidRPr="00392E88">
        <w:t>spo</w:t>
      </w:r>
      <w:r w:rsidRPr="00392E88">
        <w:t>sób odpowiedni do charakteru</w:t>
      </w:r>
      <w:r w:rsidR="006E6446" w:rsidRPr="00392E88">
        <w:t xml:space="preserve"> i</w:t>
      </w:r>
      <w:r w:rsidR="006E6446">
        <w:t> </w:t>
      </w:r>
      <w:r w:rsidR="006E6446" w:rsidRPr="00392E88">
        <w:t>cza</w:t>
      </w:r>
      <w:r w:rsidRPr="00392E88">
        <w:t>su trwania zobowiązań zaciągniętych przez IORP.</w:t>
      </w:r>
    </w:p>
    <w:p w14:paraId="20900628" w14:textId="53445DA5" w:rsidR="00911401" w:rsidRPr="00392E88" w:rsidRDefault="005257FB" w:rsidP="003420AE">
      <w:pPr>
        <w:pStyle w:val="Text1"/>
      </w:pPr>
      <w:r w:rsidRPr="00392E88">
        <w:t>1c.</w:t>
      </w:r>
      <w:r w:rsidRPr="00392E88">
        <w:tab/>
        <w:t>Państwa członkowskie wymagają, aby decyzje inwestycyjne IORP odzwierciedlały preferencje uczestników</w:t>
      </w:r>
      <w:r w:rsidR="006E6446" w:rsidRPr="00392E88">
        <w:t xml:space="preserve"> i</w:t>
      </w:r>
      <w:r w:rsidR="006E6446">
        <w:t> </w:t>
      </w:r>
      <w:r w:rsidR="006E6446" w:rsidRPr="00392E88">
        <w:t>ben</w:t>
      </w:r>
      <w:r w:rsidRPr="00392E88">
        <w:t>eficjentów</w:t>
      </w:r>
      <w:r w:rsidR="006E6446" w:rsidRPr="00392E88">
        <w:t xml:space="preserve"> w</w:t>
      </w:r>
      <w:r w:rsidR="006E6446">
        <w:t> </w:t>
      </w:r>
      <w:r w:rsidR="006E6446" w:rsidRPr="00392E88">
        <w:t>zak</w:t>
      </w:r>
      <w:r w:rsidRPr="00392E88">
        <w:t>resie zrównoważonego rozwoju,</w:t>
      </w:r>
      <w:r w:rsidR="006E6446" w:rsidRPr="00392E88">
        <w:t xml:space="preserve"> w</w:t>
      </w:r>
      <w:r w:rsidR="006E6446">
        <w:t> </w:t>
      </w:r>
      <w:r w:rsidR="006E6446" w:rsidRPr="00392E88">
        <w:t>prz</w:t>
      </w:r>
      <w:r w:rsidRPr="00392E88">
        <w:t>ypadku gdy IORP są</w:t>
      </w:r>
      <w:r w:rsidR="006E6446" w:rsidRPr="00392E88">
        <w:t xml:space="preserve"> w</w:t>
      </w:r>
      <w:r w:rsidR="006E6446">
        <w:t> </w:t>
      </w:r>
      <w:r w:rsidR="006E6446" w:rsidRPr="00392E88">
        <w:t>sta</w:t>
      </w:r>
      <w:r w:rsidRPr="00392E88">
        <w:t>nie ocenić te preferencje uczestnictwa, oraz</w:t>
      </w:r>
      <w:r w:rsidR="006E6446" w:rsidRPr="00392E88">
        <w:t xml:space="preserve"> w</w:t>
      </w:r>
      <w:r w:rsidR="006E6446">
        <w:t> </w:t>
      </w:r>
      <w:r w:rsidR="006E6446" w:rsidRPr="00392E88">
        <w:t>zak</w:t>
      </w:r>
      <w:r w:rsidRPr="00392E88">
        <w:t>resie,</w:t>
      </w:r>
      <w:r w:rsidR="006E6446" w:rsidRPr="00392E88">
        <w:t xml:space="preserve"> w</w:t>
      </w:r>
      <w:r w:rsidR="006E6446">
        <w:t> </w:t>
      </w:r>
      <w:r w:rsidR="006E6446" w:rsidRPr="00392E88">
        <w:t>jak</w:t>
      </w:r>
      <w:r w:rsidRPr="00392E88">
        <w:t>im preferencje te są zgodne</w:t>
      </w:r>
      <w:r w:rsidR="006E6446" w:rsidRPr="00392E88">
        <w:t xml:space="preserve"> z</w:t>
      </w:r>
      <w:r w:rsidR="006E6446">
        <w:t> </w:t>
      </w:r>
      <w:r w:rsidR="006E6446" w:rsidRPr="00392E88">
        <w:t>zas</w:t>
      </w:r>
      <w:r w:rsidRPr="00392E88">
        <w:t>adami inwestycyjnymi określonymi</w:t>
      </w:r>
      <w:r w:rsidR="006E6446" w:rsidRPr="00392E88">
        <w:t xml:space="preserve"> w</w:t>
      </w:r>
      <w:r w:rsidR="006E6446">
        <w:t> </w:t>
      </w:r>
      <w:r w:rsidR="006E6446" w:rsidRPr="006E6446">
        <w:t>ust</w:t>
      </w:r>
      <w:r w:rsidRPr="006E6446">
        <w:t>.</w:t>
      </w:r>
      <w:r w:rsidR="006E6446" w:rsidRPr="006E6446">
        <w:t> </w:t>
      </w:r>
      <w:r w:rsidRPr="006E6446">
        <w:t>1</w:t>
      </w:r>
      <w:r w:rsidRPr="00392E88">
        <w:t>.</w:t>
      </w:r>
    </w:p>
    <w:p w14:paraId="5048FBA8" w14:textId="372844CA" w:rsidR="00911401" w:rsidRPr="00392E88" w:rsidRDefault="00911401" w:rsidP="005D0C3B">
      <w:pPr>
        <w:pStyle w:val="Text1"/>
      </w:pPr>
      <w:r w:rsidRPr="00392E88">
        <w:t>1d.</w:t>
      </w:r>
      <w:r w:rsidRPr="00392E88">
        <w:tab/>
        <w:t xml:space="preserve">Do celów </w:t>
      </w:r>
      <w:r w:rsidRPr="006E6446">
        <w:t>ust.</w:t>
      </w:r>
      <w:r w:rsidR="006E6446" w:rsidRPr="006E6446">
        <w:t> </w:t>
      </w:r>
      <w:r w:rsidRPr="006E6446">
        <w:t>1</w:t>
      </w:r>
      <w:r w:rsidRPr="00392E88">
        <w:t>c preferencje</w:t>
      </w:r>
      <w:r w:rsidR="006E6446" w:rsidRPr="00392E88">
        <w:t xml:space="preserve"> w</w:t>
      </w:r>
      <w:r w:rsidR="006E6446">
        <w:t> </w:t>
      </w:r>
      <w:r w:rsidR="006E6446" w:rsidRPr="00392E88">
        <w:t>zak</w:t>
      </w:r>
      <w:r w:rsidRPr="00392E88">
        <w:t>resie zrównoważonego rozwoju oznaczają wybór uczestnika, beneficjenta lub potencjalnego uczestnika dotyczący tego, czy –</w:t>
      </w:r>
      <w:r w:rsidR="006E6446" w:rsidRPr="00392E88">
        <w:t xml:space="preserve"> i</w:t>
      </w:r>
      <w:r w:rsidR="006E6446">
        <w:t> </w:t>
      </w:r>
      <w:r w:rsidR="006E6446" w:rsidRPr="00392E88">
        <w:t>w</w:t>
      </w:r>
      <w:r w:rsidR="006E6446">
        <w:t> </w:t>
      </w:r>
      <w:r w:rsidR="006E6446" w:rsidRPr="00392E88">
        <w:t>jak</w:t>
      </w:r>
      <w:r w:rsidRPr="00392E88">
        <w:t>im zakresie – do jego inwestycji należy włączyć co najmniej jeden</w:t>
      </w:r>
      <w:r w:rsidR="006E6446" w:rsidRPr="00392E88">
        <w:t xml:space="preserve"> z</w:t>
      </w:r>
      <w:r w:rsidR="006E6446">
        <w:t> </w:t>
      </w:r>
      <w:r w:rsidR="006E6446" w:rsidRPr="00392E88">
        <w:t>nas</w:t>
      </w:r>
      <w:r w:rsidRPr="00392E88">
        <w:t>tępujących instrumentów finansowych:</w:t>
      </w:r>
    </w:p>
    <w:p w14:paraId="1AEB2EAE" w14:textId="2A569D43" w:rsidR="00911401" w:rsidRPr="00392E88" w:rsidRDefault="00911401" w:rsidP="005D0C3B">
      <w:pPr>
        <w:pStyle w:val="Point1"/>
      </w:pPr>
      <w:r w:rsidRPr="00392E88">
        <w:t>a)</w:t>
      </w:r>
      <w:r w:rsidRPr="00392E88">
        <w:tab/>
        <w:t>instrument finansowy,</w:t>
      </w:r>
      <w:r w:rsidR="006E6446" w:rsidRPr="00392E88">
        <w:t xml:space="preserve"> w</w:t>
      </w:r>
      <w:r w:rsidR="006E6446">
        <w:t> </w:t>
      </w:r>
      <w:r w:rsidR="006E6446" w:rsidRPr="00392E88">
        <w:t>odn</w:t>
      </w:r>
      <w:r w:rsidRPr="00392E88">
        <w:t>iesieniu do którego klient lub potencjalny klient określa, że określona minimalna część ma zostać zainwestowana</w:t>
      </w:r>
      <w:r w:rsidR="006E6446" w:rsidRPr="00392E88">
        <w:t xml:space="preserve"> w</w:t>
      </w:r>
      <w:r w:rsidR="006E6446">
        <w:t> </w:t>
      </w:r>
      <w:r w:rsidR="006E6446" w:rsidRPr="00392E88">
        <w:t>zró</w:t>
      </w:r>
      <w:r w:rsidRPr="00392E88">
        <w:t>wnoważone środowiskowo inwestycje</w:t>
      </w:r>
      <w:r w:rsidR="006E6446" w:rsidRPr="00392E88">
        <w:t xml:space="preserve"> w</w:t>
      </w:r>
      <w:r w:rsidR="006E6446">
        <w:t> </w:t>
      </w:r>
      <w:r w:rsidR="006E6446" w:rsidRPr="00392E88">
        <w:t>roz</w:t>
      </w:r>
      <w:r w:rsidRPr="00392E88">
        <w:t>umieniu</w:t>
      </w:r>
      <w:r w:rsidR="006E6446" w:rsidRPr="00392E88">
        <w:t xml:space="preserve"> w</w:t>
      </w:r>
      <w:r w:rsidR="006E6446">
        <w:t> </w:t>
      </w:r>
      <w:r w:rsidR="006E6446" w:rsidRPr="006E6446">
        <w:t>art</w:t>
      </w:r>
      <w:r w:rsidRPr="006E6446">
        <w:t>.</w:t>
      </w:r>
      <w:r w:rsidR="006E6446" w:rsidRPr="006E6446">
        <w:t> </w:t>
      </w:r>
      <w:r w:rsidRPr="006E6446">
        <w:t>2</w:t>
      </w:r>
      <w:r w:rsidRPr="00392E88">
        <w:t xml:space="preserve"> </w:t>
      </w:r>
      <w:r w:rsidRPr="006E6446">
        <w:t>pkt</w:t>
      </w:r>
      <w:r w:rsidR="006E6446" w:rsidRPr="006E6446">
        <w:t> </w:t>
      </w:r>
      <w:r w:rsidRPr="006E6446">
        <w:t>1</w:t>
      </w:r>
      <w:r w:rsidRPr="00392E88">
        <w:t xml:space="preserve"> rozporządzenia Parlamentu Europejskiego</w:t>
      </w:r>
      <w:r w:rsidR="006E6446" w:rsidRPr="00392E88">
        <w:t xml:space="preserve"> i</w:t>
      </w:r>
      <w:r w:rsidR="006E6446">
        <w:t> </w:t>
      </w:r>
      <w:r w:rsidR="006E6446" w:rsidRPr="00392E88">
        <w:t>Rad</w:t>
      </w:r>
      <w:r w:rsidRPr="00392E88">
        <w:t>y (UE) 2020/852</w:t>
      </w:r>
      <w:r w:rsidRPr="00392E88">
        <w:rPr>
          <w:vertAlign w:val="superscript"/>
        </w:rPr>
        <w:t>**</w:t>
      </w:r>
      <w:r w:rsidRPr="00392E88">
        <w:t>;</w:t>
      </w:r>
    </w:p>
    <w:p w14:paraId="4B6A8A19" w14:textId="541F6172" w:rsidR="00911401" w:rsidRPr="00392E88" w:rsidRDefault="00911401" w:rsidP="005D0C3B">
      <w:pPr>
        <w:pStyle w:val="Point1"/>
      </w:pPr>
      <w:r w:rsidRPr="00392E88">
        <w:t>b)</w:t>
      </w:r>
      <w:r w:rsidRPr="00392E88">
        <w:tab/>
        <w:t>instrument finansowy,</w:t>
      </w:r>
      <w:r w:rsidR="006E6446" w:rsidRPr="00392E88">
        <w:t xml:space="preserve"> w</w:t>
      </w:r>
      <w:r w:rsidR="006E6446">
        <w:t> </w:t>
      </w:r>
      <w:r w:rsidR="006E6446" w:rsidRPr="00392E88">
        <w:t>odn</w:t>
      </w:r>
      <w:r w:rsidRPr="00392E88">
        <w:t>iesieniu do którego klient lub potencjalny klient określa, że określona minimalna część ma zostać zainwestowana</w:t>
      </w:r>
      <w:r w:rsidR="006E6446" w:rsidRPr="00392E88">
        <w:t xml:space="preserve"> w</w:t>
      </w:r>
      <w:r w:rsidR="006E6446">
        <w:t> </w:t>
      </w:r>
      <w:r w:rsidR="006E6446" w:rsidRPr="00392E88">
        <w:t>zró</w:t>
      </w:r>
      <w:r w:rsidRPr="00392E88">
        <w:t>wnoważone inwestycje</w:t>
      </w:r>
      <w:r w:rsidR="006E6446" w:rsidRPr="00392E88">
        <w:t xml:space="preserve"> w</w:t>
      </w:r>
      <w:r w:rsidR="006E6446">
        <w:t> </w:t>
      </w:r>
      <w:r w:rsidR="006E6446" w:rsidRPr="00392E88">
        <w:t>roz</w:t>
      </w:r>
      <w:r w:rsidRPr="00392E88">
        <w:t xml:space="preserve">umieniu </w:t>
      </w:r>
      <w:r w:rsidRPr="006E6446">
        <w:t>art.</w:t>
      </w:r>
      <w:r w:rsidR="006E6446" w:rsidRPr="006E6446">
        <w:t> </w:t>
      </w:r>
      <w:r w:rsidRPr="006E6446">
        <w:t>2</w:t>
      </w:r>
      <w:r w:rsidRPr="00392E88">
        <w:t xml:space="preserve"> </w:t>
      </w:r>
      <w:r w:rsidRPr="006E6446">
        <w:t>pkt</w:t>
      </w:r>
      <w:r w:rsidR="006E6446" w:rsidRPr="006E6446">
        <w:t> </w:t>
      </w:r>
      <w:r w:rsidRPr="006E6446">
        <w:t>1</w:t>
      </w:r>
      <w:r w:rsidRPr="00392E88">
        <w:t>7 rozporządzenia (UE) 2019/2088;</w:t>
      </w:r>
    </w:p>
    <w:p w14:paraId="5140C676" w14:textId="5920839B" w:rsidR="00EE6452" w:rsidRPr="00392E88" w:rsidRDefault="00911401" w:rsidP="005D0C3B">
      <w:pPr>
        <w:pStyle w:val="Point1"/>
      </w:pPr>
      <w:r w:rsidRPr="00392E88">
        <w:t>c)</w:t>
      </w:r>
      <w:r w:rsidRPr="00392E88">
        <w:tab/>
        <w:t>instrument finansowy, który uwzględnia główne niekorzystne skutki dla czynników zrównoważonego rozwoju zgodnie</w:t>
      </w:r>
      <w:r w:rsidR="006E6446" w:rsidRPr="00392E88">
        <w:t xml:space="preserve"> z</w:t>
      </w:r>
      <w:r w:rsidR="006E6446">
        <w:t> </w:t>
      </w:r>
      <w:r w:rsidR="006E6446" w:rsidRPr="00392E88">
        <w:t>def</w:t>
      </w:r>
      <w:r w:rsidRPr="00392E88">
        <w:t>inicją</w:t>
      </w:r>
      <w:r w:rsidR="006E6446" w:rsidRPr="00392E88">
        <w:t xml:space="preserve"> w</w:t>
      </w:r>
      <w:r w:rsidR="006E6446">
        <w:t> </w:t>
      </w:r>
      <w:r w:rsidR="006E6446" w:rsidRPr="006E6446">
        <w:t>art</w:t>
      </w:r>
      <w:r w:rsidRPr="006E6446">
        <w:t>.</w:t>
      </w:r>
      <w:r w:rsidR="006E6446" w:rsidRPr="006E6446">
        <w:t> </w:t>
      </w:r>
      <w:r w:rsidRPr="006E6446">
        <w:t>2</w:t>
      </w:r>
      <w:r w:rsidRPr="00392E88">
        <w:t xml:space="preserve"> </w:t>
      </w:r>
      <w:r w:rsidRPr="006E6446">
        <w:t>pkt</w:t>
      </w:r>
      <w:r w:rsidR="006E6446" w:rsidRPr="006E6446">
        <w:t> </w:t>
      </w:r>
      <w:r w:rsidRPr="006E6446">
        <w:t>2</w:t>
      </w:r>
      <w:r w:rsidRPr="00392E88">
        <w:t>4 rozporządzenia (UE) 2019/2088,</w:t>
      </w:r>
      <w:r w:rsidR="006E6446" w:rsidRPr="00392E88">
        <w:t xml:space="preserve"> w</w:t>
      </w:r>
      <w:r w:rsidR="006E6446">
        <w:t> </w:t>
      </w:r>
      <w:r w:rsidR="006E6446" w:rsidRPr="00392E88">
        <w:t>prz</w:t>
      </w:r>
      <w:r w:rsidRPr="00392E88">
        <w:t>ypadku gdy elementy jakościowe lub ilościowe wskazujące na to uwzględnienie są ustalane przez klienta lub potencjalnego klienta.”;</w:t>
      </w:r>
    </w:p>
    <w:p w14:paraId="3D0A6D7E" w14:textId="452A2091" w:rsidR="00516B50" w:rsidRPr="00392E88" w:rsidRDefault="006E6446" w:rsidP="006E6446">
      <w:pPr>
        <w:pStyle w:val="Point1"/>
      </w:pPr>
      <w:r>
        <w:t>c)</w:t>
      </w:r>
      <w:r>
        <w:tab/>
      </w:r>
      <w:r w:rsidR="00162C1B" w:rsidRPr="00392E88">
        <w:t>ust. 6 otrzymuje brzmienie:</w:t>
      </w:r>
    </w:p>
    <w:p w14:paraId="54173F55" w14:textId="6138D91D" w:rsidR="00AE061E" w:rsidRPr="00392E88" w:rsidRDefault="00E26AEE" w:rsidP="00016EBB">
      <w:pPr>
        <w:pStyle w:val="Text1"/>
      </w:pPr>
      <w:r w:rsidRPr="00392E88">
        <w:t>„Zgodnie</w:t>
      </w:r>
      <w:r w:rsidR="006E6446" w:rsidRPr="00392E88">
        <w:t xml:space="preserve"> z</w:t>
      </w:r>
      <w:r w:rsidR="006E6446">
        <w:t> </w:t>
      </w:r>
      <w:r w:rsidR="006E6446" w:rsidRPr="00392E88">
        <w:t>prz</w:t>
      </w:r>
      <w:r w:rsidRPr="00392E88">
        <w:t xml:space="preserve">episami </w:t>
      </w:r>
      <w:r w:rsidRPr="006E6446">
        <w:t>ust.</w:t>
      </w:r>
      <w:r w:rsidR="006E6446" w:rsidRPr="006E6446">
        <w:t> </w:t>
      </w:r>
      <w:r w:rsidRPr="006E6446">
        <w:t>1</w:t>
      </w:r>
      <w:r w:rsidRPr="00392E88">
        <w:t>–5 państwa członkowskie mogą upoważnić właściwy organ,</w:t>
      </w:r>
      <w:r w:rsidR="006E6446" w:rsidRPr="00392E88">
        <w:t xml:space="preserve"> w</w:t>
      </w:r>
      <w:r w:rsidR="006E6446">
        <w:t> </w:t>
      </w:r>
      <w:r w:rsidR="006E6446" w:rsidRPr="00392E88">
        <w:t>odn</w:t>
      </w:r>
      <w:r w:rsidRPr="00392E88">
        <w:t xml:space="preserve">iesieniu do IORP wykonujących działalność na podstawie zezwolenia na ich terytoriach, do ustanowienia bardziej szczegółowych reguł, pod warunkiem że są one uzasadnione względami ostrożnościowymi. </w:t>
      </w:r>
    </w:p>
    <w:p w14:paraId="1AE58170" w14:textId="52047840" w:rsidR="00DC1569" w:rsidRPr="00392E88" w:rsidRDefault="001F619E" w:rsidP="00016EBB">
      <w:pPr>
        <w:pStyle w:val="Text1"/>
      </w:pPr>
      <w:r w:rsidRPr="00392E88">
        <w:t>Wszelkie takie reguły stosuje się wyłącznie</w:t>
      </w:r>
      <w:r w:rsidR="006E6446" w:rsidRPr="00392E88">
        <w:t xml:space="preserve"> w</w:t>
      </w:r>
      <w:r w:rsidR="006E6446">
        <w:t> </w:t>
      </w:r>
      <w:r w:rsidR="006E6446" w:rsidRPr="00392E88">
        <w:t>prz</w:t>
      </w:r>
      <w:r w:rsidRPr="00392E88">
        <w:t>ypadku, gdy ryzyko inwestycyjne ponoszą uczestnicy</w:t>
      </w:r>
      <w:r w:rsidR="006E6446" w:rsidRPr="00392E88">
        <w:t xml:space="preserve"> i</w:t>
      </w:r>
      <w:r w:rsidR="006E6446">
        <w:t> </w:t>
      </w:r>
      <w:r w:rsidR="006E6446" w:rsidRPr="00392E88">
        <w:t>ben</w:t>
      </w:r>
      <w:r w:rsidRPr="00392E88">
        <w:t>eficjenci</w:t>
      </w:r>
      <w:r w:rsidR="006E6446" w:rsidRPr="00392E88">
        <w:t>. W</w:t>
      </w:r>
      <w:r w:rsidR="006E6446">
        <w:t> </w:t>
      </w:r>
      <w:r w:rsidR="006E6446" w:rsidRPr="00392E88">
        <w:t>tak</w:t>
      </w:r>
      <w:r w:rsidRPr="00392E88">
        <w:t xml:space="preserve">ich przypadkach nie stawia się jednak IORP przeszkód w: </w:t>
      </w:r>
    </w:p>
    <w:p w14:paraId="71A36C31" w14:textId="43AC1E83" w:rsidR="00F01F11" w:rsidRPr="00392E88" w:rsidRDefault="001A4D76" w:rsidP="0017735C">
      <w:pPr>
        <w:pStyle w:val="Point1"/>
      </w:pPr>
      <w:r w:rsidRPr="00392E88">
        <w:t xml:space="preserve">a) </w:t>
      </w:r>
      <w:r w:rsidRPr="00392E88">
        <w:tab/>
        <w:t xml:space="preserve">inwestowaniu </w:t>
      </w:r>
      <w:r w:rsidRPr="006E6446">
        <w:t>do</w:t>
      </w:r>
      <w:r w:rsidR="006E6446" w:rsidRPr="006E6446">
        <w:t> </w:t>
      </w:r>
      <w:r w:rsidRPr="006E6446">
        <w:t>70</w:t>
      </w:r>
      <w:r w:rsidR="006E6446" w:rsidRPr="006E6446">
        <w:t> </w:t>
      </w:r>
      <w:r w:rsidRPr="006E6446">
        <w:t>%</w:t>
      </w:r>
      <w:r w:rsidRPr="00392E88">
        <w:t xml:space="preserve"> aktywów stanowiących pokrycie rezerw techniczno-ubezpieczeniowych lub całego portfela</w:t>
      </w:r>
      <w:r w:rsidR="006E6446" w:rsidRPr="00392E88">
        <w:t xml:space="preserve"> w</w:t>
      </w:r>
      <w:r w:rsidR="006E6446">
        <w:t> </w:t>
      </w:r>
      <w:r w:rsidR="006E6446" w:rsidRPr="00392E88">
        <w:t>odn</w:t>
      </w:r>
      <w:r w:rsidRPr="00392E88">
        <w:t>iesieniu do programów,</w:t>
      </w:r>
      <w:r w:rsidR="006E6446" w:rsidRPr="00392E88">
        <w:t xml:space="preserve"> w</w:t>
      </w:r>
      <w:r w:rsidR="006E6446">
        <w:t> </w:t>
      </w:r>
      <w:r w:rsidR="006E6446" w:rsidRPr="00392E88">
        <w:t>któ</w:t>
      </w:r>
      <w:r w:rsidRPr="00392E88">
        <w:t>rych uczestnicy ponoszą ryzyko inwestowania</w:t>
      </w:r>
      <w:r w:rsidR="006E6446" w:rsidRPr="00392E88">
        <w:t xml:space="preserve"> w</w:t>
      </w:r>
      <w:r w:rsidR="006E6446">
        <w:t> </w:t>
      </w:r>
      <w:r w:rsidR="006E6446" w:rsidRPr="00392E88">
        <w:t>akc</w:t>
      </w:r>
      <w:r w:rsidRPr="00392E88">
        <w:t>je, zbywalne papiery wartościowe traktowane jako udziały</w:t>
      </w:r>
      <w:r w:rsidR="006E6446" w:rsidRPr="00392E88">
        <w:t xml:space="preserve"> i</w:t>
      </w:r>
      <w:r w:rsidR="006E6446">
        <w:t> </w:t>
      </w:r>
      <w:r w:rsidR="006E6446" w:rsidRPr="00392E88">
        <w:t>obl</w:t>
      </w:r>
      <w:r w:rsidRPr="00392E88">
        <w:t>igacje korporacyjne dopuszczone do obrotu na rynkach regulowanych lub</w:t>
      </w:r>
      <w:r w:rsidR="006E6446" w:rsidRPr="00392E88">
        <w:t xml:space="preserve"> w</w:t>
      </w:r>
      <w:r w:rsidR="006E6446">
        <w:t> </w:t>
      </w:r>
      <w:r w:rsidR="006E6446" w:rsidRPr="00392E88">
        <w:t>ram</w:t>
      </w:r>
      <w:r w:rsidRPr="00392E88">
        <w:t>ach MTF lub OTF</w:t>
      </w:r>
      <w:r w:rsidR="006E6446" w:rsidRPr="00392E88">
        <w:t xml:space="preserve"> i</w:t>
      </w:r>
      <w:r w:rsidR="006E6446">
        <w:t> </w:t>
      </w:r>
      <w:r w:rsidR="006E6446" w:rsidRPr="00392E88">
        <w:t>dec</w:t>
      </w:r>
      <w:r w:rsidRPr="00392E88">
        <w:t>ydowaniu</w:t>
      </w:r>
      <w:r w:rsidR="006E6446" w:rsidRPr="00392E88">
        <w:t xml:space="preserve"> o</w:t>
      </w:r>
      <w:r w:rsidR="006E6446">
        <w:t> </w:t>
      </w:r>
      <w:r w:rsidR="006E6446" w:rsidRPr="00392E88">
        <w:t>rel</w:t>
      </w:r>
      <w:r w:rsidRPr="00392E88">
        <w:t>atywnej wadze tych papierów wartościowych</w:t>
      </w:r>
      <w:r w:rsidR="006E6446" w:rsidRPr="00392E88">
        <w:t xml:space="preserve"> w</w:t>
      </w:r>
      <w:r w:rsidR="006E6446">
        <w:t> </w:t>
      </w:r>
      <w:r w:rsidR="006E6446" w:rsidRPr="00392E88">
        <w:t>ich</w:t>
      </w:r>
      <w:r w:rsidRPr="00392E88">
        <w:t xml:space="preserve"> portfelu inwestycyjnym;</w:t>
      </w:r>
    </w:p>
    <w:p w14:paraId="257A9115" w14:textId="61700A50" w:rsidR="009C5D3D" w:rsidRPr="00392E88" w:rsidRDefault="00F01F11" w:rsidP="0017735C">
      <w:pPr>
        <w:pStyle w:val="Point1"/>
      </w:pPr>
      <w:r w:rsidRPr="00392E88">
        <w:t xml:space="preserve">b) </w:t>
      </w:r>
      <w:r w:rsidRPr="00392E88">
        <w:tab/>
        <w:t xml:space="preserve">inwestowaniu </w:t>
      </w:r>
      <w:r w:rsidRPr="006E6446">
        <w:t>do</w:t>
      </w:r>
      <w:r w:rsidR="006E6446" w:rsidRPr="006E6446">
        <w:t> </w:t>
      </w:r>
      <w:r w:rsidRPr="006E6446">
        <w:t>30</w:t>
      </w:r>
      <w:r w:rsidR="006E6446" w:rsidRPr="006E6446">
        <w:t> </w:t>
      </w:r>
      <w:r w:rsidRPr="006E6446">
        <w:t>%</w:t>
      </w:r>
      <w:r w:rsidRPr="00392E88">
        <w:t xml:space="preserve"> aktywów stanowiących pokrycie rezerw techniczno-ubezpieczeniowych</w:t>
      </w:r>
      <w:r w:rsidR="006E6446" w:rsidRPr="00392E88">
        <w:t xml:space="preserve"> w</w:t>
      </w:r>
      <w:r w:rsidR="006E6446">
        <w:t> </w:t>
      </w:r>
      <w:r w:rsidR="006E6446" w:rsidRPr="00392E88">
        <w:t>akt</w:t>
      </w:r>
      <w:r w:rsidRPr="00392E88">
        <w:t>ywa denominowane</w:t>
      </w:r>
      <w:r w:rsidR="006E6446" w:rsidRPr="00392E88">
        <w:t xml:space="preserve"> w</w:t>
      </w:r>
      <w:r w:rsidR="006E6446">
        <w:t> </w:t>
      </w:r>
      <w:r w:rsidR="006E6446" w:rsidRPr="00392E88">
        <w:t>wal</w:t>
      </w:r>
      <w:r w:rsidRPr="00392E88">
        <w:t>utach innych niż pasywa;</w:t>
      </w:r>
    </w:p>
    <w:p w14:paraId="6A1CA114" w14:textId="0178F6FE" w:rsidR="009C74BA" w:rsidRPr="00392E88" w:rsidRDefault="009C5D3D" w:rsidP="0017735C">
      <w:pPr>
        <w:pStyle w:val="Point1"/>
      </w:pPr>
      <w:r w:rsidRPr="00392E88">
        <w:t xml:space="preserve">c) </w:t>
      </w:r>
      <w:r w:rsidRPr="00392E88">
        <w:tab/>
        <w:t>inwestowaniu</w:t>
      </w:r>
      <w:r w:rsidR="006E6446" w:rsidRPr="00392E88">
        <w:t xml:space="preserve"> w</w:t>
      </w:r>
      <w:r w:rsidR="006E6446">
        <w:t> </w:t>
      </w:r>
      <w:r w:rsidR="006E6446" w:rsidRPr="00392E88">
        <w:t>ins</w:t>
      </w:r>
      <w:r w:rsidRPr="00392E88">
        <w:t>trumenty</w:t>
      </w:r>
      <w:r w:rsidR="006E6446" w:rsidRPr="00392E88">
        <w:t xml:space="preserve"> o</w:t>
      </w:r>
      <w:r w:rsidR="006E6446">
        <w:t> </w:t>
      </w:r>
      <w:r w:rsidR="006E6446" w:rsidRPr="00392E88">
        <w:t>dłu</w:t>
      </w:r>
      <w:r w:rsidRPr="00392E88">
        <w:t>goterminowym horyzoncie inwestycyjnym, które nie znajdują się</w:t>
      </w:r>
      <w:r w:rsidR="006E6446" w:rsidRPr="00392E88">
        <w:t xml:space="preserve"> w</w:t>
      </w:r>
      <w:r w:rsidR="006E6446">
        <w:t> </w:t>
      </w:r>
      <w:r w:rsidR="006E6446" w:rsidRPr="00392E88">
        <w:t>obr</w:t>
      </w:r>
      <w:r w:rsidRPr="00392E88">
        <w:t>ocie na rynkach regulowanych, MTF lub OTF;</w:t>
      </w:r>
    </w:p>
    <w:p w14:paraId="675C5CEC" w14:textId="5253CB54" w:rsidR="00E26AEE" w:rsidRPr="00392E88" w:rsidRDefault="009C74BA" w:rsidP="0017735C">
      <w:pPr>
        <w:pStyle w:val="Point1"/>
      </w:pPr>
      <w:r w:rsidRPr="00392E88">
        <w:t xml:space="preserve">d) </w:t>
      </w:r>
      <w:r w:rsidRPr="00392E88">
        <w:tab/>
        <w:t>inwestowaniu</w:t>
      </w:r>
      <w:r w:rsidR="006E6446" w:rsidRPr="00392E88">
        <w:t xml:space="preserve"> w</w:t>
      </w:r>
      <w:r w:rsidR="006E6446">
        <w:t> </w:t>
      </w:r>
      <w:r w:rsidR="006E6446" w:rsidRPr="00392E88">
        <w:t>ins</w:t>
      </w:r>
      <w:r w:rsidRPr="00392E88">
        <w:t>trumenty emitowane lub gwarantowane przez EBI</w:t>
      </w:r>
      <w:r w:rsidR="006E6446" w:rsidRPr="00392E88">
        <w:t xml:space="preserve"> w</w:t>
      </w:r>
      <w:r w:rsidR="006E6446">
        <w:t> </w:t>
      </w:r>
      <w:r w:rsidR="006E6446" w:rsidRPr="00392E88">
        <w:t>ram</w:t>
      </w:r>
      <w:r w:rsidRPr="00392E88">
        <w:t>ach Europejskiego Funduszu na rzecz Inwestycji Strategicznych, europejskich długoterminowych funduszy inwestycyjnych, europejskich funduszy na rzecz przedsiębiorczości społecznej</w:t>
      </w:r>
      <w:r w:rsidR="006E6446" w:rsidRPr="00392E88">
        <w:t xml:space="preserve"> i</w:t>
      </w:r>
      <w:r w:rsidR="006E6446">
        <w:t> </w:t>
      </w:r>
      <w:r w:rsidR="006E6446" w:rsidRPr="00392E88">
        <w:t>eur</w:t>
      </w:r>
      <w:r w:rsidRPr="00392E88">
        <w:t>opejskich funduszy venture capital.”;</w:t>
      </w:r>
    </w:p>
    <w:p w14:paraId="5D65AFB6" w14:textId="7DF81683" w:rsidR="001A2968" w:rsidRPr="00392E88" w:rsidRDefault="006E6446" w:rsidP="006E6446">
      <w:pPr>
        <w:pStyle w:val="Point1"/>
      </w:pPr>
      <w:r>
        <w:t>d)</w:t>
      </w:r>
      <w:r>
        <w:tab/>
      </w:r>
      <w:r w:rsidR="00E26AEE" w:rsidRPr="00392E88">
        <w:t xml:space="preserve">uchyla się </w:t>
      </w:r>
      <w:r w:rsidR="00E26AEE" w:rsidRPr="006E6446">
        <w:t>ust.</w:t>
      </w:r>
      <w:r w:rsidRPr="006E6446">
        <w:t> </w:t>
      </w:r>
      <w:r w:rsidR="00E26AEE" w:rsidRPr="006E6446">
        <w:t>7</w:t>
      </w:r>
      <w:r w:rsidRPr="00392E88">
        <w:t xml:space="preserve"> i</w:t>
      </w:r>
      <w:r>
        <w:t> </w:t>
      </w:r>
      <w:r w:rsidRPr="00392E88">
        <w:t>8</w:t>
      </w:r>
      <w:r w:rsidR="00E26AEE" w:rsidRPr="00392E88">
        <w:t>;</w:t>
      </w:r>
    </w:p>
    <w:p w14:paraId="2112BB20" w14:textId="77777777" w:rsidR="008041D2" w:rsidRPr="00392E88" w:rsidRDefault="008041D2" w:rsidP="005D0C3B">
      <w:pPr>
        <w:pStyle w:val="Text1"/>
      </w:pPr>
      <w:r w:rsidRPr="00392E88">
        <w:t>___________________________________________</w:t>
      </w:r>
    </w:p>
    <w:p w14:paraId="66A18494" w14:textId="70DDE722" w:rsidR="008041D2" w:rsidRPr="00392E88" w:rsidRDefault="008041D2" w:rsidP="005D0C3B">
      <w:pPr>
        <w:pStyle w:val="Text1"/>
        <w:rPr>
          <w:sz w:val="20"/>
          <w:szCs w:val="20"/>
        </w:rPr>
      </w:pPr>
      <w:r w:rsidRPr="00392E88">
        <w:rPr>
          <w:sz w:val="20"/>
        </w:rPr>
        <w:t>*</w:t>
      </w:r>
      <w:r w:rsidRPr="00392E88">
        <w:tab/>
      </w:r>
      <w:r w:rsidRPr="00392E88">
        <w:rPr>
          <w:sz w:val="20"/>
        </w:rPr>
        <w:t>Rozporządzenie Parlamentu Europejskiego</w:t>
      </w:r>
      <w:r w:rsidR="006E6446" w:rsidRPr="00392E88">
        <w:rPr>
          <w:sz w:val="20"/>
        </w:rPr>
        <w:t xml:space="preserve"> i</w:t>
      </w:r>
      <w:r w:rsidR="006E6446">
        <w:rPr>
          <w:sz w:val="20"/>
        </w:rPr>
        <w:t> </w:t>
      </w:r>
      <w:r w:rsidR="006E6446" w:rsidRPr="00392E88">
        <w:rPr>
          <w:sz w:val="20"/>
        </w:rPr>
        <w:t>Rad</w:t>
      </w:r>
      <w:r w:rsidRPr="00392E88">
        <w:rPr>
          <w:sz w:val="20"/>
        </w:rPr>
        <w:t>y (UE) 2019/2088</w:t>
      </w:r>
      <w:r w:rsidR="006E6446" w:rsidRPr="00392E88">
        <w:rPr>
          <w:sz w:val="20"/>
        </w:rPr>
        <w:t xml:space="preserve"> z</w:t>
      </w:r>
      <w:r w:rsidR="006E6446">
        <w:rPr>
          <w:sz w:val="20"/>
        </w:rPr>
        <w:t> </w:t>
      </w:r>
      <w:r w:rsidR="006E6446" w:rsidRPr="00392E88">
        <w:rPr>
          <w:sz w:val="20"/>
        </w:rPr>
        <w:t>dni</w:t>
      </w:r>
      <w:r w:rsidRPr="00392E88">
        <w:rPr>
          <w:sz w:val="20"/>
        </w:rPr>
        <w:t>a 27 listopada 20</w:t>
      </w:r>
      <w:r w:rsidRPr="006E6446">
        <w:rPr>
          <w:sz w:val="20"/>
        </w:rPr>
        <w:t>19</w:t>
      </w:r>
      <w:r w:rsidR="006E6446" w:rsidRPr="006E6446">
        <w:rPr>
          <w:sz w:val="20"/>
        </w:rPr>
        <w:t> </w:t>
      </w:r>
      <w:r w:rsidRPr="006E6446">
        <w:rPr>
          <w:sz w:val="20"/>
        </w:rPr>
        <w:t>r.</w:t>
      </w:r>
      <w:r w:rsidR="006E6446" w:rsidRPr="00392E88">
        <w:rPr>
          <w:sz w:val="20"/>
        </w:rPr>
        <w:t xml:space="preserve"> w</w:t>
      </w:r>
      <w:r w:rsidR="006E6446">
        <w:rPr>
          <w:sz w:val="20"/>
        </w:rPr>
        <w:t> </w:t>
      </w:r>
      <w:r w:rsidR="006E6446" w:rsidRPr="00392E88">
        <w:rPr>
          <w:sz w:val="20"/>
        </w:rPr>
        <w:t>spr</w:t>
      </w:r>
      <w:r w:rsidRPr="00392E88">
        <w:rPr>
          <w:sz w:val="20"/>
        </w:rPr>
        <w:t>awie ujawniania informacji związanych ze zrównoważonym rozwojem</w:t>
      </w:r>
      <w:r w:rsidR="006E6446" w:rsidRPr="00392E88">
        <w:rPr>
          <w:sz w:val="20"/>
        </w:rPr>
        <w:t xml:space="preserve"> w</w:t>
      </w:r>
      <w:r w:rsidR="006E6446">
        <w:rPr>
          <w:sz w:val="20"/>
        </w:rPr>
        <w:t> </w:t>
      </w:r>
      <w:r w:rsidR="006E6446" w:rsidRPr="00392E88">
        <w:rPr>
          <w:sz w:val="20"/>
        </w:rPr>
        <w:t>sek</w:t>
      </w:r>
      <w:r w:rsidRPr="00392E88">
        <w:rPr>
          <w:sz w:val="20"/>
        </w:rPr>
        <w:t>torze usług finansowych (Dz.U. L 317</w:t>
      </w:r>
      <w:r w:rsidR="006E6446" w:rsidRPr="00392E88">
        <w:rPr>
          <w:sz w:val="20"/>
        </w:rPr>
        <w:t xml:space="preserve"> z</w:t>
      </w:r>
      <w:r w:rsidR="006E6446">
        <w:rPr>
          <w:sz w:val="20"/>
        </w:rPr>
        <w:t> </w:t>
      </w:r>
      <w:r w:rsidR="006E6446" w:rsidRPr="00392E88">
        <w:rPr>
          <w:sz w:val="20"/>
        </w:rPr>
        <w:t>9</w:t>
      </w:r>
      <w:r w:rsidRPr="00392E88">
        <w:rPr>
          <w:sz w:val="20"/>
        </w:rPr>
        <w:t>.12.2019, s. 1, ELI: </w:t>
      </w:r>
      <w:hyperlink r:id="rId21" w:history="1">
        <w:r w:rsidRPr="00392E88">
          <w:rPr>
            <w:rStyle w:val="Hyperlink"/>
            <w:sz w:val="20"/>
          </w:rPr>
          <w:t>http://data.europa.eu/eli/reg/2019/2088/oj</w:t>
        </w:r>
      </w:hyperlink>
      <w:r w:rsidRPr="00392E88">
        <w:rPr>
          <w:sz w:val="20"/>
        </w:rPr>
        <w:t>).;</w:t>
      </w:r>
    </w:p>
    <w:p w14:paraId="5D680651" w14:textId="3C0C279D" w:rsidR="0072424F" w:rsidRPr="00392E88" w:rsidRDefault="008041D2" w:rsidP="005D0C3B">
      <w:pPr>
        <w:pStyle w:val="Text1"/>
        <w:rPr>
          <w:sz w:val="20"/>
          <w:szCs w:val="20"/>
        </w:rPr>
      </w:pPr>
      <w:r w:rsidRPr="00392E88">
        <w:rPr>
          <w:sz w:val="20"/>
        </w:rPr>
        <w:t>**</w:t>
      </w:r>
      <w:r w:rsidRPr="00392E88">
        <w:tab/>
      </w:r>
      <w:r w:rsidRPr="00392E88">
        <w:rPr>
          <w:sz w:val="20"/>
        </w:rPr>
        <w:t>Rozporządzenie Parlamentu Europejskiego</w:t>
      </w:r>
      <w:r w:rsidR="006E6446" w:rsidRPr="00392E88">
        <w:rPr>
          <w:sz w:val="20"/>
        </w:rPr>
        <w:t xml:space="preserve"> i</w:t>
      </w:r>
      <w:r w:rsidR="006E6446">
        <w:rPr>
          <w:sz w:val="20"/>
        </w:rPr>
        <w:t> </w:t>
      </w:r>
      <w:r w:rsidR="006E6446" w:rsidRPr="00392E88">
        <w:rPr>
          <w:sz w:val="20"/>
        </w:rPr>
        <w:t>Rad</w:t>
      </w:r>
      <w:r w:rsidRPr="00392E88">
        <w:rPr>
          <w:sz w:val="20"/>
        </w:rPr>
        <w:t>y (UE) 2020/852</w:t>
      </w:r>
      <w:r w:rsidR="006E6446" w:rsidRPr="00392E88">
        <w:rPr>
          <w:sz w:val="20"/>
        </w:rPr>
        <w:t xml:space="preserve"> z</w:t>
      </w:r>
      <w:r w:rsidR="006E6446">
        <w:rPr>
          <w:sz w:val="20"/>
        </w:rPr>
        <w:t> </w:t>
      </w:r>
      <w:r w:rsidR="006E6446" w:rsidRPr="00392E88">
        <w:rPr>
          <w:sz w:val="20"/>
        </w:rPr>
        <w:t>dni</w:t>
      </w:r>
      <w:r w:rsidRPr="00392E88">
        <w:rPr>
          <w:sz w:val="20"/>
        </w:rPr>
        <w:t>a 18 czerwca 20</w:t>
      </w:r>
      <w:r w:rsidRPr="006E6446">
        <w:rPr>
          <w:sz w:val="20"/>
        </w:rPr>
        <w:t>20</w:t>
      </w:r>
      <w:r w:rsidR="006E6446" w:rsidRPr="006E6446">
        <w:rPr>
          <w:sz w:val="20"/>
        </w:rPr>
        <w:t> </w:t>
      </w:r>
      <w:r w:rsidRPr="006E6446">
        <w:rPr>
          <w:sz w:val="20"/>
        </w:rPr>
        <w:t>r.</w:t>
      </w:r>
      <w:r w:rsidR="006E6446" w:rsidRPr="00392E88">
        <w:rPr>
          <w:sz w:val="20"/>
        </w:rPr>
        <w:t xml:space="preserve"> w</w:t>
      </w:r>
      <w:r w:rsidR="006E6446">
        <w:rPr>
          <w:sz w:val="20"/>
        </w:rPr>
        <w:t> </w:t>
      </w:r>
      <w:r w:rsidR="006E6446" w:rsidRPr="00392E88">
        <w:rPr>
          <w:sz w:val="20"/>
        </w:rPr>
        <w:t>spr</w:t>
      </w:r>
      <w:r w:rsidRPr="00392E88">
        <w:rPr>
          <w:sz w:val="20"/>
        </w:rPr>
        <w:t>awie ustanowienia ram ułatwiających zrównoważone inwestycje, zmieniające rozporządzenie (UE) 2019/2088 (Dz.U. L 198</w:t>
      </w:r>
      <w:r w:rsidR="006E6446" w:rsidRPr="00392E88">
        <w:rPr>
          <w:sz w:val="20"/>
        </w:rPr>
        <w:t xml:space="preserve"> z</w:t>
      </w:r>
      <w:r w:rsidR="006E6446">
        <w:rPr>
          <w:sz w:val="20"/>
        </w:rPr>
        <w:t> </w:t>
      </w:r>
      <w:r w:rsidR="006E6446" w:rsidRPr="00392E88">
        <w:rPr>
          <w:sz w:val="20"/>
        </w:rPr>
        <w:t>2</w:t>
      </w:r>
      <w:r w:rsidRPr="00392E88">
        <w:rPr>
          <w:sz w:val="20"/>
        </w:rPr>
        <w:t>2.6.2020, s. 13, ELI: </w:t>
      </w:r>
      <w:hyperlink r:id="rId22" w:history="1">
        <w:r w:rsidRPr="00392E88">
          <w:rPr>
            <w:rStyle w:val="Hyperlink"/>
            <w:sz w:val="20"/>
          </w:rPr>
          <w:t>http://data.europa.eu/eli/reg/2020/852/oj</w:t>
        </w:r>
      </w:hyperlink>
      <w:r w:rsidRPr="00392E88">
        <w:rPr>
          <w:sz w:val="20"/>
        </w:rPr>
        <w:t>).</w:t>
      </w:r>
    </w:p>
    <w:p w14:paraId="7AC7487C" w14:textId="77756B3B" w:rsidR="00C00685" w:rsidRPr="00392E88" w:rsidRDefault="006E6446" w:rsidP="006E6446">
      <w:pPr>
        <w:pStyle w:val="Point0"/>
      </w:pPr>
      <w:r>
        <w:t>23)</w:t>
      </w:r>
      <w:r>
        <w:tab/>
      </w:r>
      <w:r w:rsidR="00C00685" w:rsidRPr="00392E88">
        <w:t xml:space="preserve">w </w:t>
      </w:r>
      <w:r w:rsidR="00C00685" w:rsidRPr="006E6446">
        <w:t>art.</w:t>
      </w:r>
      <w:r w:rsidRPr="006E6446">
        <w:t> </w:t>
      </w:r>
      <w:r w:rsidR="00C00685" w:rsidRPr="006E6446">
        <w:t>2</w:t>
      </w:r>
      <w:r w:rsidR="00C00685" w:rsidRPr="00392E88">
        <w:t>1 wprowadza się następujące zmiany:</w:t>
      </w:r>
    </w:p>
    <w:p w14:paraId="4A34AEF0" w14:textId="005E9B6A" w:rsidR="00327CD2" w:rsidRPr="00392E88" w:rsidRDefault="006E6446" w:rsidP="006E6446">
      <w:pPr>
        <w:pStyle w:val="Point1"/>
      </w:pPr>
      <w:r>
        <w:t>a)</w:t>
      </w:r>
      <w:r>
        <w:tab/>
      </w:r>
      <w:r w:rsidR="00144DC5" w:rsidRPr="00392E88">
        <w:t>ust. 1 otrzymuje brzmienie:</w:t>
      </w:r>
    </w:p>
    <w:p w14:paraId="62280A9F" w14:textId="598908D7" w:rsidR="00AC5BB2" w:rsidRPr="00392E88" w:rsidRDefault="00144DC5" w:rsidP="00CD580B">
      <w:pPr>
        <w:pStyle w:val="Text1"/>
      </w:pPr>
      <w:r w:rsidRPr="00392E88">
        <w:t>„1.</w:t>
      </w:r>
      <w:r w:rsidRPr="00392E88">
        <w:tab/>
        <w:t>Państwa członkowskie nakładają na wszystkie IORP wymóg wprowadzenia skutecznego systemu zarządzania, który zapewnia należyte</w:t>
      </w:r>
      <w:r w:rsidR="006E6446" w:rsidRPr="00392E88">
        <w:t xml:space="preserve"> i</w:t>
      </w:r>
      <w:r w:rsidR="006E6446">
        <w:t> </w:t>
      </w:r>
      <w:r w:rsidR="006E6446" w:rsidRPr="00392E88">
        <w:t>ost</w:t>
      </w:r>
      <w:r w:rsidRPr="00392E88">
        <w:t xml:space="preserve">rożne zarządzanie prowadzoną działalnością. System ten obejmuje co najmniej: </w:t>
      </w:r>
    </w:p>
    <w:p w14:paraId="352C6302" w14:textId="34D13045" w:rsidR="00540150" w:rsidRPr="00392E88" w:rsidRDefault="00540150" w:rsidP="00540150">
      <w:pPr>
        <w:pStyle w:val="Point1"/>
      </w:pPr>
      <w:r w:rsidRPr="00392E88">
        <w:t>a)</w:t>
      </w:r>
      <w:r w:rsidRPr="00392E88">
        <w:tab/>
        <w:t>właściwą</w:t>
      </w:r>
      <w:r w:rsidR="006E6446" w:rsidRPr="00392E88">
        <w:t xml:space="preserve"> i</w:t>
      </w:r>
      <w:r w:rsidR="006E6446">
        <w:t> </w:t>
      </w:r>
      <w:r w:rsidR="006E6446" w:rsidRPr="00392E88">
        <w:t>prz</w:t>
      </w:r>
      <w:r w:rsidRPr="00392E88">
        <w:t>ejrzystą strukturę organizacyjną,</w:t>
      </w:r>
      <w:r w:rsidR="006E6446" w:rsidRPr="00392E88">
        <w:t xml:space="preserve"> w</w:t>
      </w:r>
      <w:r w:rsidR="006E6446">
        <w:t> </w:t>
      </w:r>
      <w:r w:rsidR="006E6446" w:rsidRPr="00392E88">
        <w:t>któ</w:t>
      </w:r>
      <w:r w:rsidRPr="00392E88">
        <w:t>rej zakresy odpowiedzialności są jasno przypisane</w:t>
      </w:r>
      <w:r w:rsidR="006E6446" w:rsidRPr="00392E88">
        <w:t xml:space="preserve"> i</w:t>
      </w:r>
      <w:r w:rsidR="006E6446">
        <w:t> </w:t>
      </w:r>
      <w:r w:rsidR="006E6446" w:rsidRPr="00392E88">
        <w:t>odp</w:t>
      </w:r>
      <w:r w:rsidRPr="00392E88">
        <w:t>owiednio podzielone;</w:t>
      </w:r>
    </w:p>
    <w:p w14:paraId="02DF1720" w14:textId="066AF18C" w:rsidR="00A91C6E" w:rsidRPr="00392E88" w:rsidRDefault="00540150" w:rsidP="005D0C3B">
      <w:pPr>
        <w:pStyle w:val="Point1"/>
      </w:pPr>
      <w:r w:rsidRPr="00392E88">
        <w:t>b)</w:t>
      </w:r>
      <w:r w:rsidRPr="00392E88">
        <w:tab/>
        <w:t>skuteczny system zapewniający przekazywanie informacji</w:t>
      </w:r>
      <w:r w:rsidR="006E6446" w:rsidRPr="00392E88">
        <w:t xml:space="preserve"> i</w:t>
      </w:r>
      <w:r w:rsidR="006E6446">
        <w:t> </w:t>
      </w:r>
      <w:r w:rsidR="006E6446" w:rsidRPr="00392E88">
        <w:t>zar</w:t>
      </w:r>
      <w:r w:rsidRPr="00392E88">
        <w:t xml:space="preserve">ządzanie konfliktami interesów. </w:t>
      </w:r>
    </w:p>
    <w:p w14:paraId="4386E078" w14:textId="4E979282" w:rsidR="00BB45A6" w:rsidRPr="00392E88" w:rsidRDefault="00540150" w:rsidP="00CD580B">
      <w:pPr>
        <w:pStyle w:val="Text1"/>
      </w:pPr>
      <w:r w:rsidRPr="00392E88">
        <w:t>Ten system zarządzania zapewnia, aby przy podejmowaniu decyzji inwestycyjnych uwzględniane były czynniki środowiskowe, społeczne</w:t>
      </w:r>
      <w:r w:rsidR="006E6446" w:rsidRPr="00392E88">
        <w:t xml:space="preserve"> i</w:t>
      </w:r>
      <w:r w:rsidR="006E6446">
        <w:t> </w:t>
      </w:r>
      <w:r w:rsidR="006E6446" w:rsidRPr="00392E88">
        <w:t>czy</w:t>
      </w:r>
      <w:r w:rsidRPr="00392E88">
        <w:t>nniki związane</w:t>
      </w:r>
      <w:r w:rsidR="006E6446" w:rsidRPr="00392E88">
        <w:t xml:space="preserve"> z</w:t>
      </w:r>
      <w:r w:rsidR="006E6446">
        <w:t> </w:t>
      </w:r>
      <w:r w:rsidR="006E6446" w:rsidRPr="00392E88">
        <w:t>zar</w:t>
      </w:r>
      <w:r w:rsidRPr="00392E88">
        <w:t>ządzaniem</w:t>
      </w:r>
      <w:r w:rsidR="006E6446" w:rsidRPr="00392E88">
        <w:t xml:space="preserve"> w</w:t>
      </w:r>
      <w:r w:rsidR="006E6446">
        <w:t> </w:t>
      </w:r>
      <w:r w:rsidR="006E6446" w:rsidRPr="00392E88">
        <w:t>odn</w:t>
      </w:r>
      <w:r w:rsidRPr="00392E88">
        <w:t>iesieniu do aktywów inwestycyjnych,</w:t>
      </w:r>
      <w:r w:rsidR="006E6446" w:rsidRPr="00392E88">
        <w:t xml:space="preserve"> i</w:t>
      </w:r>
      <w:r w:rsidR="006E6446">
        <w:t> </w:t>
      </w:r>
      <w:r w:rsidR="006E6446" w:rsidRPr="00392E88">
        <w:t>pod</w:t>
      </w:r>
      <w:r w:rsidRPr="00392E88">
        <w:t>lega regularnym przeglądom wewnętrznym.</w:t>
      </w:r>
    </w:p>
    <w:p w14:paraId="285E3E21" w14:textId="4BA650A3" w:rsidR="00144DC5" w:rsidRPr="00392E88" w:rsidRDefault="00A91C6E" w:rsidP="00CD580B">
      <w:pPr>
        <w:pStyle w:val="Text1"/>
      </w:pPr>
      <w:r w:rsidRPr="00392E88">
        <w:t>Takie przeglądy wewnętrzne obejmują ocenę adekwatności składu, skuteczności</w:t>
      </w:r>
      <w:r w:rsidR="006E6446" w:rsidRPr="00392E88">
        <w:t xml:space="preserve"> i</w:t>
      </w:r>
      <w:r w:rsidR="006E6446">
        <w:t> </w:t>
      </w:r>
      <w:r w:rsidR="006E6446" w:rsidRPr="00392E88">
        <w:t>zar</w:t>
      </w:r>
      <w:r w:rsidRPr="00392E88">
        <w:t>ządzania wewnętrznego organu administrującego, zarządzającego lub nadzorczego</w:t>
      </w:r>
      <w:r w:rsidR="006E6446" w:rsidRPr="00392E88">
        <w:t xml:space="preserve"> z</w:t>
      </w:r>
      <w:r w:rsidR="006E6446">
        <w:t> </w:t>
      </w:r>
      <w:r w:rsidR="006E6446" w:rsidRPr="00392E88">
        <w:t>uwz</w:t>
      </w:r>
      <w:r w:rsidRPr="00392E88">
        <w:t>ględnieniem charakteru, skali</w:t>
      </w:r>
      <w:r w:rsidR="006E6446" w:rsidRPr="00392E88">
        <w:t xml:space="preserve"> i</w:t>
      </w:r>
      <w:r w:rsidR="006E6446">
        <w:t> </w:t>
      </w:r>
      <w:r w:rsidR="006E6446" w:rsidRPr="00392E88">
        <w:t>zło</w:t>
      </w:r>
      <w:r w:rsidRPr="00392E88">
        <w:t>żoności ryzyk właściwych dla działalności danej IORP.”;</w:t>
      </w:r>
    </w:p>
    <w:p w14:paraId="42823CFF" w14:textId="6C678BF0" w:rsidR="004A395F" w:rsidRPr="00392E88" w:rsidRDefault="006E6446" w:rsidP="006E6446">
      <w:pPr>
        <w:pStyle w:val="Point1"/>
      </w:pPr>
      <w:r>
        <w:t>b)</w:t>
      </w:r>
      <w:r>
        <w:tab/>
      </w:r>
      <w:r w:rsidR="004A395F" w:rsidRPr="006E6446">
        <w:t>ust.</w:t>
      </w:r>
      <w:r w:rsidRPr="006E6446">
        <w:t> </w:t>
      </w:r>
      <w:r w:rsidR="004A395F" w:rsidRPr="006E6446">
        <w:t>3</w:t>
      </w:r>
      <w:r w:rsidRPr="00392E88">
        <w:t xml:space="preserve"> i</w:t>
      </w:r>
      <w:r>
        <w:t> </w:t>
      </w:r>
      <w:r w:rsidRPr="00392E88">
        <w:t>4</w:t>
      </w:r>
      <w:r w:rsidR="004A395F" w:rsidRPr="00392E88">
        <w:t xml:space="preserve"> otrzymują brzmienie:</w:t>
      </w:r>
    </w:p>
    <w:p w14:paraId="196AE7A5" w14:textId="08EBDFF0" w:rsidR="004A395F" w:rsidRPr="00392E88" w:rsidRDefault="004A395F" w:rsidP="00016EBB">
      <w:pPr>
        <w:pStyle w:val="Text1"/>
      </w:pPr>
      <w:r w:rsidRPr="00392E88">
        <w:t>„3.</w:t>
      </w:r>
      <w:r w:rsidRPr="00392E88">
        <w:tab/>
        <w:t>Państwa członkowskie zapewniają, aby IORP ustanawiały</w:t>
      </w:r>
      <w:r w:rsidR="006E6446" w:rsidRPr="00392E88">
        <w:t xml:space="preserve"> i</w:t>
      </w:r>
      <w:r w:rsidR="006E6446">
        <w:t> </w:t>
      </w:r>
      <w:r w:rsidR="006E6446" w:rsidRPr="00392E88">
        <w:t>sto</w:t>
      </w:r>
      <w:r w:rsidRPr="00392E88">
        <w:t>sowały sporządzone na piśmie zasady dotyczące zarządzania ryzykiem, kontroli wewnętrznej, audytu wewnętrznego, wynagrodzeń oraz,</w:t>
      </w:r>
      <w:r w:rsidR="006E6446" w:rsidRPr="00392E88">
        <w:t xml:space="preserve"> w</w:t>
      </w:r>
      <w:r w:rsidR="006E6446">
        <w:t> </w:t>
      </w:r>
      <w:r w:rsidR="006E6446" w:rsidRPr="00392E88">
        <w:t>sto</w:t>
      </w:r>
      <w:r w:rsidRPr="00392E88">
        <w:t>sownych przypadkach, działań aktuarialnych</w:t>
      </w:r>
      <w:r w:rsidR="006E6446" w:rsidRPr="00392E88">
        <w:t xml:space="preserve"> i</w:t>
      </w:r>
      <w:r w:rsidR="006E6446">
        <w:t> </w:t>
      </w:r>
      <w:r w:rsidR="006E6446" w:rsidRPr="00392E88">
        <w:t>out</w:t>
      </w:r>
      <w:r w:rsidRPr="00392E88">
        <w:t>sourcingu, oraz aby zasady te były wdrażane. Te sporządzone na piśmie zasady podlegają uprzedniemu zatwierdzeniu przez organ zarządzający lub nadzorczy IORP oraz przeglądowi przynajmniej co trzy lata</w:t>
      </w:r>
      <w:r w:rsidR="006E6446" w:rsidRPr="00392E88">
        <w:t xml:space="preserve"> i</w:t>
      </w:r>
      <w:r w:rsidR="006E6446">
        <w:t> </w:t>
      </w:r>
      <w:r w:rsidR="006E6446" w:rsidRPr="00392E88">
        <w:t>dos</w:t>
      </w:r>
      <w:r w:rsidRPr="00392E88">
        <w:t>tosowuje się je do wszelkich istotnych zmian</w:t>
      </w:r>
      <w:r w:rsidR="006E6446" w:rsidRPr="00392E88">
        <w:t xml:space="preserve"> w</w:t>
      </w:r>
      <w:r w:rsidR="006E6446">
        <w:t> </w:t>
      </w:r>
      <w:r w:rsidR="006E6446" w:rsidRPr="00392E88">
        <w:t>sys</w:t>
      </w:r>
      <w:r w:rsidRPr="00392E88">
        <w:t>temie lub obszarze, którego dotyczą.</w:t>
      </w:r>
    </w:p>
    <w:p w14:paraId="354552B9" w14:textId="6EC22541" w:rsidR="00F47CE7" w:rsidRPr="00392E88" w:rsidRDefault="00CD580B" w:rsidP="00016EBB">
      <w:pPr>
        <w:pStyle w:val="Text1"/>
      </w:pPr>
      <w:r w:rsidRPr="00392E88">
        <w:t>4.</w:t>
      </w:r>
      <w:r w:rsidRPr="00392E88">
        <w:tab/>
        <w:t>Państwa członkowskie zapewniają, aby IORP miały efektywny system kontroli wewnętrznej. System ten obejmuje procedury administracyjne</w:t>
      </w:r>
      <w:r w:rsidR="006E6446" w:rsidRPr="00392E88">
        <w:t xml:space="preserve"> i</w:t>
      </w:r>
      <w:r w:rsidR="006E6446">
        <w:t> </w:t>
      </w:r>
      <w:r w:rsidR="006E6446" w:rsidRPr="00392E88">
        <w:t>ksi</w:t>
      </w:r>
      <w:r w:rsidRPr="00392E88">
        <w:t>ęgowe, organizację kontroli wewnętrznej, odpowiednie ustalenia</w:t>
      </w:r>
      <w:r w:rsidR="006E6446" w:rsidRPr="00392E88">
        <w:t xml:space="preserve"> w</w:t>
      </w:r>
      <w:r w:rsidR="006E6446">
        <w:t> </w:t>
      </w:r>
      <w:r w:rsidR="006E6446" w:rsidRPr="00392E88">
        <w:t>zak</w:t>
      </w:r>
      <w:r w:rsidRPr="00392E88">
        <w:t>resie raportowania na wszystkich szczeblach IORP oraz funkcję zgodności</w:t>
      </w:r>
      <w:r w:rsidR="006E6446" w:rsidRPr="00392E88">
        <w:t xml:space="preserve"> z</w:t>
      </w:r>
      <w:r w:rsidR="006E6446">
        <w:t> </w:t>
      </w:r>
      <w:r w:rsidR="006E6446" w:rsidRPr="00392E88">
        <w:t>prz</w:t>
      </w:r>
      <w:r w:rsidRPr="00392E88">
        <w:t>episami.”;</w:t>
      </w:r>
    </w:p>
    <w:p w14:paraId="3F835C5F" w14:textId="334AA295" w:rsidR="00F47CE7" w:rsidRPr="00392E88" w:rsidRDefault="006E6446" w:rsidP="006E6446">
      <w:pPr>
        <w:pStyle w:val="Point1"/>
      </w:pPr>
      <w:r>
        <w:t>c)</w:t>
      </w:r>
      <w:r>
        <w:tab/>
      </w:r>
      <w:r w:rsidR="00F47CE7" w:rsidRPr="00392E88">
        <w:t xml:space="preserve">dodaje się </w:t>
      </w:r>
      <w:r w:rsidR="00F47CE7" w:rsidRPr="006E6446">
        <w:t>ust.</w:t>
      </w:r>
      <w:r w:rsidRPr="006E6446">
        <w:t> </w:t>
      </w:r>
      <w:r w:rsidR="00F47CE7" w:rsidRPr="006E6446">
        <w:t>4</w:t>
      </w:r>
      <w:r w:rsidR="00F47CE7" w:rsidRPr="00392E88">
        <w:t>a</w:t>
      </w:r>
      <w:r w:rsidRPr="00392E88">
        <w:t xml:space="preserve"> w</w:t>
      </w:r>
      <w:r>
        <w:t> </w:t>
      </w:r>
      <w:r w:rsidRPr="00392E88">
        <w:t>brz</w:t>
      </w:r>
      <w:r w:rsidR="00F47CE7" w:rsidRPr="00392E88">
        <w:t>mieniu:</w:t>
      </w:r>
    </w:p>
    <w:p w14:paraId="2D7B8832" w14:textId="4B05965E" w:rsidR="004F5DF0" w:rsidRPr="00392E88" w:rsidRDefault="004F5DF0" w:rsidP="00016EBB">
      <w:pPr>
        <w:pStyle w:val="Text1"/>
      </w:pPr>
      <w:r w:rsidRPr="00392E88">
        <w:t>„4a. Funkcja zgodności</w:t>
      </w:r>
      <w:r w:rsidR="006E6446" w:rsidRPr="00392E88">
        <w:t xml:space="preserve"> z</w:t>
      </w:r>
      <w:r w:rsidR="006E6446">
        <w:t> </w:t>
      </w:r>
      <w:r w:rsidR="006E6446" w:rsidRPr="00392E88">
        <w:t>prz</w:t>
      </w:r>
      <w:r w:rsidRPr="00392E88">
        <w:t>episami obejmuje doradzanie organowi administrującemu, zarządzającemu lub nadzorczemu</w:t>
      </w:r>
      <w:r w:rsidR="006E6446" w:rsidRPr="00392E88">
        <w:t xml:space="preserve"> w</w:t>
      </w:r>
      <w:r w:rsidR="006E6446">
        <w:t> </w:t>
      </w:r>
      <w:r w:rsidR="006E6446" w:rsidRPr="00392E88">
        <w:t>kwe</w:t>
      </w:r>
      <w:r w:rsidRPr="00392E88">
        <w:t>stiach zgodności</w:t>
      </w:r>
      <w:r w:rsidR="006E6446" w:rsidRPr="00392E88">
        <w:t xml:space="preserve"> z</w:t>
      </w:r>
      <w:r w:rsidR="006E6446">
        <w:t> </w:t>
      </w:r>
      <w:r w:rsidR="006E6446" w:rsidRPr="00392E88">
        <w:t>prz</w:t>
      </w:r>
      <w:r w:rsidRPr="00392E88">
        <w:t>episami ustawowymi, wykonawczymi</w:t>
      </w:r>
      <w:r w:rsidR="006E6446" w:rsidRPr="00392E88">
        <w:t xml:space="preserve"> i</w:t>
      </w:r>
      <w:r w:rsidR="006E6446">
        <w:t> </w:t>
      </w:r>
      <w:r w:rsidR="006E6446" w:rsidRPr="00392E88">
        <w:t>adm</w:t>
      </w:r>
      <w:r w:rsidRPr="00392E88">
        <w:t>inistracyjnymi przyjętymi zgodnie</w:t>
      </w:r>
      <w:r w:rsidR="006E6446" w:rsidRPr="00392E88">
        <w:t xml:space="preserve"> z</w:t>
      </w:r>
      <w:r w:rsidR="006E6446">
        <w:t> </w:t>
      </w:r>
      <w:r w:rsidR="006E6446" w:rsidRPr="00392E88">
        <w:t>nin</w:t>
      </w:r>
      <w:r w:rsidRPr="00392E88">
        <w:t>iejszą dyrektywą. Obejmuje ona również ocenę możliwego wpływu wszelkich zmian otoczenia prawnego na operacje danej IORP oraz wskazanie</w:t>
      </w:r>
      <w:r w:rsidR="006E6446" w:rsidRPr="00392E88">
        <w:t xml:space="preserve"> i</w:t>
      </w:r>
      <w:r w:rsidR="006E6446">
        <w:t> </w:t>
      </w:r>
      <w:r w:rsidR="006E6446" w:rsidRPr="00392E88">
        <w:t>oce</w:t>
      </w:r>
      <w:r w:rsidRPr="00392E88">
        <w:t>nę ryzyka związanego</w:t>
      </w:r>
      <w:r w:rsidR="006E6446" w:rsidRPr="00392E88">
        <w:t xml:space="preserve"> z</w:t>
      </w:r>
      <w:r w:rsidR="006E6446">
        <w:t> </w:t>
      </w:r>
      <w:r w:rsidR="006E6446" w:rsidRPr="00392E88">
        <w:t>prz</w:t>
      </w:r>
      <w:r w:rsidRPr="00392E88">
        <w:t>estrzeganiem przepisów.”;</w:t>
      </w:r>
    </w:p>
    <w:p w14:paraId="7724BE47" w14:textId="64EDAAA9" w:rsidR="0007600A" w:rsidRPr="00392E88" w:rsidRDefault="006E6446" w:rsidP="006E6446">
      <w:pPr>
        <w:pStyle w:val="Point1"/>
      </w:pPr>
      <w:r>
        <w:t>d)</w:t>
      </w:r>
      <w:r>
        <w:tab/>
      </w:r>
      <w:r w:rsidR="0007600A" w:rsidRPr="00392E88">
        <w:t xml:space="preserve">w </w:t>
      </w:r>
      <w:r w:rsidR="0007600A" w:rsidRPr="006E6446">
        <w:t>ust.</w:t>
      </w:r>
      <w:r w:rsidRPr="006E6446">
        <w:t> </w:t>
      </w:r>
      <w:r w:rsidR="0007600A" w:rsidRPr="006E6446">
        <w:t>6</w:t>
      </w:r>
      <w:r w:rsidR="0007600A" w:rsidRPr="00392E88">
        <w:t xml:space="preserve"> skreśla się zdania drugie</w:t>
      </w:r>
      <w:r w:rsidRPr="00392E88">
        <w:t xml:space="preserve"> i</w:t>
      </w:r>
      <w:r>
        <w:t> </w:t>
      </w:r>
      <w:r w:rsidRPr="00392E88">
        <w:t>trz</w:t>
      </w:r>
      <w:r w:rsidR="0007600A" w:rsidRPr="00392E88">
        <w:t>ecie;</w:t>
      </w:r>
    </w:p>
    <w:p w14:paraId="57A49B02" w14:textId="642000C0" w:rsidR="00316D1A" w:rsidRPr="00392E88" w:rsidRDefault="006E6446" w:rsidP="006E6446">
      <w:pPr>
        <w:pStyle w:val="Point1"/>
      </w:pPr>
      <w:r>
        <w:t>e)</w:t>
      </w:r>
      <w:r>
        <w:tab/>
      </w:r>
      <w:r w:rsidR="00DF480A" w:rsidRPr="00392E88">
        <w:t>dodaje się ust. 7–10</w:t>
      </w:r>
      <w:r w:rsidRPr="00392E88">
        <w:t xml:space="preserve"> w</w:t>
      </w:r>
      <w:r>
        <w:t> </w:t>
      </w:r>
      <w:r w:rsidRPr="00392E88">
        <w:t>brz</w:t>
      </w:r>
      <w:r w:rsidR="00DF480A" w:rsidRPr="00392E88">
        <w:t>mieniu:</w:t>
      </w:r>
    </w:p>
    <w:p w14:paraId="60DB873F" w14:textId="722DF85E" w:rsidR="00E764BE" w:rsidRPr="00392E88" w:rsidRDefault="008A46F8" w:rsidP="00016EBB">
      <w:pPr>
        <w:pStyle w:val="Text1"/>
      </w:pPr>
      <w:r w:rsidRPr="00392E88">
        <w:t>„7.</w:t>
      </w:r>
      <w:r w:rsidRPr="00392E88">
        <w:tab/>
        <w:t>W przypadku potencjalnego lub rzeczywistego konfliktu interesów wynikającego ze stosunków między IORP</w:t>
      </w:r>
      <w:r w:rsidR="006E6446" w:rsidRPr="00392E88">
        <w:t xml:space="preserve"> a</w:t>
      </w:r>
      <w:r w:rsidR="006E6446">
        <w:t> </w:t>
      </w:r>
      <w:r w:rsidR="006E6446" w:rsidRPr="00392E88">
        <w:t>usł</w:t>
      </w:r>
      <w:r w:rsidRPr="00392E88">
        <w:t>ugodawcą IORP państwa członkowskie wymagają, aby osoby, które faktycznie zarządzają IORP, podejmowały niezależne decyzje wyłącznie</w:t>
      </w:r>
      <w:r w:rsidR="006E6446" w:rsidRPr="00392E88">
        <w:t xml:space="preserve"> w</w:t>
      </w:r>
      <w:r w:rsidR="006E6446">
        <w:t> </w:t>
      </w:r>
      <w:r w:rsidR="006E6446" w:rsidRPr="00392E88">
        <w:t>int</w:t>
      </w:r>
      <w:r w:rsidRPr="00392E88">
        <w:t>eresie uczestników</w:t>
      </w:r>
      <w:r w:rsidR="006E6446" w:rsidRPr="00392E88">
        <w:t xml:space="preserve"> i</w:t>
      </w:r>
      <w:r w:rsidR="006E6446">
        <w:t> </w:t>
      </w:r>
      <w:r w:rsidR="006E6446" w:rsidRPr="00392E88">
        <w:t>ben</w:t>
      </w:r>
      <w:r w:rsidRPr="00392E88">
        <w:t>eficjentów.</w:t>
      </w:r>
    </w:p>
    <w:p w14:paraId="60E06ED3" w14:textId="7F4B1A4C" w:rsidR="007425FA" w:rsidRPr="00392E88" w:rsidRDefault="007425FA" w:rsidP="00016EBB">
      <w:pPr>
        <w:pStyle w:val="Text1"/>
      </w:pPr>
      <w:r w:rsidRPr="00392E88">
        <w:t>8.</w:t>
      </w:r>
      <w:r w:rsidRPr="00392E88">
        <w:tab/>
        <w:t>Państwa członkowskie wymagają, aby IORP oraz,</w:t>
      </w:r>
      <w:r w:rsidR="006E6446" w:rsidRPr="00392E88">
        <w:t xml:space="preserve"> w</w:t>
      </w:r>
      <w:r w:rsidR="006E6446">
        <w:t> </w:t>
      </w:r>
      <w:r w:rsidR="006E6446" w:rsidRPr="00392E88">
        <w:t>sto</w:t>
      </w:r>
      <w:r w:rsidRPr="00392E88">
        <w:t>sownych przypadkach, ich odpowiednie komitety ds. nominacji uwzględniały szeroki zestaw cech</w:t>
      </w:r>
      <w:r w:rsidR="006E6446" w:rsidRPr="00392E88">
        <w:t xml:space="preserve"> i</w:t>
      </w:r>
      <w:r w:rsidR="006E6446">
        <w:t> </w:t>
      </w:r>
      <w:r w:rsidR="006E6446" w:rsidRPr="00392E88">
        <w:t>kom</w:t>
      </w:r>
      <w:r w:rsidRPr="00392E88">
        <w:t>petencji przy wyborze członków organu zarządzającego lub nadzorczego</w:t>
      </w:r>
      <w:r w:rsidR="006E6446" w:rsidRPr="00392E88">
        <w:t xml:space="preserve"> w</w:t>
      </w:r>
      <w:r w:rsidR="006E6446">
        <w:t> </w:t>
      </w:r>
      <w:r w:rsidR="006E6446" w:rsidRPr="00392E88">
        <w:t>cel</w:t>
      </w:r>
      <w:r w:rsidRPr="00392E88">
        <w:t>u zapewnienia zrównoważonej reprezentacji kobiet</w:t>
      </w:r>
      <w:r w:rsidR="006E6446" w:rsidRPr="00392E88">
        <w:t xml:space="preserve"> i</w:t>
      </w:r>
      <w:r w:rsidR="006E6446">
        <w:t> </w:t>
      </w:r>
      <w:r w:rsidR="006E6446" w:rsidRPr="00392E88">
        <w:t>męż</w:t>
      </w:r>
      <w:r w:rsidRPr="00392E88">
        <w:t xml:space="preserve">czyzn. </w:t>
      </w:r>
    </w:p>
    <w:p w14:paraId="1D0886EC" w14:textId="28F084FB" w:rsidR="007425FA" w:rsidRPr="00392E88" w:rsidRDefault="00EB4CFD" w:rsidP="00016EBB">
      <w:pPr>
        <w:pStyle w:val="Text1"/>
      </w:pPr>
      <w:r w:rsidRPr="00392E88">
        <w:t>Państwa członkowskie wymagają, aby IORP oraz,</w:t>
      </w:r>
      <w:r w:rsidR="006E6446" w:rsidRPr="00392E88">
        <w:t xml:space="preserve"> w</w:t>
      </w:r>
      <w:r w:rsidR="006E6446">
        <w:t> </w:t>
      </w:r>
      <w:r w:rsidR="006E6446" w:rsidRPr="00392E88">
        <w:t>sto</w:t>
      </w:r>
      <w:r w:rsidRPr="00392E88">
        <w:t>sownych przypadkach, ich odpowiednie komitety ds. nominacji wprowadziły politykę promującą różnorodność</w:t>
      </w:r>
      <w:r w:rsidR="006E6446" w:rsidRPr="00392E88">
        <w:t xml:space="preserve"> i</w:t>
      </w:r>
      <w:r w:rsidR="006E6446">
        <w:t> </w:t>
      </w:r>
      <w:r w:rsidR="006E6446" w:rsidRPr="00392E88">
        <w:t>ink</w:t>
      </w:r>
      <w:r w:rsidRPr="00392E88">
        <w:t>luzywność</w:t>
      </w:r>
      <w:r w:rsidR="006E6446" w:rsidRPr="00392E88">
        <w:t xml:space="preserve"> w</w:t>
      </w:r>
      <w:r w:rsidR="006E6446">
        <w:t> </w:t>
      </w:r>
      <w:r w:rsidR="006E6446" w:rsidRPr="00392E88">
        <w:t>org</w:t>
      </w:r>
      <w:r w:rsidRPr="00392E88">
        <w:t>anie zarządzającym lub nadzorczym. Polityka ta uwzględnia,</w:t>
      </w:r>
      <w:r w:rsidR="006E6446" w:rsidRPr="00392E88">
        <w:t xml:space="preserve"> w</w:t>
      </w:r>
      <w:r w:rsidR="006E6446">
        <w:t> </w:t>
      </w:r>
      <w:r w:rsidR="006E6446" w:rsidRPr="00392E88">
        <w:t>sto</w:t>
      </w:r>
      <w:r w:rsidRPr="00392E88">
        <w:t>sownych przypadkach, fakt, że</w:t>
      </w:r>
      <w:r w:rsidR="006E6446" w:rsidRPr="00392E88">
        <w:t xml:space="preserve"> w</w:t>
      </w:r>
      <w:r w:rsidR="006E6446">
        <w:t> </w:t>
      </w:r>
      <w:r w:rsidR="006E6446" w:rsidRPr="00392E88">
        <w:t>skł</w:t>
      </w:r>
      <w:r w:rsidRPr="00392E88">
        <w:t>ad organu administrującego, zarządzającego lub nadzorczego wchodzą przedstawiciele partnerów społecznych,</w:t>
      </w:r>
      <w:r w:rsidR="006E6446" w:rsidRPr="00392E88">
        <w:t xml:space="preserve"> i</w:t>
      </w:r>
      <w:r w:rsidR="006E6446">
        <w:t> </w:t>
      </w:r>
      <w:r w:rsidR="006E6446" w:rsidRPr="00392E88">
        <w:t>jes</w:t>
      </w:r>
      <w:r w:rsidRPr="00392E88">
        <w:t>t stosowana</w:t>
      </w:r>
      <w:r w:rsidR="006E6446" w:rsidRPr="00392E88">
        <w:t xml:space="preserve"> w</w:t>
      </w:r>
      <w:r w:rsidR="006E6446">
        <w:t> </w:t>
      </w:r>
      <w:r w:rsidR="006E6446" w:rsidRPr="00392E88">
        <w:t>spo</w:t>
      </w:r>
      <w:r w:rsidRPr="00392E88">
        <w:t>sób proporcjonalny do charakteru, skali</w:t>
      </w:r>
      <w:r w:rsidR="006E6446" w:rsidRPr="00392E88">
        <w:t xml:space="preserve"> i</w:t>
      </w:r>
      <w:r w:rsidR="006E6446">
        <w:t> </w:t>
      </w:r>
      <w:r w:rsidR="006E6446" w:rsidRPr="00392E88">
        <w:t>zło</w:t>
      </w:r>
      <w:r w:rsidRPr="00392E88">
        <w:t>żoności działalności IORP.</w:t>
      </w:r>
    </w:p>
    <w:p w14:paraId="6B2CBF48" w14:textId="733C915D" w:rsidR="006E4590" w:rsidRPr="00392E88" w:rsidRDefault="00EB4CFD" w:rsidP="00016EBB">
      <w:pPr>
        <w:pStyle w:val="Text1"/>
      </w:pPr>
      <w:r w:rsidRPr="00392E88">
        <w:t>Państwa członkowskie wymagają również, aby polityka ta określała indywidualne cele ilościowe związane</w:t>
      </w:r>
      <w:r w:rsidR="006E6446" w:rsidRPr="00392E88">
        <w:t xml:space="preserve"> z</w:t>
      </w:r>
      <w:r w:rsidR="006E6446">
        <w:t> </w:t>
      </w:r>
      <w:r w:rsidR="006E6446" w:rsidRPr="00392E88">
        <w:t>rów</w:t>
      </w:r>
      <w:r w:rsidRPr="00392E88">
        <w:t>nowagą płci</w:t>
      </w:r>
      <w:r w:rsidR="006E6446" w:rsidRPr="00392E88">
        <w:t xml:space="preserve"> w</w:t>
      </w:r>
      <w:r w:rsidR="006E6446">
        <w:t> </w:t>
      </w:r>
      <w:r w:rsidR="006E6446" w:rsidRPr="00392E88">
        <w:t>spo</w:t>
      </w:r>
      <w:r w:rsidRPr="00392E88">
        <w:t>sób proporcjonalny do charakteru, skali</w:t>
      </w:r>
      <w:r w:rsidR="006E6446" w:rsidRPr="00392E88">
        <w:t xml:space="preserve"> i</w:t>
      </w:r>
      <w:r w:rsidR="006E6446">
        <w:t> </w:t>
      </w:r>
      <w:r w:rsidR="006E6446" w:rsidRPr="00392E88">
        <w:t>zło</w:t>
      </w:r>
      <w:r w:rsidRPr="00392E88">
        <w:t>żoności działalności IORP. Cel ten uwzględnia członków organu zarządzającego lub nadzorczego wybranych przez instytucję finansującą IORP</w:t>
      </w:r>
      <w:r w:rsidR="006E6446" w:rsidRPr="00392E88">
        <w:t xml:space="preserve"> i</w:t>
      </w:r>
      <w:r w:rsidR="006E6446">
        <w:t> </w:t>
      </w:r>
      <w:r w:rsidR="006E6446" w:rsidRPr="00392E88">
        <w:t>nie</w:t>
      </w:r>
      <w:r w:rsidRPr="00392E88">
        <w:t xml:space="preserve"> ma zastosowania do IORP,</w:t>
      </w:r>
      <w:r w:rsidR="006E6446" w:rsidRPr="00392E88">
        <w:t xml:space="preserve"> w</w:t>
      </w:r>
      <w:r w:rsidR="006E6446">
        <w:t> </w:t>
      </w:r>
      <w:r w:rsidR="006E6446" w:rsidRPr="00392E88">
        <w:t>prz</w:t>
      </w:r>
      <w:r w:rsidRPr="00392E88">
        <w:t>ypadku których liczba członków organu zarządzającego lub nadzorczego wybranych przez instytucję finansującą IORP nie przekracza trzech.</w:t>
      </w:r>
    </w:p>
    <w:p w14:paraId="2EB32C29" w14:textId="43C15888" w:rsidR="00F65FE1" w:rsidRPr="00392E88" w:rsidRDefault="67C25EA3" w:rsidP="00016EBB">
      <w:pPr>
        <w:pStyle w:val="Text1"/>
      </w:pPr>
      <w:r w:rsidRPr="00392E88">
        <w:t>9.</w:t>
      </w:r>
      <w:r w:rsidRPr="00392E88">
        <w:tab/>
        <w:t>Państwa członkowskie wymagają, aby IORP podawały do wiadomości publicznej</w:t>
      </w:r>
      <w:r w:rsidR="006E6446" w:rsidRPr="00392E88">
        <w:t xml:space="preserve"> w</w:t>
      </w:r>
      <w:r w:rsidR="006E6446">
        <w:t> </w:t>
      </w:r>
      <w:r w:rsidR="006E6446" w:rsidRPr="00392E88">
        <w:t>spr</w:t>
      </w:r>
      <w:r w:rsidRPr="00392E88">
        <w:t>awozdaniach rocznych cel dotyczący zrównoważonej pod względem płci reprezentacji niedostatecznie reprezentowanej płci</w:t>
      </w:r>
      <w:r w:rsidR="006E6446" w:rsidRPr="00392E88">
        <w:t xml:space="preserve"> w</w:t>
      </w:r>
      <w:r w:rsidR="006E6446">
        <w:t> </w:t>
      </w:r>
      <w:r w:rsidR="006E6446" w:rsidRPr="00392E88">
        <w:t>org</w:t>
      </w:r>
      <w:r w:rsidRPr="00392E88">
        <w:t>anie zarządzającym lub nadzorczym, politykę dotyczącą sposobu zwiększenia liczby osób niedostatecznie reprezentowanej płci</w:t>
      </w:r>
      <w:r w:rsidR="006E6446" w:rsidRPr="00392E88">
        <w:t xml:space="preserve"> w</w:t>
      </w:r>
      <w:r w:rsidR="006E6446">
        <w:t> </w:t>
      </w:r>
      <w:r w:rsidR="006E6446" w:rsidRPr="00392E88">
        <w:t>org</w:t>
      </w:r>
      <w:r w:rsidRPr="00392E88">
        <w:t>anie zarządzającym lub nadzorczym oraz jej realizację.</w:t>
      </w:r>
    </w:p>
    <w:p w14:paraId="2AB1F63D" w14:textId="033286C8" w:rsidR="00AD5F2A" w:rsidRPr="00392E88" w:rsidRDefault="0BFBE404" w:rsidP="00016EBB">
      <w:pPr>
        <w:pStyle w:val="Text1"/>
      </w:pPr>
      <w:r w:rsidRPr="00392E88">
        <w:t>10.</w:t>
      </w:r>
      <w:r w:rsidRPr="00392E88">
        <w:tab/>
        <w:t>Państwa członkowskie zapewniają, aby właściwe organy dysponowały odpowiednimi środkami, metodami</w:t>
      </w:r>
      <w:r w:rsidR="006E6446" w:rsidRPr="00392E88">
        <w:t xml:space="preserve"> i</w:t>
      </w:r>
      <w:r w:rsidR="006E6446">
        <w:t> </w:t>
      </w:r>
      <w:r w:rsidR="006E6446" w:rsidRPr="00392E88">
        <w:t>upr</w:t>
      </w:r>
      <w:r w:rsidRPr="00392E88">
        <w:t>awnieniami</w:t>
      </w:r>
      <w:r w:rsidR="006E6446" w:rsidRPr="00392E88">
        <w:t xml:space="preserve"> w</w:t>
      </w:r>
      <w:r w:rsidR="006E6446">
        <w:t> </w:t>
      </w:r>
      <w:r w:rsidR="006E6446" w:rsidRPr="00392E88">
        <w:t>zak</w:t>
      </w:r>
      <w:r w:rsidRPr="00392E88">
        <w:t>resie weryfikacji systemu zarządzania IORP oraz oceny wskazanych przez te IORP nowych ryzyk, które mogą mieć wpływ na ich dobrą kondycję finansową.</w:t>
      </w:r>
    </w:p>
    <w:p w14:paraId="084057BB" w14:textId="3FB70E3A" w:rsidR="00DF480A" w:rsidRPr="00392E88" w:rsidRDefault="00AD5F2A" w:rsidP="00016EBB">
      <w:pPr>
        <w:pStyle w:val="Text1"/>
      </w:pPr>
      <w:r w:rsidRPr="00392E88">
        <w:t>Państwa członkowskie zapewniają, aby właściwe organy były uprawnione do żądania poprawy</w:t>
      </w:r>
      <w:r w:rsidR="006E6446" w:rsidRPr="00392E88">
        <w:t xml:space="preserve"> i</w:t>
      </w:r>
      <w:r w:rsidR="006E6446">
        <w:t> </w:t>
      </w:r>
      <w:r w:rsidR="006E6446" w:rsidRPr="00392E88">
        <w:t>wzm</w:t>
      </w:r>
      <w:r w:rsidRPr="00392E88">
        <w:t>ocnienia systemu zarządzania tak, aby zapewniona była zgodność</w:t>
      </w:r>
      <w:r w:rsidR="006E6446" w:rsidRPr="00392E88">
        <w:t xml:space="preserve"> z</w:t>
      </w:r>
      <w:r w:rsidR="006E6446">
        <w:t> </w:t>
      </w:r>
      <w:r w:rsidR="006E6446" w:rsidRPr="00392E88">
        <w:t>wym</w:t>
      </w:r>
      <w:r w:rsidRPr="00392E88">
        <w:t>ogami określonymi</w:t>
      </w:r>
      <w:r w:rsidR="006E6446" w:rsidRPr="00392E88">
        <w:t xml:space="preserve"> w</w:t>
      </w:r>
      <w:r w:rsidR="006E6446">
        <w:t> </w:t>
      </w:r>
      <w:r w:rsidR="006E6446" w:rsidRPr="006E6446">
        <w:t>art</w:t>
      </w:r>
      <w:r w:rsidRPr="006E6446">
        <w:t>.</w:t>
      </w:r>
      <w:r w:rsidR="006E6446" w:rsidRPr="006E6446">
        <w:t> </w:t>
      </w:r>
      <w:r w:rsidRPr="006E6446">
        <w:t>2</w:t>
      </w:r>
      <w:r w:rsidRPr="00392E88">
        <w:t>0–32.”;</w:t>
      </w:r>
    </w:p>
    <w:p w14:paraId="2772650C" w14:textId="49663B56" w:rsidR="00AE639B" w:rsidRPr="00392E88" w:rsidRDefault="006E6446" w:rsidP="006E6446">
      <w:pPr>
        <w:pStyle w:val="Point0"/>
      </w:pPr>
      <w:r>
        <w:t>24)</w:t>
      </w:r>
      <w:r>
        <w:tab/>
      </w:r>
      <w:r w:rsidR="00DA5CC4" w:rsidRPr="00392E88">
        <w:t xml:space="preserve">w </w:t>
      </w:r>
      <w:r w:rsidR="00DA5CC4" w:rsidRPr="006E6446">
        <w:t>art.</w:t>
      </w:r>
      <w:r w:rsidRPr="006E6446">
        <w:t> </w:t>
      </w:r>
      <w:r w:rsidR="00DA5CC4" w:rsidRPr="006E6446">
        <w:t>2</w:t>
      </w:r>
      <w:r w:rsidR="00DA5CC4" w:rsidRPr="00392E88">
        <w:t>2 wprowadza się następujące zmiany:</w:t>
      </w:r>
    </w:p>
    <w:p w14:paraId="6A9B351B" w14:textId="3A816C54" w:rsidR="00610007" w:rsidRPr="00392E88" w:rsidRDefault="006E6446" w:rsidP="006E6446">
      <w:pPr>
        <w:pStyle w:val="Point1"/>
      </w:pPr>
      <w:r>
        <w:t>a)</w:t>
      </w:r>
      <w:r>
        <w:tab/>
      </w:r>
      <w:r w:rsidR="003A1DDE" w:rsidRPr="00392E88">
        <w:t>ust. 1 otrzymuje brzmienie:</w:t>
      </w:r>
    </w:p>
    <w:p w14:paraId="5F512C0A" w14:textId="12D03002" w:rsidR="000B579B" w:rsidRPr="00392E88" w:rsidRDefault="000B579B" w:rsidP="00C9746B">
      <w:pPr>
        <w:pStyle w:val="Text1"/>
      </w:pPr>
      <w:r w:rsidRPr="00392E88">
        <w:t>„1.</w:t>
      </w:r>
      <w:r w:rsidRPr="00392E88">
        <w:tab/>
        <w:t>Państwa członkowskie wymagają, aby IORP zapewniały spełnianie przez osoby, które faktycznie zarządzają IORP, organy administrujące, zarządzające lub nadzorcze, osoby, które pełnią kluczowe funkcje oraz,</w:t>
      </w:r>
      <w:r w:rsidR="006E6446" w:rsidRPr="00392E88">
        <w:t xml:space="preserve"> w</w:t>
      </w:r>
      <w:r w:rsidR="006E6446">
        <w:t> </w:t>
      </w:r>
      <w:r w:rsidR="006E6446" w:rsidRPr="00392E88">
        <w:t>sto</w:t>
      </w:r>
      <w:r w:rsidRPr="00392E88">
        <w:t>sownych przypadkach, osoby lub podmioty, którym zlecono kluczową funkcję</w:t>
      </w:r>
      <w:r w:rsidR="006E6446" w:rsidRPr="00392E88">
        <w:t xml:space="preserve"> w</w:t>
      </w:r>
      <w:r w:rsidR="006E6446">
        <w:t> </w:t>
      </w:r>
      <w:r w:rsidR="006E6446" w:rsidRPr="00392E88">
        <w:t>dro</w:t>
      </w:r>
      <w:r w:rsidRPr="00392E88">
        <w:t>dze outsourcingu zgodnie</w:t>
      </w:r>
      <w:r w:rsidR="006E6446" w:rsidRPr="00392E88">
        <w:t xml:space="preserve"> z</w:t>
      </w:r>
      <w:r w:rsidR="006E6446">
        <w:t> </w:t>
      </w:r>
      <w:r w:rsidR="006E6446" w:rsidRPr="00392E88">
        <w:t>art</w:t>
      </w:r>
      <w:r w:rsidRPr="00392E88">
        <w:t>. 31, następujących wymogów przy wykonywaniu swoich zadań:</w:t>
      </w:r>
    </w:p>
    <w:p w14:paraId="481376AA" w14:textId="77777777" w:rsidR="000B579B" w:rsidRPr="00392E88" w:rsidRDefault="000B579B" w:rsidP="005D0C3B">
      <w:pPr>
        <w:pStyle w:val="Point1"/>
      </w:pPr>
      <w:r w:rsidRPr="00392E88">
        <w:t xml:space="preserve">a) </w:t>
      </w:r>
      <w:r w:rsidRPr="00392E88">
        <w:tab/>
        <w:t>wymóg kompetencji:</w:t>
      </w:r>
    </w:p>
    <w:p w14:paraId="2DBC3B57" w14:textId="36F67722" w:rsidR="000B579B" w:rsidRPr="00392E88" w:rsidRDefault="00DA0D35" w:rsidP="00C9746B">
      <w:pPr>
        <w:pStyle w:val="Point2"/>
      </w:pPr>
      <w:r w:rsidRPr="00392E88">
        <w:t xml:space="preserve">(i) </w:t>
      </w:r>
      <w:r w:rsidRPr="00392E88">
        <w:tab/>
        <w:t>w przypadku osób, które faktycznie zarządzają IORP, oznacza to, że ich kwalifikacje, wiedza</w:t>
      </w:r>
      <w:r w:rsidR="006E6446" w:rsidRPr="00392E88">
        <w:t xml:space="preserve"> i</w:t>
      </w:r>
      <w:r w:rsidR="006E6446">
        <w:t> </w:t>
      </w:r>
      <w:r w:rsidR="006E6446" w:rsidRPr="00392E88">
        <w:t>doś</w:t>
      </w:r>
      <w:r w:rsidRPr="00392E88">
        <w:t>wiadczenie są odpowiednie, aby umożliwić im zapewnienie należytego</w:t>
      </w:r>
      <w:r w:rsidR="006E6446" w:rsidRPr="00392E88">
        <w:t xml:space="preserve"> i</w:t>
      </w:r>
      <w:r w:rsidR="006E6446">
        <w:t> </w:t>
      </w:r>
      <w:r w:rsidR="006E6446" w:rsidRPr="00392E88">
        <w:t>ost</w:t>
      </w:r>
      <w:r w:rsidRPr="00392E88">
        <w:t>rożnego zarządzania IORP, co obejmuje wiedzę</w:t>
      </w:r>
      <w:r w:rsidR="006E6446" w:rsidRPr="00392E88">
        <w:t xml:space="preserve"> i</w:t>
      </w:r>
      <w:r w:rsidR="006E6446">
        <w:t> </w:t>
      </w:r>
      <w:r w:rsidR="006E6446" w:rsidRPr="00392E88">
        <w:t>kom</w:t>
      </w:r>
      <w:r w:rsidRPr="00392E88">
        <w:t>petencje umożliwiające im przeciwdziałanie poszczególnym poziomom ryzyka, na które narażeni są uczestnicy</w:t>
      </w:r>
      <w:r w:rsidR="006E6446" w:rsidRPr="00392E88">
        <w:t xml:space="preserve"> i</w:t>
      </w:r>
      <w:r w:rsidR="006E6446">
        <w:t> </w:t>
      </w:r>
      <w:r w:rsidR="006E6446" w:rsidRPr="00392E88">
        <w:t>ben</w:t>
      </w:r>
      <w:r w:rsidRPr="00392E88">
        <w:t>eficjenci,</w:t>
      </w:r>
      <w:r w:rsidR="006E6446" w:rsidRPr="00392E88">
        <w:t xml:space="preserve"> w</w:t>
      </w:r>
      <w:r w:rsidR="006E6446">
        <w:t> </w:t>
      </w:r>
      <w:r w:rsidR="006E6446" w:rsidRPr="00392E88">
        <w:t>zal</w:t>
      </w:r>
      <w:r w:rsidRPr="00392E88">
        <w:t>eżności od charakteru programów, do których należą;</w:t>
      </w:r>
    </w:p>
    <w:p w14:paraId="293D3B71" w14:textId="212E1BDF" w:rsidR="000B579B" w:rsidRPr="00392E88" w:rsidRDefault="000B579B" w:rsidP="00C9746B">
      <w:pPr>
        <w:pStyle w:val="Point2"/>
      </w:pPr>
      <w:r w:rsidRPr="00392E88">
        <w:t xml:space="preserve">(ii) </w:t>
      </w:r>
      <w:r w:rsidRPr="00392E88">
        <w:tab/>
        <w:t>w przypadku osób, które pełnią kluczowe funkcje aktuarialne lub związane</w:t>
      </w:r>
      <w:r w:rsidR="006E6446" w:rsidRPr="00392E88">
        <w:t xml:space="preserve"> z</w:t>
      </w:r>
      <w:r w:rsidR="006E6446">
        <w:t> </w:t>
      </w:r>
      <w:r w:rsidR="006E6446" w:rsidRPr="00392E88">
        <w:t>aud</w:t>
      </w:r>
      <w:r w:rsidRPr="00392E88">
        <w:t>ytem wewnętrznym, oznacza to, że ich kwalifikacje zawodowe, wiedza</w:t>
      </w:r>
      <w:r w:rsidR="006E6446" w:rsidRPr="00392E88">
        <w:t xml:space="preserve"> i</w:t>
      </w:r>
      <w:r w:rsidR="006E6446">
        <w:t> </w:t>
      </w:r>
      <w:r w:rsidR="006E6446" w:rsidRPr="00392E88">
        <w:t>doś</w:t>
      </w:r>
      <w:r w:rsidRPr="00392E88">
        <w:t>wiadczenie są odpowiednie, aby umożliwić im właściwe wykonywanie ich kluczowych funkcji;</w:t>
      </w:r>
    </w:p>
    <w:p w14:paraId="2D1E38CA" w14:textId="4C16E242" w:rsidR="000B579B" w:rsidRPr="00392E88" w:rsidRDefault="000B579B" w:rsidP="00C9746B">
      <w:pPr>
        <w:pStyle w:val="Point2"/>
      </w:pPr>
      <w:r w:rsidRPr="00392E88">
        <w:t xml:space="preserve">(iii) </w:t>
      </w:r>
      <w:r w:rsidRPr="00392E88">
        <w:tab/>
        <w:t>w przypadku osób, które pełnią inne kluczowe funkcje, oznacza to, że ich kwalifikacje, wiedza</w:t>
      </w:r>
      <w:r w:rsidR="006E6446" w:rsidRPr="00392E88">
        <w:t xml:space="preserve"> i</w:t>
      </w:r>
      <w:r w:rsidR="006E6446">
        <w:t> </w:t>
      </w:r>
      <w:r w:rsidR="006E6446" w:rsidRPr="00392E88">
        <w:t>doś</w:t>
      </w:r>
      <w:r w:rsidRPr="00392E88">
        <w:t xml:space="preserve">wiadczenie są odpowiednie, aby umożliwić im właściwe wykonywanie ich kluczowych funkcji; </w:t>
      </w:r>
    </w:p>
    <w:p w14:paraId="7B7575F2" w14:textId="7EA01B14" w:rsidR="00052750" w:rsidRPr="00392E88" w:rsidRDefault="00052750" w:rsidP="00052750">
      <w:pPr>
        <w:pStyle w:val="Point2"/>
      </w:pPr>
      <w:r w:rsidRPr="00392E88">
        <w:t xml:space="preserve">(iv) </w:t>
      </w:r>
      <w:r w:rsidRPr="00392E88">
        <w:tab/>
        <w:t>w przypadku organów administrujących, zarządzających lub nadzorczych oznacza to, że kwalifikacje, wiedza</w:t>
      </w:r>
      <w:r w:rsidR="006E6446" w:rsidRPr="00392E88">
        <w:t xml:space="preserve"> i</w:t>
      </w:r>
      <w:r w:rsidR="006E6446">
        <w:t> </w:t>
      </w:r>
      <w:r w:rsidR="006E6446" w:rsidRPr="00392E88">
        <w:t>doś</w:t>
      </w:r>
      <w:r w:rsidRPr="00392E88">
        <w:t xml:space="preserve">wiadczenie ich członków są zbiorczo odpowiednie, aby umożliwić wykonywanie ich obowiązków; </w:t>
      </w:r>
    </w:p>
    <w:p w14:paraId="643AB993" w14:textId="77777777" w:rsidR="00AA4F01" w:rsidRPr="00392E88" w:rsidRDefault="000B579B" w:rsidP="005D0C3B">
      <w:pPr>
        <w:pStyle w:val="Point1"/>
      </w:pPr>
      <w:r w:rsidRPr="00392E88">
        <w:t xml:space="preserve">b) </w:t>
      </w:r>
      <w:r w:rsidRPr="00392E88">
        <w:tab/>
        <w:t>wymóg reputacji: osoby te cieszą się nieposzlakowaną opinią i są uczciwe.”;</w:t>
      </w:r>
    </w:p>
    <w:p w14:paraId="3BEE3590" w14:textId="45DFE48B" w:rsidR="00A83A60" w:rsidRPr="00392E88" w:rsidRDefault="006E6446" w:rsidP="006E6446">
      <w:pPr>
        <w:pStyle w:val="Point1"/>
      </w:pPr>
      <w:r>
        <w:t>b)</w:t>
      </w:r>
      <w:r>
        <w:tab/>
      </w:r>
      <w:r w:rsidR="00A91826" w:rsidRPr="00392E88">
        <w:t xml:space="preserve">dodaje się </w:t>
      </w:r>
      <w:r w:rsidR="00A91826" w:rsidRPr="006E6446">
        <w:t>ust.</w:t>
      </w:r>
      <w:r w:rsidRPr="006E6446">
        <w:t> </w:t>
      </w:r>
      <w:r w:rsidR="00A91826" w:rsidRPr="006E6446">
        <w:t>1</w:t>
      </w:r>
      <w:r w:rsidR="00A91826" w:rsidRPr="00392E88">
        <w:t>a</w:t>
      </w:r>
      <w:r w:rsidRPr="00392E88">
        <w:t xml:space="preserve"> i</w:t>
      </w:r>
      <w:r>
        <w:t> </w:t>
      </w:r>
      <w:r w:rsidRPr="00392E88">
        <w:t>1</w:t>
      </w:r>
      <w:r w:rsidR="00A91826" w:rsidRPr="00392E88">
        <w:t>b</w:t>
      </w:r>
      <w:r w:rsidRPr="00392E88">
        <w:t xml:space="preserve"> w</w:t>
      </w:r>
      <w:r>
        <w:t> </w:t>
      </w:r>
      <w:r w:rsidRPr="00392E88">
        <w:t>brz</w:t>
      </w:r>
      <w:r w:rsidR="00A91826" w:rsidRPr="00392E88">
        <w:t>mieniu:</w:t>
      </w:r>
    </w:p>
    <w:p w14:paraId="3C89A423" w14:textId="7D984648" w:rsidR="00360BF4" w:rsidRPr="00392E88" w:rsidRDefault="00360BF4" w:rsidP="00C66812">
      <w:pPr>
        <w:pStyle w:val="Text1"/>
      </w:pPr>
      <w:r w:rsidRPr="00392E88">
        <w:t>„1a.</w:t>
      </w:r>
      <w:r w:rsidRPr="00392E88">
        <w:tab/>
        <w:t>Państwa członkowskie wymagają, aby IORP powiadamiały swoje właściwe organy</w:t>
      </w:r>
      <w:r w:rsidR="006E6446" w:rsidRPr="00392E88">
        <w:t xml:space="preserve"> o</w:t>
      </w:r>
      <w:r w:rsidR="006E6446">
        <w:t> </w:t>
      </w:r>
      <w:r w:rsidR="006E6446" w:rsidRPr="00392E88">
        <w:t>wsz</w:t>
      </w:r>
      <w:r w:rsidRPr="00392E88">
        <w:t>elkich zmianach tożsamości osób,</w:t>
      </w:r>
      <w:r w:rsidR="006E6446" w:rsidRPr="00392E88">
        <w:t xml:space="preserve"> o</w:t>
      </w:r>
      <w:r w:rsidR="006E6446">
        <w:t> </w:t>
      </w:r>
      <w:r w:rsidR="006E6446" w:rsidRPr="00392E88">
        <w:t>któ</w:t>
      </w:r>
      <w:r w:rsidRPr="00392E88">
        <w:t>rych mowa</w:t>
      </w:r>
      <w:r w:rsidR="006E6446" w:rsidRPr="00392E88">
        <w:t xml:space="preserve"> w</w:t>
      </w:r>
      <w:r w:rsidR="006E6446">
        <w:t> </w:t>
      </w:r>
      <w:r w:rsidR="006E6446" w:rsidRPr="006E6446">
        <w:t>ust</w:t>
      </w:r>
      <w:r w:rsidRPr="006E6446">
        <w:t>.</w:t>
      </w:r>
      <w:r w:rsidR="006E6446" w:rsidRPr="006E6446">
        <w:t> </w:t>
      </w:r>
      <w:r w:rsidRPr="006E6446">
        <w:t>1</w:t>
      </w:r>
      <w:r w:rsidRPr="00392E88">
        <w:t>, wraz</w:t>
      </w:r>
      <w:r w:rsidR="006E6446" w:rsidRPr="00392E88">
        <w:t xml:space="preserve"> z</w:t>
      </w:r>
      <w:r w:rsidR="006E6446">
        <w:t> </w:t>
      </w:r>
      <w:r w:rsidR="006E6446" w:rsidRPr="00392E88">
        <w:t>uza</w:t>
      </w:r>
      <w:r w:rsidRPr="00392E88">
        <w:t>sadnieniem tych zmian oraz wszelkimi informacjami potrzebnymi do oceny, czy nowo wyznaczone osoby spełniają wymogi dotyczące kompetencji</w:t>
      </w:r>
      <w:r w:rsidR="006E6446" w:rsidRPr="00392E88">
        <w:t xml:space="preserve"> i</w:t>
      </w:r>
      <w:r w:rsidR="006E6446">
        <w:t> </w:t>
      </w:r>
      <w:r w:rsidR="006E6446" w:rsidRPr="00392E88">
        <w:t>rep</w:t>
      </w:r>
      <w:r w:rsidRPr="00392E88">
        <w:t>utacji.</w:t>
      </w:r>
    </w:p>
    <w:p w14:paraId="076AAFDB" w14:textId="58ECB454" w:rsidR="00C62057" w:rsidRPr="00392E88" w:rsidRDefault="002D6891" w:rsidP="00C66812">
      <w:pPr>
        <w:pStyle w:val="Text1"/>
      </w:pPr>
      <w:r w:rsidRPr="00392E88">
        <w:t>1b.</w:t>
      </w:r>
      <w:r w:rsidRPr="00392E88">
        <w:tab/>
        <w:t>Państwa członkowskie wymagają, aby IORP powiadamiały swoje właściwe organy, jeżeli którakolwiek</w:t>
      </w:r>
      <w:r w:rsidR="006E6446" w:rsidRPr="00392E88">
        <w:t xml:space="preserve"> z</w:t>
      </w:r>
      <w:r w:rsidR="006E6446">
        <w:t> </w:t>
      </w:r>
      <w:r w:rsidR="006E6446" w:rsidRPr="00392E88">
        <w:t>osó</w:t>
      </w:r>
      <w:r w:rsidRPr="00392E88">
        <w:t>b,</w:t>
      </w:r>
      <w:r w:rsidR="006E6446" w:rsidRPr="00392E88">
        <w:t xml:space="preserve"> o</w:t>
      </w:r>
      <w:r w:rsidR="006E6446">
        <w:t> </w:t>
      </w:r>
      <w:r w:rsidR="006E6446" w:rsidRPr="00392E88">
        <w:t>któ</w:t>
      </w:r>
      <w:r w:rsidRPr="00392E88">
        <w:t>rych mowa</w:t>
      </w:r>
      <w:r w:rsidR="006E6446" w:rsidRPr="00392E88">
        <w:t xml:space="preserve"> w</w:t>
      </w:r>
      <w:r w:rsidR="006E6446">
        <w:t> </w:t>
      </w:r>
      <w:r w:rsidR="006E6446" w:rsidRPr="006E6446">
        <w:t>ust</w:t>
      </w:r>
      <w:r w:rsidRPr="006E6446">
        <w:t>.</w:t>
      </w:r>
      <w:r w:rsidR="006E6446" w:rsidRPr="006E6446">
        <w:t> </w:t>
      </w:r>
      <w:r w:rsidRPr="006E6446">
        <w:t>1</w:t>
      </w:r>
      <w:r w:rsidRPr="00392E88">
        <w:t>, przestała spełniać wymogi określone</w:t>
      </w:r>
      <w:r w:rsidR="006E6446" w:rsidRPr="00392E88">
        <w:t xml:space="preserve"> w</w:t>
      </w:r>
      <w:r w:rsidR="006E6446">
        <w:t> </w:t>
      </w:r>
      <w:r w:rsidR="006E6446" w:rsidRPr="00392E88">
        <w:t>tym</w:t>
      </w:r>
      <w:r w:rsidRPr="00392E88">
        <w:t xml:space="preserve"> ustępie lub została</w:t>
      </w:r>
      <w:r w:rsidR="006E6446" w:rsidRPr="00392E88">
        <w:t xml:space="preserve"> z</w:t>
      </w:r>
      <w:r w:rsidR="006E6446">
        <w:t> </w:t>
      </w:r>
      <w:r w:rsidR="006E6446" w:rsidRPr="00392E88">
        <w:t>teg</w:t>
      </w:r>
      <w:r w:rsidRPr="00392E88">
        <w:t>o powodu zastąpiona.”;</w:t>
      </w:r>
    </w:p>
    <w:p w14:paraId="22E90F92" w14:textId="6A99C7A6" w:rsidR="00DA5CC4" w:rsidRPr="00392E88" w:rsidRDefault="006E6446" w:rsidP="006E6446">
      <w:pPr>
        <w:pStyle w:val="Point1"/>
      </w:pPr>
      <w:r>
        <w:t>c)</w:t>
      </w:r>
      <w:r>
        <w:tab/>
      </w:r>
      <w:r w:rsidR="00AE639B" w:rsidRPr="00392E88">
        <w:t xml:space="preserve">ust. 2 otrzymuje brzmienie: </w:t>
      </w:r>
    </w:p>
    <w:p w14:paraId="6207118E" w14:textId="75622528" w:rsidR="00DA5CC4" w:rsidRPr="00392E88" w:rsidRDefault="00DA5CC4" w:rsidP="00C66812">
      <w:pPr>
        <w:pStyle w:val="Text1"/>
      </w:pPr>
      <w:r w:rsidRPr="00392E88">
        <w:t>„2.</w:t>
      </w:r>
      <w:r w:rsidRPr="00392E88">
        <w:tab/>
        <w:t>Państwa członkowskie zapewniają, aby właściwe organy były zdolne ustalić, czy osoby,</w:t>
      </w:r>
      <w:r w:rsidR="006E6446" w:rsidRPr="00392E88">
        <w:t xml:space="preserve"> o</w:t>
      </w:r>
      <w:r w:rsidR="006E6446">
        <w:t> </w:t>
      </w:r>
      <w:r w:rsidR="006E6446" w:rsidRPr="00392E88">
        <w:t>któ</w:t>
      </w:r>
      <w:r w:rsidRPr="00392E88">
        <w:t>rych mowa</w:t>
      </w:r>
      <w:r w:rsidR="006E6446" w:rsidRPr="00392E88">
        <w:t xml:space="preserve"> w</w:t>
      </w:r>
      <w:r w:rsidR="006E6446">
        <w:t> </w:t>
      </w:r>
      <w:r w:rsidR="006E6446" w:rsidRPr="006E6446">
        <w:t>ust</w:t>
      </w:r>
      <w:r w:rsidRPr="006E6446">
        <w:t>.</w:t>
      </w:r>
      <w:r w:rsidR="006E6446" w:rsidRPr="006E6446">
        <w:t> </w:t>
      </w:r>
      <w:r w:rsidRPr="006E6446">
        <w:t>1</w:t>
      </w:r>
      <w:r w:rsidRPr="00392E88">
        <w:t>, spełniają na bieżąco wymogi określone</w:t>
      </w:r>
      <w:r w:rsidR="006E6446" w:rsidRPr="00392E88">
        <w:t xml:space="preserve"> w</w:t>
      </w:r>
      <w:r w:rsidR="006E6446">
        <w:t> </w:t>
      </w:r>
      <w:r w:rsidR="006E6446" w:rsidRPr="006E6446">
        <w:t>ust</w:t>
      </w:r>
      <w:r w:rsidRPr="006E6446">
        <w:t>.</w:t>
      </w:r>
      <w:r w:rsidR="006E6446" w:rsidRPr="006E6446">
        <w:t> </w:t>
      </w:r>
      <w:r w:rsidRPr="006E6446">
        <w:t>1</w:t>
      </w:r>
      <w:r w:rsidRPr="00392E88">
        <w:t xml:space="preserve"> oraz czy istnieją jakiekolwiek faktyczne lub potencjalne konflikty interesów,</w:t>
      </w:r>
      <w:r w:rsidR="006E6446" w:rsidRPr="00392E88">
        <w:t xml:space="preserve"> a</w:t>
      </w:r>
      <w:r w:rsidR="006E6446">
        <w:t> </w:t>
      </w:r>
      <w:r w:rsidR="006E6446" w:rsidRPr="00392E88">
        <w:t>tak</w:t>
      </w:r>
      <w:r w:rsidRPr="00392E88">
        <w:t>że ustalić,</w:t>
      </w:r>
      <w:r w:rsidR="006E6446" w:rsidRPr="00392E88">
        <w:t xml:space="preserve"> w</w:t>
      </w:r>
      <w:r w:rsidR="006E6446">
        <w:t> </w:t>
      </w:r>
      <w:r w:rsidR="006E6446" w:rsidRPr="00392E88">
        <w:t>jak</w:t>
      </w:r>
      <w:r w:rsidRPr="00392E88">
        <w:t>i sposób zapobiega się takim konfliktom interesów lub nimi zarządza.”;</w:t>
      </w:r>
    </w:p>
    <w:p w14:paraId="4439534C" w14:textId="5690DA5A" w:rsidR="00A91826" w:rsidRPr="00392E88" w:rsidRDefault="006E6446" w:rsidP="006E6446">
      <w:pPr>
        <w:pStyle w:val="Point1"/>
      </w:pPr>
      <w:r>
        <w:t>d)</w:t>
      </w:r>
      <w:r>
        <w:tab/>
      </w:r>
      <w:r w:rsidR="00A91826" w:rsidRPr="00392E88">
        <w:t xml:space="preserve">dodaje się </w:t>
      </w:r>
      <w:r w:rsidR="00A91826" w:rsidRPr="006E6446">
        <w:t>ust.</w:t>
      </w:r>
      <w:r w:rsidRPr="006E6446">
        <w:t> </w:t>
      </w:r>
      <w:r w:rsidR="00A91826" w:rsidRPr="006E6446">
        <w:t>2</w:t>
      </w:r>
      <w:r w:rsidR="00A91826" w:rsidRPr="00392E88">
        <w:t>a</w:t>
      </w:r>
      <w:r w:rsidRPr="00392E88">
        <w:t xml:space="preserve"> w</w:t>
      </w:r>
      <w:r>
        <w:t> </w:t>
      </w:r>
      <w:r w:rsidRPr="00392E88">
        <w:t>brz</w:t>
      </w:r>
      <w:r w:rsidR="00A91826" w:rsidRPr="00392E88">
        <w:t>mieniu:</w:t>
      </w:r>
    </w:p>
    <w:p w14:paraId="663D54DC" w14:textId="4361409A" w:rsidR="00A91826" w:rsidRPr="00392E88" w:rsidRDefault="00A91826" w:rsidP="00C66812">
      <w:pPr>
        <w:pStyle w:val="Text1"/>
      </w:pPr>
      <w:r w:rsidRPr="00392E88">
        <w:t>„2a.</w:t>
      </w:r>
      <w:r w:rsidRPr="00392E88">
        <w:tab/>
        <w:t>W przypadku gdy osoba, która faktycznie zarządza IORP lub pełni inne kluczowe funkcje, nie spełnia wymogów określonych</w:t>
      </w:r>
      <w:r w:rsidR="006E6446" w:rsidRPr="00392E88">
        <w:t xml:space="preserve"> w</w:t>
      </w:r>
      <w:r w:rsidR="006E6446">
        <w:t> </w:t>
      </w:r>
      <w:r w:rsidR="006E6446" w:rsidRPr="006E6446">
        <w:t>ust</w:t>
      </w:r>
      <w:r w:rsidRPr="006E6446">
        <w:t>.</w:t>
      </w:r>
      <w:r w:rsidR="006E6446" w:rsidRPr="006E6446">
        <w:t> </w:t>
      </w:r>
      <w:r w:rsidRPr="006E6446">
        <w:t>1</w:t>
      </w:r>
      <w:r w:rsidRPr="00392E88">
        <w:t>, właściwe organy są uprawnione do zażądania od IORP usunięcia takiej osoby</w:t>
      </w:r>
      <w:r w:rsidR="006E6446" w:rsidRPr="00392E88">
        <w:t xml:space="preserve"> z</w:t>
      </w:r>
      <w:r w:rsidR="006E6446">
        <w:t> </w:t>
      </w:r>
      <w:r w:rsidR="006E6446" w:rsidRPr="00392E88">
        <w:t>teg</w:t>
      </w:r>
      <w:r w:rsidRPr="00392E88">
        <w:t>o stanowiska.”;</w:t>
      </w:r>
    </w:p>
    <w:p w14:paraId="59ED7C59" w14:textId="25A61C29" w:rsidR="0007600A" w:rsidRPr="00392E88" w:rsidRDefault="006E6446" w:rsidP="006E6446">
      <w:pPr>
        <w:pStyle w:val="Point0"/>
      </w:pPr>
      <w:r>
        <w:t>25)</w:t>
      </w:r>
      <w:r>
        <w:tab/>
      </w:r>
      <w:r w:rsidR="780D3AD9" w:rsidRPr="00392E88">
        <w:t xml:space="preserve">w </w:t>
      </w:r>
      <w:r w:rsidR="780D3AD9" w:rsidRPr="006E6446">
        <w:t>art.</w:t>
      </w:r>
      <w:r w:rsidRPr="006E6446">
        <w:t> </w:t>
      </w:r>
      <w:r w:rsidR="780D3AD9" w:rsidRPr="006E6446">
        <w:t>2</w:t>
      </w:r>
      <w:r w:rsidR="780D3AD9" w:rsidRPr="00392E88">
        <w:t xml:space="preserve">3 </w:t>
      </w:r>
      <w:r w:rsidR="780D3AD9" w:rsidRPr="006E6446">
        <w:t>ust.</w:t>
      </w:r>
      <w:r w:rsidRPr="006E6446">
        <w:t> </w:t>
      </w:r>
      <w:r w:rsidR="780D3AD9" w:rsidRPr="006E6446">
        <w:t>3</w:t>
      </w:r>
      <w:r w:rsidR="780D3AD9" w:rsidRPr="00392E88">
        <w:t xml:space="preserve"> dodaje się </w:t>
      </w:r>
      <w:r w:rsidR="780D3AD9" w:rsidRPr="006E6446">
        <w:t>lit.</w:t>
      </w:r>
      <w:r w:rsidRPr="006E6446">
        <w:t> </w:t>
      </w:r>
      <w:r w:rsidR="780D3AD9" w:rsidRPr="006E6446">
        <w:t>h)</w:t>
      </w:r>
      <w:r w:rsidR="780D3AD9" w:rsidRPr="00392E88">
        <w:t xml:space="preserve"> oraz i)</w:t>
      </w:r>
      <w:r w:rsidRPr="00392E88">
        <w:t xml:space="preserve"> w</w:t>
      </w:r>
      <w:r>
        <w:t> </w:t>
      </w:r>
      <w:r w:rsidRPr="00392E88">
        <w:t>brz</w:t>
      </w:r>
      <w:r w:rsidR="780D3AD9" w:rsidRPr="00392E88">
        <w:t>mieniu:</w:t>
      </w:r>
    </w:p>
    <w:p w14:paraId="06C848EA" w14:textId="68E1B976" w:rsidR="00C64B14" w:rsidRPr="00392E88" w:rsidRDefault="00F57D11" w:rsidP="005D0C3B">
      <w:pPr>
        <w:pStyle w:val="Point1"/>
      </w:pPr>
      <w:r w:rsidRPr="00392E88">
        <w:t xml:space="preserve">„h) </w:t>
      </w:r>
      <w:r w:rsidRPr="00392E88">
        <w:tab/>
        <w:t>w polityce wynagrodzeń określa się,</w:t>
      </w:r>
      <w:r w:rsidR="006E6446" w:rsidRPr="00392E88">
        <w:t xml:space="preserve"> w</w:t>
      </w:r>
      <w:r w:rsidR="006E6446">
        <w:t> </w:t>
      </w:r>
      <w:r w:rsidR="006E6446" w:rsidRPr="00392E88">
        <w:t>jak</w:t>
      </w:r>
      <w:r w:rsidRPr="00392E88">
        <w:t>i sposób IORP uwzględnia włączenie ryzyk dla zrównoważonego rozwoju zdefiniowanych</w:t>
      </w:r>
      <w:r w:rsidR="006E6446" w:rsidRPr="00392E88">
        <w:t xml:space="preserve"> w</w:t>
      </w:r>
      <w:r w:rsidR="006E6446">
        <w:t> </w:t>
      </w:r>
      <w:r w:rsidR="006E6446" w:rsidRPr="006E6446">
        <w:t>art</w:t>
      </w:r>
      <w:r w:rsidRPr="006E6446">
        <w:t>.</w:t>
      </w:r>
      <w:r w:rsidR="006E6446" w:rsidRPr="006E6446">
        <w:t> </w:t>
      </w:r>
      <w:r w:rsidRPr="006E6446">
        <w:t>2</w:t>
      </w:r>
      <w:r w:rsidRPr="00392E88">
        <w:t xml:space="preserve"> </w:t>
      </w:r>
      <w:r w:rsidRPr="006E6446">
        <w:t>pkt</w:t>
      </w:r>
      <w:r w:rsidR="006E6446" w:rsidRPr="006E6446">
        <w:t> </w:t>
      </w:r>
      <w:r w:rsidRPr="006E6446">
        <w:t>2</w:t>
      </w:r>
      <w:r w:rsidRPr="00392E88">
        <w:t>2 rozporządzenia Parlamentu Europejskiego</w:t>
      </w:r>
      <w:r w:rsidR="006E6446" w:rsidRPr="00392E88">
        <w:t xml:space="preserve"> i</w:t>
      </w:r>
      <w:r w:rsidR="006E6446">
        <w:t> </w:t>
      </w:r>
      <w:r w:rsidR="006E6446" w:rsidRPr="00392E88">
        <w:t>Rad</w:t>
      </w:r>
      <w:r w:rsidRPr="00392E88">
        <w:t>y (UE) 2019/2088 do systemu zarządzania ryzykiem;</w:t>
      </w:r>
    </w:p>
    <w:p w14:paraId="4CA1DFAC" w14:textId="49168D21" w:rsidR="00053899" w:rsidRPr="00392E88" w:rsidRDefault="008A46F8" w:rsidP="00053899">
      <w:pPr>
        <w:pStyle w:val="Point1"/>
      </w:pPr>
      <w:r w:rsidRPr="00392E88">
        <w:t>i)</w:t>
      </w:r>
      <w:r w:rsidRPr="00392E88">
        <w:tab/>
        <w:t>polityka</w:t>
      </w:r>
      <w:r w:rsidR="006E6446" w:rsidRPr="00392E88">
        <w:t xml:space="preserve"> i</w:t>
      </w:r>
      <w:r w:rsidR="006E6446">
        <w:t> </w:t>
      </w:r>
      <w:r w:rsidR="006E6446" w:rsidRPr="00392E88">
        <w:t>pra</w:t>
      </w:r>
      <w:r w:rsidRPr="00392E88">
        <w:t>ktyki</w:t>
      </w:r>
      <w:r w:rsidR="006E6446" w:rsidRPr="00392E88">
        <w:t xml:space="preserve"> w</w:t>
      </w:r>
      <w:r w:rsidR="006E6446">
        <w:t> </w:t>
      </w:r>
      <w:r w:rsidR="006E6446" w:rsidRPr="00392E88">
        <w:t>zak</w:t>
      </w:r>
      <w:r w:rsidRPr="00392E88">
        <w:t>resie wynagrodzeń są obiektywne</w:t>
      </w:r>
      <w:r w:rsidR="006E6446" w:rsidRPr="00392E88">
        <w:t xml:space="preserve"> i</w:t>
      </w:r>
      <w:r w:rsidR="006E6446">
        <w:t> </w:t>
      </w:r>
      <w:r w:rsidR="006E6446" w:rsidRPr="00392E88">
        <w:t>nie</w:t>
      </w:r>
      <w:r w:rsidRPr="00392E88">
        <w:t>dyskryminacyjne oraz opierają się na zasadzie równości wynagrodzeń dla pracowników płci męskiej</w:t>
      </w:r>
      <w:r w:rsidR="006E6446" w:rsidRPr="00392E88">
        <w:t xml:space="preserve"> i</w:t>
      </w:r>
      <w:r w:rsidR="006E6446">
        <w:t> </w:t>
      </w:r>
      <w:r w:rsidR="006E6446" w:rsidRPr="00392E88">
        <w:t>żeń</w:t>
      </w:r>
      <w:r w:rsidRPr="00392E88">
        <w:t>skiej za taką samą pracę lub pracę takiej samej wartości dla kobiet</w:t>
      </w:r>
      <w:r w:rsidR="006E6446" w:rsidRPr="00392E88">
        <w:t xml:space="preserve"> i</w:t>
      </w:r>
      <w:r w:rsidR="006E6446">
        <w:t> </w:t>
      </w:r>
      <w:r w:rsidR="006E6446" w:rsidRPr="00392E88">
        <w:t>męż</w:t>
      </w:r>
      <w:r w:rsidRPr="00392E88">
        <w:t>czyzn.”;</w:t>
      </w:r>
    </w:p>
    <w:p w14:paraId="790E98D5" w14:textId="0B7FF1E0" w:rsidR="00F46062" w:rsidRPr="00392E88" w:rsidRDefault="006E6446" w:rsidP="006E6446">
      <w:pPr>
        <w:pStyle w:val="Point0"/>
      </w:pPr>
      <w:r>
        <w:t>26)</w:t>
      </w:r>
      <w:r>
        <w:tab/>
      </w:r>
      <w:r w:rsidR="00053899" w:rsidRPr="00392E88">
        <w:t xml:space="preserve">w </w:t>
      </w:r>
      <w:r w:rsidR="00053899" w:rsidRPr="006E6446">
        <w:t>art.</w:t>
      </w:r>
      <w:r w:rsidRPr="006E6446">
        <w:t> </w:t>
      </w:r>
      <w:r w:rsidR="00053899" w:rsidRPr="006E6446">
        <w:t>2</w:t>
      </w:r>
      <w:r w:rsidR="00053899" w:rsidRPr="00392E88">
        <w:t xml:space="preserve">5 </w:t>
      </w:r>
      <w:r w:rsidR="00053899" w:rsidRPr="006E6446">
        <w:t>ust.</w:t>
      </w:r>
      <w:r w:rsidRPr="006E6446">
        <w:t> </w:t>
      </w:r>
      <w:r w:rsidR="00053899" w:rsidRPr="006E6446">
        <w:t>2</w:t>
      </w:r>
      <w:r w:rsidR="00053899" w:rsidRPr="00392E88">
        <w:t xml:space="preserve"> formuła wprowadzająca otrzymuje brzmienie:</w:t>
      </w:r>
    </w:p>
    <w:p w14:paraId="400A0AEE" w14:textId="155368F5" w:rsidR="00F46062" w:rsidRPr="00392E88" w:rsidRDefault="00F46062" w:rsidP="00C66812">
      <w:pPr>
        <w:pStyle w:val="Text1"/>
      </w:pPr>
      <w:r w:rsidRPr="00392E88">
        <w:t>„System zarządzania ryzykiem obejmuje –</w:t>
      </w:r>
      <w:r w:rsidR="006E6446" w:rsidRPr="00392E88">
        <w:t xml:space="preserve"> w</w:t>
      </w:r>
      <w:r w:rsidR="006E6446">
        <w:t> </w:t>
      </w:r>
      <w:r w:rsidR="006E6446" w:rsidRPr="00392E88">
        <w:t>spo</w:t>
      </w:r>
      <w:r w:rsidRPr="00392E88">
        <w:t>sób proporcjonalny do charakteru, skali</w:t>
      </w:r>
      <w:r w:rsidR="006E6446" w:rsidRPr="00392E88">
        <w:t xml:space="preserve"> i</w:t>
      </w:r>
      <w:r w:rsidR="006E6446">
        <w:t> </w:t>
      </w:r>
      <w:r w:rsidR="006E6446" w:rsidRPr="00392E88">
        <w:t>zło</w:t>
      </w:r>
      <w:r w:rsidRPr="00392E88">
        <w:t>żoności działalności IORP – rodzaje ryzyka, które mogą wystąpić w IORP lub przedsiębiorstwach, którym –</w:t>
      </w:r>
      <w:r w:rsidR="006E6446" w:rsidRPr="00392E88">
        <w:t xml:space="preserve"> w</w:t>
      </w:r>
      <w:r w:rsidR="006E6446">
        <w:t> </w:t>
      </w:r>
      <w:r w:rsidR="006E6446" w:rsidRPr="00392E88">
        <w:t>sto</w:t>
      </w:r>
      <w:r w:rsidRPr="00392E88">
        <w:t>sownych przypadkach – zlecono</w:t>
      </w:r>
      <w:r w:rsidR="006E6446" w:rsidRPr="00392E88">
        <w:t xml:space="preserve"> w</w:t>
      </w:r>
      <w:r w:rsidR="006E6446">
        <w:t> </w:t>
      </w:r>
      <w:r w:rsidR="006E6446" w:rsidRPr="00392E88">
        <w:t>dro</w:t>
      </w:r>
      <w:r w:rsidRPr="00392E88">
        <w:t>dze outsourcingu zadania lub działalność IORP co najmniej</w:t>
      </w:r>
      <w:r w:rsidR="006E6446" w:rsidRPr="00392E88">
        <w:t xml:space="preserve"> w</w:t>
      </w:r>
      <w:r w:rsidR="006E6446">
        <w:t> </w:t>
      </w:r>
      <w:r w:rsidR="006E6446" w:rsidRPr="00392E88">
        <w:t>nas</w:t>
      </w:r>
      <w:r w:rsidRPr="00392E88">
        <w:t>tępujących obszarach:”;</w:t>
      </w:r>
    </w:p>
    <w:p w14:paraId="5C52277F" w14:textId="37830A13" w:rsidR="004C5291" w:rsidRPr="00392E88" w:rsidRDefault="006E6446" w:rsidP="006E6446">
      <w:pPr>
        <w:pStyle w:val="Point0"/>
      </w:pPr>
      <w:r>
        <w:t>27)</w:t>
      </w:r>
      <w:r>
        <w:tab/>
      </w:r>
      <w:r w:rsidR="00043359" w:rsidRPr="006E6446">
        <w:t>art.</w:t>
      </w:r>
      <w:r w:rsidRPr="006E6446">
        <w:t> </w:t>
      </w:r>
      <w:r w:rsidR="00043359" w:rsidRPr="006E6446">
        <w:t>2</w:t>
      </w:r>
      <w:r w:rsidR="00043359" w:rsidRPr="00392E88">
        <w:t>6 otrzymuje brzmienie:</w:t>
      </w:r>
    </w:p>
    <w:p w14:paraId="56C22793" w14:textId="77777777" w:rsidR="0086216F" w:rsidRPr="00392E88" w:rsidRDefault="0089026B" w:rsidP="00C66812">
      <w:pPr>
        <w:pStyle w:val="Titrearticle"/>
      </w:pPr>
      <w:r w:rsidRPr="00392E88">
        <w:t xml:space="preserve">„Artykuł 26 </w:t>
      </w:r>
      <w:r w:rsidRPr="00392E88">
        <w:br/>
      </w:r>
      <w:r w:rsidRPr="00392E88">
        <w:rPr>
          <w:b/>
          <w:i w:val="0"/>
        </w:rPr>
        <w:t>Funkcja audytu wewnętrznego</w:t>
      </w:r>
    </w:p>
    <w:p w14:paraId="71751694" w14:textId="0A57F379" w:rsidR="0089026B" w:rsidRPr="00392E88" w:rsidRDefault="0089026B" w:rsidP="00C66812">
      <w:pPr>
        <w:pStyle w:val="Text1"/>
      </w:pPr>
      <w:r w:rsidRPr="00392E88">
        <w:t>1.</w:t>
      </w:r>
      <w:r w:rsidRPr="00392E88">
        <w:tab/>
        <w:t>Państwa członkowskie wymagają, aby IORP zapewniały skuteczną funkcję audytu wewnętrznego</w:t>
      </w:r>
      <w:r w:rsidR="006E6446" w:rsidRPr="00392E88">
        <w:t xml:space="preserve"> w</w:t>
      </w:r>
      <w:r w:rsidR="006E6446">
        <w:t> </w:t>
      </w:r>
      <w:r w:rsidR="006E6446" w:rsidRPr="00392E88">
        <w:t>spo</w:t>
      </w:r>
      <w:r w:rsidRPr="00392E88">
        <w:t>sób proporcjonalny do charakteru, skali</w:t>
      </w:r>
      <w:r w:rsidR="006E6446" w:rsidRPr="00392E88">
        <w:t xml:space="preserve"> i</w:t>
      </w:r>
      <w:r w:rsidR="006E6446">
        <w:t> </w:t>
      </w:r>
      <w:r w:rsidR="006E6446" w:rsidRPr="00392E88">
        <w:t>zło</w:t>
      </w:r>
      <w:r w:rsidRPr="00392E88">
        <w:t xml:space="preserve">żoności ich działalności. </w:t>
      </w:r>
    </w:p>
    <w:p w14:paraId="33F02659" w14:textId="41626E97" w:rsidR="00DF47A3" w:rsidRPr="00392E88" w:rsidRDefault="0089026B" w:rsidP="00C66812">
      <w:pPr>
        <w:pStyle w:val="Text1"/>
      </w:pPr>
      <w:r w:rsidRPr="00392E88">
        <w:t>Funkcja audytu wewnętrznego obejmuje ocenę adekwatności</w:t>
      </w:r>
      <w:r w:rsidR="006E6446" w:rsidRPr="00392E88">
        <w:t xml:space="preserve"> i</w:t>
      </w:r>
      <w:r w:rsidR="006E6446">
        <w:t> </w:t>
      </w:r>
      <w:r w:rsidR="006E6446" w:rsidRPr="00392E88">
        <w:t>sku</w:t>
      </w:r>
      <w:r w:rsidRPr="00392E88">
        <w:t>teczności systemu kontroli wewnętrznej</w:t>
      </w:r>
      <w:r w:rsidR="006E6446" w:rsidRPr="00392E88">
        <w:t xml:space="preserve"> i</w:t>
      </w:r>
      <w:r w:rsidR="006E6446">
        <w:t> </w:t>
      </w:r>
      <w:r w:rsidR="006E6446" w:rsidRPr="00392E88">
        <w:t>inn</w:t>
      </w:r>
      <w:r w:rsidRPr="00392E88">
        <w:t>ych elementów systemu zarządzania,</w:t>
      </w:r>
      <w:r w:rsidR="006E6446" w:rsidRPr="00392E88">
        <w:t xml:space="preserve"> w</w:t>
      </w:r>
      <w:r w:rsidR="006E6446">
        <w:t> </w:t>
      </w:r>
      <w:r w:rsidR="006E6446" w:rsidRPr="00392E88">
        <w:t>tym</w:t>
      </w:r>
      <w:r w:rsidRPr="00392E88">
        <w:t>,</w:t>
      </w:r>
      <w:r w:rsidR="006E6446" w:rsidRPr="00392E88">
        <w:t xml:space="preserve"> w</w:t>
      </w:r>
      <w:r w:rsidR="006E6446">
        <w:t> </w:t>
      </w:r>
      <w:r w:rsidR="006E6446" w:rsidRPr="00392E88">
        <w:t>sto</w:t>
      </w:r>
      <w:r w:rsidRPr="00392E88">
        <w:t>sownych przypadkach, działalność zleconą</w:t>
      </w:r>
      <w:r w:rsidR="006E6446" w:rsidRPr="00392E88">
        <w:t xml:space="preserve"> w</w:t>
      </w:r>
      <w:r w:rsidR="006E6446">
        <w:t> </w:t>
      </w:r>
      <w:r w:rsidR="006E6446" w:rsidRPr="00392E88">
        <w:t>dro</w:t>
      </w:r>
      <w:r w:rsidRPr="00392E88">
        <w:t>dze outsourcingu.</w:t>
      </w:r>
    </w:p>
    <w:p w14:paraId="1EFC0478" w14:textId="652E86FF" w:rsidR="00043359" w:rsidRPr="00392E88" w:rsidRDefault="00813E32" w:rsidP="00C66812">
      <w:pPr>
        <w:pStyle w:val="Text1"/>
      </w:pPr>
      <w:r w:rsidRPr="00392E88">
        <w:t>2.</w:t>
      </w:r>
      <w:r w:rsidRPr="00392E88">
        <w:tab/>
        <w:t>O wszelkich wynikach</w:t>
      </w:r>
      <w:r w:rsidR="006E6446" w:rsidRPr="00392E88">
        <w:t xml:space="preserve"> i</w:t>
      </w:r>
      <w:r w:rsidR="006E6446">
        <w:t> </w:t>
      </w:r>
      <w:r w:rsidR="006E6446" w:rsidRPr="00392E88">
        <w:t>zal</w:t>
      </w:r>
      <w:r w:rsidRPr="00392E88">
        <w:t>eceniach audytu wewnętrznego informowany jest organ administrujący, zarządzający lub nadzorczy, który określa, jakie działania mają zostać podjęte</w:t>
      </w:r>
      <w:r w:rsidR="006E6446" w:rsidRPr="00392E88">
        <w:t xml:space="preserve"> w</w:t>
      </w:r>
      <w:r w:rsidR="006E6446">
        <w:t> </w:t>
      </w:r>
      <w:r w:rsidR="006E6446" w:rsidRPr="00392E88">
        <w:t>odn</w:t>
      </w:r>
      <w:r w:rsidRPr="00392E88">
        <w:t>iesieniu do poszczególnych wyników</w:t>
      </w:r>
      <w:r w:rsidR="006E6446" w:rsidRPr="00392E88">
        <w:t xml:space="preserve"> i</w:t>
      </w:r>
      <w:r w:rsidR="006E6446">
        <w:t> </w:t>
      </w:r>
      <w:r w:rsidR="006E6446" w:rsidRPr="00392E88">
        <w:t>zal</w:t>
      </w:r>
      <w:r w:rsidRPr="00392E88">
        <w:t>eceń audytu wewnętrznego, oraz zapewnia wykonanie tych działań.”;</w:t>
      </w:r>
    </w:p>
    <w:p w14:paraId="454424CB" w14:textId="0CCB6F26" w:rsidR="00590842" w:rsidRPr="00392E88" w:rsidRDefault="006E6446" w:rsidP="006E6446">
      <w:pPr>
        <w:pStyle w:val="Point0"/>
      </w:pPr>
      <w:r>
        <w:t>28)</w:t>
      </w:r>
      <w:r>
        <w:tab/>
      </w:r>
      <w:r w:rsidR="00590842" w:rsidRPr="00392E88">
        <w:t xml:space="preserve">w </w:t>
      </w:r>
      <w:r w:rsidR="00590842" w:rsidRPr="006E6446">
        <w:t>art.</w:t>
      </w:r>
      <w:r w:rsidRPr="006E6446">
        <w:t> </w:t>
      </w:r>
      <w:r w:rsidR="00590842" w:rsidRPr="006E6446">
        <w:t>2</w:t>
      </w:r>
      <w:r w:rsidR="00590842" w:rsidRPr="00392E88">
        <w:t>8 wprowadza się następujące zmiany:</w:t>
      </w:r>
    </w:p>
    <w:p w14:paraId="6244583C" w14:textId="12AE29C4" w:rsidR="008A46F8" w:rsidRPr="00392E88" w:rsidRDefault="006E6446" w:rsidP="006E6446">
      <w:pPr>
        <w:pStyle w:val="Point1"/>
      </w:pPr>
      <w:r>
        <w:t>a)</w:t>
      </w:r>
      <w:r>
        <w:tab/>
      </w:r>
      <w:r w:rsidR="27D7739B" w:rsidRPr="00392E88">
        <w:t xml:space="preserve">w </w:t>
      </w:r>
      <w:r w:rsidR="27D7739B" w:rsidRPr="006E6446">
        <w:t>ust.</w:t>
      </w:r>
      <w:r w:rsidRPr="006E6446">
        <w:t> </w:t>
      </w:r>
      <w:r w:rsidR="27D7739B" w:rsidRPr="006E6446">
        <w:t>1</w:t>
      </w:r>
      <w:r w:rsidR="27D7739B" w:rsidRPr="00392E88">
        <w:t xml:space="preserve"> dodaje się akapit</w:t>
      </w:r>
      <w:r w:rsidRPr="00392E88">
        <w:t xml:space="preserve"> w</w:t>
      </w:r>
      <w:r>
        <w:t> </w:t>
      </w:r>
      <w:r w:rsidRPr="00392E88">
        <w:t>brz</w:t>
      </w:r>
      <w:r w:rsidR="27D7739B" w:rsidRPr="00392E88">
        <w:t xml:space="preserve">mieniu: </w:t>
      </w:r>
    </w:p>
    <w:p w14:paraId="72F9E37D" w14:textId="22F3CB6A" w:rsidR="0059213B" w:rsidRPr="00392E88" w:rsidRDefault="0059213B" w:rsidP="008A46F8">
      <w:pPr>
        <w:pStyle w:val="Text1"/>
      </w:pPr>
      <w:r w:rsidRPr="00392E88">
        <w:t>„Państwa członkowskie zapewniają, aby IORP ustanowiły pisemną politykę dotyczącą własnej oceny ryzyka określającą procesy</w:t>
      </w:r>
      <w:r w:rsidR="006E6446" w:rsidRPr="00392E88">
        <w:t xml:space="preserve"> i</w:t>
      </w:r>
      <w:r w:rsidR="006E6446">
        <w:t> </w:t>
      </w:r>
      <w:r w:rsidR="006E6446" w:rsidRPr="00392E88">
        <w:t>pro</w:t>
      </w:r>
      <w:r w:rsidRPr="00392E88">
        <w:t>cedury przeprowadzania oceny, częstotliwość oceny oraz metody.”;</w:t>
      </w:r>
    </w:p>
    <w:p w14:paraId="77992F9D" w14:textId="49EDDD61" w:rsidR="00010EA1" w:rsidRPr="00392E88" w:rsidRDefault="006E6446" w:rsidP="006E6446">
      <w:pPr>
        <w:pStyle w:val="Point1"/>
      </w:pPr>
      <w:r>
        <w:t>b)</w:t>
      </w:r>
      <w:r>
        <w:tab/>
      </w:r>
      <w:r w:rsidR="00590842" w:rsidRPr="00392E88">
        <w:t xml:space="preserve">w </w:t>
      </w:r>
      <w:r w:rsidR="00590842" w:rsidRPr="006E6446">
        <w:t>ust.</w:t>
      </w:r>
      <w:r w:rsidRPr="006E6446">
        <w:t> </w:t>
      </w:r>
      <w:r w:rsidR="00590842" w:rsidRPr="006E6446">
        <w:t>2</w:t>
      </w:r>
      <w:r w:rsidR="00590842" w:rsidRPr="00392E88">
        <w:t xml:space="preserve"> wprowadza się następujące zmiany:</w:t>
      </w:r>
    </w:p>
    <w:p w14:paraId="4AC487F4" w14:textId="77777777" w:rsidR="008B549E" w:rsidRPr="00392E88" w:rsidRDefault="00694E75" w:rsidP="005D0C3B">
      <w:pPr>
        <w:pStyle w:val="Point2"/>
      </w:pPr>
      <w:r w:rsidRPr="00392E88">
        <w:t>(i)</w:t>
      </w:r>
      <w:r w:rsidRPr="00392E88">
        <w:tab/>
        <w:t>formuła wprowadzająca otrzymuje brzmienie:</w:t>
      </w:r>
    </w:p>
    <w:p w14:paraId="70A08776" w14:textId="7A4E921E" w:rsidR="00590842" w:rsidRPr="00392E88" w:rsidRDefault="008B549E" w:rsidP="005D0C3B">
      <w:pPr>
        <w:pStyle w:val="Text1"/>
      </w:pPr>
      <w:r w:rsidRPr="00392E88">
        <w:t>„Państwa członkowskie zapewniają, aby ocena ryzyka,</w:t>
      </w:r>
      <w:r w:rsidR="006E6446" w:rsidRPr="00392E88">
        <w:t xml:space="preserve"> o</w:t>
      </w:r>
      <w:r w:rsidR="006E6446">
        <w:t> </w:t>
      </w:r>
      <w:r w:rsidR="006E6446" w:rsidRPr="00392E88">
        <w:t>któ</w:t>
      </w:r>
      <w:r w:rsidRPr="00392E88">
        <w:t>rej mowa</w:t>
      </w:r>
      <w:r w:rsidR="006E6446" w:rsidRPr="00392E88">
        <w:t xml:space="preserve"> w</w:t>
      </w:r>
      <w:r w:rsidR="006E6446">
        <w:t> </w:t>
      </w:r>
      <w:r w:rsidR="006E6446" w:rsidRPr="006E6446">
        <w:t>ust</w:t>
      </w:r>
      <w:r w:rsidRPr="006E6446">
        <w:t>.</w:t>
      </w:r>
      <w:r w:rsidR="006E6446" w:rsidRPr="006E6446">
        <w:t> </w:t>
      </w:r>
      <w:r w:rsidRPr="006E6446">
        <w:t>1</w:t>
      </w:r>
      <w:r w:rsidRPr="00392E88">
        <w:t>, uwzględniająca charakter, skalę</w:t>
      </w:r>
      <w:r w:rsidR="006E6446" w:rsidRPr="00392E88">
        <w:t xml:space="preserve"> i</w:t>
      </w:r>
      <w:r w:rsidR="006E6446">
        <w:t> </w:t>
      </w:r>
      <w:r w:rsidR="006E6446" w:rsidRPr="00392E88">
        <w:t>zło</w:t>
      </w:r>
      <w:r w:rsidRPr="00392E88">
        <w:t>żoność działalności IORP, obejmowała następujące elementy:”;</w:t>
      </w:r>
    </w:p>
    <w:p w14:paraId="5979A251" w14:textId="7C59772F" w:rsidR="00010EA1" w:rsidRPr="00392E88" w:rsidRDefault="00694E75" w:rsidP="005D0C3B">
      <w:pPr>
        <w:pStyle w:val="Point2"/>
      </w:pPr>
      <w:r w:rsidRPr="00392E88">
        <w:t>(ii)</w:t>
      </w:r>
      <w:r w:rsidRPr="00392E88">
        <w:tab/>
        <w:t xml:space="preserve">dodaje się </w:t>
      </w:r>
      <w:r w:rsidRPr="006E6446">
        <w:t>lit.</w:t>
      </w:r>
      <w:r w:rsidR="006E6446" w:rsidRPr="006E6446">
        <w:t> </w:t>
      </w:r>
      <w:r w:rsidRPr="006E6446">
        <w:t>i)</w:t>
      </w:r>
      <w:r w:rsidRPr="00392E88">
        <w:t>, j) i k)</w:t>
      </w:r>
      <w:r w:rsidR="006E6446" w:rsidRPr="00392E88">
        <w:t xml:space="preserve"> w</w:t>
      </w:r>
      <w:r w:rsidR="006E6446">
        <w:t> </w:t>
      </w:r>
      <w:r w:rsidR="006E6446" w:rsidRPr="00392E88">
        <w:t>brz</w:t>
      </w:r>
      <w:r w:rsidRPr="00392E88">
        <w:t>mieniu:</w:t>
      </w:r>
    </w:p>
    <w:p w14:paraId="2A54DF5C" w14:textId="77777777" w:rsidR="00627775" w:rsidRPr="00392E88" w:rsidRDefault="00E109F5" w:rsidP="00C9746B">
      <w:pPr>
        <w:pStyle w:val="Point2"/>
      </w:pPr>
      <w:r w:rsidRPr="00392E88">
        <w:t xml:space="preserve">„i) </w:t>
      </w:r>
      <w:r w:rsidRPr="00392E88">
        <w:tab/>
        <w:t>ocenę stosunku ryzyka, na które IORP jest lub może być narażona, do limitów tolerancji ryzyka zatwierdzonych przez organ administrujący, zarządzający lub nadzorczy IORP;</w:t>
      </w:r>
    </w:p>
    <w:p w14:paraId="15098F69" w14:textId="25EDB517" w:rsidR="00A47095" w:rsidRPr="00392E88" w:rsidRDefault="00627775">
      <w:pPr>
        <w:pStyle w:val="Point2"/>
      </w:pPr>
      <w:r w:rsidRPr="00392E88">
        <w:t>j)</w:t>
      </w:r>
      <w:r w:rsidRPr="00392E88">
        <w:tab/>
        <w:t>ocenę,</w:t>
      </w:r>
      <w:r w:rsidR="006E6446" w:rsidRPr="00392E88">
        <w:t xml:space="preserve"> o</w:t>
      </w:r>
      <w:r w:rsidR="006E6446">
        <w:t> </w:t>
      </w:r>
      <w:r w:rsidR="006E6446" w:rsidRPr="00392E88">
        <w:t>któ</w:t>
      </w:r>
      <w:r w:rsidRPr="00392E88">
        <w:t>rej mowa</w:t>
      </w:r>
      <w:r w:rsidR="006E6446" w:rsidRPr="00392E88">
        <w:t xml:space="preserve"> w</w:t>
      </w:r>
      <w:r w:rsidR="006E6446">
        <w:t> </w:t>
      </w:r>
      <w:r w:rsidR="006E6446" w:rsidRPr="00392E88">
        <w:t>art</w:t>
      </w:r>
      <w:r w:rsidRPr="00392E88">
        <w:t xml:space="preserve">. 44b </w:t>
      </w:r>
      <w:r w:rsidRPr="006E6446">
        <w:t>ust.</w:t>
      </w:r>
      <w:r w:rsidR="006E6446" w:rsidRPr="006E6446">
        <w:t> </w:t>
      </w:r>
      <w:r w:rsidRPr="006E6446">
        <w:t>2</w:t>
      </w:r>
      <w:r w:rsidRPr="00392E88">
        <w:t>;</w:t>
      </w:r>
    </w:p>
    <w:p w14:paraId="2ACF7175" w14:textId="49FB40D0" w:rsidR="00E109F5" w:rsidRPr="00392E88" w:rsidRDefault="00A47095" w:rsidP="00C9746B">
      <w:pPr>
        <w:pStyle w:val="Point2"/>
      </w:pPr>
      <w:r w:rsidRPr="00392E88">
        <w:t>k)</w:t>
      </w:r>
      <w:r w:rsidRPr="00392E88">
        <w:tab/>
        <w:t>ocenę korzyści skali</w:t>
      </w:r>
      <w:r w:rsidR="006E6446" w:rsidRPr="00392E88">
        <w:t xml:space="preserve"> i</w:t>
      </w:r>
      <w:r w:rsidR="006E6446">
        <w:t> </w:t>
      </w:r>
      <w:r w:rsidR="006E6446" w:rsidRPr="00392E88">
        <w:t>war</w:t>
      </w:r>
      <w:r w:rsidRPr="00392E88">
        <w:t>iantów efektywności,</w:t>
      </w:r>
      <w:r w:rsidR="006E6446" w:rsidRPr="00392E88">
        <w:t xml:space="preserve"> w</w:t>
      </w:r>
      <w:r w:rsidR="006E6446">
        <w:t> </w:t>
      </w:r>
      <w:r w:rsidR="006E6446" w:rsidRPr="00392E88">
        <w:t>tym</w:t>
      </w:r>
      <w:r w:rsidRPr="00392E88">
        <w:t xml:space="preserve"> udziału</w:t>
      </w:r>
      <w:r w:rsidR="006E6446" w:rsidRPr="00392E88">
        <w:t xml:space="preserve"> w</w:t>
      </w:r>
      <w:r w:rsidR="006E6446">
        <w:t> </w:t>
      </w:r>
      <w:r w:rsidR="006E6446" w:rsidRPr="00392E88">
        <w:t>zbi</w:t>
      </w:r>
      <w:r w:rsidRPr="00392E88">
        <w:t>orczych strukturach inwestycyjnych, usługach dzielonych lub przeniesieniach, oraz ich wpływu na uczestników</w:t>
      </w:r>
      <w:r w:rsidR="006E6446" w:rsidRPr="00392E88">
        <w:t xml:space="preserve"> i</w:t>
      </w:r>
      <w:r w:rsidR="006E6446">
        <w:t> </w:t>
      </w:r>
      <w:r w:rsidR="006E6446" w:rsidRPr="00392E88">
        <w:t>ben</w:t>
      </w:r>
      <w:r w:rsidRPr="00392E88">
        <w:t>eficjentów.”;</w:t>
      </w:r>
    </w:p>
    <w:p w14:paraId="734065D3" w14:textId="300F1F59" w:rsidR="003E57D5" w:rsidRPr="00392E88" w:rsidRDefault="00694E75" w:rsidP="00694E75">
      <w:pPr>
        <w:pStyle w:val="Point2"/>
      </w:pPr>
      <w:r w:rsidRPr="00392E88">
        <w:t>(iii)</w:t>
      </w:r>
      <w:r w:rsidRPr="00392E88">
        <w:tab/>
        <w:t>dodaje się akapit</w:t>
      </w:r>
      <w:r w:rsidR="006E6446" w:rsidRPr="00392E88">
        <w:t xml:space="preserve"> w</w:t>
      </w:r>
      <w:r w:rsidR="006E6446">
        <w:t> </w:t>
      </w:r>
      <w:r w:rsidR="006E6446" w:rsidRPr="00392E88">
        <w:t>brz</w:t>
      </w:r>
      <w:r w:rsidRPr="00392E88">
        <w:t>mieniu:</w:t>
      </w:r>
    </w:p>
    <w:p w14:paraId="088F4512" w14:textId="313B464F" w:rsidR="00707681" w:rsidRPr="00392E88" w:rsidRDefault="003E57D5" w:rsidP="005D0C3B">
      <w:pPr>
        <w:pStyle w:val="Text1"/>
      </w:pPr>
      <w:r w:rsidRPr="00392E88">
        <w:t xml:space="preserve">„Do celów akapitu pierwszego </w:t>
      </w:r>
      <w:r w:rsidRPr="006E6446">
        <w:t>lit.</w:t>
      </w:r>
      <w:r w:rsidR="006E6446" w:rsidRPr="006E6446">
        <w:t> </w:t>
      </w:r>
      <w:r w:rsidRPr="006E6446">
        <w:t>i)</w:t>
      </w:r>
      <w:r w:rsidRPr="00392E88">
        <w:t xml:space="preserve"> państwa członkowskie wymagają, aby</w:t>
      </w:r>
      <w:r w:rsidR="006E6446" w:rsidRPr="00392E88">
        <w:t xml:space="preserve"> w</w:t>
      </w:r>
      <w:r w:rsidR="006E6446">
        <w:t> </w:t>
      </w:r>
      <w:r w:rsidR="006E6446" w:rsidRPr="00392E88">
        <w:t>prz</w:t>
      </w:r>
      <w:r w:rsidRPr="00392E88">
        <w:t>ypadku gdy zgodnie</w:t>
      </w:r>
      <w:r w:rsidR="006E6446" w:rsidRPr="00392E88">
        <w:t xml:space="preserve"> z</w:t>
      </w:r>
      <w:r w:rsidR="006E6446">
        <w:t> </w:t>
      </w:r>
      <w:r w:rsidR="006E6446" w:rsidRPr="00392E88">
        <w:t>war</w:t>
      </w:r>
      <w:r w:rsidRPr="00392E88">
        <w:t>unkami programu emerytalnego uczestnicy</w:t>
      </w:r>
      <w:r w:rsidR="006E6446" w:rsidRPr="00392E88">
        <w:t xml:space="preserve"> i</w:t>
      </w:r>
      <w:r w:rsidR="006E6446">
        <w:t> </w:t>
      </w:r>
      <w:r w:rsidR="006E6446" w:rsidRPr="00392E88">
        <w:t>ben</w:t>
      </w:r>
      <w:r w:rsidRPr="00392E88">
        <w:t>eficjenci ponoszą ryzyko, uwzględniano ryzyka</w:t>
      </w:r>
      <w:r w:rsidR="006E6446" w:rsidRPr="00392E88">
        <w:t xml:space="preserve"> i</w:t>
      </w:r>
      <w:r w:rsidR="006E6446">
        <w:t> </w:t>
      </w:r>
      <w:r w:rsidR="006E6446" w:rsidRPr="00392E88">
        <w:t>lim</w:t>
      </w:r>
      <w:r w:rsidRPr="00392E88">
        <w:t>ity tolerancji ryzyka</w:t>
      </w:r>
      <w:r w:rsidR="006E6446" w:rsidRPr="00392E88">
        <w:t xml:space="preserve"> z</w:t>
      </w:r>
      <w:r w:rsidR="006E6446">
        <w:t> </w:t>
      </w:r>
      <w:r w:rsidR="006E6446" w:rsidRPr="00392E88">
        <w:t>per</w:t>
      </w:r>
      <w:r w:rsidRPr="00392E88">
        <w:t>spektywy uczestników</w:t>
      </w:r>
      <w:r w:rsidR="006E6446" w:rsidRPr="00392E88">
        <w:t xml:space="preserve"> i</w:t>
      </w:r>
      <w:r w:rsidR="006E6446">
        <w:t> </w:t>
      </w:r>
      <w:r w:rsidR="006E6446" w:rsidRPr="00392E88">
        <w:t>ben</w:t>
      </w:r>
      <w:r w:rsidRPr="00392E88">
        <w:t>eficjentów, biorąc pod uwagę ich zdolność do ponoszenia ryzyka</w:t>
      </w:r>
      <w:r w:rsidR="006E6446" w:rsidRPr="00392E88">
        <w:t xml:space="preserve"> i</w:t>
      </w:r>
      <w:r w:rsidR="006E6446">
        <w:t> </w:t>
      </w:r>
      <w:r w:rsidR="006E6446" w:rsidRPr="00392E88">
        <w:t>got</w:t>
      </w:r>
      <w:r w:rsidRPr="00392E88">
        <w:t>owość do podejmowania ryzyka.”;</w:t>
      </w:r>
    </w:p>
    <w:p w14:paraId="7B5968ED" w14:textId="5854ED2F" w:rsidR="5F7B2053" w:rsidRPr="00392E88" w:rsidRDefault="006E6446" w:rsidP="006E6446">
      <w:pPr>
        <w:pStyle w:val="Point0"/>
      </w:pPr>
      <w:r>
        <w:t>29)</w:t>
      </w:r>
      <w:r>
        <w:tab/>
      </w:r>
      <w:r w:rsidR="5F7B2053" w:rsidRPr="00392E88">
        <w:t xml:space="preserve">w </w:t>
      </w:r>
      <w:r w:rsidR="5F7B2053" w:rsidRPr="006E6446">
        <w:t>art.</w:t>
      </w:r>
      <w:r w:rsidRPr="006E6446">
        <w:t> </w:t>
      </w:r>
      <w:r w:rsidR="5F7B2053" w:rsidRPr="006E6446">
        <w:t>3</w:t>
      </w:r>
      <w:r w:rsidR="5F7B2053" w:rsidRPr="00392E88">
        <w:t>0 dodaje się ustępy</w:t>
      </w:r>
      <w:r w:rsidRPr="00392E88">
        <w:t xml:space="preserve"> w</w:t>
      </w:r>
      <w:r>
        <w:t> </w:t>
      </w:r>
      <w:r w:rsidRPr="00392E88">
        <w:t>brz</w:t>
      </w:r>
      <w:r w:rsidR="5F7B2053" w:rsidRPr="00392E88">
        <w:t>mieniu:</w:t>
      </w:r>
    </w:p>
    <w:p w14:paraId="301B3E71" w14:textId="1CEE553F" w:rsidR="00546D52" w:rsidRPr="00392E88" w:rsidDel="00546D52" w:rsidRDefault="5F7B2053" w:rsidP="00546D52">
      <w:pPr>
        <w:pStyle w:val="Text1"/>
      </w:pPr>
      <w:r w:rsidRPr="00392E88">
        <w:t>„Państwa członkowskie wymagają, aby</w:t>
      </w:r>
      <w:r w:rsidR="006E6446" w:rsidRPr="00392E88">
        <w:t xml:space="preserve"> w</w:t>
      </w:r>
      <w:r w:rsidR="006E6446">
        <w:t> </w:t>
      </w:r>
      <w:r w:rsidR="006E6446" w:rsidRPr="00392E88">
        <w:t>ośw</w:t>
      </w:r>
      <w:r w:rsidRPr="00392E88">
        <w:t>iadczeniu określono jasne cele inwestycyjne dla każdego programu emerytalnego, które są zgodne</w:t>
      </w:r>
      <w:r w:rsidR="006E6446" w:rsidRPr="00392E88">
        <w:t xml:space="preserve"> z</w:t>
      </w:r>
      <w:r w:rsidR="006E6446">
        <w:t> </w:t>
      </w:r>
      <w:r w:rsidR="006E6446" w:rsidRPr="00392E88">
        <w:t>jeg</w:t>
      </w:r>
      <w:r w:rsidRPr="00392E88">
        <w:t>o celem</w:t>
      </w:r>
      <w:r w:rsidR="006E6446" w:rsidRPr="00392E88">
        <w:t xml:space="preserve"> w</w:t>
      </w:r>
      <w:r w:rsidR="006E6446">
        <w:t> </w:t>
      </w:r>
      <w:r w:rsidR="006E6446" w:rsidRPr="00392E88">
        <w:t>zak</w:t>
      </w:r>
      <w:r w:rsidRPr="00392E88">
        <w:t>resie dochodów emerytalnych, ogólne cele</w:t>
      </w:r>
      <w:r w:rsidR="006E6446" w:rsidRPr="00392E88">
        <w:t xml:space="preserve"> w</w:t>
      </w:r>
      <w:r w:rsidR="006E6446">
        <w:t> </w:t>
      </w:r>
      <w:r w:rsidR="006E6446" w:rsidRPr="00392E88">
        <w:t>zak</w:t>
      </w:r>
      <w:r w:rsidRPr="00392E88">
        <w:t>resie wyników programu oraz środki monitorowania wyników</w:t>
      </w:r>
      <w:r w:rsidR="006E6446" w:rsidRPr="00392E88">
        <w:t>. W</w:t>
      </w:r>
      <w:r w:rsidR="006E6446">
        <w:t> </w:t>
      </w:r>
      <w:r w:rsidR="006E6446" w:rsidRPr="00392E88">
        <w:t>ośw</w:t>
      </w:r>
      <w:r w:rsidRPr="00392E88">
        <w:t>iadczeniu określa się również, kiedy odchylenia od strategii alokacji aktywów</w:t>
      </w:r>
      <w:r w:rsidR="006E6446" w:rsidRPr="00392E88">
        <w:t xml:space="preserve"> i</w:t>
      </w:r>
      <w:r w:rsidR="006E6446">
        <w:t> </w:t>
      </w:r>
      <w:r w:rsidR="006E6446" w:rsidRPr="00392E88">
        <w:t>cel</w:t>
      </w:r>
      <w:r w:rsidRPr="00392E88">
        <w:t>ów dotyczących wyników mogą być tolerowane</w:t>
      </w:r>
      <w:r w:rsidR="006E6446" w:rsidRPr="00392E88">
        <w:t xml:space="preserve"> i</w:t>
      </w:r>
      <w:r w:rsidR="006E6446">
        <w:t> </w:t>
      </w:r>
      <w:r w:rsidR="006E6446" w:rsidRPr="00392E88">
        <w:t>w</w:t>
      </w:r>
      <w:r w:rsidR="006E6446">
        <w:t> </w:t>
      </w:r>
      <w:r w:rsidR="006E6446" w:rsidRPr="00392E88">
        <w:t>jak</w:t>
      </w:r>
      <w:r w:rsidRPr="00392E88">
        <w:t>im zakresie. Polityka inwestycyjna obejmuje również wszelkie nadrzędne decyzje dotyczące taktycznej alokacji aktywów, wyboru papierów wartościowych</w:t>
      </w:r>
      <w:r w:rsidR="006E6446" w:rsidRPr="00392E88">
        <w:t xml:space="preserve"> i</w:t>
      </w:r>
      <w:r w:rsidR="006E6446">
        <w:t> </w:t>
      </w:r>
      <w:r w:rsidR="006E6446" w:rsidRPr="00392E88">
        <w:t>rea</w:t>
      </w:r>
      <w:r w:rsidRPr="00392E88">
        <w:t>lizacji transakcji.</w:t>
      </w:r>
    </w:p>
    <w:p w14:paraId="20372FB9" w14:textId="040C4E33" w:rsidR="536A12B8" w:rsidRPr="00392E88" w:rsidRDefault="536A12B8" w:rsidP="000D6F2B">
      <w:pPr>
        <w:pStyle w:val="Text1"/>
      </w:pPr>
      <w:r w:rsidRPr="00392E88">
        <w:t>W oświadczeniu określa się również, czy, dlaczego,</w:t>
      </w:r>
      <w:r w:rsidR="006E6446" w:rsidRPr="00392E88">
        <w:t xml:space="preserve"> w</w:t>
      </w:r>
      <w:r w:rsidR="006E6446">
        <w:t> </w:t>
      </w:r>
      <w:r w:rsidR="006E6446" w:rsidRPr="00392E88">
        <w:t>jak</w:t>
      </w:r>
      <w:r w:rsidRPr="00392E88">
        <w:t>im zakresie</w:t>
      </w:r>
      <w:r w:rsidR="006E6446" w:rsidRPr="00392E88">
        <w:t xml:space="preserve"> i</w:t>
      </w:r>
      <w:r w:rsidR="006E6446">
        <w:t> </w:t>
      </w:r>
      <w:r w:rsidR="006E6446" w:rsidRPr="00392E88">
        <w:t>w</w:t>
      </w:r>
      <w:r w:rsidR="006E6446">
        <w:t> </w:t>
      </w:r>
      <w:r w:rsidR="006E6446" w:rsidRPr="00392E88">
        <w:t>jak</w:t>
      </w:r>
      <w:r w:rsidRPr="00392E88">
        <w:t>i sposób wykorzystywane będą bardziej złożone klasy aktywów,</w:t>
      </w:r>
      <w:r w:rsidR="006E6446" w:rsidRPr="00392E88">
        <w:t xml:space="preserve"> w</w:t>
      </w:r>
      <w:r w:rsidR="006E6446">
        <w:t> </w:t>
      </w:r>
      <w:r w:rsidR="006E6446" w:rsidRPr="00392E88">
        <w:t>tym</w:t>
      </w:r>
      <w:r w:rsidRPr="00392E88">
        <w:t xml:space="preserve"> klasy aktywów alternatywnych, oraz określa się odpowiedni zakres ekspozycji na ryzyko kontrahenta.</w:t>
      </w:r>
    </w:p>
    <w:p w14:paraId="002E884E" w14:textId="2F156F9C" w:rsidR="00B2158F" w:rsidRPr="00392E88" w:rsidRDefault="00B2158F" w:rsidP="00546D52">
      <w:pPr>
        <w:pStyle w:val="Text1"/>
      </w:pPr>
      <w:r w:rsidRPr="00392E88">
        <w:t>Państwa członkowskie zapewniają, aby IORP ustanowiła procedury</w:t>
      </w:r>
      <w:r w:rsidR="006E6446" w:rsidRPr="00392E88">
        <w:t xml:space="preserve"> i</w:t>
      </w:r>
      <w:r w:rsidR="006E6446">
        <w:t> </w:t>
      </w:r>
      <w:r w:rsidR="006E6446" w:rsidRPr="00392E88">
        <w:t>kry</w:t>
      </w:r>
      <w:r w:rsidRPr="00392E88">
        <w:t>teria przeglądu skuteczności polityki inwestycyjnej oraz ustalania, czy konieczne są zmiany</w:t>
      </w:r>
      <w:r w:rsidR="006E6446" w:rsidRPr="00392E88">
        <w:t xml:space="preserve"> w</w:t>
      </w:r>
      <w:r w:rsidR="006E6446">
        <w:t> </w:t>
      </w:r>
      <w:r w:rsidR="006E6446" w:rsidRPr="00392E88">
        <w:t>pol</w:t>
      </w:r>
      <w:r w:rsidRPr="00392E88">
        <w:t>ityce, procedurach jej wdrażania lub strukturze decyzyjnej.</w:t>
      </w:r>
    </w:p>
    <w:p w14:paraId="142FBF60" w14:textId="635DBD37" w:rsidR="001059AC" w:rsidRPr="00392E88" w:rsidRDefault="00453DAC" w:rsidP="000D6F2B">
      <w:pPr>
        <w:pStyle w:val="Text1"/>
      </w:pPr>
      <w:r w:rsidRPr="00392E88">
        <w:t>Za przyjęcie oświadczenia odpowiada organ administrujący, zarządzający lub nadzorczy IORP</w:t>
      </w:r>
      <w:r w:rsidR="006E6446" w:rsidRPr="00392E88">
        <w:t>. W</w:t>
      </w:r>
      <w:r w:rsidR="006E6446">
        <w:t> </w:t>
      </w:r>
      <w:r w:rsidR="006E6446" w:rsidRPr="00392E88">
        <w:t>prz</w:t>
      </w:r>
      <w:r w:rsidRPr="00392E88">
        <w:t>ypadku gdy IORP zarządza różnymi programami emerytalnymi, dla każdego</w:t>
      </w:r>
      <w:r w:rsidR="006E6446" w:rsidRPr="00392E88">
        <w:t xml:space="preserve"> z</w:t>
      </w:r>
      <w:r w:rsidR="006E6446">
        <w:t> </w:t>
      </w:r>
      <w:r w:rsidR="006E6446" w:rsidRPr="00392E88">
        <w:t>nic</w:t>
      </w:r>
      <w:r w:rsidRPr="00392E88">
        <w:t>h sporządza się odrębne oświadczenia dotyczące polityki inwestycyjnej.</w:t>
      </w:r>
    </w:p>
    <w:p w14:paraId="06CD91B5" w14:textId="06151E27" w:rsidR="5F7B2053" w:rsidRPr="00392E88" w:rsidRDefault="001059AC" w:rsidP="000D6F2B">
      <w:pPr>
        <w:pStyle w:val="Text1"/>
      </w:pPr>
      <w:r w:rsidRPr="00392E88">
        <w:t>Państwa członkowskie zapewniają, aby</w:t>
      </w:r>
      <w:r w:rsidR="006E6446" w:rsidRPr="00392E88">
        <w:t xml:space="preserve"> w</w:t>
      </w:r>
      <w:r w:rsidR="006E6446">
        <w:t> </w:t>
      </w:r>
      <w:r w:rsidR="006E6446" w:rsidRPr="00392E88">
        <w:t>prz</w:t>
      </w:r>
      <w:r w:rsidRPr="00392E88">
        <w:t>ypadku programów emerytalnych,</w:t>
      </w:r>
      <w:r w:rsidR="006E6446" w:rsidRPr="00392E88">
        <w:t xml:space="preserve"> w</w:t>
      </w:r>
      <w:r w:rsidR="006E6446">
        <w:t> </w:t>
      </w:r>
      <w:r w:rsidR="006E6446" w:rsidRPr="00392E88">
        <w:t>któ</w:t>
      </w:r>
      <w:r w:rsidRPr="00392E88">
        <w:t>rych uczestnicy są uprawnieni do dokonywania wyborów inwestycyjnych,</w:t>
      </w:r>
      <w:r w:rsidR="006E6446" w:rsidRPr="00392E88">
        <w:t xml:space="preserve"> w</w:t>
      </w:r>
      <w:r w:rsidR="006E6446">
        <w:t> </w:t>
      </w:r>
      <w:r w:rsidR="006E6446" w:rsidRPr="00392E88">
        <w:t>ośw</w:t>
      </w:r>
      <w:r w:rsidRPr="00392E88">
        <w:t>iadczeniu przewidziano odpowiedni zakres opcji inwestycyjnych,</w:t>
      </w:r>
      <w:r w:rsidR="006E6446" w:rsidRPr="00392E88">
        <w:t xml:space="preserve"> w</w:t>
      </w:r>
      <w:r w:rsidR="006E6446">
        <w:t> </w:t>
      </w:r>
      <w:r w:rsidR="006E6446" w:rsidRPr="00392E88">
        <w:t>tym</w:t>
      </w:r>
      <w:r w:rsidRPr="00392E88">
        <w:t xml:space="preserve"> opcję domyślną, klasyfikowano te warianty zgodnie</w:t>
      </w:r>
      <w:r w:rsidR="006E6446" w:rsidRPr="00392E88">
        <w:t xml:space="preserve"> z</w:t>
      </w:r>
      <w:r w:rsidR="006E6446">
        <w:t> </w:t>
      </w:r>
      <w:r w:rsidR="006E6446" w:rsidRPr="00392E88">
        <w:t>cha</w:t>
      </w:r>
      <w:r w:rsidRPr="00392E88">
        <w:t>rakterem</w:t>
      </w:r>
      <w:r w:rsidR="006E6446" w:rsidRPr="00392E88">
        <w:t xml:space="preserve"> i</w:t>
      </w:r>
      <w:r w:rsidR="006E6446">
        <w:t> </w:t>
      </w:r>
      <w:r w:rsidR="006E6446" w:rsidRPr="00392E88">
        <w:t>zak</w:t>
      </w:r>
      <w:r w:rsidRPr="00392E88">
        <w:t>resem ryzyka inwestycyjnego ponoszonego przez uczestników oraz zapewniano dostępność wystarczających informacji umożliwiających podejmowanie świadomych decyzji inwestycyjnych.”;</w:t>
      </w:r>
    </w:p>
    <w:p w14:paraId="175B87B5" w14:textId="17FAD347" w:rsidR="00D26815" w:rsidRPr="00392E88" w:rsidRDefault="006E6446" w:rsidP="006E6446">
      <w:pPr>
        <w:pStyle w:val="Point0"/>
      </w:pPr>
      <w:r>
        <w:t>30)</w:t>
      </w:r>
      <w:r>
        <w:tab/>
      </w:r>
      <w:r w:rsidR="00D26815" w:rsidRPr="00392E88">
        <w:t xml:space="preserve">w </w:t>
      </w:r>
      <w:r w:rsidR="00D26815" w:rsidRPr="006E6446">
        <w:t>art.</w:t>
      </w:r>
      <w:r w:rsidRPr="006E6446">
        <w:t> </w:t>
      </w:r>
      <w:r w:rsidR="00D26815" w:rsidRPr="006E6446">
        <w:t>3</w:t>
      </w:r>
      <w:r w:rsidR="00D26815" w:rsidRPr="00392E88">
        <w:t>1 wprowadza się następujące zmiany:</w:t>
      </w:r>
    </w:p>
    <w:p w14:paraId="2D71E435" w14:textId="664A9657" w:rsidR="005D18AE" w:rsidRPr="00392E88" w:rsidRDefault="006E6446" w:rsidP="006E6446">
      <w:pPr>
        <w:pStyle w:val="Point1"/>
      </w:pPr>
      <w:r>
        <w:t>a)</w:t>
      </w:r>
      <w:r>
        <w:tab/>
      </w:r>
      <w:r w:rsidR="00FF3475" w:rsidRPr="00392E88">
        <w:t>ust. 1 otrzymuje brzmienie:</w:t>
      </w:r>
    </w:p>
    <w:p w14:paraId="054C8CCC" w14:textId="469776DB" w:rsidR="00FF3475" w:rsidRPr="00392E88" w:rsidRDefault="00FF3475" w:rsidP="00356536">
      <w:pPr>
        <w:pStyle w:val="Text1"/>
      </w:pPr>
      <w:r w:rsidRPr="00392E88">
        <w:t>„1.</w:t>
      </w:r>
      <w:r w:rsidRPr="00392E88">
        <w:tab/>
        <w:t>Państwa członkowskie zezwalają lub wymagają od IORP, które wykonują działalność na podstawie zezwolenia na ich terytoriach, aby wszelkie działania,</w:t>
      </w:r>
      <w:r w:rsidR="006E6446" w:rsidRPr="00392E88">
        <w:t xml:space="preserve"> w</w:t>
      </w:r>
      <w:r w:rsidR="006E6446">
        <w:t> </w:t>
      </w:r>
      <w:r w:rsidR="006E6446" w:rsidRPr="00392E88">
        <w:t>tym</w:t>
      </w:r>
      <w:r w:rsidRPr="00392E88">
        <w:t xml:space="preserve"> kluczowe funkcje tych IORP</w:t>
      </w:r>
      <w:r w:rsidR="006E6446" w:rsidRPr="00392E88">
        <w:t xml:space="preserve"> i</w:t>
      </w:r>
      <w:r w:rsidR="006E6446">
        <w:t> </w:t>
      </w:r>
      <w:r w:rsidR="006E6446" w:rsidRPr="00392E88">
        <w:t>zar</w:t>
      </w:r>
      <w:r w:rsidRPr="00392E88">
        <w:t>ządzanie tymi IORP, zostały powierzone</w:t>
      </w:r>
      <w:r w:rsidR="006E6446" w:rsidRPr="00392E88">
        <w:t xml:space="preserve"> w</w:t>
      </w:r>
      <w:r w:rsidR="006E6446">
        <w:t> </w:t>
      </w:r>
      <w:r w:rsidR="006E6446" w:rsidRPr="00392E88">
        <w:t>cał</w:t>
      </w:r>
      <w:r w:rsidRPr="00392E88">
        <w:t>ości lub</w:t>
      </w:r>
      <w:r w:rsidR="006E6446" w:rsidRPr="00392E88">
        <w:t xml:space="preserve"> w</w:t>
      </w:r>
      <w:r w:rsidR="006E6446">
        <w:t> </w:t>
      </w:r>
      <w:r w:rsidR="006E6446" w:rsidRPr="00392E88">
        <w:t>czę</w:t>
      </w:r>
      <w:r w:rsidRPr="00392E88">
        <w:t>ści usługodawcom działającym na rzecz tych IORP, pod warunkiem że uzgodnienia dotyczące outsourcingu są zgodne</w:t>
      </w:r>
      <w:r w:rsidR="006E6446" w:rsidRPr="00392E88">
        <w:t xml:space="preserve"> z</w:t>
      </w:r>
      <w:r w:rsidR="006E6446">
        <w:t> </w:t>
      </w:r>
      <w:r w:rsidR="006E6446" w:rsidRPr="006E6446">
        <w:t>ust</w:t>
      </w:r>
      <w:r w:rsidRPr="006E6446">
        <w:t>.</w:t>
      </w:r>
      <w:r w:rsidR="006E6446" w:rsidRPr="006E6446">
        <w:t> </w:t>
      </w:r>
      <w:r w:rsidRPr="006E6446">
        <w:t>2</w:t>
      </w:r>
      <w:r w:rsidRPr="00392E88">
        <w:t>–7.”;</w:t>
      </w:r>
    </w:p>
    <w:p w14:paraId="64C214FF" w14:textId="366EA9E0" w:rsidR="005D18AE" w:rsidRPr="00392E88" w:rsidRDefault="006E6446" w:rsidP="006E6446">
      <w:pPr>
        <w:pStyle w:val="Point1"/>
      </w:pPr>
      <w:r>
        <w:t>b)</w:t>
      </w:r>
      <w:r>
        <w:tab/>
      </w:r>
      <w:r w:rsidR="005D18AE" w:rsidRPr="00392E88">
        <w:t>ust. 5 otrzymuje brzmienie:</w:t>
      </w:r>
    </w:p>
    <w:p w14:paraId="04AC5EE5" w14:textId="61FBAF42" w:rsidR="00D26815" w:rsidRPr="00392E88" w:rsidRDefault="00D26815" w:rsidP="00356536">
      <w:pPr>
        <w:pStyle w:val="Text1"/>
      </w:pPr>
      <w:r w:rsidRPr="00392E88">
        <w:t>„5.</w:t>
      </w:r>
      <w:r w:rsidRPr="00392E88">
        <w:tab/>
        <w:t>Państwa członkowskie zapewniają, aby IORP zlecające</w:t>
      </w:r>
      <w:r w:rsidR="006E6446" w:rsidRPr="00392E88">
        <w:t xml:space="preserve"> w</w:t>
      </w:r>
      <w:r w:rsidR="006E6446">
        <w:t> </w:t>
      </w:r>
      <w:r w:rsidR="006E6446" w:rsidRPr="00392E88">
        <w:t>dro</w:t>
      </w:r>
      <w:r w:rsidRPr="00392E88">
        <w:t>dze outsourcingu kluczowe funkcje, zarządzanie tymi IORP lub inną działalność objętą zakresem stosowania niniejszej dyrektywy, zawierały</w:t>
      </w:r>
      <w:r w:rsidR="006E6446" w:rsidRPr="00392E88">
        <w:t xml:space="preserve"> z</w:t>
      </w:r>
      <w:r w:rsidR="006E6446">
        <w:t> </w:t>
      </w:r>
      <w:r w:rsidR="006E6446" w:rsidRPr="00392E88">
        <w:t>dan</w:t>
      </w:r>
      <w:r w:rsidRPr="00392E88">
        <w:t>ym usługodawcą pisemną umowę, której postanowienia można wyegzekwować na drodze prawnej. Taka umowa zawiera podział kosztów bezpośrednich</w:t>
      </w:r>
      <w:r w:rsidR="006E6446" w:rsidRPr="00392E88">
        <w:t xml:space="preserve"> i</w:t>
      </w:r>
      <w:r w:rsidR="006E6446">
        <w:t> </w:t>
      </w:r>
      <w:r w:rsidR="006E6446" w:rsidRPr="00392E88">
        <w:t>poś</w:t>
      </w:r>
      <w:r w:rsidRPr="00392E88">
        <w:t>rednich oraz jasno określa prawa</w:t>
      </w:r>
      <w:r w:rsidR="006E6446" w:rsidRPr="00392E88">
        <w:t xml:space="preserve"> i</w:t>
      </w:r>
      <w:r w:rsidR="006E6446">
        <w:t> </w:t>
      </w:r>
      <w:r w:rsidR="006E6446" w:rsidRPr="00392E88">
        <w:t>obo</w:t>
      </w:r>
      <w:r w:rsidRPr="00392E88">
        <w:t>wiązki IORP</w:t>
      </w:r>
      <w:r w:rsidR="006E6446" w:rsidRPr="00392E88">
        <w:t xml:space="preserve"> i</w:t>
      </w:r>
      <w:r w:rsidR="006E6446">
        <w:t> </w:t>
      </w:r>
      <w:r w:rsidR="006E6446" w:rsidRPr="00392E88">
        <w:t>usł</w:t>
      </w:r>
      <w:r w:rsidRPr="00392E88">
        <w:t>ugodawcy</w:t>
      </w:r>
      <w:r w:rsidR="006E6446" w:rsidRPr="00392E88">
        <w:t>. W</w:t>
      </w:r>
      <w:r w:rsidR="006E6446">
        <w:t> </w:t>
      </w:r>
      <w:r w:rsidR="006E6446" w:rsidRPr="00392E88">
        <w:t>prz</w:t>
      </w:r>
      <w:r w:rsidRPr="00392E88">
        <w:t>ypadku potencjalnego konfliktu interesów</w:t>
      </w:r>
      <w:r w:rsidR="006E6446" w:rsidRPr="00392E88">
        <w:t xml:space="preserve"> z</w:t>
      </w:r>
      <w:r w:rsidR="006E6446">
        <w:t> </w:t>
      </w:r>
      <w:r w:rsidR="006E6446" w:rsidRPr="00392E88">
        <w:t>usł</w:t>
      </w:r>
      <w:r w:rsidRPr="00392E88">
        <w:t>ugodawcą IORP dokumentują</w:t>
      </w:r>
      <w:r w:rsidR="006E6446" w:rsidRPr="00392E88">
        <w:t xml:space="preserve"> i</w:t>
      </w:r>
      <w:r w:rsidR="006E6446">
        <w:t> </w:t>
      </w:r>
      <w:r w:rsidR="006E6446" w:rsidRPr="00392E88">
        <w:t>wdr</w:t>
      </w:r>
      <w:r w:rsidRPr="00392E88">
        <w:t>ażają procedury zapobiegania konfliktom interesów lub zarządzania nimi.”;</w:t>
      </w:r>
    </w:p>
    <w:p w14:paraId="63C12C04" w14:textId="1D1309EC" w:rsidR="007B1A19" w:rsidRPr="00392E88" w:rsidRDefault="006E6446" w:rsidP="006E6446">
      <w:pPr>
        <w:pStyle w:val="Point1"/>
      </w:pPr>
      <w:r>
        <w:t>c)</w:t>
      </w:r>
      <w:r>
        <w:tab/>
      </w:r>
      <w:r w:rsidR="007B1A19" w:rsidRPr="00392E88">
        <w:t xml:space="preserve">uchyla się </w:t>
      </w:r>
      <w:r w:rsidR="007B1A19" w:rsidRPr="006E6446">
        <w:t>ust.</w:t>
      </w:r>
      <w:r w:rsidRPr="006E6446">
        <w:t> </w:t>
      </w:r>
      <w:r w:rsidR="007B1A19" w:rsidRPr="006E6446">
        <w:t>7</w:t>
      </w:r>
      <w:r w:rsidR="007B1A19" w:rsidRPr="00392E88">
        <w:t>;</w:t>
      </w:r>
    </w:p>
    <w:p w14:paraId="04C27178" w14:textId="33A5BCA0" w:rsidR="003E59CE" w:rsidRPr="00392E88" w:rsidRDefault="006E6446" w:rsidP="006E6446">
      <w:pPr>
        <w:pStyle w:val="Point0"/>
      </w:pPr>
      <w:r>
        <w:t>31)</w:t>
      </w:r>
      <w:r>
        <w:tab/>
      </w:r>
      <w:r w:rsidR="00CF139B" w:rsidRPr="00392E88">
        <w:t xml:space="preserve">w </w:t>
      </w:r>
      <w:r w:rsidR="00CF139B" w:rsidRPr="006E6446">
        <w:t>art.</w:t>
      </w:r>
      <w:r w:rsidRPr="006E6446">
        <w:t> </w:t>
      </w:r>
      <w:r w:rsidR="00CF139B" w:rsidRPr="006E6446">
        <w:t>3</w:t>
      </w:r>
      <w:r w:rsidR="00CF139B" w:rsidRPr="00392E88">
        <w:t>3 wprowadza się następujące zmiany:</w:t>
      </w:r>
    </w:p>
    <w:p w14:paraId="3287BE2B" w14:textId="39391C11" w:rsidR="008D478F" w:rsidRPr="00392E88" w:rsidRDefault="006E6446" w:rsidP="006E6446">
      <w:pPr>
        <w:pStyle w:val="Point1"/>
      </w:pPr>
      <w:r>
        <w:t>a)</w:t>
      </w:r>
      <w:r>
        <w:tab/>
      </w:r>
      <w:r w:rsidR="008F3308" w:rsidRPr="006E6446">
        <w:t>ust.</w:t>
      </w:r>
      <w:r w:rsidRPr="006E6446">
        <w:t> </w:t>
      </w:r>
      <w:r w:rsidR="008F3308" w:rsidRPr="006E6446">
        <w:t>1</w:t>
      </w:r>
      <w:r w:rsidR="008F3308" w:rsidRPr="00392E88">
        <w:t>, 2</w:t>
      </w:r>
      <w:r w:rsidRPr="00392E88">
        <w:t xml:space="preserve"> i</w:t>
      </w:r>
      <w:r>
        <w:t> </w:t>
      </w:r>
      <w:r w:rsidRPr="00392E88">
        <w:t>3</w:t>
      </w:r>
      <w:r w:rsidR="008F3308" w:rsidRPr="00392E88">
        <w:t xml:space="preserve"> otrzymują brzmienie:</w:t>
      </w:r>
    </w:p>
    <w:p w14:paraId="1C974C98" w14:textId="5EB07B79" w:rsidR="00C81797" w:rsidRPr="00392E88" w:rsidRDefault="008D478F" w:rsidP="00356536">
      <w:pPr>
        <w:pStyle w:val="Text1"/>
      </w:pPr>
      <w:r w:rsidRPr="00392E88">
        <w:t>„1.</w:t>
      </w:r>
      <w:r w:rsidRPr="00392E88">
        <w:tab/>
        <w:t>W przypadku programu emerytalnego,</w:t>
      </w:r>
      <w:r w:rsidR="006E6446" w:rsidRPr="00392E88">
        <w:t xml:space="preserve"> w</w:t>
      </w:r>
      <w:r w:rsidR="006E6446">
        <w:t> </w:t>
      </w:r>
      <w:r w:rsidR="006E6446" w:rsidRPr="00392E88">
        <w:t>któ</w:t>
      </w:r>
      <w:r w:rsidRPr="00392E88">
        <w:t>rym uczestnicy</w:t>
      </w:r>
      <w:r w:rsidR="006E6446" w:rsidRPr="00392E88">
        <w:t xml:space="preserve"> i</w:t>
      </w:r>
      <w:r w:rsidR="006E6446">
        <w:t> </w:t>
      </w:r>
      <w:r w:rsidR="006E6446" w:rsidRPr="00392E88">
        <w:t>ben</w:t>
      </w:r>
      <w:r w:rsidRPr="00392E88">
        <w:t>eficjenci</w:t>
      </w:r>
      <w:r w:rsidR="006E6446" w:rsidRPr="00392E88">
        <w:t xml:space="preserve"> w</w:t>
      </w:r>
      <w:r w:rsidR="006E6446">
        <w:t> </w:t>
      </w:r>
      <w:r w:rsidR="006E6446" w:rsidRPr="00392E88">
        <w:t>peł</w:t>
      </w:r>
      <w:r w:rsidRPr="00392E88">
        <w:t>ni ponoszą</w:t>
      </w:r>
      <w:r w:rsidR="006E6446" w:rsidRPr="00392E88">
        <w:t xml:space="preserve"> w</w:t>
      </w:r>
      <w:r w:rsidR="006E6446">
        <w:t> </w:t>
      </w:r>
      <w:r w:rsidR="006E6446" w:rsidRPr="00392E88">
        <w:t>peł</w:t>
      </w:r>
      <w:r w:rsidRPr="00392E88">
        <w:t>ni ryzyko inwestycyjne, właściwy organ rodzimego państwa członkowskiego wymaga, aby IORP wyznaczyła jednego depozytariusza na każdy program emerytalny do przechowywania aktywów</w:t>
      </w:r>
      <w:r w:rsidR="006E6446" w:rsidRPr="00392E88">
        <w:t xml:space="preserve"> i</w:t>
      </w:r>
      <w:r w:rsidR="006E6446">
        <w:t> </w:t>
      </w:r>
      <w:r w:rsidR="006E6446" w:rsidRPr="00392E88">
        <w:t>peł</w:t>
      </w:r>
      <w:r w:rsidRPr="00392E88">
        <w:t>nienia obowiązków nadzorczych zgodnie</w:t>
      </w:r>
      <w:r w:rsidR="006E6446" w:rsidRPr="00392E88">
        <w:t xml:space="preserve"> z</w:t>
      </w:r>
      <w:r w:rsidR="006E6446">
        <w:t> </w:t>
      </w:r>
      <w:r w:rsidR="006E6446" w:rsidRPr="006E6446">
        <w:t>art</w:t>
      </w:r>
      <w:r w:rsidRPr="006E6446">
        <w:t>.</w:t>
      </w:r>
      <w:r w:rsidR="006E6446" w:rsidRPr="006E6446">
        <w:t> </w:t>
      </w:r>
      <w:r w:rsidRPr="006E6446">
        <w:t>3</w:t>
      </w:r>
      <w:r w:rsidRPr="00392E88">
        <w:t>4</w:t>
      </w:r>
      <w:r w:rsidR="006E6446" w:rsidRPr="00392E88">
        <w:t xml:space="preserve"> i</w:t>
      </w:r>
      <w:r w:rsidR="006E6446">
        <w:t> </w:t>
      </w:r>
      <w:r w:rsidR="006E6446" w:rsidRPr="00392E88">
        <w:t>3</w:t>
      </w:r>
      <w:r w:rsidRPr="00392E88">
        <w:t>5 lub, jeżeli IORP sama przechowuje aktywa zgodnie</w:t>
      </w:r>
      <w:r w:rsidR="006E6446" w:rsidRPr="00392E88">
        <w:t xml:space="preserve"> z</w:t>
      </w:r>
      <w:r w:rsidR="006E6446">
        <w:t> </w:t>
      </w:r>
      <w:r w:rsidR="006E6446" w:rsidRPr="006E6446">
        <w:t>art</w:t>
      </w:r>
      <w:r w:rsidRPr="006E6446">
        <w:t>.</w:t>
      </w:r>
      <w:r w:rsidR="006E6446" w:rsidRPr="006E6446">
        <w:t> </w:t>
      </w:r>
      <w:r w:rsidRPr="006E6446">
        <w:t>3</w:t>
      </w:r>
      <w:r w:rsidRPr="00392E88">
        <w:t xml:space="preserve">4 </w:t>
      </w:r>
      <w:r w:rsidRPr="006E6446">
        <w:t>ust.</w:t>
      </w:r>
      <w:r w:rsidR="006E6446" w:rsidRPr="006E6446">
        <w:t> </w:t>
      </w:r>
      <w:r w:rsidRPr="006E6446">
        <w:t>2</w:t>
      </w:r>
      <w:r w:rsidRPr="00392E88">
        <w:t>, wymaga, aby IORP posiadała powiernika, który wykonuje obowiązki nadzorcze zgodnie</w:t>
      </w:r>
      <w:r w:rsidR="006E6446" w:rsidRPr="00392E88">
        <w:t xml:space="preserve"> z</w:t>
      </w:r>
      <w:r w:rsidR="006E6446">
        <w:t> </w:t>
      </w:r>
      <w:r w:rsidR="006E6446" w:rsidRPr="006E6446">
        <w:t>art</w:t>
      </w:r>
      <w:r w:rsidRPr="006E6446">
        <w:t>.</w:t>
      </w:r>
      <w:r w:rsidR="006E6446" w:rsidRPr="006E6446">
        <w:t> </w:t>
      </w:r>
      <w:r w:rsidRPr="006E6446">
        <w:t>3</w:t>
      </w:r>
      <w:r w:rsidRPr="00392E88">
        <w:t>5</w:t>
      </w:r>
      <w:r w:rsidR="006E6446" w:rsidRPr="00392E88">
        <w:t xml:space="preserve"> i</w:t>
      </w:r>
      <w:r w:rsidR="006E6446">
        <w:t> </w:t>
      </w:r>
      <w:r w:rsidR="006E6446" w:rsidRPr="00392E88">
        <w:t>o</w:t>
      </w:r>
      <w:r w:rsidR="006E6446">
        <w:t> </w:t>
      </w:r>
      <w:r w:rsidR="006E6446" w:rsidRPr="00392E88">
        <w:t>któ</w:t>
      </w:r>
      <w:r w:rsidRPr="00392E88">
        <w:t>rym powiadomiono właściwy organ.</w:t>
      </w:r>
    </w:p>
    <w:p w14:paraId="736215F1" w14:textId="5E2F9CB0" w:rsidR="003E7B07" w:rsidRPr="00392E88" w:rsidRDefault="00370B09" w:rsidP="00356536">
      <w:pPr>
        <w:pStyle w:val="Text1"/>
      </w:pPr>
      <w:r w:rsidRPr="00392E88">
        <w:t>Do celów akapitu pierwszego IORP lub,</w:t>
      </w:r>
      <w:r w:rsidR="006E6446" w:rsidRPr="00392E88">
        <w:t xml:space="preserve"> w</w:t>
      </w:r>
      <w:r w:rsidR="006E6446">
        <w:t> </w:t>
      </w:r>
      <w:r w:rsidR="006E6446" w:rsidRPr="00392E88">
        <w:t>sto</w:t>
      </w:r>
      <w:r w:rsidRPr="00392E88">
        <w:t>sownych przypadkach, upoważniony podmiot,</w:t>
      </w:r>
      <w:r w:rsidR="006E6446" w:rsidRPr="00392E88">
        <w:t xml:space="preserve"> o</w:t>
      </w:r>
      <w:r w:rsidR="006E6446">
        <w:t> </w:t>
      </w:r>
      <w:r w:rsidR="006E6446" w:rsidRPr="00392E88">
        <w:t>któ</w:t>
      </w:r>
      <w:r w:rsidRPr="00392E88">
        <w:t>rym mowa</w:t>
      </w:r>
      <w:r w:rsidR="006E6446" w:rsidRPr="00392E88">
        <w:t xml:space="preserve"> w</w:t>
      </w:r>
      <w:r w:rsidR="006E6446">
        <w:t> </w:t>
      </w:r>
      <w:r w:rsidR="006E6446" w:rsidRPr="006E6446">
        <w:t>art</w:t>
      </w:r>
      <w:r w:rsidRPr="006E6446">
        <w:t>.</w:t>
      </w:r>
      <w:r w:rsidR="006E6446" w:rsidRPr="006E6446">
        <w:t> </w:t>
      </w:r>
      <w:r w:rsidRPr="006E6446">
        <w:t>2</w:t>
      </w:r>
      <w:r w:rsidRPr="00392E88">
        <w:t xml:space="preserve"> </w:t>
      </w:r>
      <w:r w:rsidRPr="006E6446">
        <w:t>ust.</w:t>
      </w:r>
      <w:r w:rsidR="006E6446" w:rsidRPr="006E6446">
        <w:t> </w:t>
      </w:r>
      <w:r w:rsidRPr="006E6446">
        <w:t>1</w:t>
      </w:r>
      <w:r w:rsidRPr="00392E88">
        <w:t>, nie pełni funkcji depozytariusza tego programu.</w:t>
      </w:r>
    </w:p>
    <w:p w14:paraId="14F0BDA2" w14:textId="48F91448" w:rsidR="005079B6" w:rsidRPr="00392E88" w:rsidRDefault="00D25994" w:rsidP="00356536">
      <w:pPr>
        <w:pStyle w:val="Text1"/>
      </w:pPr>
      <w:r w:rsidRPr="00392E88">
        <w:t>2.</w:t>
      </w:r>
      <w:r w:rsidRPr="00392E88">
        <w:tab/>
        <w:t>W przypadku programów emerytalnych,</w:t>
      </w:r>
      <w:r w:rsidR="006E6446" w:rsidRPr="00392E88">
        <w:t xml:space="preserve"> w</w:t>
      </w:r>
      <w:r w:rsidR="006E6446">
        <w:t> </w:t>
      </w:r>
      <w:r w:rsidR="006E6446" w:rsidRPr="00392E88">
        <w:t>któ</w:t>
      </w:r>
      <w:r w:rsidRPr="00392E88">
        <w:t>rych uczestnicy</w:t>
      </w:r>
      <w:r w:rsidR="006E6446" w:rsidRPr="00392E88">
        <w:t xml:space="preserve"> i</w:t>
      </w:r>
      <w:r w:rsidR="006E6446">
        <w:t> </w:t>
      </w:r>
      <w:r w:rsidR="006E6446" w:rsidRPr="00392E88">
        <w:t>ben</w:t>
      </w:r>
      <w:r w:rsidRPr="00392E88">
        <w:t>eficjenci nie ponoszą</w:t>
      </w:r>
      <w:r w:rsidR="006E6446" w:rsidRPr="00392E88">
        <w:t xml:space="preserve"> w</w:t>
      </w:r>
      <w:r w:rsidR="006E6446">
        <w:t> </w:t>
      </w:r>
      <w:r w:rsidR="006E6446" w:rsidRPr="00392E88">
        <w:t>peł</w:t>
      </w:r>
      <w:r w:rsidRPr="00392E88">
        <w:t>ni ryzyka inwestycyjnego, rodzime państwo członkowskie może wymagać, aby IORP wyznaczyła jednego depozytariusza na każdy program emerytalny do przechowywania aktywów lub do przechowywania aktywów</w:t>
      </w:r>
      <w:r w:rsidR="006E6446" w:rsidRPr="00392E88">
        <w:t xml:space="preserve"> i</w:t>
      </w:r>
      <w:r w:rsidR="006E6446">
        <w:t> </w:t>
      </w:r>
      <w:r w:rsidR="006E6446" w:rsidRPr="00392E88">
        <w:t>peł</w:t>
      </w:r>
      <w:r w:rsidRPr="00392E88">
        <w:t>nienia obowiązków nadzorczych zgodnie</w:t>
      </w:r>
      <w:r w:rsidR="006E6446" w:rsidRPr="00392E88">
        <w:t xml:space="preserve"> z</w:t>
      </w:r>
      <w:r w:rsidR="006E6446">
        <w:t> </w:t>
      </w:r>
      <w:r w:rsidR="006E6446" w:rsidRPr="00392E88">
        <w:t>art</w:t>
      </w:r>
      <w:r w:rsidRPr="00392E88">
        <w:t>. 34</w:t>
      </w:r>
      <w:r w:rsidR="006E6446" w:rsidRPr="00392E88">
        <w:t xml:space="preserve"> i</w:t>
      </w:r>
      <w:r w:rsidR="006E6446">
        <w:t> </w:t>
      </w:r>
      <w:r w:rsidR="006E6446" w:rsidRPr="00392E88">
        <w:t>3</w:t>
      </w:r>
      <w:r w:rsidRPr="00392E88">
        <w:t>5.</w:t>
      </w:r>
    </w:p>
    <w:p w14:paraId="72A7A5B9" w14:textId="77777777" w:rsidR="005E3EED" w:rsidRPr="00392E88" w:rsidRDefault="00536EAE" w:rsidP="00356536">
      <w:pPr>
        <w:pStyle w:val="Text1"/>
      </w:pPr>
      <w:r w:rsidRPr="00392E88">
        <w:t>3.</w:t>
      </w:r>
      <w:r w:rsidRPr="00392E88">
        <w:tab/>
        <w:t>O ile niniejszy rozdział nie stanowi inaczej, do wyznaczenia depozytariusza stosuje się odpowiednio rozdział IV dyrektywy 2009/65/WE.</w:t>
      </w:r>
    </w:p>
    <w:p w14:paraId="248D9B0D" w14:textId="0953A5DC" w:rsidR="003E59CE" w:rsidRPr="00392E88" w:rsidRDefault="00022241" w:rsidP="00451D09">
      <w:pPr>
        <w:pStyle w:val="Text1"/>
      </w:pPr>
      <w:r w:rsidRPr="00392E88">
        <w:t>Państwa członkowskie nie mogą ograniczać IORP</w:t>
      </w:r>
      <w:r w:rsidR="006E6446" w:rsidRPr="00392E88">
        <w:t xml:space="preserve"> w</w:t>
      </w:r>
      <w:r w:rsidR="006E6446">
        <w:t> </w:t>
      </w:r>
      <w:r w:rsidR="006E6446" w:rsidRPr="00392E88">
        <w:t>zak</w:t>
      </w:r>
      <w:r w:rsidRPr="00392E88">
        <w:t>resie wyznaczania depozytariuszy prowadzących działalność</w:t>
      </w:r>
      <w:r w:rsidR="006E6446" w:rsidRPr="00392E88">
        <w:t xml:space="preserve"> w</w:t>
      </w:r>
      <w:r w:rsidR="006E6446">
        <w:t> </w:t>
      </w:r>
      <w:r w:rsidR="006E6446" w:rsidRPr="00392E88">
        <w:t>inn</w:t>
      </w:r>
      <w:r w:rsidRPr="00392E88">
        <w:t>ym państwie członkowskim.”;</w:t>
      </w:r>
    </w:p>
    <w:p w14:paraId="67820A7A" w14:textId="0E3B73F7" w:rsidR="00D007B1" w:rsidRPr="00392E88" w:rsidRDefault="006E6446" w:rsidP="006E6446">
      <w:pPr>
        <w:pStyle w:val="Point0"/>
      </w:pPr>
      <w:r>
        <w:t>32)</w:t>
      </w:r>
      <w:r>
        <w:tab/>
      </w:r>
      <w:r w:rsidR="00D007B1" w:rsidRPr="006E6446">
        <w:t>art.</w:t>
      </w:r>
      <w:r w:rsidRPr="006E6446">
        <w:t> </w:t>
      </w:r>
      <w:r w:rsidR="00D007B1" w:rsidRPr="006E6446">
        <w:t>3</w:t>
      </w:r>
      <w:r w:rsidR="00D007B1" w:rsidRPr="00392E88">
        <w:t>4 otrzymuje brzmienie:</w:t>
      </w:r>
    </w:p>
    <w:p w14:paraId="02D8D27A" w14:textId="4ADAC069" w:rsidR="009357C9" w:rsidRPr="00392E88" w:rsidRDefault="009357C9" w:rsidP="001B2ED5">
      <w:pPr>
        <w:pStyle w:val="Titrearticle"/>
      </w:pPr>
      <w:r w:rsidRPr="00392E88">
        <w:t xml:space="preserve">„Artykuł 34 </w:t>
      </w:r>
      <w:r w:rsidRPr="00392E88">
        <w:br/>
      </w:r>
      <w:r w:rsidRPr="00392E88">
        <w:rPr>
          <w:b/>
          <w:i w:val="0"/>
        </w:rPr>
        <w:t>Przechowywanie aktywów</w:t>
      </w:r>
      <w:r w:rsidR="006E6446" w:rsidRPr="00392E88">
        <w:rPr>
          <w:b/>
          <w:i w:val="0"/>
        </w:rPr>
        <w:t xml:space="preserve"> i</w:t>
      </w:r>
      <w:r w:rsidR="006E6446">
        <w:rPr>
          <w:b/>
          <w:i w:val="0"/>
        </w:rPr>
        <w:t> </w:t>
      </w:r>
      <w:r w:rsidR="006E6446" w:rsidRPr="00392E88">
        <w:rPr>
          <w:b/>
          <w:i w:val="0"/>
        </w:rPr>
        <w:t>odp</w:t>
      </w:r>
      <w:r w:rsidRPr="00392E88">
        <w:rPr>
          <w:b/>
          <w:i w:val="0"/>
        </w:rPr>
        <w:t>owiedzialność depozytariusza</w:t>
      </w:r>
    </w:p>
    <w:p w14:paraId="530F31DD" w14:textId="5FB36E73" w:rsidR="001B2ED5" w:rsidRPr="00392E88" w:rsidRDefault="001B2ED5" w:rsidP="00AD6975">
      <w:pPr>
        <w:pStyle w:val="Text1"/>
      </w:pPr>
      <w:r w:rsidRPr="00392E88">
        <w:t>1.</w:t>
      </w:r>
      <w:r w:rsidRPr="00392E88">
        <w:tab/>
        <w:t>O ile niniejszy rozdział nie stanowi inaczej, do wykonywania zadań depozytariuszy</w:t>
      </w:r>
      <w:r w:rsidR="006E6446" w:rsidRPr="00392E88">
        <w:t xml:space="preserve"> w</w:t>
      </w:r>
      <w:r w:rsidR="006E6446">
        <w:t> </w:t>
      </w:r>
      <w:r w:rsidR="006E6446" w:rsidRPr="00392E88">
        <w:t>odn</w:t>
      </w:r>
      <w:r w:rsidRPr="00392E88">
        <w:t>iesieniu do przechowywania aktywów</w:t>
      </w:r>
      <w:r w:rsidR="006E6446" w:rsidRPr="00392E88">
        <w:t xml:space="preserve"> i</w:t>
      </w:r>
      <w:r w:rsidR="006E6446">
        <w:t> </w:t>
      </w:r>
      <w:r w:rsidR="006E6446" w:rsidRPr="00392E88">
        <w:t>odp</w:t>
      </w:r>
      <w:r w:rsidRPr="00392E88">
        <w:t>owiedzialności depozytariusza stosuje się odpowiednio rozdział IV dyrektywy 2009/65/WE.</w:t>
      </w:r>
    </w:p>
    <w:p w14:paraId="08F8D730" w14:textId="77777777" w:rsidR="00381C1A" w:rsidRPr="00392E88" w:rsidRDefault="001B2ED5" w:rsidP="005D0C3B">
      <w:pPr>
        <w:pStyle w:val="Text1"/>
      </w:pPr>
      <w:r w:rsidRPr="00392E88">
        <w:t>2.</w:t>
      </w:r>
      <w:r w:rsidRPr="00392E88">
        <w:tab/>
        <w:t>W przypadku gdy nie wyznaczono depozytariusza do przechowywania aktywów, od IORP wymaga się co najmniej:</w:t>
      </w:r>
    </w:p>
    <w:p w14:paraId="4D640622" w14:textId="2E7DD7DF" w:rsidR="00AD6975" w:rsidRPr="00392E88" w:rsidRDefault="00AD6975" w:rsidP="005D0C3B">
      <w:pPr>
        <w:pStyle w:val="Point1"/>
      </w:pPr>
      <w:r w:rsidRPr="00392E88">
        <w:t xml:space="preserve">a) </w:t>
      </w:r>
      <w:r w:rsidRPr="00392E88">
        <w:tab/>
        <w:t>zapewnienia, aby instrumenty finansowe były objęte należytą uwagą</w:t>
      </w:r>
      <w:r w:rsidR="006E6446" w:rsidRPr="00392E88">
        <w:t xml:space="preserve"> i</w:t>
      </w:r>
      <w:r w:rsidR="006E6446">
        <w:t> </w:t>
      </w:r>
      <w:r w:rsidR="006E6446" w:rsidRPr="00392E88">
        <w:t>och</w:t>
      </w:r>
      <w:r w:rsidRPr="00392E88">
        <w:t>roną;</w:t>
      </w:r>
    </w:p>
    <w:p w14:paraId="114C1AF3" w14:textId="67463F17" w:rsidR="00AD6975" w:rsidRPr="00392E88" w:rsidRDefault="00AD6975" w:rsidP="005D0C3B">
      <w:pPr>
        <w:pStyle w:val="Point1"/>
      </w:pPr>
      <w:r w:rsidRPr="00392E88">
        <w:t xml:space="preserve">b) </w:t>
      </w:r>
      <w:r w:rsidRPr="00392E88">
        <w:tab/>
        <w:t>prowadzenia rejestru umożliwiającego IORP stałą</w:t>
      </w:r>
      <w:r w:rsidR="006E6446" w:rsidRPr="00392E88">
        <w:t xml:space="preserve"> i</w:t>
      </w:r>
      <w:r w:rsidR="006E6446">
        <w:t> </w:t>
      </w:r>
      <w:r w:rsidR="006E6446" w:rsidRPr="00392E88">
        <w:t>nie</w:t>
      </w:r>
      <w:r w:rsidRPr="00392E88">
        <w:t>zwłoczną identyfikację wszystkich aktywów;</w:t>
      </w:r>
    </w:p>
    <w:p w14:paraId="2FB29287" w14:textId="43E1D31B" w:rsidR="00AD6975" w:rsidRPr="00392E88" w:rsidRDefault="00AD6975" w:rsidP="005D0C3B">
      <w:pPr>
        <w:pStyle w:val="Point1"/>
      </w:pPr>
      <w:r w:rsidRPr="00392E88">
        <w:t xml:space="preserve">c) </w:t>
      </w:r>
      <w:r w:rsidRPr="00392E88">
        <w:tab/>
        <w:t>stosowania niezbędnych środków</w:t>
      </w:r>
      <w:r w:rsidR="006E6446" w:rsidRPr="00392E88">
        <w:t xml:space="preserve"> w</w:t>
      </w:r>
      <w:r w:rsidR="006E6446">
        <w:t> </w:t>
      </w:r>
      <w:r w:rsidR="006E6446" w:rsidRPr="00392E88">
        <w:t>cel</w:t>
      </w:r>
      <w:r w:rsidRPr="00392E88">
        <w:t>u unikania konfliktów interesów</w:t>
      </w:r>
      <w:r w:rsidR="006E6446" w:rsidRPr="00392E88">
        <w:t xml:space="preserve"> w</w:t>
      </w:r>
      <w:r w:rsidR="006E6446">
        <w:t> </w:t>
      </w:r>
      <w:r w:rsidR="006E6446" w:rsidRPr="00392E88">
        <w:t>zwi</w:t>
      </w:r>
      <w:r w:rsidRPr="00392E88">
        <w:t>ązku</w:t>
      </w:r>
      <w:r w:rsidR="006E6446" w:rsidRPr="00392E88">
        <w:t xml:space="preserve"> z</w:t>
      </w:r>
      <w:r w:rsidR="006E6446">
        <w:t> </w:t>
      </w:r>
      <w:r w:rsidR="006E6446" w:rsidRPr="00392E88">
        <w:t>prz</w:t>
      </w:r>
      <w:r w:rsidRPr="00392E88">
        <w:t>echowywaniem aktywów;</w:t>
      </w:r>
    </w:p>
    <w:p w14:paraId="70AC0BFF" w14:textId="5AA8B037" w:rsidR="00AD6975" w:rsidRPr="00392E88" w:rsidRDefault="00AD6975" w:rsidP="005D0C3B">
      <w:pPr>
        <w:pStyle w:val="Point1"/>
      </w:pPr>
      <w:r w:rsidRPr="00392E88">
        <w:t xml:space="preserve">d) </w:t>
      </w:r>
      <w:r w:rsidRPr="00392E88">
        <w:tab/>
        <w:t>informowania na żądanie właściwych organów</w:t>
      </w:r>
      <w:r w:rsidR="006E6446" w:rsidRPr="00392E88">
        <w:t xml:space="preserve"> o</w:t>
      </w:r>
      <w:r w:rsidR="006E6446">
        <w:t> </w:t>
      </w:r>
      <w:r w:rsidR="006E6446" w:rsidRPr="00392E88">
        <w:t>spo</w:t>
      </w:r>
      <w:r w:rsidRPr="00392E88">
        <w:t>sobie przechowywania aktywów.”;</w:t>
      </w:r>
    </w:p>
    <w:p w14:paraId="1355365E" w14:textId="2A3CD22C" w:rsidR="00AD6975" w:rsidRPr="00392E88" w:rsidRDefault="006E6446" w:rsidP="006E6446">
      <w:pPr>
        <w:pStyle w:val="Point0"/>
      </w:pPr>
      <w:r>
        <w:t>33)</w:t>
      </w:r>
      <w:r>
        <w:tab/>
      </w:r>
      <w:r w:rsidR="00E04C24" w:rsidRPr="006E6446">
        <w:t>art.</w:t>
      </w:r>
      <w:r w:rsidRPr="006E6446">
        <w:t> </w:t>
      </w:r>
      <w:r w:rsidR="00E04C24" w:rsidRPr="006E6446">
        <w:t>3</w:t>
      </w:r>
      <w:r w:rsidR="00E04C24" w:rsidRPr="00392E88">
        <w:t xml:space="preserve">5 </w:t>
      </w:r>
      <w:r w:rsidR="00E04C24" w:rsidRPr="006E6446">
        <w:t>ust.</w:t>
      </w:r>
      <w:r w:rsidRPr="006E6446">
        <w:t> </w:t>
      </w:r>
      <w:r w:rsidR="00E04C24" w:rsidRPr="006E6446">
        <w:t>1</w:t>
      </w:r>
      <w:r w:rsidR="00E04C24" w:rsidRPr="00392E88">
        <w:t xml:space="preserve"> otrzymuje brzmienie: </w:t>
      </w:r>
    </w:p>
    <w:p w14:paraId="47136A06" w14:textId="1990DEAE" w:rsidR="001A40EC" w:rsidRPr="00392E88" w:rsidRDefault="009F7CBD" w:rsidP="0048259C">
      <w:pPr>
        <w:pStyle w:val="Text1"/>
      </w:pPr>
      <w:r w:rsidRPr="00392E88">
        <w:t>„1.</w:t>
      </w:r>
      <w:r w:rsidRPr="00392E88">
        <w:tab/>
        <w:t>O ile niniejszy rozdział nie stanowi inaczej,</w:t>
      </w:r>
      <w:r w:rsidR="006E6446" w:rsidRPr="00392E88">
        <w:t xml:space="preserve"> w</w:t>
      </w:r>
      <w:r w:rsidR="006E6446">
        <w:t> </w:t>
      </w:r>
      <w:r w:rsidR="006E6446" w:rsidRPr="00392E88">
        <w:t>odn</w:t>
      </w:r>
      <w:r w:rsidRPr="00392E88">
        <w:t>iesieniu do obowiązków nadzorczych depozytariusza zastosowanie ma odpowiednio rozdział IV dyrektywy 2009/65/WE.”;</w:t>
      </w:r>
    </w:p>
    <w:p w14:paraId="4ED732A8" w14:textId="7DB99F98" w:rsidR="001C60D3" w:rsidRPr="00392E88" w:rsidRDefault="006E6446" w:rsidP="006E6446">
      <w:pPr>
        <w:pStyle w:val="Point0"/>
      </w:pPr>
      <w:r>
        <w:t>34)</w:t>
      </w:r>
      <w:r>
        <w:tab/>
      </w:r>
      <w:r w:rsidR="00A86F39" w:rsidRPr="00392E88">
        <w:t>nagłówek tytułu IV otrzymuje brzmienie:</w:t>
      </w:r>
    </w:p>
    <w:p w14:paraId="30BF4600" w14:textId="77777777" w:rsidR="00A7692E" w:rsidRPr="00392E88" w:rsidRDefault="008A4774" w:rsidP="005D0C3B">
      <w:pPr>
        <w:pStyle w:val="PartTitle"/>
      </w:pPr>
      <w:r w:rsidRPr="00392E88">
        <w:t>„</w:t>
      </w:r>
      <w:r w:rsidRPr="00392E88">
        <w:rPr>
          <w:sz w:val="28"/>
        </w:rPr>
        <w:t>TYTUŁ IV INFORMACJE UDZIELANE POTENCJALNYM UCZESTNIKOM, UCZESTNIKOM I BENEFICJENTOM ORAZ ZASADY PROWADZENIA DZIAŁALNOŚCI GOSPODARCZEJ</w:t>
      </w:r>
      <w:r w:rsidRPr="00392E88">
        <w:t>”;</w:t>
      </w:r>
    </w:p>
    <w:p w14:paraId="34ED4837" w14:textId="4CC3549C" w:rsidR="00126428" w:rsidRPr="00392E88" w:rsidRDefault="006E6446" w:rsidP="006E6446">
      <w:pPr>
        <w:pStyle w:val="Point0"/>
      </w:pPr>
      <w:r>
        <w:t>35)</w:t>
      </w:r>
      <w:r>
        <w:tab/>
      </w:r>
      <w:r w:rsidR="00805566" w:rsidRPr="00392E88">
        <w:t xml:space="preserve">w </w:t>
      </w:r>
      <w:r w:rsidR="00805566" w:rsidRPr="006E6446">
        <w:t>art.</w:t>
      </w:r>
      <w:r w:rsidRPr="006E6446">
        <w:t> </w:t>
      </w:r>
      <w:r w:rsidR="00805566" w:rsidRPr="006E6446">
        <w:t>3</w:t>
      </w:r>
      <w:r w:rsidR="00805566" w:rsidRPr="00392E88">
        <w:t>6 wprowadza się następujące zmiany:</w:t>
      </w:r>
    </w:p>
    <w:p w14:paraId="0DF83422" w14:textId="5D4E4AD0" w:rsidR="00906FD6" w:rsidRPr="00392E88" w:rsidRDefault="006E6446" w:rsidP="006E6446">
      <w:pPr>
        <w:pStyle w:val="Point1"/>
      </w:pPr>
      <w:r>
        <w:t>a)</w:t>
      </w:r>
      <w:r>
        <w:tab/>
      </w:r>
      <w:r w:rsidR="32003207" w:rsidRPr="00392E88">
        <w:t>ust. 1 otrzymuje brzmienie:</w:t>
      </w:r>
    </w:p>
    <w:p w14:paraId="05F4C124" w14:textId="0B471F79" w:rsidR="000D151F" w:rsidRPr="00392E88" w:rsidRDefault="00805566">
      <w:pPr>
        <w:pStyle w:val="Text1"/>
      </w:pPr>
      <w:r w:rsidRPr="00392E88">
        <w:t>„1.</w:t>
      </w:r>
      <w:r w:rsidRPr="00392E88">
        <w:tab/>
        <w:t>Uwzględniając rodzaj ustanowionego programu emerytalnego, państwa członkowskie zapewniają, aby każda IORP, która wykonuje działalność na podstawie zezwolenia na ich terytoriach</w:t>
      </w:r>
      <w:r w:rsidR="006E6446" w:rsidRPr="00392E88">
        <w:t xml:space="preserve"> i</w:t>
      </w:r>
      <w:r w:rsidR="006E6446">
        <w:t> </w:t>
      </w:r>
      <w:r w:rsidR="006E6446" w:rsidRPr="00392E88">
        <w:t>obs</w:t>
      </w:r>
      <w:r w:rsidRPr="00392E88">
        <w:t>ługuje pracownicze programy emerytalne, przekazywała:</w:t>
      </w:r>
    </w:p>
    <w:p w14:paraId="19A22BD1" w14:textId="77E21526" w:rsidR="000D151F" w:rsidRPr="00392E88" w:rsidRDefault="000D151F" w:rsidP="005D0C3B">
      <w:pPr>
        <w:pStyle w:val="Point1"/>
      </w:pPr>
      <w:r w:rsidRPr="00392E88">
        <w:t xml:space="preserve">a) </w:t>
      </w:r>
      <w:r w:rsidRPr="00392E88">
        <w:tab/>
        <w:t>potencjalnym uczestnikom: co najmniej informacje określone</w:t>
      </w:r>
      <w:r w:rsidR="006E6446" w:rsidRPr="00392E88">
        <w:t xml:space="preserve"> w</w:t>
      </w:r>
      <w:r w:rsidR="006E6446">
        <w:t> </w:t>
      </w:r>
      <w:r w:rsidR="006E6446" w:rsidRPr="006E6446">
        <w:t>art</w:t>
      </w:r>
      <w:r w:rsidRPr="006E6446">
        <w:t>.</w:t>
      </w:r>
      <w:r w:rsidR="006E6446" w:rsidRPr="006E6446">
        <w:t> </w:t>
      </w:r>
      <w:r w:rsidRPr="006E6446">
        <w:t>4</w:t>
      </w:r>
      <w:r w:rsidRPr="00392E88">
        <w:t>1;</w:t>
      </w:r>
    </w:p>
    <w:p w14:paraId="7D77AB11" w14:textId="49E5D9E3" w:rsidR="000D151F" w:rsidRPr="00392E88" w:rsidRDefault="000D151F" w:rsidP="005D0C3B">
      <w:pPr>
        <w:pStyle w:val="Point1"/>
      </w:pPr>
      <w:r w:rsidRPr="00392E88">
        <w:t xml:space="preserve">b) </w:t>
      </w:r>
      <w:r w:rsidRPr="00392E88">
        <w:tab/>
        <w:t>uczestnikom: co najmniej informacje określone</w:t>
      </w:r>
      <w:r w:rsidR="006E6446" w:rsidRPr="00392E88">
        <w:t xml:space="preserve"> w</w:t>
      </w:r>
      <w:r w:rsidR="006E6446">
        <w:t> </w:t>
      </w:r>
      <w:r w:rsidR="006E6446" w:rsidRPr="006E6446">
        <w:t>art</w:t>
      </w:r>
      <w:r w:rsidRPr="006E6446">
        <w:t>.</w:t>
      </w:r>
      <w:r w:rsidR="006E6446" w:rsidRPr="006E6446">
        <w:t> </w:t>
      </w:r>
      <w:r w:rsidRPr="006E6446">
        <w:t>3</w:t>
      </w:r>
      <w:r w:rsidRPr="00392E88">
        <w:t>7–40, 41a, 42</w:t>
      </w:r>
      <w:r w:rsidR="006E6446" w:rsidRPr="00392E88">
        <w:t xml:space="preserve"> i</w:t>
      </w:r>
      <w:r w:rsidR="006E6446">
        <w:t> </w:t>
      </w:r>
      <w:r w:rsidR="006E6446" w:rsidRPr="00392E88">
        <w:t>4</w:t>
      </w:r>
      <w:r w:rsidRPr="00392E88">
        <w:t>4; oraz</w:t>
      </w:r>
    </w:p>
    <w:p w14:paraId="72EAA994" w14:textId="74C261F0" w:rsidR="00D7189D" w:rsidRPr="00392E88" w:rsidRDefault="000D151F" w:rsidP="005D0C3B">
      <w:pPr>
        <w:pStyle w:val="Point1"/>
      </w:pPr>
      <w:r w:rsidRPr="00392E88">
        <w:t xml:space="preserve">c) </w:t>
      </w:r>
      <w:r w:rsidRPr="00392E88">
        <w:tab/>
        <w:t>beneficjentom: co najmniej informacje określone</w:t>
      </w:r>
      <w:r w:rsidR="006E6446" w:rsidRPr="00392E88">
        <w:t xml:space="preserve"> w</w:t>
      </w:r>
      <w:r w:rsidR="006E6446">
        <w:t> </w:t>
      </w:r>
      <w:r w:rsidR="006E6446" w:rsidRPr="006E6446">
        <w:t>art</w:t>
      </w:r>
      <w:r w:rsidRPr="006E6446">
        <w:t>.</w:t>
      </w:r>
      <w:r w:rsidR="006E6446" w:rsidRPr="006E6446">
        <w:t> </w:t>
      </w:r>
      <w:r w:rsidRPr="006E6446">
        <w:t>3</w:t>
      </w:r>
      <w:r w:rsidRPr="00392E88">
        <w:t>7, 41a, 43</w:t>
      </w:r>
      <w:r w:rsidR="006E6446" w:rsidRPr="00392E88">
        <w:t xml:space="preserve"> i</w:t>
      </w:r>
      <w:r w:rsidR="006E6446">
        <w:t> </w:t>
      </w:r>
      <w:r w:rsidR="006E6446" w:rsidRPr="00392E88">
        <w:t>4</w:t>
      </w:r>
      <w:r w:rsidRPr="00392E88">
        <w:t>4.</w:t>
      </w:r>
    </w:p>
    <w:p w14:paraId="2F787D17" w14:textId="190781DC" w:rsidR="000D76D2" w:rsidRPr="00392E88" w:rsidRDefault="00A3453A" w:rsidP="000D76D2">
      <w:pPr>
        <w:pStyle w:val="Text1"/>
      </w:pPr>
      <w:r w:rsidRPr="00392E88">
        <w:t>W przypadku gdy zgodnie</w:t>
      </w:r>
      <w:r w:rsidR="006E6446" w:rsidRPr="00392E88">
        <w:t xml:space="preserve"> z</w:t>
      </w:r>
      <w:r w:rsidR="006E6446">
        <w:t> </w:t>
      </w:r>
      <w:r w:rsidR="006E6446" w:rsidRPr="00392E88">
        <w:t>pra</w:t>
      </w:r>
      <w:r w:rsidRPr="00392E88">
        <w:t>wem krajowym IORP otrzymały zezwolenie na oferowanie indywidualnych produktów emerytalnych, państwa członkowskie zapewniają, aby każda IORP wykonująca działalność na podstawie zezwolenia na ich terytoriach, która oferuje te produkty inne niż ogólnoeuropejski indywidualny produkt emerytalny zdefiniowany</w:t>
      </w:r>
      <w:r w:rsidR="006E6446" w:rsidRPr="00392E88">
        <w:t xml:space="preserve"> w</w:t>
      </w:r>
      <w:r w:rsidR="006E6446">
        <w:t> </w:t>
      </w:r>
      <w:r w:rsidR="006E6446" w:rsidRPr="006E6446">
        <w:t>art</w:t>
      </w:r>
      <w:r w:rsidRPr="006E6446">
        <w:t>.</w:t>
      </w:r>
      <w:r w:rsidR="006E6446" w:rsidRPr="006E6446">
        <w:t> </w:t>
      </w:r>
      <w:r w:rsidRPr="006E6446">
        <w:t>2</w:t>
      </w:r>
      <w:r w:rsidRPr="00392E88">
        <w:t xml:space="preserve"> </w:t>
      </w:r>
      <w:r w:rsidRPr="006E6446">
        <w:t>pkt</w:t>
      </w:r>
      <w:r w:rsidR="006E6446" w:rsidRPr="006E6446">
        <w:t> </w:t>
      </w:r>
      <w:r w:rsidRPr="006E6446">
        <w:t>1</w:t>
      </w:r>
      <w:r w:rsidRPr="00392E88">
        <w:t xml:space="preserve"> rozporządzenia (UE) 2019/1238, przekazywała potencjalnym oszczędzającym oraz oszczędzającym</w:t>
      </w:r>
      <w:r w:rsidR="006E6446" w:rsidRPr="00392E88">
        <w:t xml:space="preserve"> w</w:t>
      </w:r>
      <w:r w:rsidR="006E6446">
        <w:t> </w:t>
      </w:r>
      <w:r w:rsidR="006E6446" w:rsidRPr="00392E88">
        <w:t>ram</w:t>
      </w:r>
      <w:r w:rsidRPr="00392E88">
        <w:t>ach indywidualnego programu emerytalnego</w:t>
      </w:r>
      <w:r w:rsidR="006E6446" w:rsidRPr="00392E88">
        <w:t xml:space="preserve"> i</w:t>
      </w:r>
      <w:r w:rsidR="006E6446">
        <w:t> </w:t>
      </w:r>
      <w:r w:rsidR="006E6446" w:rsidRPr="00392E88">
        <w:t>ben</w:t>
      </w:r>
      <w:r w:rsidRPr="00392E88">
        <w:t>eficjentom informacje, która są jasne, rzetelne, niewprowadzające</w:t>
      </w:r>
      <w:r w:rsidR="006E6446" w:rsidRPr="00392E88">
        <w:t xml:space="preserve"> w</w:t>
      </w:r>
      <w:r w:rsidR="006E6446">
        <w:t> </w:t>
      </w:r>
      <w:r w:rsidR="006E6446" w:rsidRPr="00392E88">
        <w:t>błą</w:t>
      </w:r>
      <w:r w:rsidRPr="00392E88">
        <w:t>d</w:t>
      </w:r>
      <w:r w:rsidR="006E6446" w:rsidRPr="00392E88">
        <w:t xml:space="preserve"> i</w:t>
      </w:r>
      <w:r w:rsidR="006E6446">
        <w:t> </w:t>
      </w:r>
      <w:r w:rsidR="006E6446" w:rsidRPr="00392E88">
        <w:t>odp</w:t>
      </w:r>
      <w:r w:rsidRPr="00392E88">
        <w:t>owiednie do charakteru produktu, sieci dystrybucji oraz cech oszczędzającego lub beneficjenta. Informacje te zapewniają poziom przejrzystości</w:t>
      </w:r>
      <w:r w:rsidR="006E6446" w:rsidRPr="00392E88">
        <w:t xml:space="preserve"> i</w:t>
      </w:r>
      <w:r w:rsidR="006E6446">
        <w:t> </w:t>
      </w:r>
      <w:r w:rsidR="006E6446" w:rsidRPr="00392E88">
        <w:t>och</w:t>
      </w:r>
      <w:r w:rsidRPr="00392E88">
        <w:t>rony równoważny poziomowi wymaganemu na mocy prawa krajowego</w:t>
      </w:r>
      <w:r w:rsidR="006E6446" w:rsidRPr="00392E88">
        <w:t xml:space="preserve"> w</w:t>
      </w:r>
      <w:r w:rsidR="006E6446">
        <w:t> </w:t>
      </w:r>
      <w:r w:rsidR="006E6446" w:rsidRPr="00392E88">
        <w:t>odn</w:t>
      </w:r>
      <w:r w:rsidRPr="00392E88">
        <w:t>iesieniu do dystrybucji indywidualnych produktów emerytalnych przez inne podmioty lub instytucje, co najmniej</w:t>
      </w:r>
      <w:r w:rsidR="006E6446" w:rsidRPr="00392E88">
        <w:t xml:space="preserve"> w</w:t>
      </w:r>
      <w:r w:rsidR="006E6446">
        <w:t> </w:t>
      </w:r>
      <w:r w:rsidR="006E6446" w:rsidRPr="00392E88">
        <w:t>odn</w:t>
      </w:r>
      <w:r w:rsidRPr="00392E88">
        <w:t>iesieniu do następujących elementów:</w:t>
      </w:r>
    </w:p>
    <w:p w14:paraId="3C63AB9B" w14:textId="7D2D73E1" w:rsidR="004F6E51" w:rsidRPr="00392E88" w:rsidRDefault="005F3474" w:rsidP="004F6E51">
      <w:pPr>
        <w:pStyle w:val="Point1"/>
      </w:pPr>
      <w:r w:rsidRPr="00392E88">
        <w:t xml:space="preserve">a) </w:t>
      </w:r>
      <w:r w:rsidRPr="00392E88">
        <w:tab/>
        <w:t>tożsamości, formy prawnej</w:t>
      </w:r>
      <w:r w:rsidR="006E6446" w:rsidRPr="00392E88">
        <w:t xml:space="preserve"> i</w:t>
      </w:r>
      <w:r w:rsidR="006E6446">
        <w:t> </w:t>
      </w:r>
      <w:r w:rsidR="006E6446" w:rsidRPr="00392E88">
        <w:t>sta</w:t>
      </w:r>
      <w:r w:rsidRPr="00392E88">
        <w:t>tusu zezwolenia IORP;</w:t>
      </w:r>
    </w:p>
    <w:p w14:paraId="56BB2163" w14:textId="3A0447AD" w:rsidR="004F6E51" w:rsidRPr="00392E88" w:rsidRDefault="005F3474" w:rsidP="004F6E51">
      <w:pPr>
        <w:pStyle w:val="Point1"/>
      </w:pPr>
      <w:r w:rsidRPr="00392E88">
        <w:t xml:space="preserve">b) </w:t>
      </w:r>
      <w:r w:rsidRPr="00392E88">
        <w:tab/>
        <w:t>głównych cech, kosztów</w:t>
      </w:r>
      <w:r w:rsidR="006E6446" w:rsidRPr="00392E88">
        <w:t xml:space="preserve"> i</w:t>
      </w:r>
      <w:r w:rsidR="006E6446">
        <w:t> </w:t>
      </w:r>
      <w:r w:rsidR="006E6446" w:rsidRPr="00392E88">
        <w:t>rod</w:t>
      </w:r>
      <w:r w:rsidRPr="00392E88">
        <w:t>zajów ryzyka związanych</w:t>
      </w:r>
      <w:r w:rsidR="006E6446" w:rsidRPr="00392E88">
        <w:t xml:space="preserve"> z</w:t>
      </w:r>
      <w:r w:rsidR="006E6446">
        <w:t> </w:t>
      </w:r>
      <w:r w:rsidR="006E6446" w:rsidRPr="00392E88">
        <w:t>ofe</w:t>
      </w:r>
      <w:r w:rsidRPr="00392E88">
        <w:t>rowanym indywidualnym produktem emerytalnym;</w:t>
      </w:r>
    </w:p>
    <w:p w14:paraId="63FCC920" w14:textId="262980E4" w:rsidR="004F6E51" w:rsidRPr="00392E88" w:rsidRDefault="005F3474" w:rsidP="004F6E51">
      <w:pPr>
        <w:pStyle w:val="Point1"/>
      </w:pPr>
      <w:r w:rsidRPr="00392E88">
        <w:t xml:space="preserve">c) </w:t>
      </w:r>
      <w:r w:rsidRPr="00392E88">
        <w:tab/>
        <w:t>istnienia</w:t>
      </w:r>
      <w:r w:rsidR="006E6446" w:rsidRPr="00392E88">
        <w:t xml:space="preserve"> i</w:t>
      </w:r>
      <w:r w:rsidR="006E6446">
        <w:t> </w:t>
      </w:r>
      <w:r w:rsidR="006E6446" w:rsidRPr="00392E88">
        <w:t>cha</w:t>
      </w:r>
      <w:r w:rsidRPr="00392E88">
        <w:t>rakteru wszelkich udzielonych porad lub zaleceń;</w:t>
      </w:r>
    </w:p>
    <w:p w14:paraId="73BCBB9F" w14:textId="7709263B" w:rsidR="004F6E51" w:rsidRPr="00392E88" w:rsidRDefault="005F3474" w:rsidP="004F6E51">
      <w:pPr>
        <w:pStyle w:val="Point1"/>
      </w:pPr>
      <w:r w:rsidRPr="00392E88">
        <w:t xml:space="preserve">d) </w:t>
      </w:r>
      <w:r w:rsidRPr="00392E88">
        <w:tab/>
        <w:t>charakteru wynagrodzenia otrzymanego</w:t>
      </w:r>
      <w:r w:rsidR="006E6446" w:rsidRPr="00392E88">
        <w:t xml:space="preserve"> w</w:t>
      </w:r>
      <w:r w:rsidR="006E6446">
        <w:t> </w:t>
      </w:r>
      <w:r w:rsidR="006E6446" w:rsidRPr="00392E88">
        <w:t>zwi</w:t>
      </w:r>
      <w:r w:rsidRPr="00392E88">
        <w:t>ązku</w:t>
      </w:r>
      <w:r w:rsidR="006E6446" w:rsidRPr="00392E88">
        <w:t xml:space="preserve"> z</w:t>
      </w:r>
      <w:r w:rsidR="006E6446">
        <w:t> </w:t>
      </w:r>
      <w:r w:rsidR="006E6446" w:rsidRPr="00392E88">
        <w:t>pro</w:t>
      </w:r>
      <w:r w:rsidRPr="00392E88">
        <w:t xml:space="preserve">duktem; </w:t>
      </w:r>
    </w:p>
    <w:p w14:paraId="2A76AB4A" w14:textId="20B32A97" w:rsidR="005F3474" w:rsidRPr="00392E88" w:rsidRDefault="005F3474" w:rsidP="005D0C3B">
      <w:pPr>
        <w:pStyle w:val="Point1"/>
      </w:pPr>
      <w:r w:rsidRPr="00392E88">
        <w:t xml:space="preserve">e) </w:t>
      </w:r>
      <w:r w:rsidRPr="00392E88">
        <w:tab/>
        <w:t>procedur składania skarg</w:t>
      </w:r>
      <w:r w:rsidR="006E6446" w:rsidRPr="00392E88">
        <w:t xml:space="preserve"> i</w:t>
      </w:r>
      <w:r w:rsidR="006E6446">
        <w:t> </w:t>
      </w:r>
      <w:r w:rsidR="006E6446" w:rsidRPr="00392E88">
        <w:t>doc</w:t>
      </w:r>
      <w:r w:rsidRPr="00392E88">
        <w:t>hodzenia roszczeń.</w:t>
      </w:r>
    </w:p>
    <w:p w14:paraId="2595F859" w14:textId="03451ADD" w:rsidR="005F3474" w:rsidRPr="00392E88" w:rsidRDefault="005F3474" w:rsidP="004F6E51">
      <w:pPr>
        <w:pStyle w:val="Text1"/>
      </w:pPr>
      <w:r w:rsidRPr="00392E88">
        <w:t>Państwa członkowskie mogą dostosować te wymogi</w:t>
      </w:r>
      <w:r w:rsidR="006E6446" w:rsidRPr="00392E88">
        <w:t xml:space="preserve"> w</w:t>
      </w:r>
      <w:r w:rsidR="006E6446">
        <w:t> </w:t>
      </w:r>
      <w:r w:rsidR="006E6446" w:rsidRPr="00392E88">
        <w:t>cel</w:t>
      </w:r>
      <w:r w:rsidRPr="00392E88">
        <w:t>u odzwierciedlenia specyfiki IORP</w:t>
      </w:r>
      <w:r w:rsidR="006E6446" w:rsidRPr="00392E88">
        <w:t xml:space="preserve"> i</w:t>
      </w:r>
      <w:r w:rsidR="006E6446">
        <w:t> </w:t>
      </w:r>
      <w:r w:rsidR="006E6446" w:rsidRPr="00392E88">
        <w:t>róż</w:t>
      </w:r>
      <w:r w:rsidRPr="00392E88">
        <w:t>norodności kanałów dystrybucji emerytur indywidualnych.”;</w:t>
      </w:r>
    </w:p>
    <w:p w14:paraId="0565263C" w14:textId="411EBC2A" w:rsidR="59C4FC92" w:rsidRPr="00392E88" w:rsidRDefault="006E6446" w:rsidP="006E6446">
      <w:pPr>
        <w:pStyle w:val="Point1"/>
      </w:pPr>
      <w:r>
        <w:t>b)</w:t>
      </w:r>
      <w:r>
        <w:tab/>
      </w:r>
      <w:r w:rsidR="38E3E38E" w:rsidRPr="00392E88">
        <w:t>dodaje się ust. 4</w:t>
      </w:r>
      <w:r w:rsidRPr="00392E88">
        <w:t xml:space="preserve"> w</w:t>
      </w:r>
      <w:r>
        <w:t> </w:t>
      </w:r>
      <w:r w:rsidRPr="00392E88">
        <w:t>brz</w:t>
      </w:r>
      <w:r w:rsidR="38E3E38E" w:rsidRPr="00392E88">
        <w:t>mieniu:</w:t>
      </w:r>
    </w:p>
    <w:p w14:paraId="14786C3E" w14:textId="362985BB" w:rsidR="0080615A" w:rsidRPr="00392E88" w:rsidRDefault="38E3E38E" w:rsidP="008A46F8">
      <w:pPr>
        <w:pStyle w:val="Text1"/>
      </w:pPr>
      <w:r w:rsidRPr="00392E88">
        <w:t>„4.</w:t>
      </w:r>
      <w:r w:rsidRPr="00392E88">
        <w:tab/>
        <w:t>EIOPA wydaje wytyczne, zgodnie</w:t>
      </w:r>
      <w:r w:rsidR="006E6446" w:rsidRPr="00392E88">
        <w:t xml:space="preserve"> z</w:t>
      </w:r>
      <w:r w:rsidR="006E6446">
        <w:t> </w:t>
      </w:r>
      <w:r w:rsidR="006E6446" w:rsidRPr="006E6446">
        <w:t>art</w:t>
      </w:r>
      <w:r w:rsidRPr="006E6446">
        <w:t>.</w:t>
      </w:r>
      <w:r w:rsidR="006E6446" w:rsidRPr="006E6446">
        <w:t> </w:t>
      </w:r>
      <w:r w:rsidRPr="006E6446">
        <w:t>1</w:t>
      </w:r>
      <w:r w:rsidRPr="00392E88">
        <w:t xml:space="preserve">6 rozporządzenia (UE) </w:t>
      </w:r>
      <w:r w:rsidRPr="006E6446">
        <w:t>nr</w:t>
      </w:r>
      <w:r w:rsidR="006E6446" w:rsidRPr="006E6446">
        <w:t> </w:t>
      </w:r>
      <w:r w:rsidRPr="006E6446">
        <w:t>1</w:t>
      </w:r>
      <w:r w:rsidRPr="00392E88">
        <w:t>094/2010, dotyczące informacji, które mają być przekazywane zgodnie</w:t>
      </w:r>
      <w:r w:rsidR="006E6446" w:rsidRPr="00392E88">
        <w:t xml:space="preserve"> z</w:t>
      </w:r>
      <w:r w:rsidR="006E6446">
        <w:t> </w:t>
      </w:r>
      <w:r w:rsidR="006E6446" w:rsidRPr="006E6446">
        <w:t>art</w:t>
      </w:r>
      <w:r w:rsidRPr="006E6446">
        <w:t>.</w:t>
      </w:r>
      <w:r w:rsidR="006E6446" w:rsidRPr="006E6446">
        <w:t> </w:t>
      </w:r>
      <w:r w:rsidRPr="006E6446">
        <w:t>4</w:t>
      </w:r>
      <w:r w:rsidRPr="00392E88">
        <w:t>1, 42</w:t>
      </w:r>
      <w:r w:rsidR="006E6446" w:rsidRPr="00392E88">
        <w:t xml:space="preserve"> i</w:t>
      </w:r>
      <w:r w:rsidR="006E6446">
        <w:t> </w:t>
      </w:r>
      <w:r w:rsidR="006E6446" w:rsidRPr="00392E88">
        <w:t>4</w:t>
      </w:r>
      <w:r w:rsidRPr="00392E88">
        <w:t>3.”;</w:t>
      </w:r>
    </w:p>
    <w:p w14:paraId="6ADD52F3" w14:textId="122C68EB" w:rsidR="005D3FE5" w:rsidRPr="00392E88" w:rsidRDefault="006E6446" w:rsidP="006E6446">
      <w:pPr>
        <w:pStyle w:val="Point0"/>
      </w:pPr>
      <w:r>
        <w:t>36)</w:t>
      </w:r>
      <w:r>
        <w:tab/>
      </w:r>
      <w:r w:rsidR="008A46F8" w:rsidRPr="006E6446">
        <w:t>art.</w:t>
      </w:r>
      <w:r w:rsidRPr="006E6446">
        <w:t> </w:t>
      </w:r>
      <w:r w:rsidR="008A46F8" w:rsidRPr="006E6446">
        <w:t>3</w:t>
      </w:r>
      <w:r w:rsidR="008A46F8" w:rsidRPr="00392E88">
        <w:t xml:space="preserve">7 </w:t>
      </w:r>
      <w:r w:rsidR="008A46F8" w:rsidRPr="006E6446">
        <w:t>ust.</w:t>
      </w:r>
      <w:r w:rsidRPr="006E6446">
        <w:t> </w:t>
      </w:r>
      <w:r w:rsidR="008A46F8" w:rsidRPr="006E6446">
        <w:t>1</w:t>
      </w:r>
      <w:r w:rsidR="008A46F8" w:rsidRPr="00392E88">
        <w:t xml:space="preserve"> </w:t>
      </w:r>
      <w:r w:rsidR="008A46F8" w:rsidRPr="006E6446">
        <w:t>lit.</w:t>
      </w:r>
      <w:r w:rsidRPr="006E6446">
        <w:t> </w:t>
      </w:r>
      <w:r w:rsidR="008A46F8" w:rsidRPr="006E6446">
        <w:t>g)</w:t>
      </w:r>
      <w:r w:rsidR="008A46F8" w:rsidRPr="00392E88">
        <w:t xml:space="preserve"> otrzymuje brzmienie:</w:t>
      </w:r>
    </w:p>
    <w:p w14:paraId="47C4189B" w14:textId="1B5475E1" w:rsidR="006C05D9" w:rsidRPr="00392E88" w:rsidRDefault="006C05D9" w:rsidP="005D0C3B">
      <w:pPr>
        <w:pStyle w:val="Point1"/>
      </w:pPr>
      <w:r w:rsidRPr="00392E88">
        <w:t xml:space="preserve">„g) </w:t>
      </w:r>
      <w:r w:rsidRPr="00392E88">
        <w:tab/>
        <w:t>jeżeli uczestnicy ponoszą ryzyko inwestycyjne lub mogą podejmować decyzje inwestycyjne:</w:t>
      </w:r>
      <w:r w:rsidR="006E6446" w:rsidRPr="00392E88">
        <w:t xml:space="preserve"> o</w:t>
      </w:r>
      <w:r w:rsidR="006E6446">
        <w:t> </w:t>
      </w:r>
      <w:r w:rsidR="006E6446" w:rsidRPr="00392E88">
        <w:t>osi</w:t>
      </w:r>
      <w:r w:rsidRPr="00392E88">
        <w:t>ągniętych</w:t>
      </w:r>
      <w:r w:rsidR="006E6446" w:rsidRPr="00392E88">
        <w:t xml:space="preserve"> w</w:t>
      </w:r>
      <w:r w:rsidR="006E6446">
        <w:t> </w:t>
      </w:r>
      <w:r w:rsidR="006E6446" w:rsidRPr="00392E88">
        <w:t>prz</w:t>
      </w:r>
      <w:r w:rsidRPr="00392E88">
        <w:t>eszłości wynikach inwestycyjnych związanych</w:t>
      </w:r>
      <w:r w:rsidR="006E6446" w:rsidRPr="00392E88">
        <w:t xml:space="preserve"> z</w:t>
      </w:r>
      <w:r w:rsidR="006E6446">
        <w:t> </w:t>
      </w:r>
      <w:r w:rsidR="006E6446" w:rsidRPr="00392E88">
        <w:t>pro</w:t>
      </w:r>
      <w:r w:rsidRPr="00392E88">
        <w:t>gramem emerytalnym przez minimalny okres dziesięciu lat lub przez wszystkie lata działalności programu, jeżeli było ich mniej niż dziesięć;”;</w:t>
      </w:r>
    </w:p>
    <w:p w14:paraId="48F0D48A" w14:textId="2CF12619" w:rsidR="00055AC4" w:rsidRPr="00392E88" w:rsidRDefault="006E6446" w:rsidP="006E6446">
      <w:pPr>
        <w:pStyle w:val="Point0"/>
      </w:pPr>
      <w:r>
        <w:t>37)</w:t>
      </w:r>
      <w:r>
        <w:tab/>
      </w:r>
      <w:r w:rsidR="47E467D4" w:rsidRPr="00392E88">
        <w:t xml:space="preserve">dodaje się </w:t>
      </w:r>
      <w:r w:rsidR="47E467D4" w:rsidRPr="006E6446">
        <w:t>art.</w:t>
      </w:r>
      <w:r w:rsidRPr="006E6446">
        <w:t> </w:t>
      </w:r>
      <w:r w:rsidR="47E467D4" w:rsidRPr="006E6446">
        <w:t>3</w:t>
      </w:r>
      <w:r w:rsidR="47E467D4" w:rsidRPr="00392E88">
        <w:t>7a</w:t>
      </w:r>
      <w:r w:rsidRPr="00392E88">
        <w:t xml:space="preserve"> w</w:t>
      </w:r>
      <w:r>
        <w:t> </w:t>
      </w:r>
      <w:r w:rsidRPr="00392E88">
        <w:t>brz</w:t>
      </w:r>
      <w:r w:rsidR="47E467D4" w:rsidRPr="00392E88">
        <w:t>mieniu:</w:t>
      </w:r>
    </w:p>
    <w:p w14:paraId="5A1690FE" w14:textId="77777777" w:rsidR="00055AC4" w:rsidRPr="00392E88" w:rsidRDefault="00055AC4" w:rsidP="00C9746B">
      <w:pPr>
        <w:pStyle w:val="Titrearticle"/>
      </w:pPr>
      <w:r w:rsidRPr="00392E88">
        <w:t xml:space="preserve">„Artykuł 37a </w:t>
      </w:r>
      <w:r w:rsidRPr="00392E88">
        <w:br/>
      </w:r>
      <w:r w:rsidRPr="00392E88">
        <w:rPr>
          <w:b/>
          <w:i w:val="0"/>
        </w:rPr>
        <w:t>Systemy monitorowania uprawnień emerytalnych</w:t>
      </w:r>
    </w:p>
    <w:p w14:paraId="2EC53877" w14:textId="66F5E4F3" w:rsidR="004E47ED" w:rsidRPr="00392E88" w:rsidRDefault="00055AC4" w:rsidP="00B038BD">
      <w:pPr>
        <w:pStyle w:val="Text1"/>
      </w:pPr>
      <w:r w:rsidRPr="00392E88">
        <w:t>1.</w:t>
      </w:r>
      <w:r w:rsidRPr="00392E88">
        <w:tab/>
        <w:t>Państwa członkowskie zapewniają, aby</w:t>
      </w:r>
      <w:r w:rsidR="006E6446" w:rsidRPr="00392E88">
        <w:t xml:space="preserve"> w</w:t>
      </w:r>
      <w:r w:rsidR="006E6446">
        <w:t> </w:t>
      </w:r>
      <w:r w:rsidR="006E6446" w:rsidRPr="00392E88">
        <w:t>prz</w:t>
      </w:r>
      <w:r w:rsidRPr="00392E88">
        <w:t>ypadku gdy istnieją systemy monitorowania uprawnień emerytalnych, obejmowały one uprawnienia emerytalne zarządzane przez IORP.</w:t>
      </w:r>
    </w:p>
    <w:p w14:paraId="5F13FF0D" w14:textId="0DFDE1F4" w:rsidR="00055AC4" w:rsidRPr="00392E88" w:rsidRDefault="004E47ED" w:rsidP="00B038BD">
      <w:pPr>
        <w:pStyle w:val="Text1"/>
      </w:pPr>
      <w:r w:rsidRPr="00392E88">
        <w:t>2.</w:t>
      </w:r>
      <w:r w:rsidRPr="00392E88">
        <w:tab/>
        <w:t xml:space="preserve">Do celów </w:t>
      </w:r>
      <w:r w:rsidRPr="006E6446">
        <w:t>ust.</w:t>
      </w:r>
      <w:r w:rsidR="006E6446" w:rsidRPr="006E6446">
        <w:t> </w:t>
      </w:r>
      <w:r w:rsidRPr="006E6446">
        <w:t>1</w:t>
      </w:r>
      <w:r w:rsidRPr="00392E88">
        <w:t xml:space="preserve"> państwa członkowskie zapewniają, aby IORP przekazywały do systemów monitorowania uprawnień emerytalnych,</w:t>
      </w:r>
      <w:r w:rsidR="006E6446" w:rsidRPr="00392E88">
        <w:t xml:space="preserve"> o</w:t>
      </w:r>
      <w:r w:rsidR="006E6446">
        <w:t> </w:t>
      </w:r>
      <w:r w:rsidR="006E6446" w:rsidRPr="00392E88">
        <w:t>ile</w:t>
      </w:r>
      <w:r w:rsidRPr="00392E88">
        <w:t xml:space="preserve"> takie systemy zostały ustanowione, wszystkie informacje niezbędne do zapewnienia uczestnikom</w:t>
      </w:r>
      <w:r w:rsidR="006E6446" w:rsidRPr="00392E88">
        <w:t xml:space="preserve"> i</w:t>
      </w:r>
      <w:r w:rsidR="006E6446">
        <w:t> </w:t>
      </w:r>
      <w:r w:rsidR="006E6446" w:rsidRPr="00392E88">
        <w:t>ben</w:t>
      </w:r>
      <w:r w:rsidRPr="00392E88">
        <w:t>eficjentom kompleksowego, wiarygodnego</w:t>
      </w:r>
      <w:r w:rsidR="006E6446" w:rsidRPr="00392E88">
        <w:t xml:space="preserve"> i</w:t>
      </w:r>
      <w:r w:rsidR="006E6446">
        <w:t> </w:t>
      </w:r>
      <w:r w:rsidR="006E6446" w:rsidRPr="00392E88">
        <w:t>akt</w:t>
      </w:r>
      <w:r w:rsidRPr="00392E88">
        <w:t>ualnego przeglądu ich pracowniczych</w:t>
      </w:r>
      <w:r w:rsidR="006E6446" w:rsidRPr="00392E88">
        <w:t xml:space="preserve"> i</w:t>
      </w:r>
      <w:r w:rsidR="006E6446">
        <w:t> </w:t>
      </w:r>
      <w:r w:rsidR="006E6446" w:rsidRPr="00392E88">
        <w:t>ind</w:t>
      </w:r>
      <w:r w:rsidRPr="00392E88">
        <w:t>ywidualnych uprawnień emerytalnych</w:t>
      </w:r>
      <w:r w:rsidR="006E6446" w:rsidRPr="00392E88">
        <w:t xml:space="preserve"> w</w:t>
      </w:r>
      <w:r w:rsidR="006E6446">
        <w:t> </w:t>
      </w:r>
      <w:r w:rsidR="006E6446" w:rsidRPr="00392E88">
        <w:t>zak</w:t>
      </w:r>
      <w:r w:rsidRPr="00392E88">
        <w:t>resie,</w:t>
      </w:r>
      <w:r w:rsidR="006E6446" w:rsidRPr="00392E88">
        <w:t xml:space="preserve"> w</w:t>
      </w:r>
      <w:r w:rsidR="006E6446">
        <w:t> </w:t>
      </w:r>
      <w:r w:rsidR="006E6446" w:rsidRPr="00392E88">
        <w:t>jak</w:t>
      </w:r>
      <w:r w:rsidRPr="00392E88">
        <w:t>im uprawnienia te są zarządzane przez IORP.</w:t>
      </w:r>
    </w:p>
    <w:p w14:paraId="1D2C7D0D" w14:textId="5FCB16DF" w:rsidR="00055AC4" w:rsidRPr="00392E88" w:rsidRDefault="004E47ED" w:rsidP="00B038BD">
      <w:pPr>
        <w:pStyle w:val="Text1"/>
      </w:pPr>
      <w:r w:rsidRPr="00392E88">
        <w:t>3.</w:t>
      </w:r>
      <w:r w:rsidRPr="00392E88">
        <w:tab/>
        <w:t>Państwa członkowskie zapewniają, aby informacje,</w:t>
      </w:r>
      <w:r w:rsidR="006E6446" w:rsidRPr="00392E88">
        <w:t xml:space="preserve"> o</w:t>
      </w:r>
      <w:r w:rsidR="006E6446">
        <w:t> </w:t>
      </w:r>
      <w:r w:rsidR="006E6446" w:rsidRPr="00392E88">
        <w:t>któ</w:t>
      </w:r>
      <w:r w:rsidRPr="00392E88">
        <w:t>rych mowa</w:t>
      </w:r>
      <w:r w:rsidR="006E6446" w:rsidRPr="00392E88">
        <w:t xml:space="preserve"> w</w:t>
      </w:r>
      <w:r w:rsidR="006E6446">
        <w:t> </w:t>
      </w:r>
      <w:r w:rsidR="006E6446" w:rsidRPr="006E6446">
        <w:t>ust</w:t>
      </w:r>
      <w:r w:rsidRPr="006E6446">
        <w:t>.</w:t>
      </w:r>
      <w:r w:rsidR="006E6446" w:rsidRPr="006E6446">
        <w:t> </w:t>
      </w:r>
      <w:r w:rsidRPr="006E6446">
        <w:t>2</w:t>
      </w:r>
      <w:r w:rsidRPr="00392E88">
        <w:t>, były przekazywane</w:t>
      </w:r>
      <w:r w:rsidR="006E6446" w:rsidRPr="00392E88">
        <w:t xml:space="preserve"> w</w:t>
      </w:r>
      <w:r w:rsidR="006E6446">
        <w:t> </w:t>
      </w:r>
      <w:r w:rsidR="006E6446" w:rsidRPr="00392E88">
        <w:t>zno</w:t>
      </w:r>
      <w:r w:rsidRPr="00392E88">
        <w:t>rmalizowanym, nadającym się do odczytu maszynowego</w:t>
      </w:r>
      <w:r w:rsidR="006E6446" w:rsidRPr="00392E88">
        <w:t xml:space="preserve"> i</w:t>
      </w:r>
      <w:r w:rsidR="006E6446">
        <w:t> </w:t>
      </w:r>
      <w:r w:rsidR="006E6446" w:rsidRPr="00392E88">
        <w:t>int</w:t>
      </w:r>
      <w:r w:rsidRPr="00392E88">
        <w:t>eroperacyjnym formacie umożliwiającym systemom monitorowania uprawnień emerytalnych agregowanie danych dotyczących nabytych praw, zgromadzonego kapitału</w:t>
      </w:r>
      <w:r w:rsidR="006E6446" w:rsidRPr="00392E88">
        <w:t xml:space="preserve"> i</w:t>
      </w:r>
      <w:r w:rsidR="006E6446">
        <w:t> </w:t>
      </w:r>
      <w:r w:rsidR="006E6446" w:rsidRPr="00392E88">
        <w:t>pro</w:t>
      </w:r>
      <w:r w:rsidRPr="00392E88">
        <w:t>gnozowanych świadczeń</w:t>
      </w:r>
      <w:r w:rsidR="006E6446" w:rsidRPr="00392E88">
        <w:t xml:space="preserve"> w</w:t>
      </w:r>
      <w:r w:rsidR="006E6446">
        <w:t> </w:t>
      </w:r>
      <w:r w:rsidR="006E6446" w:rsidRPr="00392E88">
        <w:t>spó</w:t>
      </w:r>
      <w:r w:rsidRPr="00392E88">
        <w:t>jny</w:t>
      </w:r>
      <w:r w:rsidR="006E6446" w:rsidRPr="00392E88">
        <w:t xml:space="preserve"> i</w:t>
      </w:r>
      <w:r w:rsidR="006E6446">
        <w:t> </w:t>
      </w:r>
      <w:r w:rsidR="006E6446" w:rsidRPr="00392E88">
        <w:t>por</w:t>
      </w:r>
      <w:r w:rsidRPr="00392E88">
        <w:t>ównywalny sposób.</w:t>
      </w:r>
    </w:p>
    <w:p w14:paraId="4EC621B5" w14:textId="297ECB01" w:rsidR="00055AC4" w:rsidRPr="00392E88" w:rsidRDefault="004E47ED" w:rsidP="00B038BD">
      <w:pPr>
        <w:pStyle w:val="Text1"/>
      </w:pPr>
      <w:r w:rsidRPr="00392E88">
        <w:t>4.</w:t>
      </w:r>
      <w:r w:rsidRPr="00392E88">
        <w:tab/>
        <w:t>Państwa członkowskie zapewniają, aby IORP pozostały</w:t>
      </w:r>
      <w:r w:rsidR="006E6446" w:rsidRPr="00392E88">
        <w:t xml:space="preserve"> w</w:t>
      </w:r>
      <w:r w:rsidR="006E6446">
        <w:t> </w:t>
      </w:r>
      <w:r w:rsidR="006E6446" w:rsidRPr="00392E88">
        <w:t>peł</w:t>
      </w:r>
      <w:r w:rsidRPr="00392E88">
        <w:t>ni odpowiedzialne za kompletność</w:t>
      </w:r>
      <w:r w:rsidR="006E6446" w:rsidRPr="00392E88">
        <w:t xml:space="preserve"> i</w:t>
      </w:r>
      <w:r w:rsidR="006E6446">
        <w:t> </w:t>
      </w:r>
      <w:r w:rsidR="006E6446" w:rsidRPr="00392E88">
        <w:t>dok</w:t>
      </w:r>
      <w:r w:rsidRPr="00392E88">
        <w:t>ładność przekazywanych danych oraz za wypełnienie wszystkich obowiązków dotyczących przekazywania informacji przewidzianych</w:t>
      </w:r>
      <w:r w:rsidR="006E6446" w:rsidRPr="00392E88">
        <w:t xml:space="preserve"> w</w:t>
      </w:r>
      <w:r w:rsidR="006E6446">
        <w:t> </w:t>
      </w:r>
      <w:r w:rsidR="006E6446" w:rsidRPr="00392E88">
        <w:t>nin</w:t>
      </w:r>
      <w:r w:rsidRPr="00392E88">
        <w:t>iejszym artykule.</w:t>
      </w:r>
    </w:p>
    <w:p w14:paraId="2207E942" w14:textId="256CBFDA" w:rsidR="009C63DF" w:rsidRPr="00392E88" w:rsidRDefault="004E47ED" w:rsidP="00B038BD">
      <w:pPr>
        <w:pStyle w:val="Text1"/>
      </w:pPr>
      <w:r w:rsidRPr="00392E88">
        <w:t>5.</w:t>
      </w:r>
      <w:r w:rsidRPr="00392E88">
        <w:tab/>
        <w:t>Państwa członkowskie zapewniają, aby właściwe organy monitorowały</w:t>
      </w:r>
      <w:r w:rsidR="006E6446" w:rsidRPr="00392E88">
        <w:t xml:space="preserve"> i</w:t>
      </w:r>
      <w:r w:rsidR="006E6446">
        <w:t> </w:t>
      </w:r>
      <w:r w:rsidR="006E6446" w:rsidRPr="00392E88">
        <w:t>egz</w:t>
      </w:r>
      <w:r w:rsidRPr="00392E88">
        <w:t>ekwowały przestrzeganie niniejszego artykułu oraz wprowadzały środki naprawcze</w:t>
      </w:r>
      <w:r w:rsidR="006E6446" w:rsidRPr="00392E88">
        <w:t xml:space="preserve"> w</w:t>
      </w:r>
      <w:r w:rsidR="006E6446">
        <w:t> </w:t>
      </w:r>
      <w:r w:rsidR="006E6446" w:rsidRPr="00392E88">
        <w:t>prz</w:t>
      </w:r>
      <w:r w:rsidRPr="00392E88">
        <w:t>ypadku, gdy IORP nie dostarczą kompletnych, dokładnych lub terminowych informacji.</w:t>
      </w:r>
    </w:p>
    <w:p w14:paraId="248C4DEA" w14:textId="06E7F03F" w:rsidR="00055AC4" w:rsidRPr="00392E88" w:rsidRDefault="004E47ED" w:rsidP="00B038BD">
      <w:pPr>
        <w:pStyle w:val="Text1"/>
      </w:pPr>
      <w:r w:rsidRPr="00392E88">
        <w:t>6.</w:t>
      </w:r>
      <w:r w:rsidRPr="00392E88">
        <w:tab/>
        <w:t>Format</w:t>
      </w:r>
      <w:r w:rsidR="006E6446" w:rsidRPr="00392E88">
        <w:t xml:space="preserve"> i</w:t>
      </w:r>
      <w:r w:rsidR="006E6446">
        <w:t> </w:t>
      </w:r>
      <w:r w:rsidR="006E6446" w:rsidRPr="00392E88">
        <w:t>str</w:t>
      </w:r>
      <w:r w:rsidRPr="00392E88">
        <w:t>uktura informacji, które mają być przekazywane do systemów monitorowania uprawnień emerytalnych, są zgodne</w:t>
      </w:r>
      <w:r w:rsidR="006E6446" w:rsidRPr="00392E88">
        <w:t xml:space="preserve"> z</w:t>
      </w:r>
      <w:r w:rsidR="006E6446">
        <w:t> </w:t>
      </w:r>
      <w:r w:rsidR="006E6446" w:rsidRPr="00392E88">
        <w:t>for</w:t>
      </w:r>
      <w:r w:rsidRPr="00392E88">
        <w:t>matem</w:t>
      </w:r>
      <w:r w:rsidR="006E6446" w:rsidRPr="00392E88">
        <w:t xml:space="preserve"> i</w:t>
      </w:r>
      <w:r w:rsidR="006E6446">
        <w:t> </w:t>
      </w:r>
      <w:r w:rsidR="006E6446" w:rsidRPr="00392E88">
        <w:t>str</w:t>
      </w:r>
      <w:r w:rsidRPr="00392E88">
        <w:t>ukturą określonymi</w:t>
      </w:r>
      <w:r w:rsidR="006E6446" w:rsidRPr="00392E88">
        <w:t xml:space="preserve"> w</w:t>
      </w:r>
      <w:r w:rsidR="006E6446">
        <w:t> </w:t>
      </w:r>
      <w:r w:rsidR="006E6446" w:rsidRPr="00392E88">
        <w:t>roz</w:t>
      </w:r>
      <w:r w:rsidRPr="00392E88">
        <w:t xml:space="preserve">porządzeniu delegowanym przyjętym na podstawie </w:t>
      </w:r>
      <w:r w:rsidRPr="006E6446">
        <w:t>art.</w:t>
      </w:r>
      <w:r w:rsidR="006E6446" w:rsidRPr="006E6446">
        <w:t> </w:t>
      </w:r>
      <w:r w:rsidRPr="006E6446">
        <w:t>3</w:t>
      </w:r>
      <w:r w:rsidRPr="00392E88">
        <w:t>8.”;</w:t>
      </w:r>
    </w:p>
    <w:p w14:paraId="3595C1AE" w14:textId="6BE58E8E" w:rsidR="00F60F72" w:rsidRPr="00392E88" w:rsidRDefault="006E6446" w:rsidP="006E6446">
      <w:pPr>
        <w:pStyle w:val="Point0"/>
      </w:pPr>
      <w:r>
        <w:t>38)</w:t>
      </w:r>
      <w:r>
        <w:tab/>
      </w:r>
      <w:r w:rsidR="00F60F72" w:rsidRPr="00392E88">
        <w:t xml:space="preserve">w </w:t>
      </w:r>
      <w:r w:rsidR="00F60F72" w:rsidRPr="006E6446">
        <w:t>art.</w:t>
      </w:r>
      <w:r w:rsidRPr="006E6446">
        <w:t> </w:t>
      </w:r>
      <w:r w:rsidR="00F60F72" w:rsidRPr="006E6446">
        <w:t>3</w:t>
      </w:r>
      <w:r w:rsidR="00F60F72" w:rsidRPr="00392E88">
        <w:t xml:space="preserve">8 wprowadza się następujące zmiany: </w:t>
      </w:r>
    </w:p>
    <w:p w14:paraId="4D34087A" w14:textId="2AB2DDFB" w:rsidR="00552C4A" w:rsidRPr="00392E88" w:rsidRDefault="006E6446" w:rsidP="006E6446">
      <w:pPr>
        <w:pStyle w:val="Point1"/>
      </w:pPr>
      <w:r>
        <w:t>a)</w:t>
      </w:r>
      <w:r>
        <w:tab/>
      </w:r>
      <w:r w:rsidR="00264E5F" w:rsidRPr="006E6446">
        <w:t>ust.</w:t>
      </w:r>
      <w:r w:rsidRPr="006E6446">
        <w:t> </w:t>
      </w:r>
      <w:r w:rsidR="00264E5F" w:rsidRPr="006E6446">
        <w:t>1</w:t>
      </w:r>
      <w:r w:rsidR="00264E5F" w:rsidRPr="00392E88">
        <w:t>, 2</w:t>
      </w:r>
      <w:r w:rsidRPr="00392E88">
        <w:t xml:space="preserve"> i</w:t>
      </w:r>
      <w:r>
        <w:t> </w:t>
      </w:r>
      <w:r w:rsidRPr="00392E88">
        <w:t>3</w:t>
      </w:r>
      <w:r w:rsidR="00264E5F" w:rsidRPr="00392E88">
        <w:t xml:space="preserve"> otrzymują brzmienie:</w:t>
      </w:r>
    </w:p>
    <w:p w14:paraId="6036091C" w14:textId="29437480" w:rsidR="00264E5F" w:rsidRPr="00392E88" w:rsidRDefault="00264E5F" w:rsidP="00EE22DA">
      <w:pPr>
        <w:pStyle w:val="Text1"/>
      </w:pPr>
      <w:r w:rsidRPr="00392E88">
        <w:t>„1.</w:t>
      </w:r>
      <w:r w:rsidRPr="00392E88">
        <w:tab/>
        <w:t>Państwa członkowskie wymagają, aby IORP sporządzały zwięzły dokument zawierający kluczowe informacje dla każdego uczestnika. Dokument ten zawiera informacje na temat poziomu ryzyka ponoszonego przez uczestnika</w:t>
      </w:r>
      <w:r w:rsidR="006E6446" w:rsidRPr="00392E88">
        <w:t xml:space="preserve"> i</w:t>
      </w:r>
      <w:r w:rsidR="006E6446">
        <w:t> </w:t>
      </w:r>
      <w:r w:rsidR="006E6446" w:rsidRPr="00392E88">
        <w:t>uwz</w:t>
      </w:r>
      <w:r w:rsidRPr="00392E88">
        <w:t>ględnia specyficzny charakter krajowych systemów emerytalnych oraz odpowiednich krajowych przepisów prawa socjalnego, prawa pracy</w:t>
      </w:r>
      <w:r w:rsidR="006E6446" w:rsidRPr="00392E88">
        <w:t xml:space="preserve"> i</w:t>
      </w:r>
      <w:r w:rsidR="006E6446">
        <w:t> </w:t>
      </w:r>
      <w:r w:rsidR="006E6446" w:rsidRPr="00392E88">
        <w:t>pra</w:t>
      </w:r>
      <w:r w:rsidRPr="00392E88">
        <w:t>wa podatkowego (zwany dalej „informacją</w:t>
      </w:r>
      <w:r w:rsidR="006E6446" w:rsidRPr="00392E88">
        <w:t xml:space="preserve"> o</w:t>
      </w:r>
      <w:r w:rsidR="006E6446">
        <w:t> </w:t>
      </w:r>
      <w:r w:rsidR="006E6446" w:rsidRPr="00392E88">
        <w:t>świ</w:t>
      </w:r>
      <w:r w:rsidRPr="00392E88">
        <w:t>adczeniu emerytalnym”). Tytuł dokumentu zawiera wyrazy „Informacja</w:t>
      </w:r>
      <w:r w:rsidR="006E6446" w:rsidRPr="00392E88">
        <w:t xml:space="preserve"> o</w:t>
      </w:r>
      <w:r w:rsidR="006E6446">
        <w:t> </w:t>
      </w:r>
      <w:r w:rsidR="006E6446" w:rsidRPr="00392E88">
        <w:t>świ</w:t>
      </w:r>
      <w:r w:rsidRPr="00392E88">
        <w:t>adczeniu emerytalnym”.</w:t>
      </w:r>
    </w:p>
    <w:p w14:paraId="14085A61" w14:textId="2849142F" w:rsidR="006C32EA" w:rsidRPr="00392E88" w:rsidRDefault="00F66503" w:rsidP="00EE22DA">
      <w:pPr>
        <w:pStyle w:val="Text1"/>
      </w:pPr>
      <w:r w:rsidRPr="00392E88">
        <w:t>2.</w:t>
      </w:r>
      <w:r w:rsidRPr="00392E88">
        <w:tab/>
        <w:t>W widocznym miejscu podaje się dokładną datę</w:t>
      </w:r>
      <w:r w:rsidR="006E6446" w:rsidRPr="00392E88">
        <w:t xml:space="preserve"> i</w:t>
      </w:r>
      <w:r w:rsidR="006E6446">
        <w:t> </w:t>
      </w:r>
      <w:r w:rsidR="006E6446" w:rsidRPr="00392E88">
        <w:t>okr</w:t>
      </w:r>
      <w:r w:rsidRPr="00392E88">
        <w:t>es, do których odnoszą się informacje zawarte</w:t>
      </w:r>
      <w:r w:rsidR="006E6446" w:rsidRPr="00392E88">
        <w:t xml:space="preserve"> w</w:t>
      </w:r>
      <w:r w:rsidR="006E6446">
        <w:t> </w:t>
      </w:r>
      <w:r w:rsidR="006E6446" w:rsidRPr="00392E88">
        <w:t>inf</w:t>
      </w:r>
      <w:r w:rsidRPr="00392E88">
        <w:t>ormacji</w:t>
      </w:r>
      <w:r w:rsidR="006E6446" w:rsidRPr="00392E88">
        <w:t xml:space="preserve"> o</w:t>
      </w:r>
      <w:r w:rsidR="006E6446">
        <w:t> </w:t>
      </w:r>
      <w:r w:rsidR="006E6446" w:rsidRPr="00392E88">
        <w:t>świ</w:t>
      </w:r>
      <w:r w:rsidRPr="00392E88">
        <w:t>adczeniu emerytalnym.</w:t>
      </w:r>
    </w:p>
    <w:p w14:paraId="1F800199" w14:textId="79F6CF56" w:rsidR="003A210D" w:rsidRPr="006E6446" w:rsidRDefault="00F66503" w:rsidP="008A46F8">
      <w:pPr>
        <w:pStyle w:val="Text1"/>
      </w:pPr>
      <w:r w:rsidRPr="00392E88">
        <w:t>3.</w:t>
      </w:r>
      <w:r w:rsidRPr="00392E88">
        <w:tab/>
        <w:t>Państwa członkowskie wymagają, aby informacje zawarte</w:t>
      </w:r>
      <w:r w:rsidR="006E6446" w:rsidRPr="00392E88">
        <w:t xml:space="preserve"> w</w:t>
      </w:r>
      <w:r w:rsidR="006E6446">
        <w:t> </w:t>
      </w:r>
      <w:r w:rsidR="006E6446" w:rsidRPr="00392E88">
        <w:t>inf</w:t>
      </w:r>
      <w:r w:rsidRPr="00392E88">
        <w:t>ormacji</w:t>
      </w:r>
      <w:r w:rsidR="006E6446" w:rsidRPr="00392E88">
        <w:t xml:space="preserve"> o</w:t>
      </w:r>
      <w:r w:rsidR="006E6446">
        <w:t> </w:t>
      </w:r>
      <w:r w:rsidR="006E6446" w:rsidRPr="00392E88">
        <w:t>świ</w:t>
      </w:r>
      <w:r w:rsidRPr="00392E88">
        <w:t>adczeniu emerytalnym były dokładne, aktualne, spójne</w:t>
      </w:r>
      <w:r w:rsidR="006E6446" w:rsidRPr="00392E88">
        <w:t xml:space="preserve"> z</w:t>
      </w:r>
      <w:r w:rsidR="006E6446">
        <w:t> </w:t>
      </w:r>
      <w:r w:rsidR="006E6446" w:rsidRPr="00392E88">
        <w:t>dok</w:t>
      </w:r>
      <w:r w:rsidRPr="00392E88">
        <w:t>onanymi wyborami</w:t>
      </w:r>
      <w:r w:rsidR="006E6446" w:rsidRPr="00392E88">
        <w:t xml:space="preserve"> i</w:t>
      </w:r>
      <w:r w:rsidR="006E6446">
        <w:t> </w:t>
      </w:r>
      <w:r w:rsidR="006E6446" w:rsidRPr="00392E88">
        <w:t>kom</w:t>
      </w:r>
      <w:r w:rsidRPr="00392E88">
        <w:t>pletne. Aby ułatwić zrozumienie, informacje muszą być prezentowane</w:t>
      </w:r>
      <w:r w:rsidR="006E6446" w:rsidRPr="00392E88">
        <w:t xml:space="preserve"> w</w:t>
      </w:r>
      <w:r w:rsidR="006E6446">
        <w:t> </w:t>
      </w:r>
      <w:r w:rsidR="006E6446" w:rsidRPr="00392E88">
        <w:t>for</w:t>
      </w:r>
      <w:r w:rsidRPr="00392E88">
        <w:t>mie warstw</w:t>
      </w:r>
      <w:r w:rsidR="006E6446" w:rsidRPr="00392E88">
        <w:t xml:space="preserve"> i</w:t>
      </w:r>
      <w:r w:rsidR="006E6446">
        <w:t> </w:t>
      </w:r>
      <w:r w:rsidR="006E6446" w:rsidRPr="00392E88">
        <w:t>mus</w:t>
      </w:r>
      <w:r w:rsidRPr="00392E88">
        <w:t>zą być zgodne</w:t>
      </w:r>
      <w:r w:rsidR="006E6446" w:rsidRPr="00392E88">
        <w:t xml:space="preserve"> z</w:t>
      </w:r>
      <w:r w:rsidR="006E6446">
        <w:t> </w:t>
      </w:r>
      <w:r w:rsidR="006E6446" w:rsidRPr="00392E88">
        <w:t>zas</w:t>
      </w:r>
      <w:r w:rsidRPr="00392E88">
        <w:t>adami dobrego projektowania. Informacja</w:t>
      </w:r>
      <w:r w:rsidR="006E6446" w:rsidRPr="00392E88">
        <w:t xml:space="preserve"> o</w:t>
      </w:r>
      <w:r w:rsidR="006E6446">
        <w:t> </w:t>
      </w:r>
      <w:r w:rsidR="006E6446" w:rsidRPr="00392E88">
        <w:t>świ</w:t>
      </w:r>
      <w:r w:rsidRPr="00392E88">
        <w:t>adczeniu emerytalnym jest udostępniana każdemu uczestnikowi bezpłatnie,</w:t>
      </w:r>
      <w:r w:rsidR="006E6446" w:rsidRPr="00392E88">
        <w:t xml:space="preserve"> w</w:t>
      </w:r>
      <w:r w:rsidR="006E6446">
        <w:t> </w:t>
      </w:r>
      <w:r w:rsidR="006E6446" w:rsidRPr="00392E88">
        <w:t>for</w:t>
      </w:r>
      <w:r w:rsidRPr="00392E88">
        <w:t>mie papierowej lub za pomocą środków elektronicznych,</w:t>
      </w:r>
      <w:r w:rsidR="006E6446" w:rsidRPr="00392E88">
        <w:t xml:space="preserve"> w</w:t>
      </w:r>
      <w:r w:rsidR="006E6446">
        <w:t> </w:t>
      </w:r>
      <w:r w:rsidR="006E6446" w:rsidRPr="00392E88">
        <w:t>tym</w:t>
      </w:r>
      <w:r w:rsidRPr="00392E88">
        <w:t xml:space="preserve"> na trwałym nośniku, lub za pośrednictwem strony internetowej co najmniej raz</w:t>
      </w:r>
      <w:r w:rsidR="006E6446" w:rsidRPr="00392E88">
        <w:t xml:space="preserve"> w</w:t>
      </w:r>
      <w:r w:rsidR="006E6446">
        <w:t> </w:t>
      </w:r>
      <w:r w:rsidR="006E6446" w:rsidRPr="00392E88">
        <w:t>rok</w:t>
      </w:r>
      <w:r w:rsidRPr="00392E88">
        <w:t>u, zgodnie</w:t>
      </w:r>
      <w:r w:rsidR="006E6446" w:rsidRPr="00392E88">
        <w:t xml:space="preserve"> z</w:t>
      </w:r>
      <w:r w:rsidR="006E6446">
        <w:t> </w:t>
      </w:r>
      <w:r w:rsidR="006E6446" w:rsidRPr="00392E88">
        <w:t>pre</w:t>
      </w:r>
      <w:r w:rsidRPr="00392E88">
        <w:t>ferencjami uczestnika. Preferencje uzyskuje się co najmniej na początku uczestnictwa.”;</w:t>
      </w:r>
    </w:p>
    <w:p w14:paraId="0CCA1391" w14:textId="01FC7D32" w:rsidR="00552C4A" w:rsidRPr="00392E88" w:rsidRDefault="006E6446" w:rsidP="006E6446">
      <w:pPr>
        <w:pStyle w:val="Point1"/>
      </w:pPr>
      <w:r>
        <w:t>b)</w:t>
      </w:r>
      <w:r>
        <w:tab/>
      </w:r>
      <w:r w:rsidR="00692AD9" w:rsidRPr="006E6446">
        <w:t>d</w:t>
      </w:r>
      <w:r w:rsidR="00692AD9" w:rsidRPr="00392E88">
        <w:t>odaje się ust. 6</w:t>
      </w:r>
      <w:r w:rsidRPr="00392E88">
        <w:t xml:space="preserve"> w</w:t>
      </w:r>
      <w:r>
        <w:t> </w:t>
      </w:r>
      <w:r w:rsidRPr="00392E88">
        <w:t>brz</w:t>
      </w:r>
      <w:r w:rsidR="00692AD9" w:rsidRPr="00392E88">
        <w:t>mieniu:</w:t>
      </w:r>
    </w:p>
    <w:p w14:paraId="3F5D5201" w14:textId="3EE02D04" w:rsidR="00754B9A" w:rsidRPr="00392E88" w:rsidRDefault="00B60CDB" w:rsidP="00A43863">
      <w:pPr>
        <w:pStyle w:val="Text1"/>
      </w:pPr>
      <w:r w:rsidRPr="00392E88">
        <w:t>„6.</w:t>
      </w:r>
      <w:r w:rsidRPr="00392E88">
        <w:tab/>
        <w:t>Format</w:t>
      </w:r>
      <w:r w:rsidR="006E6446" w:rsidRPr="00392E88">
        <w:t xml:space="preserve"> i</w:t>
      </w:r>
      <w:r w:rsidR="006E6446">
        <w:t> </w:t>
      </w:r>
      <w:r w:rsidR="006E6446" w:rsidRPr="00392E88">
        <w:t>str</w:t>
      </w:r>
      <w:r w:rsidRPr="00392E88">
        <w:t>uktura informacji</w:t>
      </w:r>
      <w:r w:rsidR="006E6446" w:rsidRPr="00392E88">
        <w:t xml:space="preserve"> o</w:t>
      </w:r>
      <w:r w:rsidR="006E6446">
        <w:t> </w:t>
      </w:r>
      <w:r w:rsidR="006E6446" w:rsidRPr="00392E88">
        <w:t>świ</w:t>
      </w:r>
      <w:r w:rsidRPr="00392E88">
        <w:t>adczeniu emerytalnym są przekazywane uczestnikom</w:t>
      </w:r>
      <w:r w:rsidR="006E6446" w:rsidRPr="00392E88">
        <w:t xml:space="preserve"> i</w:t>
      </w:r>
      <w:r w:rsidR="006E6446">
        <w:t> </w:t>
      </w:r>
      <w:r w:rsidR="006E6446" w:rsidRPr="00392E88">
        <w:t>ben</w:t>
      </w:r>
      <w:r w:rsidRPr="00392E88">
        <w:t>eficjentom przy użyciu znormalizowanego formatu unijnego, przy jednoczesnym uwzględnieniu cech różnych rodzajów programów emerytalnych.</w:t>
      </w:r>
    </w:p>
    <w:p w14:paraId="7A1FD045" w14:textId="4D1D46B4" w:rsidR="00377141" w:rsidRPr="00392E88" w:rsidRDefault="00754B9A" w:rsidP="00B83B3F">
      <w:pPr>
        <w:pStyle w:val="Text1"/>
      </w:pPr>
      <w:r w:rsidRPr="00392E88">
        <w:t>Po przeprowadzeniu badań konsumenckich</w:t>
      </w:r>
      <w:r w:rsidR="006E6446" w:rsidRPr="00392E88">
        <w:t xml:space="preserve"> i</w:t>
      </w:r>
      <w:r w:rsidR="006E6446">
        <w:t> </w:t>
      </w:r>
      <w:r w:rsidR="006E6446" w:rsidRPr="00392E88">
        <w:t>bra</w:t>
      </w:r>
      <w:r w:rsidRPr="00392E88">
        <w:t>nżowych EIOPA opracowuje projekty regulacyjnych standardów technicznych określających szczegóły przedstawienia informacji,</w:t>
      </w:r>
      <w:r w:rsidR="006E6446" w:rsidRPr="00392E88">
        <w:t xml:space="preserve"> o</w:t>
      </w:r>
      <w:r w:rsidR="006E6446">
        <w:t> </w:t>
      </w:r>
      <w:r w:rsidR="006E6446" w:rsidRPr="00392E88">
        <w:t>któ</w:t>
      </w:r>
      <w:r w:rsidRPr="00392E88">
        <w:t>rych mowa</w:t>
      </w:r>
      <w:r w:rsidR="006E6446" w:rsidRPr="00392E88">
        <w:t xml:space="preserve"> w</w:t>
      </w:r>
      <w:r w:rsidR="006E6446">
        <w:t> </w:t>
      </w:r>
      <w:r w:rsidR="006E6446" w:rsidRPr="006E6446">
        <w:t>art</w:t>
      </w:r>
      <w:r w:rsidRPr="006E6446">
        <w:t>.</w:t>
      </w:r>
      <w:r w:rsidR="006E6446" w:rsidRPr="006E6446">
        <w:t> </w:t>
      </w:r>
      <w:r w:rsidRPr="006E6446">
        <w:t>3</w:t>
      </w:r>
      <w:r w:rsidRPr="00392E88">
        <w:t>8–40. Jeśli chodzi</w:t>
      </w:r>
      <w:r w:rsidR="006E6446" w:rsidRPr="00392E88">
        <w:t xml:space="preserve"> o</w:t>
      </w:r>
      <w:r w:rsidR="006E6446">
        <w:t> </w:t>
      </w:r>
      <w:r w:rsidR="006E6446" w:rsidRPr="00392E88">
        <w:t>prz</w:t>
      </w:r>
      <w:r w:rsidRPr="00392E88">
        <w:t>edstawienie informacji na temat wyników osiągniętych</w:t>
      </w:r>
      <w:r w:rsidR="006E6446" w:rsidRPr="00392E88">
        <w:t xml:space="preserve"> w</w:t>
      </w:r>
      <w:r w:rsidR="006E6446">
        <w:t> </w:t>
      </w:r>
      <w:r w:rsidR="006E6446" w:rsidRPr="00392E88">
        <w:t>prz</w:t>
      </w:r>
      <w:r w:rsidRPr="00392E88">
        <w:t>eszłości,</w:t>
      </w:r>
      <w:r w:rsidR="006E6446" w:rsidRPr="00392E88">
        <w:t xml:space="preserve"> o</w:t>
      </w:r>
      <w:r w:rsidR="006E6446">
        <w:t> </w:t>
      </w:r>
      <w:r w:rsidR="006E6446" w:rsidRPr="00392E88">
        <w:t>któ</w:t>
      </w:r>
      <w:r w:rsidRPr="00392E88">
        <w:t>rych mowa</w:t>
      </w:r>
      <w:r w:rsidR="006E6446" w:rsidRPr="00392E88">
        <w:t xml:space="preserve"> w</w:t>
      </w:r>
      <w:r w:rsidR="006E6446">
        <w:t> </w:t>
      </w:r>
      <w:r w:rsidR="006E6446" w:rsidRPr="006E6446">
        <w:t>art</w:t>
      </w:r>
      <w:r w:rsidRPr="006E6446">
        <w:t>.</w:t>
      </w:r>
      <w:r w:rsidR="006E6446" w:rsidRPr="006E6446">
        <w:t> </w:t>
      </w:r>
      <w:r w:rsidRPr="006E6446">
        <w:t>3</w:t>
      </w:r>
      <w:r w:rsidRPr="00392E88">
        <w:t xml:space="preserve">9 </w:t>
      </w:r>
      <w:r w:rsidRPr="006E6446">
        <w:t>ust.</w:t>
      </w:r>
      <w:r w:rsidR="006E6446" w:rsidRPr="006E6446">
        <w:t> </w:t>
      </w:r>
      <w:r w:rsidRPr="006E6446">
        <w:t>1</w:t>
      </w:r>
      <w:r w:rsidRPr="00392E88">
        <w:t xml:space="preserve"> </w:t>
      </w:r>
      <w:r w:rsidRPr="006E6446">
        <w:t>lit.</w:t>
      </w:r>
      <w:r w:rsidR="006E6446" w:rsidRPr="006E6446">
        <w:t> </w:t>
      </w:r>
      <w:r w:rsidRPr="006E6446">
        <w:t>i)</w:t>
      </w:r>
      <w:r w:rsidRPr="00392E88">
        <w:t>, przy opracowywaniu tych regulacyjnych standardów technicznych EIOPA uwzględnia cechy różnych rodzajów programów, zwłaszcza jeżeli uczestnicy</w:t>
      </w:r>
      <w:r w:rsidR="006E6446" w:rsidRPr="00392E88">
        <w:t xml:space="preserve"> i</w:t>
      </w:r>
      <w:r w:rsidR="006E6446">
        <w:t> </w:t>
      </w:r>
      <w:r w:rsidR="006E6446" w:rsidRPr="00392E88">
        <w:t>ben</w:t>
      </w:r>
      <w:r w:rsidRPr="00392E88">
        <w:t>eficjenci ponoszą ryzyko inwestycyjne, lub</w:t>
      </w:r>
      <w:r w:rsidR="006E6446" w:rsidRPr="00392E88">
        <w:t xml:space="preserve"> w</w:t>
      </w:r>
      <w:r w:rsidR="006E6446">
        <w:t> </w:t>
      </w:r>
      <w:r w:rsidR="006E6446" w:rsidRPr="00392E88">
        <w:t>prz</w:t>
      </w:r>
      <w:r w:rsidRPr="00392E88">
        <w:t xml:space="preserve">ypadku gdy strategia inwestycyjna zależy od wieku lub obejmuje dopasowanie okresu. </w:t>
      </w:r>
    </w:p>
    <w:p w14:paraId="3185D417" w14:textId="28734FB0" w:rsidR="00CA6E77" w:rsidRPr="00392E88" w:rsidRDefault="00CA6E77" w:rsidP="00B17C2F">
      <w:pPr>
        <w:pStyle w:val="Text1"/>
      </w:pPr>
      <w:r w:rsidRPr="00392E88">
        <w:t>Aby zminimalizować powielanie wymogów sprawozdawczych, przy opracowywaniu projektów standardów regulacyjnych EIOPA</w:t>
      </w:r>
      <w:r w:rsidR="006E6446" w:rsidRPr="00392E88">
        <w:t xml:space="preserve"> w</w:t>
      </w:r>
      <w:r w:rsidR="006E6446">
        <w:t> </w:t>
      </w:r>
      <w:r w:rsidR="006E6446" w:rsidRPr="00392E88">
        <w:t>jak</w:t>
      </w:r>
      <w:r w:rsidRPr="00392E88">
        <w:t xml:space="preserve"> największym stopniu zapewnia zgodność</w:t>
      </w:r>
      <w:r w:rsidR="006E6446" w:rsidRPr="00392E88">
        <w:t xml:space="preserve"> z</w:t>
      </w:r>
      <w:r w:rsidR="006E6446">
        <w:t> </w:t>
      </w:r>
      <w:r w:rsidR="006E6446" w:rsidRPr="00392E88">
        <w:t>roz</w:t>
      </w:r>
      <w:r w:rsidRPr="00392E88">
        <w:t>porządzeniem delegowanym Komisji (UE) 2021/473</w:t>
      </w:r>
      <w:r w:rsidRPr="00392E88">
        <w:rPr>
          <w:vertAlign w:val="superscript"/>
        </w:rPr>
        <w:t>*</w:t>
      </w:r>
      <w:r w:rsidR="006E6446" w:rsidRPr="00392E88">
        <w:t xml:space="preserve"> i</w:t>
      </w:r>
      <w:r w:rsidR="006E6446">
        <w:t> </w:t>
      </w:r>
      <w:r w:rsidR="006E6446" w:rsidRPr="00392E88">
        <w:t>dąż</w:t>
      </w:r>
      <w:r w:rsidRPr="00392E88">
        <w:t>y do ułatwienia wprowadzania informacji zawartych</w:t>
      </w:r>
      <w:r w:rsidR="006E6446" w:rsidRPr="00392E88">
        <w:t xml:space="preserve"> w</w:t>
      </w:r>
      <w:r w:rsidR="006E6446">
        <w:t> </w:t>
      </w:r>
      <w:r w:rsidR="006E6446" w:rsidRPr="00392E88">
        <w:t>inf</w:t>
      </w:r>
      <w:r w:rsidRPr="00392E88">
        <w:t>ormacji</w:t>
      </w:r>
      <w:r w:rsidR="006E6446" w:rsidRPr="00392E88">
        <w:t xml:space="preserve"> o</w:t>
      </w:r>
      <w:r w:rsidR="006E6446">
        <w:t> </w:t>
      </w:r>
      <w:r w:rsidR="006E6446" w:rsidRPr="00392E88">
        <w:t>świ</w:t>
      </w:r>
      <w:r w:rsidRPr="00392E88">
        <w:t>adczeniu emerytalnym do systemów monitorowania uprawnień emerytalnych oraz do zapewnienia ich użyteczności dla uczestników</w:t>
      </w:r>
      <w:r w:rsidR="006E6446" w:rsidRPr="00392E88">
        <w:t xml:space="preserve"> i</w:t>
      </w:r>
      <w:r w:rsidR="006E6446">
        <w:t> </w:t>
      </w:r>
      <w:r w:rsidR="006E6446" w:rsidRPr="00392E88">
        <w:t>ben</w:t>
      </w:r>
      <w:r w:rsidRPr="00392E88">
        <w:t xml:space="preserve">eficjentów. </w:t>
      </w:r>
    </w:p>
    <w:p w14:paraId="762634EB" w14:textId="05E15367" w:rsidR="00752842" w:rsidRPr="00392E88" w:rsidRDefault="00752842" w:rsidP="00752842">
      <w:pPr>
        <w:pStyle w:val="Text1"/>
      </w:pPr>
      <w:r w:rsidRPr="00392E88">
        <w:t>EIOPA przedstawi te projekty regulacyjnych standardów technicznych Komisji do dnia [Urząd Publikacji: wstawić datę 18 miesięcy po dacie wejścia</w:t>
      </w:r>
      <w:r w:rsidR="006E6446" w:rsidRPr="00392E88">
        <w:t xml:space="preserve"> w</w:t>
      </w:r>
      <w:r w:rsidR="006E6446">
        <w:t> </w:t>
      </w:r>
      <w:r w:rsidR="006E6446" w:rsidRPr="00392E88">
        <w:t>życ</w:t>
      </w:r>
      <w:r w:rsidRPr="00392E88">
        <w:t>ie] r.</w:t>
      </w:r>
    </w:p>
    <w:p w14:paraId="32C90EE9" w14:textId="0779DF9D" w:rsidR="002E1943" w:rsidRPr="00392E88" w:rsidRDefault="00752842" w:rsidP="00EE22DA">
      <w:pPr>
        <w:pStyle w:val="Text1"/>
      </w:pPr>
      <w:r w:rsidRPr="00392E88">
        <w:t>Komisja jest uprawniona do uzupełniania niniejszej dyrektywy przez przyjęcie regulacyjnych standardów technicznych,</w:t>
      </w:r>
      <w:r w:rsidR="006E6446" w:rsidRPr="00392E88">
        <w:t xml:space="preserve"> o</w:t>
      </w:r>
      <w:r w:rsidR="006E6446">
        <w:t> </w:t>
      </w:r>
      <w:r w:rsidR="006E6446" w:rsidRPr="00392E88">
        <w:t>któ</w:t>
      </w:r>
      <w:r w:rsidRPr="00392E88">
        <w:t>rych mowa</w:t>
      </w:r>
      <w:r w:rsidR="006E6446" w:rsidRPr="00392E88">
        <w:t xml:space="preserve"> w</w:t>
      </w:r>
      <w:r w:rsidR="006E6446">
        <w:t> </w:t>
      </w:r>
      <w:r w:rsidR="006E6446" w:rsidRPr="00392E88">
        <w:t>aka</w:t>
      </w:r>
      <w:r w:rsidRPr="00392E88">
        <w:t>picie trzecim, zgodnie</w:t>
      </w:r>
      <w:r w:rsidR="006E6446" w:rsidRPr="00392E88">
        <w:t xml:space="preserve"> z</w:t>
      </w:r>
      <w:r w:rsidR="006E6446">
        <w:t> </w:t>
      </w:r>
      <w:r w:rsidR="006E6446" w:rsidRPr="006E6446">
        <w:t>art</w:t>
      </w:r>
      <w:r w:rsidRPr="006E6446">
        <w:t>.</w:t>
      </w:r>
      <w:r w:rsidR="006E6446" w:rsidRPr="006E6446">
        <w:t> </w:t>
      </w:r>
      <w:r w:rsidRPr="006E6446">
        <w:t>1</w:t>
      </w:r>
      <w:r w:rsidRPr="00392E88">
        <w:t>0 rozporządzenia (UE) nr 1094/2010.</w:t>
      </w:r>
    </w:p>
    <w:p w14:paraId="664DDE14" w14:textId="77777777" w:rsidR="002E1943" w:rsidRPr="00392E88" w:rsidRDefault="002E1943" w:rsidP="002E1943">
      <w:pPr>
        <w:pStyle w:val="Text1"/>
        <w:tabs>
          <w:tab w:val="left" w:pos="1701"/>
        </w:tabs>
        <w:ind w:left="1134" w:right="568"/>
      </w:pPr>
      <w:r w:rsidRPr="00392E88">
        <w:t>_____________________________________________</w:t>
      </w:r>
    </w:p>
    <w:p w14:paraId="544D9283" w14:textId="055C449D" w:rsidR="002E1943" w:rsidRPr="00392E88" w:rsidRDefault="002E1943" w:rsidP="002E1943">
      <w:pPr>
        <w:pStyle w:val="Text1"/>
        <w:rPr>
          <w:sz w:val="20"/>
          <w:szCs w:val="20"/>
        </w:rPr>
      </w:pPr>
      <w:r w:rsidRPr="00392E88">
        <w:rPr>
          <w:sz w:val="20"/>
          <w:vertAlign w:val="superscript"/>
        </w:rPr>
        <w:t>*</w:t>
      </w:r>
      <w:r w:rsidRPr="00392E88">
        <w:tab/>
      </w:r>
      <w:r w:rsidRPr="00392E88">
        <w:rPr>
          <w:sz w:val="20"/>
        </w:rPr>
        <w:t>Rozporządzenie delegowane Komisji (UE) 2021/473</w:t>
      </w:r>
      <w:r w:rsidR="006E6446" w:rsidRPr="00392E88">
        <w:rPr>
          <w:sz w:val="20"/>
        </w:rPr>
        <w:t xml:space="preserve"> z</w:t>
      </w:r>
      <w:r w:rsidR="006E6446">
        <w:rPr>
          <w:sz w:val="20"/>
        </w:rPr>
        <w:t> </w:t>
      </w:r>
      <w:r w:rsidR="006E6446" w:rsidRPr="00392E88">
        <w:rPr>
          <w:sz w:val="20"/>
        </w:rPr>
        <w:t>dni</w:t>
      </w:r>
      <w:r w:rsidRPr="00392E88">
        <w:rPr>
          <w:sz w:val="20"/>
        </w:rPr>
        <w:t>a 18 grudnia 2020 r. uzupełniające rozporządzenie Parlamentu Europejskiego</w:t>
      </w:r>
      <w:r w:rsidR="006E6446" w:rsidRPr="00392E88">
        <w:rPr>
          <w:sz w:val="20"/>
        </w:rPr>
        <w:t xml:space="preserve"> i</w:t>
      </w:r>
      <w:r w:rsidR="006E6446">
        <w:rPr>
          <w:sz w:val="20"/>
        </w:rPr>
        <w:t> </w:t>
      </w:r>
      <w:r w:rsidR="006E6446" w:rsidRPr="00392E88">
        <w:rPr>
          <w:sz w:val="20"/>
        </w:rPr>
        <w:t>Rad</w:t>
      </w:r>
      <w:r w:rsidRPr="00392E88">
        <w:rPr>
          <w:sz w:val="20"/>
        </w:rPr>
        <w:t>y (UE) 2019/1238</w:t>
      </w:r>
      <w:r w:rsidR="006E6446" w:rsidRPr="00392E88">
        <w:rPr>
          <w:sz w:val="20"/>
        </w:rPr>
        <w:t xml:space="preserve"> w</w:t>
      </w:r>
      <w:r w:rsidR="006E6446">
        <w:rPr>
          <w:sz w:val="20"/>
        </w:rPr>
        <w:t> </w:t>
      </w:r>
      <w:r w:rsidR="006E6446" w:rsidRPr="00392E88">
        <w:rPr>
          <w:sz w:val="20"/>
        </w:rPr>
        <w:t>odn</w:t>
      </w:r>
      <w:r w:rsidRPr="00392E88">
        <w:rPr>
          <w:sz w:val="20"/>
        </w:rPr>
        <w:t>iesieniu do regulacyjnych standardów technicznych określających wymogi dotyczące dokumentów informacyjnych, kosztów</w:t>
      </w:r>
      <w:r w:rsidR="006E6446" w:rsidRPr="00392E88">
        <w:rPr>
          <w:sz w:val="20"/>
        </w:rPr>
        <w:t xml:space="preserve"> i</w:t>
      </w:r>
      <w:r w:rsidR="006E6446">
        <w:rPr>
          <w:sz w:val="20"/>
        </w:rPr>
        <w:t> </w:t>
      </w:r>
      <w:r w:rsidR="006E6446" w:rsidRPr="00392E88">
        <w:rPr>
          <w:sz w:val="20"/>
        </w:rPr>
        <w:t>opł</w:t>
      </w:r>
      <w:r w:rsidRPr="00392E88">
        <w:rPr>
          <w:sz w:val="20"/>
        </w:rPr>
        <w:t>at uwzględnionych</w:t>
      </w:r>
      <w:r w:rsidR="006E6446" w:rsidRPr="00392E88">
        <w:rPr>
          <w:sz w:val="20"/>
        </w:rPr>
        <w:t xml:space="preserve"> w</w:t>
      </w:r>
      <w:r w:rsidR="006E6446">
        <w:rPr>
          <w:sz w:val="20"/>
        </w:rPr>
        <w:t> </w:t>
      </w:r>
      <w:r w:rsidR="006E6446" w:rsidRPr="00392E88">
        <w:rPr>
          <w:sz w:val="20"/>
        </w:rPr>
        <w:t>ram</w:t>
      </w:r>
      <w:r w:rsidRPr="00392E88">
        <w:rPr>
          <w:sz w:val="20"/>
        </w:rPr>
        <w:t>ach ograniczenia kosztów oraz technik ograniczania ryzyka na potrzeby ogólnoeuropejskiego indywidualnego produktu emerytalnego (Dz.U. L 99</w:t>
      </w:r>
      <w:r w:rsidR="006E6446" w:rsidRPr="00392E88">
        <w:rPr>
          <w:sz w:val="20"/>
        </w:rPr>
        <w:t xml:space="preserve"> z</w:t>
      </w:r>
      <w:r w:rsidR="006E6446">
        <w:rPr>
          <w:sz w:val="20"/>
        </w:rPr>
        <w:t> </w:t>
      </w:r>
      <w:r w:rsidR="006E6446" w:rsidRPr="00392E88">
        <w:rPr>
          <w:sz w:val="20"/>
        </w:rPr>
        <w:t>2</w:t>
      </w:r>
      <w:r w:rsidRPr="00392E88">
        <w:rPr>
          <w:sz w:val="20"/>
        </w:rPr>
        <w:t>2.3.2021, s. 1, ELI: </w:t>
      </w:r>
      <w:hyperlink r:id="rId23" w:tooltip="Dostęp do dokumentu poprzez identyfikator URI w systemie ELI." w:history="1">
        <w:r w:rsidRPr="00392E88">
          <w:rPr>
            <w:rStyle w:val="Hyperlink"/>
            <w:sz w:val="20"/>
          </w:rPr>
          <w:t>http://data.europa.eu/eli/reg_del/2021/473/oj</w:t>
        </w:r>
      </w:hyperlink>
      <w:r w:rsidRPr="00392E88">
        <w:rPr>
          <w:sz w:val="20"/>
        </w:rPr>
        <w:t>).”;</w:t>
      </w:r>
    </w:p>
    <w:p w14:paraId="3EFA7EFC" w14:textId="5BA22E07" w:rsidR="00AC518F" w:rsidRPr="00392E88" w:rsidRDefault="006E6446" w:rsidP="006E6446">
      <w:pPr>
        <w:pStyle w:val="Point0"/>
      </w:pPr>
      <w:r>
        <w:t>39)</w:t>
      </w:r>
      <w:r>
        <w:tab/>
      </w:r>
      <w:r w:rsidR="001411DC" w:rsidRPr="00392E88">
        <w:t xml:space="preserve">w </w:t>
      </w:r>
      <w:r w:rsidR="001411DC" w:rsidRPr="006E6446">
        <w:t>art.</w:t>
      </w:r>
      <w:r w:rsidRPr="006E6446">
        <w:t> </w:t>
      </w:r>
      <w:r w:rsidR="001411DC" w:rsidRPr="006E6446">
        <w:t>3</w:t>
      </w:r>
      <w:r w:rsidR="001411DC" w:rsidRPr="00392E88">
        <w:t>9 ust. 1 wprowadza się następujące zmiany:</w:t>
      </w:r>
    </w:p>
    <w:p w14:paraId="2AE669C2" w14:textId="0CD27967" w:rsidR="007422BD" w:rsidRPr="00392E88" w:rsidRDefault="006E6446" w:rsidP="006E6446">
      <w:pPr>
        <w:pStyle w:val="Point1"/>
      </w:pPr>
      <w:r>
        <w:t>a)</w:t>
      </w:r>
      <w:r>
        <w:tab/>
      </w:r>
      <w:r w:rsidR="007422BD" w:rsidRPr="00392E88">
        <w:t>dodaje się lit. ba)</w:t>
      </w:r>
      <w:r w:rsidRPr="00392E88">
        <w:t xml:space="preserve"> w</w:t>
      </w:r>
      <w:r>
        <w:t> </w:t>
      </w:r>
      <w:r w:rsidRPr="00392E88">
        <w:t>brz</w:t>
      </w:r>
      <w:r w:rsidR="007422BD" w:rsidRPr="00392E88">
        <w:t>mieniu:</w:t>
      </w:r>
    </w:p>
    <w:p w14:paraId="6473F3A4" w14:textId="531B49CB" w:rsidR="00A66F13" w:rsidRPr="00392E88" w:rsidRDefault="00A66F13" w:rsidP="005D0C3B">
      <w:pPr>
        <w:pStyle w:val="Point1"/>
      </w:pPr>
      <w:r w:rsidRPr="00392E88">
        <w:t>„ba) państwo członkowskie,</w:t>
      </w:r>
      <w:r w:rsidR="006E6446" w:rsidRPr="00392E88">
        <w:t xml:space="preserve"> w</w:t>
      </w:r>
      <w:r w:rsidR="006E6446">
        <w:t> </w:t>
      </w:r>
      <w:r w:rsidR="006E6446" w:rsidRPr="00392E88">
        <w:t>któ</w:t>
      </w:r>
      <w:r w:rsidRPr="00392E88">
        <w:t>rym IORP wykonuje działalność na podstawie zezwolenia, oraz nazwy właściwych organów tego państwa członkowskiego”;</w:t>
      </w:r>
    </w:p>
    <w:p w14:paraId="4F56D54F" w14:textId="1F56E731" w:rsidR="00FC03CE" w:rsidRPr="00392E88" w:rsidRDefault="006E6446" w:rsidP="006E6446">
      <w:pPr>
        <w:pStyle w:val="Point1"/>
      </w:pPr>
      <w:r>
        <w:t>b)</w:t>
      </w:r>
      <w:r>
        <w:tab/>
      </w:r>
      <w:r w:rsidR="00FC03CE" w:rsidRPr="006E6446">
        <w:t>lit.</w:t>
      </w:r>
      <w:r w:rsidRPr="006E6446">
        <w:t> </w:t>
      </w:r>
      <w:r w:rsidR="00FC03CE" w:rsidRPr="006E6446">
        <w:t>d)</w:t>
      </w:r>
      <w:r w:rsidR="00FC03CE" w:rsidRPr="00392E88">
        <w:t xml:space="preserve"> otrzymuje brzmienie:</w:t>
      </w:r>
    </w:p>
    <w:p w14:paraId="514225C5" w14:textId="2382E4FD" w:rsidR="00FC03CE" w:rsidRPr="00392E88" w:rsidRDefault="00FC03CE" w:rsidP="005D0C3B">
      <w:pPr>
        <w:pStyle w:val="Point1"/>
      </w:pPr>
      <w:r w:rsidRPr="00392E88">
        <w:t xml:space="preserve">„d) </w:t>
      </w:r>
      <w:r w:rsidRPr="00392E88">
        <w:tab/>
        <w:t>informacje na temat prognoz dotyczących świadczeń emerytalnych,</w:t>
      </w:r>
      <w:r w:rsidR="006E6446" w:rsidRPr="00392E88">
        <w:t xml:space="preserve"> w</w:t>
      </w:r>
      <w:r w:rsidR="006E6446">
        <w:t> </w:t>
      </w:r>
      <w:r w:rsidR="006E6446" w:rsidRPr="00392E88">
        <w:t>opa</w:t>
      </w:r>
      <w:r w:rsidRPr="00392E88">
        <w:t>rciu</w:t>
      </w:r>
      <w:r w:rsidR="006E6446" w:rsidRPr="00392E88">
        <w:t xml:space="preserve"> o</w:t>
      </w:r>
      <w:r w:rsidR="006E6446">
        <w:t> </w:t>
      </w:r>
      <w:r w:rsidR="006E6446" w:rsidRPr="00392E88">
        <w:t>wie</w:t>
      </w:r>
      <w:r w:rsidRPr="00392E88">
        <w:t>k emerytalny określony</w:t>
      </w:r>
      <w:r w:rsidR="006E6446" w:rsidRPr="00392E88">
        <w:t xml:space="preserve"> w</w:t>
      </w:r>
      <w:r w:rsidR="006E6446">
        <w:t> </w:t>
      </w:r>
      <w:r w:rsidR="006E6446" w:rsidRPr="006E6446">
        <w:t>lit</w:t>
      </w:r>
      <w:r w:rsidRPr="006E6446">
        <w:t>.</w:t>
      </w:r>
      <w:r w:rsidR="006E6446" w:rsidRPr="006E6446">
        <w:t> </w:t>
      </w:r>
      <w:r w:rsidRPr="006E6446">
        <w:t>a)</w:t>
      </w:r>
      <w:r w:rsidRPr="00392E88">
        <w:t>, oraz zastrzeżenie, że prognozy te mogą różnić się od końcowej wartości otrzymanych świadczeń,</w:t>
      </w:r>
      <w:r w:rsidR="006E6446" w:rsidRPr="00392E88">
        <w:t xml:space="preserve"> w</w:t>
      </w:r>
      <w:r w:rsidR="006E6446">
        <w:t> </w:t>
      </w:r>
      <w:r w:rsidR="006E6446" w:rsidRPr="00392E88">
        <w:t>tym</w:t>
      </w:r>
      <w:r w:rsidRPr="00392E88">
        <w:t>,</w:t>
      </w:r>
      <w:r w:rsidR="006E6446" w:rsidRPr="00392E88">
        <w:t xml:space="preserve"> w</w:t>
      </w:r>
      <w:r w:rsidR="006E6446">
        <w:t> </w:t>
      </w:r>
      <w:r w:rsidR="006E6446" w:rsidRPr="00392E88">
        <w:t>sto</w:t>
      </w:r>
      <w:r w:rsidRPr="00392E88">
        <w:t>sownych przypadkach, że świadczenie emerytalne może być zmienne;”;</w:t>
      </w:r>
    </w:p>
    <w:p w14:paraId="71AFC9E2" w14:textId="50E032C6" w:rsidR="00B6551F" w:rsidRPr="00392E88" w:rsidRDefault="006E6446" w:rsidP="006E6446">
      <w:pPr>
        <w:pStyle w:val="Point1"/>
      </w:pPr>
      <w:r>
        <w:t>c)</w:t>
      </w:r>
      <w:r>
        <w:tab/>
      </w:r>
      <w:r w:rsidR="00121E10" w:rsidRPr="00392E88">
        <w:t>lit. g) otrzymuje brzmienie:</w:t>
      </w:r>
    </w:p>
    <w:p w14:paraId="7FE0E2B3" w14:textId="0310558D" w:rsidR="00121E10" w:rsidRPr="00392E88" w:rsidRDefault="00121E10" w:rsidP="005D0C3B">
      <w:pPr>
        <w:pStyle w:val="Point1"/>
      </w:pPr>
      <w:r w:rsidRPr="00392E88">
        <w:t xml:space="preserve">„g) </w:t>
      </w:r>
      <w:r w:rsidRPr="00392E88">
        <w:tab/>
        <w:t>jeżeli uczestnicy ponoszą ryzyko inwestycyjne lub mogą podejmować decyzje inwestycyjne: informacje na temat nałożonych kosztów</w:t>
      </w:r>
      <w:r w:rsidR="006E6446" w:rsidRPr="00392E88">
        <w:t xml:space="preserve"> i</w:t>
      </w:r>
      <w:r w:rsidR="006E6446">
        <w:t> </w:t>
      </w:r>
      <w:r w:rsidR="006E6446" w:rsidRPr="00392E88">
        <w:t>ich</w:t>
      </w:r>
      <w:r w:rsidRPr="00392E88">
        <w:t xml:space="preserve"> wpływu,</w:t>
      </w:r>
      <w:r w:rsidR="006E6446" w:rsidRPr="00392E88">
        <w:t xml:space="preserve"> w</w:t>
      </w:r>
      <w:r w:rsidR="006E6446">
        <w:t> </w:t>
      </w:r>
      <w:r w:rsidR="006E6446" w:rsidRPr="00392E88">
        <w:t>tym</w:t>
      </w:r>
      <w:r w:rsidRPr="00392E88">
        <w:t>:</w:t>
      </w:r>
    </w:p>
    <w:p w14:paraId="7165FA1D" w14:textId="30437B48" w:rsidR="000F7DAF" w:rsidRPr="00392E88" w:rsidRDefault="00EA681F" w:rsidP="005666BA">
      <w:pPr>
        <w:pStyle w:val="Point2"/>
      </w:pPr>
      <w:r w:rsidRPr="00392E88">
        <w:t xml:space="preserve">(i) </w:t>
      </w:r>
      <w:r w:rsidRPr="00392E88">
        <w:tab/>
        <w:t>wyszczególnienie wszystkich kosztów poniesionych bezpośrednio</w:t>
      </w:r>
      <w:r w:rsidR="006E6446" w:rsidRPr="00392E88">
        <w:t xml:space="preserve"> i</w:t>
      </w:r>
      <w:r w:rsidR="006E6446">
        <w:t> </w:t>
      </w:r>
      <w:r w:rsidR="006E6446" w:rsidRPr="00392E88">
        <w:t>poś</w:t>
      </w:r>
      <w:r w:rsidRPr="00392E88">
        <w:t>rednio przez uczestników</w:t>
      </w:r>
      <w:r w:rsidR="006E6446" w:rsidRPr="00392E88">
        <w:t xml:space="preserve"> i</w:t>
      </w:r>
      <w:r w:rsidR="006E6446">
        <w:t> </w:t>
      </w:r>
      <w:r w:rsidR="006E6446" w:rsidRPr="00392E88">
        <w:t>ben</w:t>
      </w:r>
      <w:r w:rsidRPr="00392E88">
        <w:t>eficjentów</w:t>
      </w:r>
      <w:r w:rsidR="006E6446" w:rsidRPr="00392E88">
        <w:t xml:space="preserve"> w</w:t>
      </w:r>
      <w:r w:rsidR="006E6446">
        <w:t> </w:t>
      </w:r>
      <w:r w:rsidR="006E6446" w:rsidRPr="00392E88">
        <w:t>cią</w:t>
      </w:r>
      <w:r w:rsidRPr="00392E88">
        <w:t>gu ostatnich 12 miesięcy</w:t>
      </w:r>
      <w:r w:rsidR="006E6446" w:rsidRPr="00392E88">
        <w:t xml:space="preserve"> i</w:t>
      </w:r>
      <w:r w:rsidR="006E6446">
        <w:t> </w:t>
      </w:r>
      <w:r w:rsidR="006E6446" w:rsidRPr="00392E88">
        <w:t>nar</w:t>
      </w:r>
      <w:r w:rsidRPr="00392E88">
        <w:t>astająco od momentu przystąpienia uczestnika do danego systemu, ze wskazaniem co najmniej kosztów administracyjnych, kosztów przechowywania aktywów oraz kosztów inwestycyjnych poniesionych</w:t>
      </w:r>
      <w:r w:rsidR="006E6446" w:rsidRPr="00392E88">
        <w:t xml:space="preserve"> w</w:t>
      </w:r>
      <w:r w:rsidR="006E6446">
        <w:t> </w:t>
      </w:r>
      <w:r w:rsidR="006E6446" w:rsidRPr="00392E88">
        <w:t>zwi</w:t>
      </w:r>
      <w:r w:rsidRPr="00392E88">
        <w:t>ązku</w:t>
      </w:r>
      <w:r w:rsidR="006E6446" w:rsidRPr="00392E88">
        <w:t xml:space="preserve"> z</w:t>
      </w:r>
      <w:r w:rsidR="006E6446">
        <w:t> </w:t>
      </w:r>
      <w:r w:rsidR="006E6446" w:rsidRPr="00392E88">
        <w:t>zar</w:t>
      </w:r>
      <w:r w:rsidRPr="00392E88">
        <w:t>ządzaniem aktywami</w:t>
      </w:r>
      <w:r w:rsidR="006E6446" w:rsidRPr="00392E88">
        <w:t xml:space="preserve"> i</w:t>
      </w:r>
      <w:r w:rsidR="006E6446">
        <w:t> </w:t>
      </w:r>
      <w:r w:rsidR="006E6446" w:rsidRPr="00392E88">
        <w:t>tra</w:t>
      </w:r>
      <w:r w:rsidRPr="00392E88">
        <w:t>nsakcjami portfelowymi;</w:t>
      </w:r>
    </w:p>
    <w:p w14:paraId="70392BEF" w14:textId="77777777" w:rsidR="00083554" w:rsidRPr="00392E88" w:rsidRDefault="00083554" w:rsidP="00C9746B">
      <w:pPr>
        <w:pStyle w:val="Point2"/>
      </w:pPr>
      <w:r w:rsidRPr="00392E88">
        <w:t xml:space="preserve">(ii) </w:t>
      </w:r>
      <w:r w:rsidRPr="00392E88">
        <w:tab/>
        <w:t>oszacowanie wpływu kosztów na zgromadzony kapitał końcowy;”;</w:t>
      </w:r>
    </w:p>
    <w:p w14:paraId="5C576456" w14:textId="1E76D877" w:rsidR="00B6551F" w:rsidRPr="00392E88" w:rsidRDefault="006E6446" w:rsidP="006E6446">
      <w:pPr>
        <w:pStyle w:val="Point1"/>
      </w:pPr>
      <w:r>
        <w:t>d)</w:t>
      </w:r>
      <w:r>
        <w:tab/>
      </w:r>
      <w:r w:rsidR="00B6551F" w:rsidRPr="00392E88">
        <w:t xml:space="preserve">dodaje się </w:t>
      </w:r>
      <w:r w:rsidR="00B6551F" w:rsidRPr="006E6446">
        <w:t>lit.</w:t>
      </w:r>
      <w:r w:rsidRPr="006E6446">
        <w:t> </w:t>
      </w:r>
      <w:r w:rsidR="00B6551F" w:rsidRPr="006E6446">
        <w:t>i)</w:t>
      </w:r>
      <w:r w:rsidR="00B6551F" w:rsidRPr="00392E88">
        <w:t xml:space="preserve"> oraz j)</w:t>
      </w:r>
      <w:r w:rsidRPr="00392E88">
        <w:t xml:space="preserve"> w</w:t>
      </w:r>
      <w:r>
        <w:t> </w:t>
      </w:r>
      <w:r w:rsidRPr="00392E88">
        <w:t>brz</w:t>
      </w:r>
      <w:r w:rsidR="00B6551F" w:rsidRPr="00392E88">
        <w:t>mieniu:</w:t>
      </w:r>
    </w:p>
    <w:p w14:paraId="1FB12278" w14:textId="0A828DE6" w:rsidR="0058435E" w:rsidRPr="00392E88" w:rsidRDefault="00800DCB" w:rsidP="005D0C3B">
      <w:pPr>
        <w:pStyle w:val="Point1"/>
      </w:pPr>
      <w:r w:rsidRPr="00392E88">
        <w:t xml:space="preserve">„i) </w:t>
      </w:r>
      <w:r w:rsidRPr="00392E88">
        <w:tab/>
        <w:t>jeżeli uczestnicy ponoszą ryzyko inwestycyjne: informacje na temat wyników osiągniętych</w:t>
      </w:r>
      <w:r w:rsidR="006E6446" w:rsidRPr="00392E88">
        <w:t xml:space="preserve"> w</w:t>
      </w:r>
      <w:r w:rsidR="006E6446">
        <w:t> </w:t>
      </w:r>
      <w:r w:rsidR="006E6446" w:rsidRPr="00392E88">
        <w:t>prz</w:t>
      </w:r>
      <w:r w:rsidRPr="00392E88">
        <w:t>eszłości przez program emerytalny lub,</w:t>
      </w:r>
      <w:r w:rsidR="006E6446" w:rsidRPr="00392E88">
        <w:t xml:space="preserve"> w</w:t>
      </w:r>
      <w:r w:rsidR="006E6446">
        <w:t> </w:t>
      </w:r>
      <w:r w:rsidR="006E6446" w:rsidRPr="00392E88">
        <w:t>sto</w:t>
      </w:r>
      <w:r w:rsidRPr="00392E88">
        <w:t>sownych przypadkach, na temat dokonanego wyboru inwestycji, obejmujące wyniki z co najmniej 10 lat lub,</w:t>
      </w:r>
      <w:r w:rsidR="006E6446" w:rsidRPr="00392E88">
        <w:t xml:space="preserve"> w</w:t>
      </w:r>
      <w:r w:rsidR="006E6446">
        <w:t> </w:t>
      </w:r>
      <w:r w:rsidR="006E6446" w:rsidRPr="00392E88">
        <w:t>prz</w:t>
      </w:r>
      <w:r w:rsidRPr="00392E88">
        <w:t>ypadku gdy program emerytalny lub stosowna opcja inwestycyjna były oferowane krócej niż przez 10 lat, obejmujące wszystkie lata,</w:t>
      </w:r>
      <w:r w:rsidR="006E6446" w:rsidRPr="00392E88">
        <w:t xml:space="preserve"> w</w:t>
      </w:r>
      <w:r w:rsidR="006E6446">
        <w:t> </w:t>
      </w:r>
      <w:r w:rsidR="006E6446" w:rsidRPr="00392E88">
        <w:t>odn</w:t>
      </w:r>
      <w:r w:rsidRPr="00392E88">
        <w:t>iesieniu do których program emerytalny lub stosowna opcja inwestycyjna były oferowane;”;</w:t>
      </w:r>
    </w:p>
    <w:p w14:paraId="6984064C" w14:textId="6478E9A8" w:rsidR="00E02A8C" w:rsidRPr="00392E88" w:rsidRDefault="00171E5A" w:rsidP="00786480">
      <w:pPr>
        <w:pStyle w:val="Point1"/>
      </w:pPr>
      <w:r w:rsidRPr="00392E88">
        <w:t xml:space="preserve">j) </w:t>
      </w:r>
      <w:r w:rsidRPr="00392E88">
        <w:tab/>
        <w:t>jeżeli uczestnicy ponoszą ryzyko inwestycyjne i są</w:t>
      </w:r>
      <w:r w:rsidR="006E6446" w:rsidRPr="00392E88">
        <w:t xml:space="preserve"> w</w:t>
      </w:r>
      <w:r w:rsidR="006E6446">
        <w:t> </w:t>
      </w:r>
      <w:r w:rsidR="006E6446" w:rsidRPr="00392E88">
        <w:t>sta</w:t>
      </w:r>
      <w:r w:rsidRPr="00392E88">
        <w:t>nie dokonać wyboru między opcjami inwestycyjnymi: krótki opis dokonanego wyboru inwestycji,</w:t>
      </w:r>
      <w:r w:rsidR="006E6446" w:rsidRPr="00392E88">
        <w:t xml:space="preserve"> w</w:t>
      </w:r>
      <w:r w:rsidR="006E6446">
        <w:t> </w:t>
      </w:r>
      <w:r w:rsidR="006E6446" w:rsidRPr="00392E88">
        <w:t>tym</w:t>
      </w:r>
      <w:r w:rsidRPr="00392E88">
        <w:t xml:space="preserve"> liczbę wybranych opcji, udział aktywów zainwestowanych</w:t>
      </w:r>
      <w:r w:rsidR="006E6446" w:rsidRPr="00392E88">
        <w:t xml:space="preserve"> w</w:t>
      </w:r>
      <w:r w:rsidR="006E6446">
        <w:t> </w:t>
      </w:r>
      <w:r w:rsidR="006E6446" w:rsidRPr="00392E88">
        <w:t>pos</w:t>
      </w:r>
      <w:r w:rsidRPr="00392E88">
        <w:t>zczególne opcje oraz wskazanie poziomu ryzyka dokonanego wyboru</w:t>
      </w:r>
      <w:r w:rsidR="006E6446" w:rsidRPr="00392E88">
        <w:t xml:space="preserve"> w</w:t>
      </w:r>
      <w:r w:rsidR="006E6446">
        <w:t> </w:t>
      </w:r>
      <w:r w:rsidR="006E6446" w:rsidRPr="00392E88">
        <w:t>for</w:t>
      </w:r>
      <w:r w:rsidRPr="00392E88">
        <w:t>mie podsumowania.”;</w:t>
      </w:r>
    </w:p>
    <w:p w14:paraId="08F26E00" w14:textId="12109EF3" w:rsidR="004A30BF" w:rsidRPr="00392E88" w:rsidRDefault="006E6446" w:rsidP="006E6446">
      <w:pPr>
        <w:pStyle w:val="Point1"/>
      </w:pPr>
      <w:r>
        <w:t>e)</w:t>
      </w:r>
      <w:r>
        <w:tab/>
      </w:r>
      <w:r w:rsidR="004A30BF" w:rsidRPr="00392E88">
        <w:t>dodaje się akapity</w:t>
      </w:r>
      <w:r w:rsidRPr="00392E88">
        <w:t xml:space="preserve"> w</w:t>
      </w:r>
      <w:r>
        <w:t> </w:t>
      </w:r>
      <w:r w:rsidRPr="00392E88">
        <w:t>brz</w:t>
      </w:r>
      <w:r w:rsidR="004A30BF" w:rsidRPr="00392E88">
        <w:t>mieniu:</w:t>
      </w:r>
    </w:p>
    <w:p w14:paraId="5772A80D" w14:textId="5DBCB2FC" w:rsidR="004A30BF" w:rsidRPr="00392E88" w:rsidRDefault="004A30BF" w:rsidP="004A30BF">
      <w:pPr>
        <w:pStyle w:val="Text1"/>
      </w:pPr>
      <w:r w:rsidRPr="00392E88">
        <w:t xml:space="preserve">„Do celów </w:t>
      </w:r>
      <w:r w:rsidRPr="006E6446">
        <w:t>lit.</w:t>
      </w:r>
      <w:r w:rsidR="006E6446" w:rsidRPr="006E6446">
        <w:t> </w:t>
      </w:r>
      <w:r w:rsidRPr="006E6446">
        <w:t>d)</w:t>
      </w:r>
      <w:r w:rsidRPr="00392E88">
        <w:t>,</w:t>
      </w:r>
      <w:r w:rsidR="006E6446" w:rsidRPr="00392E88">
        <w:t xml:space="preserve"> w</w:t>
      </w:r>
      <w:r w:rsidR="006E6446">
        <w:t> </w:t>
      </w:r>
      <w:r w:rsidR="006E6446" w:rsidRPr="00392E88">
        <w:t>prz</w:t>
      </w:r>
      <w:r w:rsidRPr="00392E88">
        <w:t>ypadku gdy prognozy dotyczące świadczeń emerytalnych są oparte na scenariuszach ekonomicznych, informacje te zawierają co najmniej najbardziej optymistyczny scenariusz, korzystny scenariusz oraz pesymistyczny scenariusz. Szacunkową przyszłą wartość świadczeń emerytalnych przedstawia się</w:t>
      </w:r>
      <w:r w:rsidR="006E6446" w:rsidRPr="00392E88">
        <w:t xml:space="preserve"> w</w:t>
      </w:r>
      <w:r w:rsidR="006E6446">
        <w:t> </w:t>
      </w:r>
      <w:r w:rsidR="006E6446" w:rsidRPr="00392E88">
        <w:t>uję</w:t>
      </w:r>
      <w:r w:rsidRPr="00392E88">
        <w:t>ciu realnym wraz</w:t>
      </w:r>
      <w:r w:rsidR="006E6446" w:rsidRPr="00392E88">
        <w:t xml:space="preserve"> z</w:t>
      </w:r>
      <w:r w:rsidR="006E6446">
        <w:t> </w:t>
      </w:r>
      <w:r w:rsidR="006E6446" w:rsidRPr="00392E88">
        <w:t>kró</w:t>
      </w:r>
      <w:r w:rsidRPr="00392E88">
        <w:t>tkim wyjaśnieniem opisowym.</w:t>
      </w:r>
    </w:p>
    <w:p w14:paraId="64A5E173" w14:textId="1ADDA07C" w:rsidR="00EC337E" w:rsidRPr="00392E88" w:rsidRDefault="00EC337E" w:rsidP="004A30BF">
      <w:pPr>
        <w:pStyle w:val="Text1"/>
      </w:pPr>
      <w:r w:rsidRPr="00392E88">
        <w:t xml:space="preserve">Do celów </w:t>
      </w:r>
      <w:r w:rsidRPr="006E6446">
        <w:t>lit.</w:t>
      </w:r>
      <w:r w:rsidR="006E6446" w:rsidRPr="006E6446">
        <w:t> </w:t>
      </w:r>
      <w:r w:rsidRPr="006E6446">
        <w:t>g)</w:t>
      </w:r>
      <w:r w:rsidRPr="00392E88">
        <w:t xml:space="preserve"> ppkt (ii) koszty wykazuje się co najmniej</w:t>
      </w:r>
      <w:r w:rsidR="006E6446" w:rsidRPr="00392E88">
        <w:t xml:space="preserve"> w</w:t>
      </w:r>
      <w:r w:rsidR="006E6446">
        <w:t> </w:t>
      </w:r>
      <w:r w:rsidR="006E6446" w:rsidRPr="00392E88">
        <w:t>war</w:t>
      </w:r>
      <w:r w:rsidRPr="00392E88">
        <w:t>tościach pieniężnych, jak</w:t>
      </w:r>
      <w:r w:rsidR="006E6446" w:rsidRPr="00392E88">
        <w:t xml:space="preserve"> i</w:t>
      </w:r>
      <w:r w:rsidR="006E6446">
        <w:t> </w:t>
      </w:r>
      <w:r w:rsidR="006E6446" w:rsidRPr="00392E88">
        <w:t>jak</w:t>
      </w:r>
      <w:r w:rsidRPr="00392E88">
        <w:t>o odsetek składek</w:t>
      </w:r>
      <w:r w:rsidR="006E6446" w:rsidRPr="00392E88">
        <w:t xml:space="preserve"> w</w:t>
      </w:r>
      <w:r w:rsidR="006E6446">
        <w:t> </w:t>
      </w:r>
      <w:r w:rsidR="006E6446" w:rsidRPr="00392E88">
        <w:t>cią</w:t>
      </w:r>
      <w:r w:rsidRPr="00392E88">
        <w:t>gu ostatnich 12 miesięcy oraz odpowiednio od momentu przystąpienia uczestnika do programu.</w:t>
      </w:r>
    </w:p>
    <w:p w14:paraId="4AC6D3BD" w14:textId="58DCCA7F" w:rsidR="0037689F" w:rsidRPr="00392E88" w:rsidRDefault="0037689F" w:rsidP="005D0C3B">
      <w:pPr>
        <w:pStyle w:val="Text1"/>
      </w:pPr>
      <w:r w:rsidRPr="00392E88">
        <w:t>Do celów ppkt (i) do informacji</w:t>
      </w:r>
      <w:r w:rsidR="006E6446" w:rsidRPr="00392E88">
        <w:t xml:space="preserve"> o</w:t>
      </w:r>
      <w:r w:rsidR="006E6446">
        <w:t> </w:t>
      </w:r>
      <w:r w:rsidR="006E6446" w:rsidRPr="00392E88">
        <w:t>wyn</w:t>
      </w:r>
      <w:r w:rsidRPr="00392E88">
        <w:t>ikach osiągniętych</w:t>
      </w:r>
      <w:r w:rsidR="006E6446" w:rsidRPr="00392E88">
        <w:t xml:space="preserve"> w</w:t>
      </w:r>
      <w:r w:rsidR="006E6446">
        <w:t> </w:t>
      </w:r>
      <w:r w:rsidR="006E6446" w:rsidRPr="00392E88">
        <w:t>prz</w:t>
      </w:r>
      <w:r w:rsidRPr="00392E88">
        <w:t>eszłości należy załączyć oświadczenie »wyniki osiągnięte</w:t>
      </w:r>
      <w:r w:rsidR="006E6446" w:rsidRPr="00392E88">
        <w:t xml:space="preserve"> w</w:t>
      </w:r>
      <w:r w:rsidR="006E6446">
        <w:t> </w:t>
      </w:r>
      <w:r w:rsidR="006E6446" w:rsidRPr="00392E88">
        <w:t>prz</w:t>
      </w:r>
      <w:r w:rsidRPr="00392E88">
        <w:t>eszłości nie są wskazówką co do wyników</w:t>
      </w:r>
      <w:r w:rsidR="006E6446" w:rsidRPr="00392E88">
        <w:t xml:space="preserve"> w</w:t>
      </w:r>
      <w:r w:rsidR="006E6446">
        <w:t> </w:t>
      </w:r>
      <w:r w:rsidR="006E6446" w:rsidRPr="00392E88">
        <w:t>prz</w:t>
      </w:r>
      <w:r w:rsidRPr="00392E88">
        <w:t>yszłości«.”;</w:t>
      </w:r>
    </w:p>
    <w:p w14:paraId="48B5E721" w14:textId="4E51CD3E" w:rsidR="00497277" w:rsidRPr="00392E88" w:rsidRDefault="006E6446" w:rsidP="006E6446">
      <w:pPr>
        <w:pStyle w:val="Point0"/>
      </w:pPr>
      <w:r>
        <w:t>40)</w:t>
      </w:r>
      <w:r>
        <w:tab/>
      </w:r>
      <w:r w:rsidR="00497277" w:rsidRPr="00392E88">
        <w:t>art. 40 ust. 1 lit. c) otrzymuje brzmienie:</w:t>
      </w:r>
    </w:p>
    <w:p w14:paraId="0570C54B" w14:textId="59ED6EE8" w:rsidR="007E41BA" w:rsidRPr="00392E88" w:rsidRDefault="008D06E5" w:rsidP="005D0C3B">
      <w:pPr>
        <w:pStyle w:val="Point1"/>
      </w:pPr>
      <w:r w:rsidRPr="00392E88">
        <w:t>„c)</w:t>
      </w:r>
      <w:r w:rsidRPr="00392E88">
        <w:tab/>
        <w:t>informacje</w:t>
      </w:r>
      <w:r w:rsidR="006E6446" w:rsidRPr="00392E88">
        <w:t xml:space="preserve"> o</w:t>
      </w:r>
      <w:r w:rsidR="006E6446">
        <w:t> </w:t>
      </w:r>
      <w:r w:rsidR="006E6446" w:rsidRPr="00392E88">
        <w:t>zał</w:t>
      </w:r>
      <w:r w:rsidRPr="00392E88">
        <w:t>ożeniach przyjętych na potrzeby prognoz dotyczących świadczeń emerytalnych oraz</w:t>
      </w:r>
      <w:r w:rsidR="006E6446" w:rsidRPr="00392E88">
        <w:t xml:space="preserve"> w</w:t>
      </w:r>
      <w:r w:rsidR="006E6446">
        <w:t> </w:t>
      </w:r>
      <w:r w:rsidR="006E6446" w:rsidRPr="00392E88">
        <w:t>sto</w:t>
      </w:r>
      <w:r w:rsidRPr="00392E88">
        <w:t>sownych przypadkach informacje</w:t>
      </w:r>
      <w:r w:rsidR="006E6446" w:rsidRPr="00392E88">
        <w:t xml:space="preserve"> o</w:t>
      </w:r>
      <w:r w:rsidR="006E6446">
        <w:t> </w:t>
      </w:r>
      <w:r w:rsidR="006E6446" w:rsidRPr="00392E88">
        <w:t>zał</w:t>
      </w:r>
      <w:r w:rsidRPr="00392E88">
        <w:t>ożeniach przyjętych</w:t>
      </w:r>
      <w:r w:rsidR="006E6446" w:rsidRPr="00392E88">
        <w:t xml:space="preserve"> w</w:t>
      </w:r>
      <w:r w:rsidR="006E6446">
        <w:t> </w:t>
      </w:r>
      <w:r w:rsidR="006E6446" w:rsidRPr="00392E88">
        <w:t>odn</w:t>
      </w:r>
      <w:r w:rsidRPr="00392E88">
        <w:t>iesieniu do kwot wyrażonych</w:t>
      </w:r>
      <w:r w:rsidR="006E6446" w:rsidRPr="00392E88">
        <w:t xml:space="preserve"> w</w:t>
      </w:r>
      <w:r w:rsidR="006E6446">
        <w:t> </w:t>
      </w:r>
      <w:r w:rsidR="006E6446" w:rsidRPr="00392E88">
        <w:t>pos</w:t>
      </w:r>
      <w:r w:rsidRPr="00392E88">
        <w:t>taci świadczeń dożywotnich,</w:t>
      </w:r>
      <w:r w:rsidR="006E6446" w:rsidRPr="00392E88">
        <w:t xml:space="preserve"> w</w:t>
      </w:r>
      <w:r w:rsidR="006E6446">
        <w:t> </w:t>
      </w:r>
      <w:r w:rsidR="006E6446" w:rsidRPr="00392E88">
        <w:t>szc</w:t>
      </w:r>
      <w:r w:rsidRPr="00392E88">
        <w:t>zególności jeżeli chodzi</w:t>
      </w:r>
      <w:r w:rsidR="006E6446" w:rsidRPr="00392E88">
        <w:t xml:space="preserve"> o</w:t>
      </w:r>
      <w:r w:rsidR="006E6446">
        <w:t> </w:t>
      </w:r>
      <w:r w:rsidR="006E6446" w:rsidRPr="00392E88">
        <w:t>war</w:t>
      </w:r>
      <w:r w:rsidRPr="00392E88">
        <w:t>tość świadczenia dożywotniego, rodzaj podmiotu oferującego świadczenie dożywotnie</w:t>
      </w:r>
      <w:r w:rsidR="006E6446" w:rsidRPr="00392E88">
        <w:t xml:space="preserve"> i</w:t>
      </w:r>
      <w:r w:rsidR="006E6446">
        <w:t> </w:t>
      </w:r>
      <w:r w:rsidR="006E6446" w:rsidRPr="00392E88">
        <w:t>cza</w:t>
      </w:r>
      <w:r w:rsidRPr="00392E88">
        <w:t>s trwania świadczenia dożywotniego;”</w:t>
      </w:r>
    </w:p>
    <w:p w14:paraId="524D7BBA" w14:textId="44F8E91F" w:rsidR="00807297" w:rsidRPr="00392E88" w:rsidRDefault="006E6446" w:rsidP="006E6446">
      <w:pPr>
        <w:pStyle w:val="Point0"/>
      </w:pPr>
      <w:r>
        <w:t>41)</w:t>
      </w:r>
      <w:r>
        <w:tab/>
      </w:r>
      <w:r w:rsidR="00807297" w:rsidRPr="00392E88">
        <w:t xml:space="preserve">w </w:t>
      </w:r>
      <w:r w:rsidR="00807297" w:rsidRPr="006E6446">
        <w:t>art.</w:t>
      </w:r>
      <w:r w:rsidRPr="006E6446">
        <w:t> </w:t>
      </w:r>
      <w:r w:rsidR="00807297" w:rsidRPr="006E6446">
        <w:t>4</w:t>
      </w:r>
      <w:r w:rsidR="00807297" w:rsidRPr="00392E88">
        <w:t>1 wprowadza się następujące zmiany:</w:t>
      </w:r>
    </w:p>
    <w:p w14:paraId="0190723B" w14:textId="2ABAFA0E" w:rsidR="00807297" w:rsidRPr="00392E88" w:rsidRDefault="006E6446" w:rsidP="006E6446">
      <w:pPr>
        <w:pStyle w:val="Point1"/>
      </w:pPr>
      <w:r>
        <w:t>a)</w:t>
      </w:r>
      <w:r>
        <w:tab/>
      </w:r>
      <w:r w:rsidR="005C583B" w:rsidRPr="006E6446">
        <w:t>ust.</w:t>
      </w:r>
      <w:r w:rsidRPr="006E6446">
        <w:t> </w:t>
      </w:r>
      <w:r w:rsidR="005C583B" w:rsidRPr="006E6446">
        <w:t>1</w:t>
      </w:r>
      <w:r w:rsidR="005C583B" w:rsidRPr="00392E88">
        <w:t xml:space="preserve"> </w:t>
      </w:r>
      <w:r w:rsidR="005C583B" w:rsidRPr="006E6446">
        <w:t>lit.</w:t>
      </w:r>
      <w:r w:rsidRPr="006E6446">
        <w:t> </w:t>
      </w:r>
      <w:r w:rsidR="005C583B" w:rsidRPr="006E6446">
        <w:t>a)</w:t>
      </w:r>
      <w:r w:rsidR="005C583B" w:rsidRPr="00392E88">
        <w:t xml:space="preserve"> otrzymuje brzmienie:</w:t>
      </w:r>
    </w:p>
    <w:p w14:paraId="1D7AE4E1" w14:textId="17DF4E99" w:rsidR="00B640AE" w:rsidRPr="00392E88" w:rsidRDefault="00B640AE" w:rsidP="005D0C3B">
      <w:pPr>
        <w:pStyle w:val="Point1"/>
      </w:pPr>
      <w:r w:rsidRPr="00392E88">
        <w:t>„a)</w:t>
      </w:r>
      <w:r w:rsidRPr="00392E88">
        <w:tab/>
        <w:t>wszelkich stosownych dostępnych dla nich opcjach,</w:t>
      </w:r>
      <w:r w:rsidR="006E6446" w:rsidRPr="00392E88">
        <w:t xml:space="preserve"> w</w:t>
      </w:r>
      <w:r w:rsidR="006E6446">
        <w:t> </w:t>
      </w:r>
      <w:r w:rsidR="006E6446" w:rsidRPr="00392E88">
        <w:t>tym</w:t>
      </w:r>
      <w:r w:rsidRPr="00392E88">
        <w:t xml:space="preserve"> opcjach inwestycyjnych, oraz związanym</w:t>
      </w:r>
      <w:r w:rsidR="006E6446" w:rsidRPr="00392E88">
        <w:t xml:space="preserve"> z</w:t>
      </w:r>
      <w:r w:rsidR="006E6446">
        <w:t> </w:t>
      </w:r>
      <w:r w:rsidR="006E6446" w:rsidRPr="00392E88">
        <w:t>nim</w:t>
      </w:r>
      <w:r w:rsidRPr="00392E88">
        <w:t>i ryzyku;”;</w:t>
      </w:r>
    </w:p>
    <w:p w14:paraId="0EAB3BFF" w14:textId="24746CA4" w:rsidR="005467CA" w:rsidRPr="00392E88" w:rsidRDefault="006E6446" w:rsidP="006E6446">
      <w:pPr>
        <w:pStyle w:val="Point1"/>
      </w:pPr>
      <w:r>
        <w:t>b)</w:t>
      </w:r>
      <w:r>
        <w:tab/>
      </w:r>
      <w:r w:rsidR="00034057" w:rsidRPr="00392E88">
        <w:t>ust. 2 otrzymuje brzmienie:</w:t>
      </w:r>
    </w:p>
    <w:p w14:paraId="5A2963B7" w14:textId="4C8DC3D9" w:rsidR="00C95842" w:rsidRPr="00392E88" w:rsidRDefault="00034057" w:rsidP="005666BA">
      <w:pPr>
        <w:pStyle w:val="Text1"/>
      </w:pPr>
      <w:r w:rsidRPr="00392E88">
        <w:t>„2.</w:t>
      </w:r>
      <w:r w:rsidRPr="00392E88">
        <w:tab/>
        <w:t>Potencjalni uczestnicy,</w:t>
      </w:r>
      <w:r w:rsidR="006E6446" w:rsidRPr="00392E88">
        <w:t xml:space="preserve"> o</w:t>
      </w:r>
      <w:r w:rsidR="006E6446">
        <w:t> </w:t>
      </w:r>
      <w:r w:rsidR="006E6446" w:rsidRPr="00392E88">
        <w:t>któ</w:t>
      </w:r>
      <w:r w:rsidRPr="00392E88">
        <w:t>rych mowa</w:t>
      </w:r>
      <w:r w:rsidR="006E6446" w:rsidRPr="00392E88">
        <w:t xml:space="preserve"> w</w:t>
      </w:r>
      <w:r w:rsidR="006E6446">
        <w:t> </w:t>
      </w:r>
      <w:r w:rsidR="006E6446" w:rsidRPr="006E6446">
        <w:t>ust</w:t>
      </w:r>
      <w:r w:rsidRPr="006E6446">
        <w:t>.</w:t>
      </w:r>
      <w:r w:rsidR="006E6446" w:rsidRPr="006E6446">
        <w:t> </w:t>
      </w:r>
      <w:r w:rsidRPr="006E6446">
        <w:t>1</w:t>
      </w:r>
      <w:r w:rsidR="006E6446" w:rsidRPr="00392E88">
        <w:t xml:space="preserve"> i</w:t>
      </w:r>
      <w:r w:rsidR="006E6446">
        <w:t> </w:t>
      </w:r>
      <w:r w:rsidR="006E6446" w:rsidRPr="00392E88">
        <w:t>3</w:t>
      </w:r>
      <w:r w:rsidRPr="00392E88">
        <w:t>, otrzymują:</w:t>
      </w:r>
    </w:p>
    <w:p w14:paraId="00E33CE9" w14:textId="4CB63C8E" w:rsidR="00E06447" w:rsidRPr="00392E88" w:rsidRDefault="00C95842" w:rsidP="005D0C3B">
      <w:pPr>
        <w:pStyle w:val="Point1"/>
      </w:pPr>
      <w:r w:rsidRPr="00392E88">
        <w:t xml:space="preserve">a) </w:t>
      </w:r>
      <w:r w:rsidRPr="00392E88">
        <w:tab/>
        <w:t>informacje</w:t>
      </w:r>
      <w:r w:rsidR="006E6446" w:rsidRPr="00392E88">
        <w:t xml:space="preserve"> o</w:t>
      </w:r>
      <w:r w:rsidR="006E6446">
        <w:t> </w:t>
      </w:r>
      <w:r w:rsidR="006E6446" w:rsidRPr="00392E88">
        <w:t>osi</w:t>
      </w:r>
      <w:r w:rsidRPr="00392E88">
        <w:t>ągniętych</w:t>
      </w:r>
      <w:r w:rsidR="006E6446" w:rsidRPr="00392E88">
        <w:t xml:space="preserve"> w</w:t>
      </w:r>
      <w:r w:rsidR="006E6446">
        <w:t> </w:t>
      </w:r>
      <w:r w:rsidR="006E6446" w:rsidRPr="00392E88">
        <w:t>prz</w:t>
      </w:r>
      <w:r w:rsidRPr="00392E88">
        <w:t>eszłości wynikach inwestycyjnych związanych</w:t>
      </w:r>
      <w:r w:rsidR="006E6446" w:rsidRPr="00392E88">
        <w:t xml:space="preserve"> z</w:t>
      </w:r>
      <w:r w:rsidR="006E6446">
        <w:t> </w:t>
      </w:r>
      <w:r w:rsidR="006E6446" w:rsidRPr="00392E88">
        <w:t>pro</w:t>
      </w:r>
      <w:r w:rsidRPr="00392E88">
        <w:t>gramem emerytalnym przez minimalny okres dziesięciu lat lub przez wszystkie lata działalności programu, jeżeli było ich mniej niż dziesięć;</w:t>
      </w:r>
    </w:p>
    <w:p w14:paraId="28A47523" w14:textId="28407EAB" w:rsidR="0085762C" w:rsidRPr="00392E88" w:rsidRDefault="0085762C" w:rsidP="005D0C3B">
      <w:pPr>
        <w:pStyle w:val="Point1"/>
      </w:pPr>
      <w:r w:rsidRPr="00392E88">
        <w:t xml:space="preserve">b) </w:t>
      </w:r>
      <w:r w:rsidRPr="00392E88">
        <w:tab/>
        <w:t>informacje</w:t>
      </w:r>
      <w:r w:rsidR="006E6446" w:rsidRPr="00392E88">
        <w:t xml:space="preserve"> o</w:t>
      </w:r>
      <w:r w:rsidR="006E6446">
        <w:t> </w:t>
      </w:r>
      <w:r w:rsidR="006E6446" w:rsidRPr="00392E88">
        <w:t>wsz</w:t>
      </w:r>
      <w:r w:rsidRPr="00392E88">
        <w:t>ystkich bezpośrednich</w:t>
      </w:r>
      <w:r w:rsidR="006E6446" w:rsidRPr="00392E88">
        <w:t xml:space="preserve"> i</w:t>
      </w:r>
      <w:r w:rsidR="006E6446">
        <w:t> </w:t>
      </w:r>
      <w:r w:rsidR="006E6446" w:rsidRPr="00392E88">
        <w:t>poś</w:t>
      </w:r>
      <w:r w:rsidRPr="00392E88">
        <w:t>rednich kosztach, które uczestnicy</w:t>
      </w:r>
      <w:r w:rsidR="006E6446" w:rsidRPr="00392E88">
        <w:t xml:space="preserve"> i</w:t>
      </w:r>
      <w:r w:rsidR="006E6446">
        <w:t> </w:t>
      </w:r>
      <w:r w:rsidR="006E6446" w:rsidRPr="00392E88">
        <w:t>ben</w:t>
      </w:r>
      <w:r w:rsidRPr="00392E88">
        <w:t>eficjenci ponieśli</w:t>
      </w:r>
      <w:r w:rsidR="006E6446" w:rsidRPr="00392E88">
        <w:t xml:space="preserve"> w</w:t>
      </w:r>
      <w:r w:rsidR="006E6446">
        <w:t> </w:t>
      </w:r>
      <w:r w:rsidR="006E6446" w:rsidRPr="00392E88">
        <w:t>cią</w:t>
      </w:r>
      <w:r w:rsidRPr="00392E88">
        <w:t>gu ostatnich 12 miesięcy,</w:t>
      </w:r>
      <w:r w:rsidR="006E6446" w:rsidRPr="00392E88">
        <w:t xml:space="preserve"> w</w:t>
      </w:r>
      <w:r w:rsidR="006E6446">
        <w:t> </w:t>
      </w:r>
      <w:r w:rsidR="006E6446" w:rsidRPr="00392E88">
        <w:t>tym o</w:t>
      </w:r>
      <w:r w:rsidR="006E6446">
        <w:t> </w:t>
      </w:r>
      <w:r w:rsidR="006E6446" w:rsidRPr="00392E88">
        <w:t>kos</w:t>
      </w:r>
      <w:r w:rsidRPr="00392E88">
        <w:t>ztach każdej opcji inwestycyjnej oddzielnie, przedstawione co najmniej</w:t>
      </w:r>
      <w:r w:rsidR="006E6446" w:rsidRPr="00392E88">
        <w:t xml:space="preserve"> w</w:t>
      </w:r>
      <w:r w:rsidR="006E6446">
        <w:t> </w:t>
      </w:r>
      <w:r w:rsidR="006E6446" w:rsidRPr="00392E88">
        <w:t>uję</w:t>
      </w:r>
      <w:r w:rsidRPr="00392E88">
        <w:t xml:space="preserve">ciu pieniężnym, oraz oszacowanie wpływu kosztów na zgromadzony kapitał końcowy; </w:t>
      </w:r>
    </w:p>
    <w:p w14:paraId="482E85EC" w14:textId="156D5AED" w:rsidR="00034057" w:rsidRPr="00392E88" w:rsidRDefault="0085762C" w:rsidP="005D0C3B">
      <w:pPr>
        <w:pStyle w:val="Point1"/>
      </w:pPr>
      <w:r w:rsidRPr="00392E88">
        <w:t>c)</w:t>
      </w:r>
      <w:r w:rsidRPr="00392E88">
        <w:tab/>
        <w:t xml:space="preserve"> informacje</w:t>
      </w:r>
      <w:r w:rsidR="006E6446" w:rsidRPr="00392E88">
        <w:t xml:space="preserve"> o</w:t>
      </w:r>
      <w:r w:rsidR="006E6446">
        <w:t> </w:t>
      </w:r>
      <w:r w:rsidR="006E6446" w:rsidRPr="00392E88">
        <w:t>dos</w:t>
      </w:r>
      <w:r w:rsidRPr="00392E88">
        <w:t>tępnych opcjach inwestycyjnych</w:t>
      </w:r>
      <w:r w:rsidR="006E6446" w:rsidRPr="00392E88">
        <w:t xml:space="preserve"> i</w:t>
      </w:r>
      <w:r w:rsidR="006E6446">
        <w:t> </w:t>
      </w:r>
      <w:r w:rsidR="006E6446" w:rsidRPr="00392E88">
        <w:t>zwi</w:t>
      </w:r>
      <w:r w:rsidRPr="00392E88">
        <w:t>ązanym</w:t>
      </w:r>
      <w:r w:rsidR="006E6446" w:rsidRPr="00392E88">
        <w:t xml:space="preserve"> z</w:t>
      </w:r>
      <w:r w:rsidR="006E6446">
        <w:t> </w:t>
      </w:r>
      <w:r w:rsidR="006E6446" w:rsidRPr="00392E88">
        <w:t>nim</w:t>
      </w:r>
      <w:r w:rsidRPr="00392E88">
        <w:t>i ryzyku.”;</w:t>
      </w:r>
    </w:p>
    <w:p w14:paraId="3BD49BA5" w14:textId="5E4FD28C" w:rsidR="00F27C8E" w:rsidRPr="00392E88" w:rsidRDefault="006E6446" w:rsidP="006E6446">
      <w:pPr>
        <w:pStyle w:val="Point1"/>
      </w:pPr>
      <w:r>
        <w:t>c)</w:t>
      </w:r>
      <w:r>
        <w:tab/>
      </w:r>
      <w:r w:rsidR="00F27C8E" w:rsidRPr="00392E88">
        <w:t>w ust. 3 lit. a) otrzymuje brzmienie:</w:t>
      </w:r>
    </w:p>
    <w:p w14:paraId="6663D01F" w14:textId="33A81D59" w:rsidR="00F27C8E" w:rsidRPr="00392E88" w:rsidRDefault="00F27C8E" w:rsidP="005D0C3B">
      <w:pPr>
        <w:pStyle w:val="Point1"/>
      </w:pPr>
      <w:r w:rsidRPr="00392E88">
        <w:t xml:space="preserve">„a) </w:t>
      </w:r>
      <w:r w:rsidRPr="00392E88">
        <w:tab/>
        <w:t>wszelkich stosownych dostępnych dla nich opcjach,</w:t>
      </w:r>
      <w:r w:rsidR="006E6446" w:rsidRPr="00392E88">
        <w:t xml:space="preserve"> w</w:t>
      </w:r>
      <w:r w:rsidR="006E6446">
        <w:t> </w:t>
      </w:r>
      <w:r w:rsidR="006E6446" w:rsidRPr="00392E88">
        <w:t>tym</w:t>
      </w:r>
      <w:r w:rsidRPr="00392E88">
        <w:t xml:space="preserve"> opcjach inwestycyjnych, oraz związanym</w:t>
      </w:r>
      <w:r w:rsidR="006E6446" w:rsidRPr="00392E88">
        <w:t xml:space="preserve"> z</w:t>
      </w:r>
      <w:r w:rsidR="006E6446">
        <w:t> </w:t>
      </w:r>
      <w:r w:rsidR="006E6446" w:rsidRPr="00392E88">
        <w:t>nim</w:t>
      </w:r>
      <w:r w:rsidRPr="00392E88">
        <w:t>i ryzyku</w:t>
      </w:r>
      <w:r w:rsidR="006E6446" w:rsidRPr="00392E88">
        <w:t xml:space="preserve"> i</w:t>
      </w:r>
      <w:r w:rsidR="006E6446">
        <w:t> </w:t>
      </w:r>
      <w:r w:rsidR="006E6446" w:rsidRPr="00392E88">
        <w:t>kos</w:t>
      </w:r>
      <w:r w:rsidRPr="00392E88">
        <w:t>ztach;”;</w:t>
      </w:r>
    </w:p>
    <w:p w14:paraId="1E342488" w14:textId="4467DAF5" w:rsidR="00744502" w:rsidRPr="00392E88" w:rsidRDefault="006E6446" w:rsidP="006E6446">
      <w:pPr>
        <w:pStyle w:val="Point0"/>
      </w:pPr>
      <w:r>
        <w:t>42)</w:t>
      </w:r>
      <w:r>
        <w:tab/>
      </w:r>
      <w:r w:rsidR="5D15683D" w:rsidRPr="00392E88">
        <w:t xml:space="preserve">dodaje się </w:t>
      </w:r>
      <w:r w:rsidR="5D15683D" w:rsidRPr="006E6446">
        <w:t>art.</w:t>
      </w:r>
      <w:r w:rsidRPr="006E6446">
        <w:t> </w:t>
      </w:r>
      <w:r w:rsidR="5D15683D" w:rsidRPr="006E6446">
        <w:t>4</w:t>
      </w:r>
      <w:r w:rsidR="5D15683D" w:rsidRPr="00392E88">
        <w:t>1a</w:t>
      </w:r>
      <w:r w:rsidRPr="00392E88">
        <w:t xml:space="preserve"> w</w:t>
      </w:r>
      <w:r>
        <w:t> </w:t>
      </w:r>
      <w:r w:rsidRPr="00392E88">
        <w:t>brz</w:t>
      </w:r>
      <w:r w:rsidR="5D15683D" w:rsidRPr="00392E88">
        <w:t>mieniu:</w:t>
      </w:r>
    </w:p>
    <w:p w14:paraId="516A4521" w14:textId="17EBF6B3" w:rsidR="00744502" w:rsidRPr="00392E88" w:rsidRDefault="008A46F8" w:rsidP="008A46F8">
      <w:pPr>
        <w:pStyle w:val="Titrearticle"/>
      </w:pPr>
      <w:r w:rsidRPr="00392E88">
        <w:t xml:space="preserve">„Artykuł 41a </w:t>
      </w:r>
      <w:r w:rsidRPr="00392E88">
        <w:br/>
      </w:r>
      <w:r w:rsidRPr="00392E88">
        <w:rPr>
          <w:b/>
          <w:i w:val="0"/>
        </w:rPr>
        <w:t>Informacje przekazywane uczestnikom</w:t>
      </w:r>
      <w:r w:rsidR="006E6446" w:rsidRPr="00392E88">
        <w:rPr>
          <w:b/>
          <w:i w:val="0"/>
        </w:rPr>
        <w:t xml:space="preserve"> i</w:t>
      </w:r>
      <w:r w:rsidR="006E6446">
        <w:rPr>
          <w:b/>
          <w:i w:val="0"/>
        </w:rPr>
        <w:t> </w:t>
      </w:r>
      <w:r w:rsidR="006E6446" w:rsidRPr="00392E88">
        <w:rPr>
          <w:b/>
          <w:i w:val="0"/>
        </w:rPr>
        <w:t>ben</w:t>
      </w:r>
      <w:r w:rsidRPr="00392E88">
        <w:rPr>
          <w:b/>
          <w:i w:val="0"/>
        </w:rPr>
        <w:t>eficjentom</w:t>
      </w:r>
      <w:r w:rsidR="006E6446" w:rsidRPr="00392E88">
        <w:rPr>
          <w:b/>
          <w:i w:val="0"/>
        </w:rPr>
        <w:t xml:space="preserve"> w</w:t>
      </w:r>
      <w:r w:rsidR="006E6446">
        <w:rPr>
          <w:b/>
          <w:i w:val="0"/>
        </w:rPr>
        <w:t> </w:t>
      </w:r>
      <w:r w:rsidR="006E6446" w:rsidRPr="00392E88">
        <w:rPr>
          <w:b/>
          <w:i w:val="0"/>
        </w:rPr>
        <w:t>prz</w:t>
      </w:r>
      <w:r w:rsidRPr="00392E88">
        <w:rPr>
          <w:b/>
          <w:i w:val="0"/>
        </w:rPr>
        <w:t>ypadku niezadowalających wyników</w:t>
      </w:r>
    </w:p>
    <w:p w14:paraId="74EAE704" w14:textId="1B90BC79" w:rsidR="0074112E" w:rsidRPr="00392E88" w:rsidRDefault="00257FDF" w:rsidP="00C9746B">
      <w:pPr>
        <w:pStyle w:val="Text1"/>
      </w:pPr>
      <w:r w:rsidRPr="00392E88">
        <w:t>1.</w:t>
      </w:r>
      <w:r w:rsidRPr="00392E88">
        <w:tab/>
        <w:t>Państwa członkowskie zapewniają, aby IORP regularnie monitorowały swoje wyniki</w:t>
      </w:r>
      <w:r w:rsidR="006E6446" w:rsidRPr="00392E88">
        <w:t xml:space="preserve"> w</w:t>
      </w:r>
      <w:r w:rsidR="006E6446">
        <w:t> </w:t>
      </w:r>
      <w:r w:rsidR="006E6446" w:rsidRPr="00392E88">
        <w:t>sto</w:t>
      </w:r>
      <w:r w:rsidRPr="00392E88">
        <w:t>sunku do poziomów odniesienia ustanowionych przez ich właściwy organ zgodnie</w:t>
      </w:r>
      <w:r w:rsidR="006E6446" w:rsidRPr="00392E88">
        <w:t xml:space="preserve"> z</w:t>
      </w:r>
      <w:r w:rsidR="006E6446">
        <w:t> </w:t>
      </w:r>
      <w:r w:rsidR="006E6446" w:rsidRPr="006E6446">
        <w:t>ust</w:t>
      </w:r>
      <w:r w:rsidRPr="006E6446">
        <w:t>.</w:t>
      </w:r>
      <w:r w:rsidR="006E6446" w:rsidRPr="006E6446">
        <w:t> </w:t>
      </w:r>
      <w:r w:rsidRPr="006E6446">
        <w:t>4</w:t>
      </w:r>
      <w:r w:rsidRPr="00392E88">
        <w:t>. Państwa członkowskie zapewniają, aby</w:t>
      </w:r>
      <w:r w:rsidR="006E6446" w:rsidRPr="00392E88">
        <w:t xml:space="preserve"> w</w:t>
      </w:r>
      <w:r w:rsidR="006E6446">
        <w:t> </w:t>
      </w:r>
      <w:r w:rsidR="006E6446" w:rsidRPr="00392E88">
        <w:t>prz</w:t>
      </w:r>
      <w:r w:rsidRPr="00392E88">
        <w:t>ypadku gdy IORP stwierdzi, że jej wyniki znacznie odbiegają od mającego zastosowanie poziomu odniesienia, IORP niezwłocznie poinformowała</w:t>
      </w:r>
      <w:r w:rsidR="006E6446" w:rsidRPr="00392E88">
        <w:t xml:space="preserve"> o</w:t>
      </w:r>
      <w:r w:rsidR="006E6446">
        <w:t> </w:t>
      </w:r>
      <w:r w:rsidR="006E6446" w:rsidRPr="00392E88">
        <w:t>tym</w:t>
      </w:r>
      <w:r w:rsidRPr="00392E88">
        <w:t xml:space="preserve"> właściwy organ</w:t>
      </w:r>
      <w:r w:rsidR="006E6446" w:rsidRPr="00392E88">
        <w:t xml:space="preserve"> i</w:t>
      </w:r>
      <w:r w:rsidR="006E6446">
        <w:t> </w:t>
      </w:r>
      <w:r w:rsidR="006E6446" w:rsidRPr="00392E88">
        <w:t>prz</w:t>
      </w:r>
      <w:r w:rsidRPr="00392E88">
        <w:t>edstawiła dowody na to, że koszty</w:t>
      </w:r>
      <w:r w:rsidR="006E6446" w:rsidRPr="00392E88">
        <w:t xml:space="preserve"> i</w:t>
      </w:r>
      <w:r w:rsidR="006E6446">
        <w:t> </w:t>
      </w:r>
      <w:r w:rsidR="006E6446" w:rsidRPr="00392E88">
        <w:t>opł</w:t>
      </w:r>
      <w:r w:rsidRPr="00392E88">
        <w:t>aty związane</w:t>
      </w:r>
      <w:r w:rsidR="006E6446" w:rsidRPr="00392E88">
        <w:t xml:space="preserve"> z</w:t>
      </w:r>
      <w:r w:rsidR="006E6446">
        <w:t> </w:t>
      </w:r>
      <w:r w:rsidR="006E6446" w:rsidRPr="00392E88">
        <w:t>pro</w:t>
      </w:r>
      <w:r w:rsidRPr="00392E88">
        <w:t>gramem są uzasadnione</w:t>
      </w:r>
      <w:r w:rsidR="006E6446" w:rsidRPr="00392E88">
        <w:t xml:space="preserve"> i</w:t>
      </w:r>
      <w:r w:rsidR="006E6446">
        <w:t> </w:t>
      </w:r>
      <w:r w:rsidR="006E6446" w:rsidRPr="00392E88">
        <w:t>pro</w:t>
      </w:r>
      <w:r w:rsidRPr="00392E88">
        <w:t>porcjonalne oraz że program jest zgodny</w:t>
      </w:r>
      <w:r w:rsidR="006E6446" w:rsidRPr="00392E88">
        <w:t xml:space="preserve"> z</w:t>
      </w:r>
      <w:r w:rsidR="006E6446">
        <w:t> </w:t>
      </w:r>
      <w:r w:rsidR="006E6446" w:rsidRPr="00392E88">
        <w:t>tol</w:t>
      </w:r>
      <w:r w:rsidRPr="00392E88">
        <w:t>erancją ryzyka jego uczestników</w:t>
      </w:r>
      <w:r w:rsidR="006E6446" w:rsidRPr="00392E88">
        <w:t xml:space="preserve"> i</w:t>
      </w:r>
      <w:r w:rsidR="006E6446">
        <w:t> </w:t>
      </w:r>
      <w:r w:rsidR="006E6446" w:rsidRPr="00392E88">
        <w:t>ben</w:t>
      </w:r>
      <w:r w:rsidRPr="00392E88">
        <w:t>eficjentów.</w:t>
      </w:r>
    </w:p>
    <w:p w14:paraId="72AD7119" w14:textId="5EDB136F" w:rsidR="00257FDF" w:rsidRPr="00392E88" w:rsidRDefault="00C923C6" w:rsidP="00C9746B">
      <w:pPr>
        <w:pStyle w:val="Text1"/>
      </w:pPr>
      <w:r w:rsidRPr="00392E88">
        <w:t>W przypadku gdy właściwy organ stwierdzi, że dowody na to, że koszty</w:t>
      </w:r>
      <w:r w:rsidR="006E6446" w:rsidRPr="00392E88">
        <w:t xml:space="preserve"> i</w:t>
      </w:r>
      <w:r w:rsidR="006E6446">
        <w:t> </w:t>
      </w:r>
      <w:r w:rsidR="006E6446" w:rsidRPr="00392E88">
        <w:t>opł</w:t>
      </w:r>
      <w:r w:rsidRPr="00392E88">
        <w:t>aty związane</w:t>
      </w:r>
      <w:r w:rsidR="006E6446" w:rsidRPr="00392E88">
        <w:t xml:space="preserve"> z</w:t>
      </w:r>
      <w:r w:rsidR="006E6446">
        <w:t> </w:t>
      </w:r>
      <w:r w:rsidR="006E6446" w:rsidRPr="00392E88">
        <w:t>pro</w:t>
      </w:r>
      <w:r w:rsidRPr="00392E88">
        <w:t>gramem nie są uzasadnione</w:t>
      </w:r>
      <w:r w:rsidR="006E6446" w:rsidRPr="00392E88">
        <w:t xml:space="preserve"> i</w:t>
      </w:r>
      <w:r w:rsidR="006E6446">
        <w:t> </w:t>
      </w:r>
      <w:r w:rsidR="006E6446" w:rsidRPr="00392E88">
        <w:t>pro</w:t>
      </w:r>
      <w:r w:rsidRPr="00392E88">
        <w:t>porcjonalne lub że program nie jest zgodny</w:t>
      </w:r>
      <w:r w:rsidR="006E6446" w:rsidRPr="00392E88">
        <w:t xml:space="preserve"> z</w:t>
      </w:r>
      <w:r w:rsidR="006E6446">
        <w:t> </w:t>
      </w:r>
      <w:r w:rsidR="006E6446" w:rsidRPr="00392E88">
        <w:t>tol</w:t>
      </w:r>
      <w:r w:rsidRPr="00392E88">
        <w:t>erancją ryzyka jego uczestników</w:t>
      </w:r>
      <w:r w:rsidR="006E6446" w:rsidRPr="00392E88">
        <w:t xml:space="preserve"> i</w:t>
      </w:r>
      <w:r w:rsidR="006E6446">
        <w:t> </w:t>
      </w:r>
      <w:r w:rsidR="006E6446" w:rsidRPr="00392E88">
        <w:t>ben</w:t>
      </w:r>
      <w:r w:rsidRPr="00392E88">
        <w:t>eficjentów, lub</w:t>
      </w:r>
      <w:r w:rsidR="006E6446" w:rsidRPr="00392E88">
        <w:t xml:space="preserve"> w</w:t>
      </w:r>
      <w:r w:rsidR="006E6446">
        <w:t> </w:t>
      </w:r>
      <w:r w:rsidR="006E6446" w:rsidRPr="00392E88">
        <w:t>prz</w:t>
      </w:r>
      <w:r w:rsidRPr="00392E88">
        <w:t>ypadku gdy niezadowalające wyniki utrzymują się przez co najmniej trzy lata, państwa członkowskie zapewniają, aby IORP niezwłocznie poinformowała swoich uczestników</w:t>
      </w:r>
      <w:r w:rsidR="006E6446" w:rsidRPr="00392E88">
        <w:t xml:space="preserve"> i</w:t>
      </w:r>
      <w:r w:rsidR="006E6446">
        <w:t> </w:t>
      </w:r>
      <w:r w:rsidR="006E6446" w:rsidRPr="00392E88">
        <w:t>ben</w:t>
      </w:r>
      <w:r w:rsidRPr="00392E88">
        <w:t>eficjentów</w:t>
      </w:r>
      <w:r w:rsidR="006E6446" w:rsidRPr="00392E88">
        <w:t xml:space="preserve"> o</w:t>
      </w:r>
      <w:r w:rsidR="006E6446">
        <w:t> </w:t>
      </w:r>
      <w:r w:rsidR="006E6446" w:rsidRPr="00392E88">
        <w:t>tej</w:t>
      </w:r>
      <w:r w:rsidRPr="00392E88">
        <w:t xml:space="preserve"> sytuacji</w:t>
      </w:r>
      <w:r w:rsidR="006E6446" w:rsidRPr="00392E88">
        <w:t xml:space="preserve"> w</w:t>
      </w:r>
      <w:r w:rsidR="006E6446">
        <w:t> </w:t>
      </w:r>
      <w:r w:rsidR="006E6446" w:rsidRPr="00392E88">
        <w:t>jas</w:t>
      </w:r>
      <w:r w:rsidRPr="00392E88">
        <w:t>ny, sprawiedliwy</w:t>
      </w:r>
      <w:r w:rsidR="006E6446" w:rsidRPr="00392E88">
        <w:t xml:space="preserve"> i</w:t>
      </w:r>
      <w:r w:rsidR="006E6446">
        <w:t> </w:t>
      </w:r>
      <w:r w:rsidR="006E6446" w:rsidRPr="00392E88">
        <w:t>zro</w:t>
      </w:r>
      <w:r w:rsidRPr="00392E88">
        <w:t>zumiały sposób.</w:t>
      </w:r>
    </w:p>
    <w:p w14:paraId="02D8B49C" w14:textId="13EF4508" w:rsidR="00B85A34" w:rsidRPr="00392E88" w:rsidRDefault="00B85A34" w:rsidP="00C9746B">
      <w:pPr>
        <w:pStyle w:val="Text1"/>
      </w:pPr>
      <w:r w:rsidRPr="00392E88">
        <w:t>2.</w:t>
      </w:r>
      <w:r w:rsidRPr="00392E88">
        <w:tab/>
        <w:t>Państwa członkowskie zapewniają, aby informacje,</w:t>
      </w:r>
      <w:r w:rsidR="006E6446" w:rsidRPr="00392E88">
        <w:t xml:space="preserve"> o</w:t>
      </w:r>
      <w:r w:rsidR="006E6446">
        <w:t> </w:t>
      </w:r>
      <w:r w:rsidR="006E6446" w:rsidRPr="00392E88">
        <w:t>któ</w:t>
      </w:r>
      <w:r w:rsidRPr="00392E88">
        <w:t>rych mowa</w:t>
      </w:r>
      <w:r w:rsidR="006E6446" w:rsidRPr="00392E88">
        <w:t xml:space="preserve"> w</w:t>
      </w:r>
      <w:r w:rsidR="006E6446">
        <w:t> </w:t>
      </w:r>
      <w:r w:rsidR="006E6446" w:rsidRPr="006E6446">
        <w:t>ust</w:t>
      </w:r>
      <w:r w:rsidRPr="006E6446">
        <w:t>.</w:t>
      </w:r>
      <w:r w:rsidR="006E6446" w:rsidRPr="006E6446">
        <w:t> </w:t>
      </w:r>
      <w:r w:rsidRPr="006E6446">
        <w:t>1</w:t>
      </w:r>
      <w:r w:rsidRPr="00392E88">
        <w:t xml:space="preserve"> akapit drugi, umożliwiały uczestnikom</w:t>
      </w:r>
      <w:r w:rsidR="006E6446" w:rsidRPr="00392E88">
        <w:t xml:space="preserve"> i</w:t>
      </w:r>
      <w:r w:rsidR="006E6446">
        <w:t> </w:t>
      </w:r>
      <w:r w:rsidR="006E6446" w:rsidRPr="00392E88">
        <w:t>ben</w:t>
      </w:r>
      <w:r w:rsidRPr="00392E88">
        <w:t>eficjentom zrozumienie, jak program funkcjonuje na tle porównywalnych IORP. Państwa członkowskie zapewniają, aby przekazywane informacje</w:t>
      </w:r>
      <w:r w:rsidR="006E6446" w:rsidRPr="00392E88">
        <w:t xml:space="preserve"> w</w:t>
      </w:r>
      <w:r w:rsidR="006E6446">
        <w:t> </w:t>
      </w:r>
      <w:r w:rsidR="006E6446" w:rsidRPr="00392E88">
        <w:t>pro</w:t>
      </w:r>
      <w:r w:rsidRPr="00392E88">
        <w:t>sty sposób wyjaśniały przyczyny niezadowalających wyników, wskazywały,</w:t>
      </w:r>
      <w:r w:rsidR="006E6446" w:rsidRPr="00392E88">
        <w:t xml:space="preserve"> w</w:t>
      </w:r>
      <w:r w:rsidR="006E6446">
        <w:t> </w:t>
      </w:r>
      <w:r w:rsidR="006E6446" w:rsidRPr="00392E88">
        <w:t>jak</w:t>
      </w:r>
      <w:r w:rsidRPr="00392E88">
        <w:t>i sposób koszty</w:t>
      </w:r>
      <w:r w:rsidR="006E6446" w:rsidRPr="00392E88">
        <w:t xml:space="preserve"> i</w:t>
      </w:r>
      <w:r w:rsidR="006E6446">
        <w:t> </w:t>
      </w:r>
      <w:r w:rsidR="006E6446" w:rsidRPr="00392E88">
        <w:t>opł</w:t>
      </w:r>
      <w:r w:rsidRPr="00392E88">
        <w:t>aty są proporcjonalne</w:t>
      </w:r>
      <w:r w:rsidR="006E6446" w:rsidRPr="00392E88">
        <w:t xml:space="preserve"> i</w:t>
      </w:r>
      <w:r w:rsidR="006E6446">
        <w:t> </w:t>
      </w:r>
      <w:r w:rsidR="006E6446" w:rsidRPr="00392E88">
        <w:t>uza</w:t>
      </w:r>
      <w:r w:rsidRPr="00392E88">
        <w:t>sadnione, oraz opisywały działania podejmowane</w:t>
      </w:r>
      <w:r w:rsidR="006E6446" w:rsidRPr="00392E88">
        <w:t xml:space="preserve"> w</w:t>
      </w:r>
      <w:r w:rsidR="006E6446">
        <w:t> </w:t>
      </w:r>
      <w:r w:rsidR="006E6446" w:rsidRPr="00392E88">
        <w:t>cel</w:t>
      </w:r>
      <w:r w:rsidRPr="00392E88">
        <w:t>u poprawy wyników</w:t>
      </w:r>
      <w:r w:rsidR="006E6446" w:rsidRPr="00392E88">
        <w:t xml:space="preserve"> i</w:t>
      </w:r>
      <w:r w:rsidR="006E6446">
        <w:t> </w:t>
      </w:r>
      <w:r w:rsidR="006E6446" w:rsidRPr="00392E88">
        <w:t>och</w:t>
      </w:r>
      <w:r w:rsidRPr="00392E88">
        <w:t>rony wartości nabytych praw uczestników. Państwa członkowskie zapewniają łatwy dostęp do tych informacji do czasu wykazania przez IORP trwałej poprawy.</w:t>
      </w:r>
    </w:p>
    <w:p w14:paraId="4E958722" w14:textId="2605AE3B" w:rsidR="0077614C" w:rsidRPr="00392E88" w:rsidRDefault="00346FAA" w:rsidP="00C9746B">
      <w:pPr>
        <w:pStyle w:val="Text1"/>
      </w:pPr>
      <w:r w:rsidRPr="00392E88">
        <w:t>3.</w:t>
      </w:r>
      <w:r w:rsidRPr="00392E88">
        <w:tab/>
        <w:t>Państwa członkowskie zobowiązują IORP do zapewnienia, aby informacje,</w:t>
      </w:r>
      <w:r w:rsidR="006E6446" w:rsidRPr="00392E88">
        <w:t xml:space="preserve"> o</w:t>
      </w:r>
      <w:r w:rsidR="006E6446">
        <w:t> </w:t>
      </w:r>
      <w:r w:rsidR="006E6446" w:rsidRPr="00392E88">
        <w:t>któ</w:t>
      </w:r>
      <w:r w:rsidRPr="00392E88">
        <w:t>rych mowa</w:t>
      </w:r>
      <w:r w:rsidR="006E6446" w:rsidRPr="00392E88">
        <w:t xml:space="preserve"> w</w:t>
      </w:r>
      <w:r w:rsidR="006E6446">
        <w:t> </w:t>
      </w:r>
      <w:r w:rsidR="006E6446" w:rsidRPr="006E6446">
        <w:t>ust</w:t>
      </w:r>
      <w:r w:rsidRPr="006E6446">
        <w:t>.</w:t>
      </w:r>
      <w:r w:rsidR="006E6446" w:rsidRPr="006E6446">
        <w:t> </w:t>
      </w:r>
      <w:r w:rsidRPr="006E6446">
        <w:t>1</w:t>
      </w:r>
      <w:r w:rsidRPr="00392E88">
        <w:t xml:space="preserve"> akapit drugi, były udostępniane za pośrednictwem tych samych kanałów, które są zwykle wykorzystywane do udostępniania informacji</w:t>
      </w:r>
      <w:r w:rsidR="006E6446" w:rsidRPr="00392E88">
        <w:t xml:space="preserve"> o</w:t>
      </w:r>
      <w:r w:rsidR="006E6446">
        <w:t> </w:t>
      </w:r>
      <w:r w:rsidR="006E6446" w:rsidRPr="00392E88">
        <w:t>świ</w:t>
      </w:r>
      <w:r w:rsidRPr="00392E88">
        <w:t>adczeniu emerytalnym</w:t>
      </w:r>
      <w:r w:rsidR="006E6446" w:rsidRPr="00392E88">
        <w:t xml:space="preserve"> i</w:t>
      </w:r>
      <w:r w:rsidR="006E6446">
        <w:t> </w:t>
      </w:r>
      <w:r w:rsidR="006E6446" w:rsidRPr="00392E88">
        <w:t>inn</w:t>
      </w:r>
      <w:r w:rsidRPr="00392E88">
        <w:t>ych regularnych komunikatów, oraz aby uczestnicy</w:t>
      </w:r>
      <w:r w:rsidR="006E6446" w:rsidRPr="00392E88">
        <w:t xml:space="preserve"> i</w:t>
      </w:r>
      <w:r w:rsidR="006E6446">
        <w:t> </w:t>
      </w:r>
      <w:r w:rsidR="006E6446" w:rsidRPr="00392E88">
        <w:t>ben</w:t>
      </w:r>
      <w:r w:rsidRPr="00392E88">
        <w:t>eficjenci byli informowani</w:t>
      </w:r>
      <w:r w:rsidR="006E6446" w:rsidRPr="00392E88">
        <w:t xml:space="preserve"> o</w:t>
      </w:r>
      <w:r w:rsidR="006E6446">
        <w:t> </w:t>
      </w:r>
      <w:r w:rsidR="006E6446" w:rsidRPr="00392E88">
        <w:t>tym</w:t>
      </w:r>
      <w:r w:rsidRPr="00392E88">
        <w:t>,</w:t>
      </w:r>
      <w:r w:rsidR="006E6446" w:rsidRPr="00392E88">
        <w:t xml:space="preserve"> w</w:t>
      </w:r>
      <w:r w:rsidR="006E6446">
        <w:t> </w:t>
      </w:r>
      <w:r w:rsidR="006E6446" w:rsidRPr="00392E88">
        <w:t>jak</w:t>
      </w:r>
      <w:r w:rsidRPr="00392E88">
        <w:t>i sposób mogą uzyskać dalsze szczegółowe informacje, jeżeli sobie tego życzą.</w:t>
      </w:r>
    </w:p>
    <w:p w14:paraId="596E019D" w14:textId="1E397EE3" w:rsidR="00346FAA" w:rsidRPr="00392E88" w:rsidRDefault="00174AA1">
      <w:pPr>
        <w:pStyle w:val="Text1"/>
      </w:pPr>
      <w:r w:rsidRPr="00392E88">
        <w:t>4.</w:t>
      </w:r>
      <w:r w:rsidRPr="00392E88">
        <w:tab/>
        <w:t>Państwa członkowskie zapewniają, aby ich właściwy organ opracował jasne, obiektywne</w:t>
      </w:r>
      <w:r w:rsidR="006E6446" w:rsidRPr="00392E88">
        <w:t xml:space="preserve"> i</w:t>
      </w:r>
      <w:r w:rsidR="006E6446">
        <w:t> </w:t>
      </w:r>
      <w:r w:rsidR="006E6446" w:rsidRPr="00392E88">
        <w:t>prz</w:t>
      </w:r>
      <w:r w:rsidRPr="00392E88">
        <w:t>ejrzyste poziomy odniesienia na potrzeby oceny niezadowalających wyników,</w:t>
      </w:r>
      <w:r w:rsidR="006E6446" w:rsidRPr="00392E88">
        <w:t xml:space="preserve"> w</w:t>
      </w:r>
      <w:r w:rsidR="006E6446">
        <w:t> </w:t>
      </w:r>
      <w:r w:rsidR="006E6446" w:rsidRPr="00392E88">
        <w:t>tym w</w:t>
      </w:r>
      <w:r w:rsidR="006E6446">
        <w:t> </w:t>
      </w:r>
      <w:r w:rsidR="006E6446" w:rsidRPr="00392E88">
        <w:t>odn</w:t>
      </w:r>
      <w:r w:rsidRPr="00392E88">
        <w:t>iesieniu do kosztów administracyjnych, inwestycyjnych</w:t>
      </w:r>
      <w:r w:rsidR="006E6446" w:rsidRPr="00392E88">
        <w:t xml:space="preserve"> i</w:t>
      </w:r>
      <w:r w:rsidR="006E6446">
        <w:t> </w:t>
      </w:r>
      <w:r w:rsidR="006E6446" w:rsidRPr="00392E88">
        <w:t>tra</w:t>
      </w:r>
      <w:r w:rsidRPr="00392E88">
        <w:t>nsakcyjnych, zwrotów</w:t>
      </w:r>
      <w:r w:rsidR="006E6446" w:rsidRPr="00392E88">
        <w:t xml:space="preserve"> z</w:t>
      </w:r>
      <w:r w:rsidR="006E6446">
        <w:t> </w:t>
      </w:r>
      <w:r w:rsidR="006E6446" w:rsidRPr="00392E88">
        <w:t>inw</w:t>
      </w:r>
      <w:r w:rsidRPr="00392E88">
        <w:t>estycji brutto</w:t>
      </w:r>
      <w:r w:rsidR="006E6446" w:rsidRPr="00392E88">
        <w:t xml:space="preserve"> i</w:t>
      </w:r>
      <w:r w:rsidR="006E6446">
        <w:t> </w:t>
      </w:r>
      <w:r w:rsidR="006E6446" w:rsidRPr="00392E88">
        <w:t>net</w:t>
      </w:r>
      <w:r w:rsidRPr="00392E88">
        <w:t>to oraz wyników finansowania we wskazanych okresach.</w:t>
      </w:r>
    </w:p>
    <w:p w14:paraId="6C40C1D8" w14:textId="050B3D1E" w:rsidR="00A82B18" w:rsidRPr="00392E88" w:rsidRDefault="00A82B18" w:rsidP="00C9746B">
      <w:pPr>
        <w:pStyle w:val="Text1"/>
      </w:pPr>
      <w:r w:rsidRPr="00392E88">
        <w:t>5.</w:t>
      </w:r>
      <w:r w:rsidRPr="00392E88">
        <w:tab/>
        <w:t>Do celów niniejszego artykułu EIOPA przyjmuje wytyczne, zgodnie</w:t>
      </w:r>
      <w:r w:rsidR="006E6446" w:rsidRPr="00392E88">
        <w:t xml:space="preserve"> z</w:t>
      </w:r>
      <w:r w:rsidR="006E6446">
        <w:t> </w:t>
      </w:r>
      <w:r w:rsidR="006E6446" w:rsidRPr="006E6446">
        <w:t>art</w:t>
      </w:r>
      <w:r w:rsidRPr="006E6446">
        <w:t>.</w:t>
      </w:r>
      <w:r w:rsidR="006E6446" w:rsidRPr="006E6446">
        <w:t> </w:t>
      </w:r>
      <w:r w:rsidRPr="006E6446">
        <w:t>1</w:t>
      </w:r>
      <w:r w:rsidRPr="00392E88">
        <w:t xml:space="preserve">6 rozporządzenia (UE) </w:t>
      </w:r>
      <w:r w:rsidRPr="006E6446">
        <w:t>nr</w:t>
      </w:r>
      <w:r w:rsidR="006E6446" w:rsidRPr="006E6446">
        <w:t> </w:t>
      </w:r>
      <w:r w:rsidRPr="006E6446">
        <w:t>1</w:t>
      </w:r>
      <w:r w:rsidRPr="00392E88">
        <w:t>094/2010, dotyczące metod określania niezadowalających wyników we wszystkich państwach członkowskich.”;</w:t>
      </w:r>
    </w:p>
    <w:p w14:paraId="0B596532" w14:textId="63BCFF7E" w:rsidR="00D76B3D" w:rsidRPr="00392E88" w:rsidRDefault="006E6446" w:rsidP="006E6446">
      <w:pPr>
        <w:pStyle w:val="Point0"/>
      </w:pPr>
      <w:r>
        <w:t>43)</w:t>
      </w:r>
      <w:r>
        <w:tab/>
      </w:r>
      <w:r w:rsidR="005B2476" w:rsidRPr="006E6446">
        <w:t>art.</w:t>
      </w:r>
      <w:r w:rsidRPr="006E6446">
        <w:t> </w:t>
      </w:r>
      <w:r w:rsidR="005B2476" w:rsidRPr="006E6446">
        <w:t>4</w:t>
      </w:r>
      <w:r w:rsidR="005B2476" w:rsidRPr="00392E88">
        <w:t>2 otrzymuje brzmienie:</w:t>
      </w:r>
    </w:p>
    <w:p w14:paraId="7F8BEE06" w14:textId="77777777" w:rsidR="00B83C39" w:rsidRPr="00392E88" w:rsidRDefault="00D76B3D" w:rsidP="005666BA">
      <w:pPr>
        <w:pStyle w:val="Titrearticle"/>
        <w:rPr>
          <w:i w:val="0"/>
          <w:iCs/>
        </w:rPr>
      </w:pPr>
      <w:r w:rsidRPr="00392E88">
        <w:t xml:space="preserve">„Artykuł 42 </w:t>
      </w:r>
      <w:r w:rsidRPr="00392E88">
        <w:br/>
      </w:r>
      <w:r w:rsidRPr="00392E88">
        <w:rPr>
          <w:b/>
          <w:i w:val="0"/>
        </w:rPr>
        <w:t>Informacje udzielane uczestnikom na etapie przed przejściem na emeryturę</w:t>
      </w:r>
    </w:p>
    <w:p w14:paraId="36376B98" w14:textId="2D78F2CB" w:rsidR="00370EF8" w:rsidRPr="00392E88" w:rsidRDefault="00B210BF" w:rsidP="005666BA">
      <w:pPr>
        <w:pStyle w:val="Text1"/>
      </w:pPr>
      <w:r w:rsidRPr="00392E88">
        <w:t>Oprócz informacji</w:t>
      </w:r>
      <w:r w:rsidR="006E6446" w:rsidRPr="00392E88">
        <w:t xml:space="preserve"> o</w:t>
      </w:r>
      <w:r w:rsidR="006E6446">
        <w:t> </w:t>
      </w:r>
      <w:r w:rsidR="006E6446" w:rsidRPr="00392E88">
        <w:t>świ</w:t>
      </w:r>
      <w:r w:rsidRPr="00392E88">
        <w:t>adczeniu emerytalnym IORP przekazują każdemu uczestnikowi,</w:t>
      </w:r>
      <w:r w:rsidR="006E6446" w:rsidRPr="00392E88">
        <w:t xml:space="preserve"> w</w:t>
      </w:r>
      <w:r w:rsidR="006E6446">
        <w:t> </w:t>
      </w:r>
      <w:r w:rsidR="006E6446" w:rsidRPr="00392E88">
        <w:t>odp</w:t>
      </w:r>
      <w:r w:rsidRPr="00392E88">
        <w:t>owiednim czasie przed osiągnięciem wieku emerytalnego, określonego</w:t>
      </w:r>
      <w:r w:rsidR="006E6446" w:rsidRPr="00392E88">
        <w:t xml:space="preserve"> w</w:t>
      </w:r>
      <w:r w:rsidR="006E6446">
        <w:t> </w:t>
      </w:r>
      <w:r w:rsidR="006E6446" w:rsidRPr="006E6446">
        <w:t>art</w:t>
      </w:r>
      <w:r w:rsidRPr="006E6446">
        <w:t>.</w:t>
      </w:r>
      <w:r w:rsidR="006E6446" w:rsidRPr="006E6446">
        <w:t> </w:t>
      </w:r>
      <w:r w:rsidRPr="006E6446">
        <w:t>3</w:t>
      </w:r>
      <w:r w:rsidRPr="00392E88">
        <w:t xml:space="preserve">9 </w:t>
      </w:r>
      <w:r w:rsidRPr="006E6446">
        <w:t>ust.</w:t>
      </w:r>
      <w:r w:rsidR="006E6446" w:rsidRPr="006E6446">
        <w:t> </w:t>
      </w:r>
      <w:r w:rsidRPr="006E6446">
        <w:t>1</w:t>
      </w:r>
      <w:r w:rsidRPr="00392E88">
        <w:t xml:space="preserve"> </w:t>
      </w:r>
      <w:r w:rsidRPr="006E6446">
        <w:t>lit.</w:t>
      </w:r>
      <w:r w:rsidR="006E6446" w:rsidRPr="006E6446">
        <w:t> </w:t>
      </w:r>
      <w:r w:rsidRPr="006E6446">
        <w:t>a)</w:t>
      </w:r>
      <w:r w:rsidRPr="00392E88">
        <w:t>, lub na żądanie uczestnika, informacje</w:t>
      </w:r>
      <w:r w:rsidR="006E6446" w:rsidRPr="00392E88">
        <w:t xml:space="preserve"> o</w:t>
      </w:r>
      <w:r w:rsidR="006E6446">
        <w:t> </w:t>
      </w:r>
      <w:r w:rsidR="006E6446" w:rsidRPr="00392E88">
        <w:t>zbl</w:t>
      </w:r>
      <w:r w:rsidRPr="00392E88">
        <w:t>iżającym się rozpoczęciu etapu wypłaty oraz</w:t>
      </w:r>
      <w:r w:rsidR="006E6446" w:rsidRPr="00392E88">
        <w:t xml:space="preserve"> o</w:t>
      </w:r>
      <w:r w:rsidR="006E6446">
        <w:t> </w:t>
      </w:r>
      <w:r w:rsidR="006E6446" w:rsidRPr="00392E88">
        <w:t>dos</w:t>
      </w:r>
      <w:r w:rsidRPr="00392E88">
        <w:t>tępnych opcjach wypłaty otrzymywanych świadczeń emerytalnych,</w:t>
      </w:r>
      <w:r w:rsidR="006E6446" w:rsidRPr="00392E88">
        <w:t xml:space="preserve"> w</w:t>
      </w:r>
      <w:r w:rsidR="006E6446">
        <w:t> </w:t>
      </w:r>
      <w:r w:rsidR="006E6446" w:rsidRPr="00392E88">
        <w:t>tym</w:t>
      </w:r>
      <w:r w:rsidRPr="00392E88">
        <w:t xml:space="preserve"> kosztach</w:t>
      </w:r>
      <w:r w:rsidR="006E6446" w:rsidRPr="00392E88">
        <w:t xml:space="preserve"> i</w:t>
      </w:r>
      <w:r w:rsidR="006E6446">
        <w:t> </w:t>
      </w:r>
      <w:r w:rsidR="006E6446" w:rsidRPr="00392E88">
        <w:t>opł</w:t>
      </w:r>
      <w:r w:rsidRPr="00392E88">
        <w:t>atach związanych</w:t>
      </w:r>
      <w:r w:rsidR="006E6446" w:rsidRPr="00392E88">
        <w:t xml:space="preserve"> z</w:t>
      </w:r>
      <w:r w:rsidR="006E6446">
        <w:t> </w:t>
      </w:r>
      <w:r w:rsidR="006E6446" w:rsidRPr="00392E88">
        <w:t>pos</w:t>
      </w:r>
      <w:r w:rsidRPr="00392E88">
        <w:t>zczególnymi opcjami</w:t>
      </w:r>
      <w:r w:rsidR="006E6446" w:rsidRPr="00392E88">
        <w:t xml:space="preserve"> i</w:t>
      </w:r>
      <w:r w:rsidR="006E6446">
        <w:t> </w:t>
      </w:r>
      <w:r w:rsidR="006E6446" w:rsidRPr="00392E88">
        <w:t>maj</w:t>
      </w:r>
      <w:r w:rsidRPr="00392E88">
        <w:t xml:space="preserve">ącym zastosowanie opodatkowaniu. </w:t>
      </w:r>
    </w:p>
    <w:p w14:paraId="0727732D" w14:textId="5C625D2B" w:rsidR="008E1585" w:rsidRPr="00392E88" w:rsidRDefault="00F133D2" w:rsidP="005666BA">
      <w:pPr>
        <w:pStyle w:val="Text1"/>
      </w:pPr>
      <w:r w:rsidRPr="00392E88">
        <w:t>Państwa członkowskie zapewniają, aby informacjom,</w:t>
      </w:r>
      <w:r w:rsidR="006E6446" w:rsidRPr="00392E88">
        <w:t xml:space="preserve"> o</w:t>
      </w:r>
      <w:r w:rsidR="006E6446">
        <w:t> </w:t>
      </w:r>
      <w:r w:rsidR="006E6446" w:rsidRPr="00392E88">
        <w:t>któ</w:t>
      </w:r>
      <w:r w:rsidRPr="00392E88">
        <w:t>rych mowa</w:t>
      </w:r>
      <w:r w:rsidR="006E6446" w:rsidRPr="00392E88">
        <w:t xml:space="preserve"> w</w:t>
      </w:r>
      <w:r w:rsidR="006E6446">
        <w:t> </w:t>
      </w:r>
      <w:r w:rsidR="006E6446" w:rsidRPr="00392E88">
        <w:t>aka</w:t>
      </w:r>
      <w:r w:rsidRPr="00392E88">
        <w:t>picie pierwszym, towarzyszył zwięzły pakiet wyjaśniający zawierający wszystkie następujące informacje:</w:t>
      </w:r>
    </w:p>
    <w:p w14:paraId="0F7A275E" w14:textId="5A2181A9" w:rsidR="00586CA1" w:rsidRPr="00392E88" w:rsidRDefault="006E6446" w:rsidP="006E6446">
      <w:pPr>
        <w:pStyle w:val="Point1"/>
      </w:pPr>
      <w:r>
        <w:t>a)</w:t>
      </w:r>
      <w:r>
        <w:tab/>
      </w:r>
      <w:r w:rsidR="00586CA1" w:rsidRPr="00392E88">
        <w:t>główne cechy, konsekwencje</w:t>
      </w:r>
      <w:r w:rsidRPr="00392E88">
        <w:t xml:space="preserve"> i</w:t>
      </w:r>
      <w:r>
        <w:t> </w:t>
      </w:r>
      <w:r w:rsidRPr="00392E88">
        <w:t>pot</w:t>
      </w:r>
      <w:r w:rsidR="00586CA1" w:rsidRPr="00392E88">
        <w:t>encjalne skutki poszczególnych opcji wypłaty świadczeń dostępnych dla uczestnika oraz,</w:t>
      </w:r>
      <w:r w:rsidRPr="00392E88">
        <w:t xml:space="preserve"> w</w:t>
      </w:r>
      <w:r>
        <w:t> </w:t>
      </w:r>
      <w:r w:rsidRPr="00392E88">
        <w:t>sto</w:t>
      </w:r>
      <w:r w:rsidR="00586CA1" w:rsidRPr="00392E88">
        <w:t>sownych przypadkach, dla beneficjentów;</w:t>
      </w:r>
    </w:p>
    <w:p w14:paraId="5C450675" w14:textId="749D83DB" w:rsidR="0073037C" w:rsidRPr="00392E88" w:rsidRDefault="006E6446" w:rsidP="006E6446">
      <w:pPr>
        <w:pStyle w:val="Point1"/>
      </w:pPr>
      <w:r>
        <w:t>b)</w:t>
      </w:r>
      <w:r>
        <w:tab/>
      </w:r>
      <w:r w:rsidR="0073037C" w:rsidRPr="00392E88">
        <w:t>ryzyka</w:t>
      </w:r>
      <w:r w:rsidRPr="00392E88">
        <w:t xml:space="preserve"> i</w:t>
      </w:r>
      <w:r>
        <w:t> </w:t>
      </w:r>
      <w:r w:rsidRPr="00392E88">
        <w:t>czy</w:t>
      </w:r>
      <w:r w:rsidR="0073037C" w:rsidRPr="00392E88">
        <w:t xml:space="preserve">nniki, które mogłyby negatywnie wpłynąć na poziom, stabilność lub czas trwania dochodu emerytalnego; </w:t>
      </w:r>
    </w:p>
    <w:p w14:paraId="5F159104" w14:textId="60FE8F94" w:rsidR="0073037C" w:rsidRPr="00392E88" w:rsidRDefault="006E6446" w:rsidP="006E6446">
      <w:pPr>
        <w:pStyle w:val="Point1"/>
      </w:pPr>
      <w:r>
        <w:t>c)</w:t>
      </w:r>
      <w:r>
        <w:tab/>
      </w:r>
      <w:r w:rsidR="008545DC" w:rsidRPr="00392E88">
        <w:t>okoliczności</w:t>
      </w:r>
      <w:r w:rsidRPr="00392E88">
        <w:t xml:space="preserve"> i</w:t>
      </w:r>
      <w:r>
        <w:t> </w:t>
      </w:r>
      <w:r w:rsidRPr="00392E88">
        <w:t>kry</w:t>
      </w:r>
      <w:r w:rsidR="008545DC" w:rsidRPr="00392E88">
        <w:t>teria, które uczestnicy muszą uwzględnić przy ocenie adekwatności poszczególnych opcji wypłaty świadczeń</w:t>
      </w:r>
      <w:r w:rsidRPr="00392E88">
        <w:t xml:space="preserve"> w</w:t>
      </w:r>
      <w:r>
        <w:t> </w:t>
      </w:r>
      <w:r w:rsidRPr="00392E88">
        <w:t>odn</w:t>
      </w:r>
      <w:r w:rsidR="008545DC" w:rsidRPr="00392E88">
        <w:t>iesieniu do ich indywidualnej sytuacji.</w:t>
      </w:r>
    </w:p>
    <w:p w14:paraId="5969307A" w14:textId="33F65011" w:rsidR="0050675D" w:rsidRPr="00392E88" w:rsidRDefault="007B44D2" w:rsidP="005D0C3B">
      <w:pPr>
        <w:pStyle w:val="Text1"/>
      </w:pPr>
      <w:r w:rsidRPr="00392E88">
        <w:t>Państwa członkowskie zapewniają, aby</w:t>
      </w:r>
      <w:r w:rsidR="006E6446" w:rsidRPr="00392E88">
        <w:t xml:space="preserve"> w</w:t>
      </w:r>
      <w:r w:rsidR="006E6446">
        <w:t> </w:t>
      </w:r>
      <w:r w:rsidR="006E6446" w:rsidRPr="00392E88">
        <w:t>prz</w:t>
      </w:r>
      <w:r w:rsidRPr="00392E88">
        <w:t>ypadku gdy jedna</w:t>
      </w:r>
      <w:r w:rsidR="006E6446" w:rsidRPr="00392E88">
        <w:t xml:space="preserve"> z</w:t>
      </w:r>
      <w:r w:rsidR="006E6446">
        <w:t> </w:t>
      </w:r>
      <w:r w:rsidR="006E6446" w:rsidRPr="00392E88">
        <w:t>opc</w:t>
      </w:r>
      <w:r w:rsidRPr="00392E88">
        <w:t>ji wypłaty świadczeń oferowanych przez IORP jest rentą zmienną, IORP przedstawiała każdemu uczestnikowi,</w:t>
      </w:r>
      <w:r w:rsidR="006E6446" w:rsidRPr="00392E88">
        <w:t xml:space="preserve"> w</w:t>
      </w:r>
      <w:r w:rsidR="006E6446">
        <w:t> </w:t>
      </w:r>
      <w:r w:rsidR="006E6446" w:rsidRPr="00392E88">
        <w:t>odp</w:t>
      </w:r>
      <w:r w:rsidRPr="00392E88">
        <w:t>owiednim czasie przed osiągnięciem wieku emerytalnego określonego</w:t>
      </w:r>
      <w:r w:rsidR="006E6446" w:rsidRPr="00392E88">
        <w:t xml:space="preserve"> w</w:t>
      </w:r>
      <w:r w:rsidR="006E6446">
        <w:t> </w:t>
      </w:r>
      <w:r w:rsidR="006E6446" w:rsidRPr="006E6446">
        <w:t>art</w:t>
      </w:r>
      <w:r w:rsidRPr="006E6446">
        <w:t>.</w:t>
      </w:r>
      <w:r w:rsidR="006E6446" w:rsidRPr="006E6446">
        <w:t> </w:t>
      </w:r>
      <w:r w:rsidRPr="006E6446">
        <w:t>3</w:t>
      </w:r>
      <w:r w:rsidRPr="00392E88">
        <w:t xml:space="preserve">9 </w:t>
      </w:r>
      <w:r w:rsidRPr="006E6446">
        <w:t>ust.</w:t>
      </w:r>
      <w:r w:rsidR="006E6446" w:rsidRPr="006E6446">
        <w:t> </w:t>
      </w:r>
      <w:r w:rsidRPr="006E6446">
        <w:t>1</w:t>
      </w:r>
      <w:r w:rsidRPr="00392E88">
        <w:t xml:space="preserve"> </w:t>
      </w:r>
      <w:r w:rsidRPr="006E6446">
        <w:t>lit.</w:t>
      </w:r>
      <w:r w:rsidR="006E6446" w:rsidRPr="006E6446">
        <w:t> </w:t>
      </w:r>
      <w:r w:rsidRPr="006E6446">
        <w:t>a)</w:t>
      </w:r>
      <w:r w:rsidRPr="00392E88">
        <w:t>, prognozy przedstawiające potencjalną zmianę kwoty wypłaty</w:t>
      </w:r>
      <w:r w:rsidR="006E6446" w:rsidRPr="00392E88">
        <w:t xml:space="preserve"> w</w:t>
      </w:r>
      <w:r w:rsidR="006E6446">
        <w:t> </w:t>
      </w:r>
      <w:r w:rsidR="006E6446" w:rsidRPr="00392E88">
        <w:t>cza</w:t>
      </w:r>
      <w:r w:rsidRPr="00392E88">
        <w:t>sie.”;</w:t>
      </w:r>
    </w:p>
    <w:p w14:paraId="337592FC" w14:textId="36757CF6" w:rsidR="00571175" w:rsidRPr="00392E88" w:rsidRDefault="006E6446" w:rsidP="006E6446">
      <w:pPr>
        <w:pStyle w:val="Point0"/>
      </w:pPr>
      <w:r>
        <w:t>44)</w:t>
      </w:r>
      <w:r>
        <w:tab/>
      </w:r>
      <w:r w:rsidR="00544BA5" w:rsidRPr="00392E88">
        <w:t xml:space="preserve">w </w:t>
      </w:r>
      <w:r w:rsidR="00544BA5" w:rsidRPr="006E6446">
        <w:t>art.</w:t>
      </w:r>
      <w:r w:rsidRPr="006E6446">
        <w:t> </w:t>
      </w:r>
      <w:r w:rsidR="00544BA5" w:rsidRPr="006E6446">
        <w:t>4</w:t>
      </w:r>
      <w:r w:rsidR="00544BA5" w:rsidRPr="00392E88">
        <w:t>3 wprowadza się następujące zmiany:</w:t>
      </w:r>
    </w:p>
    <w:p w14:paraId="40949F25" w14:textId="69049DEF" w:rsidR="00E9196B" w:rsidRPr="00392E88" w:rsidRDefault="006E6446" w:rsidP="006E6446">
      <w:pPr>
        <w:pStyle w:val="Point1"/>
      </w:pPr>
      <w:r>
        <w:t>a)</w:t>
      </w:r>
      <w:r>
        <w:tab/>
      </w:r>
      <w:r w:rsidR="000E7488" w:rsidRPr="00392E88">
        <w:t>ust. 1 otrzymuje brzmienie:</w:t>
      </w:r>
    </w:p>
    <w:p w14:paraId="20AA20DD" w14:textId="335AF271" w:rsidR="00E96E51" w:rsidRPr="00392E88" w:rsidRDefault="008E4883" w:rsidP="000E7488">
      <w:pPr>
        <w:pStyle w:val="Text1"/>
      </w:pPr>
      <w:r w:rsidRPr="00392E88">
        <w:t>„1.</w:t>
      </w:r>
      <w:r w:rsidRPr="00392E88">
        <w:tab/>
        <w:t>Państwa członkowskie wymagają, aby IORP co roku przekazywały beneficjentom informacje na temat należnych świadczeń, odpowiadających im opcji wypłaty oraz zestawienie wszystkich poniesionych kosztów</w:t>
      </w:r>
      <w:r w:rsidR="006E6446" w:rsidRPr="00392E88">
        <w:t xml:space="preserve"> i</w:t>
      </w:r>
      <w:r w:rsidR="006E6446">
        <w:t> </w:t>
      </w:r>
      <w:r w:rsidR="006E6446" w:rsidRPr="00392E88">
        <w:t>inf</w:t>
      </w:r>
      <w:r w:rsidRPr="00392E88">
        <w:t>ormacje na temat wyników osiągniętych</w:t>
      </w:r>
      <w:r w:rsidR="006E6446" w:rsidRPr="00392E88">
        <w:t xml:space="preserve"> w</w:t>
      </w:r>
      <w:r w:rsidR="006E6446">
        <w:t> </w:t>
      </w:r>
      <w:r w:rsidR="006E6446" w:rsidRPr="00392E88">
        <w:t>prz</w:t>
      </w:r>
      <w:r w:rsidRPr="00392E88">
        <w:t>eszłości,</w:t>
      </w:r>
      <w:r w:rsidR="006E6446" w:rsidRPr="00392E88">
        <w:t xml:space="preserve"> o</w:t>
      </w:r>
      <w:r w:rsidR="006E6446">
        <w:t> </w:t>
      </w:r>
      <w:r w:rsidR="006E6446" w:rsidRPr="00392E88">
        <w:t>któ</w:t>
      </w:r>
      <w:r w:rsidRPr="00392E88">
        <w:t>rych mowa</w:t>
      </w:r>
      <w:r w:rsidR="006E6446" w:rsidRPr="00392E88">
        <w:t xml:space="preserve"> w</w:t>
      </w:r>
      <w:r w:rsidR="006E6446">
        <w:t> </w:t>
      </w:r>
      <w:r w:rsidR="006E6446" w:rsidRPr="006E6446">
        <w:t>art</w:t>
      </w:r>
      <w:r w:rsidRPr="006E6446">
        <w:t>.</w:t>
      </w:r>
      <w:r w:rsidR="006E6446" w:rsidRPr="006E6446">
        <w:t> </w:t>
      </w:r>
      <w:r w:rsidRPr="006E6446">
        <w:t>3</w:t>
      </w:r>
      <w:r w:rsidRPr="00392E88">
        <w:t xml:space="preserve">9 </w:t>
      </w:r>
      <w:r w:rsidRPr="006E6446">
        <w:t>lit.</w:t>
      </w:r>
      <w:r w:rsidR="006E6446" w:rsidRPr="006E6446">
        <w:t> </w:t>
      </w:r>
      <w:r w:rsidRPr="006E6446">
        <w:t>g)</w:t>
      </w:r>
      <w:r w:rsidRPr="00392E88">
        <w:t xml:space="preserve"> oraz i). </w:t>
      </w:r>
    </w:p>
    <w:p w14:paraId="39BB90A2" w14:textId="574682AC" w:rsidR="008E4883" w:rsidRPr="00392E88" w:rsidRDefault="001A3A1D" w:rsidP="000E7488">
      <w:pPr>
        <w:pStyle w:val="Text1"/>
      </w:pPr>
      <w:r w:rsidRPr="00392E88">
        <w:t>W informacjach tych opisuje się również główne czynniki, które mogą mieć wpływ na poziom lub czas trwania dochodu emerytalnego,</w:t>
      </w:r>
      <w:r w:rsidR="006E6446" w:rsidRPr="00392E88">
        <w:t xml:space="preserve"> w</w:t>
      </w:r>
      <w:r w:rsidR="006E6446">
        <w:t> </w:t>
      </w:r>
      <w:r w:rsidR="006E6446" w:rsidRPr="00392E88">
        <w:t>tym</w:t>
      </w:r>
      <w:r w:rsidRPr="00392E88">
        <w:t xml:space="preserve"> ryzyko inwestycyjne</w:t>
      </w:r>
      <w:r w:rsidR="006E6446" w:rsidRPr="00392E88">
        <w:t xml:space="preserve"> i</w:t>
      </w:r>
      <w:r w:rsidR="006E6446">
        <w:t> </w:t>
      </w:r>
      <w:r w:rsidR="006E6446" w:rsidRPr="00392E88">
        <w:t>ryz</w:t>
      </w:r>
      <w:r w:rsidRPr="00392E88">
        <w:t>yko związane ze średnim dalszym trwaniem życia, oraz wskazuje się,</w:t>
      </w:r>
      <w:r w:rsidR="006E6446" w:rsidRPr="00392E88">
        <w:t xml:space="preserve"> w</w:t>
      </w:r>
      <w:r w:rsidR="006E6446">
        <w:t> </w:t>
      </w:r>
      <w:r w:rsidR="006E6446" w:rsidRPr="00392E88">
        <w:t>sto</w:t>
      </w:r>
      <w:r w:rsidRPr="00392E88">
        <w:t>sownych przypadkach, prawo do zmiany opcji wypłaty.”;</w:t>
      </w:r>
    </w:p>
    <w:p w14:paraId="6BA8623A" w14:textId="5ACC4558" w:rsidR="00794AD4" w:rsidRPr="00392E88" w:rsidRDefault="006E6446" w:rsidP="006E6446">
      <w:pPr>
        <w:pStyle w:val="Point1"/>
      </w:pPr>
      <w:r>
        <w:t>b)</w:t>
      </w:r>
      <w:r>
        <w:tab/>
      </w:r>
      <w:r w:rsidR="00123A6A" w:rsidRPr="00392E88">
        <w:t>ust. 3 otrzymuje brzmienie:</w:t>
      </w:r>
    </w:p>
    <w:p w14:paraId="35CD40EF" w14:textId="5DC06C88" w:rsidR="00123A6A" w:rsidRPr="00392E88" w:rsidRDefault="00123A6A" w:rsidP="000E7488">
      <w:pPr>
        <w:pStyle w:val="Text1"/>
      </w:pPr>
      <w:r w:rsidRPr="00392E88">
        <w:t>„3.</w:t>
      </w:r>
      <w:r w:rsidRPr="00392E88">
        <w:tab/>
        <w:t>W przypadku gdy beneficjenci nadal wpłacają składki lub ponoszą ryzyko inwestycyjne na etapie wypłaty świadczeń, państwa członkowskie zapewniają, aby IORP nadal przekazywały informację</w:t>
      </w:r>
      <w:r w:rsidR="006E6446" w:rsidRPr="00392E88">
        <w:t xml:space="preserve"> o</w:t>
      </w:r>
      <w:r w:rsidR="006E6446">
        <w:t> </w:t>
      </w:r>
      <w:r w:rsidR="006E6446" w:rsidRPr="00392E88">
        <w:t>świ</w:t>
      </w:r>
      <w:r w:rsidRPr="00392E88">
        <w:t>adczeniu emerytalnym, która zawiera również informacje,</w:t>
      </w:r>
      <w:r w:rsidR="006E6446" w:rsidRPr="00392E88">
        <w:t xml:space="preserve"> o</w:t>
      </w:r>
      <w:r w:rsidR="006E6446">
        <w:t> </w:t>
      </w:r>
      <w:r w:rsidR="006E6446" w:rsidRPr="00392E88">
        <w:t>któ</w:t>
      </w:r>
      <w:r w:rsidRPr="00392E88">
        <w:t>rych mowa</w:t>
      </w:r>
      <w:r w:rsidR="006E6446" w:rsidRPr="00392E88">
        <w:t xml:space="preserve"> w</w:t>
      </w:r>
      <w:r w:rsidR="006E6446">
        <w:t> </w:t>
      </w:r>
      <w:r w:rsidR="006E6446" w:rsidRPr="006E6446">
        <w:t>ust</w:t>
      </w:r>
      <w:r w:rsidRPr="006E6446">
        <w:t>.</w:t>
      </w:r>
      <w:r w:rsidR="006E6446" w:rsidRPr="006E6446">
        <w:t> </w:t>
      </w:r>
      <w:r w:rsidRPr="006E6446">
        <w:t>1</w:t>
      </w:r>
      <w:r w:rsidRPr="00392E88">
        <w:t>.”;</w:t>
      </w:r>
    </w:p>
    <w:p w14:paraId="1E40E007" w14:textId="20B6ECA5" w:rsidR="00032059" w:rsidRPr="00392E88" w:rsidRDefault="006E6446" w:rsidP="006E6446">
      <w:pPr>
        <w:pStyle w:val="Point0"/>
      </w:pPr>
      <w:r>
        <w:t>45)</w:t>
      </w:r>
      <w:r>
        <w:tab/>
      </w:r>
      <w:r w:rsidR="003C6C87" w:rsidRPr="00392E88">
        <w:t>w tytule IV dodaje się rozdział</w:t>
      </w:r>
      <w:r w:rsidRPr="00392E88">
        <w:t xml:space="preserve"> w</w:t>
      </w:r>
      <w:r>
        <w:t> </w:t>
      </w:r>
      <w:r w:rsidRPr="00392E88">
        <w:t>brz</w:t>
      </w:r>
      <w:r w:rsidR="003C6C87" w:rsidRPr="00392E88">
        <w:t>mieniu:</w:t>
      </w:r>
    </w:p>
    <w:p w14:paraId="39DF1FCB" w14:textId="77777777" w:rsidR="00D77020" w:rsidRPr="00392E88" w:rsidRDefault="00D77020" w:rsidP="00C9746B">
      <w:pPr>
        <w:pStyle w:val="ChapterTitle"/>
        <w:rPr>
          <w:i/>
          <w:iCs/>
        </w:rPr>
      </w:pPr>
      <w:r w:rsidRPr="00392E88">
        <w:t>„</w:t>
      </w:r>
      <w:r w:rsidRPr="00392E88">
        <w:rPr>
          <w:i/>
        </w:rPr>
        <w:t>ROZDZIAŁ 4</w:t>
      </w:r>
      <w:r w:rsidRPr="00392E88">
        <w:t xml:space="preserve"> </w:t>
      </w:r>
      <w:r w:rsidRPr="00392E88">
        <w:br/>
      </w:r>
      <w:r w:rsidRPr="00392E88">
        <w:rPr>
          <w:i/>
        </w:rPr>
        <w:t>Zasady prowadzenia działalności</w:t>
      </w:r>
    </w:p>
    <w:p w14:paraId="3FD391E0" w14:textId="77777777" w:rsidR="007A7BB3" w:rsidRPr="00392E88" w:rsidRDefault="007A7BB3" w:rsidP="007A7BB3">
      <w:pPr>
        <w:pStyle w:val="Titrearticle"/>
      </w:pPr>
      <w:r w:rsidRPr="00392E88">
        <w:t xml:space="preserve">Artykuł 44a </w:t>
      </w:r>
      <w:r w:rsidRPr="00392E88">
        <w:br/>
      </w:r>
      <w:r w:rsidRPr="00392E88">
        <w:rPr>
          <w:b/>
          <w:i w:val="0"/>
        </w:rPr>
        <w:t>Obowiązek dochowania należytej staranności</w:t>
      </w:r>
    </w:p>
    <w:p w14:paraId="32902421" w14:textId="3D65739E" w:rsidR="00E1487B" w:rsidRPr="00392E88" w:rsidRDefault="00C4722B" w:rsidP="000E7488">
      <w:pPr>
        <w:pStyle w:val="Text1"/>
      </w:pPr>
      <w:r w:rsidRPr="00392E88">
        <w:t>1.</w:t>
      </w:r>
      <w:r w:rsidRPr="00392E88">
        <w:tab/>
        <w:t>Uwzględniając charakter programu emerytalnego, państwa członkowskie zapewniają, aby każda IORP, która wykonuje działalność na podstawie zezwolenia na ich terytoriach, zawsze działała</w:t>
      </w:r>
      <w:r w:rsidR="006E6446" w:rsidRPr="00392E88">
        <w:t xml:space="preserve"> w</w:t>
      </w:r>
      <w:r w:rsidR="006E6446">
        <w:t> </w:t>
      </w:r>
      <w:r w:rsidR="006E6446" w:rsidRPr="00392E88">
        <w:t>spo</w:t>
      </w:r>
      <w:r w:rsidRPr="00392E88">
        <w:t>sób uczciwy, sprawiedliwy</w:t>
      </w:r>
      <w:r w:rsidR="006E6446" w:rsidRPr="00392E88">
        <w:t xml:space="preserve"> i</w:t>
      </w:r>
      <w:r w:rsidR="006E6446">
        <w:t> </w:t>
      </w:r>
      <w:r w:rsidR="006E6446" w:rsidRPr="00392E88">
        <w:t>pro</w:t>
      </w:r>
      <w:r w:rsidRPr="00392E88">
        <w:t>fesjonalny oraz zgodnie</w:t>
      </w:r>
      <w:r w:rsidR="006E6446" w:rsidRPr="00392E88">
        <w:t xml:space="preserve"> z</w:t>
      </w:r>
      <w:r w:rsidR="006E6446">
        <w:t> </w:t>
      </w:r>
      <w:r w:rsidR="006E6446" w:rsidRPr="00392E88">
        <w:t>naj</w:t>
      </w:r>
      <w:r w:rsidRPr="00392E88">
        <w:t>lepiej pojętym interesem swoich uczestników</w:t>
      </w:r>
      <w:r w:rsidR="006E6446" w:rsidRPr="00392E88">
        <w:t xml:space="preserve"> i</w:t>
      </w:r>
      <w:r w:rsidR="006E6446">
        <w:t> </w:t>
      </w:r>
      <w:r w:rsidR="006E6446" w:rsidRPr="00392E88">
        <w:t>ben</w:t>
      </w:r>
      <w:r w:rsidRPr="00392E88">
        <w:t>eficjentów. Interesy te obejmują cel, jakim jest zapewnienie odpowiednich, skorygowanych</w:t>
      </w:r>
      <w:r w:rsidR="006E6446" w:rsidRPr="00392E88">
        <w:t xml:space="preserve"> o</w:t>
      </w:r>
      <w:r w:rsidR="006E6446">
        <w:t> </w:t>
      </w:r>
      <w:r w:rsidR="006E6446" w:rsidRPr="00392E88">
        <w:t>ryz</w:t>
      </w:r>
      <w:r w:rsidRPr="00392E88">
        <w:t>yko</w:t>
      </w:r>
      <w:r w:rsidR="006E6446" w:rsidRPr="00392E88">
        <w:t xml:space="preserve"> i</w:t>
      </w:r>
      <w:r w:rsidR="006E6446">
        <w:t> </w:t>
      </w:r>
      <w:r w:rsidR="006E6446" w:rsidRPr="00392E88">
        <w:t>opł</w:t>
      </w:r>
      <w:r w:rsidRPr="00392E88">
        <w:t>acalnych zwrotów</w:t>
      </w:r>
      <w:r w:rsidR="006E6446" w:rsidRPr="00392E88">
        <w:t xml:space="preserve"> w</w:t>
      </w:r>
      <w:r w:rsidR="006E6446">
        <w:t> </w:t>
      </w:r>
      <w:r w:rsidR="006E6446" w:rsidRPr="00392E88">
        <w:t>per</w:t>
      </w:r>
      <w:r w:rsidRPr="00392E88">
        <w:t>spektywie długoterminowej, zgodnie</w:t>
      </w:r>
      <w:r w:rsidR="006E6446" w:rsidRPr="00392E88">
        <w:t xml:space="preserve"> z</w:t>
      </w:r>
      <w:r w:rsidR="006E6446">
        <w:t> </w:t>
      </w:r>
      <w:r w:rsidR="006E6446" w:rsidRPr="00392E88">
        <w:t>dłu</w:t>
      </w:r>
      <w:r w:rsidRPr="00392E88">
        <w:t>goterminowym charakterem zobowiązań emerytalnych.</w:t>
      </w:r>
    </w:p>
    <w:p w14:paraId="5EC6D317" w14:textId="30677416" w:rsidR="00DA0B99" w:rsidRPr="00392E88" w:rsidRDefault="00C4722B" w:rsidP="000E7488">
      <w:pPr>
        <w:pStyle w:val="Text1"/>
      </w:pPr>
      <w:r w:rsidRPr="00392E88">
        <w:t>2.</w:t>
      </w:r>
      <w:r w:rsidRPr="00392E88">
        <w:tab/>
        <w:t>Państwa członkowskie zapewniają, aby IORP wprowadziły zabezpieczenia,</w:t>
      </w:r>
      <w:r w:rsidR="006E6446" w:rsidRPr="00392E88">
        <w:t xml:space="preserve"> w</w:t>
      </w:r>
      <w:r w:rsidR="006E6446">
        <w:t> </w:t>
      </w:r>
      <w:r w:rsidR="006E6446" w:rsidRPr="00392E88">
        <w:t>tym</w:t>
      </w:r>
      <w:r w:rsidRPr="00392E88">
        <w:t xml:space="preserve"> wytyczne wspierające potencjalnych uczestników, uczestników</w:t>
      </w:r>
      <w:r w:rsidR="006E6446" w:rsidRPr="00392E88">
        <w:t xml:space="preserve"> i</w:t>
      </w:r>
      <w:r w:rsidR="006E6446">
        <w:t> </w:t>
      </w:r>
      <w:r w:rsidR="006E6446" w:rsidRPr="00392E88">
        <w:t>ben</w:t>
      </w:r>
      <w:r w:rsidRPr="00392E88">
        <w:t>eficjentów przy podejmowaniu decyzji</w:t>
      </w:r>
      <w:r w:rsidR="006E6446" w:rsidRPr="00392E88">
        <w:t xml:space="preserve"> w</w:t>
      </w:r>
      <w:r w:rsidR="006E6446">
        <w:t> </w:t>
      </w:r>
      <w:r w:rsidR="006E6446" w:rsidRPr="00392E88">
        <w:t>spr</w:t>
      </w:r>
      <w:r w:rsidRPr="00392E88">
        <w:t>awie dostępnych im opcji, oraz informowały ich</w:t>
      </w:r>
      <w:r w:rsidR="006E6446" w:rsidRPr="00392E88">
        <w:t xml:space="preserve"> o</w:t>
      </w:r>
      <w:r w:rsidR="006E6446">
        <w:t> </w:t>
      </w:r>
      <w:r w:rsidR="006E6446" w:rsidRPr="00392E88">
        <w:t>pot</w:t>
      </w:r>
      <w:r w:rsidRPr="00392E88">
        <w:t>encjalnych konsekwencjach swoich decyzji.</w:t>
      </w:r>
    </w:p>
    <w:p w14:paraId="0C9CEFAD" w14:textId="17CFE7C9" w:rsidR="00751F49" w:rsidRPr="00392E88" w:rsidRDefault="005E5F7C" w:rsidP="000E7488">
      <w:pPr>
        <w:pStyle w:val="Titrearticle"/>
      </w:pPr>
      <w:r w:rsidRPr="00392E88">
        <w:t xml:space="preserve">Artykuł 44b </w:t>
      </w:r>
      <w:r w:rsidRPr="00392E88">
        <w:br/>
      </w:r>
      <w:r w:rsidRPr="00392E88">
        <w:rPr>
          <w:b/>
          <w:i w:val="0"/>
        </w:rPr>
        <w:t>Odpowiednia struktura</w:t>
      </w:r>
      <w:r w:rsidR="006E6446" w:rsidRPr="00392E88">
        <w:rPr>
          <w:b/>
          <w:i w:val="0"/>
        </w:rPr>
        <w:t xml:space="preserve"> i</w:t>
      </w:r>
      <w:r w:rsidR="006E6446">
        <w:rPr>
          <w:b/>
          <w:i w:val="0"/>
        </w:rPr>
        <w:t> </w:t>
      </w:r>
      <w:r w:rsidR="006E6446" w:rsidRPr="00392E88">
        <w:rPr>
          <w:b/>
          <w:i w:val="0"/>
        </w:rPr>
        <w:t>wdr</w:t>
      </w:r>
      <w:r w:rsidRPr="00392E88">
        <w:rPr>
          <w:b/>
          <w:i w:val="0"/>
        </w:rPr>
        <w:t>ażanie programów emerytalnych</w:t>
      </w:r>
    </w:p>
    <w:p w14:paraId="7BA37CE9" w14:textId="6DC2D88B" w:rsidR="00FC4F0B" w:rsidRPr="00392E88" w:rsidRDefault="00F82A45" w:rsidP="001B57C4">
      <w:pPr>
        <w:pStyle w:val="Text1"/>
      </w:pPr>
      <w:r w:rsidRPr="00392E88">
        <w:t>1.</w:t>
      </w:r>
      <w:r w:rsidRPr="00392E88">
        <w:tab/>
        <w:t>Bez uszczerbku dla krajowych przepisów prawa socjalnego</w:t>
      </w:r>
      <w:r w:rsidR="006E6446" w:rsidRPr="00392E88">
        <w:t xml:space="preserve"> i</w:t>
      </w:r>
      <w:r w:rsidR="006E6446">
        <w:t> </w:t>
      </w:r>
      <w:r w:rsidR="006E6446" w:rsidRPr="00392E88">
        <w:t>pra</w:t>
      </w:r>
      <w:r w:rsidRPr="00392E88">
        <w:t>wa pracy</w:t>
      </w:r>
      <w:r w:rsidR="006E6446" w:rsidRPr="00392E88">
        <w:t xml:space="preserve"> w</w:t>
      </w:r>
      <w:r w:rsidR="006E6446">
        <w:t> </w:t>
      </w:r>
      <w:r w:rsidR="006E6446" w:rsidRPr="00392E88">
        <w:t>zak</w:t>
      </w:r>
      <w:r w:rsidRPr="00392E88">
        <w:t>resie organizacji systemów emerytalnych, włącznie</w:t>
      </w:r>
      <w:r w:rsidR="006E6446" w:rsidRPr="00392E88">
        <w:t xml:space="preserve"> z</w:t>
      </w:r>
      <w:r w:rsidR="006E6446">
        <w:t> </w:t>
      </w:r>
      <w:r w:rsidR="006E6446" w:rsidRPr="00392E88">
        <w:t>obo</w:t>
      </w:r>
      <w:r w:rsidRPr="00392E88">
        <w:t>wiązkowym uczestnictwem</w:t>
      </w:r>
      <w:r w:rsidR="006E6446" w:rsidRPr="00392E88">
        <w:t xml:space="preserve"> i</w:t>
      </w:r>
      <w:r w:rsidR="006E6446">
        <w:t> </w:t>
      </w:r>
      <w:r w:rsidR="006E6446" w:rsidRPr="00392E88">
        <w:t>wyn</w:t>
      </w:r>
      <w:r w:rsidRPr="00392E88">
        <w:t xml:space="preserve">ikami działań zbiorowych, państwa członkowskie wymagają, aby: </w:t>
      </w:r>
    </w:p>
    <w:p w14:paraId="49FBF845" w14:textId="1AE624DD" w:rsidR="00905CF8" w:rsidRPr="00392E88" w:rsidRDefault="005C1400" w:rsidP="005D0C3B">
      <w:pPr>
        <w:pStyle w:val="Point1"/>
      </w:pPr>
      <w:r w:rsidRPr="00392E88">
        <w:t xml:space="preserve">a) </w:t>
      </w:r>
      <w:r w:rsidRPr="00392E88">
        <w:tab/>
        <w:t>IORP dopilnowały, aby struktura, opracowywanie</w:t>
      </w:r>
      <w:r w:rsidR="006E6446" w:rsidRPr="00392E88">
        <w:t xml:space="preserve"> i</w:t>
      </w:r>
      <w:r w:rsidR="006E6446">
        <w:t> </w:t>
      </w:r>
      <w:r w:rsidR="006E6446" w:rsidRPr="00392E88">
        <w:t>wdr</w:t>
      </w:r>
      <w:r w:rsidRPr="00392E88">
        <w:t>ażanie programów emerytalnych były odpowiednie</w:t>
      </w:r>
      <w:r w:rsidR="006E6446" w:rsidRPr="00392E88">
        <w:t xml:space="preserve"> w</w:t>
      </w:r>
      <w:r w:rsidR="006E6446">
        <w:t> </w:t>
      </w:r>
      <w:r w:rsidR="006E6446" w:rsidRPr="00392E88">
        <w:t>świ</w:t>
      </w:r>
      <w:r w:rsidRPr="00392E88">
        <w:t>etle określonych potrzeb, cech</w:t>
      </w:r>
      <w:r w:rsidR="006E6446" w:rsidRPr="00392E88">
        <w:t xml:space="preserve"> i</w:t>
      </w:r>
      <w:r w:rsidR="006E6446">
        <w:t> </w:t>
      </w:r>
      <w:r w:rsidR="006E6446" w:rsidRPr="00392E88">
        <w:t>pro</w:t>
      </w:r>
      <w:r w:rsidRPr="00392E88">
        <w:t>filu ryzyka uczestników</w:t>
      </w:r>
      <w:r w:rsidR="006E6446" w:rsidRPr="00392E88">
        <w:t xml:space="preserve"> i</w:t>
      </w:r>
      <w:r w:rsidR="006E6446">
        <w:t> </w:t>
      </w:r>
      <w:r w:rsidR="006E6446" w:rsidRPr="00392E88">
        <w:t>ben</w:t>
      </w:r>
      <w:r w:rsidRPr="00392E88">
        <w:t>eficjentów,</w:t>
      </w:r>
      <w:r w:rsidR="006E6446" w:rsidRPr="00392E88">
        <w:t xml:space="preserve"> w</w:t>
      </w:r>
      <w:r w:rsidR="006E6446">
        <w:t> </w:t>
      </w:r>
      <w:r w:rsidR="006E6446" w:rsidRPr="00392E88">
        <w:t>spo</w:t>
      </w:r>
      <w:r w:rsidRPr="00392E88">
        <w:t>sób proporcjonalny do charakteru, skali</w:t>
      </w:r>
      <w:r w:rsidR="006E6446" w:rsidRPr="00392E88">
        <w:t xml:space="preserve"> i</w:t>
      </w:r>
      <w:r w:rsidR="006E6446">
        <w:t> </w:t>
      </w:r>
      <w:r w:rsidR="006E6446" w:rsidRPr="00392E88">
        <w:t>zło</w:t>
      </w:r>
      <w:r w:rsidRPr="00392E88">
        <w:t>żoności programu.</w:t>
      </w:r>
    </w:p>
    <w:p w14:paraId="62705232" w14:textId="7B9FA979" w:rsidR="00B20FCC" w:rsidRPr="00392E88" w:rsidRDefault="005C1400" w:rsidP="005D0C3B">
      <w:pPr>
        <w:pStyle w:val="Point1"/>
      </w:pPr>
      <w:r w:rsidRPr="00392E88">
        <w:t xml:space="preserve">b) </w:t>
      </w:r>
      <w:r w:rsidRPr="00392E88">
        <w:tab/>
        <w:t>IORP regularnie dokonywały przeglądu i,</w:t>
      </w:r>
      <w:r w:rsidR="006E6446" w:rsidRPr="00392E88">
        <w:t xml:space="preserve"> w</w:t>
      </w:r>
      <w:r w:rsidR="006E6446">
        <w:t> </w:t>
      </w:r>
      <w:r w:rsidR="006E6446" w:rsidRPr="00392E88">
        <w:t>raz</w:t>
      </w:r>
      <w:r w:rsidRPr="00392E88">
        <w:t>ie potrzeby, dostosowywały strukturę, opracowywanie</w:t>
      </w:r>
      <w:r w:rsidR="006E6446" w:rsidRPr="00392E88">
        <w:t xml:space="preserve"> i</w:t>
      </w:r>
      <w:r w:rsidR="006E6446">
        <w:t> </w:t>
      </w:r>
      <w:r w:rsidR="006E6446" w:rsidRPr="00392E88">
        <w:t>wdr</w:t>
      </w:r>
      <w:r w:rsidRPr="00392E88">
        <w:t>ażanie programu emerytalnego, biorąc pod uwagę wszelkie istotne zmiany,</w:t>
      </w:r>
      <w:r w:rsidR="006E6446" w:rsidRPr="00392E88">
        <w:t xml:space="preserve"> w</w:t>
      </w:r>
      <w:r w:rsidR="006E6446">
        <w:t> </w:t>
      </w:r>
      <w:r w:rsidR="006E6446" w:rsidRPr="00392E88">
        <w:t>cel</w:t>
      </w:r>
      <w:r w:rsidRPr="00392E88">
        <w:t>u zapewnienia, aby program pozostawał odpowiedni</w:t>
      </w:r>
      <w:r w:rsidR="006E6446" w:rsidRPr="00392E88">
        <w:t xml:space="preserve"> i</w:t>
      </w:r>
      <w:r w:rsidR="006E6446">
        <w:t> </w:t>
      </w:r>
      <w:r w:rsidR="006E6446" w:rsidRPr="00392E88">
        <w:t>spó</w:t>
      </w:r>
      <w:r w:rsidRPr="00392E88">
        <w:t>jny</w:t>
      </w:r>
      <w:r w:rsidR="006E6446" w:rsidRPr="00392E88">
        <w:t xml:space="preserve"> z</w:t>
      </w:r>
      <w:r w:rsidR="006E6446">
        <w:t> </w:t>
      </w:r>
      <w:r w:rsidR="006E6446" w:rsidRPr="00392E88">
        <w:t>pot</w:t>
      </w:r>
      <w:r w:rsidRPr="00392E88">
        <w:t>rzebami, cechami</w:t>
      </w:r>
      <w:r w:rsidR="006E6446" w:rsidRPr="00392E88">
        <w:t xml:space="preserve"> i</w:t>
      </w:r>
      <w:r w:rsidR="006E6446">
        <w:t> </w:t>
      </w:r>
      <w:r w:rsidR="006E6446" w:rsidRPr="00392E88">
        <w:t>pro</w:t>
      </w:r>
      <w:r w:rsidRPr="00392E88">
        <w:t>filem ryzyka uczestników</w:t>
      </w:r>
      <w:r w:rsidR="006E6446" w:rsidRPr="00392E88">
        <w:t xml:space="preserve"> i</w:t>
      </w:r>
      <w:r w:rsidR="006E6446">
        <w:t> </w:t>
      </w:r>
      <w:r w:rsidR="006E6446" w:rsidRPr="00392E88">
        <w:t>ben</w:t>
      </w:r>
      <w:r w:rsidRPr="00392E88">
        <w:t>eficjentów,</w:t>
      </w:r>
      <w:r w:rsidR="006E6446" w:rsidRPr="00392E88">
        <w:t xml:space="preserve"> w</w:t>
      </w:r>
      <w:r w:rsidR="006E6446">
        <w:t> </w:t>
      </w:r>
      <w:r w:rsidR="006E6446" w:rsidRPr="00392E88">
        <w:t>spo</w:t>
      </w:r>
      <w:r w:rsidRPr="00392E88">
        <w:t>sób proporcjonalny do charakteru, skali</w:t>
      </w:r>
      <w:r w:rsidR="006E6446" w:rsidRPr="00392E88">
        <w:t xml:space="preserve"> i</w:t>
      </w:r>
      <w:r w:rsidR="006E6446">
        <w:t> </w:t>
      </w:r>
      <w:r w:rsidR="006E6446" w:rsidRPr="00392E88">
        <w:t>zło</w:t>
      </w:r>
      <w:r w:rsidRPr="00392E88">
        <w:t>żoności programu.</w:t>
      </w:r>
    </w:p>
    <w:p w14:paraId="0A0E2DEC" w14:textId="1CB305A6" w:rsidR="001952ED" w:rsidRPr="00392E88" w:rsidRDefault="001952ED" w:rsidP="000E7488">
      <w:pPr>
        <w:pStyle w:val="Text1"/>
      </w:pPr>
      <w:r w:rsidRPr="00392E88">
        <w:t>IORP dokumentuje ocenę adekwatności struktury, opracowania</w:t>
      </w:r>
      <w:r w:rsidR="006E6446" w:rsidRPr="00392E88">
        <w:t xml:space="preserve"> i</w:t>
      </w:r>
      <w:r w:rsidR="006E6446">
        <w:t> </w:t>
      </w:r>
      <w:r w:rsidR="006E6446" w:rsidRPr="00392E88">
        <w:t>wdr</w:t>
      </w:r>
      <w:r w:rsidRPr="00392E88">
        <w:t>ażania programów emerytalnych,</w:t>
      </w:r>
      <w:r w:rsidR="006E6446" w:rsidRPr="00392E88">
        <w:t xml:space="preserve"> o</w:t>
      </w:r>
      <w:r w:rsidR="006E6446">
        <w:t> </w:t>
      </w:r>
      <w:r w:rsidR="006E6446" w:rsidRPr="00392E88">
        <w:t>któ</w:t>
      </w:r>
      <w:r w:rsidRPr="00392E88">
        <w:t>rej mowa</w:t>
      </w:r>
      <w:r w:rsidR="006E6446" w:rsidRPr="00392E88">
        <w:t xml:space="preserve"> w</w:t>
      </w:r>
      <w:r w:rsidR="006E6446">
        <w:t> </w:t>
      </w:r>
      <w:r w:rsidR="006E6446" w:rsidRPr="00392E88">
        <w:t>aka</w:t>
      </w:r>
      <w:r w:rsidRPr="00392E88">
        <w:t xml:space="preserve">picie pierwszym </w:t>
      </w:r>
      <w:r w:rsidRPr="006E6446">
        <w:t>lit.</w:t>
      </w:r>
      <w:r w:rsidR="006E6446" w:rsidRPr="006E6446">
        <w:t> </w:t>
      </w:r>
      <w:r w:rsidRPr="006E6446">
        <w:t>a)</w:t>
      </w:r>
      <w:r w:rsidRPr="00392E88">
        <w:t>.</w:t>
      </w:r>
    </w:p>
    <w:p w14:paraId="5D045D79" w14:textId="083EA568" w:rsidR="00A70EA1" w:rsidRPr="00392E88" w:rsidRDefault="00106B79" w:rsidP="000E7488">
      <w:pPr>
        <w:pStyle w:val="Text1"/>
      </w:pPr>
      <w:r w:rsidRPr="00392E88">
        <w:t>2.</w:t>
      </w:r>
      <w:r w:rsidRPr="00392E88">
        <w:tab/>
        <w:t>Państwa członkowskie zapewniają, aby</w:t>
      </w:r>
      <w:r w:rsidR="006E6446" w:rsidRPr="00392E88">
        <w:t xml:space="preserve"> w</w:t>
      </w:r>
      <w:r w:rsidR="006E6446">
        <w:t> </w:t>
      </w:r>
      <w:r w:rsidR="006E6446" w:rsidRPr="00392E88">
        <w:t>prz</w:t>
      </w:r>
      <w:r w:rsidRPr="00392E88">
        <w:t>ypadku gdy uczestnicy ponoszą ryzyko inwestycyjne, IORP oceniały ryzyko długoterminowe</w:t>
      </w:r>
      <w:r w:rsidR="006E6446" w:rsidRPr="00392E88">
        <w:t xml:space="preserve"> z</w:t>
      </w:r>
      <w:r w:rsidR="006E6446">
        <w:t> </w:t>
      </w:r>
      <w:r w:rsidR="006E6446" w:rsidRPr="00392E88">
        <w:t>per</w:t>
      </w:r>
      <w:r w:rsidRPr="00392E88">
        <w:t>spektywy uczestników</w:t>
      </w:r>
      <w:r w:rsidR="006E6446" w:rsidRPr="00392E88">
        <w:t xml:space="preserve"> i</w:t>
      </w:r>
      <w:r w:rsidR="006E6446">
        <w:t> </w:t>
      </w:r>
      <w:r w:rsidR="006E6446" w:rsidRPr="00392E88">
        <w:t>ben</w:t>
      </w:r>
      <w:r w:rsidRPr="00392E88">
        <w:t>eficjentów,</w:t>
      </w:r>
      <w:r w:rsidR="006E6446" w:rsidRPr="00392E88">
        <w:t xml:space="preserve"> w</w:t>
      </w:r>
      <w:r w:rsidR="006E6446">
        <w:t> </w:t>
      </w:r>
      <w:r w:rsidR="006E6446" w:rsidRPr="00392E88">
        <w:t>tym</w:t>
      </w:r>
      <w:r w:rsidRPr="00392E88">
        <w:t>:</w:t>
      </w:r>
    </w:p>
    <w:p w14:paraId="0B82C147" w14:textId="47A3022E" w:rsidR="002D1EF8" w:rsidRPr="00392E88" w:rsidRDefault="00F520ED" w:rsidP="005D0C3B">
      <w:pPr>
        <w:pStyle w:val="Point1"/>
      </w:pPr>
      <w:r w:rsidRPr="00392E88">
        <w:t xml:space="preserve">a) </w:t>
      </w:r>
      <w:r w:rsidRPr="00392E88">
        <w:tab/>
        <w:t>określały tolerancję ryzyka uczestników</w:t>
      </w:r>
      <w:r w:rsidR="006E6446" w:rsidRPr="00392E88">
        <w:t xml:space="preserve"> i</w:t>
      </w:r>
      <w:r w:rsidR="006E6446">
        <w:t> </w:t>
      </w:r>
      <w:r w:rsidR="006E6446" w:rsidRPr="00392E88">
        <w:t>ben</w:t>
      </w:r>
      <w:r w:rsidRPr="00392E88">
        <w:t>eficjentów ponoszących ryzyko;</w:t>
      </w:r>
    </w:p>
    <w:p w14:paraId="323D7DDC" w14:textId="558FB218" w:rsidR="002D1EF8" w:rsidRPr="00392E88" w:rsidRDefault="002D1EF8" w:rsidP="005D0C3B">
      <w:pPr>
        <w:pStyle w:val="Point1"/>
      </w:pPr>
      <w:r w:rsidRPr="00392E88">
        <w:t xml:space="preserve">b) </w:t>
      </w:r>
      <w:r w:rsidRPr="00392E88">
        <w:tab/>
        <w:t>wprowadziły stosowanie prognoz emerytalnych</w:t>
      </w:r>
      <w:r w:rsidR="006E6446" w:rsidRPr="00392E88">
        <w:t xml:space="preserve"> w</w:t>
      </w:r>
      <w:r w:rsidR="006E6446">
        <w:t> </w:t>
      </w:r>
      <w:r w:rsidR="006E6446" w:rsidRPr="00392E88">
        <w:t>oce</w:t>
      </w:r>
      <w:r w:rsidRPr="00392E88">
        <w:t>nie ryzyka</w:t>
      </w:r>
      <w:r w:rsidR="006E6446" w:rsidRPr="00392E88">
        <w:t xml:space="preserve"> z</w:t>
      </w:r>
      <w:r w:rsidR="006E6446">
        <w:t> </w:t>
      </w:r>
      <w:r w:rsidR="006E6446" w:rsidRPr="00392E88">
        <w:t>per</w:t>
      </w:r>
      <w:r w:rsidRPr="00392E88">
        <w:t>spektywy uczestników</w:t>
      </w:r>
      <w:r w:rsidR="006E6446" w:rsidRPr="00392E88">
        <w:t xml:space="preserve"> i</w:t>
      </w:r>
      <w:r w:rsidR="006E6446">
        <w:t> </w:t>
      </w:r>
      <w:r w:rsidR="006E6446" w:rsidRPr="00392E88">
        <w:t>ben</w:t>
      </w:r>
      <w:r w:rsidRPr="00392E88">
        <w:t>eficjentów;</w:t>
      </w:r>
    </w:p>
    <w:p w14:paraId="7C123C2E" w14:textId="5EAA74ED" w:rsidR="00002F51" w:rsidRPr="00392E88" w:rsidRDefault="00CC3A07" w:rsidP="005D0C3B">
      <w:pPr>
        <w:pStyle w:val="Point1"/>
      </w:pPr>
      <w:r w:rsidRPr="00392E88">
        <w:t xml:space="preserve">c) </w:t>
      </w:r>
      <w:r w:rsidRPr="00392E88">
        <w:tab/>
        <w:t>w przypadku gdy IORP oferuje wiele opcji inwestycyjnych – dokonywały okresowego przeglądu odpowiedniości opcji inwestycyjnych dla uczestników zgodnie</w:t>
      </w:r>
      <w:r w:rsidR="006E6446" w:rsidRPr="00392E88">
        <w:t xml:space="preserve"> z</w:t>
      </w:r>
      <w:r w:rsidR="006E6446">
        <w:t> </w:t>
      </w:r>
      <w:r w:rsidR="006E6446" w:rsidRPr="00392E88">
        <w:t>ich</w:t>
      </w:r>
      <w:r w:rsidRPr="00392E88">
        <w:t xml:space="preserve"> tolerancją ryzyka,</w:t>
      </w:r>
      <w:r w:rsidR="006E6446" w:rsidRPr="00392E88">
        <w:t xml:space="preserve"> a</w:t>
      </w:r>
      <w:r w:rsidR="006E6446">
        <w:t> </w:t>
      </w:r>
      <w:r w:rsidR="006E6446" w:rsidRPr="00392E88">
        <w:t>w</w:t>
      </w:r>
      <w:r w:rsidR="006E6446">
        <w:t> </w:t>
      </w:r>
      <w:r w:rsidR="006E6446" w:rsidRPr="00392E88">
        <w:t>prz</w:t>
      </w:r>
      <w:r w:rsidRPr="00392E88">
        <w:t>ypadku gdy istnieje opcja domyślna – dokonywały przeglądu odpowiedniości tej opcji domyślnej;</w:t>
      </w:r>
    </w:p>
    <w:p w14:paraId="629BBA0D" w14:textId="44746BBC" w:rsidR="009B7EE5" w:rsidRPr="00392E88" w:rsidRDefault="006F6FB9" w:rsidP="005D0C3B">
      <w:pPr>
        <w:pStyle w:val="Point1"/>
      </w:pPr>
      <w:r w:rsidRPr="00392E88">
        <w:t xml:space="preserve">d) </w:t>
      </w:r>
      <w:r w:rsidRPr="00392E88">
        <w:tab/>
        <w:t>w przypadku gdy IORP nie oferują wielu opcji inwestycyjnych – dokonywały okresowego przeglądu strategii inwestycyjnej</w:t>
      </w:r>
      <w:r w:rsidR="006E6446" w:rsidRPr="00392E88">
        <w:t xml:space="preserve"> w</w:t>
      </w:r>
      <w:r w:rsidR="006E6446">
        <w:t> </w:t>
      </w:r>
      <w:r w:rsidR="006E6446" w:rsidRPr="00392E88">
        <w:t>cel</w:t>
      </w:r>
      <w:r w:rsidRPr="00392E88">
        <w:t>u rozważenia długoterminowej oceny ryzyka</w:t>
      </w:r>
      <w:r w:rsidR="006E6446" w:rsidRPr="00392E88">
        <w:t xml:space="preserve"> z</w:t>
      </w:r>
      <w:r w:rsidR="006E6446">
        <w:t> </w:t>
      </w:r>
      <w:r w:rsidR="006E6446" w:rsidRPr="00392E88">
        <w:t>per</w:t>
      </w:r>
      <w:r w:rsidRPr="00392E88">
        <w:t>spektywy uczestników</w:t>
      </w:r>
      <w:r w:rsidR="006E6446" w:rsidRPr="00392E88">
        <w:t xml:space="preserve"> i</w:t>
      </w:r>
      <w:r w:rsidR="006E6446">
        <w:t> </w:t>
      </w:r>
      <w:r w:rsidR="006E6446" w:rsidRPr="00392E88">
        <w:t>ben</w:t>
      </w:r>
      <w:r w:rsidRPr="00392E88">
        <w:t>eficjentów.</w:t>
      </w:r>
    </w:p>
    <w:p w14:paraId="0B3D82FB" w14:textId="77777777" w:rsidR="003A7B60" w:rsidRPr="00392E88" w:rsidRDefault="003A7B60" w:rsidP="004C1E7B">
      <w:pPr>
        <w:pStyle w:val="Titrearticle"/>
      </w:pPr>
      <w:r w:rsidRPr="00392E88">
        <w:t xml:space="preserve">Artykuł 44c </w:t>
      </w:r>
      <w:r w:rsidRPr="00392E88">
        <w:br/>
      </w:r>
      <w:r w:rsidRPr="00392E88">
        <w:rPr>
          <w:b/>
          <w:i w:val="0"/>
        </w:rPr>
        <w:t>Skargi</w:t>
      </w:r>
    </w:p>
    <w:p w14:paraId="51D68D22" w14:textId="54308EDB" w:rsidR="003A7B60" w:rsidRPr="00392E88" w:rsidRDefault="1D8493C9" w:rsidP="00164E39">
      <w:pPr>
        <w:pStyle w:val="Text1"/>
      </w:pPr>
      <w:r w:rsidRPr="00392E88">
        <w:t>1.</w:t>
      </w:r>
      <w:r w:rsidRPr="00392E88">
        <w:tab/>
        <w:t>Państwa członkowskie wymagają, aby IORP wprowadziły</w:t>
      </w:r>
      <w:r w:rsidR="006E6446" w:rsidRPr="00392E88">
        <w:t xml:space="preserve"> i</w:t>
      </w:r>
      <w:r w:rsidR="006E6446">
        <w:t> </w:t>
      </w:r>
      <w:r w:rsidR="006E6446" w:rsidRPr="00392E88">
        <w:t>sto</w:t>
      </w:r>
      <w:r w:rsidRPr="00392E88">
        <w:t>sowały skuteczne procedury</w:t>
      </w:r>
      <w:r w:rsidR="006E6446" w:rsidRPr="00392E88">
        <w:t xml:space="preserve"> i</w:t>
      </w:r>
      <w:r w:rsidR="006E6446">
        <w:t> </w:t>
      </w:r>
      <w:r w:rsidR="006E6446" w:rsidRPr="00392E88">
        <w:t>ust</w:t>
      </w:r>
      <w:r w:rsidRPr="00392E88">
        <w:t>alenia, które są odpowiednie do rozpatrywania skarg składanych przez uczestników</w:t>
      </w:r>
      <w:r w:rsidR="006E6446" w:rsidRPr="00392E88">
        <w:t xml:space="preserve"> i</w:t>
      </w:r>
      <w:r w:rsidR="006E6446">
        <w:t> </w:t>
      </w:r>
      <w:r w:rsidR="006E6446" w:rsidRPr="00392E88">
        <w:t>ben</w:t>
      </w:r>
      <w:r w:rsidRPr="00392E88">
        <w:t>eficjentów</w:t>
      </w:r>
      <w:r w:rsidR="006E6446" w:rsidRPr="00392E88">
        <w:t xml:space="preserve"> w</w:t>
      </w:r>
      <w:r w:rsidR="006E6446">
        <w:t> </w:t>
      </w:r>
      <w:r w:rsidR="006E6446" w:rsidRPr="00392E88">
        <w:t>odn</w:t>
      </w:r>
      <w:r w:rsidRPr="00392E88">
        <w:t>iesieniu do ich praw</w:t>
      </w:r>
      <w:r w:rsidR="006E6446" w:rsidRPr="00392E88">
        <w:t xml:space="preserve"> i</w:t>
      </w:r>
      <w:r w:rsidR="006E6446">
        <w:t> </w:t>
      </w:r>
      <w:r w:rsidR="006E6446" w:rsidRPr="00392E88">
        <w:t>obo</w:t>
      </w:r>
      <w:r w:rsidRPr="00392E88">
        <w:t>wiązków określonych</w:t>
      </w:r>
      <w:r w:rsidR="006E6446" w:rsidRPr="00392E88">
        <w:t xml:space="preserve"> w</w:t>
      </w:r>
      <w:r w:rsidR="006E6446">
        <w:t> </w:t>
      </w:r>
      <w:r w:rsidR="006E6446" w:rsidRPr="00392E88">
        <w:t>nin</w:t>
      </w:r>
      <w:r w:rsidRPr="00392E88">
        <w:t>iejszej dyrektywie.</w:t>
      </w:r>
    </w:p>
    <w:p w14:paraId="2EF122CD" w14:textId="1EDD1083" w:rsidR="009E17E9" w:rsidRPr="00392E88" w:rsidRDefault="009E17E9" w:rsidP="00164E39">
      <w:pPr>
        <w:pStyle w:val="Text1"/>
      </w:pPr>
      <w:r w:rsidRPr="00392E88">
        <w:t>2.</w:t>
      </w:r>
      <w:r w:rsidRPr="00392E88">
        <w:tab/>
        <w:t>Procedury</w:t>
      </w:r>
      <w:r w:rsidR="006E6446" w:rsidRPr="00392E88">
        <w:t xml:space="preserve"> i</w:t>
      </w:r>
      <w:r w:rsidR="006E6446">
        <w:t> </w:t>
      </w:r>
      <w:r w:rsidR="006E6446" w:rsidRPr="00392E88">
        <w:t>ust</w:t>
      </w:r>
      <w:r w:rsidRPr="00392E88">
        <w:t>alenia,</w:t>
      </w:r>
      <w:r w:rsidR="006E6446" w:rsidRPr="00392E88">
        <w:t xml:space="preserve"> o</w:t>
      </w:r>
      <w:r w:rsidR="006E6446">
        <w:t> </w:t>
      </w:r>
      <w:r w:rsidR="006E6446" w:rsidRPr="00392E88">
        <w:t>któ</w:t>
      </w:r>
      <w:r w:rsidRPr="00392E88">
        <w:t>rych mowa</w:t>
      </w:r>
      <w:r w:rsidR="006E6446" w:rsidRPr="00392E88">
        <w:t xml:space="preserve"> w</w:t>
      </w:r>
      <w:r w:rsidR="006E6446">
        <w:t> </w:t>
      </w:r>
      <w:r w:rsidR="006E6446" w:rsidRPr="006E6446">
        <w:t>ust</w:t>
      </w:r>
      <w:r w:rsidRPr="006E6446">
        <w:t>.</w:t>
      </w:r>
      <w:r w:rsidR="006E6446" w:rsidRPr="006E6446">
        <w:t> </w:t>
      </w:r>
      <w:r w:rsidRPr="006E6446">
        <w:t>1</w:t>
      </w:r>
      <w:r w:rsidRPr="00392E88">
        <w:t>, są dostępne</w:t>
      </w:r>
      <w:r w:rsidR="006E6446" w:rsidRPr="00392E88">
        <w:t xml:space="preserve"> w</w:t>
      </w:r>
      <w:r w:rsidR="006E6446">
        <w:t> </w:t>
      </w:r>
      <w:r w:rsidR="006E6446" w:rsidRPr="00392E88">
        <w:t>jęz</w:t>
      </w:r>
      <w:r w:rsidRPr="00392E88">
        <w:t>ykach urzędowych danego państwa członkowskiego lub</w:t>
      </w:r>
      <w:r w:rsidR="006E6446" w:rsidRPr="00392E88">
        <w:t xml:space="preserve"> w</w:t>
      </w:r>
      <w:r w:rsidR="006E6446">
        <w:t> </w:t>
      </w:r>
      <w:r w:rsidR="006E6446" w:rsidRPr="00392E88">
        <w:t>inn</w:t>
      </w:r>
      <w:r w:rsidRPr="00392E88">
        <w:t>ym języku dopuszczonym przez właściwe organy tego państwa członkowskiego lub uzgodnionym między IORP</w:t>
      </w:r>
      <w:r w:rsidR="006E6446" w:rsidRPr="00392E88">
        <w:t xml:space="preserve"> a</w:t>
      </w:r>
      <w:r w:rsidR="006E6446">
        <w:t> </w:t>
      </w:r>
      <w:r w:rsidR="006E6446" w:rsidRPr="00392E88">
        <w:t>jej</w:t>
      </w:r>
      <w:r w:rsidRPr="00392E88">
        <w:t xml:space="preserve"> uczestnikami</w:t>
      </w:r>
      <w:r w:rsidR="006E6446" w:rsidRPr="00392E88">
        <w:t xml:space="preserve"> i</w:t>
      </w:r>
      <w:r w:rsidR="006E6446">
        <w:t> </w:t>
      </w:r>
      <w:r w:rsidR="006E6446" w:rsidRPr="00392E88">
        <w:t>ben</w:t>
      </w:r>
      <w:r w:rsidRPr="00392E88">
        <w:t>eficjentami.</w:t>
      </w:r>
    </w:p>
    <w:p w14:paraId="73D0D6F4" w14:textId="140BDBC8" w:rsidR="00576EA5" w:rsidRPr="00392E88" w:rsidRDefault="00576EA5" w:rsidP="00164E39">
      <w:pPr>
        <w:pStyle w:val="Text1"/>
      </w:pPr>
      <w:r w:rsidRPr="00392E88">
        <w:t>3.</w:t>
      </w:r>
      <w:r w:rsidRPr="00392E88">
        <w:tab/>
        <w:t>Państwa członkowskie wymagają, aby IORP odpowiadały na skargi uczestników</w:t>
      </w:r>
      <w:r w:rsidR="006E6446" w:rsidRPr="00392E88">
        <w:t xml:space="preserve"> i</w:t>
      </w:r>
      <w:r w:rsidR="006E6446">
        <w:t> </w:t>
      </w:r>
      <w:r w:rsidR="006E6446" w:rsidRPr="00392E88">
        <w:t>ben</w:t>
      </w:r>
      <w:r w:rsidRPr="00392E88">
        <w:t>eficjentów</w:t>
      </w:r>
      <w:r w:rsidR="006E6446" w:rsidRPr="00392E88">
        <w:t xml:space="preserve"> w</w:t>
      </w:r>
      <w:r w:rsidR="006E6446">
        <w:t> </w:t>
      </w:r>
      <w:r w:rsidR="006E6446" w:rsidRPr="00392E88">
        <w:t>for</w:t>
      </w:r>
      <w:r w:rsidRPr="00392E88">
        <w:t>mie elektronicznej albo</w:t>
      </w:r>
      <w:r w:rsidR="006E6446" w:rsidRPr="00392E88">
        <w:t xml:space="preserve"> z</w:t>
      </w:r>
      <w:r w:rsidR="006E6446">
        <w:t> </w:t>
      </w:r>
      <w:r w:rsidR="006E6446" w:rsidRPr="00392E88">
        <w:t>wyk</w:t>
      </w:r>
      <w:r w:rsidRPr="00392E88">
        <w:t>orzystaniem innego trwałego nośnika informacji</w:t>
      </w:r>
      <w:r w:rsidR="006E6446" w:rsidRPr="00392E88">
        <w:t>. W</w:t>
      </w:r>
      <w:r w:rsidR="006E6446">
        <w:t> </w:t>
      </w:r>
      <w:r w:rsidR="006E6446" w:rsidRPr="00392E88">
        <w:t>odp</w:t>
      </w:r>
      <w:r w:rsidRPr="00392E88">
        <w:t>owiedzi należy ustosunkować się do wszystkich podniesionych kwestii</w:t>
      </w:r>
      <w:r w:rsidR="006E6446" w:rsidRPr="00392E88">
        <w:t xml:space="preserve"> w</w:t>
      </w:r>
      <w:r w:rsidR="006E6446">
        <w:t> </w:t>
      </w:r>
      <w:r w:rsidR="006E6446" w:rsidRPr="00392E88">
        <w:t>ter</w:t>
      </w:r>
      <w:r w:rsidRPr="00392E88">
        <w:t>minie nieprzekraczającym 40 dni roboczych.</w:t>
      </w:r>
    </w:p>
    <w:p w14:paraId="2DD34F98" w14:textId="4D20B429" w:rsidR="0088631A" w:rsidRPr="00392E88" w:rsidRDefault="0088631A" w:rsidP="00164E39">
      <w:pPr>
        <w:pStyle w:val="Text1"/>
      </w:pPr>
      <w:r w:rsidRPr="00392E88">
        <w:t>4.</w:t>
      </w:r>
      <w:r w:rsidRPr="00392E88">
        <w:tab/>
        <w:t>Państwa członkowskie zapewniają, aby IORP informowały uczestników</w:t>
      </w:r>
      <w:r w:rsidR="006E6446" w:rsidRPr="00392E88">
        <w:t xml:space="preserve"> i</w:t>
      </w:r>
      <w:r w:rsidR="006E6446">
        <w:t> </w:t>
      </w:r>
      <w:r w:rsidR="006E6446" w:rsidRPr="00392E88">
        <w:t>ben</w:t>
      </w:r>
      <w:r w:rsidRPr="00392E88">
        <w:t>eficjentów, którzy złożyli skargę, o co najmniej jednym podmiocie zajmującym się pozasądowym rozstrzyganiem sporów (ADR), który jest właściwy do rozstrzygania sporów dotyczących praw</w:t>
      </w:r>
      <w:r w:rsidR="006E6446" w:rsidRPr="00392E88">
        <w:t xml:space="preserve"> i</w:t>
      </w:r>
      <w:r w:rsidR="006E6446">
        <w:t> </w:t>
      </w:r>
      <w:r w:rsidR="006E6446" w:rsidRPr="00392E88">
        <w:t>obo</w:t>
      </w:r>
      <w:r w:rsidRPr="00392E88">
        <w:t>wiązków uczestników</w:t>
      </w:r>
      <w:r w:rsidR="006E6446" w:rsidRPr="00392E88">
        <w:t xml:space="preserve"> i</w:t>
      </w:r>
      <w:r w:rsidR="006E6446">
        <w:t> </w:t>
      </w:r>
      <w:r w:rsidR="006E6446" w:rsidRPr="00392E88">
        <w:t>ben</w:t>
      </w:r>
      <w:r w:rsidRPr="00392E88">
        <w:t>eficjentów określonych</w:t>
      </w:r>
      <w:r w:rsidR="006E6446" w:rsidRPr="00392E88">
        <w:t xml:space="preserve"> w</w:t>
      </w:r>
      <w:r w:rsidR="006E6446">
        <w:t> </w:t>
      </w:r>
      <w:r w:rsidR="006E6446" w:rsidRPr="00392E88">
        <w:t>nin</w:t>
      </w:r>
      <w:r w:rsidRPr="00392E88">
        <w:t>iejszej dyrektywie.</w:t>
      </w:r>
    </w:p>
    <w:p w14:paraId="1EA144ED" w14:textId="2B8D631D" w:rsidR="009A722F" w:rsidRPr="00392E88" w:rsidRDefault="009A722F" w:rsidP="00164E39">
      <w:pPr>
        <w:pStyle w:val="Text1"/>
      </w:pPr>
      <w:r w:rsidRPr="00392E88">
        <w:t>5.</w:t>
      </w:r>
      <w:r w:rsidRPr="00392E88">
        <w:tab/>
        <w:t>Państwa członkowskie zapewniają, aby informacje na temat procedur,</w:t>
      </w:r>
      <w:r w:rsidR="006E6446" w:rsidRPr="00392E88">
        <w:t xml:space="preserve"> o</w:t>
      </w:r>
      <w:r w:rsidR="006E6446">
        <w:t> </w:t>
      </w:r>
      <w:r w:rsidR="006E6446" w:rsidRPr="00392E88">
        <w:t>któ</w:t>
      </w:r>
      <w:r w:rsidRPr="00392E88">
        <w:t>rych mowa</w:t>
      </w:r>
      <w:r w:rsidR="006E6446" w:rsidRPr="00392E88">
        <w:t xml:space="preserve"> w</w:t>
      </w:r>
      <w:r w:rsidR="006E6446">
        <w:t> </w:t>
      </w:r>
      <w:r w:rsidR="006E6446" w:rsidRPr="006E6446">
        <w:t>ust</w:t>
      </w:r>
      <w:r w:rsidRPr="006E6446">
        <w:t>.</w:t>
      </w:r>
      <w:r w:rsidR="006E6446" w:rsidRPr="006E6446">
        <w:t> </w:t>
      </w:r>
      <w:r w:rsidRPr="006E6446">
        <w:t>1</w:t>
      </w:r>
      <w:r w:rsidRPr="00392E88">
        <w:t>, były nieodpłatnie dostępne dla uczestników</w:t>
      </w:r>
      <w:r w:rsidR="006E6446" w:rsidRPr="00392E88">
        <w:t xml:space="preserve"> i</w:t>
      </w:r>
      <w:r w:rsidR="006E6446">
        <w:t> </w:t>
      </w:r>
      <w:r w:rsidR="006E6446" w:rsidRPr="00392E88">
        <w:t>ben</w:t>
      </w:r>
      <w:r w:rsidRPr="00392E88">
        <w:t>eficjentów</w:t>
      </w:r>
      <w:r w:rsidR="006E6446" w:rsidRPr="00392E88">
        <w:t xml:space="preserve"> w</w:t>
      </w:r>
      <w:r w:rsidR="006E6446">
        <w:t> </w:t>
      </w:r>
      <w:r w:rsidR="006E6446" w:rsidRPr="00392E88">
        <w:t>jas</w:t>
      </w:r>
      <w:r w:rsidRPr="00392E88">
        <w:t>ny, wyczerpujący</w:t>
      </w:r>
      <w:r w:rsidR="006E6446" w:rsidRPr="00392E88">
        <w:t xml:space="preserve"> i</w:t>
      </w:r>
      <w:r w:rsidR="006E6446">
        <w:t> </w:t>
      </w:r>
      <w:r w:rsidR="006E6446" w:rsidRPr="00392E88">
        <w:t>łat</w:t>
      </w:r>
      <w:r w:rsidRPr="00392E88">
        <w:t>wo dostępny sposób za pośrednictwem środków elektronicznych,</w:t>
      </w:r>
      <w:r w:rsidR="006E6446" w:rsidRPr="00392E88">
        <w:t xml:space="preserve"> w</w:t>
      </w:r>
      <w:r w:rsidR="006E6446">
        <w:t> </w:t>
      </w:r>
      <w:r w:rsidR="006E6446" w:rsidRPr="00392E88">
        <w:t>tym</w:t>
      </w:r>
      <w:r w:rsidRPr="00392E88">
        <w:t xml:space="preserve"> trwałego nośnika informacji lub za pośrednictwem strony internetowej, bądź</w:t>
      </w:r>
      <w:r w:rsidR="006E6446" w:rsidRPr="00392E88">
        <w:t xml:space="preserve"> w</w:t>
      </w:r>
      <w:r w:rsidR="006E6446">
        <w:t> </w:t>
      </w:r>
      <w:r w:rsidR="006E6446" w:rsidRPr="00392E88">
        <w:t>wer</w:t>
      </w:r>
      <w:r w:rsidRPr="00392E88">
        <w:t>sji papierowej</w:t>
      </w:r>
      <w:r w:rsidR="006E6446" w:rsidRPr="00392E88">
        <w:t>. W</w:t>
      </w:r>
      <w:r w:rsidR="006E6446">
        <w:t> </w:t>
      </w:r>
      <w:r w:rsidR="006E6446" w:rsidRPr="00392E88">
        <w:t>inf</w:t>
      </w:r>
      <w:r w:rsidRPr="00392E88">
        <w:t>ormacjach tych określa również,</w:t>
      </w:r>
      <w:r w:rsidR="006E6446" w:rsidRPr="00392E88">
        <w:t xml:space="preserve"> w</w:t>
      </w:r>
      <w:r w:rsidR="006E6446">
        <w:t> </w:t>
      </w:r>
      <w:r w:rsidR="006E6446" w:rsidRPr="00392E88">
        <w:t>jak</w:t>
      </w:r>
      <w:r w:rsidRPr="00392E88">
        <w:t>i sposób można uzyskać bardziej szczegółowe informacje na temat danego podmiotu zajmującego się pozasądowym rozstrzyganiem sporów oraz warunków korzystania</w:t>
      </w:r>
      <w:r w:rsidR="006E6446" w:rsidRPr="00392E88">
        <w:t xml:space="preserve"> z</w:t>
      </w:r>
      <w:r w:rsidR="006E6446">
        <w:t> </w:t>
      </w:r>
      <w:r w:rsidR="006E6446" w:rsidRPr="00392E88">
        <w:t>jeg</w:t>
      </w:r>
      <w:r w:rsidRPr="00392E88">
        <w:t>o usług.</w:t>
      </w:r>
    </w:p>
    <w:p w14:paraId="2BDDEF3F" w14:textId="2BF23179" w:rsidR="00FB1AE4" w:rsidRPr="00392E88" w:rsidRDefault="00FB1AE4" w:rsidP="00164E39">
      <w:pPr>
        <w:pStyle w:val="Text1"/>
      </w:pPr>
      <w:r w:rsidRPr="00392E88">
        <w:t>6.</w:t>
      </w:r>
      <w:r w:rsidRPr="00392E88">
        <w:tab/>
        <w:t>Państwa członkowskie zapewniają ustanowienie przez właściwe organy procedur umożliwiających uczestnikom, beneficjentom</w:t>
      </w:r>
      <w:r w:rsidR="006E6446" w:rsidRPr="00392E88">
        <w:t xml:space="preserve"> i</w:t>
      </w:r>
      <w:r w:rsidR="006E6446">
        <w:t> </w:t>
      </w:r>
      <w:r w:rsidR="006E6446" w:rsidRPr="00392E88">
        <w:t>inn</w:t>
      </w:r>
      <w:r w:rsidRPr="00392E88">
        <w:t>ym zainteresowanym stronom,</w:t>
      </w:r>
      <w:r w:rsidR="006E6446" w:rsidRPr="00392E88">
        <w:t xml:space="preserve"> w</w:t>
      </w:r>
      <w:r w:rsidR="006E6446">
        <w:t> </w:t>
      </w:r>
      <w:r w:rsidR="006E6446" w:rsidRPr="00392E88">
        <w:t>tym</w:t>
      </w:r>
      <w:r w:rsidRPr="00392E88">
        <w:t xml:space="preserve"> organizacjom konsumenckim, składanie do właściwych organów skarg</w:t>
      </w:r>
      <w:r w:rsidR="006E6446" w:rsidRPr="00392E88">
        <w:t xml:space="preserve"> w</w:t>
      </w:r>
      <w:r w:rsidR="006E6446">
        <w:t> </w:t>
      </w:r>
      <w:r w:rsidR="006E6446" w:rsidRPr="00392E88">
        <w:t>odn</w:t>
      </w:r>
      <w:r w:rsidRPr="00392E88">
        <w:t>iesieniu do domniemanych naruszeń przez IORP przepisów niniejszej dyrektywy. Państwa członkowskie zapewniają, aby we wszystkich przypadkach skarżący otrzymywali odpowiedzi.</w:t>
      </w:r>
    </w:p>
    <w:p w14:paraId="7C3011BC" w14:textId="4A858879" w:rsidR="00164E39" w:rsidRPr="00392E88" w:rsidRDefault="00FF665F" w:rsidP="005057F7">
      <w:pPr>
        <w:pStyle w:val="Text1"/>
      </w:pPr>
      <w:r w:rsidRPr="00392E88">
        <w:t>7.</w:t>
      </w:r>
      <w:r w:rsidRPr="00392E88">
        <w:tab/>
        <w:t>Państwa członkowskie zapewniają, aby</w:t>
      </w:r>
      <w:r w:rsidR="006E6446" w:rsidRPr="00392E88">
        <w:t xml:space="preserve"> w</w:t>
      </w:r>
      <w:r w:rsidR="006E6446">
        <w:t> </w:t>
      </w:r>
      <w:r w:rsidR="006E6446" w:rsidRPr="00392E88">
        <w:t>spr</w:t>
      </w:r>
      <w:r w:rsidRPr="00392E88">
        <w:t>awach dotyczących więcej niż jednego państwa członkowskiego skarżący mógł zdecydować</w:t>
      </w:r>
      <w:r w:rsidR="006E6446" w:rsidRPr="00392E88">
        <w:t xml:space="preserve"> o</w:t>
      </w:r>
      <w:r w:rsidR="006E6446">
        <w:t> </w:t>
      </w:r>
      <w:r w:rsidR="006E6446" w:rsidRPr="00392E88">
        <w:t>zło</w:t>
      </w:r>
      <w:r w:rsidRPr="00392E88">
        <w:t>żeniu skargi za pośrednictwem właściwych organów państwa członkowskiego,</w:t>
      </w:r>
      <w:r w:rsidR="006E6446" w:rsidRPr="00392E88">
        <w:t xml:space="preserve"> w</w:t>
      </w:r>
      <w:r w:rsidR="006E6446">
        <w:t> </w:t>
      </w:r>
      <w:r w:rsidR="006E6446" w:rsidRPr="00392E88">
        <w:t>któ</w:t>
      </w:r>
      <w:r w:rsidRPr="00392E88">
        <w:t>rym mieszka, niezależnie od miejsca, gdzie dokonano naruszenia.</w:t>
      </w:r>
    </w:p>
    <w:p w14:paraId="5B254EEF" w14:textId="77777777" w:rsidR="003A7B60" w:rsidRPr="00392E88" w:rsidRDefault="003A7B60" w:rsidP="000E7488">
      <w:pPr>
        <w:pStyle w:val="Titrearticle"/>
      </w:pPr>
      <w:r w:rsidRPr="00392E88">
        <w:t xml:space="preserve">Artykuł 44d </w:t>
      </w:r>
      <w:r w:rsidRPr="00392E88">
        <w:br/>
      </w:r>
      <w:r w:rsidRPr="00392E88">
        <w:rPr>
          <w:b/>
          <w:i w:val="0"/>
        </w:rPr>
        <w:t>Odszkodowania pozasądowe</w:t>
      </w:r>
    </w:p>
    <w:p w14:paraId="4152078F" w14:textId="1F482396" w:rsidR="005712CE" w:rsidRPr="00392E88" w:rsidRDefault="005712CE" w:rsidP="005712CE">
      <w:pPr>
        <w:pStyle w:val="Text1"/>
      </w:pPr>
      <w:r w:rsidRPr="00392E88">
        <w:t>1.</w:t>
      </w:r>
      <w:r w:rsidRPr="00392E88">
        <w:tab/>
        <w:t>Państwa członkowskie ustanawiają odpowiednie, niezależne, bezstronne, przejrzyste</w:t>
      </w:r>
      <w:r w:rsidR="006E6446" w:rsidRPr="00392E88">
        <w:t xml:space="preserve"> i</w:t>
      </w:r>
      <w:r w:rsidR="006E6446">
        <w:t> </w:t>
      </w:r>
      <w:r w:rsidR="006E6446" w:rsidRPr="00392E88">
        <w:t>sku</w:t>
      </w:r>
      <w:r w:rsidRPr="00392E88">
        <w:t>teczne procedury pozasądowego rozstrzygania sporów</w:t>
      </w:r>
      <w:r w:rsidR="006E6446" w:rsidRPr="00392E88">
        <w:t xml:space="preserve"> w</w:t>
      </w:r>
      <w:r w:rsidR="006E6446">
        <w:t> </w:t>
      </w:r>
      <w:r w:rsidR="006E6446" w:rsidRPr="00392E88">
        <w:t>cel</w:t>
      </w:r>
      <w:r w:rsidRPr="00392E88">
        <w:t>u rozstrzygania sporów między IORP</w:t>
      </w:r>
      <w:r w:rsidR="006E6446" w:rsidRPr="00392E88">
        <w:t xml:space="preserve"> a</w:t>
      </w:r>
      <w:r w:rsidR="006E6446">
        <w:t> </w:t>
      </w:r>
      <w:r w:rsidR="006E6446" w:rsidRPr="00392E88">
        <w:t>ich</w:t>
      </w:r>
      <w:r w:rsidRPr="00392E88">
        <w:t xml:space="preserve"> uczestnikami</w:t>
      </w:r>
      <w:r w:rsidR="006E6446" w:rsidRPr="00392E88">
        <w:t xml:space="preserve"> i</w:t>
      </w:r>
      <w:r w:rsidR="006E6446">
        <w:t> </w:t>
      </w:r>
      <w:r w:rsidR="006E6446" w:rsidRPr="00392E88">
        <w:t>ben</w:t>
      </w:r>
      <w:r w:rsidRPr="00392E88">
        <w:t>eficjentami, dotyczących praw</w:t>
      </w:r>
      <w:r w:rsidR="006E6446" w:rsidRPr="00392E88">
        <w:t xml:space="preserve"> i</w:t>
      </w:r>
      <w:r w:rsidR="006E6446">
        <w:t> </w:t>
      </w:r>
      <w:r w:rsidR="006E6446" w:rsidRPr="00392E88">
        <w:t>obo</w:t>
      </w:r>
      <w:r w:rsidRPr="00392E88">
        <w:t>wiązków określonych</w:t>
      </w:r>
      <w:r w:rsidR="006E6446" w:rsidRPr="00392E88">
        <w:t xml:space="preserve"> w</w:t>
      </w:r>
      <w:r w:rsidR="006E6446">
        <w:t> </w:t>
      </w:r>
      <w:r w:rsidR="006E6446" w:rsidRPr="00392E88">
        <w:t>nin</w:t>
      </w:r>
      <w:r w:rsidRPr="00392E88">
        <w:t>iejszej dyrektywie</w:t>
      </w:r>
      <w:r w:rsidR="006E6446" w:rsidRPr="00392E88">
        <w:t>. W</w:t>
      </w:r>
      <w:r w:rsidR="006E6446">
        <w:t> </w:t>
      </w:r>
      <w:r w:rsidR="006E6446" w:rsidRPr="00392E88">
        <w:t>sto</w:t>
      </w:r>
      <w:r w:rsidRPr="00392E88">
        <w:t>sownych przypadkach procedury te są stosowane przez istniejące właściwe podmioty. Państwa członkowskie zapewniają, aby takie procedury pozasądowego rozstrzygania sporów miały zastosowanie do IORP,</w:t>
      </w:r>
      <w:r w:rsidR="006E6446" w:rsidRPr="00392E88">
        <w:t xml:space="preserve"> w</w:t>
      </w:r>
      <w:r w:rsidR="006E6446">
        <w:t> </w:t>
      </w:r>
      <w:r w:rsidR="006E6446" w:rsidRPr="00392E88">
        <w:t>sto</w:t>
      </w:r>
      <w:r w:rsidRPr="00392E88">
        <w:t>sunku do których procedury zostały wszczęte,</w:t>
      </w:r>
      <w:r w:rsidR="006E6446" w:rsidRPr="00392E88">
        <w:t xml:space="preserve"> a</w:t>
      </w:r>
      <w:r w:rsidR="006E6446">
        <w:t> </w:t>
      </w:r>
      <w:r w:rsidR="006E6446" w:rsidRPr="00392E88">
        <w:t>kom</w:t>
      </w:r>
      <w:r w:rsidRPr="00392E88">
        <w:t>petencje właściwego podmiotu zajmującego się pozasądowym rozstrzyganiem sporów muszą</w:t>
      </w:r>
      <w:r w:rsidR="006E6446" w:rsidRPr="00392E88">
        <w:t xml:space="preserve"> w</w:t>
      </w:r>
      <w:r w:rsidR="006E6446">
        <w:t> </w:t>
      </w:r>
      <w:r w:rsidR="006E6446" w:rsidRPr="00392E88">
        <w:t>sku</w:t>
      </w:r>
      <w:r w:rsidRPr="00392E88">
        <w:t>teczny sposób rozciągać się na te IORP.</w:t>
      </w:r>
    </w:p>
    <w:p w14:paraId="02F8BF89" w14:textId="1787F8BD" w:rsidR="00034B8C" w:rsidRPr="00392E88" w:rsidRDefault="00034B8C" w:rsidP="005712CE">
      <w:pPr>
        <w:pStyle w:val="Text1"/>
      </w:pPr>
      <w:r w:rsidRPr="00392E88">
        <w:t>2.</w:t>
      </w:r>
      <w:r w:rsidRPr="00392E88">
        <w:tab/>
        <w:t>Podmioty,</w:t>
      </w:r>
      <w:r w:rsidR="006E6446" w:rsidRPr="00392E88">
        <w:t xml:space="preserve"> o</w:t>
      </w:r>
      <w:r w:rsidR="006E6446">
        <w:t> </w:t>
      </w:r>
      <w:r w:rsidR="006E6446" w:rsidRPr="00392E88">
        <w:t>któ</w:t>
      </w:r>
      <w:r w:rsidRPr="00392E88">
        <w:t>rych mowa</w:t>
      </w:r>
      <w:r w:rsidR="006E6446" w:rsidRPr="00392E88">
        <w:t xml:space="preserve"> w</w:t>
      </w:r>
      <w:r w:rsidR="006E6446">
        <w:t> </w:t>
      </w:r>
      <w:r w:rsidR="006E6446" w:rsidRPr="006E6446">
        <w:t>ust</w:t>
      </w:r>
      <w:r w:rsidRPr="006E6446">
        <w:t>.</w:t>
      </w:r>
      <w:r w:rsidR="006E6446" w:rsidRPr="006E6446">
        <w:t> </w:t>
      </w:r>
      <w:r w:rsidRPr="006E6446">
        <w:t>1</w:t>
      </w:r>
      <w:r w:rsidRPr="00392E88">
        <w:t>, skutecznie współpracują</w:t>
      </w:r>
      <w:r w:rsidR="006E6446" w:rsidRPr="00392E88">
        <w:t xml:space="preserve"> w</w:t>
      </w:r>
      <w:r w:rsidR="006E6446">
        <w:t> </w:t>
      </w:r>
      <w:r w:rsidR="006E6446" w:rsidRPr="00392E88">
        <w:t>cel</w:t>
      </w:r>
      <w:r w:rsidRPr="00392E88">
        <w:t>u rozstrzygania transgranicznych sporów dotyczących praw</w:t>
      </w:r>
      <w:r w:rsidR="006E6446" w:rsidRPr="00392E88">
        <w:t xml:space="preserve"> i</w:t>
      </w:r>
      <w:r w:rsidR="006E6446">
        <w:t> </w:t>
      </w:r>
      <w:r w:rsidR="006E6446" w:rsidRPr="00392E88">
        <w:t>obo</w:t>
      </w:r>
      <w:r w:rsidRPr="00392E88">
        <w:t>wiązków wynikających</w:t>
      </w:r>
      <w:r w:rsidR="006E6446" w:rsidRPr="00392E88">
        <w:t xml:space="preserve"> z</w:t>
      </w:r>
      <w:r w:rsidR="006E6446">
        <w:t> </w:t>
      </w:r>
      <w:r w:rsidR="006E6446" w:rsidRPr="00392E88">
        <w:t>nin</w:t>
      </w:r>
      <w:r w:rsidRPr="00392E88">
        <w:t>iejszej dyrektywy.”;</w:t>
      </w:r>
    </w:p>
    <w:p w14:paraId="1BD8A24B" w14:textId="4E754411" w:rsidR="00263902" w:rsidRPr="00392E88" w:rsidRDefault="006E6446" w:rsidP="006E6446">
      <w:pPr>
        <w:pStyle w:val="Point0"/>
      </w:pPr>
      <w:r>
        <w:t>46)</w:t>
      </w:r>
      <w:r>
        <w:tab/>
      </w:r>
      <w:r w:rsidR="00CB099D" w:rsidRPr="00392E88">
        <w:t>nagłówek tytułu V otrzymuje brzmienie:</w:t>
      </w:r>
    </w:p>
    <w:p w14:paraId="60D6E193" w14:textId="77777777" w:rsidR="00263902" w:rsidRPr="00392E88" w:rsidRDefault="00263902" w:rsidP="005D0C3B">
      <w:pPr>
        <w:pStyle w:val="PartTitle"/>
      </w:pPr>
      <w:r w:rsidRPr="00392E88">
        <w:t xml:space="preserve">„TYTUŁ V </w:t>
      </w:r>
      <w:r w:rsidRPr="00392E88">
        <w:br/>
        <w:t>NADZÓR”;</w:t>
      </w:r>
    </w:p>
    <w:p w14:paraId="2E98BC70" w14:textId="346E1953" w:rsidR="00C16F1D" w:rsidRPr="00392E88" w:rsidRDefault="006E6446" w:rsidP="006E6446">
      <w:pPr>
        <w:pStyle w:val="Point0"/>
      </w:pPr>
      <w:r>
        <w:t>47)</w:t>
      </w:r>
      <w:r>
        <w:tab/>
      </w:r>
      <w:r w:rsidR="00E45A92" w:rsidRPr="00392E88">
        <w:t>w tytule V nagłówek rozdziału 1 otrzymuje brzmienie:</w:t>
      </w:r>
    </w:p>
    <w:p w14:paraId="3481EE14" w14:textId="77777777" w:rsidR="00C16F1D" w:rsidRPr="00392E88" w:rsidRDefault="00C16F1D" w:rsidP="00C9746B">
      <w:pPr>
        <w:pStyle w:val="ChapterTitle"/>
        <w:rPr>
          <w:i/>
          <w:iCs/>
        </w:rPr>
      </w:pPr>
      <w:r w:rsidRPr="00392E88">
        <w:t>„</w:t>
      </w:r>
      <w:r w:rsidRPr="00392E88">
        <w:rPr>
          <w:i/>
        </w:rPr>
        <w:t>ROZDZIAŁ 1</w:t>
      </w:r>
      <w:r w:rsidRPr="00392E88">
        <w:t xml:space="preserve"> </w:t>
      </w:r>
      <w:r w:rsidRPr="00392E88">
        <w:br/>
      </w:r>
      <w:r w:rsidRPr="00392E88">
        <w:rPr>
          <w:i/>
        </w:rPr>
        <w:t>Ogólne reguły nadzoru</w:t>
      </w:r>
      <w:r w:rsidRPr="00392E88">
        <w:t>”;</w:t>
      </w:r>
    </w:p>
    <w:p w14:paraId="7797437D" w14:textId="0CACA0CD" w:rsidR="00C82253" w:rsidRPr="00392E88" w:rsidRDefault="006E6446" w:rsidP="006E6446">
      <w:pPr>
        <w:pStyle w:val="Point0"/>
      </w:pPr>
      <w:r>
        <w:t>48)</w:t>
      </w:r>
      <w:r>
        <w:tab/>
      </w:r>
      <w:r w:rsidR="00C82253" w:rsidRPr="006E6446">
        <w:t>art.</w:t>
      </w:r>
      <w:r w:rsidRPr="006E6446">
        <w:t> </w:t>
      </w:r>
      <w:r w:rsidR="00C82253" w:rsidRPr="006E6446">
        <w:t>4</w:t>
      </w:r>
      <w:r w:rsidR="00C82253" w:rsidRPr="00392E88">
        <w:t>5 otrzymuje brzmienie:</w:t>
      </w:r>
    </w:p>
    <w:p w14:paraId="01050488" w14:textId="5D4F7504" w:rsidR="00057582" w:rsidRPr="00392E88" w:rsidRDefault="005E3907" w:rsidP="00C9746B">
      <w:pPr>
        <w:pStyle w:val="Titrearticle"/>
      </w:pPr>
      <w:r w:rsidRPr="00392E88">
        <w:t xml:space="preserve">„Artykuł 45 </w:t>
      </w:r>
      <w:r w:rsidRPr="00392E88">
        <w:br/>
      </w:r>
      <w:r w:rsidRPr="00392E88">
        <w:rPr>
          <w:b/>
          <w:i w:val="0"/>
        </w:rPr>
        <w:t>Uprawnienia, zasoby</w:t>
      </w:r>
      <w:r w:rsidR="006E6446" w:rsidRPr="00392E88">
        <w:rPr>
          <w:b/>
          <w:i w:val="0"/>
        </w:rPr>
        <w:t xml:space="preserve"> i</w:t>
      </w:r>
      <w:r w:rsidR="006E6446">
        <w:rPr>
          <w:b/>
          <w:i w:val="0"/>
        </w:rPr>
        <w:t> </w:t>
      </w:r>
      <w:r w:rsidR="006E6446" w:rsidRPr="00392E88">
        <w:rPr>
          <w:b/>
          <w:i w:val="0"/>
        </w:rPr>
        <w:t>głó</w:t>
      </w:r>
      <w:r w:rsidRPr="00392E88">
        <w:rPr>
          <w:b/>
          <w:i w:val="0"/>
        </w:rPr>
        <w:t>wny cel nadzoru sprawowanego przez właściwe organy</w:t>
      </w:r>
    </w:p>
    <w:p w14:paraId="388B7B19" w14:textId="1C6E0A70" w:rsidR="00662E39" w:rsidRPr="00392E88" w:rsidRDefault="00A21F94" w:rsidP="00662E39">
      <w:pPr>
        <w:pStyle w:val="Text1"/>
      </w:pPr>
      <w:r w:rsidRPr="00392E88">
        <w:t>Państwa członkowskie zapewniają, aby ich właściwe organy posiadały wszystkie środki</w:t>
      </w:r>
      <w:r w:rsidR="006E6446" w:rsidRPr="00392E88">
        <w:t xml:space="preserve"> i</w:t>
      </w:r>
      <w:r w:rsidR="006E6446">
        <w:t> </w:t>
      </w:r>
      <w:r w:rsidR="006E6446" w:rsidRPr="00392E88">
        <w:t>upr</w:t>
      </w:r>
      <w:r w:rsidRPr="00392E88">
        <w:t>awnienia niezbędne do wykonywania swoich obowiązków na mocy niniejszej dyrektywy oraz dysponowały odpowiednią wiedzą fachową, zdolnością</w:t>
      </w:r>
      <w:r w:rsidR="006E6446" w:rsidRPr="00392E88">
        <w:t xml:space="preserve"> i</w:t>
      </w:r>
      <w:r w:rsidR="006E6446">
        <w:t> </w:t>
      </w:r>
      <w:r w:rsidR="006E6446" w:rsidRPr="00392E88">
        <w:t>upr</w:t>
      </w:r>
      <w:r w:rsidRPr="00392E88">
        <w:t>awnieniami koniecznymi do osiągnięcia głównego celu nadzoru, jakim jest ochrona praw uczestników</w:t>
      </w:r>
      <w:r w:rsidR="006E6446" w:rsidRPr="00392E88">
        <w:t xml:space="preserve"> i</w:t>
      </w:r>
      <w:r w:rsidR="006E6446">
        <w:t> </w:t>
      </w:r>
      <w:r w:rsidR="006E6446" w:rsidRPr="00392E88">
        <w:t>ben</w:t>
      </w:r>
      <w:r w:rsidRPr="00392E88">
        <w:t>eficjentów oraz zapewnienie stabilności</w:t>
      </w:r>
      <w:r w:rsidR="006E6446" w:rsidRPr="00392E88">
        <w:t xml:space="preserve"> i</w:t>
      </w:r>
      <w:r w:rsidR="006E6446">
        <w:t> </w:t>
      </w:r>
      <w:r w:rsidR="006E6446" w:rsidRPr="00392E88">
        <w:t>nal</w:t>
      </w:r>
      <w:r w:rsidRPr="00392E88">
        <w:t>eżytego funkcjonowania IORP.”;</w:t>
      </w:r>
    </w:p>
    <w:p w14:paraId="59FE2F92" w14:textId="21D94D38" w:rsidR="00C45E62" w:rsidRPr="00392E88" w:rsidRDefault="006E6446" w:rsidP="006E6446">
      <w:pPr>
        <w:pStyle w:val="Point0"/>
      </w:pPr>
      <w:r>
        <w:t>49)</w:t>
      </w:r>
      <w:r>
        <w:tab/>
      </w:r>
      <w:r w:rsidR="00662E39" w:rsidRPr="00392E88">
        <w:t xml:space="preserve">dodaje się </w:t>
      </w:r>
      <w:r w:rsidR="00662E39" w:rsidRPr="006E6446">
        <w:t>art.</w:t>
      </w:r>
      <w:r w:rsidRPr="006E6446">
        <w:t> </w:t>
      </w:r>
      <w:r w:rsidR="00662E39" w:rsidRPr="006E6446">
        <w:t>4</w:t>
      </w:r>
      <w:r w:rsidR="00662E39" w:rsidRPr="00392E88">
        <w:t>5a</w:t>
      </w:r>
      <w:r w:rsidRPr="00392E88">
        <w:t xml:space="preserve"> w</w:t>
      </w:r>
      <w:r>
        <w:t> </w:t>
      </w:r>
      <w:r w:rsidRPr="00392E88">
        <w:t>brz</w:t>
      </w:r>
      <w:r w:rsidR="00662E39" w:rsidRPr="00392E88">
        <w:t>mieniu:</w:t>
      </w:r>
    </w:p>
    <w:p w14:paraId="0773CFE8" w14:textId="77777777" w:rsidR="00C45E62" w:rsidRPr="00392E88" w:rsidRDefault="00C45E62" w:rsidP="00C45E62">
      <w:pPr>
        <w:pStyle w:val="Titrearticle"/>
      </w:pPr>
      <w:r w:rsidRPr="00392E88">
        <w:t xml:space="preserve">„Artykuł 45a </w:t>
      </w:r>
      <w:r w:rsidRPr="00392E88">
        <w:br/>
      </w:r>
      <w:r w:rsidRPr="00392E88">
        <w:rPr>
          <w:b/>
          <w:i w:val="0"/>
        </w:rPr>
        <w:t>Właściwe organy</w:t>
      </w:r>
    </w:p>
    <w:p w14:paraId="00FB9EEC" w14:textId="0BD8B8C2" w:rsidR="00E92AAE" w:rsidRPr="00392E88" w:rsidRDefault="00C45E62" w:rsidP="006D14CE">
      <w:pPr>
        <w:pStyle w:val="Text1"/>
      </w:pPr>
      <w:r w:rsidRPr="00392E88">
        <w:t>1.</w:t>
      </w:r>
      <w:r w:rsidRPr="00392E88">
        <w:tab/>
        <w:t>Państwa członkowskie wyznaczają właściwe organy upoważnione do zapewnienia wprowadzenia</w:t>
      </w:r>
      <w:r w:rsidR="006E6446" w:rsidRPr="00392E88">
        <w:t xml:space="preserve"> w</w:t>
      </w:r>
      <w:r w:rsidR="006E6446">
        <w:t> </w:t>
      </w:r>
      <w:r w:rsidR="006E6446" w:rsidRPr="00392E88">
        <w:t>życ</w:t>
      </w:r>
      <w:r w:rsidRPr="00392E88">
        <w:t>ie niniejszej dyrektywy. Informują</w:t>
      </w:r>
      <w:r w:rsidR="006E6446" w:rsidRPr="00392E88">
        <w:t xml:space="preserve"> o</w:t>
      </w:r>
      <w:r w:rsidR="006E6446">
        <w:t> </w:t>
      </w:r>
      <w:r w:rsidR="006E6446" w:rsidRPr="00392E88">
        <w:t>tym</w:t>
      </w:r>
      <w:r w:rsidRPr="00392E88">
        <w:t xml:space="preserve"> Komisję, wskazując ewentualny podział obowiązków.</w:t>
      </w:r>
    </w:p>
    <w:p w14:paraId="500C7A95" w14:textId="29E27138" w:rsidR="00F9775D" w:rsidRPr="00392E88" w:rsidRDefault="00C45E62" w:rsidP="006D14CE">
      <w:pPr>
        <w:pStyle w:val="Text1"/>
      </w:pPr>
      <w:r w:rsidRPr="00392E88">
        <w:t>2.</w:t>
      </w:r>
      <w:r w:rsidRPr="00392E88">
        <w:tab/>
        <w:t>Jeżeli na terytorium państwa członkowskiego istnieje więcej niż jeden właściwy organ, państwo członkowskie zapewnia, aby te organy ściśle ze sobą współpracowały</w:t>
      </w:r>
      <w:r w:rsidR="006E6446" w:rsidRPr="00392E88">
        <w:t xml:space="preserve"> w</w:t>
      </w:r>
      <w:r w:rsidR="006E6446">
        <w:t> </w:t>
      </w:r>
      <w:r w:rsidR="006E6446" w:rsidRPr="00392E88">
        <w:t>spo</w:t>
      </w:r>
      <w:r w:rsidRPr="00392E88">
        <w:t>sób umożliwiający skuteczne wykonywanie właściwych dla nich obowiązków.</w:t>
      </w:r>
    </w:p>
    <w:p w14:paraId="09C77E79" w14:textId="2CBCEFC7" w:rsidR="005E3907" w:rsidRPr="00392E88" w:rsidRDefault="00F9775D" w:rsidP="006D14CE">
      <w:pPr>
        <w:pStyle w:val="Text1"/>
      </w:pPr>
      <w:r w:rsidRPr="00392E88">
        <w:t>3. Państwa członkowskie zapewniają właściwym organom wystarczającą liczbę wykwalifikowanego personelu</w:t>
      </w:r>
      <w:r w:rsidR="006E6446" w:rsidRPr="00392E88">
        <w:t xml:space="preserve"> i</w:t>
      </w:r>
      <w:r w:rsidR="006E6446">
        <w:t> </w:t>
      </w:r>
      <w:r w:rsidR="006E6446" w:rsidRPr="00392E88">
        <w:t>zas</w:t>
      </w:r>
      <w:r w:rsidRPr="00392E88">
        <w:t>oby, które są niezbędne do skutecznego wykonywania ich obowiązków.”;</w:t>
      </w:r>
    </w:p>
    <w:p w14:paraId="454BACD1" w14:textId="598E01DA" w:rsidR="00BD2DB1" w:rsidRPr="00392E88" w:rsidRDefault="006E6446" w:rsidP="006E6446">
      <w:pPr>
        <w:pStyle w:val="Point0"/>
      </w:pPr>
      <w:r>
        <w:t>50)</w:t>
      </w:r>
      <w:r>
        <w:tab/>
      </w:r>
      <w:r w:rsidR="00661436" w:rsidRPr="00392E88">
        <w:t xml:space="preserve">w </w:t>
      </w:r>
      <w:r w:rsidR="00661436" w:rsidRPr="006E6446">
        <w:t>art.</w:t>
      </w:r>
      <w:r w:rsidRPr="006E6446">
        <w:t> </w:t>
      </w:r>
      <w:r w:rsidR="00661436" w:rsidRPr="006E6446">
        <w:t>4</w:t>
      </w:r>
      <w:r w:rsidR="00661436" w:rsidRPr="00392E88">
        <w:t>6 wprowadza się następujące zmiany:</w:t>
      </w:r>
    </w:p>
    <w:p w14:paraId="0331A4FF" w14:textId="04E27DBC" w:rsidR="00661436" w:rsidRPr="00392E88" w:rsidRDefault="006E6446" w:rsidP="006E6446">
      <w:pPr>
        <w:pStyle w:val="Point1"/>
      </w:pPr>
      <w:r>
        <w:t>a)</w:t>
      </w:r>
      <w:r>
        <w:tab/>
      </w:r>
      <w:r w:rsidR="003B2AA0" w:rsidRPr="00392E88">
        <w:t>tytuł otrzymuje brzmienie:</w:t>
      </w:r>
    </w:p>
    <w:p w14:paraId="229380AA" w14:textId="77777777" w:rsidR="00661436" w:rsidRPr="00392E88" w:rsidRDefault="00661436" w:rsidP="00C9746B">
      <w:pPr>
        <w:pStyle w:val="Titrearticle"/>
      </w:pPr>
      <w:r w:rsidRPr="00392E88">
        <w:rPr>
          <w:i w:val="0"/>
        </w:rPr>
        <w:t>„</w:t>
      </w:r>
      <w:r w:rsidRPr="00392E88">
        <w:rPr>
          <w:b/>
          <w:i w:val="0"/>
        </w:rPr>
        <w:t>Zakres nadzoru”</w:t>
      </w:r>
      <w:r w:rsidRPr="00392E88">
        <w:rPr>
          <w:i w:val="0"/>
        </w:rPr>
        <w:t>;</w:t>
      </w:r>
    </w:p>
    <w:p w14:paraId="0FBBABD1" w14:textId="526C687E" w:rsidR="00661436" w:rsidRPr="00392E88" w:rsidRDefault="006E6446" w:rsidP="006E6446">
      <w:pPr>
        <w:pStyle w:val="Point1"/>
      </w:pPr>
      <w:r>
        <w:t>b)</w:t>
      </w:r>
      <w:r>
        <w:tab/>
      </w:r>
      <w:r w:rsidR="003B2AA0" w:rsidRPr="00392E88">
        <w:t>formuła wprowadzająca otrzymuje brzmienie:</w:t>
      </w:r>
    </w:p>
    <w:p w14:paraId="2DBB21EE" w14:textId="2452BFFB" w:rsidR="000A2E20" w:rsidRPr="00392E88" w:rsidRDefault="000A2E20" w:rsidP="00C9746B">
      <w:pPr>
        <w:pStyle w:val="Text1"/>
      </w:pPr>
      <w:r w:rsidRPr="00392E88">
        <w:t>„Państwa członkowskie zapewniają poddanie IORP nadzorowi ostrożnościowemu obejmującemu,</w:t>
      </w:r>
      <w:r w:rsidR="006E6446" w:rsidRPr="00392E88">
        <w:t xml:space="preserve"> w</w:t>
      </w:r>
      <w:r w:rsidR="006E6446">
        <w:t> </w:t>
      </w:r>
      <w:r w:rsidR="006E6446" w:rsidRPr="00392E88">
        <w:t>sto</w:t>
      </w:r>
      <w:r w:rsidRPr="00392E88">
        <w:t>sownych przypadkach, nadzór nad:”;</w:t>
      </w:r>
    </w:p>
    <w:p w14:paraId="7F11795B" w14:textId="049CEB78" w:rsidR="009709D5" w:rsidRPr="00392E88" w:rsidRDefault="006E6446" w:rsidP="006E6446">
      <w:pPr>
        <w:pStyle w:val="Point1"/>
      </w:pPr>
      <w:r>
        <w:t>c)</w:t>
      </w:r>
      <w:r>
        <w:tab/>
      </w:r>
      <w:r w:rsidR="00572CFB" w:rsidRPr="00392E88">
        <w:t>dodaje się akapit drugi</w:t>
      </w:r>
      <w:r w:rsidRPr="00392E88">
        <w:t xml:space="preserve"> w</w:t>
      </w:r>
      <w:r>
        <w:t> </w:t>
      </w:r>
      <w:r w:rsidRPr="00392E88">
        <w:t>brz</w:t>
      </w:r>
      <w:r w:rsidR="00572CFB" w:rsidRPr="00392E88">
        <w:t>mieniu:</w:t>
      </w:r>
    </w:p>
    <w:p w14:paraId="5C69865A" w14:textId="77777777" w:rsidR="009709D5" w:rsidRPr="00392E88" w:rsidRDefault="00586F6D" w:rsidP="00C9746B">
      <w:pPr>
        <w:pStyle w:val="Text1"/>
      </w:pPr>
      <w:r w:rsidRPr="00392E88">
        <w:t>„Państwa członkowskie zapewniają również nadzór nad przestrzeganiem wszystkich innych przepisów niniejszej dyrektywy.”;</w:t>
      </w:r>
    </w:p>
    <w:p w14:paraId="575412EB" w14:textId="7EA1534C" w:rsidR="00EF117E" w:rsidRPr="00392E88" w:rsidRDefault="006E6446" w:rsidP="006E6446">
      <w:pPr>
        <w:pStyle w:val="Point0"/>
      </w:pPr>
      <w:r>
        <w:t>51)</w:t>
      </w:r>
      <w:r>
        <w:tab/>
      </w:r>
      <w:r w:rsidR="00CA5D79" w:rsidRPr="00392E88">
        <w:t xml:space="preserve">w </w:t>
      </w:r>
      <w:r w:rsidR="00CA5D79" w:rsidRPr="006E6446">
        <w:t>art.</w:t>
      </w:r>
      <w:r w:rsidRPr="006E6446">
        <w:t> </w:t>
      </w:r>
      <w:r w:rsidR="00CA5D79" w:rsidRPr="006E6446">
        <w:t>4</w:t>
      </w:r>
      <w:r w:rsidR="00CA5D79" w:rsidRPr="00392E88">
        <w:t>7 wprowadza się następujące zmiany:</w:t>
      </w:r>
    </w:p>
    <w:p w14:paraId="4F66B49C" w14:textId="021E55E8" w:rsidR="003B2AA0" w:rsidRPr="00392E88" w:rsidRDefault="006E6446" w:rsidP="006E6446">
      <w:pPr>
        <w:pStyle w:val="Point1"/>
      </w:pPr>
      <w:r>
        <w:t>a)</w:t>
      </w:r>
      <w:r>
        <w:tab/>
      </w:r>
      <w:r w:rsidR="003B2AA0" w:rsidRPr="00392E88">
        <w:t>tytuł otrzymuje brzmienie:</w:t>
      </w:r>
    </w:p>
    <w:p w14:paraId="322BAC73" w14:textId="77777777" w:rsidR="003B2AA0" w:rsidRPr="00392E88" w:rsidRDefault="003B2AA0" w:rsidP="00C9746B">
      <w:pPr>
        <w:pStyle w:val="Titrearticle"/>
      </w:pPr>
      <w:r w:rsidRPr="00392E88">
        <w:t>„</w:t>
      </w:r>
      <w:r w:rsidRPr="00392E88">
        <w:rPr>
          <w:b/>
          <w:i w:val="0"/>
        </w:rPr>
        <w:t>Ogólne zasady nadzoru</w:t>
      </w:r>
      <w:r w:rsidRPr="00392E88">
        <w:t>”</w:t>
      </w:r>
    </w:p>
    <w:p w14:paraId="50838135" w14:textId="0693353A" w:rsidR="00EF117E" w:rsidRPr="00392E88" w:rsidRDefault="006E6446" w:rsidP="006E6446">
      <w:pPr>
        <w:pStyle w:val="Point1"/>
      </w:pPr>
      <w:r>
        <w:t>b)</w:t>
      </w:r>
      <w:r>
        <w:tab/>
      </w:r>
      <w:r w:rsidR="00EF117E" w:rsidRPr="00392E88">
        <w:t>w ust. 2 dodaje się zdanie</w:t>
      </w:r>
      <w:r w:rsidRPr="00392E88">
        <w:t xml:space="preserve"> w</w:t>
      </w:r>
      <w:r>
        <w:t> </w:t>
      </w:r>
      <w:r w:rsidRPr="00392E88">
        <w:t>brz</w:t>
      </w:r>
      <w:r w:rsidR="00EF117E" w:rsidRPr="00392E88">
        <w:t>mieniu:</w:t>
      </w:r>
    </w:p>
    <w:p w14:paraId="6000A864" w14:textId="77777777" w:rsidR="00EF117E" w:rsidRPr="00392E88" w:rsidRDefault="00EF117E" w:rsidP="00C9746B">
      <w:pPr>
        <w:pStyle w:val="Text1"/>
      </w:pPr>
      <w:r w:rsidRPr="00392E88">
        <w:t>„Nadzór obejmuje stałą kontrolę właściwego prowadzenia działalności IORP oraz przestrzegania przez IORP przepisów dotyczących nadzoru.”;</w:t>
      </w:r>
    </w:p>
    <w:p w14:paraId="1448F1E0" w14:textId="7891DEE7" w:rsidR="00CA5D79" w:rsidRPr="00392E88" w:rsidRDefault="006E6446" w:rsidP="006E6446">
      <w:pPr>
        <w:pStyle w:val="Point1"/>
      </w:pPr>
      <w:r>
        <w:t>c)</w:t>
      </w:r>
      <w:r>
        <w:tab/>
      </w:r>
      <w:r w:rsidR="00EF117E" w:rsidRPr="00392E88">
        <w:t>ust. 4 otrzymuje brzmienie:</w:t>
      </w:r>
    </w:p>
    <w:p w14:paraId="4D73E748" w14:textId="75E7D31D" w:rsidR="00F3328E" w:rsidRPr="00392E88" w:rsidRDefault="00F3328E" w:rsidP="00F3328E">
      <w:pPr>
        <w:pStyle w:val="Text1"/>
      </w:pPr>
      <w:r w:rsidRPr="00392E88">
        <w:t>„4.</w:t>
      </w:r>
      <w:r w:rsidRPr="00392E88">
        <w:tab/>
        <w:t>Uprawnienia nadzorcze obejmują całą działalność IORP</w:t>
      </w:r>
      <w:r w:rsidR="006E6446" w:rsidRPr="00392E88">
        <w:t xml:space="preserve"> w</w:t>
      </w:r>
      <w:r w:rsidR="006E6446">
        <w:t> </w:t>
      </w:r>
      <w:r w:rsidR="006E6446" w:rsidRPr="00392E88">
        <w:t>zak</w:t>
      </w:r>
      <w:r w:rsidRPr="00392E88">
        <w:t>resie programów emerytalnych,</w:t>
      </w:r>
      <w:r w:rsidR="006E6446" w:rsidRPr="00392E88">
        <w:t xml:space="preserve"> w</w:t>
      </w:r>
      <w:r w:rsidR="006E6446">
        <w:t> </w:t>
      </w:r>
      <w:r w:rsidR="006E6446" w:rsidRPr="00392E88">
        <w:t>tym</w:t>
      </w:r>
      <w:r w:rsidRPr="00392E88">
        <w:t xml:space="preserve"> –</w:t>
      </w:r>
      <w:r w:rsidR="006E6446" w:rsidRPr="00392E88">
        <w:t xml:space="preserve"> w</w:t>
      </w:r>
      <w:r w:rsidR="006E6446">
        <w:t> </w:t>
      </w:r>
      <w:r w:rsidR="006E6446" w:rsidRPr="00392E88">
        <w:t>prz</w:t>
      </w:r>
      <w:r w:rsidRPr="00392E88">
        <w:t>ypadku gdy na mocy prawa krajowego IORP mogą oferować indywidualne produkty emerytalne – ich działalność</w:t>
      </w:r>
      <w:r w:rsidR="006E6446" w:rsidRPr="00392E88">
        <w:t xml:space="preserve"> w</w:t>
      </w:r>
      <w:r w:rsidR="006E6446">
        <w:t> </w:t>
      </w:r>
      <w:r w:rsidR="006E6446" w:rsidRPr="00392E88">
        <w:t>zak</w:t>
      </w:r>
      <w:r w:rsidRPr="00392E88">
        <w:t>resie oferowania indywidualnych produktów emerytalnych. Państwa członkowskie zapewniają, aby uprawnienia te były wykonywane terminowo</w:t>
      </w:r>
      <w:r w:rsidR="006E6446" w:rsidRPr="00392E88">
        <w:t xml:space="preserve"> i</w:t>
      </w:r>
      <w:r w:rsidR="006E6446">
        <w:t> </w:t>
      </w:r>
      <w:r w:rsidR="006E6446" w:rsidRPr="00392E88">
        <w:t>pro</w:t>
      </w:r>
      <w:r w:rsidRPr="00392E88">
        <w:t>porcjonalnie do charakteru, skali</w:t>
      </w:r>
      <w:r w:rsidR="006E6446" w:rsidRPr="00392E88">
        <w:t xml:space="preserve"> i</w:t>
      </w:r>
      <w:r w:rsidR="006E6446">
        <w:t> </w:t>
      </w:r>
      <w:r w:rsidR="006E6446" w:rsidRPr="00392E88">
        <w:t>zło</w:t>
      </w:r>
      <w:r w:rsidRPr="00392E88">
        <w:t>żoności działalności IORP.”;</w:t>
      </w:r>
    </w:p>
    <w:p w14:paraId="727C84E1" w14:textId="1D081A58" w:rsidR="001048F9" w:rsidRPr="00392E88" w:rsidRDefault="006E6446" w:rsidP="006E6446">
      <w:pPr>
        <w:pStyle w:val="Point1"/>
      </w:pPr>
      <w:r>
        <w:t>d)</w:t>
      </w:r>
      <w:r>
        <w:tab/>
      </w:r>
      <w:r w:rsidR="001048F9" w:rsidRPr="00392E88">
        <w:t>dodaje się ust. 6</w:t>
      </w:r>
      <w:r w:rsidRPr="00392E88">
        <w:t xml:space="preserve"> w</w:t>
      </w:r>
      <w:r>
        <w:t> </w:t>
      </w:r>
      <w:r w:rsidRPr="00392E88">
        <w:t>brz</w:t>
      </w:r>
      <w:r w:rsidR="001048F9" w:rsidRPr="00392E88">
        <w:t>mieniu:</w:t>
      </w:r>
    </w:p>
    <w:p w14:paraId="2E028FC5" w14:textId="77777777" w:rsidR="001048F9" w:rsidRPr="00392E88" w:rsidRDefault="001048F9" w:rsidP="006D14CE">
      <w:pPr>
        <w:pStyle w:val="Text1"/>
      </w:pPr>
      <w:r w:rsidRPr="00392E88">
        <w:t>„6.</w:t>
      </w:r>
      <w:r w:rsidRPr="00392E88">
        <w:tab/>
        <w:t>Państwa członkowskie zapewniają, aby właściwe organy monitorowały zmiany sytuacji na rynku związane ze skalą działalności IORP.”;</w:t>
      </w:r>
    </w:p>
    <w:p w14:paraId="33523EED" w14:textId="14C073A1" w:rsidR="00030016" w:rsidRPr="00392E88" w:rsidRDefault="006E6446" w:rsidP="006E6446">
      <w:pPr>
        <w:pStyle w:val="Point0"/>
      </w:pPr>
      <w:r>
        <w:t>52)</w:t>
      </w:r>
      <w:r>
        <w:tab/>
      </w:r>
      <w:r w:rsidR="00BA3E4C" w:rsidRPr="00392E88">
        <w:t xml:space="preserve">w </w:t>
      </w:r>
      <w:r w:rsidR="00BA3E4C" w:rsidRPr="006E6446">
        <w:t>art.</w:t>
      </w:r>
      <w:r w:rsidRPr="006E6446">
        <w:t> </w:t>
      </w:r>
      <w:r w:rsidR="00BA3E4C" w:rsidRPr="006E6446">
        <w:t>4</w:t>
      </w:r>
      <w:r w:rsidR="00BA3E4C" w:rsidRPr="00392E88">
        <w:t>8 wprowadza się następujące zmiany:</w:t>
      </w:r>
    </w:p>
    <w:p w14:paraId="7544D313" w14:textId="494686FC" w:rsidR="00D96D91" w:rsidRPr="00392E88" w:rsidRDefault="006E6446" w:rsidP="006E6446">
      <w:pPr>
        <w:pStyle w:val="Point1"/>
      </w:pPr>
      <w:r>
        <w:t>a)</w:t>
      </w:r>
      <w:r>
        <w:tab/>
      </w:r>
      <w:r w:rsidR="00D96D91" w:rsidRPr="00392E88">
        <w:t xml:space="preserve">dodaje się </w:t>
      </w:r>
      <w:r w:rsidR="00D96D91" w:rsidRPr="006E6446">
        <w:t>ust.</w:t>
      </w:r>
      <w:r w:rsidRPr="006E6446">
        <w:t> </w:t>
      </w:r>
      <w:r w:rsidR="00D96D91" w:rsidRPr="006E6446">
        <w:t>1</w:t>
      </w:r>
      <w:r w:rsidR="00D96D91" w:rsidRPr="00392E88">
        <w:t>a</w:t>
      </w:r>
      <w:r w:rsidRPr="00392E88">
        <w:t xml:space="preserve"> i</w:t>
      </w:r>
      <w:r>
        <w:t> </w:t>
      </w:r>
      <w:r w:rsidRPr="00392E88">
        <w:t>1</w:t>
      </w:r>
      <w:r w:rsidR="00D96D91" w:rsidRPr="00392E88">
        <w:t>b</w:t>
      </w:r>
      <w:r w:rsidRPr="00392E88">
        <w:t xml:space="preserve"> w</w:t>
      </w:r>
      <w:r>
        <w:t> </w:t>
      </w:r>
      <w:r w:rsidRPr="00392E88">
        <w:t>brz</w:t>
      </w:r>
      <w:r w:rsidR="00D96D91" w:rsidRPr="00392E88">
        <w:t>mieniu:</w:t>
      </w:r>
    </w:p>
    <w:p w14:paraId="6C627CF5" w14:textId="4A8AD664" w:rsidR="000C381D" w:rsidRPr="00392E88" w:rsidRDefault="00D96D91" w:rsidP="00C9746B">
      <w:pPr>
        <w:pStyle w:val="Text1"/>
      </w:pPr>
      <w:r w:rsidRPr="00392E88">
        <w:t>„1a.</w:t>
      </w:r>
      <w:r w:rsidRPr="00392E88">
        <w:tab/>
        <w:t>Państwa członkowskie zapewniają, aby ich właściwe organy miały prawo żądania wszystkich informacji koniecznych do sprawowania nadzoru zgodnie</w:t>
      </w:r>
      <w:r w:rsidR="006E6446" w:rsidRPr="00392E88">
        <w:t xml:space="preserve"> z</w:t>
      </w:r>
      <w:r w:rsidR="006E6446">
        <w:t> </w:t>
      </w:r>
      <w:r w:rsidR="006E6446" w:rsidRPr="006E6446">
        <w:t>art</w:t>
      </w:r>
      <w:r w:rsidRPr="006E6446">
        <w:t>.</w:t>
      </w:r>
      <w:r w:rsidR="006E6446" w:rsidRPr="006E6446">
        <w:t> </w:t>
      </w:r>
      <w:r w:rsidRPr="006E6446">
        <w:t>5</w:t>
      </w:r>
      <w:r w:rsidRPr="00392E88">
        <w:t>0.</w:t>
      </w:r>
    </w:p>
    <w:p w14:paraId="1960A2FD" w14:textId="15068892" w:rsidR="00D96D91" w:rsidRPr="00392E88" w:rsidRDefault="000C381D" w:rsidP="00C9746B">
      <w:pPr>
        <w:pStyle w:val="Text1"/>
      </w:pPr>
      <w:r w:rsidRPr="00392E88">
        <w:t>1b.</w:t>
      </w:r>
      <w:r w:rsidRPr="00392E88">
        <w:tab/>
        <w:t>Państwa członkowskie zapewniają, aby ich właściwe organy stosowały uprawnienia nadzorcze</w:t>
      </w:r>
      <w:r w:rsidR="006E6446" w:rsidRPr="00392E88">
        <w:t xml:space="preserve"> w</w:t>
      </w:r>
      <w:r w:rsidR="006E6446">
        <w:t> </w:t>
      </w:r>
      <w:r w:rsidR="006E6446" w:rsidRPr="00392E88">
        <w:t>spo</w:t>
      </w:r>
      <w:r w:rsidRPr="00392E88">
        <w:t>sób terminowy</w:t>
      </w:r>
      <w:r w:rsidR="006E6446" w:rsidRPr="00392E88">
        <w:t xml:space="preserve"> i</w:t>
      </w:r>
      <w:r w:rsidR="006E6446">
        <w:t> </w:t>
      </w:r>
      <w:r w:rsidR="006E6446" w:rsidRPr="00392E88">
        <w:t>pro</w:t>
      </w:r>
      <w:r w:rsidRPr="00392E88">
        <w:t>porcjonalny.”;</w:t>
      </w:r>
    </w:p>
    <w:p w14:paraId="2B59919D" w14:textId="708FF7C8" w:rsidR="0061120E" w:rsidRPr="00392E88" w:rsidRDefault="006E6446" w:rsidP="006E6446">
      <w:pPr>
        <w:pStyle w:val="Point1"/>
      </w:pPr>
      <w:r>
        <w:t>b)</w:t>
      </w:r>
      <w:r>
        <w:tab/>
      </w:r>
      <w:r w:rsidR="00A74219" w:rsidRPr="00392E88">
        <w:t>ust. 2 otrzymuje brzmienie:</w:t>
      </w:r>
    </w:p>
    <w:p w14:paraId="2633F560" w14:textId="77777777" w:rsidR="00B43825" w:rsidRPr="00392E88" w:rsidRDefault="0061120E" w:rsidP="00C9746B">
      <w:pPr>
        <w:pStyle w:val="Text1"/>
      </w:pPr>
      <w:r w:rsidRPr="00392E88">
        <w:t>„2.</w:t>
      </w:r>
      <w:r w:rsidRPr="00392E88">
        <w:tab/>
        <w:t xml:space="preserve">Państwa członkowskie zapewniają, aby ich właściwe organy były uprawnione do: </w:t>
      </w:r>
    </w:p>
    <w:p w14:paraId="32592656" w14:textId="098D90B2" w:rsidR="003A1DC4" w:rsidRPr="00392E88" w:rsidRDefault="00B43825" w:rsidP="005D0C3B">
      <w:pPr>
        <w:pStyle w:val="Point1"/>
      </w:pPr>
      <w:r w:rsidRPr="00392E88">
        <w:t>a)</w:t>
      </w:r>
      <w:r w:rsidRPr="00392E88">
        <w:tab/>
        <w:t>stosowania środków zapobiegawczych</w:t>
      </w:r>
      <w:r w:rsidR="006E6446" w:rsidRPr="00392E88">
        <w:t xml:space="preserve"> i</w:t>
      </w:r>
      <w:r w:rsidR="006E6446">
        <w:t> </w:t>
      </w:r>
      <w:r w:rsidR="006E6446" w:rsidRPr="00392E88">
        <w:t>nap</w:t>
      </w:r>
      <w:r w:rsidRPr="00392E88">
        <w:t>rawczych</w:t>
      </w:r>
      <w:r w:rsidR="006E6446" w:rsidRPr="00392E88">
        <w:t xml:space="preserve"> w</w:t>
      </w:r>
      <w:r w:rsidR="006E6446">
        <w:t> </w:t>
      </w:r>
      <w:r w:rsidR="006E6446" w:rsidRPr="00392E88">
        <w:t>cel</w:t>
      </w:r>
      <w:r w:rsidRPr="00392E88">
        <w:t>u zapewnienia przestrzegania przez IORP przepisów ustawowych, wykonawczych</w:t>
      </w:r>
      <w:r w:rsidR="006E6446" w:rsidRPr="00392E88">
        <w:t xml:space="preserve"> i</w:t>
      </w:r>
      <w:r w:rsidR="006E6446">
        <w:t> </w:t>
      </w:r>
      <w:r w:rsidR="006E6446" w:rsidRPr="00392E88">
        <w:t>adm</w:t>
      </w:r>
      <w:r w:rsidRPr="00392E88">
        <w:t>inistracyjnych, których muszą przestrzegać</w:t>
      </w:r>
      <w:r w:rsidR="006E6446" w:rsidRPr="00392E88">
        <w:t xml:space="preserve"> w</w:t>
      </w:r>
      <w:r w:rsidR="006E6446">
        <w:t> </w:t>
      </w:r>
      <w:r w:rsidR="006E6446" w:rsidRPr="00392E88">
        <w:t>pos</w:t>
      </w:r>
      <w:r w:rsidRPr="00392E88">
        <w:t>zczególnych państwach członkowskich;</w:t>
      </w:r>
    </w:p>
    <w:p w14:paraId="21208F81" w14:textId="387AEDE6" w:rsidR="002904CB" w:rsidRPr="00392E88" w:rsidRDefault="00157BF0" w:rsidP="005D0C3B">
      <w:pPr>
        <w:pStyle w:val="Point1"/>
      </w:pPr>
      <w:r w:rsidRPr="00392E88">
        <w:t>b)</w:t>
      </w:r>
      <w:r w:rsidRPr="00392E88">
        <w:tab/>
        <w:t>stosowania wszelkich koniecznych środków,</w:t>
      </w:r>
      <w:r w:rsidR="006E6446" w:rsidRPr="00392E88">
        <w:t xml:space="preserve"> w</w:t>
      </w:r>
      <w:r w:rsidR="006E6446">
        <w:t> </w:t>
      </w:r>
      <w:r w:rsidR="006E6446" w:rsidRPr="00392E88">
        <w:t>tym</w:t>
      </w:r>
      <w:r w:rsidRPr="00392E88">
        <w:t>,</w:t>
      </w:r>
      <w:r w:rsidR="006E6446" w:rsidRPr="00392E88">
        <w:t xml:space="preserve"> w</w:t>
      </w:r>
      <w:r w:rsidR="006E6446">
        <w:t> </w:t>
      </w:r>
      <w:r w:rsidR="006E6446" w:rsidRPr="00392E88">
        <w:t>sto</w:t>
      </w:r>
      <w:r w:rsidRPr="00392E88">
        <w:t>sownych przypadkach, środków</w:t>
      </w:r>
      <w:r w:rsidR="006E6446" w:rsidRPr="00392E88">
        <w:t xml:space="preserve"> o</w:t>
      </w:r>
      <w:r w:rsidR="006E6446">
        <w:t> </w:t>
      </w:r>
      <w:r w:rsidR="006E6446" w:rsidRPr="00392E88">
        <w:t>cha</w:t>
      </w:r>
      <w:r w:rsidRPr="00392E88">
        <w:t>rakterze administracyjnym lub finansowym</w:t>
      </w:r>
      <w:r w:rsidR="006E6446" w:rsidRPr="00392E88">
        <w:t xml:space="preserve"> w</w:t>
      </w:r>
      <w:r w:rsidR="006E6446">
        <w:t> </w:t>
      </w:r>
      <w:r w:rsidR="006E6446" w:rsidRPr="00392E88">
        <w:t>odn</w:t>
      </w:r>
      <w:r w:rsidRPr="00392E88">
        <w:t xml:space="preserve">iesieniu do IORP oraz członków ich organów administrujących, zarządzających lub nadzorczych. </w:t>
      </w:r>
    </w:p>
    <w:p w14:paraId="792E0EAB" w14:textId="2C7B7648" w:rsidR="0061120E" w:rsidRPr="00392E88" w:rsidRDefault="00886F31" w:rsidP="00C9746B">
      <w:pPr>
        <w:pStyle w:val="Text1"/>
      </w:pPr>
      <w:r w:rsidRPr="00392E88">
        <w:t>Bez uszczerbku dla uprawnień nadzorczych właściwych organów oraz prawa państw członkowskich do ustanawiania</w:t>
      </w:r>
      <w:r w:rsidR="006E6446" w:rsidRPr="00392E88">
        <w:t xml:space="preserve"> i</w:t>
      </w:r>
      <w:r w:rsidR="006E6446">
        <w:t> </w:t>
      </w:r>
      <w:r w:rsidR="006E6446" w:rsidRPr="00392E88">
        <w:t>nak</w:t>
      </w:r>
      <w:r w:rsidRPr="00392E88">
        <w:t>ładania sankcji karnych państwa członkowskie zapewniają, aby ich właściwe organy mogły nakładać sankcje administracyjne</w:t>
      </w:r>
      <w:r w:rsidR="006E6446" w:rsidRPr="00392E88">
        <w:t xml:space="preserve"> i</w:t>
      </w:r>
      <w:r w:rsidR="006E6446">
        <w:t> </w:t>
      </w:r>
      <w:r w:rsidR="006E6446" w:rsidRPr="00392E88">
        <w:t>inn</w:t>
      </w:r>
      <w:r w:rsidRPr="00392E88">
        <w:t>e środki mające zastosowanie</w:t>
      </w:r>
      <w:r w:rsidR="006E6446" w:rsidRPr="00392E88">
        <w:t xml:space="preserve"> w</w:t>
      </w:r>
      <w:r w:rsidR="006E6446">
        <w:t> </w:t>
      </w:r>
      <w:r w:rsidR="006E6446" w:rsidRPr="00392E88">
        <w:t>prz</w:t>
      </w:r>
      <w:r w:rsidRPr="00392E88">
        <w:t>ypadku wszelkich naruszeń przepisów krajowych wdrażających niniejszą dyrektywę, oraz wprowadzają wszelkie konieczne środki, aby zapewnić wykonanie tych sankcji</w:t>
      </w:r>
      <w:r w:rsidR="006E6446" w:rsidRPr="00392E88">
        <w:t xml:space="preserve"> i</w:t>
      </w:r>
      <w:r w:rsidR="006E6446">
        <w:t> </w:t>
      </w:r>
      <w:r w:rsidR="006E6446" w:rsidRPr="00392E88">
        <w:t>inn</w:t>
      </w:r>
      <w:r w:rsidRPr="00392E88">
        <w:t>ych środków. Państwa członkowskie zapewniają skuteczność, proporcjonalność</w:t>
      </w:r>
      <w:r w:rsidR="006E6446" w:rsidRPr="00392E88">
        <w:t xml:space="preserve"> i</w:t>
      </w:r>
      <w:r w:rsidR="006E6446">
        <w:t> </w:t>
      </w:r>
      <w:r w:rsidR="006E6446" w:rsidRPr="00392E88">
        <w:t>ods</w:t>
      </w:r>
      <w:r w:rsidRPr="00392E88">
        <w:t>traszający charakter swoich sankcji administracyjnych</w:t>
      </w:r>
      <w:r w:rsidR="006E6446" w:rsidRPr="00392E88">
        <w:t xml:space="preserve"> i</w:t>
      </w:r>
      <w:r w:rsidR="006E6446">
        <w:t> </w:t>
      </w:r>
      <w:r w:rsidR="006E6446" w:rsidRPr="00392E88">
        <w:t>inn</w:t>
      </w:r>
      <w:r w:rsidRPr="00392E88">
        <w:t>ych środków.”;</w:t>
      </w:r>
    </w:p>
    <w:p w14:paraId="76F5A8E9" w14:textId="0C5D5747" w:rsidR="00FE0909" w:rsidRPr="00392E88" w:rsidRDefault="006E6446" w:rsidP="006E6446">
      <w:pPr>
        <w:pStyle w:val="Point0"/>
      </w:pPr>
      <w:r>
        <w:t>53)</w:t>
      </w:r>
      <w:r>
        <w:tab/>
      </w:r>
      <w:r w:rsidR="00FE0909" w:rsidRPr="00392E88">
        <w:t xml:space="preserve">w </w:t>
      </w:r>
      <w:r w:rsidR="00FE0909" w:rsidRPr="006E6446">
        <w:t>art.</w:t>
      </w:r>
      <w:r w:rsidRPr="006E6446">
        <w:t> </w:t>
      </w:r>
      <w:r w:rsidR="00FE0909" w:rsidRPr="006E6446">
        <w:t>4</w:t>
      </w:r>
      <w:r w:rsidR="00FE0909" w:rsidRPr="00392E88">
        <w:t>9 wprowadza się następujące zmiany:</w:t>
      </w:r>
    </w:p>
    <w:p w14:paraId="495DD6F9" w14:textId="46B5CBC9" w:rsidR="00083A8C" w:rsidRPr="00392E88" w:rsidRDefault="006E6446" w:rsidP="006E6446">
      <w:pPr>
        <w:pStyle w:val="Point1"/>
      </w:pPr>
      <w:r>
        <w:t>a)</w:t>
      </w:r>
      <w:r>
        <w:tab/>
      </w:r>
      <w:r w:rsidR="00FE0909" w:rsidRPr="00392E88">
        <w:t xml:space="preserve">w </w:t>
      </w:r>
      <w:r w:rsidR="00FE0909" w:rsidRPr="006E6446">
        <w:t>ust.</w:t>
      </w:r>
      <w:r w:rsidRPr="006E6446">
        <w:t> </w:t>
      </w:r>
      <w:r w:rsidR="00FE0909" w:rsidRPr="006E6446">
        <w:t>1</w:t>
      </w:r>
      <w:r w:rsidR="00FE0909" w:rsidRPr="00392E88">
        <w:t xml:space="preserve"> wprowadza się następujące zmiany:</w:t>
      </w:r>
    </w:p>
    <w:p w14:paraId="300CF0B0" w14:textId="77777777" w:rsidR="00FE0909" w:rsidRPr="00392E88" w:rsidRDefault="008A46F8" w:rsidP="008A46F8">
      <w:pPr>
        <w:pStyle w:val="Point2"/>
      </w:pPr>
      <w:r w:rsidRPr="00392E88">
        <w:t>(i)</w:t>
      </w:r>
      <w:r w:rsidRPr="00392E88">
        <w:tab/>
        <w:t>akapit pierwszy otrzymuje brzmienie:</w:t>
      </w:r>
    </w:p>
    <w:p w14:paraId="7B7A6ECB" w14:textId="5131D2EA" w:rsidR="0093577A" w:rsidRPr="00392E88" w:rsidRDefault="0093577A" w:rsidP="00C9746B">
      <w:pPr>
        <w:pStyle w:val="Text1"/>
      </w:pPr>
      <w:r w:rsidRPr="00392E88">
        <w:t>„Państwa członkowskie zapewniają, aby właściwe organy dokonywały przeglądu</w:t>
      </w:r>
      <w:r w:rsidR="006E6446" w:rsidRPr="00392E88">
        <w:t xml:space="preserve"> i</w:t>
      </w:r>
      <w:r w:rsidR="006E6446">
        <w:t> </w:t>
      </w:r>
      <w:r w:rsidR="006E6446" w:rsidRPr="00392E88">
        <w:t>oce</w:t>
      </w:r>
      <w:r w:rsidRPr="00392E88">
        <w:t>ny strategii, procesów</w:t>
      </w:r>
      <w:r w:rsidR="006E6446" w:rsidRPr="00392E88">
        <w:t xml:space="preserve"> i</w:t>
      </w:r>
      <w:r w:rsidR="006E6446">
        <w:t> </w:t>
      </w:r>
      <w:r w:rsidR="006E6446" w:rsidRPr="00392E88">
        <w:t>pro</w:t>
      </w:r>
      <w:r w:rsidRPr="00392E88">
        <w:t>cedur sprawozdawczych ustanowionych przez IORP</w:t>
      </w:r>
      <w:r w:rsidR="006E6446" w:rsidRPr="00392E88">
        <w:t xml:space="preserve"> w</w:t>
      </w:r>
      <w:r w:rsidR="006E6446">
        <w:t> </w:t>
      </w:r>
      <w:r w:rsidR="006E6446" w:rsidRPr="00392E88">
        <w:t>cel</w:t>
      </w:r>
      <w:r w:rsidRPr="00392E88">
        <w:t>u przestrzegania przepisów ustawowych, wykonawczych</w:t>
      </w:r>
      <w:r w:rsidR="006E6446" w:rsidRPr="00392E88">
        <w:t xml:space="preserve"> i</w:t>
      </w:r>
      <w:r w:rsidR="006E6446">
        <w:t> </w:t>
      </w:r>
      <w:r w:rsidR="006E6446" w:rsidRPr="00392E88">
        <w:t>adm</w:t>
      </w:r>
      <w:r w:rsidRPr="00392E88">
        <w:t>inistracyjnych przyjętych zgodnie</w:t>
      </w:r>
      <w:r w:rsidR="006E6446" w:rsidRPr="00392E88">
        <w:t xml:space="preserve"> z</w:t>
      </w:r>
      <w:r w:rsidR="006E6446">
        <w:t> </w:t>
      </w:r>
      <w:r w:rsidR="006E6446" w:rsidRPr="00392E88">
        <w:t>nin</w:t>
      </w:r>
      <w:r w:rsidRPr="00392E88">
        <w:t>iejszą dyrektywą,</w:t>
      </w:r>
      <w:r w:rsidR="006E6446" w:rsidRPr="00392E88">
        <w:t xml:space="preserve"> z</w:t>
      </w:r>
      <w:r w:rsidR="006E6446">
        <w:t> </w:t>
      </w:r>
      <w:r w:rsidR="006E6446" w:rsidRPr="00392E88">
        <w:t>uwz</w:t>
      </w:r>
      <w:r w:rsidRPr="00392E88">
        <w:t>ględnieniem charakteru, skali</w:t>
      </w:r>
      <w:r w:rsidR="006E6446" w:rsidRPr="00392E88">
        <w:t xml:space="preserve"> i</w:t>
      </w:r>
      <w:r w:rsidR="006E6446">
        <w:t> </w:t>
      </w:r>
      <w:r w:rsidR="006E6446" w:rsidRPr="00392E88">
        <w:t>zło</w:t>
      </w:r>
      <w:r w:rsidRPr="00392E88">
        <w:t>żoności działalności IORP.”;</w:t>
      </w:r>
    </w:p>
    <w:p w14:paraId="22F9604D" w14:textId="6D0B2CCF" w:rsidR="00083A8C" w:rsidRPr="00392E88" w:rsidRDefault="008A46F8" w:rsidP="00B45281">
      <w:pPr>
        <w:pStyle w:val="Point2"/>
      </w:pPr>
      <w:r w:rsidRPr="00392E88">
        <w:t>(ii)</w:t>
      </w:r>
      <w:r w:rsidRPr="00392E88">
        <w:tab/>
        <w:t>dodaje się akapit</w:t>
      </w:r>
      <w:r w:rsidR="006E6446" w:rsidRPr="00392E88">
        <w:t xml:space="preserve"> w</w:t>
      </w:r>
      <w:r w:rsidR="006E6446">
        <w:t> </w:t>
      </w:r>
      <w:r w:rsidR="006E6446" w:rsidRPr="00392E88">
        <w:t>brz</w:t>
      </w:r>
      <w:r w:rsidRPr="00392E88">
        <w:t>mieniu:</w:t>
      </w:r>
    </w:p>
    <w:p w14:paraId="53F03BDE" w14:textId="27A26E8E" w:rsidR="0033310C" w:rsidRPr="00392E88" w:rsidRDefault="0033310C" w:rsidP="0054253A">
      <w:pPr>
        <w:pStyle w:val="Text1"/>
      </w:pPr>
      <w:r w:rsidRPr="00392E88">
        <w:t>„W ocenach,</w:t>
      </w:r>
      <w:r w:rsidR="006E6446" w:rsidRPr="00392E88">
        <w:t xml:space="preserve"> o</w:t>
      </w:r>
      <w:r w:rsidR="006E6446">
        <w:t> </w:t>
      </w:r>
      <w:r w:rsidR="006E6446" w:rsidRPr="00392E88">
        <w:t>któ</w:t>
      </w:r>
      <w:r w:rsidRPr="00392E88">
        <w:t>rych mowa</w:t>
      </w:r>
      <w:r w:rsidR="006E6446" w:rsidRPr="00392E88">
        <w:t xml:space="preserve"> w</w:t>
      </w:r>
      <w:r w:rsidR="006E6446">
        <w:t> </w:t>
      </w:r>
      <w:r w:rsidR="006E6446" w:rsidRPr="00392E88">
        <w:t>aka</w:t>
      </w:r>
      <w:r w:rsidRPr="00392E88">
        <w:t xml:space="preserve">picie drugim </w:t>
      </w:r>
      <w:r w:rsidRPr="006E6446">
        <w:t>lit.</w:t>
      </w:r>
      <w:r w:rsidR="006E6446" w:rsidRPr="006E6446">
        <w:t> </w:t>
      </w:r>
      <w:r w:rsidRPr="006E6446">
        <w:t>b)</w:t>
      </w:r>
      <w:r w:rsidRPr="00392E88">
        <w:t xml:space="preserve"> i c), uwzględnia się ryzyko, że IORP nie będzie dysponować wystarczającymi zasobami finansowymi na pokrycie swoich bieżących</w:t>
      </w:r>
      <w:r w:rsidR="006E6446" w:rsidRPr="00392E88">
        <w:t xml:space="preserve"> i</w:t>
      </w:r>
      <w:r w:rsidR="006E6446">
        <w:t> </w:t>
      </w:r>
      <w:r w:rsidR="006E6446" w:rsidRPr="00392E88">
        <w:t>prz</w:t>
      </w:r>
      <w:r w:rsidRPr="00392E88">
        <w:t>yszłych kosztów operacyjnych.”;</w:t>
      </w:r>
    </w:p>
    <w:p w14:paraId="4235A1F1" w14:textId="744A285A" w:rsidR="00470B69" w:rsidRPr="00392E88" w:rsidRDefault="006E6446" w:rsidP="006E6446">
      <w:pPr>
        <w:pStyle w:val="Point1"/>
      </w:pPr>
      <w:r>
        <w:t>b)</w:t>
      </w:r>
      <w:r>
        <w:tab/>
      </w:r>
      <w:r w:rsidR="00DB66AB" w:rsidRPr="00392E88">
        <w:t xml:space="preserve">dodaje się </w:t>
      </w:r>
      <w:r w:rsidR="00DB66AB" w:rsidRPr="006E6446">
        <w:t>ust.</w:t>
      </w:r>
      <w:r w:rsidRPr="006E6446">
        <w:t> </w:t>
      </w:r>
      <w:r w:rsidR="00DB66AB" w:rsidRPr="006E6446">
        <w:t>1</w:t>
      </w:r>
      <w:r w:rsidR="00DB66AB" w:rsidRPr="00392E88">
        <w:t>a</w:t>
      </w:r>
      <w:r w:rsidRPr="00392E88">
        <w:t xml:space="preserve"> i</w:t>
      </w:r>
      <w:r>
        <w:t> </w:t>
      </w:r>
      <w:r w:rsidRPr="00392E88">
        <w:t>1</w:t>
      </w:r>
      <w:r w:rsidR="00DB66AB" w:rsidRPr="00392E88">
        <w:t>b</w:t>
      </w:r>
      <w:r w:rsidRPr="00392E88">
        <w:t xml:space="preserve"> w</w:t>
      </w:r>
      <w:r>
        <w:t> </w:t>
      </w:r>
      <w:r w:rsidRPr="00392E88">
        <w:t>brz</w:t>
      </w:r>
      <w:r w:rsidR="00DB66AB" w:rsidRPr="00392E88">
        <w:t>mieniu:</w:t>
      </w:r>
    </w:p>
    <w:p w14:paraId="1E9282C7" w14:textId="0702FE05" w:rsidR="0004711F" w:rsidRPr="00392E88" w:rsidRDefault="00470B69" w:rsidP="0054253A">
      <w:pPr>
        <w:pStyle w:val="Text1"/>
      </w:pPr>
      <w:r w:rsidRPr="00392E88">
        <w:t>„1a.</w:t>
      </w:r>
      <w:r w:rsidRPr="00392E88">
        <w:tab/>
        <w:t>Państwa członkowskie zapewniają, aby właściwe organy</w:t>
      </w:r>
      <w:r w:rsidR="006E6446" w:rsidRPr="00392E88">
        <w:t xml:space="preserve"> w</w:t>
      </w:r>
      <w:r w:rsidR="006E6446">
        <w:t> </w:t>
      </w:r>
      <w:r w:rsidR="006E6446" w:rsidRPr="00392E88">
        <w:t>szc</w:t>
      </w:r>
      <w:r w:rsidRPr="00392E88">
        <w:t>zególności dokonywały przeglądu</w:t>
      </w:r>
      <w:r w:rsidR="006E6446" w:rsidRPr="00392E88">
        <w:t xml:space="preserve"> i</w:t>
      </w:r>
      <w:r w:rsidR="006E6446">
        <w:t> </w:t>
      </w:r>
      <w:r w:rsidR="006E6446" w:rsidRPr="00392E88">
        <w:t>oce</w:t>
      </w:r>
      <w:r w:rsidRPr="00392E88">
        <w:t>ny zgodności ze wszystkimi elementami,</w:t>
      </w:r>
      <w:r w:rsidR="006E6446" w:rsidRPr="00392E88">
        <w:t xml:space="preserve"> o</w:t>
      </w:r>
      <w:r w:rsidR="006E6446">
        <w:t> </w:t>
      </w:r>
      <w:r w:rsidR="006E6446" w:rsidRPr="00392E88">
        <w:t>któ</w:t>
      </w:r>
      <w:r w:rsidRPr="00392E88">
        <w:t>rych mowa</w:t>
      </w:r>
      <w:r w:rsidR="006E6446" w:rsidRPr="00392E88">
        <w:t xml:space="preserve"> w</w:t>
      </w:r>
      <w:r w:rsidR="006E6446">
        <w:t> </w:t>
      </w:r>
      <w:r w:rsidR="006E6446" w:rsidRPr="006E6446">
        <w:t>art</w:t>
      </w:r>
      <w:r w:rsidRPr="006E6446">
        <w:t>.</w:t>
      </w:r>
      <w:r w:rsidR="006E6446" w:rsidRPr="006E6446">
        <w:t> </w:t>
      </w:r>
      <w:r w:rsidRPr="006E6446">
        <w:t>4</w:t>
      </w:r>
      <w:r w:rsidRPr="00392E88">
        <w:t>6.</w:t>
      </w:r>
    </w:p>
    <w:p w14:paraId="75AFD92B" w14:textId="0AB1B064" w:rsidR="00B91DC3" w:rsidRPr="00392E88" w:rsidRDefault="00B91DC3" w:rsidP="0054253A">
      <w:pPr>
        <w:pStyle w:val="Text1"/>
      </w:pPr>
      <w:r w:rsidRPr="00392E88">
        <w:t>1b.</w:t>
      </w:r>
      <w:r w:rsidRPr="00392E88">
        <w:tab/>
        <w:t>W ramach procesu przeglądu właściwy organ</w:t>
      </w:r>
      <w:r w:rsidR="006E6446" w:rsidRPr="00392E88">
        <w:t xml:space="preserve"> i</w:t>
      </w:r>
      <w:r w:rsidR="006E6446">
        <w:t> </w:t>
      </w:r>
      <w:r w:rsidR="006E6446" w:rsidRPr="00392E88">
        <w:t>każ</w:t>
      </w:r>
      <w:r w:rsidRPr="00392E88">
        <w:t>da IORP prowadzą, co najmniej raz na trzy lata, regularny dialog nadzorczy.”;</w:t>
      </w:r>
    </w:p>
    <w:p w14:paraId="762B2E65" w14:textId="205B8913" w:rsidR="0031577F" w:rsidRPr="00392E88" w:rsidRDefault="006E6446" w:rsidP="006E6446">
      <w:pPr>
        <w:pStyle w:val="Point1"/>
      </w:pPr>
      <w:r>
        <w:t>c)</w:t>
      </w:r>
      <w:r>
        <w:tab/>
      </w:r>
      <w:r w:rsidR="00A142BD" w:rsidRPr="00392E88">
        <w:t>ust. 2 otrzymuje brzmienie:</w:t>
      </w:r>
    </w:p>
    <w:p w14:paraId="719FC88F" w14:textId="515202BC" w:rsidR="00644231" w:rsidRPr="00392E88" w:rsidRDefault="00A142BD" w:rsidP="00C9746B">
      <w:pPr>
        <w:pStyle w:val="Text1"/>
      </w:pPr>
      <w:r w:rsidRPr="00392E88">
        <w:t>„2.</w:t>
      </w:r>
      <w:r w:rsidRPr="00392E88">
        <w:tab/>
        <w:t>Państwa członkowskie zapewniają, aby IORP posiadały procedury mające na celu stwierdzenie pogorszenia sytuacji finansowej</w:t>
      </w:r>
      <w:r w:rsidR="006E6446" w:rsidRPr="00392E88">
        <w:t xml:space="preserve"> i</w:t>
      </w:r>
      <w:r w:rsidR="006E6446">
        <w:t> </w:t>
      </w:r>
      <w:r w:rsidR="006E6446" w:rsidRPr="00392E88">
        <w:t>nie</w:t>
      </w:r>
      <w:r w:rsidRPr="00392E88">
        <w:t>zwłocznie powiadamiały właściwe organy</w:t>
      </w:r>
      <w:r w:rsidR="006E6446" w:rsidRPr="00392E88">
        <w:t xml:space="preserve"> w</w:t>
      </w:r>
      <w:r w:rsidR="006E6446">
        <w:t> </w:t>
      </w:r>
      <w:r w:rsidR="006E6446" w:rsidRPr="00392E88">
        <w:t>prz</w:t>
      </w:r>
      <w:r w:rsidRPr="00392E88">
        <w:t xml:space="preserve">ypadku nastąpienia takiego pogorszenia. </w:t>
      </w:r>
    </w:p>
    <w:p w14:paraId="19DDF722" w14:textId="77777777" w:rsidR="00A142BD" w:rsidRPr="00392E88" w:rsidRDefault="00403059" w:rsidP="00C9746B">
      <w:pPr>
        <w:pStyle w:val="Text1"/>
      </w:pPr>
      <w:r w:rsidRPr="00392E88">
        <w:t>Państwa członkowskie zapewniają, aby właściwe organy dysponowały odpowiednimi narzędziami monitorowania, obejmującymi testy warunków skrajnych, umożliwiającymi im wykrycie pogarszającej się kondycji finansowej IORP oraz monitorowanie procesu prowadzącego do naprawy sytuacji.”;</w:t>
      </w:r>
    </w:p>
    <w:p w14:paraId="735E9D74" w14:textId="6CFB4884" w:rsidR="00E15975" w:rsidRPr="00392E88" w:rsidRDefault="006E6446" w:rsidP="006E6446">
      <w:pPr>
        <w:pStyle w:val="Point1"/>
      </w:pPr>
      <w:r>
        <w:t>d)</w:t>
      </w:r>
      <w:r>
        <w:tab/>
      </w:r>
      <w:r w:rsidR="0054253A" w:rsidRPr="00392E88">
        <w:t xml:space="preserve">dodaje się </w:t>
      </w:r>
      <w:r w:rsidR="0054253A" w:rsidRPr="006E6446">
        <w:t>ust.</w:t>
      </w:r>
      <w:r w:rsidRPr="006E6446">
        <w:t> </w:t>
      </w:r>
      <w:r w:rsidR="0054253A" w:rsidRPr="006E6446">
        <w:t>2</w:t>
      </w:r>
      <w:r w:rsidR="0054253A" w:rsidRPr="00392E88">
        <w:t>a</w:t>
      </w:r>
      <w:r w:rsidRPr="00392E88">
        <w:t xml:space="preserve"> w</w:t>
      </w:r>
      <w:r>
        <w:t> </w:t>
      </w:r>
      <w:r w:rsidRPr="00392E88">
        <w:t>brz</w:t>
      </w:r>
      <w:r w:rsidR="0054253A" w:rsidRPr="00392E88">
        <w:t>mieniu:</w:t>
      </w:r>
    </w:p>
    <w:p w14:paraId="0FCB5DA2" w14:textId="52335E03" w:rsidR="00AD240D" w:rsidRPr="00392E88" w:rsidRDefault="00AD240D" w:rsidP="00C9746B">
      <w:pPr>
        <w:pStyle w:val="Text1"/>
      </w:pPr>
      <w:r w:rsidRPr="00392E88">
        <w:t>„2a.</w:t>
      </w:r>
      <w:r w:rsidRPr="00392E88">
        <w:tab/>
        <w:t>Właściwe organy dokonują oceny adekwatności metod</w:t>
      </w:r>
      <w:r w:rsidR="006E6446" w:rsidRPr="00392E88">
        <w:t xml:space="preserve"> i</w:t>
      </w:r>
      <w:r w:rsidR="006E6446">
        <w:t> </w:t>
      </w:r>
      <w:r w:rsidR="006E6446" w:rsidRPr="00392E88">
        <w:t>pra</w:t>
      </w:r>
      <w:r w:rsidRPr="00392E88">
        <w:t>ktyk stosowanych przez IORP wyznaczoną do określenia możliwych zdarzeń lub przyszłych zmian warunków ekonomicznych, które mogłyby mieć niekorzystny wpływ na ogólną zdolność finansową danej IORP.</w:t>
      </w:r>
    </w:p>
    <w:p w14:paraId="07D3D850" w14:textId="77777777" w:rsidR="00AD240D" w:rsidRPr="00392E88" w:rsidRDefault="00AD240D" w:rsidP="00C9746B">
      <w:pPr>
        <w:pStyle w:val="Text1"/>
      </w:pPr>
      <w:r w:rsidRPr="00392E88">
        <w:t>Organy nadzoru dokonują oceny zdolności IORP do sprostania tym możliwym zdarzeniom lub przyszłym zmianom warunków ekonomicznych.”;</w:t>
      </w:r>
    </w:p>
    <w:p w14:paraId="651E1AF9" w14:textId="297E52B6" w:rsidR="00B96C76" w:rsidRPr="00392E88" w:rsidRDefault="006E6446" w:rsidP="006E6446">
      <w:pPr>
        <w:pStyle w:val="Point1"/>
      </w:pPr>
      <w:r>
        <w:t>e)</w:t>
      </w:r>
      <w:r>
        <w:tab/>
      </w:r>
      <w:r w:rsidR="00534469" w:rsidRPr="00392E88">
        <w:t>ust. 4 otrzymuje brzmienie:</w:t>
      </w:r>
    </w:p>
    <w:p w14:paraId="4EFDBF36" w14:textId="09B29EE5" w:rsidR="002D1AAA" w:rsidRPr="00392E88" w:rsidRDefault="00534469" w:rsidP="00C9746B">
      <w:pPr>
        <w:pStyle w:val="Text1"/>
      </w:pPr>
      <w:r w:rsidRPr="00392E88">
        <w:t>„4.</w:t>
      </w:r>
      <w:r w:rsidRPr="00392E88">
        <w:tab/>
        <w:t>Przeglądy</w:t>
      </w:r>
      <w:r w:rsidR="006E6446" w:rsidRPr="00392E88">
        <w:t xml:space="preserve"> i</w:t>
      </w:r>
      <w:r w:rsidR="006E6446">
        <w:t> </w:t>
      </w:r>
      <w:r w:rsidR="006E6446" w:rsidRPr="00392E88">
        <w:t>oce</w:t>
      </w:r>
      <w:r w:rsidRPr="00392E88">
        <w:t>ny,</w:t>
      </w:r>
      <w:r w:rsidR="006E6446" w:rsidRPr="00392E88">
        <w:t xml:space="preserve"> o</w:t>
      </w:r>
      <w:r w:rsidR="006E6446">
        <w:t> </w:t>
      </w:r>
      <w:r w:rsidR="006E6446" w:rsidRPr="00392E88">
        <w:t>któ</w:t>
      </w:r>
      <w:r w:rsidRPr="00392E88">
        <w:t>rych mowa</w:t>
      </w:r>
      <w:r w:rsidR="006E6446" w:rsidRPr="00392E88">
        <w:t xml:space="preserve"> w</w:t>
      </w:r>
      <w:r w:rsidR="006E6446">
        <w:t> </w:t>
      </w:r>
      <w:r w:rsidR="006E6446" w:rsidRPr="006E6446">
        <w:t>ust</w:t>
      </w:r>
      <w:r w:rsidRPr="006E6446">
        <w:t>.</w:t>
      </w:r>
      <w:r w:rsidR="006E6446" w:rsidRPr="006E6446">
        <w:t> </w:t>
      </w:r>
      <w:r w:rsidRPr="006E6446">
        <w:t>1</w:t>
      </w:r>
      <w:r w:rsidR="006E6446" w:rsidRPr="00392E88">
        <w:t xml:space="preserve"> i</w:t>
      </w:r>
      <w:r w:rsidR="006E6446">
        <w:t> </w:t>
      </w:r>
      <w:r w:rsidR="006E6446" w:rsidRPr="00392E88">
        <w:t>1</w:t>
      </w:r>
      <w:r w:rsidRPr="00392E88">
        <w:t>a, przeprowadza się regularnie.</w:t>
      </w:r>
    </w:p>
    <w:p w14:paraId="779D6503" w14:textId="56F1E232" w:rsidR="00534469" w:rsidRPr="00392E88" w:rsidRDefault="00E22185" w:rsidP="00C9746B">
      <w:pPr>
        <w:pStyle w:val="Text1"/>
      </w:pPr>
      <w:r w:rsidRPr="00392E88">
        <w:t>Właściwe organy określają minimalną częstotliwość</w:t>
      </w:r>
      <w:r w:rsidR="006E6446" w:rsidRPr="00392E88">
        <w:t xml:space="preserve"> i</w:t>
      </w:r>
      <w:r w:rsidR="006E6446">
        <w:t> </w:t>
      </w:r>
      <w:r w:rsidR="006E6446" w:rsidRPr="00392E88">
        <w:t>zak</w:t>
      </w:r>
      <w:r w:rsidRPr="00392E88">
        <w:t>res tych przeglądów</w:t>
      </w:r>
      <w:r w:rsidR="006E6446" w:rsidRPr="00392E88">
        <w:t xml:space="preserve"> i</w:t>
      </w:r>
      <w:r w:rsidR="006E6446">
        <w:t> </w:t>
      </w:r>
      <w:r w:rsidR="006E6446" w:rsidRPr="00392E88">
        <w:t>oce</w:t>
      </w:r>
      <w:r w:rsidRPr="00392E88">
        <w:t>n, uwzględniając charakter, skalę</w:t>
      </w:r>
      <w:r w:rsidR="006E6446" w:rsidRPr="00392E88">
        <w:t xml:space="preserve"> i</w:t>
      </w:r>
      <w:r w:rsidR="006E6446">
        <w:t> </w:t>
      </w:r>
      <w:r w:rsidR="006E6446" w:rsidRPr="00392E88">
        <w:t>zło</w:t>
      </w:r>
      <w:r w:rsidRPr="00392E88">
        <w:t>żoność działalności danej IORP.”</w:t>
      </w:r>
    </w:p>
    <w:p w14:paraId="6C392198" w14:textId="6AB20396" w:rsidR="007061C2" w:rsidRPr="00392E88" w:rsidRDefault="006E6446" w:rsidP="006E6446">
      <w:pPr>
        <w:pStyle w:val="Point0"/>
      </w:pPr>
      <w:r>
        <w:t>54)</w:t>
      </w:r>
      <w:r>
        <w:tab/>
      </w:r>
      <w:r w:rsidR="3A93D77C" w:rsidRPr="00392E88">
        <w:t xml:space="preserve">dodaje się </w:t>
      </w:r>
      <w:r w:rsidR="3A93D77C" w:rsidRPr="006E6446">
        <w:t>art.</w:t>
      </w:r>
      <w:r w:rsidRPr="006E6446">
        <w:t> </w:t>
      </w:r>
      <w:r w:rsidR="3A93D77C" w:rsidRPr="006E6446">
        <w:t>4</w:t>
      </w:r>
      <w:r w:rsidR="3A93D77C" w:rsidRPr="00392E88">
        <w:t>9a</w:t>
      </w:r>
      <w:r w:rsidRPr="00392E88">
        <w:t xml:space="preserve"> i</w:t>
      </w:r>
      <w:r>
        <w:t> </w:t>
      </w:r>
      <w:r w:rsidRPr="00392E88">
        <w:t>4</w:t>
      </w:r>
      <w:r w:rsidR="3A93D77C" w:rsidRPr="00392E88">
        <w:t>9b</w:t>
      </w:r>
      <w:r w:rsidRPr="00392E88">
        <w:t xml:space="preserve"> w</w:t>
      </w:r>
      <w:r>
        <w:t> </w:t>
      </w:r>
      <w:r w:rsidRPr="00392E88">
        <w:t>brz</w:t>
      </w:r>
      <w:r w:rsidR="3A93D77C" w:rsidRPr="00392E88">
        <w:t>mieniu:</w:t>
      </w:r>
    </w:p>
    <w:p w14:paraId="66CAA7A6" w14:textId="77777777" w:rsidR="007061C2" w:rsidRPr="00392E88" w:rsidRDefault="00AE399E" w:rsidP="00944F90">
      <w:pPr>
        <w:pStyle w:val="Titrearticle"/>
      </w:pPr>
      <w:r w:rsidRPr="00392E88">
        <w:t xml:space="preserve">„Artykuł 49a </w:t>
      </w:r>
      <w:r w:rsidRPr="00392E88">
        <w:br/>
      </w:r>
      <w:r w:rsidRPr="00392E88">
        <w:rPr>
          <w:b/>
          <w:i w:val="0"/>
        </w:rPr>
        <w:t>Regularny dialog nadzorczy</w:t>
      </w:r>
    </w:p>
    <w:p w14:paraId="078E66A5" w14:textId="40B24E43" w:rsidR="00FC207E" w:rsidRPr="00392E88" w:rsidRDefault="007061C2" w:rsidP="00D25372">
      <w:pPr>
        <w:pStyle w:val="Text1"/>
      </w:pPr>
      <w:r w:rsidRPr="00392E88">
        <w:t>1.</w:t>
      </w:r>
      <w:r w:rsidRPr="00392E88">
        <w:tab/>
        <w:t>Regularny dialog nadzorczy,</w:t>
      </w:r>
      <w:r w:rsidR="006E6446" w:rsidRPr="00392E88">
        <w:t xml:space="preserve"> o</w:t>
      </w:r>
      <w:r w:rsidR="006E6446">
        <w:t> </w:t>
      </w:r>
      <w:r w:rsidR="006E6446" w:rsidRPr="00392E88">
        <w:t>któ</w:t>
      </w:r>
      <w:r w:rsidRPr="00392E88">
        <w:t>rym mowa</w:t>
      </w:r>
      <w:r w:rsidR="006E6446" w:rsidRPr="00392E88">
        <w:t xml:space="preserve"> w</w:t>
      </w:r>
      <w:r w:rsidR="006E6446">
        <w:t> </w:t>
      </w:r>
      <w:r w:rsidR="006E6446" w:rsidRPr="006E6446">
        <w:t>art</w:t>
      </w:r>
      <w:r w:rsidRPr="006E6446">
        <w:t>.</w:t>
      </w:r>
      <w:r w:rsidR="006E6446" w:rsidRPr="006E6446">
        <w:t> </w:t>
      </w:r>
      <w:r w:rsidRPr="006E6446">
        <w:t>4</w:t>
      </w:r>
      <w:r w:rsidRPr="00392E88">
        <w:t xml:space="preserve">9 </w:t>
      </w:r>
      <w:r w:rsidRPr="006E6446">
        <w:t>ust.</w:t>
      </w:r>
      <w:r w:rsidR="006E6446" w:rsidRPr="006E6446">
        <w:t> </w:t>
      </w:r>
      <w:r w:rsidRPr="006E6446">
        <w:t>1</w:t>
      </w:r>
      <w:r w:rsidRPr="00392E88">
        <w:t>b, obejmuje wczesną identyfikację słabości, nieefektywności</w:t>
      </w:r>
      <w:r w:rsidR="006E6446" w:rsidRPr="00392E88">
        <w:t xml:space="preserve"> i</w:t>
      </w:r>
      <w:r w:rsidR="006E6446">
        <w:t> </w:t>
      </w:r>
      <w:r w:rsidR="006E6446" w:rsidRPr="00392E88">
        <w:t>wyz</w:t>
      </w:r>
      <w:r w:rsidRPr="00392E88">
        <w:t>wań strukturalnych oraz zachęcanie do strategicznej refleksji nad długoterminową adekwatnością, efektywnością</w:t>
      </w:r>
      <w:r w:rsidR="006E6446" w:rsidRPr="00392E88">
        <w:t xml:space="preserve"> i</w:t>
      </w:r>
      <w:r w:rsidR="006E6446">
        <w:t> </w:t>
      </w:r>
      <w:r w:rsidR="006E6446" w:rsidRPr="00392E88">
        <w:t>sta</w:t>
      </w:r>
      <w:r w:rsidRPr="00392E88">
        <w:t>bilnością IORP,</w:t>
      </w:r>
      <w:r w:rsidR="006E6446" w:rsidRPr="00392E88">
        <w:t xml:space="preserve"> w</w:t>
      </w:r>
      <w:r w:rsidR="006E6446">
        <w:t> </w:t>
      </w:r>
      <w:r w:rsidR="006E6446" w:rsidRPr="00392E88">
        <w:t>tym</w:t>
      </w:r>
      <w:r w:rsidRPr="00392E88">
        <w:t xml:space="preserve"> nad adekwatnością jej skali, zdolnością do konsolidacji, współpracy lub łączenia aktywów oraz stosownością jej konfiguracji organizacyjnej do skutecznego działania</w:t>
      </w:r>
      <w:r w:rsidR="006E6446" w:rsidRPr="00392E88">
        <w:t xml:space="preserve"> i</w:t>
      </w:r>
      <w:r w:rsidR="006E6446">
        <w:t> </w:t>
      </w:r>
      <w:r w:rsidR="006E6446" w:rsidRPr="00392E88">
        <w:t>zap</w:t>
      </w:r>
      <w:r w:rsidRPr="00392E88">
        <w:t>ewnienia wartości dla uczestników</w:t>
      </w:r>
      <w:r w:rsidR="006E6446" w:rsidRPr="00392E88">
        <w:t xml:space="preserve"> i</w:t>
      </w:r>
      <w:r w:rsidR="006E6446">
        <w:t> </w:t>
      </w:r>
      <w:r w:rsidR="006E6446" w:rsidRPr="00392E88">
        <w:t>ben</w:t>
      </w:r>
      <w:r w:rsidRPr="00392E88">
        <w:t>eficjentów.</w:t>
      </w:r>
    </w:p>
    <w:p w14:paraId="7D048B86" w14:textId="52B7ADD4" w:rsidR="00E603FB" w:rsidRPr="00392E88" w:rsidRDefault="003C3B00" w:rsidP="00D25372">
      <w:pPr>
        <w:pStyle w:val="Text1"/>
      </w:pPr>
      <w:r w:rsidRPr="00392E88">
        <w:t>2.</w:t>
      </w:r>
      <w:r w:rsidRPr="00392E88">
        <w:tab/>
        <w:t>Państwa członkowskie zapewniają, aby regularny dialog nadzorczy,</w:t>
      </w:r>
      <w:r w:rsidR="006E6446" w:rsidRPr="00392E88">
        <w:t xml:space="preserve"> o</w:t>
      </w:r>
      <w:r w:rsidR="006E6446">
        <w:t> </w:t>
      </w:r>
      <w:r w:rsidR="006E6446" w:rsidRPr="00392E88">
        <w:t>któ</w:t>
      </w:r>
      <w:r w:rsidRPr="00392E88">
        <w:t>rym mowa</w:t>
      </w:r>
      <w:r w:rsidR="006E6446" w:rsidRPr="00392E88">
        <w:t xml:space="preserve"> w</w:t>
      </w:r>
      <w:r w:rsidR="006E6446">
        <w:t> </w:t>
      </w:r>
      <w:r w:rsidR="006E6446" w:rsidRPr="006E6446">
        <w:t>art</w:t>
      </w:r>
      <w:r w:rsidRPr="006E6446">
        <w:t>.</w:t>
      </w:r>
      <w:r w:rsidR="006E6446" w:rsidRPr="006E6446">
        <w:t> </w:t>
      </w:r>
      <w:r w:rsidRPr="006E6446">
        <w:t>4</w:t>
      </w:r>
      <w:r w:rsidRPr="00392E88">
        <w:t xml:space="preserve">9 </w:t>
      </w:r>
      <w:r w:rsidRPr="006E6446">
        <w:t>ust.</w:t>
      </w:r>
      <w:r w:rsidR="006E6446" w:rsidRPr="006E6446">
        <w:t> </w:t>
      </w:r>
      <w:r w:rsidRPr="006E6446">
        <w:t>1</w:t>
      </w:r>
      <w:r w:rsidRPr="00392E88">
        <w:t>b, opierał się na zestawie parametrów wczesnego ostrzegania,</w:t>
      </w:r>
      <w:r w:rsidR="006E6446" w:rsidRPr="00392E88">
        <w:t xml:space="preserve"> w</w:t>
      </w:r>
      <w:r w:rsidR="006E6446">
        <w:t> </w:t>
      </w:r>
      <w:r w:rsidR="006E6446" w:rsidRPr="00392E88">
        <w:t>tym</w:t>
      </w:r>
      <w:r w:rsidRPr="00392E88">
        <w:t xml:space="preserve"> co najmniej na wszystkich następujących elementach:</w:t>
      </w:r>
    </w:p>
    <w:p w14:paraId="32698DBD" w14:textId="6FB8829C" w:rsidR="007B59D0" w:rsidRPr="00392E88" w:rsidRDefault="00E603FB" w:rsidP="005D0C3B">
      <w:pPr>
        <w:pStyle w:val="Point1"/>
      </w:pPr>
      <w:r w:rsidRPr="00392E88">
        <w:t xml:space="preserve">a) </w:t>
      </w:r>
      <w:r w:rsidRPr="00392E88">
        <w:tab/>
        <w:t>poziomie</w:t>
      </w:r>
      <w:r w:rsidR="006E6446" w:rsidRPr="00392E88">
        <w:t xml:space="preserve"> i</w:t>
      </w:r>
      <w:r w:rsidR="006E6446">
        <w:t> </w:t>
      </w:r>
      <w:r w:rsidR="006E6446" w:rsidRPr="00392E88">
        <w:t>zmi</w:t>
      </w:r>
      <w:r w:rsidRPr="00392E88">
        <w:t>anach kosztów administracyjnych, transakcyjnych</w:t>
      </w:r>
      <w:r w:rsidR="006E6446" w:rsidRPr="00392E88">
        <w:t xml:space="preserve"> i</w:t>
      </w:r>
      <w:r w:rsidR="006E6446">
        <w:t> </w:t>
      </w:r>
      <w:r w:rsidR="006E6446" w:rsidRPr="00392E88">
        <w:t>inw</w:t>
      </w:r>
      <w:r w:rsidRPr="00392E88">
        <w:t>estycyjnych IORP;</w:t>
      </w:r>
    </w:p>
    <w:p w14:paraId="166F6175" w14:textId="13BDB858" w:rsidR="00823382" w:rsidRPr="00392E88" w:rsidRDefault="007B59D0" w:rsidP="005D0C3B">
      <w:pPr>
        <w:pStyle w:val="Point1"/>
      </w:pPr>
      <w:r w:rsidRPr="00392E88">
        <w:t xml:space="preserve">b) </w:t>
      </w:r>
      <w:r w:rsidRPr="00392E88">
        <w:tab/>
        <w:t>stopie zwrotu</w:t>
      </w:r>
      <w:r w:rsidR="006E6446" w:rsidRPr="00392E88">
        <w:t xml:space="preserve"> z</w:t>
      </w:r>
      <w:r w:rsidR="006E6446">
        <w:t> </w:t>
      </w:r>
      <w:r w:rsidR="006E6446" w:rsidRPr="00392E88">
        <w:t>akt</w:t>
      </w:r>
      <w:r w:rsidRPr="00392E88">
        <w:t>ywów IORP netto skorygowanej</w:t>
      </w:r>
      <w:r w:rsidR="006E6446" w:rsidRPr="00392E88">
        <w:t xml:space="preserve"> o</w:t>
      </w:r>
      <w:r w:rsidR="006E6446">
        <w:t> </w:t>
      </w:r>
      <w:r w:rsidR="006E6446" w:rsidRPr="00392E88">
        <w:t>ryz</w:t>
      </w:r>
      <w:r w:rsidRPr="00392E88">
        <w:t>yko;</w:t>
      </w:r>
    </w:p>
    <w:p w14:paraId="49FA7828" w14:textId="77777777" w:rsidR="00823382" w:rsidRPr="00392E88" w:rsidRDefault="00823382" w:rsidP="005D0C3B">
      <w:pPr>
        <w:pStyle w:val="Point1"/>
      </w:pPr>
      <w:r w:rsidRPr="00392E88">
        <w:t xml:space="preserve">c) </w:t>
      </w:r>
      <w:r w:rsidRPr="00392E88">
        <w:tab/>
        <w:t>wszelkich brakach lub odchyleniach od przyrzeczonych lub docelowych poziomów świadczeń;</w:t>
      </w:r>
    </w:p>
    <w:p w14:paraId="28E06848" w14:textId="30D74C8B" w:rsidR="00710AED" w:rsidRPr="00392E88" w:rsidRDefault="00823382" w:rsidP="005D0C3B">
      <w:pPr>
        <w:pStyle w:val="Point1"/>
      </w:pPr>
      <w:r w:rsidRPr="00392E88">
        <w:t xml:space="preserve">d) </w:t>
      </w:r>
      <w:r w:rsidRPr="00392E88">
        <w:tab/>
        <w:t>liczbie</w:t>
      </w:r>
      <w:r w:rsidR="006E6446" w:rsidRPr="00392E88">
        <w:t xml:space="preserve"> i</w:t>
      </w:r>
      <w:r w:rsidR="006E6446">
        <w:t> </w:t>
      </w:r>
      <w:r w:rsidR="006E6446" w:rsidRPr="00392E88">
        <w:t>zmi</w:t>
      </w:r>
      <w:r w:rsidRPr="00392E88">
        <w:t>anach aktywnych uczestników</w:t>
      </w:r>
      <w:r w:rsidR="006E6446" w:rsidRPr="00392E88">
        <w:t xml:space="preserve"> i</w:t>
      </w:r>
      <w:r w:rsidR="006E6446">
        <w:t> </w:t>
      </w:r>
      <w:r w:rsidR="006E6446" w:rsidRPr="00392E88">
        <w:t>ben</w:t>
      </w:r>
      <w:r w:rsidRPr="00392E88">
        <w:t xml:space="preserve">eficjentów; </w:t>
      </w:r>
    </w:p>
    <w:p w14:paraId="440D4C27" w14:textId="3A0B3C44" w:rsidR="003C3B00" w:rsidRPr="00392E88" w:rsidRDefault="00710AED" w:rsidP="005D0C3B">
      <w:pPr>
        <w:pStyle w:val="Point1"/>
      </w:pPr>
      <w:r w:rsidRPr="00392E88">
        <w:t xml:space="preserve">e) </w:t>
      </w:r>
      <w:r w:rsidRPr="00392E88">
        <w:tab/>
        <w:t>wskaźnikach efektywności operacyjnej, koncentracji ryzyka</w:t>
      </w:r>
      <w:r w:rsidR="006E6446" w:rsidRPr="00392E88">
        <w:t xml:space="preserve"> i</w:t>
      </w:r>
      <w:r w:rsidR="006E6446">
        <w:t> </w:t>
      </w:r>
      <w:r w:rsidR="006E6446" w:rsidRPr="00392E88">
        <w:t>odp</w:t>
      </w:r>
      <w:r w:rsidRPr="00392E88">
        <w:t>orności instytucjonalnej.</w:t>
      </w:r>
    </w:p>
    <w:p w14:paraId="4D2F3E46" w14:textId="761E5822" w:rsidR="002010E0" w:rsidRPr="00392E88" w:rsidRDefault="00A206BC" w:rsidP="00D25372">
      <w:pPr>
        <w:pStyle w:val="Text1"/>
      </w:pPr>
      <w:r w:rsidRPr="00392E88">
        <w:t>3.</w:t>
      </w:r>
      <w:r w:rsidRPr="00392E88">
        <w:tab/>
        <w:t>Państwa członkowskie zapewniają, aby</w:t>
      </w:r>
      <w:r w:rsidR="006E6446" w:rsidRPr="00392E88">
        <w:t xml:space="preserve"> w</w:t>
      </w:r>
      <w:r w:rsidR="006E6446">
        <w:t> </w:t>
      </w:r>
      <w:r w:rsidR="006E6446" w:rsidRPr="00392E88">
        <w:t>prz</w:t>
      </w:r>
      <w:r w:rsidRPr="00392E88">
        <w:t>ypadku gdy wyniki regularnego dialogu nadzorczego wskazują na potencjalne słabości lub niedociągnięcia, ich właściwe organy zwróciły się do danej IORP</w:t>
      </w:r>
      <w:r w:rsidR="006E6446" w:rsidRPr="00392E88">
        <w:t xml:space="preserve"> o</w:t>
      </w:r>
      <w:r w:rsidR="006E6446">
        <w:t> </w:t>
      </w:r>
      <w:r w:rsidR="006E6446" w:rsidRPr="00392E88">
        <w:t>roz</w:t>
      </w:r>
      <w:r w:rsidRPr="00392E88">
        <w:t>ważenie wariantów strategicznych, które są odpowiednie do wzmocnienia jej długoterminowej rentowności</w:t>
      </w:r>
      <w:r w:rsidR="006E6446" w:rsidRPr="00392E88">
        <w:t xml:space="preserve"> i</w:t>
      </w:r>
      <w:r w:rsidR="006E6446">
        <w:t> </w:t>
      </w:r>
      <w:r w:rsidR="006E6446" w:rsidRPr="00392E88">
        <w:t>sku</w:t>
      </w:r>
      <w:r w:rsidRPr="00392E88">
        <w:t>tecznego zapewniania świadczeń emerytalnych uczestnikom</w:t>
      </w:r>
      <w:r w:rsidR="006E6446" w:rsidRPr="00392E88">
        <w:t xml:space="preserve"> i</w:t>
      </w:r>
      <w:r w:rsidR="006E6446">
        <w:t> </w:t>
      </w:r>
      <w:r w:rsidR="006E6446" w:rsidRPr="00392E88">
        <w:t>ben</w:t>
      </w:r>
      <w:r w:rsidRPr="00392E88">
        <w:t>eficjentom,</w:t>
      </w:r>
      <w:r w:rsidR="006E6446" w:rsidRPr="00392E88">
        <w:t xml:space="preserve"> w</w:t>
      </w:r>
      <w:r w:rsidR="006E6446">
        <w:t> </w:t>
      </w:r>
      <w:r w:rsidR="006E6446" w:rsidRPr="00392E88">
        <w:t>tym</w:t>
      </w:r>
      <w:r w:rsidRPr="00392E88">
        <w:t xml:space="preserve"> środków zwiększających skalę operacyjną, konsolidację, współpracę, łączenie aktywów lub uzgodnienia dotyczące podziału zasobów.</w:t>
      </w:r>
    </w:p>
    <w:p w14:paraId="2874CF8F" w14:textId="60A5AB18" w:rsidR="00705E8B" w:rsidRPr="00392E88" w:rsidRDefault="00653109" w:rsidP="00D25372">
      <w:pPr>
        <w:pStyle w:val="Text1"/>
      </w:pPr>
      <w:r w:rsidRPr="00392E88">
        <w:t>4.</w:t>
      </w:r>
      <w:r w:rsidRPr="00392E88">
        <w:tab/>
        <w:t>Państwa członkowskie zapewniają, aby</w:t>
      </w:r>
      <w:r w:rsidR="006E6446" w:rsidRPr="00392E88">
        <w:t xml:space="preserve"> w</w:t>
      </w:r>
      <w:r w:rsidR="006E6446">
        <w:t> </w:t>
      </w:r>
      <w:r w:rsidR="006E6446" w:rsidRPr="00392E88">
        <w:t>prz</w:t>
      </w:r>
      <w:r w:rsidRPr="00392E88">
        <w:t>ypadku stwierdzenia istotnych niedociągnięć lub</w:t>
      </w:r>
      <w:r w:rsidR="006E6446" w:rsidRPr="00392E88">
        <w:t xml:space="preserve"> w</w:t>
      </w:r>
      <w:r w:rsidR="006E6446">
        <w:t> </w:t>
      </w:r>
      <w:r w:rsidR="006E6446" w:rsidRPr="00392E88">
        <w:t>prz</w:t>
      </w:r>
      <w:r w:rsidRPr="00392E88">
        <w:t>ypadku niezadowalających wyników,</w:t>
      </w:r>
      <w:r w:rsidR="006E6446" w:rsidRPr="00392E88">
        <w:t xml:space="preserve"> o</w:t>
      </w:r>
      <w:r w:rsidR="006E6446">
        <w:t> </w:t>
      </w:r>
      <w:r w:rsidR="006E6446" w:rsidRPr="00392E88">
        <w:t>któ</w:t>
      </w:r>
      <w:r w:rsidRPr="00392E88">
        <w:t>rych mowa</w:t>
      </w:r>
      <w:r w:rsidR="006E6446" w:rsidRPr="00392E88">
        <w:t xml:space="preserve"> w</w:t>
      </w:r>
      <w:r w:rsidR="006E6446">
        <w:t> </w:t>
      </w:r>
      <w:r w:rsidR="006E6446" w:rsidRPr="006E6446">
        <w:t>art</w:t>
      </w:r>
      <w:r w:rsidRPr="006E6446">
        <w:t>.</w:t>
      </w:r>
      <w:r w:rsidR="006E6446" w:rsidRPr="006E6446">
        <w:t> </w:t>
      </w:r>
      <w:r w:rsidRPr="006E6446">
        <w:t>4</w:t>
      </w:r>
      <w:r w:rsidRPr="00392E88">
        <w:t xml:space="preserve">1a </w:t>
      </w:r>
      <w:r w:rsidRPr="006E6446">
        <w:t>ust.</w:t>
      </w:r>
      <w:r w:rsidR="006E6446" w:rsidRPr="006E6446">
        <w:t> </w:t>
      </w:r>
      <w:r w:rsidRPr="006E6446">
        <w:t>1</w:t>
      </w:r>
      <w:r w:rsidRPr="00392E88">
        <w:t>, ich właściwy organ wymagał od IORP sporządzenia planu działań naprawczych określającego środki, harmonogramy</w:t>
      </w:r>
      <w:r w:rsidR="006E6446" w:rsidRPr="00392E88">
        <w:t xml:space="preserve"> i</w:t>
      </w:r>
      <w:r w:rsidR="006E6446">
        <w:t> </w:t>
      </w:r>
      <w:r w:rsidR="006E6446" w:rsidRPr="00392E88">
        <w:t>zas</w:t>
      </w:r>
      <w:r w:rsidRPr="00392E88">
        <w:t>ady zarządzania mające na celu zaradzenie stwierdzonym istotnym niedociągnięciom lub niezadowalającym wynikom</w:t>
      </w:r>
      <w:r w:rsidR="006E6446" w:rsidRPr="00392E88">
        <w:t>. W</w:t>
      </w:r>
      <w:r w:rsidR="006E6446">
        <w:t> </w:t>
      </w:r>
      <w:r w:rsidR="006E6446" w:rsidRPr="00392E88">
        <w:t>tak</w:t>
      </w:r>
      <w:r w:rsidRPr="00392E88">
        <w:t>im planie uwzględnia się środki strukturalne mające na celu poprawę efektywności</w:t>
      </w:r>
      <w:r w:rsidR="006E6446" w:rsidRPr="00392E88">
        <w:t xml:space="preserve"> i</w:t>
      </w:r>
      <w:r w:rsidR="006E6446">
        <w:t> </w:t>
      </w:r>
      <w:r w:rsidR="006E6446" w:rsidRPr="00392E88">
        <w:t>nal</w:t>
      </w:r>
      <w:r w:rsidRPr="00392E88">
        <w:t>eżytego zarządzania,</w:t>
      </w:r>
      <w:r w:rsidR="006E6446" w:rsidRPr="00392E88">
        <w:t xml:space="preserve"> w</w:t>
      </w:r>
      <w:r w:rsidR="006E6446">
        <w:t> </w:t>
      </w:r>
      <w:r w:rsidR="006E6446" w:rsidRPr="00392E88">
        <w:t>tym</w:t>
      </w:r>
      <w:r w:rsidRPr="00392E88">
        <w:t>,</w:t>
      </w:r>
      <w:r w:rsidR="006E6446" w:rsidRPr="00392E88">
        <w:t xml:space="preserve"> w</w:t>
      </w:r>
      <w:r w:rsidR="006E6446">
        <w:t> </w:t>
      </w:r>
      <w:r w:rsidR="006E6446" w:rsidRPr="00392E88">
        <w:t>sto</w:t>
      </w:r>
      <w:r w:rsidRPr="00392E88">
        <w:t>sownych przypadkach, ewentualne uzgodnienia dotyczące konsolidacji, współpracy, łączenia aktywów lub wspólnego korzystania</w:t>
      </w:r>
      <w:r w:rsidR="006E6446" w:rsidRPr="00392E88">
        <w:t xml:space="preserve"> z</w:t>
      </w:r>
      <w:r w:rsidR="006E6446">
        <w:t> </w:t>
      </w:r>
      <w:r w:rsidR="006E6446" w:rsidRPr="00392E88">
        <w:t>zas</w:t>
      </w:r>
      <w:r w:rsidRPr="00392E88">
        <w:t xml:space="preserve">obów. </w:t>
      </w:r>
    </w:p>
    <w:p w14:paraId="244B6968" w14:textId="714BA719" w:rsidR="00705E8B" w:rsidRPr="00392E88" w:rsidRDefault="00CD0D40" w:rsidP="00D25372">
      <w:pPr>
        <w:pStyle w:val="Text1"/>
      </w:pPr>
      <w:r w:rsidRPr="00392E88">
        <w:t>Państwa członkowskie zapewniają, aby organ administrujący, zarządzający lub nadzorczy IORP przyjął plan,</w:t>
      </w:r>
      <w:r w:rsidR="006E6446" w:rsidRPr="00392E88">
        <w:t xml:space="preserve"> o</w:t>
      </w:r>
      <w:r w:rsidR="006E6446">
        <w:t> </w:t>
      </w:r>
      <w:r w:rsidR="006E6446" w:rsidRPr="00392E88">
        <w:t>któ</w:t>
      </w:r>
      <w:r w:rsidRPr="00392E88">
        <w:t>rym mowa</w:t>
      </w:r>
      <w:r w:rsidR="006E6446" w:rsidRPr="00392E88">
        <w:t xml:space="preserve"> w</w:t>
      </w:r>
      <w:r w:rsidR="006E6446">
        <w:t> </w:t>
      </w:r>
      <w:r w:rsidR="006E6446" w:rsidRPr="00392E88">
        <w:t>aka</w:t>
      </w:r>
      <w:r w:rsidRPr="00392E88">
        <w:t>picie pierwszym,</w:t>
      </w:r>
      <w:r w:rsidR="006E6446" w:rsidRPr="00392E88">
        <w:t xml:space="preserve"> i</w:t>
      </w:r>
      <w:r w:rsidR="006E6446">
        <w:t> </w:t>
      </w:r>
      <w:r w:rsidR="006E6446" w:rsidRPr="00392E88">
        <w:t>prz</w:t>
      </w:r>
      <w:r w:rsidRPr="00392E88">
        <w:t>edłożył go właściwemu organowi do przeglądu</w:t>
      </w:r>
      <w:r w:rsidR="006E6446" w:rsidRPr="00392E88">
        <w:t xml:space="preserve"> i</w:t>
      </w:r>
      <w:r w:rsidR="006E6446">
        <w:t> </w:t>
      </w:r>
      <w:r w:rsidR="006E6446" w:rsidRPr="00392E88">
        <w:t>zat</w:t>
      </w:r>
      <w:r w:rsidRPr="00392E88">
        <w:t>wierdzenia.</w:t>
      </w:r>
    </w:p>
    <w:p w14:paraId="7C17870E" w14:textId="5E4651E3" w:rsidR="001F30A0" w:rsidRPr="00392E88" w:rsidRDefault="003E55B3" w:rsidP="00A2225A">
      <w:pPr>
        <w:pStyle w:val="Text1"/>
      </w:pPr>
      <w:r w:rsidRPr="00392E88">
        <w:t>Państwa członkowskie zapewniają, aby IORP składała okresowe sprawozdania</w:t>
      </w:r>
      <w:r w:rsidR="006E6446" w:rsidRPr="00392E88">
        <w:t xml:space="preserve"> z</w:t>
      </w:r>
      <w:r w:rsidR="006E6446">
        <w:t> </w:t>
      </w:r>
      <w:r w:rsidR="006E6446" w:rsidRPr="00392E88">
        <w:t>rea</w:t>
      </w:r>
      <w:r w:rsidRPr="00392E88">
        <w:t>lizacji planu,</w:t>
      </w:r>
      <w:r w:rsidR="006E6446" w:rsidRPr="00392E88">
        <w:t xml:space="preserve"> o</w:t>
      </w:r>
      <w:r w:rsidR="006E6446">
        <w:t> </w:t>
      </w:r>
      <w:r w:rsidR="006E6446" w:rsidRPr="00392E88">
        <w:t>któ</w:t>
      </w:r>
      <w:r w:rsidRPr="00392E88">
        <w:t>rym mowa</w:t>
      </w:r>
      <w:r w:rsidR="006E6446" w:rsidRPr="00392E88">
        <w:t xml:space="preserve"> w</w:t>
      </w:r>
      <w:r w:rsidR="006E6446">
        <w:t> </w:t>
      </w:r>
      <w:r w:rsidR="006E6446" w:rsidRPr="00392E88">
        <w:t>aka</w:t>
      </w:r>
      <w:r w:rsidRPr="00392E88">
        <w:t>picie pierwszym, oraz</w:t>
      </w:r>
      <w:r w:rsidR="006E6446" w:rsidRPr="00392E88">
        <w:t xml:space="preserve"> z</w:t>
      </w:r>
      <w:r w:rsidR="006E6446">
        <w:t> </w:t>
      </w:r>
      <w:r w:rsidR="006E6446" w:rsidRPr="00392E88">
        <w:t>wsz</w:t>
      </w:r>
      <w:r w:rsidRPr="00392E88">
        <w:t>elkich postępów poczynionych</w:t>
      </w:r>
      <w:r w:rsidR="006E6446" w:rsidRPr="00392E88">
        <w:t xml:space="preserve"> w</w:t>
      </w:r>
      <w:r w:rsidR="006E6446">
        <w:t> </w:t>
      </w:r>
      <w:r w:rsidR="006E6446" w:rsidRPr="00392E88">
        <w:t>rea</w:t>
      </w:r>
      <w:r w:rsidRPr="00392E88">
        <w:t>lizacji tego planu na żądanie właściwego organu.</w:t>
      </w:r>
    </w:p>
    <w:p w14:paraId="2DA520D8" w14:textId="77777777" w:rsidR="00FE4A82" w:rsidRPr="00392E88" w:rsidRDefault="00186E39" w:rsidP="00A2225A">
      <w:pPr>
        <w:pStyle w:val="Text1"/>
      </w:pPr>
      <w:r w:rsidRPr="00392E88">
        <w:t>5.</w:t>
      </w:r>
      <w:r w:rsidRPr="00392E88">
        <w:tab/>
        <w:t>Państwa członkowskie zapewniają, aby właściwy organ:</w:t>
      </w:r>
    </w:p>
    <w:p w14:paraId="32E9C294" w14:textId="77777777" w:rsidR="00FE4A82" w:rsidRPr="00392E88" w:rsidRDefault="00FE4A82" w:rsidP="005D0C3B">
      <w:pPr>
        <w:pStyle w:val="Point2"/>
      </w:pPr>
      <w:r w:rsidRPr="00392E88">
        <w:t xml:space="preserve">a) </w:t>
      </w:r>
      <w:r w:rsidRPr="00392E88">
        <w:tab/>
        <w:t>dokumentował wyniki każdego regularnego dialogu nadzorczego;</w:t>
      </w:r>
    </w:p>
    <w:p w14:paraId="4CDA85E0" w14:textId="77777777" w:rsidR="00FE4A82" w:rsidRPr="00392E88" w:rsidRDefault="00FE4A82" w:rsidP="005D0C3B">
      <w:pPr>
        <w:pStyle w:val="Point2"/>
      </w:pPr>
      <w:r w:rsidRPr="00392E88">
        <w:t xml:space="preserve">b) </w:t>
      </w:r>
      <w:r w:rsidRPr="00392E88">
        <w:tab/>
        <w:t xml:space="preserve">mógł wydawać zalecenia danej IORP. </w:t>
      </w:r>
    </w:p>
    <w:p w14:paraId="764EC19B" w14:textId="61357677" w:rsidR="00475752" w:rsidRPr="00392E88" w:rsidRDefault="00FE4A82" w:rsidP="00A2225A">
      <w:pPr>
        <w:pStyle w:val="Text1"/>
      </w:pPr>
      <w:r w:rsidRPr="00392E88">
        <w:t>Zalecenia,</w:t>
      </w:r>
      <w:r w:rsidR="006E6446" w:rsidRPr="00392E88">
        <w:t xml:space="preserve"> o</w:t>
      </w:r>
      <w:r w:rsidR="006E6446">
        <w:t> </w:t>
      </w:r>
      <w:r w:rsidR="006E6446" w:rsidRPr="00392E88">
        <w:t>któ</w:t>
      </w:r>
      <w:r w:rsidRPr="00392E88">
        <w:t>rych mowa</w:t>
      </w:r>
      <w:r w:rsidR="006E6446" w:rsidRPr="00392E88">
        <w:t xml:space="preserve"> w</w:t>
      </w:r>
      <w:r w:rsidR="006E6446">
        <w:t> </w:t>
      </w:r>
      <w:r w:rsidR="006E6446" w:rsidRPr="00392E88">
        <w:t>aka</w:t>
      </w:r>
      <w:r w:rsidRPr="00392E88">
        <w:t xml:space="preserve">picie pierwszym </w:t>
      </w:r>
      <w:r w:rsidRPr="006E6446">
        <w:t>lit.</w:t>
      </w:r>
      <w:r w:rsidR="006E6446" w:rsidRPr="006E6446">
        <w:t> </w:t>
      </w:r>
      <w:r w:rsidRPr="006E6446">
        <w:t>b)</w:t>
      </w:r>
      <w:r w:rsidRPr="00392E88">
        <w:t>, pozostają bez uszczerbku dla uprawnień właściwego organu do przyjmowania wiążących środków nadzorczych.</w:t>
      </w:r>
    </w:p>
    <w:p w14:paraId="46665257" w14:textId="77777777" w:rsidR="00475752" w:rsidRPr="00392E88" w:rsidRDefault="00475752" w:rsidP="00C9746B">
      <w:pPr>
        <w:pStyle w:val="Titrearticle"/>
      </w:pPr>
      <w:r w:rsidRPr="00392E88">
        <w:t xml:space="preserve">Artykuł 49b </w:t>
      </w:r>
      <w:r w:rsidRPr="00392E88">
        <w:br/>
      </w:r>
      <w:r w:rsidRPr="00392E88">
        <w:rPr>
          <w:b/>
          <w:i w:val="0"/>
        </w:rPr>
        <w:t>Cofnięcie zezwolenia</w:t>
      </w:r>
    </w:p>
    <w:p w14:paraId="5E71B755" w14:textId="771EC5F8" w:rsidR="00475752" w:rsidRPr="00392E88" w:rsidRDefault="00475752" w:rsidP="00475752">
      <w:pPr>
        <w:pStyle w:val="Text1"/>
      </w:pPr>
      <w:r w:rsidRPr="00392E88">
        <w:t>1.</w:t>
      </w:r>
      <w:r w:rsidRPr="00392E88">
        <w:tab/>
        <w:t>Właściwy organ rodzimego państwa członkowskiego może cofnąć zezwolenie udzielone IORP</w:t>
      </w:r>
      <w:r w:rsidR="006E6446" w:rsidRPr="00392E88">
        <w:t xml:space="preserve"> w</w:t>
      </w:r>
      <w:r w:rsidR="006E6446">
        <w:t> </w:t>
      </w:r>
      <w:r w:rsidR="006E6446" w:rsidRPr="00392E88">
        <w:t>nas</w:t>
      </w:r>
      <w:r w:rsidRPr="00392E88">
        <w:t>tępujących przypadkach:</w:t>
      </w:r>
    </w:p>
    <w:p w14:paraId="4B932F04" w14:textId="2BCFF7C2" w:rsidR="00653109" w:rsidRPr="00392E88" w:rsidRDefault="006E6446" w:rsidP="006E6446">
      <w:pPr>
        <w:pStyle w:val="Point1"/>
      </w:pPr>
      <w:r>
        <w:t>a)</w:t>
      </w:r>
      <w:r>
        <w:tab/>
      </w:r>
      <w:r w:rsidR="00A564F2" w:rsidRPr="00392E88">
        <w:t>IORP, której to dotyczy, nie skorzystała ze swojego zezwolenia</w:t>
      </w:r>
      <w:r w:rsidRPr="00392E88">
        <w:t xml:space="preserve"> w</w:t>
      </w:r>
      <w:r>
        <w:t> </w:t>
      </w:r>
      <w:r w:rsidRPr="00392E88">
        <w:t>cią</w:t>
      </w:r>
      <w:r w:rsidR="00A564F2" w:rsidRPr="00392E88">
        <w:t>gu 12 miesięcy, wyraźnie</w:t>
      </w:r>
      <w:r w:rsidRPr="00392E88">
        <w:t xml:space="preserve"> z</w:t>
      </w:r>
      <w:r>
        <w:t> </w:t>
      </w:r>
      <w:r w:rsidRPr="00392E88">
        <w:t>nie</w:t>
      </w:r>
      <w:r w:rsidR="00A564F2" w:rsidRPr="00392E88">
        <w:t>go rezygnuje lub zaprzestaje prowadzenia działalności na okres dłuższy niż sześć kolejnych miesięcy, chyba że dane państwo członkowskie przewidziało wygaśnięcie ważności zezwolenia</w:t>
      </w:r>
      <w:r w:rsidRPr="00392E88">
        <w:t xml:space="preserve"> w</w:t>
      </w:r>
      <w:r>
        <w:t> </w:t>
      </w:r>
      <w:r w:rsidRPr="00392E88">
        <w:t>tak</w:t>
      </w:r>
      <w:r w:rsidR="00A564F2" w:rsidRPr="00392E88">
        <w:t>ich przypadkach;</w:t>
      </w:r>
    </w:p>
    <w:p w14:paraId="687F7EF2" w14:textId="251897F1" w:rsidR="00C11336" w:rsidRPr="00392E88" w:rsidRDefault="006E6446" w:rsidP="006E6446">
      <w:pPr>
        <w:pStyle w:val="Point1"/>
      </w:pPr>
      <w:r>
        <w:t>b)</w:t>
      </w:r>
      <w:r>
        <w:tab/>
      </w:r>
      <w:r w:rsidR="00C11336" w:rsidRPr="00392E88">
        <w:t>IORP, której to dotyczy, przestała spełniać warunki udzielenia zezwolenia;</w:t>
      </w:r>
    </w:p>
    <w:p w14:paraId="7E360997" w14:textId="54A620ED" w:rsidR="00C11336" w:rsidRPr="00392E88" w:rsidRDefault="006E6446" w:rsidP="006E6446">
      <w:pPr>
        <w:pStyle w:val="Point1"/>
      </w:pPr>
      <w:r>
        <w:t>c)</w:t>
      </w:r>
      <w:r>
        <w:tab/>
      </w:r>
      <w:r w:rsidR="00C11336" w:rsidRPr="00392E88">
        <w:t>IORP, której to dotyczy,</w:t>
      </w:r>
      <w:r w:rsidRPr="00392E88">
        <w:t xml:space="preserve"> w</w:t>
      </w:r>
      <w:r>
        <w:t> </w:t>
      </w:r>
      <w:r w:rsidRPr="00392E88">
        <w:t>pow</w:t>
      </w:r>
      <w:r w:rsidR="00C11336" w:rsidRPr="00392E88">
        <w:t>ażnym stopniu nie wywiązuje się</w:t>
      </w:r>
      <w:r w:rsidRPr="00392E88">
        <w:t xml:space="preserve"> z</w:t>
      </w:r>
      <w:r>
        <w:t> </w:t>
      </w:r>
      <w:r w:rsidRPr="00392E88">
        <w:t>obo</w:t>
      </w:r>
      <w:r w:rsidR="00C11336" w:rsidRPr="00392E88">
        <w:t>wiązków wynikających</w:t>
      </w:r>
      <w:r w:rsidRPr="00392E88">
        <w:t xml:space="preserve"> z</w:t>
      </w:r>
      <w:r>
        <w:t> </w:t>
      </w:r>
      <w:r w:rsidRPr="00392E88">
        <w:t>prz</w:t>
      </w:r>
      <w:r w:rsidR="00C11336" w:rsidRPr="00392E88">
        <w:t>episów, którym podlega.</w:t>
      </w:r>
    </w:p>
    <w:p w14:paraId="7A1AD379" w14:textId="2F330D68" w:rsidR="004A2399" w:rsidRPr="00392E88" w:rsidRDefault="00121ED1" w:rsidP="00475752">
      <w:pPr>
        <w:pStyle w:val="Text1"/>
      </w:pPr>
      <w:r w:rsidRPr="00392E88">
        <w:t>2.</w:t>
      </w:r>
      <w:r w:rsidRPr="00392E88">
        <w:tab/>
        <w:t>W przypadku cofnięcia zezwolenia lub wygaśnięcia jego ważności właściwy organ rodzimego państwa członkowskiego powiadamia</w:t>
      </w:r>
      <w:r w:rsidR="006E6446" w:rsidRPr="00392E88">
        <w:t xml:space="preserve"> o</w:t>
      </w:r>
      <w:r w:rsidR="006E6446">
        <w:t> </w:t>
      </w:r>
      <w:r w:rsidR="006E6446" w:rsidRPr="00392E88">
        <w:t>tym</w:t>
      </w:r>
      <w:r w:rsidRPr="00392E88">
        <w:t xml:space="preserve"> właściwe organy pozostałych państw członkowskich, które wprowadzają właściwe środki, aby powstrzymać IORP od podejmowania nowej działalności na ich terytoriach.</w:t>
      </w:r>
    </w:p>
    <w:p w14:paraId="722FBF44" w14:textId="3B9AC122" w:rsidR="00C47D1E" w:rsidRPr="00392E88" w:rsidRDefault="008433B2" w:rsidP="00475752">
      <w:pPr>
        <w:pStyle w:val="Text1"/>
      </w:pPr>
      <w:r w:rsidRPr="00392E88">
        <w:t>Właściwy organ rodzimego państwa członkowskiego wraz ze wspomnianymi organami stosują wszelkie środki konieczne do zapewnienia ochrony interesów uczestników</w:t>
      </w:r>
      <w:r w:rsidR="006E6446" w:rsidRPr="00392E88">
        <w:t xml:space="preserve"> i</w:t>
      </w:r>
      <w:r w:rsidR="006E6446">
        <w:t> </w:t>
      </w:r>
      <w:r w:rsidR="006E6446" w:rsidRPr="00392E88">
        <w:t>ben</w:t>
      </w:r>
      <w:r w:rsidRPr="00392E88">
        <w:t>eficjentów,</w:t>
      </w:r>
      <w:r w:rsidR="006E6446" w:rsidRPr="00392E88">
        <w:t xml:space="preserve"> w</w:t>
      </w:r>
      <w:r w:rsidR="006E6446">
        <w:t> </w:t>
      </w:r>
      <w:r w:rsidR="006E6446" w:rsidRPr="00392E88">
        <w:t>szc</w:t>
      </w:r>
      <w:r w:rsidRPr="00392E88">
        <w:t>zególności ograniczają swobodne rozporządzanie aktywami IORP.</w:t>
      </w:r>
    </w:p>
    <w:p w14:paraId="2CC98CB7" w14:textId="7A5D8C4C" w:rsidR="00E50A4C" w:rsidRPr="00392E88" w:rsidRDefault="00E50A4C" w:rsidP="00475752">
      <w:pPr>
        <w:pStyle w:val="Text1"/>
      </w:pPr>
      <w:r w:rsidRPr="00392E88">
        <w:t>3.</w:t>
      </w:r>
      <w:r w:rsidRPr="00392E88">
        <w:tab/>
        <w:t>Każda decyzja</w:t>
      </w:r>
      <w:r w:rsidR="006E6446" w:rsidRPr="00392E88">
        <w:t xml:space="preserve"> w</w:t>
      </w:r>
      <w:r w:rsidR="006E6446">
        <w:t> </w:t>
      </w:r>
      <w:r w:rsidR="006E6446" w:rsidRPr="00392E88">
        <w:t>spr</w:t>
      </w:r>
      <w:r w:rsidRPr="00392E88">
        <w:t>awie cofnięcia zezwolenia zawiera szczegółowe uzasadnienie</w:t>
      </w:r>
      <w:r w:rsidR="006E6446" w:rsidRPr="00392E88">
        <w:t xml:space="preserve"> i</w:t>
      </w:r>
      <w:r w:rsidR="006E6446">
        <w:t> </w:t>
      </w:r>
      <w:r w:rsidR="006E6446" w:rsidRPr="00392E88">
        <w:t>jes</w:t>
      </w:r>
      <w:r w:rsidRPr="00392E88">
        <w:t>t przekazywana do wiadomości zainteresowanej IORP. EIOPA powiadamiany jest</w:t>
      </w:r>
      <w:r w:rsidR="006E6446" w:rsidRPr="00392E88">
        <w:t xml:space="preserve"> o</w:t>
      </w:r>
      <w:r w:rsidR="006E6446">
        <w:t> </w:t>
      </w:r>
      <w:r w:rsidR="006E6446" w:rsidRPr="00392E88">
        <w:t>każ</w:t>
      </w:r>
      <w:r w:rsidRPr="00392E88">
        <w:t>dym przypadku cofnięcia zezwolenia.”;</w:t>
      </w:r>
    </w:p>
    <w:p w14:paraId="4B280971" w14:textId="13DCA407" w:rsidR="00844381" w:rsidRPr="00392E88" w:rsidRDefault="006E6446" w:rsidP="006E6446">
      <w:pPr>
        <w:pStyle w:val="Point0"/>
      </w:pPr>
      <w:r>
        <w:t>55)</w:t>
      </w:r>
      <w:r>
        <w:tab/>
      </w:r>
      <w:r w:rsidR="00285F07" w:rsidRPr="00392E88">
        <w:t xml:space="preserve">w </w:t>
      </w:r>
      <w:r w:rsidR="00285F07" w:rsidRPr="006E6446">
        <w:t>art.</w:t>
      </w:r>
      <w:r w:rsidRPr="006E6446">
        <w:t> </w:t>
      </w:r>
      <w:r w:rsidR="00285F07" w:rsidRPr="006E6446">
        <w:t>5</w:t>
      </w:r>
      <w:r w:rsidR="00285F07" w:rsidRPr="00392E88">
        <w:t xml:space="preserve">0 wprowadza się następujące zmiany: </w:t>
      </w:r>
    </w:p>
    <w:p w14:paraId="59FF2065" w14:textId="71F78B0C" w:rsidR="00387EF3" w:rsidRPr="00392E88" w:rsidRDefault="006E6446" w:rsidP="006E6446">
      <w:pPr>
        <w:pStyle w:val="Point1"/>
      </w:pPr>
      <w:r>
        <w:t>a)</w:t>
      </w:r>
      <w:r>
        <w:tab/>
      </w:r>
      <w:r w:rsidR="00387EF3" w:rsidRPr="00392E88">
        <w:t>po tytule dodaje się akapity</w:t>
      </w:r>
      <w:r w:rsidRPr="00392E88">
        <w:t xml:space="preserve"> w</w:t>
      </w:r>
      <w:r>
        <w:t> </w:t>
      </w:r>
      <w:r w:rsidRPr="00392E88">
        <w:t>brz</w:t>
      </w:r>
      <w:r w:rsidR="00387EF3" w:rsidRPr="00392E88">
        <w:t>mieniu:</w:t>
      </w:r>
    </w:p>
    <w:p w14:paraId="2B8AB58F" w14:textId="22776954" w:rsidR="00546EE9" w:rsidRPr="00392E88" w:rsidRDefault="00387EF3" w:rsidP="00387EF3">
      <w:pPr>
        <w:pStyle w:val="Text1"/>
      </w:pPr>
      <w:r w:rsidRPr="00392E88">
        <w:t>„Państwa członkowskie wymagają, aby IORP przekazywały właściwym organom informacje ilościowe</w:t>
      </w:r>
      <w:r w:rsidR="006E6446" w:rsidRPr="00392E88">
        <w:t xml:space="preserve"> i</w:t>
      </w:r>
      <w:r w:rsidR="006E6446">
        <w:t> </w:t>
      </w:r>
      <w:r w:rsidR="006E6446" w:rsidRPr="00392E88">
        <w:t>jak</w:t>
      </w:r>
      <w:r w:rsidRPr="00392E88">
        <w:t>ościowe niezbędne do celów nadzoru,</w:t>
      </w:r>
      <w:r w:rsidR="006E6446" w:rsidRPr="00392E88">
        <w:t xml:space="preserve"> z</w:t>
      </w:r>
      <w:r w:rsidR="006E6446">
        <w:t> </w:t>
      </w:r>
      <w:r w:rsidR="006E6446" w:rsidRPr="00392E88">
        <w:t>uwz</w:t>
      </w:r>
      <w:r w:rsidRPr="00392E88">
        <w:t>ględnieniem celów nadzoru określonych</w:t>
      </w:r>
      <w:r w:rsidR="006E6446" w:rsidRPr="00392E88">
        <w:t xml:space="preserve"> w</w:t>
      </w:r>
      <w:r w:rsidR="006E6446">
        <w:t> </w:t>
      </w:r>
      <w:r w:rsidR="006E6446" w:rsidRPr="006E6446">
        <w:t>art</w:t>
      </w:r>
      <w:r w:rsidRPr="006E6446">
        <w:t>.</w:t>
      </w:r>
      <w:r w:rsidR="006E6446" w:rsidRPr="006E6446">
        <w:t> </w:t>
      </w:r>
      <w:r w:rsidRPr="006E6446">
        <w:t>4</w:t>
      </w:r>
      <w:r w:rsidRPr="00392E88">
        <w:t>5, zakresu nadzoru określonego</w:t>
      </w:r>
      <w:r w:rsidR="006E6446" w:rsidRPr="00392E88">
        <w:t xml:space="preserve"> w</w:t>
      </w:r>
      <w:r w:rsidR="006E6446">
        <w:t> </w:t>
      </w:r>
      <w:r w:rsidR="006E6446" w:rsidRPr="006E6446">
        <w:t>art</w:t>
      </w:r>
      <w:r w:rsidRPr="006E6446">
        <w:t>.</w:t>
      </w:r>
      <w:r w:rsidR="006E6446" w:rsidRPr="006E6446">
        <w:t> </w:t>
      </w:r>
      <w:r w:rsidRPr="006E6446">
        <w:t>4</w:t>
      </w:r>
      <w:r w:rsidRPr="00392E88">
        <w:t>6 oraz ogólnych zasad nadzoru określonych</w:t>
      </w:r>
      <w:r w:rsidR="006E6446" w:rsidRPr="00392E88">
        <w:t xml:space="preserve"> w</w:t>
      </w:r>
      <w:r w:rsidR="006E6446">
        <w:t> </w:t>
      </w:r>
      <w:r w:rsidR="006E6446" w:rsidRPr="006E6446">
        <w:t>art</w:t>
      </w:r>
      <w:r w:rsidRPr="006E6446">
        <w:t>.</w:t>
      </w:r>
      <w:r w:rsidR="006E6446" w:rsidRPr="006E6446">
        <w:t> </w:t>
      </w:r>
      <w:r w:rsidRPr="006E6446">
        <w:t>4</w:t>
      </w:r>
      <w:r w:rsidRPr="00392E88">
        <w:t>7,</w:t>
      </w:r>
      <w:r w:rsidR="006E6446" w:rsidRPr="00392E88">
        <w:t xml:space="preserve"> w</w:t>
      </w:r>
      <w:r w:rsidR="006E6446">
        <w:t> </w:t>
      </w:r>
      <w:r w:rsidR="006E6446" w:rsidRPr="00392E88">
        <w:t>szc</w:t>
      </w:r>
      <w:r w:rsidRPr="00392E88">
        <w:t xml:space="preserve">zególności zasady proporcjonalności. </w:t>
      </w:r>
    </w:p>
    <w:p w14:paraId="0363F3E3" w14:textId="77777777" w:rsidR="00A70058" w:rsidRPr="00392E88" w:rsidRDefault="00AF69AC" w:rsidP="00C9746B">
      <w:pPr>
        <w:pStyle w:val="Text1"/>
      </w:pPr>
      <w:r w:rsidRPr="00392E88">
        <w:t>Państwa członkowskie dbają o to, aby właściwe organy były uprawnione do:</w:t>
      </w:r>
    </w:p>
    <w:p w14:paraId="2C900323" w14:textId="186F5B97" w:rsidR="000F4062" w:rsidRPr="00392E88" w:rsidRDefault="00566F3E" w:rsidP="005D0C3B">
      <w:pPr>
        <w:pStyle w:val="Point1"/>
      </w:pPr>
      <w:r w:rsidRPr="00392E88">
        <w:t xml:space="preserve">a) </w:t>
      </w:r>
      <w:r w:rsidRPr="00392E88">
        <w:tab/>
        <w:t>określania charakteru, zakresu</w:t>
      </w:r>
      <w:r w:rsidR="006E6446" w:rsidRPr="00392E88">
        <w:t xml:space="preserve"> i</w:t>
      </w:r>
      <w:r w:rsidR="006E6446">
        <w:t> </w:t>
      </w:r>
      <w:r w:rsidR="006E6446" w:rsidRPr="00392E88">
        <w:t>for</w:t>
      </w:r>
      <w:r w:rsidRPr="00392E88">
        <w:t>matu informacji,</w:t>
      </w:r>
      <w:r w:rsidR="006E6446" w:rsidRPr="00392E88">
        <w:t xml:space="preserve"> o</w:t>
      </w:r>
      <w:r w:rsidR="006E6446">
        <w:t> </w:t>
      </w:r>
      <w:r w:rsidR="006E6446" w:rsidRPr="00392E88">
        <w:t>któ</w:t>
      </w:r>
      <w:r w:rsidRPr="00392E88">
        <w:t>rych mowa</w:t>
      </w:r>
      <w:r w:rsidR="006E6446" w:rsidRPr="00392E88">
        <w:t xml:space="preserve"> w</w:t>
      </w:r>
      <w:r w:rsidR="006E6446">
        <w:t> </w:t>
      </w:r>
      <w:r w:rsidR="006E6446" w:rsidRPr="00392E88">
        <w:t>aka</w:t>
      </w:r>
      <w:r w:rsidRPr="00392E88">
        <w:t>picie pierwszym</w:t>
      </w:r>
      <w:r w:rsidR="006E6446" w:rsidRPr="00392E88">
        <w:t xml:space="preserve"> i</w:t>
      </w:r>
      <w:r w:rsidR="006E6446">
        <w:t> </w:t>
      </w:r>
      <w:r w:rsidR="006E6446" w:rsidRPr="00392E88">
        <w:t>któ</w:t>
      </w:r>
      <w:r w:rsidRPr="00392E88">
        <w:t xml:space="preserve">rych przekazywania wymagają od IORP regularnie lub na zasadzie </w:t>
      </w:r>
      <w:r w:rsidRPr="00392E88">
        <w:rPr>
          <w:i/>
          <w:iCs/>
        </w:rPr>
        <w:t>ad hoc</w:t>
      </w:r>
      <w:r w:rsidRPr="00392E88">
        <w:t>;</w:t>
      </w:r>
    </w:p>
    <w:p w14:paraId="2BD52DFB" w14:textId="1E28384D" w:rsidR="00AE7256" w:rsidRPr="00392E88" w:rsidRDefault="00E75873" w:rsidP="005D0C3B">
      <w:pPr>
        <w:pStyle w:val="Point1"/>
      </w:pPr>
      <w:r w:rsidRPr="00392E88">
        <w:t xml:space="preserve">b) </w:t>
      </w:r>
      <w:r w:rsidRPr="00392E88">
        <w:tab/>
        <w:t>uzyskania wszelkich informacji dotyczących umów zawartych</w:t>
      </w:r>
      <w:r w:rsidR="006E6446" w:rsidRPr="00392E88">
        <w:t xml:space="preserve"> z</w:t>
      </w:r>
      <w:r w:rsidR="006E6446">
        <w:t> </w:t>
      </w:r>
      <w:r w:rsidR="006E6446" w:rsidRPr="00392E88">
        <w:t>oso</w:t>
      </w:r>
      <w:r w:rsidRPr="00392E88">
        <w:t>bami trzecimi; oraz</w:t>
      </w:r>
    </w:p>
    <w:p w14:paraId="2C51CEFA" w14:textId="5CCFFE21" w:rsidR="00E75873" w:rsidRPr="00392E88" w:rsidRDefault="00E75873" w:rsidP="005D0C3B">
      <w:pPr>
        <w:pStyle w:val="Point1"/>
      </w:pPr>
      <w:r w:rsidRPr="00392E88">
        <w:t xml:space="preserve">c) </w:t>
      </w:r>
      <w:r w:rsidRPr="00392E88">
        <w:tab/>
        <w:t>żądania informacji od ekspertów zewnętrznych, takich jak biegli rewidenci</w:t>
      </w:r>
      <w:r w:rsidR="006E6446" w:rsidRPr="00392E88">
        <w:t xml:space="preserve"> i</w:t>
      </w:r>
      <w:r w:rsidR="006E6446">
        <w:t> </w:t>
      </w:r>
      <w:r w:rsidR="006E6446" w:rsidRPr="00392E88">
        <w:t>akt</w:t>
      </w:r>
      <w:r w:rsidRPr="00392E88">
        <w:t>uariusze.”;</w:t>
      </w:r>
    </w:p>
    <w:p w14:paraId="597E09A9" w14:textId="496D2417" w:rsidR="00F70300" w:rsidRPr="00392E88" w:rsidRDefault="006E6446" w:rsidP="006E6446">
      <w:pPr>
        <w:pStyle w:val="Point1"/>
      </w:pPr>
      <w:r>
        <w:t>b)</w:t>
      </w:r>
      <w:r>
        <w:tab/>
      </w:r>
      <w:r w:rsidR="00D45554" w:rsidRPr="00392E88">
        <w:t>w akapicie trzecim wprowadza się następujące zmiany:</w:t>
      </w:r>
    </w:p>
    <w:p w14:paraId="5345851D" w14:textId="0B7E0829" w:rsidR="00675DFB" w:rsidRPr="00392E88" w:rsidRDefault="00675DFB" w:rsidP="00BC3DF1">
      <w:pPr>
        <w:pStyle w:val="Point2"/>
      </w:pPr>
      <w:r w:rsidRPr="00392E88">
        <w:t>(i)</w:t>
      </w:r>
      <w:r w:rsidRPr="00392E88">
        <w:tab/>
        <w:t>w lit. d) dodaje się punkt</w:t>
      </w:r>
      <w:r w:rsidR="006E6446" w:rsidRPr="00392E88">
        <w:t xml:space="preserve"> w</w:t>
      </w:r>
      <w:r w:rsidR="006E6446">
        <w:t> </w:t>
      </w:r>
      <w:r w:rsidR="006E6446" w:rsidRPr="00392E88">
        <w:t>brz</w:t>
      </w:r>
      <w:r w:rsidRPr="00392E88">
        <w:t>mieniu:</w:t>
      </w:r>
    </w:p>
    <w:p w14:paraId="2D1098E1" w14:textId="6B732FD8" w:rsidR="00166871" w:rsidRPr="00392E88" w:rsidRDefault="00B9000B" w:rsidP="005D0C3B">
      <w:pPr>
        <w:pStyle w:val="Point1"/>
      </w:pPr>
      <w:r w:rsidRPr="00392E88">
        <w:t xml:space="preserve">„(vii) </w:t>
      </w:r>
      <w:r w:rsidRPr="00392E88">
        <w:tab/>
        <w:t>biznesplany,</w:t>
      </w:r>
      <w:r w:rsidR="006E6446" w:rsidRPr="00392E88">
        <w:t xml:space="preserve"> o</w:t>
      </w:r>
      <w:r w:rsidR="006E6446">
        <w:t> </w:t>
      </w:r>
      <w:r w:rsidR="006E6446" w:rsidRPr="00392E88">
        <w:t>któ</w:t>
      </w:r>
      <w:r w:rsidRPr="00392E88">
        <w:t>rych mowa</w:t>
      </w:r>
      <w:r w:rsidR="006E6446" w:rsidRPr="00392E88">
        <w:t xml:space="preserve"> w</w:t>
      </w:r>
      <w:r w:rsidR="006E6446">
        <w:t> </w:t>
      </w:r>
      <w:r w:rsidR="006E6446" w:rsidRPr="006E6446">
        <w:t>art</w:t>
      </w:r>
      <w:r w:rsidRPr="006E6446">
        <w:t>.</w:t>
      </w:r>
      <w:r w:rsidR="006E6446" w:rsidRPr="006E6446">
        <w:t> </w:t>
      </w:r>
      <w:r w:rsidRPr="006E6446">
        <w:t>9</w:t>
      </w:r>
      <w:r w:rsidRPr="00392E88">
        <w:t>;”;</w:t>
      </w:r>
    </w:p>
    <w:p w14:paraId="70C5C66D" w14:textId="4001FF35" w:rsidR="002329E7" w:rsidRPr="00392E88" w:rsidRDefault="002329E7" w:rsidP="002329E7">
      <w:pPr>
        <w:pStyle w:val="Point2"/>
      </w:pPr>
      <w:r w:rsidRPr="00392E88">
        <w:t>(ii)</w:t>
      </w:r>
      <w:r w:rsidRPr="00392E88">
        <w:tab/>
        <w:t xml:space="preserve">dodaje się </w:t>
      </w:r>
      <w:r w:rsidRPr="006E6446">
        <w:t>lit.</w:t>
      </w:r>
      <w:r w:rsidR="006E6446" w:rsidRPr="006E6446">
        <w:t> </w:t>
      </w:r>
      <w:r w:rsidRPr="006E6446">
        <w:t>g)</w:t>
      </w:r>
      <w:r w:rsidR="006E6446" w:rsidRPr="00392E88">
        <w:t xml:space="preserve"> w</w:t>
      </w:r>
      <w:r w:rsidR="006E6446">
        <w:t> </w:t>
      </w:r>
      <w:r w:rsidR="006E6446" w:rsidRPr="00392E88">
        <w:t>brz</w:t>
      </w:r>
      <w:r w:rsidRPr="00392E88">
        <w:t>mieniu:</w:t>
      </w:r>
    </w:p>
    <w:p w14:paraId="6E5A49DE" w14:textId="1269E086" w:rsidR="00F8535C" w:rsidRPr="00392E88" w:rsidRDefault="002329E7" w:rsidP="00346105">
      <w:pPr>
        <w:pStyle w:val="Point1"/>
      </w:pPr>
      <w:r w:rsidRPr="00392E88">
        <w:t xml:space="preserve">„g) </w:t>
      </w:r>
      <w:r w:rsidRPr="00392E88">
        <w:tab/>
        <w:t>żądania od IORP regularnego przedkładania formularzy sprawozdawczych zawierających dane ilościowe, służące do uszczegółowienia</w:t>
      </w:r>
      <w:r w:rsidR="006E6446" w:rsidRPr="00392E88">
        <w:t xml:space="preserve"> i</w:t>
      </w:r>
      <w:r w:rsidR="006E6446">
        <w:t> </w:t>
      </w:r>
      <w:r w:rsidR="006E6446" w:rsidRPr="00392E88">
        <w:t>uzu</w:t>
      </w:r>
      <w:r w:rsidRPr="00392E88">
        <w:t>pełnienia informacji zawartych</w:t>
      </w:r>
      <w:r w:rsidR="006E6446" w:rsidRPr="00392E88">
        <w:t xml:space="preserve"> w</w:t>
      </w:r>
      <w:r w:rsidR="006E6446">
        <w:t> </w:t>
      </w:r>
      <w:r w:rsidR="006E6446" w:rsidRPr="00392E88">
        <w:t>spr</w:t>
      </w:r>
      <w:r w:rsidRPr="00392E88">
        <w:t>awozdaniach,</w:t>
      </w:r>
      <w:r w:rsidR="006E6446" w:rsidRPr="00392E88">
        <w:t xml:space="preserve"> o</w:t>
      </w:r>
      <w:r w:rsidR="006E6446">
        <w:t> </w:t>
      </w:r>
      <w:r w:rsidR="006E6446" w:rsidRPr="00392E88">
        <w:t>któ</w:t>
      </w:r>
      <w:r w:rsidRPr="00392E88">
        <w:t>rych mowa</w:t>
      </w:r>
      <w:r w:rsidR="006E6446" w:rsidRPr="00392E88">
        <w:t xml:space="preserve"> w</w:t>
      </w:r>
      <w:r w:rsidR="006E6446">
        <w:t> </w:t>
      </w:r>
      <w:r w:rsidR="006E6446" w:rsidRPr="006E6446">
        <w:t>lit</w:t>
      </w:r>
      <w:r w:rsidRPr="006E6446">
        <w:t>.</w:t>
      </w:r>
      <w:r w:rsidR="006E6446" w:rsidRPr="006E6446">
        <w:t> </w:t>
      </w:r>
      <w:r w:rsidRPr="006E6446">
        <w:t>c)</w:t>
      </w:r>
      <w:r w:rsidRPr="00392E88">
        <w:t xml:space="preserve"> i d),</w:t>
      </w:r>
      <w:r w:rsidR="006E6446" w:rsidRPr="00392E88">
        <w:t xml:space="preserve"> w</w:t>
      </w:r>
      <w:r w:rsidR="006E6446">
        <w:t> </w:t>
      </w:r>
      <w:r w:rsidR="006E6446" w:rsidRPr="00392E88">
        <w:t>tym</w:t>
      </w:r>
      <w:r w:rsidRPr="00392E88">
        <w:t xml:space="preserve"> informacji wymaganych zgodnie</w:t>
      </w:r>
      <w:r w:rsidR="006E6446" w:rsidRPr="00392E88">
        <w:t xml:space="preserve"> z</w:t>
      </w:r>
      <w:r w:rsidR="006E6446">
        <w:t> </w:t>
      </w:r>
      <w:r w:rsidR="006E6446" w:rsidRPr="006E6446">
        <w:t>art</w:t>
      </w:r>
      <w:r w:rsidRPr="006E6446">
        <w:t>.</w:t>
      </w:r>
      <w:r w:rsidR="006E6446" w:rsidRPr="006E6446">
        <w:t> </w:t>
      </w:r>
      <w:r w:rsidRPr="006E6446">
        <w:t>3</w:t>
      </w:r>
      <w:r w:rsidRPr="00392E88">
        <w:t xml:space="preserve">5 rozporządzenia (UE) </w:t>
      </w:r>
      <w:r w:rsidRPr="006E6446">
        <w:t>nr</w:t>
      </w:r>
      <w:r w:rsidR="006E6446" w:rsidRPr="006E6446">
        <w:t> </w:t>
      </w:r>
      <w:r w:rsidRPr="006E6446">
        <w:t>1</w:t>
      </w:r>
      <w:r w:rsidRPr="00392E88">
        <w:t>094/2010, niezbędnych do wykonywania obowiązków powierzonych EIOPA na mocy tego rozporządzenia i na mocy niniejszej dyrektywy.”;</w:t>
      </w:r>
    </w:p>
    <w:p w14:paraId="18D0B6AC" w14:textId="3C5A981A" w:rsidR="00711125" w:rsidRPr="00392E88" w:rsidRDefault="00711125" w:rsidP="00F8535C">
      <w:pPr>
        <w:pStyle w:val="Point2"/>
      </w:pPr>
      <w:r w:rsidRPr="00392E88">
        <w:t>(iii)</w:t>
      </w:r>
      <w:r w:rsidRPr="00392E88">
        <w:tab/>
        <w:t>dodaje się akapity</w:t>
      </w:r>
      <w:r w:rsidR="006E6446" w:rsidRPr="00392E88">
        <w:t xml:space="preserve"> w</w:t>
      </w:r>
      <w:r w:rsidR="006E6446">
        <w:t> </w:t>
      </w:r>
      <w:r w:rsidR="006E6446" w:rsidRPr="00392E88">
        <w:t>brz</w:t>
      </w:r>
      <w:r w:rsidRPr="00392E88">
        <w:t>mieniu:</w:t>
      </w:r>
    </w:p>
    <w:p w14:paraId="19FCA30D" w14:textId="33E0F80E" w:rsidR="002624DF" w:rsidRPr="00392E88" w:rsidRDefault="00711125" w:rsidP="00944F90">
      <w:pPr>
        <w:pStyle w:val="Text1"/>
      </w:pPr>
      <w:r w:rsidRPr="00392E88">
        <w:t>„Państwa członkowskie zapewniają, aby IORP co roku przekazywały właściwym organom informacje na temat zwrotów</w:t>
      </w:r>
      <w:r w:rsidR="006E6446" w:rsidRPr="00392E88">
        <w:t xml:space="preserve"> z</w:t>
      </w:r>
      <w:r w:rsidR="006E6446">
        <w:t> </w:t>
      </w:r>
      <w:r w:rsidR="006E6446" w:rsidRPr="00392E88">
        <w:t>inw</w:t>
      </w:r>
      <w:r w:rsidRPr="00392E88">
        <w:t>estycji, po odliczeniu kosztów inwestycji, oraz wszystkich kosztów</w:t>
      </w:r>
      <w:r w:rsidR="006E6446" w:rsidRPr="00392E88">
        <w:t xml:space="preserve"> i</w:t>
      </w:r>
      <w:r w:rsidR="006E6446">
        <w:t> </w:t>
      </w:r>
      <w:r w:rsidR="006E6446" w:rsidRPr="00392E88">
        <w:t>opł</w:t>
      </w:r>
      <w:r w:rsidRPr="00392E88">
        <w:t>at poniesionych</w:t>
      </w:r>
      <w:r w:rsidR="006E6446" w:rsidRPr="00392E88">
        <w:t xml:space="preserve"> w</w:t>
      </w:r>
      <w:r w:rsidR="006E6446">
        <w:t> </w:t>
      </w:r>
      <w:r w:rsidR="006E6446" w:rsidRPr="00392E88">
        <w:t>zwi</w:t>
      </w:r>
      <w:r w:rsidRPr="00392E88">
        <w:t>ązku</w:t>
      </w:r>
      <w:r w:rsidR="006E6446" w:rsidRPr="00392E88">
        <w:t xml:space="preserve"> z</w:t>
      </w:r>
      <w:r w:rsidR="006E6446">
        <w:t> </w:t>
      </w:r>
      <w:r w:rsidR="006E6446" w:rsidRPr="00392E88">
        <w:t>ich</w:t>
      </w:r>
      <w:r w:rsidRPr="00392E88">
        <w:t xml:space="preserve"> działalnością.</w:t>
      </w:r>
    </w:p>
    <w:p w14:paraId="0C07F6E7" w14:textId="09683846" w:rsidR="00013EEA" w:rsidRPr="00392E88" w:rsidRDefault="00013EEA" w:rsidP="00944F90">
      <w:pPr>
        <w:pStyle w:val="Text1"/>
      </w:pPr>
      <w:r w:rsidRPr="00392E88">
        <w:t>Państwa członkowskie zapewniają, aby właściwe organy wymagały od IORP stosowania metody opartej na ocenie ze względu na pierwotne ryzyko, zapewniającej uwzględnienie wszystkich kosztów</w:t>
      </w:r>
      <w:r w:rsidR="006E6446" w:rsidRPr="00392E88">
        <w:t xml:space="preserve"> i</w:t>
      </w:r>
      <w:r w:rsidR="006E6446">
        <w:t> </w:t>
      </w:r>
      <w:r w:rsidR="006E6446" w:rsidRPr="00392E88">
        <w:t>opł</w:t>
      </w:r>
      <w:r w:rsidRPr="00392E88">
        <w:t>at ponoszonych na poziomie funduszy inwestycyjnych, podmiotów zarządzających aktywami</w:t>
      </w:r>
      <w:r w:rsidR="006E6446" w:rsidRPr="00392E88">
        <w:t xml:space="preserve"> i</w:t>
      </w:r>
      <w:r w:rsidR="006E6446">
        <w:t> </w:t>
      </w:r>
      <w:r w:rsidR="006E6446" w:rsidRPr="00392E88">
        <w:t>tra</w:t>
      </w:r>
      <w:r w:rsidRPr="00392E88">
        <w:t>nsakcji oraz stosowanie zasady niestosowania kompensat.</w:t>
      </w:r>
    </w:p>
    <w:p w14:paraId="2897B2D8" w14:textId="0EE64680" w:rsidR="0011387B" w:rsidRPr="00392E88" w:rsidRDefault="0011387B" w:rsidP="00944F90">
      <w:pPr>
        <w:pStyle w:val="Text1"/>
      </w:pPr>
      <w:r w:rsidRPr="00392E88">
        <w:t>W celu zapewnienia jednolitych warunków stosowania niniejszego artykułu EIOPA opracowuje projekty wykonawczych standardów technicznych dotyczących procedur, formatów</w:t>
      </w:r>
      <w:r w:rsidR="006E6446" w:rsidRPr="00392E88">
        <w:t xml:space="preserve"> i</w:t>
      </w:r>
      <w:r w:rsidR="006E6446">
        <w:t> </w:t>
      </w:r>
      <w:r w:rsidR="006E6446" w:rsidRPr="00392E88">
        <w:t>wzo</w:t>
      </w:r>
      <w:r w:rsidRPr="00392E88">
        <w:t>rów,</w:t>
      </w:r>
      <w:r w:rsidR="006E6446" w:rsidRPr="00392E88">
        <w:t xml:space="preserve"> w</w:t>
      </w:r>
      <w:r w:rsidR="006E6446">
        <w:t> </w:t>
      </w:r>
      <w:r w:rsidR="006E6446" w:rsidRPr="00392E88">
        <w:t>któ</w:t>
      </w:r>
      <w:r w:rsidRPr="00392E88">
        <w:t>rych,</w:t>
      </w:r>
      <w:r w:rsidR="006E6446" w:rsidRPr="00392E88">
        <w:t xml:space="preserve"> w</w:t>
      </w:r>
      <w:r w:rsidR="006E6446">
        <w:t> </w:t>
      </w:r>
      <w:r w:rsidR="006E6446" w:rsidRPr="00392E88">
        <w:t>sto</w:t>
      </w:r>
      <w:r w:rsidRPr="00392E88">
        <w:t>sownych przypadkach, rozróżnia się emerytury zakładowe</w:t>
      </w:r>
      <w:r w:rsidR="006E6446" w:rsidRPr="00392E88">
        <w:t xml:space="preserve"> i</w:t>
      </w:r>
      <w:r w:rsidR="006E6446">
        <w:t> </w:t>
      </w:r>
      <w:r w:rsidR="006E6446" w:rsidRPr="00392E88">
        <w:t>ind</w:t>
      </w:r>
      <w:r w:rsidRPr="00392E88">
        <w:t>ywidualne.</w:t>
      </w:r>
    </w:p>
    <w:p w14:paraId="5EB4C16A" w14:textId="41A3F8F9" w:rsidR="00304084" w:rsidRPr="00392E88" w:rsidRDefault="00CE45F3" w:rsidP="00944F90">
      <w:pPr>
        <w:pStyle w:val="Text1"/>
      </w:pPr>
      <w:r w:rsidRPr="00392E88">
        <w:t>Komisja jest uprawniona do przyjęcia wykonawczych standardów technicznych,</w:t>
      </w:r>
      <w:r w:rsidR="006E6446" w:rsidRPr="00392E88">
        <w:t xml:space="preserve"> o</w:t>
      </w:r>
      <w:r w:rsidR="006E6446">
        <w:t> </w:t>
      </w:r>
      <w:r w:rsidR="006E6446" w:rsidRPr="00392E88">
        <w:t>któ</w:t>
      </w:r>
      <w:r w:rsidRPr="00392E88">
        <w:t>rych mowa</w:t>
      </w:r>
      <w:r w:rsidR="006E6446" w:rsidRPr="00392E88">
        <w:t xml:space="preserve"> w</w:t>
      </w:r>
      <w:r w:rsidR="006E6446">
        <w:t> </w:t>
      </w:r>
      <w:r w:rsidR="006E6446" w:rsidRPr="00392E88">
        <w:t>aka</w:t>
      </w:r>
      <w:r w:rsidRPr="00392E88">
        <w:t>picie czwartym, zgodnie</w:t>
      </w:r>
      <w:r w:rsidR="006E6446" w:rsidRPr="00392E88">
        <w:t xml:space="preserve"> z</w:t>
      </w:r>
      <w:r w:rsidR="006E6446">
        <w:t> </w:t>
      </w:r>
      <w:r w:rsidR="006E6446" w:rsidRPr="006E6446">
        <w:t>art</w:t>
      </w:r>
      <w:r w:rsidRPr="006E6446">
        <w:t>.</w:t>
      </w:r>
      <w:r w:rsidR="006E6446" w:rsidRPr="006E6446">
        <w:t> </w:t>
      </w:r>
      <w:r w:rsidRPr="006E6446">
        <w:t>1</w:t>
      </w:r>
      <w:r w:rsidRPr="00392E88">
        <w:t xml:space="preserve">5 rozporządzenia (UE) </w:t>
      </w:r>
      <w:r w:rsidRPr="006E6446">
        <w:t>nr</w:t>
      </w:r>
      <w:r w:rsidR="006E6446" w:rsidRPr="006E6446">
        <w:t> </w:t>
      </w:r>
      <w:r w:rsidRPr="006E6446">
        <w:t>1</w:t>
      </w:r>
      <w:r w:rsidRPr="00392E88">
        <w:t>094/2010.”;</w:t>
      </w:r>
    </w:p>
    <w:p w14:paraId="576CDB25" w14:textId="35C645AC" w:rsidR="009149D5" w:rsidRPr="00392E88" w:rsidRDefault="006E6446" w:rsidP="006E6446">
      <w:pPr>
        <w:pStyle w:val="Point0"/>
      </w:pPr>
      <w:r>
        <w:t>56)</w:t>
      </w:r>
      <w:r>
        <w:tab/>
      </w:r>
      <w:r w:rsidR="1EE882D9" w:rsidRPr="00392E88">
        <w:t xml:space="preserve">dodaje się </w:t>
      </w:r>
      <w:r w:rsidR="1EE882D9" w:rsidRPr="006E6446">
        <w:t>art.</w:t>
      </w:r>
      <w:r w:rsidRPr="006E6446">
        <w:t> </w:t>
      </w:r>
      <w:r w:rsidR="1EE882D9" w:rsidRPr="006E6446">
        <w:t>5</w:t>
      </w:r>
      <w:r w:rsidR="1EE882D9" w:rsidRPr="00392E88">
        <w:t>0a</w:t>
      </w:r>
      <w:r w:rsidRPr="00392E88">
        <w:t xml:space="preserve"> w</w:t>
      </w:r>
      <w:r>
        <w:t> </w:t>
      </w:r>
      <w:r w:rsidRPr="00392E88">
        <w:t>brz</w:t>
      </w:r>
      <w:r w:rsidR="1EE882D9" w:rsidRPr="00392E88">
        <w:t>mieniu:</w:t>
      </w:r>
    </w:p>
    <w:p w14:paraId="061FF9E7" w14:textId="6A5D9CEA" w:rsidR="009149D5" w:rsidRPr="00392E88" w:rsidRDefault="009149D5" w:rsidP="00C9746B">
      <w:pPr>
        <w:pStyle w:val="Titrearticle"/>
      </w:pPr>
      <w:r w:rsidRPr="00392E88">
        <w:t xml:space="preserve">„Artykuł 50a </w:t>
      </w:r>
      <w:r w:rsidRPr="00392E88">
        <w:br/>
      </w:r>
      <w:r w:rsidRPr="00392E88">
        <w:rPr>
          <w:b/>
          <w:i w:val="0"/>
        </w:rPr>
        <w:t>Nadzór nad funkcjami</w:t>
      </w:r>
      <w:r w:rsidR="006E6446" w:rsidRPr="00392E88">
        <w:rPr>
          <w:b/>
          <w:i w:val="0"/>
        </w:rPr>
        <w:t xml:space="preserve"> i</w:t>
      </w:r>
      <w:r w:rsidR="006E6446">
        <w:rPr>
          <w:b/>
          <w:i w:val="0"/>
        </w:rPr>
        <w:t> </w:t>
      </w:r>
      <w:r w:rsidR="006E6446" w:rsidRPr="00392E88">
        <w:rPr>
          <w:b/>
          <w:i w:val="0"/>
        </w:rPr>
        <w:t>dzi</w:t>
      </w:r>
      <w:r w:rsidRPr="00392E88">
        <w:rPr>
          <w:b/>
          <w:i w:val="0"/>
        </w:rPr>
        <w:t>ałalnością zlecanymi</w:t>
      </w:r>
      <w:r w:rsidR="006E6446" w:rsidRPr="00392E88">
        <w:rPr>
          <w:b/>
          <w:i w:val="0"/>
        </w:rPr>
        <w:t xml:space="preserve"> w</w:t>
      </w:r>
      <w:r w:rsidR="006E6446">
        <w:rPr>
          <w:b/>
          <w:i w:val="0"/>
        </w:rPr>
        <w:t> </w:t>
      </w:r>
      <w:r w:rsidR="006E6446" w:rsidRPr="00392E88">
        <w:rPr>
          <w:b/>
          <w:i w:val="0"/>
        </w:rPr>
        <w:t>dro</w:t>
      </w:r>
      <w:r w:rsidRPr="00392E88">
        <w:rPr>
          <w:b/>
          <w:i w:val="0"/>
        </w:rPr>
        <w:t>dze outsourcingu</w:t>
      </w:r>
    </w:p>
    <w:p w14:paraId="13C2D622" w14:textId="77777777" w:rsidR="009149D5" w:rsidRPr="00392E88" w:rsidRDefault="009149D5" w:rsidP="00E07A5F">
      <w:pPr>
        <w:pStyle w:val="Text1"/>
      </w:pPr>
      <w:r w:rsidRPr="00392E88">
        <w:t>1.</w:t>
      </w:r>
      <w:r w:rsidRPr="00392E88">
        <w:tab/>
        <w:t>Państwa członkowskie zapewniają, aby IORP, które dokonują outsourcingu danej funkcji lub działalności, podejmowały działania niezbędne do zapewnienia spełnienia następujących warunków:</w:t>
      </w:r>
    </w:p>
    <w:p w14:paraId="349D8735" w14:textId="1FED33A1" w:rsidR="00436959" w:rsidRPr="00392E88" w:rsidRDefault="00436959" w:rsidP="005D0C3B">
      <w:pPr>
        <w:pStyle w:val="Point1"/>
      </w:pPr>
      <w:r w:rsidRPr="00392E88">
        <w:t xml:space="preserve">a) </w:t>
      </w:r>
      <w:r w:rsidRPr="00392E88">
        <w:tab/>
        <w:t>usługodawca współpracuje</w:t>
      </w:r>
      <w:r w:rsidR="006E6446" w:rsidRPr="00392E88">
        <w:t xml:space="preserve"> z</w:t>
      </w:r>
      <w:r w:rsidR="006E6446">
        <w:t> </w:t>
      </w:r>
      <w:r w:rsidR="006E6446" w:rsidRPr="00392E88">
        <w:t>org</w:t>
      </w:r>
      <w:r w:rsidRPr="00392E88">
        <w:t>anami sprawującymi nadzór nad IORP</w:t>
      </w:r>
      <w:r w:rsidR="006E6446" w:rsidRPr="00392E88">
        <w:t xml:space="preserve"> w</w:t>
      </w:r>
      <w:r w:rsidR="006E6446">
        <w:t> </w:t>
      </w:r>
      <w:r w:rsidR="006E6446" w:rsidRPr="00392E88">
        <w:t>cel</w:t>
      </w:r>
      <w:r w:rsidRPr="00392E88">
        <w:t>u zapewnienia nadzoru nad funkcją lub czynnością zleconą na zasadzie outsourcingu;</w:t>
      </w:r>
    </w:p>
    <w:p w14:paraId="1A58C037" w14:textId="1CB75CF9" w:rsidR="00BE299A" w:rsidRPr="00392E88" w:rsidRDefault="00BE299A" w:rsidP="005D0C3B">
      <w:pPr>
        <w:pStyle w:val="Point1"/>
      </w:pPr>
      <w:r w:rsidRPr="00392E88">
        <w:t xml:space="preserve">b) </w:t>
      </w:r>
      <w:r w:rsidRPr="00392E88">
        <w:tab/>
        <w:t>IORP, jej audytorzy</w:t>
      </w:r>
      <w:r w:rsidR="006E6446" w:rsidRPr="00392E88">
        <w:t xml:space="preserve"> i</w:t>
      </w:r>
      <w:r w:rsidR="006E6446">
        <w:t> </w:t>
      </w:r>
      <w:r w:rsidR="006E6446" w:rsidRPr="00392E88">
        <w:t>wła</w:t>
      </w:r>
      <w:r w:rsidRPr="00392E88">
        <w:t>ściwe organy mają rzeczywisty dostęp do danych dotyczących funkcji lub działalności zleconych na zasadzie outsourcingu,</w:t>
      </w:r>
      <w:r w:rsidR="006E6446" w:rsidRPr="00392E88">
        <w:t xml:space="preserve"> w</w:t>
      </w:r>
      <w:r w:rsidR="006E6446">
        <w:t> </w:t>
      </w:r>
      <w:r w:rsidR="006E6446" w:rsidRPr="00392E88">
        <w:t>tym</w:t>
      </w:r>
      <w:r w:rsidRPr="00392E88">
        <w:t xml:space="preserve"> prawo do zwracania się</w:t>
      </w:r>
      <w:r w:rsidR="006E6446" w:rsidRPr="00392E88">
        <w:t xml:space="preserve"> w</w:t>
      </w:r>
      <w:r w:rsidR="006E6446">
        <w:t> </w:t>
      </w:r>
      <w:r w:rsidR="006E6446" w:rsidRPr="00392E88">
        <w:t>dow</w:t>
      </w:r>
      <w:r w:rsidRPr="00392E88">
        <w:t>olnym momencie od IORP</w:t>
      </w:r>
      <w:r w:rsidR="006E6446" w:rsidRPr="00392E88">
        <w:t xml:space="preserve"> i</w:t>
      </w:r>
      <w:r w:rsidR="006E6446">
        <w:t> </w:t>
      </w:r>
      <w:r w:rsidR="006E6446" w:rsidRPr="00392E88">
        <w:t>usł</w:t>
      </w:r>
      <w:r w:rsidRPr="00392E88">
        <w:t>ugodawców</w:t>
      </w:r>
      <w:r w:rsidR="006E6446" w:rsidRPr="00392E88">
        <w:t xml:space="preserve"> o</w:t>
      </w:r>
      <w:r w:rsidR="006E6446">
        <w:t> </w:t>
      </w:r>
      <w:r w:rsidR="006E6446" w:rsidRPr="00392E88">
        <w:t>inf</w:t>
      </w:r>
      <w:r w:rsidRPr="00392E88">
        <w:t>ormacje</w:t>
      </w:r>
      <w:r w:rsidR="006E6446" w:rsidRPr="00392E88">
        <w:t xml:space="preserve"> o</w:t>
      </w:r>
      <w:r w:rsidR="006E6446">
        <w:t> </w:t>
      </w:r>
      <w:r w:rsidR="006E6446" w:rsidRPr="00392E88">
        <w:t>zle</w:t>
      </w:r>
      <w:r w:rsidRPr="00392E88">
        <w:t>conych</w:t>
      </w:r>
      <w:r w:rsidR="006E6446" w:rsidRPr="00392E88">
        <w:t xml:space="preserve"> w</w:t>
      </w:r>
      <w:r w:rsidR="006E6446">
        <w:t> </w:t>
      </w:r>
      <w:r w:rsidR="006E6446" w:rsidRPr="00392E88">
        <w:t>dro</w:t>
      </w:r>
      <w:r w:rsidRPr="00392E88">
        <w:t>dze outsourcingu kluczowych funkcjach lub wszelkiej innej działalności;</w:t>
      </w:r>
    </w:p>
    <w:p w14:paraId="59D2CE27" w14:textId="17234144" w:rsidR="00AC2212" w:rsidRPr="00392E88" w:rsidRDefault="00AC2212" w:rsidP="005D0C3B">
      <w:pPr>
        <w:pStyle w:val="Point1"/>
      </w:pPr>
      <w:r w:rsidRPr="00392E88">
        <w:t xml:space="preserve">c) </w:t>
      </w:r>
      <w:r w:rsidRPr="00392E88">
        <w:tab/>
        <w:t>właściwe organy mają rzeczywisty dostęp do lokali usługodawcy</w:t>
      </w:r>
      <w:r w:rsidR="006E6446" w:rsidRPr="00392E88">
        <w:t xml:space="preserve"> i</w:t>
      </w:r>
      <w:r w:rsidR="006E6446">
        <w:t> </w:t>
      </w:r>
      <w:r w:rsidR="006E6446" w:rsidRPr="00392E88">
        <w:t>mus</w:t>
      </w:r>
      <w:r w:rsidRPr="00392E88">
        <w:t>zą być</w:t>
      </w:r>
      <w:r w:rsidR="006E6446" w:rsidRPr="00392E88">
        <w:t xml:space="preserve"> w</w:t>
      </w:r>
      <w:r w:rsidR="006E6446">
        <w:t> </w:t>
      </w:r>
      <w:r w:rsidR="006E6446" w:rsidRPr="00392E88">
        <w:t>sta</w:t>
      </w:r>
      <w:r w:rsidRPr="00392E88">
        <w:t>nie egzekwować te prawa dostępu.</w:t>
      </w:r>
    </w:p>
    <w:p w14:paraId="073B95A6" w14:textId="7D0DD6A3" w:rsidR="00EA0D04" w:rsidRPr="00392E88" w:rsidRDefault="00EA0D04" w:rsidP="00E07A5F">
      <w:pPr>
        <w:pStyle w:val="Text1"/>
      </w:pPr>
      <w:r w:rsidRPr="00392E88">
        <w:t>2.</w:t>
      </w:r>
      <w:r w:rsidRPr="00392E88">
        <w:tab/>
        <w:t>Państwo członkowskie,</w:t>
      </w:r>
      <w:r w:rsidR="006E6446" w:rsidRPr="00392E88">
        <w:t xml:space="preserve"> w</w:t>
      </w:r>
      <w:r w:rsidR="006E6446">
        <w:t> </w:t>
      </w:r>
      <w:r w:rsidR="006E6446" w:rsidRPr="00392E88">
        <w:t>któ</w:t>
      </w:r>
      <w:r w:rsidRPr="00392E88">
        <w:t>rym znajduje się usługodawca, zezwala właściwym organom IORP na przeprowadzenie samodzielnie lub za pośrednictwem osób, które wyznaczają do tego celu, kontroli na miejscu</w:t>
      </w:r>
      <w:r w:rsidR="006E6446" w:rsidRPr="00392E88">
        <w:t xml:space="preserve"> w</w:t>
      </w:r>
      <w:r w:rsidR="006E6446">
        <w:t> </w:t>
      </w:r>
      <w:r w:rsidR="006E6446" w:rsidRPr="00392E88">
        <w:t>lok</w:t>
      </w:r>
      <w:r w:rsidRPr="00392E88">
        <w:t>alu dostawcy usług. Właściwe organy IORP informują odpowiedni organ państwa członkowskiego usługodawcy, zanim przeprowadzi kontrolę na miejscu</w:t>
      </w:r>
      <w:r w:rsidR="006E6446" w:rsidRPr="00392E88">
        <w:t>. W</w:t>
      </w:r>
      <w:r w:rsidR="006E6446">
        <w:t> </w:t>
      </w:r>
      <w:r w:rsidR="006E6446" w:rsidRPr="00392E88">
        <w:t>prz</w:t>
      </w:r>
      <w:r w:rsidRPr="00392E88">
        <w:t>ypadku podmiotów nienadzorowanych odpowiednim organem jest właściwy organ.</w:t>
      </w:r>
    </w:p>
    <w:p w14:paraId="13E8AEDD" w14:textId="7C0B6C94" w:rsidR="00EA0D04" w:rsidRPr="00392E88" w:rsidRDefault="00EA0D04" w:rsidP="00C533F9">
      <w:pPr>
        <w:pStyle w:val="Text1"/>
      </w:pPr>
      <w:r w:rsidRPr="00392E88">
        <w:t>Właściwe organy państwa członkowskiego IORP mogą powierzyć zadanie przeprowadzenia takich kontroli na miejscu właściwym organom państwa członkowskiego,</w:t>
      </w:r>
      <w:r w:rsidR="006E6446" w:rsidRPr="00392E88">
        <w:t xml:space="preserve"> w</w:t>
      </w:r>
      <w:r w:rsidR="006E6446">
        <w:t> </w:t>
      </w:r>
      <w:r w:rsidR="006E6446" w:rsidRPr="00392E88">
        <w:t>któ</w:t>
      </w:r>
      <w:r w:rsidRPr="00392E88">
        <w:t>rym znajduje się usługodawca.</w:t>
      </w:r>
    </w:p>
    <w:p w14:paraId="6089188B" w14:textId="52D2E447" w:rsidR="009453F6" w:rsidRPr="00392E88" w:rsidRDefault="009453F6" w:rsidP="00C533F9">
      <w:pPr>
        <w:pStyle w:val="Text1"/>
      </w:pPr>
      <w:r w:rsidRPr="00392E88">
        <w:t>3.</w:t>
      </w:r>
      <w:r w:rsidRPr="00392E88">
        <w:tab/>
        <w:t>W przypadku gdy właściwy organ powiadomił odpowiedni organ państwa członkowskiego usługodawcy</w:t>
      </w:r>
      <w:r w:rsidR="006E6446" w:rsidRPr="00392E88">
        <w:t xml:space="preserve"> o</w:t>
      </w:r>
      <w:r w:rsidR="006E6446">
        <w:t> </w:t>
      </w:r>
      <w:r w:rsidR="006E6446" w:rsidRPr="00392E88">
        <w:t>zam</w:t>
      </w:r>
      <w:r w:rsidRPr="00392E88">
        <w:t>iarze przeprowadzenia kontroli na miejscu zgodnie</w:t>
      </w:r>
      <w:r w:rsidR="006E6446" w:rsidRPr="00392E88">
        <w:t xml:space="preserve"> z</w:t>
      </w:r>
      <w:r w:rsidR="006E6446">
        <w:t> </w:t>
      </w:r>
      <w:r w:rsidR="006E6446" w:rsidRPr="00392E88">
        <w:t>nin</w:t>
      </w:r>
      <w:r w:rsidRPr="00392E88">
        <w:t>iejszym ustępem lub</w:t>
      </w:r>
      <w:r w:rsidR="006E6446" w:rsidRPr="00392E88">
        <w:t xml:space="preserve"> w</w:t>
      </w:r>
      <w:r w:rsidR="006E6446">
        <w:t> </w:t>
      </w:r>
      <w:r w:rsidR="006E6446" w:rsidRPr="00392E88">
        <w:t>prz</w:t>
      </w:r>
      <w:r w:rsidRPr="00392E88">
        <w:t>ypadku gdy ten organ przeprowadza kontrolę na miejscu zgodnie</w:t>
      </w:r>
      <w:r w:rsidR="006E6446" w:rsidRPr="00392E88">
        <w:t xml:space="preserve"> z</w:t>
      </w:r>
      <w:r w:rsidR="006E6446">
        <w:t> </w:t>
      </w:r>
      <w:r w:rsidR="006E6446" w:rsidRPr="00392E88">
        <w:t>aka</w:t>
      </w:r>
      <w:r w:rsidRPr="00392E88">
        <w:t>pitem pierwszym</w:t>
      </w:r>
      <w:r w:rsidR="006E6446" w:rsidRPr="00392E88">
        <w:t xml:space="preserve"> w</w:t>
      </w:r>
      <w:r w:rsidR="006E6446">
        <w:t> </w:t>
      </w:r>
      <w:r w:rsidR="006E6446" w:rsidRPr="00392E88">
        <w:t>syt</w:t>
      </w:r>
      <w:r w:rsidRPr="00392E88">
        <w:t>uacji, gdy tamten właściwy organ nie może</w:t>
      </w:r>
      <w:r w:rsidR="006E6446" w:rsidRPr="00392E88">
        <w:t xml:space="preserve"> w</w:t>
      </w:r>
      <w:r w:rsidR="006E6446">
        <w:t> </w:t>
      </w:r>
      <w:r w:rsidR="006E6446" w:rsidRPr="00392E88">
        <w:t>pra</w:t>
      </w:r>
      <w:r w:rsidRPr="00392E88">
        <w:t>ktyce wykonać przysługującego mu prawa do przeprowadzenia kontroli na miejscu, właściwy organ może skierować sprawę do EIOPA</w:t>
      </w:r>
      <w:r w:rsidR="006E6446" w:rsidRPr="00392E88">
        <w:t xml:space="preserve"> i</w:t>
      </w:r>
      <w:r w:rsidR="006E6446">
        <w:t> </w:t>
      </w:r>
      <w:r w:rsidR="006E6446" w:rsidRPr="00392E88">
        <w:t>zwr</w:t>
      </w:r>
      <w:r w:rsidRPr="00392E88">
        <w:t>ócić się</w:t>
      </w:r>
      <w:r w:rsidR="006E6446" w:rsidRPr="00392E88">
        <w:t xml:space="preserve"> o</w:t>
      </w:r>
      <w:r w:rsidR="006E6446">
        <w:t> </w:t>
      </w:r>
      <w:r w:rsidR="006E6446" w:rsidRPr="00392E88">
        <w:t>jeg</w:t>
      </w:r>
      <w:r w:rsidRPr="00392E88">
        <w:t>o pomoc zgodnie</w:t>
      </w:r>
      <w:r w:rsidR="006E6446" w:rsidRPr="00392E88">
        <w:t xml:space="preserve"> z</w:t>
      </w:r>
      <w:r w:rsidR="006E6446">
        <w:t> </w:t>
      </w:r>
      <w:r w:rsidR="006E6446" w:rsidRPr="006E6446">
        <w:t>art</w:t>
      </w:r>
      <w:r w:rsidRPr="006E6446">
        <w:t>.</w:t>
      </w:r>
      <w:r w:rsidR="006E6446" w:rsidRPr="006E6446">
        <w:t> </w:t>
      </w:r>
      <w:r w:rsidRPr="006E6446">
        <w:t>1</w:t>
      </w:r>
      <w:r w:rsidRPr="00392E88">
        <w:t xml:space="preserve">9 rozporządzenia (UE) </w:t>
      </w:r>
      <w:r w:rsidRPr="006E6446">
        <w:t>nr</w:t>
      </w:r>
      <w:r w:rsidR="006E6446" w:rsidRPr="006E6446">
        <w:t> </w:t>
      </w:r>
      <w:r w:rsidRPr="006E6446">
        <w:t>1</w:t>
      </w:r>
      <w:r w:rsidRPr="00392E88">
        <w:t>094/2010</w:t>
      </w:r>
      <w:r w:rsidR="006E6446" w:rsidRPr="00392E88">
        <w:t>. W</w:t>
      </w:r>
      <w:r w:rsidR="006E6446">
        <w:t> </w:t>
      </w:r>
      <w:r w:rsidR="006E6446" w:rsidRPr="00392E88">
        <w:t>tak</w:t>
      </w:r>
      <w:r w:rsidRPr="00392E88">
        <w:t>im przypadku EIOPA może podjąć działania zgodnie</w:t>
      </w:r>
      <w:r w:rsidR="006E6446" w:rsidRPr="00392E88">
        <w:t xml:space="preserve"> z</w:t>
      </w:r>
      <w:r w:rsidR="006E6446">
        <w:t> </w:t>
      </w:r>
      <w:r w:rsidR="006E6446" w:rsidRPr="00392E88">
        <w:t>upr</w:t>
      </w:r>
      <w:r w:rsidRPr="00392E88">
        <w:t>awnieniami przyznanymi mu na mocy tego artykułu.</w:t>
      </w:r>
    </w:p>
    <w:p w14:paraId="067F788C" w14:textId="2D01FF46" w:rsidR="006D53B3" w:rsidRPr="00392E88" w:rsidRDefault="006D53B3" w:rsidP="00C9746B">
      <w:pPr>
        <w:pStyle w:val="Text1"/>
      </w:pPr>
      <w:r w:rsidRPr="00392E88">
        <w:t>Zgodnie</w:t>
      </w:r>
      <w:r w:rsidR="006E6446" w:rsidRPr="00392E88">
        <w:t xml:space="preserve"> z</w:t>
      </w:r>
      <w:r w:rsidR="006E6446">
        <w:t> </w:t>
      </w:r>
      <w:r w:rsidR="006E6446" w:rsidRPr="00392E88">
        <w:t>art</w:t>
      </w:r>
      <w:r w:rsidRPr="00392E88">
        <w:t xml:space="preserve">. 21 rozporządzenia (UE) </w:t>
      </w:r>
      <w:r w:rsidRPr="006E6446">
        <w:t>nr</w:t>
      </w:r>
      <w:r w:rsidR="006E6446" w:rsidRPr="006E6446">
        <w:t> </w:t>
      </w:r>
      <w:r w:rsidRPr="006E6446">
        <w:t>1</w:t>
      </w:r>
      <w:r w:rsidRPr="00392E88">
        <w:t>094/2010 EIOPA jest uprawniony do uczestnictwa</w:t>
      </w:r>
      <w:r w:rsidR="006E6446" w:rsidRPr="00392E88">
        <w:t xml:space="preserve"> w</w:t>
      </w:r>
      <w:r w:rsidR="006E6446">
        <w:t> </w:t>
      </w:r>
      <w:r w:rsidR="006E6446" w:rsidRPr="00392E88">
        <w:t>kon</w:t>
      </w:r>
      <w:r w:rsidRPr="00392E88">
        <w:t>troli na miejscu przeprowadzanej wspólnie przez co najmniej dwa organy nadzoru.”;</w:t>
      </w:r>
    </w:p>
    <w:p w14:paraId="6340437C" w14:textId="6E8E0A79" w:rsidR="0059324B" w:rsidRPr="00392E88" w:rsidRDefault="006E6446" w:rsidP="006E6446">
      <w:pPr>
        <w:pStyle w:val="Point0"/>
      </w:pPr>
      <w:r>
        <w:t>57)</w:t>
      </w:r>
      <w:r>
        <w:tab/>
      </w:r>
      <w:r w:rsidR="005C5189" w:rsidRPr="00392E88">
        <w:t xml:space="preserve">w </w:t>
      </w:r>
      <w:r w:rsidR="005C5189" w:rsidRPr="006E6446">
        <w:t>art.</w:t>
      </w:r>
      <w:r w:rsidRPr="006E6446">
        <w:t> </w:t>
      </w:r>
      <w:r w:rsidR="005C5189" w:rsidRPr="006E6446">
        <w:t>5</w:t>
      </w:r>
      <w:r w:rsidR="005C5189" w:rsidRPr="00392E88">
        <w:t>1 wprowadza się następujące zmiany:</w:t>
      </w:r>
    </w:p>
    <w:p w14:paraId="3369E7D4" w14:textId="7F619874" w:rsidR="003B0996" w:rsidRPr="00392E88" w:rsidRDefault="006E6446" w:rsidP="006E6446">
      <w:pPr>
        <w:pStyle w:val="Point1"/>
      </w:pPr>
      <w:r>
        <w:t>a)</w:t>
      </w:r>
      <w:r>
        <w:tab/>
      </w:r>
      <w:r w:rsidR="0007081B" w:rsidRPr="00392E88">
        <w:t xml:space="preserve">w </w:t>
      </w:r>
      <w:r w:rsidR="0007081B" w:rsidRPr="006E6446">
        <w:t>ust.</w:t>
      </w:r>
      <w:r w:rsidRPr="006E6446">
        <w:t> </w:t>
      </w:r>
      <w:r w:rsidR="0007081B" w:rsidRPr="006E6446">
        <w:t>2</w:t>
      </w:r>
      <w:r w:rsidR="0007081B" w:rsidRPr="00392E88">
        <w:t xml:space="preserve"> wprowadza się następujące zmiany:</w:t>
      </w:r>
    </w:p>
    <w:p w14:paraId="00EF8C8E" w14:textId="2A4F3ABA" w:rsidR="004847D8" w:rsidRPr="00392E88" w:rsidRDefault="006E6446" w:rsidP="006E6446">
      <w:pPr>
        <w:pStyle w:val="Point2"/>
      </w:pPr>
      <w:r>
        <w:t>a)</w:t>
      </w:r>
      <w:r>
        <w:tab/>
      </w:r>
      <w:r w:rsidR="004847D8" w:rsidRPr="006E6446">
        <w:t>lit.</w:t>
      </w:r>
      <w:r w:rsidRPr="006E6446">
        <w:t> </w:t>
      </w:r>
      <w:r w:rsidR="004847D8" w:rsidRPr="006E6446">
        <w:t>a)</w:t>
      </w:r>
      <w:r w:rsidR="004847D8" w:rsidRPr="00392E88">
        <w:t xml:space="preserve"> i b) otrzymują brzmienie:</w:t>
      </w:r>
    </w:p>
    <w:p w14:paraId="00EFE394" w14:textId="4F2630C5" w:rsidR="00430D3D" w:rsidRPr="00392E88" w:rsidRDefault="004F233E" w:rsidP="00430D3D">
      <w:pPr>
        <w:pStyle w:val="Point2"/>
      </w:pPr>
      <w:r w:rsidRPr="00392E88">
        <w:t xml:space="preserve">„a) </w:t>
      </w:r>
      <w:r w:rsidRPr="00392E88">
        <w:tab/>
        <w:t>tekstów przepisów ustawowych, wykonawczych</w:t>
      </w:r>
      <w:r w:rsidR="006E6446" w:rsidRPr="00392E88">
        <w:t xml:space="preserve"> i</w:t>
      </w:r>
      <w:r w:rsidR="006E6446">
        <w:t> </w:t>
      </w:r>
      <w:r w:rsidR="006E6446" w:rsidRPr="00392E88">
        <w:t>adm</w:t>
      </w:r>
      <w:r w:rsidRPr="00392E88">
        <w:t>inistracyjnych oraz ogólnych wytycznych</w:t>
      </w:r>
      <w:r w:rsidR="006E6446" w:rsidRPr="00392E88">
        <w:t xml:space="preserve"> w</w:t>
      </w:r>
      <w:r w:rsidR="006E6446">
        <w:t> </w:t>
      </w:r>
      <w:r w:rsidR="006E6446" w:rsidRPr="00392E88">
        <w:t>zak</w:t>
      </w:r>
      <w:r w:rsidRPr="00392E88">
        <w:t>resie pracowniczych programów emerytalnych i,</w:t>
      </w:r>
      <w:r w:rsidR="006E6446" w:rsidRPr="00392E88">
        <w:t xml:space="preserve"> w</w:t>
      </w:r>
      <w:r w:rsidR="006E6446">
        <w:t> </w:t>
      </w:r>
      <w:r w:rsidR="006E6446" w:rsidRPr="00392E88">
        <w:t>sto</w:t>
      </w:r>
      <w:r w:rsidRPr="00392E88">
        <w:t>sownych przypadkach, indywidualnych produktów emerytalnych,</w:t>
      </w:r>
      <w:r w:rsidR="006E6446" w:rsidRPr="00392E88">
        <w:t xml:space="preserve"> a</w:t>
      </w:r>
      <w:r w:rsidR="006E6446">
        <w:t> </w:t>
      </w:r>
      <w:r w:rsidR="006E6446" w:rsidRPr="00392E88">
        <w:t>tak</w:t>
      </w:r>
      <w:r w:rsidRPr="00392E88">
        <w:t>że informacji</w:t>
      </w:r>
      <w:r w:rsidR="006E6446" w:rsidRPr="00392E88">
        <w:t xml:space="preserve"> o</w:t>
      </w:r>
      <w:r w:rsidR="006E6446">
        <w:t> </w:t>
      </w:r>
      <w:r w:rsidR="006E6446" w:rsidRPr="00392E88">
        <w:t>tym</w:t>
      </w:r>
      <w:r w:rsidRPr="00392E88">
        <w:t>, czy dane państwo członkowskie postanawia stosować niniejszą dyrektywę zgodnie</w:t>
      </w:r>
      <w:r w:rsidR="006E6446" w:rsidRPr="00392E88">
        <w:t xml:space="preserve"> z</w:t>
      </w:r>
      <w:r w:rsidR="006E6446">
        <w:t> </w:t>
      </w:r>
      <w:r w:rsidR="006E6446" w:rsidRPr="006E6446">
        <w:t>art</w:t>
      </w:r>
      <w:r w:rsidRPr="006E6446">
        <w:t>.</w:t>
      </w:r>
      <w:r w:rsidR="006E6446" w:rsidRPr="006E6446">
        <w:t> </w:t>
      </w:r>
      <w:r w:rsidRPr="006E6446">
        <w:t>4</w:t>
      </w:r>
      <w:r w:rsidR="006E6446" w:rsidRPr="00392E88">
        <w:t xml:space="preserve"> i</w:t>
      </w:r>
      <w:r w:rsidR="006E6446">
        <w:t> </w:t>
      </w:r>
      <w:r w:rsidR="006E6446" w:rsidRPr="00392E88">
        <w:t>5</w:t>
      </w:r>
      <w:r w:rsidRPr="00392E88">
        <w:t>;”</w:t>
      </w:r>
    </w:p>
    <w:p w14:paraId="0DFA5CE4" w14:textId="11854267" w:rsidR="00A247A1" w:rsidRPr="00392E88" w:rsidRDefault="004F233E" w:rsidP="00430D3D">
      <w:pPr>
        <w:pStyle w:val="Point2"/>
      </w:pPr>
      <w:r w:rsidRPr="00392E88">
        <w:t xml:space="preserve">b) </w:t>
      </w:r>
      <w:r w:rsidRPr="00392E88">
        <w:tab/>
        <w:t>ogólnych kryteriów</w:t>
      </w:r>
      <w:r w:rsidR="006E6446" w:rsidRPr="00392E88">
        <w:t xml:space="preserve"> i</w:t>
      </w:r>
      <w:r w:rsidR="006E6446">
        <w:t> </w:t>
      </w:r>
      <w:r w:rsidR="006E6446" w:rsidRPr="00392E88">
        <w:t>met</w:t>
      </w:r>
      <w:r w:rsidRPr="00392E88">
        <w:t>od stosowanych</w:t>
      </w:r>
      <w:r w:rsidR="006E6446" w:rsidRPr="00392E88">
        <w:t xml:space="preserve"> w</w:t>
      </w:r>
      <w:r w:rsidR="006E6446">
        <w:t> </w:t>
      </w:r>
      <w:r w:rsidR="006E6446" w:rsidRPr="00392E88">
        <w:t>pro</w:t>
      </w:r>
      <w:r w:rsidRPr="00392E88">
        <w:t>cesie nadzoru określonym</w:t>
      </w:r>
      <w:r w:rsidR="006E6446" w:rsidRPr="00392E88">
        <w:t xml:space="preserve"> w</w:t>
      </w:r>
      <w:r w:rsidR="006E6446">
        <w:t> </w:t>
      </w:r>
      <w:r w:rsidR="006E6446" w:rsidRPr="006E6446">
        <w:t>art</w:t>
      </w:r>
      <w:r w:rsidRPr="006E6446">
        <w:t>.</w:t>
      </w:r>
      <w:r w:rsidR="006E6446" w:rsidRPr="006E6446">
        <w:t> </w:t>
      </w:r>
      <w:r w:rsidRPr="006E6446">
        <w:t>4</w:t>
      </w:r>
      <w:r w:rsidRPr="00392E88">
        <w:t>9,</w:t>
      </w:r>
      <w:r w:rsidR="006E6446" w:rsidRPr="00392E88">
        <w:t xml:space="preserve"> w</w:t>
      </w:r>
      <w:r w:rsidR="006E6446">
        <w:t> </w:t>
      </w:r>
      <w:r w:rsidR="006E6446" w:rsidRPr="00392E88">
        <w:t>tym w</w:t>
      </w:r>
      <w:r w:rsidR="006E6446">
        <w:t> </w:t>
      </w:r>
      <w:r w:rsidR="006E6446" w:rsidRPr="00392E88">
        <w:t>szc</w:t>
      </w:r>
      <w:r w:rsidRPr="00392E88">
        <w:t>zególności przeglądu ich ram oceny ryzyka.”;</w:t>
      </w:r>
    </w:p>
    <w:p w14:paraId="58CA57AD" w14:textId="55AC0F0F" w:rsidR="00C8563E" w:rsidRPr="00392E88" w:rsidRDefault="006E6446" w:rsidP="006E6446">
      <w:pPr>
        <w:pStyle w:val="Point2"/>
      </w:pPr>
      <w:r>
        <w:t>b)</w:t>
      </w:r>
      <w:r>
        <w:tab/>
      </w:r>
      <w:r w:rsidR="00C8563E" w:rsidRPr="006E6446">
        <w:t>lit.</w:t>
      </w:r>
      <w:r w:rsidRPr="006E6446">
        <w:t> </w:t>
      </w:r>
      <w:r w:rsidR="00C8563E" w:rsidRPr="006E6446">
        <w:t>d)</w:t>
      </w:r>
      <w:r w:rsidR="00C8563E" w:rsidRPr="00392E88">
        <w:t xml:space="preserve"> otrzymuje brzmienie:</w:t>
      </w:r>
    </w:p>
    <w:p w14:paraId="659265EB" w14:textId="00C03211" w:rsidR="00C8563E" w:rsidRPr="00392E88" w:rsidRDefault="00C8563E" w:rsidP="073AE836">
      <w:pPr>
        <w:pStyle w:val="Point2"/>
      </w:pPr>
      <w:r w:rsidRPr="00392E88">
        <w:t>„d)</w:t>
      </w:r>
      <w:r w:rsidRPr="00392E88">
        <w:tab/>
        <w:t>głównego celu nadzoru, informacji</w:t>
      </w:r>
      <w:r w:rsidR="006E6446" w:rsidRPr="00392E88">
        <w:t xml:space="preserve"> o</w:t>
      </w:r>
      <w:r w:rsidR="006E6446">
        <w:t> </w:t>
      </w:r>
      <w:r w:rsidR="006E6446" w:rsidRPr="00392E88">
        <w:t>głó</w:t>
      </w:r>
      <w:r w:rsidRPr="00392E88">
        <w:t>wnych funkcjach oraz rocznego sprawozdania</w:t>
      </w:r>
      <w:r w:rsidR="006E6446" w:rsidRPr="00392E88">
        <w:t xml:space="preserve"> z</w:t>
      </w:r>
      <w:r w:rsidR="006E6446">
        <w:t> </w:t>
      </w:r>
      <w:r w:rsidR="006E6446" w:rsidRPr="00392E88">
        <w:t>dzi</w:t>
      </w:r>
      <w:r w:rsidRPr="00392E88">
        <w:t>ałalności ich właściwych organów;”;</w:t>
      </w:r>
    </w:p>
    <w:p w14:paraId="3C5CD744" w14:textId="5C7A81E7" w:rsidR="00A1448A" w:rsidRPr="00392E88" w:rsidRDefault="006E6446" w:rsidP="006E6446">
      <w:pPr>
        <w:pStyle w:val="Point2"/>
      </w:pPr>
      <w:r>
        <w:t>c)</w:t>
      </w:r>
      <w:r>
        <w:tab/>
      </w:r>
      <w:r w:rsidR="0007081B" w:rsidRPr="00392E88">
        <w:t>dodaje się akapity</w:t>
      </w:r>
      <w:r w:rsidRPr="00392E88">
        <w:t xml:space="preserve"> w</w:t>
      </w:r>
      <w:r>
        <w:t> </w:t>
      </w:r>
      <w:r w:rsidRPr="00392E88">
        <w:t>brz</w:t>
      </w:r>
      <w:r w:rsidR="0007081B" w:rsidRPr="00392E88">
        <w:t>mieniu:</w:t>
      </w:r>
    </w:p>
    <w:p w14:paraId="50BB1EF3" w14:textId="5101BED9" w:rsidR="00650F3F" w:rsidRPr="006E6446" w:rsidRDefault="00650F3F" w:rsidP="005D0C3B">
      <w:pPr>
        <w:pStyle w:val="Text1"/>
      </w:pPr>
      <w:r w:rsidRPr="00392E88">
        <w:t>„Ujawnienia,</w:t>
      </w:r>
      <w:r w:rsidR="006E6446" w:rsidRPr="00392E88">
        <w:t xml:space="preserve"> o</w:t>
      </w:r>
      <w:r w:rsidR="006E6446">
        <w:t> </w:t>
      </w:r>
      <w:r w:rsidR="006E6446" w:rsidRPr="00392E88">
        <w:t>któ</w:t>
      </w:r>
      <w:r w:rsidRPr="00392E88">
        <w:t>rych mowa</w:t>
      </w:r>
      <w:r w:rsidR="006E6446" w:rsidRPr="00392E88">
        <w:t xml:space="preserve"> w</w:t>
      </w:r>
      <w:r w:rsidR="006E6446">
        <w:t> </w:t>
      </w:r>
      <w:r w:rsidR="006E6446" w:rsidRPr="00392E88">
        <w:t>aka</w:t>
      </w:r>
      <w:r w:rsidRPr="00392E88">
        <w:t>picie pierwszym, muszą być wystarczające do porównania sposobów podejścia przyjętych przez właściwe organy</w:t>
      </w:r>
      <w:r w:rsidR="006E6446" w:rsidRPr="00392E88">
        <w:t xml:space="preserve"> w</w:t>
      </w:r>
      <w:r w:rsidR="006E6446">
        <w:t> </w:t>
      </w:r>
      <w:r w:rsidR="006E6446" w:rsidRPr="00392E88">
        <w:t>pos</w:t>
      </w:r>
      <w:r w:rsidRPr="00392E88">
        <w:t>zczególnych państwach członkowskich.</w:t>
      </w:r>
    </w:p>
    <w:p w14:paraId="359F228D" w14:textId="3093E3A8" w:rsidR="0099713F" w:rsidRPr="00392E88" w:rsidRDefault="007C2970" w:rsidP="005D0C3B">
      <w:pPr>
        <w:pStyle w:val="Text1"/>
      </w:pPr>
      <w:r w:rsidRPr="006E6446">
        <w:t>I</w:t>
      </w:r>
      <w:r w:rsidRPr="00392E88">
        <w:t>nformacje,</w:t>
      </w:r>
      <w:r w:rsidR="006E6446" w:rsidRPr="00392E88">
        <w:t xml:space="preserve"> o</w:t>
      </w:r>
      <w:r w:rsidR="006E6446">
        <w:t> </w:t>
      </w:r>
      <w:r w:rsidR="006E6446" w:rsidRPr="00392E88">
        <w:t>któ</w:t>
      </w:r>
      <w:r w:rsidRPr="00392E88">
        <w:t>rych mowa</w:t>
      </w:r>
      <w:r w:rsidR="006E6446" w:rsidRPr="00392E88">
        <w:t xml:space="preserve"> w</w:t>
      </w:r>
      <w:r w:rsidR="006E6446">
        <w:t> </w:t>
      </w:r>
      <w:r w:rsidR="006E6446" w:rsidRPr="00392E88">
        <w:t>aka</w:t>
      </w:r>
      <w:r w:rsidRPr="00392E88">
        <w:t xml:space="preserve">picie pierwszym </w:t>
      </w:r>
      <w:r w:rsidRPr="006E6446">
        <w:t>lit.</w:t>
      </w:r>
      <w:r w:rsidR="006E6446" w:rsidRPr="006E6446">
        <w:t> </w:t>
      </w:r>
      <w:r w:rsidRPr="006E6446">
        <w:t>a)</w:t>
      </w:r>
      <w:r w:rsidRPr="00392E88">
        <w:t>–e), są dostępne pod jednym adresem elektronicznym</w:t>
      </w:r>
      <w:r w:rsidR="006E6446" w:rsidRPr="00392E88">
        <w:t xml:space="preserve"> w</w:t>
      </w:r>
      <w:r w:rsidR="006E6446">
        <w:t> </w:t>
      </w:r>
      <w:r w:rsidR="006E6446" w:rsidRPr="00392E88">
        <w:t>każ</w:t>
      </w:r>
      <w:r w:rsidRPr="00392E88">
        <w:t>dym państwie członkowskim.”;</w:t>
      </w:r>
    </w:p>
    <w:p w14:paraId="34FD3FA2" w14:textId="35C11E80" w:rsidR="00624E24" w:rsidRPr="00392E88" w:rsidRDefault="006E6446" w:rsidP="006E6446">
      <w:pPr>
        <w:pStyle w:val="Point1"/>
      </w:pPr>
      <w:r>
        <w:t>b)</w:t>
      </w:r>
      <w:r>
        <w:tab/>
      </w:r>
      <w:r w:rsidR="00624E24" w:rsidRPr="00392E88">
        <w:t xml:space="preserve">w </w:t>
      </w:r>
      <w:r w:rsidR="00624E24" w:rsidRPr="006E6446">
        <w:t>ust.</w:t>
      </w:r>
      <w:r w:rsidRPr="006E6446">
        <w:t> </w:t>
      </w:r>
      <w:r w:rsidR="00624E24" w:rsidRPr="006E6446">
        <w:t>3</w:t>
      </w:r>
      <w:r w:rsidR="00624E24" w:rsidRPr="00392E88">
        <w:t xml:space="preserve"> dodaje się akapit</w:t>
      </w:r>
      <w:r w:rsidRPr="00392E88">
        <w:t xml:space="preserve"> w</w:t>
      </w:r>
      <w:r>
        <w:t> </w:t>
      </w:r>
      <w:r w:rsidRPr="00392E88">
        <w:t>brz</w:t>
      </w:r>
      <w:r w:rsidR="00624E24" w:rsidRPr="00392E88">
        <w:t>mieniu:</w:t>
      </w:r>
    </w:p>
    <w:p w14:paraId="727EFD78" w14:textId="01FBD53C" w:rsidR="00624E24" w:rsidRPr="00392E88" w:rsidRDefault="00624E24" w:rsidP="005D0C3B">
      <w:pPr>
        <w:pStyle w:val="Text1"/>
      </w:pPr>
      <w:r w:rsidRPr="00392E88">
        <w:t>„Członkowie organów kierowniczych</w:t>
      </w:r>
      <w:r w:rsidR="006E6446" w:rsidRPr="00392E88">
        <w:t xml:space="preserve"> i</w:t>
      </w:r>
      <w:r w:rsidR="006E6446">
        <w:t> </w:t>
      </w:r>
      <w:r w:rsidR="006E6446" w:rsidRPr="00392E88">
        <w:t>zar</w:t>
      </w:r>
      <w:r w:rsidRPr="00392E88">
        <w:t>ządzających właściwych organów posiadają kwalifikacje, doświadczenie</w:t>
      </w:r>
      <w:r w:rsidR="006E6446" w:rsidRPr="00392E88">
        <w:t xml:space="preserve"> i</w:t>
      </w:r>
      <w:r w:rsidR="006E6446">
        <w:t> </w:t>
      </w:r>
      <w:r w:rsidR="006E6446" w:rsidRPr="00392E88">
        <w:t>umi</w:t>
      </w:r>
      <w:r w:rsidRPr="00392E88">
        <w:t>ejętności wymagane do wykonywania swoich obowiązków</w:t>
      </w:r>
      <w:r w:rsidR="006E6446" w:rsidRPr="00392E88">
        <w:t xml:space="preserve"> i</w:t>
      </w:r>
      <w:r w:rsidR="006E6446">
        <w:t> </w:t>
      </w:r>
      <w:r w:rsidR="006E6446" w:rsidRPr="00392E88">
        <w:t>kor</w:t>
      </w:r>
      <w:r w:rsidRPr="00392E88">
        <w:t>zystania ze swoich uprawnień</w:t>
      </w:r>
      <w:r w:rsidR="006E6446" w:rsidRPr="00392E88">
        <w:t xml:space="preserve"> i</w:t>
      </w:r>
      <w:r w:rsidR="006E6446">
        <w:t> </w:t>
      </w:r>
      <w:r w:rsidR="006E6446" w:rsidRPr="00392E88">
        <w:t>nie</w:t>
      </w:r>
      <w:r w:rsidRPr="00392E88">
        <w:t xml:space="preserve"> mogą zostać zwolnieni</w:t>
      </w:r>
      <w:r w:rsidR="006E6446" w:rsidRPr="00392E88">
        <w:t xml:space="preserve"> z</w:t>
      </w:r>
      <w:r w:rsidR="006E6446">
        <w:t> </w:t>
      </w:r>
      <w:r w:rsidR="006E6446" w:rsidRPr="00392E88">
        <w:t>prz</w:t>
      </w:r>
      <w:r w:rsidRPr="00392E88">
        <w:t>yczyn związanych</w:t>
      </w:r>
      <w:r w:rsidR="006E6446" w:rsidRPr="00392E88">
        <w:t xml:space="preserve"> z</w:t>
      </w:r>
      <w:r w:rsidR="006E6446">
        <w:t> </w:t>
      </w:r>
      <w:r w:rsidR="006E6446" w:rsidRPr="00392E88">
        <w:t>wła</w:t>
      </w:r>
      <w:r w:rsidRPr="00392E88">
        <w:t>ściwym wykonywaniem ich obowiązków lub uprawnień. Osoby te mogą zostać zwolnione wyłącznie wówczas, gdy przestaną spełniać warunki wymagane do wykonywania swoich obowiązków lub gdy zostaną uznane za winne poważnego uchybienia</w:t>
      </w:r>
      <w:r w:rsidR="006E6446" w:rsidRPr="00392E88">
        <w:t xml:space="preserve"> w</w:t>
      </w:r>
      <w:r w:rsidR="006E6446">
        <w:t> </w:t>
      </w:r>
      <w:r w:rsidR="006E6446" w:rsidRPr="00392E88">
        <w:t>świ</w:t>
      </w:r>
      <w:r w:rsidRPr="00392E88">
        <w:t>etle prawa krajowego. Warunki wymagane do wykonywania swoich obowiązków oraz definicja poważnego uchybienia muszą zostać określone</w:t>
      </w:r>
      <w:r w:rsidR="006E6446" w:rsidRPr="00392E88">
        <w:t xml:space="preserve"> z</w:t>
      </w:r>
      <w:r w:rsidR="006E6446">
        <w:t> </w:t>
      </w:r>
      <w:r w:rsidR="006E6446" w:rsidRPr="00392E88">
        <w:t>wyp</w:t>
      </w:r>
      <w:r w:rsidRPr="00392E88">
        <w:t>rzedzeniem</w:t>
      </w:r>
      <w:r w:rsidR="006E6446" w:rsidRPr="00392E88">
        <w:t xml:space="preserve"> w</w:t>
      </w:r>
      <w:r w:rsidR="006E6446">
        <w:t> </w:t>
      </w:r>
      <w:r w:rsidR="006E6446" w:rsidRPr="00392E88">
        <w:t>pra</w:t>
      </w:r>
      <w:r w:rsidRPr="00392E88">
        <w:t>wie krajowym.”;</w:t>
      </w:r>
    </w:p>
    <w:p w14:paraId="0CCED9B6" w14:textId="095F358E" w:rsidR="003B0996" w:rsidRPr="00392E88" w:rsidRDefault="006E6446" w:rsidP="006E6446">
      <w:pPr>
        <w:pStyle w:val="Point1"/>
      </w:pPr>
      <w:r>
        <w:t>c)</w:t>
      </w:r>
      <w:r>
        <w:tab/>
      </w:r>
      <w:r w:rsidR="0007081B" w:rsidRPr="00392E88">
        <w:t>dodaje się ust. 4</w:t>
      </w:r>
      <w:r w:rsidRPr="00392E88">
        <w:t xml:space="preserve"> w</w:t>
      </w:r>
      <w:r>
        <w:t> </w:t>
      </w:r>
      <w:r w:rsidRPr="00392E88">
        <w:t>brz</w:t>
      </w:r>
      <w:r w:rsidR="0007081B" w:rsidRPr="00392E88">
        <w:t>mieniu:</w:t>
      </w:r>
    </w:p>
    <w:p w14:paraId="7682CAFE" w14:textId="475B0EF4" w:rsidR="003B0996" w:rsidRPr="00392E88" w:rsidRDefault="00223A24" w:rsidP="00430D3D">
      <w:pPr>
        <w:pStyle w:val="Text1"/>
      </w:pPr>
      <w:r w:rsidRPr="00392E88">
        <w:t>„4.</w:t>
      </w:r>
      <w:r w:rsidRPr="00392E88">
        <w:tab/>
        <w:t>Państwa członkowskie zapewniają, aby właściwe organy publikowały na jednej ogólnodostępnej stronie internetowej jasne, porównywalne</w:t>
      </w:r>
      <w:r w:rsidR="006E6446" w:rsidRPr="00392E88">
        <w:t xml:space="preserve"> i</w:t>
      </w:r>
      <w:r w:rsidR="006E6446">
        <w:t> </w:t>
      </w:r>
      <w:r w:rsidR="006E6446" w:rsidRPr="00392E88">
        <w:t>łat</w:t>
      </w:r>
      <w:r w:rsidRPr="00392E88">
        <w:t>wo dostępne informacje na temat całkowitych rocznych kosztów, wyników osiągniętych</w:t>
      </w:r>
      <w:r w:rsidR="006E6446" w:rsidRPr="00392E88">
        <w:t xml:space="preserve"> w</w:t>
      </w:r>
      <w:r w:rsidR="006E6446">
        <w:t> </w:t>
      </w:r>
      <w:r w:rsidR="006E6446" w:rsidRPr="00392E88">
        <w:t>prz</w:t>
      </w:r>
      <w:r w:rsidRPr="00392E88">
        <w:t>eszłości</w:t>
      </w:r>
      <w:r w:rsidR="006E6446" w:rsidRPr="00392E88">
        <w:t xml:space="preserve"> i</w:t>
      </w:r>
      <w:r w:rsidR="006E6446">
        <w:t> </w:t>
      </w:r>
      <w:r w:rsidR="006E6446" w:rsidRPr="00392E88">
        <w:t>pro</w:t>
      </w:r>
      <w:r w:rsidRPr="00392E88">
        <w:t>filu ryzyka</w:t>
      </w:r>
      <w:r w:rsidR="006E6446" w:rsidRPr="00392E88">
        <w:t xml:space="preserve"> w</w:t>
      </w:r>
      <w:r w:rsidR="006E6446">
        <w:t> </w:t>
      </w:r>
      <w:r w:rsidR="006E6446" w:rsidRPr="00392E88">
        <w:t>odn</w:t>
      </w:r>
      <w:r w:rsidRPr="00392E88">
        <w:t>iesieniu do wszystkich programów emerytalnych obsługiwanych przez IORP.</w:t>
      </w:r>
    </w:p>
    <w:p w14:paraId="12B2751A" w14:textId="2FC06C3A" w:rsidR="00F7293D" w:rsidRPr="00392E88" w:rsidRDefault="00F7293D" w:rsidP="00430D3D">
      <w:pPr>
        <w:pStyle w:val="Text1"/>
      </w:pPr>
      <w:r w:rsidRPr="00392E88">
        <w:t>W odniesieniu do każdego programu emerytalnego i,</w:t>
      </w:r>
      <w:r w:rsidR="006E6446" w:rsidRPr="00392E88">
        <w:t xml:space="preserve"> w</w:t>
      </w:r>
      <w:r w:rsidR="006E6446">
        <w:t> </w:t>
      </w:r>
      <w:r w:rsidR="006E6446" w:rsidRPr="00392E88">
        <w:t>sto</w:t>
      </w:r>
      <w:r w:rsidRPr="00392E88">
        <w:t xml:space="preserve">sownych przypadkach, do każdej opcji inwestycyjnej publikowane informacje obejmują co najmniej: </w:t>
      </w:r>
    </w:p>
    <w:p w14:paraId="63431F9D" w14:textId="77777777" w:rsidR="00900CE3" w:rsidRPr="00392E88" w:rsidRDefault="00900CE3" w:rsidP="005D0C3B">
      <w:pPr>
        <w:pStyle w:val="Point1"/>
      </w:pPr>
      <w:r w:rsidRPr="00392E88">
        <w:t xml:space="preserve">a) </w:t>
      </w:r>
      <w:r w:rsidRPr="00392E88">
        <w:tab/>
        <w:t>klasyfikację systemu według profilu ryzyka;</w:t>
      </w:r>
    </w:p>
    <w:p w14:paraId="2120BA94" w14:textId="458AA6CB" w:rsidR="00900CE3" w:rsidRPr="00392E88" w:rsidRDefault="00900CE3" w:rsidP="005D0C3B">
      <w:pPr>
        <w:pStyle w:val="Point1"/>
      </w:pPr>
      <w:r w:rsidRPr="00392E88">
        <w:t xml:space="preserve">b) </w:t>
      </w:r>
      <w:r w:rsidRPr="00392E88">
        <w:tab/>
        <w:t>łączne koszty</w:t>
      </w:r>
      <w:r w:rsidR="006E6446" w:rsidRPr="00392E88">
        <w:t xml:space="preserve"> i</w:t>
      </w:r>
      <w:r w:rsidR="006E6446">
        <w:t> </w:t>
      </w:r>
      <w:r w:rsidR="006E6446" w:rsidRPr="00392E88">
        <w:t>opł</w:t>
      </w:r>
      <w:r w:rsidRPr="00392E88">
        <w:t>aty zgłoszone właściwym organom krajowym zgodnie</w:t>
      </w:r>
      <w:r w:rsidR="006E6446" w:rsidRPr="00392E88">
        <w:t xml:space="preserve"> z</w:t>
      </w:r>
      <w:r w:rsidR="006E6446">
        <w:t> </w:t>
      </w:r>
      <w:r w:rsidR="006E6446" w:rsidRPr="006E6446">
        <w:t>art</w:t>
      </w:r>
      <w:r w:rsidRPr="006E6446">
        <w:t>.</w:t>
      </w:r>
      <w:r w:rsidR="006E6446" w:rsidRPr="006E6446">
        <w:t> </w:t>
      </w:r>
      <w:r w:rsidRPr="006E6446">
        <w:t>5</w:t>
      </w:r>
      <w:r w:rsidRPr="00392E88">
        <w:t xml:space="preserve">0 </w:t>
      </w:r>
      <w:r w:rsidRPr="006E6446">
        <w:t>ust.</w:t>
      </w:r>
      <w:r w:rsidR="006E6446" w:rsidRPr="006E6446">
        <w:t> </w:t>
      </w:r>
      <w:r w:rsidRPr="006E6446">
        <w:t>7</w:t>
      </w:r>
      <w:r w:rsidRPr="00392E88">
        <w:t>, wyrażone jako pojedynczy roczny odsetek łącznych składek</w:t>
      </w:r>
      <w:r w:rsidR="006E6446" w:rsidRPr="00392E88">
        <w:t xml:space="preserve"> z</w:t>
      </w:r>
      <w:r w:rsidR="006E6446">
        <w:t> </w:t>
      </w:r>
      <w:r w:rsidR="006E6446" w:rsidRPr="00392E88">
        <w:t>pop</w:t>
      </w:r>
      <w:r w:rsidRPr="00392E88">
        <w:t>rzednich dwunastu miesięcy; oraz</w:t>
      </w:r>
    </w:p>
    <w:p w14:paraId="7FA292DC" w14:textId="53F87881" w:rsidR="00916CF7" w:rsidRPr="00392E88" w:rsidRDefault="00916CF7" w:rsidP="005D0C3B">
      <w:pPr>
        <w:pStyle w:val="Point1"/>
      </w:pPr>
      <w:r w:rsidRPr="00392E88">
        <w:t xml:space="preserve">c) </w:t>
      </w:r>
      <w:r w:rsidRPr="00392E88">
        <w:tab/>
        <w:t>wyniki osiągnięte</w:t>
      </w:r>
      <w:r w:rsidR="006E6446" w:rsidRPr="00392E88">
        <w:t xml:space="preserve"> w</w:t>
      </w:r>
      <w:r w:rsidR="006E6446">
        <w:t> </w:t>
      </w:r>
      <w:r w:rsidR="006E6446" w:rsidRPr="00392E88">
        <w:t>prz</w:t>
      </w:r>
      <w:r w:rsidRPr="00392E88">
        <w:t>eszłości za zakończone lata obrotowe,</w:t>
      </w:r>
      <w:r w:rsidR="006E6446" w:rsidRPr="00392E88">
        <w:t xml:space="preserve"> w</w:t>
      </w:r>
      <w:r w:rsidR="006E6446">
        <w:t> </w:t>
      </w:r>
      <w:r w:rsidR="006E6446" w:rsidRPr="00392E88">
        <w:t>tym</w:t>
      </w:r>
      <w:r w:rsidRPr="00392E88">
        <w:t xml:space="preserve"> za ostatni rok.</w:t>
      </w:r>
    </w:p>
    <w:p w14:paraId="1AE8EC9F" w14:textId="0559726E" w:rsidR="72B02D3A" w:rsidRPr="00392E88" w:rsidRDefault="72B02D3A" w:rsidP="00430D3D">
      <w:pPr>
        <w:pStyle w:val="Text1"/>
      </w:pPr>
      <w:r w:rsidRPr="00392E88">
        <w:t>Informacje,</w:t>
      </w:r>
      <w:r w:rsidR="006E6446" w:rsidRPr="00392E88">
        <w:t xml:space="preserve"> o</w:t>
      </w:r>
      <w:r w:rsidR="006E6446">
        <w:t> </w:t>
      </w:r>
      <w:r w:rsidR="006E6446" w:rsidRPr="00392E88">
        <w:t>któ</w:t>
      </w:r>
      <w:r w:rsidRPr="00392E88">
        <w:t>rych mowa</w:t>
      </w:r>
      <w:r w:rsidR="006E6446" w:rsidRPr="00392E88">
        <w:t xml:space="preserve"> w</w:t>
      </w:r>
      <w:r w:rsidR="006E6446">
        <w:t> </w:t>
      </w:r>
      <w:r w:rsidR="006E6446" w:rsidRPr="00392E88">
        <w:t>aka</w:t>
      </w:r>
      <w:r w:rsidRPr="00392E88">
        <w:t xml:space="preserve">picie drugim </w:t>
      </w:r>
      <w:r w:rsidRPr="006E6446">
        <w:t>lit.</w:t>
      </w:r>
      <w:r w:rsidR="006E6446" w:rsidRPr="006E6446">
        <w:t> </w:t>
      </w:r>
      <w:r w:rsidRPr="006E6446">
        <w:t>b)</w:t>
      </w:r>
      <w:r w:rsidRPr="00392E88">
        <w:t xml:space="preserve"> i c), przekazuje się za co najmniej ostatnie 10 lat lub,</w:t>
      </w:r>
      <w:r w:rsidR="006E6446" w:rsidRPr="00392E88">
        <w:t xml:space="preserve"> w</w:t>
      </w:r>
      <w:r w:rsidR="006E6446">
        <w:t> </w:t>
      </w:r>
      <w:r w:rsidR="006E6446" w:rsidRPr="00392E88">
        <w:t>prz</w:t>
      </w:r>
      <w:r w:rsidRPr="00392E88">
        <w:t>ypadku gdy program był oferowany przez okres krótszy niż 10 lat, za wszystkie lata,</w:t>
      </w:r>
      <w:r w:rsidR="006E6446" w:rsidRPr="00392E88">
        <w:t xml:space="preserve"> w</w:t>
      </w:r>
      <w:r w:rsidR="006E6446">
        <w:t> </w:t>
      </w:r>
      <w:r w:rsidR="006E6446" w:rsidRPr="00392E88">
        <w:t>któ</w:t>
      </w:r>
      <w:r w:rsidRPr="00392E88">
        <w:t>rych program był oferowany.</w:t>
      </w:r>
    </w:p>
    <w:p w14:paraId="74CA5C69" w14:textId="6A6ACDE6" w:rsidR="00626C44" w:rsidRPr="00392E88" w:rsidRDefault="00626C44" w:rsidP="00430D3D">
      <w:pPr>
        <w:pStyle w:val="Text1"/>
      </w:pPr>
      <w:r w:rsidRPr="00392E88">
        <w:t>Właściwe organy sprawdzają dokładność</w:t>
      </w:r>
      <w:r w:rsidR="006E6446" w:rsidRPr="00392E88">
        <w:t xml:space="preserve"> i</w:t>
      </w:r>
      <w:r w:rsidR="006E6446">
        <w:t> </w:t>
      </w:r>
      <w:r w:rsidR="006E6446" w:rsidRPr="00392E88">
        <w:t>ter</w:t>
      </w:r>
      <w:r w:rsidRPr="00392E88">
        <w:t>minowość informacji oraz zapewniają ich niezwłoczne opublikowanie po zakończeniu takiej weryfikacji.”;</w:t>
      </w:r>
    </w:p>
    <w:p w14:paraId="12482162" w14:textId="5019E673" w:rsidR="5D7DA77F" w:rsidRPr="00392E88" w:rsidRDefault="006E6446" w:rsidP="006E6446">
      <w:pPr>
        <w:pStyle w:val="Point0"/>
      </w:pPr>
      <w:r>
        <w:t>58)</w:t>
      </w:r>
      <w:r>
        <w:tab/>
      </w:r>
      <w:r w:rsidR="5FD6CC98" w:rsidRPr="00392E88">
        <w:t xml:space="preserve">dodaje się </w:t>
      </w:r>
      <w:r w:rsidR="5FD6CC98" w:rsidRPr="006E6446">
        <w:t>art.</w:t>
      </w:r>
      <w:r w:rsidRPr="006E6446">
        <w:t> </w:t>
      </w:r>
      <w:r w:rsidR="5FD6CC98" w:rsidRPr="006E6446">
        <w:t>5</w:t>
      </w:r>
      <w:r w:rsidR="5FD6CC98" w:rsidRPr="00392E88">
        <w:t>5a</w:t>
      </w:r>
      <w:r w:rsidRPr="00392E88">
        <w:t xml:space="preserve"> w</w:t>
      </w:r>
      <w:r>
        <w:t> </w:t>
      </w:r>
      <w:r w:rsidRPr="00392E88">
        <w:t>brz</w:t>
      </w:r>
      <w:r w:rsidR="5FD6CC98" w:rsidRPr="00392E88">
        <w:t>mieniu:</w:t>
      </w:r>
    </w:p>
    <w:p w14:paraId="74355C2E" w14:textId="77777777" w:rsidR="5D7DA77F" w:rsidRPr="00392E88" w:rsidRDefault="5D7DA77F" w:rsidP="008A46F8">
      <w:pPr>
        <w:pStyle w:val="Titrearticle"/>
        <w:rPr>
          <w:iCs/>
        </w:rPr>
      </w:pPr>
      <w:r w:rsidRPr="00392E88">
        <w:t xml:space="preserve">„Artykuł 55a </w:t>
      </w:r>
      <w:r w:rsidRPr="00392E88">
        <w:br/>
      </w:r>
      <w:r w:rsidRPr="00392E88">
        <w:rPr>
          <w:b/>
          <w:i w:val="0"/>
        </w:rPr>
        <w:t>Platformy współpracy</w:t>
      </w:r>
    </w:p>
    <w:p w14:paraId="3E1E37AA" w14:textId="3CBA17C5" w:rsidR="5D7DA77F" w:rsidRPr="00392E88" w:rsidRDefault="5D7DA77F" w:rsidP="00BC3DF1">
      <w:pPr>
        <w:pStyle w:val="Text1"/>
      </w:pPr>
      <w:r w:rsidRPr="00392E88">
        <w:t>1.</w:t>
      </w:r>
      <w:r w:rsidRPr="00392E88">
        <w:tab/>
        <w:t>EIOPA może,</w:t>
      </w:r>
      <w:r w:rsidR="006E6446" w:rsidRPr="00392E88">
        <w:t xml:space="preserve"> w</w:t>
      </w:r>
      <w:r w:rsidR="006E6446">
        <w:t> </w:t>
      </w:r>
      <w:r w:rsidR="006E6446" w:rsidRPr="00392E88">
        <w:t>raz</w:t>
      </w:r>
      <w:r w:rsidRPr="00392E88">
        <w:t>ie uzasadnionych obaw dotyczących negatywnych skutków dla uczestników</w:t>
      </w:r>
      <w:r w:rsidR="006E6446" w:rsidRPr="00392E88">
        <w:t xml:space="preserve"> i</w:t>
      </w:r>
      <w:r w:rsidR="006E6446">
        <w:t> </w:t>
      </w:r>
      <w:r w:rsidR="006E6446" w:rsidRPr="00392E88">
        <w:t>ben</w:t>
      </w:r>
      <w:r w:rsidRPr="00392E88">
        <w:t>eficjentów,</w:t>
      </w:r>
      <w:r w:rsidR="006E6446" w:rsidRPr="00392E88">
        <w:t xml:space="preserve"> z</w:t>
      </w:r>
      <w:r w:rsidR="006E6446">
        <w:t> </w:t>
      </w:r>
      <w:r w:rsidR="006E6446" w:rsidRPr="00392E88">
        <w:t>wła</w:t>
      </w:r>
      <w:r w:rsidRPr="00392E88">
        <w:t>snej inicjatywy lub na wniosek jednego właściwego organu lub większej ich liczby, utworzyć</w:t>
      </w:r>
      <w:r w:rsidR="006E6446" w:rsidRPr="00392E88">
        <w:t xml:space="preserve"> i</w:t>
      </w:r>
      <w:r w:rsidR="006E6446">
        <w:t> </w:t>
      </w:r>
      <w:r w:rsidR="006E6446" w:rsidRPr="00392E88">
        <w:t>koo</w:t>
      </w:r>
      <w:r w:rsidRPr="00392E88">
        <w:t>rdynować platformę współpracy celem intensyfikacji wymiany informacji</w:t>
      </w:r>
      <w:r w:rsidR="006E6446" w:rsidRPr="00392E88">
        <w:t xml:space="preserve"> i</w:t>
      </w:r>
      <w:r w:rsidR="006E6446">
        <w:t> </w:t>
      </w:r>
      <w:r w:rsidR="006E6446" w:rsidRPr="00392E88">
        <w:t>zac</w:t>
      </w:r>
      <w:r w:rsidRPr="00392E88">
        <w:t>ieśnienia współpracy między odpowiednimi właściwymi organami, jeżeli IORP prowadzi lub zamierza prowadzić działalność transgraniczną,</w:t>
      </w:r>
      <w:r w:rsidR="006E6446" w:rsidRPr="00392E88">
        <w:t xml:space="preserve"> a</w:t>
      </w:r>
      <w:r w:rsidR="006E6446">
        <w:t> </w:t>
      </w:r>
      <w:r w:rsidR="006E6446" w:rsidRPr="00392E88">
        <w:t>tak</w:t>
      </w:r>
      <w:r w:rsidRPr="00392E88">
        <w:t>a działalność ma znaczenie</w:t>
      </w:r>
      <w:r w:rsidR="006E6446" w:rsidRPr="00392E88">
        <w:t xml:space="preserve"> w</w:t>
      </w:r>
      <w:r w:rsidR="006E6446">
        <w:t> </w:t>
      </w:r>
      <w:r w:rsidR="006E6446" w:rsidRPr="00392E88">
        <w:t>odn</w:t>
      </w:r>
      <w:r w:rsidRPr="00392E88">
        <w:t>iesieniu do rynku przyjmującego państwa członkowskiego.</w:t>
      </w:r>
    </w:p>
    <w:p w14:paraId="284A3E6A" w14:textId="77777777" w:rsidR="13E6C14C" w:rsidRPr="00392E88" w:rsidRDefault="13E6C14C" w:rsidP="00BC3DF1">
      <w:pPr>
        <w:pStyle w:val="Text1"/>
      </w:pPr>
      <w:r w:rsidRPr="00392E88">
        <w:t>2.</w:t>
      </w:r>
      <w:r w:rsidRPr="00392E88">
        <w:tab/>
        <w:t>Ust. 1 pozostaje bez uszczerbku dla prawa odpowiednich właściwych organów do utworzenia platformy współpracy, jeżeli wszystkie te organy zgadzają się na jej utworzenie.</w:t>
      </w:r>
    </w:p>
    <w:p w14:paraId="43493130" w14:textId="068D18C6" w:rsidR="0FC3482E" w:rsidRPr="00392E88" w:rsidRDefault="13E6C14C" w:rsidP="00BC3DF1">
      <w:pPr>
        <w:pStyle w:val="Text1"/>
      </w:pPr>
      <w:r w:rsidRPr="00392E88">
        <w:t>3.</w:t>
      </w:r>
      <w:r w:rsidRPr="00392E88">
        <w:tab/>
        <w:t xml:space="preserve">Ustanowienie platformy współpracy na podstawie </w:t>
      </w:r>
      <w:r w:rsidRPr="006E6446">
        <w:t>ust.</w:t>
      </w:r>
      <w:r w:rsidR="006E6446" w:rsidRPr="006E6446">
        <w:t> </w:t>
      </w:r>
      <w:r w:rsidRPr="006E6446">
        <w:t>1</w:t>
      </w:r>
      <w:r w:rsidR="006E6446" w:rsidRPr="00392E88">
        <w:t xml:space="preserve"> i</w:t>
      </w:r>
      <w:r w:rsidR="006E6446">
        <w:t> </w:t>
      </w:r>
      <w:r w:rsidR="006E6446" w:rsidRPr="00392E88">
        <w:t>2</w:t>
      </w:r>
      <w:r w:rsidRPr="00392E88">
        <w:t xml:space="preserve"> pozostaje bez uszczerbku dla uprawnień nadzorczych właściwych organów rodzimego państwa członkowskiego</w:t>
      </w:r>
      <w:r w:rsidR="006E6446" w:rsidRPr="00392E88">
        <w:t xml:space="preserve"> i</w:t>
      </w:r>
      <w:r w:rsidR="006E6446">
        <w:t> </w:t>
      </w:r>
      <w:r w:rsidR="006E6446" w:rsidRPr="00392E88">
        <w:t>prz</w:t>
      </w:r>
      <w:r w:rsidRPr="00392E88">
        <w:t>yjmującego państwa członkowskiego określonych</w:t>
      </w:r>
      <w:r w:rsidR="006E6446" w:rsidRPr="00392E88">
        <w:t xml:space="preserve"> w</w:t>
      </w:r>
      <w:r w:rsidR="006E6446">
        <w:t> </w:t>
      </w:r>
      <w:r w:rsidR="006E6446" w:rsidRPr="00392E88">
        <w:t>nin</w:t>
      </w:r>
      <w:r w:rsidRPr="00392E88">
        <w:t>iejszej dyrektywie.</w:t>
      </w:r>
    </w:p>
    <w:p w14:paraId="69F0DF9E" w14:textId="74253818" w:rsidR="13E6C14C" w:rsidRPr="00392E88" w:rsidRDefault="13E6C14C" w:rsidP="00BC3DF1">
      <w:pPr>
        <w:pStyle w:val="Text1"/>
        <w:rPr>
          <w:szCs w:val="24"/>
        </w:rPr>
      </w:pPr>
      <w:r w:rsidRPr="00392E88">
        <w:t>4.</w:t>
      </w:r>
      <w:r w:rsidRPr="00392E88">
        <w:tab/>
        <w:t xml:space="preserve">Bez uszczerbku dla </w:t>
      </w:r>
      <w:r w:rsidRPr="006E6446">
        <w:t>art.</w:t>
      </w:r>
      <w:r w:rsidR="006E6446" w:rsidRPr="006E6446">
        <w:t> </w:t>
      </w:r>
      <w:r w:rsidRPr="006E6446">
        <w:t>3</w:t>
      </w:r>
      <w:r w:rsidRPr="00392E88">
        <w:t xml:space="preserve">5 rozporządzenia (UE) </w:t>
      </w:r>
      <w:r w:rsidRPr="006E6446">
        <w:t>nr</w:t>
      </w:r>
      <w:r w:rsidR="006E6446" w:rsidRPr="006E6446">
        <w:t> </w:t>
      </w:r>
      <w:r w:rsidRPr="006E6446">
        <w:t>1</w:t>
      </w:r>
      <w:r w:rsidRPr="00392E88">
        <w:t>094/2010 na wniosek EIOPA odpowiednie właściwe organy przekazują</w:t>
      </w:r>
      <w:r w:rsidR="006E6446" w:rsidRPr="00392E88">
        <w:t xml:space="preserve"> w</w:t>
      </w:r>
      <w:r w:rsidR="006E6446">
        <w:t> </w:t>
      </w:r>
      <w:r w:rsidR="006E6446" w:rsidRPr="00392E88">
        <w:t>odp</w:t>
      </w:r>
      <w:r w:rsidRPr="00392E88">
        <w:t>owiednim czasie wszystkie niezbędne informacje.</w:t>
      </w:r>
    </w:p>
    <w:p w14:paraId="58BFA0CA" w14:textId="60B44C71" w:rsidR="13E6C14C" w:rsidRPr="00392E88" w:rsidRDefault="13E6C14C" w:rsidP="00BC3DF1">
      <w:pPr>
        <w:pStyle w:val="Text1"/>
      </w:pPr>
      <w:r w:rsidRPr="00392E88">
        <w:t>5.</w:t>
      </w:r>
      <w:r w:rsidRPr="00392E88">
        <w:tab/>
        <w:t>Jeżeli co najmniej dwa właściwe organy uczestniczące</w:t>
      </w:r>
      <w:r w:rsidR="006E6446" w:rsidRPr="00392E88">
        <w:t xml:space="preserve"> w</w:t>
      </w:r>
      <w:r w:rsidR="006E6446">
        <w:t> </w:t>
      </w:r>
      <w:r w:rsidR="006E6446" w:rsidRPr="00392E88">
        <w:t>pla</w:t>
      </w:r>
      <w:r w:rsidRPr="00392E88">
        <w:t>tformie współpracy nie zgadzają się co do procedury lub treści działań, które mają zostać podjęte, lub co do niepodejmowania działań, EIOPA może, na wniosek dowolnego odpowiedniego właściwego organu lub</w:t>
      </w:r>
      <w:r w:rsidR="006E6446" w:rsidRPr="00392E88">
        <w:t xml:space="preserve"> z</w:t>
      </w:r>
      <w:r w:rsidR="006E6446">
        <w:t> </w:t>
      </w:r>
      <w:r w:rsidR="006E6446" w:rsidRPr="00392E88">
        <w:t>wła</w:t>
      </w:r>
      <w:r w:rsidRPr="00392E88">
        <w:t>snej inicjatywy, wesprzeć te właściwe organy</w:t>
      </w:r>
      <w:r w:rsidR="006E6446" w:rsidRPr="00392E88">
        <w:t xml:space="preserve"> w</w:t>
      </w:r>
      <w:r w:rsidR="006E6446">
        <w:t> </w:t>
      </w:r>
      <w:r w:rsidR="006E6446" w:rsidRPr="00392E88">
        <w:t>osi</w:t>
      </w:r>
      <w:r w:rsidRPr="00392E88">
        <w:t>ągnięciu porozumienia zgodnie</w:t>
      </w:r>
      <w:r w:rsidR="006E6446" w:rsidRPr="00392E88">
        <w:t xml:space="preserve"> z</w:t>
      </w:r>
      <w:r w:rsidR="006E6446">
        <w:t> </w:t>
      </w:r>
      <w:r w:rsidR="006E6446" w:rsidRPr="006E6446">
        <w:t>art</w:t>
      </w:r>
      <w:r w:rsidRPr="006E6446">
        <w:t>.</w:t>
      </w:r>
      <w:r w:rsidR="006E6446" w:rsidRPr="006E6446">
        <w:t> </w:t>
      </w:r>
      <w:r w:rsidRPr="006E6446">
        <w:t>1</w:t>
      </w:r>
      <w:r w:rsidRPr="00392E88">
        <w:t xml:space="preserve">9 </w:t>
      </w:r>
      <w:r w:rsidRPr="006E6446">
        <w:t>ust.</w:t>
      </w:r>
      <w:r w:rsidR="006E6446" w:rsidRPr="006E6446">
        <w:t> </w:t>
      </w:r>
      <w:r w:rsidRPr="006E6446">
        <w:t>1</w:t>
      </w:r>
      <w:r w:rsidRPr="00392E88">
        <w:t xml:space="preserve"> rozporządzenia (UE) </w:t>
      </w:r>
      <w:r w:rsidRPr="006E6446">
        <w:t>nr</w:t>
      </w:r>
      <w:r w:rsidR="006E6446" w:rsidRPr="006E6446">
        <w:t> </w:t>
      </w:r>
      <w:r w:rsidRPr="006E6446">
        <w:t>1</w:t>
      </w:r>
      <w:r w:rsidRPr="00392E88">
        <w:t>094/2010.</w:t>
      </w:r>
    </w:p>
    <w:p w14:paraId="4A8850E8" w14:textId="712A7C4E" w:rsidR="482E0F0E" w:rsidRPr="00392E88" w:rsidRDefault="13E6C14C" w:rsidP="00BC3DF1">
      <w:pPr>
        <w:pStyle w:val="Text1"/>
      </w:pPr>
      <w:r w:rsidRPr="00392E88">
        <w:t>6.</w:t>
      </w:r>
      <w:r w:rsidRPr="00392E88">
        <w:tab/>
        <w:t>W przypadku braku porozumienia</w:t>
      </w:r>
      <w:r w:rsidR="006E6446" w:rsidRPr="00392E88">
        <w:t xml:space="preserve"> w</w:t>
      </w:r>
      <w:r w:rsidR="006E6446">
        <w:t> </w:t>
      </w:r>
      <w:r w:rsidR="006E6446" w:rsidRPr="00392E88">
        <w:t>ram</w:t>
      </w:r>
      <w:r w:rsidRPr="00392E88">
        <w:t>ach platformy oraz</w:t>
      </w:r>
      <w:r w:rsidR="006E6446" w:rsidRPr="00392E88">
        <w:t xml:space="preserve"> w</w:t>
      </w:r>
      <w:r w:rsidR="006E6446">
        <w:t> </w:t>
      </w:r>
      <w:r w:rsidR="006E6446" w:rsidRPr="00392E88">
        <w:t>raz</w:t>
      </w:r>
      <w:r w:rsidRPr="00392E88">
        <w:t>ie poważnych obaw dotyczących negatywnych skutków dla uczestników</w:t>
      </w:r>
      <w:r w:rsidR="006E6446" w:rsidRPr="00392E88">
        <w:t xml:space="preserve"> i</w:t>
      </w:r>
      <w:r w:rsidR="006E6446">
        <w:t> </w:t>
      </w:r>
      <w:r w:rsidR="006E6446" w:rsidRPr="00392E88">
        <w:t>ben</w:t>
      </w:r>
      <w:r w:rsidRPr="00392E88">
        <w:t>eficjentów lub obaw związanych</w:t>
      </w:r>
      <w:r w:rsidR="006E6446" w:rsidRPr="00392E88">
        <w:t xml:space="preserve"> z</w:t>
      </w:r>
      <w:r w:rsidR="006E6446">
        <w:t> </w:t>
      </w:r>
      <w:r w:rsidR="006E6446" w:rsidRPr="00392E88">
        <w:t>tre</w:t>
      </w:r>
      <w:r w:rsidRPr="00392E88">
        <w:t>ścią działań, które należy podjąć</w:t>
      </w:r>
      <w:r w:rsidR="006E6446" w:rsidRPr="00392E88">
        <w:t xml:space="preserve"> w</w:t>
      </w:r>
      <w:r w:rsidR="006E6446">
        <w:t> </w:t>
      </w:r>
      <w:r w:rsidR="006E6446" w:rsidRPr="00392E88">
        <w:t>odn</w:t>
      </w:r>
      <w:r w:rsidRPr="00392E88">
        <w:t>iesieniu do IORP, lub zaniechaniem takich działań EIOPA może zwrócić się do właściwego organu rodzimego państwa członkowskiego</w:t>
      </w:r>
      <w:r w:rsidR="006E6446" w:rsidRPr="00392E88">
        <w:t xml:space="preserve"> o</w:t>
      </w:r>
      <w:r w:rsidR="006E6446">
        <w:t> </w:t>
      </w:r>
      <w:r w:rsidR="006E6446" w:rsidRPr="00392E88">
        <w:t>prz</w:t>
      </w:r>
      <w:r w:rsidRPr="00392E88">
        <w:t>eprowadzenie kontroli na miejscu w IORP. Właściwy organ rodzimego państwa członkowskiego niezwłocznie wszczyna kontrolę na miejscu</w:t>
      </w:r>
      <w:r w:rsidR="006E6446" w:rsidRPr="00392E88">
        <w:t xml:space="preserve"> i</w:t>
      </w:r>
      <w:r w:rsidR="006E6446">
        <w:t> </w:t>
      </w:r>
      <w:r w:rsidR="006E6446" w:rsidRPr="00392E88">
        <w:t>zap</w:t>
      </w:r>
      <w:r w:rsidRPr="00392E88">
        <w:t>rasza EIOPA</w:t>
      </w:r>
      <w:r w:rsidR="006E6446" w:rsidRPr="00392E88">
        <w:t xml:space="preserve"> i</w:t>
      </w:r>
      <w:r w:rsidR="006E6446">
        <w:t> </w:t>
      </w:r>
      <w:r w:rsidR="006E6446" w:rsidRPr="00392E88">
        <w:t>inn</w:t>
      </w:r>
      <w:r w:rsidRPr="00392E88">
        <w:t>e zainteresowane właściwe organy do udziału</w:t>
      </w:r>
      <w:r w:rsidR="006E6446" w:rsidRPr="00392E88">
        <w:t xml:space="preserve"> w</w:t>
      </w:r>
      <w:r w:rsidR="006E6446">
        <w:t> </w:t>
      </w:r>
      <w:r w:rsidR="006E6446" w:rsidRPr="00392E88">
        <w:t>tej</w:t>
      </w:r>
      <w:r w:rsidRPr="00392E88">
        <w:t xml:space="preserve"> kontroli.”;</w:t>
      </w:r>
    </w:p>
    <w:p w14:paraId="6A94A0DB" w14:textId="3D1DB6EA" w:rsidR="001D5C55" w:rsidRPr="00392E88" w:rsidRDefault="006E6446" w:rsidP="006E6446">
      <w:pPr>
        <w:pStyle w:val="Point0"/>
      </w:pPr>
      <w:r>
        <w:t>59)</w:t>
      </w:r>
      <w:r>
        <w:tab/>
      </w:r>
      <w:r w:rsidR="0023436F" w:rsidRPr="006E6446">
        <w:t>art.</w:t>
      </w:r>
      <w:r w:rsidRPr="006E6446">
        <w:t> </w:t>
      </w:r>
      <w:r w:rsidR="0023436F" w:rsidRPr="006E6446">
        <w:t>5</w:t>
      </w:r>
      <w:r w:rsidR="0023436F" w:rsidRPr="00392E88">
        <w:t>9 otrzymuje brzmienie:</w:t>
      </w:r>
    </w:p>
    <w:p w14:paraId="62EBE3D3" w14:textId="77777777" w:rsidR="003B230A" w:rsidRPr="00392E88" w:rsidRDefault="00762BE3" w:rsidP="00C9746B">
      <w:pPr>
        <w:pStyle w:val="Titrearticle"/>
      </w:pPr>
      <w:r w:rsidRPr="00392E88">
        <w:t xml:space="preserve">„Artykuł 59 </w:t>
      </w:r>
      <w:r w:rsidRPr="00392E88">
        <w:br/>
      </w:r>
      <w:r w:rsidRPr="00392E88">
        <w:rPr>
          <w:b/>
          <w:i w:val="0"/>
        </w:rPr>
        <w:t>Publikacja przepisów krajowych</w:t>
      </w:r>
    </w:p>
    <w:p w14:paraId="0E8FEF92" w14:textId="05450CD6" w:rsidR="00586D9E" w:rsidRPr="00392E88" w:rsidRDefault="003B230A" w:rsidP="00C9746B">
      <w:pPr>
        <w:pStyle w:val="Text1"/>
      </w:pPr>
      <w:r w:rsidRPr="00392E88">
        <w:t>1.</w:t>
      </w:r>
      <w:r w:rsidRPr="00392E88">
        <w:tab/>
        <w:t>Państwa członkowskie zapewniają odpowiednią publikację przez swoje właściwe organy wymogów prawa socjalnego</w:t>
      </w:r>
      <w:r w:rsidR="006E6446" w:rsidRPr="00392E88">
        <w:t xml:space="preserve"> i</w:t>
      </w:r>
      <w:r w:rsidR="006E6446">
        <w:t> </w:t>
      </w:r>
      <w:r w:rsidR="006E6446" w:rsidRPr="00392E88">
        <w:t>pra</w:t>
      </w:r>
      <w:r w:rsidRPr="00392E88">
        <w:t>wa pracy dotyczących pracowniczych programów emerytalnych,</w:t>
      </w:r>
      <w:r w:rsidR="006E6446" w:rsidRPr="00392E88">
        <w:t xml:space="preserve"> w</w:t>
      </w:r>
      <w:r w:rsidR="006E6446">
        <w:t> </w:t>
      </w:r>
      <w:r w:rsidR="006E6446" w:rsidRPr="00392E88">
        <w:t>ram</w:t>
      </w:r>
      <w:r w:rsidRPr="00392E88">
        <w:t>ach których musi być obsługiwany program emerytalny finansowany przez instytucję finansującą</w:t>
      </w:r>
      <w:r w:rsidR="006E6446" w:rsidRPr="00392E88">
        <w:t xml:space="preserve"> w</w:t>
      </w:r>
      <w:r w:rsidR="006E6446">
        <w:t> </w:t>
      </w:r>
      <w:r w:rsidR="006E6446" w:rsidRPr="00392E88">
        <w:t>prz</w:t>
      </w:r>
      <w:r w:rsidRPr="00392E88">
        <w:t>yjmującym państwie członkowskim, które to wymogi mają zastosowanie do transgranicznej działalności IORP,</w:t>
      </w:r>
      <w:r w:rsidR="006E6446" w:rsidRPr="00392E88">
        <w:t xml:space="preserve"> o</w:t>
      </w:r>
      <w:r w:rsidR="006E6446">
        <w:t> </w:t>
      </w:r>
      <w:r w:rsidR="006E6446" w:rsidRPr="00392E88">
        <w:t>któ</w:t>
      </w:r>
      <w:r w:rsidRPr="00392E88">
        <w:t>rej mowa</w:t>
      </w:r>
      <w:r w:rsidR="006E6446" w:rsidRPr="00392E88">
        <w:t xml:space="preserve"> w</w:t>
      </w:r>
      <w:r w:rsidR="006E6446">
        <w:t> </w:t>
      </w:r>
      <w:r w:rsidR="006E6446" w:rsidRPr="006E6446">
        <w:t>art</w:t>
      </w:r>
      <w:r w:rsidRPr="006E6446">
        <w:t>.</w:t>
      </w:r>
      <w:r w:rsidR="006E6446" w:rsidRPr="006E6446">
        <w:t> </w:t>
      </w:r>
      <w:r w:rsidRPr="006E6446">
        <w:t>1</w:t>
      </w:r>
      <w:r w:rsidRPr="00392E88">
        <w:t xml:space="preserve">1 </w:t>
      </w:r>
      <w:r w:rsidRPr="006E6446">
        <w:t>ust.</w:t>
      </w:r>
      <w:r w:rsidR="006E6446" w:rsidRPr="006E6446">
        <w:t> </w:t>
      </w:r>
      <w:r w:rsidRPr="006E6446">
        <w:t>1</w:t>
      </w:r>
      <w:r w:rsidRPr="00392E88">
        <w:t xml:space="preserve">. </w:t>
      </w:r>
    </w:p>
    <w:p w14:paraId="42E66651" w14:textId="77777777" w:rsidR="003B230A" w:rsidRPr="00392E88" w:rsidRDefault="00586D9E" w:rsidP="00C9746B">
      <w:pPr>
        <w:pStyle w:val="Text1"/>
      </w:pPr>
      <w:r w:rsidRPr="00392E88">
        <w:t>2.</w:t>
      </w:r>
      <w:r w:rsidRPr="00392E88">
        <w:tab/>
        <w:t>EIOPA zamieszcza na swojej stronie internetowej odsyłacze do stron internetowych właściwych organów, na których publikowane są informacje na temat takich przepisów. Informacje te są aktualne i EIOPA udostępnia je na swojej stronie internetowej, przy czym wszystkie takie przepisy przyporządkowane są do poszczególnych odpowiednich obszarów prawa.</w:t>
      </w:r>
    </w:p>
    <w:p w14:paraId="1BF006B2" w14:textId="0B23B65C" w:rsidR="003B230A" w:rsidRPr="00392E88" w:rsidRDefault="001C500A" w:rsidP="00C9746B">
      <w:pPr>
        <w:pStyle w:val="Text1"/>
      </w:pPr>
      <w:r w:rsidRPr="00392E88">
        <w:t>3.</w:t>
      </w:r>
      <w:r w:rsidRPr="00392E88">
        <w:tab/>
        <w:t>Państwa członkowskie ustanawiają pojedynczy punkt kontaktowy odpowiedzialny za przekazywanie informacji na temat wymogów prawa socjalnego</w:t>
      </w:r>
      <w:r w:rsidR="006E6446" w:rsidRPr="00392E88">
        <w:t xml:space="preserve"> i</w:t>
      </w:r>
      <w:r w:rsidR="006E6446">
        <w:t> </w:t>
      </w:r>
      <w:r w:rsidR="006E6446" w:rsidRPr="00392E88">
        <w:t>pra</w:t>
      </w:r>
      <w:r w:rsidRPr="00392E88">
        <w:t>wa pracy dotyczących pracowniczych programów emerytalnych,</w:t>
      </w:r>
      <w:r w:rsidR="006E6446" w:rsidRPr="00392E88">
        <w:t xml:space="preserve"> w</w:t>
      </w:r>
      <w:r w:rsidR="006E6446">
        <w:t> </w:t>
      </w:r>
      <w:r w:rsidR="006E6446" w:rsidRPr="00392E88">
        <w:t>ram</w:t>
      </w:r>
      <w:r w:rsidRPr="00392E88">
        <w:t>ach których musi być obsługiwany program emerytalny finansowany przez instytucję finansującą</w:t>
      </w:r>
      <w:r w:rsidR="006E6446" w:rsidRPr="00392E88">
        <w:t xml:space="preserve"> w</w:t>
      </w:r>
      <w:r w:rsidR="006E6446">
        <w:t> </w:t>
      </w:r>
      <w:r w:rsidR="006E6446" w:rsidRPr="00392E88">
        <w:t>prz</w:t>
      </w:r>
      <w:r w:rsidRPr="00392E88">
        <w:t>yjmującym państwie członkowskim, które to wymogi mają zastosowanie do transgranicznej działalności IORP</w:t>
      </w:r>
      <w:r w:rsidR="006E6446" w:rsidRPr="00392E88">
        <w:t xml:space="preserve"> w</w:t>
      </w:r>
      <w:r w:rsidR="006E6446">
        <w:t> </w:t>
      </w:r>
      <w:r w:rsidR="006E6446" w:rsidRPr="00392E88">
        <w:t>ich</w:t>
      </w:r>
      <w:r w:rsidRPr="00392E88">
        <w:t xml:space="preserve"> odpowiednich państwach członkowskich. Tym punktem kontaktowym mógłby być odpowiedni właściwy organ.</w:t>
      </w:r>
    </w:p>
    <w:p w14:paraId="623DA943" w14:textId="131DD7C8" w:rsidR="00D95CD0" w:rsidRPr="00392E88" w:rsidRDefault="00FB6FB6" w:rsidP="008A46F8">
      <w:pPr>
        <w:pStyle w:val="Text1"/>
      </w:pPr>
      <w:r w:rsidRPr="00392E88">
        <w:t>4.</w:t>
      </w:r>
      <w:r w:rsidRPr="00392E88">
        <w:tab/>
        <w:t xml:space="preserve">Przed dniem [Urząd Publikacji: </w:t>
      </w:r>
      <w:r w:rsidRPr="00392E88">
        <w:rPr>
          <w:i/>
        </w:rPr>
        <w:t>proszę wstawić datę = sześć miesięcy od daty rozpoczęcia stosowania niniejszej dyrektywy</w:t>
      </w:r>
      <w:r w:rsidRPr="00392E88">
        <w:t>] r.,</w:t>
      </w:r>
      <w:r w:rsidR="006E6446" w:rsidRPr="00392E88">
        <w:t xml:space="preserve"> w</w:t>
      </w:r>
      <w:r w:rsidR="006E6446">
        <w:t> </w:t>
      </w:r>
      <w:r w:rsidR="006E6446" w:rsidRPr="00392E88">
        <w:t>kon</w:t>
      </w:r>
      <w:r w:rsidRPr="00392E88">
        <w:t>tekście właściwego funkcjonowania niniejszej dyrektywy</w:t>
      </w:r>
      <w:r w:rsidR="006E6446" w:rsidRPr="00392E88">
        <w:t xml:space="preserve"> i</w:t>
      </w:r>
      <w:r w:rsidR="006E6446">
        <w:t> </w:t>
      </w:r>
      <w:r w:rsidR="006E6446" w:rsidRPr="00392E88">
        <w:t>ryn</w:t>
      </w:r>
      <w:r w:rsidRPr="00392E88">
        <w:t>ku wewnętrznego, EIOPA analizuje</w:t>
      </w:r>
      <w:r w:rsidR="006E6446" w:rsidRPr="00392E88">
        <w:t xml:space="preserve"> w</w:t>
      </w:r>
      <w:r w:rsidR="006E6446">
        <w:t> </w:t>
      </w:r>
      <w:r w:rsidR="006E6446" w:rsidRPr="00392E88">
        <w:t>spr</w:t>
      </w:r>
      <w:r w:rsidRPr="00392E88">
        <w:t>awozdaniu publikowane przez państwa członkowskie przepisy,</w:t>
      </w:r>
      <w:r w:rsidR="006E6446" w:rsidRPr="00392E88">
        <w:t xml:space="preserve"> o</w:t>
      </w:r>
      <w:r w:rsidR="006E6446">
        <w:t> </w:t>
      </w:r>
      <w:r w:rsidR="006E6446" w:rsidRPr="00392E88">
        <w:t>któ</w:t>
      </w:r>
      <w:r w:rsidRPr="00392E88">
        <w:t>rych mowa</w:t>
      </w:r>
      <w:r w:rsidR="006E6446" w:rsidRPr="00392E88">
        <w:t xml:space="preserve"> w</w:t>
      </w:r>
      <w:r w:rsidR="006E6446">
        <w:t> </w:t>
      </w:r>
      <w:r w:rsidR="006E6446" w:rsidRPr="00392E88">
        <w:t>nin</w:t>
      </w:r>
      <w:r w:rsidRPr="00392E88">
        <w:t>iejszym artykule, oraz informuje</w:t>
      </w:r>
      <w:r w:rsidR="006E6446" w:rsidRPr="00392E88">
        <w:t xml:space="preserve"> o</w:t>
      </w:r>
      <w:r w:rsidR="006E6446">
        <w:t> </w:t>
      </w:r>
      <w:r w:rsidR="006E6446" w:rsidRPr="00392E88">
        <w:t>nic</w:t>
      </w:r>
      <w:r w:rsidRPr="00392E88">
        <w:t>h Komisję.”;</w:t>
      </w:r>
    </w:p>
    <w:p w14:paraId="72935DEE" w14:textId="4BF58538" w:rsidR="00681417" w:rsidRPr="00392E88" w:rsidRDefault="006E6446" w:rsidP="006E6446">
      <w:pPr>
        <w:pStyle w:val="Point0"/>
      </w:pPr>
      <w:r>
        <w:t>60)</w:t>
      </w:r>
      <w:r>
        <w:tab/>
      </w:r>
      <w:r w:rsidR="00681417" w:rsidRPr="006E6446">
        <w:t>art.</w:t>
      </w:r>
      <w:r w:rsidRPr="006E6446">
        <w:t> </w:t>
      </w:r>
      <w:r w:rsidR="00681417" w:rsidRPr="006E6446">
        <w:t>6</w:t>
      </w:r>
      <w:r w:rsidR="00681417" w:rsidRPr="00392E88">
        <w:t>1</w:t>
      </w:r>
      <w:r w:rsidRPr="00392E88">
        <w:t xml:space="preserve"> i</w:t>
      </w:r>
      <w:r>
        <w:t> </w:t>
      </w:r>
      <w:r w:rsidRPr="00392E88">
        <w:t>6</w:t>
      </w:r>
      <w:r w:rsidR="00681417" w:rsidRPr="00392E88">
        <w:t>2 otrzymują brzmienie:</w:t>
      </w:r>
    </w:p>
    <w:p w14:paraId="1A877790" w14:textId="77777777" w:rsidR="00406A2A" w:rsidRPr="00392E88" w:rsidRDefault="00406A2A" w:rsidP="00406A2A">
      <w:pPr>
        <w:pStyle w:val="Titrearticle"/>
      </w:pPr>
      <w:r w:rsidRPr="00392E88">
        <w:t xml:space="preserve">„Artykuł 61 </w:t>
      </w:r>
      <w:r w:rsidRPr="00392E88">
        <w:br/>
      </w:r>
      <w:r w:rsidRPr="00392E88">
        <w:rPr>
          <w:b/>
          <w:i w:val="0"/>
        </w:rPr>
        <w:t>Przetwarzanie danych osobowych</w:t>
      </w:r>
    </w:p>
    <w:p w14:paraId="5A028BC7" w14:textId="6D810111" w:rsidR="00406A2A" w:rsidRPr="00392E88" w:rsidRDefault="00835510" w:rsidP="00406A2A">
      <w:pPr>
        <w:pStyle w:val="Text1"/>
      </w:pPr>
      <w:r w:rsidRPr="00392E88">
        <w:t>W odniesieniu do przetwarzania danych osobowych</w:t>
      </w:r>
      <w:r w:rsidR="006E6446" w:rsidRPr="00392E88">
        <w:t xml:space="preserve"> w</w:t>
      </w:r>
      <w:r w:rsidR="006E6446">
        <w:t> </w:t>
      </w:r>
      <w:r w:rsidR="006E6446" w:rsidRPr="00392E88">
        <w:t>ram</w:t>
      </w:r>
      <w:r w:rsidRPr="00392E88">
        <w:t>ach niniejszej dyrektywy IORP</w:t>
      </w:r>
      <w:r w:rsidR="006E6446" w:rsidRPr="00392E88">
        <w:t xml:space="preserve"> i</w:t>
      </w:r>
      <w:r w:rsidR="006E6446">
        <w:t> </w:t>
      </w:r>
      <w:r w:rsidR="006E6446" w:rsidRPr="00392E88">
        <w:t>wła</w:t>
      </w:r>
      <w:r w:rsidRPr="00392E88">
        <w:t>ściwe organy wykonują swoje zadania zgodnie</w:t>
      </w:r>
      <w:r w:rsidR="006E6446" w:rsidRPr="00392E88">
        <w:t xml:space="preserve"> z</w:t>
      </w:r>
      <w:r w:rsidR="006E6446">
        <w:t> </w:t>
      </w:r>
      <w:r w:rsidR="006E6446" w:rsidRPr="00392E88">
        <w:t>roz</w:t>
      </w:r>
      <w:r w:rsidRPr="00392E88">
        <w:t>porządzeniem (UE) 2016/679</w:t>
      </w:r>
      <w:r w:rsidR="006E6446" w:rsidRPr="00392E88">
        <w:t>. W</w:t>
      </w:r>
      <w:r w:rsidR="006E6446">
        <w:t> </w:t>
      </w:r>
      <w:r w:rsidR="006E6446" w:rsidRPr="00392E88">
        <w:t>odn</w:t>
      </w:r>
      <w:r w:rsidRPr="00392E88">
        <w:t>iesieniu do przetwarzania przez EIOPA danych osobowych</w:t>
      </w:r>
      <w:r w:rsidR="006E6446" w:rsidRPr="00392E88">
        <w:t xml:space="preserve"> w</w:t>
      </w:r>
      <w:r w:rsidR="006E6446">
        <w:t> </w:t>
      </w:r>
      <w:r w:rsidR="006E6446" w:rsidRPr="00392E88">
        <w:t>ram</w:t>
      </w:r>
      <w:r w:rsidRPr="00392E88">
        <w:t>ach niniejszej dyrektywy EIOPA stosuje się do przepisów rozporządzenia (UE) 2018/1725.</w:t>
      </w:r>
    </w:p>
    <w:p w14:paraId="2EB94189" w14:textId="77777777" w:rsidR="00B27731" w:rsidRPr="00392E88" w:rsidRDefault="00B27731" w:rsidP="00B27731">
      <w:pPr>
        <w:pStyle w:val="Titrearticle"/>
      </w:pPr>
      <w:r w:rsidRPr="00392E88">
        <w:t xml:space="preserve">Artykuł 62 </w:t>
      </w:r>
      <w:r w:rsidRPr="00392E88">
        <w:br/>
      </w:r>
      <w:r w:rsidRPr="00392E88">
        <w:rPr>
          <w:b/>
          <w:i w:val="0"/>
        </w:rPr>
        <w:t>Ocena</w:t>
      </w:r>
    </w:p>
    <w:p w14:paraId="1414025C" w14:textId="6B3C0C64" w:rsidR="00454DC2" w:rsidRPr="00392E88" w:rsidRDefault="00B27731" w:rsidP="005D0C3B">
      <w:pPr>
        <w:pStyle w:val="Text1"/>
      </w:pPr>
      <w:r w:rsidRPr="00392E88">
        <w:t>Do dnia [Urząd Publikacji: proszę wstawić datę = cztery lata od daty rozpoczęcia stosowania niniejszej dyrektywy] r. EIOPA przedkłada Komisji, Parlamentowi Europejskiemu</w:t>
      </w:r>
      <w:r w:rsidR="006E6446" w:rsidRPr="00392E88">
        <w:t xml:space="preserve"> i</w:t>
      </w:r>
      <w:r w:rsidR="006E6446">
        <w:t> </w:t>
      </w:r>
      <w:r w:rsidR="006E6446" w:rsidRPr="00392E88">
        <w:t>Rad</w:t>
      </w:r>
      <w:r w:rsidRPr="00392E88">
        <w:t>zie sprawozdanie</w:t>
      </w:r>
      <w:r w:rsidR="006E6446" w:rsidRPr="00392E88">
        <w:t xml:space="preserve"> z</w:t>
      </w:r>
      <w:r w:rsidR="006E6446">
        <w:t> </w:t>
      </w:r>
      <w:r w:rsidR="006E6446" w:rsidRPr="00392E88">
        <w:t>wyk</w:t>
      </w:r>
      <w:r w:rsidRPr="00392E88">
        <w:t>onania niniejszej dyrektywy,</w:t>
      </w:r>
      <w:r w:rsidR="006E6446" w:rsidRPr="00392E88">
        <w:t xml:space="preserve"> w</w:t>
      </w:r>
      <w:r w:rsidR="006E6446">
        <w:t> </w:t>
      </w:r>
      <w:r w:rsidR="006E6446" w:rsidRPr="00392E88">
        <w:t>szc</w:t>
      </w:r>
      <w:r w:rsidRPr="00392E88">
        <w:t>zególności</w:t>
      </w:r>
      <w:r w:rsidR="006E6446" w:rsidRPr="00392E88">
        <w:t xml:space="preserve"> w</w:t>
      </w:r>
      <w:r w:rsidR="006E6446">
        <w:t> </w:t>
      </w:r>
      <w:r w:rsidR="006E6446" w:rsidRPr="00392E88">
        <w:t>odn</w:t>
      </w:r>
      <w:r w:rsidRPr="00392E88">
        <w:t>iesieniu do następujących aspektów:</w:t>
      </w:r>
    </w:p>
    <w:p w14:paraId="5EAB31E0" w14:textId="5981D956" w:rsidR="007334EB" w:rsidRPr="00392E88" w:rsidRDefault="00677453" w:rsidP="0048259C">
      <w:pPr>
        <w:pStyle w:val="Point1"/>
      </w:pPr>
      <w:r w:rsidRPr="00392E88">
        <w:t>a)</w:t>
      </w:r>
      <w:r w:rsidRPr="00392E88">
        <w:tab/>
        <w:t>zakresu,</w:t>
      </w:r>
      <w:r w:rsidR="006E6446" w:rsidRPr="00392E88">
        <w:t xml:space="preserve"> w</w:t>
      </w:r>
      <w:r w:rsidR="006E6446">
        <w:t> </w:t>
      </w:r>
      <w:r w:rsidR="006E6446" w:rsidRPr="00392E88">
        <w:t>jak</w:t>
      </w:r>
      <w:r w:rsidRPr="00392E88">
        <w:t>im niniejsza dyrektywa przyczynia się do integracji, efektywności</w:t>
      </w:r>
      <w:r w:rsidR="006E6446" w:rsidRPr="00392E88">
        <w:t xml:space="preserve"> i</w:t>
      </w:r>
      <w:r w:rsidR="006E6446">
        <w:t> </w:t>
      </w:r>
      <w:r w:rsidR="006E6446" w:rsidRPr="00392E88">
        <w:t>zwi</w:t>
      </w:r>
      <w:r w:rsidRPr="00392E88">
        <w:t>ększenia skali pracowniczych programów emerytalnych na rynku wewnętrznym,</w:t>
      </w:r>
      <w:r w:rsidR="006E6446" w:rsidRPr="00392E88">
        <w:t xml:space="preserve"> w</w:t>
      </w:r>
      <w:r w:rsidR="006E6446">
        <w:t> </w:t>
      </w:r>
      <w:r w:rsidR="006E6446" w:rsidRPr="00392E88">
        <w:t>tym</w:t>
      </w:r>
      <w:r w:rsidRPr="00392E88">
        <w:t xml:space="preserve"> tendencji</w:t>
      </w:r>
      <w:r w:rsidR="006E6446" w:rsidRPr="00392E88">
        <w:t xml:space="preserve"> w</w:t>
      </w:r>
      <w:r w:rsidR="006E6446">
        <w:t> </w:t>
      </w:r>
      <w:r w:rsidR="006E6446" w:rsidRPr="00392E88">
        <w:t>zak</w:t>
      </w:r>
      <w:r w:rsidRPr="00392E88">
        <w:t>resie konsolidacji</w:t>
      </w:r>
      <w:r w:rsidR="006E6446" w:rsidRPr="00392E88">
        <w:t xml:space="preserve"> i</w:t>
      </w:r>
      <w:r w:rsidR="006E6446">
        <w:t> </w:t>
      </w:r>
      <w:r w:rsidR="006E6446" w:rsidRPr="00392E88">
        <w:t>wsp</w:t>
      </w:r>
      <w:r w:rsidRPr="00392E88">
        <w:t>ółpracy między IORP;</w:t>
      </w:r>
    </w:p>
    <w:p w14:paraId="68A54FE4" w14:textId="48A20DED" w:rsidR="007334EB" w:rsidRPr="00392E88" w:rsidRDefault="0060308B" w:rsidP="0048259C">
      <w:pPr>
        <w:pStyle w:val="Point1"/>
      </w:pPr>
      <w:r w:rsidRPr="00392E88">
        <w:t>b)</w:t>
      </w:r>
      <w:r w:rsidRPr="00392E88">
        <w:tab/>
        <w:t>doświadczenia zdobytego podczas stosowania niniejszej dyrektywy,</w:t>
      </w:r>
      <w:r w:rsidR="006E6446" w:rsidRPr="00392E88">
        <w:t xml:space="preserve"> w</w:t>
      </w:r>
      <w:r w:rsidR="006E6446">
        <w:t> </w:t>
      </w:r>
      <w:r w:rsidR="006E6446" w:rsidRPr="00392E88">
        <w:t>tym</w:t>
      </w:r>
      <w:r w:rsidRPr="00392E88">
        <w:t xml:space="preserve"> jej wpływu na wielkość, efektywność kosztową, konsolidację</w:t>
      </w:r>
      <w:r w:rsidR="006E6446" w:rsidRPr="00392E88">
        <w:t xml:space="preserve"> i</w:t>
      </w:r>
      <w:r w:rsidR="006E6446">
        <w:t> </w:t>
      </w:r>
      <w:r w:rsidR="006E6446" w:rsidRPr="00392E88">
        <w:t>pro</w:t>
      </w:r>
      <w:r w:rsidRPr="00392E88">
        <w:t>fesjonalizację IORP oraz jej roli we wspieraniu zaufania, przejrzystości</w:t>
      </w:r>
      <w:r w:rsidR="006E6446" w:rsidRPr="00392E88">
        <w:t xml:space="preserve"> i</w:t>
      </w:r>
      <w:r w:rsidR="006E6446">
        <w:t> </w:t>
      </w:r>
      <w:r w:rsidR="006E6446" w:rsidRPr="00392E88">
        <w:t>nal</w:t>
      </w:r>
      <w:r w:rsidRPr="00392E88">
        <w:t>eżytego zarządzania ryzykiem</w:t>
      </w:r>
      <w:r w:rsidR="006E6446" w:rsidRPr="00392E88">
        <w:t xml:space="preserve"> w</w:t>
      </w:r>
      <w:r w:rsidR="006E6446">
        <w:t> </w:t>
      </w:r>
      <w:r w:rsidR="006E6446" w:rsidRPr="00392E88">
        <w:t>int</w:t>
      </w:r>
      <w:r w:rsidRPr="00392E88">
        <w:t>eresie uczestników</w:t>
      </w:r>
      <w:r w:rsidR="006E6446" w:rsidRPr="00392E88">
        <w:t xml:space="preserve"> i</w:t>
      </w:r>
      <w:r w:rsidR="006E6446">
        <w:t> </w:t>
      </w:r>
      <w:r w:rsidR="006E6446" w:rsidRPr="00392E88">
        <w:t>ben</w:t>
      </w:r>
      <w:r w:rsidRPr="00392E88">
        <w:t>eficjentów;</w:t>
      </w:r>
    </w:p>
    <w:p w14:paraId="28F6BEC9" w14:textId="644EE5EA" w:rsidR="003F4EDC" w:rsidRPr="00392E88" w:rsidRDefault="007334EB" w:rsidP="0048259C">
      <w:pPr>
        <w:pStyle w:val="Point1"/>
      </w:pPr>
      <w:r w:rsidRPr="00392E88">
        <w:t>c)</w:t>
      </w:r>
      <w:r w:rsidRPr="00392E88">
        <w:tab/>
        <w:t>opcjonalnego rozszerzenia zakresu stosowania niniejszej dyrektywy zgodnie</w:t>
      </w:r>
      <w:r w:rsidR="006E6446" w:rsidRPr="00392E88">
        <w:t xml:space="preserve"> z</w:t>
      </w:r>
      <w:r w:rsidR="006E6446">
        <w:t> </w:t>
      </w:r>
      <w:r w:rsidR="006E6446" w:rsidRPr="006E6446">
        <w:t>art</w:t>
      </w:r>
      <w:r w:rsidRPr="006E6446">
        <w:t>.</w:t>
      </w:r>
      <w:r w:rsidR="006E6446" w:rsidRPr="006E6446">
        <w:t> </w:t>
      </w:r>
      <w:r w:rsidRPr="006E6446">
        <w:t>4</w:t>
      </w:r>
      <w:r w:rsidRPr="00392E88">
        <w:t xml:space="preserve"> oraz jej wpływu na rynek emerytur dodatkowych.”; </w:t>
      </w:r>
    </w:p>
    <w:p w14:paraId="1D020082" w14:textId="5203B365" w:rsidR="00DF45DD" w:rsidRPr="00392E88" w:rsidRDefault="006E6446" w:rsidP="006E6446">
      <w:pPr>
        <w:pStyle w:val="Point0"/>
      </w:pPr>
      <w:r>
        <w:t>61)</w:t>
      </w:r>
      <w:r>
        <w:tab/>
      </w:r>
      <w:r w:rsidR="00DF45DD" w:rsidRPr="00392E88">
        <w:t xml:space="preserve">dodaje się </w:t>
      </w:r>
      <w:r w:rsidR="00DF45DD" w:rsidRPr="006E6446">
        <w:t>art.</w:t>
      </w:r>
      <w:r w:rsidRPr="006E6446">
        <w:t> </w:t>
      </w:r>
      <w:r w:rsidR="00DF45DD" w:rsidRPr="006E6446">
        <w:t>6</w:t>
      </w:r>
      <w:r w:rsidR="00DF45DD" w:rsidRPr="00392E88">
        <w:t>4a</w:t>
      </w:r>
      <w:r w:rsidRPr="00392E88">
        <w:t xml:space="preserve"> w</w:t>
      </w:r>
      <w:r>
        <w:t> </w:t>
      </w:r>
      <w:r w:rsidRPr="00392E88">
        <w:t>brz</w:t>
      </w:r>
      <w:r w:rsidR="00DF45DD" w:rsidRPr="00392E88">
        <w:t>mieniu:</w:t>
      </w:r>
    </w:p>
    <w:p w14:paraId="70DA4CBF" w14:textId="406087FA" w:rsidR="00A61B05" w:rsidRPr="00392E88" w:rsidRDefault="00A61B05" w:rsidP="005D0C3B">
      <w:pPr>
        <w:pStyle w:val="Confidence"/>
      </w:pPr>
      <w:r w:rsidRPr="00392E88">
        <w:t>„</w:t>
      </w:r>
      <w:r w:rsidRPr="00392E88">
        <w:rPr>
          <w:i/>
        </w:rPr>
        <w:t>Artykuł 64</w:t>
      </w:r>
      <w:r w:rsidRPr="006E6446">
        <w:rPr>
          <w:i/>
        </w:rPr>
        <w:t>a</w:t>
      </w:r>
      <w:r w:rsidR="006E6446" w:rsidRPr="006E6446">
        <w:t xml:space="preserve"> </w:t>
      </w:r>
      <w:r w:rsidRPr="006E6446">
        <w:br/>
      </w:r>
      <w:r w:rsidRPr="00392E88">
        <w:rPr>
          <w:b/>
        </w:rPr>
        <w:t>Wykonywanie przekazanych uprawnień</w:t>
      </w:r>
    </w:p>
    <w:p w14:paraId="01BF2D35" w14:textId="500C68EA" w:rsidR="00D95CD0" w:rsidRPr="00392E88" w:rsidRDefault="00D95CD0" w:rsidP="005D0C3B">
      <w:pPr>
        <w:pStyle w:val="Text1"/>
      </w:pPr>
      <w:r w:rsidRPr="00392E88">
        <w:t>1.</w:t>
      </w:r>
      <w:r w:rsidRPr="00392E88">
        <w:tab/>
        <w:t>Powierzenie Komisji uprawnień do przyjmowania aktów delegowanych podlega warunkom określonym</w:t>
      </w:r>
      <w:r w:rsidR="006E6446" w:rsidRPr="00392E88">
        <w:t xml:space="preserve"> w</w:t>
      </w:r>
      <w:r w:rsidR="006E6446">
        <w:t> </w:t>
      </w:r>
      <w:r w:rsidR="006E6446" w:rsidRPr="00392E88">
        <w:t>nin</w:t>
      </w:r>
      <w:r w:rsidRPr="00392E88">
        <w:t>iejszym artykule. </w:t>
      </w:r>
    </w:p>
    <w:p w14:paraId="1E35FA6F" w14:textId="77AC7D3E" w:rsidR="00D95CD0" w:rsidRPr="00392E88" w:rsidRDefault="00D95CD0" w:rsidP="005D0C3B">
      <w:pPr>
        <w:pStyle w:val="Text1"/>
      </w:pPr>
      <w:r w:rsidRPr="00392E88">
        <w:t>2.</w:t>
      </w:r>
      <w:r w:rsidRPr="00392E88">
        <w:tab/>
        <w:t>Uprawnienia do przyjęcia aktów delegowanych,</w:t>
      </w:r>
      <w:r w:rsidR="006E6446" w:rsidRPr="00392E88">
        <w:t xml:space="preserve"> o</w:t>
      </w:r>
      <w:r w:rsidR="006E6446">
        <w:t> </w:t>
      </w:r>
      <w:r w:rsidR="006E6446" w:rsidRPr="00392E88">
        <w:t>któ</w:t>
      </w:r>
      <w:r w:rsidRPr="00392E88">
        <w:t>rych mowa</w:t>
      </w:r>
      <w:r w:rsidR="006E6446" w:rsidRPr="00392E88">
        <w:t xml:space="preserve"> w</w:t>
      </w:r>
      <w:r w:rsidR="006E6446">
        <w:t> </w:t>
      </w:r>
      <w:r w:rsidR="006E6446" w:rsidRPr="006E6446">
        <w:t>art</w:t>
      </w:r>
      <w:r w:rsidRPr="006E6446">
        <w:t>.</w:t>
      </w:r>
      <w:r w:rsidR="006E6446" w:rsidRPr="006E6446">
        <w:t> </w:t>
      </w:r>
      <w:r w:rsidRPr="006E6446">
        <w:t>1</w:t>
      </w:r>
      <w:r w:rsidRPr="00392E88">
        <w:t xml:space="preserve">7 </w:t>
      </w:r>
      <w:r w:rsidRPr="006E6446">
        <w:t>ust.</w:t>
      </w:r>
      <w:r w:rsidR="006E6446" w:rsidRPr="006E6446">
        <w:t> </w:t>
      </w:r>
      <w:r w:rsidRPr="006E6446">
        <w:t>7</w:t>
      </w:r>
      <w:r w:rsidR="006E6446" w:rsidRPr="00392E88">
        <w:t xml:space="preserve"> i</w:t>
      </w:r>
      <w:r w:rsidR="006E6446">
        <w:t> </w:t>
      </w:r>
      <w:r w:rsidR="006E6446" w:rsidRPr="006E6446">
        <w:t>art</w:t>
      </w:r>
      <w:r w:rsidRPr="006E6446">
        <w:t>.</w:t>
      </w:r>
      <w:r w:rsidR="006E6446" w:rsidRPr="006E6446">
        <w:t> </w:t>
      </w:r>
      <w:r w:rsidRPr="006E6446">
        <w:t>3</w:t>
      </w:r>
      <w:r w:rsidRPr="00392E88">
        <w:t xml:space="preserve">8 </w:t>
      </w:r>
      <w:r w:rsidRPr="006E6446">
        <w:t>ust.</w:t>
      </w:r>
      <w:r w:rsidR="006E6446" w:rsidRPr="006E6446">
        <w:t> </w:t>
      </w:r>
      <w:r w:rsidRPr="006E6446">
        <w:t>6</w:t>
      </w:r>
      <w:r w:rsidRPr="00392E88">
        <w:t>, powierza się Komisji na czas nieokreślony od dnia [Urząd Publikacji: proszę wstawić datę wejścia</w:t>
      </w:r>
      <w:r w:rsidR="006E6446" w:rsidRPr="00392E88">
        <w:t xml:space="preserve"> w</w:t>
      </w:r>
      <w:r w:rsidR="006E6446">
        <w:t> </w:t>
      </w:r>
      <w:r w:rsidR="006E6446" w:rsidRPr="00392E88">
        <w:t>życ</w:t>
      </w:r>
      <w:r w:rsidRPr="00392E88">
        <w:t>ie] r. </w:t>
      </w:r>
    </w:p>
    <w:p w14:paraId="17D5464D" w14:textId="1F5F6F9C" w:rsidR="00D95CD0" w:rsidRPr="00392E88" w:rsidRDefault="00D95CD0" w:rsidP="005D0C3B">
      <w:pPr>
        <w:pStyle w:val="Text1"/>
      </w:pPr>
      <w:r w:rsidRPr="00392E88">
        <w:t>3.</w:t>
      </w:r>
      <w:r w:rsidRPr="00392E88">
        <w:tab/>
        <w:t>Przekazanie uprawnień,</w:t>
      </w:r>
      <w:r w:rsidR="006E6446" w:rsidRPr="00392E88">
        <w:t xml:space="preserve"> o</w:t>
      </w:r>
      <w:r w:rsidR="006E6446">
        <w:t> </w:t>
      </w:r>
      <w:r w:rsidR="006E6446" w:rsidRPr="00392E88">
        <w:t>któ</w:t>
      </w:r>
      <w:r w:rsidRPr="00392E88">
        <w:t>rych mowa</w:t>
      </w:r>
      <w:r w:rsidR="006E6446" w:rsidRPr="00392E88">
        <w:t xml:space="preserve"> w</w:t>
      </w:r>
      <w:r w:rsidR="006E6446">
        <w:t> </w:t>
      </w:r>
      <w:r w:rsidR="006E6446" w:rsidRPr="006E6446">
        <w:t>art</w:t>
      </w:r>
      <w:r w:rsidRPr="006E6446">
        <w:t>.</w:t>
      </w:r>
      <w:r w:rsidR="006E6446" w:rsidRPr="006E6446">
        <w:t> </w:t>
      </w:r>
      <w:r w:rsidRPr="006E6446">
        <w:t>1</w:t>
      </w:r>
      <w:r w:rsidRPr="00392E88">
        <w:t xml:space="preserve">7 </w:t>
      </w:r>
      <w:r w:rsidRPr="006E6446">
        <w:t>ust.</w:t>
      </w:r>
      <w:r w:rsidR="006E6446" w:rsidRPr="006E6446">
        <w:t> </w:t>
      </w:r>
      <w:r w:rsidRPr="006E6446">
        <w:t>7</w:t>
      </w:r>
      <w:r w:rsidR="006E6446" w:rsidRPr="00392E88">
        <w:t xml:space="preserve"> i</w:t>
      </w:r>
      <w:r w:rsidR="006E6446">
        <w:t> </w:t>
      </w:r>
      <w:r w:rsidR="006E6446" w:rsidRPr="006E6446">
        <w:t>art</w:t>
      </w:r>
      <w:r w:rsidRPr="006E6446">
        <w:t>.</w:t>
      </w:r>
      <w:r w:rsidR="006E6446" w:rsidRPr="006E6446">
        <w:t> </w:t>
      </w:r>
      <w:r w:rsidRPr="006E6446">
        <w:t>3</w:t>
      </w:r>
      <w:r w:rsidRPr="00392E88">
        <w:t xml:space="preserve">8 </w:t>
      </w:r>
      <w:r w:rsidRPr="006E6446">
        <w:t>ust.</w:t>
      </w:r>
      <w:r w:rsidR="006E6446" w:rsidRPr="006E6446">
        <w:t> </w:t>
      </w:r>
      <w:r w:rsidRPr="006E6446">
        <w:t>6</w:t>
      </w:r>
      <w:r w:rsidRPr="00392E88">
        <w:t>, może zostać</w:t>
      </w:r>
      <w:r w:rsidR="006E6446" w:rsidRPr="00392E88">
        <w:t xml:space="preserve"> w</w:t>
      </w:r>
      <w:r w:rsidR="006E6446">
        <w:t> </w:t>
      </w:r>
      <w:r w:rsidR="006E6446" w:rsidRPr="00392E88">
        <w:t>dow</w:t>
      </w:r>
      <w:r w:rsidRPr="00392E88">
        <w:t>olnym momencie odwołane przez Parlament Europejski lub przez Radę. Decyzja</w:t>
      </w:r>
      <w:r w:rsidR="006E6446" w:rsidRPr="00392E88">
        <w:t xml:space="preserve"> o</w:t>
      </w:r>
      <w:r w:rsidR="006E6446">
        <w:t> </w:t>
      </w:r>
      <w:r w:rsidR="006E6446" w:rsidRPr="00392E88">
        <w:t>odw</w:t>
      </w:r>
      <w:r w:rsidRPr="00392E88">
        <w:t>ołaniu kończy przekazanie określonych</w:t>
      </w:r>
      <w:r w:rsidR="006E6446" w:rsidRPr="00392E88">
        <w:t xml:space="preserve"> w</w:t>
      </w:r>
      <w:r w:rsidR="006E6446">
        <w:t> </w:t>
      </w:r>
      <w:r w:rsidR="006E6446" w:rsidRPr="00392E88">
        <w:t>nie</w:t>
      </w:r>
      <w:r w:rsidRPr="00392E88">
        <w:t>j uprawnień. Decyzja</w:t>
      </w:r>
      <w:r w:rsidR="006E6446" w:rsidRPr="00392E88">
        <w:t xml:space="preserve"> o</w:t>
      </w:r>
      <w:r w:rsidR="006E6446">
        <w:t> </w:t>
      </w:r>
      <w:r w:rsidR="006E6446" w:rsidRPr="00392E88">
        <w:t>odw</w:t>
      </w:r>
      <w:r w:rsidRPr="00392E88">
        <w:t>ołaniu staje się skuteczna od następnego dnia po jej opublikowaniu</w:t>
      </w:r>
      <w:r w:rsidR="006E6446" w:rsidRPr="00392E88">
        <w:t xml:space="preserve"> w</w:t>
      </w:r>
      <w:r w:rsidR="006E6446">
        <w:t> </w:t>
      </w:r>
      <w:r w:rsidR="006E6446" w:rsidRPr="00392E88">
        <w:rPr>
          <w:i/>
          <w:iCs/>
        </w:rPr>
        <w:t>Dzi</w:t>
      </w:r>
      <w:r w:rsidRPr="00392E88">
        <w:rPr>
          <w:i/>
          <w:iCs/>
        </w:rPr>
        <w:t>enniku Urzędowym Unii Europejskiej</w:t>
      </w:r>
      <w:r w:rsidRPr="00392E88">
        <w:t xml:space="preserve"> lub</w:t>
      </w:r>
      <w:r w:rsidR="006E6446" w:rsidRPr="00392E88">
        <w:t xml:space="preserve"> w</w:t>
      </w:r>
      <w:r w:rsidR="006E6446">
        <w:t> </w:t>
      </w:r>
      <w:r w:rsidR="006E6446" w:rsidRPr="00392E88">
        <w:t>okr</w:t>
      </w:r>
      <w:r w:rsidRPr="00392E88">
        <w:t>eślonym</w:t>
      </w:r>
      <w:r w:rsidR="006E6446" w:rsidRPr="00392E88">
        <w:t xml:space="preserve"> w</w:t>
      </w:r>
      <w:r w:rsidR="006E6446">
        <w:t> </w:t>
      </w:r>
      <w:r w:rsidR="006E6446" w:rsidRPr="00392E88">
        <w:t>tej</w:t>
      </w:r>
      <w:r w:rsidRPr="00392E88">
        <w:t xml:space="preserve"> decyzji późniejszym terminie. Nie wpływa ona na ważność jakichkolwiek już obowiązujących aktów delegowanych. </w:t>
      </w:r>
    </w:p>
    <w:p w14:paraId="6BF6B782" w14:textId="58EBAB81" w:rsidR="00D95CD0" w:rsidRPr="00392E88" w:rsidRDefault="00D95CD0" w:rsidP="005D0C3B">
      <w:pPr>
        <w:pStyle w:val="Text1"/>
      </w:pPr>
      <w:r w:rsidRPr="00392E88">
        <w:t>4.</w:t>
      </w:r>
      <w:r w:rsidRPr="00392E88">
        <w:tab/>
        <w:t>Niezwłocznie po przyjęciu aktu delegowanego Komisja przekazuje go równocześnie Parlamentowi Europejskiemu</w:t>
      </w:r>
      <w:r w:rsidR="006E6446" w:rsidRPr="00392E88">
        <w:t xml:space="preserve"> i</w:t>
      </w:r>
      <w:r w:rsidR="006E6446">
        <w:t> </w:t>
      </w:r>
      <w:r w:rsidR="006E6446" w:rsidRPr="00392E88">
        <w:t>Rad</w:t>
      </w:r>
      <w:r w:rsidRPr="00392E88">
        <w:t>zie. </w:t>
      </w:r>
    </w:p>
    <w:p w14:paraId="72EAF7A0" w14:textId="43ECD40C" w:rsidR="55A4BDA3" w:rsidRPr="00392E88" w:rsidRDefault="00D95CD0" w:rsidP="008A46F8">
      <w:pPr>
        <w:pStyle w:val="Text1"/>
      </w:pPr>
      <w:r w:rsidRPr="00392E88">
        <w:t>5.</w:t>
      </w:r>
      <w:r w:rsidRPr="00392E88">
        <w:tab/>
        <w:t xml:space="preserve">Akt delegowany przyjęty na podstawie </w:t>
      </w:r>
      <w:r w:rsidRPr="006E6446">
        <w:t>art.</w:t>
      </w:r>
      <w:r w:rsidR="006E6446" w:rsidRPr="006E6446">
        <w:t> </w:t>
      </w:r>
      <w:r w:rsidRPr="006E6446">
        <w:t>1</w:t>
      </w:r>
      <w:r w:rsidRPr="00392E88">
        <w:t xml:space="preserve">7 </w:t>
      </w:r>
      <w:r w:rsidRPr="006E6446">
        <w:t>ust.</w:t>
      </w:r>
      <w:r w:rsidR="006E6446" w:rsidRPr="006E6446">
        <w:t> </w:t>
      </w:r>
      <w:r w:rsidRPr="006E6446">
        <w:t>7</w:t>
      </w:r>
      <w:r w:rsidR="006E6446" w:rsidRPr="00392E88">
        <w:t xml:space="preserve"> i</w:t>
      </w:r>
      <w:r w:rsidR="006E6446">
        <w:t> </w:t>
      </w:r>
      <w:r w:rsidR="006E6446" w:rsidRPr="006E6446">
        <w:t>art</w:t>
      </w:r>
      <w:r w:rsidRPr="006E6446">
        <w:t>.</w:t>
      </w:r>
      <w:r w:rsidR="006E6446" w:rsidRPr="006E6446">
        <w:t> </w:t>
      </w:r>
      <w:r w:rsidRPr="006E6446">
        <w:t>3</w:t>
      </w:r>
      <w:r w:rsidRPr="00392E88">
        <w:t xml:space="preserve">8 </w:t>
      </w:r>
      <w:r w:rsidRPr="006E6446">
        <w:t>ust.</w:t>
      </w:r>
      <w:r w:rsidR="006E6446" w:rsidRPr="006E6446">
        <w:t> </w:t>
      </w:r>
      <w:r w:rsidRPr="006E6446">
        <w:t>6</w:t>
      </w:r>
      <w:r w:rsidRPr="00392E88">
        <w:t xml:space="preserve"> wchodzi</w:t>
      </w:r>
      <w:r w:rsidR="006E6446" w:rsidRPr="00392E88">
        <w:t xml:space="preserve"> w</w:t>
      </w:r>
      <w:r w:rsidR="006E6446">
        <w:t> </w:t>
      </w:r>
      <w:r w:rsidR="006E6446" w:rsidRPr="00392E88">
        <w:t>życ</w:t>
      </w:r>
      <w:r w:rsidRPr="00392E88">
        <w:t>ie tylko wówczas, gdy ani Parlament Europejski, ani Rada nie wyraziły sprzeciwu</w:t>
      </w:r>
      <w:r w:rsidR="006E6446" w:rsidRPr="00392E88">
        <w:t xml:space="preserve"> w</w:t>
      </w:r>
      <w:r w:rsidR="006E6446">
        <w:t> </w:t>
      </w:r>
      <w:r w:rsidR="006E6446" w:rsidRPr="00392E88">
        <w:t>ter</w:t>
      </w:r>
      <w:r w:rsidRPr="00392E88">
        <w:t>minie trzech miesięcy od przekazania tego aktu Parlamentowi Europejskiemu</w:t>
      </w:r>
      <w:r w:rsidR="006E6446" w:rsidRPr="00392E88">
        <w:t xml:space="preserve"> i</w:t>
      </w:r>
      <w:r w:rsidR="006E6446">
        <w:t> </w:t>
      </w:r>
      <w:r w:rsidR="006E6446" w:rsidRPr="00392E88">
        <w:t>Rad</w:t>
      </w:r>
      <w:r w:rsidRPr="00392E88">
        <w:t>zie, lub gdy, przed upływem tego terminu, zarówno Parlament Europejski, jak</w:t>
      </w:r>
      <w:r w:rsidR="006E6446" w:rsidRPr="00392E88">
        <w:t xml:space="preserve"> i</w:t>
      </w:r>
      <w:r w:rsidR="006E6446">
        <w:t> </w:t>
      </w:r>
      <w:r w:rsidR="006E6446" w:rsidRPr="00392E88">
        <w:t>Rad</w:t>
      </w:r>
      <w:r w:rsidRPr="00392E88">
        <w:t>a poinformowały Komisję, że nie wniosą sprzeciwu. Termin ten przedłuża się</w:t>
      </w:r>
      <w:r w:rsidR="006E6446" w:rsidRPr="00392E88">
        <w:t xml:space="preserve"> o</w:t>
      </w:r>
      <w:r w:rsidR="006E6446">
        <w:t> </w:t>
      </w:r>
      <w:r w:rsidR="006E6446" w:rsidRPr="00392E88">
        <w:t>trz</w:t>
      </w:r>
      <w:r w:rsidRPr="00392E88">
        <w:t>y miesiące</w:t>
      </w:r>
      <w:r w:rsidR="006E6446" w:rsidRPr="00392E88">
        <w:t xml:space="preserve"> z</w:t>
      </w:r>
      <w:r w:rsidR="006E6446">
        <w:t> </w:t>
      </w:r>
      <w:r w:rsidR="006E6446" w:rsidRPr="00392E88">
        <w:t>ini</w:t>
      </w:r>
      <w:r w:rsidRPr="00392E88">
        <w:t>cjatywy Parlamentu Europejskiego lub Rady.”.</w:t>
      </w:r>
    </w:p>
    <w:p w14:paraId="3B2AA9A4" w14:textId="56FFEEDD" w:rsidR="00397D7B" w:rsidRPr="00392E88" w:rsidRDefault="00397D7B" w:rsidP="00397D7B">
      <w:pPr>
        <w:pStyle w:val="Titrearticle"/>
        <w:keepLines/>
        <w:rPr>
          <w:i w:val="0"/>
          <w:iCs/>
        </w:rPr>
      </w:pPr>
      <w:r w:rsidRPr="00392E88">
        <w:t xml:space="preserve">Artykuł 2 </w:t>
      </w:r>
      <w:r w:rsidRPr="00392E88">
        <w:br/>
      </w:r>
      <w:r w:rsidRPr="00392E88">
        <w:rPr>
          <w:b/>
          <w:i w:val="0"/>
        </w:rPr>
        <w:t>Zmiany</w:t>
      </w:r>
      <w:r w:rsidR="006E6446" w:rsidRPr="00392E88">
        <w:rPr>
          <w:b/>
          <w:i w:val="0"/>
        </w:rPr>
        <w:t xml:space="preserve"> w</w:t>
      </w:r>
      <w:r w:rsidR="006E6446">
        <w:rPr>
          <w:b/>
          <w:i w:val="0"/>
        </w:rPr>
        <w:t> </w:t>
      </w:r>
      <w:r w:rsidR="006E6446" w:rsidRPr="00392E88">
        <w:rPr>
          <w:b/>
          <w:i w:val="0"/>
        </w:rPr>
        <w:t>dyr</w:t>
      </w:r>
      <w:r w:rsidRPr="00392E88">
        <w:rPr>
          <w:b/>
          <w:i w:val="0"/>
        </w:rPr>
        <w:t>ektywie (UE)</w:t>
      </w:r>
      <w:r w:rsidRPr="00392E88">
        <w:rPr>
          <w:b/>
        </w:rPr>
        <w:t xml:space="preserve"> </w:t>
      </w:r>
      <w:r w:rsidRPr="00392E88">
        <w:rPr>
          <w:b/>
          <w:i w:val="0"/>
        </w:rPr>
        <w:t>2016/97</w:t>
      </w:r>
    </w:p>
    <w:p w14:paraId="6EBABD6F" w14:textId="77777777" w:rsidR="007C6A30" w:rsidRPr="00392E88" w:rsidRDefault="007C6A30" w:rsidP="007C6A30">
      <w:r w:rsidRPr="00392E88">
        <w:t>W dyrektywie (UE) 2016/97 wprowadza się następujące zmiany:</w:t>
      </w:r>
    </w:p>
    <w:p w14:paraId="0D0248C2" w14:textId="6168F414" w:rsidR="00261FEF" w:rsidRPr="00392E88" w:rsidRDefault="006E6446" w:rsidP="006E6446">
      <w:pPr>
        <w:pStyle w:val="Point0"/>
      </w:pPr>
      <w:r>
        <w:t>1)</w:t>
      </w:r>
      <w:r>
        <w:tab/>
      </w:r>
      <w:r w:rsidR="005E763D" w:rsidRPr="00392E88">
        <w:t xml:space="preserve">w art. 2 </w:t>
      </w:r>
      <w:r w:rsidR="005E763D" w:rsidRPr="006E6446">
        <w:t>ust.</w:t>
      </w:r>
      <w:r w:rsidRPr="006E6446">
        <w:t> </w:t>
      </w:r>
      <w:r w:rsidR="005E763D" w:rsidRPr="006E6446">
        <w:t>1</w:t>
      </w:r>
      <w:r w:rsidR="005E763D" w:rsidRPr="00392E88">
        <w:t xml:space="preserve"> dodaje się </w:t>
      </w:r>
      <w:r w:rsidR="005E763D" w:rsidRPr="006E6446">
        <w:t>pkt</w:t>
      </w:r>
      <w:r w:rsidRPr="006E6446">
        <w:t> </w:t>
      </w:r>
      <w:r w:rsidR="005E763D" w:rsidRPr="006E6446">
        <w:t>1</w:t>
      </w:r>
      <w:r w:rsidR="005E763D" w:rsidRPr="00392E88">
        <w:t>9</w:t>
      </w:r>
      <w:r w:rsidRPr="00392E88">
        <w:t xml:space="preserve"> i</w:t>
      </w:r>
      <w:r>
        <w:t> </w:t>
      </w:r>
      <w:r w:rsidRPr="00392E88">
        <w:t>2</w:t>
      </w:r>
      <w:r w:rsidR="005E763D" w:rsidRPr="00392E88">
        <w:t>0</w:t>
      </w:r>
      <w:r w:rsidRPr="00392E88">
        <w:t xml:space="preserve"> w</w:t>
      </w:r>
      <w:r>
        <w:t> </w:t>
      </w:r>
      <w:r w:rsidRPr="00392E88">
        <w:t>brz</w:t>
      </w:r>
      <w:r w:rsidR="005E763D" w:rsidRPr="00392E88">
        <w:t>mieniu:</w:t>
      </w:r>
    </w:p>
    <w:p w14:paraId="2BADF0A7" w14:textId="367ED603" w:rsidR="008D4EDF" w:rsidRPr="00392E88" w:rsidRDefault="008D4EDF" w:rsidP="005D0C3B">
      <w:pPr>
        <w:pStyle w:val="Point1"/>
      </w:pPr>
      <w:r w:rsidRPr="00392E88">
        <w:t>„19)</w:t>
      </w:r>
      <w:r w:rsidRPr="00392E88">
        <w:tab/>
        <w:t>»indywidualny produkt emerytalny« oznacza indywidualny produkt emerytalny zdefiniowany</w:t>
      </w:r>
      <w:r w:rsidR="006E6446" w:rsidRPr="00392E88">
        <w:t xml:space="preserve"> w</w:t>
      </w:r>
      <w:r w:rsidR="006E6446">
        <w:t> </w:t>
      </w:r>
      <w:r w:rsidR="006E6446" w:rsidRPr="006E6446">
        <w:t>art</w:t>
      </w:r>
      <w:r w:rsidRPr="006E6446">
        <w:t>.</w:t>
      </w:r>
      <w:r w:rsidR="006E6446" w:rsidRPr="006E6446">
        <w:t> </w:t>
      </w:r>
      <w:r w:rsidRPr="006E6446">
        <w:t>2</w:t>
      </w:r>
      <w:r w:rsidRPr="00392E88">
        <w:t xml:space="preserve"> </w:t>
      </w:r>
      <w:r w:rsidRPr="006E6446">
        <w:t>pkt</w:t>
      </w:r>
      <w:r w:rsidR="006E6446" w:rsidRPr="006E6446">
        <w:t> </w:t>
      </w:r>
      <w:r w:rsidRPr="006E6446">
        <w:t>1</w:t>
      </w:r>
      <w:r w:rsidRPr="00392E88">
        <w:t xml:space="preserve"> rozporządzenia Parlamentu Europejskiego</w:t>
      </w:r>
      <w:r w:rsidR="006E6446" w:rsidRPr="00392E88">
        <w:t xml:space="preserve"> i</w:t>
      </w:r>
      <w:r w:rsidR="006E6446">
        <w:t> </w:t>
      </w:r>
      <w:r w:rsidR="006E6446" w:rsidRPr="00392E88">
        <w:t>Rad</w:t>
      </w:r>
      <w:r w:rsidRPr="00392E88">
        <w:t>y (UE) 2019/1238*;</w:t>
      </w:r>
    </w:p>
    <w:p w14:paraId="4AF5F6A8" w14:textId="641A5C9C" w:rsidR="00470A36" w:rsidRPr="00392E88" w:rsidRDefault="00470A36">
      <w:pPr>
        <w:pStyle w:val="Point1"/>
      </w:pPr>
      <w:r w:rsidRPr="00392E88">
        <w:t>20) »system monitorowania uprawnień emerytalnych« oznacza narzędzie cyfrowe, zazwyczaj bezpieczny portal internetowy lub aplikację mobilną, które zapewnia osobom fizycznym przegląd ich indywidualnych nabytych uprawnień emerytalnych oraz prognozy dotyczące przyszłych świadczeń</w:t>
      </w:r>
      <w:r w:rsidR="006E6446" w:rsidRPr="00392E88">
        <w:t xml:space="preserve"> w</w:t>
      </w:r>
      <w:r w:rsidR="006E6446">
        <w:t> </w:t>
      </w:r>
      <w:r w:rsidR="006E6446" w:rsidRPr="00392E88">
        <w:t>ram</w:t>
      </w:r>
      <w:r w:rsidRPr="00392E88">
        <w:t>ach programów emerytalnych, których dana osoba jest uczestnikiem lub beneficjentem.</w:t>
      </w:r>
    </w:p>
    <w:p w14:paraId="59046984" w14:textId="77777777" w:rsidR="00C7386D" w:rsidRPr="00392E88" w:rsidRDefault="00C7386D" w:rsidP="00C7386D">
      <w:pPr>
        <w:pStyle w:val="Text2"/>
      </w:pPr>
      <w:r w:rsidRPr="00392E88">
        <w:t>__________</w:t>
      </w:r>
    </w:p>
    <w:p w14:paraId="1950C8AB" w14:textId="156B9E0B" w:rsidR="00C7386D" w:rsidRPr="00392E88" w:rsidRDefault="00C7386D" w:rsidP="005D0C3B">
      <w:pPr>
        <w:pStyle w:val="Text2"/>
        <w:rPr>
          <w:sz w:val="20"/>
          <w:szCs w:val="18"/>
        </w:rPr>
      </w:pPr>
      <w:r w:rsidRPr="00392E88">
        <w:rPr>
          <w:sz w:val="20"/>
        </w:rPr>
        <w:t xml:space="preserve">* </w:t>
      </w:r>
      <w:r w:rsidRPr="00392E88">
        <w:tab/>
      </w:r>
      <w:r w:rsidRPr="00392E88">
        <w:rPr>
          <w:sz w:val="20"/>
        </w:rPr>
        <w:t>Rozporządzenie Parlamentu Europejskiego</w:t>
      </w:r>
      <w:r w:rsidR="006E6446" w:rsidRPr="00392E88">
        <w:rPr>
          <w:sz w:val="20"/>
        </w:rPr>
        <w:t xml:space="preserve"> i</w:t>
      </w:r>
      <w:r w:rsidR="006E6446">
        <w:rPr>
          <w:sz w:val="20"/>
        </w:rPr>
        <w:t> </w:t>
      </w:r>
      <w:r w:rsidR="006E6446" w:rsidRPr="00392E88">
        <w:rPr>
          <w:sz w:val="20"/>
        </w:rPr>
        <w:t>Rad</w:t>
      </w:r>
      <w:r w:rsidRPr="00392E88">
        <w:rPr>
          <w:sz w:val="20"/>
        </w:rPr>
        <w:t>y (UE) 2019/1238</w:t>
      </w:r>
      <w:r w:rsidR="006E6446" w:rsidRPr="00392E88">
        <w:rPr>
          <w:sz w:val="20"/>
        </w:rPr>
        <w:t xml:space="preserve"> z</w:t>
      </w:r>
      <w:r w:rsidR="006E6446">
        <w:rPr>
          <w:sz w:val="20"/>
        </w:rPr>
        <w:t> </w:t>
      </w:r>
      <w:r w:rsidR="006E6446" w:rsidRPr="00392E88">
        <w:rPr>
          <w:sz w:val="20"/>
        </w:rPr>
        <w:t>dni</w:t>
      </w:r>
      <w:r w:rsidRPr="00392E88">
        <w:rPr>
          <w:sz w:val="20"/>
        </w:rPr>
        <w:t>a 20 czerwca 20</w:t>
      </w:r>
      <w:r w:rsidRPr="006E6446">
        <w:rPr>
          <w:sz w:val="20"/>
        </w:rPr>
        <w:t>19</w:t>
      </w:r>
      <w:r w:rsidR="006E6446" w:rsidRPr="006E6446">
        <w:rPr>
          <w:sz w:val="20"/>
        </w:rPr>
        <w:t> </w:t>
      </w:r>
      <w:r w:rsidRPr="006E6446">
        <w:rPr>
          <w:sz w:val="20"/>
        </w:rPr>
        <w:t>r.</w:t>
      </w:r>
      <w:r w:rsidR="006E6446" w:rsidRPr="00392E88">
        <w:rPr>
          <w:sz w:val="20"/>
        </w:rPr>
        <w:t xml:space="preserve"> w</w:t>
      </w:r>
      <w:r w:rsidR="006E6446">
        <w:rPr>
          <w:sz w:val="20"/>
        </w:rPr>
        <w:t> </w:t>
      </w:r>
      <w:r w:rsidR="006E6446" w:rsidRPr="00392E88">
        <w:rPr>
          <w:sz w:val="20"/>
        </w:rPr>
        <w:t>spr</w:t>
      </w:r>
      <w:r w:rsidRPr="00392E88">
        <w:rPr>
          <w:sz w:val="20"/>
        </w:rPr>
        <w:t>awie ogólnoeuropejskiego indywidualnego produktu emerytalnego (OIPE) (Dz.U. L 198</w:t>
      </w:r>
      <w:r w:rsidR="006E6446" w:rsidRPr="00392E88">
        <w:rPr>
          <w:sz w:val="20"/>
        </w:rPr>
        <w:t xml:space="preserve"> z</w:t>
      </w:r>
      <w:r w:rsidR="006E6446">
        <w:rPr>
          <w:sz w:val="20"/>
        </w:rPr>
        <w:t> </w:t>
      </w:r>
      <w:r w:rsidR="006E6446" w:rsidRPr="00392E88">
        <w:rPr>
          <w:sz w:val="20"/>
        </w:rPr>
        <w:t>2</w:t>
      </w:r>
      <w:r w:rsidRPr="00392E88">
        <w:rPr>
          <w:sz w:val="20"/>
        </w:rPr>
        <w:t>5.7.2019, s. 1, ELI: http://data.europa.eu/eli/reg/2019/1238/oj).”;</w:t>
      </w:r>
    </w:p>
    <w:p w14:paraId="4B2F082F" w14:textId="1572A39B" w:rsidR="002C7D56" w:rsidRPr="00392E88" w:rsidRDefault="006E6446" w:rsidP="006E6446">
      <w:pPr>
        <w:pStyle w:val="Point0"/>
      </w:pPr>
      <w:r>
        <w:t>2)</w:t>
      </w:r>
      <w:r>
        <w:tab/>
      </w:r>
      <w:r w:rsidR="00A35386" w:rsidRPr="00392E88">
        <w:t xml:space="preserve">w </w:t>
      </w:r>
      <w:r w:rsidR="00A35386" w:rsidRPr="006E6446">
        <w:t>art.</w:t>
      </w:r>
      <w:r w:rsidRPr="006E6446">
        <w:t> </w:t>
      </w:r>
      <w:r w:rsidR="00A35386" w:rsidRPr="006E6446">
        <w:t>2</w:t>
      </w:r>
      <w:r w:rsidR="00A35386" w:rsidRPr="00392E88">
        <w:t>2 wprowadza się następujące zmiany:</w:t>
      </w:r>
    </w:p>
    <w:p w14:paraId="6659D886" w14:textId="7E66299A" w:rsidR="00A23DE6" w:rsidRPr="00392E88" w:rsidRDefault="006E6446" w:rsidP="006E6446">
      <w:pPr>
        <w:pStyle w:val="Point1"/>
      </w:pPr>
      <w:r>
        <w:t>a)</w:t>
      </w:r>
      <w:r>
        <w:tab/>
      </w:r>
      <w:r w:rsidR="00A35386" w:rsidRPr="00392E88">
        <w:t>w ust. 5 skreśla się wyraz „obowiązkowe”;</w:t>
      </w:r>
    </w:p>
    <w:p w14:paraId="1FD48AA3" w14:textId="6493A3CB" w:rsidR="00551E4B" w:rsidRPr="00392E88" w:rsidRDefault="006E6446" w:rsidP="006E6446">
      <w:pPr>
        <w:pStyle w:val="Point1"/>
      </w:pPr>
      <w:r>
        <w:t>b)</w:t>
      </w:r>
      <w:r>
        <w:tab/>
      </w:r>
      <w:r w:rsidR="00551E4B" w:rsidRPr="00392E88">
        <w:t>dodaje się ustęp</w:t>
      </w:r>
      <w:r w:rsidRPr="00392E88">
        <w:t xml:space="preserve"> w</w:t>
      </w:r>
      <w:r>
        <w:t> </w:t>
      </w:r>
      <w:r w:rsidRPr="00392E88">
        <w:t>brz</w:t>
      </w:r>
      <w:r w:rsidR="00551E4B" w:rsidRPr="00392E88">
        <w:t>mieniu:</w:t>
      </w:r>
    </w:p>
    <w:p w14:paraId="37D74FA7" w14:textId="39C2B7C5" w:rsidR="00724073" w:rsidRPr="00392E88" w:rsidRDefault="008A5D56" w:rsidP="00944C8F">
      <w:pPr>
        <w:pStyle w:val="Text1"/>
      </w:pPr>
      <w:r w:rsidRPr="00392E88">
        <w:t>„6.</w:t>
      </w:r>
      <w:r w:rsidRPr="00392E88">
        <w:tab/>
        <w:t>Państwa członkowskie zapewniają, aby</w:t>
      </w:r>
      <w:r w:rsidR="006E6446" w:rsidRPr="00392E88">
        <w:t xml:space="preserve"> w</w:t>
      </w:r>
      <w:r w:rsidR="006E6446">
        <w:t> </w:t>
      </w:r>
      <w:r w:rsidR="006E6446" w:rsidRPr="00392E88">
        <w:t>prz</w:t>
      </w:r>
      <w:r w:rsidRPr="00392E88">
        <w:t>ypadku gdy dystrybutor ubezpieczeń jest odpowiedzialny za zapewnienie pracowniczych programów emerytalnych, potencjalni uczestnicy, uczestnicy</w:t>
      </w:r>
      <w:r w:rsidR="006E6446" w:rsidRPr="00392E88">
        <w:t xml:space="preserve"> i</w:t>
      </w:r>
      <w:r w:rsidR="006E6446">
        <w:t> </w:t>
      </w:r>
      <w:r w:rsidR="006E6446" w:rsidRPr="00392E88">
        <w:t>ben</w:t>
      </w:r>
      <w:r w:rsidRPr="00392E88">
        <w:t>eficjenci takich programów otrzymywali co najmniej informacje,</w:t>
      </w:r>
      <w:r w:rsidR="006E6446" w:rsidRPr="00392E88">
        <w:t xml:space="preserve"> o</w:t>
      </w:r>
      <w:r w:rsidR="006E6446">
        <w:t> </w:t>
      </w:r>
      <w:r w:rsidR="006E6446" w:rsidRPr="00392E88">
        <w:t>któ</w:t>
      </w:r>
      <w:r w:rsidRPr="00392E88">
        <w:t>rych mowa</w:t>
      </w:r>
      <w:r w:rsidR="006E6446" w:rsidRPr="00392E88">
        <w:t xml:space="preserve"> w</w:t>
      </w:r>
      <w:r w:rsidR="006E6446">
        <w:t> </w:t>
      </w:r>
      <w:r w:rsidR="006E6446" w:rsidRPr="006E6446">
        <w:t>art</w:t>
      </w:r>
      <w:r w:rsidRPr="006E6446">
        <w:t>.</w:t>
      </w:r>
      <w:r w:rsidR="006E6446" w:rsidRPr="006E6446">
        <w:t> </w:t>
      </w:r>
      <w:r w:rsidRPr="006E6446">
        <w:t>3</w:t>
      </w:r>
      <w:r w:rsidRPr="00392E88">
        <w:t>6–44 dyrektywy (UE) 2016/2341.”;</w:t>
      </w:r>
    </w:p>
    <w:p w14:paraId="5A179B99" w14:textId="32960DEF" w:rsidR="00BB79A7" w:rsidRPr="00392E88" w:rsidRDefault="006E6446" w:rsidP="006E6446">
      <w:pPr>
        <w:pStyle w:val="Point0"/>
      </w:pPr>
      <w:r>
        <w:t>3)</w:t>
      </w:r>
      <w:r>
        <w:tab/>
      </w:r>
      <w:r w:rsidR="3B13FDD1" w:rsidRPr="00392E88">
        <w:t xml:space="preserve">dodaje się </w:t>
      </w:r>
      <w:r w:rsidR="3B13FDD1" w:rsidRPr="006E6446">
        <w:t>art.</w:t>
      </w:r>
      <w:r w:rsidRPr="006E6446">
        <w:t> </w:t>
      </w:r>
      <w:r w:rsidR="3B13FDD1" w:rsidRPr="006E6446">
        <w:t>2</w:t>
      </w:r>
      <w:r w:rsidR="3B13FDD1" w:rsidRPr="00392E88">
        <w:t>2a</w:t>
      </w:r>
      <w:r w:rsidRPr="00392E88">
        <w:t xml:space="preserve"> w</w:t>
      </w:r>
      <w:r>
        <w:t> </w:t>
      </w:r>
      <w:r w:rsidRPr="00392E88">
        <w:t>brz</w:t>
      </w:r>
      <w:r w:rsidR="3B13FDD1" w:rsidRPr="00392E88">
        <w:t>mieniu:</w:t>
      </w:r>
    </w:p>
    <w:p w14:paraId="56B925EE" w14:textId="77777777" w:rsidR="00BB79A7" w:rsidRPr="00392E88" w:rsidRDefault="00BB79A7" w:rsidP="00944C8F">
      <w:pPr>
        <w:pStyle w:val="Titrearticle"/>
      </w:pPr>
      <w:r w:rsidRPr="00392E88">
        <w:t xml:space="preserve">„Artykuł 22a </w:t>
      </w:r>
      <w:r w:rsidRPr="00392E88">
        <w:br/>
      </w:r>
      <w:r w:rsidRPr="00392E88">
        <w:rPr>
          <w:b/>
          <w:i w:val="0"/>
        </w:rPr>
        <w:t>Systemy monitorowania uprawnień emerytalnych</w:t>
      </w:r>
    </w:p>
    <w:p w14:paraId="17F10423" w14:textId="72801C8D" w:rsidR="002E6DEC" w:rsidRPr="00392E88" w:rsidRDefault="00944C8F">
      <w:pPr>
        <w:pStyle w:val="Text1"/>
      </w:pPr>
      <w:r w:rsidRPr="00392E88">
        <w:t>1.</w:t>
      </w:r>
      <w:r w:rsidRPr="00392E88">
        <w:tab/>
        <w:t>Państwa członkowskie zapewniają, aby</w:t>
      </w:r>
      <w:r w:rsidR="006E6446" w:rsidRPr="00392E88">
        <w:t xml:space="preserve"> w</w:t>
      </w:r>
      <w:r w:rsidR="006E6446">
        <w:t> </w:t>
      </w:r>
      <w:r w:rsidR="006E6446" w:rsidRPr="00392E88">
        <w:t>prz</w:t>
      </w:r>
      <w:r w:rsidRPr="00392E88">
        <w:t>ypadku gdy istnieją systemy monitorowania uprawnień emerytalnych, obejmowały one uprawnienia emerytalne zarządzane przez zakłady ubezpieczeń</w:t>
      </w:r>
      <w:r w:rsidR="006E6446" w:rsidRPr="00392E88">
        <w:t xml:space="preserve"> i</w:t>
      </w:r>
      <w:r w:rsidR="006E6446">
        <w:t> </w:t>
      </w:r>
      <w:r w:rsidR="006E6446" w:rsidRPr="00392E88">
        <w:t>poś</w:t>
      </w:r>
      <w:r w:rsidRPr="00392E88">
        <w:t>redników ubezpieczeniowych.</w:t>
      </w:r>
    </w:p>
    <w:p w14:paraId="1438830A" w14:textId="191085EC" w:rsidR="00701FB4" w:rsidRPr="00392E88" w:rsidRDefault="002E6DEC" w:rsidP="008A46F8">
      <w:pPr>
        <w:pStyle w:val="Text1"/>
      </w:pPr>
      <w:r w:rsidRPr="00392E88">
        <w:t xml:space="preserve">2. Do celów </w:t>
      </w:r>
      <w:r w:rsidRPr="006E6446">
        <w:t>ust.</w:t>
      </w:r>
      <w:r w:rsidR="006E6446" w:rsidRPr="006E6446">
        <w:t> </w:t>
      </w:r>
      <w:r w:rsidRPr="006E6446">
        <w:t>1</w:t>
      </w:r>
      <w:r w:rsidRPr="00392E88">
        <w:t xml:space="preserve"> państwa członkowskie zapewniają, aby zakłady ubezpieczeń</w:t>
      </w:r>
      <w:r w:rsidR="006E6446" w:rsidRPr="00392E88">
        <w:t xml:space="preserve"> i</w:t>
      </w:r>
      <w:r w:rsidR="006E6446">
        <w:t> </w:t>
      </w:r>
      <w:r w:rsidR="006E6446" w:rsidRPr="00392E88">
        <w:t>poś</w:t>
      </w:r>
      <w:r w:rsidRPr="00392E88">
        <w:t>rednicy ubezpieczeniowi przekazywali do systemów monitorowania uprawnień emerytalnych,</w:t>
      </w:r>
      <w:r w:rsidR="006E6446" w:rsidRPr="00392E88">
        <w:t xml:space="preserve"> o</w:t>
      </w:r>
      <w:r w:rsidR="006E6446">
        <w:t> </w:t>
      </w:r>
      <w:r w:rsidR="006E6446" w:rsidRPr="00392E88">
        <w:t>ile</w:t>
      </w:r>
      <w:r w:rsidRPr="00392E88">
        <w:t xml:space="preserve"> takie systemy zostały ustanowione, wszystkie informacje niezbędne do zapewnienia klientom kompleksowego, wiarygodnego</w:t>
      </w:r>
      <w:r w:rsidR="006E6446" w:rsidRPr="00392E88">
        <w:t xml:space="preserve"> i</w:t>
      </w:r>
      <w:r w:rsidR="006E6446">
        <w:t> </w:t>
      </w:r>
      <w:r w:rsidR="006E6446" w:rsidRPr="00392E88">
        <w:t>akt</w:t>
      </w:r>
      <w:r w:rsidRPr="00392E88">
        <w:t>ualnego przeglądu ich pracowniczych</w:t>
      </w:r>
      <w:r w:rsidR="006E6446" w:rsidRPr="00392E88">
        <w:t xml:space="preserve"> i</w:t>
      </w:r>
      <w:r w:rsidR="006E6446">
        <w:t> </w:t>
      </w:r>
      <w:r w:rsidR="006E6446" w:rsidRPr="00392E88">
        <w:t>ind</w:t>
      </w:r>
      <w:r w:rsidRPr="00392E88">
        <w:t>ywidualnych uprawnień emerytalnych</w:t>
      </w:r>
      <w:r w:rsidR="006E6446" w:rsidRPr="00392E88">
        <w:t xml:space="preserve"> w</w:t>
      </w:r>
      <w:r w:rsidR="006E6446">
        <w:t> </w:t>
      </w:r>
      <w:r w:rsidR="006E6446" w:rsidRPr="00392E88">
        <w:t>zak</w:t>
      </w:r>
      <w:r w:rsidRPr="00392E88">
        <w:t>resie,</w:t>
      </w:r>
      <w:r w:rsidR="006E6446" w:rsidRPr="00392E88">
        <w:t xml:space="preserve"> w</w:t>
      </w:r>
      <w:r w:rsidR="006E6446">
        <w:t> </w:t>
      </w:r>
      <w:r w:rsidR="006E6446" w:rsidRPr="00392E88">
        <w:t>jak</w:t>
      </w:r>
      <w:r w:rsidRPr="00392E88">
        <w:t>im uprawnienia te wynikają</w:t>
      </w:r>
      <w:r w:rsidR="006E6446" w:rsidRPr="00392E88">
        <w:t xml:space="preserve"> z</w:t>
      </w:r>
      <w:r w:rsidR="006E6446">
        <w:t> </w:t>
      </w:r>
      <w:r w:rsidR="006E6446" w:rsidRPr="00392E88">
        <w:t>pra</w:t>
      </w:r>
      <w:r w:rsidRPr="00392E88">
        <w:t>cowniczych programów emerytalnych lub indywidualnych produktów emerytalnych oferowanych lub dystrybuowanych przez zakłady ubezpieczeń lub pośredników ubezpieczeniowych.</w:t>
      </w:r>
    </w:p>
    <w:p w14:paraId="5707E5AE" w14:textId="6DBD0C4A" w:rsidR="003E1BE4" w:rsidRPr="00392E88" w:rsidRDefault="002E6DEC" w:rsidP="008A46F8">
      <w:pPr>
        <w:pStyle w:val="Text1"/>
      </w:pPr>
      <w:r w:rsidRPr="00392E88">
        <w:t>3.</w:t>
      </w:r>
      <w:r w:rsidRPr="00392E88">
        <w:tab/>
        <w:t>Państwa członkowskie zapewniają, aby informacje,</w:t>
      </w:r>
      <w:r w:rsidR="006E6446" w:rsidRPr="00392E88">
        <w:t xml:space="preserve"> o</w:t>
      </w:r>
      <w:r w:rsidR="006E6446">
        <w:t> </w:t>
      </w:r>
      <w:r w:rsidR="006E6446" w:rsidRPr="00392E88">
        <w:t>któ</w:t>
      </w:r>
      <w:r w:rsidRPr="00392E88">
        <w:t>rych mowa</w:t>
      </w:r>
      <w:r w:rsidR="006E6446" w:rsidRPr="00392E88">
        <w:t xml:space="preserve"> w</w:t>
      </w:r>
      <w:r w:rsidR="006E6446">
        <w:t> </w:t>
      </w:r>
      <w:r w:rsidR="006E6446" w:rsidRPr="006E6446">
        <w:t>ust</w:t>
      </w:r>
      <w:r w:rsidRPr="006E6446">
        <w:t>.</w:t>
      </w:r>
      <w:r w:rsidR="006E6446" w:rsidRPr="006E6446">
        <w:t> </w:t>
      </w:r>
      <w:r w:rsidRPr="006E6446">
        <w:t>2</w:t>
      </w:r>
      <w:r w:rsidRPr="00392E88">
        <w:t>, były przekazywane</w:t>
      </w:r>
      <w:r w:rsidR="006E6446" w:rsidRPr="00392E88">
        <w:t xml:space="preserve"> w</w:t>
      </w:r>
      <w:r w:rsidR="006E6446">
        <w:t> </w:t>
      </w:r>
      <w:r w:rsidR="006E6446" w:rsidRPr="00392E88">
        <w:t>zno</w:t>
      </w:r>
      <w:r w:rsidRPr="00392E88">
        <w:t>rmalizowanym</w:t>
      </w:r>
      <w:r w:rsidR="006E6446" w:rsidRPr="00392E88">
        <w:t xml:space="preserve"> i</w:t>
      </w:r>
      <w:r w:rsidR="006E6446">
        <w:t> </w:t>
      </w:r>
      <w:r w:rsidR="006E6446" w:rsidRPr="00392E88">
        <w:t>int</w:t>
      </w:r>
      <w:r w:rsidRPr="00392E88">
        <w:t>eroperacyjnym formacie umożliwiającym systemom monitorowania uprawnień emerytalnych agregowanie danych dotyczących zakumulowanej wartości, nabytych praw prognozowanych świadczeń</w:t>
      </w:r>
      <w:r w:rsidR="006E6446" w:rsidRPr="00392E88">
        <w:t xml:space="preserve"> w</w:t>
      </w:r>
      <w:r w:rsidR="006E6446">
        <w:t> </w:t>
      </w:r>
      <w:r w:rsidR="006E6446" w:rsidRPr="00392E88">
        <w:t>spó</w:t>
      </w:r>
      <w:r w:rsidRPr="00392E88">
        <w:t>jny</w:t>
      </w:r>
      <w:r w:rsidR="006E6446" w:rsidRPr="00392E88">
        <w:t xml:space="preserve"> i</w:t>
      </w:r>
      <w:r w:rsidR="006E6446">
        <w:t> </w:t>
      </w:r>
      <w:r w:rsidR="006E6446" w:rsidRPr="00392E88">
        <w:t>por</w:t>
      </w:r>
      <w:r w:rsidRPr="00392E88">
        <w:t>ównywalny sposób.</w:t>
      </w:r>
    </w:p>
    <w:p w14:paraId="65033640" w14:textId="0DBD0943" w:rsidR="0086579E" w:rsidRPr="00392E88" w:rsidRDefault="002E6DEC" w:rsidP="008A46F8">
      <w:pPr>
        <w:pStyle w:val="Text1"/>
      </w:pPr>
      <w:r w:rsidRPr="00392E88">
        <w:t>4.</w:t>
      </w:r>
      <w:r w:rsidRPr="00392E88">
        <w:tab/>
        <w:t>Państwa członkowskie zapewniają, aby zakłady ubezpieczeń</w:t>
      </w:r>
      <w:r w:rsidR="006E6446" w:rsidRPr="00392E88">
        <w:t xml:space="preserve"> i</w:t>
      </w:r>
      <w:r w:rsidR="006E6446">
        <w:t> </w:t>
      </w:r>
      <w:r w:rsidR="006E6446" w:rsidRPr="00392E88">
        <w:t>poś</w:t>
      </w:r>
      <w:r w:rsidRPr="00392E88">
        <w:t>rednicy ubezpieczeniowi pozostali</w:t>
      </w:r>
      <w:r w:rsidR="006E6446" w:rsidRPr="00392E88">
        <w:t xml:space="preserve"> w</w:t>
      </w:r>
      <w:r w:rsidR="006E6446">
        <w:t> </w:t>
      </w:r>
      <w:r w:rsidR="006E6446" w:rsidRPr="00392E88">
        <w:t>peł</w:t>
      </w:r>
      <w:r w:rsidRPr="00392E88">
        <w:t>ni odpowiedzialni za kompletność</w:t>
      </w:r>
      <w:r w:rsidR="006E6446" w:rsidRPr="00392E88">
        <w:t xml:space="preserve"> i</w:t>
      </w:r>
      <w:r w:rsidR="006E6446">
        <w:t> </w:t>
      </w:r>
      <w:r w:rsidR="006E6446" w:rsidRPr="00392E88">
        <w:t>dok</w:t>
      </w:r>
      <w:r w:rsidRPr="00392E88">
        <w:t>ładność przekazywanych danych oraz za wypełnienie wszystkich obowiązków dotyczących przekazywania informacji przewidzianych</w:t>
      </w:r>
      <w:r w:rsidR="006E6446" w:rsidRPr="00392E88">
        <w:t xml:space="preserve"> w</w:t>
      </w:r>
      <w:r w:rsidR="006E6446">
        <w:t> </w:t>
      </w:r>
      <w:r w:rsidR="006E6446" w:rsidRPr="00392E88">
        <w:t>nin</w:t>
      </w:r>
      <w:r w:rsidRPr="00392E88">
        <w:t>iejszym artykule.</w:t>
      </w:r>
    </w:p>
    <w:p w14:paraId="4745209F" w14:textId="0142CB28" w:rsidR="00336762" w:rsidRPr="00392E88" w:rsidRDefault="002E6DEC" w:rsidP="008A46F8">
      <w:pPr>
        <w:pStyle w:val="Text1"/>
      </w:pPr>
      <w:r w:rsidRPr="00392E88">
        <w:t>5.</w:t>
      </w:r>
      <w:r w:rsidRPr="00392E88">
        <w:tab/>
        <w:t>Państwa członkowskie zapewniają, aby właściwe organy monitorowały</w:t>
      </w:r>
      <w:r w:rsidR="006E6446" w:rsidRPr="00392E88">
        <w:t xml:space="preserve"> i</w:t>
      </w:r>
      <w:r w:rsidR="006E6446">
        <w:t> </w:t>
      </w:r>
      <w:r w:rsidR="006E6446" w:rsidRPr="00392E88">
        <w:t>egz</w:t>
      </w:r>
      <w:r w:rsidRPr="00392E88">
        <w:t>ekwowały przestrzeganie niniejszego artykułu oraz wprowadzały środki naprawcze</w:t>
      </w:r>
      <w:r w:rsidR="006E6446" w:rsidRPr="00392E88">
        <w:t xml:space="preserve"> w</w:t>
      </w:r>
      <w:r w:rsidR="006E6446">
        <w:t> </w:t>
      </w:r>
      <w:r w:rsidR="006E6446" w:rsidRPr="00392E88">
        <w:t>prz</w:t>
      </w:r>
      <w:r w:rsidRPr="00392E88">
        <w:t>ypadku, gdy zakłady ubezpieczeń lub pośrednicy ubezpieczeniowi nie dostarczą kompletnych, dokładnych lub terminowych informacji.</w:t>
      </w:r>
    </w:p>
    <w:p w14:paraId="420158C4" w14:textId="5D4C8398" w:rsidR="0086579E" w:rsidRPr="00392E88" w:rsidRDefault="002E6DEC" w:rsidP="008A46F8">
      <w:pPr>
        <w:pStyle w:val="Text1"/>
      </w:pPr>
      <w:r w:rsidRPr="00392E88">
        <w:t>6.</w:t>
      </w:r>
      <w:r w:rsidRPr="00392E88">
        <w:tab/>
        <w:t>Format</w:t>
      </w:r>
      <w:r w:rsidR="006E6446" w:rsidRPr="00392E88">
        <w:t xml:space="preserve"> i</w:t>
      </w:r>
      <w:r w:rsidR="006E6446">
        <w:t> </w:t>
      </w:r>
      <w:r w:rsidR="006E6446" w:rsidRPr="00392E88">
        <w:t>str</w:t>
      </w:r>
      <w:r w:rsidRPr="00392E88">
        <w:t>uktura informacji, które mają być przekazywane do systemów monitorowania uprawnień emerytalnych, są zgodne</w:t>
      </w:r>
      <w:r w:rsidR="006E6446" w:rsidRPr="00392E88">
        <w:t xml:space="preserve"> z</w:t>
      </w:r>
      <w:r w:rsidR="006E6446">
        <w:t> </w:t>
      </w:r>
      <w:r w:rsidR="006E6446" w:rsidRPr="006E6446">
        <w:t>art</w:t>
      </w:r>
      <w:r w:rsidRPr="006E6446">
        <w:t>.</w:t>
      </w:r>
      <w:r w:rsidR="006E6446" w:rsidRPr="006E6446">
        <w:t> </w:t>
      </w:r>
      <w:r w:rsidRPr="006E6446">
        <w:t>2</w:t>
      </w:r>
      <w:r w:rsidRPr="00392E88">
        <w:t>9.”.</w:t>
      </w:r>
    </w:p>
    <w:p w14:paraId="48B72B59" w14:textId="77777777" w:rsidR="00307E1C" w:rsidRPr="00392E88" w:rsidRDefault="00307E1C" w:rsidP="00B61E98">
      <w:pPr>
        <w:pStyle w:val="Titrearticle"/>
        <w:keepLines/>
        <w:rPr>
          <w:b/>
          <w:bCs/>
          <w:i w:val="0"/>
          <w:iCs/>
        </w:rPr>
      </w:pPr>
      <w:r w:rsidRPr="00392E88">
        <w:t xml:space="preserve">Artykuł 3 </w:t>
      </w:r>
      <w:r w:rsidRPr="00392E88">
        <w:br/>
      </w:r>
      <w:r w:rsidRPr="00392E88">
        <w:rPr>
          <w:b/>
          <w:i w:val="0"/>
        </w:rPr>
        <w:t>Zasada praw nabytych</w:t>
      </w:r>
    </w:p>
    <w:p w14:paraId="3606CE7F" w14:textId="77777777" w:rsidR="00CF3DE5" w:rsidRPr="00392E88" w:rsidRDefault="00E56F40" w:rsidP="00CF3DE5">
      <w:pPr>
        <w:pStyle w:val="Text1"/>
      </w:pPr>
      <w:r w:rsidRPr="00392E88">
        <w:t xml:space="preserve">IORP, które zostały zarejestrowane lub uzyskały zezwolenie na podstawie dyrektywy (UE) 2016/2341 przed dniem [Urząd Publikacji: proszę wstawić jeden dzień przed datą rozpoczęcia stosowania niniejszej dyrektywy] r., są automatycznie uznawane za IORP, które uzyskały zezwolenie na podstawie przepisów krajowych transponujących niniejszą dyrektywę. </w:t>
      </w:r>
    </w:p>
    <w:p w14:paraId="3E2CBDD2" w14:textId="77777777" w:rsidR="00AC2BE5" w:rsidRPr="00392E88" w:rsidRDefault="00AC2BE5">
      <w:pPr>
        <w:pStyle w:val="Titrearticle"/>
        <w:keepLines/>
        <w:rPr>
          <w:i w:val="0"/>
          <w:iCs/>
        </w:rPr>
      </w:pPr>
      <w:r w:rsidRPr="00392E88">
        <w:t xml:space="preserve">Artykuł 4 </w:t>
      </w:r>
      <w:r w:rsidRPr="00392E88">
        <w:br/>
      </w:r>
      <w:r w:rsidRPr="00392E88">
        <w:rPr>
          <w:b/>
          <w:i w:val="0"/>
        </w:rPr>
        <w:t>Transpozycja</w:t>
      </w:r>
    </w:p>
    <w:p w14:paraId="557AF967" w14:textId="2897E766" w:rsidR="00AC2BE5" w:rsidRPr="00392E88" w:rsidRDefault="001C712A" w:rsidP="005D0C3B">
      <w:pPr>
        <w:pStyle w:val="Text1"/>
      </w:pPr>
      <w:r w:rsidRPr="00392E88">
        <w:t>1.</w:t>
      </w:r>
      <w:r w:rsidRPr="00392E88">
        <w:tab/>
        <w:t>Państwa członkowskie wprowadzają</w:t>
      </w:r>
      <w:r w:rsidR="006E6446" w:rsidRPr="00392E88">
        <w:t xml:space="preserve"> w</w:t>
      </w:r>
      <w:r w:rsidR="006E6446">
        <w:t> </w:t>
      </w:r>
      <w:r w:rsidR="006E6446" w:rsidRPr="00392E88">
        <w:t>życ</w:t>
      </w:r>
      <w:r w:rsidRPr="00392E88">
        <w:t>ie przepisy ustawowe, wykonawcze</w:t>
      </w:r>
      <w:r w:rsidR="006E6446" w:rsidRPr="00392E88">
        <w:t xml:space="preserve"> i</w:t>
      </w:r>
      <w:r w:rsidR="006E6446">
        <w:t> </w:t>
      </w:r>
      <w:r w:rsidR="006E6446" w:rsidRPr="00392E88">
        <w:t>adm</w:t>
      </w:r>
      <w:r w:rsidRPr="00392E88">
        <w:t>inistracyjne niezbędne do wykonania niniejszej dyrektywy</w:t>
      </w:r>
      <w:r w:rsidR="006E6446" w:rsidRPr="00392E88">
        <w:t xml:space="preserve"> w</w:t>
      </w:r>
      <w:r w:rsidR="006E6446">
        <w:t> </w:t>
      </w:r>
      <w:r w:rsidR="006E6446" w:rsidRPr="00392E88">
        <w:t>ter</w:t>
      </w:r>
      <w:r w:rsidRPr="00392E88">
        <w:t>minie do dnia [Urząd Publikacji: dwa lata po jej wejściu</w:t>
      </w:r>
      <w:r w:rsidR="006E6446" w:rsidRPr="00392E88">
        <w:t xml:space="preserve"> w</w:t>
      </w:r>
      <w:r w:rsidR="006E6446">
        <w:t> </w:t>
      </w:r>
      <w:r w:rsidR="006E6446" w:rsidRPr="00392E88">
        <w:t>życ</w:t>
      </w:r>
      <w:r w:rsidRPr="00392E88">
        <w:t>ie] r. Niezwłocznie przekazują Komisji tekst tych przepisów.</w:t>
      </w:r>
    </w:p>
    <w:p w14:paraId="69BED5A2" w14:textId="77777777" w:rsidR="00AC2BE5" w:rsidRPr="00392E88" w:rsidRDefault="00AC2BE5">
      <w:pPr>
        <w:pStyle w:val="Text1"/>
      </w:pPr>
      <w:r w:rsidRPr="00392E88">
        <w:t>Przepisy przyjęte przez państwa członkowskie zawierają odniesienie do niniejszej dyrektywy lub odniesienie takie towarzyszy ich urzędowej publikacji. Metody dokonywania takiego odniesienia określane są przez państwa członkowskie.</w:t>
      </w:r>
    </w:p>
    <w:p w14:paraId="5916934C" w14:textId="697E7D22" w:rsidR="00AC2BE5" w:rsidRPr="00392E88" w:rsidRDefault="00AC2BE5" w:rsidP="005D0C3B">
      <w:pPr>
        <w:pStyle w:val="Text1"/>
      </w:pPr>
      <w:r w:rsidRPr="00392E88">
        <w:t>2.</w:t>
      </w:r>
      <w:r w:rsidRPr="00392E88">
        <w:tab/>
        <w:t>Państwa członkowskie przekazują Komisji teksty podstawowych przepisów prawa krajowego przyjętych</w:t>
      </w:r>
      <w:r w:rsidR="006E6446" w:rsidRPr="00392E88">
        <w:t xml:space="preserve"> w</w:t>
      </w:r>
      <w:r w:rsidR="006E6446">
        <w:t> </w:t>
      </w:r>
      <w:r w:rsidR="006E6446" w:rsidRPr="00392E88">
        <w:t>dzi</w:t>
      </w:r>
      <w:r w:rsidRPr="00392E88">
        <w:t>edzinie objętej niniejszą dyrektywą.</w:t>
      </w:r>
    </w:p>
    <w:p w14:paraId="521DB695" w14:textId="3DAD853E" w:rsidR="00AC2BE5" w:rsidRPr="00392E88" w:rsidRDefault="00AC2BE5">
      <w:pPr>
        <w:pStyle w:val="Titrearticle"/>
        <w:rPr>
          <w:i w:val="0"/>
          <w:iCs/>
        </w:rPr>
      </w:pPr>
      <w:r w:rsidRPr="00392E88">
        <w:t xml:space="preserve">Artykuł 5 </w:t>
      </w:r>
      <w:r w:rsidRPr="00392E88">
        <w:br/>
      </w:r>
      <w:r w:rsidRPr="00392E88">
        <w:rPr>
          <w:b/>
        </w:rPr>
        <w:t>Wejście</w:t>
      </w:r>
      <w:r w:rsidR="006E6446" w:rsidRPr="00392E88">
        <w:rPr>
          <w:b/>
        </w:rPr>
        <w:t xml:space="preserve"> w</w:t>
      </w:r>
      <w:r w:rsidR="006E6446">
        <w:rPr>
          <w:b/>
        </w:rPr>
        <w:t> </w:t>
      </w:r>
      <w:r w:rsidR="006E6446" w:rsidRPr="00392E88">
        <w:rPr>
          <w:b/>
        </w:rPr>
        <w:t>życ</w:t>
      </w:r>
      <w:r w:rsidRPr="00392E88">
        <w:rPr>
          <w:b/>
        </w:rPr>
        <w:t>ie</w:t>
      </w:r>
    </w:p>
    <w:p w14:paraId="58F24227" w14:textId="2B47D169" w:rsidR="00AC2BE5" w:rsidRPr="00392E88" w:rsidRDefault="00AC2BE5">
      <w:r w:rsidRPr="00392E88">
        <w:t>Niniejsza dyrektywa wchodzi</w:t>
      </w:r>
      <w:r w:rsidR="006E6446" w:rsidRPr="00392E88">
        <w:t xml:space="preserve"> w</w:t>
      </w:r>
      <w:r w:rsidR="006E6446">
        <w:t> </w:t>
      </w:r>
      <w:r w:rsidR="006E6446" w:rsidRPr="00392E88">
        <w:t>życ</w:t>
      </w:r>
      <w:r w:rsidRPr="00392E88">
        <w:t>ie dwudziestego dnia po jej opublikowaniu</w:t>
      </w:r>
      <w:r w:rsidR="006E6446" w:rsidRPr="00392E88">
        <w:t xml:space="preserve"> w</w:t>
      </w:r>
      <w:r w:rsidR="006E6446">
        <w:t> </w:t>
      </w:r>
      <w:r w:rsidR="006E6446" w:rsidRPr="00392E88">
        <w:rPr>
          <w:i/>
        </w:rPr>
        <w:t>Dzi</w:t>
      </w:r>
      <w:r w:rsidRPr="00392E88">
        <w:rPr>
          <w:i/>
        </w:rPr>
        <w:t>enniku Urzędowym Unii Europejskiej</w:t>
      </w:r>
      <w:r w:rsidRPr="00392E88">
        <w:t>.</w:t>
      </w:r>
    </w:p>
    <w:p w14:paraId="60E0ABB5" w14:textId="77777777" w:rsidR="00AC2BE5" w:rsidRPr="00392E88" w:rsidRDefault="00AC2BE5">
      <w:pPr>
        <w:pStyle w:val="Titrearticle"/>
        <w:rPr>
          <w:i w:val="0"/>
          <w:iCs/>
        </w:rPr>
      </w:pPr>
      <w:r w:rsidRPr="00392E88">
        <w:t xml:space="preserve">Artykuł 6 </w:t>
      </w:r>
      <w:r w:rsidRPr="00392E88">
        <w:br/>
      </w:r>
      <w:r w:rsidRPr="00392E88">
        <w:rPr>
          <w:b/>
          <w:i w:val="0"/>
        </w:rPr>
        <w:t>Adresaci</w:t>
      </w:r>
    </w:p>
    <w:p w14:paraId="26281AEB" w14:textId="77777777" w:rsidR="00AC2BE5" w:rsidRPr="00392E88" w:rsidRDefault="00AC2BE5">
      <w:pPr>
        <w:keepNext/>
        <w:keepLines/>
      </w:pPr>
      <w:r w:rsidRPr="00392E88">
        <w:t>Niniejsza dyrektywa skierowana jest do państw członkowskich.</w:t>
      </w:r>
    </w:p>
    <w:p w14:paraId="6B9D6CE1" w14:textId="0BC014CE" w:rsidR="00AC2BE5" w:rsidRPr="00392E88" w:rsidRDefault="00682C29" w:rsidP="00682C29">
      <w:pPr>
        <w:pStyle w:val="Fait"/>
      </w:pPr>
      <w:r>
        <w:t>Sporządzono w Brukseli dnia  r.</w:t>
      </w:r>
    </w:p>
    <w:p w14:paraId="1166E6D5" w14:textId="77777777" w:rsidR="00AC2BE5" w:rsidRPr="00392E88" w:rsidRDefault="00AC2BE5" w:rsidP="00AC2BE5">
      <w:pPr>
        <w:pStyle w:val="Institutionquisigne"/>
      </w:pPr>
      <w:r w:rsidRPr="00392E88">
        <w:t>W imieniu Parlamentu Europejskiego</w:t>
      </w:r>
      <w:r w:rsidRPr="00392E88">
        <w:tab/>
        <w:t>W imieniu Rady</w:t>
      </w:r>
    </w:p>
    <w:p w14:paraId="33B22CDB" w14:textId="77777777" w:rsidR="00AC2BE5" w:rsidRPr="00392E88" w:rsidRDefault="00AC2BE5" w:rsidP="00AC2BE5">
      <w:pPr>
        <w:pStyle w:val="Personnequisigne"/>
      </w:pPr>
      <w:r w:rsidRPr="00392E88">
        <w:t>Przewodnicząca</w:t>
      </w:r>
      <w:r w:rsidRPr="00392E88">
        <w:tab/>
        <w:t>Przewodniczący</w:t>
      </w:r>
    </w:p>
    <w:p w14:paraId="556F9F3B" w14:textId="77777777" w:rsidR="00AC2BE5" w:rsidRPr="00392E88" w:rsidRDefault="00AC2BE5" w:rsidP="00AC2BE5">
      <w:pPr>
        <w:sectPr w:rsidR="00AC2BE5" w:rsidRPr="00392E88" w:rsidSect="00682C29">
          <w:footnotePr>
            <w:numRestart w:val="eachSect"/>
          </w:footnotePr>
          <w:pgSz w:w="11907" w:h="16839"/>
          <w:pgMar w:top="1134" w:right="1417" w:bottom="1134" w:left="1417" w:header="709" w:footer="709" w:gutter="0"/>
          <w:cols w:space="708"/>
          <w:docGrid w:linePitch="360"/>
        </w:sectPr>
      </w:pPr>
    </w:p>
    <w:p w14:paraId="363C73D3" w14:textId="77777777" w:rsidR="00AC2BE5" w:rsidRPr="00392E88" w:rsidRDefault="00AC2BE5">
      <w:pPr>
        <w:pStyle w:val="Fichefinanciretitre"/>
        <w:keepNext/>
        <w:rPr>
          <w:noProof/>
        </w:rPr>
      </w:pPr>
      <w:r w:rsidRPr="00392E88">
        <w:t>OCENA SKUTKÓW FINANSOWYCH I CYFROWYCH REGULACJI</w:t>
      </w:r>
    </w:p>
    <w:p w14:paraId="483433E1" w14:textId="77777777" w:rsidR="00AC2BE5" w:rsidRPr="00392E88" w:rsidRDefault="00AC2BE5">
      <w:pPr>
        <w:pStyle w:val="TOC1"/>
        <w:rPr>
          <w:rFonts w:asciiTheme="minorHAnsi" w:eastAsiaTheme="minorEastAsia" w:hAnsiTheme="minorHAnsi" w:cstheme="minorBidi"/>
          <w:noProof/>
          <w:kern w:val="2"/>
          <w:sz w:val="22"/>
          <w14:ligatures w14:val="standardContextual"/>
        </w:rPr>
      </w:pPr>
      <w:r w:rsidRPr="00392E88">
        <w:t>1.</w:t>
      </w:r>
      <w:r w:rsidRPr="00392E88">
        <w:tab/>
        <w:t>STRUKTURA WNIOSKU/INICJATYWY</w:t>
      </w:r>
      <w:r w:rsidRPr="00392E88">
        <w:tab/>
      </w:r>
      <w:r w:rsidRPr="00392E88">
        <w:rPr>
          <w:webHidden/>
        </w:rPr>
        <w:t>3</w:t>
      </w:r>
    </w:p>
    <w:p w14:paraId="15B70A7E" w14:textId="77777777" w:rsidR="00AC2BE5" w:rsidRPr="00392E88" w:rsidRDefault="00AC2BE5">
      <w:pPr>
        <w:pStyle w:val="TOC2"/>
        <w:rPr>
          <w:rFonts w:asciiTheme="minorHAnsi" w:eastAsiaTheme="minorEastAsia" w:hAnsiTheme="minorHAnsi" w:cstheme="minorBidi"/>
          <w:noProof/>
          <w:kern w:val="2"/>
          <w:sz w:val="22"/>
          <w14:ligatures w14:val="standardContextual"/>
        </w:rPr>
      </w:pPr>
      <w:r w:rsidRPr="00392E88">
        <w:t>1.1.</w:t>
      </w:r>
      <w:r w:rsidRPr="00392E88">
        <w:tab/>
        <w:t>Tytuł wniosku/inicjatywy</w:t>
      </w:r>
      <w:r w:rsidRPr="00392E88">
        <w:tab/>
      </w:r>
      <w:r w:rsidRPr="00392E88">
        <w:rPr>
          <w:webHidden/>
        </w:rPr>
        <w:t>3</w:t>
      </w:r>
    </w:p>
    <w:p w14:paraId="2A1A4FC1" w14:textId="77777777" w:rsidR="00AC2BE5" w:rsidRPr="00392E88" w:rsidRDefault="00AC2BE5">
      <w:pPr>
        <w:pStyle w:val="TOC2"/>
        <w:rPr>
          <w:rFonts w:asciiTheme="minorHAnsi" w:eastAsiaTheme="minorEastAsia" w:hAnsiTheme="minorHAnsi" w:cstheme="minorBidi"/>
          <w:noProof/>
          <w:kern w:val="2"/>
          <w:sz w:val="22"/>
          <w14:ligatures w14:val="standardContextual"/>
        </w:rPr>
      </w:pPr>
      <w:r w:rsidRPr="00392E88">
        <w:t>1.2.</w:t>
      </w:r>
      <w:r w:rsidRPr="00392E88">
        <w:tab/>
        <w:t>Obszary polityki, których dotyczy wniosek/inicjatywa</w:t>
      </w:r>
      <w:r w:rsidRPr="00392E88">
        <w:tab/>
      </w:r>
      <w:r w:rsidRPr="00392E88">
        <w:rPr>
          <w:webHidden/>
        </w:rPr>
        <w:t>3</w:t>
      </w:r>
    </w:p>
    <w:p w14:paraId="4E7259A2" w14:textId="77777777" w:rsidR="00AC2BE5" w:rsidRPr="00392E88" w:rsidRDefault="00AC2BE5">
      <w:pPr>
        <w:pStyle w:val="TOC2"/>
        <w:rPr>
          <w:rFonts w:asciiTheme="minorHAnsi" w:eastAsiaTheme="minorEastAsia" w:hAnsiTheme="minorHAnsi" w:cstheme="minorBidi"/>
          <w:noProof/>
          <w:kern w:val="2"/>
          <w:sz w:val="22"/>
          <w14:ligatures w14:val="standardContextual"/>
        </w:rPr>
      </w:pPr>
      <w:r w:rsidRPr="00392E88">
        <w:t>1.3.</w:t>
      </w:r>
      <w:r w:rsidRPr="00392E88">
        <w:tab/>
        <w:t>Cel(e)</w:t>
      </w:r>
      <w:r w:rsidRPr="00392E88">
        <w:tab/>
      </w:r>
      <w:r w:rsidRPr="00392E88">
        <w:rPr>
          <w:webHidden/>
        </w:rPr>
        <w:t>3</w:t>
      </w:r>
    </w:p>
    <w:p w14:paraId="13E57060" w14:textId="77777777" w:rsidR="00AC2BE5" w:rsidRPr="00392E88" w:rsidRDefault="00AC2BE5">
      <w:pPr>
        <w:pStyle w:val="TOC3"/>
        <w:rPr>
          <w:rFonts w:asciiTheme="minorHAnsi" w:eastAsiaTheme="minorEastAsia" w:hAnsiTheme="minorHAnsi" w:cstheme="minorBidi"/>
          <w:noProof/>
          <w:kern w:val="2"/>
          <w:sz w:val="22"/>
          <w14:ligatures w14:val="standardContextual"/>
        </w:rPr>
      </w:pPr>
      <w:r w:rsidRPr="00392E88">
        <w:t>1.3.1.</w:t>
      </w:r>
      <w:r w:rsidRPr="00392E88">
        <w:tab/>
        <w:t>Cel(e) ogólny(-e)</w:t>
      </w:r>
      <w:r w:rsidRPr="00392E88">
        <w:tab/>
      </w:r>
      <w:r w:rsidRPr="00392E88">
        <w:rPr>
          <w:webHidden/>
        </w:rPr>
        <w:t>3</w:t>
      </w:r>
    </w:p>
    <w:p w14:paraId="6414C227" w14:textId="77777777" w:rsidR="00AC2BE5" w:rsidRPr="00392E88" w:rsidRDefault="00AC2BE5">
      <w:pPr>
        <w:pStyle w:val="TOC3"/>
        <w:rPr>
          <w:rFonts w:asciiTheme="minorHAnsi" w:eastAsiaTheme="minorEastAsia" w:hAnsiTheme="minorHAnsi" w:cstheme="minorBidi"/>
          <w:noProof/>
          <w:kern w:val="2"/>
          <w:sz w:val="22"/>
          <w14:ligatures w14:val="standardContextual"/>
        </w:rPr>
      </w:pPr>
      <w:r w:rsidRPr="00392E88">
        <w:t>1.3.2.</w:t>
      </w:r>
      <w:r w:rsidRPr="00392E88">
        <w:tab/>
        <w:t>Cel(e) szczegółowy(-e)</w:t>
      </w:r>
      <w:r w:rsidRPr="00392E88">
        <w:tab/>
      </w:r>
      <w:r w:rsidRPr="00392E88">
        <w:rPr>
          <w:webHidden/>
        </w:rPr>
        <w:t>3</w:t>
      </w:r>
    </w:p>
    <w:p w14:paraId="0B69439D" w14:textId="709A3619" w:rsidR="00AC2BE5" w:rsidRPr="00392E88" w:rsidRDefault="00AC2BE5">
      <w:pPr>
        <w:pStyle w:val="TOC3"/>
        <w:rPr>
          <w:rFonts w:asciiTheme="minorHAnsi" w:eastAsiaTheme="minorEastAsia" w:hAnsiTheme="minorHAnsi" w:cstheme="minorBidi"/>
          <w:noProof/>
          <w:kern w:val="2"/>
          <w:sz w:val="22"/>
          <w14:ligatures w14:val="standardContextual"/>
        </w:rPr>
      </w:pPr>
      <w:r w:rsidRPr="00392E88">
        <w:t>1.3.3.</w:t>
      </w:r>
      <w:r w:rsidRPr="00392E88">
        <w:tab/>
        <w:t>Oczekiwane wyniki</w:t>
      </w:r>
      <w:r w:rsidR="006E6446" w:rsidRPr="00392E88">
        <w:t xml:space="preserve"> i</w:t>
      </w:r>
      <w:r w:rsidR="006E6446">
        <w:t> </w:t>
      </w:r>
      <w:r w:rsidR="006E6446" w:rsidRPr="00392E88">
        <w:t>wpł</w:t>
      </w:r>
      <w:r w:rsidRPr="00392E88">
        <w:t>yw</w:t>
      </w:r>
      <w:r w:rsidRPr="00392E88">
        <w:tab/>
      </w:r>
      <w:r w:rsidRPr="00392E88">
        <w:rPr>
          <w:webHidden/>
        </w:rPr>
        <w:t>3</w:t>
      </w:r>
    </w:p>
    <w:p w14:paraId="605391A9" w14:textId="61DBD3CF" w:rsidR="00AC2BE5" w:rsidRPr="00392E88" w:rsidRDefault="00AC2BE5">
      <w:pPr>
        <w:pStyle w:val="TOC3"/>
        <w:rPr>
          <w:rFonts w:asciiTheme="minorHAnsi" w:eastAsiaTheme="minorEastAsia" w:hAnsiTheme="minorHAnsi" w:cstheme="minorBidi"/>
          <w:noProof/>
          <w:kern w:val="2"/>
          <w:sz w:val="22"/>
          <w14:ligatures w14:val="standardContextual"/>
        </w:rPr>
      </w:pPr>
      <w:r w:rsidRPr="00392E88">
        <w:t>1.3.4.</w:t>
      </w:r>
      <w:r w:rsidRPr="00392E88">
        <w:tab/>
        <w:t>Wskaźniki dotyczące realizacji celów</w:t>
      </w:r>
      <w:r w:rsidRPr="00392E88">
        <w:tab/>
      </w:r>
      <w:r w:rsidRPr="00392E88">
        <w:rPr>
          <w:webHidden/>
        </w:rPr>
        <w:t>4</w:t>
      </w:r>
    </w:p>
    <w:p w14:paraId="0107E002" w14:textId="77777777" w:rsidR="00AC2BE5" w:rsidRPr="00392E88" w:rsidRDefault="00AC2BE5">
      <w:pPr>
        <w:pStyle w:val="TOC2"/>
        <w:rPr>
          <w:rFonts w:asciiTheme="minorHAnsi" w:eastAsiaTheme="minorEastAsia" w:hAnsiTheme="minorHAnsi" w:cstheme="minorBidi"/>
          <w:noProof/>
          <w:kern w:val="2"/>
          <w:sz w:val="22"/>
          <w14:ligatures w14:val="standardContextual"/>
        </w:rPr>
      </w:pPr>
      <w:r w:rsidRPr="00392E88">
        <w:t>1.4.</w:t>
      </w:r>
      <w:r w:rsidRPr="00392E88">
        <w:tab/>
        <w:t>Wniosek/inicjatywa dotyczy:</w:t>
      </w:r>
      <w:r w:rsidRPr="00392E88">
        <w:tab/>
      </w:r>
      <w:r w:rsidRPr="00392E88">
        <w:rPr>
          <w:webHidden/>
        </w:rPr>
        <w:t>4</w:t>
      </w:r>
    </w:p>
    <w:p w14:paraId="26295783" w14:textId="2B5F630F" w:rsidR="00AC2BE5" w:rsidRPr="00392E88" w:rsidRDefault="00AC2BE5">
      <w:pPr>
        <w:pStyle w:val="TOC2"/>
        <w:rPr>
          <w:rFonts w:asciiTheme="minorHAnsi" w:eastAsiaTheme="minorEastAsia" w:hAnsiTheme="minorHAnsi" w:cstheme="minorBidi"/>
          <w:noProof/>
          <w:kern w:val="2"/>
          <w:sz w:val="22"/>
          <w14:ligatures w14:val="standardContextual"/>
        </w:rPr>
      </w:pPr>
      <w:r w:rsidRPr="00392E88">
        <w:t>1.5.</w:t>
      </w:r>
      <w:r w:rsidRPr="00392E88">
        <w:tab/>
        <w:t>Uzasadnienie wniosku/inicjatywy</w:t>
      </w:r>
      <w:r w:rsidRPr="00392E88">
        <w:tab/>
      </w:r>
      <w:r w:rsidRPr="00392E88">
        <w:rPr>
          <w:webHidden/>
        </w:rPr>
        <w:t>5</w:t>
      </w:r>
    </w:p>
    <w:p w14:paraId="1B0F0B91" w14:textId="476865EA" w:rsidR="00AC2BE5" w:rsidRPr="00392E88" w:rsidRDefault="00AC2BE5">
      <w:pPr>
        <w:pStyle w:val="TOC3"/>
        <w:rPr>
          <w:rFonts w:asciiTheme="minorHAnsi" w:eastAsiaTheme="minorEastAsia" w:hAnsiTheme="minorHAnsi" w:cstheme="minorBidi"/>
          <w:noProof/>
          <w:kern w:val="2"/>
          <w:sz w:val="22"/>
          <w14:ligatures w14:val="standardContextual"/>
        </w:rPr>
      </w:pPr>
      <w:r w:rsidRPr="00392E88">
        <w:t>1.5.1.</w:t>
      </w:r>
      <w:r w:rsidRPr="00392E88">
        <w:tab/>
        <w:t>Potrzeby, które należy zaspokoić</w:t>
      </w:r>
      <w:r w:rsidR="006E6446" w:rsidRPr="00392E88">
        <w:t xml:space="preserve"> w</w:t>
      </w:r>
      <w:r w:rsidR="006E6446">
        <w:t> </w:t>
      </w:r>
      <w:r w:rsidR="006E6446" w:rsidRPr="00392E88">
        <w:t>per</w:t>
      </w:r>
      <w:r w:rsidRPr="00392E88">
        <w:t>spektywie krótko- lub długoterminowej,</w:t>
      </w:r>
      <w:r w:rsidR="006E6446" w:rsidRPr="00392E88">
        <w:t xml:space="preserve"> w</w:t>
      </w:r>
      <w:r w:rsidR="006E6446">
        <w:t> </w:t>
      </w:r>
      <w:r w:rsidR="006E6446" w:rsidRPr="00392E88">
        <w:t>tym</w:t>
      </w:r>
      <w:r w:rsidRPr="00392E88">
        <w:t xml:space="preserve"> szczegółowy terminarz przebiegu realizacji inicjatywy</w:t>
      </w:r>
      <w:r w:rsidRPr="00392E88">
        <w:tab/>
      </w:r>
      <w:r w:rsidRPr="00392E88">
        <w:rPr>
          <w:webHidden/>
        </w:rPr>
        <w:t>5</w:t>
      </w:r>
    </w:p>
    <w:p w14:paraId="2B3B89E3" w14:textId="4E97E8C7" w:rsidR="00AC2BE5" w:rsidRPr="00392E88" w:rsidRDefault="00AC2BE5">
      <w:pPr>
        <w:pStyle w:val="TOC3"/>
        <w:rPr>
          <w:rFonts w:asciiTheme="minorHAnsi" w:eastAsiaTheme="minorEastAsia" w:hAnsiTheme="minorHAnsi" w:cstheme="minorBidi"/>
          <w:noProof/>
          <w:kern w:val="2"/>
          <w:sz w:val="22"/>
          <w14:ligatures w14:val="standardContextual"/>
        </w:rPr>
      </w:pPr>
      <w:r w:rsidRPr="00392E88">
        <w:t>1.5.2.</w:t>
      </w:r>
      <w:r w:rsidRPr="00392E88">
        <w:tab/>
        <w:t>Wartość dodana</w:t>
      </w:r>
      <w:r w:rsidR="006E6446" w:rsidRPr="00392E88">
        <w:t xml:space="preserve"> z</w:t>
      </w:r>
      <w:r w:rsidR="006E6446">
        <w:t> </w:t>
      </w:r>
      <w:r w:rsidR="006E6446" w:rsidRPr="00392E88">
        <w:t>tyt</w:t>
      </w:r>
      <w:r w:rsidRPr="00392E88">
        <w:t>ułu zaangażowania Unii Europejskiej (może wynikać</w:t>
      </w:r>
      <w:r w:rsidR="006E6446" w:rsidRPr="00392E88">
        <w:t xml:space="preserve"> z</w:t>
      </w:r>
      <w:r w:rsidR="006E6446">
        <w:t> </w:t>
      </w:r>
      <w:r w:rsidR="006E6446" w:rsidRPr="00392E88">
        <w:t>róż</w:t>
      </w:r>
      <w:r w:rsidRPr="00392E88">
        <w:t>nych czynników, na przykład korzyści koordynacyjnych, pewności prawa, większej efektywności lub komplementarności). Na potrzeby tej sekcji „wartość dodaną</w:t>
      </w:r>
      <w:r w:rsidR="006E6446" w:rsidRPr="00392E88">
        <w:t xml:space="preserve"> z</w:t>
      </w:r>
      <w:r w:rsidR="006E6446">
        <w:t> </w:t>
      </w:r>
      <w:r w:rsidR="006E6446" w:rsidRPr="00392E88">
        <w:t>tyt</w:t>
      </w:r>
      <w:r w:rsidRPr="00392E88">
        <w:t>ułu zaangażowania Unii Europejskiej” należy rozumieć jako wartość wynikającą</w:t>
      </w:r>
      <w:r w:rsidR="006E6446" w:rsidRPr="00392E88">
        <w:t xml:space="preserve"> z</w:t>
      </w:r>
      <w:r w:rsidR="006E6446">
        <w:t> </w:t>
      </w:r>
      <w:r w:rsidR="006E6446" w:rsidRPr="00392E88">
        <w:t>uni</w:t>
      </w:r>
      <w:r w:rsidRPr="00392E88">
        <w:t>jnej interwencji, wykraczającą poza wartość, która zostałaby wytworzona przez same państwa członkowskie.</w:t>
      </w:r>
      <w:r w:rsidRPr="00392E88">
        <w:tab/>
      </w:r>
      <w:r w:rsidRPr="00392E88">
        <w:rPr>
          <w:webHidden/>
        </w:rPr>
        <w:t>5</w:t>
      </w:r>
    </w:p>
    <w:p w14:paraId="2625A13F" w14:textId="2F289968" w:rsidR="00AC2BE5" w:rsidRPr="00392E88" w:rsidRDefault="00AC2BE5">
      <w:pPr>
        <w:pStyle w:val="TOC3"/>
        <w:rPr>
          <w:rFonts w:asciiTheme="minorHAnsi" w:eastAsiaTheme="minorEastAsia" w:hAnsiTheme="minorHAnsi" w:cstheme="minorBidi"/>
          <w:noProof/>
          <w:kern w:val="2"/>
          <w:sz w:val="22"/>
          <w14:ligatures w14:val="standardContextual"/>
        </w:rPr>
      </w:pPr>
      <w:r w:rsidRPr="00392E88">
        <w:t>1.5.3.</w:t>
      </w:r>
      <w:r w:rsidRPr="00392E88">
        <w:tab/>
        <w:t>Główne wnioski wyciągnięte</w:t>
      </w:r>
      <w:r w:rsidR="006E6446" w:rsidRPr="00392E88">
        <w:t xml:space="preserve"> z</w:t>
      </w:r>
      <w:r w:rsidR="006E6446">
        <w:t> </w:t>
      </w:r>
      <w:r w:rsidR="006E6446" w:rsidRPr="00392E88">
        <w:t>pod</w:t>
      </w:r>
      <w:r w:rsidRPr="00392E88">
        <w:t>obnych działań</w:t>
      </w:r>
      <w:r w:rsidRPr="00392E88">
        <w:tab/>
      </w:r>
      <w:r w:rsidRPr="00392E88">
        <w:rPr>
          <w:webHidden/>
        </w:rPr>
        <w:t>5</w:t>
      </w:r>
    </w:p>
    <w:p w14:paraId="0CA7AC91" w14:textId="3C345313" w:rsidR="00AC2BE5" w:rsidRPr="00392E88" w:rsidRDefault="00AC2BE5">
      <w:pPr>
        <w:pStyle w:val="TOC3"/>
        <w:rPr>
          <w:rFonts w:asciiTheme="minorHAnsi" w:eastAsiaTheme="minorEastAsia" w:hAnsiTheme="minorHAnsi" w:cstheme="minorBidi"/>
          <w:noProof/>
          <w:kern w:val="2"/>
          <w:sz w:val="22"/>
          <w14:ligatures w14:val="standardContextual"/>
        </w:rPr>
      </w:pPr>
      <w:r w:rsidRPr="00392E88">
        <w:t>1.5.4.</w:t>
      </w:r>
      <w:r w:rsidRPr="00392E88">
        <w:tab/>
        <w:t>Spójność</w:t>
      </w:r>
      <w:r w:rsidR="006E6446" w:rsidRPr="00392E88">
        <w:t xml:space="preserve"> z</w:t>
      </w:r>
      <w:r w:rsidR="006E6446">
        <w:t> </w:t>
      </w:r>
      <w:r w:rsidR="006E6446" w:rsidRPr="00392E88">
        <w:t>wie</w:t>
      </w:r>
      <w:r w:rsidRPr="00392E88">
        <w:t>loletnimi ramami finansowymi oraz możliwa synergia</w:t>
      </w:r>
      <w:r w:rsidR="006E6446" w:rsidRPr="00392E88">
        <w:t xml:space="preserve"> z</w:t>
      </w:r>
      <w:r w:rsidR="006E6446">
        <w:t> </w:t>
      </w:r>
      <w:r w:rsidR="006E6446" w:rsidRPr="00392E88">
        <w:t>inn</w:t>
      </w:r>
      <w:r w:rsidRPr="00392E88">
        <w:t>ymi właściwymi instrumentami</w:t>
      </w:r>
      <w:r w:rsidRPr="00392E88">
        <w:tab/>
      </w:r>
      <w:r w:rsidRPr="00392E88">
        <w:rPr>
          <w:webHidden/>
        </w:rPr>
        <w:t>5</w:t>
      </w:r>
    </w:p>
    <w:p w14:paraId="1793FB20" w14:textId="360C3D8F" w:rsidR="00AC2BE5" w:rsidRPr="00392E88" w:rsidRDefault="00AC2BE5">
      <w:pPr>
        <w:pStyle w:val="TOC3"/>
        <w:rPr>
          <w:rFonts w:asciiTheme="minorHAnsi" w:eastAsiaTheme="minorEastAsia" w:hAnsiTheme="minorHAnsi" w:cstheme="minorBidi"/>
          <w:noProof/>
          <w:kern w:val="2"/>
          <w:sz w:val="22"/>
          <w14:ligatures w14:val="standardContextual"/>
        </w:rPr>
      </w:pPr>
      <w:r w:rsidRPr="00392E88">
        <w:t>1.5.5.</w:t>
      </w:r>
      <w:r w:rsidRPr="00392E88">
        <w:tab/>
        <w:t>Ocena różnych dostępnych możliwości finansowania,</w:t>
      </w:r>
      <w:r w:rsidR="006E6446" w:rsidRPr="00392E88">
        <w:t xml:space="preserve"> w</w:t>
      </w:r>
      <w:r w:rsidR="006E6446">
        <w:t> </w:t>
      </w:r>
      <w:r w:rsidR="006E6446" w:rsidRPr="00392E88">
        <w:t>tym</w:t>
      </w:r>
      <w:r w:rsidRPr="00392E88">
        <w:t xml:space="preserve"> możliwości przegrupowania środków</w:t>
      </w:r>
      <w:r w:rsidRPr="00392E88">
        <w:tab/>
      </w:r>
      <w:r w:rsidRPr="00392E88">
        <w:rPr>
          <w:webHidden/>
        </w:rPr>
        <w:t>5</w:t>
      </w:r>
    </w:p>
    <w:p w14:paraId="2315BE8D" w14:textId="07E9CF93" w:rsidR="00AC2BE5" w:rsidRPr="00392E88" w:rsidRDefault="00AC2BE5">
      <w:pPr>
        <w:pStyle w:val="TOC2"/>
        <w:rPr>
          <w:rFonts w:asciiTheme="minorHAnsi" w:eastAsiaTheme="minorEastAsia" w:hAnsiTheme="minorHAnsi" w:cstheme="minorBidi"/>
          <w:noProof/>
          <w:kern w:val="2"/>
          <w:sz w:val="22"/>
          <w14:ligatures w14:val="standardContextual"/>
        </w:rPr>
      </w:pPr>
      <w:r w:rsidRPr="00392E88">
        <w:t>1.6.</w:t>
      </w:r>
      <w:r w:rsidRPr="00392E88">
        <w:tab/>
        <w:t>Czas trwania wniosku/inicjatywy</w:t>
      </w:r>
      <w:r w:rsidR="006E6446" w:rsidRPr="00392E88">
        <w:t xml:space="preserve"> i</w:t>
      </w:r>
      <w:r w:rsidR="006E6446">
        <w:t> </w:t>
      </w:r>
      <w:r w:rsidR="006E6446" w:rsidRPr="00392E88">
        <w:t>jeg</w:t>
      </w:r>
      <w:r w:rsidRPr="00392E88">
        <w:t>o/jej wpływu finansowego</w:t>
      </w:r>
      <w:r w:rsidRPr="00392E88">
        <w:tab/>
      </w:r>
      <w:r w:rsidRPr="00392E88">
        <w:rPr>
          <w:webHidden/>
        </w:rPr>
        <w:t>6</w:t>
      </w:r>
    </w:p>
    <w:p w14:paraId="143BE0BC" w14:textId="77777777" w:rsidR="00AC2BE5" w:rsidRPr="00392E88" w:rsidRDefault="00AC2BE5">
      <w:pPr>
        <w:pStyle w:val="TOC2"/>
        <w:rPr>
          <w:rFonts w:asciiTheme="minorHAnsi" w:eastAsiaTheme="minorEastAsia" w:hAnsiTheme="minorHAnsi" w:cstheme="minorBidi"/>
          <w:noProof/>
          <w:kern w:val="2"/>
          <w:sz w:val="22"/>
          <w14:ligatures w14:val="standardContextual"/>
        </w:rPr>
      </w:pPr>
      <w:r w:rsidRPr="00392E88">
        <w:t>1.7.</w:t>
      </w:r>
      <w:r w:rsidRPr="00392E88">
        <w:tab/>
        <w:t>Planowane metody wykonania budżetu</w:t>
      </w:r>
      <w:r w:rsidRPr="00392E88">
        <w:tab/>
      </w:r>
      <w:r w:rsidRPr="00392E88">
        <w:rPr>
          <w:webHidden/>
        </w:rPr>
        <w:t>6</w:t>
      </w:r>
    </w:p>
    <w:p w14:paraId="58293C4A" w14:textId="3B508904" w:rsidR="00AC2BE5" w:rsidRPr="00392E88" w:rsidRDefault="00AC2BE5">
      <w:pPr>
        <w:pStyle w:val="TOC1"/>
        <w:rPr>
          <w:rFonts w:asciiTheme="minorHAnsi" w:eastAsiaTheme="minorEastAsia" w:hAnsiTheme="minorHAnsi" w:cstheme="minorBidi"/>
          <w:noProof/>
          <w:kern w:val="2"/>
          <w:sz w:val="22"/>
          <w14:ligatures w14:val="standardContextual"/>
        </w:rPr>
      </w:pPr>
      <w:r w:rsidRPr="00392E88">
        <w:t>2.</w:t>
      </w:r>
      <w:r w:rsidRPr="00392E88">
        <w:tab/>
        <w:t>ŚRODKI ZARZĄDZANIA</w:t>
      </w:r>
      <w:r w:rsidRPr="00392E88">
        <w:tab/>
      </w:r>
      <w:r w:rsidRPr="00392E88">
        <w:rPr>
          <w:webHidden/>
        </w:rPr>
        <w:t>7</w:t>
      </w:r>
    </w:p>
    <w:p w14:paraId="40FAB69E" w14:textId="6292D552" w:rsidR="00AC2BE5" w:rsidRPr="00392E88" w:rsidRDefault="00AC2BE5">
      <w:pPr>
        <w:pStyle w:val="TOC2"/>
        <w:rPr>
          <w:rFonts w:asciiTheme="minorHAnsi" w:eastAsiaTheme="minorEastAsia" w:hAnsiTheme="minorHAnsi" w:cstheme="minorBidi"/>
          <w:noProof/>
          <w:kern w:val="2"/>
          <w:sz w:val="22"/>
          <w14:ligatures w14:val="standardContextual"/>
        </w:rPr>
      </w:pPr>
      <w:r w:rsidRPr="00392E88">
        <w:t>2.1.</w:t>
      </w:r>
      <w:r w:rsidRPr="00392E88">
        <w:tab/>
        <w:t>Zasady nadzoru</w:t>
      </w:r>
      <w:r w:rsidR="006E6446" w:rsidRPr="00392E88">
        <w:t xml:space="preserve"> i</w:t>
      </w:r>
      <w:r w:rsidR="006E6446">
        <w:t> </w:t>
      </w:r>
      <w:r w:rsidR="006E6446" w:rsidRPr="00392E88">
        <w:t>spr</w:t>
      </w:r>
      <w:r w:rsidRPr="00392E88">
        <w:t>awozdawczości</w:t>
      </w:r>
      <w:r w:rsidRPr="00392E88">
        <w:tab/>
      </w:r>
      <w:r w:rsidRPr="00392E88">
        <w:rPr>
          <w:webHidden/>
        </w:rPr>
        <w:t>7</w:t>
      </w:r>
    </w:p>
    <w:p w14:paraId="6D3C9161" w14:textId="6D5B79B4" w:rsidR="00AC2BE5" w:rsidRPr="00392E88" w:rsidRDefault="00AC2BE5">
      <w:pPr>
        <w:pStyle w:val="TOC2"/>
        <w:rPr>
          <w:rFonts w:asciiTheme="minorHAnsi" w:eastAsiaTheme="minorEastAsia" w:hAnsiTheme="minorHAnsi" w:cstheme="minorBidi"/>
          <w:noProof/>
          <w:kern w:val="2"/>
          <w:sz w:val="22"/>
          <w14:ligatures w14:val="standardContextual"/>
        </w:rPr>
      </w:pPr>
      <w:r w:rsidRPr="00392E88">
        <w:t>2.2.</w:t>
      </w:r>
      <w:r w:rsidRPr="00392E88">
        <w:tab/>
        <w:t>System zarządzania</w:t>
      </w:r>
      <w:r w:rsidR="006E6446" w:rsidRPr="00392E88">
        <w:t xml:space="preserve"> i</w:t>
      </w:r>
      <w:r w:rsidR="006E6446">
        <w:t> </w:t>
      </w:r>
      <w:r w:rsidR="006E6446" w:rsidRPr="00392E88">
        <w:t>kon</w:t>
      </w:r>
      <w:r w:rsidRPr="00392E88">
        <w:t>troli</w:t>
      </w:r>
      <w:r w:rsidRPr="00392E88">
        <w:tab/>
      </w:r>
      <w:r w:rsidRPr="00392E88">
        <w:rPr>
          <w:webHidden/>
        </w:rPr>
        <w:t>7</w:t>
      </w:r>
    </w:p>
    <w:p w14:paraId="47A2291A" w14:textId="3EB535B2" w:rsidR="00AC2BE5" w:rsidRPr="00392E88" w:rsidRDefault="00AC2BE5">
      <w:pPr>
        <w:pStyle w:val="TOC3"/>
        <w:rPr>
          <w:rFonts w:asciiTheme="minorHAnsi" w:eastAsiaTheme="minorEastAsia" w:hAnsiTheme="minorHAnsi" w:cstheme="minorBidi"/>
          <w:noProof/>
          <w:kern w:val="2"/>
          <w:sz w:val="22"/>
          <w14:ligatures w14:val="standardContextual"/>
        </w:rPr>
      </w:pPr>
      <w:r w:rsidRPr="00392E88">
        <w:t>2.2.1.</w:t>
      </w:r>
      <w:r w:rsidRPr="00392E88">
        <w:tab/>
        <w:t>Uzasadnienie dla proponowanych metod wykonania budżetu, mechanizmów finansowania wykonania, sposobów dokonywania płatności</w:t>
      </w:r>
      <w:r w:rsidR="006E6446" w:rsidRPr="00392E88">
        <w:t xml:space="preserve"> i</w:t>
      </w:r>
      <w:r w:rsidR="006E6446">
        <w:t> </w:t>
      </w:r>
      <w:r w:rsidR="006E6446" w:rsidRPr="00392E88">
        <w:t>str</w:t>
      </w:r>
      <w:r w:rsidRPr="00392E88">
        <w:t>ategii kontroli</w:t>
      </w:r>
      <w:r w:rsidRPr="00392E88">
        <w:tab/>
      </w:r>
      <w:r w:rsidRPr="00392E88">
        <w:rPr>
          <w:webHidden/>
        </w:rPr>
        <w:t>7</w:t>
      </w:r>
    </w:p>
    <w:p w14:paraId="330FB5D2" w14:textId="1718E229" w:rsidR="00AC2BE5" w:rsidRPr="00392E88" w:rsidRDefault="00AC2BE5">
      <w:pPr>
        <w:pStyle w:val="TOC3"/>
        <w:rPr>
          <w:rFonts w:asciiTheme="minorHAnsi" w:eastAsiaTheme="minorEastAsia" w:hAnsiTheme="minorHAnsi" w:cstheme="minorBidi"/>
          <w:noProof/>
          <w:kern w:val="2"/>
          <w:sz w:val="22"/>
          <w14:ligatures w14:val="standardContextual"/>
        </w:rPr>
      </w:pPr>
      <w:r w:rsidRPr="00392E88">
        <w:t>2.2.2.</w:t>
      </w:r>
      <w:r w:rsidRPr="00392E88">
        <w:tab/>
        <w:t>Informacje dotyczące zidentyfikowanego ryzyka</w:t>
      </w:r>
      <w:r w:rsidR="006E6446" w:rsidRPr="00392E88">
        <w:t xml:space="preserve"> i</w:t>
      </w:r>
      <w:r w:rsidR="006E6446">
        <w:t> </w:t>
      </w:r>
      <w:r w:rsidR="006E6446" w:rsidRPr="00392E88">
        <w:t>sys</w:t>
      </w:r>
      <w:r w:rsidRPr="00392E88">
        <w:t>temów kontroli wewnętrznej ustanowionych</w:t>
      </w:r>
      <w:r w:rsidR="006E6446" w:rsidRPr="00392E88">
        <w:t xml:space="preserve"> w</w:t>
      </w:r>
      <w:r w:rsidR="006E6446">
        <w:t> </w:t>
      </w:r>
      <w:r w:rsidR="006E6446" w:rsidRPr="00392E88">
        <w:t>cel</w:t>
      </w:r>
      <w:r w:rsidRPr="00392E88">
        <w:t>u jego ograniczenia</w:t>
      </w:r>
      <w:r w:rsidRPr="00392E88">
        <w:tab/>
      </w:r>
      <w:r w:rsidRPr="00392E88">
        <w:rPr>
          <w:webHidden/>
        </w:rPr>
        <w:t>7</w:t>
      </w:r>
    </w:p>
    <w:p w14:paraId="7CBEF7ED" w14:textId="7C922D71" w:rsidR="00AC2BE5" w:rsidRPr="00392E88" w:rsidRDefault="00AC2BE5">
      <w:pPr>
        <w:pStyle w:val="TOC3"/>
        <w:rPr>
          <w:rFonts w:asciiTheme="minorHAnsi" w:eastAsiaTheme="minorEastAsia" w:hAnsiTheme="minorHAnsi" w:cstheme="minorBidi"/>
          <w:noProof/>
          <w:kern w:val="2"/>
          <w:sz w:val="22"/>
          <w14:ligatures w14:val="standardContextual"/>
        </w:rPr>
      </w:pPr>
      <w:r w:rsidRPr="00392E88">
        <w:t>2.2.3.</w:t>
      </w:r>
      <w:r w:rsidRPr="00392E88">
        <w:tab/>
        <w:t>Oszacowanie</w:t>
      </w:r>
      <w:r w:rsidR="006E6446" w:rsidRPr="00392E88">
        <w:t xml:space="preserve"> i</w:t>
      </w:r>
      <w:r w:rsidR="006E6446">
        <w:t> </w:t>
      </w:r>
      <w:r w:rsidR="006E6446" w:rsidRPr="00392E88">
        <w:t>uza</w:t>
      </w:r>
      <w:r w:rsidRPr="00392E88">
        <w:t>sadnienie efektywności kosztowej kontroli (relacja kosztów kontroli do wartości zarządzanych funduszy powiązanych) oraz ocena prawdopodobnego ryzyka błędu (przy płatności</w:t>
      </w:r>
      <w:r w:rsidR="006E6446" w:rsidRPr="00392E88">
        <w:t xml:space="preserve"> i</w:t>
      </w:r>
      <w:r w:rsidR="006E6446">
        <w:t> </w:t>
      </w:r>
      <w:r w:rsidR="006E6446" w:rsidRPr="00392E88">
        <w:t>prz</w:t>
      </w:r>
      <w:r w:rsidRPr="00392E88">
        <w:t>y zamykaniu)</w:t>
      </w:r>
      <w:r w:rsidRPr="00392E88">
        <w:tab/>
      </w:r>
      <w:r w:rsidRPr="00392E88">
        <w:rPr>
          <w:webHidden/>
        </w:rPr>
        <w:t>7</w:t>
      </w:r>
    </w:p>
    <w:p w14:paraId="453A399B" w14:textId="02C4AF2B" w:rsidR="00AC2BE5" w:rsidRPr="00392E88" w:rsidRDefault="00AC2BE5">
      <w:pPr>
        <w:pStyle w:val="TOC2"/>
        <w:rPr>
          <w:rFonts w:asciiTheme="minorHAnsi" w:eastAsiaTheme="minorEastAsia" w:hAnsiTheme="minorHAnsi" w:cstheme="minorBidi"/>
          <w:noProof/>
          <w:kern w:val="2"/>
          <w:sz w:val="22"/>
          <w14:ligatures w14:val="standardContextual"/>
        </w:rPr>
      </w:pPr>
      <w:r w:rsidRPr="00392E88">
        <w:t>2.3.</w:t>
      </w:r>
      <w:r w:rsidRPr="00392E88">
        <w:tab/>
        <w:t>Środki zapobiegania nadużyciom finansowym</w:t>
      </w:r>
      <w:r w:rsidR="006E6446" w:rsidRPr="00392E88">
        <w:t xml:space="preserve"> i</w:t>
      </w:r>
      <w:r w:rsidR="006E6446">
        <w:t> </w:t>
      </w:r>
      <w:r w:rsidR="006E6446" w:rsidRPr="00392E88">
        <w:t>nie</w:t>
      </w:r>
      <w:r w:rsidRPr="00392E88">
        <w:t>prawidłowościom</w:t>
      </w:r>
      <w:r w:rsidRPr="00392E88">
        <w:tab/>
      </w:r>
      <w:r w:rsidRPr="00392E88">
        <w:rPr>
          <w:webHidden/>
        </w:rPr>
        <w:t>7</w:t>
      </w:r>
    </w:p>
    <w:p w14:paraId="65C0C88C" w14:textId="61277034" w:rsidR="00AC2BE5" w:rsidRPr="00392E88" w:rsidRDefault="00AC2BE5">
      <w:pPr>
        <w:pStyle w:val="TOC1"/>
        <w:rPr>
          <w:rFonts w:asciiTheme="minorHAnsi" w:eastAsiaTheme="minorEastAsia" w:hAnsiTheme="minorHAnsi" w:cstheme="minorBidi"/>
          <w:noProof/>
          <w:kern w:val="2"/>
          <w:sz w:val="22"/>
          <w14:ligatures w14:val="standardContextual"/>
        </w:rPr>
      </w:pPr>
      <w:r w:rsidRPr="00392E88">
        <w:t>3.</w:t>
      </w:r>
      <w:r w:rsidRPr="00392E88">
        <w:tab/>
        <w:t>SZACUNKOWY WPŁYW FINANSOWY WNIOSKU/INICJATYWY</w:t>
      </w:r>
      <w:r w:rsidRPr="00392E88">
        <w:tab/>
      </w:r>
      <w:r w:rsidRPr="00392E88">
        <w:rPr>
          <w:webHidden/>
        </w:rPr>
        <w:t>8</w:t>
      </w:r>
    </w:p>
    <w:p w14:paraId="2FDA8983" w14:textId="12F359A6" w:rsidR="00AC2BE5" w:rsidRPr="00392E88" w:rsidRDefault="00AC2BE5" w:rsidP="0017604B">
      <w:pPr>
        <w:pStyle w:val="TOC2"/>
        <w:rPr>
          <w:rFonts w:asciiTheme="minorHAnsi" w:eastAsiaTheme="minorEastAsia" w:hAnsiTheme="minorHAnsi" w:cstheme="minorBidi"/>
          <w:noProof/>
          <w:kern w:val="2"/>
          <w:sz w:val="22"/>
          <w14:ligatures w14:val="standardContextual"/>
        </w:rPr>
      </w:pPr>
      <w:r w:rsidRPr="00392E88">
        <w:t>3.1.</w:t>
      </w:r>
      <w:r w:rsidRPr="00392E88">
        <w:tab/>
        <w:t>Działy wieloletnich ram finansowych</w:t>
      </w:r>
      <w:r w:rsidR="006E6446" w:rsidRPr="00392E88">
        <w:t xml:space="preserve"> i</w:t>
      </w:r>
      <w:r w:rsidR="006E6446">
        <w:t> </w:t>
      </w:r>
      <w:r w:rsidR="006E6446" w:rsidRPr="00392E88">
        <w:t>lin</w:t>
      </w:r>
      <w:r w:rsidRPr="00392E88">
        <w:t>ie budżetowe po stronie wydatków, na które wniosek/inicjatywa ma wpływ</w:t>
      </w:r>
      <w:r w:rsidRPr="00392E88">
        <w:tab/>
      </w:r>
      <w:r w:rsidRPr="00392E88">
        <w:rPr>
          <w:webHidden/>
        </w:rPr>
        <w:t>8</w:t>
      </w:r>
    </w:p>
    <w:p w14:paraId="6DDA3A95" w14:textId="482E312B" w:rsidR="00AC2BE5" w:rsidRPr="00392E88" w:rsidRDefault="00AC2BE5" w:rsidP="0017604B">
      <w:pPr>
        <w:pStyle w:val="TOC2"/>
        <w:rPr>
          <w:rFonts w:asciiTheme="minorHAnsi" w:eastAsiaTheme="minorEastAsia" w:hAnsiTheme="minorHAnsi" w:cstheme="minorBidi"/>
          <w:noProof/>
          <w:kern w:val="2"/>
          <w:sz w:val="22"/>
          <w14:ligatures w14:val="standardContextual"/>
        </w:rPr>
      </w:pPr>
      <w:r w:rsidRPr="00392E88">
        <w:t>3.2.</w:t>
      </w:r>
      <w:r w:rsidRPr="00392E88">
        <w:tab/>
        <w:t>Szacunkowy wpływ finansowy wniosku na środki</w:t>
      </w:r>
      <w:r w:rsidRPr="00392E88">
        <w:tab/>
      </w:r>
      <w:r w:rsidRPr="00392E88">
        <w:rPr>
          <w:webHidden/>
        </w:rPr>
        <w:t>9</w:t>
      </w:r>
    </w:p>
    <w:p w14:paraId="680657B8" w14:textId="019CBF35" w:rsidR="00AC2BE5" w:rsidRPr="00392E88" w:rsidRDefault="00AC2BE5" w:rsidP="0017604B">
      <w:pPr>
        <w:pStyle w:val="TOC3"/>
        <w:rPr>
          <w:rFonts w:asciiTheme="minorHAnsi" w:eastAsiaTheme="minorEastAsia" w:hAnsiTheme="minorHAnsi" w:cstheme="minorBidi"/>
          <w:noProof/>
          <w:kern w:val="2"/>
          <w:sz w:val="22"/>
          <w14:ligatures w14:val="standardContextual"/>
        </w:rPr>
      </w:pPr>
      <w:r w:rsidRPr="00392E88">
        <w:t>3.2.1.</w:t>
      </w:r>
      <w:r w:rsidRPr="00392E88">
        <w:tab/>
        <w:t>Podsumowanie szacunkowego wpływu na środki operacyjne</w:t>
      </w:r>
      <w:r w:rsidRPr="00392E88">
        <w:tab/>
      </w:r>
      <w:r w:rsidRPr="00392E88">
        <w:rPr>
          <w:webHidden/>
        </w:rPr>
        <w:t>9</w:t>
      </w:r>
    </w:p>
    <w:p w14:paraId="566015C5" w14:textId="13B6CB72" w:rsidR="00AC2BE5" w:rsidRPr="00392E88" w:rsidRDefault="00AC2BE5" w:rsidP="005D0C3B">
      <w:pPr>
        <w:pStyle w:val="TOC4"/>
        <w:rPr>
          <w:rFonts w:asciiTheme="minorHAnsi" w:eastAsiaTheme="minorEastAsia" w:hAnsiTheme="minorHAnsi" w:cstheme="minorBidi"/>
          <w:noProof/>
          <w:kern w:val="2"/>
          <w:sz w:val="22"/>
          <w14:ligatures w14:val="standardContextual"/>
        </w:rPr>
      </w:pPr>
      <w:r w:rsidRPr="00392E88">
        <w:t>3.2.1.1.</w:t>
      </w:r>
      <w:r w:rsidRPr="00392E88">
        <w:tab/>
        <w:t>Środki</w:t>
      </w:r>
      <w:r w:rsidR="006E6446" w:rsidRPr="00392E88">
        <w:t xml:space="preserve"> z</w:t>
      </w:r>
      <w:r w:rsidR="006E6446">
        <w:t> </w:t>
      </w:r>
      <w:r w:rsidR="006E6446" w:rsidRPr="00392E88">
        <w:t>uch</w:t>
      </w:r>
      <w:r w:rsidRPr="00392E88">
        <w:t>walonego budżetu</w:t>
      </w:r>
      <w:r w:rsidRPr="00392E88">
        <w:tab/>
      </w:r>
      <w:r w:rsidRPr="00392E88">
        <w:rPr>
          <w:webHidden/>
        </w:rPr>
        <w:t>9</w:t>
      </w:r>
    </w:p>
    <w:p w14:paraId="3F2FFDEF" w14:textId="736DEF64" w:rsidR="00AC2BE5" w:rsidRPr="00392E88" w:rsidRDefault="00AC2BE5" w:rsidP="005D0C3B">
      <w:pPr>
        <w:pStyle w:val="TOC4"/>
        <w:rPr>
          <w:rFonts w:asciiTheme="minorHAnsi" w:eastAsiaTheme="minorEastAsia" w:hAnsiTheme="minorHAnsi" w:cstheme="minorBidi"/>
          <w:noProof/>
          <w:kern w:val="2"/>
          <w:sz w:val="22"/>
          <w14:ligatures w14:val="standardContextual"/>
        </w:rPr>
      </w:pPr>
      <w:r w:rsidRPr="00392E88">
        <w:t>3.2.1.2.</w:t>
      </w:r>
      <w:r w:rsidRPr="00392E88">
        <w:tab/>
        <w:t>Środki</w:t>
      </w:r>
      <w:r w:rsidR="006E6446" w:rsidRPr="00392E88">
        <w:t xml:space="preserve"> z</w:t>
      </w:r>
      <w:r w:rsidR="006E6446">
        <w:t> </w:t>
      </w:r>
      <w:r w:rsidR="006E6446" w:rsidRPr="00392E88">
        <w:t>zew</w:t>
      </w:r>
      <w:r w:rsidRPr="00392E88">
        <w:t>nętrznych dochodów przeznaczonych na określony cel</w:t>
      </w:r>
      <w:r w:rsidRPr="00392E88">
        <w:tab/>
      </w:r>
      <w:r w:rsidRPr="00392E88">
        <w:rPr>
          <w:webHidden/>
        </w:rPr>
        <w:t>13</w:t>
      </w:r>
    </w:p>
    <w:p w14:paraId="2F2D8BB9" w14:textId="3A5BFD26" w:rsidR="00AC2BE5" w:rsidRPr="00392E88" w:rsidRDefault="00AC2BE5" w:rsidP="0017604B">
      <w:pPr>
        <w:pStyle w:val="TOC3"/>
        <w:rPr>
          <w:rFonts w:asciiTheme="minorHAnsi" w:eastAsiaTheme="minorEastAsia" w:hAnsiTheme="minorHAnsi" w:cstheme="minorBidi"/>
          <w:noProof/>
          <w:kern w:val="2"/>
          <w:sz w:val="22"/>
          <w14:ligatures w14:val="standardContextual"/>
        </w:rPr>
      </w:pPr>
      <w:r w:rsidRPr="00392E88">
        <w:t>3.2.2.</w:t>
      </w:r>
      <w:r w:rsidRPr="00392E88">
        <w:tab/>
        <w:t>Szacowany produkt finansowany ze środków operacyjnych</w:t>
      </w:r>
      <w:r w:rsidRPr="00392E88">
        <w:tab/>
      </w:r>
      <w:r w:rsidRPr="00392E88">
        <w:rPr>
          <w:webHidden/>
        </w:rPr>
        <w:t>18</w:t>
      </w:r>
    </w:p>
    <w:p w14:paraId="01560024" w14:textId="6AC25B57" w:rsidR="00AC2BE5" w:rsidRPr="00392E88" w:rsidRDefault="00AC2BE5" w:rsidP="0017604B">
      <w:pPr>
        <w:pStyle w:val="TOC3"/>
        <w:rPr>
          <w:rFonts w:asciiTheme="minorHAnsi" w:eastAsiaTheme="minorEastAsia" w:hAnsiTheme="minorHAnsi" w:cstheme="minorBidi"/>
          <w:noProof/>
          <w:kern w:val="2"/>
          <w:sz w:val="22"/>
          <w14:ligatures w14:val="standardContextual"/>
        </w:rPr>
      </w:pPr>
      <w:r w:rsidRPr="00392E88">
        <w:t>3.2.3.</w:t>
      </w:r>
      <w:r w:rsidRPr="00392E88">
        <w:tab/>
        <w:t>Podsumowanie szacunkowego wpływu na środki administracyjne</w:t>
      </w:r>
      <w:r w:rsidRPr="00392E88">
        <w:tab/>
      </w:r>
      <w:r w:rsidRPr="00392E88">
        <w:rPr>
          <w:webHidden/>
        </w:rPr>
        <w:t>20</w:t>
      </w:r>
    </w:p>
    <w:p w14:paraId="5B5026F0" w14:textId="780690B5" w:rsidR="00AC2BE5" w:rsidRPr="00392E88" w:rsidRDefault="00AC2BE5" w:rsidP="005D0C3B">
      <w:pPr>
        <w:pStyle w:val="TOC4"/>
        <w:rPr>
          <w:rFonts w:asciiTheme="minorHAnsi" w:eastAsiaTheme="minorEastAsia" w:hAnsiTheme="minorHAnsi" w:cstheme="minorBidi"/>
          <w:noProof/>
          <w:kern w:val="2"/>
          <w:sz w:val="22"/>
          <w14:ligatures w14:val="standardContextual"/>
        </w:rPr>
      </w:pPr>
      <w:r w:rsidRPr="00392E88">
        <w:t>3.2.3.1. Środki</w:t>
      </w:r>
      <w:r w:rsidR="006E6446" w:rsidRPr="00392E88">
        <w:t xml:space="preserve"> z</w:t>
      </w:r>
      <w:r w:rsidR="006E6446">
        <w:t> </w:t>
      </w:r>
      <w:r w:rsidR="006E6446" w:rsidRPr="00392E88">
        <w:t>uch</w:t>
      </w:r>
      <w:r w:rsidRPr="00392E88">
        <w:t>walonego budżetu</w:t>
      </w:r>
      <w:r w:rsidRPr="00392E88">
        <w:tab/>
      </w:r>
      <w:r w:rsidRPr="00392E88">
        <w:rPr>
          <w:webHidden/>
        </w:rPr>
        <w:t>20</w:t>
      </w:r>
    </w:p>
    <w:p w14:paraId="2CF2B86E" w14:textId="5A72A5FF" w:rsidR="00AC2BE5" w:rsidRPr="00392E88" w:rsidRDefault="00AC2BE5" w:rsidP="005D0C3B">
      <w:pPr>
        <w:pStyle w:val="TOC4"/>
        <w:rPr>
          <w:rFonts w:asciiTheme="minorHAnsi" w:eastAsiaTheme="minorEastAsia" w:hAnsiTheme="minorHAnsi" w:cstheme="minorBidi"/>
          <w:noProof/>
          <w:kern w:val="2"/>
          <w:sz w:val="22"/>
          <w14:ligatures w14:val="standardContextual"/>
        </w:rPr>
      </w:pPr>
      <w:r w:rsidRPr="00392E88">
        <w:t>3.2.3.2.</w:t>
      </w:r>
      <w:r w:rsidRPr="00392E88">
        <w:tab/>
        <w:t>Środki</w:t>
      </w:r>
      <w:r w:rsidR="006E6446" w:rsidRPr="00392E88">
        <w:t xml:space="preserve"> z</w:t>
      </w:r>
      <w:r w:rsidR="006E6446">
        <w:t> </w:t>
      </w:r>
      <w:r w:rsidR="006E6446" w:rsidRPr="00392E88">
        <w:t>zew</w:t>
      </w:r>
      <w:r w:rsidRPr="00392E88">
        <w:t>nętrznych dochodów przeznaczonych na określony cel</w:t>
      </w:r>
      <w:r w:rsidRPr="00392E88">
        <w:tab/>
      </w:r>
      <w:r w:rsidRPr="00392E88">
        <w:rPr>
          <w:webHidden/>
        </w:rPr>
        <w:t>20</w:t>
      </w:r>
    </w:p>
    <w:p w14:paraId="769A20D6" w14:textId="63B37D49" w:rsidR="00AC2BE5" w:rsidRPr="00392E88" w:rsidRDefault="00AC2BE5" w:rsidP="005D0C3B">
      <w:pPr>
        <w:pStyle w:val="TOC4"/>
        <w:rPr>
          <w:rFonts w:asciiTheme="minorHAnsi" w:eastAsiaTheme="minorEastAsia" w:hAnsiTheme="minorHAnsi" w:cstheme="minorBidi"/>
          <w:noProof/>
          <w:kern w:val="2"/>
          <w:sz w:val="22"/>
          <w14:ligatures w14:val="standardContextual"/>
        </w:rPr>
      </w:pPr>
      <w:r w:rsidRPr="00392E88">
        <w:t>3.2.3.3.</w:t>
      </w:r>
      <w:r w:rsidRPr="00392E88">
        <w:tab/>
        <w:t>Ogółem środki</w:t>
      </w:r>
      <w:r w:rsidRPr="00392E88">
        <w:tab/>
      </w:r>
      <w:r w:rsidRPr="00392E88">
        <w:rPr>
          <w:webHidden/>
        </w:rPr>
        <w:t>20</w:t>
      </w:r>
    </w:p>
    <w:p w14:paraId="11EA9985" w14:textId="0FE34337" w:rsidR="00AC2BE5" w:rsidRPr="00392E88" w:rsidRDefault="00AC2BE5" w:rsidP="0017604B">
      <w:pPr>
        <w:pStyle w:val="TOC3"/>
        <w:rPr>
          <w:rFonts w:asciiTheme="minorHAnsi" w:eastAsiaTheme="minorEastAsia" w:hAnsiTheme="minorHAnsi" w:cstheme="minorBidi"/>
          <w:noProof/>
          <w:kern w:val="2"/>
          <w:sz w:val="22"/>
          <w14:ligatures w14:val="standardContextual"/>
        </w:rPr>
      </w:pPr>
      <w:r w:rsidRPr="00392E88">
        <w:t>3.2.4.</w:t>
      </w:r>
      <w:r w:rsidRPr="00392E88">
        <w:tab/>
        <w:t>Szacowane zapotrzebowanie na zasoby ludzkie</w:t>
      </w:r>
      <w:r w:rsidRPr="00392E88">
        <w:tab/>
      </w:r>
      <w:r w:rsidRPr="00392E88">
        <w:rPr>
          <w:webHidden/>
        </w:rPr>
        <w:t>21</w:t>
      </w:r>
    </w:p>
    <w:p w14:paraId="70104CD2" w14:textId="4708FE2D" w:rsidR="00AC2BE5" w:rsidRPr="00392E88" w:rsidRDefault="00AC2BE5" w:rsidP="005D0C3B">
      <w:pPr>
        <w:pStyle w:val="TOC4"/>
        <w:rPr>
          <w:rFonts w:asciiTheme="minorHAnsi" w:eastAsiaTheme="minorEastAsia" w:hAnsiTheme="minorHAnsi" w:cstheme="minorBidi"/>
          <w:noProof/>
          <w:kern w:val="2"/>
          <w:sz w:val="22"/>
          <w14:ligatures w14:val="standardContextual"/>
        </w:rPr>
      </w:pPr>
      <w:r w:rsidRPr="00392E88">
        <w:t>3.2.4.1.</w:t>
      </w:r>
      <w:r w:rsidRPr="00392E88">
        <w:tab/>
        <w:t>Finansowane</w:t>
      </w:r>
      <w:r w:rsidR="006E6446" w:rsidRPr="00392E88">
        <w:t xml:space="preserve"> z</w:t>
      </w:r>
      <w:r w:rsidR="006E6446">
        <w:t> </w:t>
      </w:r>
      <w:r w:rsidR="006E6446" w:rsidRPr="00392E88">
        <w:t>uch</w:t>
      </w:r>
      <w:r w:rsidRPr="00392E88">
        <w:t>walonego budżetu</w:t>
      </w:r>
      <w:r w:rsidRPr="00392E88">
        <w:tab/>
      </w:r>
      <w:r w:rsidRPr="00392E88">
        <w:rPr>
          <w:webHidden/>
        </w:rPr>
        <w:t>21</w:t>
      </w:r>
    </w:p>
    <w:p w14:paraId="3C5FF566" w14:textId="7BAB9345" w:rsidR="00AC2BE5" w:rsidRPr="00392E88" w:rsidRDefault="00AC2BE5" w:rsidP="005D0C3B">
      <w:pPr>
        <w:pStyle w:val="TOC4"/>
        <w:rPr>
          <w:rFonts w:asciiTheme="minorHAnsi" w:eastAsiaTheme="minorEastAsia" w:hAnsiTheme="minorHAnsi" w:cstheme="minorBidi"/>
          <w:noProof/>
          <w:kern w:val="2"/>
          <w:sz w:val="22"/>
          <w14:ligatures w14:val="standardContextual"/>
        </w:rPr>
      </w:pPr>
      <w:r w:rsidRPr="00392E88">
        <w:t>3.2.4.2.</w:t>
      </w:r>
      <w:r w:rsidRPr="00392E88">
        <w:tab/>
        <w:t>Finansowane</w:t>
      </w:r>
      <w:r w:rsidR="006E6446" w:rsidRPr="00392E88">
        <w:t xml:space="preserve"> z</w:t>
      </w:r>
      <w:r w:rsidR="006E6446">
        <w:t> </w:t>
      </w:r>
      <w:r w:rsidR="006E6446" w:rsidRPr="00392E88">
        <w:t>zew</w:t>
      </w:r>
      <w:r w:rsidRPr="00392E88">
        <w:t>nętrznych dochodów przeznaczonych na określony cel</w:t>
      </w:r>
      <w:r w:rsidRPr="00392E88">
        <w:tab/>
      </w:r>
      <w:r w:rsidRPr="00392E88">
        <w:rPr>
          <w:webHidden/>
        </w:rPr>
        <w:t>21</w:t>
      </w:r>
    </w:p>
    <w:p w14:paraId="48560D1E" w14:textId="48069CEE" w:rsidR="00AC2BE5" w:rsidRPr="00392E88" w:rsidRDefault="00AC2BE5" w:rsidP="005D0C3B">
      <w:pPr>
        <w:pStyle w:val="TOC4"/>
        <w:rPr>
          <w:rFonts w:asciiTheme="minorHAnsi" w:eastAsiaTheme="minorEastAsia" w:hAnsiTheme="minorHAnsi" w:cstheme="minorBidi"/>
          <w:noProof/>
          <w:kern w:val="2"/>
          <w:sz w:val="22"/>
          <w14:ligatures w14:val="standardContextual"/>
        </w:rPr>
      </w:pPr>
      <w:r w:rsidRPr="00392E88">
        <w:t>3.2.4.3.</w:t>
      </w:r>
      <w:r w:rsidRPr="00392E88">
        <w:tab/>
        <w:t>Zapotrzebowanie na zasoby ludzkie ogółem</w:t>
      </w:r>
      <w:r w:rsidRPr="00392E88">
        <w:tab/>
      </w:r>
      <w:r w:rsidRPr="00392E88">
        <w:rPr>
          <w:webHidden/>
        </w:rPr>
        <w:t>22</w:t>
      </w:r>
    </w:p>
    <w:p w14:paraId="2842012E" w14:textId="197786B5" w:rsidR="00AC2BE5" w:rsidRPr="00392E88" w:rsidRDefault="00AC2BE5" w:rsidP="0017604B">
      <w:pPr>
        <w:pStyle w:val="TOC3"/>
        <w:rPr>
          <w:rFonts w:asciiTheme="minorHAnsi" w:eastAsiaTheme="minorEastAsia" w:hAnsiTheme="minorHAnsi" w:cstheme="minorBidi"/>
          <w:noProof/>
          <w:kern w:val="2"/>
          <w:sz w:val="22"/>
          <w14:ligatures w14:val="standardContextual"/>
        </w:rPr>
      </w:pPr>
      <w:r w:rsidRPr="00392E88">
        <w:t>3.2.5.</w:t>
      </w:r>
      <w:r w:rsidRPr="00392E88">
        <w:tab/>
        <w:t>Przegląd szacowanego wpływu na inwestycje związane</w:t>
      </w:r>
      <w:r w:rsidR="006E6446" w:rsidRPr="00392E88">
        <w:t xml:space="preserve"> z</w:t>
      </w:r>
      <w:r w:rsidR="006E6446">
        <w:t> </w:t>
      </w:r>
      <w:r w:rsidR="006E6446" w:rsidRPr="00392E88">
        <w:t>tec</w:t>
      </w:r>
      <w:r w:rsidRPr="00392E88">
        <w:t>hnologiami cyfrowymi</w:t>
      </w:r>
      <w:r w:rsidRPr="00392E88">
        <w:tab/>
      </w:r>
      <w:r w:rsidRPr="00392E88">
        <w:rPr>
          <w:webHidden/>
        </w:rPr>
        <w:t>23</w:t>
      </w:r>
    </w:p>
    <w:p w14:paraId="07340DEB" w14:textId="6FBB1DBE" w:rsidR="00AC2BE5" w:rsidRPr="00392E88" w:rsidRDefault="00AC2BE5" w:rsidP="0017604B">
      <w:pPr>
        <w:pStyle w:val="TOC3"/>
        <w:rPr>
          <w:rFonts w:asciiTheme="minorHAnsi" w:eastAsiaTheme="minorEastAsia" w:hAnsiTheme="minorHAnsi" w:cstheme="minorBidi"/>
          <w:noProof/>
          <w:kern w:val="2"/>
          <w:sz w:val="22"/>
          <w14:ligatures w14:val="standardContextual"/>
        </w:rPr>
      </w:pPr>
      <w:r w:rsidRPr="00392E88">
        <w:t>3.2.6.</w:t>
      </w:r>
      <w:r w:rsidRPr="00392E88">
        <w:tab/>
        <w:t>Zgodność</w:t>
      </w:r>
      <w:r w:rsidR="006E6446" w:rsidRPr="00392E88">
        <w:t xml:space="preserve"> z</w:t>
      </w:r>
      <w:r w:rsidR="006E6446">
        <w:t> </w:t>
      </w:r>
      <w:r w:rsidR="006E6446" w:rsidRPr="00392E88">
        <w:t>obo</w:t>
      </w:r>
      <w:r w:rsidRPr="00392E88">
        <w:t>wiązującymi wieloletnimi ramami finansowymi</w:t>
      </w:r>
      <w:r w:rsidRPr="00392E88">
        <w:tab/>
      </w:r>
      <w:r w:rsidRPr="00392E88">
        <w:rPr>
          <w:webHidden/>
        </w:rPr>
        <w:t>23</w:t>
      </w:r>
    </w:p>
    <w:p w14:paraId="7306996E" w14:textId="06875932" w:rsidR="00AC2BE5" w:rsidRPr="00392E88" w:rsidRDefault="00AC2BE5" w:rsidP="0017604B">
      <w:pPr>
        <w:pStyle w:val="TOC3"/>
        <w:rPr>
          <w:rFonts w:asciiTheme="minorHAnsi" w:eastAsiaTheme="minorEastAsia" w:hAnsiTheme="minorHAnsi" w:cstheme="minorBidi"/>
          <w:noProof/>
          <w:kern w:val="2"/>
          <w:sz w:val="22"/>
          <w14:ligatures w14:val="standardContextual"/>
        </w:rPr>
      </w:pPr>
      <w:r w:rsidRPr="00392E88">
        <w:t>3.2.7.</w:t>
      </w:r>
      <w:r w:rsidRPr="00392E88">
        <w:tab/>
        <w:t>Udział osób trzecich</w:t>
      </w:r>
      <w:r w:rsidR="006E6446" w:rsidRPr="00392E88">
        <w:t xml:space="preserve"> w</w:t>
      </w:r>
      <w:r w:rsidR="006E6446">
        <w:t> </w:t>
      </w:r>
      <w:r w:rsidR="006E6446" w:rsidRPr="00392E88">
        <w:t>fin</w:t>
      </w:r>
      <w:r w:rsidRPr="00392E88">
        <w:t>ansowaniu</w:t>
      </w:r>
      <w:r w:rsidRPr="00392E88">
        <w:tab/>
      </w:r>
      <w:r w:rsidRPr="00392E88">
        <w:rPr>
          <w:webHidden/>
        </w:rPr>
        <w:t>23</w:t>
      </w:r>
    </w:p>
    <w:p w14:paraId="5F38FF7B" w14:textId="4EC569F6" w:rsidR="00AC2BE5" w:rsidRPr="00392E88" w:rsidRDefault="00AC2BE5" w:rsidP="0017604B">
      <w:pPr>
        <w:pStyle w:val="TOC2"/>
        <w:rPr>
          <w:rFonts w:asciiTheme="minorHAnsi" w:eastAsiaTheme="minorEastAsia" w:hAnsiTheme="minorHAnsi" w:cstheme="minorBidi"/>
          <w:noProof/>
          <w:kern w:val="2"/>
          <w:sz w:val="22"/>
          <w14:ligatures w14:val="standardContextual"/>
        </w:rPr>
      </w:pPr>
      <w:r w:rsidRPr="00392E88">
        <w:t>3.3.</w:t>
      </w:r>
      <w:r w:rsidRPr="00392E88">
        <w:tab/>
        <w:t>Szacunkowy wpływ na dochody</w:t>
      </w:r>
      <w:r w:rsidRPr="00392E88">
        <w:tab/>
      </w:r>
      <w:r w:rsidRPr="00392E88">
        <w:rPr>
          <w:webHidden/>
        </w:rPr>
        <w:t>24</w:t>
      </w:r>
    </w:p>
    <w:p w14:paraId="28ADE887" w14:textId="1C1E7C03" w:rsidR="00AC2BE5" w:rsidRPr="00392E88" w:rsidRDefault="00AC2BE5">
      <w:pPr>
        <w:pStyle w:val="TOC1"/>
        <w:rPr>
          <w:rFonts w:asciiTheme="minorHAnsi" w:eastAsiaTheme="minorEastAsia" w:hAnsiTheme="minorHAnsi" w:cstheme="minorBidi"/>
          <w:noProof/>
          <w:kern w:val="2"/>
          <w:sz w:val="22"/>
          <w14:ligatures w14:val="standardContextual"/>
        </w:rPr>
      </w:pPr>
      <w:r w:rsidRPr="00392E88">
        <w:t>4.</w:t>
      </w:r>
      <w:r w:rsidRPr="00392E88">
        <w:tab/>
      </w:r>
      <w:r w:rsidRPr="00392E88">
        <w:rPr>
          <w:caps/>
        </w:rPr>
        <w:t>Wymiar cyfrowy</w:t>
      </w:r>
      <w:r w:rsidRPr="00392E88">
        <w:tab/>
      </w:r>
      <w:r w:rsidRPr="00392E88">
        <w:rPr>
          <w:webHidden/>
        </w:rPr>
        <w:t>25</w:t>
      </w:r>
    </w:p>
    <w:p w14:paraId="32BE4A87" w14:textId="6C5FCCA0" w:rsidR="00AC2BE5" w:rsidRPr="00392E88" w:rsidRDefault="00AC2BE5">
      <w:pPr>
        <w:pStyle w:val="TOC2"/>
        <w:rPr>
          <w:rFonts w:asciiTheme="minorHAnsi" w:eastAsiaTheme="minorEastAsia" w:hAnsiTheme="minorHAnsi" w:cstheme="minorBidi"/>
          <w:noProof/>
          <w:kern w:val="2"/>
          <w:sz w:val="22"/>
          <w14:ligatures w14:val="standardContextual"/>
        </w:rPr>
      </w:pPr>
      <w:r w:rsidRPr="00392E88">
        <w:t>4.1.</w:t>
      </w:r>
      <w:r w:rsidRPr="00392E88">
        <w:tab/>
        <w:t>Wymogi cyfrowe</w:t>
      </w:r>
      <w:r w:rsidRPr="00392E88">
        <w:tab/>
      </w:r>
      <w:r w:rsidRPr="00392E88">
        <w:rPr>
          <w:webHidden/>
        </w:rPr>
        <w:t>25</w:t>
      </w:r>
    </w:p>
    <w:p w14:paraId="493DDB75" w14:textId="7E509B1D" w:rsidR="00AC2BE5" w:rsidRPr="00392E88" w:rsidRDefault="00AC2BE5">
      <w:pPr>
        <w:pStyle w:val="TOC2"/>
        <w:rPr>
          <w:rFonts w:asciiTheme="minorHAnsi" w:eastAsiaTheme="minorEastAsia" w:hAnsiTheme="minorHAnsi" w:cstheme="minorBidi"/>
          <w:noProof/>
          <w:kern w:val="2"/>
          <w:sz w:val="22"/>
          <w14:ligatures w14:val="standardContextual"/>
        </w:rPr>
      </w:pPr>
      <w:r w:rsidRPr="00392E88">
        <w:t>4.2.</w:t>
      </w:r>
      <w:r w:rsidRPr="00392E88">
        <w:tab/>
        <w:t>Dane</w:t>
      </w:r>
      <w:r w:rsidRPr="00392E88">
        <w:tab/>
      </w:r>
      <w:r w:rsidRPr="00392E88">
        <w:rPr>
          <w:webHidden/>
        </w:rPr>
        <w:t>26</w:t>
      </w:r>
    </w:p>
    <w:p w14:paraId="6518FD1B" w14:textId="16A5A76B" w:rsidR="00AC2BE5" w:rsidRPr="00392E88" w:rsidRDefault="00AC2BE5">
      <w:pPr>
        <w:pStyle w:val="TOC2"/>
        <w:rPr>
          <w:rFonts w:asciiTheme="minorHAnsi" w:eastAsiaTheme="minorEastAsia" w:hAnsiTheme="minorHAnsi" w:cstheme="minorBidi"/>
          <w:noProof/>
          <w:kern w:val="2"/>
          <w:sz w:val="22"/>
          <w14:ligatures w14:val="standardContextual"/>
        </w:rPr>
      </w:pPr>
      <w:r w:rsidRPr="00392E88">
        <w:t>4.3.</w:t>
      </w:r>
      <w:r w:rsidRPr="00392E88">
        <w:tab/>
        <w:t>Rozwiązania cyfrowe</w:t>
      </w:r>
      <w:r w:rsidRPr="00392E88">
        <w:tab/>
      </w:r>
      <w:r w:rsidRPr="00392E88">
        <w:rPr>
          <w:webHidden/>
        </w:rPr>
        <w:t>27</w:t>
      </w:r>
    </w:p>
    <w:p w14:paraId="0AB2DA57" w14:textId="1E1B015C" w:rsidR="00AC2BE5" w:rsidRPr="00392E88" w:rsidRDefault="00AC2BE5">
      <w:pPr>
        <w:pStyle w:val="TOC2"/>
        <w:rPr>
          <w:rFonts w:asciiTheme="minorHAnsi" w:eastAsiaTheme="minorEastAsia" w:hAnsiTheme="minorHAnsi" w:cstheme="minorBidi"/>
          <w:noProof/>
          <w:kern w:val="2"/>
          <w:sz w:val="22"/>
          <w14:ligatures w14:val="standardContextual"/>
        </w:rPr>
      </w:pPr>
      <w:r w:rsidRPr="00392E88">
        <w:t>4.4.</w:t>
      </w:r>
      <w:r w:rsidRPr="00392E88">
        <w:tab/>
        <w:t>Ocena interoperacyjności</w:t>
      </w:r>
      <w:r w:rsidRPr="00392E88">
        <w:tab/>
      </w:r>
      <w:r w:rsidRPr="00392E88">
        <w:rPr>
          <w:webHidden/>
        </w:rPr>
        <w:t>29</w:t>
      </w:r>
    </w:p>
    <w:p w14:paraId="0A6EF3CE" w14:textId="1233A930" w:rsidR="00AC2BE5" w:rsidRPr="00392E88" w:rsidRDefault="00AC2BE5">
      <w:pPr>
        <w:pStyle w:val="TOC2"/>
        <w:rPr>
          <w:rFonts w:asciiTheme="minorHAnsi" w:eastAsiaTheme="minorEastAsia" w:hAnsiTheme="minorHAnsi" w:cstheme="minorBidi"/>
          <w:noProof/>
          <w:kern w:val="2"/>
          <w:sz w:val="22"/>
          <w14:ligatures w14:val="standardContextual"/>
        </w:rPr>
      </w:pPr>
      <w:r w:rsidRPr="00392E88">
        <w:t>4.5.</w:t>
      </w:r>
      <w:r w:rsidRPr="00392E88">
        <w:tab/>
        <w:t>Środki wspierające cyfrowe wdrażanie</w:t>
      </w:r>
      <w:r w:rsidRPr="00392E88">
        <w:tab/>
      </w:r>
      <w:r w:rsidRPr="00392E88">
        <w:rPr>
          <w:webHidden/>
        </w:rPr>
        <w:t>29</w:t>
      </w:r>
    </w:p>
    <w:p w14:paraId="5D8BE227" w14:textId="77777777" w:rsidR="00AC2BE5" w:rsidRPr="00392E88" w:rsidRDefault="00AC2BE5">
      <w:pPr>
        <w:pStyle w:val="TOC1"/>
        <w:ind w:left="0" w:firstLine="0"/>
        <w:rPr>
          <w:noProof/>
        </w:rPr>
        <w:sectPr w:rsidR="00AC2BE5" w:rsidRPr="00392E88" w:rsidSect="00682C29">
          <w:pgSz w:w="11907" w:h="16840" w:code="9"/>
          <w:pgMar w:top="1134" w:right="1418" w:bottom="1134" w:left="1418" w:header="709" w:footer="709" w:gutter="0"/>
          <w:pgNumType w:start="1"/>
          <w:cols w:space="720"/>
          <w:docGrid w:linePitch="360"/>
        </w:sectPr>
      </w:pPr>
    </w:p>
    <w:p w14:paraId="5A6FD479" w14:textId="77777777" w:rsidR="00AC2BE5" w:rsidRPr="00392E88" w:rsidRDefault="00AC2BE5">
      <w:pPr>
        <w:pStyle w:val="ManualHeading1"/>
        <w:rPr>
          <w:noProof/>
        </w:rPr>
      </w:pPr>
      <w:bookmarkStart w:id="2" w:name="_Toc514938007"/>
      <w:bookmarkStart w:id="3" w:name="_Toc520485025"/>
      <w:bookmarkStart w:id="4" w:name="_Toc160804567"/>
      <w:bookmarkStart w:id="5" w:name="_Toc167220259"/>
      <w:bookmarkStart w:id="6" w:name="_Toc177548992"/>
      <w:r w:rsidRPr="00392E88">
        <w:t>1.</w:t>
      </w:r>
      <w:r w:rsidRPr="00392E88">
        <w:tab/>
        <w:t>STRUKTURA WNIOSKU/INICJATYWY</w:t>
      </w:r>
      <w:bookmarkEnd w:id="2"/>
      <w:bookmarkEnd w:id="3"/>
      <w:bookmarkEnd w:id="4"/>
      <w:bookmarkEnd w:id="5"/>
      <w:bookmarkEnd w:id="6"/>
      <w:r w:rsidRPr="00392E88">
        <w:t xml:space="preserve"> </w:t>
      </w:r>
    </w:p>
    <w:p w14:paraId="0F370BCA" w14:textId="77777777" w:rsidR="00AC2BE5" w:rsidRPr="00392E88" w:rsidRDefault="00AC2BE5">
      <w:pPr>
        <w:pStyle w:val="ManualHeading2"/>
      </w:pPr>
      <w:bookmarkStart w:id="7" w:name="_Toc514938008"/>
      <w:bookmarkStart w:id="8" w:name="_Toc520485026"/>
      <w:bookmarkStart w:id="9" w:name="_Toc160804568"/>
      <w:bookmarkStart w:id="10" w:name="_Toc167220260"/>
      <w:bookmarkStart w:id="11" w:name="_Toc177548993"/>
      <w:r w:rsidRPr="00392E88">
        <w:t>1.1.</w:t>
      </w:r>
      <w:r w:rsidRPr="00392E88">
        <w:tab/>
        <w:t>Tytuł wniosku/inicjatywy</w:t>
      </w:r>
      <w:bookmarkEnd w:id="7"/>
      <w:bookmarkEnd w:id="8"/>
      <w:bookmarkEnd w:id="9"/>
      <w:bookmarkEnd w:id="10"/>
      <w:bookmarkEnd w:id="11"/>
    </w:p>
    <w:p w14:paraId="4DCBF217" w14:textId="5398EB45" w:rsidR="009F3E59" w:rsidRPr="00392E88" w:rsidRDefault="004916FC" w:rsidP="009F3E59">
      <w:pPr>
        <w:pStyle w:val="Text1"/>
        <w:pBdr>
          <w:top w:val="single" w:sz="4" w:space="1" w:color="auto"/>
          <w:left w:val="single" w:sz="4" w:space="4" w:color="auto"/>
          <w:bottom w:val="single" w:sz="4" w:space="1" w:color="auto"/>
          <w:right w:val="single" w:sz="4" w:space="4" w:color="auto"/>
        </w:pBdr>
        <w:rPr>
          <w:noProof/>
        </w:rPr>
      </w:pPr>
      <w:r w:rsidRPr="00392E88">
        <w:t>Wniosek dotyczący dyrektywy zmieniającej dyrektywę (UE) 2016/2341</w:t>
      </w:r>
      <w:r w:rsidR="006E6446" w:rsidRPr="00392E88">
        <w:t xml:space="preserve"> w</w:t>
      </w:r>
      <w:r w:rsidR="006E6446">
        <w:t> </w:t>
      </w:r>
      <w:r w:rsidR="006E6446" w:rsidRPr="00392E88">
        <w:t>odn</w:t>
      </w:r>
      <w:r w:rsidRPr="00392E88">
        <w:t>iesieniu do wzmocnienia ram pracowniczych programów emerytalnych oraz zmieniającej dyrektywę (UE) 2016/97 1.2.</w:t>
      </w:r>
      <w:r w:rsidRPr="00392E88">
        <w:tab/>
        <w:t xml:space="preserve">Obszary polityki, których dotyczy wniosek/inicjatywa </w:t>
      </w:r>
    </w:p>
    <w:p w14:paraId="24132E8E" w14:textId="49B08E5A" w:rsidR="00AC2BE5" w:rsidRPr="00392E88" w:rsidRDefault="00BB10C2">
      <w:pPr>
        <w:pStyle w:val="Text1"/>
        <w:pBdr>
          <w:top w:val="single" w:sz="4" w:space="1" w:color="auto"/>
          <w:left w:val="single" w:sz="4" w:space="4" w:color="auto"/>
          <w:bottom w:val="single" w:sz="4" w:space="1" w:color="auto"/>
          <w:right w:val="single" w:sz="4" w:space="4" w:color="auto"/>
        </w:pBdr>
        <w:rPr>
          <w:noProof/>
        </w:rPr>
      </w:pPr>
      <w:r w:rsidRPr="00392E88">
        <w:t>Unia rynków kapitałowych, unia oszczędności</w:t>
      </w:r>
      <w:r w:rsidR="006E6446" w:rsidRPr="00392E88">
        <w:t xml:space="preserve"> i</w:t>
      </w:r>
      <w:r w:rsidR="006E6446">
        <w:t> </w:t>
      </w:r>
      <w:r w:rsidR="006E6446" w:rsidRPr="00392E88">
        <w:t>inw</w:t>
      </w:r>
      <w:r w:rsidRPr="00392E88">
        <w:t>estycji, emerytury dodatkowe</w:t>
      </w:r>
    </w:p>
    <w:p w14:paraId="0EEDBB08" w14:textId="77777777" w:rsidR="00AC2BE5" w:rsidRPr="00392E88" w:rsidRDefault="00AC2BE5">
      <w:pPr>
        <w:pStyle w:val="ManualHeading2"/>
        <w:rPr>
          <w:noProof/>
        </w:rPr>
      </w:pPr>
      <w:bookmarkStart w:id="12" w:name="_Toc514938015"/>
      <w:bookmarkStart w:id="13" w:name="_Toc520485029"/>
      <w:bookmarkStart w:id="14" w:name="_Toc160804571"/>
      <w:bookmarkStart w:id="15" w:name="_Toc167220263"/>
      <w:bookmarkStart w:id="16" w:name="_Toc177548995"/>
      <w:r w:rsidRPr="00392E88">
        <w:t>1.3.</w:t>
      </w:r>
      <w:r w:rsidRPr="00392E88">
        <w:tab/>
        <w:t>Cel(e)</w:t>
      </w:r>
      <w:bookmarkEnd w:id="12"/>
      <w:bookmarkEnd w:id="13"/>
      <w:bookmarkEnd w:id="14"/>
      <w:bookmarkEnd w:id="15"/>
      <w:bookmarkEnd w:id="16"/>
    </w:p>
    <w:p w14:paraId="512CD349" w14:textId="77777777" w:rsidR="00AC2BE5" w:rsidRPr="00392E88" w:rsidRDefault="00AC2BE5">
      <w:pPr>
        <w:pStyle w:val="ManualHeading3"/>
        <w:rPr>
          <w:noProof/>
        </w:rPr>
      </w:pPr>
      <w:bookmarkStart w:id="17" w:name="_Toc514938016"/>
      <w:bookmarkStart w:id="18" w:name="_Toc520485030"/>
      <w:bookmarkStart w:id="19" w:name="_Toc160804572"/>
      <w:bookmarkStart w:id="20" w:name="_Toc167220264"/>
      <w:bookmarkStart w:id="21" w:name="_Toc177548996"/>
      <w:r w:rsidRPr="00392E88">
        <w:t>1.3.1.</w:t>
      </w:r>
      <w:r w:rsidRPr="00392E88">
        <w:tab/>
        <w:t>Cel(e) ogólny(-e)</w:t>
      </w:r>
      <w:bookmarkEnd w:id="17"/>
      <w:bookmarkEnd w:id="18"/>
      <w:bookmarkEnd w:id="19"/>
      <w:bookmarkEnd w:id="20"/>
      <w:bookmarkEnd w:id="21"/>
    </w:p>
    <w:p w14:paraId="3FB265E5" w14:textId="1BB9BAA3" w:rsidR="0026258A" w:rsidRPr="00392E88" w:rsidRDefault="0026258A" w:rsidP="00B214DF">
      <w:pPr>
        <w:pStyle w:val="Text1"/>
        <w:pBdr>
          <w:top w:val="single" w:sz="4" w:space="1" w:color="auto"/>
          <w:left w:val="single" w:sz="4" w:space="4" w:color="auto"/>
          <w:bottom w:val="single" w:sz="4" w:space="1" w:color="auto"/>
          <w:right w:val="single" w:sz="4" w:space="4" w:color="auto"/>
        </w:pBdr>
      </w:pPr>
      <w:r w:rsidRPr="00392E88">
        <w:t>Głównym celem niniejszego wniosku ustawodawczego zmieniającego dyrektywę (UE) 2016/2341 (dyrektywa IORP II) jest promowanie lepszych</w:t>
      </w:r>
      <w:r w:rsidR="006E6446" w:rsidRPr="00392E88">
        <w:t xml:space="preserve"> i</w:t>
      </w:r>
      <w:r w:rsidR="006E6446">
        <w:t> </w:t>
      </w:r>
      <w:r w:rsidR="006E6446" w:rsidRPr="00392E88">
        <w:t>trw</w:t>
      </w:r>
      <w:r w:rsidRPr="00392E88">
        <w:t>alszych wyników</w:t>
      </w:r>
      <w:r w:rsidR="006E6446" w:rsidRPr="00392E88">
        <w:t xml:space="preserve"> w</w:t>
      </w:r>
      <w:r w:rsidR="006E6446">
        <w:t> </w:t>
      </w:r>
      <w:r w:rsidR="006E6446" w:rsidRPr="00392E88">
        <w:t>zak</w:t>
      </w:r>
      <w:r w:rsidRPr="00392E88">
        <w:t>resie oszczędności emerytalnych dla beneficjentów, zwiększenie przejrzystości zarówno</w:t>
      </w:r>
      <w:r w:rsidR="006E6446" w:rsidRPr="00392E88">
        <w:t xml:space="preserve"> w</w:t>
      </w:r>
      <w:r w:rsidR="006E6446">
        <w:t> </w:t>
      </w:r>
      <w:r w:rsidR="006E6446" w:rsidRPr="00392E88">
        <w:t>odn</w:t>
      </w:r>
      <w:r w:rsidRPr="00392E88">
        <w:t>iesieniu do kosztów, jak</w:t>
      </w:r>
      <w:r w:rsidR="006E6446" w:rsidRPr="00392E88">
        <w:t xml:space="preserve"> i</w:t>
      </w:r>
      <w:r w:rsidR="006E6446">
        <w:t> </w:t>
      </w:r>
      <w:r w:rsidR="006E6446" w:rsidRPr="00392E88">
        <w:t>zwr</w:t>
      </w:r>
      <w:r w:rsidRPr="00392E88">
        <w:t>otów,</w:t>
      </w:r>
      <w:r w:rsidR="006E6446" w:rsidRPr="00392E88">
        <w:t xml:space="preserve"> a</w:t>
      </w:r>
      <w:r w:rsidR="006E6446">
        <w:t> </w:t>
      </w:r>
      <w:r w:rsidR="006E6446" w:rsidRPr="00392E88">
        <w:t>tak</w:t>
      </w:r>
      <w:r w:rsidRPr="00392E88">
        <w:t>że wzmocnienie praktyk zarządzania ryzykiem we wszystkich dodatkowych programach emerytalnych. Ponadto przegląd ma na celu usunięcie barier, które utrudniają skuteczne inwestycje</w:t>
      </w:r>
      <w:r w:rsidR="006E6446" w:rsidRPr="00392E88">
        <w:t xml:space="preserve"> w</w:t>
      </w:r>
      <w:r w:rsidR="006E6446">
        <w:t> </w:t>
      </w:r>
      <w:r w:rsidR="006E6446" w:rsidRPr="00392E88">
        <w:t>gos</w:t>
      </w:r>
      <w:r w:rsidRPr="00392E88">
        <w:t>podarkę realną, oraz ułatwienie rozwoju podmiotów świadczących usługi emerytalne, umożliwiając im korzystanie</w:t>
      </w:r>
      <w:r w:rsidR="006E6446" w:rsidRPr="00392E88">
        <w:t xml:space="preserve"> z</w:t>
      </w:r>
      <w:r w:rsidR="006E6446">
        <w:t> </w:t>
      </w:r>
      <w:r w:rsidR="006E6446" w:rsidRPr="00392E88">
        <w:t>kor</w:t>
      </w:r>
      <w:r w:rsidRPr="00392E88">
        <w:t>zyści skali, poprawę alokacji aktywów oraz zapewnienie większej wartości uczestnikom</w:t>
      </w:r>
      <w:r w:rsidR="006E6446" w:rsidRPr="00392E88">
        <w:t xml:space="preserve"> i</w:t>
      </w:r>
      <w:r w:rsidR="006E6446">
        <w:t> </w:t>
      </w:r>
      <w:r w:rsidR="006E6446" w:rsidRPr="00392E88">
        <w:t>ben</w:t>
      </w:r>
      <w:r w:rsidRPr="00392E88">
        <w:t>eficjentom</w:t>
      </w:r>
      <w:r w:rsidR="006E6446" w:rsidRPr="00392E88">
        <w:t>. W</w:t>
      </w:r>
      <w:r w:rsidR="006E6446">
        <w:t> </w:t>
      </w:r>
      <w:r w:rsidR="006E6446" w:rsidRPr="00392E88">
        <w:t>ten</w:t>
      </w:r>
      <w:r w:rsidRPr="00392E88">
        <w:t xml:space="preserve"> sposób reforma ma na celu podniesienie standardów</w:t>
      </w:r>
      <w:r w:rsidR="006E6446" w:rsidRPr="00392E88">
        <w:t xml:space="preserve"> w</w:t>
      </w:r>
      <w:r w:rsidR="006E6446">
        <w:t> </w:t>
      </w:r>
      <w:r w:rsidR="006E6446" w:rsidRPr="00392E88">
        <w:t>cał</w:t>
      </w:r>
      <w:r w:rsidRPr="00392E88">
        <w:t>ym obszarze emerytur dodatkowych, wspierając przy tym tworzenie większej wartości</w:t>
      </w:r>
      <w:r w:rsidR="006E6446" w:rsidRPr="00392E88">
        <w:t xml:space="preserve"> i</w:t>
      </w:r>
      <w:r w:rsidR="006E6446">
        <w:t> </w:t>
      </w:r>
      <w:r w:rsidR="006E6446" w:rsidRPr="00392E88">
        <w:t>odp</w:t>
      </w:r>
      <w:r w:rsidRPr="00392E88">
        <w:t>orności oraz zapewnianie większego długoterminowego bezpieczeństwa uczestników.</w:t>
      </w:r>
    </w:p>
    <w:p w14:paraId="39FBDBE2" w14:textId="77777777" w:rsidR="00AC2BE5" w:rsidRPr="00392E88" w:rsidRDefault="00AC2BE5">
      <w:pPr>
        <w:pStyle w:val="ManualHeading3"/>
        <w:rPr>
          <w:noProof/>
        </w:rPr>
      </w:pPr>
      <w:bookmarkStart w:id="22" w:name="_Toc514938018"/>
      <w:bookmarkStart w:id="23" w:name="_Toc520485031"/>
      <w:bookmarkStart w:id="24" w:name="_Toc160804573"/>
      <w:bookmarkStart w:id="25" w:name="_Toc167220265"/>
      <w:bookmarkStart w:id="26" w:name="_Toc177548997"/>
      <w:r w:rsidRPr="00392E88">
        <w:t>1.3.2.</w:t>
      </w:r>
      <w:r w:rsidRPr="00392E88">
        <w:tab/>
        <w:t>Cel(e) szczegółowy(-e)</w:t>
      </w:r>
      <w:bookmarkEnd w:id="22"/>
      <w:bookmarkEnd w:id="23"/>
      <w:bookmarkEnd w:id="24"/>
      <w:bookmarkEnd w:id="25"/>
      <w:bookmarkEnd w:id="26"/>
    </w:p>
    <w:p w14:paraId="0E2F30D7" w14:textId="75723E10" w:rsidR="00622721" w:rsidRPr="00392E88" w:rsidRDefault="00622721" w:rsidP="00622721">
      <w:pPr>
        <w:pStyle w:val="Text1"/>
        <w:pBdr>
          <w:top w:val="single" w:sz="4" w:space="1" w:color="auto"/>
          <w:left w:val="single" w:sz="4" w:space="4" w:color="auto"/>
          <w:bottom w:val="single" w:sz="4" w:space="1" w:color="auto"/>
          <w:right w:val="single" w:sz="4" w:space="4" w:color="auto"/>
        </w:pBdr>
        <w:rPr>
          <w:noProof/>
        </w:rPr>
      </w:pPr>
      <w:r w:rsidRPr="00392E88">
        <w:t>Cele szczegółowe proponowanych zmian</w:t>
      </w:r>
      <w:r w:rsidR="006E6446" w:rsidRPr="00392E88">
        <w:t xml:space="preserve"> w</w:t>
      </w:r>
      <w:r w:rsidR="006E6446">
        <w:t> </w:t>
      </w:r>
      <w:r w:rsidR="006E6446" w:rsidRPr="00392E88">
        <w:t>dyr</w:t>
      </w:r>
      <w:r w:rsidRPr="00392E88">
        <w:t>ektywie (UE) 2016/2341 są następujące:</w:t>
      </w:r>
    </w:p>
    <w:p w14:paraId="43716360" w14:textId="52072861" w:rsidR="002E0513" w:rsidRPr="00392E88" w:rsidRDefault="00396D7D" w:rsidP="005D0C3B">
      <w:pPr>
        <w:pStyle w:val="Text1"/>
        <w:pBdr>
          <w:top w:val="single" w:sz="4" w:space="1" w:color="auto"/>
          <w:left w:val="single" w:sz="4" w:space="4" w:color="auto"/>
          <w:bottom w:val="single" w:sz="4" w:space="1" w:color="auto"/>
          <w:right w:val="single" w:sz="4" w:space="4" w:color="auto"/>
        </w:pBdr>
      </w:pPr>
      <w:r w:rsidRPr="00392E88">
        <w:t>- usprawnienie zasad inwestowania</w:t>
      </w:r>
      <w:r w:rsidR="006E6446" w:rsidRPr="00392E88">
        <w:t xml:space="preserve"> w</w:t>
      </w:r>
      <w:r w:rsidR="006E6446">
        <w:t> </w:t>
      </w:r>
      <w:r w:rsidR="006E6446" w:rsidRPr="00392E88">
        <w:t>cel</w:t>
      </w:r>
      <w:r w:rsidRPr="00392E88">
        <w:t>u usunięcia zbędnych ograniczeń regulacyjnych, które ograniczają zdolność prywatnych dostawców usług emerytalnych do efektywnego inwestowania, nawet</w:t>
      </w:r>
      <w:r w:rsidR="006E6446" w:rsidRPr="00392E88">
        <w:t xml:space="preserve"> w</w:t>
      </w:r>
      <w:r w:rsidR="006E6446">
        <w:t> </w:t>
      </w:r>
      <w:r w:rsidR="006E6446" w:rsidRPr="00392E88">
        <w:t>prz</w:t>
      </w:r>
      <w:r w:rsidRPr="00392E88">
        <w:t>ypadku gdy uczestnicy</w:t>
      </w:r>
      <w:r w:rsidR="006E6446" w:rsidRPr="00392E88">
        <w:t xml:space="preserve"> i</w:t>
      </w:r>
      <w:r w:rsidR="006E6446">
        <w:t> </w:t>
      </w:r>
      <w:r w:rsidR="006E6446" w:rsidRPr="00392E88">
        <w:t>ben</w:t>
      </w:r>
      <w:r w:rsidRPr="00392E88">
        <w:t xml:space="preserve">eficjenci nie ponoszą ryzyka inwestycyjnego; </w:t>
      </w:r>
    </w:p>
    <w:p w14:paraId="6FFE2759" w14:textId="6514C2BC" w:rsidR="00622721" w:rsidRPr="00392E88" w:rsidRDefault="00396D7D" w:rsidP="005D0C3B">
      <w:pPr>
        <w:pStyle w:val="Text1"/>
        <w:pBdr>
          <w:top w:val="single" w:sz="4" w:space="1" w:color="auto"/>
          <w:left w:val="single" w:sz="4" w:space="4" w:color="auto"/>
          <w:bottom w:val="single" w:sz="4" w:space="1" w:color="auto"/>
          <w:right w:val="single" w:sz="4" w:space="4" w:color="auto"/>
        </w:pBdr>
      </w:pPr>
      <w:r w:rsidRPr="00392E88">
        <w:t>- promowanie korzyści skali, które określają zdolność IORP do inwestowania</w:t>
      </w:r>
      <w:r w:rsidR="006E6446" w:rsidRPr="00392E88">
        <w:t xml:space="preserve"> w</w:t>
      </w:r>
      <w:r w:rsidR="006E6446">
        <w:t> </w:t>
      </w:r>
      <w:r w:rsidR="006E6446" w:rsidRPr="00392E88">
        <w:t>zaa</w:t>
      </w:r>
      <w:r w:rsidRPr="00392E88">
        <w:t>wansowane, bardziej ryzykowne</w:t>
      </w:r>
      <w:r w:rsidR="006E6446" w:rsidRPr="00392E88">
        <w:t xml:space="preserve"> i</w:t>
      </w:r>
      <w:r w:rsidR="006E6446">
        <w:t> </w:t>
      </w:r>
      <w:r w:rsidR="006E6446" w:rsidRPr="00392E88">
        <w:t>nie</w:t>
      </w:r>
      <w:r w:rsidRPr="00392E88">
        <w:t>płynne instrumenty finansowe;</w:t>
      </w:r>
    </w:p>
    <w:p w14:paraId="04387A7F" w14:textId="2D59E96D" w:rsidR="00D459A2" w:rsidRPr="00392E88" w:rsidRDefault="00396D7D" w:rsidP="005D0C3B">
      <w:pPr>
        <w:pStyle w:val="Text1"/>
        <w:pBdr>
          <w:top w:val="single" w:sz="4" w:space="1" w:color="auto"/>
          <w:left w:val="single" w:sz="4" w:space="4" w:color="auto"/>
          <w:bottom w:val="single" w:sz="4" w:space="1" w:color="auto"/>
          <w:right w:val="single" w:sz="4" w:space="4" w:color="auto"/>
        </w:pBdr>
      </w:pPr>
      <w:r w:rsidRPr="00392E88">
        <w:t>- zapewnienie państwom członkowskim możliwości rozszerzenia stosowania dyrektywy (UE) 2016/2341 na instytucje</w:t>
      </w:r>
      <w:r w:rsidR="006E6446" w:rsidRPr="00392E88">
        <w:t xml:space="preserve"> w</w:t>
      </w:r>
      <w:r w:rsidR="006E6446">
        <w:t> </w:t>
      </w:r>
      <w:r w:rsidR="006E6446" w:rsidRPr="00392E88">
        <w:t>inn</w:t>
      </w:r>
      <w:r w:rsidRPr="00392E88">
        <w:t>y sposób wyłączone</w:t>
      </w:r>
      <w:r w:rsidR="006E6446" w:rsidRPr="00392E88">
        <w:t xml:space="preserve"> z</w:t>
      </w:r>
      <w:r w:rsidR="006E6446">
        <w:t> </w:t>
      </w:r>
      <w:r w:rsidR="006E6446" w:rsidRPr="00392E88">
        <w:t>jej</w:t>
      </w:r>
      <w:r w:rsidRPr="00392E88">
        <w:t xml:space="preserve"> zakresu,</w:t>
      </w:r>
      <w:r w:rsidR="006E6446" w:rsidRPr="00392E88">
        <w:t xml:space="preserve"> w</w:t>
      </w:r>
      <w:r w:rsidR="006E6446">
        <w:t> </w:t>
      </w:r>
      <w:r w:rsidR="006E6446" w:rsidRPr="00392E88">
        <w:t>prz</w:t>
      </w:r>
      <w:r w:rsidRPr="00392E88">
        <w:t>ypadku gdy takie instytucje nie są objęte żadnymi innymi unijnymi ramami ostrożnościowymi;</w:t>
      </w:r>
    </w:p>
    <w:p w14:paraId="05C002AD" w14:textId="68687812" w:rsidR="00AC2BE5" w:rsidRPr="00392E88" w:rsidRDefault="00396D7D" w:rsidP="00396D7D">
      <w:pPr>
        <w:pStyle w:val="Text1"/>
        <w:pBdr>
          <w:top w:val="single" w:sz="4" w:space="1" w:color="auto"/>
          <w:left w:val="single" w:sz="4" w:space="4" w:color="auto"/>
          <w:bottom w:val="single" w:sz="4" w:space="1" w:color="auto"/>
          <w:right w:val="single" w:sz="4" w:space="4" w:color="auto"/>
        </w:pBdr>
        <w:rPr>
          <w:noProof/>
        </w:rPr>
      </w:pPr>
      <w:r w:rsidRPr="00392E88">
        <w:t>- wspieranie bardziej profesjonalnego</w:t>
      </w:r>
      <w:r w:rsidR="006E6446" w:rsidRPr="00392E88">
        <w:t xml:space="preserve"> i</w:t>
      </w:r>
      <w:r w:rsidR="006E6446">
        <w:t> </w:t>
      </w:r>
      <w:r w:rsidR="006E6446" w:rsidRPr="00392E88">
        <w:t>sku</w:t>
      </w:r>
      <w:r w:rsidRPr="00392E88">
        <w:t>tecznego zarządzania oszczędnościami emerytalnymi oraz wzmocnienie nadzoru. Chociaż oszczędzający na emeryturę nie są</w:t>
      </w:r>
      <w:r w:rsidR="006E6446" w:rsidRPr="00392E88">
        <w:t xml:space="preserve"> w</w:t>
      </w:r>
      <w:r w:rsidR="006E6446">
        <w:t> </w:t>
      </w:r>
      <w:r w:rsidR="006E6446" w:rsidRPr="00392E88">
        <w:t>sta</w:t>
      </w:r>
      <w:r w:rsidRPr="00392E88">
        <w:t>nie monitorować działalności dostawców usług emerytalnych</w:t>
      </w:r>
      <w:r w:rsidR="006E6446" w:rsidRPr="00392E88">
        <w:t xml:space="preserve"> i</w:t>
      </w:r>
      <w:r w:rsidR="006E6446">
        <w:t> </w:t>
      </w:r>
      <w:r w:rsidR="006E6446" w:rsidRPr="00392E88">
        <w:t>żąd</w:t>
      </w:r>
      <w:r w:rsidRPr="00392E88">
        <w:t>ać środków naprawczych, organy nadzoru mogą to robić,</w:t>
      </w:r>
      <w:r w:rsidR="006E6446" w:rsidRPr="00392E88">
        <w:t xml:space="preserve"> a</w:t>
      </w:r>
      <w:r w:rsidR="006E6446">
        <w:t> </w:t>
      </w:r>
      <w:r w:rsidR="006E6446" w:rsidRPr="00392E88">
        <w:t>ich</w:t>
      </w:r>
      <w:r w:rsidRPr="00392E88">
        <w:t xml:space="preserve"> mandat powinien obejmować ściślejszy nadzór nad systemem zarządzania</w:t>
      </w:r>
      <w:r w:rsidR="006E6446" w:rsidRPr="00392E88">
        <w:t xml:space="preserve"> i</w:t>
      </w:r>
      <w:r w:rsidR="006E6446">
        <w:t> </w:t>
      </w:r>
      <w:r w:rsidR="006E6446" w:rsidRPr="00392E88">
        <w:t>wyn</w:t>
      </w:r>
      <w:r w:rsidRPr="00392E88">
        <w:t xml:space="preserve">ikami inwestycyjnymi. </w:t>
      </w:r>
    </w:p>
    <w:p w14:paraId="32336497" w14:textId="1843CC52" w:rsidR="00AC2BE5" w:rsidRPr="00392E88" w:rsidRDefault="00AC2BE5">
      <w:pPr>
        <w:pStyle w:val="ManualHeading3"/>
        <w:rPr>
          <w:noProof/>
        </w:rPr>
      </w:pPr>
      <w:bookmarkStart w:id="27" w:name="_Toc514938019"/>
      <w:bookmarkStart w:id="28" w:name="_Toc520485032"/>
      <w:bookmarkStart w:id="29" w:name="_Toc160804574"/>
      <w:bookmarkStart w:id="30" w:name="_Toc167220266"/>
      <w:bookmarkStart w:id="31" w:name="_Toc177548998"/>
      <w:r w:rsidRPr="00392E88">
        <w:t>1.3.3.</w:t>
      </w:r>
      <w:r w:rsidRPr="00392E88">
        <w:tab/>
        <w:t>Oczekiwane wyniki</w:t>
      </w:r>
      <w:r w:rsidR="006E6446" w:rsidRPr="00392E88">
        <w:t xml:space="preserve"> i</w:t>
      </w:r>
      <w:r w:rsidR="006E6446">
        <w:t> </w:t>
      </w:r>
      <w:r w:rsidR="006E6446" w:rsidRPr="00392E88">
        <w:t>wpł</w:t>
      </w:r>
      <w:r w:rsidRPr="00392E88">
        <w:t>yw</w:t>
      </w:r>
      <w:bookmarkEnd w:id="27"/>
      <w:bookmarkEnd w:id="28"/>
      <w:bookmarkEnd w:id="29"/>
      <w:bookmarkEnd w:id="30"/>
      <w:bookmarkEnd w:id="31"/>
    </w:p>
    <w:p w14:paraId="78A6C21A" w14:textId="3D74F64F" w:rsidR="00F95E65" w:rsidRPr="00392E88" w:rsidRDefault="00396D7D" w:rsidP="005D0C3B">
      <w:pPr>
        <w:pStyle w:val="Text1"/>
        <w:pBdr>
          <w:top w:val="single" w:sz="4" w:space="1" w:color="auto"/>
          <w:left w:val="single" w:sz="4" w:space="4" w:color="auto"/>
          <w:bottom w:val="single" w:sz="4" w:space="1" w:color="auto"/>
          <w:right w:val="single" w:sz="4" w:space="4" w:color="auto"/>
        </w:pBdr>
        <w:rPr>
          <w:noProof/>
        </w:rPr>
      </w:pPr>
      <w:r w:rsidRPr="00392E88">
        <w:t>- Skuteczniejsze zarządzanie oszczędnościami emerytalnymi</w:t>
      </w:r>
      <w:r w:rsidR="006E6446" w:rsidRPr="00392E88">
        <w:t xml:space="preserve"> i</w:t>
      </w:r>
      <w:r w:rsidR="006E6446">
        <w:t> </w:t>
      </w:r>
      <w:r w:rsidR="006E6446" w:rsidRPr="00392E88">
        <w:t>nad</w:t>
      </w:r>
      <w:r w:rsidRPr="00392E88">
        <w:t>zór nad nimi.</w:t>
      </w:r>
    </w:p>
    <w:p w14:paraId="30716A10" w14:textId="07EC8E66" w:rsidR="00F95E65" w:rsidRPr="00392E88" w:rsidRDefault="00396D7D" w:rsidP="005D0C3B">
      <w:pPr>
        <w:pStyle w:val="Text1"/>
        <w:pBdr>
          <w:top w:val="single" w:sz="4" w:space="1" w:color="auto"/>
          <w:left w:val="single" w:sz="4" w:space="4" w:color="auto"/>
          <w:bottom w:val="single" w:sz="4" w:space="1" w:color="auto"/>
          <w:right w:val="single" w:sz="4" w:space="4" w:color="auto"/>
        </w:pBdr>
      </w:pPr>
      <w:r w:rsidRPr="00392E88">
        <w:t>- Promowanie skali</w:t>
      </w:r>
      <w:r w:rsidR="006E6446" w:rsidRPr="00392E88">
        <w:t xml:space="preserve"> i</w:t>
      </w:r>
      <w:r w:rsidR="006E6446">
        <w:t> </w:t>
      </w:r>
      <w:r w:rsidR="006E6446" w:rsidRPr="00392E88">
        <w:t>ost</w:t>
      </w:r>
      <w:r w:rsidRPr="00392E88">
        <w:t>rożnego dostępu do większych długoterminowych inwestycji na rynku kapitałowym dzięki poprawie otoczenia regulacyjnego,</w:t>
      </w:r>
      <w:r w:rsidR="006E6446" w:rsidRPr="00392E88">
        <w:t xml:space="preserve"> w</w:t>
      </w:r>
      <w:r w:rsidR="006E6446">
        <w:t> </w:t>
      </w:r>
      <w:r w:rsidR="006E6446" w:rsidRPr="00392E88">
        <w:t>któ</w:t>
      </w:r>
      <w:r w:rsidRPr="00392E88">
        <w:t>rym działają IORP.</w:t>
      </w:r>
    </w:p>
    <w:p w14:paraId="09FEC327" w14:textId="473F0BAC" w:rsidR="000D7D36" w:rsidRPr="00392E88" w:rsidRDefault="00396D7D" w:rsidP="005D0C3B">
      <w:pPr>
        <w:pStyle w:val="Text1"/>
        <w:pBdr>
          <w:top w:val="single" w:sz="4" w:space="1" w:color="auto"/>
          <w:left w:val="single" w:sz="4" w:space="4" w:color="auto"/>
          <w:bottom w:val="single" w:sz="4" w:space="1" w:color="auto"/>
          <w:right w:val="single" w:sz="4" w:space="4" w:color="auto"/>
        </w:pBdr>
        <w:rPr>
          <w:noProof/>
        </w:rPr>
      </w:pPr>
      <w:r w:rsidRPr="00392E88">
        <w:t>- Większa skala</w:t>
      </w:r>
      <w:r w:rsidR="006E6446" w:rsidRPr="00392E88">
        <w:t xml:space="preserve"> i</w:t>
      </w:r>
      <w:r w:rsidR="006E6446">
        <w:t> </w:t>
      </w:r>
      <w:r w:rsidR="006E6446" w:rsidRPr="00392E88">
        <w:t>tra</w:t>
      </w:r>
      <w:r w:rsidRPr="00392E88">
        <w:t>nsgraniczna wydajność</w:t>
      </w:r>
      <w:r w:rsidR="006E6446" w:rsidRPr="00392E88">
        <w:t xml:space="preserve"> w</w:t>
      </w:r>
      <w:r w:rsidR="006E6446">
        <w:t> </w:t>
      </w:r>
      <w:r w:rsidR="006E6446" w:rsidRPr="00392E88">
        <w:t>sek</w:t>
      </w:r>
      <w:r w:rsidRPr="00392E88">
        <w:t>torze emerytur dodatkowych.</w:t>
      </w:r>
    </w:p>
    <w:p w14:paraId="0D9172C2" w14:textId="191DAD96" w:rsidR="000D7D36" w:rsidRPr="00392E88" w:rsidRDefault="00396D7D" w:rsidP="00396D7D">
      <w:pPr>
        <w:pStyle w:val="Text1"/>
        <w:pBdr>
          <w:top w:val="single" w:sz="4" w:space="1" w:color="auto"/>
          <w:left w:val="single" w:sz="4" w:space="4" w:color="auto"/>
          <w:bottom w:val="single" w:sz="4" w:space="1" w:color="auto"/>
          <w:right w:val="single" w:sz="4" w:space="4" w:color="auto"/>
        </w:pBdr>
        <w:rPr>
          <w:noProof/>
        </w:rPr>
      </w:pPr>
      <w:r w:rsidRPr="00392E88">
        <w:t>- Jaśniejsze wdrożenie zasady „ostrożnego inwestora”, która może nakłonić IORP do prowadzenia polityki inwestycyjnej, która efektywnie</w:t>
      </w:r>
      <w:r w:rsidR="006E6446" w:rsidRPr="00392E88">
        <w:t xml:space="preserve"> i</w:t>
      </w:r>
      <w:r w:rsidR="006E6446">
        <w:t> </w:t>
      </w:r>
      <w:r w:rsidR="006E6446" w:rsidRPr="00392E88">
        <w:t>sku</w:t>
      </w:r>
      <w:r w:rsidRPr="00392E88">
        <w:t>tecznie łączy ograniczanie ryzyka</w:t>
      </w:r>
      <w:r w:rsidR="006E6446" w:rsidRPr="00392E88">
        <w:t xml:space="preserve"> z</w:t>
      </w:r>
      <w:r w:rsidR="006E6446">
        <w:t> </w:t>
      </w:r>
      <w:r w:rsidR="006E6446" w:rsidRPr="00392E88">
        <w:t>dłu</w:t>
      </w:r>
      <w:r w:rsidRPr="00392E88">
        <w:t>goterminowymi celami</w:t>
      </w:r>
      <w:r w:rsidR="006E6446" w:rsidRPr="00392E88">
        <w:t xml:space="preserve"> w</w:t>
      </w:r>
      <w:r w:rsidR="006E6446">
        <w:t> </w:t>
      </w:r>
      <w:r w:rsidR="006E6446" w:rsidRPr="00392E88">
        <w:t>zak</w:t>
      </w:r>
      <w:r w:rsidRPr="00392E88">
        <w:t xml:space="preserve">resie zwrotu. </w:t>
      </w:r>
    </w:p>
    <w:p w14:paraId="1FEC29CF" w14:textId="77777777" w:rsidR="00AC2BE5" w:rsidRPr="00392E88" w:rsidRDefault="00AC2BE5">
      <w:pPr>
        <w:pStyle w:val="ManualHeading3"/>
        <w:rPr>
          <w:noProof/>
        </w:rPr>
      </w:pPr>
      <w:bookmarkStart w:id="32" w:name="_Toc514938023"/>
      <w:bookmarkStart w:id="33" w:name="_Toc520485033"/>
      <w:bookmarkStart w:id="34" w:name="_Toc160804575"/>
      <w:bookmarkStart w:id="35" w:name="_Toc167220267"/>
      <w:bookmarkStart w:id="36" w:name="_Toc177548999"/>
      <w:r w:rsidRPr="00392E88">
        <w:t>1.3.4.</w:t>
      </w:r>
      <w:r w:rsidRPr="00392E88">
        <w:tab/>
        <w:t>Wskaźniki dotyczące realizacji celów</w:t>
      </w:r>
      <w:bookmarkEnd w:id="32"/>
      <w:bookmarkEnd w:id="33"/>
      <w:bookmarkEnd w:id="34"/>
      <w:bookmarkEnd w:id="35"/>
      <w:bookmarkEnd w:id="36"/>
    </w:p>
    <w:p w14:paraId="420CBFEB" w14:textId="0379BCCD" w:rsidR="00C50FC2" w:rsidRPr="00392E88" w:rsidRDefault="00C50FC2" w:rsidP="00C50FC2">
      <w:pPr>
        <w:pStyle w:val="Text1"/>
        <w:pBdr>
          <w:top w:val="single" w:sz="4" w:space="1" w:color="auto"/>
          <w:left w:val="single" w:sz="4" w:space="4" w:color="auto"/>
          <w:bottom w:val="single" w:sz="4" w:space="1" w:color="auto"/>
          <w:right w:val="single" w:sz="4" w:space="4" w:color="auto"/>
        </w:pBdr>
      </w:pPr>
      <w:r w:rsidRPr="00392E88">
        <w:t>Za pomocą niniejszego wniosku Komisja zamierza umożliwić –</w:t>
      </w:r>
      <w:r w:rsidR="006E6446" w:rsidRPr="00392E88">
        <w:t xml:space="preserve"> i</w:t>
      </w:r>
      <w:r w:rsidR="006E6446">
        <w:t> </w:t>
      </w:r>
      <w:r w:rsidR="006E6446" w:rsidRPr="00392E88">
        <w:t>będ</w:t>
      </w:r>
      <w:r w:rsidRPr="00392E88">
        <w:t xml:space="preserve">zie monitorować – następujące działania: </w:t>
      </w:r>
    </w:p>
    <w:p w14:paraId="7E2B6C6A" w14:textId="775F8F44" w:rsidR="00E16B0E" w:rsidRPr="00392E88" w:rsidRDefault="00396D7D" w:rsidP="005D0C3B">
      <w:pPr>
        <w:pStyle w:val="Text1"/>
        <w:pBdr>
          <w:top w:val="single" w:sz="4" w:space="1" w:color="auto"/>
          <w:left w:val="single" w:sz="4" w:space="4" w:color="auto"/>
          <w:bottom w:val="single" w:sz="4" w:space="1" w:color="auto"/>
          <w:right w:val="single" w:sz="4" w:space="4" w:color="auto"/>
        </w:pBdr>
      </w:pPr>
      <w:r w:rsidRPr="00392E88">
        <w:t>- dalszą konsolidację</w:t>
      </w:r>
      <w:r w:rsidR="006E6446" w:rsidRPr="00392E88">
        <w:t xml:space="preserve"> i</w:t>
      </w:r>
      <w:r w:rsidR="006E6446">
        <w:t> </w:t>
      </w:r>
      <w:r w:rsidR="006E6446" w:rsidRPr="00392E88">
        <w:t>zwi</w:t>
      </w:r>
      <w:r w:rsidRPr="00392E88">
        <w:t>ększanie skali towarzystw emerytalno-rentowych;</w:t>
      </w:r>
    </w:p>
    <w:p w14:paraId="62EB1ABD" w14:textId="2F0FA7CB" w:rsidR="00AC2BE5" w:rsidRPr="00392E88" w:rsidRDefault="00396D7D" w:rsidP="005D0C3B">
      <w:pPr>
        <w:pStyle w:val="Text1"/>
        <w:pBdr>
          <w:top w:val="single" w:sz="4" w:space="1" w:color="auto"/>
          <w:left w:val="single" w:sz="4" w:space="4" w:color="auto"/>
          <w:bottom w:val="single" w:sz="4" w:space="1" w:color="auto"/>
          <w:right w:val="single" w:sz="4" w:space="4" w:color="auto"/>
        </w:pBdr>
      </w:pPr>
      <w:r w:rsidRPr="00392E88">
        <w:t>- zwiększenie długoterminowych inwestycji na rynkach kapitałowych</w:t>
      </w:r>
      <w:r w:rsidR="006E6446" w:rsidRPr="00392E88">
        <w:t xml:space="preserve"> i</w:t>
      </w:r>
      <w:r w:rsidR="006E6446">
        <w:t> </w:t>
      </w:r>
      <w:r w:rsidR="006E6446" w:rsidRPr="00392E88">
        <w:t>w</w:t>
      </w:r>
      <w:r w:rsidR="006E6446">
        <w:t> </w:t>
      </w:r>
      <w:r w:rsidR="006E6446" w:rsidRPr="00392E88">
        <w:t>gos</w:t>
      </w:r>
      <w:r w:rsidRPr="00392E88">
        <w:t>podarce realnej;</w:t>
      </w:r>
    </w:p>
    <w:p w14:paraId="706DA4CA" w14:textId="2665C868" w:rsidR="002D0B28" w:rsidRPr="00392E88" w:rsidRDefault="00396D7D" w:rsidP="005D0C3B">
      <w:pPr>
        <w:pStyle w:val="Text1"/>
        <w:pBdr>
          <w:top w:val="single" w:sz="4" w:space="1" w:color="auto"/>
          <w:left w:val="single" w:sz="4" w:space="4" w:color="auto"/>
          <w:bottom w:val="single" w:sz="4" w:space="1" w:color="auto"/>
          <w:right w:val="single" w:sz="4" w:space="4" w:color="auto"/>
        </w:pBdr>
        <w:rPr>
          <w:noProof/>
        </w:rPr>
      </w:pPr>
      <w:r w:rsidRPr="00392E88">
        <w:t>- obniżenie kosztów</w:t>
      </w:r>
      <w:r w:rsidR="006E6446" w:rsidRPr="00392E88">
        <w:t xml:space="preserve"> i</w:t>
      </w:r>
      <w:r w:rsidR="006E6446">
        <w:t> </w:t>
      </w:r>
      <w:r w:rsidR="006E6446" w:rsidRPr="00392E88">
        <w:t>pop</w:t>
      </w:r>
      <w:r w:rsidRPr="00392E88">
        <w:t>rawę wyników</w:t>
      </w:r>
      <w:r w:rsidR="006E6446" w:rsidRPr="00392E88">
        <w:t xml:space="preserve"> w</w:t>
      </w:r>
      <w:r w:rsidR="006E6446">
        <w:t> </w:t>
      </w:r>
      <w:r w:rsidR="006E6446" w:rsidRPr="00392E88">
        <w:t>zak</w:t>
      </w:r>
      <w:r w:rsidRPr="00392E88">
        <w:t>resie oszczędności emerytalnych, zgodnie</w:t>
      </w:r>
      <w:r w:rsidR="006E6446" w:rsidRPr="00392E88">
        <w:t xml:space="preserve"> z</w:t>
      </w:r>
      <w:r w:rsidR="006E6446">
        <w:t> </w:t>
      </w:r>
      <w:r w:rsidR="006E6446" w:rsidRPr="00392E88">
        <w:t>inf</w:t>
      </w:r>
      <w:r w:rsidRPr="00392E88">
        <w:t>ormacjami ujawnionymi przez właściwe organy.</w:t>
      </w:r>
    </w:p>
    <w:p w14:paraId="3957DB4F" w14:textId="77777777" w:rsidR="00AC2BE5" w:rsidRPr="00392E88" w:rsidRDefault="00AC2BE5">
      <w:pPr>
        <w:pStyle w:val="ManualHeading2"/>
        <w:rPr>
          <w:noProof/>
        </w:rPr>
      </w:pPr>
      <w:bookmarkStart w:id="37" w:name="_Toc177549000"/>
      <w:r w:rsidRPr="00392E88">
        <w:t>1.4.</w:t>
      </w:r>
      <w:r w:rsidRPr="00392E88">
        <w:tab/>
        <w:t>Wniosek/inicjatywa dotyczy:</w:t>
      </w:r>
      <w:bookmarkEnd w:id="37"/>
      <w:r w:rsidRPr="00392E88">
        <w:t xml:space="preserve"> </w:t>
      </w:r>
    </w:p>
    <w:p w14:paraId="7A853E56" w14:textId="77777777" w:rsidR="00AC2BE5" w:rsidRPr="00392E88" w:rsidRDefault="00AC2BE5">
      <w:pPr>
        <w:pStyle w:val="Text1"/>
        <w:rPr>
          <w:noProof/>
          <w:sz w:val="22"/>
        </w:rPr>
      </w:pPr>
      <w:r w:rsidRPr="00392E88">
        <w:rPr>
          <w:rFonts w:ascii="Wingdings" w:hAnsi="Wingdings"/>
          <w:sz w:val="22"/>
        </w:rPr>
        <w:t>¨</w:t>
      </w:r>
      <w:r w:rsidRPr="00392E88">
        <w:rPr>
          <w:i/>
          <w:sz w:val="22"/>
        </w:rPr>
        <w:t xml:space="preserve"> </w:t>
      </w:r>
      <w:r w:rsidRPr="00392E88">
        <w:t>nowego działania</w:t>
      </w:r>
      <w:r w:rsidRPr="00392E88">
        <w:rPr>
          <w:sz w:val="22"/>
        </w:rPr>
        <w:t xml:space="preserve"> </w:t>
      </w:r>
    </w:p>
    <w:p w14:paraId="06C59EC6" w14:textId="77777777" w:rsidR="0063367A" w:rsidRPr="00392E88" w:rsidRDefault="00AC2BE5">
      <w:pPr>
        <w:pStyle w:val="Text1"/>
        <w:rPr>
          <w:noProof/>
        </w:rPr>
        <w:sectPr w:rsidR="0063367A" w:rsidRPr="00392E88" w:rsidSect="00682C29">
          <w:pgSz w:w="11907" w:h="16840" w:code="9"/>
          <w:pgMar w:top="1134" w:right="1418" w:bottom="1134" w:left="1418" w:header="709" w:footer="709" w:gutter="0"/>
          <w:cols w:space="708"/>
          <w:docGrid w:linePitch="360"/>
        </w:sectPr>
      </w:pPr>
      <w:r w:rsidRPr="00392E88">
        <w:rPr>
          <w:rFonts w:ascii="Wingdings" w:hAnsi="Wingdings"/>
          <w:sz w:val="22"/>
        </w:rPr>
        <w:t>¨</w:t>
      </w:r>
      <w:r w:rsidRPr="00392E88">
        <w:rPr>
          <w:i/>
          <w:sz w:val="22"/>
        </w:rPr>
        <w:t xml:space="preserve"> </w:t>
      </w:r>
      <w:r w:rsidRPr="00392E88">
        <w:t>nowego działania, będącego następstwem projektu pilotażowego/działania przygotowawczego</w:t>
      </w:r>
    </w:p>
    <w:p w14:paraId="64B564DF" w14:textId="77777777" w:rsidR="00AC2BE5" w:rsidRPr="00392E88" w:rsidRDefault="00AC2BE5">
      <w:pPr>
        <w:pStyle w:val="Text1"/>
        <w:rPr>
          <w:noProof/>
          <w:sz w:val="22"/>
        </w:rPr>
      </w:pPr>
      <w:r w:rsidRPr="00392E88">
        <w:rPr>
          <w:rStyle w:val="FootnoteReference"/>
          <w:noProof/>
        </w:rPr>
        <w:footnoteReference w:id="39"/>
      </w:r>
      <w:r w:rsidRPr="00392E88">
        <w:rPr>
          <w:sz w:val="22"/>
        </w:rPr>
        <w:t xml:space="preserve"> </w:t>
      </w:r>
    </w:p>
    <w:p w14:paraId="1DEBB421" w14:textId="24D20ABC" w:rsidR="00AC2BE5" w:rsidRPr="00392E88" w:rsidRDefault="00B36ED3">
      <w:pPr>
        <w:pStyle w:val="Text1"/>
        <w:rPr>
          <w:noProof/>
          <w:sz w:val="22"/>
        </w:rPr>
      </w:pPr>
      <w:r w:rsidRPr="006E6446">
        <w:rPr>
          <w:rFonts w:ascii="Segoe UI Symbol" w:hAnsi="Segoe UI Symbol"/>
          <w:sz w:val="28"/>
        </w:rPr>
        <w:t>☑</w:t>
      </w:r>
      <w:r w:rsidR="006E6446" w:rsidRPr="006E6446">
        <w:rPr>
          <w:rFonts w:asciiTheme="majorHAnsi" w:hAnsiTheme="majorHAnsi"/>
          <w:sz w:val="28"/>
        </w:rPr>
        <w:t xml:space="preserve"> </w:t>
      </w:r>
      <w:r w:rsidRPr="006E6446">
        <w:t>p</w:t>
      </w:r>
      <w:r w:rsidRPr="00392E88">
        <w:t>rzedłużenia bieżącego działania</w:t>
      </w:r>
      <w:r w:rsidRPr="00392E88">
        <w:rPr>
          <w:sz w:val="22"/>
        </w:rPr>
        <w:t xml:space="preserve"> </w:t>
      </w:r>
    </w:p>
    <w:p w14:paraId="766A05CA" w14:textId="77777777" w:rsidR="00AC2BE5" w:rsidRPr="00392E88" w:rsidRDefault="00AC2BE5">
      <w:pPr>
        <w:pStyle w:val="Text1"/>
        <w:rPr>
          <w:noProof/>
        </w:rPr>
      </w:pPr>
      <w:r w:rsidRPr="00392E88">
        <w:rPr>
          <w:rFonts w:ascii="Wingdings" w:hAnsi="Wingdings"/>
          <w:sz w:val="22"/>
        </w:rPr>
        <w:t>¨</w:t>
      </w:r>
      <w:r w:rsidRPr="00392E88">
        <w:rPr>
          <w:i/>
          <w:sz w:val="22"/>
        </w:rPr>
        <w:t xml:space="preserve"> </w:t>
      </w:r>
      <w:r w:rsidRPr="00392E88">
        <w:t>połączenia lub przekształcenia co najmniej jednego działania pod kątem innego/nowego działania</w:t>
      </w:r>
    </w:p>
    <w:p w14:paraId="5C6D123D" w14:textId="77777777" w:rsidR="00AC2BE5" w:rsidRPr="00392E88" w:rsidRDefault="00AC2BE5">
      <w:pPr>
        <w:pStyle w:val="ManualHeading2"/>
        <w:rPr>
          <w:bCs/>
          <w:noProof/>
          <w:szCs w:val="24"/>
        </w:rPr>
      </w:pPr>
      <w:bookmarkStart w:id="38" w:name="_Toc514938025"/>
      <w:bookmarkStart w:id="39" w:name="_Toc520485034"/>
      <w:bookmarkStart w:id="40" w:name="_Toc160804576"/>
      <w:bookmarkStart w:id="41" w:name="_Toc167220268"/>
      <w:bookmarkStart w:id="42" w:name="_Toc177549001"/>
      <w:r w:rsidRPr="00392E88">
        <w:t>1.5.</w:t>
      </w:r>
      <w:r w:rsidRPr="00392E88">
        <w:tab/>
        <w:t>Uzasadnienie wniosku/inicjatywy</w:t>
      </w:r>
      <w:bookmarkEnd w:id="38"/>
      <w:bookmarkEnd w:id="39"/>
      <w:bookmarkEnd w:id="40"/>
      <w:bookmarkEnd w:id="41"/>
      <w:bookmarkEnd w:id="42"/>
      <w:r w:rsidRPr="00392E88">
        <w:t xml:space="preserve"> </w:t>
      </w:r>
    </w:p>
    <w:p w14:paraId="5F6191BD" w14:textId="2F32B3C0" w:rsidR="00AC2BE5" w:rsidRPr="00392E88" w:rsidRDefault="00AC2BE5">
      <w:pPr>
        <w:pStyle w:val="ManualHeading3"/>
        <w:rPr>
          <w:noProof/>
        </w:rPr>
      </w:pPr>
      <w:bookmarkStart w:id="43" w:name="_Toc514938026"/>
      <w:bookmarkStart w:id="44" w:name="_Toc520485035"/>
      <w:bookmarkStart w:id="45" w:name="_Toc160804577"/>
      <w:bookmarkStart w:id="46" w:name="_Toc167220269"/>
      <w:bookmarkStart w:id="47" w:name="_Toc177549002"/>
      <w:r w:rsidRPr="00392E88">
        <w:t>1.5.1.</w:t>
      </w:r>
      <w:r w:rsidRPr="00392E88">
        <w:tab/>
        <w:t>Potrzeby, które należy zaspokoić</w:t>
      </w:r>
      <w:r w:rsidR="006E6446" w:rsidRPr="00392E88">
        <w:t xml:space="preserve"> w</w:t>
      </w:r>
      <w:r w:rsidR="006E6446">
        <w:t> </w:t>
      </w:r>
      <w:r w:rsidR="006E6446" w:rsidRPr="00392E88">
        <w:t>per</w:t>
      </w:r>
      <w:r w:rsidRPr="00392E88">
        <w:t>spektywie krótko- lub długoterminowej,</w:t>
      </w:r>
      <w:r w:rsidR="006E6446" w:rsidRPr="00392E88">
        <w:t xml:space="preserve"> w</w:t>
      </w:r>
      <w:r w:rsidR="006E6446">
        <w:t> </w:t>
      </w:r>
      <w:r w:rsidR="006E6446" w:rsidRPr="00392E88">
        <w:t>tym</w:t>
      </w:r>
      <w:r w:rsidRPr="00392E88">
        <w:t xml:space="preserve"> szczegółowy terminarz przebiegu realizacji inicjatywy</w:t>
      </w:r>
      <w:bookmarkEnd w:id="43"/>
      <w:bookmarkEnd w:id="44"/>
      <w:bookmarkEnd w:id="45"/>
      <w:bookmarkEnd w:id="46"/>
      <w:bookmarkEnd w:id="47"/>
    </w:p>
    <w:p w14:paraId="3D20E8DC" w14:textId="074EDACC" w:rsidR="00AC2BE5" w:rsidRPr="00392E88" w:rsidRDefault="003752A9">
      <w:pPr>
        <w:pStyle w:val="Text1"/>
        <w:pBdr>
          <w:top w:val="single" w:sz="4" w:space="1" w:color="auto"/>
          <w:left w:val="single" w:sz="4" w:space="4" w:color="auto"/>
          <w:bottom w:val="single" w:sz="4" w:space="1" w:color="auto"/>
          <w:right w:val="single" w:sz="4" w:space="4" w:color="auto"/>
        </w:pBdr>
        <w:rPr>
          <w:noProof/>
        </w:rPr>
      </w:pPr>
      <w:r w:rsidRPr="00392E88">
        <w:t>W niniejszym wniosku Komisja proponuje dyrektywę zmieniającą dyrektywę (UE) 2016/2341. Państwa członkowskie będą miały 12 miesięcy na transpozycję zmian wprowadzonych niniejszą dyrektywą od dnia jej wejścia</w:t>
      </w:r>
      <w:r w:rsidR="006E6446" w:rsidRPr="00392E88">
        <w:t xml:space="preserve"> w</w:t>
      </w:r>
      <w:r w:rsidR="006E6446">
        <w:t> </w:t>
      </w:r>
      <w:r w:rsidR="006E6446" w:rsidRPr="00392E88">
        <w:t>życ</w:t>
      </w:r>
      <w:r w:rsidRPr="00392E88">
        <w:t>ie.</w:t>
      </w:r>
    </w:p>
    <w:p w14:paraId="32921AA9" w14:textId="4D6FE129" w:rsidR="00AC2BE5" w:rsidRPr="00392E88" w:rsidRDefault="00AC2BE5">
      <w:pPr>
        <w:pStyle w:val="ManualHeading3"/>
        <w:rPr>
          <w:bCs/>
          <w:noProof/>
          <w:szCs w:val="24"/>
        </w:rPr>
      </w:pPr>
      <w:bookmarkStart w:id="48" w:name="_Toc514938029"/>
      <w:bookmarkStart w:id="49" w:name="_Toc520485036"/>
      <w:bookmarkStart w:id="50" w:name="_Toc160804578"/>
      <w:bookmarkStart w:id="51" w:name="_Toc167220270"/>
      <w:bookmarkStart w:id="52" w:name="_Toc177549003"/>
      <w:r w:rsidRPr="00392E88">
        <w:t>1.5.2.</w:t>
      </w:r>
      <w:r w:rsidRPr="00392E88">
        <w:tab/>
        <w:t>Wartość dodana</w:t>
      </w:r>
      <w:r w:rsidR="006E6446" w:rsidRPr="00392E88">
        <w:t xml:space="preserve"> z</w:t>
      </w:r>
      <w:r w:rsidR="006E6446">
        <w:t> </w:t>
      </w:r>
      <w:r w:rsidR="006E6446" w:rsidRPr="00392E88">
        <w:t>tyt</w:t>
      </w:r>
      <w:r w:rsidRPr="00392E88">
        <w:t>ułu zaangażowania Unii Europejskiej (może wynikać</w:t>
      </w:r>
      <w:r w:rsidR="006E6446" w:rsidRPr="00392E88">
        <w:t xml:space="preserve"> z</w:t>
      </w:r>
      <w:r w:rsidR="006E6446">
        <w:t> </w:t>
      </w:r>
      <w:r w:rsidR="006E6446" w:rsidRPr="00392E88">
        <w:t>róż</w:t>
      </w:r>
      <w:r w:rsidRPr="00392E88">
        <w:t>nych czynników, na przykład korzyści koordynacyjnych, pewności prawa, większej efektywności lub komplementarności). Na potrzeby tej sekcji „wartość dodaną</w:t>
      </w:r>
      <w:r w:rsidR="006E6446" w:rsidRPr="00392E88">
        <w:t xml:space="preserve"> z</w:t>
      </w:r>
      <w:r w:rsidR="006E6446">
        <w:t> </w:t>
      </w:r>
      <w:r w:rsidR="006E6446" w:rsidRPr="00392E88">
        <w:t>tyt</w:t>
      </w:r>
      <w:r w:rsidRPr="00392E88">
        <w:t>ułu zaangażowania Unii Europejskiej” należy rozumieć jako wartość wynikającą</w:t>
      </w:r>
      <w:r w:rsidR="006E6446" w:rsidRPr="00392E88">
        <w:t xml:space="preserve"> z</w:t>
      </w:r>
      <w:r w:rsidR="006E6446">
        <w:t> </w:t>
      </w:r>
      <w:r w:rsidR="006E6446" w:rsidRPr="00392E88">
        <w:t>uni</w:t>
      </w:r>
      <w:r w:rsidRPr="00392E88">
        <w:t>jnej interwencji, wykraczającą poza wartość, która zostałaby wytworzona przez same państwa członkowskie.</w:t>
      </w:r>
      <w:bookmarkEnd w:id="48"/>
      <w:bookmarkEnd w:id="49"/>
      <w:bookmarkEnd w:id="50"/>
      <w:bookmarkEnd w:id="51"/>
      <w:bookmarkEnd w:id="52"/>
    </w:p>
    <w:p w14:paraId="2A159DF6" w14:textId="2694D855" w:rsidR="00AC2BE5" w:rsidRPr="00392E88" w:rsidRDefault="000F498F">
      <w:pPr>
        <w:pStyle w:val="Text1"/>
        <w:pBdr>
          <w:top w:val="single" w:sz="4" w:space="1" w:color="auto"/>
          <w:left w:val="single" w:sz="4" w:space="4" w:color="auto"/>
          <w:bottom w:val="single" w:sz="4" w:space="1" w:color="auto"/>
          <w:right w:val="single" w:sz="4" w:space="4" w:color="auto"/>
        </w:pBdr>
        <w:rPr>
          <w:noProof/>
        </w:rPr>
      </w:pPr>
      <w:r w:rsidRPr="00392E88">
        <w:t>Dyrektywa</w:t>
      </w:r>
      <w:r w:rsidR="006E6446" w:rsidRPr="00392E88">
        <w:t xml:space="preserve"> w</w:t>
      </w:r>
      <w:r w:rsidR="006E6446">
        <w:t> </w:t>
      </w:r>
      <w:r w:rsidR="006E6446" w:rsidRPr="00392E88">
        <w:t>spr</w:t>
      </w:r>
      <w:r w:rsidRPr="00392E88">
        <w:t xml:space="preserve">awie działalności instytucji pracowniczych programów emerytalnych oraz nadzoru nad takimi instytucjami (IORP) jest ustanawiana na szczeblu UE </w:t>
      </w:r>
      <w:r w:rsidRPr="006E6446">
        <w:t>od</w:t>
      </w:r>
      <w:r w:rsidR="006E6446" w:rsidRPr="006E6446">
        <w:t> </w:t>
      </w:r>
      <w:r w:rsidRPr="006E6446">
        <w:t>2</w:t>
      </w:r>
      <w:r w:rsidRPr="00392E88">
        <w:t>0</w:t>
      </w:r>
      <w:r w:rsidRPr="006E6446">
        <w:t>16</w:t>
      </w:r>
      <w:r w:rsidR="006E6446" w:rsidRPr="006E6446">
        <w:t> </w:t>
      </w:r>
      <w:r w:rsidRPr="006E6446">
        <w:t>r.</w:t>
      </w:r>
      <w:r w:rsidRPr="00392E88">
        <w:t>, ponieważ jedynie działaniem na szczeblu UE można ustanowić wspólne ramy regulacyjne dla instytucji pracowniczych programów emerytalnych</w:t>
      </w:r>
      <w:r w:rsidR="006E6446" w:rsidRPr="00392E88">
        <w:t>. W</w:t>
      </w:r>
      <w:r w:rsidR="006E6446">
        <w:t> </w:t>
      </w:r>
      <w:r w:rsidR="006E6446" w:rsidRPr="00392E88">
        <w:t>zwi</w:t>
      </w:r>
      <w:r w:rsidRPr="00392E88">
        <w:t>ązku</w:t>
      </w:r>
      <w:r w:rsidR="006E6446" w:rsidRPr="00392E88">
        <w:t xml:space="preserve"> z</w:t>
      </w:r>
      <w:r w:rsidR="006E6446">
        <w:t> </w:t>
      </w:r>
      <w:r w:rsidR="006E6446" w:rsidRPr="00392E88">
        <w:t>tym</w:t>
      </w:r>
      <w:r w:rsidRPr="00392E88">
        <w:t>, aby dokonać przeglądu przepisów,</w:t>
      </w:r>
      <w:r w:rsidR="006E6446" w:rsidRPr="00392E88">
        <w:t xml:space="preserve"> w</w:t>
      </w:r>
      <w:r w:rsidR="006E6446">
        <w:t> </w:t>
      </w:r>
      <w:r w:rsidR="006E6446" w:rsidRPr="00392E88">
        <w:t>tym w</w:t>
      </w:r>
      <w:r w:rsidR="006E6446">
        <w:t> </w:t>
      </w:r>
      <w:r w:rsidR="006E6446" w:rsidRPr="00392E88">
        <w:t>odn</w:t>
      </w:r>
      <w:r w:rsidRPr="00392E88">
        <w:t>iesieniu do działalności transgranicznej, konieczne jest podjęcie działań na szczeblu UE</w:t>
      </w:r>
      <w:r w:rsidR="006E6446" w:rsidRPr="00392E88">
        <w:t xml:space="preserve"> w</w:t>
      </w:r>
      <w:r w:rsidR="006E6446">
        <w:t> </w:t>
      </w:r>
      <w:r w:rsidR="006E6446" w:rsidRPr="00392E88">
        <w:t>dro</w:t>
      </w:r>
      <w:r w:rsidRPr="00392E88">
        <w:t>dze dyrektywy zmieniającej.</w:t>
      </w:r>
    </w:p>
    <w:p w14:paraId="1A59B4AB" w14:textId="790EC7F3" w:rsidR="00AC2BE5" w:rsidRPr="00392E88" w:rsidRDefault="00AC2BE5">
      <w:pPr>
        <w:pStyle w:val="ManualHeading3"/>
        <w:rPr>
          <w:noProof/>
        </w:rPr>
      </w:pPr>
      <w:bookmarkStart w:id="53" w:name="_Toc514938030"/>
      <w:bookmarkStart w:id="54" w:name="_Toc520485037"/>
      <w:bookmarkStart w:id="55" w:name="_Toc160804579"/>
      <w:bookmarkStart w:id="56" w:name="_Toc167220271"/>
      <w:bookmarkStart w:id="57" w:name="_Toc177549004"/>
      <w:r w:rsidRPr="00392E88">
        <w:t>1.5.3.</w:t>
      </w:r>
      <w:r w:rsidRPr="00392E88">
        <w:tab/>
        <w:t>Główne wnioski wyciągnięte</w:t>
      </w:r>
      <w:r w:rsidR="006E6446" w:rsidRPr="00392E88">
        <w:t xml:space="preserve"> z</w:t>
      </w:r>
      <w:r w:rsidR="006E6446">
        <w:t> </w:t>
      </w:r>
      <w:r w:rsidR="006E6446" w:rsidRPr="00392E88">
        <w:t>pod</w:t>
      </w:r>
      <w:r w:rsidRPr="00392E88">
        <w:t>obnych działań</w:t>
      </w:r>
      <w:bookmarkEnd w:id="53"/>
      <w:bookmarkEnd w:id="54"/>
      <w:bookmarkEnd w:id="55"/>
      <w:bookmarkEnd w:id="56"/>
      <w:bookmarkEnd w:id="57"/>
    </w:p>
    <w:p w14:paraId="7E74D6D7" w14:textId="77777777" w:rsidR="00AC2BE5" w:rsidRPr="00392E88" w:rsidRDefault="00DF0C3B">
      <w:pPr>
        <w:pStyle w:val="Text1"/>
        <w:pBdr>
          <w:top w:val="single" w:sz="4" w:space="1" w:color="auto"/>
          <w:left w:val="single" w:sz="4" w:space="4" w:color="auto"/>
          <w:bottom w:val="single" w:sz="4" w:space="1" w:color="auto"/>
          <w:right w:val="single" w:sz="4" w:space="4" w:color="auto"/>
        </w:pBdr>
        <w:rPr>
          <w:noProof/>
        </w:rPr>
      </w:pPr>
      <w:r w:rsidRPr="00392E88">
        <w:t>Nie dotyczy</w:t>
      </w:r>
    </w:p>
    <w:p w14:paraId="6362E453" w14:textId="7DA51501" w:rsidR="00AC2BE5" w:rsidRPr="00392E88" w:rsidRDefault="00AC2BE5">
      <w:pPr>
        <w:pStyle w:val="ManualHeading3"/>
        <w:rPr>
          <w:noProof/>
        </w:rPr>
      </w:pPr>
      <w:bookmarkStart w:id="58" w:name="_Toc514938033"/>
      <w:bookmarkStart w:id="59" w:name="_Toc520485038"/>
      <w:bookmarkStart w:id="60" w:name="_Toc160804580"/>
      <w:bookmarkStart w:id="61" w:name="_Toc167220272"/>
      <w:bookmarkStart w:id="62" w:name="_Toc177549005"/>
      <w:r w:rsidRPr="00392E88">
        <w:t>1.5.4.</w:t>
      </w:r>
      <w:r w:rsidRPr="00392E88">
        <w:tab/>
        <w:t>Spójność</w:t>
      </w:r>
      <w:r w:rsidR="006E6446" w:rsidRPr="00392E88">
        <w:t xml:space="preserve"> z</w:t>
      </w:r>
      <w:r w:rsidR="006E6446">
        <w:t> </w:t>
      </w:r>
      <w:r w:rsidR="006E6446" w:rsidRPr="00392E88">
        <w:t>wie</w:t>
      </w:r>
      <w:r w:rsidRPr="00392E88">
        <w:t>loletnimi ramami finansowymi oraz możliwa synergia</w:t>
      </w:r>
      <w:r w:rsidR="006E6446" w:rsidRPr="00392E88">
        <w:t xml:space="preserve"> z</w:t>
      </w:r>
      <w:r w:rsidR="006E6446">
        <w:t> </w:t>
      </w:r>
      <w:r w:rsidR="006E6446" w:rsidRPr="00392E88">
        <w:t>inn</w:t>
      </w:r>
      <w:r w:rsidRPr="00392E88">
        <w:t>ymi właściwymi instrumentami</w:t>
      </w:r>
      <w:bookmarkEnd w:id="58"/>
      <w:bookmarkEnd w:id="59"/>
      <w:bookmarkEnd w:id="60"/>
      <w:bookmarkEnd w:id="61"/>
      <w:bookmarkEnd w:id="62"/>
    </w:p>
    <w:p w14:paraId="63DE257B" w14:textId="77777777" w:rsidR="00AC2BE5" w:rsidRPr="00392E88" w:rsidRDefault="00DF0C3B">
      <w:pPr>
        <w:pStyle w:val="Text1"/>
        <w:pBdr>
          <w:top w:val="single" w:sz="4" w:space="1" w:color="auto"/>
          <w:left w:val="single" w:sz="4" w:space="4" w:color="auto"/>
          <w:bottom w:val="single" w:sz="4" w:space="1" w:color="auto"/>
          <w:right w:val="single" w:sz="4" w:space="4" w:color="auto"/>
        </w:pBdr>
        <w:rPr>
          <w:noProof/>
        </w:rPr>
      </w:pPr>
      <w:r w:rsidRPr="00392E88">
        <w:t>Nie dotyczy</w:t>
      </w:r>
    </w:p>
    <w:p w14:paraId="5C50DE03" w14:textId="1696F619" w:rsidR="00AC2BE5" w:rsidRPr="00392E88" w:rsidRDefault="00AC2BE5">
      <w:pPr>
        <w:pStyle w:val="ManualHeading3"/>
        <w:rPr>
          <w:noProof/>
        </w:rPr>
      </w:pPr>
      <w:bookmarkStart w:id="63" w:name="_Toc514938036"/>
      <w:bookmarkStart w:id="64" w:name="_Toc520485039"/>
      <w:bookmarkStart w:id="65" w:name="_Toc160804581"/>
      <w:bookmarkStart w:id="66" w:name="_Toc167220273"/>
      <w:bookmarkStart w:id="67" w:name="_Toc177549006"/>
      <w:r w:rsidRPr="00392E88">
        <w:t>1.5.5.</w:t>
      </w:r>
      <w:r w:rsidRPr="00392E88">
        <w:tab/>
        <w:t>Ocena różnych dostępnych możliwości finansowania,</w:t>
      </w:r>
      <w:r w:rsidR="006E6446" w:rsidRPr="00392E88">
        <w:t xml:space="preserve"> w</w:t>
      </w:r>
      <w:r w:rsidR="006E6446">
        <w:t> </w:t>
      </w:r>
      <w:r w:rsidR="006E6446" w:rsidRPr="00392E88">
        <w:t>tym</w:t>
      </w:r>
      <w:r w:rsidRPr="00392E88">
        <w:t xml:space="preserve"> możliwości przegrupowania środków</w:t>
      </w:r>
      <w:bookmarkEnd w:id="63"/>
      <w:bookmarkEnd w:id="64"/>
      <w:bookmarkEnd w:id="65"/>
      <w:bookmarkEnd w:id="66"/>
      <w:bookmarkEnd w:id="67"/>
    </w:p>
    <w:p w14:paraId="2561FC5F" w14:textId="4DBCE5CB" w:rsidR="00AC2BE5" w:rsidRPr="00392E88" w:rsidRDefault="00DF0C3B">
      <w:pPr>
        <w:pStyle w:val="Text1"/>
        <w:pBdr>
          <w:top w:val="single" w:sz="4" w:space="1" w:color="auto"/>
          <w:left w:val="single" w:sz="4" w:space="4" w:color="auto"/>
          <w:bottom w:val="single" w:sz="4" w:space="1" w:color="auto"/>
          <w:right w:val="single" w:sz="4" w:space="4" w:color="auto"/>
        </w:pBdr>
        <w:rPr>
          <w:noProof/>
        </w:rPr>
      </w:pPr>
      <w:r w:rsidRPr="00392E88">
        <w:t>We wniosku doprecyzowano rolę EIOPA</w:t>
      </w:r>
      <w:r w:rsidR="006E6446" w:rsidRPr="00392E88">
        <w:t xml:space="preserve"> w</w:t>
      </w:r>
      <w:r w:rsidR="006E6446">
        <w:t> </w:t>
      </w:r>
      <w:r w:rsidR="006E6446" w:rsidRPr="00392E88">
        <w:t>koo</w:t>
      </w:r>
      <w:r w:rsidRPr="00392E88">
        <w:t>rdynacji nadzoru, która już stanowi integralną część jej mandatu. Wyraźne wprowadzenie możliwości ustanowienia platformy współpracy nie zmienia mandatu EIOPA</w:t>
      </w:r>
      <w:r w:rsidR="006E6446" w:rsidRPr="00392E88">
        <w:t xml:space="preserve"> i</w:t>
      </w:r>
      <w:r w:rsidR="006E6446">
        <w:t> </w:t>
      </w:r>
      <w:r w:rsidR="006E6446" w:rsidRPr="00392E88">
        <w:t>nie</w:t>
      </w:r>
      <w:r w:rsidRPr="00392E88">
        <w:t xml:space="preserve"> oczekuje się, że wpłynie to na jego zdolność do realizacji mandatu</w:t>
      </w:r>
      <w:r w:rsidR="006E6446" w:rsidRPr="00392E88">
        <w:t xml:space="preserve"> w</w:t>
      </w:r>
      <w:r w:rsidR="006E6446">
        <w:t> </w:t>
      </w:r>
      <w:r w:rsidR="006E6446" w:rsidRPr="00392E88">
        <w:t>ram</w:t>
      </w:r>
      <w:r w:rsidRPr="00392E88">
        <w:t>ach istniejących zasobów.</w:t>
      </w:r>
    </w:p>
    <w:p w14:paraId="3B1B95D7" w14:textId="6CC17D01" w:rsidR="00AC2BE5" w:rsidRPr="00392E88" w:rsidRDefault="00AC2BE5">
      <w:pPr>
        <w:pStyle w:val="ManualHeading2"/>
        <w:rPr>
          <w:bCs/>
          <w:noProof/>
          <w:szCs w:val="24"/>
        </w:rPr>
      </w:pPr>
      <w:r w:rsidRPr="00392E88">
        <w:br w:type="page"/>
      </w:r>
      <w:bookmarkStart w:id="68" w:name="_Toc514938039"/>
      <w:bookmarkStart w:id="69" w:name="_Toc520485040"/>
      <w:bookmarkStart w:id="70" w:name="_Toc160804582"/>
      <w:bookmarkStart w:id="71" w:name="_Toc167220274"/>
      <w:bookmarkStart w:id="72" w:name="_Toc177549007"/>
      <w:r w:rsidRPr="00392E88">
        <w:t>1.6.</w:t>
      </w:r>
      <w:r w:rsidRPr="00392E88">
        <w:tab/>
        <w:t>Czas trwania wniosku/inicjatywy</w:t>
      </w:r>
      <w:r w:rsidR="006E6446" w:rsidRPr="00392E88">
        <w:t xml:space="preserve"> i</w:t>
      </w:r>
      <w:r w:rsidR="006E6446">
        <w:t> </w:t>
      </w:r>
      <w:r w:rsidR="006E6446" w:rsidRPr="00392E88">
        <w:t>jeg</w:t>
      </w:r>
      <w:r w:rsidRPr="00392E88">
        <w:t>o/jej wpływu finansowego</w:t>
      </w:r>
      <w:bookmarkEnd w:id="68"/>
      <w:bookmarkEnd w:id="69"/>
      <w:bookmarkEnd w:id="70"/>
      <w:bookmarkEnd w:id="71"/>
      <w:bookmarkEnd w:id="72"/>
    </w:p>
    <w:p w14:paraId="2C501DF7" w14:textId="77777777" w:rsidR="00AC2BE5" w:rsidRPr="00392E88" w:rsidRDefault="00AC2BE5">
      <w:pPr>
        <w:pStyle w:val="Text1"/>
        <w:rPr>
          <w:noProof/>
        </w:rPr>
      </w:pPr>
      <w:r w:rsidRPr="00392E88">
        <w:rPr>
          <w:rFonts w:ascii="Wingdings" w:hAnsi="Wingdings"/>
        </w:rPr>
        <w:t>¨</w:t>
      </w:r>
      <w:r w:rsidRPr="00392E88">
        <w:t xml:space="preserve"> </w:t>
      </w:r>
      <w:r w:rsidRPr="00392E88">
        <w:rPr>
          <w:b/>
        </w:rPr>
        <w:t xml:space="preserve">Ograniczony czas trwania </w:t>
      </w:r>
    </w:p>
    <w:p w14:paraId="189A63CD" w14:textId="77777777" w:rsidR="00AC2BE5" w:rsidRPr="00392E88" w:rsidRDefault="00AC2BE5">
      <w:pPr>
        <w:pStyle w:val="ListDash2"/>
        <w:rPr>
          <w:noProof/>
        </w:rPr>
      </w:pPr>
      <w:r w:rsidRPr="00392E88">
        <w:rPr>
          <w:rFonts w:ascii="Wingdings" w:hAnsi="Wingdings"/>
        </w:rPr>
        <w:t>¨</w:t>
      </w:r>
      <w:r w:rsidRPr="00392E88">
        <w:tab/>
        <w:t xml:space="preserve">Czas trwania wniosku/inicjatywy: od [DD/MM]RRRR r. do [DD/MM]RRRR r. </w:t>
      </w:r>
    </w:p>
    <w:p w14:paraId="75F3657E" w14:textId="51CEB7EA" w:rsidR="00AC2BE5" w:rsidRPr="00392E88" w:rsidRDefault="00AC2BE5">
      <w:pPr>
        <w:pStyle w:val="ListDash2"/>
        <w:rPr>
          <w:noProof/>
        </w:rPr>
      </w:pPr>
      <w:r w:rsidRPr="00392E88">
        <w:rPr>
          <w:rFonts w:ascii="Wingdings" w:hAnsi="Wingdings"/>
        </w:rPr>
        <w:t>¨</w:t>
      </w:r>
      <w:r w:rsidRPr="00392E88">
        <w:tab/>
        <w:t>Czas trwania wpływu finansowego: od RRRR r. do RRRR r.</w:t>
      </w:r>
      <w:r w:rsidR="006E6446" w:rsidRPr="00392E88">
        <w:t xml:space="preserve"> w</w:t>
      </w:r>
      <w:r w:rsidR="006E6446">
        <w:t> </w:t>
      </w:r>
      <w:r w:rsidR="006E6446" w:rsidRPr="00392E88">
        <w:t>odn</w:t>
      </w:r>
      <w:r w:rsidRPr="00392E88">
        <w:t>iesieniu do środków na zobowiązania oraz od RRRR r. do RRRR r.</w:t>
      </w:r>
      <w:r w:rsidR="006E6446" w:rsidRPr="00392E88">
        <w:t xml:space="preserve"> w</w:t>
      </w:r>
      <w:r w:rsidR="006E6446">
        <w:t> </w:t>
      </w:r>
      <w:r w:rsidR="006E6446" w:rsidRPr="00392E88">
        <w:t>odn</w:t>
      </w:r>
      <w:r w:rsidRPr="00392E88">
        <w:t xml:space="preserve">iesieniu do środków na płatności. </w:t>
      </w:r>
    </w:p>
    <w:p w14:paraId="1589918E" w14:textId="77777777" w:rsidR="00AC2BE5" w:rsidRPr="00392E88" w:rsidRDefault="00AC2BE5">
      <w:pPr>
        <w:pStyle w:val="Text1"/>
        <w:rPr>
          <w:noProof/>
        </w:rPr>
      </w:pPr>
      <w:r w:rsidRPr="00392E88">
        <w:rPr>
          <w:rFonts w:ascii="Wingdings" w:hAnsi="Wingdings"/>
        </w:rPr>
        <w:t>¨</w:t>
      </w:r>
      <w:r w:rsidRPr="00392E88">
        <w:t xml:space="preserve"> </w:t>
      </w:r>
      <w:r w:rsidRPr="00392E88">
        <w:rPr>
          <w:b/>
        </w:rPr>
        <w:t>Nieograniczony czas trwania</w:t>
      </w:r>
    </w:p>
    <w:p w14:paraId="59A1B4F3" w14:textId="5F4BF77B" w:rsidR="00AC2BE5" w:rsidRPr="00392E88" w:rsidRDefault="00AC2BE5">
      <w:pPr>
        <w:pStyle w:val="ListDash1"/>
        <w:rPr>
          <w:noProof/>
        </w:rPr>
      </w:pPr>
      <w:r w:rsidRPr="00392E88">
        <w:t>Wprowadzenie</w:t>
      </w:r>
      <w:r w:rsidR="006E6446" w:rsidRPr="00392E88">
        <w:t xml:space="preserve"> w</w:t>
      </w:r>
      <w:r w:rsidR="006E6446">
        <w:t> </w:t>
      </w:r>
      <w:r w:rsidR="006E6446" w:rsidRPr="00392E88">
        <w:t>życ</w:t>
      </w:r>
      <w:r w:rsidRPr="00392E88">
        <w:t>ie</w:t>
      </w:r>
      <w:r w:rsidR="006E6446" w:rsidRPr="00392E88">
        <w:t xml:space="preserve"> z</w:t>
      </w:r>
      <w:r w:rsidR="006E6446">
        <w:t> </w:t>
      </w:r>
      <w:r w:rsidR="006E6446" w:rsidRPr="00392E88">
        <w:t>okr</w:t>
      </w:r>
      <w:r w:rsidRPr="00392E88">
        <w:t>esem rozruchu od RRRR r. do RRRR r.,</w:t>
      </w:r>
    </w:p>
    <w:p w14:paraId="2BA7A93E" w14:textId="77777777" w:rsidR="00AC2BE5" w:rsidRPr="00392E88" w:rsidRDefault="00AC2BE5">
      <w:pPr>
        <w:pStyle w:val="ListDash1"/>
        <w:rPr>
          <w:noProof/>
        </w:rPr>
      </w:pPr>
      <w:r w:rsidRPr="00392E88">
        <w:t>po którym następuje faza operacyjna.</w:t>
      </w:r>
    </w:p>
    <w:p w14:paraId="5A1476A1" w14:textId="77777777" w:rsidR="00AC2BE5" w:rsidRPr="00392E88" w:rsidRDefault="00AC2BE5">
      <w:pPr>
        <w:pStyle w:val="ManualHeading2"/>
        <w:rPr>
          <w:bCs/>
          <w:noProof/>
          <w:szCs w:val="24"/>
        </w:rPr>
      </w:pPr>
      <w:bookmarkStart w:id="73" w:name="_Toc514938040"/>
      <w:bookmarkStart w:id="74" w:name="_Toc520485041"/>
      <w:bookmarkStart w:id="75" w:name="_Toc160804583"/>
      <w:bookmarkStart w:id="76" w:name="_Toc167220275"/>
      <w:bookmarkStart w:id="77" w:name="_Toc177549008"/>
      <w:r w:rsidRPr="00392E88">
        <w:t>1.7.</w:t>
      </w:r>
      <w:r w:rsidRPr="00392E88">
        <w:tab/>
        <w:t>Planowane metody wykonania budżetu</w:t>
      </w:r>
      <w:bookmarkEnd w:id="73"/>
      <w:bookmarkEnd w:id="74"/>
      <w:bookmarkEnd w:id="75"/>
      <w:bookmarkEnd w:id="76"/>
      <w:bookmarkEnd w:id="77"/>
      <w:r w:rsidRPr="00392E88">
        <w:t xml:space="preserve"> </w:t>
      </w:r>
    </w:p>
    <w:p w14:paraId="5E17E6C9" w14:textId="77777777" w:rsidR="00AC2BE5" w:rsidRPr="00392E88" w:rsidRDefault="00AC2BE5">
      <w:pPr>
        <w:pStyle w:val="Text1"/>
        <w:rPr>
          <w:noProof/>
        </w:rPr>
      </w:pPr>
      <w:r w:rsidRPr="00392E88">
        <w:rPr>
          <w:rFonts w:ascii="Wingdings" w:hAnsi="Wingdings"/>
        </w:rPr>
        <w:t>¨</w:t>
      </w:r>
      <w:r w:rsidRPr="00392E88">
        <w:rPr>
          <w:i/>
        </w:rPr>
        <w:t xml:space="preserve"> </w:t>
      </w:r>
      <w:r w:rsidRPr="00392E88">
        <w:rPr>
          <w:b/>
        </w:rPr>
        <w:t>Bezpośrednie zarządzanie</w:t>
      </w:r>
      <w:r w:rsidRPr="00392E88">
        <w:t xml:space="preserve"> przez Komisję</w:t>
      </w:r>
    </w:p>
    <w:p w14:paraId="55FDA73A" w14:textId="67621A2C" w:rsidR="00AC2BE5" w:rsidRPr="00392E88" w:rsidRDefault="00AC2BE5">
      <w:pPr>
        <w:pStyle w:val="ListDash2"/>
        <w:rPr>
          <w:rFonts w:cs="EUAlbertina"/>
          <w:noProof/>
        </w:rPr>
      </w:pPr>
      <w:r w:rsidRPr="00392E88">
        <w:rPr>
          <w:rFonts w:ascii="Wingdings" w:hAnsi="Wingdings"/>
        </w:rPr>
        <w:t>¨</w:t>
      </w:r>
      <w:r w:rsidR="006E6446" w:rsidRPr="00392E88">
        <w:t xml:space="preserve"> w</w:t>
      </w:r>
      <w:r w:rsidR="006E6446">
        <w:t> </w:t>
      </w:r>
      <w:r w:rsidR="006E6446" w:rsidRPr="00392E88">
        <w:t>ram</w:t>
      </w:r>
      <w:r w:rsidRPr="00392E88">
        <w:t>ach jej służb,</w:t>
      </w:r>
      <w:r w:rsidR="006E6446" w:rsidRPr="00392E88">
        <w:t xml:space="preserve"> w</w:t>
      </w:r>
      <w:r w:rsidR="006E6446">
        <w:t> </w:t>
      </w:r>
      <w:r w:rsidR="006E6446" w:rsidRPr="00392E88">
        <w:t>tym</w:t>
      </w:r>
      <w:r w:rsidRPr="00392E88">
        <w:t xml:space="preserve"> za pośrednictwem jej pracowników</w:t>
      </w:r>
      <w:r w:rsidR="006E6446" w:rsidRPr="00392E88">
        <w:t xml:space="preserve"> w</w:t>
      </w:r>
      <w:r w:rsidR="006E6446">
        <w:t> </w:t>
      </w:r>
      <w:r w:rsidR="006E6446" w:rsidRPr="00392E88">
        <w:t>del</w:t>
      </w:r>
      <w:r w:rsidRPr="00392E88">
        <w:t xml:space="preserve">egaturach Unii </w:t>
      </w:r>
    </w:p>
    <w:p w14:paraId="7F053FB9" w14:textId="77777777" w:rsidR="00AC2BE5" w:rsidRPr="00392E88" w:rsidRDefault="00AC2BE5">
      <w:pPr>
        <w:pStyle w:val="ListDash2"/>
        <w:rPr>
          <w:noProof/>
        </w:rPr>
      </w:pPr>
      <w:r w:rsidRPr="00392E88">
        <w:rPr>
          <w:rFonts w:ascii="Wingdings" w:hAnsi="Wingdings"/>
        </w:rPr>
        <w:t>¨</w:t>
      </w:r>
      <w:r w:rsidRPr="00392E88">
        <w:t xml:space="preserve"> przez agencje wykonawcze </w:t>
      </w:r>
    </w:p>
    <w:p w14:paraId="076A8C61" w14:textId="3D8FD5E0" w:rsidR="00AC2BE5" w:rsidRPr="00392E88" w:rsidRDefault="00AC2BE5">
      <w:pPr>
        <w:pStyle w:val="Text1"/>
        <w:rPr>
          <w:noProof/>
        </w:rPr>
      </w:pPr>
      <w:r w:rsidRPr="00392E88">
        <w:rPr>
          <w:rFonts w:ascii="Wingdings" w:hAnsi="Wingdings"/>
        </w:rPr>
        <w:t>¨</w:t>
      </w:r>
      <w:r w:rsidRPr="00392E88">
        <w:rPr>
          <w:b/>
          <w:i/>
        </w:rPr>
        <w:t xml:space="preserve"> </w:t>
      </w:r>
      <w:r w:rsidRPr="00392E88">
        <w:rPr>
          <w:b/>
        </w:rPr>
        <w:t>Zarządzanie dzielone</w:t>
      </w:r>
      <w:r w:rsidR="006E6446" w:rsidRPr="00392E88">
        <w:t xml:space="preserve"> z</w:t>
      </w:r>
      <w:r w:rsidR="006E6446">
        <w:t> </w:t>
      </w:r>
      <w:r w:rsidR="006E6446" w:rsidRPr="00392E88">
        <w:t>pań</w:t>
      </w:r>
      <w:r w:rsidRPr="00392E88">
        <w:t xml:space="preserve">stwami członkowskimi </w:t>
      </w:r>
    </w:p>
    <w:p w14:paraId="1D981592" w14:textId="2B7CB04B" w:rsidR="00AC2BE5" w:rsidRPr="00392E88" w:rsidRDefault="00AC2BE5">
      <w:pPr>
        <w:pStyle w:val="Text1"/>
        <w:rPr>
          <w:noProof/>
        </w:rPr>
      </w:pPr>
      <w:r w:rsidRPr="00392E88">
        <w:rPr>
          <w:rFonts w:ascii="Wingdings" w:hAnsi="Wingdings"/>
        </w:rPr>
        <w:t>¨</w:t>
      </w:r>
      <w:r w:rsidRPr="00392E88">
        <w:rPr>
          <w:i/>
        </w:rPr>
        <w:t xml:space="preserve"> </w:t>
      </w:r>
      <w:r w:rsidRPr="00392E88">
        <w:rPr>
          <w:b/>
        </w:rPr>
        <w:t>Zarządzanie pośrednie</w:t>
      </w:r>
      <w:r w:rsidRPr="00392E88">
        <w:t xml:space="preserve"> przez przekazanie zadań związanych</w:t>
      </w:r>
      <w:r w:rsidR="006E6446" w:rsidRPr="00392E88">
        <w:t xml:space="preserve"> z</w:t>
      </w:r>
      <w:r w:rsidR="006E6446">
        <w:t> </w:t>
      </w:r>
      <w:r w:rsidR="006E6446" w:rsidRPr="00392E88">
        <w:t>wyk</w:t>
      </w:r>
      <w:r w:rsidRPr="00392E88">
        <w:t>onaniem budżetu:</w:t>
      </w:r>
    </w:p>
    <w:p w14:paraId="6E803B95" w14:textId="77777777" w:rsidR="00AC2BE5" w:rsidRPr="00392E88" w:rsidRDefault="00AC2BE5">
      <w:pPr>
        <w:pStyle w:val="ListDash2"/>
        <w:rPr>
          <w:noProof/>
        </w:rPr>
      </w:pPr>
      <w:r w:rsidRPr="00392E88">
        <w:rPr>
          <w:rFonts w:ascii="Wingdings" w:hAnsi="Wingdings"/>
        </w:rPr>
        <w:t>¨</w:t>
      </w:r>
      <w:r w:rsidRPr="00392E88">
        <w:t xml:space="preserve"> państwom trzecim lub organom przez nie wyznaczonym</w:t>
      </w:r>
    </w:p>
    <w:p w14:paraId="487AB026" w14:textId="62CE9E21" w:rsidR="00AC2BE5" w:rsidRPr="00392E88" w:rsidRDefault="00AC2BE5">
      <w:pPr>
        <w:pStyle w:val="ListDash2"/>
        <w:rPr>
          <w:noProof/>
        </w:rPr>
      </w:pPr>
      <w:r w:rsidRPr="00392E88">
        <w:rPr>
          <w:rFonts w:ascii="Wingdings" w:hAnsi="Wingdings"/>
        </w:rPr>
        <w:t>¨</w:t>
      </w:r>
      <w:r w:rsidRPr="00392E88">
        <w:t xml:space="preserve"> organizacjom międzynarodowym</w:t>
      </w:r>
      <w:r w:rsidR="006E6446" w:rsidRPr="00392E88">
        <w:t xml:space="preserve"> i</w:t>
      </w:r>
      <w:r w:rsidR="006E6446">
        <w:t> </w:t>
      </w:r>
      <w:r w:rsidR="006E6446" w:rsidRPr="00392E88">
        <w:t>ich</w:t>
      </w:r>
      <w:r w:rsidRPr="00392E88">
        <w:t xml:space="preserve"> agencjom (wyszczególnić)</w:t>
      </w:r>
    </w:p>
    <w:p w14:paraId="25C486BC" w14:textId="0CD966D3" w:rsidR="00AC2BE5" w:rsidRPr="00392E88" w:rsidRDefault="00AC2BE5">
      <w:pPr>
        <w:pStyle w:val="ListDash2"/>
        <w:rPr>
          <w:noProof/>
        </w:rPr>
      </w:pPr>
      <w:r w:rsidRPr="00392E88">
        <w:rPr>
          <w:rFonts w:ascii="Wingdings" w:hAnsi="Wingdings"/>
        </w:rPr>
        <w:t>¨</w:t>
      </w:r>
      <w:r w:rsidRPr="00392E88">
        <w:t xml:space="preserve"> Europejskiemu Bankowi Inwestycyjnemu</w:t>
      </w:r>
      <w:r w:rsidR="006E6446" w:rsidRPr="00392E88">
        <w:t xml:space="preserve"> i</w:t>
      </w:r>
      <w:r w:rsidR="006E6446">
        <w:t> </w:t>
      </w:r>
      <w:r w:rsidR="006E6446" w:rsidRPr="00392E88">
        <w:t>Eur</w:t>
      </w:r>
      <w:r w:rsidRPr="00392E88">
        <w:t>opejskiemu Funduszowi Inwestycyjnemu</w:t>
      </w:r>
    </w:p>
    <w:p w14:paraId="7F71A778" w14:textId="6C606DB7" w:rsidR="00AC2BE5" w:rsidRPr="00392E88" w:rsidRDefault="00AC2BE5">
      <w:pPr>
        <w:pStyle w:val="ListDash2"/>
        <w:rPr>
          <w:noProof/>
        </w:rPr>
      </w:pPr>
      <w:r w:rsidRPr="00392E88">
        <w:rPr>
          <w:rFonts w:ascii="Wingdings" w:hAnsi="Wingdings"/>
        </w:rPr>
        <w:t>¨</w:t>
      </w:r>
      <w:r w:rsidRPr="00392E88">
        <w:t xml:space="preserve"> organom,</w:t>
      </w:r>
      <w:r w:rsidR="006E6446" w:rsidRPr="00392E88">
        <w:t xml:space="preserve"> o</w:t>
      </w:r>
      <w:r w:rsidR="006E6446">
        <w:t> </w:t>
      </w:r>
      <w:r w:rsidR="006E6446" w:rsidRPr="00392E88">
        <w:t>któ</w:t>
      </w:r>
      <w:r w:rsidRPr="00392E88">
        <w:t>rych mowa</w:t>
      </w:r>
      <w:r w:rsidR="006E6446" w:rsidRPr="00392E88">
        <w:t xml:space="preserve"> w</w:t>
      </w:r>
      <w:r w:rsidR="006E6446">
        <w:t> </w:t>
      </w:r>
      <w:r w:rsidR="006E6446" w:rsidRPr="006E6446">
        <w:t>art</w:t>
      </w:r>
      <w:r w:rsidRPr="006E6446">
        <w:t>.</w:t>
      </w:r>
      <w:r w:rsidR="006E6446" w:rsidRPr="006E6446">
        <w:t> </w:t>
      </w:r>
      <w:r w:rsidRPr="006E6446">
        <w:t>7</w:t>
      </w:r>
      <w:r w:rsidRPr="00392E88">
        <w:t>0</w:t>
      </w:r>
      <w:r w:rsidR="006E6446" w:rsidRPr="00392E88">
        <w:t xml:space="preserve"> i</w:t>
      </w:r>
      <w:r w:rsidR="006E6446">
        <w:t> </w:t>
      </w:r>
      <w:r w:rsidR="006E6446" w:rsidRPr="00392E88">
        <w:t>7</w:t>
      </w:r>
      <w:r w:rsidRPr="00392E88">
        <w:t>1 rozporządzenia finansowego</w:t>
      </w:r>
    </w:p>
    <w:p w14:paraId="4632AA3E" w14:textId="77777777" w:rsidR="00AC2BE5" w:rsidRPr="00392E88" w:rsidRDefault="00AC2BE5">
      <w:pPr>
        <w:pStyle w:val="ListDash2"/>
        <w:rPr>
          <w:noProof/>
        </w:rPr>
      </w:pPr>
      <w:r w:rsidRPr="00392E88">
        <w:rPr>
          <w:rFonts w:ascii="Wingdings" w:hAnsi="Wingdings"/>
        </w:rPr>
        <w:t>¨</w:t>
      </w:r>
      <w:r w:rsidRPr="00392E88">
        <w:t xml:space="preserve"> organom prawa publicznego</w:t>
      </w:r>
    </w:p>
    <w:p w14:paraId="20B9EBE9" w14:textId="64EDEB46" w:rsidR="00AC2BE5" w:rsidRPr="00392E88" w:rsidRDefault="00AC2BE5">
      <w:pPr>
        <w:pStyle w:val="ListDash2"/>
        <w:rPr>
          <w:noProof/>
        </w:rPr>
      </w:pPr>
      <w:r w:rsidRPr="00392E88">
        <w:rPr>
          <w:rFonts w:ascii="Wingdings" w:hAnsi="Wingdings"/>
        </w:rPr>
        <w:t>¨</w:t>
      </w:r>
      <w:r w:rsidRPr="00392E88">
        <w:t xml:space="preserve"> podmiotom podlegającym prawu prywatnemu, które świadczą usługi użyteczności publicznej,</w:t>
      </w:r>
      <w:r w:rsidR="006E6446" w:rsidRPr="00392E88">
        <w:t xml:space="preserve"> w</w:t>
      </w:r>
      <w:r w:rsidR="006E6446">
        <w:t> </w:t>
      </w:r>
      <w:r w:rsidR="006E6446" w:rsidRPr="00392E88">
        <w:t>zak</w:t>
      </w:r>
      <w:r w:rsidRPr="00392E88">
        <w:t>resie,</w:t>
      </w:r>
      <w:r w:rsidR="006E6446" w:rsidRPr="00392E88">
        <w:t xml:space="preserve"> w</w:t>
      </w:r>
      <w:r w:rsidR="006E6446">
        <w:t> </w:t>
      </w:r>
      <w:r w:rsidR="006E6446" w:rsidRPr="00392E88">
        <w:t>jak</w:t>
      </w:r>
      <w:r w:rsidRPr="00392E88">
        <w:t>im są im zapewnione odpowiednie gwarancje finansowe</w:t>
      </w:r>
    </w:p>
    <w:p w14:paraId="179C05E4" w14:textId="48E4C0A7" w:rsidR="00AC2BE5" w:rsidRPr="00392E88" w:rsidRDefault="00AC2BE5">
      <w:pPr>
        <w:pStyle w:val="ListDash2"/>
        <w:rPr>
          <w:noProof/>
        </w:rPr>
      </w:pPr>
      <w:r w:rsidRPr="00392E88">
        <w:rPr>
          <w:rFonts w:ascii="Wingdings" w:hAnsi="Wingdings"/>
        </w:rPr>
        <w:t>¨</w:t>
      </w:r>
      <w:r w:rsidRPr="00392E88">
        <w:t xml:space="preserve"> podmiotom podlegającym prawu prywatnemu państwa członkowskiego, którym powierzono realizację partnerstwa publiczno-prywatnego</w:t>
      </w:r>
      <w:r w:rsidR="006E6446" w:rsidRPr="00392E88">
        <w:t xml:space="preserve"> i</w:t>
      </w:r>
      <w:r w:rsidR="006E6446">
        <w:t> </w:t>
      </w:r>
      <w:r w:rsidR="006E6446" w:rsidRPr="00392E88">
        <w:t>zap</w:t>
      </w:r>
      <w:r w:rsidRPr="00392E88">
        <w:t>ewniono odpowiednie gwarancje finansowe</w:t>
      </w:r>
    </w:p>
    <w:p w14:paraId="579AB0CD" w14:textId="40CDE991" w:rsidR="00AC2BE5" w:rsidRPr="00392E88" w:rsidRDefault="00AC2BE5">
      <w:pPr>
        <w:pStyle w:val="ListDash2"/>
        <w:rPr>
          <w:noProof/>
        </w:rPr>
      </w:pPr>
      <w:r w:rsidRPr="00392E88">
        <w:rPr>
          <w:rFonts w:ascii="Wingdings" w:hAnsi="Wingdings"/>
        </w:rPr>
        <w:t>¨</w:t>
      </w:r>
      <w:r w:rsidRPr="00392E88">
        <w:t xml:space="preserve"> podmiotom lub osobom odpowiedzialnym za wykonanie określonych działań</w:t>
      </w:r>
      <w:r w:rsidR="006E6446" w:rsidRPr="00392E88">
        <w:t xml:space="preserve"> w</w:t>
      </w:r>
      <w:r w:rsidR="006E6446">
        <w:t> </w:t>
      </w:r>
      <w:r w:rsidR="006E6446" w:rsidRPr="00392E88">
        <w:t>dzi</w:t>
      </w:r>
      <w:r w:rsidRPr="00392E88">
        <w:t>edzinie wspólnej polityki zagranicznej</w:t>
      </w:r>
      <w:r w:rsidR="006E6446" w:rsidRPr="00392E88">
        <w:t xml:space="preserve"> i</w:t>
      </w:r>
      <w:r w:rsidR="006E6446">
        <w:t> </w:t>
      </w:r>
      <w:r w:rsidR="006E6446" w:rsidRPr="00392E88">
        <w:t>bez</w:t>
      </w:r>
      <w:r w:rsidRPr="00392E88">
        <w:t>pieczeństwa na mocy tytułu V Traktatu</w:t>
      </w:r>
      <w:r w:rsidR="006E6446" w:rsidRPr="00392E88">
        <w:t xml:space="preserve"> o</w:t>
      </w:r>
      <w:r w:rsidR="006E6446">
        <w:t> </w:t>
      </w:r>
      <w:r w:rsidR="006E6446" w:rsidRPr="00392E88">
        <w:t>Uni</w:t>
      </w:r>
      <w:r w:rsidRPr="00392E88">
        <w:t>i Europejskiej oraz określonym we właściwym podstawowym akcie prawnym</w:t>
      </w:r>
    </w:p>
    <w:p w14:paraId="647D926B" w14:textId="7436255F" w:rsidR="00AC2BE5" w:rsidRPr="00392E88" w:rsidRDefault="00AC2BE5">
      <w:pPr>
        <w:pStyle w:val="ListDash2"/>
        <w:rPr>
          <w:noProof/>
        </w:rPr>
      </w:pPr>
      <w:r w:rsidRPr="00392E88">
        <w:rPr>
          <w:rFonts w:ascii="Wingdings" w:hAnsi="Wingdings"/>
        </w:rPr>
        <w:t>¨</w:t>
      </w:r>
      <w:r w:rsidRPr="00392E88">
        <w:t xml:space="preserve"> podmiotom mającym siedzibę</w:t>
      </w:r>
      <w:r w:rsidR="006E6446" w:rsidRPr="00392E88">
        <w:t xml:space="preserve"> w</w:t>
      </w:r>
      <w:r w:rsidR="006E6446">
        <w:t> </w:t>
      </w:r>
      <w:r w:rsidR="006E6446" w:rsidRPr="00392E88">
        <w:t>pań</w:t>
      </w:r>
      <w:r w:rsidRPr="00392E88">
        <w:t>stwie członkowskim, podlegającym prawu prywatnemu państwa członkowskiego lub prawu Unii</w:t>
      </w:r>
      <w:r w:rsidR="006E6446" w:rsidRPr="00392E88">
        <w:t xml:space="preserve"> i</w:t>
      </w:r>
      <w:r w:rsidR="006E6446">
        <w:t> </w:t>
      </w:r>
      <w:r w:rsidR="006E6446" w:rsidRPr="00392E88">
        <w:t>kwa</w:t>
      </w:r>
      <w:r w:rsidRPr="00392E88">
        <w:t>lifikującym się, zgodnie</w:t>
      </w:r>
      <w:r w:rsidR="006E6446" w:rsidRPr="00392E88">
        <w:t xml:space="preserve"> z</w:t>
      </w:r>
      <w:r w:rsidR="006E6446">
        <w:t> </w:t>
      </w:r>
      <w:r w:rsidR="006E6446" w:rsidRPr="00392E88">
        <w:t>prz</w:t>
      </w:r>
      <w:r w:rsidRPr="00392E88">
        <w:t>episami sektorowymi, do powierzenia im wykonywania środków finansowych Unii lub gwarancji budżetowych,</w:t>
      </w:r>
      <w:r w:rsidR="006E6446" w:rsidRPr="00392E88">
        <w:t xml:space="preserve"> w</w:t>
      </w:r>
      <w:r w:rsidR="006E6446">
        <w:t> </w:t>
      </w:r>
      <w:r w:rsidR="006E6446" w:rsidRPr="00392E88">
        <w:t>zak</w:t>
      </w:r>
      <w:r w:rsidRPr="00392E88">
        <w:t>resie,</w:t>
      </w:r>
      <w:r w:rsidR="006E6446" w:rsidRPr="00392E88">
        <w:t xml:space="preserve"> w</w:t>
      </w:r>
      <w:r w:rsidR="006E6446">
        <w:t> </w:t>
      </w:r>
      <w:r w:rsidR="006E6446" w:rsidRPr="00392E88">
        <w:t>jak</w:t>
      </w:r>
      <w:r w:rsidRPr="00392E88">
        <w:t>im podmioty te są kontrolowane przez podmioty prawa publicznego lub podmioty podlegające prawu prywatnemu świadczące usługi użyteczności publicznej,</w:t>
      </w:r>
      <w:r w:rsidR="006E6446" w:rsidRPr="00392E88">
        <w:t xml:space="preserve"> a</w:t>
      </w:r>
      <w:r w:rsidR="006E6446">
        <w:t> </w:t>
      </w:r>
      <w:r w:rsidR="006E6446" w:rsidRPr="00392E88">
        <w:t>tak</w:t>
      </w:r>
      <w:r w:rsidRPr="00392E88">
        <w:t>że posiadają odpowiednie gwarancje finansowe</w:t>
      </w:r>
      <w:r w:rsidR="006E6446" w:rsidRPr="00392E88">
        <w:t xml:space="preserve"> w</w:t>
      </w:r>
      <w:r w:rsidR="006E6446">
        <w:t> </w:t>
      </w:r>
      <w:r w:rsidR="006E6446" w:rsidRPr="00392E88">
        <w:t>for</w:t>
      </w:r>
      <w:r w:rsidRPr="00392E88">
        <w:t>mie odpowiedzialności solidarnej organów kontrolnych lub równoważne gwarancje finansowe, które mogą być ograniczone,</w:t>
      </w:r>
      <w:r w:rsidR="006E6446" w:rsidRPr="00392E88">
        <w:t xml:space="preserve"> w</w:t>
      </w:r>
      <w:r w:rsidR="006E6446">
        <w:t> </w:t>
      </w:r>
      <w:r w:rsidR="006E6446" w:rsidRPr="00392E88">
        <w:t>odn</w:t>
      </w:r>
      <w:r w:rsidRPr="00392E88">
        <w:t>iesieniu do każdego działania, do maksymalnej kwoty wsparcia Unii.</w:t>
      </w:r>
    </w:p>
    <w:p w14:paraId="40670CEE" w14:textId="77777777" w:rsidR="00AC2BE5" w:rsidRPr="00392E88" w:rsidRDefault="00AC2BE5">
      <w:pPr>
        <w:rPr>
          <w:noProof/>
        </w:rPr>
      </w:pPr>
      <w:r w:rsidRPr="00392E88">
        <w:t xml:space="preserve">Uwagi </w:t>
      </w:r>
    </w:p>
    <w:p w14:paraId="4C67DC2E" w14:textId="77777777" w:rsidR="00AC2BE5" w:rsidRPr="00392E88" w:rsidRDefault="00EA013E" w:rsidP="001D17F1">
      <w:pPr>
        <w:pStyle w:val="Text1"/>
        <w:pBdr>
          <w:top w:val="single" w:sz="4" w:space="1" w:color="auto"/>
          <w:left w:val="single" w:sz="4" w:space="4" w:color="auto"/>
          <w:bottom w:val="single" w:sz="4" w:space="1" w:color="auto"/>
          <w:right w:val="single" w:sz="4" w:space="4" w:color="auto"/>
        </w:pBdr>
      </w:pPr>
      <w:r w:rsidRPr="00392E88">
        <w:t>Nie dotyczy</w:t>
      </w:r>
    </w:p>
    <w:p w14:paraId="4776A2C2" w14:textId="77777777" w:rsidR="00AC2BE5" w:rsidRPr="00392E88" w:rsidRDefault="00AC2BE5">
      <w:pPr>
        <w:rPr>
          <w:noProof/>
        </w:rPr>
        <w:sectPr w:rsidR="00AC2BE5" w:rsidRPr="00392E88" w:rsidSect="00682C29">
          <w:footnotePr>
            <w:numRestart w:val="eachSect"/>
          </w:footnotePr>
          <w:pgSz w:w="11907" w:h="16840" w:code="9"/>
          <w:pgMar w:top="1134" w:right="1418" w:bottom="1134" w:left="1418" w:header="709" w:footer="709" w:gutter="0"/>
          <w:cols w:space="708"/>
          <w:docGrid w:linePitch="360"/>
        </w:sectPr>
      </w:pPr>
    </w:p>
    <w:p w14:paraId="2D4EC259" w14:textId="77777777" w:rsidR="00AC2BE5" w:rsidRPr="00392E88" w:rsidRDefault="00AC2BE5">
      <w:pPr>
        <w:pStyle w:val="ManualHeading1"/>
        <w:rPr>
          <w:bCs/>
          <w:noProof/>
          <w:szCs w:val="24"/>
        </w:rPr>
      </w:pPr>
      <w:bookmarkStart w:id="78" w:name="_Toc514938041"/>
      <w:bookmarkStart w:id="79" w:name="_Toc520485042"/>
      <w:bookmarkStart w:id="80" w:name="_Toc160804584"/>
      <w:bookmarkStart w:id="81" w:name="_Toc167220276"/>
      <w:bookmarkStart w:id="82" w:name="_Toc177549009"/>
      <w:r w:rsidRPr="00392E88">
        <w:t>2.</w:t>
      </w:r>
      <w:r w:rsidRPr="00392E88">
        <w:tab/>
        <w:t>ŚRODKI ZARZĄDZANIA</w:t>
      </w:r>
      <w:bookmarkEnd w:id="78"/>
      <w:bookmarkEnd w:id="79"/>
      <w:bookmarkEnd w:id="80"/>
      <w:bookmarkEnd w:id="81"/>
      <w:bookmarkEnd w:id="82"/>
      <w:r w:rsidRPr="00392E88">
        <w:t xml:space="preserve"> </w:t>
      </w:r>
    </w:p>
    <w:p w14:paraId="418289F4" w14:textId="0245FC97" w:rsidR="00AC2BE5" w:rsidRPr="00392E88" w:rsidRDefault="00AC2BE5">
      <w:pPr>
        <w:pStyle w:val="ManualHeading2"/>
        <w:rPr>
          <w:noProof/>
        </w:rPr>
      </w:pPr>
      <w:bookmarkStart w:id="83" w:name="_Toc514938042"/>
      <w:bookmarkStart w:id="84" w:name="_Toc520485043"/>
      <w:bookmarkStart w:id="85" w:name="_Toc160804585"/>
      <w:bookmarkStart w:id="86" w:name="_Toc167220277"/>
      <w:bookmarkStart w:id="87" w:name="_Toc177549010"/>
      <w:r w:rsidRPr="00392E88">
        <w:t>2.1.</w:t>
      </w:r>
      <w:r w:rsidRPr="00392E88">
        <w:tab/>
        <w:t>Zasady nadzoru</w:t>
      </w:r>
      <w:r w:rsidR="006E6446" w:rsidRPr="00392E88">
        <w:t xml:space="preserve"> i</w:t>
      </w:r>
      <w:r w:rsidR="006E6446">
        <w:t> </w:t>
      </w:r>
      <w:r w:rsidR="006E6446" w:rsidRPr="00392E88">
        <w:t>spr</w:t>
      </w:r>
      <w:r w:rsidRPr="00392E88">
        <w:t>awozdawczości</w:t>
      </w:r>
      <w:bookmarkEnd w:id="83"/>
      <w:bookmarkEnd w:id="84"/>
      <w:bookmarkEnd w:id="85"/>
      <w:bookmarkEnd w:id="86"/>
      <w:bookmarkEnd w:id="87"/>
      <w:r w:rsidRPr="00392E88">
        <w:t xml:space="preserve"> </w:t>
      </w:r>
    </w:p>
    <w:p w14:paraId="47F32344" w14:textId="77777777" w:rsidR="00AC2BE5" w:rsidRPr="00392E88" w:rsidRDefault="00EA013E">
      <w:pPr>
        <w:pStyle w:val="Text1"/>
        <w:pBdr>
          <w:top w:val="single" w:sz="4" w:space="1" w:color="auto"/>
          <w:left w:val="single" w:sz="4" w:space="4" w:color="auto"/>
          <w:bottom w:val="single" w:sz="4" w:space="1" w:color="auto"/>
          <w:right w:val="single" w:sz="4" w:space="4" w:color="auto"/>
        </w:pBdr>
        <w:rPr>
          <w:noProof/>
        </w:rPr>
      </w:pPr>
      <w:r w:rsidRPr="00392E88">
        <w:t>Nie dotyczy</w:t>
      </w:r>
    </w:p>
    <w:p w14:paraId="559CC86F" w14:textId="75D6494F" w:rsidR="00AC2BE5" w:rsidRPr="00392E88" w:rsidRDefault="00AC2BE5">
      <w:pPr>
        <w:pStyle w:val="ManualHeading2"/>
        <w:rPr>
          <w:bCs/>
          <w:noProof/>
          <w:szCs w:val="24"/>
        </w:rPr>
      </w:pPr>
      <w:bookmarkStart w:id="88" w:name="_Toc514938045"/>
      <w:bookmarkStart w:id="89" w:name="_Toc520485044"/>
      <w:bookmarkStart w:id="90" w:name="_Toc160804586"/>
      <w:bookmarkStart w:id="91" w:name="_Toc167220278"/>
      <w:bookmarkStart w:id="92" w:name="_Toc177549011"/>
      <w:r w:rsidRPr="00392E88">
        <w:t>2.2.</w:t>
      </w:r>
      <w:r w:rsidRPr="00392E88">
        <w:tab/>
        <w:t>System zarządzania</w:t>
      </w:r>
      <w:r w:rsidR="006E6446" w:rsidRPr="00392E88">
        <w:t xml:space="preserve"> i</w:t>
      </w:r>
      <w:r w:rsidR="006E6446">
        <w:t> </w:t>
      </w:r>
      <w:r w:rsidR="006E6446" w:rsidRPr="00392E88">
        <w:t>kon</w:t>
      </w:r>
      <w:r w:rsidRPr="00392E88">
        <w:t>troli</w:t>
      </w:r>
      <w:bookmarkEnd w:id="88"/>
      <w:bookmarkEnd w:id="89"/>
      <w:bookmarkEnd w:id="90"/>
      <w:bookmarkEnd w:id="91"/>
      <w:bookmarkEnd w:id="92"/>
      <w:r w:rsidRPr="00392E88">
        <w:t xml:space="preserve"> </w:t>
      </w:r>
    </w:p>
    <w:p w14:paraId="7AC23744" w14:textId="6EC234E3" w:rsidR="00AC2BE5" w:rsidRPr="00392E88" w:rsidRDefault="00AC2BE5">
      <w:pPr>
        <w:pStyle w:val="ManualHeading3"/>
        <w:rPr>
          <w:noProof/>
        </w:rPr>
      </w:pPr>
      <w:bookmarkStart w:id="93" w:name="_Toc514938046"/>
      <w:bookmarkStart w:id="94" w:name="_Toc520485045"/>
      <w:bookmarkStart w:id="95" w:name="_Toc160804587"/>
      <w:bookmarkStart w:id="96" w:name="_Toc167220279"/>
      <w:bookmarkStart w:id="97" w:name="_Toc177549012"/>
      <w:r w:rsidRPr="00392E88">
        <w:t>2.2.1.</w:t>
      </w:r>
      <w:r w:rsidRPr="00392E88">
        <w:tab/>
        <w:t>Uzasadnienie dla proponowanych metod wykonania budżetu, mechanizmów finansowania wykonania, sposobów dokonywania płatności</w:t>
      </w:r>
      <w:r w:rsidR="006E6446" w:rsidRPr="00392E88">
        <w:t xml:space="preserve"> i</w:t>
      </w:r>
      <w:r w:rsidR="006E6446">
        <w:t> </w:t>
      </w:r>
      <w:r w:rsidR="006E6446" w:rsidRPr="00392E88">
        <w:t>str</w:t>
      </w:r>
      <w:r w:rsidRPr="00392E88">
        <w:t>ategii kontroli</w:t>
      </w:r>
      <w:bookmarkEnd w:id="93"/>
      <w:bookmarkEnd w:id="94"/>
      <w:bookmarkEnd w:id="95"/>
      <w:bookmarkEnd w:id="96"/>
      <w:bookmarkEnd w:id="97"/>
    </w:p>
    <w:p w14:paraId="07CF2FF5" w14:textId="77777777" w:rsidR="00EA013E" w:rsidRPr="00392E88" w:rsidRDefault="00EA013E" w:rsidP="00EA013E">
      <w:pPr>
        <w:pStyle w:val="Text1"/>
        <w:pBdr>
          <w:top w:val="single" w:sz="4" w:space="1" w:color="auto"/>
          <w:left w:val="single" w:sz="4" w:space="4" w:color="auto"/>
          <w:bottom w:val="single" w:sz="4" w:space="1" w:color="auto"/>
          <w:right w:val="single" w:sz="4" w:space="4" w:color="auto"/>
        </w:pBdr>
        <w:rPr>
          <w:noProof/>
        </w:rPr>
      </w:pPr>
      <w:r w:rsidRPr="00392E88">
        <w:t>Nie dotyczy</w:t>
      </w:r>
    </w:p>
    <w:p w14:paraId="326F6E0C" w14:textId="6059751E" w:rsidR="001D17F1" w:rsidRPr="00392E88" w:rsidRDefault="00AC2BE5" w:rsidP="001D17F1">
      <w:pPr>
        <w:pStyle w:val="ManualHeading3"/>
      </w:pPr>
      <w:r w:rsidRPr="00392E88">
        <w:t>2.2.2.</w:t>
      </w:r>
      <w:r w:rsidRPr="00392E88">
        <w:tab/>
        <w:t>Informacje dotyczące zidentyfikowanego ryzyka</w:t>
      </w:r>
      <w:r w:rsidR="006E6446" w:rsidRPr="00392E88">
        <w:t xml:space="preserve"> i</w:t>
      </w:r>
      <w:r w:rsidR="006E6446">
        <w:t> </w:t>
      </w:r>
      <w:r w:rsidR="006E6446" w:rsidRPr="00392E88">
        <w:t>sys</w:t>
      </w:r>
      <w:r w:rsidRPr="00392E88">
        <w:t>temów kontroli wewnętrznej ustanowionych</w:t>
      </w:r>
      <w:r w:rsidR="006E6446" w:rsidRPr="00392E88">
        <w:t xml:space="preserve"> w</w:t>
      </w:r>
      <w:r w:rsidR="006E6446">
        <w:t> </w:t>
      </w:r>
      <w:r w:rsidR="006E6446" w:rsidRPr="00392E88">
        <w:t>cel</w:t>
      </w:r>
      <w:r w:rsidRPr="00392E88">
        <w:t>u jego ograniczenia</w:t>
      </w:r>
    </w:p>
    <w:p w14:paraId="77DD83FE" w14:textId="77777777" w:rsidR="001D17F1" w:rsidRPr="00392E88" w:rsidRDefault="00EA013E" w:rsidP="001D17F1">
      <w:pPr>
        <w:pStyle w:val="Text1"/>
        <w:pBdr>
          <w:top w:val="single" w:sz="4" w:space="1" w:color="auto"/>
          <w:left w:val="single" w:sz="4" w:space="4" w:color="auto"/>
          <w:bottom w:val="single" w:sz="4" w:space="1" w:color="auto"/>
          <w:right w:val="single" w:sz="4" w:space="4" w:color="auto"/>
        </w:pBdr>
      </w:pPr>
      <w:r w:rsidRPr="00392E88">
        <w:t>Nie dotyczy</w:t>
      </w:r>
    </w:p>
    <w:p w14:paraId="081DABFA" w14:textId="298AE439" w:rsidR="001D17F1" w:rsidRPr="00392E88" w:rsidRDefault="00AC2BE5" w:rsidP="005D0C3B">
      <w:pPr>
        <w:pStyle w:val="Text1"/>
        <w:ind w:left="0"/>
        <w:rPr>
          <w:noProof/>
        </w:rPr>
      </w:pPr>
      <w:r w:rsidRPr="00392E88">
        <w:t>2</w:t>
      </w:r>
      <w:r w:rsidRPr="00392E88">
        <w:rPr>
          <w:i/>
        </w:rPr>
        <w:t>.2.3.</w:t>
      </w:r>
      <w:r w:rsidRPr="00392E88">
        <w:tab/>
      </w:r>
      <w:r w:rsidRPr="00392E88">
        <w:rPr>
          <w:i/>
        </w:rPr>
        <w:t>Oszacowanie</w:t>
      </w:r>
      <w:r w:rsidR="006E6446" w:rsidRPr="00392E88">
        <w:rPr>
          <w:i/>
        </w:rPr>
        <w:t xml:space="preserve"> i</w:t>
      </w:r>
      <w:r w:rsidR="006E6446">
        <w:rPr>
          <w:i/>
        </w:rPr>
        <w:t> </w:t>
      </w:r>
      <w:r w:rsidR="006E6446" w:rsidRPr="00392E88">
        <w:rPr>
          <w:i/>
        </w:rPr>
        <w:t>uza</w:t>
      </w:r>
      <w:r w:rsidRPr="00392E88">
        <w:rPr>
          <w:i/>
        </w:rPr>
        <w:t>sadnienie efektywności kosztowej kontroli (relacja kosztów kontroli do wartości zarządzanych funduszy powiązanych) oraz ocena prawdopodobnego ryzyka błędu (przy płatności</w:t>
      </w:r>
      <w:r w:rsidR="006E6446" w:rsidRPr="00392E88">
        <w:rPr>
          <w:i/>
        </w:rPr>
        <w:t xml:space="preserve"> i</w:t>
      </w:r>
      <w:r w:rsidR="006E6446">
        <w:rPr>
          <w:i/>
        </w:rPr>
        <w:t> </w:t>
      </w:r>
      <w:r w:rsidR="006E6446" w:rsidRPr="00392E88">
        <w:rPr>
          <w:i/>
        </w:rPr>
        <w:t>prz</w:t>
      </w:r>
      <w:r w:rsidRPr="00392E88">
        <w:rPr>
          <w:i/>
        </w:rPr>
        <w:t>y zamykaniu)</w:t>
      </w:r>
      <w:r w:rsidRPr="00392E88">
        <w:t xml:space="preserve"> </w:t>
      </w:r>
    </w:p>
    <w:p w14:paraId="755B3D4E" w14:textId="77777777" w:rsidR="00AC2BE5" w:rsidRPr="00392E88" w:rsidRDefault="00EA013E" w:rsidP="001D17F1">
      <w:pPr>
        <w:pStyle w:val="Text1"/>
        <w:pBdr>
          <w:top w:val="single" w:sz="4" w:space="1" w:color="auto"/>
          <w:left w:val="single" w:sz="4" w:space="4" w:color="auto"/>
          <w:bottom w:val="single" w:sz="4" w:space="1" w:color="auto"/>
          <w:right w:val="single" w:sz="4" w:space="4" w:color="auto"/>
        </w:pBdr>
      </w:pPr>
      <w:r w:rsidRPr="00392E88">
        <w:t>Nie dotyczy</w:t>
      </w:r>
    </w:p>
    <w:p w14:paraId="484BCEF9" w14:textId="79820AE8" w:rsidR="00AC2BE5" w:rsidRPr="00392E88" w:rsidRDefault="00AC2BE5">
      <w:pPr>
        <w:pStyle w:val="ManualHeading2"/>
        <w:rPr>
          <w:bCs/>
          <w:noProof/>
          <w:szCs w:val="24"/>
        </w:rPr>
      </w:pPr>
      <w:bookmarkStart w:id="98" w:name="_Toc514938049"/>
      <w:bookmarkStart w:id="99" w:name="_Toc520485048"/>
      <w:bookmarkStart w:id="100" w:name="_Toc160804590"/>
      <w:bookmarkStart w:id="101" w:name="_Toc167220282"/>
      <w:bookmarkStart w:id="102" w:name="_Toc177549015"/>
      <w:r w:rsidRPr="00392E88">
        <w:t>2.3.</w:t>
      </w:r>
      <w:r w:rsidRPr="00392E88">
        <w:tab/>
        <w:t>Środki zapobiegania nadużyciom finansowym</w:t>
      </w:r>
      <w:r w:rsidR="006E6446" w:rsidRPr="00392E88">
        <w:t xml:space="preserve"> i</w:t>
      </w:r>
      <w:r w:rsidR="006E6446">
        <w:t> </w:t>
      </w:r>
      <w:r w:rsidR="006E6446" w:rsidRPr="00392E88">
        <w:t>nie</w:t>
      </w:r>
      <w:r w:rsidRPr="00392E88">
        <w:t>prawidłowościom</w:t>
      </w:r>
      <w:bookmarkEnd w:id="98"/>
      <w:bookmarkEnd w:id="99"/>
      <w:bookmarkEnd w:id="100"/>
      <w:bookmarkEnd w:id="101"/>
      <w:bookmarkEnd w:id="102"/>
      <w:r w:rsidRPr="00392E88">
        <w:t xml:space="preserve"> </w:t>
      </w:r>
    </w:p>
    <w:p w14:paraId="1F500731" w14:textId="77777777" w:rsidR="00EA013E" w:rsidRPr="00392E88" w:rsidRDefault="00EA013E" w:rsidP="00EA013E">
      <w:pPr>
        <w:pStyle w:val="Text1"/>
        <w:pBdr>
          <w:top w:val="single" w:sz="4" w:space="1" w:color="auto"/>
          <w:left w:val="single" w:sz="4" w:space="4" w:color="auto"/>
          <w:bottom w:val="single" w:sz="4" w:space="1" w:color="auto"/>
          <w:right w:val="single" w:sz="4" w:space="4" w:color="auto"/>
        </w:pBdr>
      </w:pPr>
      <w:r w:rsidRPr="00392E88">
        <w:t>Nie dotyczy</w:t>
      </w:r>
    </w:p>
    <w:p w14:paraId="5C30A962" w14:textId="77777777" w:rsidR="00AC2BE5" w:rsidRPr="00392E88" w:rsidRDefault="00AC2BE5">
      <w:pPr>
        <w:rPr>
          <w:noProof/>
        </w:rPr>
        <w:sectPr w:rsidR="00AC2BE5" w:rsidRPr="00392E88" w:rsidSect="00682C29">
          <w:pgSz w:w="11907" w:h="16840" w:code="9"/>
          <w:pgMar w:top="1134" w:right="1418" w:bottom="1134" w:left="1418" w:header="709" w:footer="709" w:gutter="0"/>
          <w:cols w:space="708"/>
          <w:docGrid w:linePitch="360"/>
        </w:sectPr>
      </w:pPr>
    </w:p>
    <w:p w14:paraId="51DEF27C" w14:textId="49AAECEE" w:rsidR="00044D5B" w:rsidRPr="00392E88" w:rsidRDefault="00AC2BE5" w:rsidP="00044D5B">
      <w:pPr>
        <w:pStyle w:val="ManualHeading2"/>
        <w:rPr>
          <w:noProof/>
        </w:rPr>
      </w:pPr>
      <w:bookmarkStart w:id="103" w:name="_Toc514938050"/>
      <w:bookmarkStart w:id="104" w:name="_Toc520485049"/>
      <w:bookmarkStart w:id="105" w:name="_Toc160804591"/>
      <w:bookmarkStart w:id="106" w:name="_Toc167220283"/>
      <w:bookmarkStart w:id="107" w:name="_Toc177549016"/>
      <w:r w:rsidRPr="00392E88">
        <w:t>3.</w:t>
      </w:r>
      <w:r w:rsidRPr="00392E88">
        <w:tab/>
        <w:t>SZACUNKOWY WPŁYW FINANSOWY WNIOSKU/INICJATYWY</w:t>
      </w:r>
      <w:bookmarkEnd w:id="103"/>
      <w:bookmarkEnd w:id="104"/>
      <w:bookmarkEnd w:id="105"/>
      <w:bookmarkEnd w:id="106"/>
      <w:bookmarkEnd w:id="107"/>
      <w:r w:rsidRPr="00392E88">
        <w:t xml:space="preserve"> 3.1.</w:t>
      </w:r>
      <w:r w:rsidRPr="00392E88">
        <w:tab/>
        <w:t>Działy wieloletnich ram finansowych</w:t>
      </w:r>
      <w:r w:rsidR="006E6446" w:rsidRPr="00392E88">
        <w:t xml:space="preserve"> i</w:t>
      </w:r>
      <w:r w:rsidR="006E6446">
        <w:t> </w:t>
      </w:r>
      <w:r w:rsidR="006E6446" w:rsidRPr="00392E88">
        <w:t>lin</w:t>
      </w:r>
      <w:r w:rsidRPr="00392E88">
        <w:t xml:space="preserve">ie budżetowe po stronie wydatków, na które wniosek/inicjatywa ma wpływ </w:t>
      </w:r>
    </w:p>
    <w:p w14:paraId="71096FBD" w14:textId="77777777" w:rsidR="00044D5B" w:rsidRPr="00392E88" w:rsidRDefault="00044D5B" w:rsidP="00044D5B">
      <w:pPr>
        <w:pStyle w:val="ListBullet1"/>
        <w:rPr>
          <w:noProof/>
        </w:rPr>
      </w:pPr>
      <w:r w:rsidRPr="00392E88">
        <w:t xml:space="preserve">Istniejące linie budżetowe </w:t>
      </w:r>
    </w:p>
    <w:p w14:paraId="121086B2" w14:textId="765F1C75" w:rsidR="00044D5B" w:rsidRPr="00392E88" w:rsidRDefault="00044D5B" w:rsidP="00044D5B">
      <w:pPr>
        <w:pStyle w:val="Text1"/>
        <w:rPr>
          <w:i/>
          <w:noProof/>
        </w:rPr>
      </w:pPr>
      <w:r w:rsidRPr="00392E88">
        <w:rPr>
          <w:i/>
          <w:u w:val="single"/>
        </w:rPr>
        <w:t>Według</w:t>
      </w:r>
      <w:r w:rsidRPr="00392E88">
        <w:rPr>
          <w:i/>
        </w:rPr>
        <w:t xml:space="preserve"> działów wieloletnich ram finansowych</w:t>
      </w:r>
      <w:r w:rsidR="006E6446" w:rsidRPr="00392E88">
        <w:rPr>
          <w:i/>
        </w:rPr>
        <w:t xml:space="preserve"> i</w:t>
      </w:r>
      <w:r w:rsidR="006E6446">
        <w:rPr>
          <w:i/>
        </w:rPr>
        <w:t> </w:t>
      </w:r>
      <w:r w:rsidR="006E6446" w:rsidRPr="00392E88">
        <w:rPr>
          <w:i/>
        </w:rPr>
        <w:t>lin</w:t>
      </w:r>
      <w:r w:rsidRPr="00392E88">
        <w:rPr>
          <w:i/>
        </w:rPr>
        <w:t>ii budżetowych</w:t>
      </w:r>
    </w:p>
    <w:tbl>
      <w:tblPr>
        <w:tblW w:w="10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92"/>
        <w:gridCol w:w="4002"/>
        <w:gridCol w:w="1092"/>
        <w:gridCol w:w="966"/>
        <w:gridCol w:w="1092"/>
        <w:gridCol w:w="966"/>
        <w:gridCol w:w="1463"/>
      </w:tblGrid>
      <w:tr w:rsidR="008B3C27" w:rsidRPr="00392E88" w14:paraId="0A3DECE5" w14:textId="77777777">
        <w:trPr>
          <w:jc w:val="center"/>
        </w:trPr>
        <w:tc>
          <w:tcPr>
            <w:tcW w:w="1092" w:type="dxa"/>
            <w:vMerge w:val="restart"/>
            <w:vAlign w:val="center"/>
          </w:tcPr>
          <w:p w14:paraId="1F0C16D5" w14:textId="77777777" w:rsidR="00044D5B" w:rsidRPr="00392E88" w:rsidRDefault="00044D5B">
            <w:pPr>
              <w:spacing w:before="60" w:after="60"/>
              <w:jc w:val="center"/>
              <w:rPr>
                <w:noProof/>
              </w:rPr>
            </w:pPr>
            <w:r w:rsidRPr="00392E88">
              <w:rPr>
                <w:sz w:val="18"/>
              </w:rPr>
              <w:t>Dział wieloletnich ram finansowych</w:t>
            </w:r>
          </w:p>
        </w:tc>
        <w:tc>
          <w:tcPr>
            <w:tcW w:w="4002" w:type="dxa"/>
            <w:vAlign w:val="center"/>
          </w:tcPr>
          <w:p w14:paraId="2DD4BDC0" w14:textId="77777777" w:rsidR="00044D5B" w:rsidRPr="00392E88" w:rsidRDefault="00044D5B">
            <w:pPr>
              <w:spacing w:before="60" w:after="60"/>
              <w:jc w:val="center"/>
              <w:rPr>
                <w:noProof/>
              </w:rPr>
            </w:pPr>
            <w:r w:rsidRPr="00392E88">
              <w:rPr>
                <w:sz w:val="20"/>
              </w:rPr>
              <w:t>Linia budżetowa</w:t>
            </w:r>
          </w:p>
        </w:tc>
        <w:tc>
          <w:tcPr>
            <w:tcW w:w="1092" w:type="dxa"/>
            <w:vAlign w:val="center"/>
          </w:tcPr>
          <w:p w14:paraId="55803675" w14:textId="77777777" w:rsidR="00044D5B" w:rsidRPr="00392E88" w:rsidRDefault="00044D5B">
            <w:pPr>
              <w:spacing w:before="60" w:after="60"/>
              <w:jc w:val="center"/>
              <w:rPr>
                <w:noProof/>
              </w:rPr>
            </w:pPr>
            <w:r w:rsidRPr="00392E88">
              <w:rPr>
                <w:sz w:val="18"/>
              </w:rPr>
              <w:t>Rodzaj środków</w:t>
            </w:r>
          </w:p>
        </w:tc>
        <w:tc>
          <w:tcPr>
            <w:tcW w:w="4487" w:type="dxa"/>
            <w:gridSpan w:val="4"/>
            <w:vAlign w:val="center"/>
          </w:tcPr>
          <w:p w14:paraId="32B5F9D3" w14:textId="77777777" w:rsidR="00044D5B" w:rsidRPr="00392E88" w:rsidRDefault="00044D5B">
            <w:pPr>
              <w:spacing w:before="60" w:after="60"/>
              <w:jc w:val="center"/>
              <w:rPr>
                <w:noProof/>
              </w:rPr>
            </w:pPr>
            <w:r w:rsidRPr="00392E88">
              <w:rPr>
                <w:sz w:val="20"/>
              </w:rPr>
              <w:t xml:space="preserve">Wkład </w:t>
            </w:r>
          </w:p>
        </w:tc>
      </w:tr>
      <w:tr w:rsidR="008B3C27" w:rsidRPr="00392E88" w14:paraId="20DBDC53" w14:textId="77777777">
        <w:trPr>
          <w:cantSplit/>
          <w:jc w:val="center"/>
        </w:trPr>
        <w:tc>
          <w:tcPr>
            <w:tcW w:w="1092" w:type="dxa"/>
            <w:vMerge/>
            <w:vAlign w:val="center"/>
          </w:tcPr>
          <w:p w14:paraId="04B5CD7C" w14:textId="77777777" w:rsidR="00044D5B" w:rsidRPr="00392E88" w:rsidRDefault="00044D5B">
            <w:pPr>
              <w:jc w:val="center"/>
              <w:rPr>
                <w:noProof/>
              </w:rPr>
            </w:pPr>
          </w:p>
        </w:tc>
        <w:tc>
          <w:tcPr>
            <w:tcW w:w="4002" w:type="dxa"/>
            <w:vAlign w:val="center"/>
          </w:tcPr>
          <w:p w14:paraId="4D98BBAD" w14:textId="7C0A27D9" w:rsidR="00044D5B" w:rsidRPr="00392E88" w:rsidRDefault="00044D5B">
            <w:pPr>
              <w:rPr>
                <w:noProof/>
              </w:rPr>
            </w:pPr>
            <w:r w:rsidRPr="00392E88">
              <w:rPr>
                <w:sz w:val="20"/>
              </w:rPr>
              <w:t>Nume</w:t>
            </w:r>
            <w:r w:rsidRPr="006E6446">
              <w:rPr>
                <w:sz w:val="20"/>
              </w:rPr>
              <w:t>r</w:t>
            </w:r>
            <w:r w:rsidR="006E6446" w:rsidRPr="006E6446">
              <w:rPr>
                <w:sz w:val="20"/>
              </w:rPr>
              <w:t xml:space="preserve"> </w:t>
            </w:r>
            <w:r w:rsidRPr="006E6446">
              <w:br/>
            </w:r>
          </w:p>
        </w:tc>
        <w:tc>
          <w:tcPr>
            <w:tcW w:w="1092" w:type="dxa"/>
            <w:vAlign w:val="center"/>
          </w:tcPr>
          <w:p w14:paraId="7764CD70" w14:textId="77777777" w:rsidR="00044D5B" w:rsidRPr="00392E88" w:rsidRDefault="00044D5B">
            <w:pPr>
              <w:jc w:val="center"/>
              <w:rPr>
                <w:noProof/>
              </w:rPr>
            </w:pPr>
            <w:r w:rsidRPr="00392E88">
              <w:rPr>
                <w:sz w:val="18"/>
              </w:rPr>
              <w:t>Zróżn. / niezróżn.</w:t>
            </w:r>
            <w:r w:rsidRPr="00392E88">
              <w:rPr>
                <w:rStyle w:val="FootnoteReference"/>
                <w:noProof/>
                <w:sz w:val="18"/>
              </w:rPr>
              <w:footnoteReference w:id="40"/>
            </w:r>
          </w:p>
        </w:tc>
        <w:tc>
          <w:tcPr>
            <w:tcW w:w="966" w:type="dxa"/>
            <w:vAlign w:val="center"/>
          </w:tcPr>
          <w:p w14:paraId="712A299C" w14:textId="77777777" w:rsidR="00044D5B" w:rsidRPr="00392E88" w:rsidRDefault="00044D5B">
            <w:pPr>
              <w:jc w:val="center"/>
              <w:rPr>
                <w:b/>
                <w:noProof/>
                <w:sz w:val="18"/>
              </w:rPr>
            </w:pPr>
            <w:r w:rsidRPr="00392E88">
              <w:rPr>
                <w:sz w:val="18"/>
              </w:rPr>
              <w:t>państw EFTA</w:t>
            </w:r>
            <w:r w:rsidRPr="00392E88">
              <w:rPr>
                <w:rStyle w:val="FootnoteReference"/>
                <w:noProof/>
                <w:sz w:val="18"/>
              </w:rPr>
              <w:footnoteReference w:id="41"/>
            </w:r>
          </w:p>
        </w:tc>
        <w:tc>
          <w:tcPr>
            <w:tcW w:w="1092" w:type="dxa"/>
            <w:vAlign w:val="center"/>
          </w:tcPr>
          <w:p w14:paraId="798B4379" w14:textId="38CF2461" w:rsidR="00044D5B" w:rsidRPr="00392E88" w:rsidRDefault="00044D5B">
            <w:pPr>
              <w:jc w:val="center"/>
              <w:rPr>
                <w:noProof/>
                <w:sz w:val="18"/>
              </w:rPr>
            </w:pPr>
            <w:r w:rsidRPr="00392E88">
              <w:rPr>
                <w:sz w:val="18"/>
              </w:rPr>
              <w:t>krajów kandydujących</w:t>
            </w:r>
            <w:r w:rsidR="006E6446" w:rsidRPr="00392E88">
              <w:rPr>
                <w:sz w:val="18"/>
              </w:rPr>
              <w:t xml:space="preserve"> i</w:t>
            </w:r>
            <w:r w:rsidR="006E6446">
              <w:rPr>
                <w:sz w:val="18"/>
              </w:rPr>
              <w:t> </w:t>
            </w:r>
            <w:r w:rsidR="006E6446" w:rsidRPr="00392E88">
              <w:rPr>
                <w:sz w:val="18"/>
              </w:rPr>
              <w:t>pot</w:t>
            </w:r>
            <w:r w:rsidRPr="00392E88">
              <w:rPr>
                <w:sz w:val="18"/>
              </w:rPr>
              <w:t>encjalnych kandydatów</w:t>
            </w:r>
            <w:r w:rsidRPr="00392E88">
              <w:rPr>
                <w:rStyle w:val="FootnoteReference"/>
                <w:noProof/>
                <w:sz w:val="18"/>
              </w:rPr>
              <w:footnoteReference w:id="42"/>
            </w:r>
          </w:p>
        </w:tc>
        <w:tc>
          <w:tcPr>
            <w:tcW w:w="966" w:type="dxa"/>
            <w:vAlign w:val="center"/>
          </w:tcPr>
          <w:p w14:paraId="6EA87842" w14:textId="77777777" w:rsidR="00044D5B" w:rsidRPr="00392E88" w:rsidRDefault="00044D5B">
            <w:pPr>
              <w:jc w:val="center"/>
              <w:rPr>
                <w:noProof/>
                <w:sz w:val="18"/>
              </w:rPr>
            </w:pPr>
            <w:r w:rsidRPr="00392E88">
              <w:rPr>
                <w:sz w:val="18"/>
              </w:rPr>
              <w:t>innych państw trzecich</w:t>
            </w:r>
          </w:p>
        </w:tc>
        <w:tc>
          <w:tcPr>
            <w:tcW w:w="1463" w:type="dxa"/>
            <w:vAlign w:val="center"/>
          </w:tcPr>
          <w:p w14:paraId="501A6D31" w14:textId="2018D8CD" w:rsidR="00044D5B" w:rsidRPr="00392E88" w:rsidRDefault="00044D5B">
            <w:pPr>
              <w:jc w:val="center"/>
              <w:rPr>
                <w:noProof/>
              </w:rPr>
            </w:pPr>
            <w:r w:rsidRPr="00392E88">
              <w:rPr>
                <w:sz w:val="18"/>
              </w:rPr>
              <w:t>pochodzący</w:t>
            </w:r>
            <w:r w:rsidR="006E6446" w:rsidRPr="00392E88">
              <w:rPr>
                <w:sz w:val="18"/>
              </w:rPr>
              <w:t xml:space="preserve"> z</w:t>
            </w:r>
            <w:r w:rsidR="006E6446">
              <w:rPr>
                <w:sz w:val="18"/>
              </w:rPr>
              <w:t> </w:t>
            </w:r>
            <w:r w:rsidR="006E6446" w:rsidRPr="00392E88">
              <w:rPr>
                <w:sz w:val="18"/>
              </w:rPr>
              <w:t>poz</w:t>
            </w:r>
            <w:r w:rsidRPr="00392E88">
              <w:rPr>
                <w:sz w:val="18"/>
              </w:rPr>
              <w:t>ostałych dochodów przeznaczonych na określony cel</w:t>
            </w:r>
          </w:p>
        </w:tc>
      </w:tr>
      <w:tr w:rsidR="00983E98" w:rsidRPr="00392E88" w14:paraId="030EFE53" w14:textId="77777777">
        <w:trPr>
          <w:jc w:val="center"/>
        </w:trPr>
        <w:tc>
          <w:tcPr>
            <w:tcW w:w="1092" w:type="dxa"/>
            <w:vAlign w:val="center"/>
          </w:tcPr>
          <w:p w14:paraId="2DA028BB" w14:textId="77777777" w:rsidR="00044D5B" w:rsidRPr="00392E88" w:rsidRDefault="00044D5B">
            <w:pPr>
              <w:jc w:val="center"/>
              <w:rPr>
                <w:noProof/>
                <w:color w:val="0000FF"/>
              </w:rPr>
            </w:pPr>
          </w:p>
        </w:tc>
        <w:tc>
          <w:tcPr>
            <w:tcW w:w="4002" w:type="dxa"/>
            <w:vAlign w:val="center"/>
          </w:tcPr>
          <w:p w14:paraId="744759D5" w14:textId="77777777" w:rsidR="00044D5B" w:rsidRPr="00392E88" w:rsidRDefault="00044D5B">
            <w:pPr>
              <w:spacing w:before="60"/>
              <w:rPr>
                <w:noProof/>
              </w:rPr>
            </w:pPr>
            <w:r w:rsidRPr="00392E88">
              <w:rPr>
                <w:sz w:val="22"/>
              </w:rPr>
              <w:t>[XX.YY.YY.YY]</w:t>
            </w:r>
          </w:p>
          <w:p w14:paraId="704E40A7" w14:textId="77777777" w:rsidR="00044D5B" w:rsidRPr="00392E88" w:rsidRDefault="00044D5B">
            <w:pPr>
              <w:spacing w:after="60"/>
              <w:rPr>
                <w:noProof/>
              </w:rPr>
            </w:pPr>
          </w:p>
        </w:tc>
        <w:tc>
          <w:tcPr>
            <w:tcW w:w="1092" w:type="dxa"/>
            <w:vAlign w:val="center"/>
          </w:tcPr>
          <w:p w14:paraId="051345AD" w14:textId="77777777" w:rsidR="00044D5B" w:rsidRPr="00392E88" w:rsidRDefault="00044D5B">
            <w:pPr>
              <w:jc w:val="center"/>
              <w:rPr>
                <w:noProof/>
                <w:color w:val="0000FF"/>
              </w:rPr>
            </w:pPr>
            <w:r w:rsidRPr="00392E88">
              <w:rPr>
                <w:sz w:val="22"/>
              </w:rPr>
              <w:t>Zróżn. / niezróżn.</w:t>
            </w:r>
          </w:p>
        </w:tc>
        <w:tc>
          <w:tcPr>
            <w:tcW w:w="966" w:type="dxa"/>
            <w:vAlign w:val="center"/>
          </w:tcPr>
          <w:p w14:paraId="4F64ACD4" w14:textId="77777777" w:rsidR="00044D5B" w:rsidRPr="00392E88" w:rsidRDefault="00044D5B">
            <w:pPr>
              <w:jc w:val="center"/>
              <w:rPr>
                <w:noProof/>
                <w:sz w:val="20"/>
                <w:szCs w:val="20"/>
              </w:rPr>
            </w:pPr>
            <w:r w:rsidRPr="00392E88">
              <w:rPr>
                <w:sz w:val="20"/>
              </w:rPr>
              <w:t>TAK/ NIE</w:t>
            </w:r>
          </w:p>
        </w:tc>
        <w:tc>
          <w:tcPr>
            <w:tcW w:w="1092" w:type="dxa"/>
            <w:vAlign w:val="center"/>
          </w:tcPr>
          <w:p w14:paraId="64471695" w14:textId="77777777" w:rsidR="00044D5B" w:rsidRPr="00392E88" w:rsidRDefault="00044D5B">
            <w:pPr>
              <w:jc w:val="center"/>
              <w:rPr>
                <w:noProof/>
                <w:sz w:val="20"/>
                <w:szCs w:val="20"/>
              </w:rPr>
            </w:pPr>
            <w:r w:rsidRPr="00392E88">
              <w:rPr>
                <w:sz w:val="20"/>
              </w:rPr>
              <w:t>TAK/ NIE</w:t>
            </w:r>
          </w:p>
        </w:tc>
        <w:tc>
          <w:tcPr>
            <w:tcW w:w="966" w:type="dxa"/>
            <w:vAlign w:val="center"/>
          </w:tcPr>
          <w:p w14:paraId="163A3C9B" w14:textId="77777777" w:rsidR="00044D5B" w:rsidRPr="00392E88" w:rsidRDefault="00044D5B">
            <w:pPr>
              <w:jc w:val="center"/>
              <w:rPr>
                <w:noProof/>
                <w:sz w:val="20"/>
                <w:szCs w:val="20"/>
              </w:rPr>
            </w:pPr>
            <w:r w:rsidRPr="00392E88">
              <w:rPr>
                <w:sz w:val="20"/>
              </w:rPr>
              <w:t>TAK/ NIE</w:t>
            </w:r>
          </w:p>
        </w:tc>
        <w:tc>
          <w:tcPr>
            <w:tcW w:w="1463" w:type="dxa"/>
            <w:vAlign w:val="center"/>
          </w:tcPr>
          <w:p w14:paraId="5333BE0E" w14:textId="77777777" w:rsidR="00044D5B" w:rsidRPr="00392E88" w:rsidRDefault="00044D5B">
            <w:pPr>
              <w:jc w:val="center"/>
              <w:rPr>
                <w:noProof/>
                <w:sz w:val="20"/>
                <w:szCs w:val="20"/>
              </w:rPr>
            </w:pPr>
            <w:r w:rsidRPr="00392E88">
              <w:rPr>
                <w:sz w:val="20"/>
              </w:rPr>
              <w:t>TAK/ NIE</w:t>
            </w:r>
          </w:p>
        </w:tc>
      </w:tr>
      <w:tr w:rsidR="00983E98" w:rsidRPr="00392E88" w14:paraId="68DD8A0B" w14:textId="77777777">
        <w:trPr>
          <w:jc w:val="center"/>
        </w:trPr>
        <w:tc>
          <w:tcPr>
            <w:tcW w:w="1092" w:type="dxa"/>
            <w:vAlign w:val="center"/>
          </w:tcPr>
          <w:p w14:paraId="713F6475" w14:textId="77777777" w:rsidR="00044D5B" w:rsidRPr="00392E88" w:rsidRDefault="00044D5B">
            <w:pPr>
              <w:jc w:val="center"/>
              <w:rPr>
                <w:noProof/>
                <w:color w:val="0000FF"/>
              </w:rPr>
            </w:pPr>
          </w:p>
        </w:tc>
        <w:tc>
          <w:tcPr>
            <w:tcW w:w="4002" w:type="dxa"/>
            <w:vAlign w:val="center"/>
          </w:tcPr>
          <w:p w14:paraId="27FDC016" w14:textId="77777777" w:rsidR="00044D5B" w:rsidRPr="00392E88" w:rsidRDefault="00044D5B">
            <w:pPr>
              <w:spacing w:before="60"/>
              <w:rPr>
                <w:noProof/>
              </w:rPr>
            </w:pPr>
            <w:r w:rsidRPr="00392E88">
              <w:rPr>
                <w:sz w:val="22"/>
              </w:rPr>
              <w:t>[XX.YY.YY.YY]</w:t>
            </w:r>
          </w:p>
          <w:p w14:paraId="4CBEE5D5" w14:textId="77777777" w:rsidR="00044D5B" w:rsidRPr="00392E88" w:rsidRDefault="00044D5B">
            <w:pPr>
              <w:spacing w:after="60"/>
              <w:rPr>
                <w:noProof/>
              </w:rPr>
            </w:pPr>
          </w:p>
        </w:tc>
        <w:tc>
          <w:tcPr>
            <w:tcW w:w="1092" w:type="dxa"/>
            <w:vAlign w:val="center"/>
          </w:tcPr>
          <w:p w14:paraId="5283EE0D" w14:textId="77777777" w:rsidR="00044D5B" w:rsidRPr="00392E88" w:rsidRDefault="00044D5B">
            <w:pPr>
              <w:jc w:val="center"/>
              <w:rPr>
                <w:noProof/>
                <w:color w:val="0000FF"/>
              </w:rPr>
            </w:pPr>
            <w:r w:rsidRPr="00392E88">
              <w:rPr>
                <w:sz w:val="22"/>
              </w:rPr>
              <w:t>Zróżn. / niezróżn.</w:t>
            </w:r>
          </w:p>
        </w:tc>
        <w:tc>
          <w:tcPr>
            <w:tcW w:w="966" w:type="dxa"/>
            <w:vAlign w:val="center"/>
          </w:tcPr>
          <w:p w14:paraId="2A50421D" w14:textId="77777777" w:rsidR="00044D5B" w:rsidRPr="00392E88" w:rsidRDefault="00044D5B">
            <w:pPr>
              <w:jc w:val="center"/>
              <w:rPr>
                <w:noProof/>
                <w:sz w:val="20"/>
                <w:szCs w:val="20"/>
              </w:rPr>
            </w:pPr>
            <w:r w:rsidRPr="00392E88">
              <w:rPr>
                <w:sz w:val="20"/>
              </w:rPr>
              <w:t>TAK/ NIE</w:t>
            </w:r>
          </w:p>
        </w:tc>
        <w:tc>
          <w:tcPr>
            <w:tcW w:w="1092" w:type="dxa"/>
            <w:vAlign w:val="center"/>
          </w:tcPr>
          <w:p w14:paraId="640520C2" w14:textId="77777777" w:rsidR="00044D5B" w:rsidRPr="00392E88" w:rsidRDefault="00044D5B">
            <w:pPr>
              <w:jc w:val="center"/>
              <w:rPr>
                <w:noProof/>
                <w:sz w:val="20"/>
                <w:szCs w:val="20"/>
              </w:rPr>
            </w:pPr>
            <w:r w:rsidRPr="00392E88">
              <w:rPr>
                <w:sz w:val="20"/>
              </w:rPr>
              <w:t>TAK/ NIE</w:t>
            </w:r>
          </w:p>
        </w:tc>
        <w:tc>
          <w:tcPr>
            <w:tcW w:w="966" w:type="dxa"/>
            <w:vAlign w:val="center"/>
          </w:tcPr>
          <w:p w14:paraId="33C6A498" w14:textId="77777777" w:rsidR="00044D5B" w:rsidRPr="00392E88" w:rsidRDefault="00044D5B">
            <w:pPr>
              <w:jc w:val="center"/>
              <w:rPr>
                <w:noProof/>
                <w:sz w:val="20"/>
                <w:szCs w:val="20"/>
              </w:rPr>
            </w:pPr>
            <w:r w:rsidRPr="00392E88">
              <w:rPr>
                <w:sz w:val="20"/>
              </w:rPr>
              <w:t>TAK/ NIE</w:t>
            </w:r>
          </w:p>
        </w:tc>
        <w:tc>
          <w:tcPr>
            <w:tcW w:w="1463" w:type="dxa"/>
            <w:vAlign w:val="center"/>
          </w:tcPr>
          <w:p w14:paraId="66A52732" w14:textId="77777777" w:rsidR="00044D5B" w:rsidRPr="00392E88" w:rsidRDefault="00044D5B">
            <w:pPr>
              <w:jc w:val="center"/>
              <w:rPr>
                <w:noProof/>
                <w:sz w:val="20"/>
                <w:szCs w:val="20"/>
              </w:rPr>
            </w:pPr>
            <w:r w:rsidRPr="00392E88">
              <w:rPr>
                <w:sz w:val="20"/>
              </w:rPr>
              <w:t>TAK/ NIE</w:t>
            </w:r>
          </w:p>
        </w:tc>
      </w:tr>
      <w:tr w:rsidR="00983E98" w:rsidRPr="00392E88" w14:paraId="2CA2E88F" w14:textId="77777777">
        <w:trPr>
          <w:jc w:val="center"/>
        </w:trPr>
        <w:tc>
          <w:tcPr>
            <w:tcW w:w="1092" w:type="dxa"/>
            <w:vAlign w:val="center"/>
          </w:tcPr>
          <w:p w14:paraId="1605C2E2" w14:textId="77777777" w:rsidR="00044D5B" w:rsidRPr="00392E88" w:rsidRDefault="00044D5B">
            <w:pPr>
              <w:jc w:val="center"/>
              <w:rPr>
                <w:noProof/>
                <w:color w:val="0000FF"/>
              </w:rPr>
            </w:pPr>
          </w:p>
        </w:tc>
        <w:tc>
          <w:tcPr>
            <w:tcW w:w="4002" w:type="dxa"/>
            <w:vAlign w:val="center"/>
          </w:tcPr>
          <w:p w14:paraId="76120761" w14:textId="77777777" w:rsidR="00044D5B" w:rsidRPr="00392E88" w:rsidRDefault="00044D5B">
            <w:pPr>
              <w:spacing w:before="60"/>
              <w:rPr>
                <w:noProof/>
              </w:rPr>
            </w:pPr>
            <w:r w:rsidRPr="00392E88">
              <w:rPr>
                <w:sz w:val="22"/>
              </w:rPr>
              <w:t>[XX.YY.YY.YY]</w:t>
            </w:r>
          </w:p>
          <w:p w14:paraId="2CB205AE" w14:textId="77777777" w:rsidR="00044D5B" w:rsidRPr="00392E88" w:rsidRDefault="00044D5B">
            <w:pPr>
              <w:spacing w:after="60"/>
              <w:rPr>
                <w:noProof/>
              </w:rPr>
            </w:pPr>
          </w:p>
        </w:tc>
        <w:tc>
          <w:tcPr>
            <w:tcW w:w="1092" w:type="dxa"/>
            <w:vAlign w:val="center"/>
          </w:tcPr>
          <w:p w14:paraId="4490BE5A" w14:textId="77777777" w:rsidR="00044D5B" w:rsidRPr="00392E88" w:rsidRDefault="00044D5B">
            <w:pPr>
              <w:jc w:val="center"/>
              <w:rPr>
                <w:noProof/>
                <w:color w:val="0000FF"/>
              </w:rPr>
            </w:pPr>
            <w:r w:rsidRPr="00392E88">
              <w:rPr>
                <w:sz w:val="22"/>
              </w:rPr>
              <w:t>Zróżn. / niezróżn.</w:t>
            </w:r>
          </w:p>
        </w:tc>
        <w:tc>
          <w:tcPr>
            <w:tcW w:w="966" w:type="dxa"/>
            <w:vAlign w:val="center"/>
          </w:tcPr>
          <w:p w14:paraId="7FE349E0" w14:textId="77777777" w:rsidR="00044D5B" w:rsidRPr="00392E88" w:rsidRDefault="00044D5B">
            <w:pPr>
              <w:jc w:val="center"/>
              <w:rPr>
                <w:noProof/>
                <w:sz w:val="20"/>
                <w:szCs w:val="20"/>
              </w:rPr>
            </w:pPr>
            <w:r w:rsidRPr="00392E88">
              <w:rPr>
                <w:sz w:val="20"/>
              </w:rPr>
              <w:t>TAK/ NIE</w:t>
            </w:r>
          </w:p>
        </w:tc>
        <w:tc>
          <w:tcPr>
            <w:tcW w:w="1092" w:type="dxa"/>
            <w:vAlign w:val="center"/>
          </w:tcPr>
          <w:p w14:paraId="4D9605A5" w14:textId="77777777" w:rsidR="00044D5B" w:rsidRPr="00392E88" w:rsidRDefault="00044D5B">
            <w:pPr>
              <w:jc w:val="center"/>
              <w:rPr>
                <w:noProof/>
                <w:sz w:val="20"/>
                <w:szCs w:val="20"/>
              </w:rPr>
            </w:pPr>
            <w:r w:rsidRPr="00392E88">
              <w:rPr>
                <w:sz w:val="20"/>
              </w:rPr>
              <w:t>TAK/ NIE</w:t>
            </w:r>
          </w:p>
        </w:tc>
        <w:tc>
          <w:tcPr>
            <w:tcW w:w="966" w:type="dxa"/>
            <w:vAlign w:val="center"/>
          </w:tcPr>
          <w:p w14:paraId="0F635ABE" w14:textId="77777777" w:rsidR="00044D5B" w:rsidRPr="00392E88" w:rsidRDefault="00044D5B">
            <w:pPr>
              <w:jc w:val="center"/>
              <w:rPr>
                <w:noProof/>
                <w:sz w:val="20"/>
                <w:szCs w:val="20"/>
              </w:rPr>
            </w:pPr>
            <w:r w:rsidRPr="00392E88">
              <w:rPr>
                <w:sz w:val="20"/>
              </w:rPr>
              <w:t>TAK/ NIE</w:t>
            </w:r>
          </w:p>
        </w:tc>
        <w:tc>
          <w:tcPr>
            <w:tcW w:w="1463" w:type="dxa"/>
            <w:vAlign w:val="center"/>
          </w:tcPr>
          <w:p w14:paraId="719CEFA8" w14:textId="77777777" w:rsidR="00044D5B" w:rsidRPr="00392E88" w:rsidRDefault="00044D5B">
            <w:pPr>
              <w:jc w:val="center"/>
              <w:rPr>
                <w:noProof/>
                <w:sz w:val="20"/>
                <w:szCs w:val="20"/>
              </w:rPr>
            </w:pPr>
            <w:r w:rsidRPr="00392E88">
              <w:rPr>
                <w:sz w:val="20"/>
              </w:rPr>
              <w:t>TAK/ NIE</w:t>
            </w:r>
          </w:p>
        </w:tc>
      </w:tr>
    </w:tbl>
    <w:p w14:paraId="00C0786A" w14:textId="77777777" w:rsidR="00044D5B" w:rsidRPr="00392E88" w:rsidRDefault="00044D5B" w:rsidP="00044D5B">
      <w:pPr>
        <w:pStyle w:val="ListBullet1"/>
        <w:rPr>
          <w:noProof/>
        </w:rPr>
      </w:pPr>
      <w:bookmarkStart w:id="108" w:name="_Toc514938051"/>
      <w:bookmarkStart w:id="109" w:name="_Toc520485050"/>
      <w:bookmarkStart w:id="110" w:name="_Toc160804592"/>
      <w:bookmarkStart w:id="111" w:name="_Toc167220284"/>
      <w:bookmarkStart w:id="112" w:name="_Toc177549017"/>
      <w:r w:rsidRPr="00392E88">
        <w:t xml:space="preserve">Proponowane nowe linie budżetowe </w:t>
      </w:r>
    </w:p>
    <w:p w14:paraId="72D83267" w14:textId="7CA5C1AE" w:rsidR="00044D5B" w:rsidRPr="00392E88" w:rsidRDefault="00044D5B" w:rsidP="00044D5B">
      <w:pPr>
        <w:pStyle w:val="Text1"/>
        <w:rPr>
          <w:i/>
          <w:noProof/>
          <w:sz w:val="20"/>
        </w:rPr>
      </w:pPr>
      <w:r w:rsidRPr="00392E88">
        <w:rPr>
          <w:i/>
          <w:u w:val="single"/>
        </w:rPr>
        <w:t>Według</w:t>
      </w:r>
      <w:r w:rsidRPr="00392E88">
        <w:rPr>
          <w:i/>
        </w:rPr>
        <w:t xml:space="preserve"> działów wieloletnich ram finansowych</w:t>
      </w:r>
      <w:r w:rsidR="006E6446" w:rsidRPr="00392E88">
        <w:rPr>
          <w:i/>
        </w:rPr>
        <w:t xml:space="preserve"> i</w:t>
      </w:r>
      <w:r w:rsidR="006E6446">
        <w:rPr>
          <w:i/>
        </w:rPr>
        <w:t> </w:t>
      </w:r>
      <w:r w:rsidR="006E6446" w:rsidRPr="00392E88">
        <w:rPr>
          <w:i/>
        </w:rPr>
        <w:t>lin</w:t>
      </w:r>
      <w:r w:rsidRPr="00392E88">
        <w:rPr>
          <w:i/>
        </w:rPr>
        <w:t>ii budżetowych</w:t>
      </w:r>
    </w:p>
    <w:tbl>
      <w:tblPr>
        <w:tblW w:w="10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92"/>
        <w:gridCol w:w="4002"/>
        <w:gridCol w:w="1092"/>
        <w:gridCol w:w="966"/>
        <w:gridCol w:w="1092"/>
        <w:gridCol w:w="966"/>
        <w:gridCol w:w="1463"/>
      </w:tblGrid>
      <w:tr w:rsidR="008B3C27" w:rsidRPr="00392E88" w14:paraId="4B97FC40" w14:textId="77777777">
        <w:trPr>
          <w:jc w:val="center"/>
        </w:trPr>
        <w:tc>
          <w:tcPr>
            <w:tcW w:w="1080" w:type="dxa"/>
            <w:vMerge w:val="restart"/>
            <w:vAlign w:val="center"/>
          </w:tcPr>
          <w:p w14:paraId="6B128696" w14:textId="77777777" w:rsidR="00044D5B" w:rsidRPr="00392E88" w:rsidRDefault="00044D5B">
            <w:pPr>
              <w:spacing w:before="60" w:after="60"/>
              <w:jc w:val="center"/>
              <w:rPr>
                <w:noProof/>
                <w:sz w:val="18"/>
                <w:szCs w:val="18"/>
              </w:rPr>
            </w:pPr>
            <w:r w:rsidRPr="00392E88">
              <w:rPr>
                <w:sz w:val="18"/>
              </w:rPr>
              <w:t>Dział wieloletnich ram finansowych</w:t>
            </w:r>
          </w:p>
        </w:tc>
        <w:tc>
          <w:tcPr>
            <w:tcW w:w="3960" w:type="dxa"/>
            <w:vAlign w:val="center"/>
          </w:tcPr>
          <w:p w14:paraId="40C226E6" w14:textId="77777777" w:rsidR="00044D5B" w:rsidRPr="00392E88" w:rsidRDefault="00044D5B">
            <w:pPr>
              <w:spacing w:before="60" w:after="60"/>
              <w:jc w:val="center"/>
              <w:rPr>
                <w:noProof/>
              </w:rPr>
            </w:pPr>
            <w:r w:rsidRPr="00392E88">
              <w:rPr>
                <w:sz w:val="20"/>
              </w:rPr>
              <w:t>Linia budżetowa</w:t>
            </w:r>
          </w:p>
        </w:tc>
        <w:tc>
          <w:tcPr>
            <w:tcW w:w="1080" w:type="dxa"/>
            <w:vAlign w:val="center"/>
          </w:tcPr>
          <w:p w14:paraId="735B0983" w14:textId="77777777" w:rsidR="00044D5B" w:rsidRPr="00392E88" w:rsidRDefault="00044D5B">
            <w:pPr>
              <w:spacing w:before="60" w:after="60"/>
              <w:jc w:val="center"/>
              <w:rPr>
                <w:noProof/>
              </w:rPr>
            </w:pPr>
            <w:r w:rsidRPr="00392E88">
              <w:rPr>
                <w:sz w:val="18"/>
              </w:rPr>
              <w:t>Rodzaj środków</w:t>
            </w:r>
          </w:p>
        </w:tc>
        <w:tc>
          <w:tcPr>
            <w:tcW w:w="4440" w:type="dxa"/>
            <w:gridSpan w:val="4"/>
            <w:vAlign w:val="center"/>
          </w:tcPr>
          <w:p w14:paraId="0688DD21" w14:textId="77777777" w:rsidR="00044D5B" w:rsidRPr="00392E88" w:rsidRDefault="00044D5B">
            <w:pPr>
              <w:spacing w:before="60" w:after="60"/>
              <w:jc w:val="center"/>
              <w:rPr>
                <w:noProof/>
              </w:rPr>
            </w:pPr>
            <w:r w:rsidRPr="00392E88">
              <w:rPr>
                <w:sz w:val="20"/>
              </w:rPr>
              <w:t xml:space="preserve">Wkład </w:t>
            </w:r>
          </w:p>
        </w:tc>
      </w:tr>
      <w:tr w:rsidR="008B3C27" w:rsidRPr="00392E88" w14:paraId="534C033A" w14:textId="77777777">
        <w:trPr>
          <w:cantSplit/>
          <w:jc w:val="center"/>
        </w:trPr>
        <w:tc>
          <w:tcPr>
            <w:tcW w:w="1080" w:type="dxa"/>
            <w:vMerge/>
            <w:vAlign w:val="center"/>
          </w:tcPr>
          <w:p w14:paraId="20B5051C" w14:textId="77777777" w:rsidR="00044D5B" w:rsidRPr="00392E88" w:rsidRDefault="00044D5B">
            <w:pPr>
              <w:jc w:val="center"/>
              <w:rPr>
                <w:noProof/>
              </w:rPr>
            </w:pPr>
          </w:p>
        </w:tc>
        <w:tc>
          <w:tcPr>
            <w:tcW w:w="3960" w:type="dxa"/>
            <w:vAlign w:val="center"/>
          </w:tcPr>
          <w:p w14:paraId="5B91BF30" w14:textId="34B7E205" w:rsidR="00044D5B" w:rsidRPr="00392E88" w:rsidRDefault="00044D5B">
            <w:pPr>
              <w:rPr>
                <w:noProof/>
              </w:rPr>
            </w:pPr>
            <w:r w:rsidRPr="00392E88">
              <w:rPr>
                <w:sz w:val="20"/>
              </w:rPr>
              <w:t>Nume</w:t>
            </w:r>
            <w:r w:rsidRPr="006E6446">
              <w:rPr>
                <w:sz w:val="20"/>
              </w:rPr>
              <w:t>r</w:t>
            </w:r>
            <w:r w:rsidR="006E6446" w:rsidRPr="006E6446">
              <w:rPr>
                <w:sz w:val="20"/>
              </w:rPr>
              <w:t xml:space="preserve"> </w:t>
            </w:r>
            <w:r w:rsidRPr="006E6446">
              <w:br/>
            </w:r>
          </w:p>
        </w:tc>
        <w:tc>
          <w:tcPr>
            <w:tcW w:w="1080" w:type="dxa"/>
            <w:vAlign w:val="center"/>
          </w:tcPr>
          <w:p w14:paraId="0160813D" w14:textId="77777777" w:rsidR="00044D5B" w:rsidRPr="00392E88" w:rsidRDefault="00044D5B">
            <w:pPr>
              <w:jc w:val="center"/>
              <w:rPr>
                <w:noProof/>
              </w:rPr>
            </w:pPr>
            <w:r w:rsidRPr="00392E88">
              <w:rPr>
                <w:sz w:val="18"/>
              </w:rPr>
              <w:t>Zróżn. / niezróżn.</w:t>
            </w:r>
          </w:p>
        </w:tc>
        <w:tc>
          <w:tcPr>
            <w:tcW w:w="956" w:type="dxa"/>
            <w:vAlign w:val="center"/>
          </w:tcPr>
          <w:p w14:paraId="6E4AAABE" w14:textId="77777777" w:rsidR="00044D5B" w:rsidRPr="00392E88" w:rsidRDefault="00044D5B">
            <w:pPr>
              <w:jc w:val="center"/>
              <w:rPr>
                <w:noProof/>
                <w:sz w:val="18"/>
              </w:rPr>
            </w:pPr>
            <w:r w:rsidRPr="00392E88">
              <w:rPr>
                <w:sz w:val="18"/>
              </w:rPr>
              <w:t>państw EFTA</w:t>
            </w:r>
          </w:p>
        </w:tc>
        <w:tc>
          <w:tcPr>
            <w:tcW w:w="1080" w:type="dxa"/>
            <w:vAlign w:val="center"/>
          </w:tcPr>
          <w:p w14:paraId="418533F6" w14:textId="772F1ABA" w:rsidR="00044D5B" w:rsidRPr="00392E88" w:rsidRDefault="00044D5B">
            <w:pPr>
              <w:jc w:val="center"/>
              <w:rPr>
                <w:noProof/>
                <w:sz w:val="18"/>
              </w:rPr>
            </w:pPr>
            <w:r w:rsidRPr="00392E88">
              <w:rPr>
                <w:sz w:val="18"/>
              </w:rPr>
              <w:t>krajów kandydujących</w:t>
            </w:r>
            <w:r w:rsidR="006E6446" w:rsidRPr="00392E88">
              <w:rPr>
                <w:sz w:val="18"/>
              </w:rPr>
              <w:t xml:space="preserve"> i</w:t>
            </w:r>
            <w:r w:rsidR="006E6446">
              <w:rPr>
                <w:sz w:val="18"/>
              </w:rPr>
              <w:t> </w:t>
            </w:r>
            <w:r w:rsidR="006E6446" w:rsidRPr="00392E88">
              <w:rPr>
                <w:sz w:val="18"/>
              </w:rPr>
              <w:t>pot</w:t>
            </w:r>
            <w:r w:rsidRPr="00392E88">
              <w:rPr>
                <w:sz w:val="18"/>
              </w:rPr>
              <w:t>encjalnych kandydatów</w:t>
            </w:r>
          </w:p>
        </w:tc>
        <w:tc>
          <w:tcPr>
            <w:tcW w:w="956" w:type="dxa"/>
            <w:vAlign w:val="center"/>
          </w:tcPr>
          <w:p w14:paraId="2E2729D4" w14:textId="77777777" w:rsidR="00044D5B" w:rsidRPr="00392E88" w:rsidRDefault="00044D5B">
            <w:pPr>
              <w:jc w:val="center"/>
              <w:rPr>
                <w:noProof/>
                <w:sz w:val="18"/>
              </w:rPr>
            </w:pPr>
            <w:r w:rsidRPr="00392E88">
              <w:rPr>
                <w:sz w:val="18"/>
              </w:rPr>
              <w:t>innych państw trzecich</w:t>
            </w:r>
          </w:p>
        </w:tc>
        <w:tc>
          <w:tcPr>
            <w:tcW w:w="1448" w:type="dxa"/>
            <w:vAlign w:val="center"/>
          </w:tcPr>
          <w:p w14:paraId="2F7C6C1B" w14:textId="7CCFFFB1" w:rsidR="00044D5B" w:rsidRPr="00392E88" w:rsidRDefault="00044D5B">
            <w:pPr>
              <w:jc w:val="center"/>
              <w:rPr>
                <w:noProof/>
              </w:rPr>
            </w:pPr>
            <w:r w:rsidRPr="00392E88">
              <w:rPr>
                <w:sz w:val="18"/>
              </w:rPr>
              <w:t>pochodzący</w:t>
            </w:r>
            <w:r w:rsidR="006E6446" w:rsidRPr="00392E88">
              <w:rPr>
                <w:sz w:val="18"/>
              </w:rPr>
              <w:t xml:space="preserve"> z</w:t>
            </w:r>
            <w:r w:rsidR="006E6446">
              <w:rPr>
                <w:sz w:val="18"/>
              </w:rPr>
              <w:t> </w:t>
            </w:r>
            <w:r w:rsidR="006E6446" w:rsidRPr="00392E88">
              <w:rPr>
                <w:sz w:val="18"/>
              </w:rPr>
              <w:t>poz</w:t>
            </w:r>
            <w:r w:rsidRPr="00392E88">
              <w:rPr>
                <w:sz w:val="18"/>
              </w:rPr>
              <w:t xml:space="preserve">ostałych dochodów przeznaczonych na określony cel </w:t>
            </w:r>
          </w:p>
        </w:tc>
      </w:tr>
      <w:tr w:rsidR="008B3C27" w:rsidRPr="00392E88" w14:paraId="545109B7" w14:textId="77777777">
        <w:trPr>
          <w:cantSplit/>
          <w:jc w:val="center"/>
        </w:trPr>
        <w:tc>
          <w:tcPr>
            <w:tcW w:w="1080" w:type="dxa"/>
            <w:vAlign w:val="center"/>
          </w:tcPr>
          <w:p w14:paraId="2624A37C" w14:textId="77777777" w:rsidR="00044D5B" w:rsidRPr="00392E88" w:rsidRDefault="00044D5B">
            <w:pPr>
              <w:jc w:val="center"/>
              <w:rPr>
                <w:noProof/>
                <w:color w:val="0000FF"/>
              </w:rPr>
            </w:pPr>
          </w:p>
        </w:tc>
        <w:tc>
          <w:tcPr>
            <w:tcW w:w="3960" w:type="dxa"/>
            <w:vAlign w:val="center"/>
          </w:tcPr>
          <w:p w14:paraId="66A09699" w14:textId="77777777" w:rsidR="00044D5B" w:rsidRPr="00392E88" w:rsidRDefault="00044D5B">
            <w:pPr>
              <w:spacing w:before="60"/>
              <w:rPr>
                <w:noProof/>
              </w:rPr>
            </w:pPr>
            <w:r w:rsidRPr="00392E88">
              <w:rPr>
                <w:sz w:val="22"/>
              </w:rPr>
              <w:t>[XX.YY.YY.YY]</w:t>
            </w:r>
          </w:p>
          <w:p w14:paraId="39BE6185" w14:textId="77777777" w:rsidR="00044D5B" w:rsidRPr="00392E88" w:rsidRDefault="00044D5B">
            <w:pPr>
              <w:spacing w:after="60"/>
              <w:rPr>
                <w:noProof/>
              </w:rPr>
            </w:pPr>
          </w:p>
        </w:tc>
        <w:tc>
          <w:tcPr>
            <w:tcW w:w="1080" w:type="dxa"/>
            <w:vAlign w:val="center"/>
          </w:tcPr>
          <w:p w14:paraId="57B00168" w14:textId="77777777" w:rsidR="00044D5B" w:rsidRPr="00392E88" w:rsidRDefault="00044D5B">
            <w:pPr>
              <w:jc w:val="center"/>
              <w:rPr>
                <w:noProof/>
                <w:color w:val="0000FF"/>
              </w:rPr>
            </w:pPr>
            <w:r w:rsidRPr="00392E88">
              <w:rPr>
                <w:sz w:val="22"/>
              </w:rPr>
              <w:t>Zróżn. / niezróżn.</w:t>
            </w:r>
          </w:p>
        </w:tc>
        <w:tc>
          <w:tcPr>
            <w:tcW w:w="956" w:type="dxa"/>
            <w:vAlign w:val="center"/>
          </w:tcPr>
          <w:p w14:paraId="1632E7AC" w14:textId="77777777" w:rsidR="00044D5B" w:rsidRPr="00392E88" w:rsidRDefault="00044D5B">
            <w:pPr>
              <w:jc w:val="center"/>
              <w:rPr>
                <w:noProof/>
                <w:sz w:val="20"/>
                <w:szCs w:val="20"/>
              </w:rPr>
            </w:pPr>
            <w:r w:rsidRPr="00392E88">
              <w:rPr>
                <w:sz w:val="20"/>
              </w:rPr>
              <w:t>TAK/ NIE</w:t>
            </w:r>
          </w:p>
        </w:tc>
        <w:tc>
          <w:tcPr>
            <w:tcW w:w="1080" w:type="dxa"/>
            <w:vAlign w:val="center"/>
          </w:tcPr>
          <w:p w14:paraId="39EE72BF" w14:textId="77777777" w:rsidR="00044D5B" w:rsidRPr="00392E88" w:rsidRDefault="00044D5B">
            <w:pPr>
              <w:jc w:val="center"/>
              <w:rPr>
                <w:noProof/>
                <w:sz w:val="20"/>
                <w:szCs w:val="20"/>
              </w:rPr>
            </w:pPr>
            <w:r w:rsidRPr="00392E88">
              <w:rPr>
                <w:sz w:val="20"/>
              </w:rPr>
              <w:t>TAK/ NIE</w:t>
            </w:r>
          </w:p>
        </w:tc>
        <w:tc>
          <w:tcPr>
            <w:tcW w:w="956" w:type="dxa"/>
            <w:vAlign w:val="center"/>
          </w:tcPr>
          <w:p w14:paraId="0BB4EB3F" w14:textId="77777777" w:rsidR="00044D5B" w:rsidRPr="00392E88" w:rsidRDefault="00044D5B">
            <w:pPr>
              <w:jc w:val="center"/>
              <w:rPr>
                <w:noProof/>
                <w:sz w:val="20"/>
                <w:szCs w:val="20"/>
              </w:rPr>
            </w:pPr>
            <w:r w:rsidRPr="00392E88">
              <w:rPr>
                <w:sz w:val="20"/>
              </w:rPr>
              <w:t>TAK/ NIE</w:t>
            </w:r>
          </w:p>
        </w:tc>
        <w:tc>
          <w:tcPr>
            <w:tcW w:w="1448" w:type="dxa"/>
            <w:vAlign w:val="center"/>
          </w:tcPr>
          <w:p w14:paraId="36B18BE8" w14:textId="77777777" w:rsidR="00044D5B" w:rsidRPr="00392E88" w:rsidRDefault="00044D5B">
            <w:pPr>
              <w:jc w:val="center"/>
              <w:rPr>
                <w:noProof/>
                <w:sz w:val="20"/>
                <w:szCs w:val="20"/>
              </w:rPr>
            </w:pPr>
            <w:r w:rsidRPr="00392E88">
              <w:rPr>
                <w:sz w:val="20"/>
              </w:rPr>
              <w:t>TAK/ NIE</w:t>
            </w:r>
          </w:p>
        </w:tc>
      </w:tr>
      <w:tr w:rsidR="008B3C27" w:rsidRPr="00392E88" w14:paraId="3D8565E2" w14:textId="77777777">
        <w:trPr>
          <w:cantSplit/>
          <w:jc w:val="center"/>
        </w:trPr>
        <w:tc>
          <w:tcPr>
            <w:tcW w:w="1080" w:type="dxa"/>
            <w:vAlign w:val="center"/>
          </w:tcPr>
          <w:p w14:paraId="43EE816E" w14:textId="77777777" w:rsidR="00044D5B" w:rsidRPr="00392E88" w:rsidRDefault="00044D5B">
            <w:pPr>
              <w:jc w:val="center"/>
              <w:rPr>
                <w:noProof/>
                <w:color w:val="0000FF"/>
              </w:rPr>
            </w:pPr>
          </w:p>
        </w:tc>
        <w:tc>
          <w:tcPr>
            <w:tcW w:w="3960" w:type="dxa"/>
            <w:vAlign w:val="center"/>
          </w:tcPr>
          <w:p w14:paraId="2FE82B89" w14:textId="77777777" w:rsidR="00044D5B" w:rsidRPr="00392E88" w:rsidRDefault="00044D5B">
            <w:pPr>
              <w:spacing w:before="60"/>
              <w:rPr>
                <w:noProof/>
              </w:rPr>
            </w:pPr>
            <w:r w:rsidRPr="00392E88">
              <w:rPr>
                <w:sz w:val="22"/>
              </w:rPr>
              <w:t>[XX.YY.YY.YY]</w:t>
            </w:r>
          </w:p>
          <w:p w14:paraId="78DAE0B0" w14:textId="77777777" w:rsidR="00044D5B" w:rsidRPr="00392E88" w:rsidRDefault="00044D5B">
            <w:pPr>
              <w:spacing w:after="60"/>
              <w:rPr>
                <w:noProof/>
              </w:rPr>
            </w:pPr>
          </w:p>
        </w:tc>
        <w:tc>
          <w:tcPr>
            <w:tcW w:w="1080" w:type="dxa"/>
            <w:vAlign w:val="center"/>
          </w:tcPr>
          <w:p w14:paraId="7FEAA96F" w14:textId="77777777" w:rsidR="00044D5B" w:rsidRPr="00392E88" w:rsidRDefault="00044D5B">
            <w:pPr>
              <w:jc w:val="center"/>
              <w:rPr>
                <w:noProof/>
                <w:color w:val="0000FF"/>
              </w:rPr>
            </w:pPr>
            <w:r w:rsidRPr="00392E88">
              <w:rPr>
                <w:sz w:val="22"/>
              </w:rPr>
              <w:t>Zróżn. / niezróżn.</w:t>
            </w:r>
          </w:p>
        </w:tc>
        <w:tc>
          <w:tcPr>
            <w:tcW w:w="956" w:type="dxa"/>
            <w:vAlign w:val="center"/>
          </w:tcPr>
          <w:p w14:paraId="6872FDEF" w14:textId="77777777" w:rsidR="00044D5B" w:rsidRPr="00392E88" w:rsidRDefault="00044D5B">
            <w:pPr>
              <w:jc w:val="center"/>
              <w:rPr>
                <w:noProof/>
                <w:sz w:val="20"/>
                <w:szCs w:val="20"/>
              </w:rPr>
            </w:pPr>
            <w:r w:rsidRPr="00392E88">
              <w:rPr>
                <w:sz w:val="20"/>
              </w:rPr>
              <w:t>TAK/ NIE</w:t>
            </w:r>
          </w:p>
        </w:tc>
        <w:tc>
          <w:tcPr>
            <w:tcW w:w="1080" w:type="dxa"/>
            <w:vAlign w:val="center"/>
          </w:tcPr>
          <w:p w14:paraId="1E84A859" w14:textId="77777777" w:rsidR="00044D5B" w:rsidRPr="00392E88" w:rsidRDefault="00044D5B">
            <w:pPr>
              <w:jc w:val="center"/>
              <w:rPr>
                <w:noProof/>
                <w:sz w:val="20"/>
                <w:szCs w:val="20"/>
              </w:rPr>
            </w:pPr>
            <w:r w:rsidRPr="00392E88">
              <w:rPr>
                <w:sz w:val="20"/>
              </w:rPr>
              <w:t>TAK/ NIE</w:t>
            </w:r>
          </w:p>
        </w:tc>
        <w:tc>
          <w:tcPr>
            <w:tcW w:w="956" w:type="dxa"/>
            <w:vAlign w:val="center"/>
          </w:tcPr>
          <w:p w14:paraId="623B0EBC" w14:textId="77777777" w:rsidR="00044D5B" w:rsidRPr="00392E88" w:rsidRDefault="00044D5B">
            <w:pPr>
              <w:jc w:val="center"/>
              <w:rPr>
                <w:noProof/>
                <w:sz w:val="20"/>
                <w:szCs w:val="20"/>
              </w:rPr>
            </w:pPr>
            <w:r w:rsidRPr="00392E88">
              <w:rPr>
                <w:sz w:val="20"/>
              </w:rPr>
              <w:t>TAK/ NIE</w:t>
            </w:r>
          </w:p>
        </w:tc>
        <w:tc>
          <w:tcPr>
            <w:tcW w:w="1448" w:type="dxa"/>
            <w:vAlign w:val="center"/>
          </w:tcPr>
          <w:p w14:paraId="0EB1292D" w14:textId="77777777" w:rsidR="00044D5B" w:rsidRPr="00392E88" w:rsidRDefault="00044D5B">
            <w:pPr>
              <w:jc w:val="center"/>
              <w:rPr>
                <w:noProof/>
                <w:sz w:val="20"/>
                <w:szCs w:val="20"/>
              </w:rPr>
            </w:pPr>
            <w:r w:rsidRPr="00392E88">
              <w:rPr>
                <w:sz w:val="20"/>
              </w:rPr>
              <w:t>TAK/ NIE</w:t>
            </w:r>
          </w:p>
        </w:tc>
      </w:tr>
      <w:tr w:rsidR="00983E98" w:rsidRPr="00392E88" w14:paraId="5FAB8D42" w14:textId="77777777">
        <w:trPr>
          <w:jc w:val="center"/>
        </w:trPr>
        <w:tc>
          <w:tcPr>
            <w:tcW w:w="1080" w:type="dxa"/>
            <w:vAlign w:val="center"/>
          </w:tcPr>
          <w:p w14:paraId="41A27454" w14:textId="77777777" w:rsidR="00044D5B" w:rsidRPr="00392E88" w:rsidRDefault="00044D5B">
            <w:pPr>
              <w:jc w:val="center"/>
              <w:rPr>
                <w:noProof/>
                <w:color w:val="0000FF"/>
              </w:rPr>
            </w:pPr>
          </w:p>
        </w:tc>
        <w:tc>
          <w:tcPr>
            <w:tcW w:w="3960" w:type="dxa"/>
            <w:vAlign w:val="center"/>
          </w:tcPr>
          <w:p w14:paraId="1055A391" w14:textId="77777777" w:rsidR="00044D5B" w:rsidRPr="00392E88" w:rsidRDefault="00044D5B">
            <w:pPr>
              <w:spacing w:before="60"/>
              <w:rPr>
                <w:noProof/>
              </w:rPr>
            </w:pPr>
            <w:r w:rsidRPr="00392E88">
              <w:rPr>
                <w:sz w:val="22"/>
              </w:rPr>
              <w:t>[XX.YY.YY.YY]</w:t>
            </w:r>
          </w:p>
          <w:p w14:paraId="4070BE7A" w14:textId="77777777" w:rsidR="00044D5B" w:rsidRPr="00392E88" w:rsidRDefault="00044D5B">
            <w:pPr>
              <w:spacing w:after="60"/>
              <w:rPr>
                <w:noProof/>
                <w:color w:val="0000FF"/>
              </w:rPr>
            </w:pPr>
          </w:p>
        </w:tc>
        <w:tc>
          <w:tcPr>
            <w:tcW w:w="1080" w:type="dxa"/>
            <w:vAlign w:val="center"/>
          </w:tcPr>
          <w:p w14:paraId="40482F21" w14:textId="77777777" w:rsidR="00044D5B" w:rsidRPr="00392E88" w:rsidRDefault="00044D5B">
            <w:pPr>
              <w:jc w:val="center"/>
              <w:rPr>
                <w:noProof/>
                <w:color w:val="0000FF"/>
              </w:rPr>
            </w:pPr>
            <w:r w:rsidRPr="00392E88">
              <w:rPr>
                <w:sz w:val="22"/>
              </w:rPr>
              <w:t>Zróżn. / niezróżn.</w:t>
            </w:r>
          </w:p>
        </w:tc>
        <w:tc>
          <w:tcPr>
            <w:tcW w:w="956" w:type="dxa"/>
            <w:vAlign w:val="center"/>
          </w:tcPr>
          <w:p w14:paraId="2C44D28A" w14:textId="77777777" w:rsidR="00044D5B" w:rsidRPr="00392E88" w:rsidRDefault="00044D5B">
            <w:pPr>
              <w:jc w:val="center"/>
              <w:rPr>
                <w:noProof/>
                <w:sz w:val="20"/>
                <w:szCs w:val="20"/>
              </w:rPr>
            </w:pPr>
            <w:r w:rsidRPr="00392E88">
              <w:rPr>
                <w:sz w:val="20"/>
              </w:rPr>
              <w:t>TAK/ NIE</w:t>
            </w:r>
          </w:p>
        </w:tc>
        <w:tc>
          <w:tcPr>
            <w:tcW w:w="1080" w:type="dxa"/>
            <w:vAlign w:val="center"/>
          </w:tcPr>
          <w:p w14:paraId="674DD1E5" w14:textId="77777777" w:rsidR="00044D5B" w:rsidRPr="00392E88" w:rsidRDefault="00044D5B">
            <w:pPr>
              <w:jc w:val="center"/>
              <w:rPr>
                <w:noProof/>
                <w:color w:val="0000FF"/>
                <w:sz w:val="20"/>
                <w:szCs w:val="20"/>
              </w:rPr>
            </w:pPr>
            <w:r w:rsidRPr="00392E88">
              <w:rPr>
                <w:sz w:val="20"/>
              </w:rPr>
              <w:t>TAK/ NIE</w:t>
            </w:r>
          </w:p>
        </w:tc>
        <w:tc>
          <w:tcPr>
            <w:tcW w:w="956" w:type="dxa"/>
            <w:vAlign w:val="center"/>
          </w:tcPr>
          <w:p w14:paraId="2F7A2F42" w14:textId="77777777" w:rsidR="00044D5B" w:rsidRPr="00392E88" w:rsidRDefault="00044D5B">
            <w:pPr>
              <w:jc w:val="center"/>
              <w:rPr>
                <w:noProof/>
                <w:color w:val="0000FF"/>
                <w:sz w:val="20"/>
                <w:szCs w:val="20"/>
              </w:rPr>
            </w:pPr>
            <w:r w:rsidRPr="00392E88">
              <w:rPr>
                <w:sz w:val="20"/>
              </w:rPr>
              <w:t>TAK/ NIE</w:t>
            </w:r>
          </w:p>
        </w:tc>
        <w:tc>
          <w:tcPr>
            <w:tcW w:w="1448" w:type="dxa"/>
            <w:vAlign w:val="center"/>
          </w:tcPr>
          <w:p w14:paraId="7D73D47C" w14:textId="77777777" w:rsidR="00044D5B" w:rsidRPr="00392E88" w:rsidRDefault="00044D5B">
            <w:pPr>
              <w:jc w:val="center"/>
              <w:rPr>
                <w:noProof/>
                <w:sz w:val="20"/>
                <w:szCs w:val="20"/>
              </w:rPr>
            </w:pPr>
            <w:r w:rsidRPr="00392E88">
              <w:rPr>
                <w:sz w:val="20"/>
              </w:rPr>
              <w:t>TAK/ NIE</w:t>
            </w:r>
          </w:p>
        </w:tc>
      </w:tr>
    </w:tbl>
    <w:p w14:paraId="535712B0" w14:textId="77777777" w:rsidR="00044D5B" w:rsidRPr="00392E88" w:rsidRDefault="00044D5B" w:rsidP="00044D5B">
      <w:pPr>
        <w:rPr>
          <w:noProof/>
        </w:rPr>
        <w:sectPr w:rsidR="00044D5B" w:rsidRPr="00392E88" w:rsidSect="00682C29">
          <w:pgSz w:w="11907" w:h="16840" w:code="1"/>
          <w:pgMar w:top="1134" w:right="1418" w:bottom="1134" w:left="1418" w:header="709" w:footer="709" w:gutter="0"/>
          <w:cols w:space="708"/>
          <w:docGrid w:linePitch="360"/>
        </w:sectPr>
      </w:pPr>
    </w:p>
    <w:p w14:paraId="4E74D17D" w14:textId="77777777" w:rsidR="00044D5B" w:rsidRPr="00392E88" w:rsidRDefault="00044D5B" w:rsidP="00044D5B">
      <w:pPr>
        <w:pStyle w:val="ManualHeading2"/>
        <w:rPr>
          <w:bCs/>
          <w:noProof/>
          <w:szCs w:val="24"/>
        </w:rPr>
      </w:pPr>
      <w:r w:rsidRPr="00392E88">
        <w:t>3.2.</w:t>
      </w:r>
      <w:r w:rsidRPr="00392E88">
        <w:tab/>
        <w:t xml:space="preserve">Szacunkowy wpływ finansowy wniosku na środki </w:t>
      </w:r>
    </w:p>
    <w:p w14:paraId="7295834C" w14:textId="77777777" w:rsidR="00044D5B" w:rsidRPr="00392E88" w:rsidRDefault="00044D5B" w:rsidP="00044D5B">
      <w:pPr>
        <w:pStyle w:val="ManualHeading3"/>
        <w:rPr>
          <w:noProof/>
        </w:rPr>
      </w:pPr>
      <w:r w:rsidRPr="00392E88">
        <w:t>3.2.1.</w:t>
      </w:r>
      <w:r w:rsidRPr="00392E88">
        <w:tab/>
        <w:t xml:space="preserve">Podsumowanie szacunkowego wpływu na środki operacyjne </w:t>
      </w:r>
    </w:p>
    <w:p w14:paraId="6CDAE11C" w14:textId="487B5D0A" w:rsidR="00044D5B" w:rsidRPr="00392E88" w:rsidRDefault="00044D5B" w:rsidP="00044D5B">
      <w:pPr>
        <w:pStyle w:val="ListDash1"/>
        <w:rPr>
          <w:noProof/>
        </w:rPr>
      </w:pPr>
      <w:r w:rsidRPr="00392E88">
        <w:rPr>
          <w:rFonts w:ascii="Wingdings" w:hAnsi="Wingdings"/>
        </w:rPr>
        <w:t>¨</w:t>
      </w:r>
      <w:r w:rsidRPr="00392E88">
        <w:tab/>
        <w:t>Wniosek/inicjatywa nie wiąże się</w:t>
      </w:r>
      <w:r w:rsidR="006E6446" w:rsidRPr="00392E88">
        <w:t xml:space="preserve"> z</w:t>
      </w:r>
      <w:r w:rsidR="006E6446">
        <w:t> </w:t>
      </w:r>
      <w:r w:rsidR="006E6446" w:rsidRPr="00392E88">
        <w:t>kon</w:t>
      </w:r>
      <w:r w:rsidRPr="00392E88">
        <w:t xml:space="preserve">iecznością wykorzystania środków operacyjnych </w:t>
      </w:r>
    </w:p>
    <w:p w14:paraId="23FADB98" w14:textId="73613012" w:rsidR="00044D5B" w:rsidRPr="00392E88" w:rsidRDefault="00044D5B" w:rsidP="00044D5B">
      <w:pPr>
        <w:pStyle w:val="ListDash1"/>
        <w:rPr>
          <w:noProof/>
        </w:rPr>
      </w:pPr>
      <w:r w:rsidRPr="00392E88">
        <w:rPr>
          <w:rFonts w:ascii="Wingdings" w:hAnsi="Wingdings"/>
        </w:rPr>
        <w:t>¨</w:t>
      </w:r>
      <w:r w:rsidRPr="00392E88">
        <w:tab/>
        <w:t>Wniosek/inicjatywa wiąże się</w:t>
      </w:r>
      <w:r w:rsidR="006E6446" w:rsidRPr="00392E88">
        <w:t xml:space="preserve"> z</w:t>
      </w:r>
      <w:r w:rsidR="006E6446">
        <w:t> </w:t>
      </w:r>
      <w:r w:rsidR="006E6446" w:rsidRPr="00392E88">
        <w:t>kon</w:t>
      </w:r>
      <w:r w:rsidRPr="00392E88">
        <w:t>iecznością wykorzystania środków operacyjnych, jak określono poniżej</w:t>
      </w:r>
    </w:p>
    <w:p w14:paraId="69C729C3" w14:textId="4C05B593" w:rsidR="00044D5B" w:rsidRPr="00392E88" w:rsidRDefault="00044D5B" w:rsidP="00044D5B">
      <w:pPr>
        <w:pStyle w:val="ManualHeading3"/>
      </w:pPr>
      <w:r w:rsidRPr="00392E88">
        <w:t>3.2.1.1.</w:t>
      </w:r>
      <w:r w:rsidRPr="00392E88">
        <w:tab/>
        <w:t>Środki</w:t>
      </w:r>
      <w:r w:rsidR="006E6446" w:rsidRPr="00392E88">
        <w:t xml:space="preserve"> z</w:t>
      </w:r>
      <w:r w:rsidR="006E6446">
        <w:t> </w:t>
      </w:r>
      <w:r w:rsidR="006E6446" w:rsidRPr="00392E88">
        <w:t>uch</w:t>
      </w:r>
      <w:r w:rsidRPr="00392E88">
        <w:t>walonego budżetu</w:t>
      </w:r>
    </w:p>
    <w:p w14:paraId="189A0BFD" w14:textId="77777777" w:rsidR="00044D5B" w:rsidRPr="00392E88" w:rsidRDefault="00044D5B" w:rsidP="00044D5B">
      <w:pPr>
        <w:jc w:val="right"/>
        <w:rPr>
          <w:noProof/>
          <w:sz w:val="18"/>
          <w:szCs w:val="18"/>
        </w:rPr>
      </w:pPr>
      <w:r w:rsidRPr="00392E88">
        <w:rPr>
          <w:sz w:val="18"/>
        </w:rPr>
        <w:t>w mln EUR (do trzech miejsc po przecinku)</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874"/>
        <w:gridCol w:w="1110"/>
        <w:gridCol w:w="8030"/>
      </w:tblGrid>
      <w:tr w:rsidR="00470A36" w:rsidRPr="00392E88" w14:paraId="49B282C0" w14:textId="77777777">
        <w:tc>
          <w:tcPr>
            <w:tcW w:w="1739" w:type="pct"/>
            <w:shd w:val="thinDiagStripe" w:color="C0C0C0" w:fill="auto"/>
            <w:vAlign w:val="center"/>
          </w:tcPr>
          <w:p w14:paraId="68CA9CD5" w14:textId="77777777" w:rsidR="00044D5B" w:rsidRPr="00392E88" w:rsidRDefault="00044D5B">
            <w:pPr>
              <w:spacing w:before="60" w:after="60"/>
              <w:jc w:val="center"/>
              <w:rPr>
                <w:b/>
                <w:noProof/>
              </w:rPr>
            </w:pPr>
            <w:r w:rsidRPr="00392E88">
              <w:rPr>
                <w:b/>
                <w:sz w:val="22"/>
              </w:rPr>
              <w:t xml:space="preserve">Dział wieloletnich ram finansowych </w:t>
            </w:r>
          </w:p>
        </w:tc>
        <w:tc>
          <w:tcPr>
            <w:tcW w:w="396" w:type="pct"/>
            <w:vAlign w:val="center"/>
          </w:tcPr>
          <w:p w14:paraId="3FEF92DC" w14:textId="77777777" w:rsidR="00044D5B" w:rsidRPr="00392E88" w:rsidRDefault="00044D5B">
            <w:pPr>
              <w:spacing w:before="60" w:after="60"/>
              <w:jc w:val="center"/>
              <w:rPr>
                <w:noProof/>
              </w:rPr>
            </w:pPr>
            <w:r w:rsidRPr="00392E88">
              <w:rPr>
                <w:sz w:val="22"/>
              </w:rPr>
              <w:t>Numer</w:t>
            </w:r>
          </w:p>
        </w:tc>
        <w:tc>
          <w:tcPr>
            <w:tcW w:w="2865" w:type="pct"/>
            <w:vAlign w:val="center"/>
          </w:tcPr>
          <w:p w14:paraId="64E1E8F2" w14:textId="77777777" w:rsidR="00044D5B" w:rsidRPr="00392E88" w:rsidRDefault="00044D5B">
            <w:pPr>
              <w:spacing w:before="60" w:after="60"/>
              <w:rPr>
                <w:noProof/>
              </w:rPr>
            </w:pPr>
          </w:p>
        </w:tc>
      </w:tr>
    </w:tbl>
    <w:p w14:paraId="604EDCBC" w14:textId="77777777" w:rsidR="00044D5B" w:rsidRPr="00392E88" w:rsidRDefault="00044D5B" w:rsidP="00044D5B">
      <w:pPr>
        <w:rPr>
          <w:noProof/>
          <w:sz w:val="16"/>
        </w:rPr>
      </w:pPr>
    </w:p>
    <w:tbl>
      <w:tblPr>
        <w:tblW w:w="5000" w:type="pct"/>
        <w:tblInd w:w="-118" w:type="dxa"/>
        <w:tblCellMar>
          <w:left w:w="0" w:type="dxa"/>
          <w:right w:w="0" w:type="dxa"/>
        </w:tblCellMar>
        <w:tblLook w:val="04A0" w:firstRow="1" w:lastRow="0" w:firstColumn="1" w:lastColumn="0" w:noHBand="0" w:noVBand="1"/>
      </w:tblPr>
      <w:tblGrid>
        <w:gridCol w:w="3917"/>
        <w:gridCol w:w="1395"/>
        <w:gridCol w:w="20"/>
        <w:gridCol w:w="1337"/>
        <w:gridCol w:w="1317"/>
        <w:gridCol w:w="6"/>
        <w:gridCol w:w="1251"/>
        <w:gridCol w:w="10"/>
        <w:gridCol w:w="1247"/>
        <w:gridCol w:w="15"/>
        <w:gridCol w:w="1243"/>
        <w:gridCol w:w="1321"/>
        <w:gridCol w:w="945"/>
      </w:tblGrid>
      <w:tr w:rsidR="00504273" w:rsidRPr="00392E88" w14:paraId="609FFE90" w14:textId="77777777">
        <w:trPr>
          <w:trHeight w:val="420"/>
        </w:trPr>
        <w:tc>
          <w:tcPr>
            <w:tcW w:w="2444" w:type="pct"/>
            <w:gridSpan w:val="4"/>
            <w:vMerge w:val="restart"/>
            <w:tcBorders>
              <w:top w:val="single" w:sz="8" w:space="0" w:color="auto"/>
              <w:left w:val="single" w:sz="8" w:space="0" w:color="auto"/>
              <w:bottom w:val="single" w:sz="8" w:space="0" w:color="auto"/>
              <w:right w:val="single" w:sz="8" w:space="0" w:color="auto"/>
            </w:tcBorders>
            <w:vAlign w:val="center"/>
            <w:hideMark/>
          </w:tcPr>
          <w:p w14:paraId="4C770218" w14:textId="77777777" w:rsidR="00044D5B" w:rsidRPr="00392E88" w:rsidRDefault="00044D5B">
            <w:pPr>
              <w:spacing w:before="0" w:after="0"/>
              <w:jc w:val="center"/>
              <w:rPr>
                <w:color w:val="000000"/>
                <w:sz w:val="22"/>
              </w:rPr>
            </w:pPr>
            <w:r w:rsidRPr="00392E88">
              <w:rPr>
                <w:color w:val="000000"/>
                <w:sz w:val="22"/>
              </w:rPr>
              <w:t>Dyrekcja Generalna: &lt;…….&gt;</w:t>
            </w:r>
          </w:p>
        </w:tc>
        <w:tc>
          <w:tcPr>
            <w:tcW w:w="496" w:type="pct"/>
            <w:gridSpan w:val="2"/>
            <w:tcBorders>
              <w:top w:val="single" w:sz="8" w:space="0" w:color="auto"/>
              <w:left w:val="nil"/>
              <w:bottom w:val="single" w:sz="8" w:space="0" w:color="auto"/>
              <w:right w:val="single" w:sz="8" w:space="0" w:color="auto"/>
            </w:tcBorders>
            <w:vAlign w:val="center"/>
            <w:hideMark/>
          </w:tcPr>
          <w:p w14:paraId="0C983ED8" w14:textId="77777777" w:rsidR="00044D5B" w:rsidRPr="00392E88" w:rsidRDefault="00044D5B">
            <w:pPr>
              <w:spacing w:before="0" w:after="0"/>
              <w:jc w:val="center"/>
              <w:rPr>
                <w:color w:val="000000"/>
                <w:sz w:val="20"/>
                <w:szCs w:val="20"/>
              </w:rPr>
            </w:pPr>
            <w:r w:rsidRPr="00392E88">
              <w:rPr>
                <w:color w:val="000000"/>
                <w:sz w:val="20"/>
              </w:rPr>
              <w:t>Rok</w:t>
            </w:r>
          </w:p>
        </w:tc>
        <w:tc>
          <w:tcPr>
            <w:tcW w:w="496" w:type="pct"/>
            <w:gridSpan w:val="2"/>
            <w:tcBorders>
              <w:top w:val="single" w:sz="8" w:space="0" w:color="auto"/>
              <w:left w:val="nil"/>
              <w:bottom w:val="single" w:sz="8" w:space="0" w:color="auto"/>
              <w:right w:val="single" w:sz="8" w:space="0" w:color="auto"/>
            </w:tcBorders>
            <w:vAlign w:val="center"/>
            <w:hideMark/>
          </w:tcPr>
          <w:p w14:paraId="47AF9C11" w14:textId="77777777" w:rsidR="00044D5B" w:rsidRPr="00392E88" w:rsidRDefault="00044D5B">
            <w:pPr>
              <w:spacing w:before="0" w:after="0"/>
              <w:jc w:val="center"/>
              <w:rPr>
                <w:color w:val="000000"/>
                <w:sz w:val="20"/>
                <w:szCs w:val="20"/>
              </w:rPr>
            </w:pPr>
            <w:r w:rsidRPr="00392E88">
              <w:rPr>
                <w:color w:val="000000"/>
                <w:sz w:val="20"/>
              </w:rPr>
              <w:t>Rok</w:t>
            </w:r>
          </w:p>
        </w:tc>
        <w:tc>
          <w:tcPr>
            <w:tcW w:w="496" w:type="pct"/>
            <w:gridSpan w:val="2"/>
            <w:tcBorders>
              <w:top w:val="single" w:sz="8" w:space="0" w:color="auto"/>
              <w:left w:val="nil"/>
              <w:bottom w:val="single" w:sz="8" w:space="0" w:color="auto"/>
              <w:right w:val="single" w:sz="8" w:space="0" w:color="auto"/>
            </w:tcBorders>
            <w:vAlign w:val="center"/>
            <w:hideMark/>
          </w:tcPr>
          <w:p w14:paraId="37030979" w14:textId="77777777" w:rsidR="00044D5B" w:rsidRPr="00392E88" w:rsidRDefault="00044D5B">
            <w:pPr>
              <w:spacing w:before="0" w:after="0"/>
              <w:jc w:val="center"/>
              <w:rPr>
                <w:color w:val="000000"/>
                <w:sz w:val="20"/>
                <w:szCs w:val="20"/>
              </w:rPr>
            </w:pPr>
            <w:r w:rsidRPr="00392E88">
              <w:rPr>
                <w:color w:val="000000"/>
                <w:sz w:val="20"/>
              </w:rPr>
              <w:t>Rok</w:t>
            </w:r>
          </w:p>
        </w:tc>
        <w:tc>
          <w:tcPr>
            <w:tcW w:w="478" w:type="pct"/>
            <w:tcBorders>
              <w:top w:val="single" w:sz="8" w:space="0" w:color="auto"/>
              <w:left w:val="nil"/>
              <w:bottom w:val="single" w:sz="8" w:space="0" w:color="auto"/>
              <w:right w:val="single" w:sz="8" w:space="0" w:color="auto"/>
            </w:tcBorders>
            <w:vAlign w:val="center"/>
            <w:hideMark/>
          </w:tcPr>
          <w:p w14:paraId="0A8F43DF" w14:textId="77777777" w:rsidR="00044D5B" w:rsidRPr="00392E88" w:rsidRDefault="00044D5B">
            <w:pPr>
              <w:spacing w:before="0" w:after="0"/>
              <w:jc w:val="center"/>
              <w:rPr>
                <w:color w:val="000000"/>
                <w:sz w:val="20"/>
                <w:szCs w:val="20"/>
              </w:rPr>
            </w:pPr>
            <w:r w:rsidRPr="00392E88">
              <w:rPr>
                <w:color w:val="000000"/>
                <w:sz w:val="20"/>
              </w:rPr>
              <w:t>Rok</w:t>
            </w:r>
          </w:p>
        </w:tc>
        <w:tc>
          <w:tcPr>
            <w:tcW w:w="590" w:type="pct"/>
            <w:gridSpan w:val="2"/>
            <w:vMerge w:val="restart"/>
            <w:tcBorders>
              <w:top w:val="single" w:sz="8" w:space="0" w:color="auto"/>
              <w:left w:val="single" w:sz="8" w:space="0" w:color="auto"/>
              <w:bottom w:val="single" w:sz="8" w:space="0" w:color="auto"/>
              <w:right w:val="single" w:sz="8" w:space="0" w:color="auto"/>
            </w:tcBorders>
            <w:vAlign w:val="center"/>
            <w:hideMark/>
          </w:tcPr>
          <w:p w14:paraId="352B7E7B" w14:textId="77777777" w:rsidR="00044D5B" w:rsidRPr="00392E88" w:rsidRDefault="00044D5B">
            <w:pPr>
              <w:spacing w:before="0" w:after="0"/>
              <w:jc w:val="center"/>
              <w:rPr>
                <w:b/>
                <w:bCs/>
                <w:color w:val="000000"/>
                <w:sz w:val="20"/>
                <w:szCs w:val="20"/>
              </w:rPr>
            </w:pPr>
            <w:r w:rsidRPr="00392E88">
              <w:rPr>
                <w:b/>
                <w:color w:val="000000"/>
                <w:sz w:val="20"/>
              </w:rPr>
              <w:t>OGÓŁEM WRF 2021–2027</w:t>
            </w:r>
          </w:p>
        </w:tc>
      </w:tr>
      <w:tr w:rsidR="00470A36" w:rsidRPr="00392E88" w14:paraId="7081D7C6" w14:textId="77777777">
        <w:trPr>
          <w:trHeight w:val="288"/>
        </w:trPr>
        <w:tc>
          <w:tcPr>
            <w:tcW w:w="2444" w:type="pct"/>
            <w:gridSpan w:val="4"/>
            <w:vMerge/>
            <w:tcBorders>
              <w:top w:val="single" w:sz="8" w:space="0" w:color="auto"/>
              <w:left w:val="single" w:sz="8" w:space="0" w:color="auto"/>
              <w:bottom w:val="single" w:sz="8" w:space="0" w:color="auto"/>
              <w:right w:val="single" w:sz="8" w:space="0" w:color="auto"/>
            </w:tcBorders>
            <w:vAlign w:val="center"/>
            <w:hideMark/>
          </w:tcPr>
          <w:p w14:paraId="74F5B7E5" w14:textId="77777777" w:rsidR="00044D5B" w:rsidRPr="00392E88" w:rsidRDefault="00044D5B">
            <w:pPr>
              <w:spacing w:before="0" w:after="0"/>
              <w:jc w:val="left"/>
              <w:rPr>
                <w:color w:val="000000"/>
                <w:sz w:val="22"/>
                <w:lang w:eastAsia="en-IE"/>
              </w:rPr>
            </w:pPr>
          </w:p>
        </w:tc>
        <w:tc>
          <w:tcPr>
            <w:tcW w:w="496" w:type="pct"/>
            <w:gridSpan w:val="2"/>
            <w:tcBorders>
              <w:top w:val="nil"/>
              <w:left w:val="nil"/>
              <w:bottom w:val="single" w:sz="8" w:space="0" w:color="auto"/>
              <w:right w:val="single" w:sz="8" w:space="0" w:color="auto"/>
            </w:tcBorders>
            <w:vAlign w:val="center"/>
            <w:hideMark/>
          </w:tcPr>
          <w:p w14:paraId="119CC760" w14:textId="77777777" w:rsidR="00044D5B" w:rsidRPr="00392E88" w:rsidRDefault="00044D5B">
            <w:pPr>
              <w:spacing w:before="0" w:after="0"/>
              <w:jc w:val="center"/>
              <w:rPr>
                <w:b/>
                <w:bCs/>
                <w:color w:val="000000"/>
                <w:sz w:val="20"/>
                <w:szCs w:val="20"/>
              </w:rPr>
            </w:pPr>
            <w:r w:rsidRPr="00392E88">
              <w:rPr>
                <w:b/>
                <w:color w:val="000000"/>
                <w:sz w:val="20"/>
              </w:rPr>
              <w:t>2024</w:t>
            </w:r>
          </w:p>
        </w:tc>
        <w:tc>
          <w:tcPr>
            <w:tcW w:w="496" w:type="pct"/>
            <w:gridSpan w:val="2"/>
            <w:tcBorders>
              <w:top w:val="nil"/>
              <w:left w:val="nil"/>
              <w:bottom w:val="single" w:sz="8" w:space="0" w:color="auto"/>
              <w:right w:val="single" w:sz="8" w:space="0" w:color="auto"/>
            </w:tcBorders>
            <w:vAlign w:val="center"/>
            <w:hideMark/>
          </w:tcPr>
          <w:p w14:paraId="46997907" w14:textId="77777777" w:rsidR="00044D5B" w:rsidRPr="00392E88" w:rsidRDefault="00044D5B">
            <w:pPr>
              <w:spacing w:before="0" w:after="0"/>
              <w:jc w:val="center"/>
              <w:rPr>
                <w:b/>
                <w:bCs/>
                <w:color w:val="000000"/>
                <w:sz w:val="20"/>
                <w:szCs w:val="20"/>
              </w:rPr>
            </w:pPr>
            <w:r w:rsidRPr="00392E88">
              <w:rPr>
                <w:b/>
                <w:color w:val="000000"/>
                <w:sz w:val="20"/>
              </w:rPr>
              <w:t>2025</w:t>
            </w:r>
          </w:p>
        </w:tc>
        <w:tc>
          <w:tcPr>
            <w:tcW w:w="496" w:type="pct"/>
            <w:gridSpan w:val="2"/>
            <w:tcBorders>
              <w:top w:val="nil"/>
              <w:left w:val="nil"/>
              <w:bottom w:val="single" w:sz="8" w:space="0" w:color="auto"/>
              <w:right w:val="single" w:sz="8" w:space="0" w:color="auto"/>
            </w:tcBorders>
            <w:vAlign w:val="center"/>
            <w:hideMark/>
          </w:tcPr>
          <w:p w14:paraId="08C4E281" w14:textId="77777777" w:rsidR="00044D5B" w:rsidRPr="00392E88" w:rsidRDefault="00044D5B">
            <w:pPr>
              <w:spacing w:before="0" w:after="0"/>
              <w:jc w:val="center"/>
              <w:rPr>
                <w:b/>
                <w:bCs/>
                <w:color w:val="000000"/>
                <w:sz w:val="20"/>
                <w:szCs w:val="20"/>
              </w:rPr>
            </w:pPr>
            <w:r w:rsidRPr="00392E88">
              <w:rPr>
                <w:b/>
                <w:color w:val="000000"/>
                <w:sz w:val="20"/>
              </w:rPr>
              <w:t>2026</w:t>
            </w:r>
          </w:p>
        </w:tc>
        <w:tc>
          <w:tcPr>
            <w:tcW w:w="478" w:type="pct"/>
            <w:tcBorders>
              <w:top w:val="nil"/>
              <w:left w:val="nil"/>
              <w:bottom w:val="single" w:sz="8" w:space="0" w:color="auto"/>
              <w:right w:val="single" w:sz="8" w:space="0" w:color="auto"/>
            </w:tcBorders>
            <w:vAlign w:val="center"/>
            <w:hideMark/>
          </w:tcPr>
          <w:p w14:paraId="043223FE" w14:textId="77777777" w:rsidR="00044D5B" w:rsidRPr="00392E88" w:rsidRDefault="00044D5B">
            <w:pPr>
              <w:spacing w:before="0" w:after="0"/>
              <w:jc w:val="center"/>
              <w:rPr>
                <w:b/>
                <w:bCs/>
                <w:color w:val="000000"/>
                <w:sz w:val="20"/>
                <w:szCs w:val="20"/>
              </w:rPr>
            </w:pPr>
            <w:r w:rsidRPr="00392E88">
              <w:rPr>
                <w:b/>
                <w:color w:val="000000"/>
                <w:sz w:val="20"/>
              </w:rPr>
              <w:t>2027</w:t>
            </w:r>
          </w:p>
        </w:tc>
        <w:tc>
          <w:tcPr>
            <w:tcW w:w="590" w:type="pct"/>
            <w:gridSpan w:val="2"/>
            <w:vMerge/>
            <w:tcBorders>
              <w:top w:val="single" w:sz="8" w:space="0" w:color="auto"/>
              <w:left w:val="single" w:sz="8" w:space="0" w:color="auto"/>
              <w:bottom w:val="single" w:sz="8" w:space="0" w:color="auto"/>
              <w:right w:val="single" w:sz="8" w:space="0" w:color="auto"/>
            </w:tcBorders>
            <w:vAlign w:val="center"/>
            <w:hideMark/>
          </w:tcPr>
          <w:p w14:paraId="129B726F" w14:textId="77777777" w:rsidR="00044D5B" w:rsidRPr="00392E88" w:rsidRDefault="00044D5B">
            <w:pPr>
              <w:spacing w:before="0" w:after="0"/>
              <w:jc w:val="left"/>
              <w:rPr>
                <w:b/>
                <w:bCs/>
                <w:color w:val="000000"/>
                <w:sz w:val="20"/>
                <w:szCs w:val="20"/>
                <w:lang w:eastAsia="en-IE"/>
              </w:rPr>
            </w:pPr>
          </w:p>
        </w:tc>
      </w:tr>
      <w:tr w:rsidR="00511981" w:rsidRPr="00392E88" w14:paraId="6945DAFE" w14:textId="77777777">
        <w:trPr>
          <w:trHeight w:val="300"/>
        </w:trPr>
        <w:tc>
          <w:tcPr>
            <w:tcW w:w="5000" w:type="pct"/>
            <w:gridSpan w:val="13"/>
            <w:tcBorders>
              <w:top w:val="single" w:sz="8" w:space="0" w:color="auto"/>
              <w:left w:val="single" w:sz="8" w:space="0" w:color="auto"/>
              <w:bottom w:val="single" w:sz="8" w:space="0" w:color="auto"/>
              <w:right w:val="single" w:sz="8" w:space="0" w:color="auto"/>
            </w:tcBorders>
            <w:vAlign w:val="center"/>
            <w:hideMark/>
          </w:tcPr>
          <w:p w14:paraId="403FC3C3" w14:textId="77777777" w:rsidR="00044D5B" w:rsidRPr="00392E88" w:rsidRDefault="00044D5B">
            <w:pPr>
              <w:spacing w:before="0" w:after="0"/>
              <w:jc w:val="left"/>
              <w:rPr>
                <w:color w:val="000000"/>
                <w:sz w:val="21"/>
                <w:szCs w:val="21"/>
              </w:rPr>
            </w:pPr>
            <w:r w:rsidRPr="00392E88">
              <w:rPr>
                <w:color w:val="000000"/>
                <w:sz w:val="21"/>
              </w:rPr>
              <w:t xml:space="preserve">Środki operacyjne </w:t>
            </w:r>
          </w:p>
        </w:tc>
      </w:tr>
      <w:tr w:rsidR="00E62D64" w:rsidRPr="00392E88" w14:paraId="354AD1DD" w14:textId="77777777">
        <w:trPr>
          <w:trHeight w:val="288"/>
        </w:trPr>
        <w:tc>
          <w:tcPr>
            <w:tcW w:w="1419" w:type="pct"/>
            <w:vMerge w:val="restart"/>
            <w:tcBorders>
              <w:top w:val="nil"/>
              <w:left w:val="single" w:sz="8" w:space="0" w:color="auto"/>
              <w:bottom w:val="single" w:sz="8" w:space="0" w:color="auto"/>
              <w:right w:val="single" w:sz="8" w:space="0" w:color="auto"/>
            </w:tcBorders>
            <w:noWrap/>
            <w:vAlign w:val="center"/>
            <w:hideMark/>
          </w:tcPr>
          <w:p w14:paraId="37EF233B" w14:textId="77777777" w:rsidR="00044D5B" w:rsidRPr="00392E88" w:rsidRDefault="00044D5B">
            <w:pPr>
              <w:spacing w:before="0" w:after="0"/>
              <w:jc w:val="left"/>
              <w:rPr>
                <w:color w:val="000000"/>
                <w:sz w:val="22"/>
              </w:rPr>
            </w:pPr>
            <w:r w:rsidRPr="00392E88">
              <w:rPr>
                <w:color w:val="000000"/>
                <w:sz w:val="22"/>
              </w:rPr>
              <w:t>Linia budżetowa</w:t>
            </w:r>
          </w:p>
        </w:tc>
        <w:tc>
          <w:tcPr>
            <w:tcW w:w="529" w:type="pct"/>
            <w:gridSpan w:val="2"/>
            <w:tcBorders>
              <w:top w:val="nil"/>
              <w:left w:val="nil"/>
              <w:bottom w:val="single" w:sz="8" w:space="0" w:color="auto"/>
              <w:right w:val="single" w:sz="8" w:space="0" w:color="auto"/>
            </w:tcBorders>
            <w:vAlign w:val="center"/>
            <w:hideMark/>
          </w:tcPr>
          <w:p w14:paraId="6C2769EB" w14:textId="77777777" w:rsidR="00044D5B" w:rsidRPr="00392E88" w:rsidRDefault="00044D5B">
            <w:pPr>
              <w:spacing w:before="0" w:after="0"/>
              <w:rPr>
                <w:color w:val="000000"/>
                <w:sz w:val="18"/>
                <w:szCs w:val="18"/>
              </w:rPr>
            </w:pPr>
            <w:r w:rsidRPr="00392E88">
              <w:rPr>
                <w:color w:val="000000"/>
                <w:sz w:val="18"/>
              </w:rPr>
              <w:t>Środki na zobowiązania</w:t>
            </w:r>
          </w:p>
        </w:tc>
        <w:tc>
          <w:tcPr>
            <w:tcW w:w="496" w:type="pct"/>
            <w:tcBorders>
              <w:top w:val="single" w:sz="8" w:space="0" w:color="auto"/>
              <w:left w:val="nil"/>
              <w:bottom w:val="single" w:sz="8" w:space="0" w:color="auto"/>
              <w:right w:val="single" w:sz="8" w:space="0" w:color="auto"/>
            </w:tcBorders>
            <w:vAlign w:val="center"/>
            <w:hideMark/>
          </w:tcPr>
          <w:p w14:paraId="3F175442" w14:textId="77777777" w:rsidR="00044D5B" w:rsidRPr="00392E88" w:rsidRDefault="00044D5B">
            <w:pPr>
              <w:spacing w:before="0" w:after="0"/>
              <w:jc w:val="center"/>
              <w:rPr>
                <w:color w:val="000000"/>
                <w:sz w:val="14"/>
                <w:szCs w:val="14"/>
              </w:rPr>
            </w:pPr>
            <w:r w:rsidRPr="00392E88">
              <w:rPr>
                <w:color w:val="000000"/>
                <w:sz w:val="14"/>
              </w:rPr>
              <w:t>(1a)</w:t>
            </w:r>
          </w:p>
        </w:tc>
        <w:tc>
          <w:tcPr>
            <w:tcW w:w="496" w:type="pct"/>
            <w:gridSpan w:val="2"/>
            <w:tcBorders>
              <w:top w:val="nil"/>
              <w:left w:val="nil"/>
              <w:bottom w:val="single" w:sz="8" w:space="0" w:color="auto"/>
              <w:right w:val="single" w:sz="8" w:space="0" w:color="auto"/>
            </w:tcBorders>
            <w:vAlign w:val="center"/>
            <w:hideMark/>
          </w:tcPr>
          <w:p w14:paraId="7D08336D" w14:textId="77777777" w:rsidR="00044D5B" w:rsidRPr="00392E88" w:rsidRDefault="00044D5B">
            <w:pPr>
              <w:spacing w:before="0" w:after="0"/>
              <w:jc w:val="right"/>
              <w:rPr>
                <w:color w:val="000000"/>
                <w:sz w:val="20"/>
                <w:szCs w:val="20"/>
              </w:rPr>
            </w:pPr>
            <w:r w:rsidRPr="00392E88">
              <w:rPr>
                <w:color w:val="000000"/>
                <w:sz w:val="20"/>
              </w:rPr>
              <w:t xml:space="preserve"> </w:t>
            </w:r>
          </w:p>
        </w:tc>
        <w:tc>
          <w:tcPr>
            <w:tcW w:w="496" w:type="pct"/>
            <w:gridSpan w:val="2"/>
            <w:tcBorders>
              <w:top w:val="nil"/>
              <w:left w:val="nil"/>
              <w:bottom w:val="single" w:sz="8" w:space="0" w:color="auto"/>
              <w:right w:val="single" w:sz="8" w:space="0" w:color="auto"/>
            </w:tcBorders>
            <w:vAlign w:val="center"/>
            <w:hideMark/>
          </w:tcPr>
          <w:p w14:paraId="3EA9D96E" w14:textId="77777777" w:rsidR="00044D5B" w:rsidRPr="00392E88" w:rsidRDefault="00044D5B">
            <w:pPr>
              <w:spacing w:before="0" w:after="0"/>
              <w:jc w:val="right"/>
              <w:rPr>
                <w:color w:val="000000"/>
                <w:sz w:val="20"/>
                <w:szCs w:val="20"/>
              </w:rPr>
            </w:pPr>
            <w:r w:rsidRPr="00392E88">
              <w:rPr>
                <w:color w:val="000000"/>
                <w:sz w:val="20"/>
              </w:rPr>
              <w:t xml:space="preserve"> </w:t>
            </w:r>
          </w:p>
        </w:tc>
        <w:tc>
          <w:tcPr>
            <w:tcW w:w="496" w:type="pct"/>
            <w:gridSpan w:val="2"/>
            <w:tcBorders>
              <w:top w:val="nil"/>
              <w:left w:val="nil"/>
              <w:bottom w:val="single" w:sz="8" w:space="0" w:color="auto"/>
              <w:right w:val="single" w:sz="8" w:space="0" w:color="auto"/>
            </w:tcBorders>
            <w:vAlign w:val="center"/>
            <w:hideMark/>
          </w:tcPr>
          <w:p w14:paraId="15071C1E" w14:textId="77777777" w:rsidR="00044D5B" w:rsidRPr="00392E88" w:rsidRDefault="00044D5B">
            <w:pPr>
              <w:spacing w:before="0" w:after="0"/>
              <w:jc w:val="right"/>
              <w:rPr>
                <w:color w:val="000000"/>
                <w:sz w:val="20"/>
                <w:szCs w:val="20"/>
              </w:rPr>
            </w:pPr>
            <w:r w:rsidRPr="00392E88">
              <w:rPr>
                <w:color w:val="000000"/>
                <w:sz w:val="20"/>
              </w:rPr>
              <w:t xml:space="preserve"> </w:t>
            </w:r>
          </w:p>
        </w:tc>
        <w:tc>
          <w:tcPr>
            <w:tcW w:w="478" w:type="pct"/>
            <w:tcBorders>
              <w:top w:val="nil"/>
              <w:left w:val="nil"/>
              <w:bottom w:val="single" w:sz="8" w:space="0" w:color="auto"/>
              <w:right w:val="single" w:sz="8" w:space="0" w:color="auto"/>
            </w:tcBorders>
            <w:vAlign w:val="center"/>
            <w:hideMark/>
          </w:tcPr>
          <w:p w14:paraId="4CCE657E" w14:textId="77777777" w:rsidR="00044D5B" w:rsidRPr="00392E88" w:rsidRDefault="00044D5B">
            <w:pPr>
              <w:spacing w:before="0" w:after="0"/>
              <w:jc w:val="right"/>
              <w:rPr>
                <w:color w:val="000000"/>
                <w:sz w:val="20"/>
                <w:szCs w:val="20"/>
              </w:rPr>
            </w:pPr>
            <w:r w:rsidRPr="00392E88">
              <w:rPr>
                <w:color w:val="000000"/>
                <w:sz w:val="20"/>
              </w:rPr>
              <w:t xml:space="preserve"> </w:t>
            </w:r>
          </w:p>
        </w:tc>
        <w:tc>
          <w:tcPr>
            <w:tcW w:w="590" w:type="pct"/>
            <w:gridSpan w:val="2"/>
            <w:tcBorders>
              <w:top w:val="nil"/>
              <w:left w:val="nil"/>
              <w:bottom w:val="single" w:sz="8" w:space="0" w:color="auto"/>
              <w:right w:val="single" w:sz="8" w:space="0" w:color="auto"/>
            </w:tcBorders>
            <w:shd w:val="clear" w:color="000000" w:fill="D9D9D9"/>
            <w:vAlign w:val="center"/>
            <w:hideMark/>
          </w:tcPr>
          <w:p w14:paraId="25186E43" w14:textId="77777777" w:rsidR="00044D5B" w:rsidRPr="00392E88" w:rsidRDefault="00044D5B">
            <w:pPr>
              <w:spacing w:before="0" w:after="0"/>
              <w:jc w:val="right"/>
              <w:rPr>
                <w:b/>
                <w:bCs/>
                <w:color w:val="000000"/>
                <w:sz w:val="20"/>
                <w:szCs w:val="20"/>
              </w:rPr>
            </w:pPr>
            <w:r w:rsidRPr="00392E88">
              <w:rPr>
                <w:b/>
                <w:color w:val="000000"/>
                <w:sz w:val="20"/>
              </w:rPr>
              <w:t>0,000</w:t>
            </w:r>
          </w:p>
        </w:tc>
      </w:tr>
      <w:tr w:rsidR="00E62D64" w:rsidRPr="00392E88" w14:paraId="5962845D" w14:textId="77777777">
        <w:trPr>
          <w:trHeight w:val="315"/>
        </w:trPr>
        <w:tc>
          <w:tcPr>
            <w:tcW w:w="1419" w:type="pct"/>
            <w:vMerge/>
            <w:tcBorders>
              <w:top w:val="nil"/>
              <w:left w:val="single" w:sz="8" w:space="0" w:color="auto"/>
              <w:bottom w:val="single" w:sz="8" w:space="0" w:color="auto"/>
              <w:right w:val="single" w:sz="8" w:space="0" w:color="auto"/>
            </w:tcBorders>
            <w:vAlign w:val="center"/>
            <w:hideMark/>
          </w:tcPr>
          <w:p w14:paraId="1261D6BE" w14:textId="77777777" w:rsidR="00044D5B" w:rsidRPr="00392E88" w:rsidRDefault="00044D5B">
            <w:pPr>
              <w:spacing w:before="0" w:after="0"/>
              <w:jc w:val="left"/>
              <w:rPr>
                <w:color w:val="000000"/>
                <w:sz w:val="22"/>
                <w:lang w:eastAsia="en-IE"/>
              </w:rPr>
            </w:pPr>
          </w:p>
        </w:tc>
        <w:tc>
          <w:tcPr>
            <w:tcW w:w="529" w:type="pct"/>
            <w:gridSpan w:val="2"/>
            <w:tcBorders>
              <w:top w:val="nil"/>
              <w:left w:val="nil"/>
              <w:bottom w:val="single" w:sz="8" w:space="0" w:color="auto"/>
              <w:right w:val="single" w:sz="8" w:space="0" w:color="auto"/>
            </w:tcBorders>
            <w:vAlign w:val="center"/>
            <w:hideMark/>
          </w:tcPr>
          <w:p w14:paraId="4E77E720" w14:textId="77777777" w:rsidR="00044D5B" w:rsidRPr="00392E88" w:rsidRDefault="00044D5B">
            <w:pPr>
              <w:spacing w:before="0" w:after="0"/>
              <w:rPr>
                <w:color w:val="000000"/>
                <w:sz w:val="18"/>
                <w:szCs w:val="18"/>
              </w:rPr>
            </w:pPr>
            <w:r w:rsidRPr="00392E88">
              <w:rPr>
                <w:color w:val="000000"/>
                <w:sz w:val="18"/>
              </w:rPr>
              <w:t>Środki na płatności</w:t>
            </w:r>
          </w:p>
        </w:tc>
        <w:tc>
          <w:tcPr>
            <w:tcW w:w="496" w:type="pct"/>
            <w:tcBorders>
              <w:top w:val="single" w:sz="8" w:space="0" w:color="auto"/>
              <w:left w:val="nil"/>
              <w:bottom w:val="single" w:sz="8" w:space="0" w:color="auto"/>
              <w:right w:val="single" w:sz="8" w:space="0" w:color="auto"/>
            </w:tcBorders>
            <w:vAlign w:val="center"/>
            <w:hideMark/>
          </w:tcPr>
          <w:p w14:paraId="68EAA7FD" w14:textId="77777777" w:rsidR="00044D5B" w:rsidRPr="00392E88" w:rsidRDefault="00044D5B">
            <w:pPr>
              <w:spacing w:before="0" w:after="0"/>
              <w:jc w:val="center"/>
              <w:rPr>
                <w:color w:val="000000"/>
                <w:sz w:val="14"/>
                <w:szCs w:val="14"/>
              </w:rPr>
            </w:pPr>
            <w:r w:rsidRPr="00392E88">
              <w:rPr>
                <w:color w:val="000000"/>
                <w:sz w:val="14"/>
              </w:rPr>
              <w:t>(2a)</w:t>
            </w:r>
          </w:p>
        </w:tc>
        <w:tc>
          <w:tcPr>
            <w:tcW w:w="496" w:type="pct"/>
            <w:gridSpan w:val="2"/>
            <w:tcBorders>
              <w:top w:val="nil"/>
              <w:left w:val="nil"/>
              <w:bottom w:val="single" w:sz="8" w:space="0" w:color="auto"/>
              <w:right w:val="single" w:sz="8" w:space="0" w:color="auto"/>
            </w:tcBorders>
            <w:vAlign w:val="center"/>
            <w:hideMark/>
          </w:tcPr>
          <w:p w14:paraId="0D3B8E4C" w14:textId="77777777" w:rsidR="00044D5B" w:rsidRPr="00392E88" w:rsidRDefault="00044D5B">
            <w:pPr>
              <w:spacing w:before="0" w:after="0"/>
              <w:jc w:val="right"/>
              <w:rPr>
                <w:color w:val="000000"/>
                <w:sz w:val="20"/>
                <w:szCs w:val="20"/>
              </w:rPr>
            </w:pPr>
            <w:r w:rsidRPr="00392E88">
              <w:rPr>
                <w:color w:val="000000"/>
                <w:sz w:val="20"/>
              </w:rPr>
              <w:t xml:space="preserve"> </w:t>
            </w:r>
          </w:p>
        </w:tc>
        <w:tc>
          <w:tcPr>
            <w:tcW w:w="496" w:type="pct"/>
            <w:gridSpan w:val="2"/>
            <w:tcBorders>
              <w:top w:val="nil"/>
              <w:left w:val="nil"/>
              <w:bottom w:val="single" w:sz="8" w:space="0" w:color="auto"/>
              <w:right w:val="single" w:sz="8" w:space="0" w:color="auto"/>
            </w:tcBorders>
            <w:vAlign w:val="center"/>
            <w:hideMark/>
          </w:tcPr>
          <w:p w14:paraId="40CEB6FA" w14:textId="77777777" w:rsidR="00044D5B" w:rsidRPr="00392E88" w:rsidRDefault="00044D5B">
            <w:pPr>
              <w:spacing w:before="0" w:after="0"/>
              <w:jc w:val="right"/>
              <w:rPr>
                <w:color w:val="000000"/>
                <w:sz w:val="20"/>
                <w:szCs w:val="20"/>
              </w:rPr>
            </w:pPr>
            <w:r w:rsidRPr="00392E88">
              <w:rPr>
                <w:color w:val="000000"/>
                <w:sz w:val="20"/>
              </w:rPr>
              <w:t xml:space="preserve"> </w:t>
            </w:r>
          </w:p>
        </w:tc>
        <w:tc>
          <w:tcPr>
            <w:tcW w:w="496" w:type="pct"/>
            <w:gridSpan w:val="2"/>
            <w:tcBorders>
              <w:top w:val="nil"/>
              <w:left w:val="nil"/>
              <w:bottom w:val="single" w:sz="8" w:space="0" w:color="auto"/>
              <w:right w:val="single" w:sz="8" w:space="0" w:color="auto"/>
            </w:tcBorders>
            <w:vAlign w:val="center"/>
            <w:hideMark/>
          </w:tcPr>
          <w:p w14:paraId="554E6598" w14:textId="77777777" w:rsidR="00044D5B" w:rsidRPr="00392E88" w:rsidRDefault="00044D5B">
            <w:pPr>
              <w:spacing w:before="0" w:after="0"/>
              <w:jc w:val="right"/>
              <w:rPr>
                <w:color w:val="000000"/>
                <w:sz w:val="20"/>
                <w:szCs w:val="20"/>
              </w:rPr>
            </w:pPr>
            <w:r w:rsidRPr="00392E88">
              <w:rPr>
                <w:color w:val="000000"/>
                <w:sz w:val="20"/>
              </w:rPr>
              <w:t xml:space="preserve"> </w:t>
            </w:r>
          </w:p>
        </w:tc>
        <w:tc>
          <w:tcPr>
            <w:tcW w:w="478" w:type="pct"/>
            <w:tcBorders>
              <w:top w:val="nil"/>
              <w:left w:val="nil"/>
              <w:bottom w:val="single" w:sz="8" w:space="0" w:color="auto"/>
              <w:right w:val="single" w:sz="8" w:space="0" w:color="auto"/>
            </w:tcBorders>
            <w:vAlign w:val="center"/>
            <w:hideMark/>
          </w:tcPr>
          <w:p w14:paraId="3B9C4AB7" w14:textId="77777777" w:rsidR="00044D5B" w:rsidRPr="00392E88" w:rsidRDefault="00044D5B">
            <w:pPr>
              <w:spacing w:before="0" w:after="0"/>
              <w:jc w:val="right"/>
              <w:rPr>
                <w:color w:val="000000"/>
                <w:sz w:val="20"/>
                <w:szCs w:val="20"/>
              </w:rPr>
            </w:pPr>
            <w:r w:rsidRPr="00392E88">
              <w:rPr>
                <w:color w:val="000000"/>
                <w:sz w:val="20"/>
              </w:rPr>
              <w:t xml:space="preserve"> </w:t>
            </w:r>
          </w:p>
        </w:tc>
        <w:tc>
          <w:tcPr>
            <w:tcW w:w="590" w:type="pct"/>
            <w:gridSpan w:val="2"/>
            <w:tcBorders>
              <w:top w:val="nil"/>
              <w:left w:val="nil"/>
              <w:bottom w:val="single" w:sz="8" w:space="0" w:color="auto"/>
              <w:right w:val="single" w:sz="8" w:space="0" w:color="auto"/>
            </w:tcBorders>
            <w:shd w:val="clear" w:color="000000" w:fill="D9D9D9"/>
            <w:vAlign w:val="center"/>
            <w:hideMark/>
          </w:tcPr>
          <w:p w14:paraId="75EB27CB" w14:textId="77777777" w:rsidR="00044D5B" w:rsidRPr="00392E88" w:rsidRDefault="00044D5B">
            <w:pPr>
              <w:spacing w:before="0" w:after="0"/>
              <w:jc w:val="right"/>
              <w:rPr>
                <w:b/>
                <w:bCs/>
                <w:color w:val="000000"/>
                <w:sz w:val="20"/>
                <w:szCs w:val="20"/>
              </w:rPr>
            </w:pPr>
            <w:r w:rsidRPr="00392E88">
              <w:rPr>
                <w:b/>
                <w:color w:val="000000"/>
                <w:sz w:val="20"/>
              </w:rPr>
              <w:t>0,000</w:t>
            </w:r>
          </w:p>
        </w:tc>
      </w:tr>
      <w:tr w:rsidR="00E62D64" w:rsidRPr="00392E88" w14:paraId="094E716E" w14:textId="77777777">
        <w:trPr>
          <w:trHeight w:val="315"/>
        </w:trPr>
        <w:tc>
          <w:tcPr>
            <w:tcW w:w="1419" w:type="pct"/>
            <w:vMerge w:val="restart"/>
            <w:tcBorders>
              <w:top w:val="nil"/>
              <w:left w:val="single" w:sz="8" w:space="0" w:color="auto"/>
              <w:bottom w:val="single" w:sz="8" w:space="0" w:color="auto"/>
              <w:right w:val="single" w:sz="8" w:space="0" w:color="auto"/>
            </w:tcBorders>
            <w:vAlign w:val="center"/>
            <w:hideMark/>
          </w:tcPr>
          <w:p w14:paraId="337CDA19" w14:textId="77777777" w:rsidR="00044D5B" w:rsidRPr="00392E88" w:rsidRDefault="00044D5B">
            <w:pPr>
              <w:spacing w:before="0" w:after="0"/>
              <w:rPr>
                <w:color w:val="000000"/>
                <w:sz w:val="20"/>
                <w:szCs w:val="20"/>
              </w:rPr>
            </w:pPr>
            <w:r w:rsidRPr="00392E88">
              <w:rPr>
                <w:color w:val="000000"/>
                <w:sz w:val="20"/>
              </w:rPr>
              <w:t>Linia budżetowa</w:t>
            </w:r>
          </w:p>
        </w:tc>
        <w:tc>
          <w:tcPr>
            <w:tcW w:w="529" w:type="pct"/>
            <w:gridSpan w:val="2"/>
            <w:tcBorders>
              <w:top w:val="nil"/>
              <w:left w:val="nil"/>
              <w:bottom w:val="single" w:sz="8" w:space="0" w:color="auto"/>
              <w:right w:val="single" w:sz="8" w:space="0" w:color="auto"/>
            </w:tcBorders>
            <w:vAlign w:val="center"/>
            <w:hideMark/>
          </w:tcPr>
          <w:p w14:paraId="57C7C3A7" w14:textId="77777777" w:rsidR="00044D5B" w:rsidRPr="00392E88" w:rsidRDefault="00044D5B">
            <w:pPr>
              <w:spacing w:before="0" w:after="0"/>
              <w:rPr>
                <w:color w:val="000000"/>
                <w:sz w:val="18"/>
                <w:szCs w:val="18"/>
              </w:rPr>
            </w:pPr>
            <w:r w:rsidRPr="00392E88">
              <w:rPr>
                <w:color w:val="000000"/>
                <w:sz w:val="18"/>
              </w:rPr>
              <w:t>Środki na zobowiązania</w:t>
            </w:r>
          </w:p>
        </w:tc>
        <w:tc>
          <w:tcPr>
            <w:tcW w:w="496" w:type="pct"/>
            <w:tcBorders>
              <w:top w:val="single" w:sz="8" w:space="0" w:color="auto"/>
              <w:left w:val="nil"/>
              <w:bottom w:val="single" w:sz="8" w:space="0" w:color="auto"/>
              <w:right w:val="single" w:sz="8" w:space="0" w:color="auto"/>
            </w:tcBorders>
            <w:vAlign w:val="center"/>
            <w:hideMark/>
          </w:tcPr>
          <w:p w14:paraId="25A9BDF4" w14:textId="77777777" w:rsidR="00044D5B" w:rsidRPr="00392E88" w:rsidRDefault="00044D5B">
            <w:pPr>
              <w:spacing w:before="0" w:after="0"/>
              <w:jc w:val="center"/>
              <w:rPr>
                <w:color w:val="000000"/>
                <w:sz w:val="14"/>
                <w:szCs w:val="14"/>
              </w:rPr>
            </w:pPr>
            <w:r w:rsidRPr="00392E88">
              <w:rPr>
                <w:color w:val="000000"/>
                <w:sz w:val="14"/>
              </w:rPr>
              <w:t>(1b)</w:t>
            </w:r>
          </w:p>
        </w:tc>
        <w:tc>
          <w:tcPr>
            <w:tcW w:w="496" w:type="pct"/>
            <w:gridSpan w:val="2"/>
            <w:tcBorders>
              <w:top w:val="nil"/>
              <w:left w:val="nil"/>
              <w:bottom w:val="single" w:sz="8" w:space="0" w:color="auto"/>
              <w:right w:val="single" w:sz="8" w:space="0" w:color="auto"/>
            </w:tcBorders>
            <w:vAlign w:val="center"/>
            <w:hideMark/>
          </w:tcPr>
          <w:p w14:paraId="7BE8FCC6" w14:textId="77777777" w:rsidR="00044D5B" w:rsidRPr="00392E88" w:rsidRDefault="00044D5B">
            <w:pPr>
              <w:spacing w:before="0" w:after="0"/>
              <w:jc w:val="right"/>
              <w:rPr>
                <w:color w:val="000000"/>
                <w:sz w:val="20"/>
                <w:szCs w:val="20"/>
              </w:rPr>
            </w:pPr>
            <w:r w:rsidRPr="00392E88">
              <w:rPr>
                <w:color w:val="000000"/>
                <w:sz w:val="20"/>
              </w:rPr>
              <w:t xml:space="preserve"> </w:t>
            </w:r>
          </w:p>
        </w:tc>
        <w:tc>
          <w:tcPr>
            <w:tcW w:w="496" w:type="pct"/>
            <w:gridSpan w:val="2"/>
            <w:tcBorders>
              <w:top w:val="nil"/>
              <w:left w:val="nil"/>
              <w:bottom w:val="single" w:sz="8" w:space="0" w:color="auto"/>
              <w:right w:val="single" w:sz="8" w:space="0" w:color="auto"/>
            </w:tcBorders>
            <w:vAlign w:val="center"/>
            <w:hideMark/>
          </w:tcPr>
          <w:p w14:paraId="34362E8B" w14:textId="77777777" w:rsidR="00044D5B" w:rsidRPr="00392E88" w:rsidRDefault="00044D5B">
            <w:pPr>
              <w:spacing w:before="0" w:after="0"/>
              <w:jc w:val="right"/>
              <w:rPr>
                <w:color w:val="000000"/>
                <w:sz w:val="20"/>
                <w:szCs w:val="20"/>
              </w:rPr>
            </w:pPr>
            <w:r w:rsidRPr="00392E88">
              <w:rPr>
                <w:color w:val="000000"/>
                <w:sz w:val="20"/>
              </w:rPr>
              <w:t xml:space="preserve"> </w:t>
            </w:r>
          </w:p>
        </w:tc>
        <w:tc>
          <w:tcPr>
            <w:tcW w:w="496" w:type="pct"/>
            <w:gridSpan w:val="2"/>
            <w:tcBorders>
              <w:top w:val="nil"/>
              <w:left w:val="nil"/>
              <w:bottom w:val="single" w:sz="8" w:space="0" w:color="auto"/>
              <w:right w:val="single" w:sz="8" w:space="0" w:color="auto"/>
            </w:tcBorders>
            <w:vAlign w:val="center"/>
            <w:hideMark/>
          </w:tcPr>
          <w:p w14:paraId="1DA452A8" w14:textId="77777777" w:rsidR="00044D5B" w:rsidRPr="00392E88" w:rsidRDefault="00044D5B">
            <w:pPr>
              <w:spacing w:before="0" w:after="0"/>
              <w:jc w:val="right"/>
              <w:rPr>
                <w:color w:val="000000"/>
                <w:sz w:val="20"/>
                <w:szCs w:val="20"/>
              </w:rPr>
            </w:pPr>
            <w:r w:rsidRPr="00392E88">
              <w:rPr>
                <w:color w:val="000000"/>
                <w:sz w:val="20"/>
              </w:rPr>
              <w:t xml:space="preserve"> </w:t>
            </w:r>
          </w:p>
        </w:tc>
        <w:tc>
          <w:tcPr>
            <w:tcW w:w="478" w:type="pct"/>
            <w:tcBorders>
              <w:top w:val="nil"/>
              <w:left w:val="nil"/>
              <w:bottom w:val="single" w:sz="8" w:space="0" w:color="auto"/>
              <w:right w:val="single" w:sz="8" w:space="0" w:color="auto"/>
            </w:tcBorders>
            <w:vAlign w:val="center"/>
            <w:hideMark/>
          </w:tcPr>
          <w:p w14:paraId="4403A76F" w14:textId="77777777" w:rsidR="00044D5B" w:rsidRPr="00392E88" w:rsidRDefault="00044D5B">
            <w:pPr>
              <w:spacing w:before="0" w:after="0"/>
              <w:jc w:val="right"/>
              <w:rPr>
                <w:color w:val="000000"/>
                <w:sz w:val="20"/>
                <w:szCs w:val="20"/>
              </w:rPr>
            </w:pPr>
            <w:r w:rsidRPr="00392E88">
              <w:rPr>
                <w:color w:val="000000"/>
                <w:sz w:val="20"/>
              </w:rPr>
              <w:t xml:space="preserve"> </w:t>
            </w:r>
          </w:p>
        </w:tc>
        <w:tc>
          <w:tcPr>
            <w:tcW w:w="590" w:type="pct"/>
            <w:gridSpan w:val="2"/>
            <w:tcBorders>
              <w:top w:val="nil"/>
              <w:left w:val="nil"/>
              <w:bottom w:val="single" w:sz="8" w:space="0" w:color="auto"/>
              <w:right w:val="single" w:sz="8" w:space="0" w:color="auto"/>
            </w:tcBorders>
            <w:shd w:val="clear" w:color="000000" w:fill="D9D9D9"/>
            <w:vAlign w:val="center"/>
            <w:hideMark/>
          </w:tcPr>
          <w:p w14:paraId="5B3B3433" w14:textId="77777777" w:rsidR="00044D5B" w:rsidRPr="00392E88" w:rsidRDefault="00044D5B">
            <w:pPr>
              <w:spacing w:before="0" w:after="0"/>
              <w:jc w:val="right"/>
              <w:rPr>
                <w:b/>
                <w:bCs/>
                <w:color w:val="000000"/>
                <w:sz w:val="20"/>
                <w:szCs w:val="20"/>
              </w:rPr>
            </w:pPr>
            <w:r w:rsidRPr="00392E88">
              <w:rPr>
                <w:b/>
                <w:color w:val="000000"/>
                <w:sz w:val="20"/>
              </w:rPr>
              <w:t>0,000</w:t>
            </w:r>
          </w:p>
        </w:tc>
      </w:tr>
      <w:tr w:rsidR="00E62D64" w:rsidRPr="00392E88" w14:paraId="59E9B821" w14:textId="77777777">
        <w:trPr>
          <w:trHeight w:val="315"/>
        </w:trPr>
        <w:tc>
          <w:tcPr>
            <w:tcW w:w="1419" w:type="pct"/>
            <w:vMerge/>
            <w:tcBorders>
              <w:top w:val="nil"/>
              <w:left w:val="single" w:sz="8" w:space="0" w:color="auto"/>
              <w:bottom w:val="single" w:sz="8" w:space="0" w:color="auto"/>
              <w:right w:val="single" w:sz="8" w:space="0" w:color="auto"/>
            </w:tcBorders>
            <w:vAlign w:val="center"/>
            <w:hideMark/>
          </w:tcPr>
          <w:p w14:paraId="216247D4" w14:textId="77777777" w:rsidR="00044D5B" w:rsidRPr="00392E88" w:rsidRDefault="00044D5B">
            <w:pPr>
              <w:spacing w:before="0" w:after="0"/>
              <w:jc w:val="left"/>
              <w:rPr>
                <w:color w:val="000000"/>
                <w:sz w:val="20"/>
                <w:szCs w:val="20"/>
                <w:lang w:eastAsia="en-IE"/>
              </w:rPr>
            </w:pPr>
          </w:p>
        </w:tc>
        <w:tc>
          <w:tcPr>
            <w:tcW w:w="529" w:type="pct"/>
            <w:gridSpan w:val="2"/>
            <w:tcBorders>
              <w:top w:val="nil"/>
              <w:left w:val="nil"/>
              <w:bottom w:val="single" w:sz="8" w:space="0" w:color="auto"/>
              <w:right w:val="single" w:sz="8" w:space="0" w:color="auto"/>
            </w:tcBorders>
            <w:vAlign w:val="center"/>
            <w:hideMark/>
          </w:tcPr>
          <w:p w14:paraId="526A52B3" w14:textId="77777777" w:rsidR="00044D5B" w:rsidRPr="00392E88" w:rsidRDefault="00044D5B">
            <w:pPr>
              <w:spacing w:before="0" w:after="0"/>
              <w:rPr>
                <w:color w:val="000000"/>
                <w:sz w:val="18"/>
                <w:szCs w:val="18"/>
              </w:rPr>
            </w:pPr>
            <w:r w:rsidRPr="00392E88">
              <w:rPr>
                <w:color w:val="000000"/>
                <w:sz w:val="18"/>
              </w:rPr>
              <w:t>Środki na płatności</w:t>
            </w:r>
          </w:p>
        </w:tc>
        <w:tc>
          <w:tcPr>
            <w:tcW w:w="496" w:type="pct"/>
            <w:tcBorders>
              <w:top w:val="single" w:sz="8" w:space="0" w:color="auto"/>
              <w:left w:val="nil"/>
              <w:bottom w:val="single" w:sz="8" w:space="0" w:color="auto"/>
              <w:right w:val="single" w:sz="8" w:space="0" w:color="auto"/>
            </w:tcBorders>
            <w:vAlign w:val="center"/>
            <w:hideMark/>
          </w:tcPr>
          <w:p w14:paraId="53F39031" w14:textId="77777777" w:rsidR="00044D5B" w:rsidRPr="00392E88" w:rsidRDefault="00044D5B">
            <w:pPr>
              <w:spacing w:before="0" w:after="0"/>
              <w:jc w:val="center"/>
              <w:rPr>
                <w:color w:val="000000"/>
                <w:sz w:val="14"/>
                <w:szCs w:val="14"/>
              </w:rPr>
            </w:pPr>
            <w:r w:rsidRPr="00392E88">
              <w:rPr>
                <w:color w:val="000000"/>
                <w:sz w:val="14"/>
              </w:rPr>
              <w:t>(2b)</w:t>
            </w:r>
          </w:p>
        </w:tc>
        <w:tc>
          <w:tcPr>
            <w:tcW w:w="496" w:type="pct"/>
            <w:gridSpan w:val="2"/>
            <w:tcBorders>
              <w:top w:val="nil"/>
              <w:left w:val="nil"/>
              <w:bottom w:val="single" w:sz="8" w:space="0" w:color="auto"/>
              <w:right w:val="single" w:sz="8" w:space="0" w:color="auto"/>
            </w:tcBorders>
            <w:vAlign w:val="center"/>
            <w:hideMark/>
          </w:tcPr>
          <w:p w14:paraId="41EF889C" w14:textId="77777777" w:rsidR="00044D5B" w:rsidRPr="00392E88" w:rsidRDefault="00044D5B">
            <w:pPr>
              <w:spacing w:before="0" w:after="0"/>
              <w:jc w:val="right"/>
              <w:rPr>
                <w:color w:val="000000"/>
                <w:sz w:val="20"/>
                <w:szCs w:val="20"/>
              </w:rPr>
            </w:pPr>
            <w:r w:rsidRPr="00392E88">
              <w:rPr>
                <w:color w:val="000000"/>
                <w:sz w:val="20"/>
              </w:rPr>
              <w:t xml:space="preserve"> </w:t>
            </w:r>
          </w:p>
        </w:tc>
        <w:tc>
          <w:tcPr>
            <w:tcW w:w="496" w:type="pct"/>
            <w:gridSpan w:val="2"/>
            <w:tcBorders>
              <w:top w:val="nil"/>
              <w:left w:val="nil"/>
              <w:bottom w:val="single" w:sz="8" w:space="0" w:color="auto"/>
              <w:right w:val="single" w:sz="8" w:space="0" w:color="auto"/>
            </w:tcBorders>
            <w:vAlign w:val="center"/>
            <w:hideMark/>
          </w:tcPr>
          <w:p w14:paraId="1D58963A" w14:textId="77777777" w:rsidR="00044D5B" w:rsidRPr="00392E88" w:rsidRDefault="00044D5B">
            <w:pPr>
              <w:spacing w:before="0" w:after="0"/>
              <w:jc w:val="right"/>
              <w:rPr>
                <w:color w:val="000000"/>
                <w:sz w:val="20"/>
                <w:szCs w:val="20"/>
              </w:rPr>
            </w:pPr>
            <w:r w:rsidRPr="00392E88">
              <w:rPr>
                <w:color w:val="000000"/>
                <w:sz w:val="20"/>
              </w:rPr>
              <w:t xml:space="preserve"> </w:t>
            </w:r>
          </w:p>
        </w:tc>
        <w:tc>
          <w:tcPr>
            <w:tcW w:w="496" w:type="pct"/>
            <w:gridSpan w:val="2"/>
            <w:tcBorders>
              <w:top w:val="nil"/>
              <w:left w:val="nil"/>
              <w:bottom w:val="single" w:sz="8" w:space="0" w:color="auto"/>
              <w:right w:val="single" w:sz="8" w:space="0" w:color="auto"/>
            </w:tcBorders>
            <w:vAlign w:val="center"/>
            <w:hideMark/>
          </w:tcPr>
          <w:p w14:paraId="6A87E278" w14:textId="77777777" w:rsidR="00044D5B" w:rsidRPr="00392E88" w:rsidRDefault="00044D5B">
            <w:pPr>
              <w:spacing w:before="0" w:after="0"/>
              <w:jc w:val="right"/>
              <w:rPr>
                <w:color w:val="000000"/>
                <w:sz w:val="20"/>
                <w:szCs w:val="20"/>
              </w:rPr>
            </w:pPr>
            <w:r w:rsidRPr="00392E88">
              <w:rPr>
                <w:color w:val="000000"/>
                <w:sz w:val="20"/>
              </w:rPr>
              <w:t xml:space="preserve"> </w:t>
            </w:r>
          </w:p>
        </w:tc>
        <w:tc>
          <w:tcPr>
            <w:tcW w:w="478" w:type="pct"/>
            <w:tcBorders>
              <w:top w:val="nil"/>
              <w:left w:val="nil"/>
              <w:bottom w:val="single" w:sz="8" w:space="0" w:color="auto"/>
              <w:right w:val="single" w:sz="8" w:space="0" w:color="auto"/>
            </w:tcBorders>
            <w:vAlign w:val="center"/>
            <w:hideMark/>
          </w:tcPr>
          <w:p w14:paraId="7A0806A8" w14:textId="77777777" w:rsidR="00044D5B" w:rsidRPr="00392E88" w:rsidRDefault="00044D5B">
            <w:pPr>
              <w:spacing w:before="0" w:after="0"/>
              <w:jc w:val="right"/>
              <w:rPr>
                <w:color w:val="000000"/>
                <w:sz w:val="20"/>
                <w:szCs w:val="20"/>
              </w:rPr>
            </w:pPr>
            <w:r w:rsidRPr="00392E88">
              <w:rPr>
                <w:color w:val="000000"/>
                <w:sz w:val="20"/>
              </w:rPr>
              <w:t xml:space="preserve"> </w:t>
            </w:r>
          </w:p>
        </w:tc>
        <w:tc>
          <w:tcPr>
            <w:tcW w:w="590" w:type="pct"/>
            <w:gridSpan w:val="2"/>
            <w:tcBorders>
              <w:top w:val="nil"/>
              <w:left w:val="nil"/>
              <w:bottom w:val="single" w:sz="8" w:space="0" w:color="auto"/>
              <w:right w:val="single" w:sz="8" w:space="0" w:color="auto"/>
            </w:tcBorders>
            <w:shd w:val="clear" w:color="000000" w:fill="D9D9D9"/>
            <w:vAlign w:val="center"/>
            <w:hideMark/>
          </w:tcPr>
          <w:p w14:paraId="20F45EE8" w14:textId="77777777" w:rsidR="00044D5B" w:rsidRPr="00392E88" w:rsidRDefault="00044D5B">
            <w:pPr>
              <w:spacing w:before="0" w:after="0"/>
              <w:jc w:val="right"/>
              <w:rPr>
                <w:b/>
                <w:bCs/>
                <w:color w:val="000000"/>
                <w:sz w:val="20"/>
                <w:szCs w:val="20"/>
              </w:rPr>
            </w:pPr>
            <w:r w:rsidRPr="00392E88">
              <w:rPr>
                <w:b/>
                <w:color w:val="000000"/>
                <w:sz w:val="20"/>
              </w:rPr>
              <w:t>0,000</w:t>
            </w:r>
          </w:p>
        </w:tc>
      </w:tr>
      <w:tr w:rsidR="00511981" w:rsidRPr="00392E88" w14:paraId="06493DB6" w14:textId="77777777">
        <w:trPr>
          <w:trHeight w:val="288"/>
        </w:trPr>
        <w:tc>
          <w:tcPr>
            <w:tcW w:w="5000" w:type="pct"/>
            <w:gridSpan w:val="13"/>
            <w:tcBorders>
              <w:top w:val="single" w:sz="8" w:space="0" w:color="auto"/>
              <w:left w:val="single" w:sz="8" w:space="0" w:color="auto"/>
              <w:bottom w:val="single" w:sz="8" w:space="0" w:color="auto"/>
              <w:right w:val="single" w:sz="8" w:space="0" w:color="auto"/>
            </w:tcBorders>
            <w:noWrap/>
            <w:vAlign w:val="bottom"/>
            <w:hideMark/>
          </w:tcPr>
          <w:p w14:paraId="7649BF9F" w14:textId="77777777" w:rsidR="00044D5B" w:rsidRPr="00392E88" w:rsidRDefault="00044D5B">
            <w:pPr>
              <w:spacing w:before="0" w:after="0"/>
              <w:jc w:val="left"/>
              <w:rPr>
                <w:color w:val="000000"/>
                <w:sz w:val="22"/>
              </w:rPr>
            </w:pPr>
            <w:r w:rsidRPr="00392E88">
              <w:rPr>
                <w:color w:val="000000"/>
                <w:sz w:val="22"/>
              </w:rPr>
              <w:t>Środki administracyjne finansowane ze środków przydzielonych na określone programy</w:t>
            </w:r>
          </w:p>
        </w:tc>
      </w:tr>
      <w:tr w:rsidR="00E62D64" w:rsidRPr="00392E88" w14:paraId="4B201AF5" w14:textId="77777777">
        <w:trPr>
          <w:trHeight w:val="288"/>
        </w:trPr>
        <w:tc>
          <w:tcPr>
            <w:tcW w:w="1419" w:type="pct"/>
            <w:tcBorders>
              <w:top w:val="nil"/>
              <w:left w:val="single" w:sz="8" w:space="0" w:color="auto"/>
              <w:bottom w:val="single" w:sz="8" w:space="0" w:color="auto"/>
              <w:right w:val="single" w:sz="8" w:space="0" w:color="auto"/>
            </w:tcBorders>
            <w:vAlign w:val="center"/>
            <w:hideMark/>
          </w:tcPr>
          <w:p w14:paraId="42D127D7" w14:textId="77777777" w:rsidR="00044D5B" w:rsidRPr="00392E88" w:rsidRDefault="00044D5B">
            <w:pPr>
              <w:spacing w:before="0" w:after="0"/>
              <w:rPr>
                <w:color w:val="000000"/>
                <w:sz w:val="20"/>
                <w:szCs w:val="20"/>
              </w:rPr>
            </w:pPr>
            <w:r w:rsidRPr="00392E88">
              <w:rPr>
                <w:color w:val="000000"/>
                <w:sz w:val="20"/>
              </w:rPr>
              <w:t>Linia budżetowa</w:t>
            </w:r>
          </w:p>
        </w:tc>
        <w:tc>
          <w:tcPr>
            <w:tcW w:w="529" w:type="pct"/>
            <w:gridSpan w:val="2"/>
            <w:tcBorders>
              <w:top w:val="nil"/>
              <w:left w:val="nil"/>
              <w:bottom w:val="single" w:sz="8" w:space="0" w:color="auto"/>
              <w:right w:val="single" w:sz="8" w:space="0" w:color="auto"/>
            </w:tcBorders>
            <w:vAlign w:val="center"/>
            <w:hideMark/>
          </w:tcPr>
          <w:p w14:paraId="6CF229D6" w14:textId="77777777" w:rsidR="00044D5B" w:rsidRPr="00392E88" w:rsidRDefault="00044D5B">
            <w:pPr>
              <w:spacing w:before="0" w:after="0"/>
              <w:jc w:val="right"/>
              <w:rPr>
                <w:color w:val="000000"/>
                <w:sz w:val="18"/>
                <w:szCs w:val="18"/>
              </w:rPr>
            </w:pPr>
            <w:r w:rsidRPr="00392E88">
              <w:rPr>
                <w:color w:val="000000"/>
                <w:sz w:val="18"/>
              </w:rPr>
              <w:t xml:space="preserve"> </w:t>
            </w:r>
          </w:p>
        </w:tc>
        <w:tc>
          <w:tcPr>
            <w:tcW w:w="496" w:type="pct"/>
            <w:tcBorders>
              <w:top w:val="single" w:sz="8" w:space="0" w:color="auto"/>
              <w:left w:val="nil"/>
              <w:bottom w:val="single" w:sz="8" w:space="0" w:color="auto"/>
              <w:right w:val="single" w:sz="8" w:space="0" w:color="auto"/>
            </w:tcBorders>
            <w:vAlign w:val="center"/>
            <w:hideMark/>
          </w:tcPr>
          <w:p w14:paraId="213BE291" w14:textId="77777777" w:rsidR="00044D5B" w:rsidRPr="00392E88" w:rsidRDefault="00044D5B">
            <w:pPr>
              <w:spacing w:before="0" w:after="0"/>
              <w:jc w:val="center"/>
              <w:rPr>
                <w:color w:val="000000"/>
                <w:sz w:val="14"/>
                <w:szCs w:val="14"/>
              </w:rPr>
            </w:pPr>
            <w:r w:rsidRPr="00392E88">
              <w:rPr>
                <w:color w:val="000000"/>
                <w:sz w:val="14"/>
              </w:rPr>
              <w:t>(3)</w:t>
            </w:r>
          </w:p>
        </w:tc>
        <w:tc>
          <w:tcPr>
            <w:tcW w:w="496" w:type="pct"/>
            <w:gridSpan w:val="2"/>
            <w:tcBorders>
              <w:top w:val="nil"/>
              <w:left w:val="nil"/>
              <w:bottom w:val="single" w:sz="8" w:space="0" w:color="auto"/>
              <w:right w:val="single" w:sz="8" w:space="0" w:color="auto"/>
            </w:tcBorders>
            <w:vAlign w:val="center"/>
            <w:hideMark/>
          </w:tcPr>
          <w:p w14:paraId="116F96D7" w14:textId="77777777" w:rsidR="00044D5B" w:rsidRPr="00392E88" w:rsidRDefault="00044D5B">
            <w:pPr>
              <w:spacing w:before="0" w:after="0"/>
              <w:jc w:val="right"/>
              <w:rPr>
                <w:b/>
                <w:bCs/>
                <w:color w:val="000000"/>
                <w:sz w:val="20"/>
                <w:szCs w:val="20"/>
              </w:rPr>
            </w:pPr>
            <w:r w:rsidRPr="00392E88">
              <w:rPr>
                <w:b/>
                <w:color w:val="000000"/>
                <w:sz w:val="20"/>
              </w:rPr>
              <w:t xml:space="preserve"> </w:t>
            </w:r>
          </w:p>
        </w:tc>
        <w:tc>
          <w:tcPr>
            <w:tcW w:w="496" w:type="pct"/>
            <w:gridSpan w:val="2"/>
            <w:tcBorders>
              <w:top w:val="nil"/>
              <w:left w:val="nil"/>
              <w:bottom w:val="single" w:sz="8" w:space="0" w:color="auto"/>
              <w:right w:val="single" w:sz="8" w:space="0" w:color="auto"/>
            </w:tcBorders>
            <w:vAlign w:val="center"/>
            <w:hideMark/>
          </w:tcPr>
          <w:p w14:paraId="00FA787F" w14:textId="77777777" w:rsidR="00044D5B" w:rsidRPr="00392E88" w:rsidRDefault="00044D5B">
            <w:pPr>
              <w:spacing w:before="0" w:after="0"/>
              <w:jc w:val="right"/>
              <w:rPr>
                <w:b/>
                <w:bCs/>
                <w:color w:val="000000"/>
                <w:sz w:val="20"/>
                <w:szCs w:val="20"/>
              </w:rPr>
            </w:pPr>
            <w:r w:rsidRPr="00392E88">
              <w:rPr>
                <w:b/>
                <w:color w:val="000000"/>
                <w:sz w:val="20"/>
              </w:rPr>
              <w:t xml:space="preserve"> </w:t>
            </w:r>
          </w:p>
        </w:tc>
        <w:tc>
          <w:tcPr>
            <w:tcW w:w="496" w:type="pct"/>
            <w:gridSpan w:val="2"/>
            <w:tcBorders>
              <w:top w:val="nil"/>
              <w:left w:val="nil"/>
              <w:bottom w:val="single" w:sz="8" w:space="0" w:color="auto"/>
              <w:right w:val="single" w:sz="8" w:space="0" w:color="auto"/>
            </w:tcBorders>
            <w:vAlign w:val="center"/>
            <w:hideMark/>
          </w:tcPr>
          <w:p w14:paraId="23ED5111" w14:textId="77777777" w:rsidR="00044D5B" w:rsidRPr="00392E88" w:rsidRDefault="00044D5B">
            <w:pPr>
              <w:spacing w:before="0" w:after="0"/>
              <w:jc w:val="right"/>
              <w:rPr>
                <w:b/>
                <w:bCs/>
                <w:color w:val="000000"/>
                <w:sz w:val="20"/>
                <w:szCs w:val="20"/>
              </w:rPr>
            </w:pPr>
            <w:r w:rsidRPr="00392E88">
              <w:rPr>
                <w:b/>
                <w:color w:val="000000"/>
                <w:sz w:val="20"/>
              </w:rPr>
              <w:t xml:space="preserve"> </w:t>
            </w:r>
          </w:p>
        </w:tc>
        <w:tc>
          <w:tcPr>
            <w:tcW w:w="478" w:type="pct"/>
            <w:tcBorders>
              <w:top w:val="nil"/>
              <w:left w:val="nil"/>
              <w:bottom w:val="single" w:sz="8" w:space="0" w:color="auto"/>
              <w:right w:val="single" w:sz="8" w:space="0" w:color="auto"/>
            </w:tcBorders>
            <w:vAlign w:val="center"/>
            <w:hideMark/>
          </w:tcPr>
          <w:p w14:paraId="624BC41A" w14:textId="77777777" w:rsidR="00044D5B" w:rsidRPr="00392E88" w:rsidRDefault="00044D5B">
            <w:pPr>
              <w:spacing w:before="0" w:after="0"/>
              <w:jc w:val="right"/>
              <w:rPr>
                <w:b/>
                <w:bCs/>
                <w:color w:val="000000"/>
                <w:sz w:val="20"/>
                <w:szCs w:val="20"/>
              </w:rPr>
            </w:pPr>
            <w:r w:rsidRPr="00392E88">
              <w:rPr>
                <w:b/>
                <w:color w:val="000000"/>
                <w:sz w:val="20"/>
              </w:rPr>
              <w:t xml:space="preserve"> </w:t>
            </w:r>
          </w:p>
        </w:tc>
        <w:tc>
          <w:tcPr>
            <w:tcW w:w="590" w:type="pct"/>
            <w:gridSpan w:val="2"/>
            <w:tcBorders>
              <w:top w:val="nil"/>
              <w:left w:val="nil"/>
              <w:bottom w:val="single" w:sz="8" w:space="0" w:color="auto"/>
              <w:right w:val="single" w:sz="8" w:space="0" w:color="auto"/>
            </w:tcBorders>
            <w:shd w:val="clear" w:color="000000" w:fill="D9D9D9"/>
            <w:vAlign w:val="center"/>
            <w:hideMark/>
          </w:tcPr>
          <w:p w14:paraId="0FAF175E" w14:textId="77777777" w:rsidR="00044D5B" w:rsidRPr="00392E88" w:rsidRDefault="00044D5B">
            <w:pPr>
              <w:spacing w:before="0" w:after="0"/>
              <w:jc w:val="right"/>
              <w:rPr>
                <w:b/>
                <w:bCs/>
                <w:color w:val="000000"/>
                <w:sz w:val="20"/>
                <w:szCs w:val="20"/>
              </w:rPr>
            </w:pPr>
            <w:r w:rsidRPr="00392E88">
              <w:rPr>
                <w:b/>
                <w:color w:val="000000"/>
                <w:sz w:val="20"/>
              </w:rPr>
              <w:t>0,000</w:t>
            </w:r>
          </w:p>
        </w:tc>
      </w:tr>
      <w:tr w:rsidR="00983E98" w:rsidRPr="00392E88" w14:paraId="57D510F8" w14:textId="77777777">
        <w:trPr>
          <w:trHeight w:val="288"/>
        </w:trPr>
        <w:tc>
          <w:tcPr>
            <w:tcW w:w="1419" w:type="pct"/>
            <w:vMerge w:val="restart"/>
            <w:tcBorders>
              <w:top w:val="nil"/>
              <w:left w:val="single" w:sz="8" w:space="0" w:color="auto"/>
              <w:right w:val="single" w:sz="8" w:space="0" w:color="auto"/>
            </w:tcBorders>
            <w:vAlign w:val="center"/>
            <w:hideMark/>
          </w:tcPr>
          <w:p w14:paraId="29B7107B" w14:textId="77777777" w:rsidR="00044D5B" w:rsidRPr="00392E88" w:rsidRDefault="00044D5B">
            <w:pPr>
              <w:spacing w:before="0" w:after="0"/>
              <w:jc w:val="center"/>
              <w:rPr>
                <w:b/>
                <w:bCs/>
                <w:color w:val="000000"/>
                <w:sz w:val="22"/>
              </w:rPr>
            </w:pPr>
            <w:r w:rsidRPr="00392E88">
              <w:rPr>
                <w:b/>
                <w:color w:val="000000"/>
                <w:sz w:val="22"/>
              </w:rPr>
              <w:t>OGÓŁEM środki</w:t>
            </w:r>
          </w:p>
          <w:p w14:paraId="6F00129A" w14:textId="77777777" w:rsidR="00044D5B" w:rsidRPr="00392E88" w:rsidRDefault="00044D5B">
            <w:pPr>
              <w:spacing w:before="0" w:after="0"/>
              <w:jc w:val="center"/>
              <w:rPr>
                <w:b/>
                <w:bCs/>
                <w:color w:val="000000"/>
                <w:sz w:val="22"/>
              </w:rPr>
            </w:pPr>
            <w:r w:rsidRPr="00392E88">
              <w:rPr>
                <w:b/>
                <w:color w:val="000000"/>
                <w:sz w:val="22"/>
              </w:rPr>
              <w:t xml:space="preserve">dla Dyrekcji Generalnej </w:t>
            </w:r>
            <w:r w:rsidRPr="00392E88">
              <w:rPr>
                <w:color w:val="000000"/>
                <w:sz w:val="22"/>
              </w:rPr>
              <w:t>&lt;…….&gt;</w:t>
            </w:r>
          </w:p>
        </w:tc>
        <w:tc>
          <w:tcPr>
            <w:tcW w:w="529" w:type="pct"/>
            <w:gridSpan w:val="2"/>
            <w:tcBorders>
              <w:top w:val="nil"/>
              <w:left w:val="nil"/>
              <w:bottom w:val="single" w:sz="8" w:space="0" w:color="auto"/>
              <w:right w:val="single" w:sz="8" w:space="0" w:color="auto"/>
            </w:tcBorders>
            <w:vAlign w:val="center"/>
            <w:hideMark/>
          </w:tcPr>
          <w:p w14:paraId="70D68891" w14:textId="77777777" w:rsidR="00044D5B" w:rsidRPr="00392E88" w:rsidRDefault="00044D5B">
            <w:pPr>
              <w:spacing w:before="0" w:after="0"/>
              <w:rPr>
                <w:color w:val="000000"/>
                <w:sz w:val="18"/>
                <w:szCs w:val="18"/>
              </w:rPr>
            </w:pPr>
            <w:r w:rsidRPr="00392E88">
              <w:rPr>
                <w:color w:val="000000"/>
                <w:sz w:val="18"/>
              </w:rPr>
              <w:t>Środki na zobowiązania</w:t>
            </w:r>
          </w:p>
        </w:tc>
        <w:tc>
          <w:tcPr>
            <w:tcW w:w="496" w:type="pct"/>
            <w:tcBorders>
              <w:top w:val="single" w:sz="8" w:space="0" w:color="auto"/>
              <w:left w:val="nil"/>
              <w:bottom w:val="single" w:sz="8" w:space="0" w:color="auto"/>
              <w:right w:val="single" w:sz="8" w:space="0" w:color="auto"/>
            </w:tcBorders>
            <w:vAlign w:val="center"/>
            <w:hideMark/>
          </w:tcPr>
          <w:p w14:paraId="71420ECB" w14:textId="77777777" w:rsidR="00044D5B" w:rsidRPr="00392E88" w:rsidRDefault="00044D5B">
            <w:pPr>
              <w:spacing w:before="0" w:after="0"/>
              <w:jc w:val="center"/>
              <w:rPr>
                <w:color w:val="000000"/>
                <w:sz w:val="14"/>
                <w:szCs w:val="14"/>
              </w:rPr>
            </w:pPr>
            <w:r w:rsidRPr="00392E88">
              <w:rPr>
                <w:color w:val="000000"/>
                <w:sz w:val="14"/>
              </w:rPr>
              <w:t>=1a+1b+3</w:t>
            </w:r>
          </w:p>
        </w:tc>
        <w:tc>
          <w:tcPr>
            <w:tcW w:w="496" w:type="pct"/>
            <w:gridSpan w:val="2"/>
            <w:tcBorders>
              <w:top w:val="nil"/>
              <w:left w:val="nil"/>
              <w:bottom w:val="single" w:sz="8" w:space="0" w:color="auto"/>
              <w:right w:val="single" w:sz="8" w:space="0" w:color="auto"/>
            </w:tcBorders>
            <w:shd w:val="clear" w:color="000000" w:fill="D9D9D9"/>
            <w:vAlign w:val="center"/>
            <w:hideMark/>
          </w:tcPr>
          <w:p w14:paraId="0E3E8626" w14:textId="77777777" w:rsidR="00044D5B" w:rsidRPr="00392E88" w:rsidRDefault="00044D5B">
            <w:pPr>
              <w:spacing w:before="0" w:after="0"/>
              <w:jc w:val="right"/>
              <w:rPr>
                <w:b/>
                <w:bCs/>
                <w:color w:val="000000"/>
                <w:sz w:val="20"/>
                <w:szCs w:val="20"/>
              </w:rPr>
            </w:pPr>
            <w:r w:rsidRPr="00392E88">
              <w:rPr>
                <w:b/>
                <w:color w:val="000000"/>
                <w:sz w:val="20"/>
              </w:rPr>
              <w:t>0,000</w:t>
            </w:r>
          </w:p>
        </w:tc>
        <w:tc>
          <w:tcPr>
            <w:tcW w:w="496" w:type="pct"/>
            <w:gridSpan w:val="2"/>
            <w:tcBorders>
              <w:top w:val="nil"/>
              <w:left w:val="nil"/>
              <w:bottom w:val="single" w:sz="8" w:space="0" w:color="auto"/>
              <w:right w:val="single" w:sz="8" w:space="0" w:color="auto"/>
            </w:tcBorders>
            <w:shd w:val="clear" w:color="000000" w:fill="D9D9D9"/>
            <w:vAlign w:val="center"/>
            <w:hideMark/>
          </w:tcPr>
          <w:p w14:paraId="0FAD11C9" w14:textId="77777777" w:rsidR="00044D5B" w:rsidRPr="00392E88" w:rsidRDefault="00044D5B">
            <w:pPr>
              <w:spacing w:before="0" w:after="0"/>
              <w:jc w:val="right"/>
              <w:rPr>
                <w:b/>
                <w:bCs/>
                <w:color w:val="000000"/>
                <w:sz w:val="20"/>
                <w:szCs w:val="20"/>
              </w:rPr>
            </w:pPr>
            <w:r w:rsidRPr="00392E88">
              <w:rPr>
                <w:b/>
                <w:color w:val="000000"/>
                <w:sz w:val="20"/>
              </w:rPr>
              <w:t>0,000</w:t>
            </w:r>
          </w:p>
        </w:tc>
        <w:tc>
          <w:tcPr>
            <w:tcW w:w="496" w:type="pct"/>
            <w:gridSpan w:val="2"/>
            <w:tcBorders>
              <w:top w:val="nil"/>
              <w:left w:val="nil"/>
              <w:bottom w:val="single" w:sz="8" w:space="0" w:color="auto"/>
              <w:right w:val="single" w:sz="8" w:space="0" w:color="auto"/>
            </w:tcBorders>
            <w:shd w:val="clear" w:color="000000" w:fill="D9D9D9"/>
            <w:vAlign w:val="center"/>
            <w:hideMark/>
          </w:tcPr>
          <w:p w14:paraId="7D900569" w14:textId="77777777" w:rsidR="00044D5B" w:rsidRPr="00392E88" w:rsidRDefault="00044D5B">
            <w:pPr>
              <w:spacing w:before="0" w:after="0"/>
              <w:jc w:val="right"/>
              <w:rPr>
                <w:b/>
                <w:bCs/>
                <w:color w:val="000000"/>
                <w:sz w:val="20"/>
                <w:szCs w:val="20"/>
              </w:rPr>
            </w:pPr>
            <w:r w:rsidRPr="00392E88">
              <w:rPr>
                <w:b/>
                <w:color w:val="000000"/>
                <w:sz w:val="20"/>
              </w:rPr>
              <w:t>0,000</w:t>
            </w:r>
          </w:p>
        </w:tc>
        <w:tc>
          <w:tcPr>
            <w:tcW w:w="478" w:type="pct"/>
            <w:tcBorders>
              <w:top w:val="nil"/>
              <w:left w:val="nil"/>
              <w:bottom w:val="single" w:sz="8" w:space="0" w:color="auto"/>
              <w:right w:val="single" w:sz="8" w:space="0" w:color="auto"/>
            </w:tcBorders>
            <w:shd w:val="clear" w:color="000000" w:fill="D9D9D9"/>
            <w:vAlign w:val="center"/>
            <w:hideMark/>
          </w:tcPr>
          <w:p w14:paraId="192C9298" w14:textId="77777777" w:rsidR="00044D5B" w:rsidRPr="00392E88" w:rsidRDefault="00044D5B">
            <w:pPr>
              <w:spacing w:before="0" w:after="0"/>
              <w:jc w:val="right"/>
              <w:rPr>
                <w:b/>
                <w:bCs/>
                <w:color w:val="000000"/>
                <w:sz w:val="20"/>
                <w:szCs w:val="20"/>
              </w:rPr>
            </w:pPr>
            <w:r w:rsidRPr="00392E88">
              <w:rPr>
                <w:b/>
                <w:color w:val="000000"/>
                <w:sz w:val="20"/>
              </w:rPr>
              <w:t>0,000</w:t>
            </w:r>
          </w:p>
        </w:tc>
        <w:tc>
          <w:tcPr>
            <w:tcW w:w="590" w:type="pct"/>
            <w:gridSpan w:val="2"/>
            <w:tcBorders>
              <w:top w:val="nil"/>
              <w:left w:val="nil"/>
              <w:bottom w:val="single" w:sz="8" w:space="0" w:color="auto"/>
              <w:right w:val="single" w:sz="8" w:space="0" w:color="auto"/>
            </w:tcBorders>
            <w:shd w:val="clear" w:color="000000" w:fill="D9D9D9"/>
            <w:vAlign w:val="center"/>
            <w:hideMark/>
          </w:tcPr>
          <w:p w14:paraId="5E009806" w14:textId="77777777" w:rsidR="00044D5B" w:rsidRPr="00392E88" w:rsidRDefault="00044D5B">
            <w:pPr>
              <w:spacing w:before="0" w:after="0"/>
              <w:jc w:val="right"/>
              <w:rPr>
                <w:b/>
                <w:bCs/>
                <w:color w:val="000000"/>
                <w:sz w:val="20"/>
                <w:szCs w:val="20"/>
              </w:rPr>
            </w:pPr>
            <w:r w:rsidRPr="00392E88">
              <w:rPr>
                <w:b/>
                <w:color w:val="000000"/>
                <w:sz w:val="20"/>
              </w:rPr>
              <w:t>0,000</w:t>
            </w:r>
          </w:p>
        </w:tc>
      </w:tr>
      <w:tr w:rsidR="00983E98" w:rsidRPr="00392E88" w14:paraId="723E616D" w14:textId="77777777">
        <w:trPr>
          <w:trHeight w:val="288"/>
        </w:trPr>
        <w:tc>
          <w:tcPr>
            <w:tcW w:w="1419" w:type="pct"/>
            <w:vMerge/>
            <w:tcBorders>
              <w:left w:val="single" w:sz="8" w:space="0" w:color="auto"/>
              <w:bottom w:val="single" w:sz="4" w:space="0" w:color="auto"/>
              <w:right w:val="single" w:sz="8" w:space="0" w:color="auto"/>
            </w:tcBorders>
            <w:vAlign w:val="center"/>
            <w:hideMark/>
          </w:tcPr>
          <w:p w14:paraId="23F8DE6D" w14:textId="77777777" w:rsidR="00044D5B" w:rsidRPr="00392E88" w:rsidRDefault="00044D5B">
            <w:pPr>
              <w:spacing w:before="0" w:after="0"/>
              <w:jc w:val="center"/>
              <w:rPr>
                <w:b/>
                <w:bCs/>
                <w:color w:val="000000"/>
                <w:sz w:val="22"/>
                <w:lang w:eastAsia="en-IE"/>
              </w:rPr>
            </w:pPr>
          </w:p>
        </w:tc>
        <w:tc>
          <w:tcPr>
            <w:tcW w:w="529" w:type="pct"/>
            <w:gridSpan w:val="2"/>
            <w:tcBorders>
              <w:top w:val="nil"/>
              <w:left w:val="single" w:sz="8" w:space="0" w:color="auto"/>
              <w:bottom w:val="single" w:sz="8" w:space="0" w:color="auto"/>
              <w:right w:val="single" w:sz="8" w:space="0" w:color="auto"/>
            </w:tcBorders>
            <w:vAlign w:val="center"/>
            <w:hideMark/>
          </w:tcPr>
          <w:p w14:paraId="1D79B765" w14:textId="77777777" w:rsidR="00044D5B" w:rsidRPr="00392E88" w:rsidRDefault="00044D5B">
            <w:pPr>
              <w:spacing w:before="0" w:after="0"/>
              <w:rPr>
                <w:color w:val="000000"/>
                <w:sz w:val="18"/>
                <w:szCs w:val="18"/>
              </w:rPr>
            </w:pPr>
            <w:r w:rsidRPr="00392E88">
              <w:rPr>
                <w:color w:val="000000"/>
                <w:sz w:val="18"/>
              </w:rPr>
              <w:t>Środki na płatności</w:t>
            </w:r>
          </w:p>
        </w:tc>
        <w:tc>
          <w:tcPr>
            <w:tcW w:w="496" w:type="pct"/>
            <w:tcBorders>
              <w:top w:val="single" w:sz="8" w:space="0" w:color="auto"/>
              <w:left w:val="nil"/>
              <w:bottom w:val="single" w:sz="8" w:space="0" w:color="auto"/>
              <w:right w:val="single" w:sz="8" w:space="0" w:color="auto"/>
            </w:tcBorders>
            <w:vAlign w:val="center"/>
            <w:hideMark/>
          </w:tcPr>
          <w:p w14:paraId="617D4F38" w14:textId="77777777" w:rsidR="00044D5B" w:rsidRPr="00392E88" w:rsidRDefault="00044D5B">
            <w:pPr>
              <w:spacing w:before="0" w:after="0"/>
              <w:jc w:val="center"/>
              <w:rPr>
                <w:color w:val="000000"/>
                <w:sz w:val="14"/>
                <w:szCs w:val="14"/>
              </w:rPr>
            </w:pPr>
            <w:r w:rsidRPr="00392E88">
              <w:rPr>
                <w:color w:val="000000"/>
                <w:sz w:val="14"/>
              </w:rPr>
              <w:t>=2a+2b+3</w:t>
            </w:r>
          </w:p>
        </w:tc>
        <w:tc>
          <w:tcPr>
            <w:tcW w:w="496" w:type="pct"/>
            <w:gridSpan w:val="2"/>
            <w:tcBorders>
              <w:top w:val="nil"/>
              <w:left w:val="nil"/>
              <w:bottom w:val="single" w:sz="8" w:space="0" w:color="auto"/>
              <w:right w:val="single" w:sz="8" w:space="0" w:color="auto"/>
            </w:tcBorders>
            <w:shd w:val="clear" w:color="000000" w:fill="D9D9D9"/>
            <w:vAlign w:val="center"/>
            <w:hideMark/>
          </w:tcPr>
          <w:p w14:paraId="1F54F3A8" w14:textId="77777777" w:rsidR="00044D5B" w:rsidRPr="00392E88" w:rsidRDefault="00044D5B">
            <w:pPr>
              <w:spacing w:before="0" w:after="0"/>
              <w:jc w:val="right"/>
              <w:rPr>
                <w:b/>
                <w:bCs/>
                <w:color w:val="000000"/>
                <w:sz w:val="20"/>
                <w:szCs w:val="20"/>
              </w:rPr>
            </w:pPr>
            <w:r w:rsidRPr="00392E88">
              <w:rPr>
                <w:b/>
                <w:color w:val="000000"/>
                <w:sz w:val="20"/>
              </w:rPr>
              <w:t>0,000</w:t>
            </w:r>
          </w:p>
        </w:tc>
        <w:tc>
          <w:tcPr>
            <w:tcW w:w="496" w:type="pct"/>
            <w:gridSpan w:val="2"/>
            <w:tcBorders>
              <w:top w:val="nil"/>
              <w:left w:val="nil"/>
              <w:bottom w:val="single" w:sz="8" w:space="0" w:color="auto"/>
              <w:right w:val="single" w:sz="8" w:space="0" w:color="auto"/>
            </w:tcBorders>
            <w:shd w:val="clear" w:color="000000" w:fill="D9D9D9"/>
            <w:vAlign w:val="center"/>
            <w:hideMark/>
          </w:tcPr>
          <w:p w14:paraId="1914457B" w14:textId="77777777" w:rsidR="00044D5B" w:rsidRPr="00392E88" w:rsidRDefault="00044D5B">
            <w:pPr>
              <w:spacing w:before="0" w:after="0"/>
              <w:jc w:val="right"/>
              <w:rPr>
                <w:b/>
                <w:bCs/>
                <w:color w:val="000000"/>
                <w:sz w:val="20"/>
                <w:szCs w:val="20"/>
              </w:rPr>
            </w:pPr>
            <w:r w:rsidRPr="00392E88">
              <w:rPr>
                <w:b/>
                <w:color w:val="000000"/>
                <w:sz w:val="20"/>
              </w:rPr>
              <w:t>0,000</w:t>
            </w:r>
          </w:p>
        </w:tc>
        <w:tc>
          <w:tcPr>
            <w:tcW w:w="496" w:type="pct"/>
            <w:gridSpan w:val="2"/>
            <w:tcBorders>
              <w:top w:val="nil"/>
              <w:left w:val="nil"/>
              <w:bottom w:val="single" w:sz="8" w:space="0" w:color="auto"/>
              <w:right w:val="single" w:sz="8" w:space="0" w:color="auto"/>
            </w:tcBorders>
            <w:shd w:val="clear" w:color="000000" w:fill="D9D9D9"/>
            <w:vAlign w:val="center"/>
            <w:hideMark/>
          </w:tcPr>
          <w:p w14:paraId="39BA442B" w14:textId="77777777" w:rsidR="00044D5B" w:rsidRPr="00392E88" w:rsidRDefault="00044D5B">
            <w:pPr>
              <w:spacing w:before="0" w:after="0"/>
              <w:jc w:val="right"/>
              <w:rPr>
                <w:b/>
                <w:bCs/>
                <w:color w:val="000000"/>
                <w:sz w:val="20"/>
                <w:szCs w:val="20"/>
              </w:rPr>
            </w:pPr>
            <w:r w:rsidRPr="00392E88">
              <w:rPr>
                <w:b/>
                <w:color w:val="000000"/>
                <w:sz w:val="20"/>
              </w:rPr>
              <w:t>0,000</w:t>
            </w:r>
          </w:p>
        </w:tc>
        <w:tc>
          <w:tcPr>
            <w:tcW w:w="478" w:type="pct"/>
            <w:tcBorders>
              <w:top w:val="nil"/>
              <w:left w:val="nil"/>
              <w:bottom w:val="single" w:sz="8" w:space="0" w:color="auto"/>
              <w:right w:val="single" w:sz="8" w:space="0" w:color="auto"/>
            </w:tcBorders>
            <w:shd w:val="clear" w:color="000000" w:fill="D9D9D9"/>
            <w:vAlign w:val="center"/>
            <w:hideMark/>
          </w:tcPr>
          <w:p w14:paraId="39D60036" w14:textId="77777777" w:rsidR="00044D5B" w:rsidRPr="00392E88" w:rsidRDefault="00044D5B">
            <w:pPr>
              <w:spacing w:before="0" w:after="0"/>
              <w:jc w:val="right"/>
              <w:rPr>
                <w:b/>
                <w:bCs/>
                <w:color w:val="000000"/>
                <w:sz w:val="20"/>
                <w:szCs w:val="20"/>
              </w:rPr>
            </w:pPr>
            <w:r w:rsidRPr="00392E88">
              <w:rPr>
                <w:b/>
                <w:color w:val="000000"/>
                <w:sz w:val="20"/>
              </w:rPr>
              <w:t>0,000</w:t>
            </w:r>
          </w:p>
        </w:tc>
        <w:tc>
          <w:tcPr>
            <w:tcW w:w="590" w:type="pct"/>
            <w:gridSpan w:val="2"/>
            <w:tcBorders>
              <w:top w:val="nil"/>
              <w:left w:val="nil"/>
              <w:bottom w:val="single" w:sz="8" w:space="0" w:color="auto"/>
              <w:right w:val="single" w:sz="8" w:space="0" w:color="auto"/>
            </w:tcBorders>
            <w:shd w:val="clear" w:color="000000" w:fill="D9D9D9"/>
            <w:vAlign w:val="center"/>
            <w:hideMark/>
          </w:tcPr>
          <w:p w14:paraId="61D2E23E" w14:textId="77777777" w:rsidR="00044D5B" w:rsidRPr="00392E88" w:rsidRDefault="00044D5B">
            <w:pPr>
              <w:spacing w:before="0" w:after="0"/>
              <w:jc w:val="right"/>
              <w:rPr>
                <w:b/>
                <w:bCs/>
                <w:color w:val="000000"/>
                <w:sz w:val="20"/>
                <w:szCs w:val="20"/>
              </w:rPr>
            </w:pPr>
            <w:r w:rsidRPr="00392E88">
              <w:rPr>
                <w:b/>
                <w:color w:val="000000"/>
                <w:sz w:val="20"/>
              </w:rPr>
              <w:t>0,000</w:t>
            </w:r>
          </w:p>
        </w:tc>
      </w:tr>
      <w:tr w:rsidR="00504273" w:rsidRPr="00392E88" w14:paraId="4DAF0D8C" w14:textId="77777777">
        <w:trPr>
          <w:trHeight w:val="420"/>
        </w:trPr>
        <w:tc>
          <w:tcPr>
            <w:tcW w:w="2444" w:type="pct"/>
            <w:gridSpan w:val="4"/>
            <w:vMerge w:val="restart"/>
            <w:tcBorders>
              <w:top w:val="single" w:sz="8" w:space="0" w:color="auto"/>
              <w:left w:val="single" w:sz="8" w:space="0" w:color="auto"/>
              <w:bottom w:val="single" w:sz="8" w:space="0" w:color="auto"/>
              <w:right w:val="single" w:sz="8" w:space="0" w:color="auto"/>
            </w:tcBorders>
            <w:vAlign w:val="center"/>
            <w:hideMark/>
          </w:tcPr>
          <w:p w14:paraId="6DDAC1DF" w14:textId="77777777" w:rsidR="00044D5B" w:rsidRPr="00392E88" w:rsidRDefault="00044D5B">
            <w:pPr>
              <w:spacing w:before="0" w:after="0"/>
              <w:jc w:val="center"/>
              <w:rPr>
                <w:color w:val="000000"/>
                <w:sz w:val="22"/>
              </w:rPr>
            </w:pPr>
            <w:r w:rsidRPr="00392E88">
              <w:rPr>
                <w:color w:val="000000"/>
                <w:sz w:val="22"/>
              </w:rPr>
              <w:t>Dyrekcja Generalna: &lt;…….&gt;</w:t>
            </w:r>
          </w:p>
        </w:tc>
        <w:tc>
          <w:tcPr>
            <w:tcW w:w="496" w:type="pct"/>
            <w:gridSpan w:val="2"/>
            <w:tcBorders>
              <w:top w:val="single" w:sz="8" w:space="0" w:color="auto"/>
              <w:left w:val="nil"/>
              <w:bottom w:val="single" w:sz="8" w:space="0" w:color="auto"/>
              <w:right w:val="single" w:sz="8" w:space="0" w:color="auto"/>
            </w:tcBorders>
            <w:vAlign w:val="center"/>
            <w:hideMark/>
          </w:tcPr>
          <w:p w14:paraId="7C4C7A0D" w14:textId="77777777" w:rsidR="00044D5B" w:rsidRPr="00392E88" w:rsidRDefault="00044D5B">
            <w:pPr>
              <w:spacing w:before="0" w:after="0"/>
              <w:jc w:val="center"/>
              <w:rPr>
                <w:color w:val="000000"/>
                <w:sz w:val="20"/>
                <w:szCs w:val="20"/>
              </w:rPr>
            </w:pPr>
            <w:r w:rsidRPr="00392E88">
              <w:rPr>
                <w:color w:val="000000"/>
                <w:sz w:val="20"/>
              </w:rPr>
              <w:t>Rok</w:t>
            </w:r>
          </w:p>
        </w:tc>
        <w:tc>
          <w:tcPr>
            <w:tcW w:w="496" w:type="pct"/>
            <w:gridSpan w:val="2"/>
            <w:tcBorders>
              <w:top w:val="single" w:sz="8" w:space="0" w:color="auto"/>
              <w:left w:val="nil"/>
              <w:bottom w:val="single" w:sz="8" w:space="0" w:color="auto"/>
              <w:right w:val="single" w:sz="8" w:space="0" w:color="auto"/>
            </w:tcBorders>
            <w:vAlign w:val="center"/>
            <w:hideMark/>
          </w:tcPr>
          <w:p w14:paraId="1CF3303F" w14:textId="77777777" w:rsidR="00044D5B" w:rsidRPr="00392E88" w:rsidRDefault="00044D5B">
            <w:pPr>
              <w:spacing w:before="0" w:after="0"/>
              <w:jc w:val="center"/>
              <w:rPr>
                <w:color w:val="000000"/>
                <w:sz w:val="20"/>
                <w:szCs w:val="20"/>
              </w:rPr>
            </w:pPr>
            <w:r w:rsidRPr="00392E88">
              <w:rPr>
                <w:color w:val="000000"/>
                <w:sz w:val="20"/>
              </w:rPr>
              <w:t>Rok</w:t>
            </w:r>
          </w:p>
        </w:tc>
        <w:tc>
          <w:tcPr>
            <w:tcW w:w="496" w:type="pct"/>
            <w:gridSpan w:val="2"/>
            <w:tcBorders>
              <w:top w:val="single" w:sz="8" w:space="0" w:color="auto"/>
              <w:left w:val="nil"/>
              <w:bottom w:val="single" w:sz="8" w:space="0" w:color="auto"/>
              <w:right w:val="single" w:sz="8" w:space="0" w:color="auto"/>
            </w:tcBorders>
            <w:vAlign w:val="center"/>
            <w:hideMark/>
          </w:tcPr>
          <w:p w14:paraId="388EAD8A" w14:textId="77777777" w:rsidR="00044D5B" w:rsidRPr="00392E88" w:rsidRDefault="00044D5B">
            <w:pPr>
              <w:spacing w:before="0" w:after="0"/>
              <w:jc w:val="center"/>
              <w:rPr>
                <w:color w:val="000000"/>
                <w:sz w:val="20"/>
                <w:szCs w:val="20"/>
              </w:rPr>
            </w:pPr>
            <w:r w:rsidRPr="00392E88">
              <w:rPr>
                <w:color w:val="000000"/>
                <w:sz w:val="20"/>
              </w:rPr>
              <w:t>Rok</w:t>
            </w:r>
          </w:p>
        </w:tc>
        <w:tc>
          <w:tcPr>
            <w:tcW w:w="478" w:type="pct"/>
            <w:tcBorders>
              <w:top w:val="single" w:sz="8" w:space="0" w:color="auto"/>
              <w:left w:val="nil"/>
              <w:bottom w:val="single" w:sz="8" w:space="0" w:color="auto"/>
              <w:right w:val="single" w:sz="8" w:space="0" w:color="auto"/>
            </w:tcBorders>
            <w:vAlign w:val="center"/>
            <w:hideMark/>
          </w:tcPr>
          <w:p w14:paraId="54A45A01" w14:textId="77777777" w:rsidR="00044D5B" w:rsidRPr="00392E88" w:rsidRDefault="00044D5B">
            <w:pPr>
              <w:spacing w:before="0" w:after="0"/>
              <w:jc w:val="center"/>
              <w:rPr>
                <w:color w:val="000000"/>
                <w:sz w:val="20"/>
                <w:szCs w:val="20"/>
              </w:rPr>
            </w:pPr>
            <w:r w:rsidRPr="00392E88">
              <w:rPr>
                <w:color w:val="000000"/>
                <w:sz w:val="20"/>
              </w:rPr>
              <w:t>Rok</w:t>
            </w:r>
          </w:p>
        </w:tc>
        <w:tc>
          <w:tcPr>
            <w:tcW w:w="590" w:type="pct"/>
            <w:gridSpan w:val="2"/>
            <w:vMerge w:val="restart"/>
            <w:tcBorders>
              <w:top w:val="single" w:sz="8" w:space="0" w:color="auto"/>
              <w:left w:val="single" w:sz="8" w:space="0" w:color="auto"/>
              <w:bottom w:val="single" w:sz="8" w:space="0" w:color="auto"/>
              <w:right w:val="single" w:sz="8" w:space="0" w:color="auto"/>
            </w:tcBorders>
            <w:vAlign w:val="center"/>
            <w:hideMark/>
          </w:tcPr>
          <w:p w14:paraId="401DAE28" w14:textId="77777777" w:rsidR="00044D5B" w:rsidRPr="00392E88" w:rsidRDefault="00044D5B">
            <w:pPr>
              <w:spacing w:before="0" w:after="0"/>
              <w:jc w:val="center"/>
              <w:rPr>
                <w:b/>
                <w:bCs/>
                <w:color w:val="000000"/>
                <w:sz w:val="20"/>
                <w:szCs w:val="20"/>
              </w:rPr>
            </w:pPr>
            <w:r w:rsidRPr="00392E88">
              <w:rPr>
                <w:b/>
                <w:color w:val="000000"/>
                <w:sz w:val="20"/>
              </w:rPr>
              <w:t>OGÓŁEM WRF 2021–2027</w:t>
            </w:r>
          </w:p>
        </w:tc>
      </w:tr>
      <w:tr w:rsidR="00470A36" w:rsidRPr="00392E88" w14:paraId="6B8F3E0B" w14:textId="77777777">
        <w:trPr>
          <w:trHeight w:val="288"/>
        </w:trPr>
        <w:tc>
          <w:tcPr>
            <w:tcW w:w="2444" w:type="pct"/>
            <w:gridSpan w:val="4"/>
            <w:vMerge/>
            <w:tcBorders>
              <w:top w:val="single" w:sz="8" w:space="0" w:color="auto"/>
              <w:left w:val="single" w:sz="8" w:space="0" w:color="auto"/>
              <w:bottom w:val="single" w:sz="8" w:space="0" w:color="auto"/>
              <w:right w:val="single" w:sz="8" w:space="0" w:color="auto"/>
            </w:tcBorders>
            <w:vAlign w:val="center"/>
            <w:hideMark/>
          </w:tcPr>
          <w:p w14:paraId="4FA7859B" w14:textId="77777777" w:rsidR="00044D5B" w:rsidRPr="00392E88" w:rsidRDefault="00044D5B">
            <w:pPr>
              <w:spacing w:before="0" w:after="0"/>
              <w:jc w:val="left"/>
              <w:rPr>
                <w:color w:val="000000"/>
                <w:sz w:val="22"/>
                <w:lang w:eastAsia="en-IE"/>
              </w:rPr>
            </w:pPr>
          </w:p>
        </w:tc>
        <w:tc>
          <w:tcPr>
            <w:tcW w:w="496" w:type="pct"/>
            <w:gridSpan w:val="2"/>
            <w:tcBorders>
              <w:top w:val="nil"/>
              <w:left w:val="nil"/>
              <w:bottom w:val="single" w:sz="8" w:space="0" w:color="auto"/>
              <w:right w:val="single" w:sz="8" w:space="0" w:color="auto"/>
            </w:tcBorders>
            <w:vAlign w:val="center"/>
            <w:hideMark/>
          </w:tcPr>
          <w:p w14:paraId="68BD6BAA" w14:textId="77777777" w:rsidR="00044D5B" w:rsidRPr="00392E88" w:rsidRDefault="00044D5B">
            <w:pPr>
              <w:spacing w:before="0" w:after="0"/>
              <w:jc w:val="center"/>
              <w:rPr>
                <w:b/>
                <w:bCs/>
                <w:color w:val="000000"/>
                <w:sz w:val="20"/>
                <w:szCs w:val="20"/>
              </w:rPr>
            </w:pPr>
            <w:r w:rsidRPr="00392E88">
              <w:rPr>
                <w:b/>
                <w:color w:val="000000"/>
                <w:sz w:val="20"/>
              </w:rPr>
              <w:t>2024</w:t>
            </w:r>
          </w:p>
        </w:tc>
        <w:tc>
          <w:tcPr>
            <w:tcW w:w="496" w:type="pct"/>
            <w:gridSpan w:val="2"/>
            <w:tcBorders>
              <w:top w:val="nil"/>
              <w:left w:val="nil"/>
              <w:bottom w:val="single" w:sz="8" w:space="0" w:color="auto"/>
              <w:right w:val="single" w:sz="8" w:space="0" w:color="auto"/>
            </w:tcBorders>
            <w:vAlign w:val="center"/>
            <w:hideMark/>
          </w:tcPr>
          <w:p w14:paraId="45D8493A" w14:textId="77777777" w:rsidR="00044D5B" w:rsidRPr="00392E88" w:rsidRDefault="00044D5B">
            <w:pPr>
              <w:spacing w:before="0" w:after="0"/>
              <w:jc w:val="center"/>
              <w:rPr>
                <w:b/>
                <w:bCs/>
                <w:color w:val="000000"/>
                <w:sz w:val="20"/>
                <w:szCs w:val="20"/>
              </w:rPr>
            </w:pPr>
            <w:r w:rsidRPr="00392E88">
              <w:rPr>
                <w:b/>
                <w:color w:val="000000"/>
                <w:sz w:val="20"/>
              </w:rPr>
              <w:t>2025</w:t>
            </w:r>
          </w:p>
        </w:tc>
        <w:tc>
          <w:tcPr>
            <w:tcW w:w="496" w:type="pct"/>
            <w:gridSpan w:val="2"/>
            <w:tcBorders>
              <w:top w:val="nil"/>
              <w:left w:val="nil"/>
              <w:bottom w:val="single" w:sz="8" w:space="0" w:color="auto"/>
              <w:right w:val="single" w:sz="8" w:space="0" w:color="auto"/>
            </w:tcBorders>
            <w:vAlign w:val="center"/>
            <w:hideMark/>
          </w:tcPr>
          <w:p w14:paraId="157E0233" w14:textId="77777777" w:rsidR="00044D5B" w:rsidRPr="00392E88" w:rsidRDefault="00044D5B">
            <w:pPr>
              <w:spacing w:before="0" w:after="0"/>
              <w:jc w:val="center"/>
              <w:rPr>
                <w:b/>
                <w:bCs/>
                <w:color w:val="000000"/>
                <w:sz w:val="20"/>
                <w:szCs w:val="20"/>
              </w:rPr>
            </w:pPr>
            <w:r w:rsidRPr="00392E88">
              <w:rPr>
                <w:b/>
                <w:color w:val="000000"/>
                <w:sz w:val="20"/>
              </w:rPr>
              <w:t>2026</w:t>
            </w:r>
          </w:p>
        </w:tc>
        <w:tc>
          <w:tcPr>
            <w:tcW w:w="478" w:type="pct"/>
            <w:tcBorders>
              <w:top w:val="nil"/>
              <w:left w:val="nil"/>
              <w:bottom w:val="single" w:sz="8" w:space="0" w:color="auto"/>
              <w:right w:val="single" w:sz="8" w:space="0" w:color="auto"/>
            </w:tcBorders>
            <w:vAlign w:val="center"/>
            <w:hideMark/>
          </w:tcPr>
          <w:p w14:paraId="1E2726FC" w14:textId="77777777" w:rsidR="00044D5B" w:rsidRPr="00392E88" w:rsidRDefault="00044D5B">
            <w:pPr>
              <w:spacing w:before="0" w:after="0"/>
              <w:jc w:val="center"/>
              <w:rPr>
                <w:b/>
                <w:bCs/>
                <w:color w:val="000000"/>
                <w:sz w:val="20"/>
                <w:szCs w:val="20"/>
              </w:rPr>
            </w:pPr>
            <w:r w:rsidRPr="00392E88">
              <w:rPr>
                <w:b/>
                <w:color w:val="000000"/>
                <w:sz w:val="20"/>
              </w:rPr>
              <w:t>2027</w:t>
            </w:r>
          </w:p>
        </w:tc>
        <w:tc>
          <w:tcPr>
            <w:tcW w:w="590" w:type="pct"/>
            <w:gridSpan w:val="2"/>
            <w:vMerge/>
            <w:tcBorders>
              <w:top w:val="single" w:sz="8" w:space="0" w:color="auto"/>
              <w:left w:val="single" w:sz="8" w:space="0" w:color="auto"/>
              <w:bottom w:val="single" w:sz="8" w:space="0" w:color="auto"/>
              <w:right w:val="single" w:sz="8" w:space="0" w:color="auto"/>
            </w:tcBorders>
            <w:vAlign w:val="center"/>
            <w:hideMark/>
          </w:tcPr>
          <w:p w14:paraId="5F0F5DD3" w14:textId="77777777" w:rsidR="00044D5B" w:rsidRPr="00392E88" w:rsidRDefault="00044D5B">
            <w:pPr>
              <w:spacing w:before="0" w:after="0"/>
              <w:jc w:val="left"/>
              <w:rPr>
                <w:b/>
                <w:bCs/>
                <w:color w:val="000000"/>
                <w:sz w:val="20"/>
                <w:szCs w:val="20"/>
                <w:lang w:eastAsia="en-IE"/>
              </w:rPr>
            </w:pPr>
          </w:p>
        </w:tc>
      </w:tr>
      <w:tr w:rsidR="00511981" w:rsidRPr="00392E88" w14:paraId="0F03F7D6" w14:textId="77777777">
        <w:trPr>
          <w:trHeight w:val="300"/>
        </w:trPr>
        <w:tc>
          <w:tcPr>
            <w:tcW w:w="5000" w:type="pct"/>
            <w:gridSpan w:val="13"/>
            <w:tcBorders>
              <w:top w:val="single" w:sz="8" w:space="0" w:color="auto"/>
              <w:left w:val="single" w:sz="8" w:space="0" w:color="auto"/>
              <w:bottom w:val="single" w:sz="8" w:space="0" w:color="auto"/>
              <w:right w:val="single" w:sz="8" w:space="0" w:color="auto"/>
            </w:tcBorders>
            <w:vAlign w:val="center"/>
            <w:hideMark/>
          </w:tcPr>
          <w:p w14:paraId="714C1664" w14:textId="77777777" w:rsidR="00044D5B" w:rsidRPr="00392E88" w:rsidRDefault="00044D5B">
            <w:pPr>
              <w:spacing w:before="0" w:after="0"/>
              <w:jc w:val="left"/>
              <w:rPr>
                <w:color w:val="000000"/>
                <w:sz w:val="21"/>
                <w:szCs w:val="21"/>
              </w:rPr>
            </w:pPr>
            <w:r w:rsidRPr="00392E88">
              <w:rPr>
                <w:color w:val="000000"/>
                <w:sz w:val="21"/>
              </w:rPr>
              <w:t xml:space="preserve">Środki operacyjne </w:t>
            </w:r>
          </w:p>
        </w:tc>
      </w:tr>
      <w:tr w:rsidR="00E62D64" w:rsidRPr="00392E88" w14:paraId="5F1C8DC3" w14:textId="77777777">
        <w:trPr>
          <w:trHeight w:val="288"/>
        </w:trPr>
        <w:tc>
          <w:tcPr>
            <w:tcW w:w="1419" w:type="pct"/>
            <w:vMerge w:val="restart"/>
            <w:tcBorders>
              <w:top w:val="nil"/>
              <w:left w:val="single" w:sz="8" w:space="0" w:color="auto"/>
              <w:bottom w:val="single" w:sz="8" w:space="0" w:color="auto"/>
              <w:right w:val="single" w:sz="8" w:space="0" w:color="auto"/>
            </w:tcBorders>
            <w:noWrap/>
            <w:vAlign w:val="center"/>
            <w:hideMark/>
          </w:tcPr>
          <w:p w14:paraId="264789D0" w14:textId="77777777" w:rsidR="00044D5B" w:rsidRPr="00392E88" w:rsidRDefault="00044D5B">
            <w:pPr>
              <w:spacing w:before="0" w:after="0"/>
              <w:jc w:val="left"/>
              <w:rPr>
                <w:color w:val="000000"/>
                <w:sz w:val="22"/>
              </w:rPr>
            </w:pPr>
            <w:r w:rsidRPr="00392E88">
              <w:rPr>
                <w:color w:val="000000"/>
                <w:sz w:val="22"/>
              </w:rPr>
              <w:t>Linia budżetowa</w:t>
            </w:r>
          </w:p>
        </w:tc>
        <w:tc>
          <w:tcPr>
            <w:tcW w:w="529" w:type="pct"/>
            <w:gridSpan w:val="2"/>
            <w:tcBorders>
              <w:top w:val="nil"/>
              <w:left w:val="nil"/>
              <w:bottom w:val="single" w:sz="8" w:space="0" w:color="auto"/>
              <w:right w:val="single" w:sz="8" w:space="0" w:color="auto"/>
            </w:tcBorders>
            <w:vAlign w:val="center"/>
            <w:hideMark/>
          </w:tcPr>
          <w:p w14:paraId="217EA577" w14:textId="77777777" w:rsidR="00044D5B" w:rsidRPr="00392E88" w:rsidRDefault="00044D5B">
            <w:pPr>
              <w:spacing w:before="0" w:after="0"/>
              <w:rPr>
                <w:color w:val="000000"/>
                <w:sz w:val="18"/>
                <w:szCs w:val="18"/>
              </w:rPr>
            </w:pPr>
            <w:r w:rsidRPr="00392E88">
              <w:rPr>
                <w:color w:val="000000"/>
                <w:sz w:val="18"/>
              </w:rPr>
              <w:t>Środki na zobowiązania</w:t>
            </w:r>
          </w:p>
        </w:tc>
        <w:tc>
          <w:tcPr>
            <w:tcW w:w="496" w:type="pct"/>
            <w:tcBorders>
              <w:top w:val="single" w:sz="8" w:space="0" w:color="auto"/>
              <w:left w:val="nil"/>
              <w:bottom w:val="single" w:sz="8" w:space="0" w:color="auto"/>
              <w:right w:val="single" w:sz="8" w:space="0" w:color="auto"/>
            </w:tcBorders>
            <w:vAlign w:val="center"/>
            <w:hideMark/>
          </w:tcPr>
          <w:p w14:paraId="129E82DA" w14:textId="77777777" w:rsidR="00044D5B" w:rsidRPr="00392E88" w:rsidRDefault="00044D5B">
            <w:pPr>
              <w:spacing w:before="0" w:after="0"/>
              <w:jc w:val="center"/>
              <w:rPr>
                <w:color w:val="000000"/>
                <w:sz w:val="14"/>
                <w:szCs w:val="14"/>
              </w:rPr>
            </w:pPr>
            <w:r w:rsidRPr="00392E88">
              <w:rPr>
                <w:color w:val="000000"/>
                <w:sz w:val="14"/>
              </w:rPr>
              <w:t>(1a)</w:t>
            </w:r>
          </w:p>
        </w:tc>
        <w:tc>
          <w:tcPr>
            <w:tcW w:w="496" w:type="pct"/>
            <w:gridSpan w:val="2"/>
            <w:tcBorders>
              <w:top w:val="nil"/>
              <w:left w:val="nil"/>
              <w:bottom w:val="single" w:sz="8" w:space="0" w:color="auto"/>
              <w:right w:val="single" w:sz="8" w:space="0" w:color="auto"/>
            </w:tcBorders>
            <w:vAlign w:val="center"/>
            <w:hideMark/>
          </w:tcPr>
          <w:p w14:paraId="660E96A5" w14:textId="77777777" w:rsidR="00044D5B" w:rsidRPr="00392E88" w:rsidRDefault="00044D5B">
            <w:pPr>
              <w:spacing w:before="0" w:after="0"/>
              <w:jc w:val="right"/>
              <w:rPr>
                <w:color w:val="000000"/>
                <w:sz w:val="20"/>
                <w:szCs w:val="20"/>
              </w:rPr>
            </w:pPr>
            <w:r w:rsidRPr="00392E88">
              <w:rPr>
                <w:color w:val="000000"/>
                <w:sz w:val="20"/>
              </w:rPr>
              <w:t xml:space="preserve"> </w:t>
            </w:r>
          </w:p>
        </w:tc>
        <w:tc>
          <w:tcPr>
            <w:tcW w:w="496" w:type="pct"/>
            <w:gridSpan w:val="2"/>
            <w:tcBorders>
              <w:top w:val="nil"/>
              <w:left w:val="nil"/>
              <w:bottom w:val="single" w:sz="8" w:space="0" w:color="auto"/>
              <w:right w:val="single" w:sz="8" w:space="0" w:color="auto"/>
            </w:tcBorders>
            <w:vAlign w:val="center"/>
            <w:hideMark/>
          </w:tcPr>
          <w:p w14:paraId="58B633A6" w14:textId="77777777" w:rsidR="00044D5B" w:rsidRPr="00392E88" w:rsidRDefault="00044D5B">
            <w:pPr>
              <w:spacing w:before="0" w:after="0"/>
              <w:jc w:val="right"/>
              <w:rPr>
                <w:color w:val="000000"/>
                <w:sz w:val="20"/>
                <w:szCs w:val="20"/>
              </w:rPr>
            </w:pPr>
            <w:r w:rsidRPr="00392E88">
              <w:rPr>
                <w:color w:val="000000"/>
                <w:sz w:val="20"/>
              </w:rPr>
              <w:t xml:space="preserve"> </w:t>
            </w:r>
          </w:p>
        </w:tc>
        <w:tc>
          <w:tcPr>
            <w:tcW w:w="496" w:type="pct"/>
            <w:gridSpan w:val="2"/>
            <w:tcBorders>
              <w:top w:val="nil"/>
              <w:left w:val="nil"/>
              <w:bottom w:val="single" w:sz="8" w:space="0" w:color="auto"/>
              <w:right w:val="single" w:sz="8" w:space="0" w:color="auto"/>
            </w:tcBorders>
            <w:vAlign w:val="center"/>
            <w:hideMark/>
          </w:tcPr>
          <w:p w14:paraId="60E83CDF" w14:textId="77777777" w:rsidR="00044D5B" w:rsidRPr="00392E88" w:rsidRDefault="00044D5B">
            <w:pPr>
              <w:spacing w:before="0" w:after="0"/>
              <w:jc w:val="right"/>
              <w:rPr>
                <w:color w:val="000000"/>
                <w:sz w:val="20"/>
                <w:szCs w:val="20"/>
              </w:rPr>
            </w:pPr>
            <w:r w:rsidRPr="00392E88">
              <w:rPr>
                <w:color w:val="000000"/>
                <w:sz w:val="20"/>
              </w:rPr>
              <w:t xml:space="preserve"> </w:t>
            </w:r>
          </w:p>
        </w:tc>
        <w:tc>
          <w:tcPr>
            <w:tcW w:w="478" w:type="pct"/>
            <w:tcBorders>
              <w:top w:val="nil"/>
              <w:left w:val="nil"/>
              <w:bottom w:val="single" w:sz="8" w:space="0" w:color="auto"/>
              <w:right w:val="single" w:sz="8" w:space="0" w:color="auto"/>
            </w:tcBorders>
            <w:vAlign w:val="center"/>
            <w:hideMark/>
          </w:tcPr>
          <w:p w14:paraId="4874217C" w14:textId="77777777" w:rsidR="00044D5B" w:rsidRPr="00392E88" w:rsidRDefault="00044D5B">
            <w:pPr>
              <w:spacing w:before="0" w:after="0"/>
              <w:jc w:val="right"/>
              <w:rPr>
                <w:color w:val="000000"/>
                <w:sz w:val="20"/>
                <w:szCs w:val="20"/>
              </w:rPr>
            </w:pPr>
            <w:r w:rsidRPr="00392E88">
              <w:rPr>
                <w:color w:val="000000"/>
                <w:sz w:val="20"/>
              </w:rPr>
              <w:t xml:space="preserve"> </w:t>
            </w:r>
          </w:p>
        </w:tc>
        <w:tc>
          <w:tcPr>
            <w:tcW w:w="590" w:type="pct"/>
            <w:gridSpan w:val="2"/>
            <w:tcBorders>
              <w:top w:val="nil"/>
              <w:left w:val="nil"/>
              <w:bottom w:val="single" w:sz="8" w:space="0" w:color="auto"/>
              <w:right w:val="single" w:sz="8" w:space="0" w:color="auto"/>
            </w:tcBorders>
            <w:shd w:val="clear" w:color="000000" w:fill="D9D9D9"/>
            <w:vAlign w:val="center"/>
            <w:hideMark/>
          </w:tcPr>
          <w:p w14:paraId="2A357029" w14:textId="77777777" w:rsidR="00044D5B" w:rsidRPr="00392E88" w:rsidRDefault="00044D5B">
            <w:pPr>
              <w:spacing w:before="0" w:after="0"/>
              <w:jc w:val="right"/>
              <w:rPr>
                <w:b/>
                <w:bCs/>
                <w:color w:val="000000"/>
                <w:sz w:val="20"/>
                <w:szCs w:val="20"/>
              </w:rPr>
            </w:pPr>
            <w:r w:rsidRPr="00392E88">
              <w:rPr>
                <w:b/>
                <w:color w:val="000000"/>
                <w:sz w:val="20"/>
              </w:rPr>
              <w:t>0,000</w:t>
            </w:r>
          </w:p>
        </w:tc>
      </w:tr>
      <w:tr w:rsidR="00E62D64" w:rsidRPr="00392E88" w14:paraId="702BD55D" w14:textId="77777777">
        <w:trPr>
          <w:trHeight w:val="315"/>
        </w:trPr>
        <w:tc>
          <w:tcPr>
            <w:tcW w:w="1419" w:type="pct"/>
            <w:vMerge/>
            <w:tcBorders>
              <w:top w:val="nil"/>
              <w:left w:val="single" w:sz="8" w:space="0" w:color="auto"/>
              <w:bottom w:val="single" w:sz="8" w:space="0" w:color="auto"/>
              <w:right w:val="single" w:sz="8" w:space="0" w:color="auto"/>
            </w:tcBorders>
            <w:vAlign w:val="center"/>
            <w:hideMark/>
          </w:tcPr>
          <w:p w14:paraId="65776CDF" w14:textId="77777777" w:rsidR="00044D5B" w:rsidRPr="00392E88" w:rsidRDefault="00044D5B">
            <w:pPr>
              <w:spacing w:before="0" w:after="0"/>
              <w:jc w:val="left"/>
              <w:rPr>
                <w:color w:val="000000"/>
                <w:sz w:val="22"/>
                <w:lang w:eastAsia="en-IE"/>
              </w:rPr>
            </w:pPr>
          </w:p>
        </w:tc>
        <w:tc>
          <w:tcPr>
            <w:tcW w:w="529" w:type="pct"/>
            <w:gridSpan w:val="2"/>
            <w:tcBorders>
              <w:top w:val="nil"/>
              <w:left w:val="nil"/>
              <w:bottom w:val="single" w:sz="8" w:space="0" w:color="auto"/>
              <w:right w:val="single" w:sz="8" w:space="0" w:color="auto"/>
            </w:tcBorders>
            <w:vAlign w:val="center"/>
            <w:hideMark/>
          </w:tcPr>
          <w:p w14:paraId="31988A98" w14:textId="77777777" w:rsidR="00044D5B" w:rsidRPr="00392E88" w:rsidRDefault="00044D5B">
            <w:pPr>
              <w:spacing w:before="0" w:after="0"/>
              <w:rPr>
                <w:color w:val="000000"/>
                <w:sz w:val="18"/>
                <w:szCs w:val="18"/>
              </w:rPr>
            </w:pPr>
            <w:r w:rsidRPr="00392E88">
              <w:rPr>
                <w:color w:val="000000"/>
                <w:sz w:val="18"/>
              </w:rPr>
              <w:t>Środki na płatności</w:t>
            </w:r>
          </w:p>
        </w:tc>
        <w:tc>
          <w:tcPr>
            <w:tcW w:w="496" w:type="pct"/>
            <w:tcBorders>
              <w:top w:val="single" w:sz="8" w:space="0" w:color="auto"/>
              <w:left w:val="nil"/>
              <w:bottom w:val="single" w:sz="8" w:space="0" w:color="auto"/>
              <w:right w:val="single" w:sz="8" w:space="0" w:color="auto"/>
            </w:tcBorders>
            <w:vAlign w:val="center"/>
            <w:hideMark/>
          </w:tcPr>
          <w:p w14:paraId="4409AC0E" w14:textId="77777777" w:rsidR="00044D5B" w:rsidRPr="00392E88" w:rsidRDefault="00044D5B">
            <w:pPr>
              <w:spacing w:before="0" w:after="0"/>
              <w:jc w:val="center"/>
              <w:rPr>
                <w:color w:val="000000"/>
                <w:sz w:val="14"/>
                <w:szCs w:val="14"/>
              </w:rPr>
            </w:pPr>
            <w:r w:rsidRPr="00392E88">
              <w:rPr>
                <w:color w:val="000000"/>
                <w:sz w:val="14"/>
              </w:rPr>
              <w:t>(2a)</w:t>
            </w:r>
          </w:p>
        </w:tc>
        <w:tc>
          <w:tcPr>
            <w:tcW w:w="496" w:type="pct"/>
            <w:gridSpan w:val="2"/>
            <w:tcBorders>
              <w:top w:val="nil"/>
              <w:left w:val="nil"/>
              <w:bottom w:val="single" w:sz="8" w:space="0" w:color="auto"/>
              <w:right w:val="single" w:sz="8" w:space="0" w:color="auto"/>
            </w:tcBorders>
            <w:vAlign w:val="center"/>
            <w:hideMark/>
          </w:tcPr>
          <w:p w14:paraId="421A6FD3" w14:textId="77777777" w:rsidR="00044D5B" w:rsidRPr="00392E88" w:rsidRDefault="00044D5B">
            <w:pPr>
              <w:spacing w:before="0" w:after="0"/>
              <w:jc w:val="right"/>
              <w:rPr>
                <w:color w:val="000000"/>
                <w:sz w:val="20"/>
                <w:szCs w:val="20"/>
              </w:rPr>
            </w:pPr>
            <w:r w:rsidRPr="00392E88">
              <w:rPr>
                <w:color w:val="000000"/>
                <w:sz w:val="20"/>
              </w:rPr>
              <w:t xml:space="preserve"> </w:t>
            </w:r>
          </w:p>
        </w:tc>
        <w:tc>
          <w:tcPr>
            <w:tcW w:w="496" w:type="pct"/>
            <w:gridSpan w:val="2"/>
            <w:tcBorders>
              <w:top w:val="nil"/>
              <w:left w:val="nil"/>
              <w:bottom w:val="single" w:sz="8" w:space="0" w:color="auto"/>
              <w:right w:val="single" w:sz="8" w:space="0" w:color="auto"/>
            </w:tcBorders>
            <w:vAlign w:val="center"/>
            <w:hideMark/>
          </w:tcPr>
          <w:p w14:paraId="0B40CA39" w14:textId="77777777" w:rsidR="00044D5B" w:rsidRPr="00392E88" w:rsidRDefault="00044D5B">
            <w:pPr>
              <w:spacing w:before="0" w:after="0"/>
              <w:jc w:val="right"/>
              <w:rPr>
                <w:color w:val="000000"/>
                <w:sz w:val="20"/>
                <w:szCs w:val="20"/>
              </w:rPr>
            </w:pPr>
            <w:r w:rsidRPr="00392E88">
              <w:rPr>
                <w:color w:val="000000"/>
                <w:sz w:val="20"/>
              </w:rPr>
              <w:t xml:space="preserve"> </w:t>
            </w:r>
          </w:p>
        </w:tc>
        <w:tc>
          <w:tcPr>
            <w:tcW w:w="496" w:type="pct"/>
            <w:gridSpan w:val="2"/>
            <w:tcBorders>
              <w:top w:val="nil"/>
              <w:left w:val="nil"/>
              <w:bottom w:val="single" w:sz="8" w:space="0" w:color="auto"/>
              <w:right w:val="single" w:sz="8" w:space="0" w:color="auto"/>
            </w:tcBorders>
            <w:vAlign w:val="center"/>
            <w:hideMark/>
          </w:tcPr>
          <w:p w14:paraId="4F9A94A5" w14:textId="77777777" w:rsidR="00044D5B" w:rsidRPr="00392E88" w:rsidRDefault="00044D5B">
            <w:pPr>
              <w:spacing w:before="0" w:after="0"/>
              <w:jc w:val="right"/>
              <w:rPr>
                <w:color w:val="000000"/>
                <w:sz w:val="20"/>
                <w:szCs w:val="20"/>
              </w:rPr>
            </w:pPr>
            <w:r w:rsidRPr="00392E88">
              <w:rPr>
                <w:color w:val="000000"/>
                <w:sz w:val="20"/>
              </w:rPr>
              <w:t xml:space="preserve"> </w:t>
            </w:r>
          </w:p>
        </w:tc>
        <w:tc>
          <w:tcPr>
            <w:tcW w:w="478" w:type="pct"/>
            <w:tcBorders>
              <w:top w:val="nil"/>
              <w:left w:val="nil"/>
              <w:bottom w:val="single" w:sz="8" w:space="0" w:color="auto"/>
              <w:right w:val="single" w:sz="8" w:space="0" w:color="auto"/>
            </w:tcBorders>
            <w:vAlign w:val="center"/>
            <w:hideMark/>
          </w:tcPr>
          <w:p w14:paraId="784550A9" w14:textId="77777777" w:rsidR="00044D5B" w:rsidRPr="00392E88" w:rsidRDefault="00044D5B">
            <w:pPr>
              <w:spacing w:before="0" w:after="0"/>
              <w:jc w:val="right"/>
              <w:rPr>
                <w:color w:val="000000"/>
                <w:sz w:val="20"/>
                <w:szCs w:val="20"/>
              </w:rPr>
            </w:pPr>
            <w:r w:rsidRPr="00392E88">
              <w:rPr>
                <w:color w:val="000000"/>
                <w:sz w:val="20"/>
              </w:rPr>
              <w:t xml:space="preserve"> </w:t>
            </w:r>
          </w:p>
        </w:tc>
        <w:tc>
          <w:tcPr>
            <w:tcW w:w="590" w:type="pct"/>
            <w:gridSpan w:val="2"/>
            <w:tcBorders>
              <w:top w:val="nil"/>
              <w:left w:val="nil"/>
              <w:bottom w:val="single" w:sz="8" w:space="0" w:color="auto"/>
              <w:right w:val="single" w:sz="8" w:space="0" w:color="auto"/>
            </w:tcBorders>
            <w:shd w:val="clear" w:color="000000" w:fill="D9D9D9"/>
            <w:vAlign w:val="center"/>
            <w:hideMark/>
          </w:tcPr>
          <w:p w14:paraId="1634519E" w14:textId="77777777" w:rsidR="00044D5B" w:rsidRPr="00392E88" w:rsidRDefault="00044D5B">
            <w:pPr>
              <w:spacing w:before="0" w:after="0"/>
              <w:jc w:val="right"/>
              <w:rPr>
                <w:b/>
                <w:bCs/>
                <w:color w:val="000000"/>
                <w:sz w:val="20"/>
                <w:szCs w:val="20"/>
              </w:rPr>
            </w:pPr>
            <w:r w:rsidRPr="00392E88">
              <w:rPr>
                <w:b/>
                <w:color w:val="000000"/>
                <w:sz w:val="20"/>
              </w:rPr>
              <w:t>0,000</w:t>
            </w:r>
          </w:p>
        </w:tc>
      </w:tr>
      <w:tr w:rsidR="00E62D64" w:rsidRPr="00392E88" w14:paraId="1CA07E55" w14:textId="77777777">
        <w:trPr>
          <w:trHeight w:val="315"/>
        </w:trPr>
        <w:tc>
          <w:tcPr>
            <w:tcW w:w="1419" w:type="pct"/>
            <w:vMerge w:val="restart"/>
            <w:tcBorders>
              <w:top w:val="nil"/>
              <w:left w:val="single" w:sz="8" w:space="0" w:color="auto"/>
              <w:bottom w:val="single" w:sz="8" w:space="0" w:color="auto"/>
              <w:right w:val="single" w:sz="8" w:space="0" w:color="auto"/>
            </w:tcBorders>
            <w:vAlign w:val="center"/>
            <w:hideMark/>
          </w:tcPr>
          <w:p w14:paraId="5CA54F1D" w14:textId="77777777" w:rsidR="00044D5B" w:rsidRPr="00392E88" w:rsidRDefault="00044D5B">
            <w:pPr>
              <w:spacing w:before="0" w:after="0"/>
              <w:rPr>
                <w:color w:val="000000"/>
                <w:sz w:val="20"/>
                <w:szCs w:val="20"/>
              </w:rPr>
            </w:pPr>
            <w:r w:rsidRPr="00392E88">
              <w:rPr>
                <w:color w:val="000000"/>
                <w:sz w:val="20"/>
              </w:rPr>
              <w:t>Linia budżetowa</w:t>
            </w:r>
          </w:p>
        </w:tc>
        <w:tc>
          <w:tcPr>
            <w:tcW w:w="529" w:type="pct"/>
            <w:gridSpan w:val="2"/>
            <w:tcBorders>
              <w:top w:val="nil"/>
              <w:left w:val="nil"/>
              <w:bottom w:val="single" w:sz="8" w:space="0" w:color="auto"/>
              <w:right w:val="single" w:sz="8" w:space="0" w:color="auto"/>
            </w:tcBorders>
            <w:vAlign w:val="center"/>
            <w:hideMark/>
          </w:tcPr>
          <w:p w14:paraId="4CD8EEF7" w14:textId="77777777" w:rsidR="00044D5B" w:rsidRPr="00392E88" w:rsidRDefault="00044D5B">
            <w:pPr>
              <w:spacing w:before="0" w:after="0"/>
              <w:rPr>
                <w:color w:val="000000"/>
                <w:sz w:val="18"/>
                <w:szCs w:val="18"/>
              </w:rPr>
            </w:pPr>
            <w:r w:rsidRPr="00392E88">
              <w:rPr>
                <w:color w:val="000000"/>
                <w:sz w:val="18"/>
              </w:rPr>
              <w:t>Środki na zobowiązania</w:t>
            </w:r>
          </w:p>
        </w:tc>
        <w:tc>
          <w:tcPr>
            <w:tcW w:w="496" w:type="pct"/>
            <w:tcBorders>
              <w:top w:val="single" w:sz="8" w:space="0" w:color="auto"/>
              <w:left w:val="nil"/>
              <w:bottom w:val="single" w:sz="8" w:space="0" w:color="auto"/>
              <w:right w:val="single" w:sz="8" w:space="0" w:color="auto"/>
            </w:tcBorders>
            <w:vAlign w:val="center"/>
            <w:hideMark/>
          </w:tcPr>
          <w:p w14:paraId="395454FE" w14:textId="77777777" w:rsidR="00044D5B" w:rsidRPr="00392E88" w:rsidRDefault="00044D5B">
            <w:pPr>
              <w:spacing w:before="0" w:after="0"/>
              <w:jc w:val="center"/>
              <w:rPr>
                <w:color w:val="000000"/>
                <w:sz w:val="14"/>
                <w:szCs w:val="14"/>
              </w:rPr>
            </w:pPr>
            <w:r w:rsidRPr="00392E88">
              <w:rPr>
                <w:color w:val="000000"/>
                <w:sz w:val="14"/>
              </w:rPr>
              <w:t>(1b)</w:t>
            </w:r>
          </w:p>
        </w:tc>
        <w:tc>
          <w:tcPr>
            <w:tcW w:w="496" w:type="pct"/>
            <w:gridSpan w:val="2"/>
            <w:tcBorders>
              <w:top w:val="nil"/>
              <w:left w:val="nil"/>
              <w:bottom w:val="single" w:sz="8" w:space="0" w:color="auto"/>
              <w:right w:val="single" w:sz="8" w:space="0" w:color="auto"/>
            </w:tcBorders>
            <w:vAlign w:val="center"/>
            <w:hideMark/>
          </w:tcPr>
          <w:p w14:paraId="734D7740" w14:textId="77777777" w:rsidR="00044D5B" w:rsidRPr="00392E88" w:rsidRDefault="00044D5B">
            <w:pPr>
              <w:spacing w:before="0" w:after="0"/>
              <w:jc w:val="right"/>
              <w:rPr>
                <w:color w:val="000000"/>
                <w:sz w:val="20"/>
                <w:szCs w:val="20"/>
              </w:rPr>
            </w:pPr>
            <w:r w:rsidRPr="00392E88">
              <w:rPr>
                <w:color w:val="000000"/>
                <w:sz w:val="20"/>
              </w:rPr>
              <w:t xml:space="preserve"> </w:t>
            </w:r>
          </w:p>
        </w:tc>
        <w:tc>
          <w:tcPr>
            <w:tcW w:w="496" w:type="pct"/>
            <w:gridSpan w:val="2"/>
            <w:tcBorders>
              <w:top w:val="nil"/>
              <w:left w:val="nil"/>
              <w:bottom w:val="single" w:sz="8" w:space="0" w:color="auto"/>
              <w:right w:val="single" w:sz="8" w:space="0" w:color="auto"/>
            </w:tcBorders>
            <w:vAlign w:val="center"/>
            <w:hideMark/>
          </w:tcPr>
          <w:p w14:paraId="7DE4D06D" w14:textId="77777777" w:rsidR="00044D5B" w:rsidRPr="00392E88" w:rsidRDefault="00044D5B">
            <w:pPr>
              <w:spacing w:before="0" w:after="0"/>
              <w:jc w:val="right"/>
              <w:rPr>
                <w:color w:val="000000"/>
                <w:sz w:val="20"/>
                <w:szCs w:val="20"/>
              </w:rPr>
            </w:pPr>
            <w:r w:rsidRPr="00392E88">
              <w:rPr>
                <w:color w:val="000000"/>
                <w:sz w:val="20"/>
              </w:rPr>
              <w:t xml:space="preserve"> </w:t>
            </w:r>
          </w:p>
        </w:tc>
        <w:tc>
          <w:tcPr>
            <w:tcW w:w="496" w:type="pct"/>
            <w:gridSpan w:val="2"/>
            <w:tcBorders>
              <w:top w:val="nil"/>
              <w:left w:val="nil"/>
              <w:bottom w:val="single" w:sz="8" w:space="0" w:color="auto"/>
              <w:right w:val="single" w:sz="8" w:space="0" w:color="auto"/>
            </w:tcBorders>
            <w:vAlign w:val="center"/>
            <w:hideMark/>
          </w:tcPr>
          <w:p w14:paraId="4E1CE14E" w14:textId="77777777" w:rsidR="00044D5B" w:rsidRPr="00392E88" w:rsidRDefault="00044D5B">
            <w:pPr>
              <w:spacing w:before="0" w:after="0"/>
              <w:jc w:val="right"/>
              <w:rPr>
                <w:color w:val="000000"/>
                <w:sz w:val="20"/>
                <w:szCs w:val="20"/>
              </w:rPr>
            </w:pPr>
            <w:r w:rsidRPr="00392E88">
              <w:rPr>
                <w:color w:val="000000"/>
                <w:sz w:val="20"/>
              </w:rPr>
              <w:t xml:space="preserve"> </w:t>
            </w:r>
          </w:p>
        </w:tc>
        <w:tc>
          <w:tcPr>
            <w:tcW w:w="478" w:type="pct"/>
            <w:tcBorders>
              <w:top w:val="nil"/>
              <w:left w:val="nil"/>
              <w:bottom w:val="single" w:sz="8" w:space="0" w:color="auto"/>
              <w:right w:val="single" w:sz="8" w:space="0" w:color="auto"/>
            </w:tcBorders>
            <w:vAlign w:val="center"/>
            <w:hideMark/>
          </w:tcPr>
          <w:p w14:paraId="44FC42FB" w14:textId="77777777" w:rsidR="00044D5B" w:rsidRPr="00392E88" w:rsidRDefault="00044D5B">
            <w:pPr>
              <w:spacing w:before="0" w:after="0"/>
              <w:jc w:val="right"/>
              <w:rPr>
                <w:color w:val="000000"/>
                <w:sz w:val="20"/>
                <w:szCs w:val="20"/>
              </w:rPr>
            </w:pPr>
            <w:r w:rsidRPr="00392E88">
              <w:rPr>
                <w:color w:val="000000"/>
                <w:sz w:val="20"/>
              </w:rPr>
              <w:t xml:space="preserve"> </w:t>
            </w:r>
          </w:p>
        </w:tc>
        <w:tc>
          <w:tcPr>
            <w:tcW w:w="590" w:type="pct"/>
            <w:gridSpan w:val="2"/>
            <w:tcBorders>
              <w:top w:val="nil"/>
              <w:left w:val="nil"/>
              <w:bottom w:val="single" w:sz="8" w:space="0" w:color="auto"/>
              <w:right w:val="single" w:sz="8" w:space="0" w:color="auto"/>
            </w:tcBorders>
            <w:shd w:val="clear" w:color="000000" w:fill="D9D9D9"/>
            <w:vAlign w:val="center"/>
            <w:hideMark/>
          </w:tcPr>
          <w:p w14:paraId="1CA26244" w14:textId="77777777" w:rsidR="00044D5B" w:rsidRPr="00392E88" w:rsidRDefault="00044D5B">
            <w:pPr>
              <w:spacing w:before="0" w:after="0"/>
              <w:jc w:val="right"/>
              <w:rPr>
                <w:b/>
                <w:bCs/>
                <w:color w:val="000000"/>
                <w:sz w:val="20"/>
                <w:szCs w:val="20"/>
              </w:rPr>
            </w:pPr>
            <w:r w:rsidRPr="00392E88">
              <w:rPr>
                <w:b/>
                <w:color w:val="000000"/>
                <w:sz w:val="20"/>
              </w:rPr>
              <w:t>0,000</w:t>
            </w:r>
          </w:p>
        </w:tc>
      </w:tr>
      <w:tr w:rsidR="00E62D64" w:rsidRPr="00392E88" w14:paraId="0E39B176" w14:textId="77777777">
        <w:trPr>
          <w:trHeight w:val="315"/>
        </w:trPr>
        <w:tc>
          <w:tcPr>
            <w:tcW w:w="1419" w:type="pct"/>
            <w:vMerge/>
            <w:tcBorders>
              <w:top w:val="nil"/>
              <w:left w:val="single" w:sz="8" w:space="0" w:color="auto"/>
              <w:bottom w:val="single" w:sz="8" w:space="0" w:color="auto"/>
              <w:right w:val="single" w:sz="8" w:space="0" w:color="auto"/>
            </w:tcBorders>
            <w:vAlign w:val="center"/>
            <w:hideMark/>
          </w:tcPr>
          <w:p w14:paraId="541B3C20" w14:textId="77777777" w:rsidR="00044D5B" w:rsidRPr="00392E88" w:rsidRDefault="00044D5B">
            <w:pPr>
              <w:spacing w:before="0" w:after="0"/>
              <w:jc w:val="left"/>
              <w:rPr>
                <w:color w:val="000000"/>
                <w:sz w:val="20"/>
                <w:szCs w:val="20"/>
                <w:lang w:eastAsia="en-IE"/>
              </w:rPr>
            </w:pPr>
          </w:p>
        </w:tc>
        <w:tc>
          <w:tcPr>
            <w:tcW w:w="529" w:type="pct"/>
            <w:gridSpan w:val="2"/>
            <w:tcBorders>
              <w:top w:val="nil"/>
              <w:left w:val="nil"/>
              <w:bottom w:val="single" w:sz="8" w:space="0" w:color="auto"/>
              <w:right w:val="single" w:sz="8" w:space="0" w:color="auto"/>
            </w:tcBorders>
            <w:vAlign w:val="center"/>
            <w:hideMark/>
          </w:tcPr>
          <w:p w14:paraId="33DE68C6" w14:textId="77777777" w:rsidR="00044D5B" w:rsidRPr="00392E88" w:rsidRDefault="00044D5B">
            <w:pPr>
              <w:spacing w:before="0" w:after="0"/>
              <w:rPr>
                <w:color w:val="000000"/>
                <w:sz w:val="18"/>
                <w:szCs w:val="18"/>
              </w:rPr>
            </w:pPr>
            <w:r w:rsidRPr="00392E88">
              <w:rPr>
                <w:color w:val="000000"/>
                <w:sz w:val="18"/>
              </w:rPr>
              <w:t>Środki na płatności</w:t>
            </w:r>
          </w:p>
        </w:tc>
        <w:tc>
          <w:tcPr>
            <w:tcW w:w="496" w:type="pct"/>
            <w:tcBorders>
              <w:top w:val="single" w:sz="8" w:space="0" w:color="auto"/>
              <w:left w:val="nil"/>
              <w:bottom w:val="single" w:sz="8" w:space="0" w:color="auto"/>
              <w:right w:val="single" w:sz="8" w:space="0" w:color="auto"/>
            </w:tcBorders>
            <w:vAlign w:val="center"/>
            <w:hideMark/>
          </w:tcPr>
          <w:p w14:paraId="766642E7" w14:textId="77777777" w:rsidR="00044D5B" w:rsidRPr="00392E88" w:rsidRDefault="00044D5B">
            <w:pPr>
              <w:spacing w:before="0" w:after="0"/>
              <w:jc w:val="center"/>
              <w:rPr>
                <w:color w:val="000000"/>
                <w:sz w:val="14"/>
                <w:szCs w:val="14"/>
              </w:rPr>
            </w:pPr>
            <w:r w:rsidRPr="00392E88">
              <w:rPr>
                <w:color w:val="000000"/>
                <w:sz w:val="14"/>
              </w:rPr>
              <w:t>(2b)</w:t>
            </w:r>
          </w:p>
        </w:tc>
        <w:tc>
          <w:tcPr>
            <w:tcW w:w="496" w:type="pct"/>
            <w:gridSpan w:val="2"/>
            <w:tcBorders>
              <w:top w:val="nil"/>
              <w:left w:val="nil"/>
              <w:bottom w:val="single" w:sz="8" w:space="0" w:color="auto"/>
              <w:right w:val="single" w:sz="8" w:space="0" w:color="auto"/>
            </w:tcBorders>
            <w:vAlign w:val="center"/>
            <w:hideMark/>
          </w:tcPr>
          <w:p w14:paraId="4C2182FD" w14:textId="77777777" w:rsidR="00044D5B" w:rsidRPr="00392E88" w:rsidRDefault="00044D5B">
            <w:pPr>
              <w:spacing w:before="0" w:after="0"/>
              <w:jc w:val="right"/>
              <w:rPr>
                <w:color w:val="000000"/>
                <w:sz w:val="20"/>
                <w:szCs w:val="20"/>
              </w:rPr>
            </w:pPr>
            <w:r w:rsidRPr="00392E88">
              <w:rPr>
                <w:color w:val="000000"/>
                <w:sz w:val="20"/>
              </w:rPr>
              <w:t xml:space="preserve"> </w:t>
            </w:r>
          </w:p>
        </w:tc>
        <w:tc>
          <w:tcPr>
            <w:tcW w:w="496" w:type="pct"/>
            <w:gridSpan w:val="2"/>
            <w:tcBorders>
              <w:top w:val="nil"/>
              <w:left w:val="nil"/>
              <w:bottom w:val="single" w:sz="8" w:space="0" w:color="auto"/>
              <w:right w:val="single" w:sz="8" w:space="0" w:color="auto"/>
            </w:tcBorders>
            <w:vAlign w:val="center"/>
            <w:hideMark/>
          </w:tcPr>
          <w:p w14:paraId="3CAB137B" w14:textId="77777777" w:rsidR="00044D5B" w:rsidRPr="00392E88" w:rsidRDefault="00044D5B">
            <w:pPr>
              <w:spacing w:before="0" w:after="0"/>
              <w:jc w:val="right"/>
              <w:rPr>
                <w:color w:val="000000"/>
                <w:sz w:val="20"/>
                <w:szCs w:val="20"/>
              </w:rPr>
            </w:pPr>
            <w:r w:rsidRPr="00392E88">
              <w:rPr>
                <w:color w:val="000000"/>
                <w:sz w:val="20"/>
              </w:rPr>
              <w:t xml:space="preserve"> </w:t>
            </w:r>
          </w:p>
        </w:tc>
        <w:tc>
          <w:tcPr>
            <w:tcW w:w="496" w:type="pct"/>
            <w:gridSpan w:val="2"/>
            <w:tcBorders>
              <w:top w:val="nil"/>
              <w:left w:val="nil"/>
              <w:bottom w:val="single" w:sz="8" w:space="0" w:color="auto"/>
              <w:right w:val="single" w:sz="8" w:space="0" w:color="auto"/>
            </w:tcBorders>
            <w:vAlign w:val="center"/>
            <w:hideMark/>
          </w:tcPr>
          <w:p w14:paraId="0A171AEC" w14:textId="77777777" w:rsidR="00044D5B" w:rsidRPr="00392E88" w:rsidRDefault="00044D5B">
            <w:pPr>
              <w:spacing w:before="0" w:after="0"/>
              <w:jc w:val="right"/>
              <w:rPr>
                <w:color w:val="000000"/>
                <w:sz w:val="20"/>
                <w:szCs w:val="20"/>
              </w:rPr>
            </w:pPr>
            <w:r w:rsidRPr="00392E88">
              <w:rPr>
                <w:color w:val="000000"/>
                <w:sz w:val="20"/>
              </w:rPr>
              <w:t xml:space="preserve"> </w:t>
            </w:r>
          </w:p>
        </w:tc>
        <w:tc>
          <w:tcPr>
            <w:tcW w:w="478" w:type="pct"/>
            <w:tcBorders>
              <w:top w:val="nil"/>
              <w:left w:val="nil"/>
              <w:bottom w:val="single" w:sz="8" w:space="0" w:color="auto"/>
              <w:right w:val="single" w:sz="8" w:space="0" w:color="auto"/>
            </w:tcBorders>
            <w:vAlign w:val="center"/>
            <w:hideMark/>
          </w:tcPr>
          <w:p w14:paraId="33707CEB" w14:textId="77777777" w:rsidR="00044D5B" w:rsidRPr="00392E88" w:rsidRDefault="00044D5B">
            <w:pPr>
              <w:spacing w:before="0" w:after="0"/>
              <w:jc w:val="right"/>
              <w:rPr>
                <w:color w:val="000000"/>
                <w:sz w:val="20"/>
                <w:szCs w:val="20"/>
              </w:rPr>
            </w:pPr>
            <w:r w:rsidRPr="00392E88">
              <w:rPr>
                <w:color w:val="000000"/>
                <w:sz w:val="20"/>
              </w:rPr>
              <w:t xml:space="preserve"> </w:t>
            </w:r>
          </w:p>
        </w:tc>
        <w:tc>
          <w:tcPr>
            <w:tcW w:w="590" w:type="pct"/>
            <w:gridSpan w:val="2"/>
            <w:tcBorders>
              <w:top w:val="nil"/>
              <w:left w:val="nil"/>
              <w:bottom w:val="single" w:sz="8" w:space="0" w:color="auto"/>
              <w:right w:val="single" w:sz="8" w:space="0" w:color="auto"/>
            </w:tcBorders>
            <w:shd w:val="clear" w:color="000000" w:fill="D9D9D9"/>
            <w:vAlign w:val="center"/>
            <w:hideMark/>
          </w:tcPr>
          <w:p w14:paraId="7D750B26" w14:textId="77777777" w:rsidR="00044D5B" w:rsidRPr="00392E88" w:rsidRDefault="00044D5B">
            <w:pPr>
              <w:spacing w:before="0" w:after="0"/>
              <w:jc w:val="right"/>
              <w:rPr>
                <w:b/>
                <w:bCs/>
                <w:color w:val="000000"/>
                <w:sz w:val="20"/>
                <w:szCs w:val="20"/>
              </w:rPr>
            </w:pPr>
            <w:r w:rsidRPr="00392E88">
              <w:rPr>
                <w:b/>
                <w:color w:val="000000"/>
                <w:sz w:val="20"/>
              </w:rPr>
              <w:t>0,000</w:t>
            </w:r>
          </w:p>
        </w:tc>
      </w:tr>
      <w:tr w:rsidR="00511981" w:rsidRPr="00392E88" w14:paraId="48F65CA9" w14:textId="77777777">
        <w:trPr>
          <w:trHeight w:val="288"/>
        </w:trPr>
        <w:tc>
          <w:tcPr>
            <w:tcW w:w="5000" w:type="pct"/>
            <w:gridSpan w:val="13"/>
            <w:tcBorders>
              <w:top w:val="single" w:sz="8" w:space="0" w:color="auto"/>
              <w:left w:val="single" w:sz="8" w:space="0" w:color="auto"/>
              <w:bottom w:val="single" w:sz="8" w:space="0" w:color="auto"/>
              <w:right w:val="single" w:sz="8" w:space="0" w:color="auto"/>
            </w:tcBorders>
            <w:noWrap/>
            <w:vAlign w:val="bottom"/>
            <w:hideMark/>
          </w:tcPr>
          <w:p w14:paraId="5659AAB2" w14:textId="77777777" w:rsidR="00044D5B" w:rsidRPr="00392E88" w:rsidRDefault="00044D5B">
            <w:pPr>
              <w:spacing w:before="0" w:after="0"/>
              <w:jc w:val="left"/>
              <w:rPr>
                <w:color w:val="000000"/>
                <w:sz w:val="22"/>
              </w:rPr>
            </w:pPr>
            <w:r w:rsidRPr="00392E88">
              <w:rPr>
                <w:color w:val="000000"/>
                <w:sz w:val="22"/>
              </w:rPr>
              <w:t>Środki administracyjne finansowane ze środków przydzielonych na określone programy</w:t>
            </w:r>
            <w:r w:rsidRPr="00392E88">
              <w:t xml:space="preserve"> </w:t>
            </w:r>
          </w:p>
        </w:tc>
      </w:tr>
      <w:tr w:rsidR="00E62D64" w:rsidRPr="00392E88" w14:paraId="3DB449D3" w14:textId="77777777">
        <w:trPr>
          <w:trHeight w:val="288"/>
        </w:trPr>
        <w:tc>
          <w:tcPr>
            <w:tcW w:w="1419" w:type="pct"/>
            <w:tcBorders>
              <w:top w:val="nil"/>
              <w:left w:val="single" w:sz="8" w:space="0" w:color="auto"/>
              <w:bottom w:val="single" w:sz="8" w:space="0" w:color="auto"/>
              <w:right w:val="single" w:sz="8" w:space="0" w:color="auto"/>
            </w:tcBorders>
            <w:vAlign w:val="center"/>
            <w:hideMark/>
          </w:tcPr>
          <w:p w14:paraId="2E4D8BBF" w14:textId="77777777" w:rsidR="00044D5B" w:rsidRPr="00392E88" w:rsidRDefault="00044D5B">
            <w:pPr>
              <w:spacing w:before="0" w:after="0"/>
              <w:rPr>
                <w:color w:val="000000"/>
                <w:sz w:val="20"/>
                <w:szCs w:val="20"/>
              </w:rPr>
            </w:pPr>
            <w:r w:rsidRPr="00392E88">
              <w:rPr>
                <w:color w:val="000000"/>
                <w:sz w:val="20"/>
              </w:rPr>
              <w:t>Linia budżetowa</w:t>
            </w:r>
          </w:p>
        </w:tc>
        <w:tc>
          <w:tcPr>
            <w:tcW w:w="529" w:type="pct"/>
            <w:gridSpan w:val="2"/>
            <w:tcBorders>
              <w:top w:val="nil"/>
              <w:left w:val="nil"/>
              <w:bottom w:val="single" w:sz="8" w:space="0" w:color="auto"/>
              <w:right w:val="single" w:sz="8" w:space="0" w:color="auto"/>
            </w:tcBorders>
            <w:vAlign w:val="center"/>
            <w:hideMark/>
          </w:tcPr>
          <w:p w14:paraId="6FF6FBBF" w14:textId="77777777" w:rsidR="00044D5B" w:rsidRPr="00392E88" w:rsidRDefault="00044D5B">
            <w:pPr>
              <w:spacing w:before="0" w:after="0"/>
              <w:jc w:val="right"/>
              <w:rPr>
                <w:color w:val="000000"/>
                <w:sz w:val="18"/>
                <w:szCs w:val="18"/>
              </w:rPr>
            </w:pPr>
            <w:r w:rsidRPr="00392E88">
              <w:rPr>
                <w:color w:val="000000"/>
                <w:sz w:val="18"/>
              </w:rPr>
              <w:t xml:space="preserve"> </w:t>
            </w:r>
          </w:p>
        </w:tc>
        <w:tc>
          <w:tcPr>
            <w:tcW w:w="496" w:type="pct"/>
            <w:tcBorders>
              <w:top w:val="single" w:sz="8" w:space="0" w:color="auto"/>
              <w:left w:val="nil"/>
              <w:bottom w:val="single" w:sz="8" w:space="0" w:color="auto"/>
              <w:right w:val="single" w:sz="8" w:space="0" w:color="auto"/>
            </w:tcBorders>
            <w:vAlign w:val="center"/>
            <w:hideMark/>
          </w:tcPr>
          <w:p w14:paraId="7124B4A9" w14:textId="77777777" w:rsidR="00044D5B" w:rsidRPr="00392E88" w:rsidRDefault="00044D5B">
            <w:pPr>
              <w:spacing w:before="0" w:after="0"/>
              <w:jc w:val="center"/>
              <w:rPr>
                <w:color w:val="000000"/>
                <w:sz w:val="14"/>
                <w:szCs w:val="14"/>
              </w:rPr>
            </w:pPr>
            <w:r w:rsidRPr="00392E88">
              <w:rPr>
                <w:color w:val="000000"/>
                <w:sz w:val="14"/>
              </w:rPr>
              <w:t>(3)</w:t>
            </w:r>
          </w:p>
        </w:tc>
        <w:tc>
          <w:tcPr>
            <w:tcW w:w="496" w:type="pct"/>
            <w:gridSpan w:val="2"/>
            <w:tcBorders>
              <w:top w:val="nil"/>
              <w:left w:val="nil"/>
              <w:bottom w:val="single" w:sz="8" w:space="0" w:color="auto"/>
              <w:right w:val="single" w:sz="8" w:space="0" w:color="auto"/>
            </w:tcBorders>
            <w:vAlign w:val="center"/>
            <w:hideMark/>
          </w:tcPr>
          <w:p w14:paraId="2833B55A" w14:textId="77777777" w:rsidR="00044D5B" w:rsidRPr="00392E88" w:rsidRDefault="00044D5B">
            <w:pPr>
              <w:spacing w:before="0" w:after="0"/>
              <w:jc w:val="right"/>
              <w:rPr>
                <w:b/>
                <w:bCs/>
                <w:color w:val="000000"/>
                <w:sz w:val="20"/>
                <w:szCs w:val="20"/>
              </w:rPr>
            </w:pPr>
            <w:r w:rsidRPr="00392E88">
              <w:rPr>
                <w:b/>
                <w:color w:val="000000"/>
                <w:sz w:val="20"/>
              </w:rPr>
              <w:t xml:space="preserve"> </w:t>
            </w:r>
          </w:p>
        </w:tc>
        <w:tc>
          <w:tcPr>
            <w:tcW w:w="496" w:type="pct"/>
            <w:gridSpan w:val="2"/>
            <w:tcBorders>
              <w:top w:val="nil"/>
              <w:left w:val="nil"/>
              <w:bottom w:val="single" w:sz="8" w:space="0" w:color="auto"/>
              <w:right w:val="single" w:sz="8" w:space="0" w:color="auto"/>
            </w:tcBorders>
            <w:vAlign w:val="center"/>
            <w:hideMark/>
          </w:tcPr>
          <w:p w14:paraId="62C0FE35" w14:textId="77777777" w:rsidR="00044D5B" w:rsidRPr="00392E88" w:rsidRDefault="00044D5B">
            <w:pPr>
              <w:spacing w:before="0" w:after="0"/>
              <w:jc w:val="right"/>
              <w:rPr>
                <w:b/>
                <w:bCs/>
                <w:color w:val="000000"/>
                <w:sz w:val="20"/>
                <w:szCs w:val="20"/>
              </w:rPr>
            </w:pPr>
            <w:r w:rsidRPr="00392E88">
              <w:rPr>
                <w:b/>
                <w:color w:val="000000"/>
                <w:sz w:val="20"/>
              </w:rPr>
              <w:t xml:space="preserve"> </w:t>
            </w:r>
          </w:p>
        </w:tc>
        <w:tc>
          <w:tcPr>
            <w:tcW w:w="496" w:type="pct"/>
            <w:gridSpan w:val="2"/>
            <w:tcBorders>
              <w:top w:val="nil"/>
              <w:left w:val="nil"/>
              <w:bottom w:val="single" w:sz="8" w:space="0" w:color="auto"/>
              <w:right w:val="single" w:sz="8" w:space="0" w:color="auto"/>
            </w:tcBorders>
            <w:vAlign w:val="center"/>
            <w:hideMark/>
          </w:tcPr>
          <w:p w14:paraId="20E52028" w14:textId="77777777" w:rsidR="00044D5B" w:rsidRPr="00392E88" w:rsidRDefault="00044D5B">
            <w:pPr>
              <w:spacing w:before="0" w:after="0"/>
              <w:jc w:val="right"/>
              <w:rPr>
                <w:b/>
                <w:bCs/>
                <w:color w:val="000000"/>
                <w:sz w:val="20"/>
                <w:szCs w:val="20"/>
              </w:rPr>
            </w:pPr>
            <w:r w:rsidRPr="00392E88">
              <w:rPr>
                <w:b/>
                <w:color w:val="000000"/>
                <w:sz w:val="20"/>
              </w:rPr>
              <w:t xml:space="preserve"> </w:t>
            </w:r>
          </w:p>
        </w:tc>
        <w:tc>
          <w:tcPr>
            <w:tcW w:w="478" w:type="pct"/>
            <w:tcBorders>
              <w:top w:val="nil"/>
              <w:left w:val="nil"/>
              <w:bottom w:val="single" w:sz="8" w:space="0" w:color="auto"/>
              <w:right w:val="single" w:sz="8" w:space="0" w:color="auto"/>
            </w:tcBorders>
            <w:vAlign w:val="center"/>
            <w:hideMark/>
          </w:tcPr>
          <w:p w14:paraId="110F5D66" w14:textId="77777777" w:rsidR="00044D5B" w:rsidRPr="00392E88" w:rsidRDefault="00044D5B">
            <w:pPr>
              <w:spacing w:before="0" w:after="0"/>
              <w:jc w:val="right"/>
              <w:rPr>
                <w:b/>
                <w:bCs/>
                <w:color w:val="000000"/>
                <w:sz w:val="20"/>
                <w:szCs w:val="20"/>
              </w:rPr>
            </w:pPr>
            <w:r w:rsidRPr="00392E88">
              <w:rPr>
                <w:b/>
                <w:color w:val="000000"/>
                <w:sz w:val="20"/>
              </w:rPr>
              <w:t xml:space="preserve"> </w:t>
            </w:r>
          </w:p>
        </w:tc>
        <w:tc>
          <w:tcPr>
            <w:tcW w:w="590" w:type="pct"/>
            <w:gridSpan w:val="2"/>
            <w:tcBorders>
              <w:top w:val="nil"/>
              <w:left w:val="nil"/>
              <w:bottom w:val="single" w:sz="8" w:space="0" w:color="auto"/>
              <w:right w:val="single" w:sz="8" w:space="0" w:color="auto"/>
            </w:tcBorders>
            <w:shd w:val="clear" w:color="000000" w:fill="D9D9D9"/>
            <w:vAlign w:val="center"/>
            <w:hideMark/>
          </w:tcPr>
          <w:p w14:paraId="157ED4BE" w14:textId="77777777" w:rsidR="00044D5B" w:rsidRPr="00392E88" w:rsidRDefault="00044D5B">
            <w:pPr>
              <w:spacing w:before="0" w:after="0"/>
              <w:jc w:val="right"/>
              <w:rPr>
                <w:b/>
                <w:bCs/>
                <w:color w:val="000000"/>
                <w:sz w:val="20"/>
                <w:szCs w:val="20"/>
              </w:rPr>
            </w:pPr>
            <w:r w:rsidRPr="00392E88">
              <w:rPr>
                <w:b/>
                <w:color w:val="000000"/>
                <w:sz w:val="20"/>
              </w:rPr>
              <w:t>0,000</w:t>
            </w:r>
          </w:p>
        </w:tc>
      </w:tr>
      <w:tr w:rsidR="00983E98" w:rsidRPr="00392E88" w14:paraId="4360336A" w14:textId="77777777">
        <w:trPr>
          <w:trHeight w:val="288"/>
        </w:trPr>
        <w:tc>
          <w:tcPr>
            <w:tcW w:w="1419" w:type="pct"/>
            <w:vMerge w:val="restart"/>
            <w:tcBorders>
              <w:top w:val="nil"/>
              <w:left w:val="single" w:sz="8" w:space="0" w:color="auto"/>
              <w:right w:val="single" w:sz="8" w:space="0" w:color="auto"/>
            </w:tcBorders>
            <w:vAlign w:val="center"/>
            <w:hideMark/>
          </w:tcPr>
          <w:p w14:paraId="48810476" w14:textId="77777777" w:rsidR="00044D5B" w:rsidRPr="00392E88" w:rsidRDefault="00044D5B">
            <w:pPr>
              <w:spacing w:before="0" w:after="0"/>
              <w:jc w:val="center"/>
              <w:rPr>
                <w:b/>
                <w:bCs/>
                <w:color w:val="000000"/>
                <w:sz w:val="22"/>
              </w:rPr>
            </w:pPr>
            <w:r w:rsidRPr="00392E88">
              <w:rPr>
                <w:b/>
                <w:color w:val="000000"/>
                <w:sz w:val="22"/>
              </w:rPr>
              <w:t>OGÓŁEM środki</w:t>
            </w:r>
          </w:p>
          <w:p w14:paraId="1894F06C" w14:textId="77777777" w:rsidR="00044D5B" w:rsidRPr="00392E88" w:rsidRDefault="00044D5B">
            <w:pPr>
              <w:spacing w:before="0" w:after="0"/>
              <w:jc w:val="center"/>
              <w:rPr>
                <w:b/>
                <w:bCs/>
                <w:color w:val="000000"/>
                <w:sz w:val="22"/>
              </w:rPr>
            </w:pPr>
            <w:r w:rsidRPr="00392E88">
              <w:rPr>
                <w:b/>
                <w:color w:val="000000"/>
                <w:sz w:val="22"/>
              </w:rPr>
              <w:t xml:space="preserve">dla Dyrekcji Generalnej </w:t>
            </w:r>
            <w:r w:rsidRPr="00392E88">
              <w:rPr>
                <w:color w:val="000000"/>
                <w:sz w:val="22"/>
              </w:rPr>
              <w:t>&lt;…….&gt;</w:t>
            </w:r>
          </w:p>
        </w:tc>
        <w:tc>
          <w:tcPr>
            <w:tcW w:w="529" w:type="pct"/>
            <w:gridSpan w:val="2"/>
            <w:tcBorders>
              <w:top w:val="nil"/>
              <w:left w:val="nil"/>
              <w:bottom w:val="single" w:sz="8" w:space="0" w:color="auto"/>
              <w:right w:val="single" w:sz="8" w:space="0" w:color="auto"/>
            </w:tcBorders>
            <w:vAlign w:val="center"/>
            <w:hideMark/>
          </w:tcPr>
          <w:p w14:paraId="24D812A3" w14:textId="77777777" w:rsidR="00044D5B" w:rsidRPr="00392E88" w:rsidRDefault="00044D5B">
            <w:pPr>
              <w:spacing w:before="0" w:after="0"/>
              <w:rPr>
                <w:color w:val="000000"/>
                <w:sz w:val="18"/>
                <w:szCs w:val="18"/>
              </w:rPr>
            </w:pPr>
            <w:r w:rsidRPr="00392E88">
              <w:rPr>
                <w:color w:val="000000"/>
                <w:sz w:val="18"/>
              </w:rPr>
              <w:t>Środki na zobowiązania</w:t>
            </w:r>
          </w:p>
        </w:tc>
        <w:tc>
          <w:tcPr>
            <w:tcW w:w="496" w:type="pct"/>
            <w:tcBorders>
              <w:top w:val="single" w:sz="8" w:space="0" w:color="auto"/>
              <w:left w:val="nil"/>
              <w:bottom w:val="single" w:sz="8" w:space="0" w:color="auto"/>
              <w:right w:val="single" w:sz="8" w:space="0" w:color="auto"/>
            </w:tcBorders>
            <w:vAlign w:val="center"/>
            <w:hideMark/>
          </w:tcPr>
          <w:p w14:paraId="104FC1EC" w14:textId="77777777" w:rsidR="00044D5B" w:rsidRPr="00392E88" w:rsidRDefault="00044D5B">
            <w:pPr>
              <w:spacing w:before="0" w:after="0"/>
              <w:jc w:val="center"/>
              <w:rPr>
                <w:color w:val="000000"/>
                <w:sz w:val="14"/>
                <w:szCs w:val="14"/>
              </w:rPr>
            </w:pPr>
            <w:r w:rsidRPr="00392E88">
              <w:rPr>
                <w:color w:val="000000"/>
                <w:sz w:val="14"/>
              </w:rPr>
              <w:t>=1a+1b+3</w:t>
            </w:r>
          </w:p>
        </w:tc>
        <w:tc>
          <w:tcPr>
            <w:tcW w:w="496" w:type="pct"/>
            <w:gridSpan w:val="2"/>
            <w:tcBorders>
              <w:top w:val="nil"/>
              <w:left w:val="nil"/>
              <w:bottom w:val="single" w:sz="8" w:space="0" w:color="auto"/>
              <w:right w:val="single" w:sz="8" w:space="0" w:color="auto"/>
            </w:tcBorders>
            <w:shd w:val="clear" w:color="000000" w:fill="D9D9D9"/>
            <w:vAlign w:val="center"/>
            <w:hideMark/>
          </w:tcPr>
          <w:p w14:paraId="5ECF31E1" w14:textId="77777777" w:rsidR="00044D5B" w:rsidRPr="00392E88" w:rsidRDefault="00044D5B">
            <w:pPr>
              <w:spacing w:before="0" w:after="0"/>
              <w:jc w:val="right"/>
              <w:rPr>
                <w:b/>
                <w:bCs/>
                <w:color w:val="000000"/>
                <w:sz w:val="20"/>
                <w:szCs w:val="20"/>
              </w:rPr>
            </w:pPr>
            <w:r w:rsidRPr="00392E88">
              <w:rPr>
                <w:b/>
                <w:color w:val="000000"/>
                <w:sz w:val="20"/>
              </w:rPr>
              <w:t>0,000</w:t>
            </w:r>
          </w:p>
        </w:tc>
        <w:tc>
          <w:tcPr>
            <w:tcW w:w="496" w:type="pct"/>
            <w:gridSpan w:val="2"/>
            <w:tcBorders>
              <w:top w:val="nil"/>
              <w:left w:val="nil"/>
              <w:bottom w:val="single" w:sz="8" w:space="0" w:color="auto"/>
              <w:right w:val="single" w:sz="8" w:space="0" w:color="auto"/>
            </w:tcBorders>
            <w:shd w:val="clear" w:color="000000" w:fill="D9D9D9"/>
            <w:vAlign w:val="center"/>
            <w:hideMark/>
          </w:tcPr>
          <w:p w14:paraId="4DB978F4" w14:textId="77777777" w:rsidR="00044D5B" w:rsidRPr="00392E88" w:rsidRDefault="00044D5B">
            <w:pPr>
              <w:spacing w:before="0" w:after="0"/>
              <w:jc w:val="right"/>
              <w:rPr>
                <w:b/>
                <w:bCs/>
                <w:color w:val="000000"/>
                <w:sz w:val="20"/>
                <w:szCs w:val="20"/>
              </w:rPr>
            </w:pPr>
            <w:r w:rsidRPr="00392E88">
              <w:rPr>
                <w:b/>
                <w:color w:val="000000"/>
                <w:sz w:val="20"/>
              </w:rPr>
              <w:t>0,000</w:t>
            </w:r>
          </w:p>
        </w:tc>
        <w:tc>
          <w:tcPr>
            <w:tcW w:w="496" w:type="pct"/>
            <w:gridSpan w:val="2"/>
            <w:tcBorders>
              <w:top w:val="nil"/>
              <w:left w:val="nil"/>
              <w:bottom w:val="single" w:sz="8" w:space="0" w:color="auto"/>
              <w:right w:val="single" w:sz="8" w:space="0" w:color="auto"/>
            </w:tcBorders>
            <w:shd w:val="clear" w:color="000000" w:fill="D9D9D9"/>
            <w:vAlign w:val="center"/>
            <w:hideMark/>
          </w:tcPr>
          <w:p w14:paraId="5F61F7EA" w14:textId="77777777" w:rsidR="00044D5B" w:rsidRPr="00392E88" w:rsidRDefault="00044D5B">
            <w:pPr>
              <w:spacing w:before="0" w:after="0"/>
              <w:jc w:val="right"/>
              <w:rPr>
                <w:b/>
                <w:bCs/>
                <w:color w:val="000000"/>
                <w:sz w:val="20"/>
                <w:szCs w:val="20"/>
              </w:rPr>
            </w:pPr>
            <w:r w:rsidRPr="00392E88">
              <w:rPr>
                <w:b/>
                <w:color w:val="000000"/>
                <w:sz w:val="20"/>
              </w:rPr>
              <w:t>0,000</w:t>
            </w:r>
          </w:p>
        </w:tc>
        <w:tc>
          <w:tcPr>
            <w:tcW w:w="478" w:type="pct"/>
            <w:tcBorders>
              <w:top w:val="nil"/>
              <w:left w:val="nil"/>
              <w:bottom w:val="single" w:sz="8" w:space="0" w:color="auto"/>
              <w:right w:val="single" w:sz="8" w:space="0" w:color="auto"/>
            </w:tcBorders>
            <w:shd w:val="clear" w:color="000000" w:fill="D9D9D9"/>
            <w:vAlign w:val="center"/>
            <w:hideMark/>
          </w:tcPr>
          <w:p w14:paraId="4C70AC97" w14:textId="77777777" w:rsidR="00044D5B" w:rsidRPr="00392E88" w:rsidRDefault="00044D5B">
            <w:pPr>
              <w:spacing w:before="0" w:after="0"/>
              <w:jc w:val="right"/>
              <w:rPr>
                <w:b/>
                <w:bCs/>
                <w:color w:val="000000"/>
                <w:sz w:val="20"/>
                <w:szCs w:val="20"/>
              </w:rPr>
            </w:pPr>
            <w:r w:rsidRPr="00392E88">
              <w:rPr>
                <w:b/>
                <w:color w:val="000000"/>
                <w:sz w:val="20"/>
              </w:rPr>
              <w:t>0,000</w:t>
            </w:r>
          </w:p>
        </w:tc>
        <w:tc>
          <w:tcPr>
            <w:tcW w:w="590" w:type="pct"/>
            <w:gridSpan w:val="2"/>
            <w:tcBorders>
              <w:top w:val="nil"/>
              <w:left w:val="nil"/>
              <w:bottom w:val="single" w:sz="8" w:space="0" w:color="auto"/>
              <w:right w:val="single" w:sz="8" w:space="0" w:color="auto"/>
            </w:tcBorders>
            <w:shd w:val="clear" w:color="000000" w:fill="D9D9D9"/>
            <w:vAlign w:val="center"/>
            <w:hideMark/>
          </w:tcPr>
          <w:p w14:paraId="1999FBDE" w14:textId="77777777" w:rsidR="00044D5B" w:rsidRPr="00392E88" w:rsidRDefault="00044D5B">
            <w:pPr>
              <w:spacing w:before="0" w:after="0"/>
              <w:jc w:val="right"/>
              <w:rPr>
                <w:b/>
                <w:bCs/>
                <w:color w:val="000000"/>
                <w:sz w:val="20"/>
                <w:szCs w:val="20"/>
              </w:rPr>
            </w:pPr>
            <w:r w:rsidRPr="00392E88">
              <w:rPr>
                <w:b/>
                <w:color w:val="000000"/>
                <w:sz w:val="20"/>
              </w:rPr>
              <w:t>0,000</w:t>
            </w:r>
          </w:p>
        </w:tc>
      </w:tr>
      <w:tr w:rsidR="00983E98" w:rsidRPr="00392E88" w14:paraId="38C1D729" w14:textId="77777777">
        <w:trPr>
          <w:trHeight w:val="288"/>
        </w:trPr>
        <w:tc>
          <w:tcPr>
            <w:tcW w:w="1419" w:type="pct"/>
            <w:vMerge/>
            <w:tcBorders>
              <w:left w:val="single" w:sz="8" w:space="0" w:color="auto"/>
              <w:bottom w:val="single" w:sz="8" w:space="0" w:color="auto"/>
              <w:right w:val="single" w:sz="8" w:space="0" w:color="auto"/>
            </w:tcBorders>
            <w:vAlign w:val="center"/>
            <w:hideMark/>
          </w:tcPr>
          <w:p w14:paraId="5CA13316" w14:textId="77777777" w:rsidR="00044D5B" w:rsidRPr="00392E88" w:rsidRDefault="00044D5B">
            <w:pPr>
              <w:spacing w:before="0" w:after="0"/>
              <w:jc w:val="center"/>
              <w:rPr>
                <w:b/>
                <w:bCs/>
                <w:color w:val="000000"/>
                <w:sz w:val="22"/>
                <w:lang w:eastAsia="en-IE"/>
              </w:rPr>
            </w:pPr>
          </w:p>
        </w:tc>
        <w:tc>
          <w:tcPr>
            <w:tcW w:w="529" w:type="pct"/>
            <w:gridSpan w:val="2"/>
            <w:tcBorders>
              <w:top w:val="nil"/>
              <w:left w:val="nil"/>
              <w:bottom w:val="single" w:sz="8" w:space="0" w:color="auto"/>
              <w:right w:val="single" w:sz="8" w:space="0" w:color="auto"/>
            </w:tcBorders>
            <w:vAlign w:val="center"/>
            <w:hideMark/>
          </w:tcPr>
          <w:p w14:paraId="2F31BB12" w14:textId="77777777" w:rsidR="00044D5B" w:rsidRPr="00392E88" w:rsidRDefault="00044D5B">
            <w:pPr>
              <w:spacing w:before="0" w:after="0"/>
              <w:rPr>
                <w:color w:val="000000"/>
                <w:sz w:val="18"/>
                <w:szCs w:val="18"/>
              </w:rPr>
            </w:pPr>
            <w:r w:rsidRPr="00392E88">
              <w:rPr>
                <w:color w:val="000000"/>
                <w:sz w:val="18"/>
              </w:rPr>
              <w:t>Środki na płatności</w:t>
            </w:r>
          </w:p>
        </w:tc>
        <w:tc>
          <w:tcPr>
            <w:tcW w:w="496" w:type="pct"/>
            <w:tcBorders>
              <w:top w:val="single" w:sz="8" w:space="0" w:color="auto"/>
              <w:left w:val="nil"/>
              <w:bottom w:val="single" w:sz="8" w:space="0" w:color="auto"/>
              <w:right w:val="single" w:sz="8" w:space="0" w:color="auto"/>
            </w:tcBorders>
            <w:vAlign w:val="center"/>
            <w:hideMark/>
          </w:tcPr>
          <w:p w14:paraId="21E2607B" w14:textId="77777777" w:rsidR="00044D5B" w:rsidRPr="00392E88" w:rsidRDefault="00044D5B">
            <w:pPr>
              <w:spacing w:before="0" w:after="0"/>
              <w:jc w:val="center"/>
              <w:rPr>
                <w:color w:val="000000"/>
                <w:sz w:val="14"/>
                <w:szCs w:val="14"/>
              </w:rPr>
            </w:pPr>
            <w:r w:rsidRPr="00392E88">
              <w:rPr>
                <w:color w:val="000000"/>
                <w:sz w:val="14"/>
              </w:rPr>
              <w:t>=2a+2b+3</w:t>
            </w:r>
          </w:p>
        </w:tc>
        <w:tc>
          <w:tcPr>
            <w:tcW w:w="496" w:type="pct"/>
            <w:gridSpan w:val="2"/>
            <w:tcBorders>
              <w:top w:val="nil"/>
              <w:left w:val="nil"/>
              <w:bottom w:val="single" w:sz="8" w:space="0" w:color="auto"/>
              <w:right w:val="single" w:sz="8" w:space="0" w:color="auto"/>
            </w:tcBorders>
            <w:shd w:val="clear" w:color="000000" w:fill="D9D9D9"/>
            <w:vAlign w:val="center"/>
            <w:hideMark/>
          </w:tcPr>
          <w:p w14:paraId="049C1858" w14:textId="77777777" w:rsidR="00044D5B" w:rsidRPr="00392E88" w:rsidRDefault="00044D5B">
            <w:pPr>
              <w:spacing w:before="0" w:after="0"/>
              <w:jc w:val="right"/>
              <w:rPr>
                <w:b/>
                <w:bCs/>
                <w:color w:val="000000"/>
                <w:sz w:val="20"/>
                <w:szCs w:val="20"/>
              </w:rPr>
            </w:pPr>
            <w:r w:rsidRPr="00392E88">
              <w:rPr>
                <w:b/>
                <w:color w:val="000000"/>
                <w:sz w:val="20"/>
              </w:rPr>
              <w:t>0,000</w:t>
            </w:r>
          </w:p>
        </w:tc>
        <w:tc>
          <w:tcPr>
            <w:tcW w:w="496" w:type="pct"/>
            <w:gridSpan w:val="2"/>
            <w:tcBorders>
              <w:top w:val="nil"/>
              <w:left w:val="nil"/>
              <w:bottom w:val="single" w:sz="8" w:space="0" w:color="auto"/>
              <w:right w:val="single" w:sz="8" w:space="0" w:color="auto"/>
            </w:tcBorders>
            <w:shd w:val="clear" w:color="000000" w:fill="D9D9D9"/>
            <w:vAlign w:val="center"/>
            <w:hideMark/>
          </w:tcPr>
          <w:p w14:paraId="735E8A48" w14:textId="77777777" w:rsidR="00044D5B" w:rsidRPr="00392E88" w:rsidRDefault="00044D5B">
            <w:pPr>
              <w:spacing w:before="0" w:after="0"/>
              <w:jc w:val="right"/>
              <w:rPr>
                <w:b/>
                <w:bCs/>
                <w:color w:val="000000"/>
                <w:sz w:val="20"/>
                <w:szCs w:val="20"/>
              </w:rPr>
            </w:pPr>
            <w:r w:rsidRPr="00392E88">
              <w:rPr>
                <w:b/>
                <w:color w:val="000000"/>
                <w:sz w:val="20"/>
              </w:rPr>
              <w:t>0,000</w:t>
            </w:r>
          </w:p>
        </w:tc>
        <w:tc>
          <w:tcPr>
            <w:tcW w:w="496" w:type="pct"/>
            <w:gridSpan w:val="2"/>
            <w:tcBorders>
              <w:top w:val="nil"/>
              <w:left w:val="nil"/>
              <w:bottom w:val="single" w:sz="8" w:space="0" w:color="auto"/>
              <w:right w:val="single" w:sz="8" w:space="0" w:color="auto"/>
            </w:tcBorders>
            <w:shd w:val="clear" w:color="000000" w:fill="D9D9D9"/>
            <w:vAlign w:val="center"/>
            <w:hideMark/>
          </w:tcPr>
          <w:p w14:paraId="0CEBF3B4" w14:textId="77777777" w:rsidR="00044D5B" w:rsidRPr="00392E88" w:rsidRDefault="00044D5B">
            <w:pPr>
              <w:spacing w:before="0" w:after="0"/>
              <w:jc w:val="right"/>
              <w:rPr>
                <w:b/>
                <w:bCs/>
                <w:color w:val="000000"/>
                <w:sz w:val="20"/>
                <w:szCs w:val="20"/>
              </w:rPr>
            </w:pPr>
            <w:r w:rsidRPr="00392E88">
              <w:rPr>
                <w:b/>
                <w:color w:val="000000"/>
                <w:sz w:val="20"/>
              </w:rPr>
              <w:t>0,000</w:t>
            </w:r>
          </w:p>
        </w:tc>
        <w:tc>
          <w:tcPr>
            <w:tcW w:w="478" w:type="pct"/>
            <w:tcBorders>
              <w:top w:val="nil"/>
              <w:left w:val="nil"/>
              <w:bottom w:val="single" w:sz="8" w:space="0" w:color="auto"/>
              <w:right w:val="single" w:sz="8" w:space="0" w:color="auto"/>
            </w:tcBorders>
            <w:shd w:val="clear" w:color="000000" w:fill="D9D9D9"/>
            <w:vAlign w:val="center"/>
            <w:hideMark/>
          </w:tcPr>
          <w:p w14:paraId="52F10A7E" w14:textId="77777777" w:rsidR="00044D5B" w:rsidRPr="00392E88" w:rsidRDefault="00044D5B">
            <w:pPr>
              <w:spacing w:before="0" w:after="0"/>
              <w:jc w:val="right"/>
              <w:rPr>
                <w:b/>
                <w:bCs/>
                <w:color w:val="000000"/>
                <w:sz w:val="20"/>
                <w:szCs w:val="20"/>
              </w:rPr>
            </w:pPr>
            <w:r w:rsidRPr="00392E88">
              <w:rPr>
                <w:b/>
                <w:color w:val="000000"/>
                <w:sz w:val="20"/>
              </w:rPr>
              <w:t>0,000</w:t>
            </w:r>
          </w:p>
        </w:tc>
        <w:tc>
          <w:tcPr>
            <w:tcW w:w="590" w:type="pct"/>
            <w:gridSpan w:val="2"/>
            <w:tcBorders>
              <w:top w:val="nil"/>
              <w:left w:val="nil"/>
              <w:bottom w:val="single" w:sz="8" w:space="0" w:color="auto"/>
              <w:right w:val="single" w:sz="8" w:space="0" w:color="auto"/>
            </w:tcBorders>
            <w:shd w:val="clear" w:color="000000" w:fill="D9D9D9"/>
            <w:vAlign w:val="center"/>
            <w:hideMark/>
          </w:tcPr>
          <w:p w14:paraId="042C7645" w14:textId="77777777" w:rsidR="00044D5B" w:rsidRPr="00392E88" w:rsidRDefault="00044D5B">
            <w:pPr>
              <w:spacing w:before="0" w:after="0"/>
              <w:jc w:val="right"/>
              <w:rPr>
                <w:b/>
                <w:bCs/>
                <w:color w:val="000000"/>
                <w:sz w:val="20"/>
                <w:szCs w:val="20"/>
              </w:rPr>
            </w:pPr>
            <w:r w:rsidRPr="00392E88">
              <w:rPr>
                <w:b/>
                <w:color w:val="000000"/>
                <w:sz w:val="20"/>
              </w:rPr>
              <w:t>0,000</w:t>
            </w:r>
          </w:p>
        </w:tc>
      </w:tr>
      <w:tr w:rsidR="00733BD3" w:rsidRPr="00392E88" w14:paraId="1DC20D65" w14:textId="77777777">
        <w:trPr>
          <w:trHeight w:val="300"/>
        </w:trPr>
        <w:tc>
          <w:tcPr>
            <w:tcW w:w="2432" w:type="pct"/>
            <w:gridSpan w:val="5"/>
            <w:vMerge w:val="restart"/>
            <w:tcBorders>
              <w:top w:val="single" w:sz="8" w:space="0" w:color="auto"/>
              <w:left w:val="single" w:sz="8" w:space="0" w:color="auto"/>
              <w:bottom w:val="single" w:sz="8" w:space="0" w:color="000000"/>
              <w:right w:val="single" w:sz="8" w:space="0" w:color="000000"/>
            </w:tcBorders>
            <w:vAlign w:val="center"/>
            <w:hideMark/>
          </w:tcPr>
          <w:p w14:paraId="55A7CA60" w14:textId="77777777" w:rsidR="00044D5B" w:rsidRPr="00392E88" w:rsidRDefault="00044D5B">
            <w:pPr>
              <w:spacing w:before="0" w:after="0"/>
              <w:jc w:val="center"/>
              <w:rPr>
                <w:b/>
                <w:bCs/>
                <w:color w:val="000000"/>
                <w:sz w:val="22"/>
              </w:rPr>
            </w:pPr>
            <w:r w:rsidRPr="00392E88">
              <w:rPr>
                <w:b/>
                <w:color w:val="000000"/>
                <w:sz w:val="22"/>
              </w:rPr>
              <w:t xml:space="preserve"> </w:t>
            </w:r>
          </w:p>
        </w:tc>
        <w:tc>
          <w:tcPr>
            <w:tcW w:w="493" w:type="pct"/>
            <w:gridSpan w:val="2"/>
            <w:tcBorders>
              <w:top w:val="single" w:sz="8" w:space="0" w:color="auto"/>
              <w:left w:val="nil"/>
              <w:bottom w:val="single" w:sz="8" w:space="0" w:color="auto"/>
              <w:right w:val="single" w:sz="8" w:space="0" w:color="auto"/>
            </w:tcBorders>
            <w:vAlign w:val="center"/>
            <w:hideMark/>
          </w:tcPr>
          <w:p w14:paraId="210BAF5A" w14:textId="77777777" w:rsidR="00044D5B" w:rsidRPr="00392E88" w:rsidRDefault="00044D5B">
            <w:pPr>
              <w:spacing w:before="0" w:after="0"/>
              <w:jc w:val="center"/>
              <w:rPr>
                <w:color w:val="000000"/>
                <w:sz w:val="20"/>
                <w:szCs w:val="20"/>
              </w:rPr>
            </w:pPr>
            <w:r w:rsidRPr="00392E88">
              <w:rPr>
                <w:color w:val="000000"/>
                <w:sz w:val="20"/>
              </w:rPr>
              <w:t>Rok</w:t>
            </w:r>
          </w:p>
        </w:tc>
        <w:tc>
          <w:tcPr>
            <w:tcW w:w="493" w:type="pct"/>
            <w:gridSpan w:val="2"/>
            <w:tcBorders>
              <w:top w:val="single" w:sz="8" w:space="0" w:color="auto"/>
              <w:left w:val="nil"/>
              <w:bottom w:val="single" w:sz="8" w:space="0" w:color="auto"/>
              <w:right w:val="single" w:sz="8" w:space="0" w:color="auto"/>
            </w:tcBorders>
            <w:vAlign w:val="center"/>
            <w:hideMark/>
          </w:tcPr>
          <w:p w14:paraId="5852C771" w14:textId="77777777" w:rsidR="00044D5B" w:rsidRPr="00392E88" w:rsidRDefault="00044D5B">
            <w:pPr>
              <w:spacing w:before="0" w:after="0"/>
              <w:jc w:val="center"/>
              <w:rPr>
                <w:color w:val="000000"/>
                <w:sz w:val="20"/>
                <w:szCs w:val="20"/>
              </w:rPr>
            </w:pPr>
            <w:r w:rsidRPr="00392E88">
              <w:rPr>
                <w:color w:val="000000"/>
                <w:sz w:val="20"/>
              </w:rPr>
              <w:t>Rok</w:t>
            </w:r>
          </w:p>
        </w:tc>
        <w:tc>
          <w:tcPr>
            <w:tcW w:w="493" w:type="pct"/>
            <w:gridSpan w:val="2"/>
            <w:tcBorders>
              <w:top w:val="single" w:sz="8" w:space="0" w:color="auto"/>
              <w:left w:val="nil"/>
              <w:bottom w:val="single" w:sz="8" w:space="0" w:color="auto"/>
              <w:right w:val="single" w:sz="8" w:space="0" w:color="auto"/>
            </w:tcBorders>
            <w:vAlign w:val="center"/>
            <w:hideMark/>
          </w:tcPr>
          <w:p w14:paraId="7ABA1948" w14:textId="77777777" w:rsidR="00044D5B" w:rsidRPr="00392E88" w:rsidRDefault="00044D5B">
            <w:pPr>
              <w:spacing w:before="0" w:after="0"/>
              <w:jc w:val="center"/>
              <w:rPr>
                <w:color w:val="000000"/>
                <w:sz w:val="20"/>
                <w:szCs w:val="20"/>
              </w:rPr>
            </w:pPr>
            <w:r w:rsidRPr="00392E88">
              <w:rPr>
                <w:color w:val="000000"/>
                <w:sz w:val="20"/>
              </w:rPr>
              <w:t>Rok</w:t>
            </w:r>
          </w:p>
        </w:tc>
        <w:tc>
          <w:tcPr>
            <w:tcW w:w="493" w:type="pct"/>
            <w:tcBorders>
              <w:top w:val="single" w:sz="8" w:space="0" w:color="auto"/>
              <w:left w:val="nil"/>
              <w:bottom w:val="single" w:sz="8" w:space="0" w:color="auto"/>
              <w:right w:val="single" w:sz="8" w:space="0" w:color="auto"/>
            </w:tcBorders>
            <w:vAlign w:val="center"/>
            <w:hideMark/>
          </w:tcPr>
          <w:p w14:paraId="5068DA30" w14:textId="77777777" w:rsidR="00044D5B" w:rsidRPr="00392E88" w:rsidRDefault="00044D5B">
            <w:pPr>
              <w:spacing w:before="0" w:after="0"/>
              <w:jc w:val="center"/>
              <w:rPr>
                <w:color w:val="000000"/>
                <w:sz w:val="20"/>
                <w:szCs w:val="20"/>
              </w:rPr>
            </w:pPr>
            <w:r w:rsidRPr="00392E88">
              <w:rPr>
                <w:color w:val="000000"/>
                <w:sz w:val="20"/>
              </w:rPr>
              <w:t>Rok</w:t>
            </w:r>
          </w:p>
        </w:tc>
        <w:tc>
          <w:tcPr>
            <w:tcW w:w="596" w:type="pct"/>
            <w:vMerge w:val="restart"/>
            <w:tcBorders>
              <w:top w:val="single" w:sz="8" w:space="0" w:color="auto"/>
              <w:left w:val="single" w:sz="8" w:space="0" w:color="auto"/>
              <w:bottom w:val="single" w:sz="8" w:space="0" w:color="auto"/>
              <w:right w:val="single" w:sz="8" w:space="0" w:color="auto"/>
            </w:tcBorders>
            <w:vAlign w:val="center"/>
            <w:hideMark/>
          </w:tcPr>
          <w:p w14:paraId="6187472A" w14:textId="77777777" w:rsidR="00044D5B" w:rsidRPr="00392E88" w:rsidRDefault="00044D5B">
            <w:pPr>
              <w:spacing w:before="0" w:after="0"/>
              <w:jc w:val="center"/>
              <w:rPr>
                <w:b/>
                <w:bCs/>
                <w:color w:val="000000"/>
                <w:sz w:val="20"/>
                <w:szCs w:val="20"/>
              </w:rPr>
            </w:pPr>
            <w:r w:rsidRPr="00392E88">
              <w:rPr>
                <w:b/>
                <w:color w:val="000000"/>
                <w:sz w:val="20"/>
              </w:rPr>
              <w:t>OGÓŁEM WRF 2021–2027</w:t>
            </w:r>
          </w:p>
        </w:tc>
      </w:tr>
      <w:tr w:rsidR="00504273" w:rsidRPr="00392E88" w14:paraId="59B3C368" w14:textId="77777777">
        <w:trPr>
          <w:trHeight w:val="300"/>
        </w:trPr>
        <w:tc>
          <w:tcPr>
            <w:tcW w:w="2432" w:type="pct"/>
            <w:gridSpan w:val="5"/>
            <w:vMerge/>
            <w:tcBorders>
              <w:top w:val="single" w:sz="8" w:space="0" w:color="auto"/>
              <w:left w:val="single" w:sz="8" w:space="0" w:color="auto"/>
              <w:bottom w:val="single" w:sz="8" w:space="0" w:color="000000"/>
              <w:right w:val="single" w:sz="8" w:space="0" w:color="000000"/>
            </w:tcBorders>
            <w:vAlign w:val="center"/>
            <w:hideMark/>
          </w:tcPr>
          <w:p w14:paraId="3888AE30" w14:textId="77777777" w:rsidR="00044D5B" w:rsidRPr="00392E88" w:rsidRDefault="00044D5B">
            <w:pPr>
              <w:spacing w:before="0" w:after="0"/>
              <w:jc w:val="left"/>
              <w:rPr>
                <w:b/>
                <w:bCs/>
                <w:color w:val="000000"/>
                <w:sz w:val="22"/>
                <w:lang w:eastAsia="en-IE"/>
              </w:rPr>
            </w:pPr>
          </w:p>
        </w:tc>
        <w:tc>
          <w:tcPr>
            <w:tcW w:w="493" w:type="pct"/>
            <w:gridSpan w:val="2"/>
            <w:tcBorders>
              <w:top w:val="nil"/>
              <w:left w:val="nil"/>
              <w:bottom w:val="single" w:sz="8" w:space="0" w:color="auto"/>
              <w:right w:val="single" w:sz="8" w:space="0" w:color="auto"/>
            </w:tcBorders>
            <w:vAlign w:val="center"/>
            <w:hideMark/>
          </w:tcPr>
          <w:p w14:paraId="6E8F40C0" w14:textId="77777777" w:rsidR="00044D5B" w:rsidRPr="00392E88" w:rsidRDefault="00044D5B">
            <w:pPr>
              <w:spacing w:before="0" w:after="0"/>
              <w:jc w:val="center"/>
              <w:rPr>
                <w:b/>
                <w:bCs/>
                <w:color w:val="000000"/>
                <w:sz w:val="20"/>
                <w:szCs w:val="20"/>
              </w:rPr>
            </w:pPr>
            <w:r w:rsidRPr="00392E88">
              <w:rPr>
                <w:b/>
                <w:color w:val="000000"/>
                <w:sz w:val="20"/>
              </w:rPr>
              <w:t>2024</w:t>
            </w:r>
          </w:p>
        </w:tc>
        <w:tc>
          <w:tcPr>
            <w:tcW w:w="493" w:type="pct"/>
            <w:gridSpan w:val="2"/>
            <w:tcBorders>
              <w:top w:val="nil"/>
              <w:left w:val="nil"/>
              <w:bottom w:val="single" w:sz="8" w:space="0" w:color="auto"/>
              <w:right w:val="single" w:sz="8" w:space="0" w:color="auto"/>
            </w:tcBorders>
            <w:vAlign w:val="center"/>
            <w:hideMark/>
          </w:tcPr>
          <w:p w14:paraId="08B3F360" w14:textId="77777777" w:rsidR="00044D5B" w:rsidRPr="00392E88" w:rsidRDefault="00044D5B">
            <w:pPr>
              <w:spacing w:before="0" w:after="0"/>
              <w:jc w:val="center"/>
              <w:rPr>
                <w:b/>
                <w:bCs/>
                <w:color w:val="000000"/>
                <w:sz w:val="20"/>
                <w:szCs w:val="20"/>
              </w:rPr>
            </w:pPr>
            <w:r w:rsidRPr="00392E88">
              <w:rPr>
                <w:b/>
                <w:color w:val="000000"/>
                <w:sz w:val="20"/>
              </w:rPr>
              <w:t>2025</w:t>
            </w:r>
          </w:p>
        </w:tc>
        <w:tc>
          <w:tcPr>
            <w:tcW w:w="493" w:type="pct"/>
            <w:gridSpan w:val="2"/>
            <w:tcBorders>
              <w:top w:val="nil"/>
              <w:left w:val="nil"/>
              <w:bottom w:val="single" w:sz="8" w:space="0" w:color="auto"/>
              <w:right w:val="single" w:sz="8" w:space="0" w:color="auto"/>
            </w:tcBorders>
            <w:vAlign w:val="center"/>
            <w:hideMark/>
          </w:tcPr>
          <w:p w14:paraId="7A8C5375" w14:textId="77777777" w:rsidR="00044D5B" w:rsidRPr="00392E88" w:rsidRDefault="00044D5B">
            <w:pPr>
              <w:spacing w:before="0" w:after="0"/>
              <w:jc w:val="center"/>
              <w:rPr>
                <w:b/>
                <w:bCs/>
                <w:color w:val="000000"/>
                <w:sz w:val="20"/>
                <w:szCs w:val="20"/>
              </w:rPr>
            </w:pPr>
            <w:r w:rsidRPr="00392E88">
              <w:rPr>
                <w:b/>
                <w:color w:val="000000"/>
                <w:sz w:val="20"/>
              </w:rPr>
              <w:t>2026</w:t>
            </w:r>
          </w:p>
        </w:tc>
        <w:tc>
          <w:tcPr>
            <w:tcW w:w="493" w:type="pct"/>
            <w:tcBorders>
              <w:top w:val="nil"/>
              <w:left w:val="nil"/>
              <w:bottom w:val="single" w:sz="8" w:space="0" w:color="auto"/>
              <w:right w:val="single" w:sz="8" w:space="0" w:color="auto"/>
            </w:tcBorders>
            <w:vAlign w:val="center"/>
            <w:hideMark/>
          </w:tcPr>
          <w:p w14:paraId="746AA86F" w14:textId="77777777" w:rsidR="00044D5B" w:rsidRPr="00392E88" w:rsidRDefault="00044D5B">
            <w:pPr>
              <w:spacing w:before="0" w:after="0"/>
              <w:jc w:val="center"/>
              <w:rPr>
                <w:b/>
                <w:bCs/>
                <w:color w:val="000000"/>
                <w:sz w:val="20"/>
                <w:szCs w:val="20"/>
              </w:rPr>
            </w:pPr>
            <w:r w:rsidRPr="00392E88">
              <w:rPr>
                <w:b/>
                <w:color w:val="000000"/>
                <w:sz w:val="20"/>
              </w:rPr>
              <w:t>2027</w:t>
            </w:r>
          </w:p>
        </w:tc>
        <w:tc>
          <w:tcPr>
            <w:tcW w:w="596" w:type="pct"/>
            <w:vMerge/>
            <w:tcBorders>
              <w:top w:val="single" w:sz="8" w:space="0" w:color="auto"/>
              <w:left w:val="single" w:sz="8" w:space="0" w:color="auto"/>
              <w:bottom w:val="single" w:sz="8" w:space="0" w:color="auto"/>
              <w:right w:val="single" w:sz="8" w:space="0" w:color="auto"/>
            </w:tcBorders>
            <w:vAlign w:val="center"/>
            <w:hideMark/>
          </w:tcPr>
          <w:p w14:paraId="3ACCB11F" w14:textId="77777777" w:rsidR="00044D5B" w:rsidRPr="00392E88" w:rsidRDefault="00044D5B">
            <w:pPr>
              <w:spacing w:before="0" w:after="0"/>
              <w:jc w:val="left"/>
              <w:rPr>
                <w:b/>
                <w:bCs/>
                <w:color w:val="000000"/>
                <w:sz w:val="20"/>
                <w:szCs w:val="20"/>
                <w:lang w:eastAsia="en-IE"/>
              </w:rPr>
            </w:pPr>
          </w:p>
        </w:tc>
      </w:tr>
      <w:tr w:rsidR="00983E98" w:rsidRPr="00392E88" w14:paraId="7EC98A91" w14:textId="77777777">
        <w:trPr>
          <w:trHeight w:val="432"/>
        </w:trPr>
        <w:tc>
          <w:tcPr>
            <w:tcW w:w="1411" w:type="pct"/>
            <w:gridSpan w:val="2"/>
            <w:vMerge w:val="restart"/>
            <w:tcBorders>
              <w:top w:val="nil"/>
              <w:left w:val="single" w:sz="8" w:space="0" w:color="auto"/>
              <w:bottom w:val="single" w:sz="8" w:space="0" w:color="auto"/>
              <w:right w:val="single" w:sz="8" w:space="0" w:color="auto"/>
            </w:tcBorders>
            <w:vAlign w:val="center"/>
            <w:hideMark/>
          </w:tcPr>
          <w:p w14:paraId="605C621E" w14:textId="36383A87" w:rsidR="00044D5B" w:rsidRPr="00392E88" w:rsidRDefault="00044D5B">
            <w:pPr>
              <w:spacing w:before="0" w:after="0"/>
              <w:rPr>
                <w:color w:val="000000"/>
                <w:sz w:val="21"/>
                <w:szCs w:val="21"/>
              </w:rPr>
            </w:pPr>
            <w:r w:rsidRPr="00392E88">
              <w:rPr>
                <w:color w:val="000000"/>
                <w:sz w:val="21"/>
              </w:rPr>
              <w:t>OGÓŁEM środki operacyjn</w:t>
            </w:r>
            <w:r w:rsidRPr="006E6446">
              <w:rPr>
                <w:color w:val="000000"/>
                <w:sz w:val="21"/>
              </w:rPr>
              <w:t>e</w:t>
            </w:r>
            <w:r w:rsidR="006E6446" w:rsidRPr="006E6446">
              <w:rPr>
                <w:color w:val="000000"/>
                <w:sz w:val="21"/>
              </w:rPr>
              <w:t xml:space="preserve"> </w:t>
            </w:r>
            <w:r w:rsidRPr="006E6446">
              <w:br/>
            </w:r>
          </w:p>
        </w:tc>
        <w:tc>
          <w:tcPr>
            <w:tcW w:w="529" w:type="pct"/>
            <w:gridSpan w:val="2"/>
            <w:tcBorders>
              <w:top w:val="nil"/>
              <w:left w:val="nil"/>
              <w:bottom w:val="single" w:sz="8" w:space="0" w:color="auto"/>
              <w:right w:val="single" w:sz="8" w:space="0" w:color="auto"/>
            </w:tcBorders>
            <w:vAlign w:val="center"/>
            <w:hideMark/>
          </w:tcPr>
          <w:p w14:paraId="532D03F8" w14:textId="77777777" w:rsidR="00044D5B" w:rsidRPr="00392E88" w:rsidRDefault="00044D5B">
            <w:pPr>
              <w:spacing w:before="0" w:after="0"/>
              <w:rPr>
                <w:color w:val="000000"/>
                <w:sz w:val="18"/>
                <w:szCs w:val="18"/>
              </w:rPr>
            </w:pPr>
            <w:r w:rsidRPr="00392E88">
              <w:rPr>
                <w:color w:val="000000"/>
                <w:sz w:val="18"/>
              </w:rPr>
              <w:t>Środki na zobowiązania</w:t>
            </w:r>
          </w:p>
        </w:tc>
        <w:tc>
          <w:tcPr>
            <w:tcW w:w="492" w:type="pct"/>
            <w:tcBorders>
              <w:top w:val="single" w:sz="8" w:space="0" w:color="auto"/>
              <w:left w:val="nil"/>
              <w:bottom w:val="single" w:sz="8" w:space="0" w:color="auto"/>
              <w:right w:val="single" w:sz="8" w:space="0" w:color="auto"/>
            </w:tcBorders>
            <w:vAlign w:val="center"/>
            <w:hideMark/>
          </w:tcPr>
          <w:p w14:paraId="00FE3097" w14:textId="77777777" w:rsidR="00044D5B" w:rsidRPr="00392E88" w:rsidRDefault="00044D5B">
            <w:pPr>
              <w:spacing w:before="0" w:after="0"/>
              <w:jc w:val="center"/>
              <w:rPr>
                <w:color w:val="000000"/>
                <w:sz w:val="14"/>
                <w:szCs w:val="14"/>
              </w:rPr>
            </w:pPr>
            <w:r w:rsidRPr="00392E88">
              <w:rPr>
                <w:color w:val="000000"/>
                <w:sz w:val="14"/>
              </w:rPr>
              <w:t>(4)</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329ACF1F" w14:textId="77777777" w:rsidR="00044D5B" w:rsidRPr="00392E88" w:rsidRDefault="00044D5B">
            <w:pPr>
              <w:spacing w:before="0" w:after="0"/>
              <w:jc w:val="right"/>
              <w:rPr>
                <w:color w:val="000000"/>
                <w:sz w:val="20"/>
                <w:szCs w:val="20"/>
              </w:rPr>
            </w:pPr>
            <w:r w:rsidRPr="00392E88">
              <w:rPr>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7808AFED" w14:textId="77777777" w:rsidR="00044D5B" w:rsidRPr="00392E88" w:rsidRDefault="00044D5B">
            <w:pPr>
              <w:spacing w:before="0" w:after="0"/>
              <w:jc w:val="right"/>
              <w:rPr>
                <w:color w:val="000000"/>
                <w:sz w:val="20"/>
                <w:szCs w:val="20"/>
              </w:rPr>
            </w:pPr>
            <w:r w:rsidRPr="00392E88">
              <w:rPr>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00521060" w14:textId="77777777" w:rsidR="00044D5B" w:rsidRPr="00392E88" w:rsidRDefault="00044D5B">
            <w:pPr>
              <w:spacing w:before="0" w:after="0"/>
              <w:jc w:val="right"/>
              <w:rPr>
                <w:color w:val="000000"/>
                <w:sz w:val="20"/>
                <w:szCs w:val="20"/>
              </w:rPr>
            </w:pPr>
            <w:r w:rsidRPr="00392E88">
              <w:rPr>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14:paraId="674AD2B8" w14:textId="77777777" w:rsidR="00044D5B" w:rsidRPr="00392E88" w:rsidRDefault="00044D5B">
            <w:pPr>
              <w:spacing w:before="0" w:after="0"/>
              <w:jc w:val="right"/>
              <w:rPr>
                <w:color w:val="000000"/>
                <w:sz w:val="20"/>
                <w:szCs w:val="20"/>
              </w:rPr>
            </w:pPr>
            <w:r w:rsidRPr="00392E88">
              <w:rPr>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14:paraId="3C82BE41" w14:textId="77777777" w:rsidR="00044D5B" w:rsidRPr="00392E88" w:rsidRDefault="00044D5B">
            <w:pPr>
              <w:spacing w:before="0" w:after="0"/>
              <w:jc w:val="right"/>
              <w:rPr>
                <w:b/>
                <w:bCs/>
                <w:color w:val="000000"/>
                <w:sz w:val="20"/>
                <w:szCs w:val="20"/>
              </w:rPr>
            </w:pPr>
            <w:r w:rsidRPr="00392E88">
              <w:rPr>
                <w:b/>
                <w:color w:val="000000"/>
                <w:sz w:val="20"/>
              </w:rPr>
              <w:t>0,000</w:t>
            </w:r>
          </w:p>
        </w:tc>
      </w:tr>
      <w:tr w:rsidR="00983E98" w:rsidRPr="00392E88" w14:paraId="5597AE3F" w14:textId="77777777">
        <w:trPr>
          <w:trHeight w:val="456"/>
        </w:trPr>
        <w:tc>
          <w:tcPr>
            <w:tcW w:w="1411" w:type="pct"/>
            <w:gridSpan w:val="2"/>
            <w:vMerge/>
            <w:tcBorders>
              <w:top w:val="nil"/>
              <w:left w:val="single" w:sz="8" w:space="0" w:color="auto"/>
              <w:bottom w:val="single" w:sz="8" w:space="0" w:color="auto"/>
              <w:right w:val="single" w:sz="8" w:space="0" w:color="auto"/>
            </w:tcBorders>
            <w:vAlign w:val="center"/>
            <w:hideMark/>
          </w:tcPr>
          <w:p w14:paraId="14D5DD68" w14:textId="77777777" w:rsidR="00044D5B" w:rsidRPr="00392E88" w:rsidRDefault="00044D5B">
            <w:pPr>
              <w:spacing w:before="0" w:after="0"/>
              <w:jc w:val="left"/>
              <w:rPr>
                <w:color w:val="000000"/>
                <w:sz w:val="21"/>
                <w:szCs w:val="21"/>
                <w:lang w:eastAsia="en-IE"/>
              </w:rPr>
            </w:pPr>
          </w:p>
        </w:tc>
        <w:tc>
          <w:tcPr>
            <w:tcW w:w="529" w:type="pct"/>
            <w:gridSpan w:val="2"/>
            <w:tcBorders>
              <w:top w:val="nil"/>
              <w:left w:val="nil"/>
              <w:bottom w:val="single" w:sz="8" w:space="0" w:color="auto"/>
              <w:right w:val="single" w:sz="8" w:space="0" w:color="auto"/>
            </w:tcBorders>
            <w:vAlign w:val="center"/>
            <w:hideMark/>
          </w:tcPr>
          <w:p w14:paraId="6B9B94A7" w14:textId="77777777" w:rsidR="00044D5B" w:rsidRPr="00392E88" w:rsidRDefault="00044D5B">
            <w:pPr>
              <w:spacing w:before="0" w:after="0"/>
              <w:rPr>
                <w:color w:val="000000"/>
                <w:sz w:val="18"/>
                <w:szCs w:val="18"/>
              </w:rPr>
            </w:pPr>
            <w:r w:rsidRPr="00392E88">
              <w:rPr>
                <w:color w:val="000000"/>
                <w:sz w:val="18"/>
              </w:rPr>
              <w:t>Środki na płatności</w:t>
            </w:r>
          </w:p>
        </w:tc>
        <w:tc>
          <w:tcPr>
            <w:tcW w:w="492" w:type="pct"/>
            <w:tcBorders>
              <w:top w:val="single" w:sz="8" w:space="0" w:color="auto"/>
              <w:left w:val="nil"/>
              <w:bottom w:val="single" w:sz="8" w:space="0" w:color="auto"/>
              <w:right w:val="single" w:sz="8" w:space="0" w:color="auto"/>
            </w:tcBorders>
            <w:vAlign w:val="center"/>
            <w:hideMark/>
          </w:tcPr>
          <w:p w14:paraId="4AA2BB82" w14:textId="77777777" w:rsidR="00044D5B" w:rsidRPr="00392E88" w:rsidRDefault="00044D5B">
            <w:pPr>
              <w:spacing w:before="0" w:after="0"/>
              <w:jc w:val="center"/>
              <w:rPr>
                <w:color w:val="000000"/>
                <w:sz w:val="14"/>
                <w:szCs w:val="14"/>
              </w:rPr>
            </w:pPr>
            <w:r w:rsidRPr="00392E88">
              <w:rPr>
                <w:color w:val="000000"/>
                <w:sz w:val="14"/>
              </w:rPr>
              <w:t>(5)</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60005958" w14:textId="77777777" w:rsidR="00044D5B" w:rsidRPr="00392E88" w:rsidRDefault="00044D5B">
            <w:pPr>
              <w:spacing w:before="0" w:after="0"/>
              <w:jc w:val="right"/>
              <w:rPr>
                <w:color w:val="000000"/>
                <w:sz w:val="20"/>
                <w:szCs w:val="20"/>
              </w:rPr>
            </w:pPr>
            <w:r w:rsidRPr="00392E88">
              <w:rPr>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08706D1F" w14:textId="77777777" w:rsidR="00044D5B" w:rsidRPr="00392E88" w:rsidRDefault="00044D5B">
            <w:pPr>
              <w:spacing w:before="0" w:after="0"/>
              <w:jc w:val="right"/>
              <w:rPr>
                <w:color w:val="000000"/>
                <w:sz w:val="20"/>
                <w:szCs w:val="20"/>
              </w:rPr>
            </w:pPr>
            <w:r w:rsidRPr="00392E88">
              <w:rPr>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5C17042B" w14:textId="77777777" w:rsidR="00044D5B" w:rsidRPr="00392E88" w:rsidRDefault="00044D5B">
            <w:pPr>
              <w:spacing w:before="0" w:after="0"/>
              <w:jc w:val="right"/>
              <w:rPr>
                <w:color w:val="000000"/>
                <w:sz w:val="20"/>
                <w:szCs w:val="20"/>
              </w:rPr>
            </w:pPr>
            <w:r w:rsidRPr="00392E88">
              <w:rPr>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14:paraId="7A07D184" w14:textId="77777777" w:rsidR="00044D5B" w:rsidRPr="00392E88" w:rsidRDefault="00044D5B">
            <w:pPr>
              <w:spacing w:before="0" w:after="0"/>
              <w:jc w:val="right"/>
              <w:rPr>
                <w:color w:val="000000"/>
                <w:sz w:val="20"/>
                <w:szCs w:val="20"/>
              </w:rPr>
            </w:pPr>
            <w:r w:rsidRPr="00392E88">
              <w:rPr>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14:paraId="18FDA460" w14:textId="77777777" w:rsidR="00044D5B" w:rsidRPr="00392E88" w:rsidRDefault="00044D5B">
            <w:pPr>
              <w:spacing w:before="0" w:after="0"/>
              <w:jc w:val="right"/>
              <w:rPr>
                <w:b/>
                <w:bCs/>
                <w:color w:val="000000"/>
                <w:sz w:val="20"/>
                <w:szCs w:val="20"/>
              </w:rPr>
            </w:pPr>
            <w:r w:rsidRPr="00392E88">
              <w:rPr>
                <w:b/>
                <w:color w:val="000000"/>
                <w:sz w:val="20"/>
              </w:rPr>
              <w:t>0,000</w:t>
            </w:r>
          </w:p>
        </w:tc>
      </w:tr>
      <w:tr w:rsidR="00E6355E" w:rsidRPr="00392E88" w14:paraId="4C518483" w14:textId="77777777">
        <w:trPr>
          <w:trHeight w:val="924"/>
        </w:trPr>
        <w:tc>
          <w:tcPr>
            <w:tcW w:w="1939" w:type="pct"/>
            <w:gridSpan w:val="2"/>
            <w:tcBorders>
              <w:top w:val="single" w:sz="8" w:space="0" w:color="auto"/>
              <w:left w:val="single" w:sz="8" w:space="0" w:color="auto"/>
              <w:bottom w:val="single" w:sz="8" w:space="0" w:color="auto"/>
              <w:right w:val="single" w:sz="8" w:space="0" w:color="auto"/>
            </w:tcBorders>
            <w:vAlign w:val="center"/>
            <w:hideMark/>
          </w:tcPr>
          <w:p w14:paraId="370489A5" w14:textId="77777777" w:rsidR="00044D5B" w:rsidRPr="00392E88" w:rsidRDefault="00044D5B">
            <w:pPr>
              <w:spacing w:before="0" w:after="0"/>
              <w:rPr>
                <w:color w:val="000000"/>
                <w:sz w:val="21"/>
                <w:szCs w:val="21"/>
              </w:rPr>
            </w:pPr>
            <w:r w:rsidRPr="00392E88">
              <w:rPr>
                <w:color w:val="000000"/>
                <w:sz w:val="21"/>
              </w:rPr>
              <w:t xml:space="preserve">OGÓŁEM środki administracyjne finansowane ze środków przydzielonych na określone programy </w:t>
            </w:r>
          </w:p>
        </w:tc>
        <w:tc>
          <w:tcPr>
            <w:tcW w:w="492" w:type="pct"/>
            <w:gridSpan w:val="3"/>
            <w:tcBorders>
              <w:top w:val="single" w:sz="8" w:space="0" w:color="auto"/>
              <w:left w:val="nil"/>
              <w:bottom w:val="single" w:sz="8" w:space="0" w:color="auto"/>
              <w:right w:val="single" w:sz="8" w:space="0" w:color="auto"/>
            </w:tcBorders>
            <w:vAlign w:val="center"/>
            <w:hideMark/>
          </w:tcPr>
          <w:p w14:paraId="442141DA" w14:textId="77777777" w:rsidR="00044D5B" w:rsidRPr="00392E88" w:rsidRDefault="00044D5B">
            <w:pPr>
              <w:spacing w:before="0" w:after="0"/>
              <w:jc w:val="center"/>
              <w:rPr>
                <w:color w:val="000000"/>
                <w:sz w:val="14"/>
                <w:szCs w:val="14"/>
              </w:rPr>
            </w:pPr>
            <w:r w:rsidRPr="00392E88">
              <w:rPr>
                <w:color w:val="000000"/>
                <w:sz w:val="14"/>
              </w:rPr>
              <w:t>(6)</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4AE829E7" w14:textId="77777777" w:rsidR="00044D5B" w:rsidRPr="00392E88" w:rsidRDefault="00044D5B">
            <w:pPr>
              <w:spacing w:before="0" w:after="0"/>
              <w:jc w:val="right"/>
              <w:rPr>
                <w:color w:val="000000"/>
                <w:sz w:val="20"/>
                <w:szCs w:val="20"/>
              </w:rPr>
            </w:pPr>
            <w:r w:rsidRPr="00392E88">
              <w:rPr>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479C575D" w14:textId="77777777" w:rsidR="00044D5B" w:rsidRPr="00392E88" w:rsidRDefault="00044D5B">
            <w:pPr>
              <w:spacing w:before="0" w:after="0"/>
              <w:jc w:val="right"/>
              <w:rPr>
                <w:color w:val="000000"/>
                <w:sz w:val="20"/>
                <w:szCs w:val="20"/>
              </w:rPr>
            </w:pPr>
            <w:r w:rsidRPr="00392E88">
              <w:rPr>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53D05975" w14:textId="77777777" w:rsidR="00044D5B" w:rsidRPr="00392E88" w:rsidRDefault="00044D5B">
            <w:pPr>
              <w:spacing w:before="0" w:after="0"/>
              <w:jc w:val="right"/>
              <w:rPr>
                <w:color w:val="000000"/>
                <w:sz w:val="20"/>
                <w:szCs w:val="20"/>
              </w:rPr>
            </w:pPr>
            <w:r w:rsidRPr="00392E88">
              <w:rPr>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14:paraId="7B04D310" w14:textId="77777777" w:rsidR="00044D5B" w:rsidRPr="00392E88" w:rsidRDefault="00044D5B">
            <w:pPr>
              <w:spacing w:before="0" w:after="0"/>
              <w:jc w:val="right"/>
              <w:rPr>
                <w:color w:val="000000"/>
                <w:sz w:val="20"/>
                <w:szCs w:val="20"/>
              </w:rPr>
            </w:pPr>
            <w:r w:rsidRPr="00392E88">
              <w:rPr>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14:paraId="03220CCB" w14:textId="77777777" w:rsidR="00044D5B" w:rsidRPr="00392E88" w:rsidRDefault="00044D5B">
            <w:pPr>
              <w:spacing w:before="0" w:after="0"/>
              <w:jc w:val="right"/>
              <w:rPr>
                <w:b/>
                <w:bCs/>
                <w:color w:val="000000"/>
                <w:sz w:val="20"/>
                <w:szCs w:val="20"/>
              </w:rPr>
            </w:pPr>
            <w:r w:rsidRPr="00392E88">
              <w:rPr>
                <w:b/>
                <w:color w:val="000000"/>
                <w:sz w:val="20"/>
              </w:rPr>
              <w:t>0,000</w:t>
            </w:r>
          </w:p>
        </w:tc>
      </w:tr>
      <w:tr w:rsidR="00983E98" w:rsidRPr="00392E88" w14:paraId="1C87C1DB" w14:textId="77777777">
        <w:trPr>
          <w:trHeight w:val="564"/>
        </w:trPr>
        <w:tc>
          <w:tcPr>
            <w:tcW w:w="1411" w:type="pct"/>
            <w:gridSpan w:val="2"/>
            <w:tcBorders>
              <w:top w:val="nil"/>
              <w:left w:val="single" w:sz="8" w:space="0" w:color="auto"/>
              <w:bottom w:val="nil"/>
              <w:right w:val="single" w:sz="8" w:space="0" w:color="auto"/>
            </w:tcBorders>
            <w:shd w:val="thinDiagStripe" w:color="C0C0C0" w:fill="F1F1F1"/>
            <w:vAlign w:val="center"/>
            <w:hideMark/>
          </w:tcPr>
          <w:p w14:paraId="6E557B58" w14:textId="77777777" w:rsidR="00044D5B" w:rsidRPr="00392E88" w:rsidRDefault="00044D5B">
            <w:pPr>
              <w:spacing w:before="0" w:after="0"/>
              <w:jc w:val="center"/>
              <w:rPr>
                <w:b/>
                <w:bCs/>
                <w:color w:val="000000"/>
                <w:sz w:val="22"/>
              </w:rPr>
            </w:pPr>
            <w:r w:rsidRPr="00392E88">
              <w:rPr>
                <w:b/>
                <w:color w:val="000000"/>
                <w:sz w:val="22"/>
              </w:rPr>
              <w:t>OGÓŁEM środki na DZIAŁ &lt;….&gt;</w:t>
            </w:r>
          </w:p>
        </w:tc>
        <w:tc>
          <w:tcPr>
            <w:tcW w:w="529" w:type="pct"/>
            <w:gridSpan w:val="2"/>
            <w:tcBorders>
              <w:top w:val="nil"/>
              <w:left w:val="nil"/>
              <w:bottom w:val="single" w:sz="8" w:space="0" w:color="auto"/>
              <w:right w:val="single" w:sz="8" w:space="0" w:color="auto"/>
            </w:tcBorders>
            <w:vAlign w:val="center"/>
            <w:hideMark/>
          </w:tcPr>
          <w:p w14:paraId="6069C312" w14:textId="77777777" w:rsidR="00044D5B" w:rsidRPr="00392E88" w:rsidRDefault="00044D5B">
            <w:pPr>
              <w:spacing w:before="0" w:after="0"/>
              <w:rPr>
                <w:color w:val="000000"/>
                <w:sz w:val="18"/>
                <w:szCs w:val="18"/>
              </w:rPr>
            </w:pPr>
            <w:r w:rsidRPr="00392E88">
              <w:rPr>
                <w:color w:val="000000"/>
                <w:sz w:val="18"/>
              </w:rPr>
              <w:t>Środki na zobowiązania</w:t>
            </w:r>
          </w:p>
        </w:tc>
        <w:tc>
          <w:tcPr>
            <w:tcW w:w="492" w:type="pct"/>
            <w:tcBorders>
              <w:top w:val="single" w:sz="8" w:space="0" w:color="auto"/>
              <w:left w:val="nil"/>
              <w:bottom w:val="single" w:sz="8" w:space="0" w:color="auto"/>
              <w:right w:val="single" w:sz="8" w:space="0" w:color="auto"/>
            </w:tcBorders>
            <w:vAlign w:val="center"/>
            <w:hideMark/>
          </w:tcPr>
          <w:p w14:paraId="546D7D27" w14:textId="77777777" w:rsidR="00044D5B" w:rsidRPr="00392E88" w:rsidRDefault="00044D5B">
            <w:pPr>
              <w:spacing w:before="0" w:after="0"/>
              <w:jc w:val="center"/>
              <w:rPr>
                <w:color w:val="000000"/>
                <w:sz w:val="14"/>
                <w:szCs w:val="14"/>
              </w:rPr>
            </w:pPr>
            <w:r w:rsidRPr="00392E88">
              <w:rPr>
                <w:color w:val="000000"/>
                <w:sz w:val="14"/>
              </w:rPr>
              <w:t>=4+6</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0767256D" w14:textId="77777777" w:rsidR="00044D5B" w:rsidRPr="00392E88" w:rsidRDefault="00044D5B">
            <w:pPr>
              <w:spacing w:before="0" w:after="0"/>
              <w:jc w:val="right"/>
              <w:rPr>
                <w:b/>
                <w:bCs/>
                <w:color w:val="000000"/>
                <w:sz w:val="20"/>
                <w:szCs w:val="20"/>
              </w:rPr>
            </w:pPr>
            <w:r w:rsidRPr="00392E88">
              <w:rPr>
                <w:b/>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1B137B6D" w14:textId="77777777" w:rsidR="00044D5B" w:rsidRPr="00392E88" w:rsidRDefault="00044D5B">
            <w:pPr>
              <w:spacing w:before="0" w:after="0"/>
              <w:jc w:val="right"/>
              <w:rPr>
                <w:b/>
                <w:bCs/>
                <w:color w:val="000000"/>
                <w:sz w:val="20"/>
                <w:szCs w:val="20"/>
              </w:rPr>
            </w:pPr>
            <w:r w:rsidRPr="00392E88">
              <w:rPr>
                <w:b/>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5572BA3F" w14:textId="77777777" w:rsidR="00044D5B" w:rsidRPr="00392E88" w:rsidRDefault="00044D5B">
            <w:pPr>
              <w:spacing w:before="0" w:after="0"/>
              <w:jc w:val="right"/>
              <w:rPr>
                <w:b/>
                <w:bCs/>
                <w:color w:val="000000"/>
                <w:sz w:val="20"/>
                <w:szCs w:val="20"/>
              </w:rPr>
            </w:pPr>
            <w:r w:rsidRPr="00392E88">
              <w:rPr>
                <w:b/>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14:paraId="2D5FDED3" w14:textId="77777777" w:rsidR="00044D5B" w:rsidRPr="00392E88" w:rsidRDefault="00044D5B">
            <w:pPr>
              <w:spacing w:before="0" w:after="0"/>
              <w:jc w:val="right"/>
              <w:rPr>
                <w:b/>
                <w:bCs/>
                <w:color w:val="000000"/>
                <w:sz w:val="20"/>
                <w:szCs w:val="20"/>
              </w:rPr>
            </w:pPr>
            <w:r w:rsidRPr="00392E88">
              <w:rPr>
                <w:b/>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14:paraId="51F4199F" w14:textId="77777777" w:rsidR="00044D5B" w:rsidRPr="00392E88" w:rsidRDefault="00044D5B">
            <w:pPr>
              <w:spacing w:before="0" w:after="0"/>
              <w:jc w:val="right"/>
              <w:rPr>
                <w:b/>
                <w:bCs/>
                <w:color w:val="000000"/>
                <w:sz w:val="20"/>
                <w:szCs w:val="20"/>
              </w:rPr>
            </w:pPr>
            <w:r w:rsidRPr="00392E88">
              <w:rPr>
                <w:b/>
                <w:color w:val="000000"/>
                <w:sz w:val="20"/>
              </w:rPr>
              <w:t>0,000</w:t>
            </w:r>
          </w:p>
        </w:tc>
      </w:tr>
      <w:tr w:rsidR="00983E98" w:rsidRPr="00392E88" w14:paraId="721CA47C" w14:textId="77777777">
        <w:trPr>
          <w:trHeight w:val="528"/>
        </w:trPr>
        <w:tc>
          <w:tcPr>
            <w:tcW w:w="1411" w:type="pct"/>
            <w:gridSpan w:val="2"/>
            <w:tcBorders>
              <w:top w:val="nil"/>
              <w:left w:val="single" w:sz="8" w:space="0" w:color="auto"/>
              <w:bottom w:val="single" w:sz="8" w:space="0" w:color="auto"/>
              <w:right w:val="single" w:sz="8" w:space="0" w:color="auto"/>
            </w:tcBorders>
            <w:shd w:val="thinDiagStripe" w:color="C0C0C0" w:fill="F1F1F1"/>
            <w:vAlign w:val="center"/>
            <w:hideMark/>
          </w:tcPr>
          <w:p w14:paraId="1F24A0EA" w14:textId="77777777" w:rsidR="00044D5B" w:rsidRPr="00392E88" w:rsidRDefault="00044D5B">
            <w:pPr>
              <w:spacing w:before="0" w:after="0"/>
              <w:jc w:val="center"/>
              <w:rPr>
                <w:color w:val="000000"/>
                <w:sz w:val="22"/>
              </w:rPr>
            </w:pPr>
            <w:r w:rsidRPr="00392E88">
              <w:rPr>
                <w:color w:val="000000"/>
                <w:sz w:val="22"/>
              </w:rPr>
              <w:t>wieloletnich ram finansowych</w:t>
            </w:r>
          </w:p>
        </w:tc>
        <w:tc>
          <w:tcPr>
            <w:tcW w:w="529" w:type="pct"/>
            <w:gridSpan w:val="2"/>
            <w:tcBorders>
              <w:top w:val="nil"/>
              <w:left w:val="nil"/>
              <w:bottom w:val="single" w:sz="8" w:space="0" w:color="auto"/>
              <w:right w:val="single" w:sz="8" w:space="0" w:color="auto"/>
            </w:tcBorders>
            <w:vAlign w:val="center"/>
            <w:hideMark/>
          </w:tcPr>
          <w:p w14:paraId="5B3DE6E1" w14:textId="77777777" w:rsidR="00044D5B" w:rsidRPr="00392E88" w:rsidRDefault="00044D5B">
            <w:pPr>
              <w:spacing w:before="0" w:after="0"/>
              <w:rPr>
                <w:color w:val="000000"/>
                <w:sz w:val="18"/>
                <w:szCs w:val="18"/>
              </w:rPr>
            </w:pPr>
            <w:r w:rsidRPr="00392E88">
              <w:rPr>
                <w:color w:val="000000"/>
                <w:sz w:val="18"/>
              </w:rPr>
              <w:t>Środki na płatności</w:t>
            </w:r>
          </w:p>
        </w:tc>
        <w:tc>
          <w:tcPr>
            <w:tcW w:w="492" w:type="pct"/>
            <w:tcBorders>
              <w:top w:val="single" w:sz="8" w:space="0" w:color="auto"/>
              <w:left w:val="nil"/>
              <w:bottom w:val="single" w:sz="8" w:space="0" w:color="auto"/>
              <w:right w:val="single" w:sz="8" w:space="0" w:color="auto"/>
            </w:tcBorders>
            <w:vAlign w:val="center"/>
            <w:hideMark/>
          </w:tcPr>
          <w:p w14:paraId="70CF3694" w14:textId="77777777" w:rsidR="00044D5B" w:rsidRPr="00392E88" w:rsidRDefault="00044D5B">
            <w:pPr>
              <w:spacing w:before="0" w:after="0"/>
              <w:jc w:val="center"/>
              <w:rPr>
                <w:color w:val="000000"/>
                <w:sz w:val="14"/>
                <w:szCs w:val="14"/>
              </w:rPr>
            </w:pPr>
            <w:r w:rsidRPr="00392E88">
              <w:rPr>
                <w:color w:val="000000"/>
                <w:sz w:val="14"/>
              </w:rPr>
              <w:t>=5+6</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586DBABC" w14:textId="77777777" w:rsidR="00044D5B" w:rsidRPr="00392E88" w:rsidRDefault="00044D5B">
            <w:pPr>
              <w:spacing w:before="0" w:after="0"/>
              <w:jc w:val="right"/>
              <w:rPr>
                <w:b/>
                <w:bCs/>
                <w:color w:val="000000"/>
                <w:sz w:val="20"/>
                <w:szCs w:val="20"/>
              </w:rPr>
            </w:pPr>
            <w:r w:rsidRPr="00392E88">
              <w:rPr>
                <w:b/>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04A19897" w14:textId="77777777" w:rsidR="00044D5B" w:rsidRPr="00392E88" w:rsidRDefault="00044D5B">
            <w:pPr>
              <w:spacing w:before="0" w:after="0"/>
              <w:jc w:val="right"/>
              <w:rPr>
                <w:b/>
                <w:bCs/>
                <w:color w:val="000000"/>
                <w:sz w:val="20"/>
                <w:szCs w:val="20"/>
              </w:rPr>
            </w:pPr>
            <w:r w:rsidRPr="00392E88">
              <w:rPr>
                <w:b/>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4667879C" w14:textId="77777777" w:rsidR="00044D5B" w:rsidRPr="00392E88" w:rsidRDefault="00044D5B">
            <w:pPr>
              <w:spacing w:before="0" w:after="0"/>
              <w:jc w:val="right"/>
              <w:rPr>
                <w:b/>
                <w:bCs/>
                <w:color w:val="000000"/>
                <w:sz w:val="20"/>
                <w:szCs w:val="20"/>
              </w:rPr>
            </w:pPr>
            <w:r w:rsidRPr="00392E88">
              <w:rPr>
                <w:b/>
                <w:color w:val="000000"/>
                <w:sz w:val="20"/>
              </w:rPr>
              <w:t>0,000</w:t>
            </w:r>
          </w:p>
        </w:tc>
        <w:tc>
          <w:tcPr>
            <w:tcW w:w="493" w:type="pct"/>
            <w:tcBorders>
              <w:top w:val="nil"/>
              <w:left w:val="nil"/>
              <w:bottom w:val="single" w:sz="8" w:space="0" w:color="auto"/>
              <w:right w:val="single" w:sz="8" w:space="0" w:color="auto"/>
            </w:tcBorders>
            <w:shd w:val="clear" w:color="000000" w:fill="D9D9D9"/>
            <w:vAlign w:val="center"/>
            <w:hideMark/>
          </w:tcPr>
          <w:p w14:paraId="0CCA52B4" w14:textId="77777777" w:rsidR="00044D5B" w:rsidRPr="00392E88" w:rsidRDefault="00044D5B">
            <w:pPr>
              <w:spacing w:before="0" w:after="0"/>
              <w:jc w:val="right"/>
              <w:rPr>
                <w:b/>
                <w:bCs/>
                <w:color w:val="000000"/>
                <w:sz w:val="20"/>
                <w:szCs w:val="20"/>
              </w:rPr>
            </w:pPr>
            <w:r w:rsidRPr="00392E88">
              <w:rPr>
                <w:b/>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14:paraId="48D36D80" w14:textId="77777777" w:rsidR="00044D5B" w:rsidRPr="00392E88" w:rsidRDefault="00044D5B">
            <w:pPr>
              <w:spacing w:before="0" w:after="0"/>
              <w:jc w:val="right"/>
              <w:rPr>
                <w:b/>
                <w:bCs/>
                <w:color w:val="000000"/>
                <w:sz w:val="20"/>
                <w:szCs w:val="20"/>
              </w:rPr>
            </w:pPr>
            <w:r w:rsidRPr="00392E88">
              <w:rPr>
                <w:b/>
                <w:color w:val="000000"/>
                <w:sz w:val="20"/>
              </w:rPr>
              <w:t>0,000</w:t>
            </w:r>
          </w:p>
        </w:tc>
      </w:tr>
    </w:tbl>
    <w:p w14:paraId="4FDF12D8" w14:textId="77777777" w:rsidR="00044D5B" w:rsidRPr="00392E88" w:rsidRDefault="00044D5B" w:rsidP="00044D5B"/>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874"/>
        <w:gridCol w:w="1110"/>
        <w:gridCol w:w="8030"/>
      </w:tblGrid>
      <w:tr w:rsidR="00470A36" w:rsidRPr="00392E88" w14:paraId="2942309F" w14:textId="77777777">
        <w:trPr>
          <w:jc w:val="center"/>
        </w:trPr>
        <w:tc>
          <w:tcPr>
            <w:tcW w:w="1739" w:type="pct"/>
            <w:shd w:val="thinDiagStripe" w:color="C0C0C0" w:fill="auto"/>
            <w:vAlign w:val="center"/>
          </w:tcPr>
          <w:p w14:paraId="3BE2D497" w14:textId="36038D3D" w:rsidR="00044D5B" w:rsidRPr="00392E88" w:rsidRDefault="00044D5B">
            <w:pPr>
              <w:spacing w:before="60" w:after="60"/>
              <w:jc w:val="center"/>
              <w:rPr>
                <w:b/>
                <w:noProof/>
              </w:rPr>
            </w:pPr>
            <w:r w:rsidRPr="00392E88">
              <w:rPr>
                <w:b/>
                <w:sz w:val="22"/>
              </w:rPr>
              <w:t>Dział wieloletnich ra</w:t>
            </w:r>
            <w:r w:rsidRPr="006E6446">
              <w:rPr>
                <w:b/>
                <w:sz w:val="22"/>
              </w:rPr>
              <w:t>m</w:t>
            </w:r>
            <w:r w:rsidR="006E6446" w:rsidRPr="006E6446">
              <w:rPr>
                <w:b/>
                <w:sz w:val="22"/>
              </w:rPr>
              <w:t xml:space="preserve"> </w:t>
            </w:r>
            <w:r w:rsidRPr="006E6446">
              <w:rPr>
                <w:b/>
                <w:sz w:val="22"/>
              </w:rPr>
              <w:br/>
            </w:r>
            <w:r w:rsidRPr="00392E88">
              <w:rPr>
                <w:b/>
                <w:sz w:val="22"/>
              </w:rPr>
              <w:t xml:space="preserve">finansowych </w:t>
            </w:r>
          </w:p>
        </w:tc>
        <w:tc>
          <w:tcPr>
            <w:tcW w:w="396" w:type="pct"/>
            <w:vAlign w:val="center"/>
          </w:tcPr>
          <w:p w14:paraId="080282D2" w14:textId="77777777" w:rsidR="00044D5B" w:rsidRPr="00392E88" w:rsidRDefault="00044D5B">
            <w:pPr>
              <w:spacing w:before="60" w:after="60"/>
              <w:jc w:val="center"/>
              <w:rPr>
                <w:noProof/>
              </w:rPr>
            </w:pPr>
            <w:r w:rsidRPr="00392E88">
              <w:rPr>
                <w:sz w:val="22"/>
              </w:rPr>
              <w:t>Numer</w:t>
            </w:r>
          </w:p>
        </w:tc>
        <w:tc>
          <w:tcPr>
            <w:tcW w:w="2865" w:type="pct"/>
            <w:vAlign w:val="center"/>
          </w:tcPr>
          <w:p w14:paraId="63615D39" w14:textId="77777777" w:rsidR="00044D5B" w:rsidRPr="00392E88" w:rsidRDefault="00044D5B">
            <w:pPr>
              <w:spacing w:before="60" w:after="60"/>
              <w:rPr>
                <w:noProof/>
              </w:rPr>
            </w:pPr>
          </w:p>
        </w:tc>
      </w:tr>
    </w:tbl>
    <w:p w14:paraId="6B50003A" w14:textId="77777777" w:rsidR="00044D5B" w:rsidRPr="00392E88" w:rsidRDefault="00044D5B" w:rsidP="00044D5B"/>
    <w:tbl>
      <w:tblPr>
        <w:tblW w:w="5000" w:type="pct"/>
        <w:tblInd w:w="-118" w:type="dxa"/>
        <w:tblCellMar>
          <w:left w:w="0" w:type="dxa"/>
          <w:right w:w="0" w:type="dxa"/>
        </w:tblCellMar>
        <w:tblLook w:val="04A0" w:firstRow="1" w:lastRow="0" w:firstColumn="1" w:lastColumn="0" w:noHBand="0" w:noVBand="1"/>
      </w:tblPr>
      <w:tblGrid>
        <w:gridCol w:w="4268"/>
        <w:gridCol w:w="1380"/>
        <w:gridCol w:w="1933"/>
        <w:gridCol w:w="1237"/>
        <w:gridCol w:w="1237"/>
        <w:gridCol w:w="1237"/>
        <w:gridCol w:w="1237"/>
        <w:gridCol w:w="1495"/>
      </w:tblGrid>
      <w:tr w:rsidR="00B55C7B" w:rsidRPr="00392E88" w14:paraId="025E0492" w14:textId="77777777">
        <w:trPr>
          <w:trHeight w:val="300"/>
        </w:trPr>
        <w:tc>
          <w:tcPr>
            <w:tcW w:w="2703" w:type="pct"/>
            <w:gridSpan w:val="3"/>
            <w:vMerge w:val="restart"/>
            <w:tcBorders>
              <w:top w:val="single" w:sz="8" w:space="0" w:color="auto"/>
              <w:left w:val="single" w:sz="8" w:space="0" w:color="auto"/>
              <w:bottom w:val="single" w:sz="8" w:space="0" w:color="000000"/>
              <w:right w:val="single" w:sz="8" w:space="0" w:color="000000"/>
            </w:tcBorders>
            <w:vAlign w:val="center"/>
            <w:hideMark/>
          </w:tcPr>
          <w:p w14:paraId="7725A14F" w14:textId="77777777" w:rsidR="00044D5B" w:rsidRPr="00392E88" w:rsidRDefault="00044D5B">
            <w:pPr>
              <w:spacing w:before="0" w:after="0"/>
              <w:jc w:val="center"/>
              <w:rPr>
                <w:color w:val="000000"/>
                <w:sz w:val="22"/>
              </w:rPr>
            </w:pPr>
            <w:r w:rsidRPr="00392E88">
              <w:rPr>
                <w:color w:val="000000"/>
                <w:sz w:val="22"/>
              </w:rPr>
              <w:t>Dyrekcja Generalna: &lt;…….&gt;</w:t>
            </w:r>
          </w:p>
        </w:tc>
        <w:tc>
          <w:tcPr>
            <w:tcW w:w="441" w:type="pct"/>
            <w:tcBorders>
              <w:top w:val="single" w:sz="8" w:space="0" w:color="auto"/>
              <w:left w:val="nil"/>
              <w:bottom w:val="nil"/>
              <w:right w:val="single" w:sz="8" w:space="0" w:color="auto"/>
            </w:tcBorders>
            <w:vAlign w:val="center"/>
            <w:hideMark/>
          </w:tcPr>
          <w:p w14:paraId="79AA57CB" w14:textId="77777777" w:rsidR="00044D5B" w:rsidRPr="00392E88" w:rsidRDefault="00044D5B">
            <w:pPr>
              <w:spacing w:before="0" w:after="0"/>
              <w:jc w:val="center"/>
              <w:rPr>
                <w:color w:val="000000"/>
                <w:sz w:val="20"/>
                <w:szCs w:val="20"/>
              </w:rPr>
            </w:pPr>
            <w:r w:rsidRPr="00392E88">
              <w:rPr>
                <w:color w:val="000000"/>
                <w:sz w:val="20"/>
              </w:rPr>
              <w:t>Rok</w:t>
            </w:r>
          </w:p>
        </w:tc>
        <w:tc>
          <w:tcPr>
            <w:tcW w:w="441" w:type="pct"/>
            <w:tcBorders>
              <w:top w:val="single" w:sz="8" w:space="0" w:color="auto"/>
              <w:left w:val="nil"/>
              <w:bottom w:val="nil"/>
              <w:right w:val="single" w:sz="8" w:space="0" w:color="auto"/>
            </w:tcBorders>
            <w:vAlign w:val="center"/>
            <w:hideMark/>
          </w:tcPr>
          <w:p w14:paraId="16F70FF1" w14:textId="77777777" w:rsidR="00044D5B" w:rsidRPr="00392E88" w:rsidRDefault="00044D5B">
            <w:pPr>
              <w:spacing w:before="0" w:after="0"/>
              <w:jc w:val="center"/>
              <w:rPr>
                <w:color w:val="000000"/>
                <w:sz w:val="20"/>
                <w:szCs w:val="20"/>
              </w:rPr>
            </w:pPr>
            <w:r w:rsidRPr="00392E88">
              <w:rPr>
                <w:color w:val="000000"/>
                <w:sz w:val="20"/>
              </w:rPr>
              <w:t>Rok</w:t>
            </w:r>
          </w:p>
        </w:tc>
        <w:tc>
          <w:tcPr>
            <w:tcW w:w="441" w:type="pct"/>
            <w:tcBorders>
              <w:top w:val="single" w:sz="8" w:space="0" w:color="auto"/>
              <w:left w:val="nil"/>
              <w:bottom w:val="nil"/>
              <w:right w:val="single" w:sz="8" w:space="0" w:color="auto"/>
            </w:tcBorders>
            <w:vAlign w:val="center"/>
            <w:hideMark/>
          </w:tcPr>
          <w:p w14:paraId="1F2B5A82" w14:textId="77777777" w:rsidR="00044D5B" w:rsidRPr="00392E88" w:rsidRDefault="00044D5B">
            <w:pPr>
              <w:spacing w:before="0" w:after="0"/>
              <w:jc w:val="center"/>
              <w:rPr>
                <w:color w:val="000000"/>
                <w:sz w:val="20"/>
                <w:szCs w:val="20"/>
              </w:rPr>
            </w:pPr>
            <w:r w:rsidRPr="00392E88">
              <w:rPr>
                <w:color w:val="000000"/>
                <w:sz w:val="20"/>
              </w:rPr>
              <w:t>Rok</w:t>
            </w:r>
          </w:p>
        </w:tc>
        <w:tc>
          <w:tcPr>
            <w:tcW w:w="441" w:type="pct"/>
            <w:tcBorders>
              <w:top w:val="single" w:sz="8" w:space="0" w:color="auto"/>
              <w:left w:val="nil"/>
              <w:bottom w:val="nil"/>
              <w:right w:val="single" w:sz="8" w:space="0" w:color="auto"/>
            </w:tcBorders>
            <w:vAlign w:val="center"/>
            <w:hideMark/>
          </w:tcPr>
          <w:p w14:paraId="5D3BEB6A" w14:textId="77777777" w:rsidR="00044D5B" w:rsidRPr="00392E88" w:rsidRDefault="00044D5B">
            <w:pPr>
              <w:spacing w:before="0" w:after="0"/>
              <w:jc w:val="center"/>
              <w:rPr>
                <w:color w:val="000000"/>
                <w:sz w:val="20"/>
                <w:szCs w:val="20"/>
              </w:rPr>
            </w:pPr>
            <w:r w:rsidRPr="00392E88">
              <w:rPr>
                <w:color w:val="000000"/>
                <w:sz w:val="20"/>
              </w:rPr>
              <w:t>Rok</w:t>
            </w:r>
          </w:p>
        </w:tc>
        <w:tc>
          <w:tcPr>
            <w:tcW w:w="534" w:type="pct"/>
            <w:vMerge w:val="restart"/>
            <w:tcBorders>
              <w:top w:val="single" w:sz="8" w:space="0" w:color="auto"/>
              <w:left w:val="single" w:sz="8" w:space="0" w:color="auto"/>
              <w:bottom w:val="single" w:sz="8" w:space="0" w:color="000000"/>
              <w:right w:val="single" w:sz="8" w:space="0" w:color="auto"/>
            </w:tcBorders>
            <w:vAlign w:val="center"/>
            <w:hideMark/>
          </w:tcPr>
          <w:p w14:paraId="5EC33891" w14:textId="77777777" w:rsidR="00044D5B" w:rsidRPr="00392E88" w:rsidRDefault="00044D5B">
            <w:pPr>
              <w:spacing w:before="0" w:after="0"/>
              <w:jc w:val="center"/>
              <w:rPr>
                <w:b/>
                <w:bCs/>
                <w:color w:val="000000"/>
                <w:sz w:val="20"/>
                <w:szCs w:val="20"/>
              </w:rPr>
            </w:pPr>
            <w:r w:rsidRPr="00392E88">
              <w:rPr>
                <w:b/>
                <w:color w:val="000000"/>
                <w:sz w:val="20"/>
              </w:rPr>
              <w:t>OGÓŁEM WRF 2021–2027</w:t>
            </w:r>
          </w:p>
        </w:tc>
      </w:tr>
      <w:tr w:rsidR="00504273" w:rsidRPr="00392E88" w14:paraId="05CC4234" w14:textId="77777777">
        <w:trPr>
          <w:trHeight w:val="300"/>
        </w:trPr>
        <w:tc>
          <w:tcPr>
            <w:tcW w:w="2703" w:type="pct"/>
            <w:gridSpan w:val="3"/>
            <w:vMerge/>
            <w:tcBorders>
              <w:top w:val="single" w:sz="8" w:space="0" w:color="auto"/>
              <w:left w:val="single" w:sz="8" w:space="0" w:color="auto"/>
              <w:bottom w:val="single" w:sz="8" w:space="0" w:color="000000"/>
              <w:right w:val="single" w:sz="8" w:space="0" w:color="000000"/>
            </w:tcBorders>
            <w:vAlign w:val="center"/>
            <w:hideMark/>
          </w:tcPr>
          <w:p w14:paraId="6BE20C1C" w14:textId="77777777" w:rsidR="00044D5B" w:rsidRPr="00392E88" w:rsidRDefault="00044D5B">
            <w:pPr>
              <w:spacing w:before="0" w:after="0"/>
              <w:jc w:val="left"/>
              <w:rPr>
                <w:color w:val="000000"/>
                <w:sz w:val="22"/>
                <w:lang w:eastAsia="en-IE"/>
              </w:rPr>
            </w:pPr>
          </w:p>
        </w:tc>
        <w:tc>
          <w:tcPr>
            <w:tcW w:w="441" w:type="pct"/>
            <w:tcBorders>
              <w:top w:val="nil"/>
              <w:left w:val="nil"/>
              <w:bottom w:val="single" w:sz="8" w:space="0" w:color="auto"/>
              <w:right w:val="single" w:sz="8" w:space="0" w:color="auto"/>
            </w:tcBorders>
            <w:vAlign w:val="center"/>
            <w:hideMark/>
          </w:tcPr>
          <w:p w14:paraId="59F77B6B" w14:textId="77777777" w:rsidR="00044D5B" w:rsidRPr="00392E88" w:rsidRDefault="00044D5B">
            <w:pPr>
              <w:spacing w:before="0" w:after="0"/>
              <w:jc w:val="center"/>
              <w:rPr>
                <w:b/>
                <w:bCs/>
                <w:color w:val="000000"/>
                <w:sz w:val="20"/>
                <w:szCs w:val="20"/>
              </w:rPr>
            </w:pPr>
            <w:r w:rsidRPr="00392E88">
              <w:rPr>
                <w:b/>
                <w:color w:val="000000"/>
                <w:sz w:val="20"/>
              </w:rPr>
              <w:t>2024</w:t>
            </w:r>
          </w:p>
        </w:tc>
        <w:tc>
          <w:tcPr>
            <w:tcW w:w="441" w:type="pct"/>
            <w:tcBorders>
              <w:top w:val="nil"/>
              <w:left w:val="nil"/>
              <w:bottom w:val="single" w:sz="8" w:space="0" w:color="auto"/>
              <w:right w:val="single" w:sz="8" w:space="0" w:color="auto"/>
            </w:tcBorders>
            <w:vAlign w:val="center"/>
            <w:hideMark/>
          </w:tcPr>
          <w:p w14:paraId="0646A259" w14:textId="77777777" w:rsidR="00044D5B" w:rsidRPr="00392E88" w:rsidRDefault="00044D5B">
            <w:pPr>
              <w:spacing w:before="0" w:after="0"/>
              <w:jc w:val="center"/>
              <w:rPr>
                <w:b/>
                <w:bCs/>
                <w:color w:val="000000"/>
                <w:sz w:val="20"/>
                <w:szCs w:val="20"/>
              </w:rPr>
            </w:pPr>
            <w:r w:rsidRPr="00392E88">
              <w:rPr>
                <w:b/>
                <w:color w:val="000000"/>
                <w:sz w:val="20"/>
              </w:rPr>
              <w:t>2025</w:t>
            </w:r>
          </w:p>
        </w:tc>
        <w:tc>
          <w:tcPr>
            <w:tcW w:w="441" w:type="pct"/>
            <w:tcBorders>
              <w:top w:val="nil"/>
              <w:left w:val="nil"/>
              <w:bottom w:val="single" w:sz="8" w:space="0" w:color="auto"/>
              <w:right w:val="single" w:sz="8" w:space="0" w:color="auto"/>
            </w:tcBorders>
            <w:vAlign w:val="center"/>
            <w:hideMark/>
          </w:tcPr>
          <w:p w14:paraId="5ECEE814" w14:textId="77777777" w:rsidR="00044D5B" w:rsidRPr="00392E88" w:rsidRDefault="00044D5B">
            <w:pPr>
              <w:spacing w:before="0" w:after="0"/>
              <w:jc w:val="center"/>
              <w:rPr>
                <w:b/>
                <w:bCs/>
                <w:color w:val="000000"/>
                <w:sz w:val="20"/>
                <w:szCs w:val="20"/>
              </w:rPr>
            </w:pPr>
            <w:r w:rsidRPr="00392E88">
              <w:rPr>
                <w:b/>
                <w:color w:val="000000"/>
                <w:sz w:val="20"/>
              </w:rPr>
              <w:t>2026</w:t>
            </w:r>
          </w:p>
        </w:tc>
        <w:tc>
          <w:tcPr>
            <w:tcW w:w="441" w:type="pct"/>
            <w:tcBorders>
              <w:top w:val="nil"/>
              <w:left w:val="nil"/>
              <w:bottom w:val="single" w:sz="8" w:space="0" w:color="auto"/>
              <w:right w:val="single" w:sz="8" w:space="0" w:color="auto"/>
            </w:tcBorders>
            <w:vAlign w:val="center"/>
            <w:hideMark/>
          </w:tcPr>
          <w:p w14:paraId="42AA2680" w14:textId="77777777" w:rsidR="00044D5B" w:rsidRPr="00392E88" w:rsidRDefault="00044D5B">
            <w:pPr>
              <w:spacing w:before="0" w:after="0"/>
              <w:jc w:val="center"/>
              <w:rPr>
                <w:b/>
                <w:bCs/>
                <w:color w:val="000000"/>
                <w:sz w:val="20"/>
                <w:szCs w:val="20"/>
              </w:rPr>
            </w:pPr>
            <w:r w:rsidRPr="00392E88">
              <w:rPr>
                <w:b/>
                <w:color w:val="000000"/>
                <w:sz w:val="20"/>
              </w:rPr>
              <w:t>2027</w:t>
            </w:r>
          </w:p>
        </w:tc>
        <w:tc>
          <w:tcPr>
            <w:tcW w:w="534" w:type="pct"/>
            <w:vMerge/>
            <w:tcBorders>
              <w:top w:val="single" w:sz="8" w:space="0" w:color="auto"/>
              <w:left w:val="single" w:sz="8" w:space="0" w:color="auto"/>
              <w:bottom w:val="single" w:sz="8" w:space="0" w:color="000000"/>
              <w:right w:val="single" w:sz="8" w:space="0" w:color="auto"/>
            </w:tcBorders>
            <w:vAlign w:val="center"/>
            <w:hideMark/>
          </w:tcPr>
          <w:p w14:paraId="1493D12C" w14:textId="77777777" w:rsidR="00044D5B" w:rsidRPr="00392E88" w:rsidRDefault="00044D5B">
            <w:pPr>
              <w:spacing w:before="0" w:after="0"/>
              <w:jc w:val="left"/>
              <w:rPr>
                <w:b/>
                <w:bCs/>
                <w:color w:val="000000"/>
                <w:sz w:val="20"/>
                <w:szCs w:val="20"/>
                <w:lang w:eastAsia="en-IE"/>
              </w:rPr>
            </w:pPr>
          </w:p>
        </w:tc>
      </w:tr>
      <w:tr w:rsidR="00E6355E" w:rsidRPr="00392E88" w14:paraId="18130917" w14:textId="77777777">
        <w:trPr>
          <w:trHeight w:val="300"/>
        </w:trPr>
        <w:tc>
          <w:tcPr>
            <w:tcW w:w="2703" w:type="pct"/>
            <w:gridSpan w:val="3"/>
            <w:tcBorders>
              <w:top w:val="single" w:sz="8" w:space="0" w:color="auto"/>
              <w:left w:val="single" w:sz="8" w:space="0" w:color="auto"/>
              <w:bottom w:val="single" w:sz="8" w:space="0" w:color="auto"/>
              <w:right w:val="single" w:sz="8" w:space="0" w:color="000000"/>
            </w:tcBorders>
            <w:vAlign w:val="center"/>
            <w:hideMark/>
          </w:tcPr>
          <w:p w14:paraId="081487BB" w14:textId="77777777" w:rsidR="00044D5B" w:rsidRPr="00392E88" w:rsidRDefault="00044D5B">
            <w:pPr>
              <w:spacing w:before="0" w:after="0"/>
              <w:rPr>
                <w:color w:val="000000"/>
                <w:sz w:val="21"/>
                <w:szCs w:val="21"/>
              </w:rPr>
            </w:pPr>
            <w:r w:rsidRPr="00392E88">
              <w:rPr>
                <w:color w:val="000000"/>
                <w:sz w:val="21"/>
              </w:rPr>
              <w:t xml:space="preserve">Środki operacyjne </w:t>
            </w:r>
          </w:p>
        </w:tc>
        <w:tc>
          <w:tcPr>
            <w:tcW w:w="441" w:type="pct"/>
            <w:tcBorders>
              <w:top w:val="nil"/>
              <w:left w:val="nil"/>
              <w:bottom w:val="single" w:sz="8" w:space="0" w:color="auto"/>
              <w:right w:val="single" w:sz="8" w:space="0" w:color="auto"/>
            </w:tcBorders>
            <w:vAlign w:val="center"/>
            <w:hideMark/>
          </w:tcPr>
          <w:p w14:paraId="16A7C550" w14:textId="77777777" w:rsidR="00044D5B" w:rsidRPr="00392E88" w:rsidRDefault="00044D5B">
            <w:pPr>
              <w:spacing w:before="0" w:after="0"/>
              <w:rPr>
                <w:color w:val="000000"/>
                <w:sz w:val="20"/>
                <w:szCs w:val="20"/>
              </w:rPr>
            </w:pPr>
            <w:r w:rsidRPr="00392E88">
              <w:rPr>
                <w:color w:val="000000"/>
                <w:sz w:val="20"/>
              </w:rPr>
              <w:t xml:space="preserve"> </w:t>
            </w:r>
          </w:p>
        </w:tc>
        <w:tc>
          <w:tcPr>
            <w:tcW w:w="441" w:type="pct"/>
            <w:tcBorders>
              <w:top w:val="nil"/>
              <w:left w:val="nil"/>
              <w:bottom w:val="single" w:sz="8" w:space="0" w:color="auto"/>
              <w:right w:val="single" w:sz="8" w:space="0" w:color="auto"/>
            </w:tcBorders>
            <w:vAlign w:val="center"/>
            <w:hideMark/>
          </w:tcPr>
          <w:p w14:paraId="3D494044" w14:textId="77777777" w:rsidR="00044D5B" w:rsidRPr="00392E88" w:rsidRDefault="00044D5B">
            <w:pPr>
              <w:spacing w:before="0" w:after="0"/>
              <w:rPr>
                <w:color w:val="000000"/>
                <w:sz w:val="20"/>
                <w:szCs w:val="20"/>
              </w:rPr>
            </w:pPr>
            <w:r w:rsidRPr="00392E88">
              <w:rPr>
                <w:color w:val="000000"/>
                <w:sz w:val="20"/>
              </w:rPr>
              <w:t xml:space="preserve"> </w:t>
            </w:r>
          </w:p>
        </w:tc>
        <w:tc>
          <w:tcPr>
            <w:tcW w:w="441" w:type="pct"/>
            <w:tcBorders>
              <w:top w:val="nil"/>
              <w:left w:val="nil"/>
              <w:bottom w:val="single" w:sz="8" w:space="0" w:color="auto"/>
              <w:right w:val="single" w:sz="8" w:space="0" w:color="auto"/>
            </w:tcBorders>
            <w:vAlign w:val="center"/>
            <w:hideMark/>
          </w:tcPr>
          <w:p w14:paraId="3E333F01" w14:textId="77777777" w:rsidR="00044D5B" w:rsidRPr="00392E88" w:rsidRDefault="00044D5B">
            <w:pPr>
              <w:spacing w:before="0" w:after="0"/>
              <w:rPr>
                <w:color w:val="000000"/>
                <w:sz w:val="20"/>
                <w:szCs w:val="20"/>
              </w:rPr>
            </w:pPr>
            <w:r w:rsidRPr="00392E88">
              <w:rPr>
                <w:color w:val="000000"/>
                <w:sz w:val="20"/>
              </w:rPr>
              <w:t xml:space="preserve"> </w:t>
            </w:r>
          </w:p>
        </w:tc>
        <w:tc>
          <w:tcPr>
            <w:tcW w:w="441" w:type="pct"/>
            <w:tcBorders>
              <w:top w:val="nil"/>
              <w:left w:val="nil"/>
              <w:bottom w:val="single" w:sz="8" w:space="0" w:color="auto"/>
              <w:right w:val="single" w:sz="8" w:space="0" w:color="auto"/>
            </w:tcBorders>
            <w:vAlign w:val="center"/>
            <w:hideMark/>
          </w:tcPr>
          <w:p w14:paraId="4F04DC15" w14:textId="77777777" w:rsidR="00044D5B" w:rsidRPr="00392E88" w:rsidRDefault="00044D5B">
            <w:pPr>
              <w:spacing w:before="0" w:after="0"/>
              <w:rPr>
                <w:b/>
                <w:bCs/>
                <w:color w:val="000000"/>
                <w:sz w:val="20"/>
                <w:szCs w:val="20"/>
              </w:rPr>
            </w:pPr>
            <w:r w:rsidRPr="00392E88">
              <w:rPr>
                <w:b/>
                <w:color w:val="000000"/>
                <w:sz w:val="20"/>
              </w:rPr>
              <w:t xml:space="preserve"> </w:t>
            </w:r>
          </w:p>
        </w:tc>
        <w:tc>
          <w:tcPr>
            <w:tcW w:w="534" w:type="pct"/>
            <w:tcBorders>
              <w:top w:val="nil"/>
              <w:left w:val="nil"/>
              <w:bottom w:val="single" w:sz="8" w:space="0" w:color="auto"/>
              <w:right w:val="single" w:sz="8" w:space="0" w:color="auto"/>
            </w:tcBorders>
            <w:vAlign w:val="center"/>
            <w:hideMark/>
          </w:tcPr>
          <w:p w14:paraId="087BFFDA" w14:textId="77777777" w:rsidR="00044D5B" w:rsidRPr="00392E88" w:rsidRDefault="00044D5B">
            <w:pPr>
              <w:spacing w:before="0" w:after="0"/>
              <w:rPr>
                <w:b/>
                <w:bCs/>
                <w:color w:val="000000"/>
                <w:sz w:val="20"/>
                <w:szCs w:val="20"/>
              </w:rPr>
            </w:pPr>
            <w:r w:rsidRPr="00392E88">
              <w:rPr>
                <w:b/>
                <w:color w:val="000000"/>
                <w:sz w:val="20"/>
              </w:rPr>
              <w:t xml:space="preserve"> </w:t>
            </w:r>
          </w:p>
        </w:tc>
      </w:tr>
      <w:tr w:rsidR="00E62D64" w:rsidRPr="00392E88" w14:paraId="35CB3899" w14:textId="77777777">
        <w:trPr>
          <w:trHeight w:val="300"/>
        </w:trPr>
        <w:tc>
          <w:tcPr>
            <w:tcW w:w="1522" w:type="pct"/>
            <w:vMerge w:val="restart"/>
            <w:tcBorders>
              <w:top w:val="nil"/>
              <w:left w:val="single" w:sz="8" w:space="0" w:color="auto"/>
              <w:bottom w:val="single" w:sz="8" w:space="0" w:color="000000"/>
              <w:right w:val="single" w:sz="8" w:space="0" w:color="auto"/>
            </w:tcBorders>
            <w:noWrap/>
            <w:vAlign w:val="center"/>
            <w:hideMark/>
          </w:tcPr>
          <w:p w14:paraId="2D50885B" w14:textId="77777777" w:rsidR="00044D5B" w:rsidRPr="00392E88" w:rsidRDefault="00044D5B">
            <w:pPr>
              <w:spacing w:before="0" w:after="0"/>
              <w:jc w:val="left"/>
              <w:rPr>
                <w:color w:val="000000"/>
                <w:sz w:val="22"/>
              </w:rPr>
            </w:pPr>
            <w:r w:rsidRPr="00392E88">
              <w:rPr>
                <w:color w:val="000000"/>
                <w:sz w:val="22"/>
              </w:rPr>
              <w:t>Linia budżetowa</w:t>
            </w:r>
          </w:p>
        </w:tc>
        <w:tc>
          <w:tcPr>
            <w:tcW w:w="492" w:type="pct"/>
            <w:tcBorders>
              <w:top w:val="nil"/>
              <w:left w:val="nil"/>
              <w:bottom w:val="single" w:sz="8" w:space="0" w:color="auto"/>
              <w:right w:val="single" w:sz="8" w:space="0" w:color="auto"/>
            </w:tcBorders>
            <w:vAlign w:val="center"/>
            <w:hideMark/>
          </w:tcPr>
          <w:p w14:paraId="058BCC1A" w14:textId="77777777" w:rsidR="00044D5B" w:rsidRPr="00392E88" w:rsidRDefault="00044D5B">
            <w:pPr>
              <w:spacing w:before="0" w:after="0"/>
              <w:rPr>
                <w:color w:val="000000"/>
                <w:sz w:val="18"/>
                <w:szCs w:val="18"/>
              </w:rPr>
            </w:pPr>
            <w:r w:rsidRPr="00392E88">
              <w:rPr>
                <w:color w:val="000000"/>
                <w:sz w:val="18"/>
              </w:rPr>
              <w:t>Środki na zobowiązania</w:t>
            </w:r>
          </w:p>
        </w:tc>
        <w:tc>
          <w:tcPr>
            <w:tcW w:w="688" w:type="pct"/>
            <w:tcBorders>
              <w:top w:val="single" w:sz="8" w:space="0" w:color="auto"/>
              <w:left w:val="nil"/>
              <w:bottom w:val="single" w:sz="8" w:space="0" w:color="auto"/>
              <w:right w:val="single" w:sz="8" w:space="0" w:color="000000"/>
            </w:tcBorders>
            <w:vAlign w:val="center"/>
            <w:hideMark/>
          </w:tcPr>
          <w:p w14:paraId="5F21A808" w14:textId="77777777" w:rsidR="00044D5B" w:rsidRPr="00392E88" w:rsidRDefault="00044D5B">
            <w:pPr>
              <w:spacing w:before="0" w:after="0"/>
              <w:jc w:val="center"/>
              <w:rPr>
                <w:color w:val="000000"/>
                <w:sz w:val="14"/>
                <w:szCs w:val="14"/>
              </w:rPr>
            </w:pPr>
            <w:r w:rsidRPr="00392E88">
              <w:rPr>
                <w:color w:val="000000"/>
                <w:sz w:val="14"/>
              </w:rPr>
              <w:t>(1a)</w:t>
            </w:r>
          </w:p>
        </w:tc>
        <w:tc>
          <w:tcPr>
            <w:tcW w:w="441" w:type="pct"/>
            <w:tcBorders>
              <w:top w:val="nil"/>
              <w:left w:val="nil"/>
              <w:bottom w:val="single" w:sz="8" w:space="0" w:color="auto"/>
              <w:right w:val="single" w:sz="8" w:space="0" w:color="auto"/>
            </w:tcBorders>
            <w:vAlign w:val="center"/>
            <w:hideMark/>
          </w:tcPr>
          <w:p w14:paraId="293829A7" w14:textId="77777777" w:rsidR="00044D5B" w:rsidRPr="00392E88" w:rsidRDefault="00044D5B">
            <w:pPr>
              <w:spacing w:before="0" w:after="0"/>
              <w:jc w:val="right"/>
              <w:rPr>
                <w:color w:val="000000"/>
                <w:sz w:val="20"/>
                <w:szCs w:val="20"/>
              </w:rPr>
            </w:pPr>
            <w:r w:rsidRPr="00392E88">
              <w:rPr>
                <w:color w:val="000000"/>
                <w:sz w:val="20"/>
              </w:rPr>
              <w:t xml:space="preserve"> </w:t>
            </w:r>
          </w:p>
        </w:tc>
        <w:tc>
          <w:tcPr>
            <w:tcW w:w="441" w:type="pct"/>
            <w:tcBorders>
              <w:top w:val="nil"/>
              <w:left w:val="nil"/>
              <w:bottom w:val="single" w:sz="8" w:space="0" w:color="auto"/>
              <w:right w:val="single" w:sz="8" w:space="0" w:color="auto"/>
            </w:tcBorders>
            <w:vAlign w:val="center"/>
            <w:hideMark/>
          </w:tcPr>
          <w:p w14:paraId="6AA2B0F9" w14:textId="77777777" w:rsidR="00044D5B" w:rsidRPr="00392E88" w:rsidRDefault="00044D5B">
            <w:pPr>
              <w:spacing w:before="0" w:after="0"/>
              <w:jc w:val="right"/>
              <w:rPr>
                <w:color w:val="000000"/>
                <w:sz w:val="20"/>
                <w:szCs w:val="20"/>
              </w:rPr>
            </w:pPr>
            <w:r w:rsidRPr="00392E88">
              <w:rPr>
                <w:color w:val="000000"/>
                <w:sz w:val="20"/>
              </w:rPr>
              <w:t xml:space="preserve"> </w:t>
            </w:r>
          </w:p>
        </w:tc>
        <w:tc>
          <w:tcPr>
            <w:tcW w:w="441" w:type="pct"/>
            <w:tcBorders>
              <w:top w:val="nil"/>
              <w:left w:val="nil"/>
              <w:bottom w:val="single" w:sz="8" w:space="0" w:color="auto"/>
              <w:right w:val="single" w:sz="8" w:space="0" w:color="auto"/>
            </w:tcBorders>
            <w:vAlign w:val="center"/>
            <w:hideMark/>
          </w:tcPr>
          <w:p w14:paraId="7E6C4155" w14:textId="77777777" w:rsidR="00044D5B" w:rsidRPr="00392E88" w:rsidRDefault="00044D5B">
            <w:pPr>
              <w:spacing w:before="0" w:after="0"/>
              <w:jc w:val="right"/>
              <w:rPr>
                <w:color w:val="000000"/>
                <w:sz w:val="20"/>
                <w:szCs w:val="20"/>
              </w:rPr>
            </w:pPr>
            <w:r w:rsidRPr="00392E88">
              <w:rPr>
                <w:color w:val="000000"/>
                <w:sz w:val="20"/>
              </w:rPr>
              <w:t xml:space="preserve"> </w:t>
            </w:r>
          </w:p>
        </w:tc>
        <w:tc>
          <w:tcPr>
            <w:tcW w:w="441" w:type="pct"/>
            <w:tcBorders>
              <w:top w:val="nil"/>
              <w:left w:val="nil"/>
              <w:bottom w:val="single" w:sz="8" w:space="0" w:color="auto"/>
              <w:right w:val="single" w:sz="8" w:space="0" w:color="auto"/>
            </w:tcBorders>
            <w:vAlign w:val="center"/>
            <w:hideMark/>
          </w:tcPr>
          <w:p w14:paraId="1A1343E8" w14:textId="77777777" w:rsidR="00044D5B" w:rsidRPr="00392E88" w:rsidRDefault="00044D5B">
            <w:pPr>
              <w:spacing w:before="0" w:after="0"/>
              <w:jc w:val="right"/>
              <w:rPr>
                <w:color w:val="000000"/>
                <w:sz w:val="20"/>
                <w:szCs w:val="20"/>
              </w:rPr>
            </w:pPr>
            <w:r w:rsidRPr="00392E88">
              <w:rPr>
                <w:color w:val="000000"/>
                <w:sz w:val="20"/>
              </w:rPr>
              <w:t xml:space="preserve"> </w:t>
            </w:r>
          </w:p>
        </w:tc>
        <w:tc>
          <w:tcPr>
            <w:tcW w:w="534" w:type="pct"/>
            <w:tcBorders>
              <w:top w:val="nil"/>
              <w:left w:val="nil"/>
              <w:bottom w:val="single" w:sz="8" w:space="0" w:color="auto"/>
              <w:right w:val="single" w:sz="8" w:space="0" w:color="auto"/>
            </w:tcBorders>
            <w:shd w:val="clear" w:color="000000" w:fill="D9D9D9"/>
            <w:vAlign w:val="center"/>
            <w:hideMark/>
          </w:tcPr>
          <w:p w14:paraId="7020CFA7" w14:textId="77777777" w:rsidR="00044D5B" w:rsidRPr="00392E88" w:rsidRDefault="00044D5B">
            <w:pPr>
              <w:spacing w:before="0" w:after="0"/>
              <w:jc w:val="right"/>
              <w:rPr>
                <w:b/>
                <w:bCs/>
                <w:color w:val="000000"/>
                <w:sz w:val="20"/>
                <w:szCs w:val="20"/>
              </w:rPr>
            </w:pPr>
            <w:r w:rsidRPr="00392E88">
              <w:rPr>
                <w:b/>
                <w:color w:val="000000"/>
                <w:sz w:val="20"/>
              </w:rPr>
              <w:t>0,000</w:t>
            </w:r>
          </w:p>
        </w:tc>
      </w:tr>
      <w:tr w:rsidR="00E62D64" w:rsidRPr="00392E88" w14:paraId="79F88647" w14:textId="77777777">
        <w:trPr>
          <w:trHeight w:val="300"/>
        </w:trPr>
        <w:tc>
          <w:tcPr>
            <w:tcW w:w="1522" w:type="pct"/>
            <w:vMerge/>
            <w:tcBorders>
              <w:top w:val="nil"/>
              <w:left w:val="single" w:sz="8" w:space="0" w:color="auto"/>
              <w:bottom w:val="single" w:sz="8" w:space="0" w:color="000000"/>
              <w:right w:val="single" w:sz="8" w:space="0" w:color="auto"/>
            </w:tcBorders>
            <w:vAlign w:val="center"/>
            <w:hideMark/>
          </w:tcPr>
          <w:p w14:paraId="50471408" w14:textId="77777777" w:rsidR="00044D5B" w:rsidRPr="00392E88" w:rsidRDefault="00044D5B">
            <w:pPr>
              <w:spacing w:before="0" w:after="0"/>
              <w:jc w:val="left"/>
              <w:rPr>
                <w:color w:val="000000"/>
                <w:sz w:val="22"/>
                <w:lang w:eastAsia="en-IE"/>
              </w:rPr>
            </w:pPr>
          </w:p>
        </w:tc>
        <w:tc>
          <w:tcPr>
            <w:tcW w:w="492" w:type="pct"/>
            <w:tcBorders>
              <w:top w:val="nil"/>
              <w:left w:val="nil"/>
              <w:bottom w:val="single" w:sz="8" w:space="0" w:color="auto"/>
              <w:right w:val="single" w:sz="8" w:space="0" w:color="auto"/>
            </w:tcBorders>
            <w:vAlign w:val="center"/>
            <w:hideMark/>
          </w:tcPr>
          <w:p w14:paraId="51D85790" w14:textId="77777777" w:rsidR="00044D5B" w:rsidRPr="00392E88" w:rsidRDefault="00044D5B">
            <w:pPr>
              <w:spacing w:before="0" w:after="0"/>
              <w:rPr>
                <w:color w:val="000000"/>
                <w:sz w:val="18"/>
                <w:szCs w:val="18"/>
              </w:rPr>
            </w:pPr>
            <w:r w:rsidRPr="00392E88">
              <w:rPr>
                <w:color w:val="000000"/>
                <w:sz w:val="18"/>
              </w:rPr>
              <w:t>Środki na płatności</w:t>
            </w:r>
          </w:p>
        </w:tc>
        <w:tc>
          <w:tcPr>
            <w:tcW w:w="688" w:type="pct"/>
            <w:tcBorders>
              <w:top w:val="single" w:sz="8" w:space="0" w:color="auto"/>
              <w:left w:val="nil"/>
              <w:bottom w:val="single" w:sz="8" w:space="0" w:color="auto"/>
              <w:right w:val="single" w:sz="8" w:space="0" w:color="000000"/>
            </w:tcBorders>
            <w:vAlign w:val="center"/>
            <w:hideMark/>
          </w:tcPr>
          <w:p w14:paraId="73A41549" w14:textId="77777777" w:rsidR="00044D5B" w:rsidRPr="00392E88" w:rsidRDefault="00044D5B">
            <w:pPr>
              <w:spacing w:before="0" w:after="0"/>
              <w:jc w:val="center"/>
              <w:rPr>
                <w:color w:val="000000"/>
                <w:sz w:val="14"/>
                <w:szCs w:val="14"/>
              </w:rPr>
            </w:pPr>
            <w:r w:rsidRPr="00392E88">
              <w:rPr>
                <w:color w:val="000000"/>
                <w:sz w:val="14"/>
              </w:rPr>
              <w:t>(2a)</w:t>
            </w:r>
          </w:p>
        </w:tc>
        <w:tc>
          <w:tcPr>
            <w:tcW w:w="441" w:type="pct"/>
            <w:tcBorders>
              <w:top w:val="nil"/>
              <w:left w:val="nil"/>
              <w:bottom w:val="single" w:sz="8" w:space="0" w:color="auto"/>
              <w:right w:val="single" w:sz="8" w:space="0" w:color="auto"/>
            </w:tcBorders>
            <w:vAlign w:val="center"/>
            <w:hideMark/>
          </w:tcPr>
          <w:p w14:paraId="78D199E3" w14:textId="77777777" w:rsidR="00044D5B" w:rsidRPr="00392E88" w:rsidRDefault="00044D5B">
            <w:pPr>
              <w:spacing w:before="0" w:after="0"/>
              <w:jc w:val="right"/>
              <w:rPr>
                <w:color w:val="000000"/>
                <w:sz w:val="20"/>
                <w:szCs w:val="20"/>
              </w:rPr>
            </w:pPr>
            <w:r w:rsidRPr="00392E88">
              <w:rPr>
                <w:color w:val="000000"/>
                <w:sz w:val="20"/>
              </w:rPr>
              <w:t xml:space="preserve"> </w:t>
            </w:r>
          </w:p>
        </w:tc>
        <w:tc>
          <w:tcPr>
            <w:tcW w:w="441" w:type="pct"/>
            <w:tcBorders>
              <w:top w:val="nil"/>
              <w:left w:val="nil"/>
              <w:bottom w:val="single" w:sz="8" w:space="0" w:color="auto"/>
              <w:right w:val="single" w:sz="8" w:space="0" w:color="auto"/>
            </w:tcBorders>
            <w:vAlign w:val="center"/>
            <w:hideMark/>
          </w:tcPr>
          <w:p w14:paraId="1C0989C9" w14:textId="77777777" w:rsidR="00044D5B" w:rsidRPr="00392E88" w:rsidRDefault="00044D5B">
            <w:pPr>
              <w:spacing w:before="0" w:after="0"/>
              <w:jc w:val="right"/>
              <w:rPr>
                <w:color w:val="000000"/>
                <w:sz w:val="20"/>
                <w:szCs w:val="20"/>
              </w:rPr>
            </w:pPr>
            <w:r w:rsidRPr="00392E88">
              <w:rPr>
                <w:color w:val="000000"/>
                <w:sz w:val="20"/>
              </w:rPr>
              <w:t xml:space="preserve"> </w:t>
            </w:r>
          </w:p>
        </w:tc>
        <w:tc>
          <w:tcPr>
            <w:tcW w:w="441" w:type="pct"/>
            <w:tcBorders>
              <w:top w:val="nil"/>
              <w:left w:val="nil"/>
              <w:bottom w:val="single" w:sz="8" w:space="0" w:color="auto"/>
              <w:right w:val="single" w:sz="8" w:space="0" w:color="auto"/>
            </w:tcBorders>
            <w:vAlign w:val="center"/>
            <w:hideMark/>
          </w:tcPr>
          <w:p w14:paraId="34F7A249" w14:textId="77777777" w:rsidR="00044D5B" w:rsidRPr="00392E88" w:rsidRDefault="00044D5B">
            <w:pPr>
              <w:spacing w:before="0" w:after="0"/>
              <w:jc w:val="right"/>
              <w:rPr>
                <w:color w:val="000000"/>
                <w:sz w:val="20"/>
                <w:szCs w:val="20"/>
              </w:rPr>
            </w:pPr>
            <w:r w:rsidRPr="00392E88">
              <w:rPr>
                <w:color w:val="000000"/>
                <w:sz w:val="20"/>
              </w:rPr>
              <w:t xml:space="preserve"> </w:t>
            </w:r>
          </w:p>
        </w:tc>
        <w:tc>
          <w:tcPr>
            <w:tcW w:w="441" w:type="pct"/>
            <w:tcBorders>
              <w:top w:val="nil"/>
              <w:left w:val="nil"/>
              <w:bottom w:val="single" w:sz="8" w:space="0" w:color="auto"/>
              <w:right w:val="single" w:sz="8" w:space="0" w:color="auto"/>
            </w:tcBorders>
            <w:vAlign w:val="center"/>
            <w:hideMark/>
          </w:tcPr>
          <w:p w14:paraId="1B19A230" w14:textId="77777777" w:rsidR="00044D5B" w:rsidRPr="00392E88" w:rsidRDefault="00044D5B">
            <w:pPr>
              <w:spacing w:before="0" w:after="0"/>
              <w:jc w:val="right"/>
              <w:rPr>
                <w:color w:val="000000"/>
                <w:sz w:val="20"/>
                <w:szCs w:val="20"/>
              </w:rPr>
            </w:pPr>
            <w:r w:rsidRPr="00392E88">
              <w:rPr>
                <w:color w:val="000000"/>
                <w:sz w:val="20"/>
              </w:rPr>
              <w:t xml:space="preserve"> </w:t>
            </w:r>
          </w:p>
        </w:tc>
        <w:tc>
          <w:tcPr>
            <w:tcW w:w="534" w:type="pct"/>
            <w:tcBorders>
              <w:top w:val="nil"/>
              <w:left w:val="nil"/>
              <w:bottom w:val="single" w:sz="8" w:space="0" w:color="auto"/>
              <w:right w:val="single" w:sz="8" w:space="0" w:color="auto"/>
            </w:tcBorders>
            <w:shd w:val="clear" w:color="000000" w:fill="D9D9D9"/>
            <w:vAlign w:val="center"/>
            <w:hideMark/>
          </w:tcPr>
          <w:p w14:paraId="416FD2D8" w14:textId="77777777" w:rsidR="00044D5B" w:rsidRPr="00392E88" w:rsidRDefault="00044D5B">
            <w:pPr>
              <w:spacing w:before="0" w:after="0"/>
              <w:jc w:val="right"/>
              <w:rPr>
                <w:b/>
                <w:bCs/>
                <w:color w:val="000000"/>
                <w:sz w:val="20"/>
                <w:szCs w:val="20"/>
              </w:rPr>
            </w:pPr>
            <w:r w:rsidRPr="00392E88">
              <w:rPr>
                <w:b/>
                <w:color w:val="000000"/>
                <w:sz w:val="20"/>
              </w:rPr>
              <w:t>0,000</w:t>
            </w:r>
          </w:p>
        </w:tc>
      </w:tr>
      <w:tr w:rsidR="00E62D64" w:rsidRPr="00392E88" w14:paraId="6D0ADF5E" w14:textId="77777777">
        <w:trPr>
          <w:trHeight w:val="300"/>
        </w:trPr>
        <w:tc>
          <w:tcPr>
            <w:tcW w:w="1522" w:type="pct"/>
            <w:vMerge w:val="restart"/>
            <w:tcBorders>
              <w:top w:val="nil"/>
              <w:left w:val="single" w:sz="8" w:space="0" w:color="auto"/>
              <w:bottom w:val="single" w:sz="8" w:space="0" w:color="000000"/>
              <w:right w:val="single" w:sz="8" w:space="0" w:color="auto"/>
            </w:tcBorders>
            <w:vAlign w:val="center"/>
            <w:hideMark/>
          </w:tcPr>
          <w:p w14:paraId="4E443B84" w14:textId="77777777" w:rsidR="00044D5B" w:rsidRPr="00392E88" w:rsidRDefault="00044D5B">
            <w:pPr>
              <w:spacing w:before="0" w:after="0"/>
              <w:rPr>
                <w:color w:val="000000"/>
                <w:sz w:val="20"/>
                <w:szCs w:val="20"/>
              </w:rPr>
            </w:pPr>
            <w:r w:rsidRPr="00392E88">
              <w:rPr>
                <w:color w:val="000000"/>
                <w:sz w:val="20"/>
              </w:rPr>
              <w:t>Linia budżetowa</w:t>
            </w:r>
          </w:p>
        </w:tc>
        <w:tc>
          <w:tcPr>
            <w:tcW w:w="492" w:type="pct"/>
            <w:tcBorders>
              <w:top w:val="nil"/>
              <w:left w:val="nil"/>
              <w:bottom w:val="single" w:sz="8" w:space="0" w:color="auto"/>
              <w:right w:val="single" w:sz="8" w:space="0" w:color="auto"/>
            </w:tcBorders>
            <w:vAlign w:val="center"/>
            <w:hideMark/>
          </w:tcPr>
          <w:p w14:paraId="2AAC1C2F" w14:textId="77777777" w:rsidR="00044D5B" w:rsidRPr="00392E88" w:rsidRDefault="00044D5B">
            <w:pPr>
              <w:spacing w:before="0" w:after="0"/>
              <w:rPr>
                <w:color w:val="000000"/>
                <w:sz w:val="18"/>
                <w:szCs w:val="18"/>
              </w:rPr>
            </w:pPr>
            <w:r w:rsidRPr="00392E88">
              <w:rPr>
                <w:color w:val="000000"/>
                <w:sz w:val="18"/>
              </w:rPr>
              <w:t>Środki na zobowiązania</w:t>
            </w:r>
          </w:p>
        </w:tc>
        <w:tc>
          <w:tcPr>
            <w:tcW w:w="688" w:type="pct"/>
            <w:tcBorders>
              <w:top w:val="single" w:sz="8" w:space="0" w:color="auto"/>
              <w:left w:val="nil"/>
              <w:bottom w:val="single" w:sz="8" w:space="0" w:color="auto"/>
              <w:right w:val="single" w:sz="8" w:space="0" w:color="000000"/>
            </w:tcBorders>
            <w:vAlign w:val="center"/>
            <w:hideMark/>
          </w:tcPr>
          <w:p w14:paraId="27C1F9C3" w14:textId="77777777" w:rsidR="00044D5B" w:rsidRPr="00392E88" w:rsidRDefault="00044D5B">
            <w:pPr>
              <w:spacing w:before="0" w:after="0"/>
              <w:jc w:val="center"/>
              <w:rPr>
                <w:color w:val="000000"/>
                <w:sz w:val="14"/>
                <w:szCs w:val="14"/>
              </w:rPr>
            </w:pPr>
            <w:r w:rsidRPr="00392E88">
              <w:rPr>
                <w:color w:val="000000"/>
                <w:sz w:val="14"/>
              </w:rPr>
              <w:t>(1b)</w:t>
            </w:r>
          </w:p>
        </w:tc>
        <w:tc>
          <w:tcPr>
            <w:tcW w:w="441" w:type="pct"/>
            <w:tcBorders>
              <w:top w:val="nil"/>
              <w:left w:val="nil"/>
              <w:bottom w:val="single" w:sz="8" w:space="0" w:color="auto"/>
              <w:right w:val="single" w:sz="8" w:space="0" w:color="auto"/>
            </w:tcBorders>
            <w:vAlign w:val="center"/>
            <w:hideMark/>
          </w:tcPr>
          <w:p w14:paraId="57977AA4" w14:textId="77777777" w:rsidR="00044D5B" w:rsidRPr="00392E88" w:rsidRDefault="00044D5B">
            <w:pPr>
              <w:spacing w:before="0" w:after="0"/>
              <w:jc w:val="right"/>
              <w:rPr>
                <w:color w:val="000000"/>
                <w:sz w:val="20"/>
                <w:szCs w:val="20"/>
              </w:rPr>
            </w:pPr>
            <w:r w:rsidRPr="00392E88">
              <w:rPr>
                <w:color w:val="000000"/>
                <w:sz w:val="20"/>
              </w:rPr>
              <w:t xml:space="preserve"> </w:t>
            </w:r>
          </w:p>
        </w:tc>
        <w:tc>
          <w:tcPr>
            <w:tcW w:w="441" w:type="pct"/>
            <w:tcBorders>
              <w:top w:val="nil"/>
              <w:left w:val="nil"/>
              <w:bottom w:val="single" w:sz="8" w:space="0" w:color="auto"/>
              <w:right w:val="single" w:sz="8" w:space="0" w:color="auto"/>
            </w:tcBorders>
            <w:vAlign w:val="center"/>
            <w:hideMark/>
          </w:tcPr>
          <w:p w14:paraId="6948C662" w14:textId="77777777" w:rsidR="00044D5B" w:rsidRPr="00392E88" w:rsidRDefault="00044D5B">
            <w:pPr>
              <w:spacing w:before="0" w:after="0"/>
              <w:jc w:val="right"/>
              <w:rPr>
                <w:color w:val="000000"/>
                <w:sz w:val="20"/>
                <w:szCs w:val="20"/>
              </w:rPr>
            </w:pPr>
            <w:r w:rsidRPr="00392E88">
              <w:rPr>
                <w:color w:val="000000"/>
                <w:sz w:val="20"/>
              </w:rPr>
              <w:t xml:space="preserve"> </w:t>
            </w:r>
          </w:p>
        </w:tc>
        <w:tc>
          <w:tcPr>
            <w:tcW w:w="441" w:type="pct"/>
            <w:tcBorders>
              <w:top w:val="nil"/>
              <w:left w:val="nil"/>
              <w:bottom w:val="single" w:sz="8" w:space="0" w:color="auto"/>
              <w:right w:val="single" w:sz="8" w:space="0" w:color="auto"/>
            </w:tcBorders>
            <w:vAlign w:val="center"/>
            <w:hideMark/>
          </w:tcPr>
          <w:p w14:paraId="27EF9184" w14:textId="77777777" w:rsidR="00044D5B" w:rsidRPr="00392E88" w:rsidRDefault="00044D5B">
            <w:pPr>
              <w:spacing w:before="0" w:after="0"/>
              <w:jc w:val="right"/>
              <w:rPr>
                <w:color w:val="000000"/>
                <w:sz w:val="20"/>
                <w:szCs w:val="20"/>
              </w:rPr>
            </w:pPr>
            <w:r w:rsidRPr="00392E88">
              <w:rPr>
                <w:color w:val="000000"/>
                <w:sz w:val="20"/>
              </w:rPr>
              <w:t xml:space="preserve"> </w:t>
            </w:r>
          </w:p>
        </w:tc>
        <w:tc>
          <w:tcPr>
            <w:tcW w:w="441" w:type="pct"/>
            <w:tcBorders>
              <w:top w:val="nil"/>
              <w:left w:val="nil"/>
              <w:bottom w:val="single" w:sz="8" w:space="0" w:color="auto"/>
              <w:right w:val="single" w:sz="8" w:space="0" w:color="auto"/>
            </w:tcBorders>
            <w:vAlign w:val="center"/>
            <w:hideMark/>
          </w:tcPr>
          <w:p w14:paraId="2CAE4EB8" w14:textId="77777777" w:rsidR="00044D5B" w:rsidRPr="00392E88" w:rsidRDefault="00044D5B">
            <w:pPr>
              <w:spacing w:before="0" w:after="0"/>
              <w:jc w:val="right"/>
              <w:rPr>
                <w:color w:val="000000"/>
                <w:sz w:val="20"/>
                <w:szCs w:val="20"/>
              </w:rPr>
            </w:pPr>
            <w:r w:rsidRPr="00392E88">
              <w:rPr>
                <w:color w:val="000000"/>
                <w:sz w:val="20"/>
              </w:rPr>
              <w:t xml:space="preserve"> </w:t>
            </w:r>
          </w:p>
        </w:tc>
        <w:tc>
          <w:tcPr>
            <w:tcW w:w="534" w:type="pct"/>
            <w:tcBorders>
              <w:top w:val="nil"/>
              <w:left w:val="nil"/>
              <w:bottom w:val="single" w:sz="8" w:space="0" w:color="auto"/>
              <w:right w:val="single" w:sz="8" w:space="0" w:color="auto"/>
            </w:tcBorders>
            <w:shd w:val="clear" w:color="000000" w:fill="D9D9D9"/>
            <w:vAlign w:val="center"/>
            <w:hideMark/>
          </w:tcPr>
          <w:p w14:paraId="360EB38C" w14:textId="77777777" w:rsidR="00044D5B" w:rsidRPr="00392E88" w:rsidRDefault="00044D5B">
            <w:pPr>
              <w:spacing w:before="0" w:after="0"/>
              <w:jc w:val="right"/>
              <w:rPr>
                <w:b/>
                <w:bCs/>
                <w:color w:val="000000"/>
                <w:sz w:val="20"/>
                <w:szCs w:val="20"/>
              </w:rPr>
            </w:pPr>
            <w:r w:rsidRPr="00392E88">
              <w:rPr>
                <w:b/>
                <w:color w:val="000000"/>
                <w:sz w:val="20"/>
              </w:rPr>
              <w:t>0,000</w:t>
            </w:r>
          </w:p>
        </w:tc>
      </w:tr>
      <w:tr w:rsidR="00E62D64" w:rsidRPr="00392E88" w14:paraId="1803A301" w14:textId="77777777">
        <w:trPr>
          <w:trHeight w:val="300"/>
        </w:trPr>
        <w:tc>
          <w:tcPr>
            <w:tcW w:w="1522" w:type="pct"/>
            <w:vMerge/>
            <w:tcBorders>
              <w:top w:val="nil"/>
              <w:left w:val="single" w:sz="8" w:space="0" w:color="auto"/>
              <w:bottom w:val="single" w:sz="8" w:space="0" w:color="000000"/>
              <w:right w:val="single" w:sz="8" w:space="0" w:color="auto"/>
            </w:tcBorders>
            <w:vAlign w:val="center"/>
            <w:hideMark/>
          </w:tcPr>
          <w:p w14:paraId="55280D5C" w14:textId="77777777" w:rsidR="00044D5B" w:rsidRPr="00392E88" w:rsidRDefault="00044D5B">
            <w:pPr>
              <w:spacing w:before="0" w:after="0"/>
              <w:jc w:val="left"/>
              <w:rPr>
                <w:color w:val="000000"/>
                <w:sz w:val="20"/>
                <w:szCs w:val="20"/>
                <w:lang w:eastAsia="en-IE"/>
              </w:rPr>
            </w:pPr>
          </w:p>
        </w:tc>
        <w:tc>
          <w:tcPr>
            <w:tcW w:w="492" w:type="pct"/>
            <w:tcBorders>
              <w:top w:val="nil"/>
              <w:left w:val="nil"/>
              <w:bottom w:val="single" w:sz="8" w:space="0" w:color="auto"/>
              <w:right w:val="single" w:sz="8" w:space="0" w:color="auto"/>
            </w:tcBorders>
            <w:vAlign w:val="center"/>
            <w:hideMark/>
          </w:tcPr>
          <w:p w14:paraId="7C957821" w14:textId="77777777" w:rsidR="00044D5B" w:rsidRPr="00392E88" w:rsidRDefault="00044D5B">
            <w:pPr>
              <w:spacing w:before="0" w:after="0"/>
              <w:rPr>
                <w:color w:val="000000"/>
                <w:sz w:val="18"/>
                <w:szCs w:val="18"/>
              </w:rPr>
            </w:pPr>
            <w:r w:rsidRPr="00392E88">
              <w:rPr>
                <w:color w:val="000000"/>
                <w:sz w:val="18"/>
              </w:rPr>
              <w:t>Środki na płatności</w:t>
            </w:r>
          </w:p>
        </w:tc>
        <w:tc>
          <w:tcPr>
            <w:tcW w:w="688" w:type="pct"/>
            <w:tcBorders>
              <w:top w:val="single" w:sz="8" w:space="0" w:color="auto"/>
              <w:left w:val="nil"/>
              <w:bottom w:val="single" w:sz="8" w:space="0" w:color="auto"/>
              <w:right w:val="single" w:sz="8" w:space="0" w:color="000000"/>
            </w:tcBorders>
            <w:vAlign w:val="center"/>
            <w:hideMark/>
          </w:tcPr>
          <w:p w14:paraId="0D2E97E8" w14:textId="77777777" w:rsidR="00044D5B" w:rsidRPr="00392E88" w:rsidRDefault="00044D5B">
            <w:pPr>
              <w:spacing w:before="0" w:after="0"/>
              <w:jc w:val="center"/>
              <w:rPr>
                <w:color w:val="000000"/>
                <w:sz w:val="14"/>
                <w:szCs w:val="14"/>
              </w:rPr>
            </w:pPr>
            <w:r w:rsidRPr="00392E88">
              <w:rPr>
                <w:color w:val="000000"/>
                <w:sz w:val="14"/>
              </w:rPr>
              <w:t>(2b)</w:t>
            </w:r>
          </w:p>
        </w:tc>
        <w:tc>
          <w:tcPr>
            <w:tcW w:w="441" w:type="pct"/>
            <w:tcBorders>
              <w:top w:val="nil"/>
              <w:left w:val="nil"/>
              <w:bottom w:val="single" w:sz="8" w:space="0" w:color="auto"/>
              <w:right w:val="single" w:sz="8" w:space="0" w:color="auto"/>
            </w:tcBorders>
            <w:vAlign w:val="center"/>
            <w:hideMark/>
          </w:tcPr>
          <w:p w14:paraId="4F8653F5" w14:textId="77777777" w:rsidR="00044D5B" w:rsidRPr="00392E88" w:rsidRDefault="00044D5B">
            <w:pPr>
              <w:spacing w:before="0" w:after="0"/>
              <w:jc w:val="right"/>
              <w:rPr>
                <w:color w:val="000000"/>
                <w:sz w:val="20"/>
                <w:szCs w:val="20"/>
              </w:rPr>
            </w:pPr>
            <w:r w:rsidRPr="00392E88">
              <w:rPr>
                <w:color w:val="000000"/>
                <w:sz w:val="20"/>
              </w:rPr>
              <w:t xml:space="preserve"> </w:t>
            </w:r>
          </w:p>
        </w:tc>
        <w:tc>
          <w:tcPr>
            <w:tcW w:w="441" w:type="pct"/>
            <w:tcBorders>
              <w:top w:val="nil"/>
              <w:left w:val="nil"/>
              <w:bottom w:val="single" w:sz="8" w:space="0" w:color="auto"/>
              <w:right w:val="single" w:sz="8" w:space="0" w:color="auto"/>
            </w:tcBorders>
            <w:vAlign w:val="center"/>
            <w:hideMark/>
          </w:tcPr>
          <w:p w14:paraId="6F4FAC14" w14:textId="77777777" w:rsidR="00044D5B" w:rsidRPr="00392E88" w:rsidRDefault="00044D5B">
            <w:pPr>
              <w:spacing w:before="0" w:after="0"/>
              <w:jc w:val="right"/>
              <w:rPr>
                <w:color w:val="000000"/>
                <w:sz w:val="20"/>
                <w:szCs w:val="20"/>
              </w:rPr>
            </w:pPr>
            <w:r w:rsidRPr="00392E88">
              <w:rPr>
                <w:color w:val="000000"/>
                <w:sz w:val="20"/>
              </w:rPr>
              <w:t xml:space="preserve"> </w:t>
            </w:r>
          </w:p>
        </w:tc>
        <w:tc>
          <w:tcPr>
            <w:tcW w:w="441" w:type="pct"/>
            <w:tcBorders>
              <w:top w:val="nil"/>
              <w:left w:val="nil"/>
              <w:bottom w:val="single" w:sz="8" w:space="0" w:color="auto"/>
              <w:right w:val="single" w:sz="8" w:space="0" w:color="auto"/>
            </w:tcBorders>
            <w:vAlign w:val="center"/>
            <w:hideMark/>
          </w:tcPr>
          <w:p w14:paraId="5E895F71" w14:textId="77777777" w:rsidR="00044D5B" w:rsidRPr="00392E88" w:rsidRDefault="00044D5B">
            <w:pPr>
              <w:spacing w:before="0" w:after="0"/>
              <w:jc w:val="right"/>
              <w:rPr>
                <w:color w:val="000000"/>
                <w:sz w:val="20"/>
                <w:szCs w:val="20"/>
              </w:rPr>
            </w:pPr>
            <w:r w:rsidRPr="00392E88">
              <w:rPr>
                <w:color w:val="000000"/>
                <w:sz w:val="20"/>
              </w:rPr>
              <w:t xml:space="preserve"> </w:t>
            </w:r>
          </w:p>
        </w:tc>
        <w:tc>
          <w:tcPr>
            <w:tcW w:w="441" w:type="pct"/>
            <w:tcBorders>
              <w:top w:val="nil"/>
              <w:left w:val="nil"/>
              <w:bottom w:val="single" w:sz="8" w:space="0" w:color="auto"/>
              <w:right w:val="single" w:sz="8" w:space="0" w:color="auto"/>
            </w:tcBorders>
            <w:vAlign w:val="center"/>
            <w:hideMark/>
          </w:tcPr>
          <w:p w14:paraId="571F6CB5" w14:textId="77777777" w:rsidR="00044D5B" w:rsidRPr="00392E88" w:rsidRDefault="00044D5B">
            <w:pPr>
              <w:spacing w:before="0" w:after="0"/>
              <w:jc w:val="right"/>
              <w:rPr>
                <w:color w:val="000000"/>
                <w:sz w:val="20"/>
                <w:szCs w:val="20"/>
              </w:rPr>
            </w:pPr>
            <w:r w:rsidRPr="00392E88">
              <w:rPr>
                <w:color w:val="000000"/>
                <w:sz w:val="20"/>
              </w:rPr>
              <w:t xml:space="preserve"> </w:t>
            </w:r>
          </w:p>
        </w:tc>
        <w:tc>
          <w:tcPr>
            <w:tcW w:w="534" w:type="pct"/>
            <w:tcBorders>
              <w:top w:val="nil"/>
              <w:left w:val="nil"/>
              <w:bottom w:val="single" w:sz="8" w:space="0" w:color="auto"/>
              <w:right w:val="single" w:sz="8" w:space="0" w:color="auto"/>
            </w:tcBorders>
            <w:shd w:val="clear" w:color="000000" w:fill="D9D9D9"/>
            <w:vAlign w:val="center"/>
            <w:hideMark/>
          </w:tcPr>
          <w:p w14:paraId="6B9A42DA" w14:textId="77777777" w:rsidR="00044D5B" w:rsidRPr="00392E88" w:rsidRDefault="00044D5B">
            <w:pPr>
              <w:spacing w:before="0" w:after="0"/>
              <w:jc w:val="right"/>
              <w:rPr>
                <w:b/>
                <w:bCs/>
                <w:color w:val="000000"/>
                <w:sz w:val="20"/>
                <w:szCs w:val="20"/>
              </w:rPr>
            </w:pPr>
            <w:r w:rsidRPr="00392E88">
              <w:rPr>
                <w:b/>
                <w:color w:val="000000"/>
                <w:sz w:val="20"/>
              </w:rPr>
              <w:t>0,000</w:t>
            </w:r>
          </w:p>
        </w:tc>
      </w:tr>
      <w:tr w:rsidR="00404DD3" w:rsidRPr="00392E88" w14:paraId="7E1D5B53" w14:textId="77777777">
        <w:trPr>
          <w:trHeight w:val="300"/>
        </w:trPr>
        <w:tc>
          <w:tcPr>
            <w:tcW w:w="5000" w:type="pct"/>
            <w:gridSpan w:val="8"/>
            <w:tcBorders>
              <w:top w:val="single" w:sz="8" w:space="0" w:color="auto"/>
              <w:left w:val="single" w:sz="8" w:space="0" w:color="auto"/>
              <w:bottom w:val="single" w:sz="8" w:space="0" w:color="auto"/>
              <w:right w:val="nil"/>
            </w:tcBorders>
            <w:noWrap/>
            <w:vAlign w:val="bottom"/>
            <w:hideMark/>
          </w:tcPr>
          <w:p w14:paraId="5E910FF0" w14:textId="77777777" w:rsidR="00044D5B" w:rsidRPr="00392E88" w:rsidRDefault="00044D5B">
            <w:pPr>
              <w:spacing w:before="0" w:after="0"/>
              <w:jc w:val="left"/>
              <w:rPr>
                <w:color w:val="000000"/>
                <w:sz w:val="22"/>
              </w:rPr>
            </w:pPr>
            <w:r w:rsidRPr="00392E88">
              <w:rPr>
                <w:color w:val="000000"/>
                <w:sz w:val="22"/>
              </w:rPr>
              <w:t>Środki administracyjne finansowane ze środków przydzielonych na określone programy</w:t>
            </w:r>
            <w:r w:rsidRPr="00392E88">
              <w:t xml:space="preserve"> </w:t>
            </w:r>
          </w:p>
        </w:tc>
      </w:tr>
      <w:tr w:rsidR="00E62D64" w:rsidRPr="00392E88" w14:paraId="7E6EC8DE" w14:textId="77777777">
        <w:trPr>
          <w:trHeight w:val="300"/>
        </w:trPr>
        <w:tc>
          <w:tcPr>
            <w:tcW w:w="1522" w:type="pct"/>
            <w:tcBorders>
              <w:top w:val="nil"/>
              <w:left w:val="single" w:sz="8" w:space="0" w:color="auto"/>
              <w:bottom w:val="single" w:sz="8" w:space="0" w:color="auto"/>
              <w:right w:val="single" w:sz="8" w:space="0" w:color="auto"/>
            </w:tcBorders>
            <w:vAlign w:val="center"/>
            <w:hideMark/>
          </w:tcPr>
          <w:p w14:paraId="474589FF" w14:textId="77777777" w:rsidR="00044D5B" w:rsidRPr="00392E88" w:rsidRDefault="00044D5B">
            <w:pPr>
              <w:spacing w:before="0" w:after="0"/>
              <w:rPr>
                <w:color w:val="000000"/>
                <w:sz w:val="20"/>
                <w:szCs w:val="20"/>
              </w:rPr>
            </w:pPr>
            <w:r w:rsidRPr="00392E88">
              <w:rPr>
                <w:color w:val="000000"/>
                <w:sz w:val="20"/>
              </w:rPr>
              <w:t>Linia budżetowa</w:t>
            </w:r>
          </w:p>
        </w:tc>
        <w:tc>
          <w:tcPr>
            <w:tcW w:w="492" w:type="pct"/>
            <w:tcBorders>
              <w:top w:val="nil"/>
              <w:left w:val="nil"/>
              <w:bottom w:val="single" w:sz="8" w:space="0" w:color="auto"/>
              <w:right w:val="single" w:sz="8" w:space="0" w:color="auto"/>
            </w:tcBorders>
            <w:vAlign w:val="center"/>
            <w:hideMark/>
          </w:tcPr>
          <w:p w14:paraId="51CBC571" w14:textId="77777777" w:rsidR="00044D5B" w:rsidRPr="00392E88" w:rsidRDefault="00044D5B">
            <w:pPr>
              <w:spacing w:before="0" w:after="0"/>
              <w:jc w:val="right"/>
              <w:rPr>
                <w:color w:val="000000"/>
                <w:sz w:val="18"/>
                <w:szCs w:val="18"/>
              </w:rPr>
            </w:pPr>
            <w:r w:rsidRPr="00392E88">
              <w:rPr>
                <w:color w:val="000000"/>
                <w:sz w:val="18"/>
              </w:rPr>
              <w:t xml:space="preserve"> </w:t>
            </w:r>
          </w:p>
        </w:tc>
        <w:tc>
          <w:tcPr>
            <w:tcW w:w="688" w:type="pct"/>
            <w:tcBorders>
              <w:top w:val="nil"/>
              <w:left w:val="nil"/>
              <w:bottom w:val="single" w:sz="8" w:space="0" w:color="auto"/>
              <w:right w:val="single" w:sz="8" w:space="0" w:color="000000"/>
            </w:tcBorders>
            <w:vAlign w:val="center"/>
            <w:hideMark/>
          </w:tcPr>
          <w:p w14:paraId="116256AC" w14:textId="77777777" w:rsidR="00044D5B" w:rsidRPr="00392E88" w:rsidRDefault="00044D5B">
            <w:pPr>
              <w:spacing w:before="0" w:after="0"/>
              <w:jc w:val="center"/>
              <w:rPr>
                <w:color w:val="000000"/>
                <w:sz w:val="14"/>
                <w:szCs w:val="14"/>
              </w:rPr>
            </w:pPr>
            <w:r w:rsidRPr="00392E88">
              <w:rPr>
                <w:color w:val="000000"/>
                <w:sz w:val="14"/>
              </w:rPr>
              <w:t>(3)</w:t>
            </w:r>
          </w:p>
        </w:tc>
        <w:tc>
          <w:tcPr>
            <w:tcW w:w="441" w:type="pct"/>
            <w:tcBorders>
              <w:top w:val="nil"/>
              <w:left w:val="nil"/>
              <w:bottom w:val="single" w:sz="8" w:space="0" w:color="auto"/>
              <w:right w:val="single" w:sz="8" w:space="0" w:color="auto"/>
            </w:tcBorders>
            <w:vAlign w:val="center"/>
            <w:hideMark/>
          </w:tcPr>
          <w:p w14:paraId="04A3B711" w14:textId="77777777" w:rsidR="00044D5B" w:rsidRPr="00392E88" w:rsidRDefault="00044D5B">
            <w:pPr>
              <w:spacing w:before="0" w:after="0"/>
              <w:jc w:val="right"/>
              <w:rPr>
                <w:b/>
                <w:bCs/>
                <w:color w:val="000000"/>
                <w:sz w:val="20"/>
                <w:szCs w:val="20"/>
              </w:rPr>
            </w:pPr>
            <w:r w:rsidRPr="00392E88">
              <w:rPr>
                <w:b/>
                <w:color w:val="000000"/>
                <w:sz w:val="20"/>
              </w:rPr>
              <w:t xml:space="preserve"> </w:t>
            </w:r>
          </w:p>
        </w:tc>
        <w:tc>
          <w:tcPr>
            <w:tcW w:w="441" w:type="pct"/>
            <w:tcBorders>
              <w:top w:val="nil"/>
              <w:left w:val="nil"/>
              <w:bottom w:val="single" w:sz="8" w:space="0" w:color="auto"/>
              <w:right w:val="single" w:sz="8" w:space="0" w:color="auto"/>
            </w:tcBorders>
            <w:vAlign w:val="center"/>
            <w:hideMark/>
          </w:tcPr>
          <w:p w14:paraId="17B2AB98" w14:textId="77777777" w:rsidR="00044D5B" w:rsidRPr="00392E88" w:rsidRDefault="00044D5B">
            <w:pPr>
              <w:spacing w:before="0" w:after="0"/>
              <w:jc w:val="right"/>
              <w:rPr>
                <w:b/>
                <w:bCs/>
                <w:color w:val="000000"/>
                <w:sz w:val="20"/>
                <w:szCs w:val="20"/>
              </w:rPr>
            </w:pPr>
            <w:r w:rsidRPr="00392E88">
              <w:rPr>
                <w:b/>
                <w:color w:val="000000"/>
                <w:sz w:val="20"/>
              </w:rPr>
              <w:t xml:space="preserve"> </w:t>
            </w:r>
          </w:p>
        </w:tc>
        <w:tc>
          <w:tcPr>
            <w:tcW w:w="441" w:type="pct"/>
            <w:tcBorders>
              <w:top w:val="nil"/>
              <w:left w:val="nil"/>
              <w:bottom w:val="single" w:sz="8" w:space="0" w:color="auto"/>
              <w:right w:val="single" w:sz="8" w:space="0" w:color="auto"/>
            </w:tcBorders>
            <w:vAlign w:val="center"/>
            <w:hideMark/>
          </w:tcPr>
          <w:p w14:paraId="3C6DA456" w14:textId="77777777" w:rsidR="00044D5B" w:rsidRPr="00392E88" w:rsidRDefault="00044D5B">
            <w:pPr>
              <w:spacing w:before="0" w:after="0"/>
              <w:jc w:val="right"/>
              <w:rPr>
                <w:b/>
                <w:bCs/>
                <w:color w:val="000000"/>
                <w:sz w:val="20"/>
                <w:szCs w:val="20"/>
              </w:rPr>
            </w:pPr>
            <w:r w:rsidRPr="00392E88">
              <w:rPr>
                <w:b/>
                <w:color w:val="000000"/>
                <w:sz w:val="20"/>
              </w:rPr>
              <w:t xml:space="preserve"> </w:t>
            </w:r>
          </w:p>
        </w:tc>
        <w:tc>
          <w:tcPr>
            <w:tcW w:w="441" w:type="pct"/>
            <w:tcBorders>
              <w:top w:val="nil"/>
              <w:left w:val="nil"/>
              <w:bottom w:val="single" w:sz="8" w:space="0" w:color="auto"/>
              <w:right w:val="single" w:sz="8" w:space="0" w:color="auto"/>
            </w:tcBorders>
            <w:vAlign w:val="center"/>
            <w:hideMark/>
          </w:tcPr>
          <w:p w14:paraId="554640F8" w14:textId="77777777" w:rsidR="00044D5B" w:rsidRPr="00392E88" w:rsidRDefault="00044D5B">
            <w:pPr>
              <w:spacing w:before="0" w:after="0"/>
              <w:jc w:val="right"/>
              <w:rPr>
                <w:b/>
                <w:bCs/>
                <w:color w:val="000000"/>
                <w:sz w:val="20"/>
                <w:szCs w:val="20"/>
              </w:rPr>
            </w:pPr>
            <w:r w:rsidRPr="00392E88">
              <w:rPr>
                <w:b/>
                <w:color w:val="000000"/>
                <w:sz w:val="20"/>
              </w:rPr>
              <w:t xml:space="preserve"> </w:t>
            </w:r>
          </w:p>
        </w:tc>
        <w:tc>
          <w:tcPr>
            <w:tcW w:w="534" w:type="pct"/>
            <w:tcBorders>
              <w:top w:val="nil"/>
              <w:left w:val="nil"/>
              <w:bottom w:val="single" w:sz="8" w:space="0" w:color="auto"/>
              <w:right w:val="single" w:sz="8" w:space="0" w:color="auto"/>
            </w:tcBorders>
            <w:shd w:val="clear" w:color="000000" w:fill="D9D9D9"/>
            <w:vAlign w:val="center"/>
            <w:hideMark/>
          </w:tcPr>
          <w:p w14:paraId="0337601C" w14:textId="77777777" w:rsidR="00044D5B" w:rsidRPr="00392E88" w:rsidRDefault="00044D5B">
            <w:pPr>
              <w:spacing w:before="0" w:after="0"/>
              <w:jc w:val="right"/>
              <w:rPr>
                <w:b/>
                <w:bCs/>
                <w:color w:val="000000"/>
                <w:sz w:val="20"/>
                <w:szCs w:val="20"/>
              </w:rPr>
            </w:pPr>
            <w:r w:rsidRPr="00392E88">
              <w:rPr>
                <w:b/>
                <w:color w:val="000000"/>
                <w:sz w:val="20"/>
              </w:rPr>
              <w:t>0,000</w:t>
            </w:r>
          </w:p>
        </w:tc>
      </w:tr>
      <w:tr w:rsidR="00983E98" w:rsidRPr="00392E88" w14:paraId="64FDDEB8" w14:textId="77777777">
        <w:trPr>
          <w:trHeight w:val="300"/>
        </w:trPr>
        <w:tc>
          <w:tcPr>
            <w:tcW w:w="1522" w:type="pct"/>
            <w:tcBorders>
              <w:top w:val="nil"/>
              <w:left w:val="single" w:sz="8" w:space="0" w:color="auto"/>
              <w:bottom w:val="nil"/>
              <w:right w:val="single" w:sz="8" w:space="0" w:color="auto"/>
            </w:tcBorders>
            <w:vAlign w:val="center"/>
            <w:hideMark/>
          </w:tcPr>
          <w:p w14:paraId="7B1CDD6A" w14:textId="77777777" w:rsidR="00044D5B" w:rsidRPr="00392E88" w:rsidRDefault="00044D5B">
            <w:pPr>
              <w:spacing w:before="0" w:after="0"/>
              <w:jc w:val="center"/>
              <w:rPr>
                <w:b/>
                <w:bCs/>
                <w:color w:val="000000"/>
                <w:sz w:val="22"/>
              </w:rPr>
            </w:pPr>
            <w:r w:rsidRPr="00392E88">
              <w:rPr>
                <w:b/>
                <w:color w:val="000000"/>
                <w:sz w:val="22"/>
              </w:rPr>
              <w:t>OGÓŁEM środki</w:t>
            </w:r>
          </w:p>
        </w:tc>
        <w:tc>
          <w:tcPr>
            <w:tcW w:w="492" w:type="pct"/>
            <w:tcBorders>
              <w:top w:val="nil"/>
              <w:left w:val="nil"/>
              <w:bottom w:val="single" w:sz="8" w:space="0" w:color="auto"/>
              <w:right w:val="single" w:sz="8" w:space="0" w:color="auto"/>
            </w:tcBorders>
            <w:vAlign w:val="center"/>
            <w:hideMark/>
          </w:tcPr>
          <w:p w14:paraId="1D672A84" w14:textId="77777777" w:rsidR="00044D5B" w:rsidRPr="00392E88" w:rsidRDefault="00044D5B">
            <w:pPr>
              <w:spacing w:before="0" w:after="0"/>
              <w:rPr>
                <w:color w:val="000000"/>
                <w:sz w:val="18"/>
                <w:szCs w:val="18"/>
              </w:rPr>
            </w:pPr>
            <w:r w:rsidRPr="00392E88">
              <w:rPr>
                <w:color w:val="000000"/>
                <w:sz w:val="18"/>
              </w:rPr>
              <w:t>Środki na zobowiązania</w:t>
            </w:r>
          </w:p>
        </w:tc>
        <w:tc>
          <w:tcPr>
            <w:tcW w:w="688" w:type="pct"/>
            <w:tcBorders>
              <w:top w:val="single" w:sz="8" w:space="0" w:color="auto"/>
              <w:left w:val="nil"/>
              <w:bottom w:val="single" w:sz="8" w:space="0" w:color="auto"/>
              <w:right w:val="single" w:sz="8" w:space="0" w:color="000000"/>
            </w:tcBorders>
            <w:vAlign w:val="center"/>
            <w:hideMark/>
          </w:tcPr>
          <w:p w14:paraId="19D6B8F0" w14:textId="77777777" w:rsidR="00044D5B" w:rsidRPr="00392E88" w:rsidRDefault="00044D5B">
            <w:pPr>
              <w:spacing w:before="0" w:after="0"/>
              <w:jc w:val="center"/>
              <w:rPr>
                <w:color w:val="000000"/>
                <w:sz w:val="14"/>
                <w:szCs w:val="14"/>
              </w:rPr>
            </w:pPr>
            <w:r w:rsidRPr="00392E88">
              <w:rPr>
                <w:color w:val="000000"/>
                <w:sz w:val="14"/>
              </w:rPr>
              <w:t>=1a+1b +3</w:t>
            </w:r>
          </w:p>
        </w:tc>
        <w:tc>
          <w:tcPr>
            <w:tcW w:w="441" w:type="pct"/>
            <w:tcBorders>
              <w:top w:val="nil"/>
              <w:left w:val="nil"/>
              <w:bottom w:val="single" w:sz="8" w:space="0" w:color="auto"/>
              <w:right w:val="single" w:sz="8" w:space="0" w:color="auto"/>
            </w:tcBorders>
            <w:shd w:val="clear" w:color="000000" w:fill="D9D9D9"/>
            <w:vAlign w:val="center"/>
            <w:hideMark/>
          </w:tcPr>
          <w:p w14:paraId="5D817E64" w14:textId="77777777" w:rsidR="00044D5B" w:rsidRPr="00392E88" w:rsidRDefault="00044D5B">
            <w:pPr>
              <w:spacing w:before="0" w:after="0"/>
              <w:jc w:val="right"/>
              <w:rPr>
                <w:b/>
                <w:bCs/>
                <w:color w:val="000000"/>
                <w:sz w:val="20"/>
                <w:szCs w:val="20"/>
              </w:rPr>
            </w:pPr>
            <w:r w:rsidRPr="00392E88">
              <w:rPr>
                <w:b/>
                <w:color w:val="000000"/>
                <w:sz w:val="20"/>
              </w:rPr>
              <w:t>0,000</w:t>
            </w:r>
          </w:p>
        </w:tc>
        <w:tc>
          <w:tcPr>
            <w:tcW w:w="441" w:type="pct"/>
            <w:tcBorders>
              <w:top w:val="nil"/>
              <w:left w:val="nil"/>
              <w:bottom w:val="single" w:sz="8" w:space="0" w:color="auto"/>
              <w:right w:val="single" w:sz="8" w:space="0" w:color="auto"/>
            </w:tcBorders>
            <w:shd w:val="clear" w:color="000000" w:fill="D9D9D9"/>
            <w:vAlign w:val="center"/>
            <w:hideMark/>
          </w:tcPr>
          <w:p w14:paraId="4BDAACCD" w14:textId="77777777" w:rsidR="00044D5B" w:rsidRPr="00392E88" w:rsidRDefault="00044D5B">
            <w:pPr>
              <w:spacing w:before="0" w:after="0"/>
              <w:jc w:val="right"/>
              <w:rPr>
                <w:b/>
                <w:bCs/>
                <w:color w:val="000000"/>
                <w:sz w:val="20"/>
                <w:szCs w:val="20"/>
              </w:rPr>
            </w:pPr>
            <w:r w:rsidRPr="00392E88">
              <w:rPr>
                <w:b/>
                <w:color w:val="000000"/>
                <w:sz w:val="20"/>
              </w:rPr>
              <w:t>0,000</w:t>
            </w:r>
          </w:p>
        </w:tc>
        <w:tc>
          <w:tcPr>
            <w:tcW w:w="441" w:type="pct"/>
            <w:tcBorders>
              <w:top w:val="nil"/>
              <w:left w:val="nil"/>
              <w:bottom w:val="single" w:sz="8" w:space="0" w:color="auto"/>
              <w:right w:val="single" w:sz="8" w:space="0" w:color="auto"/>
            </w:tcBorders>
            <w:shd w:val="clear" w:color="000000" w:fill="D9D9D9"/>
            <w:vAlign w:val="center"/>
            <w:hideMark/>
          </w:tcPr>
          <w:p w14:paraId="1F241296" w14:textId="77777777" w:rsidR="00044D5B" w:rsidRPr="00392E88" w:rsidRDefault="00044D5B">
            <w:pPr>
              <w:spacing w:before="0" w:after="0"/>
              <w:jc w:val="right"/>
              <w:rPr>
                <w:b/>
                <w:bCs/>
                <w:color w:val="000000"/>
                <w:sz w:val="20"/>
                <w:szCs w:val="20"/>
              </w:rPr>
            </w:pPr>
            <w:r w:rsidRPr="00392E88">
              <w:rPr>
                <w:b/>
                <w:color w:val="000000"/>
                <w:sz w:val="20"/>
              </w:rPr>
              <w:t>0,000</w:t>
            </w:r>
          </w:p>
        </w:tc>
        <w:tc>
          <w:tcPr>
            <w:tcW w:w="441" w:type="pct"/>
            <w:tcBorders>
              <w:top w:val="nil"/>
              <w:left w:val="nil"/>
              <w:bottom w:val="single" w:sz="8" w:space="0" w:color="auto"/>
              <w:right w:val="single" w:sz="8" w:space="0" w:color="auto"/>
            </w:tcBorders>
            <w:shd w:val="clear" w:color="000000" w:fill="D9D9D9"/>
            <w:vAlign w:val="center"/>
            <w:hideMark/>
          </w:tcPr>
          <w:p w14:paraId="45E9BD5D" w14:textId="77777777" w:rsidR="00044D5B" w:rsidRPr="00392E88" w:rsidRDefault="00044D5B">
            <w:pPr>
              <w:spacing w:before="0" w:after="0"/>
              <w:jc w:val="right"/>
              <w:rPr>
                <w:b/>
                <w:bCs/>
                <w:color w:val="000000"/>
                <w:sz w:val="20"/>
                <w:szCs w:val="20"/>
              </w:rPr>
            </w:pPr>
            <w:r w:rsidRPr="00392E88">
              <w:rPr>
                <w:b/>
                <w:color w:val="000000"/>
                <w:sz w:val="20"/>
              </w:rPr>
              <w:t>0,000</w:t>
            </w:r>
          </w:p>
        </w:tc>
        <w:tc>
          <w:tcPr>
            <w:tcW w:w="534" w:type="pct"/>
            <w:tcBorders>
              <w:top w:val="nil"/>
              <w:left w:val="nil"/>
              <w:bottom w:val="single" w:sz="8" w:space="0" w:color="auto"/>
              <w:right w:val="single" w:sz="8" w:space="0" w:color="auto"/>
            </w:tcBorders>
            <w:shd w:val="clear" w:color="000000" w:fill="D9D9D9"/>
            <w:vAlign w:val="center"/>
            <w:hideMark/>
          </w:tcPr>
          <w:p w14:paraId="33126D75" w14:textId="77777777" w:rsidR="00044D5B" w:rsidRPr="00392E88" w:rsidRDefault="00044D5B">
            <w:pPr>
              <w:spacing w:before="0" w:after="0"/>
              <w:jc w:val="right"/>
              <w:rPr>
                <w:b/>
                <w:bCs/>
                <w:color w:val="000000"/>
                <w:sz w:val="20"/>
                <w:szCs w:val="20"/>
              </w:rPr>
            </w:pPr>
            <w:r w:rsidRPr="00392E88">
              <w:rPr>
                <w:b/>
                <w:color w:val="000000"/>
                <w:sz w:val="20"/>
              </w:rPr>
              <w:t>0,000</w:t>
            </w:r>
          </w:p>
        </w:tc>
      </w:tr>
      <w:tr w:rsidR="00983E98" w:rsidRPr="00392E88" w14:paraId="2B42D111" w14:textId="77777777">
        <w:trPr>
          <w:trHeight w:val="300"/>
        </w:trPr>
        <w:tc>
          <w:tcPr>
            <w:tcW w:w="1522" w:type="pct"/>
            <w:tcBorders>
              <w:top w:val="nil"/>
              <w:left w:val="single" w:sz="8" w:space="0" w:color="auto"/>
              <w:bottom w:val="single" w:sz="8" w:space="0" w:color="auto"/>
              <w:right w:val="single" w:sz="8" w:space="0" w:color="auto"/>
            </w:tcBorders>
            <w:vAlign w:val="center"/>
            <w:hideMark/>
          </w:tcPr>
          <w:p w14:paraId="7A56220A" w14:textId="77777777" w:rsidR="00044D5B" w:rsidRPr="00392E88" w:rsidRDefault="00044D5B">
            <w:pPr>
              <w:spacing w:before="0" w:after="0"/>
              <w:jc w:val="center"/>
              <w:rPr>
                <w:b/>
                <w:bCs/>
                <w:color w:val="000000"/>
                <w:sz w:val="22"/>
              </w:rPr>
            </w:pPr>
            <w:r w:rsidRPr="00392E88">
              <w:rPr>
                <w:b/>
                <w:color w:val="000000"/>
                <w:sz w:val="22"/>
              </w:rPr>
              <w:t xml:space="preserve">dla Dyrekcji Generalnej </w:t>
            </w:r>
            <w:r w:rsidRPr="00392E88">
              <w:rPr>
                <w:color w:val="000000"/>
                <w:sz w:val="22"/>
              </w:rPr>
              <w:t>&lt;…….&gt;</w:t>
            </w:r>
          </w:p>
        </w:tc>
        <w:tc>
          <w:tcPr>
            <w:tcW w:w="492" w:type="pct"/>
            <w:tcBorders>
              <w:top w:val="nil"/>
              <w:left w:val="nil"/>
              <w:bottom w:val="single" w:sz="8" w:space="0" w:color="auto"/>
              <w:right w:val="single" w:sz="8" w:space="0" w:color="auto"/>
            </w:tcBorders>
            <w:vAlign w:val="center"/>
            <w:hideMark/>
          </w:tcPr>
          <w:p w14:paraId="5564DABC" w14:textId="77777777" w:rsidR="00044D5B" w:rsidRPr="00392E88" w:rsidRDefault="00044D5B">
            <w:pPr>
              <w:spacing w:before="0" w:after="0"/>
              <w:rPr>
                <w:color w:val="000000"/>
                <w:sz w:val="18"/>
                <w:szCs w:val="18"/>
              </w:rPr>
            </w:pPr>
            <w:r w:rsidRPr="00392E88">
              <w:rPr>
                <w:color w:val="000000"/>
                <w:sz w:val="18"/>
              </w:rPr>
              <w:t>Środki na płatności</w:t>
            </w:r>
          </w:p>
        </w:tc>
        <w:tc>
          <w:tcPr>
            <w:tcW w:w="688" w:type="pct"/>
            <w:tcBorders>
              <w:top w:val="single" w:sz="8" w:space="0" w:color="auto"/>
              <w:left w:val="nil"/>
              <w:bottom w:val="single" w:sz="8" w:space="0" w:color="auto"/>
              <w:right w:val="single" w:sz="8" w:space="0" w:color="000000"/>
            </w:tcBorders>
            <w:vAlign w:val="center"/>
            <w:hideMark/>
          </w:tcPr>
          <w:p w14:paraId="192836F1" w14:textId="77777777" w:rsidR="00044D5B" w:rsidRPr="00392E88" w:rsidRDefault="00044D5B">
            <w:pPr>
              <w:spacing w:before="0" w:after="0"/>
              <w:jc w:val="center"/>
              <w:rPr>
                <w:color w:val="000000"/>
                <w:sz w:val="14"/>
                <w:szCs w:val="14"/>
              </w:rPr>
            </w:pPr>
            <w:r w:rsidRPr="00392E88">
              <w:rPr>
                <w:color w:val="000000"/>
                <w:sz w:val="14"/>
              </w:rPr>
              <w:t>=2a+2b+3</w:t>
            </w:r>
          </w:p>
        </w:tc>
        <w:tc>
          <w:tcPr>
            <w:tcW w:w="441" w:type="pct"/>
            <w:tcBorders>
              <w:top w:val="nil"/>
              <w:left w:val="nil"/>
              <w:bottom w:val="single" w:sz="8" w:space="0" w:color="auto"/>
              <w:right w:val="single" w:sz="8" w:space="0" w:color="auto"/>
            </w:tcBorders>
            <w:shd w:val="clear" w:color="000000" w:fill="D9D9D9"/>
            <w:vAlign w:val="center"/>
            <w:hideMark/>
          </w:tcPr>
          <w:p w14:paraId="36D06A75" w14:textId="77777777" w:rsidR="00044D5B" w:rsidRPr="00392E88" w:rsidRDefault="00044D5B">
            <w:pPr>
              <w:spacing w:before="0" w:after="0"/>
              <w:jc w:val="right"/>
              <w:rPr>
                <w:b/>
                <w:bCs/>
                <w:color w:val="000000"/>
                <w:sz w:val="20"/>
                <w:szCs w:val="20"/>
              </w:rPr>
            </w:pPr>
            <w:r w:rsidRPr="00392E88">
              <w:rPr>
                <w:b/>
                <w:color w:val="000000"/>
                <w:sz w:val="20"/>
              </w:rPr>
              <w:t>0,000</w:t>
            </w:r>
          </w:p>
        </w:tc>
        <w:tc>
          <w:tcPr>
            <w:tcW w:w="441" w:type="pct"/>
            <w:tcBorders>
              <w:top w:val="nil"/>
              <w:left w:val="nil"/>
              <w:bottom w:val="single" w:sz="8" w:space="0" w:color="auto"/>
              <w:right w:val="single" w:sz="8" w:space="0" w:color="auto"/>
            </w:tcBorders>
            <w:shd w:val="clear" w:color="000000" w:fill="D9D9D9"/>
            <w:vAlign w:val="center"/>
            <w:hideMark/>
          </w:tcPr>
          <w:p w14:paraId="7490D91A" w14:textId="77777777" w:rsidR="00044D5B" w:rsidRPr="00392E88" w:rsidRDefault="00044D5B">
            <w:pPr>
              <w:spacing w:before="0" w:after="0"/>
              <w:jc w:val="right"/>
              <w:rPr>
                <w:b/>
                <w:bCs/>
                <w:color w:val="000000"/>
                <w:sz w:val="20"/>
                <w:szCs w:val="20"/>
              </w:rPr>
            </w:pPr>
            <w:r w:rsidRPr="00392E88">
              <w:rPr>
                <w:b/>
                <w:color w:val="000000"/>
                <w:sz w:val="20"/>
              </w:rPr>
              <w:t>0,000</w:t>
            </w:r>
          </w:p>
        </w:tc>
        <w:tc>
          <w:tcPr>
            <w:tcW w:w="441" w:type="pct"/>
            <w:tcBorders>
              <w:top w:val="nil"/>
              <w:left w:val="nil"/>
              <w:bottom w:val="single" w:sz="8" w:space="0" w:color="auto"/>
              <w:right w:val="single" w:sz="8" w:space="0" w:color="auto"/>
            </w:tcBorders>
            <w:shd w:val="clear" w:color="000000" w:fill="D9D9D9"/>
            <w:vAlign w:val="center"/>
            <w:hideMark/>
          </w:tcPr>
          <w:p w14:paraId="73E5A909" w14:textId="77777777" w:rsidR="00044D5B" w:rsidRPr="00392E88" w:rsidRDefault="00044D5B">
            <w:pPr>
              <w:spacing w:before="0" w:after="0"/>
              <w:jc w:val="right"/>
              <w:rPr>
                <w:b/>
                <w:bCs/>
                <w:color w:val="000000"/>
                <w:sz w:val="20"/>
                <w:szCs w:val="20"/>
              </w:rPr>
            </w:pPr>
            <w:r w:rsidRPr="00392E88">
              <w:rPr>
                <w:b/>
                <w:color w:val="000000"/>
                <w:sz w:val="20"/>
              </w:rPr>
              <w:t>0,000</w:t>
            </w:r>
          </w:p>
        </w:tc>
        <w:tc>
          <w:tcPr>
            <w:tcW w:w="441" w:type="pct"/>
            <w:tcBorders>
              <w:top w:val="nil"/>
              <w:left w:val="nil"/>
              <w:bottom w:val="single" w:sz="8" w:space="0" w:color="auto"/>
              <w:right w:val="single" w:sz="8" w:space="0" w:color="auto"/>
            </w:tcBorders>
            <w:shd w:val="clear" w:color="000000" w:fill="D9D9D9"/>
            <w:vAlign w:val="center"/>
            <w:hideMark/>
          </w:tcPr>
          <w:p w14:paraId="4C92C25E" w14:textId="77777777" w:rsidR="00044D5B" w:rsidRPr="00392E88" w:rsidRDefault="00044D5B">
            <w:pPr>
              <w:spacing w:before="0" w:after="0"/>
              <w:jc w:val="right"/>
              <w:rPr>
                <w:b/>
                <w:bCs/>
                <w:color w:val="000000"/>
                <w:sz w:val="20"/>
                <w:szCs w:val="20"/>
              </w:rPr>
            </w:pPr>
            <w:r w:rsidRPr="00392E88">
              <w:rPr>
                <w:b/>
                <w:color w:val="000000"/>
                <w:sz w:val="20"/>
              </w:rPr>
              <w:t>0,000</w:t>
            </w:r>
          </w:p>
        </w:tc>
        <w:tc>
          <w:tcPr>
            <w:tcW w:w="534" w:type="pct"/>
            <w:tcBorders>
              <w:top w:val="nil"/>
              <w:left w:val="nil"/>
              <w:bottom w:val="single" w:sz="8" w:space="0" w:color="auto"/>
              <w:right w:val="single" w:sz="8" w:space="0" w:color="auto"/>
            </w:tcBorders>
            <w:shd w:val="clear" w:color="000000" w:fill="D9D9D9"/>
            <w:vAlign w:val="center"/>
            <w:hideMark/>
          </w:tcPr>
          <w:p w14:paraId="353772FB" w14:textId="77777777" w:rsidR="00044D5B" w:rsidRPr="00392E88" w:rsidRDefault="00044D5B">
            <w:pPr>
              <w:spacing w:before="0" w:after="0"/>
              <w:jc w:val="right"/>
              <w:rPr>
                <w:b/>
                <w:bCs/>
                <w:color w:val="000000"/>
                <w:sz w:val="20"/>
                <w:szCs w:val="20"/>
              </w:rPr>
            </w:pPr>
            <w:r w:rsidRPr="00392E88">
              <w:rPr>
                <w:b/>
                <w:color w:val="000000"/>
                <w:sz w:val="20"/>
              </w:rPr>
              <w:t>0,000</w:t>
            </w:r>
          </w:p>
        </w:tc>
      </w:tr>
    </w:tbl>
    <w:p w14:paraId="3D5B3066" w14:textId="77777777" w:rsidR="00044D5B" w:rsidRPr="00392E88" w:rsidRDefault="00044D5B" w:rsidP="00044D5B"/>
    <w:tbl>
      <w:tblPr>
        <w:tblW w:w="5000" w:type="pct"/>
        <w:tblInd w:w="-118" w:type="dxa"/>
        <w:tblCellMar>
          <w:left w:w="0" w:type="dxa"/>
          <w:right w:w="0" w:type="dxa"/>
        </w:tblCellMar>
        <w:tblLook w:val="04A0" w:firstRow="1" w:lastRow="0" w:firstColumn="1" w:lastColumn="0" w:noHBand="0" w:noVBand="1"/>
      </w:tblPr>
      <w:tblGrid>
        <w:gridCol w:w="4269"/>
        <w:gridCol w:w="1321"/>
        <w:gridCol w:w="1991"/>
        <w:gridCol w:w="1237"/>
        <w:gridCol w:w="1237"/>
        <w:gridCol w:w="1237"/>
        <w:gridCol w:w="1237"/>
        <w:gridCol w:w="1495"/>
      </w:tblGrid>
      <w:tr w:rsidR="00B55C7B" w:rsidRPr="00392E88" w14:paraId="4AAF4DE8" w14:textId="77777777">
        <w:trPr>
          <w:trHeight w:val="300"/>
        </w:trPr>
        <w:tc>
          <w:tcPr>
            <w:tcW w:w="2703" w:type="pct"/>
            <w:gridSpan w:val="3"/>
            <w:vMerge w:val="restart"/>
            <w:tcBorders>
              <w:top w:val="single" w:sz="8" w:space="0" w:color="auto"/>
              <w:left w:val="single" w:sz="8" w:space="0" w:color="auto"/>
              <w:bottom w:val="single" w:sz="8" w:space="0" w:color="000000"/>
              <w:right w:val="single" w:sz="8" w:space="0" w:color="000000"/>
            </w:tcBorders>
            <w:vAlign w:val="center"/>
            <w:hideMark/>
          </w:tcPr>
          <w:p w14:paraId="6E5C8DDF" w14:textId="77777777" w:rsidR="00044D5B" w:rsidRPr="00392E88" w:rsidRDefault="00044D5B">
            <w:pPr>
              <w:spacing w:before="0" w:after="0"/>
              <w:jc w:val="center"/>
              <w:rPr>
                <w:color w:val="000000"/>
                <w:sz w:val="22"/>
              </w:rPr>
            </w:pPr>
            <w:r w:rsidRPr="00392E88">
              <w:rPr>
                <w:color w:val="000000"/>
                <w:sz w:val="22"/>
              </w:rPr>
              <w:t>Dyrekcja Generalna: &lt;…….&gt;</w:t>
            </w:r>
          </w:p>
        </w:tc>
        <w:tc>
          <w:tcPr>
            <w:tcW w:w="441" w:type="pct"/>
            <w:tcBorders>
              <w:top w:val="single" w:sz="8" w:space="0" w:color="auto"/>
              <w:left w:val="nil"/>
              <w:bottom w:val="nil"/>
              <w:right w:val="single" w:sz="8" w:space="0" w:color="auto"/>
            </w:tcBorders>
            <w:vAlign w:val="center"/>
            <w:hideMark/>
          </w:tcPr>
          <w:p w14:paraId="6FBB9587" w14:textId="77777777" w:rsidR="00044D5B" w:rsidRPr="00392E88" w:rsidRDefault="00044D5B">
            <w:pPr>
              <w:spacing w:before="0" w:after="0"/>
              <w:jc w:val="center"/>
              <w:rPr>
                <w:color w:val="000000"/>
                <w:sz w:val="20"/>
                <w:szCs w:val="20"/>
              </w:rPr>
            </w:pPr>
            <w:r w:rsidRPr="00392E88">
              <w:rPr>
                <w:color w:val="000000"/>
                <w:sz w:val="20"/>
              </w:rPr>
              <w:t>Rok</w:t>
            </w:r>
          </w:p>
        </w:tc>
        <w:tc>
          <w:tcPr>
            <w:tcW w:w="441" w:type="pct"/>
            <w:tcBorders>
              <w:top w:val="single" w:sz="8" w:space="0" w:color="auto"/>
              <w:left w:val="nil"/>
              <w:bottom w:val="nil"/>
              <w:right w:val="single" w:sz="8" w:space="0" w:color="auto"/>
            </w:tcBorders>
            <w:vAlign w:val="center"/>
            <w:hideMark/>
          </w:tcPr>
          <w:p w14:paraId="0A643D14" w14:textId="77777777" w:rsidR="00044D5B" w:rsidRPr="00392E88" w:rsidRDefault="00044D5B">
            <w:pPr>
              <w:spacing w:before="0" w:after="0"/>
              <w:jc w:val="center"/>
              <w:rPr>
                <w:color w:val="000000"/>
                <w:sz w:val="20"/>
                <w:szCs w:val="20"/>
              </w:rPr>
            </w:pPr>
            <w:r w:rsidRPr="00392E88">
              <w:rPr>
                <w:color w:val="000000"/>
                <w:sz w:val="20"/>
              </w:rPr>
              <w:t>Rok</w:t>
            </w:r>
          </w:p>
        </w:tc>
        <w:tc>
          <w:tcPr>
            <w:tcW w:w="441" w:type="pct"/>
            <w:tcBorders>
              <w:top w:val="single" w:sz="8" w:space="0" w:color="auto"/>
              <w:left w:val="nil"/>
              <w:bottom w:val="nil"/>
              <w:right w:val="single" w:sz="8" w:space="0" w:color="auto"/>
            </w:tcBorders>
            <w:vAlign w:val="center"/>
            <w:hideMark/>
          </w:tcPr>
          <w:p w14:paraId="4287E46F" w14:textId="77777777" w:rsidR="00044D5B" w:rsidRPr="00392E88" w:rsidRDefault="00044D5B">
            <w:pPr>
              <w:spacing w:before="0" w:after="0"/>
              <w:jc w:val="center"/>
              <w:rPr>
                <w:color w:val="000000"/>
                <w:sz w:val="20"/>
                <w:szCs w:val="20"/>
              </w:rPr>
            </w:pPr>
            <w:r w:rsidRPr="00392E88">
              <w:rPr>
                <w:color w:val="000000"/>
                <w:sz w:val="20"/>
              </w:rPr>
              <w:t>Rok</w:t>
            </w:r>
          </w:p>
        </w:tc>
        <w:tc>
          <w:tcPr>
            <w:tcW w:w="441" w:type="pct"/>
            <w:tcBorders>
              <w:top w:val="single" w:sz="8" w:space="0" w:color="auto"/>
              <w:left w:val="nil"/>
              <w:bottom w:val="nil"/>
              <w:right w:val="single" w:sz="8" w:space="0" w:color="auto"/>
            </w:tcBorders>
            <w:vAlign w:val="center"/>
            <w:hideMark/>
          </w:tcPr>
          <w:p w14:paraId="72534AB1" w14:textId="77777777" w:rsidR="00044D5B" w:rsidRPr="00392E88" w:rsidRDefault="00044D5B">
            <w:pPr>
              <w:spacing w:before="0" w:after="0"/>
              <w:jc w:val="center"/>
              <w:rPr>
                <w:color w:val="000000"/>
                <w:sz w:val="20"/>
                <w:szCs w:val="20"/>
              </w:rPr>
            </w:pPr>
            <w:r w:rsidRPr="00392E88">
              <w:rPr>
                <w:color w:val="000000"/>
                <w:sz w:val="20"/>
              </w:rPr>
              <w:t>Rok</w:t>
            </w:r>
          </w:p>
        </w:tc>
        <w:tc>
          <w:tcPr>
            <w:tcW w:w="534" w:type="pct"/>
            <w:vMerge w:val="restart"/>
            <w:tcBorders>
              <w:top w:val="single" w:sz="8" w:space="0" w:color="auto"/>
              <w:left w:val="single" w:sz="8" w:space="0" w:color="auto"/>
              <w:bottom w:val="single" w:sz="8" w:space="0" w:color="000000"/>
              <w:right w:val="single" w:sz="8" w:space="0" w:color="auto"/>
            </w:tcBorders>
            <w:vAlign w:val="center"/>
            <w:hideMark/>
          </w:tcPr>
          <w:p w14:paraId="00655660" w14:textId="77777777" w:rsidR="00044D5B" w:rsidRPr="00392E88" w:rsidRDefault="00044D5B">
            <w:pPr>
              <w:spacing w:before="0" w:after="0"/>
              <w:jc w:val="center"/>
              <w:rPr>
                <w:b/>
                <w:bCs/>
                <w:color w:val="000000"/>
                <w:sz w:val="20"/>
                <w:szCs w:val="20"/>
              </w:rPr>
            </w:pPr>
            <w:r w:rsidRPr="00392E88">
              <w:rPr>
                <w:b/>
                <w:color w:val="000000"/>
                <w:sz w:val="20"/>
              </w:rPr>
              <w:t>OGÓŁEM WRF 2021–2027</w:t>
            </w:r>
          </w:p>
        </w:tc>
      </w:tr>
      <w:tr w:rsidR="00B55C7B" w:rsidRPr="00392E88" w14:paraId="41C7F570" w14:textId="77777777">
        <w:trPr>
          <w:trHeight w:val="300"/>
        </w:trPr>
        <w:tc>
          <w:tcPr>
            <w:tcW w:w="2703" w:type="pct"/>
            <w:gridSpan w:val="3"/>
            <w:vMerge/>
            <w:tcBorders>
              <w:top w:val="single" w:sz="8" w:space="0" w:color="auto"/>
              <w:left w:val="single" w:sz="8" w:space="0" w:color="auto"/>
              <w:bottom w:val="single" w:sz="8" w:space="0" w:color="000000"/>
              <w:right w:val="single" w:sz="8" w:space="0" w:color="000000"/>
            </w:tcBorders>
            <w:vAlign w:val="center"/>
            <w:hideMark/>
          </w:tcPr>
          <w:p w14:paraId="424C9D7E" w14:textId="77777777" w:rsidR="00044D5B" w:rsidRPr="00392E88" w:rsidRDefault="00044D5B">
            <w:pPr>
              <w:spacing w:before="0" w:after="0"/>
              <w:jc w:val="left"/>
              <w:rPr>
                <w:color w:val="000000"/>
                <w:sz w:val="22"/>
                <w:lang w:eastAsia="en-IE"/>
              </w:rPr>
            </w:pPr>
          </w:p>
        </w:tc>
        <w:tc>
          <w:tcPr>
            <w:tcW w:w="441" w:type="pct"/>
            <w:tcBorders>
              <w:top w:val="nil"/>
              <w:left w:val="nil"/>
              <w:bottom w:val="single" w:sz="8" w:space="0" w:color="auto"/>
              <w:right w:val="single" w:sz="8" w:space="0" w:color="auto"/>
            </w:tcBorders>
            <w:vAlign w:val="center"/>
            <w:hideMark/>
          </w:tcPr>
          <w:p w14:paraId="1042B555" w14:textId="77777777" w:rsidR="00044D5B" w:rsidRPr="00392E88" w:rsidRDefault="00044D5B">
            <w:pPr>
              <w:spacing w:before="0" w:after="0"/>
              <w:jc w:val="center"/>
              <w:rPr>
                <w:b/>
                <w:bCs/>
                <w:color w:val="000000"/>
                <w:sz w:val="20"/>
                <w:szCs w:val="20"/>
              </w:rPr>
            </w:pPr>
            <w:r w:rsidRPr="00392E88">
              <w:rPr>
                <w:b/>
                <w:color w:val="000000"/>
                <w:sz w:val="20"/>
              </w:rPr>
              <w:t>2024</w:t>
            </w:r>
          </w:p>
        </w:tc>
        <w:tc>
          <w:tcPr>
            <w:tcW w:w="441" w:type="pct"/>
            <w:tcBorders>
              <w:top w:val="nil"/>
              <w:left w:val="nil"/>
              <w:bottom w:val="single" w:sz="8" w:space="0" w:color="auto"/>
              <w:right w:val="single" w:sz="8" w:space="0" w:color="auto"/>
            </w:tcBorders>
            <w:vAlign w:val="center"/>
            <w:hideMark/>
          </w:tcPr>
          <w:p w14:paraId="6A332716" w14:textId="77777777" w:rsidR="00044D5B" w:rsidRPr="00392E88" w:rsidRDefault="00044D5B">
            <w:pPr>
              <w:spacing w:before="0" w:after="0"/>
              <w:jc w:val="center"/>
              <w:rPr>
                <w:b/>
                <w:bCs/>
                <w:color w:val="000000"/>
                <w:sz w:val="20"/>
                <w:szCs w:val="20"/>
              </w:rPr>
            </w:pPr>
            <w:r w:rsidRPr="00392E88">
              <w:rPr>
                <w:b/>
                <w:color w:val="000000"/>
                <w:sz w:val="20"/>
              </w:rPr>
              <w:t>2025</w:t>
            </w:r>
          </w:p>
        </w:tc>
        <w:tc>
          <w:tcPr>
            <w:tcW w:w="441" w:type="pct"/>
            <w:tcBorders>
              <w:top w:val="nil"/>
              <w:left w:val="nil"/>
              <w:bottom w:val="single" w:sz="8" w:space="0" w:color="auto"/>
              <w:right w:val="single" w:sz="8" w:space="0" w:color="auto"/>
            </w:tcBorders>
            <w:vAlign w:val="center"/>
            <w:hideMark/>
          </w:tcPr>
          <w:p w14:paraId="476F7373" w14:textId="77777777" w:rsidR="00044D5B" w:rsidRPr="00392E88" w:rsidRDefault="00044D5B">
            <w:pPr>
              <w:spacing w:before="0" w:after="0"/>
              <w:jc w:val="center"/>
              <w:rPr>
                <w:b/>
                <w:bCs/>
                <w:color w:val="000000"/>
                <w:sz w:val="20"/>
                <w:szCs w:val="20"/>
              </w:rPr>
            </w:pPr>
            <w:r w:rsidRPr="00392E88">
              <w:rPr>
                <w:b/>
                <w:color w:val="000000"/>
                <w:sz w:val="20"/>
              </w:rPr>
              <w:t>2026</w:t>
            </w:r>
          </w:p>
        </w:tc>
        <w:tc>
          <w:tcPr>
            <w:tcW w:w="441" w:type="pct"/>
            <w:tcBorders>
              <w:top w:val="nil"/>
              <w:left w:val="nil"/>
              <w:bottom w:val="single" w:sz="8" w:space="0" w:color="auto"/>
              <w:right w:val="single" w:sz="8" w:space="0" w:color="auto"/>
            </w:tcBorders>
            <w:vAlign w:val="center"/>
            <w:hideMark/>
          </w:tcPr>
          <w:p w14:paraId="19ACD14E" w14:textId="77777777" w:rsidR="00044D5B" w:rsidRPr="00392E88" w:rsidRDefault="00044D5B">
            <w:pPr>
              <w:spacing w:before="0" w:after="0"/>
              <w:jc w:val="center"/>
              <w:rPr>
                <w:b/>
                <w:bCs/>
                <w:color w:val="000000"/>
                <w:sz w:val="20"/>
                <w:szCs w:val="20"/>
              </w:rPr>
            </w:pPr>
            <w:r w:rsidRPr="00392E88">
              <w:rPr>
                <w:b/>
                <w:color w:val="000000"/>
                <w:sz w:val="20"/>
              </w:rPr>
              <w:t>2027</w:t>
            </w:r>
          </w:p>
        </w:tc>
        <w:tc>
          <w:tcPr>
            <w:tcW w:w="534" w:type="pct"/>
            <w:vMerge/>
            <w:tcBorders>
              <w:top w:val="single" w:sz="8" w:space="0" w:color="auto"/>
              <w:left w:val="single" w:sz="8" w:space="0" w:color="auto"/>
              <w:bottom w:val="single" w:sz="8" w:space="0" w:color="000000"/>
              <w:right w:val="single" w:sz="8" w:space="0" w:color="auto"/>
            </w:tcBorders>
            <w:vAlign w:val="center"/>
            <w:hideMark/>
          </w:tcPr>
          <w:p w14:paraId="15E65E9A" w14:textId="77777777" w:rsidR="00044D5B" w:rsidRPr="00392E88" w:rsidRDefault="00044D5B">
            <w:pPr>
              <w:spacing w:before="0" w:after="0"/>
              <w:jc w:val="left"/>
              <w:rPr>
                <w:b/>
                <w:bCs/>
                <w:color w:val="000000"/>
                <w:sz w:val="20"/>
                <w:szCs w:val="20"/>
                <w:lang w:eastAsia="en-IE"/>
              </w:rPr>
            </w:pPr>
          </w:p>
        </w:tc>
      </w:tr>
      <w:tr w:rsidR="00E6355E" w:rsidRPr="00392E88" w14:paraId="44BAFC21" w14:textId="77777777">
        <w:trPr>
          <w:trHeight w:val="300"/>
        </w:trPr>
        <w:tc>
          <w:tcPr>
            <w:tcW w:w="2703" w:type="pct"/>
            <w:gridSpan w:val="3"/>
            <w:tcBorders>
              <w:top w:val="single" w:sz="8" w:space="0" w:color="auto"/>
              <w:left w:val="single" w:sz="8" w:space="0" w:color="auto"/>
              <w:bottom w:val="single" w:sz="8" w:space="0" w:color="auto"/>
              <w:right w:val="single" w:sz="8" w:space="0" w:color="000000"/>
            </w:tcBorders>
            <w:vAlign w:val="center"/>
            <w:hideMark/>
          </w:tcPr>
          <w:p w14:paraId="2F1FAC12" w14:textId="77777777" w:rsidR="00044D5B" w:rsidRPr="00392E88" w:rsidRDefault="00044D5B">
            <w:pPr>
              <w:spacing w:before="0" w:after="0"/>
              <w:rPr>
                <w:color w:val="000000"/>
                <w:sz w:val="21"/>
                <w:szCs w:val="21"/>
              </w:rPr>
            </w:pPr>
            <w:r w:rsidRPr="00392E88">
              <w:rPr>
                <w:color w:val="000000"/>
                <w:sz w:val="21"/>
              </w:rPr>
              <w:t xml:space="preserve">Środki operacyjne </w:t>
            </w:r>
          </w:p>
        </w:tc>
        <w:tc>
          <w:tcPr>
            <w:tcW w:w="441" w:type="pct"/>
            <w:tcBorders>
              <w:top w:val="nil"/>
              <w:left w:val="nil"/>
              <w:bottom w:val="single" w:sz="8" w:space="0" w:color="auto"/>
              <w:right w:val="single" w:sz="8" w:space="0" w:color="auto"/>
            </w:tcBorders>
            <w:vAlign w:val="center"/>
            <w:hideMark/>
          </w:tcPr>
          <w:p w14:paraId="6D18F4F8" w14:textId="77777777" w:rsidR="00044D5B" w:rsidRPr="00392E88" w:rsidRDefault="00044D5B">
            <w:pPr>
              <w:spacing w:before="0" w:after="0"/>
              <w:rPr>
                <w:color w:val="000000"/>
                <w:sz w:val="20"/>
                <w:szCs w:val="20"/>
              </w:rPr>
            </w:pPr>
            <w:r w:rsidRPr="00392E88">
              <w:rPr>
                <w:color w:val="000000"/>
                <w:sz w:val="20"/>
              </w:rPr>
              <w:t xml:space="preserve"> </w:t>
            </w:r>
          </w:p>
        </w:tc>
        <w:tc>
          <w:tcPr>
            <w:tcW w:w="441" w:type="pct"/>
            <w:tcBorders>
              <w:top w:val="nil"/>
              <w:left w:val="nil"/>
              <w:bottom w:val="single" w:sz="8" w:space="0" w:color="auto"/>
              <w:right w:val="single" w:sz="8" w:space="0" w:color="auto"/>
            </w:tcBorders>
            <w:vAlign w:val="center"/>
            <w:hideMark/>
          </w:tcPr>
          <w:p w14:paraId="717AC467" w14:textId="77777777" w:rsidR="00044D5B" w:rsidRPr="00392E88" w:rsidRDefault="00044D5B">
            <w:pPr>
              <w:spacing w:before="0" w:after="0"/>
              <w:rPr>
                <w:color w:val="000000"/>
                <w:sz w:val="20"/>
                <w:szCs w:val="20"/>
              </w:rPr>
            </w:pPr>
            <w:r w:rsidRPr="00392E88">
              <w:rPr>
                <w:color w:val="000000"/>
                <w:sz w:val="20"/>
              </w:rPr>
              <w:t xml:space="preserve"> </w:t>
            </w:r>
          </w:p>
        </w:tc>
        <w:tc>
          <w:tcPr>
            <w:tcW w:w="441" w:type="pct"/>
            <w:tcBorders>
              <w:top w:val="nil"/>
              <w:left w:val="nil"/>
              <w:bottom w:val="single" w:sz="8" w:space="0" w:color="auto"/>
              <w:right w:val="single" w:sz="8" w:space="0" w:color="auto"/>
            </w:tcBorders>
            <w:vAlign w:val="center"/>
            <w:hideMark/>
          </w:tcPr>
          <w:p w14:paraId="0DCD9C6E" w14:textId="77777777" w:rsidR="00044D5B" w:rsidRPr="00392E88" w:rsidRDefault="00044D5B">
            <w:pPr>
              <w:spacing w:before="0" w:after="0"/>
              <w:rPr>
                <w:color w:val="000000"/>
                <w:sz w:val="20"/>
                <w:szCs w:val="20"/>
              </w:rPr>
            </w:pPr>
            <w:r w:rsidRPr="00392E88">
              <w:rPr>
                <w:color w:val="000000"/>
                <w:sz w:val="20"/>
              </w:rPr>
              <w:t xml:space="preserve"> </w:t>
            </w:r>
          </w:p>
        </w:tc>
        <w:tc>
          <w:tcPr>
            <w:tcW w:w="441" w:type="pct"/>
            <w:tcBorders>
              <w:top w:val="nil"/>
              <w:left w:val="nil"/>
              <w:bottom w:val="single" w:sz="8" w:space="0" w:color="auto"/>
              <w:right w:val="single" w:sz="8" w:space="0" w:color="auto"/>
            </w:tcBorders>
            <w:vAlign w:val="center"/>
            <w:hideMark/>
          </w:tcPr>
          <w:p w14:paraId="23F6E8ED" w14:textId="77777777" w:rsidR="00044D5B" w:rsidRPr="00392E88" w:rsidRDefault="00044D5B">
            <w:pPr>
              <w:spacing w:before="0" w:after="0"/>
              <w:rPr>
                <w:b/>
                <w:bCs/>
                <w:color w:val="000000"/>
                <w:sz w:val="20"/>
                <w:szCs w:val="20"/>
              </w:rPr>
            </w:pPr>
            <w:r w:rsidRPr="00392E88">
              <w:rPr>
                <w:b/>
                <w:color w:val="000000"/>
                <w:sz w:val="20"/>
              </w:rPr>
              <w:t xml:space="preserve"> </w:t>
            </w:r>
          </w:p>
        </w:tc>
        <w:tc>
          <w:tcPr>
            <w:tcW w:w="534" w:type="pct"/>
            <w:tcBorders>
              <w:top w:val="nil"/>
              <w:left w:val="nil"/>
              <w:bottom w:val="single" w:sz="8" w:space="0" w:color="auto"/>
              <w:right w:val="single" w:sz="8" w:space="0" w:color="auto"/>
            </w:tcBorders>
            <w:vAlign w:val="center"/>
            <w:hideMark/>
          </w:tcPr>
          <w:p w14:paraId="52529214" w14:textId="77777777" w:rsidR="00044D5B" w:rsidRPr="00392E88" w:rsidRDefault="00044D5B">
            <w:pPr>
              <w:spacing w:before="0" w:after="0"/>
              <w:rPr>
                <w:b/>
                <w:bCs/>
                <w:color w:val="000000"/>
                <w:sz w:val="20"/>
                <w:szCs w:val="20"/>
              </w:rPr>
            </w:pPr>
            <w:r w:rsidRPr="00392E88">
              <w:rPr>
                <w:b/>
                <w:color w:val="000000"/>
                <w:sz w:val="20"/>
              </w:rPr>
              <w:t xml:space="preserve"> </w:t>
            </w:r>
          </w:p>
        </w:tc>
      </w:tr>
      <w:tr w:rsidR="00E62D64" w:rsidRPr="00392E88" w14:paraId="1D05DF05" w14:textId="77777777">
        <w:trPr>
          <w:trHeight w:val="300"/>
        </w:trPr>
        <w:tc>
          <w:tcPr>
            <w:tcW w:w="1522" w:type="pct"/>
            <w:vMerge w:val="restart"/>
            <w:tcBorders>
              <w:top w:val="nil"/>
              <w:left w:val="single" w:sz="8" w:space="0" w:color="auto"/>
              <w:bottom w:val="single" w:sz="8" w:space="0" w:color="000000"/>
              <w:right w:val="single" w:sz="8" w:space="0" w:color="auto"/>
            </w:tcBorders>
            <w:noWrap/>
            <w:vAlign w:val="center"/>
            <w:hideMark/>
          </w:tcPr>
          <w:p w14:paraId="54676949" w14:textId="77777777" w:rsidR="00044D5B" w:rsidRPr="00392E88" w:rsidRDefault="00044D5B">
            <w:pPr>
              <w:spacing w:before="0" w:after="0"/>
              <w:jc w:val="left"/>
              <w:rPr>
                <w:color w:val="000000"/>
                <w:sz w:val="22"/>
              </w:rPr>
            </w:pPr>
            <w:r w:rsidRPr="00392E88">
              <w:rPr>
                <w:color w:val="000000"/>
                <w:sz w:val="22"/>
              </w:rPr>
              <w:t>Linia budżetowa</w:t>
            </w:r>
          </w:p>
        </w:tc>
        <w:tc>
          <w:tcPr>
            <w:tcW w:w="471" w:type="pct"/>
            <w:tcBorders>
              <w:top w:val="nil"/>
              <w:left w:val="nil"/>
              <w:bottom w:val="single" w:sz="8" w:space="0" w:color="auto"/>
              <w:right w:val="single" w:sz="8" w:space="0" w:color="auto"/>
            </w:tcBorders>
            <w:vAlign w:val="center"/>
            <w:hideMark/>
          </w:tcPr>
          <w:p w14:paraId="1E3EF38F" w14:textId="77777777" w:rsidR="00044D5B" w:rsidRPr="00392E88" w:rsidRDefault="00044D5B">
            <w:pPr>
              <w:spacing w:before="0" w:after="0"/>
              <w:rPr>
                <w:color w:val="000000"/>
                <w:sz w:val="18"/>
                <w:szCs w:val="18"/>
              </w:rPr>
            </w:pPr>
            <w:r w:rsidRPr="00392E88">
              <w:rPr>
                <w:color w:val="000000"/>
                <w:sz w:val="18"/>
              </w:rPr>
              <w:t>Środki na zobowiązania</w:t>
            </w:r>
          </w:p>
        </w:tc>
        <w:tc>
          <w:tcPr>
            <w:tcW w:w="709" w:type="pct"/>
            <w:tcBorders>
              <w:top w:val="single" w:sz="8" w:space="0" w:color="auto"/>
              <w:left w:val="nil"/>
              <w:bottom w:val="single" w:sz="8" w:space="0" w:color="auto"/>
              <w:right w:val="single" w:sz="8" w:space="0" w:color="000000"/>
            </w:tcBorders>
            <w:vAlign w:val="center"/>
            <w:hideMark/>
          </w:tcPr>
          <w:p w14:paraId="701266D9" w14:textId="77777777" w:rsidR="00044D5B" w:rsidRPr="00392E88" w:rsidRDefault="00044D5B">
            <w:pPr>
              <w:spacing w:before="0" w:after="0"/>
              <w:jc w:val="center"/>
              <w:rPr>
                <w:color w:val="000000"/>
                <w:sz w:val="14"/>
                <w:szCs w:val="14"/>
              </w:rPr>
            </w:pPr>
            <w:r w:rsidRPr="00392E88">
              <w:rPr>
                <w:color w:val="000000"/>
                <w:sz w:val="14"/>
              </w:rPr>
              <w:t>(1a)</w:t>
            </w:r>
          </w:p>
        </w:tc>
        <w:tc>
          <w:tcPr>
            <w:tcW w:w="441" w:type="pct"/>
            <w:tcBorders>
              <w:top w:val="nil"/>
              <w:left w:val="nil"/>
              <w:bottom w:val="single" w:sz="8" w:space="0" w:color="auto"/>
              <w:right w:val="single" w:sz="8" w:space="0" w:color="auto"/>
            </w:tcBorders>
            <w:vAlign w:val="center"/>
            <w:hideMark/>
          </w:tcPr>
          <w:p w14:paraId="0D0091FD" w14:textId="77777777" w:rsidR="00044D5B" w:rsidRPr="00392E88" w:rsidRDefault="00044D5B">
            <w:pPr>
              <w:spacing w:before="0" w:after="0"/>
              <w:jc w:val="right"/>
              <w:rPr>
                <w:color w:val="000000"/>
                <w:sz w:val="20"/>
                <w:szCs w:val="20"/>
              </w:rPr>
            </w:pPr>
            <w:r w:rsidRPr="00392E88">
              <w:rPr>
                <w:color w:val="000000"/>
                <w:sz w:val="20"/>
              </w:rPr>
              <w:t xml:space="preserve"> </w:t>
            </w:r>
          </w:p>
        </w:tc>
        <w:tc>
          <w:tcPr>
            <w:tcW w:w="441" w:type="pct"/>
            <w:tcBorders>
              <w:top w:val="nil"/>
              <w:left w:val="nil"/>
              <w:bottom w:val="single" w:sz="8" w:space="0" w:color="auto"/>
              <w:right w:val="single" w:sz="8" w:space="0" w:color="auto"/>
            </w:tcBorders>
            <w:vAlign w:val="center"/>
            <w:hideMark/>
          </w:tcPr>
          <w:p w14:paraId="69ED53D3" w14:textId="77777777" w:rsidR="00044D5B" w:rsidRPr="00392E88" w:rsidRDefault="00044D5B">
            <w:pPr>
              <w:spacing w:before="0" w:after="0"/>
              <w:jc w:val="right"/>
              <w:rPr>
                <w:color w:val="000000"/>
                <w:sz w:val="20"/>
                <w:szCs w:val="20"/>
              </w:rPr>
            </w:pPr>
            <w:r w:rsidRPr="00392E88">
              <w:rPr>
                <w:color w:val="000000"/>
                <w:sz w:val="20"/>
              </w:rPr>
              <w:t xml:space="preserve"> </w:t>
            </w:r>
          </w:p>
        </w:tc>
        <w:tc>
          <w:tcPr>
            <w:tcW w:w="441" w:type="pct"/>
            <w:tcBorders>
              <w:top w:val="nil"/>
              <w:left w:val="nil"/>
              <w:bottom w:val="single" w:sz="8" w:space="0" w:color="auto"/>
              <w:right w:val="single" w:sz="8" w:space="0" w:color="auto"/>
            </w:tcBorders>
            <w:vAlign w:val="center"/>
            <w:hideMark/>
          </w:tcPr>
          <w:p w14:paraId="50B5B957" w14:textId="77777777" w:rsidR="00044D5B" w:rsidRPr="00392E88" w:rsidRDefault="00044D5B">
            <w:pPr>
              <w:spacing w:before="0" w:after="0"/>
              <w:jc w:val="right"/>
              <w:rPr>
                <w:color w:val="000000"/>
                <w:sz w:val="20"/>
                <w:szCs w:val="20"/>
              </w:rPr>
            </w:pPr>
            <w:r w:rsidRPr="00392E88">
              <w:rPr>
                <w:color w:val="000000"/>
                <w:sz w:val="20"/>
              </w:rPr>
              <w:t xml:space="preserve"> </w:t>
            </w:r>
          </w:p>
        </w:tc>
        <w:tc>
          <w:tcPr>
            <w:tcW w:w="441" w:type="pct"/>
            <w:tcBorders>
              <w:top w:val="nil"/>
              <w:left w:val="nil"/>
              <w:bottom w:val="single" w:sz="8" w:space="0" w:color="auto"/>
              <w:right w:val="single" w:sz="8" w:space="0" w:color="auto"/>
            </w:tcBorders>
            <w:vAlign w:val="center"/>
            <w:hideMark/>
          </w:tcPr>
          <w:p w14:paraId="669429D3" w14:textId="77777777" w:rsidR="00044D5B" w:rsidRPr="00392E88" w:rsidRDefault="00044D5B">
            <w:pPr>
              <w:spacing w:before="0" w:after="0"/>
              <w:jc w:val="right"/>
              <w:rPr>
                <w:color w:val="000000"/>
                <w:sz w:val="20"/>
                <w:szCs w:val="20"/>
              </w:rPr>
            </w:pPr>
            <w:r w:rsidRPr="00392E88">
              <w:rPr>
                <w:color w:val="000000"/>
                <w:sz w:val="20"/>
              </w:rPr>
              <w:t xml:space="preserve"> </w:t>
            </w:r>
          </w:p>
        </w:tc>
        <w:tc>
          <w:tcPr>
            <w:tcW w:w="534" w:type="pct"/>
            <w:tcBorders>
              <w:top w:val="nil"/>
              <w:left w:val="nil"/>
              <w:bottom w:val="single" w:sz="8" w:space="0" w:color="auto"/>
              <w:right w:val="single" w:sz="8" w:space="0" w:color="auto"/>
            </w:tcBorders>
            <w:shd w:val="clear" w:color="000000" w:fill="D9D9D9"/>
            <w:vAlign w:val="center"/>
            <w:hideMark/>
          </w:tcPr>
          <w:p w14:paraId="5D158115" w14:textId="77777777" w:rsidR="00044D5B" w:rsidRPr="00392E88" w:rsidRDefault="00044D5B">
            <w:pPr>
              <w:spacing w:before="0" w:after="0"/>
              <w:jc w:val="right"/>
              <w:rPr>
                <w:b/>
                <w:bCs/>
                <w:color w:val="000000"/>
                <w:sz w:val="20"/>
                <w:szCs w:val="20"/>
              </w:rPr>
            </w:pPr>
            <w:r w:rsidRPr="00392E88">
              <w:rPr>
                <w:b/>
                <w:color w:val="000000"/>
                <w:sz w:val="20"/>
              </w:rPr>
              <w:t>0,000</w:t>
            </w:r>
          </w:p>
        </w:tc>
      </w:tr>
      <w:tr w:rsidR="00E62D64" w:rsidRPr="00392E88" w14:paraId="224E5324" w14:textId="77777777">
        <w:trPr>
          <w:trHeight w:val="300"/>
        </w:trPr>
        <w:tc>
          <w:tcPr>
            <w:tcW w:w="1522" w:type="pct"/>
            <w:vMerge/>
            <w:tcBorders>
              <w:top w:val="nil"/>
              <w:left w:val="single" w:sz="8" w:space="0" w:color="auto"/>
              <w:bottom w:val="single" w:sz="8" w:space="0" w:color="000000"/>
              <w:right w:val="single" w:sz="8" w:space="0" w:color="auto"/>
            </w:tcBorders>
            <w:vAlign w:val="center"/>
            <w:hideMark/>
          </w:tcPr>
          <w:p w14:paraId="054974DF" w14:textId="77777777" w:rsidR="00044D5B" w:rsidRPr="00392E88" w:rsidRDefault="00044D5B">
            <w:pPr>
              <w:spacing w:before="0" w:after="0"/>
              <w:jc w:val="left"/>
              <w:rPr>
                <w:color w:val="000000"/>
                <w:sz w:val="22"/>
                <w:lang w:eastAsia="en-IE"/>
              </w:rPr>
            </w:pPr>
          </w:p>
        </w:tc>
        <w:tc>
          <w:tcPr>
            <w:tcW w:w="471" w:type="pct"/>
            <w:tcBorders>
              <w:top w:val="nil"/>
              <w:left w:val="nil"/>
              <w:bottom w:val="single" w:sz="8" w:space="0" w:color="auto"/>
              <w:right w:val="single" w:sz="8" w:space="0" w:color="auto"/>
            </w:tcBorders>
            <w:vAlign w:val="center"/>
            <w:hideMark/>
          </w:tcPr>
          <w:p w14:paraId="6E154F5F" w14:textId="77777777" w:rsidR="00044D5B" w:rsidRPr="00392E88" w:rsidRDefault="00044D5B">
            <w:pPr>
              <w:spacing w:before="0" w:after="0"/>
              <w:rPr>
                <w:color w:val="000000"/>
                <w:sz w:val="18"/>
                <w:szCs w:val="18"/>
              </w:rPr>
            </w:pPr>
            <w:r w:rsidRPr="00392E88">
              <w:rPr>
                <w:color w:val="000000"/>
                <w:sz w:val="18"/>
              </w:rPr>
              <w:t>Środki na płatności</w:t>
            </w:r>
          </w:p>
        </w:tc>
        <w:tc>
          <w:tcPr>
            <w:tcW w:w="709" w:type="pct"/>
            <w:tcBorders>
              <w:top w:val="single" w:sz="8" w:space="0" w:color="auto"/>
              <w:left w:val="nil"/>
              <w:bottom w:val="single" w:sz="8" w:space="0" w:color="auto"/>
              <w:right w:val="single" w:sz="8" w:space="0" w:color="000000"/>
            </w:tcBorders>
            <w:vAlign w:val="center"/>
            <w:hideMark/>
          </w:tcPr>
          <w:p w14:paraId="4292F0D7" w14:textId="77777777" w:rsidR="00044D5B" w:rsidRPr="00392E88" w:rsidRDefault="00044D5B">
            <w:pPr>
              <w:spacing w:before="0" w:after="0"/>
              <w:jc w:val="center"/>
              <w:rPr>
                <w:color w:val="000000"/>
                <w:sz w:val="14"/>
                <w:szCs w:val="14"/>
              </w:rPr>
            </w:pPr>
            <w:r w:rsidRPr="00392E88">
              <w:rPr>
                <w:color w:val="000000"/>
                <w:sz w:val="14"/>
              </w:rPr>
              <w:t>(2a)</w:t>
            </w:r>
          </w:p>
        </w:tc>
        <w:tc>
          <w:tcPr>
            <w:tcW w:w="441" w:type="pct"/>
            <w:tcBorders>
              <w:top w:val="nil"/>
              <w:left w:val="nil"/>
              <w:bottom w:val="single" w:sz="8" w:space="0" w:color="auto"/>
              <w:right w:val="single" w:sz="8" w:space="0" w:color="auto"/>
            </w:tcBorders>
            <w:vAlign w:val="center"/>
            <w:hideMark/>
          </w:tcPr>
          <w:p w14:paraId="1A2E2F5D" w14:textId="77777777" w:rsidR="00044D5B" w:rsidRPr="00392E88" w:rsidRDefault="00044D5B">
            <w:pPr>
              <w:spacing w:before="0" w:after="0"/>
              <w:jc w:val="right"/>
              <w:rPr>
                <w:color w:val="000000"/>
                <w:sz w:val="20"/>
                <w:szCs w:val="20"/>
              </w:rPr>
            </w:pPr>
            <w:r w:rsidRPr="00392E88">
              <w:rPr>
                <w:color w:val="000000"/>
                <w:sz w:val="20"/>
              </w:rPr>
              <w:t xml:space="preserve"> </w:t>
            </w:r>
          </w:p>
        </w:tc>
        <w:tc>
          <w:tcPr>
            <w:tcW w:w="441" w:type="pct"/>
            <w:tcBorders>
              <w:top w:val="nil"/>
              <w:left w:val="nil"/>
              <w:bottom w:val="single" w:sz="8" w:space="0" w:color="auto"/>
              <w:right w:val="single" w:sz="8" w:space="0" w:color="auto"/>
            </w:tcBorders>
            <w:vAlign w:val="center"/>
            <w:hideMark/>
          </w:tcPr>
          <w:p w14:paraId="78DBD2A8" w14:textId="77777777" w:rsidR="00044D5B" w:rsidRPr="00392E88" w:rsidRDefault="00044D5B">
            <w:pPr>
              <w:spacing w:before="0" w:after="0"/>
              <w:jc w:val="right"/>
              <w:rPr>
                <w:color w:val="000000"/>
                <w:sz w:val="20"/>
                <w:szCs w:val="20"/>
              </w:rPr>
            </w:pPr>
            <w:r w:rsidRPr="00392E88">
              <w:rPr>
                <w:color w:val="000000"/>
                <w:sz w:val="20"/>
              </w:rPr>
              <w:t xml:space="preserve"> </w:t>
            </w:r>
          </w:p>
        </w:tc>
        <w:tc>
          <w:tcPr>
            <w:tcW w:w="441" w:type="pct"/>
            <w:tcBorders>
              <w:top w:val="nil"/>
              <w:left w:val="nil"/>
              <w:bottom w:val="single" w:sz="8" w:space="0" w:color="auto"/>
              <w:right w:val="single" w:sz="8" w:space="0" w:color="auto"/>
            </w:tcBorders>
            <w:vAlign w:val="center"/>
            <w:hideMark/>
          </w:tcPr>
          <w:p w14:paraId="242D6900" w14:textId="77777777" w:rsidR="00044D5B" w:rsidRPr="00392E88" w:rsidRDefault="00044D5B">
            <w:pPr>
              <w:spacing w:before="0" w:after="0"/>
              <w:jc w:val="right"/>
              <w:rPr>
                <w:color w:val="000000"/>
                <w:sz w:val="20"/>
                <w:szCs w:val="20"/>
              </w:rPr>
            </w:pPr>
            <w:r w:rsidRPr="00392E88">
              <w:rPr>
                <w:color w:val="000000"/>
                <w:sz w:val="20"/>
              </w:rPr>
              <w:t xml:space="preserve"> </w:t>
            </w:r>
          </w:p>
        </w:tc>
        <w:tc>
          <w:tcPr>
            <w:tcW w:w="441" w:type="pct"/>
            <w:tcBorders>
              <w:top w:val="nil"/>
              <w:left w:val="nil"/>
              <w:bottom w:val="single" w:sz="8" w:space="0" w:color="auto"/>
              <w:right w:val="single" w:sz="8" w:space="0" w:color="auto"/>
            </w:tcBorders>
            <w:vAlign w:val="center"/>
            <w:hideMark/>
          </w:tcPr>
          <w:p w14:paraId="7D21E31D" w14:textId="77777777" w:rsidR="00044D5B" w:rsidRPr="00392E88" w:rsidRDefault="00044D5B">
            <w:pPr>
              <w:spacing w:before="0" w:after="0"/>
              <w:jc w:val="right"/>
              <w:rPr>
                <w:color w:val="000000"/>
                <w:sz w:val="20"/>
                <w:szCs w:val="20"/>
              </w:rPr>
            </w:pPr>
            <w:r w:rsidRPr="00392E88">
              <w:rPr>
                <w:color w:val="000000"/>
                <w:sz w:val="20"/>
              </w:rPr>
              <w:t xml:space="preserve"> </w:t>
            </w:r>
          </w:p>
        </w:tc>
        <w:tc>
          <w:tcPr>
            <w:tcW w:w="534" w:type="pct"/>
            <w:tcBorders>
              <w:top w:val="nil"/>
              <w:left w:val="nil"/>
              <w:bottom w:val="single" w:sz="8" w:space="0" w:color="auto"/>
              <w:right w:val="single" w:sz="8" w:space="0" w:color="auto"/>
            </w:tcBorders>
            <w:shd w:val="clear" w:color="000000" w:fill="D9D9D9"/>
            <w:vAlign w:val="center"/>
            <w:hideMark/>
          </w:tcPr>
          <w:p w14:paraId="1812BFA1" w14:textId="77777777" w:rsidR="00044D5B" w:rsidRPr="00392E88" w:rsidRDefault="00044D5B">
            <w:pPr>
              <w:spacing w:before="0" w:after="0"/>
              <w:jc w:val="right"/>
              <w:rPr>
                <w:b/>
                <w:bCs/>
                <w:color w:val="000000"/>
                <w:sz w:val="20"/>
                <w:szCs w:val="20"/>
              </w:rPr>
            </w:pPr>
            <w:r w:rsidRPr="00392E88">
              <w:rPr>
                <w:b/>
                <w:color w:val="000000"/>
                <w:sz w:val="20"/>
              </w:rPr>
              <w:t>0,000</w:t>
            </w:r>
          </w:p>
        </w:tc>
      </w:tr>
      <w:tr w:rsidR="00E62D64" w:rsidRPr="00392E88" w14:paraId="0CE98FEE" w14:textId="77777777">
        <w:trPr>
          <w:trHeight w:val="300"/>
        </w:trPr>
        <w:tc>
          <w:tcPr>
            <w:tcW w:w="1522" w:type="pct"/>
            <w:vMerge w:val="restart"/>
            <w:tcBorders>
              <w:top w:val="nil"/>
              <w:left w:val="single" w:sz="8" w:space="0" w:color="auto"/>
              <w:bottom w:val="single" w:sz="8" w:space="0" w:color="000000"/>
              <w:right w:val="single" w:sz="8" w:space="0" w:color="auto"/>
            </w:tcBorders>
            <w:vAlign w:val="center"/>
            <w:hideMark/>
          </w:tcPr>
          <w:p w14:paraId="31D842C7" w14:textId="77777777" w:rsidR="00044D5B" w:rsidRPr="00392E88" w:rsidRDefault="00044D5B">
            <w:pPr>
              <w:spacing w:before="0" w:after="0"/>
              <w:rPr>
                <w:color w:val="000000"/>
                <w:sz w:val="20"/>
                <w:szCs w:val="20"/>
              </w:rPr>
            </w:pPr>
            <w:r w:rsidRPr="00392E88">
              <w:rPr>
                <w:color w:val="000000"/>
                <w:sz w:val="20"/>
              </w:rPr>
              <w:t>Linia budżetowa</w:t>
            </w:r>
          </w:p>
        </w:tc>
        <w:tc>
          <w:tcPr>
            <w:tcW w:w="471" w:type="pct"/>
            <w:tcBorders>
              <w:top w:val="nil"/>
              <w:left w:val="nil"/>
              <w:bottom w:val="single" w:sz="8" w:space="0" w:color="auto"/>
              <w:right w:val="single" w:sz="8" w:space="0" w:color="auto"/>
            </w:tcBorders>
            <w:vAlign w:val="center"/>
            <w:hideMark/>
          </w:tcPr>
          <w:p w14:paraId="508696B2" w14:textId="77777777" w:rsidR="00044D5B" w:rsidRPr="00392E88" w:rsidRDefault="00044D5B">
            <w:pPr>
              <w:spacing w:before="0" w:after="0"/>
              <w:rPr>
                <w:color w:val="000000"/>
                <w:sz w:val="18"/>
                <w:szCs w:val="18"/>
              </w:rPr>
            </w:pPr>
            <w:r w:rsidRPr="00392E88">
              <w:rPr>
                <w:color w:val="000000"/>
                <w:sz w:val="18"/>
              </w:rPr>
              <w:t>Środki na zobowiązania</w:t>
            </w:r>
          </w:p>
        </w:tc>
        <w:tc>
          <w:tcPr>
            <w:tcW w:w="709" w:type="pct"/>
            <w:tcBorders>
              <w:top w:val="single" w:sz="8" w:space="0" w:color="auto"/>
              <w:left w:val="nil"/>
              <w:bottom w:val="single" w:sz="8" w:space="0" w:color="auto"/>
              <w:right w:val="single" w:sz="8" w:space="0" w:color="000000"/>
            </w:tcBorders>
            <w:vAlign w:val="center"/>
            <w:hideMark/>
          </w:tcPr>
          <w:p w14:paraId="565012AA" w14:textId="77777777" w:rsidR="00044D5B" w:rsidRPr="00392E88" w:rsidRDefault="00044D5B">
            <w:pPr>
              <w:spacing w:before="0" w:after="0"/>
              <w:jc w:val="center"/>
              <w:rPr>
                <w:color w:val="000000"/>
                <w:sz w:val="14"/>
                <w:szCs w:val="14"/>
              </w:rPr>
            </w:pPr>
            <w:r w:rsidRPr="00392E88">
              <w:rPr>
                <w:color w:val="000000"/>
                <w:sz w:val="14"/>
              </w:rPr>
              <w:t>(1b)</w:t>
            </w:r>
          </w:p>
        </w:tc>
        <w:tc>
          <w:tcPr>
            <w:tcW w:w="441" w:type="pct"/>
            <w:tcBorders>
              <w:top w:val="nil"/>
              <w:left w:val="nil"/>
              <w:bottom w:val="single" w:sz="8" w:space="0" w:color="auto"/>
              <w:right w:val="single" w:sz="8" w:space="0" w:color="auto"/>
            </w:tcBorders>
            <w:vAlign w:val="center"/>
            <w:hideMark/>
          </w:tcPr>
          <w:p w14:paraId="58E8E217" w14:textId="77777777" w:rsidR="00044D5B" w:rsidRPr="00392E88" w:rsidRDefault="00044D5B">
            <w:pPr>
              <w:spacing w:before="0" w:after="0"/>
              <w:jc w:val="right"/>
              <w:rPr>
                <w:color w:val="000000"/>
                <w:sz w:val="20"/>
                <w:szCs w:val="20"/>
              </w:rPr>
            </w:pPr>
            <w:r w:rsidRPr="00392E88">
              <w:rPr>
                <w:color w:val="000000"/>
                <w:sz w:val="20"/>
              </w:rPr>
              <w:t xml:space="preserve"> </w:t>
            </w:r>
          </w:p>
        </w:tc>
        <w:tc>
          <w:tcPr>
            <w:tcW w:w="441" w:type="pct"/>
            <w:tcBorders>
              <w:top w:val="nil"/>
              <w:left w:val="nil"/>
              <w:bottom w:val="single" w:sz="8" w:space="0" w:color="auto"/>
              <w:right w:val="single" w:sz="8" w:space="0" w:color="auto"/>
            </w:tcBorders>
            <w:vAlign w:val="center"/>
            <w:hideMark/>
          </w:tcPr>
          <w:p w14:paraId="7936807E" w14:textId="77777777" w:rsidR="00044D5B" w:rsidRPr="00392E88" w:rsidRDefault="00044D5B">
            <w:pPr>
              <w:spacing w:before="0" w:after="0"/>
              <w:jc w:val="right"/>
              <w:rPr>
                <w:color w:val="000000"/>
                <w:sz w:val="20"/>
                <w:szCs w:val="20"/>
              </w:rPr>
            </w:pPr>
            <w:r w:rsidRPr="00392E88">
              <w:rPr>
                <w:color w:val="000000"/>
                <w:sz w:val="20"/>
              </w:rPr>
              <w:t xml:space="preserve"> </w:t>
            </w:r>
          </w:p>
        </w:tc>
        <w:tc>
          <w:tcPr>
            <w:tcW w:w="441" w:type="pct"/>
            <w:tcBorders>
              <w:top w:val="nil"/>
              <w:left w:val="nil"/>
              <w:bottom w:val="single" w:sz="8" w:space="0" w:color="auto"/>
              <w:right w:val="single" w:sz="8" w:space="0" w:color="auto"/>
            </w:tcBorders>
            <w:vAlign w:val="center"/>
            <w:hideMark/>
          </w:tcPr>
          <w:p w14:paraId="3AEC5071" w14:textId="77777777" w:rsidR="00044D5B" w:rsidRPr="00392E88" w:rsidRDefault="00044D5B">
            <w:pPr>
              <w:spacing w:before="0" w:after="0"/>
              <w:jc w:val="right"/>
              <w:rPr>
                <w:color w:val="000000"/>
                <w:sz w:val="20"/>
                <w:szCs w:val="20"/>
              </w:rPr>
            </w:pPr>
            <w:r w:rsidRPr="00392E88">
              <w:rPr>
                <w:color w:val="000000"/>
                <w:sz w:val="20"/>
              </w:rPr>
              <w:t xml:space="preserve"> </w:t>
            </w:r>
          </w:p>
        </w:tc>
        <w:tc>
          <w:tcPr>
            <w:tcW w:w="441" w:type="pct"/>
            <w:tcBorders>
              <w:top w:val="nil"/>
              <w:left w:val="nil"/>
              <w:bottom w:val="single" w:sz="8" w:space="0" w:color="auto"/>
              <w:right w:val="single" w:sz="8" w:space="0" w:color="auto"/>
            </w:tcBorders>
            <w:vAlign w:val="center"/>
            <w:hideMark/>
          </w:tcPr>
          <w:p w14:paraId="16D6E3D5" w14:textId="77777777" w:rsidR="00044D5B" w:rsidRPr="00392E88" w:rsidRDefault="00044D5B">
            <w:pPr>
              <w:spacing w:before="0" w:after="0"/>
              <w:jc w:val="right"/>
              <w:rPr>
                <w:color w:val="000000"/>
                <w:sz w:val="20"/>
                <w:szCs w:val="20"/>
              </w:rPr>
            </w:pPr>
            <w:r w:rsidRPr="00392E88">
              <w:rPr>
                <w:color w:val="000000"/>
                <w:sz w:val="20"/>
              </w:rPr>
              <w:t xml:space="preserve"> </w:t>
            </w:r>
          </w:p>
        </w:tc>
        <w:tc>
          <w:tcPr>
            <w:tcW w:w="534" w:type="pct"/>
            <w:tcBorders>
              <w:top w:val="nil"/>
              <w:left w:val="nil"/>
              <w:bottom w:val="single" w:sz="8" w:space="0" w:color="auto"/>
              <w:right w:val="single" w:sz="8" w:space="0" w:color="auto"/>
            </w:tcBorders>
            <w:shd w:val="clear" w:color="000000" w:fill="D9D9D9"/>
            <w:vAlign w:val="center"/>
            <w:hideMark/>
          </w:tcPr>
          <w:p w14:paraId="4CEF219E" w14:textId="77777777" w:rsidR="00044D5B" w:rsidRPr="00392E88" w:rsidRDefault="00044D5B">
            <w:pPr>
              <w:spacing w:before="0" w:after="0"/>
              <w:jc w:val="right"/>
              <w:rPr>
                <w:b/>
                <w:bCs/>
                <w:color w:val="000000"/>
                <w:sz w:val="20"/>
                <w:szCs w:val="20"/>
              </w:rPr>
            </w:pPr>
            <w:r w:rsidRPr="00392E88">
              <w:rPr>
                <w:b/>
                <w:color w:val="000000"/>
                <w:sz w:val="20"/>
              </w:rPr>
              <w:t>0,000</w:t>
            </w:r>
          </w:p>
        </w:tc>
      </w:tr>
      <w:tr w:rsidR="00E62D64" w:rsidRPr="00392E88" w14:paraId="31787B6E" w14:textId="77777777">
        <w:trPr>
          <w:trHeight w:val="300"/>
        </w:trPr>
        <w:tc>
          <w:tcPr>
            <w:tcW w:w="1522" w:type="pct"/>
            <w:vMerge/>
            <w:tcBorders>
              <w:top w:val="nil"/>
              <w:left w:val="single" w:sz="8" w:space="0" w:color="auto"/>
              <w:bottom w:val="single" w:sz="8" w:space="0" w:color="000000"/>
              <w:right w:val="single" w:sz="8" w:space="0" w:color="auto"/>
            </w:tcBorders>
            <w:vAlign w:val="center"/>
            <w:hideMark/>
          </w:tcPr>
          <w:p w14:paraId="774355A7" w14:textId="77777777" w:rsidR="00044D5B" w:rsidRPr="00392E88" w:rsidRDefault="00044D5B">
            <w:pPr>
              <w:spacing w:before="0" w:after="0"/>
              <w:jc w:val="left"/>
              <w:rPr>
                <w:color w:val="000000"/>
                <w:sz w:val="20"/>
                <w:szCs w:val="20"/>
                <w:lang w:eastAsia="en-IE"/>
              </w:rPr>
            </w:pPr>
          </w:p>
        </w:tc>
        <w:tc>
          <w:tcPr>
            <w:tcW w:w="471" w:type="pct"/>
            <w:tcBorders>
              <w:top w:val="nil"/>
              <w:left w:val="nil"/>
              <w:bottom w:val="single" w:sz="8" w:space="0" w:color="auto"/>
              <w:right w:val="single" w:sz="8" w:space="0" w:color="auto"/>
            </w:tcBorders>
            <w:vAlign w:val="center"/>
            <w:hideMark/>
          </w:tcPr>
          <w:p w14:paraId="6D39F0B6" w14:textId="77777777" w:rsidR="00044D5B" w:rsidRPr="00392E88" w:rsidRDefault="00044D5B">
            <w:pPr>
              <w:spacing w:before="0" w:after="0"/>
              <w:rPr>
                <w:color w:val="000000"/>
                <w:sz w:val="18"/>
                <w:szCs w:val="18"/>
              </w:rPr>
            </w:pPr>
            <w:r w:rsidRPr="00392E88">
              <w:rPr>
                <w:color w:val="000000"/>
                <w:sz w:val="18"/>
              </w:rPr>
              <w:t>Środki na płatności</w:t>
            </w:r>
          </w:p>
        </w:tc>
        <w:tc>
          <w:tcPr>
            <w:tcW w:w="709" w:type="pct"/>
            <w:tcBorders>
              <w:top w:val="single" w:sz="8" w:space="0" w:color="auto"/>
              <w:left w:val="nil"/>
              <w:bottom w:val="single" w:sz="8" w:space="0" w:color="auto"/>
              <w:right w:val="single" w:sz="8" w:space="0" w:color="000000"/>
            </w:tcBorders>
            <w:vAlign w:val="center"/>
            <w:hideMark/>
          </w:tcPr>
          <w:p w14:paraId="62D4587F" w14:textId="77777777" w:rsidR="00044D5B" w:rsidRPr="00392E88" w:rsidRDefault="00044D5B">
            <w:pPr>
              <w:spacing w:before="0" w:after="0"/>
              <w:jc w:val="center"/>
              <w:rPr>
                <w:color w:val="000000"/>
                <w:sz w:val="14"/>
                <w:szCs w:val="14"/>
              </w:rPr>
            </w:pPr>
            <w:r w:rsidRPr="00392E88">
              <w:rPr>
                <w:color w:val="000000"/>
                <w:sz w:val="14"/>
              </w:rPr>
              <w:t>(2b)</w:t>
            </w:r>
          </w:p>
        </w:tc>
        <w:tc>
          <w:tcPr>
            <w:tcW w:w="441" w:type="pct"/>
            <w:tcBorders>
              <w:top w:val="nil"/>
              <w:left w:val="nil"/>
              <w:bottom w:val="single" w:sz="8" w:space="0" w:color="auto"/>
              <w:right w:val="single" w:sz="8" w:space="0" w:color="auto"/>
            </w:tcBorders>
            <w:vAlign w:val="center"/>
            <w:hideMark/>
          </w:tcPr>
          <w:p w14:paraId="0753ED03" w14:textId="77777777" w:rsidR="00044D5B" w:rsidRPr="00392E88" w:rsidRDefault="00044D5B">
            <w:pPr>
              <w:spacing w:before="0" w:after="0"/>
              <w:jc w:val="right"/>
              <w:rPr>
                <w:color w:val="000000"/>
                <w:sz w:val="20"/>
                <w:szCs w:val="20"/>
              </w:rPr>
            </w:pPr>
            <w:r w:rsidRPr="00392E88">
              <w:rPr>
                <w:color w:val="000000"/>
                <w:sz w:val="20"/>
              </w:rPr>
              <w:t xml:space="preserve"> </w:t>
            </w:r>
          </w:p>
        </w:tc>
        <w:tc>
          <w:tcPr>
            <w:tcW w:w="441" w:type="pct"/>
            <w:tcBorders>
              <w:top w:val="nil"/>
              <w:left w:val="nil"/>
              <w:bottom w:val="single" w:sz="8" w:space="0" w:color="auto"/>
              <w:right w:val="single" w:sz="8" w:space="0" w:color="auto"/>
            </w:tcBorders>
            <w:vAlign w:val="center"/>
            <w:hideMark/>
          </w:tcPr>
          <w:p w14:paraId="39B83CA5" w14:textId="77777777" w:rsidR="00044D5B" w:rsidRPr="00392E88" w:rsidRDefault="00044D5B">
            <w:pPr>
              <w:spacing w:before="0" w:after="0"/>
              <w:jc w:val="right"/>
              <w:rPr>
                <w:color w:val="000000"/>
                <w:sz w:val="20"/>
                <w:szCs w:val="20"/>
              </w:rPr>
            </w:pPr>
            <w:r w:rsidRPr="00392E88">
              <w:rPr>
                <w:color w:val="000000"/>
                <w:sz w:val="20"/>
              </w:rPr>
              <w:t xml:space="preserve"> </w:t>
            </w:r>
          </w:p>
        </w:tc>
        <w:tc>
          <w:tcPr>
            <w:tcW w:w="441" w:type="pct"/>
            <w:tcBorders>
              <w:top w:val="nil"/>
              <w:left w:val="nil"/>
              <w:bottom w:val="single" w:sz="8" w:space="0" w:color="auto"/>
              <w:right w:val="single" w:sz="8" w:space="0" w:color="auto"/>
            </w:tcBorders>
            <w:vAlign w:val="center"/>
            <w:hideMark/>
          </w:tcPr>
          <w:p w14:paraId="6BFB5464" w14:textId="77777777" w:rsidR="00044D5B" w:rsidRPr="00392E88" w:rsidRDefault="00044D5B">
            <w:pPr>
              <w:spacing w:before="0" w:after="0"/>
              <w:jc w:val="right"/>
              <w:rPr>
                <w:color w:val="000000"/>
                <w:sz w:val="20"/>
                <w:szCs w:val="20"/>
              </w:rPr>
            </w:pPr>
            <w:r w:rsidRPr="00392E88">
              <w:rPr>
                <w:color w:val="000000"/>
                <w:sz w:val="20"/>
              </w:rPr>
              <w:t xml:space="preserve"> </w:t>
            </w:r>
          </w:p>
        </w:tc>
        <w:tc>
          <w:tcPr>
            <w:tcW w:w="441" w:type="pct"/>
            <w:tcBorders>
              <w:top w:val="nil"/>
              <w:left w:val="nil"/>
              <w:bottom w:val="single" w:sz="8" w:space="0" w:color="auto"/>
              <w:right w:val="single" w:sz="8" w:space="0" w:color="auto"/>
            </w:tcBorders>
            <w:vAlign w:val="center"/>
            <w:hideMark/>
          </w:tcPr>
          <w:p w14:paraId="23E160FD" w14:textId="77777777" w:rsidR="00044D5B" w:rsidRPr="00392E88" w:rsidRDefault="00044D5B">
            <w:pPr>
              <w:spacing w:before="0" w:after="0"/>
              <w:jc w:val="right"/>
              <w:rPr>
                <w:color w:val="000000"/>
                <w:sz w:val="20"/>
                <w:szCs w:val="20"/>
              </w:rPr>
            </w:pPr>
            <w:r w:rsidRPr="00392E88">
              <w:rPr>
                <w:color w:val="000000"/>
                <w:sz w:val="20"/>
              </w:rPr>
              <w:t xml:space="preserve"> </w:t>
            </w:r>
          </w:p>
        </w:tc>
        <w:tc>
          <w:tcPr>
            <w:tcW w:w="534" w:type="pct"/>
            <w:tcBorders>
              <w:top w:val="nil"/>
              <w:left w:val="nil"/>
              <w:bottom w:val="single" w:sz="8" w:space="0" w:color="auto"/>
              <w:right w:val="single" w:sz="8" w:space="0" w:color="auto"/>
            </w:tcBorders>
            <w:shd w:val="clear" w:color="000000" w:fill="D9D9D9"/>
            <w:vAlign w:val="center"/>
            <w:hideMark/>
          </w:tcPr>
          <w:p w14:paraId="185289AD" w14:textId="77777777" w:rsidR="00044D5B" w:rsidRPr="00392E88" w:rsidRDefault="00044D5B">
            <w:pPr>
              <w:spacing w:before="0" w:after="0"/>
              <w:jc w:val="right"/>
              <w:rPr>
                <w:b/>
                <w:bCs/>
                <w:color w:val="000000"/>
                <w:sz w:val="20"/>
                <w:szCs w:val="20"/>
              </w:rPr>
            </w:pPr>
            <w:r w:rsidRPr="00392E88">
              <w:rPr>
                <w:b/>
                <w:color w:val="000000"/>
                <w:sz w:val="20"/>
              </w:rPr>
              <w:t>0,000</w:t>
            </w:r>
          </w:p>
        </w:tc>
      </w:tr>
      <w:tr w:rsidR="00A7536C" w:rsidRPr="00392E88" w14:paraId="5B3B67C9" w14:textId="77777777">
        <w:trPr>
          <w:trHeight w:val="300"/>
        </w:trPr>
        <w:tc>
          <w:tcPr>
            <w:tcW w:w="5000" w:type="pct"/>
            <w:gridSpan w:val="8"/>
            <w:tcBorders>
              <w:top w:val="single" w:sz="8" w:space="0" w:color="auto"/>
              <w:left w:val="single" w:sz="8" w:space="0" w:color="auto"/>
              <w:bottom w:val="single" w:sz="8" w:space="0" w:color="auto"/>
              <w:right w:val="nil"/>
            </w:tcBorders>
            <w:noWrap/>
            <w:vAlign w:val="bottom"/>
            <w:hideMark/>
          </w:tcPr>
          <w:p w14:paraId="7623ECAC" w14:textId="77777777" w:rsidR="00044D5B" w:rsidRPr="00392E88" w:rsidRDefault="00044D5B">
            <w:pPr>
              <w:spacing w:before="0" w:after="0"/>
              <w:jc w:val="left"/>
              <w:rPr>
                <w:color w:val="000000"/>
                <w:sz w:val="22"/>
              </w:rPr>
            </w:pPr>
            <w:r w:rsidRPr="00392E88">
              <w:rPr>
                <w:color w:val="000000"/>
                <w:sz w:val="22"/>
              </w:rPr>
              <w:t>Środki administracyjne finansowane ze środków przydzielonych na określone programy</w:t>
            </w:r>
            <w:r w:rsidRPr="00392E88">
              <w:t xml:space="preserve"> </w:t>
            </w:r>
          </w:p>
        </w:tc>
      </w:tr>
      <w:tr w:rsidR="00E62D64" w:rsidRPr="00392E88" w14:paraId="1B6BF5F6" w14:textId="77777777">
        <w:trPr>
          <w:trHeight w:val="300"/>
        </w:trPr>
        <w:tc>
          <w:tcPr>
            <w:tcW w:w="1522" w:type="pct"/>
            <w:tcBorders>
              <w:top w:val="nil"/>
              <w:left w:val="single" w:sz="8" w:space="0" w:color="auto"/>
              <w:bottom w:val="single" w:sz="8" w:space="0" w:color="auto"/>
              <w:right w:val="single" w:sz="8" w:space="0" w:color="auto"/>
            </w:tcBorders>
            <w:vAlign w:val="center"/>
            <w:hideMark/>
          </w:tcPr>
          <w:p w14:paraId="11097A0A" w14:textId="77777777" w:rsidR="00044D5B" w:rsidRPr="00392E88" w:rsidRDefault="00044D5B">
            <w:pPr>
              <w:spacing w:before="0" w:after="0"/>
              <w:rPr>
                <w:color w:val="000000"/>
                <w:sz w:val="20"/>
                <w:szCs w:val="20"/>
              </w:rPr>
            </w:pPr>
            <w:r w:rsidRPr="00392E88">
              <w:rPr>
                <w:color w:val="000000"/>
                <w:sz w:val="20"/>
              </w:rPr>
              <w:t>Linia budżetowa</w:t>
            </w:r>
          </w:p>
        </w:tc>
        <w:tc>
          <w:tcPr>
            <w:tcW w:w="471" w:type="pct"/>
            <w:tcBorders>
              <w:top w:val="nil"/>
              <w:left w:val="nil"/>
              <w:bottom w:val="single" w:sz="8" w:space="0" w:color="auto"/>
              <w:right w:val="single" w:sz="8" w:space="0" w:color="auto"/>
            </w:tcBorders>
            <w:vAlign w:val="center"/>
            <w:hideMark/>
          </w:tcPr>
          <w:p w14:paraId="339B9A50" w14:textId="77777777" w:rsidR="00044D5B" w:rsidRPr="00392E88" w:rsidRDefault="00044D5B">
            <w:pPr>
              <w:spacing w:before="0" w:after="0"/>
              <w:jc w:val="right"/>
              <w:rPr>
                <w:color w:val="000000"/>
                <w:sz w:val="18"/>
                <w:szCs w:val="18"/>
              </w:rPr>
            </w:pPr>
            <w:r w:rsidRPr="00392E88">
              <w:rPr>
                <w:color w:val="000000"/>
                <w:sz w:val="18"/>
              </w:rPr>
              <w:t xml:space="preserve"> </w:t>
            </w:r>
          </w:p>
        </w:tc>
        <w:tc>
          <w:tcPr>
            <w:tcW w:w="709" w:type="pct"/>
            <w:tcBorders>
              <w:top w:val="nil"/>
              <w:left w:val="nil"/>
              <w:bottom w:val="single" w:sz="8" w:space="0" w:color="auto"/>
              <w:right w:val="single" w:sz="8" w:space="0" w:color="000000"/>
            </w:tcBorders>
            <w:vAlign w:val="center"/>
            <w:hideMark/>
          </w:tcPr>
          <w:p w14:paraId="737BD03E" w14:textId="77777777" w:rsidR="00044D5B" w:rsidRPr="00392E88" w:rsidRDefault="00044D5B">
            <w:pPr>
              <w:spacing w:before="0" w:after="0"/>
              <w:jc w:val="center"/>
              <w:rPr>
                <w:color w:val="000000"/>
                <w:sz w:val="14"/>
                <w:szCs w:val="14"/>
              </w:rPr>
            </w:pPr>
            <w:r w:rsidRPr="00392E88">
              <w:rPr>
                <w:color w:val="000000"/>
                <w:sz w:val="14"/>
              </w:rPr>
              <w:t>(3)</w:t>
            </w:r>
          </w:p>
        </w:tc>
        <w:tc>
          <w:tcPr>
            <w:tcW w:w="441" w:type="pct"/>
            <w:tcBorders>
              <w:top w:val="nil"/>
              <w:left w:val="nil"/>
              <w:bottom w:val="single" w:sz="8" w:space="0" w:color="auto"/>
              <w:right w:val="single" w:sz="8" w:space="0" w:color="auto"/>
            </w:tcBorders>
            <w:vAlign w:val="center"/>
            <w:hideMark/>
          </w:tcPr>
          <w:p w14:paraId="6FF0CAEA" w14:textId="77777777" w:rsidR="00044D5B" w:rsidRPr="00392E88" w:rsidRDefault="00044D5B">
            <w:pPr>
              <w:spacing w:before="0" w:after="0"/>
              <w:jc w:val="right"/>
              <w:rPr>
                <w:b/>
                <w:bCs/>
                <w:color w:val="000000"/>
                <w:sz w:val="20"/>
                <w:szCs w:val="20"/>
              </w:rPr>
            </w:pPr>
            <w:r w:rsidRPr="00392E88">
              <w:rPr>
                <w:b/>
                <w:color w:val="000000"/>
                <w:sz w:val="20"/>
              </w:rPr>
              <w:t xml:space="preserve"> </w:t>
            </w:r>
          </w:p>
        </w:tc>
        <w:tc>
          <w:tcPr>
            <w:tcW w:w="441" w:type="pct"/>
            <w:tcBorders>
              <w:top w:val="nil"/>
              <w:left w:val="nil"/>
              <w:bottom w:val="single" w:sz="8" w:space="0" w:color="auto"/>
              <w:right w:val="single" w:sz="8" w:space="0" w:color="auto"/>
            </w:tcBorders>
            <w:vAlign w:val="center"/>
            <w:hideMark/>
          </w:tcPr>
          <w:p w14:paraId="03A55E89" w14:textId="77777777" w:rsidR="00044D5B" w:rsidRPr="00392E88" w:rsidRDefault="00044D5B">
            <w:pPr>
              <w:spacing w:before="0" w:after="0"/>
              <w:jc w:val="right"/>
              <w:rPr>
                <w:b/>
                <w:bCs/>
                <w:color w:val="000000"/>
                <w:sz w:val="20"/>
                <w:szCs w:val="20"/>
              </w:rPr>
            </w:pPr>
            <w:r w:rsidRPr="00392E88">
              <w:rPr>
                <w:b/>
                <w:color w:val="000000"/>
                <w:sz w:val="20"/>
              </w:rPr>
              <w:t xml:space="preserve"> </w:t>
            </w:r>
          </w:p>
        </w:tc>
        <w:tc>
          <w:tcPr>
            <w:tcW w:w="441" w:type="pct"/>
            <w:tcBorders>
              <w:top w:val="nil"/>
              <w:left w:val="nil"/>
              <w:bottom w:val="single" w:sz="8" w:space="0" w:color="auto"/>
              <w:right w:val="single" w:sz="8" w:space="0" w:color="auto"/>
            </w:tcBorders>
            <w:vAlign w:val="center"/>
            <w:hideMark/>
          </w:tcPr>
          <w:p w14:paraId="7A28540E" w14:textId="77777777" w:rsidR="00044D5B" w:rsidRPr="00392E88" w:rsidRDefault="00044D5B">
            <w:pPr>
              <w:spacing w:before="0" w:after="0"/>
              <w:jc w:val="right"/>
              <w:rPr>
                <w:b/>
                <w:bCs/>
                <w:color w:val="000000"/>
                <w:sz w:val="20"/>
                <w:szCs w:val="20"/>
              </w:rPr>
            </w:pPr>
            <w:r w:rsidRPr="00392E88">
              <w:rPr>
                <w:b/>
                <w:color w:val="000000"/>
                <w:sz w:val="20"/>
              </w:rPr>
              <w:t xml:space="preserve"> </w:t>
            </w:r>
          </w:p>
        </w:tc>
        <w:tc>
          <w:tcPr>
            <w:tcW w:w="441" w:type="pct"/>
            <w:tcBorders>
              <w:top w:val="nil"/>
              <w:left w:val="nil"/>
              <w:bottom w:val="single" w:sz="8" w:space="0" w:color="auto"/>
              <w:right w:val="single" w:sz="8" w:space="0" w:color="auto"/>
            </w:tcBorders>
            <w:vAlign w:val="center"/>
            <w:hideMark/>
          </w:tcPr>
          <w:p w14:paraId="782D9651" w14:textId="77777777" w:rsidR="00044D5B" w:rsidRPr="00392E88" w:rsidRDefault="00044D5B">
            <w:pPr>
              <w:spacing w:before="0" w:after="0"/>
              <w:jc w:val="right"/>
              <w:rPr>
                <w:b/>
                <w:bCs/>
                <w:color w:val="000000"/>
                <w:sz w:val="20"/>
                <w:szCs w:val="20"/>
              </w:rPr>
            </w:pPr>
            <w:r w:rsidRPr="00392E88">
              <w:rPr>
                <w:b/>
                <w:color w:val="000000"/>
                <w:sz w:val="20"/>
              </w:rPr>
              <w:t xml:space="preserve"> </w:t>
            </w:r>
          </w:p>
        </w:tc>
        <w:tc>
          <w:tcPr>
            <w:tcW w:w="534" w:type="pct"/>
            <w:tcBorders>
              <w:top w:val="nil"/>
              <w:left w:val="nil"/>
              <w:bottom w:val="single" w:sz="8" w:space="0" w:color="auto"/>
              <w:right w:val="single" w:sz="8" w:space="0" w:color="auto"/>
            </w:tcBorders>
            <w:shd w:val="clear" w:color="000000" w:fill="D9D9D9"/>
            <w:vAlign w:val="center"/>
            <w:hideMark/>
          </w:tcPr>
          <w:p w14:paraId="07EC9DBC" w14:textId="77777777" w:rsidR="00044D5B" w:rsidRPr="00392E88" w:rsidRDefault="00044D5B">
            <w:pPr>
              <w:spacing w:before="0" w:after="0"/>
              <w:jc w:val="right"/>
              <w:rPr>
                <w:b/>
                <w:bCs/>
                <w:color w:val="000000"/>
                <w:sz w:val="20"/>
                <w:szCs w:val="20"/>
              </w:rPr>
            </w:pPr>
            <w:r w:rsidRPr="00392E88">
              <w:rPr>
                <w:b/>
                <w:color w:val="000000"/>
                <w:sz w:val="20"/>
              </w:rPr>
              <w:t>0,000</w:t>
            </w:r>
          </w:p>
        </w:tc>
      </w:tr>
      <w:tr w:rsidR="00983E98" w:rsidRPr="00392E88" w14:paraId="76232106" w14:textId="77777777">
        <w:trPr>
          <w:trHeight w:val="300"/>
        </w:trPr>
        <w:tc>
          <w:tcPr>
            <w:tcW w:w="1522" w:type="pct"/>
            <w:tcBorders>
              <w:top w:val="nil"/>
              <w:left w:val="single" w:sz="8" w:space="0" w:color="auto"/>
              <w:bottom w:val="nil"/>
              <w:right w:val="single" w:sz="8" w:space="0" w:color="auto"/>
            </w:tcBorders>
            <w:vAlign w:val="center"/>
            <w:hideMark/>
          </w:tcPr>
          <w:p w14:paraId="17C7AED8" w14:textId="77777777" w:rsidR="00044D5B" w:rsidRPr="00392E88" w:rsidRDefault="00044D5B">
            <w:pPr>
              <w:spacing w:before="0" w:after="0"/>
              <w:jc w:val="center"/>
              <w:rPr>
                <w:b/>
                <w:bCs/>
                <w:color w:val="000000"/>
                <w:sz w:val="22"/>
              </w:rPr>
            </w:pPr>
            <w:r w:rsidRPr="00392E88">
              <w:rPr>
                <w:b/>
                <w:color w:val="000000"/>
                <w:sz w:val="22"/>
              </w:rPr>
              <w:t>OGÓŁEM środki</w:t>
            </w:r>
          </w:p>
        </w:tc>
        <w:tc>
          <w:tcPr>
            <w:tcW w:w="471" w:type="pct"/>
            <w:tcBorders>
              <w:top w:val="nil"/>
              <w:left w:val="nil"/>
              <w:bottom w:val="single" w:sz="8" w:space="0" w:color="auto"/>
              <w:right w:val="single" w:sz="8" w:space="0" w:color="auto"/>
            </w:tcBorders>
            <w:vAlign w:val="center"/>
            <w:hideMark/>
          </w:tcPr>
          <w:p w14:paraId="628B4B17" w14:textId="77777777" w:rsidR="00044D5B" w:rsidRPr="00392E88" w:rsidRDefault="00044D5B">
            <w:pPr>
              <w:spacing w:before="0" w:after="0"/>
              <w:rPr>
                <w:color w:val="000000"/>
                <w:sz w:val="18"/>
                <w:szCs w:val="18"/>
              </w:rPr>
            </w:pPr>
            <w:r w:rsidRPr="00392E88">
              <w:rPr>
                <w:color w:val="000000"/>
                <w:sz w:val="18"/>
              </w:rPr>
              <w:t>Środki na zobowiązania</w:t>
            </w:r>
          </w:p>
        </w:tc>
        <w:tc>
          <w:tcPr>
            <w:tcW w:w="709" w:type="pct"/>
            <w:tcBorders>
              <w:top w:val="single" w:sz="8" w:space="0" w:color="auto"/>
              <w:left w:val="nil"/>
              <w:bottom w:val="single" w:sz="8" w:space="0" w:color="auto"/>
              <w:right w:val="single" w:sz="8" w:space="0" w:color="000000"/>
            </w:tcBorders>
            <w:vAlign w:val="center"/>
            <w:hideMark/>
          </w:tcPr>
          <w:p w14:paraId="14CC9B28" w14:textId="77777777" w:rsidR="00044D5B" w:rsidRPr="00392E88" w:rsidRDefault="00044D5B">
            <w:pPr>
              <w:spacing w:before="0" w:after="0"/>
              <w:jc w:val="center"/>
              <w:rPr>
                <w:color w:val="000000"/>
                <w:sz w:val="14"/>
                <w:szCs w:val="14"/>
              </w:rPr>
            </w:pPr>
            <w:r w:rsidRPr="00392E88">
              <w:rPr>
                <w:color w:val="000000"/>
                <w:sz w:val="14"/>
              </w:rPr>
              <w:t>=1a+1b +3</w:t>
            </w:r>
          </w:p>
        </w:tc>
        <w:tc>
          <w:tcPr>
            <w:tcW w:w="441" w:type="pct"/>
            <w:tcBorders>
              <w:top w:val="nil"/>
              <w:left w:val="nil"/>
              <w:bottom w:val="single" w:sz="8" w:space="0" w:color="auto"/>
              <w:right w:val="single" w:sz="8" w:space="0" w:color="auto"/>
            </w:tcBorders>
            <w:shd w:val="clear" w:color="000000" w:fill="D9D9D9"/>
            <w:vAlign w:val="center"/>
            <w:hideMark/>
          </w:tcPr>
          <w:p w14:paraId="0869134B" w14:textId="77777777" w:rsidR="00044D5B" w:rsidRPr="00392E88" w:rsidRDefault="00044D5B">
            <w:pPr>
              <w:spacing w:before="0" w:after="0"/>
              <w:jc w:val="right"/>
              <w:rPr>
                <w:b/>
                <w:bCs/>
                <w:color w:val="000000"/>
                <w:sz w:val="20"/>
                <w:szCs w:val="20"/>
              </w:rPr>
            </w:pPr>
            <w:r w:rsidRPr="00392E88">
              <w:rPr>
                <w:b/>
                <w:color w:val="000000"/>
                <w:sz w:val="20"/>
              </w:rPr>
              <w:t>0,000</w:t>
            </w:r>
          </w:p>
        </w:tc>
        <w:tc>
          <w:tcPr>
            <w:tcW w:w="441" w:type="pct"/>
            <w:tcBorders>
              <w:top w:val="nil"/>
              <w:left w:val="nil"/>
              <w:bottom w:val="single" w:sz="8" w:space="0" w:color="auto"/>
              <w:right w:val="single" w:sz="8" w:space="0" w:color="auto"/>
            </w:tcBorders>
            <w:shd w:val="clear" w:color="000000" w:fill="D9D9D9"/>
            <w:vAlign w:val="center"/>
            <w:hideMark/>
          </w:tcPr>
          <w:p w14:paraId="4215DBD8" w14:textId="77777777" w:rsidR="00044D5B" w:rsidRPr="00392E88" w:rsidRDefault="00044D5B">
            <w:pPr>
              <w:spacing w:before="0" w:after="0"/>
              <w:jc w:val="right"/>
              <w:rPr>
                <w:b/>
                <w:bCs/>
                <w:color w:val="000000"/>
                <w:sz w:val="20"/>
                <w:szCs w:val="20"/>
              </w:rPr>
            </w:pPr>
            <w:r w:rsidRPr="00392E88">
              <w:rPr>
                <w:b/>
                <w:color w:val="000000"/>
                <w:sz w:val="20"/>
              </w:rPr>
              <w:t>0,000</w:t>
            </w:r>
          </w:p>
        </w:tc>
        <w:tc>
          <w:tcPr>
            <w:tcW w:w="441" w:type="pct"/>
            <w:tcBorders>
              <w:top w:val="nil"/>
              <w:left w:val="nil"/>
              <w:bottom w:val="single" w:sz="8" w:space="0" w:color="auto"/>
              <w:right w:val="single" w:sz="8" w:space="0" w:color="auto"/>
            </w:tcBorders>
            <w:shd w:val="clear" w:color="000000" w:fill="D9D9D9"/>
            <w:vAlign w:val="center"/>
            <w:hideMark/>
          </w:tcPr>
          <w:p w14:paraId="5B9FBEC4" w14:textId="77777777" w:rsidR="00044D5B" w:rsidRPr="00392E88" w:rsidRDefault="00044D5B">
            <w:pPr>
              <w:spacing w:before="0" w:after="0"/>
              <w:jc w:val="right"/>
              <w:rPr>
                <w:b/>
                <w:bCs/>
                <w:color w:val="000000"/>
                <w:sz w:val="20"/>
                <w:szCs w:val="20"/>
              </w:rPr>
            </w:pPr>
            <w:r w:rsidRPr="00392E88">
              <w:rPr>
                <w:b/>
                <w:color w:val="000000"/>
                <w:sz w:val="20"/>
              </w:rPr>
              <w:t>0,000</w:t>
            </w:r>
          </w:p>
        </w:tc>
        <w:tc>
          <w:tcPr>
            <w:tcW w:w="441" w:type="pct"/>
            <w:tcBorders>
              <w:top w:val="nil"/>
              <w:left w:val="nil"/>
              <w:bottom w:val="single" w:sz="8" w:space="0" w:color="auto"/>
              <w:right w:val="single" w:sz="8" w:space="0" w:color="auto"/>
            </w:tcBorders>
            <w:shd w:val="clear" w:color="000000" w:fill="D9D9D9"/>
            <w:vAlign w:val="center"/>
            <w:hideMark/>
          </w:tcPr>
          <w:p w14:paraId="1A66421E" w14:textId="77777777" w:rsidR="00044D5B" w:rsidRPr="00392E88" w:rsidRDefault="00044D5B">
            <w:pPr>
              <w:spacing w:before="0" w:after="0"/>
              <w:jc w:val="right"/>
              <w:rPr>
                <w:b/>
                <w:bCs/>
                <w:color w:val="000000"/>
                <w:sz w:val="20"/>
                <w:szCs w:val="20"/>
              </w:rPr>
            </w:pPr>
            <w:r w:rsidRPr="00392E88">
              <w:rPr>
                <w:b/>
                <w:color w:val="000000"/>
                <w:sz w:val="20"/>
              </w:rPr>
              <w:t>0,000</w:t>
            </w:r>
          </w:p>
        </w:tc>
        <w:tc>
          <w:tcPr>
            <w:tcW w:w="534" w:type="pct"/>
            <w:tcBorders>
              <w:top w:val="nil"/>
              <w:left w:val="nil"/>
              <w:bottom w:val="single" w:sz="8" w:space="0" w:color="auto"/>
              <w:right w:val="single" w:sz="8" w:space="0" w:color="auto"/>
            </w:tcBorders>
            <w:shd w:val="clear" w:color="000000" w:fill="D9D9D9"/>
            <w:vAlign w:val="center"/>
            <w:hideMark/>
          </w:tcPr>
          <w:p w14:paraId="6003355D" w14:textId="77777777" w:rsidR="00044D5B" w:rsidRPr="00392E88" w:rsidRDefault="00044D5B">
            <w:pPr>
              <w:spacing w:before="0" w:after="0"/>
              <w:jc w:val="right"/>
              <w:rPr>
                <w:b/>
                <w:bCs/>
                <w:color w:val="000000"/>
                <w:sz w:val="20"/>
                <w:szCs w:val="20"/>
              </w:rPr>
            </w:pPr>
            <w:r w:rsidRPr="00392E88">
              <w:rPr>
                <w:b/>
                <w:color w:val="000000"/>
                <w:sz w:val="20"/>
              </w:rPr>
              <w:t>0,000</w:t>
            </w:r>
          </w:p>
        </w:tc>
      </w:tr>
      <w:tr w:rsidR="00983E98" w:rsidRPr="00392E88" w14:paraId="6BCF6404" w14:textId="77777777">
        <w:trPr>
          <w:trHeight w:val="300"/>
        </w:trPr>
        <w:tc>
          <w:tcPr>
            <w:tcW w:w="1522" w:type="pct"/>
            <w:tcBorders>
              <w:top w:val="nil"/>
              <w:left w:val="single" w:sz="8" w:space="0" w:color="auto"/>
              <w:bottom w:val="single" w:sz="8" w:space="0" w:color="auto"/>
              <w:right w:val="single" w:sz="8" w:space="0" w:color="auto"/>
            </w:tcBorders>
            <w:vAlign w:val="center"/>
            <w:hideMark/>
          </w:tcPr>
          <w:p w14:paraId="3CB6E721" w14:textId="77777777" w:rsidR="00044D5B" w:rsidRPr="00392E88" w:rsidRDefault="00044D5B">
            <w:pPr>
              <w:spacing w:before="0" w:after="0"/>
              <w:jc w:val="center"/>
              <w:rPr>
                <w:b/>
                <w:bCs/>
                <w:color w:val="000000"/>
                <w:sz w:val="22"/>
              </w:rPr>
            </w:pPr>
            <w:r w:rsidRPr="00392E88">
              <w:rPr>
                <w:b/>
                <w:color w:val="000000"/>
                <w:sz w:val="22"/>
              </w:rPr>
              <w:t xml:space="preserve">dla Dyrekcji Generalnej </w:t>
            </w:r>
            <w:r w:rsidRPr="00392E88">
              <w:rPr>
                <w:color w:val="000000"/>
                <w:sz w:val="22"/>
              </w:rPr>
              <w:t>&lt;…….&gt;</w:t>
            </w:r>
          </w:p>
        </w:tc>
        <w:tc>
          <w:tcPr>
            <w:tcW w:w="471" w:type="pct"/>
            <w:tcBorders>
              <w:top w:val="nil"/>
              <w:left w:val="nil"/>
              <w:bottom w:val="single" w:sz="8" w:space="0" w:color="auto"/>
              <w:right w:val="single" w:sz="8" w:space="0" w:color="auto"/>
            </w:tcBorders>
            <w:vAlign w:val="center"/>
            <w:hideMark/>
          </w:tcPr>
          <w:p w14:paraId="4FCDB1E2" w14:textId="77777777" w:rsidR="00044D5B" w:rsidRPr="00392E88" w:rsidRDefault="00044D5B">
            <w:pPr>
              <w:spacing w:before="0" w:after="0"/>
              <w:rPr>
                <w:color w:val="000000"/>
                <w:sz w:val="18"/>
                <w:szCs w:val="18"/>
              </w:rPr>
            </w:pPr>
            <w:r w:rsidRPr="00392E88">
              <w:rPr>
                <w:color w:val="000000"/>
                <w:sz w:val="18"/>
              </w:rPr>
              <w:t>Środki na płatności</w:t>
            </w:r>
          </w:p>
        </w:tc>
        <w:tc>
          <w:tcPr>
            <w:tcW w:w="709" w:type="pct"/>
            <w:tcBorders>
              <w:top w:val="single" w:sz="8" w:space="0" w:color="auto"/>
              <w:left w:val="nil"/>
              <w:bottom w:val="single" w:sz="8" w:space="0" w:color="auto"/>
              <w:right w:val="single" w:sz="8" w:space="0" w:color="000000"/>
            </w:tcBorders>
            <w:vAlign w:val="center"/>
            <w:hideMark/>
          </w:tcPr>
          <w:p w14:paraId="212DFD3A" w14:textId="77777777" w:rsidR="00044D5B" w:rsidRPr="00392E88" w:rsidRDefault="00044D5B">
            <w:pPr>
              <w:spacing w:before="0" w:after="0"/>
              <w:jc w:val="center"/>
              <w:rPr>
                <w:color w:val="000000"/>
                <w:sz w:val="14"/>
                <w:szCs w:val="14"/>
              </w:rPr>
            </w:pPr>
            <w:r w:rsidRPr="00392E88">
              <w:rPr>
                <w:color w:val="000000"/>
                <w:sz w:val="14"/>
              </w:rPr>
              <w:t>=2a+2b+3</w:t>
            </w:r>
          </w:p>
        </w:tc>
        <w:tc>
          <w:tcPr>
            <w:tcW w:w="441" w:type="pct"/>
            <w:tcBorders>
              <w:top w:val="nil"/>
              <w:left w:val="nil"/>
              <w:bottom w:val="single" w:sz="8" w:space="0" w:color="auto"/>
              <w:right w:val="single" w:sz="8" w:space="0" w:color="auto"/>
            </w:tcBorders>
            <w:shd w:val="clear" w:color="000000" w:fill="D9D9D9"/>
            <w:vAlign w:val="center"/>
            <w:hideMark/>
          </w:tcPr>
          <w:p w14:paraId="7C58508A" w14:textId="77777777" w:rsidR="00044D5B" w:rsidRPr="00392E88" w:rsidRDefault="00044D5B">
            <w:pPr>
              <w:spacing w:before="0" w:after="0"/>
              <w:jc w:val="right"/>
              <w:rPr>
                <w:b/>
                <w:bCs/>
                <w:color w:val="000000"/>
                <w:sz w:val="20"/>
                <w:szCs w:val="20"/>
              </w:rPr>
            </w:pPr>
            <w:r w:rsidRPr="00392E88">
              <w:rPr>
                <w:b/>
                <w:color w:val="000000"/>
                <w:sz w:val="20"/>
              </w:rPr>
              <w:t>0,000</w:t>
            </w:r>
          </w:p>
        </w:tc>
        <w:tc>
          <w:tcPr>
            <w:tcW w:w="441" w:type="pct"/>
            <w:tcBorders>
              <w:top w:val="nil"/>
              <w:left w:val="nil"/>
              <w:bottom w:val="single" w:sz="8" w:space="0" w:color="auto"/>
              <w:right w:val="single" w:sz="8" w:space="0" w:color="auto"/>
            </w:tcBorders>
            <w:shd w:val="clear" w:color="000000" w:fill="D9D9D9"/>
            <w:vAlign w:val="center"/>
            <w:hideMark/>
          </w:tcPr>
          <w:p w14:paraId="6316C05B" w14:textId="77777777" w:rsidR="00044D5B" w:rsidRPr="00392E88" w:rsidRDefault="00044D5B">
            <w:pPr>
              <w:spacing w:before="0" w:after="0"/>
              <w:jc w:val="right"/>
              <w:rPr>
                <w:b/>
                <w:bCs/>
                <w:color w:val="000000"/>
                <w:sz w:val="20"/>
                <w:szCs w:val="20"/>
              </w:rPr>
            </w:pPr>
            <w:r w:rsidRPr="00392E88">
              <w:rPr>
                <w:b/>
                <w:color w:val="000000"/>
                <w:sz w:val="20"/>
              </w:rPr>
              <w:t>0,000</w:t>
            </w:r>
          </w:p>
        </w:tc>
        <w:tc>
          <w:tcPr>
            <w:tcW w:w="441" w:type="pct"/>
            <w:tcBorders>
              <w:top w:val="nil"/>
              <w:left w:val="nil"/>
              <w:bottom w:val="single" w:sz="8" w:space="0" w:color="auto"/>
              <w:right w:val="single" w:sz="8" w:space="0" w:color="auto"/>
            </w:tcBorders>
            <w:shd w:val="clear" w:color="000000" w:fill="D9D9D9"/>
            <w:vAlign w:val="center"/>
            <w:hideMark/>
          </w:tcPr>
          <w:p w14:paraId="7ADE5792" w14:textId="77777777" w:rsidR="00044D5B" w:rsidRPr="00392E88" w:rsidRDefault="00044D5B">
            <w:pPr>
              <w:spacing w:before="0" w:after="0"/>
              <w:jc w:val="right"/>
              <w:rPr>
                <w:b/>
                <w:bCs/>
                <w:color w:val="000000"/>
                <w:sz w:val="20"/>
                <w:szCs w:val="20"/>
              </w:rPr>
            </w:pPr>
            <w:r w:rsidRPr="00392E88">
              <w:rPr>
                <w:b/>
                <w:color w:val="000000"/>
                <w:sz w:val="20"/>
              </w:rPr>
              <w:t>0,000</w:t>
            </w:r>
          </w:p>
        </w:tc>
        <w:tc>
          <w:tcPr>
            <w:tcW w:w="441" w:type="pct"/>
            <w:tcBorders>
              <w:top w:val="nil"/>
              <w:left w:val="nil"/>
              <w:bottom w:val="single" w:sz="8" w:space="0" w:color="auto"/>
              <w:right w:val="single" w:sz="8" w:space="0" w:color="auto"/>
            </w:tcBorders>
            <w:shd w:val="clear" w:color="000000" w:fill="D9D9D9"/>
            <w:vAlign w:val="center"/>
            <w:hideMark/>
          </w:tcPr>
          <w:p w14:paraId="3ED26730" w14:textId="77777777" w:rsidR="00044D5B" w:rsidRPr="00392E88" w:rsidRDefault="00044D5B">
            <w:pPr>
              <w:spacing w:before="0" w:after="0"/>
              <w:jc w:val="right"/>
              <w:rPr>
                <w:b/>
                <w:bCs/>
                <w:color w:val="000000"/>
                <w:sz w:val="20"/>
                <w:szCs w:val="20"/>
              </w:rPr>
            </w:pPr>
            <w:r w:rsidRPr="00392E88">
              <w:rPr>
                <w:b/>
                <w:color w:val="000000"/>
                <w:sz w:val="20"/>
              </w:rPr>
              <w:t>0,000</w:t>
            </w:r>
          </w:p>
        </w:tc>
        <w:tc>
          <w:tcPr>
            <w:tcW w:w="534" w:type="pct"/>
            <w:tcBorders>
              <w:top w:val="nil"/>
              <w:left w:val="nil"/>
              <w:bottom w:val="single" w:sz="8" w:space="0" w:color="auto"/>
              <w:right w:val="single" w:sz="8" w:space="0" w:color="auto"/>
            </w:tcBorders>
            <w:shd w:val="clear" w:color="000000" w:fill="D9D9D9"/>
            <w:vAlign w:val="center"/>
            <w:hideMark/>
          </w:tcPr>
          <w:p w14:paraId="28CD6CB0" w14:textId="77777777" w:rsidR="00044D5B" w:rsidRPr="00392E88" w:rsidRDefault="00044D5B">
            <w:pPr>
              <w:spacing w:before="0" w:after="0"/>
              <w:jc w:val="right"/>
              <w:rPr>
                <w:b/>
                <w:bCs/>
                <w:color w:val="000000"/>
                <w:sz w:val="20"/>
                <w:szCs w:val="20"/>
              </w:rPr>
            </w:pPr>
            <w:r w:rsidRPr="00392E88">
              <w:rPr>
                <w:b/>
                <w:color w:val="000000"/>
                <w:sz w:val="20"/>
              </w:rPr>
              <w:t>0,000</w:t>
            </w:r>
          </w:p>
        </w:tc>
      </w:tr>
    </w:tbl>
    <w:p w14:paraId="0E3CE39E" w14:textId="77777777" w:rsidR="00044D5B" w:rsidRPr="00392E88" w:rsidRDefault="00044D5B" w:rsidP="00044D5B"/>
    <w:tbl>
      <w:tblPr>
        <w:tblW w:w="5000" w:type="pct"/>
        <w:tblInd w:w="-118" w:type="dxa"/>
        <w:tblCellMar>
          <w:left w:w="0" w:type="dxa"/>
          <w:right w:w="0" w:type="dxa"/>
        </w:tblCellMar>
        <w:tblLook w:val="04A0" w:firstRow="1" w:lastRow="0" w:firstColumn="1" w:lastColumn="0" w:noHBand="0" w:noVBand="1"/>
      </w:tblPr>
      <w:tblGrid>
        <w:gridCol w:w="1095"/>
        <w:gridCol w:w="4194"/>
        <w:gridCol w:w="1246"/>
        <w:gridCol w:w="949"/>
        <w:gridCol w:w="1"/>
        <w:gridCol w:w="953"/>
        <w:gridCol w:w="279"/>
        <w:gridCol w:w="798"/>
        <w:gridCol w:w="436"/>
        <w:gridCol w:w="641"/>
        <w:gridCol w:w="594"/>
        <w:gridCol w:w="484"/>
        <w:gridCol w:w="751"/>
        <w:gridCol w:w="327"/>
        <w:gridCol w:w="333"/>
        <w:gridCol w:w="943"/>
      </w:tblGrid>
      <w:tr w:rsidR="00B55C7B" w:rsidRPr="00392E88" w14:paraId="3F26C0A5" w14:textId="77777777">
        <w:trPr>
          <w:trHeight w:val="300"/>
        </w:trPr>
        <w:tc>
          <w:tcPr>
            <w:tcW w:w="2432" w:type="pct"/>
            <w:gridSpan w:val="7"/>
            <w:vMerge w:val="restart"/>
            <w:tcBorders>
              <w:top w:val="single" w:sz="8" w:space="0" w:color="auto"/>
              <w:left w:val="single" w:sz="8" w:space="0" w:color="auto"/>
              <w:bottom w:val="single" w:sz="8" w:space="0" w:color="000000"/>
              <w:right w:val="single" w:sz="8" w:space="0" w:color="000000"/>
            </w:tcBorders>
            <w:vAlign w:val="center"/>
            <w:hideMark/>
          </w:tcPr>
          <w:p w14:paraId="50F4E91B" w14:textId="77777777" w:rsidR="00044D5B" w:rsidRPr="00392E88" w:rsidRDefault="00044D5B">
            <w:pPr>
              <w:spacing w:before="0" w:after="0"/>
              <w:jc w:val="center"/>
              <w:rPr>
                <w:b/>
                <w:bCs/>
                <w:color w:val="000000"/>
                <w:sz w:val="22"/>
              </w:rPr>
            </w:pPr>
            <w:r w:rsidRPr="00392E88">
              <w:rPr>
                <w:b/>
                <w:color w:val="000000"/>
                <w:sz w:val="22"/>
              </w:rPr>
              <w:t xml:space="preserve"> </w:t>
            </w:r>
          </w:p>
        </w:tc>
        <w:tc>
          <w:tcPr>
            <w:tcW w:w="493" w:type="pct"/>
            <w:gridSpan w:val="2"/>
            <w:tcBorders>
              <w:top w:val="single" w:sz="8" w:space="0" w:color="auto"/>
              <w:left w:val="nil"/>
              <w:bottom w:val="single" w:sz="8" w:space="0" w:color="auto"/>
              <w:right w:val="single" w:sz="8" w:space="0" w:color="auto"/>
            </w:tcBorders>
            <w:vAlign w:val="center"/>
            <w:hideMark/>
          </w:tcPr>
          <w:p w14:paraId="5E9FA04D" w14:textId="77777777" w:rsidR="00044D5B" w:rsidRPr="00392E88" w:rsidRDefault="00044D5B">
            <w:pPr>
              <w:spacing w:before="0" w:after="0"/>
              <w:jc w:val="center"/>
              <w:rPr>
                <w:color w:val="000000"/>
                <w:sz w:val="20"/>
                <w:szCs w:val="20"/>
              </w:rPr>
            </w:pPr>
            <w:r w:rsidRPr="00392E88">
              <w:rPr>
                <w:color w:val="000000"/>
                <w:sz w:val="20"/>
              </w:rPr>
              <w:t>Rok</w:t>
            </w:r>
          </w:p>
        </w:tc>
        <w:tc>
          <w:tcPr>
            <w:tcW w:w="493" w:type="pct"/>
            <w:gridSpan w:val="2"/>
            <w:tcBorders>
              <w:top w:val="single" w:sz="8" w:space="0" w:color="auto"/>
              <w:left w:val="nil"/>
              <w:bottom w:val="single" w:sz="8" w:space="0" w:color="auto"/>
              <w:right w:val="single" w:sz="8" w:space="0" w:color="auto"/>
            </w:tcBorders>
            <w:vAlign w:val="center"/>
            <w:hideMark/>
          </w:tcPr>
          <w:p w14:paraId="2CD58E9A" w14:textId="77777777" w:rsidR="00044D5B" w:rsidRPr="00392E88" w:rsidRDefault="00044D5B">
            <w:pPr>
              <w:spacing w:before="0" w:after="0"/>
              <w:jc w:val="center"/>
              <w:rPr>
                <w:color w:val="000000"/>
                <w:sz w:val="20"/>
                <w:szCs w:val="20"/>
              </w:rPr>
            </w:pPr>
            <w:r w:rsidRPr="00392E88">
              <w:rPr>
                <w:color w:val="000000"/>
                <w:sz w:val="20"/>
              </w:rPr>
              <w:t>Rok</w:t>
            </w:r>
          </w:p>
        </w:tc>
        <w:tc>
          <w:tcPr>
            <w:tcW w:w="493" w:type="pct"/>
            <w:gridSpan w:val="2"/>
            <w:tcBorders>
              <w:top w:val="single" w:sz="8" w:space="0" w:color="auto"/>
              <w:left w:val="nil"/>
              <w:bottom w:val="single" w:sz="8" w:space="0" w:color="auto"/>
              <w:right w:val="single" w:sz="8" w:space="0" w:color="auto"/>
            </w:tcBorders>
            <w:vAlign w:val="center"/>
            <w:hideMark/>
          </w:tcPr>
          <w:p w14:paraId="17CC819D" w14:textId="77777777" w:rsidR="00044D5B" w:rsidRPr="00392E88" w:rsidRDefault="00044D5B">
            <w:pPr>
              <w:spacing w:before="0" w:after="0"/>
              <w:jc w:val="center"/>
              <w:rPr>
                <w:color w:val="000000"/>
                <w:sz w:val="20"/>
                <w:szCs w:val="20"/>
              </w:rPr>
            </w:pPr>
            <w:r w:rsidRPr="00392E88">
              <w:rPr>
                <w:color w:val="000000"/>
                <w:sz w:val="20"/>
              </w:rPr>
              <w:t>Rok</w:t>
            </w:r>
          </w:p>
        </w:tc>
        <w:tc>
          <w:tcPr>
            <w:tcW w:w="493" w:type="pct"/>
            <w:gridSpan w:val="2"/>
            <w:tcBorders>
              <w:top w:val="single" w:sz="8" w:space="0" w:color="auto"/>
              <w:left w:val="nil"/>
              <w:bottom w:val="single" w:sz="8" w:space="0" w:color="auto"/>
              <w:right w:val="single" w:sz="8" w:space="0" w:color="auto"/>
            </w:tcBorders>
            <w:vAlign w:val="center"/>
            <w:hideMark/>
          </w:tcPr>
          <w:p w14:paraId="1B952B72" w14:textId="77777777" w:rsidR="00044D5B" w:rsidRPr="00392E88" w:rsidRDefault="00044D5B">
            <w:pPr>
              <w:spacing w:before="0" w:after="0"/>
              <w:jc w:val="center"/>
              <w:rPr>
                <w:color w:val="000000"/>
                <w:sz w:val="20"/>
                <w:szCs w:val="20"/>
              </w:rPr>
            </w:pPr>
            <w:r w:rsidRPr="00392E88">
              <w:rPr>
                <w:color w:val="000000"/>
                <w:sz w:val="20"/>
              </w:rPr>
              <w:t>Rok</w:t>
            </w:r>
          </w:p>
        </w:tc>
        <w:tc>
          <w:tcPr>
            <w:tcW w:w="596" w:type="pct"/>
            <w:vMerge w:val="restart"/>
            <w:tcBorders>
              <w:top w:val="single" w:sz="8" w:space="0" w:color="auto"/>
              <w:left w:val="single" w:sz="8" w:space="0" w:color="auto"/>
              <w:bottom w:val="single" w:sz="8" w:space="0" w:color="auto"/>
              <w:right w:val="single" w:sz="8" w:space="0" w:color="auto"/>
            </w:tcBorders>
            <w:vAlign w:val="center"/>
            <w:hideMark/>
          </w:tcPr>
          <w:p w14:paraId="44B06BDC" w14:textId="77777777" w:rsidR="00044D5B" w:rsidRPr="00392E88" w:rsidRDefault="00044D5B">
            <w:pPr>
              <w:spacing w:before="0" w:after="0"/>
              <w:jc w:val="center"/>
              <w:rPr>
                <w:b/>
                <w:bCs/>
                <w:color w:val="000000"/>
                <w:sz w:val="20"/>
                <w:szCs w:val="20"/>
              </w:rPr>
            </w:pPr>
            <w:r w:rsidRPr="00392E88">
              <w:rPr>
                <w:b/>
                <w:color w:val="000000"/>
                <w:sz w:val="20"/>
              </w:rPr>
              <w:t>OGÓŁEM WRF 2021–2027</w:t>
            </w:r>
          </w:p>
        </w:tc>
      </w:tr>
      <w:tr w:rsidR="00B55C7B" w:rsidRPr="00392E88" w14:paraId="3E29CDD7" w14:textId="77777777">
        <w:trPr>
          <w:trHeight w:val="300"/>
        </w:trPr>
        <w:tc>
          <w:tcPr>
            <w:tcW w:w="2432" w:type="pct"/>
            <w:gridSpan w:val="7"/>
            <w:vMerge/>
            <w:tcBorders>
              <w:top w:val="single" w:sz="8" w:space="0" w:color="auto"/>
              <w:left w:val="single" w:sz="8" w:space="0" w:color="auto"/>
              <w:bottom w:val="single" w:sz="8" w:space="0" w:color="000000"/>
              <w:right w:val="single" w:sz="8" w:space="0" w:color="000000"/>
            </w:tcBorders>
            <w:vAlign w:val="center"/>
            <w:hideMark/>
          </w:tcPr>
          <w:p w14:paraId="4CB95F18" w14:textId="77777777" w:rsidR="00044D5B" w:rsidRPr="00392E88" w:rsidRDefault="00044D5B">
            <w:pPr>
              <w:spacing w:before="0" w:after="0"/>
              <w:jc w:val="left"/>
              <w:rPr>
                <w:b/>
                <w:bCs/>
                <w:color w:val="000000"/>
                <w:sz w:val="22"/>
                <w:lang w:eastAsia="en-IE"/>
              </w:rPr>
            </w:pPr>
          </w:p>
        </w:tc>
        <w:tc>
          <w:tcPr>
            <w:tcW w:w="493" w:type="pct"/>
            <w:gridSpan w:val="2"/>
            <w:tcBorders>
              <w:top w:val="nil"/>
              <w:left w:val="nil"/>
              <w:bottom w:val="single" w:sz="8" w:space="0" w:color="auto"/>
              <w:right w:val="single" w:sz="8" w:space="0" w:color="auto"/>
            </w:tcBorders>
            <w:vAlign w:val="center"/>
            <w:hideMark/>
          </w:tcPr>
          <w:p w14:paraId="7E81FDCC" w14:textId="77777777" w:rsidR="00044D5B" w:rsidRPr="00392E88" w:rsidRDefault="00044D5B">
            <w:pPr>
              <w:spacing w:before="0" w:after="0"/>
              <w:jc w:val="center"/>
              <w:rPr>
                <w:b/>
                <w:bCs/>
                <w:color w:val="000000"/>
                <w:sz w:val="20"/>
                <w:szCs w:val="20"/>
              </w:rPr>
            </w:pPr>
            <w:r w:rsidRPr="00392E88">
              <w:rPr>
                <w:b/>
                <w:color w:val="000000"/>
                <w:sz w:val="20"/>
              </w:rPr>
              <w:t>2024</w:t>
            </w:r>
          </w:p>
        </w:tc>
        <w:tc>
          <w:tcPr>
            <w:tcW w:w="493" w:type="pct"/>
            <w:gridSpan w:val="2"/>
            <w:tcBorders>
              <w:top w:val="nil"/>
              <w:left w:val="nil"/>
              <w:bottom w:val="single" w:sz="8" w:space="0" w:color="auto"/>
              <w:right w:val="single" w:sz="8" w:space="0" w:color="auto"/>
            </w:tcBorders>
            <w:vAlign w:val="center"/>
            <w:hideMark/>
          </w:tcPr>
          <w:p w14:paraId="5BF27265" w14:textId="77777777" w:rsidR="00044D5B" w:rsidRPr="00392E88" w:rsidRDefault="00044D5B">
            <w:pPr>
              <w:spacing w:before="0" w:after="0"/>
              <w:jc w:val="center"/>
              <w:rPr>
                <w:b/>
                <w:bCs/>
                <w:color w:val="000000"/>
                <w:sz w:val="20"/>
                <w:szCs w:val="20"/>
              </w:rPr>
            </w:pPr>
            <w:r w:rsidRPr="00392E88">
              <w:rPr>
                <w:b/>
                <w:color w:val="000000"/>
                <w:sz w:val="20"/>
              </w:rPr>
              <w:t>2025</w:t>
            </w:r>
          </w:p>
        </w:tc>
        <w:tc>
          <w:tcPr>
            <w:tcW w:w="493" w:type="pct"/>
            <w:gridSpan w:val="2"/>
            <w:tcBorders>
              <w:top w:val="nil"/>
              <w:left w:val="nil"/>
              <w:bottom w:val="single" w:sz="8" w:space="0" w:color="auto"/>
              <w:right w:val="single" w:sz="8" w:space="0" w:color="auto"/>
            </w:tcBorders>
            <w:vAlign w:val="center"/>
            <w:hideMark/>
          </w:tcPr>
          <w:p w14:paraId="7F1B6D1F" w14:textId="77777777" w:rsidR="00044D5B" w:rsidRPr="00392E88" w:rsidRDefault="00044D5B">
            <w:pPr>
              <w:spacing w:before="0" w:after="0"/>
              <w:jc w:val="center"/>
              <w:rPr>
                <w:b/>
                <w:bCs/>
                <w:color w:val="000000"/>
                <w:sz w:val="20"/>
                <w:szCs w:val="20"/>
              </w:rPr>
            </w:pPr>
            <w:r w:rsidRPr="00392E88">
              <w:rPr>
                <w:b/>
                <w:color w:val="000000"/>
                <w:sz w:val="20"/>
              </w:rPr>
              <w:t>2026</w:t>
            </w:r>
          </w:p>
        </w:tc>
        <w:tc>
          <w:tcPr>
            <w:tcW w:w="493" w:type="pct"/>
            <w:gridSpan w:val="2"/>
            <w:tcBorders>
              <w:top w:val="nil"/>
              <w:left w:val="nil"/>
              <w:bottom w:val="single" w:sz="8" w:space="0" w:color="auto"/>
              <w:right w:val="single" w:sz="8" w:space="0" w:color="auto"/>
            </w:tcBorders>
            <w:vAlign w:val="center"/>
            <w:hideMark/>
          </w:tcPr>
          <w:p w14:paraId="5A3635B2" w14:textId="77777777" w:rsidR="00044D5B" w:rsidRPr="00392E88" w:rsidRDefault="00044D5B">
            <w:pPr>
              <w:spacing w:before="0" w:after="0"/>
              <w:jc w:val="center"/>
              <w:rPr>
                <w:b/>
                <w:bCs/>
                <w:color w:val="000000"/>
                <w:sz w:val="20"/>
                <w:szCs w:val="20"/>
              </w:rPr>
            </w:pPr>
            <w:r w:rsidRPr="00392E88">
              <w:rPr>
                <w:b/>
                <w:color w:val="000000"/>
                <w:sz w:val="20"/>
              </w:rPr>
              <w:t>2027</w:t>
            </w:r>
          </w:p>
        </w:tc>
        <w:tc>
          <w:tcPr>
            <w:tcW w:w="596" w:type="pct"/>
            <w:vMerge/>
            <w:tcBorders>
              <w:top w:val="single" w:sz="8" w:space="0" w:color="auto"/>
              <w:left w:val="single" w:sz="8" w:space="0" w:color="auto"/>
              <w:bottom w:val="single" w:sz="8" w:space="0" w:color="auto"/>
              <w:right w:val="single" w:sz="8" w:space="0" w:color="auto"/>
            </w:tcBorders>
            <w:vAlign w:val="center"/>
            <w:hideMark/>
          </w:tcPr>
          <w:p w14:paraId="6CB6DC2E" w14:textId="77777777" w:rsidR="00044D5B" w:rsidRPr="00392E88" w:rsidRDefault="00044D5B">
            <w:pPr>
              <w:spacing w:before="0" w:after="0"/>
              <w:jc w:val="left"/>
              <w:rPr>
                <w:b/>
                <w:bCs/>
                <w:color w:val="000000"/>
                <w:sz w:val="20"/>
                <w:szCs w:val="20"/>
                <w:lang w:eastAsia="en-IE"/>
              </w:rPr>
            </w:pPr>
          </w:p>
        </w:tc>
      </w:tr>
      <w:tr w:rsidR="00983E98" w:rsidRPr="00392E88" w14:paraId="6F3526D1" w14:textId="77777777">
        <w:trPr>
          <w:trHeight w:val="432"/>
        </w:trPr>
        <w:tc>
          <w:tcPr>
            <w:tcW w:w="1411" w:type="pct"/>
            <w:gridSpan w:val="2"/>
            <w:vMerge w:val="restart"/>
            <w:tcBorders>
              <w:top w:val="nil"/>
              <w:left w:val="single" w:sz="8" w:space="0" w:color="auto"/>
              <w:bottom w:val="single" w:sz="8" w:space="0" w:color="auto"/>
              <w:right w:val="single" w:sz="8" w:space="0" w:color="auto"/>
            </w:tcBorders>
            <w:vAlign w:val="center"/>
            <w:hideMark/>
          </w:tcPr>
          <w:p w14:paraId="64CA9821" w14:textId="6D3F9399" w:rsidR="00044D5B" w:rsidRPr="00392E88" w:rsidRDefault="00044D5B">
            <w:pPr>
              <w:spacing w:before="0" w:after="0"/>
              <w:rPr>
                <w:color w:val="000000"/>
                <w:sz w:val="21"/>
                <w:szCs w:val="21"/>
              </w:rPr>
            </w:pPr>
            <w:r w:rsidRPr="00392E88">
              <w:rPr>
                <w:color w:val="000000"/>
                <w:sz w:val="21"/>
              </w:rPr>
              <w:t>OGÓŁEM środki operacyjn</w:t>
            </w:r>
            <w:r w:rsidRPr="006E6446">
              <w:rPr>
                <w:color w:val="000000"/>
                <w:sz w:val="21"/>
              </w:rPr>
              <w:t>e</w:t>
            </w:r>
            <w:r w:rsidR="006E6446" w:rsidRPr="006E6446">
              <w:rPr>
                <w:color w:val="000000"/>
                <w:sz w:val="21"/>
              </w:rPr>
              <w:t xml:space="preserve"> </w:t>
            </w:r>
            <w:r w:rsidRPr="006E6446">
              <w:br/>
            </w:r>
          </w:p>
        </w:tc>
        <w:tc>
          <w:tcPr>
            <w:tcW w:w="529" w:type="pct"/>
            <w:gridSpan w:val="3"/>
            <w:tcBorders>
              <w:top w:val="nil"/>
              <w:left w:val="nil"/>
              <w:bottom w:val="single" w:sz="8" w:space="0" w:color="auto"/>
              <w:right w:val="single" w:sz="8" w:space="0" w:color="auto"/>
            </w:tcBorders>
            <w:vAlign w:val="center"/>
            <w:hideMark/>
          </w:tcPr>
          <w:p w14:paraId="4B3B20D3" w14:textId="77777777" w:rsidR="00044D5B" w:rsidRPr="00392E88" w:rsidRDefault="00044D5B">
            <w:pPr>
              <w:spacing w:before="0" w:after="0"/>
              <w:rPr>
                <w:color w:val="000000"/>
                <w:sz w:val="18"/>
                <w:szCs w:val="18"/>
              </w:rPr>
            </w:pPr>
            <w:r w:rsidRPr="00392E88">
              <w:rPr>
                <w:color w:val="000000"/>
                <w:sz w:val="18"/>
              </w:rPr>
              <w:t>Środki na zobowiązania</w:t>
            </w:r>
          </w:p>
        </w:tc>
        <w:tc>
          <w:tcPr>
            <w:tcW w:w="492" w:type="pct"/>
            <w:gridSpan w:val="2"/>
            <w:tcBorders>
              <w:top w:val="single" w:sz="8" w:space="0" w:color="auto"/>
              <w:left w:val="nil"/>
              <w:bottom w:val="single" w:sz="8" w:space="0" w:color="auto"/>
              <w:right w:val="single" w:sz="8" w:space="0" w:color="auto"/>
            </w:tcBorders>
            <w:vAlign w:val="center"/>
            <w:hideMark/>
          </w:tcPr>
          <w:p w14:paraId="36671BA4" w14:textId="77777777" w:rsidR="00044D5B" w:rsidRPr="00392E88" w:rsidRDefault="00044D5B">
            <w:pPr>
              <w:spacing w:before="0" w:after="0"/>
              <w:jc w:val="center"/>
              <w:rPr>
                <w:color w:val="000000"/>
                <w:sz w:val="14"/>
                <w:szCs w:val="14"/>
              </w:rPr>
            </w:pPr>
            <w:r w:rsidRPr="00392E88">
              <w:rPr>
                <w:color w:val="000000"/>
                <w:sz w:val="14"/>
              </w:rPr>
              <w:t>(4)</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2C9C2604" w14:textId="77777777" w:rsidR="00044D5B" w:rsidRPr="00392E88" w:rsidRDefault="00044D5B">
            <w:pPr>
              <w:spacing w:before="0" w:after="0"/>
              <w:jc w:val="right"/>
              <w:rPr>
                <w:color w:val="000000"/>
                <w:sz w:val="20"/>
                <w:szCs w:val="20"/>
              </w:rPr>
            </w:pPr>
            <w:r w:rsidRPr="00392E88">
              <w:rPr>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7D6B2D35" w14:textId="77777777" w:rsidR="00044D5B" w:rsidRPr="00392E88" w:rsidRDefault="00044D5B">
            <w:pPr>
              <w:spacing w:before="0" w:after="0"/>
              <w:jc w:val="right"/>
              <w:rPr>
                <w:color w:val="000000"/>
                <w:sz w:val="20"/>
                <w:szCs w:val="20"/>
              </w:rPr>
            </w:pPr>
            <w:r w:rsidRPr="00392E88">
              <w:rPr>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13B24E95" w14:textId="77777777" w:rsidR="00044D5B" w:rsidRPr="00392E88" w:rsidRDefault="00044D5B">
            <w:pPr>
              <w:spacing w:before="0" w:after="0"/>
              <w:jc w:val="right"/>
              <w:rPr>
                <w:color w:val="000000"/>
                <w:sz w:val="20"/>
                <w:szCs w:val="20"/>
              </w:rPr>
            </w:pPr>
            <w:r w:rsidRPr="00392E88">
              <w:rPr>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3A7D5537" w14:textId="77777777" w:rsidR="00044D5B" w:rsidRPr="00392E88" w:rsidRDefault="00044D5B">
            <w:pPr>
              <w:spacing w:before="0" w:after="0"/>
              <w:jc w:val="right"/>
              <w:rPr>
                <w:color w:val="000000"/>
                <w:sz w:val="20"/>
                <w:szCs w:val="20"/>
              </w:rPr>
            </w:pPr>
            <w:r w:rsidRPr="00392E88">
              <w:rPr>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14:paraId="753AE376" w14:textId="77777777" w:rsidR="00044D5B" w:rsidRPr="00392E88" w:rsidRDefault="00044D5B">
            <w:pPr>
              <w:spacing w:before="0" w:after="0"/>
              <w:jc w:val="right"/>
              <w:rPr>
                <w:b/>
                <w:bCs/>
                <w:color w:val="000000"/>
                <w:sz w:val="20"/>
                <w:szCs w:val="20"/>
              </w:rPr>
            </w:pPr>
            <w:r w:rsidRPr="00392E88">
              <w:rPr>
                <w:b/>
                <w:color w:val="000000"/>
                <w:sz w:val="20"/>
              </w:rPr>
              <w:t>0,000</w:t>
            </w:r>
          </w:p>
        </w:tc>
      </w:tr>
      <w:tr w:rsidR="00983E98" w:rsidRPr="00392E88" w14:paraId="0C938B2A" w14:textId="77777777">
        <w:trPr>
          <w:trHeight w:val="456"/>
        </w:trPr>
        <w:tc>
          <w:tcPr>
            <w:tcW w:w="1411" w:type="pct"/>
            <w:gridSpan w:val="2"/>
            <w:vMerge/>
            <w:tcBorders>
              <w:top w:val="nil"/>
              <w:left w:val="single" w:sz="8" w:space="0" w:color="auto"/>
              <w:bottom w:val="single" w:sz="8" w:space="0" w:color="auto"/>
              <w:right w:val="single" w:sz="8" w:space="0" w:color="auto"/>
            </w:tcBorders>
            <w:vAlign w:val="center"/>
            <w:hideMark/>
          </w:tcPr>
          <w:p w14:paraId="651F10FE" w14:textId="77777777" w:rsidR="00044D5B" w:rsidRPr="00392E88" w:rsidRDefault="00044D5B">
            <w:pPr>
              <w:spacing w:before="0" w:after="0"/>
              <w:jc w:val="left"/>
              <w:rPr>
                <w:color w:val="000000"/>
                <w:sz w:val="21"/>
                <w:szCs w:val="21"/>
                <w:lang w:eastAsia="en-IE"/>
              </w:rPr>
            </w:pPr>
          </w:p>
        </w:tc>
        <w:tc>
          <w:tcPr>
            <w:tcW w:w="529" w:type="pct"/>
            <w:gridSpan w:val="3"/>
            <w:tcBorders>
              <w:top w:val="nil"/>
              <w:left w:val="nil"/>
              <w:bottom w:val="single" w:sz="8" w:space="0" w:color="auto"/>
              <w:right w:val="single" w:sz="8" w:space="0" w:color="auto"/>
            </w:tcBorders>
            <w:vAlign w:val="center"/>
            <w:hideMark/>
          </w:tcPr>
          <w:p w14:paraId="73DBBDDB" w14:textId="77777777" w:rsidR="00044D5B" w:rsidRPr="00392E88" w:rsidRDefault="00044D5B">
            <w:pPr>
              <w:spacing w:before="0" w:after="0"/>
              <w:rPr>
                <w:color w:val="000000"/>
                <w:sz w:val="18"/>
                <w:szCs w:val="18"/>
              </w:rPr>
            </w:pPr>
            <w:r w:rsidRPr="00392E88">
              <w:rPr>
                <w:color w:val="000000"/>
                <w:sz w:val="18"/>
              </w:rPr>
              <w:t>Środki na płatności</w:t>
            </w:r>
          </w:p>
        </w:tc>
        <w:tc>
          <w:tcPr>
            <w:tcW w:w="492" w:type="pct"/>
            <w:gridSpan w:val="2"/>
            <w:tcBorders>
              <w:top w:val="single" w:sz="8" w:space="0" w:color="auto"/>
              <w:left w:val="nil"/>
              <w:bottom w:val="single" w:sz="8" w:space="0" w:color="auto"/>
              <w:right w:val="single" w:sz="8" w:space="0" w:color="auto"/>
            </w:tcBorders>
            <w:vAlign w:val="center"/>
            <w:hideMark/>
          </w:tcPr>
          <w:p w14:paraId="500F75BD" w14:textId="77777777" w:rsidR="00044D5B" w:rsidRPr="00392E88" w:rsidRDefault="00044D5B">
            <w:pPr>
              <w:spacing w:before="0" w:after="0"/>
              <w:jc w:val="center"/>
              <w:rPr>
                <w:color w:val="000000"/>
                <w:sz w:val="14"/>
                <w:szCs w:val="14"/>
              </w:rPr>
            </w:pPr>
            <w:r w:rsidRPr="00392E88">
              <w:rPr>
                <w:color w:val="000000"/>
                <w:sz w:val="14"/>
              </w:rPr>
              <w:t>(5)</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7C24C52C" w14:textId="77777777" w:rsidR="00044D5B" w:rsidRPr="00392E88" w:rsidRDefault="00044D5B">
            <w:pPr>
              <w:spacing w:before="0" w:after="0"/>
              <w:jc w:val="right"/>
              <w:rPr>
                <w:color w:val="000000"/>
                <w:sz w:val="20"/>
                <w:szCs w:val="20"/>
              </w:rPr>
            </w:pPr>
            <w:r w:rsidRPr="00392E88">
              <w:rPr>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29AD304E" w14:textId="77777777" w:rsidR="00044D5B" w:rsidRPr="00392E88" w:rsidRDefault="00044D5B">
            <w:pPr>
              <w:spacing w:before="0" w:after="0"/>
              <w:jc w:val="right"/>
              <w:rPr>
                <w:color w:val="000000"/>
                <w:sz w:val="20"/>
                <w:szCs w:val="20"/>
              </w:rPr>
            </w:pPr>
            <w:r w:rsidRPr="00392E88">
              <w:rPr>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7422FBF8" w14:textId="77777777" w:rsidR="00044D5B" w:rsidRPr="00392E88" w:rsidRDefault="00044D5B">
            <w:pPr>
              <w:spacing w:before="0" w:after="0"/>
              <w:jc w:val="right"/>
              <w:rPr>
                <w:color w:val="000000"/>
                <w:sz w:val="20"/>
                <w:szCs w:val="20"/>
              </w:rPr>
            </w:pPr>
            <w:r w:rsidRPr="00392E88">
              <w:rPr>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7D295EEA" w14:textId="77777777" w:rsidR="00044D5B" w:rsidRPr="00392E88" w:rsidRDefault="00044D5B">
            <w:pPr>
              <w:spacing w:before="0" w:after="0"/>
              <w:jc w:val="right"/>
              <w:rPr>
                <w:color w:val="000000"/>
                <w:sz w:val="20"/>
                <w:szCs w:val="20"/>
              </w:rPr>
            </w:pPr>
            <w:r w:rsidRPr="00392E88">
              <w:rPr>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14:paraId="372B20BC" w14:textId="77777777" w:rsidR="00044D5B" w:rsidRPr="00392E88" w:rsidRDefault="00044D5B">
            <w:pPr>
              <w:spacing w:before="0" w:after="0"/>
              <w:jc w:val="right"/>
              <w:rPr>
                <w:b/>
                <w:bCs/>
                <w:color w:val="000000"/>
                <w:sz w:val="20"/>
                <w:szCs w:val="20"/>
              </w:rPr>
            </w:pPr>
            <w:r w:rsidRPr="00392E88">
              <w:rPr>
                <w:b/>
                <w:color w:val="000000"/>
                <w:sz w:val="20"/>
              </w:rPr>
              <w:t>0,000</w:t>
            </w:r>
          </w:p>
        </w:tc>
      </w:tr>
      <w:tr w:rsidR="00E6355E" w:rsidRPr="00392E88" w14:paraId="279E812A" w14:textId="77777777">
        <w:trPr>
          <w:trHeight w:val="924"/>
        </w:trPr>
        <w:tc>
          <w:tcPr>
            <w:tcW w:w="1939" w:type="pct"/>
            <w:gridSpan w:val="2"/>
            <w:tcBorders>
              <w:top w:val="single" w:sz="8" w:space="0" w:color="auto"/>
              <w:left w:val="single" w:sz="8" w:space="0" w:color="auto"/>
              <w:bottom w:val="single" w:sz="8" w:space="0" w:color="auto"/>
              <w:right w:val="single" w:sz="8" w:space="0" w:color="auto"/>
            </w:tcBorders>
            <w:vAlign w:val="center"/>
            <w:hideMark/>
          </w:tcPr>
          <w:p w14:paraId="134E8CF2" w14:textId="77777777" w:rsidR="00044D5B" w:rsidRPr="00392E88" w:rsidRDefault="00044D5B">
            <w:pPr>
              <w:spacing w:before="0" w:after="0"/>
              <w:rPr>
                <w:color w:val="000000"/>
                <w:sz w:val="21"/>
                <w:szCs w:val="21"/>
              </w:rPr>
            </w:pPr>
            <w:r w:rsidRPr="00392E88">
              <w:rPr>
                <w:color w:val="000000"/>
                <w:sz w:val="21"/>
              </w:rPr>
              <w:t xml:space="preserve">OGÓŁEM środki administracyjne finansowane ze środków przydzielonych na określone programy </w:t>
            </w:r>
          </w:p>
        </w:tc>
        <w:tc>
          <w:tcPr>
            <w:tcW w:w="492" w:type="pct"/>
            <w:gridSpan w:val="5"/>
            <w:tcBorders>
              <w:top w:val="single" w:sz="8" w:space="0" w:color="auto"/>
              <w:left w:val="nil"/>
              <w:bottom w:val="single" w:sz="8" w:space="0" w:color="auto"/>
              <w:right w:val="single" w:sz="8" w:space="0" w:color="auto"/>
            </w:tcBorders>
            <w:vAlign w:val="center"/>
            <w:hideMark/>
          </w:tcPr>
          <w:p w14:paraId="4781ECB7" w14:textId="77777777" w:rsidR="00044D5B" w:rsidRPr="00392E88" w:rsidRDefault="00044D5B">
            <w:pPr>
              <w:spacing w:before="0" w:after="0"/>
              <w:jc w:val="center"/>
              <w:rPr>
                <w:color w:val="000000"/>
                <w:sz w:val="14"/>
                <w:szCs w:val="14"/>
              </w:rPr>
            </w:pPr>
            <w:r w:rsidRPr="00392E88">
              <w:rPr>
                <w:color w:val="000000"/>
                <w:sz w:val="14"/>
              </w:rPr>
              <w:t>(6)</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5E630949" w14:textId="77777777" w:rsidR="00044D5B" w:rsidRPr="00392E88" w:rsidRDefault="00044D5B">
            <w:pPr>
              <w:spacing w:before="0" w:after="0"/>
              <w:jc w:val="right"/>
              <w:rPr>
                <w:color w:val="000000"/>
                <w:sz w:val="20"/>
                <w:szCs w:val="20"/>
              </w:rPr>
            </w:pPr>
            <w:r w:rsidRPr="00392E88">
              <w:rPr>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18682970" w14:textId="77777777" w:rsidR="00044D5B" w:rsidRPr="00392E88" w:rsidRDefault="00044D5B">
            <w:pPr>
              <w:spacing w:before="0" w:after="0"/>
              <w:jc w:val="right"/>
              <w:rPr>
                <w:color w:val="000000"/>
                <w:sz w:val="20"/>
                <w:szCs w:val="20"/>
              </w:rPr>
            </w:pPr>
            <w:r w:rsidRPr="00392E88">
              <w:rPr>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6F0A6116" w14:textId="77777777" w:rsidR="00044D5B" w:rsidRPr="00392E88" w:rsidRDefault="00044D5B">
            <w:pPr>
              <w:spacing w:before="0" w:after="0"/>
              <w:jc w:val="right"/>
              <w:rPr>
                <w:color w:val="000000"/>
                <w:sz w:val="20"/>
                <w:szCs w:val="20"/>
              </w:rPr>
            </w:pPr>
            <w:r w:rsidRPr="00392E88">
              <w:rPr>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7C3B7A0E" w14:textId="77777777" w:rsidR="00044D5B" w:rsidRPr="00392E88" w:rsidRDefault="00044D5B">
            <w:pPr>
              <w:spacing w:before="0" w:after="0"/>
              <w:jc w:val="right"/>
              <w:rPr>
                <w:color w:val="000000"/>
                <w:sz w:val="20"/>
                <w:szCs w:val="20"/>
              </w:rPr>
            </w:pPr>
            <w:r w:rsidRPr="00392E88">
              <w:rPr>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14:paraId="10C66F0A" w14:textId="77777777" w:rsidR="00044D5B" w:rsidRPr="00392E88" w:rsidRDefault="00044D5B">
            <w:pPr>
              <w:spacing w:before="0" w:after="0"/>
              <w:jc w:val="right"/>
              <w:rPr>
                <w:b/>
                <w:bCs/>
                <w:color w:val="000000"/>
                <w:sz w:val="20"/>
                <w:szCs w:val="20"/>
              </w:rPr>
            </w:pPr>
            <w:r w:rsidRPr="00392E88">
              <w:rPr>
                <w:b/>
                <w:color w:val="000000"/>
                <w:sz w:val="20"/>
              </w:rPr>
              <w:t>0,000</w:t>
            </w:r>
          </w:p>
        </w:tc>
      </w:tr>
      <w:tr w:rsidR="00983E98" w:rsidRPr="00392E88" w14:paraId="059CE08C" w14:textId="77777777">
        <w:trPr>
          <w:trHeight w:val="564"/>
        </w:trPr>
        <w:tc>
          <w:tcPr>
            <w:tcW w:w="1411" w:type="pct"/>
            <w:gridSpan w:val="2"/>
            <w:tcBorders>
              <w:top w:val="nil"/>
              <w:left w:val="single" w:sz="8" w:space="0" w:color="auto"/>
              <w:bottom w:val="nil"/>
              <w:right w:val="single" w:sz="8" w:space="0" w:color="auto"/>
            </w:tcBorders>
            <w:shd w:val="thinDiagStripe" w:color="C0C0C0" w:fill="F1F1F1"/>
            <w:vAlign w:val="center"/>
            <w:hideMark/>
          </w:tcPr>
          <w:p w14:paraId="06CDFA62" w14:textId="77777777" w:rsidR="00044D5B" w:rsidRPr="00392E88" w:rsidRDefault="00044D5B">
            <w:pPr>
              <w:spacing w:before="0" w:after="0"/>
              <w:jc w:val="center"/>
              <w:rPr>
                <w:b/>
                <w:bCs/>
                <w:color w:val="000000"/>
                <w:sz w:val="22"/>
              </w:rPr>
            </w:pPr>
            <w:r w:rsidRPr="00392E88">
              <w:rPr>
                <w:b/>
                <w:color w:val="000000"/>
                <w:sz w:val="22"/>
              </w:rPr>
              <w:t>OGÓŁEM środki na DZIAŁ &lt;….&gt;</w:t>
            </w:r>
          </w:p>
        </w:tc>
        <w:tc>
          <w:tcPr>
            <w:tcW w:w="529" w:type="pct"/>
            <w:gridSpan w:val="3"/>
            <w:tcBorders>
              <w:top w:val="nil"/>
              <w:left w:val="nil"/>
              <w:bottom w:val="single" w:sz="8" w:space="0" w:color="auto"/>
              <w:right w:val="single" w:sz="8" w:space="0" w:color="auto"/>
            </w:tcBorders>
            <w:vAlign w:val="center"/>
            <w:hideMark/>
          </w:tcPr>
          <w:p w14:paraId="270B3814" w14:textId="77777777" w:rsidR="00044D5B" w:rsidRPr="00392E88" w:rsidRDefault="00044D5B">
            <w:pPr>
              <w:spacing w:before="0" w:after="0"/>
              <w:rPr>
                <w:color w:val="000000"/>
                <w:sz w:val="18"/>
                <w:szCs w:val="18"/>
              </w:rPr>
            </w:pPr>
            <w:r w:rsidRPr="00392E88">
              <w:rPr>
                <w:color w:val="000000"/>
                <w:sz w:val="18"/>
              </w:rPr>
              <w:t>Środki na zobowiązania</w:t>
            </w:r>
          </w:p>
        </w:tc>
        <w:tc>
          <w:tcPr>
            <w:tcW w:w="492" w:type="pct"/>
            <w:gridSpan w:val="2"/>
            <w:tcBorders>
              <w:top w:val="single" w:sz="8" w:space="0" w:color="auto"/>
              <w:left w:val="nil"/>
              <w:bottom w:val="single" w:sz="8" w:space="0" w:color="auto"/>
              <w:right w:val="single" w:sz="8" w:space="0" w:color="auto"/>
            </w:tcBorders>
            <w:vAlign w:val="center"/>
            <w:hideMark/>
          </w:tcPr>
          <w:p w14:paraId="74730CC3" w14:textId="77777777" w:rsidR="00044D5B" w:rsidRPr="00392E88" w:rsidRDefault="00044D5B">
            <w:pPr>
              <w:spacing w:before="0" w:after="0"/>
              <w:jc w:val="center"/>
              <w:rPr>
                <w:color w:val="000000"/>
                <w:sz w:val="14"/>
                <w:szCs w:val="14"/>
              </w:rPr>
            </w:pPr>
            <w:r w:rsidRPr="00392E88">
              <w:rPr>
                <w:color w:val="000000"/>
                <w:sz w:val="14"/>
              </w:rPr>
              <w:t>=4+6</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7CBD8933" w14:textId="77777777" w:rsidR="00044D5B" w:rsidRPr="00392E88" w:rsidRDefault="00044D5B">
            <w:pPr>
              <w:spacing w:before="0" w:after="0"/>
              <w:jc w:val="right"/>
              <w:rPr>
                <w:b/>
                <w:bCs/>
                <w:color w:val="000000"/>
                <w:sz w:val="20"/>
                <w:szCs w:val="20"/>
              </w:rPr>
            </w:pPr>
            <w:r w:rsidRPr="00392E88">
              <w:rPr>
                <w:b/>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0E456D2E" w14:textId="77777777" w:rsidR="00044D5B" w:rsidRPr="00392E88" w:rsidRDefault="00044D5B">
            <w:pPr>
              <w:spacing w:before="0" w:after="0"/>
              <w:jc w:val="right"/>
              <w:rPr>
                <w:b/>
                <w:bCs/>
                <w:color w:val="000000"/>
                <w:sz w:val="20"/>
                <w:szCs w:val="20"/>
              </w:rPr>
            </w:pPr>
            <w:r w:rsidRPr="00392E88">
              <w:rPr>
                <w:b/>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187A36BC" w14:textId="77777777" w:rsidR="00044D5B" w:rsidRPr="00392E88" w:rsidRDefault="00044D5B">
            <w:pPr>
              <w:spacing w:before="0" w:after="0"/>
              <w:jc w:val="right"/>
              <w:rPr>
                <w:b/>
                <w:bCs/>
                <w:color w:val="000000"/>
                <w:sz w:val="20"/>
                <w:szCs w:val="20"/>
              </w:rPr>
            </w:pPr>
            <w:r w:rsidRPr="00392E88">
              <w:rPr>
                <w:b/>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2392868B" w14:textId="77777777" w:rsidR="00044D5B" w:rsidRPr="00392E88" w:rsidRDefault="00044D5B">
            <w:pPr>
              <w:spacing w:before="0" w:after="0"/>
              <w:jc w:val="right"/>
              <w:rPr>
                <w:b/>
                <w:bCs/>
                <w:color w:val="000000"/>
                <w:sz w:val="20"/>
                <w:szCs w:val="20"/>
              </w:rPr>
            </w:pPr>
            <w:r w:rsidRPr="00392E88">
              <w:rPr>
                <w:b/>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14:paraId="47403778" w14:textId="77777777" w:rsidR="00044D5B" w:rsidRPr="00392E88" w:rsidRDefault="00044D5B">
            <w:pPr>
              <w:spacing w:before="0" w:after="0"/>
              <w:jc w:val="right"/>
              <w:rPr>
                <w:b/>
                <w:bCs/>
                <w:color w:val="000000"/>
                <w:sz w:val="20"/>
                <w:szCs w:val="20"/>
              </w:rPr>
            </w:pPr>
            <w:r w:rsidRPr="00392E88">
              <w:rPr>
                <w:b/>
                <w:color w:val="000000"/>
                <w:sz w:val="20"/>
              </w:rPr>
              <w:t>0,000</w:t>
            </w:r>
          </w:p>
        </w:tc>
      </w:tr>
      <w:tr w:rsidR="00983E98" w:rsidRPr="00392E88" w14:paraId="240FBD17" w14:textId="77777777">
        <w:trPr>
          <w:trHeight w:val="528"/>
        </w:trPr>
        <w:tc>
          <w:tcPr>
            <w:tcW w:w="1411" w:type="pct"/>
            <w:gridSpan w:val="2"/>
            <w:tcBorders>
              <w:top w:val="nil"/>
              <w:left w:val="single" w:sz="8" w:space="0" w:color="auto"/>
              <w:bottom w:val="single" w:sz="8" w:space="0" w:color="auto"/>
              <w:right w:val="single" w:sz="8" w:space="0" w:color="auto"/>
            </w:tcBorders>
            <w:shd w:val="thinDiagStripe" w:color="C0C0C0" w:fill="F1F1F1"/>
            <w:vAlign w:val="center"/>
            <w:hideMark/>
          </w:tcPr>
          <w:p w14:paraId="6E5F0830" w14:textId="77777777" w:rsidR="00044D5B" w:rsidRPr="00392E88" w:rsidRDefault="00044D5B">
            <w:pPr>
              <w:spacing w:before="0" w:after="0"/>
              <w:jc w:val="center"/>
              <w:rPr>
                <w:color w:val="000000"/>
                <w:sz w:val="22"/>
              </w:rPr>
            </w:pPr>
            <w:r w:rsidRPr="00392E88">
              <w:rPr>
                <w:color w:val="000000"/>
                <w:sz w:val="22"/>
              </w:rPr>
              <w:t>wieloletnich ram finansowych</w:t>
            </w:r>
          </w:p>
        </w:tc>
        <w:tc>
          <w:tcPr>
            <w:tcW w:w="529" w:type="pct"/>
            <w:gridSpan w:val="3"/>
            <w:tcBorders>
              <w:top w:val="nil"/>
              <w:left w:val="nil"/>
              <w:bottom w:val="single" w:sz="8" w:space="0" w:color="auto"/>
              <w:right w:val="single" w:sz="8" w:space="0" w:color="auto"/>
            </w:tcBorders>
            <w:vAlign w:val="center"/>
            <w:hideMark/>
          </w:tcPr>
          <w:p w14:paraId="4ECA1585" w14:textId="77777777" w:rsidR="00044D5B" w:rsidRPr="00392E88" w:rsidRDefault="00044D5B">
            <w:pPr>
              <w:spacing w:before="0" w:after="0"/>
              <w:rPr>
                <w:color w:val="000000"/>
                <w:sz w:val="18"/>
                <w:szCs w:val="18"/>
              </w:rPr>
            </w:pPr>
            <w:r w:rsidRPr="00392E88">
              <w:rPr>
                <w:color w:val="000000"/>
                <w:sz w:val="18"/>
              </w:rPr>
              <w:t>Środki na płatności</w:t>
            </w:r>
          </w:p>
        </w:tc>
        <w:tc>
          <w:tcPr>
            <w:tcW w:w="492" w:type="pct"/>
            <w:gridSpan w:val="2"/>
            <w:tcBorders>
              <w:top w:val="single" w:sz="8" w:space="0" w:color="auto"/>
              <w:left w:val="nil"/>
              <w:bottom w:val="single" w:sz="8" w:space="0" w:color="auto"/>
              <w:right w:val="single" w:sz="8" w:space="0" w:color="auto"/>
            </w:tcBorders>
            <w:vAlign w:val="center"/>
            <w:hideMark/>
          </w:tcPr>
          <w:p w14:paraId="39A8615D" w14:textId="77777777" w:rsidR="00044D5B" w:rsidRPr="00392E88" w:rsidRDefault="00044D5B">
            <w:pPr>
              <w:spacing w:before="0" w:after="0"/>
              <w:jc w:val="center"/>
              <w:rPr>
                <w:color w:val="000000"/>
                <w:sz w:val="14"/>
                <w:szCs w:val="14"/>
              </w:rPr>
            </w:pPr>
            <w:r w:rsidRPr="00392E88">
              <w:rPr>
                <w:color w:val="000000"/>
                <w:sz w:val="14"/>
              </w:rPr>
              <w:t>=5+6</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0BAC02A8" w14:textId="77777777" w:rsidR="00044D5B" w:rsidRPr="00392E88" w:rsidRDefault="00044D5B">
            <w:pPr>
              <w:spacing w:before="0" w:after="0"/>
              <w:jc w:val="right"/>
              <w:rPr>
                <w:b/>
                <w:bCs/>
                <w:color w:val="000000"/>
                <w:sz w:val="20"/>
                <w:szCs w:val="20"/>
              </w:rPr>
            </w:pPr>
            <w:r w:rsidRPr="00392E88">
              <w:rPr>
                <w:b/>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60EEA0A6" w14:textId="77777777" w:rsidR="00044D5B" w:rsidRPr="00392E88" w:rsidRDefault="00044D5B">
            <w:pPr>
              <w:spacing w:before="0" w:after="0"/>
              <w:jc w:val="right"/>
              <w:rPr>
                <w:b/>
                <w:bCs/>
                <w:color w:val="000000"/>
                <w:sz w:val="20"/>
                <w:szCs w:val="20"/>
              </w:rPr>
            </w:pPr>
            <w:r w:rsidRPr="00392E88">
              <w:rPr>
                <w:b/>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3D95F44B" w14:textId="77777777" w:rsidR="00044D5B" w:rsidRPr="00392E88" w:rsidRDefault="00044D5B">
            <w:pPr>
              <w:spacing w:before="0" w:after="0"/>
              <w:jc w:val="right"/>
              <w:rPr>
                <w:b/>
                <w:bCs/>
                <w:color w:val="000000"/>
                <w:sz w:val="20"/>
                <w:szCs w:val="20"/>
              </w:rPr>
            </w:pPr>
            <w:r w:rsidRPr="00392E88">
              <w:rPr>
                <w:b/>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3CC9C1FB" w14:textId="77777777" w:rsidR="00044D5B" w:rsidRPr="00392E88" w:rsidRDefault="00044D5B">
            <w:pPr>
              <w:spacing w:before="0" w:after="0"/>
              <w:jc w:val="right"/>
              <w:rPr>
                <w:b/>
                <w:bCs/>
                <w:color w:val="000000"/>
                <w:sz w:val="20"/>
                <w:szCs w:val="20"/>
              </w:rPr>
            </w:pPr>
            <w:r w:rsidRPr="00392E88">
              <w:rPr>
                <w:b/>
                <w:color w:val="000000"/>
                <w:sz w:val="20"/>
              </w:rPr>
              <w:t>0,000</w:t>
            </w:r>
          </w:p>
        </w:tc>
        <w:tc>
          <w:tcPr>
            <w:tcW w:w="596" w:type="pct"/>
            <w:tcBorders>
              <w:top w:val="nil"/>
              <w:left w:val="nil"/>
              <w:bottom w:val="single" w:sz="8" w:space="0" w:color="auto"/>
              <w:right w:val="single" w:sz="8" w:space="0" w:color="auto"/>
            </w:tcBorders>
            <w:shd w:val="clear" w:color="000000" w:fill="D9D9D9"/>
            <w:vAlign w:val="center"/>
            <w:hideMark/>
          </w:tcPr>
          <w:p w14:paraId="232380C5" w14:textId="77777777" w:rsidR="00044D5B" w:rsidRPr="00392E88" w:rsidRDefault="00044D5B">
            <w:pPr>
              <w:spacing w:before="0" w:after="0"/>
              <w:jc w:val="right"/>
              <w:rPr>
                <w:b/>
                <w:bCs/>
                <w:color w:val="000000"/>
                <w:sz w:val="20"/>
                <w:szCs w:val="20"/>
              </w:rPr>
            </w:pPr>
            <w:r w:rsidRPr="00392E88">
              <w:rPr>
                <w:b/>
                <w:color w:val="000000"/>
                <w:sz w:val="20"/>
              </w:rPr>
              <w:t>0,000</w:t>
            </w:r>
          </w:p>
        </w:tc>
      </w:tr>
      <w:tr w:rsidR="00733BD3" w:rsidRPr="00392E88" w14:paraId="074E5A14" w14:textId="77777777">
        <w:trPr>
          <w:gridBefore w:val="1"/>
          <w:trHeight w:val="288"/>
        </w:trPr>
        <w:tc>
          <w:tcPr>
            <w:tcW w:w="1522" w:type="pct"/>
            <w:tcBorders>
              <w:top w:val="nil"/>
              <w:left w:val="nil"/>
              <w:bottom w:val="nil"/>
              <w:right w:val="nil"/>
            </w:tcBorders>
            <w:noWrap/>
            <w:vAlign w:val="bottom"/>
            <w:hideMark/>
          </w:tcPr>
          <w:p w14:paraId="4AD94B9B" w14:textId="77777777" w:rsidR="00044D5B" w:rsidRPr="00392E88" w:rsidRDefault="00044D5B">
            <w:pPr>
              <w:spacing w:before="0" w:after="0"/>
              <w:jc w:val="left"/>
              <w:rPr>
                <w:sz w:val="20"/>
                <w:szCs w:val="24"/>
                <w:lang w:eastAsia="en-IE"/>
              </w:rPr>
            </w:pPr>
          </w:p>
        </w:tc>
        <w:tc>
          <w:tcPr>
            <w:tcW w:w="471" w:type="pct"/>
            <w:tcBorders>
              <w:top w:val="nil"/>
              <w:left w:val="nil"/>
              <w:bottom w:val="nil"/>
              <w:right w:val="nil"/>
            </w:tcBorders>
            <w:noWrap/>
            <w:vAlign w:val="bottom"/>
            <w:hideMark/>
          </w:tcPr>
          <w:p w14:paraId="0D365BC5" w14:textId="77777777" w:rsidR="00044D5B" w:rsidRPr="00392E88" w:rsidRDefault="00044D5B">
            <w:pPr>
              <w:spacing w:before="0" w:after="0"/>
              <w:jc w:val="left"/>
              <w:rPr>
                <w:sz w:val="20"/>
                <w:szCs w:val="20"/>
                <w:lang w:eastAsia="en-IE"/>
              </w:rPr>
            </w:pPr>
          </w:p>
        </w:tc>
        <w:tc>
          <w:tcPr>
            <w:tcW w:w="365" w:type="pct"/>
            <w:tcBorders>
              <w:top w:val="nil"/>
              <w:left w:val="nil"/>
              <w:bottom w:val="nil"/>
              <w:right w:val="nil"/>
            </w:tcBorders>
            <w:noWrap/>
            <w:vAlign w:val="bottom"/>
            <w:hideMark/>
          </w:tcPr>
          <w:p w14:paraId="796B3B9A" w14:textId="77777777" w:rsidR="00044D5B" w:rsidRPr="00392E88" w:rsidRDefault="00044D5B">
            <w:pPr>
              <w:spacing w:before="0" w:after="0"/>
              <w:jc w:val="left"/>
              <w:rPr>
                <w:sz w:val="20"/>
                <w:szCs w:val="20"/>
                <w:lang w:eastAsia="en-IE"/>
              </w:rPr>
            </w:pPr>
          </w:p>
        </w:tc>
        <w:tc>
          <w:tcPr>
            <w:tcW w:w="365" w:type="pct"/>
            <w:gridSpan w:val="2"/>
            <w:tcBorders>
              <w:top w:val="nil"/>
              <w:left w:val="nil"/>
              <w:bottom w:val="nil"/>
              <w:right w:val="single" w:sz="4" w:space="0" w:color="auto"/>
            </w:tcBorders>
            <w:noWrap/>
            <w:vAlign w:val="bottom"/>
            <w:hideMark/>
          </w:tcPr>
          <w:p w14:paraId="21DA7523" w14:textId="77777777" w:rsidR="00044D5B" w:rsidRPr="00392E88" w:rsidRDefault="00044D5B">
            <w:pPr>
              <w:spacing w:before="0" w:after="0"/>
              <w:jc w:val="left"/>
              <w:rPr>
                <w:sz w:val="20"/>
                <w:szCs w:val="20"/>
                <w:lang w:eastAsia="en-IE"/>
              </w:rPr>
            </w:pPr>
          </w:p>
        </w:tc>
        <w:tc>
          <w:tcPr>
            <w:tcW w:w="437" w:type="pct"/>
            <w:gridSpan w:val="2"/>
            <w:tcBorders>
              <w:top w:val="single" w:sz="8" w:space="0" w:color="auto"/>
              <w:left w:val="single" w:sz="4" w:space="0" w:color="auto"/>
              <w:bottom w:val="nil"/>
              <w:right w:val="single" w:sz="8" w:space="0" w:color="auto"/>
            </w:tcBorders>
            <w:vAlign w:val="center"/>
            <w:hideMark/>
          </w:tcPr>
          <w:p w14:paraId="54CC92A9" w14:textId="77777777" w:rsidR="00044D5B" w:rsidRPr="00392E88" w:rsidRDefault="00044D5B">
            <w:pPr>
              <w:spacing w:before="0" w:after="0"/>
              <w:jc w:val="center"/>
              <w:rPr>
                <w:color w:val="000000"/>
                <w:sz w:val="20"/>
                <w:szCs w:val="20"/>
              </w:rPr>
            </w:pPr>
            <w:r w:rsidRPr="00392E88">
              <w:rPr>
                <w:color w:val="000000"/>
                <w:sz w:val="20"/>
              </w:rPr>
              <w:t>Rok</w:t>
            </w:r>
          </w:p>
        </w:tc>
        <w:tc>
          <w:tcPr>
            <w:tcW w:w="437" w:type="pct"/>
            <w:gridSpan w:val="2"/>
            <w:tcBorders>
              <w:top w:val="single" w:sz="8" w:space="0" w:color="auto"/>
              <w:left w:val="nil"/>
              <w:bottom w:val="nil"/>
              <w:right w:val="single" w:sz="8" w:space="0" w:color="auto"/>
            </w:tcBorders>
            <w:vAlign w:val="center"/>
            <w:hideMark/>
          </w:tcPr>
          <w:p w14:paraId="47233A28" w14:textId="77777777" w:rsidR="00044D5B" w:rsidRPr="00392E88" w:rsidRDefault="00044D5B">
            <w:pPr>
              <w:spacing w:before="0" w:after="0"/>
              <w:jc w:val="center"/>
              <w:rPr>
                <w:color w:val="000000"/>
                <w:sz w:val="20"/>
                <w:szCs w:val="20"/>
              </w:rPr>
            </w:pPr>
            <w:r w:rsidRPr="00392E88">
              <w:rPr>
                <w:color w:val="000000"/>
                <w:sz w:val="20"/>
              </w:rPr>
              <w:t>Rok</w:t>
            </w:r>
          </w:p>
        </w:tc>
        <w:tc>
          <w:tcPr>
            <w:tcW w:w="437" w:type="pct"/>
            <w:gridSpan w:val="2"/>
            <w:tcBorders>
              <w:top w:val="single" w:sz="8" w:space="0" w:color="auto"/>
              <w:left w:val="nil"/>
              <w:bottom w:val="nil"/>
              <w:right w:val="single" w:sz="8" w:space="0" w:color="auto"/>
            </w:tcBorders>
            <w:vAlign w:val="center"/>
            <w:hideMark/>
          </w:tcPr>
          <w:p w14:paraId="2D7AE56D" w14:textId="77777777" w:rsidR="00044D5B" w:rsidRPr="00392E88" w:rsidRDefault="00044D5B">
            <w:pPr>
              <w:spacing w:before="0" w:after="0"/>
              <w:jc w:val="center"/>
              <w:rPr>
                <w:color w:val="000000"/>
                <w:sz w:val="20"/>
                <w:szCs w:val="20"/>
              </w:rPr>
            </w:pPr>
            <w:r w:rsidRPr="00392E88">
              <w:rPr>
                <w:color w:val="000000"/>
                <w:sz w:val="20"/>
              </w:rPr>
              <w:t>Rok</w:t>
            </w:r>
          </w:p>
        </w:tc>
        <w:tc>
          <w:tcPr>
            <w:tcW w:w="437" w:type="pct"/>
            <w:gridSpan w:val="2"/>
            <w:tcBorders>
              <w:top w:val="single" w:sz="8" w:space="0" w:color="auto"/>
              <w:left w:val="nil"/>
              <w:bottom w:val="nil"/>
              <w:right w:val="single" w:sz="8" w:space="0" w:color="auto"/>
            </w:tcBorders>
            <w:vAlign w:val="center"/>
            <w:hideMark/>
          </w:tcPr>
          <w:p w14:paraId="5EC058B8" w14:textId="77777777" w:rsidR="00044D5B" w:rsidRPr="00392E88" w:rsidRDefault="00044D5B">
            <w:pPr>
              <w:spacing w:before="0" w:after="0"/>
              <w:jc w:val="center"/>
              <w:rPr>
                <w:color w:val="000000"/>
                <w:sz w:val="20"/>
                <w:szCs w:val="20"/>
              </w:rPr>
            </w:pPr>
            <w:r w:rsidRPr="00392E88">
              <w:rPr>
                <w:color w:val="000000"/>
                <w:sz w:val="20"/>
              </w:rPr>
              <w:t>Rok</w:t>
            </w:r>
          </w:p>
        </w:tc>
        <w:tc>
          <w:tcPr>
            <w:tcW w:w="529" w:type="pct"/>
            <w:gridSpan w:val="2"/>
            <w:vMerge w:val="restart"/>
            <w:tcBorders>
              <w:top w:val="single" w:sz="8" w:space="0" w:color="auto"/>
              <w:left w:val="single" w:sz="8" w:space="0" w:color="auto"/>
              <w:bottom w:val="single" w:sz="8" w:space="0" w:color="000000"/>
              <w:right w:val="single" w:sz="8" w:space="0" w:color="auto"/>
            </w:tcBorders>
            <w:vAlign w:val="center"/>
            <w:hideMark/>
          </w:tcPr>
          <w:p w14:paraId="141867AF" w14:textId="77777777" w:rsidR="00044D5B" w:rsidRPr="00392E88" w:rsidRDefault="00044D5B">
            <w:pPr>
              <w:spacing w:before="0" w:after="0"/>
              <w:jc w:val="center"/>
              <w:rPr>
                <w:b/>
                <w:bCs/>
                <w:color w:val="000000"/>
                <w:sz w:val="20"/>
                <w:szCs w:val="20"/>
              </w:rPr>
            </w:pPr>
            <w:r w:rsidRPr="00392E88">
              <w:rPr>
                <w:b/>
                <w:color w:val="000000"/>
                <w:sz w:val="20"/>
              </w:rPr>
              <w:t>OGÓŁEM WRF 2021–2027</w:t>
            </w:r>
          </w:p>
        </w:tc>
      </w:tr>
      <w:tr w:rsidR="00983E98" w:rsidRPr="00392E88" w14:paraId="6CDD32B0" w14:textId="77777777">
        <w:trPr>
          <w:gridBefore w:val="1"/>
          <w:trHeight w:val="300"/>
        </w:trPr>
        <w:tc>
          <w:tcPr>
            <w:tcW w:w="1522" w:type="pct"/>
            <w:tcBorders>
              <w:top w:val="nil"/>
              <w:left w:val="nil"/>
              <w:bottom w:val="nil"/>
              <w:right w:val="nil"/>
            </w:tcBorders>
            <w:noWrap/>
            <w:vAlign w:val="bottom"/>
            <w:hideMark/>
          </w:tcPr>
          <w:p w14:paraId="63E258E7" w14:textId="77777777" w:rsidR="00044D5B" w:rsidRPr="00392E88" w:rsidRDefault="00044D5B">
            <w:pPr>
              <w:spacing w:before="0" w:after="0"/>
              <w:jc w:val="center"/>
              <w:rPr>
                <w:b/>
                <w:bCs/>
                <w:color w:val="000000"/>
                <w:sz w:val="20"/>
                <w:szCs w:val="20"/>
                <w:lang w:eastAsia="en-IE"/>
              </w:rPr>
            </w:pPr>
          </w:p>
        </w:tc>
        <w:tc>
          <w:tcPr>
            <w:tcW w:w="471" w:type="pct"/>
            <w:tcBorders>
              <w:top w:val="nil"/>
              <w:left w:val="nil"/>
              <w:bottom w:val="nil"/>
              <w:right w:val="nil"/>
            </w:tcBorders>
            <w:noWrap/>
            <w:vAlign w:val="bottom"/>
            <w:hideMark/>
          </w:tcPr>
          <w:p w14:paraId="7D797320" w14:textId="77777777" w:rsidR="00044D5B" w:rsidRPr="00392E88" w:rsidRDefault="00044D5B">
            <w:pPr>
              <w:spacing w:before="0" w:after="0"/>
              <w:jc w:val="left"/>
              <w:rPr>
                <w:sz w:val="20"/>
                <w:szCs w:val="20"/>
                <w:lang w:eastAsia="en-IE"/>
              </w:rPr>
            </w:pPr>
          </w:p>
        </w:tc>
        <w:tc>
          <w:tcPr>
            <w:tcW w:w="365" w:type="pct"/>
            <w:tcBorders>
              <w:top w:val="nil"/>
              <w:left w:val="nil"/>
              <w:bottom w:val="nil"/>
              <w:right w:val="nil"/>
            </w:tcBorders>
            <w:noWrap/>
            <w:vAlign w:val="bottom"/>
            <w:hideMark/>
          </w:tcPr>
          <w:p w14:paraId="37429154" w14:textId="77777777" w:rsidR="00044D5B" w:rsidRPr="00392E88" w:rsidRDefault="00044D5B">
            <w:pPr>
              <w:spacing w:before="0" w:after="0"/>
              <w:jc w:val="left"/>
              <w:rPr>
                <w:sz w:val="20"/>
                <w:szCs w:val="20"/>
                <w:lang w:eastAsia="en-IE"/>
              </w:rPr>
            </w:pPr>
          </w:p>
        </w:tc>
        <w:tc>
          <w:tcPr>
            <w:tcW w:w="365" w:type="pct"/>
            <w:gridSpan w:val="2"/>
            <w:tcBorders>
              <w:top w:val="nil"/>
              <w:left w:val="nil"/>
              <w:bottom w:val="nil"/>
              <w:right w:val="single" w:sz="4" w:space="0" w:color="auto"/>
            </w:tcBorders>
            <w:noWrap/>
            <w:vAlign w:val="bottom"/>
            <w:hideMark/>
          </w:tcPr>
          <w:p w14:paraId="0FCE235A" w14:textId="77777777" w:rsidR="00044D5B" w:rsidRPr="00392E88" w:rsidRDefault="00044D5B">
            <w:pPr>
              <w:spacing w:before="0" w:after="0"/>
              <w:jc w:val="left"/>
              <w:rPr>
                <w:sz w:val="20"/>
                <w:szCs w:val="20"/>
                <w:lang w:eastAsia="en-IE"/>
              </w:rPr>
            </w:pPr>
          </w:p>
        </w:tc>
        <w:tc>
          <w:tcPr>
            <w:tcW w:w="437" w:type="pct"/>
            <w:gridSpan w:val="2"/>
            <w:tcBorders>
              <w:top w:val="nil"/>
              <w:left w:val="single" w:sz="4" w:space="0" w:color="auto"/>
              <w:bottom w:val="single" w:sz="8" w:space="0" w:color="auto"/>
              <w:right w:val="single" w:sz="8" w:space="0" w:color="auto"/>
            </w:tcBorders>
            <w:vAlign w:val="center"/>
            <w:hideMark/>
          </w:tcPr>
          <w:p w14:paraId="722EF362" w14:textId="77777777" w:rsidR="00044D5B" w:rsidRPr="00392E88" w:rsidRDefault="00044D5B">
            <w:pPr>
              <w:spacing w:before="0" w:after="0"/>
              <w:jc w:val="center"/>
              <w:rPr>
                <w:b/>
                <w:bCs/>
                <w:color w:val="000000"/>
                <w:sz w:val="20"/>
                <w:szCs w:val="20"/>
              </w:rPr>
            </w:pPr>
            <w:r w:rsidRPr="00392E88">
              <w:rPr>
                <w:b/>
                <w:color w:val="000000"/>
                <w:sz w:val="20"/>
              </w:rPr>
              <w:t>2024</w:t>
            </w:r>
          </w:p>
        </w:tc>
        <w:tc>
          <w:tcPr>
            <w:tcW w:w="437" w:type="pct"/>
            <w:gridSpan w:val="2"/>
            <w:tcBorders>
              <w:top w:val="nil"/>
              <w:left w:val="nil"/>
              <w:bottom w:val="single" w:sz="8" w:space="0" w:color="auto"/>
              <w:right w:val="single" w:sz="8" w:space="0" w:color="auto"/>
            </w:tcBorders>
            <w:vAlign w:val="center"/>
            <w:hideMark/>
          </w:tcPr>
          <w:p w14:paraId="0E3BDF94" w14:textId="77777777" w:rsidR="00044D5B" w:rsidRPr="00392E88" w:rsidRDefault="00044D5B">
            <w:pPr>
              <w:spacing w:before="0" w:after="0"/>
              <w:jc w:val="center"/>
              <w:rPr>
                <w:b/>
                <w:bCs/>
                <w:color w:val="000000"/>
                <w:sz w:val="20"/>
                <w:szCs w:val="20"/>
              </w:rPr>
            </w:pPr>
            <w:r w:rsidRPr="00392E88">
              <w:rPr>
                <w:b/>
                <w:color w:val="000000"/>
                <w:sz w:val="20"/>
              </w:rPr>
              <w:t>2025</w:t>
            </w:r>
          </w:p>
        </w:tc>
        <w:tc>
          <w:tcPr>
            <w:tcW w:w="437" w:type="pct"/>
            <w:gridSpan w:val="2"/>
            <w:tcBorders>
              <w:top w:val="nil"/>
              <w:left w:val="nil"/>
              <w:bottom w:val="single" w:sz="8" w:space="0" w:color="auto"/>
              <w:right w:val="single" w:sz="8" w:space="0" w:color="auto"/>
            </w:tcBorders>
            <w:vAlign w:val="center"/>
            <w:hideMark/>
          </w:tcPr>
          <w:p w14:paraId="29FCF6AD" w14:textId="77777777" w:rsidR="00044D5B" w:rsidRPr="00392E88" w:rsidRDefault="00044D5B">
            <w:pPr>
              <w:spacing w:before="0" w:after="0"/>
              <w:jc w:val="center"/>
              <w:rPr>
                <w:b/>
                <w:bCs/>
                <w:color w:val="000000"/>
                <w:sz w:val="20"/>
                <w:szCs w:val="20"/>
              </w:rPr>
            </w:pPr>
            <w:r w:rsidRPr="00392E88">
              <w:rPr>
                <w:b/>
                <w:color w:val="000000"/>
                <w:sz w:val="20"/>
              </w:rPr>
              <w:t>2026</w:t>
            </w:r>
          </w:p>
        </w:tc>
        <w:tc>
          <w:tcPr>
            <w:tcW w:w="437" w:type="pct"/>
            <w:gridSpan w:val="2"/>
            <w:tcBorders>
              <w:top w:val="nil"/>
              <w:left w:val="nil"/>
              <w:bottom w:val="single" w:sz="8" w:space="0" w:color="auto"/>
              <w:right w:val="single" w:sz="8" w:space="0" w:color="auto"/>
            </w:tcBorders>
            <w:vAlign w:val="center"/>
            <w:hideMark/>
          </w:tcPr>
          <w:p w14:paraId="68901061" w14:textId="77777777" w:rsidR="00044D5B" w:rsidRPr="00392E88" w:rsidRDefault="00044D5B">
            <w:pPr>
              <w:spacing w:before="0" w:after="0"/>
              <w:jc w:val="center"/>
              <w:rPr>
                <w:b/>
                <w:bCs/>
                <w:color w:val="000000"/>
                <w:sz w:val="20"/>
                <w:szCs w:val="20"/>
              </w:rPr>
            </w:pPr>
            <w:r w:rsidRPr="00392E88">
              <w:rPr>
                <w:b/>
                <w:color w:val="000000"/>
                <w:sz w:val="20"/>
              </w:rPr>
              <w:t>2027</w:t>
            </w:r>
          </w:p>
        </w:tc>
        <w:tc>
          <w:tcPr>
            <w:tcW w:w="529" w:type="pct"/>
            <w:gridSpan w:val="2"/>
            <w:vMerge/>
            <w:tcBorders>
              <w:top w:val="single" w:sz="8" w:space="0" w:color="auto"/>
              <w:left w:val="single" w:sz="8" w:space="0" w:color="auto"/>
              <w:bottom w:val="single" w:sz="8" w:space="0" w:color="000000"/>
              <w:right w:val="single" w:sz="8" w:space="0" w:color="auto"/>
            </w:tcBorders>
            <w:vAlign w:val="center"/>
            <w:hideMark/>
          </w:tcPr>
          <w:p w14:paraId="79D148A7" w14:textId="77777777" w:rsidR="00044D5B" w:rsidRPr="00392E88" w:rsidRDefault="00044D5B">
            <w:pPr>
              <w:spacing w:before="0" w:after="0"/>
              <w:jc w:val="left"/>
              <w:rPr>
                <w:b/>
                <w:bCs/>
                <w:color w:val="000000"/>
                <w:sz w:val="20"/>
                <w:szCs w:val="20"/>
                <w:lang w:eastAsia="en-IE"/>
              </w:rPr>
            </w:pPr>
          </w:p>
        </w:tc>
      </w:tr>
      <w:tr w:rsidR="00E62D64" w:rsidRPr="00392E88" w14:paraId="09024E94" w14:textId="77777777">
        <w:trPr>
          <w:gridBefore w:val="1"/>
          <w:trHeight w:val="300"/>
        </w:trPr>
        <w:tc>
          <w:tcPr>
            <w:tcW w:w="1522" w:type="pct"/>
            <w:vMerge w:val="restart"/>
            <w:tcBorders>
              <w:top w:val="single" w:sz="8" w:space="0" w:color="auto"/>
              <w:left w:val="single" w:sz="8" w:space="0" w:color="auto"/>
              <w:bottom w:val="single" w:sz="8" w:space="0" w:color="auto"/>
              <w:right w:val="single" w:sz="8" w:space="0" w:color="auto"/>
            </w:tcBorders>
            <w:vAlign w:val="center"/>
            <w:hideMark/>
          </w:tcPr>
          <w:p w14:paraId="7CEE8C3C" w14:textId="77777777" w:rsidR="00044D5B" w:rsidRPr="00392E88" w:rsidRDefault="00044D5B">
            <w:pPr>
              <w:spacing w:before="0" w:after="0"/>
              <w:rPr>
                <w:color w:val="000000"/>
                <w:sz w:val="21"/>
                <w:szCs w:val="21"/>
              </w:rPr>
            </w:pPr>
            <w:r w:rsidRPr="00392E88">
              <w:rPr>
                <w:rFonts w:ascii="Calibri" w:hAnsi="Calibri"/>
                <w:color w:val="000000"/>
                <w:sz w:val="21"/>
              </w:rPr>
              <w:t xml:space="preserve">• </w:t>
            </w:r>
            <w:r w:rsidRPr="00392E88">
              <w:rPr>
                <w:color w:val="000000"/>
                <w:sz w:val="21"/>
              </w:rPr>
              <w:t>OGÓŁEM środki operacyjne (wszystkie działy operacyjne)</w:t>
            </w:r>
          </w:p>
        </w:tc>
        <w:tc>
          <w:tcPr>
            <w:tcW w:w="471" w:type="pct"/>
            <w:tcBorders>
              <w:top w:val="single" w:sz="8" w:space="0" w:color="auto"/>
              <w:left w:val="nil"/>
              <w:bottom w:val="single" w:sz="8" w:space="0" w:color="auto"/>
              <w:right w:val="single" w:sz="8" w:space="0" w:color="auto"/>
            </w:tcBorders>
            <w:vAlign w:val="center"/>
            <w:hideMark/>
          </w:tcPr>
          <w:p w14:paraId="6686D534" w14:textId="77777777" w:rsidR="00044D5B" w:rsidRPr="00392E88" w:rsidRDefault="00044D5B">
            <w:pPr>
              <w:spacing w:before="0" w:after="0"/>
              <w:rPr>
                <w:color w:val="000000"/>
                <w:sz w:val="18"/>
                <w:szCs w:val="18"/>
              </w:rPr>
            </w:pPr>
            <w:r w:rsidRPr="00392E88">
              <w:rPr>
                <w:color w:val="000000"/>
                <w:sz w:val="18"/>
              </w:rPr>
              <w:t>Środki na zobowiązania</w:t>
            </w:r>
          </w:p>
        </w:tc>
        <w:tc>
          <w:tcPr>
            <w:tcW w:w="731" w:type="pct"/>
            <w:gridSpan w:val="3"/>
            <w:tcBorders>
              <w:top w:val="single" w:sz="8" w:space="0" w:color="auto"/>
              <w:left w:val="nil"/>
              <w:bottom w:val="single" w:sz="8" w:space="0" w:color="auto"/>
              <w:right w:val="single" w:sz="8" w:space="0" w:color="000000"/>
            </w:tcBorders>
            <w:vAlign w:val="center"/>
            <w:hideMark/>
          </w:tcPr>
          <w:p w14:paraId="5DAE0C06" w14:textId="77777777" w:rsidR="00044D5B" w:rsidRPr="00392E88" w:rsidRDefault="00044D5B">
            <w:pPr>
              <w:spacing w:before="0" w:after="0"/>
              <w:jc w:val="center"/>
              <w:rPr>
                <w:color w:val="000000"/>
                <w:sz w:val="14"/>
                <w:szCs w:val="14"/>
              </w:rPr>
            </w:pPr>
            <w:r w:rsidRPr="00392E88">
              <w:rPr>
                <w:color w:val="000000"/>
                <w:sz w:val="14"/>
              </w:rPr>
              <w:t>(4)</w:t>
            </w:r>
          </w:p>
        </w:tc>
        <w:tc>
          <w:tcPr>
            <w:tcW w:w="437" w:type="pct"/>
            <w:gridSpan w:val="2"/>
            <w:tcBorders>
              <w:top w:val="nil"/>
              <w:left w:val="nil"/>
              <w:bottom w:val="single" w:sz="8" w:space="0" w:color="auto"/>
              <w:right w:val="single" w:sz="8" w:space="0" w:color="auto"/>
            </w:tcBorders>
            <w:shd w:val="clear" w:color="000000" w:fill="D9D9D9"/>
            <w:vAlign w:val="center"/>
            <w:hideMark/>
          </w:tcPr>
          <w:p w14:paraId="79101DBD" w14:textId="77777777" w:rsidR="00044D5B" w:rsidRPr="00392E88" w:rsidRDefault="00044D5B">
            <w:pPr>
              <w:spacing w:before="0" w:after="0"/>
              <w:jc w:val="right"/>
              <w:rPr>
                <w:color w:val="000000"/>
                <w:sz w:val="20"/>
                <w:szCs w:val="20"/>
              </w:rPr>
            </w:pPr>
            <w:r w:rsidRPr="00392E88">
              <w:rPr>
                <w:color w:val="000000"/>
                <w:sz w:val="20"/>
              </w:rPr>
              <w:t>0,000</w:t>
            </w:r>
          </w:p>
        </w:tc>
        <w:tc>
          <w:tcPr>
            <w:tcW w:w="437" w:type="pct"/>
            <w:gridSpan w:val="2"/>
            <w:tcBorders>
              <w:top w:val="nil"/>
              <w:left w:val="nil"/>
              <w:bottom w:val="single" w:sz="8" w:space="0" w:color="auto"/>
              <w:right w:val="single" w:sz="8" w:space="0" w:color="auto"/>
            </w:tcBorders>
            <w:shd w:val="clear" w:color="000000" w:fill="D9D9D9"/>
            <w:vAlign w:val="center"/>
            <w:hideMark/>
          </w:tcPr>
          <w:p w14:paraId="7A51DA83" w14:textId="77777777" w:rsidR="00044D5B" w:rsidRPr="00392E88" w:rsidRDefault="00044D5B">
            <w:pPr>
              <w:spacing w:before="0" w:after="0"/>
              <w:jc w:val="right"/>
              <w:rPr>
                <w:color w:val="000000"/>
                <w:sz w:val="20"/>
                <w:szCs w:val="20"/>
              </w:rPr>
            </w:pPr>
            <w:r w:rsidRPr="00392E88">
              <w:rPr>
                <w:color w:val="000000"/>
                <w:sz w:val="20"/>
              </w:rPr>
              <w:t>0,000</w:t>
            </w:r>
          </w:p>
        </w:tc>
        <w:tc>
          <w:tcPr>
            <w:tcW w:w="437" w:type="pct"/>
            <w:gridSpan w:val="2"/>
            <w:tcBorders>
              <w:top w:val="nil"/>
              <w:left w:val="nil"/>
              <w:bottom w:val="single" w:sz="8" w:space="0" w:color="auto"/>
              <w:right w:val="single" w:sz="8" w:space="0" w:color="auto"/>
            </w:tcBorders>
            <w:shd w:val="clear" w:color="000000" w:fill="D9D9D9"/>
            <w:vAlign w:val="center"/>
            <w:hideMark/>
          </w:tcPr>
          <w:p w14:paraId="3138C15C" w14:textId="77777777" w:rsidR="00044D5B" w:rsidRPr="00392E88" w:rsidRDefault="00044D5B">
            <w:pPr>
              <w:spacing w:before="0" w:after="0"/>
              <w:jc w:val="right"/>
              <w:rPr>
                <w:color w:val="000000"/>
                <w:sz w:val="20"/>
                <w:szCs w:val="20"/>
              </w:rPr>
            </w:pPr>
            <w:r w:rsidRPr="00392E88">
              <w:rPr>
                <w:color w:val="000000"/>
                <w:sz w:val="20"/>
              </w:rPr>
              <w:t>0,000</w:t>
            </w:r>
          </w:p>
        </w:tc>
        <w:tc>
          <w:tcPr>
            <w:tcW w:w="437" w:type="pct"/>
            <w:gridSpan w:val="2"/>
            <w:tcBorders>
              <w:top w:val="nil"/>
              <w:left w:val="nil"/>
              <w:bottom w:val="single" w:sz="8" w:space="0" w:color="auto"/>
              <w:right w:val="single" w:sz="8" w:space="0" w:color="auto"/>
            </w:tcBorders>
            <w:shd w:val="clear" w:color="000000" w:fill="D9D9D9"/>
            <w:vAlign w:val="center"/>
            <w:hideMark/>
          </w:tcPr>
          <w:p w14:paraId="695EC44E" w14:textId="77777777" w:rsidR="00044D5B" w:rsidRPr="00392E88" w:rsidRDefault="00044D5B">
            <w:pPr>
              <w:spacing w:before="0" w:after="0"/>
              <w:jc w:val="right"/>
              <w:rPr>
                <w:color w:val="000000"/>
                <w:sz w:val="20"/>
                <w:szCs w:val="20"/>
              </w:rPr>
            </w:pPr>
            <w:r w:rsidRPr="00392E88">
              <w:rPr>
                <w:color w:val="000000"/>
                <w:sz w:val="20"/>
              </w:rPr>
              <w:t>0,000</w:t>
            </w:r>
          </w:p>
        </w:tc>
        <w:tc>
          <w:tcPr>
            <w:tcW w:w="529" w:type="pct"/>
            <w:gridSpan w:val="2"/>
            <w:tcBorders>
              <w:top w:val="nil"/>
              <w:left w:val="nil"/>
              <w:bottom w:val="single" w:sz="8" w:space="0" w:color="auto"/>
              <w:right w:val="single" w:sz="8" w:space="0" w:color="auto"/>
            </w:tcBorders>
            <w:shd w:val="clear" w:color="000000" w:fill="D9D9D9"/>
            <w:vAlign w:val="center"/>
            <w:hideMark/>
          </w:tcPr>
          <w:p w14:paraId="739DD506" w14:textId="77777777" w:rsidR="00044D5B" w:rsidRPr="00392E88" w:rsidRDefault="00044D5B">
            <w:pPr>
              <w:spacing w:before="0" w:after="0"/>
              <w:jc w:val="right"/>
              <w:rPr>
                <w:b/>
                <w:bCs/>
                <w:color w:val="000000"/>
                <w:sz w:val="20"/>
                <w:szCs w:val="20"/>
              </w:rPr>
            </w:pPr>
            <w:r w:rsidRPr="00392E88">
              <w:rPr>
                <w:b/>
                <w:color w:val="000000"/>
                <w:sz w:val="20"/>
              </w:rPr>
              <w:t>0,000</w:t>
            </w:r>
          </w:p>
        </w:tc>
      </w:tr>
      <w:tr w:rsidR="00983E98" w:rsidRPr="00392E88" w14:paraId="42A9C6BF" w14:textId="77777777">
        <w:trPr>
          <w:gridBefore w:val="1"/>
          <w:trHeight w:val="300"/>
        </w:trPr>
        <w:tc>
          <w:tcPr>
            <w:tcW w:w="1522" w:type="pct"/>
            <w:vMerge/>
            <w:tcBorders>
              <w:top w:val="single" w:sz="8" w:space="0" w:color="auto"/>
              <w:left w:val="single" w:sz="8" w:space="0" w:color="auto"/>
              <w:bottom w:val="single" w:sz="8" w:space="0" w:color="auto"/>
              <w:right w:val="single" w:sz="8" w:space="0" w:color="auto"/>
            </w:tcBorders>
            <w:vAlign w:val="center"/>
            <w:hideMark/>
          </w:tcPr>
          <w:p w14:paraId="388D3FEF" w14:textId="77777777" w:rsidR="00044D5B" w:rsidRPr="00392E88" w:rsidRDefault="00044D5B">
            <w:pPr>
              <w:spacing w:before="0" w:after="0"/>
              <w:jc w:val="left"/>
              <w:rPr>
                <w:color w:val="000000"/>
                <w:sz w:val="21"/>
                <w:szCs w:val="21"/>
                <w:lang w:eastAsia="en-IE"/>
              </w:rPr>
            </w:pPr>
          </w:p>
        </w:tc>
        <w:tc>
          <w:tcPr>
            <w:tcW w:w="471" w:type="pct"/>
            <w:tcBorders>
              <w:top w:val="nil"/>
              <w:left w:val="nil"/>
              <w:bottom w:val="single" w:sz="8" w:space="0" w:color="auto"/>
              <w:right w:val="single" w:sz="8" w:space="0" w:color="auto"/>
            </w:tcBorders>
            <w:vAlign w:val="center"/>
            <w:hideMark/>
          </w:tcPr>
          <w:p w14:paraId="1DDA8832" w14:textId="77777777" w:rsidR="00044D5B" w:rsidRPr="00392E88" w:rsidRDefault="00044D5B">
            <w:pPr>
              <w:spacing w:before="0" w:after="0"/>
              <w:rPr>
                <w:color w:val="000000"/>
                <w:sz w:val="18"/>
                <w:szCs w:val="18"/>
              </w:rPr>
            </w:pPr>
            <w:r w:rsidRPr="00392E88">
              <w:rPr>
                <w:color w:val="000000"/>
                <w:sz w:val="18"/>
              </w:rPr>
              <w:t>Środki na płatności</w:t>
            </w:r>
          </w:p>
        </w:tc>
        <w:tc>
          <w:tcPr>
            <w:tcW w:w="731" w:type="pct"/>
            <w:gridSpan w:val="3"/>
            <w:tcBorders>
              <w:top w:val="single" w:sz="8" w:space="0" w:color="auto"/>
              <w:left w:val="nil"/>
              <w:bottom w:val="single" w:sz="8" w:space="0" w:color="auto"/>
              <w:right w:val="single" w:sz="8" w:space="0" w:color="000000"/>
            </w:tcBorders>
            <w:vAlign w:val="center"/>
            <w:hideMark/>
          </w:tcPr>
          <w:p w14:paraId="63A7ADDE" w14:textId="77777777" w:rsidR="00044D5B" w:rsidRPr="00392E88" w:rsidRDefault="00044D5B">
            <w:pPr>
              <w:spacing w:before="0" w:after="0"/>
              <w:jc w:val="center"/>
              <w:rPr>
                <w:color w:val="000000"/>
                <w:sz w:val="14"/>
                <w:szCs w:val="14"/>
              </w:rPr>
            </w:pPr>
            <w:r w:rsidRPr="00392E88">
              <w:rPr>
                <w:color w:val="000000"/>
                <w:sz w:val="14"/>
              </w:rPr>
              <w:t>(5)</w:t>
            </w:r>
          </w:p>
        </w:tc>
        <w:tc>
          <w:tcPr>
            <w:tcW w:w="437" w:type="pct"/>
            <w:gridSpan w:val="2"/>
            <w:tcBorders>
              <w:top w:val="nil"/>
              <w:left w:val="nil"/>
              <w:bottom w:val="single" w:sz="8" w:space="0" w:color="auto"/>
              <w:right w:val="single" w:sz="8" w:space="0" w:color="auto"/>
            </w:tcBorders>
            <w:shd w:val="clear" w:color="000000" w:fill="D9D9D9"/>
            <w:vAlign w:val="center"/>
            <w:hideMark/>
          </w:tcPr>
          <w:p w14:paraId="32C61755" w14:textId="77777777" w:rsidR="00044D5B" w:rsidRPr="00392E88" w:rsidRDefault="00044D5B">
            <w:pPr>
              <w:spacing w:before="0" w:after="0"/>
              <w:jc w:val="right"/>
              <w:rPr>
                <w:color w:val="000000"/>
                <w:sz w:val="20"/>
                <w:szCs w:val="20"/>
              </w:rPr>
            </w:pPr>
            <w:r w:rsidRPr="00392E88">
              <w:rPr>
                <w:color w:val="000000"/>
                <w:sz w:val="20"/>
              </w:rPr>
              <w:t>0,000</w:t>
            </w:r>
          </w:p>
        </w:tc>
        <w:tc>
          <w:tcPr>
            <w:tcW w:w="437" w:type="pct"/>
            <w:gridSpan w:val="2"/>
            <w:tcBorders>
              <w:top w:val="nil"/>
              <w:left w:val="nil"/>
              <w:bottom w:val="single" w:sz="8" w:space="0" w:color="auto"/>
              <w:right w:val="single" w:sz="8" w:space="0" w:color="auto"/>
            </w:tcBorders>
            <w:shd w:val="clear" w:color="000000" w:fill="D9D9D9"/>
            <w:vAlign w:val="center"/>
            <w:hideMark/>
          </w:tcPr>
          <w:p w14:paraId="7479F11E" w14:textId="77777777" w:rsidR="00044D5B" w:rsidRPr="00392E88" w:rsidRDefault="00044D5B">
            <w:pPr>
              <w:spacing w:before="0" w:after="0"/>
              <w:jc w:val="right"/>
              <w:rPr>
                <w:color w:val="000000"/>
                <w:sz w:val="20"/>
                <w:szCs w:val="20"/>
              </w:rPr>
            </w:pPr>
            <w:r w:rsidRPr="00392E88">
              <w:rPr>
                <w:color w:val="000000"/>
                <w:sz w:val="20"/>
              </w:rPr>
              <w:t>0,000</w:t>
            </w:r>
          </w:p>
        </w:tc>
        <w:tc>
          <w:tcPr>
            <w:tcW w:w="437" w:type="pct"/>
            <w:gridSpan w:val="2"/>
            <w:tcBorders>
              <w:top w:val="nil"/>
              <w:left w:val="nil"/>
              <w:bottom w:val="single" w:sz="8" w:space="0" w:color="auto"/>
              <w:right w:val="single" w:sz="8" w:space="0" w:color="auto"/>
            </w:tcBorders>
            <w:shd w:val="clear" w:color="000000" w:fill="D9D9D9"/>
            <w:vAlign w:val="center"/>
            <w:hideMark/>
          </w:tcPr>
          <w:p w14:paraId="0523F28E" w14:textId="77777777" w:rsidR="00044D5B" w:rsidRPr="00392E88" w:rsidRDefault="00044D5B">
            <w:pPr>
              <w:spacing w:before="0" w:after="0"/>
              <w:jc w:val="right"/>
              <w:rPr>
                <w:color w:val="000000"/>
                <w:sz w:val="20"/>
                <w:szCs w:val="20"/>
              </w:rPr>
            </w:pPr>
            <w:r w:rsidRPr="00392E88">
              <w:rPr>
                <w:color w:val="000000"/>
                <w:sz w:val="20"/>
              </w:rPr>
              <w:t>0,000</w:t>
            </w:r>
          </w:p>
        </w:tc>
        <w:tc>
          <w:tcPr>
            <w:tcW w:w="437" w:type="pct"/>
            <w:gridSpan w:val="2"/>
            <w:tcBorders>
              <w:top w:val="nil"/>
              <w:left w:val="nil"/>
              <w:bottom w:val="single" w:sz="8" w:space="0" w:color="auto"/>
              <w:right w:val="single" w:sz="8" w:space="0" w:color="auto"/>
            </w:tcBorders>
            <w:shd w:val="clear" w:color="000000" w:fill="D9D9D9"/>
            <w:vAlign w:val="center"/>
            <w:hideMark/>
          </w:tcPr>
          <w:p w14:paraId="4F1CDF5E" w14:textId="77777777" w:rsidR="00044D5B" w:rsidRPr="00392E88" w:rsidRDefault="00044D5B">
            <w:pPr>
              <w:spacing w:before="0" w:after="0"/>
              <w:jc w:val="right"/>
              <w:rPr>
                <w:color w:val="000000"/>
                <w:sz w:val="20"/>
                <w:szCs w:val="20"/>
              </w:rPr>
            </w:pPr>
            <w:r w:rsidRPr="00392E88">
              <w:rPr>
                <w:color w:val="000000"/>
                <w:sz w:val="20"/>
              </w:rPr>
              <w:t>0,000</w:t>
            </w:r>
          </w:p>
        </w:tc>
        <w:tc>
          <w:tcPr>
            <w:tcW w:w="529" w:type="pct"/>
            <w:gridSpan w:val="2"/>
            <w:tcBorders>
              <w:top w:val="nil"/>
              <w:left w:val="nil"/>
              <w:bottom w:val="single" w:sz="8" w:space="0" w:color="auto"/>
              <w:right w:val="single" w:sz="8" w:space="0" w:color="auto"/>
            </w:tcBorders>
            <w:shd w:val="clear" w:color="000000" w:fill="D9D9D9"/>
            <w:vAlign w:val="center"/>
            <w:hideMark/>
          </w:tcPr>
          <w:p w14:paraId="21B1F251" w14:textId="77777777" w:rsidR="00044D5B" w:rsidRPr="00392E88" w:rsidRDefault="00044D5B">
            <w:pPr>
              <w:spacing w:before="0" w:after="0"/>
              <w:jc w:val="right"/>
              <w:rPr>
                <w:b/>
                <w:bCs/>
                <w:color w:val="000000"/>
                <w:sz w:val="20"/>
                <w:szCs w:val="20"/>
              </w:rPr>
            </w:pPr>
            <w:r w:rsidRPr="00392E88">
              <w:rPr>
                <w:b/>
                <w:color w:val="000000"/>
                <w:sz w:val="20"/>
              </w:rPr>
              <w:t>0,000</w:t>
            </w:r>
          </w:p>
        </w:tc>
      </w:tr>
      <w:tr w:rsidR="00E6355E" w:rsidRPr="00392E88" w14:paraId="0B2D01F0" w14:textId="77777777">
        <w:trPr>
          <w:gridBefore w:val="1"/>
          <w:trHeight w:val="990"/>
        </w:trPr>
        <w:tc>
          <w:tcPr>
            <w:tcW w:w="1993" w:type="pct"/>
            <w:gridSpan w:val="2"/>
            <w:tcBorders>
              <w:top w:val="single" w:sz="8" w:space="0" w:color="auto"/>
              <w:left w:val="single" w:sz="8" w:space="0" w:color="auto"/>
              <w:bottom w:val="single" w:sz="8" w:space="0" w:color="auto"/>
              <w:right w:val="single" w:sz="8" w:space="0" w:color="000000"/>
            </w:tcBorders>
            <w:vAlign w:val="center"/>
            <w:hideMark/>
          </w:tcPr>
          <w:p w14:paraId="063A6582" w14:textId="77777777" w:rsidR="00044D5B" w:rsidRPr="00392E88" w:rsidRDefault="00044D5B">
            <w:pPr>
              <w:spacing w:before="0" w:after="0"/>
              <w:rPr>
                <w:color w:val="000000"/>
                <w:sz w:val="21"/>
                <w:szCs w:val="21"/>
              </w:rPr>
            </w:pPr>
            <w:r w:rsidRPr="00392E88">
              <w:rPr>
                <w:rFonts w:ascii="Calibri" w:hAnsi="Calibri"/>
                <w:color w:val="000000"/>
                <w:sz w:val="21"/>
              </w:rPr>
              <w:t>•</w:t>
            </w:r>
            <w:r w:rsidRPr="00392E88">
              <w:rPr>
                <w:color w:val="000000"/>
                <w:sz w:val="21"/>
              </w:rPr>
              <w:t xml:space="preserve"> OGÓŁEM środki administracyjne finansowane ze środków przydzielonych na określone programy (wszystkie działy operacyjne)</w:t>
            </w:r>
          </w:p>
        </w:tc>
        <w:tc>
          <w:tcPr>
            <w:tcW w:w="731" w:type="pct"/>
            <w:gridSpan w:val="3"/>
            <w:tcBorders>
              <w:top w:val="single" w:sz="8" w:space="0" w:color="auto"/>
              <w:left w:val="nil"/>
              <w:bottom w:val="single" w:sz="8" w:space="0" w:color="auto"/>
              <w:right w:val="single" w:sz="8" w:space="0" w:color="000000"/>
            </w:tcBorders>
            <w:vAlign w:val="center"/>
            <w:hideMark/>
          </w:tcPr>
          <w:p w14:paraId="0954D0B8" w14:textId="77777777" w:rsidR="00044D5B" w:rsidRPr="00392E88" w:rsidRDefault="00044D5B">
            <w:pPr>
              <w:spacing w:before="0" w:after="0"/>
              <w:jc w:val="center"/>
              <w:rPr>
                <w:color w:val="000000"/>
                <w:sz w:val="14"/>
                <w:szCs w:val="14"/>
              </w:rPr>
            </w:pPr>
            <w:r w:rsidRPr="00392E88">
              <w:rPr>
                <w:color w:val="000000"/>
                <w:sz w:val="14"/>
              </w:rPr>
              <w:t>(6)</w:t>
            </w:r>
          </w:p>
        </w:tc>
        <w:tc>
          <w:tcPr>
            <w:tcW w:w="437" w:type="pct"/>
            <w:gridSpan w:val="2"/>
            <w:tcBorders>
              <w:top w:val="nil"/>
              <w:left w:val="nil"/>
              <w:bottom w:val="single" w:sz="8" w:space="0" w:color="auto"/>
              <w:right w:val="single" w:sz="8" w:space="0" w:color="auto"/>
            </w:tcBorders>
            <w:shd w:val="clear" w:color="000000" w:fill="D9D9D9"/>
            <w:vAlign w:val="center"/>
            <w:hideMark/>
          </w:tcPr>
          <w:p w14:paraId="15D7E7EE" w14:textId="77777777" w:rsidR="00044D5B" w:rsidRPr="00392E88" w:rsidRDefault="00044D5B">
            <w:pPr>
              <w:spacing w:before="0" w:after="0"/>
              <w:jc w:val="right"/>
              <w:rPr>
                <w:color w:val="000000"/>
                <w:sz w:val="20"/>
                <w:szCs w:val="20"/>
              </w:rPr>
            </w:pPr>
            <w:r w:rsidRPr="00392E88">
              <w:rPr>
                <w:color w:val="000000"/>
                <w:sz w:val="20"/>
              </w:rPr>
              <w:t>0,000</w:t>
            </w:r>
          </w:p>
        </w:tc>
        <w:tc>
          <w:tcPr>
            <w:tcW w:w="437" w:type="pct"/>
            <w:gridSpan w:val="2"/>
            <w:tcBorders>
              <w:top w:val="nil"/>
              <w:left w:val="nil"/>
              <w:bottom w:val="single" w:sz="8" w:space="0" w:color="auto"/>
              <w:right w:val="single" w:sz="8" w:space="0" w:color="auto"/>
            </w:tcBorders>
            <w:shd w:val="clear" w:color="000000" w:fill="D9D9D9"/>
            <w:vAlign w:val="center"/>
            <w:hideMark/>
          </w:tcPr>
          <w:p w14:paraId="16E95B12" w14:textId="77777777" w:rsidR="00044D5B" w:rsidRPr="00392E88" w:rsidRDefault="00044D5B">
            <w:pPr>
              <w:spacing w:before="0" w:after="0"/>
              <w:jc w:val="right"/>
              <w:rPr>
                <w:color w:val="000000"/>
                <w:sz w:val="20"/>
                <w:szCs w:val="20"/>
              </w:rPr>
            </w:pPr>
            <w:r w:rsidRPr="00392E88">
              <w:rPr>
                <w:color w:val="000000"/>
                <w:sz w:val="20"/>
              </w:rPr>
              <w:t>0,000</w:t>
            </w:r>
          </w:p>
        </w:tc>
        <w:tc>
          <w:tcPr>
            <w:tcW w:w="437" w:type="pct"/>
            <w:gridSpan w:val="2"/>
            <w:tcBorders>
              <w:top w:val="nil"/>
              <w:left w:val="nil"/>
              <w:bottom w:val="single" w:sz="8" w:space="0" w:color="auto"/>
              <w:right w:val="single" w:sz="8" w:space="0" w:color="auto"/>
            </w:tcBorders>
            <w:shd w:val="clear" w:color="000000" w:fill="D9D9D9"/>
            <w:vAlign w:val="center"/>
            <w:hideMark/>
          </w:tcPr>
          <w:p w14:paraId="11579191" w14:textId="77777777" w:rsidR="00044D5B" w:rsidRPr="00392E88" w:rsidRDefault="00044D5B">
            <w:pPr>
              <w:spacing w:before="0" w:after="0"/>
              <w:jc w:val="right"/>
              <w:rPr>
                <w:color w:val="000000"/>
                <w:sz w:val="20"/>
                <w:szCs w:val="20"/>
              </w:rPr>
            </w:pPr>
            <w:r w:rsidRPr="00392E88">
              <w:rPr>
                <w:color w:val="000000"/>
                <w:sz w:val="20"/>
              </w:rPr>
              <w:t>0,000</w:t>
            </w:r>
          </w:p>
        </w:tc>
        <w:tc>
          <w:tcPr>
            <w:tcW w:w="437" w:type="pct"/>
            <w:gridSpan w:val="2"/>
            <w:tcBorders>
              <w:top w:val="nil"/>
              <w:left w:val="nil"/>
              <w:bottom w:val="single" w:sz="8" w:space="0" w:color="auto"/>
              <w:right w:val="single" w:sz="8" w:space="0" w:color="auto"/>
            </w:tcBorders>
            <w:shd w:val="clear" w:color="000000" w:fill="D9D9D9"/>
            <w:vAlign w:val="center"/>
            <w:hideMark/>
          </w:tcPr>
          <w:p w14:paraId="67781ADA" w14:textId="77777777" w:rsidR="00044D5B" w:rsidRPr="00392E88" w:rsidRDefault="00044D5B">
            <w:pPr>
              <w:spacing w:before="0" w:after="0"/>
              <w:jc w:val="right"/>
              <w:rPr>
                <w:color w:val="000000"/>
                <w:sz w:val="20"/>
                <w:szCs w:val="20"/>
              </w:rPr>
            </w:pPr>
            <w:r w:rsidRPr="00392E88">
              <w:rPr>
                <w:color w:val="000000"/>
                <w:sz w:val="20"/>
              </w:rPr>
              <w:t>0,000</w:t>
            </w:r>
          </w:p>
        </w:tc>
        <w:tc>
          <w:tcPr>
            <w:tcW w:w="529" w:type="pct"/>
            <w:gridSpan w:val="2"/>
            <w:tcBorders>
              <w:top w:val="nil"/>
              <w:left w:val="nil"/>
              <w:bottom w:val="single" w:sz="8" w:space="0" w:color="auto"/>
              <w:right w:val="single" w:sz="8" w:space="0" w:color="auto"/>
            </w:tcBorders>
            <w:shd w:val="clear" w:color="000000" w:fill="D9D9D9"/>
            <w:vAlign w:val="center"/>
            <w:hideMark/>
          </w:tcPr>
          <w:p w14:paraId="05AAF95C" w14:textId="77777777" w:rsidR="00044D5B" w:rsidRPr="00392E88" w:rsidRDefault="00044D5B">
            <w:pPr>
              <w:spacing w:before="0" w:after="0"/>
              <w:jc w:val="right"/>
              <w:rPr>
                <w:b/>
                <w:bCs/>
                <w:color w:val="000000"/>
                <w:sz w:val="20"/>
                <w:szCs w:val="20"/>
              </w:rPr>
            </w:pPr>
            <w:r w:rsidRPr="00392E88">
              <w:rPr>
                <w:b/>
                <w:color w:val="000000"/>
                <w:sz w:val="20"/>
              </w:rPr>
              <w:t>0,000</w:t>
            </w:r>
          </w:p>
        </w:tc>
      </w:tr>
      <w:tr w:rsidR="00983E98" w:rsidRPr="00392E88" w14:paraId="649C7588" w14:textId="77777777">
        <w:trPr>
          <w:gridBefore w:val="1"/>
          <w:trHeight w:val="564"/>
        </w:trPr>
        <w:tc>
          <w:tcPr>
            <w:tcW w:w="1522" w:type="pct"/>
            <w:tcBorders>
              <w:top w:val="nil"/>
              <w:left w:val="single" w:sz="8" w:space="0" w:color="auto"/>
              <w:bottom w:val="nil"/>
              <w:right w:val="single" w:sz="8" w:space="0" w:color="auto"/>
            </w:tcBorders>
            <w:shd w:val="thinDiagStripe" w:color="C0C0C0" w:fill="F1F1F1"/>
            <w:vAlign w:val="center"/>
            <w:hideMark/>
          </w:tcPr>
          <w:p w14:paraId="58AFFA8D" w14:textId="30147454" w:rsidR="00044D5B" w:rsidRPr="00392E88" w:rsidRDefault="00044D5B">
            <w:pPr>
              <w:spacing w:before="0" w:after="0"/>
              <w:jc w:val="center"/>
              <w:rPr>
                <w:b/>
                <w:bCs/>
                <w:color w:val="000000"/>
                <w:sz w:val="22"/>
              </w:rPr>
            </w:pPr>
            <w:r w:rsidRPr="00392E88">
              <w:rPr>
                <w:b/>
                <w:color w:val="000000"/>
                <w:sz w:val="22"/>
              </w:rPr>
              <w:t xml:space="preserve">OGÓŁEM środki na DZIAŁY </w:t>
            </w:r>
            <w:r w:rsidRPr="006E6446">
              <w:rPr>
                <w:b/>
                <w:color w:val="000000"/>
                <w:sz w:val="22"/>
              </w:rPr>
              <w:t>od</w:t>
            </w:r>
            <w:r w:rsidR="006E6446" w:rsidRPr="006E6446">
              <w:rPr>
                <w:b/>
                <w:color w:val="000000"/>
                <w:sz w:val="22"/>
              </w:rPr>
              <w:t> </w:t>
            </w:r>
            <w:r w:rsidRPr="006E6446">
              <w:rPr>
                <w:b/>
                <w:color w:val="000000"/>
                <w:sz w:val="22"/>
              </w:rPr>
              <w:t>1</w:t>
            </w:r>
            <w:r w:rsidRPr="00392E88">
              <w:rPr>
                <w:b/>
                <w:color w:val="000000"/>
                <w:sz w:val="22"/>
              </w:rPr>
              <w:t xml:space="preserve"> </w:t>
            </w:r>
            <w:r w:rsidRPr="006E6446">
              <w:rPr>
                <w:b/>
                <w:color w:val="000000"/>
                <w:sz w:val="22"/>
              </w:rPr>
              <w:t>do</w:t>
            </w:r>
            <w:r w:rsidR="006E6446" w:rsidRPr="006E6446">
              <w:rPr>
                <w:b/>
                <w:color w:val="000000"/>
                <w:sz w:val="22"/>
              </w:rPr>
              <w:t> </w:t>
            </w:r>
            <w:r w:rsidRPr="006E6446">
              <w:rPr>
                <w:b/>
                <w:color w:val="000000"/>
                <w:sz w:val="22"/>
              </w:rPr>
              <w:t>6</w:t>
            </w:r>
          </w:p>
        </w:tc>
        <w:tc>
          <w:tcPr>
            <w:tcW w:w="471" w:type="pct"/>
            <w:tcBorders>
              <w:top w:val="nil"/>
              <w:left w:val="nil"/>
              <w:bottom w:val="nil"/>
              <w:right w:val="single" w:sz="8" w:space="0" w:color="auto"/>
            </w:tcBorders>
            <w:vAlign w:val="center"/>
            <w:hideMark/>
          </w:tcPr>
          <w:p w14:paraId="722BCD0F" w14:textId="77777777" w:rsidR="00044D5B" w:rsidRPr="00392E88" w:rsidRDefault="00044D5B">
            <w:pPr>
              <w:spacing w:before="0" w:after="0"/>
              <w:rPr>
                <w:color w:val="000000"/>
                <w:sz w:val="18"/>
                <w:szCs w:val="18"/>
              </w:rPr>
            </w:pPr>
            <w:r w:rsidRPr="00392E88">
              <w:rPr>
                <w:color w:val="000000"/>
                <w:sz w:val="18"/>
              </w:rPr>
              <w:t>Środki na zobowiązania</w:t>
            </w:r>
          </w:p>
        </w:tc>
        <w:tc>
          <w:tcPr>
            <w:tcW w:w="731" w:type="pct"/>
            <w:gridSpan w:val="3"/>
            <w:tcBorders>
              <w:top w:val="single" w:sz="8" w:space="0" w:color="auto"/>
              <w:left w:val="nil"/>
              <w:bottom w:val="nil"/>
              <w:right w:val="single" w:sz="8" w:space="0" w:color="000000"/>
            </w:tcBorders>
            <w:vAlign w:val="center"/>
            <w:hideMark/>
          </w:tcPr>
          <w:p w14:paraId="1566B07D" w14:textId="77777777" w:rsidR="00044D5B" w:rsidRPr="00392E88" w:rsidRDefault="00044D5B">
            <w:pPr>
              <w:spacing w:before="0" w:after="0"/>
              <w:jc w:val="center"/>
              <w:rPr>
                <w:color w:val="000000"/>
                <w:sz w:val="14"/>
                <w:szCs w:val="14"/>
              </w:rPr>
            </w:pPr>
            <w:r w:rsidRPr="00392E88">
              <w:rPr>
                <w:color w:val="000000"/>
                <w:sz w:val="14"/>
              </w:rPr>
              <w:t>=4+6</w:t>
            </w:r>
          </w:p>
        </w:tc>
        <w:tc>
          <w:tcPr>
            <w:tcW w:w="437" w:type="pct"/>
            <w:gridSpan w:val="2"/>
            <w:tcBorders>
              <w:top w:val="nil"/>
              <w:left w:val="nil"/>
              <w:bottom w:val="single" w:sz="8" w:space="0" w:color="auto"/>
              <w:right w:val="single" w:sz="8" w:space="0" w:color="auto"/>
            </w:tcBorders>
            <w:shd w:val="clear" w:color="000000" w:fill="D9D9D9"/>
            <w:vAlign w:val="center"/>
            <w:hideMark/>
          </w:tcPr>
          <w:p w14:paraId="1F8D5E97" w14:textId="77777777" w:rsidR="00044D5B" w:rsidRPr="00392E88" w:rsidRDefault="00044D5B">
            <w:pPr>
              <w:spacing w:before="0" w:after="0"/>
              <w:jc w:val="right"/>
              <w:rPr>
                <w:b/>
                <w:bCs/>
                <w:color w:val="000000"/>
                <w:sz w:val="20"/>
                <w:szCs w:val="20"/>
              </w:rPr>
            </w:pPr>
            <w:r w:rsidRPr="00392E88">
              <w:rPr>
                <w:b/>
                <w:color w:val="000000"/>
                <w:sz w:val="20"/>
              </w:rPr>
              <w:t>0,000</w:t>
            </w:r>
          </w:p>
        </w:tc>
        <w:tc>
          <w:tcPr>
            <w:tcW w:w="437" w:type="pct"/>
            <w:gridSpan w:val="2"/>
            <w:tcBorders>
              <w:top w:val="nil"/>
              <w:left w:val="nil"/>
              <w:bottom w:val="single" w:sz="8" w:space="0" w:color="auto"/>
              <w:right w:val="single" w:sz="8" w:space="0" w:color="auto"/>
            </w:tcBorders>
            <w:shd w:val="clear" w:color="000000" w:fill="D9D9D9"/>
            <w:vAlign w:val="center"/>
            <w:hideMark/>
          </w:tcPr>
          <w:p w14:paraId="0D727CA8" w14:textId="77777777" w:rsidR="00044D5B" w:rsidRPr="00392E88" w:rsidRDefault="00044D5B">
            <w:pPr>
              <w:spacing w:before="0" w:after="0"/>
              <w:jc w:val="right"/>
              <w:rPr>
                <w:b/>
                <w:bCs/>
                <w:color w:val="000000"/>
                <w:sz w:val="20"/>
                <w:szCs w:val="20"/>
              </w:rPr>
            </w:pPr>
            <w:r w:rsidRPr="00392E88">
              <w:rPr>
                <w:b/>
                <w:color w:val="000000"/>
                <w:sz w:val="20"/>
              </w:rPr>
              <w:t>0,000</w:t>
            </w:r>
          </w:p>
        </w:tc>
        <w:tc>
          <w:tcPr>
            <w:tcW w:w="437" w:type="pct"/>
            <w:gridSpan w:val="2"/>
            <w:tcBorders>
              <w:top w:val="nil"/>
              <w:left w:val="nil"/>
              <w:bottom w:val="single" w:sz="8" w:space="0" w:color="auto"/>
              <w:right w:val="single" w:sz="8" w:space="0" w:color="auto"/>
            </w:tcBorders>
            <w:shd w:val="clear" w:color="000000" w:fill="D9D9D9"/>
            <w:vAlign w:val="center"/>
            <w:hideMark/>
          </w:tcPr>
          <w:p w14:paraId="7C24FC8A" w14:textId="77777777" w:rsidR="00044D5B" w:rsidRPr="00392E88" w:rsidRDefault="00044D5B">
            <w:pPr>
              <w:spacing w:before="0" w:after="0"/>
              <w:jc w:val="right"/>
              <w:rPr>
                <w:b/>
                <w:bCs/>
                <w:color w:val="000000"/>
                <w:sz w:val="20"/>
                <w:szCs w:val="20"/>
              </w:rPr>
            </w:pPr>
            <w:r w:rsidRPr="00392E88">
              <w:rPr>
                <w:b/>
                <w:color w:val="000000"/>
                <w:sz w:val="20"/>
              </w:rPr>
              <w:t>0,000</w:t>
            </w:r>
          </w:p>
        </w:tc>
        <w:tc>
          <w:tcPr>
            <w:tcW w:w="437" w:type="pct"/>
            <w:gridSpan w:val="2"/>
            <w:tcBorders>
              <w:top w:val="nil"/>
              <w:left w:val="nil"/>
              <w:bottom w:val="single" w:sz="8" w:space="0" w:color="auto"/>
              <w:right w:val="single" w:sz="8" w:space="0" w:color="auto"/>
            </w:tcBorders>
            <w:shd w:val="clear" w:color="000000" w:fill="D9D9D9"/>
            <w:vAlign w:val="center"/>
            <w:hideMark/>
          </w:tcPr>
          <w:p w14:paraId="31F92D39" w14:textId="77777777" w:rsidR="00044D5B" w:rsidRPr="00392E88" w:rsidRDefault="00044D5B">
            <w:pPr>
              <w:spacing w:before="0" w:after="0"/>
              <w:jc w:val="right"/>
              <w:rPr>
                <w:b/>
                <w:bCs/>
                <w:color w:val="000000"/>
                <w:sz w:val="20"/>
                <w:szCs w:val="20"/>
              </w:rPr>
            </w:pPr>
            <w:r w:rsidRPr="00392E88">
              <w:rPr>
                <w:b/>
                <w:color w:val="000000"/>
                <w:sz w:val="20"/>
              </w:rPr>
              <w:t>0,000</w:t>
            </w:r>
          </w:p>
        </w:tc>
        <w:tc>
          <w:tcPr>
            <w:tcW w:w="529" w:type="pct"/>
            <w:gridSpan w:val="2"/>
            <w:tcBorders>
              <w:top w:val="nil"/>
              <w:left w:val="nil"/>
              <w:bottom w:val="single" w:sz="8" w:space="0" w:color="auto"/>
              <w:right w:val="single" w:sz="8" w:space="0" w:color="auto"/>
            </w:tcBorders>
            <w:shd w:val="clear" w:color="000000" w:fill="D9D9D9"/>
            <w:vAlign w:val="center"/>
            <w:hideMark/>
          </w:tcPr>
          <w:p w14:paraId="3F48BD8C" w14:textId="77777777" w:rsidR="00044D5B" w:rsidRPr="00392E88" w:rsidRDefault="00044D5B">
            <w:pPr>
              <w:spacing w:before="0" w:after="0"/>
              <w:jc w:val="right"/>
              <w:rPr>
                <w:b/>
                <w:bCs/>
                <w:color w:val="000000"/>
                <w:sz w:val="20"/>
                <w:szCs w:val="20"/>
              </w:rPr>
            </w:pPr>
            <w:r w:rsidRPr="00392E88">
              <w:rPr>
                <w:b/>
                <w:color w:val="000000"/>
                <w:sz w:val="20"/>
              </w:rPr>
              <w:t>0,000</w:t>
            </w:r>
          </w:p>
        </w:tc>
      </w:tr>
      <w:tr w:rsidR="00983E98" w:rsidRPr="00392E88" w14:paraId="7C84ED68" w14:textId="77777777">
        <w:trPr>
          <w:gridBefore w:val="1"/>
          <w:trHeight w:val="588"/>
        </w:trPr>
        <w:tc>
          <w:tcPr>
            <w:tcW w:w="1522" w:type="pct"/>
            <w:tcBorders>
              <w:top w:val="nil"/>
              <w:left w:val="single" w:sz="8" w:space="0" w:color="auto"/>
              <w:bottom w:val="single" w:sz="8" w:space="0" w:color="auto"/>
              <w:right w:val="single" w:sz="8" w:space="0" w:color="auto"/>
            </w:tcBorders>
            <w:shd w:val="thinDiagStripe" w:color="C0C0C0" w:fill="F1F1F1"/>
            <w:vAlign w:val="center"/>
            <w:hideMark/>
          </w:tcPr>
          <w:p w14:paraId="6155BBCB" w14:textId="77777777" w:rsidR="00044D5B" w:rsidRPr="00392E88" w:rsidRDefault="00044D5B">
            <w:pPr>
              <w:spacing w:before="0" w:after="0"/>
              <w:jc w:val="center"/>
              <w:rPr>
                <w:color w:val="000000"/>
                <w:sz w:val="20"/>
                <w:szCs w:val="20"/>
              </w:rPr>
            </w:pPr>
            <w:r w:rsidRPr="00392E88">
              <w:rPr>
                <w:color w:val="000000"/>
                <w:sz w:val="20"/>
              </w:rPr>
              <w:t>wieloletnich ram finansowych</w:t>
            </w:r>
            <w:r w:rsidRPr="00392E88">
              <w:t xml:space="preserve"> </w:t>
            </w:r>
            <w:r w:rsidRPr="00392E88">
              <w:br/>
            </w:r>
            <w:r w:rsidRPr="00392E88">
              <w:rPr>
                <w:color w:val="000000"/>
                <w:sz w:val="20"/>
              </w:rPr>
              <w:t>(kwota referencyjna)</w:t>
            </w:r>
          </w:p>
        </w:tc>
        <w:tc>
          <w:tcPr>
            <w:tcW w:w="471" w:type="pct"/>
            <w:tcBorders>
              <w:top w:val="nil"/>
              <w:left w:val="nil"/>
              <w:bottom w:val="single" w:sz="8" w:space="0" w:color="auto"/>
              <w:right w:val="single" w:sz="8" w:space="0" w:color="auto"/>
            </w:tcBorders>
            <w:vAlign w:val="center"/>
            <w:hideMark/>
          </w:tcPr>
          <w:p w14:paraId="31124F56" w14:textId="77777777" w:rsidR="00044D5B" w:rsidRPr="00392E88" w:rsidRDefault="00044D5B">
            <w:pPr>
              <w:spacing w:before="0" w:after="0"/>
              <w:rPr>
                <w:color w:val="000000"/>
                <w:sz w:val="18"/>
                <w:szCs w:val="18"/>
              </w:rPr>
            </w:pPr>
            <w:r w:rsidRPr="00392E88">
              <w:rPr>
                <w:color w:val="000000"/>
                <w:sz w:val="18"/>
              </w:rPr>
              <w:t>Środki na płatności</w:t>
            </w:r>
          </w:p>
        </w:tc>
        <w:tc>
          <w:tcPr>
            <w:tcW w:w="731" w:type="pct"/>
            <w:gridSpan w:val="3"/>
            <w:tcBorders>
              <w:top w:val="single" w:sz="8" w:space="0" w:color="auto"/>
              <w:left w:val="nil"/>
              <w:bottom w:val="single" w:sz="8" w:space="0" w:color="auto"/>
              <w:right w:val="single" w:sz="8" w:space="0" w:color="000000"/>
            </w:tcBorders>
            <w:vAlign w:val="center"/>
            <w:hideMark/>
          </w:tcPr>
          <w:p w14:paraId="267A61FF" w14:textId="77777777" w:rsidR="00044D5B" w:rsidRPr="00392E88" w:rsidRDefault="00044D5B">
            <w:pPr>
              <w:spacing w:before="0" w:after="0"/>
              <w:jc w:val="center"/>
              <w:rPr>
                <w:color w:val="000000"/>
                <w:sz w:val="14"/>
                <w:szCs w:val="14"/>
              </w:rPr>
            </w:pPr>
            <w:r w:rsidRPr="00392E88">
              <w:rPr>
                <w:color w:val="000000"/>
                <w:sz w:val="14"/>
              </w:rPr>
              <w:t>=5+6</w:t>
            </w:r>
          </w:p>
        </w:tc>
        <w:tc>
          <w:tcPr>
            <w:tcW w:w="437" w:type="pct"/>
            <w:gridSpan w:val="2"/>
            <w:tcBorders>
              <w:top w:val="nil"/>
              <w:left w:val="nil"/>
              <w:bottom w:val="single" w:sz="8" w:space="0" w:color="auto"/>
              <w:right w:val="single" w:sz="8" w:space="0" w:color="auto"/>
            </w:tcBorders>
            <w:shd w:val="clear" w:color="000000" w:fill="D9D9D9"/>
            <w:vAlign w:val="center"/>
            <w:hideMark/>
          </w:tcPr>
          <w:p w14:paraId="400E3F9D" w14:textId="77777777" w:rsidR="00044D5B" w:rsidRPr="00392E88" w:rsidRDefault="00044D5B">
            <w:pPr>
              <w:spacing w:before="0" w:after="0"/>
              <w:jc w:val="right"/>
              <w:rPr>
                <w:b/>
                <w:bCs/>
                <w:color w:val="000000"/>
                <w:sz w:val="20"/>
                <w:szCs w:val="20"/>
              </w:rPr>
            </w:pPr>
            <w:r w:rsidRPr="00392E88">
              <w:rPr>
                <w:b/>
                <w:color w:val="000000"/>
                <w:sz w:val="20"/>
              </w:rPr>
              <w:t>0,000</w:t>
            </w:r>
          </w:p>
        </w:tc>
        <w:tc>
          <w:tcPr>
            <w:tcW w:w="437" w:type="pct"/>
            <w:gridSpan w:val="2"/>
            <w:tcBorders>
              <w:top w:val="nil"/>
              <w:left w:val="nil"/>
              <w:bottom w:val="single" w:sz="8" w:space="0" w:color="auto"/>
              <w:right w:val="single" w:sz="8" w:space="0" w:color="auto"/>
            </w:tcBorders>
            <w:shd w:val="clear" w:color="000000" w:fill="D9D9D9"/>
            <w:vAlign w:val="center"/>
            <w:hideMark/>
          </w:tcPr>
          <w:p w14:paraId="7DAB4AEA" w14:textId="77777777" w:rsidR="00044D5B" w:rsidRPr="00392E88" w:rsidRDefault="00044D5B">
            <w:pPr>
              <w:spacing w:before="0" w:after="0"/>
              <w:jc w:val="right"/>
              <w:rPr>
                <w:b/>
                <w:bCs/>
                <w:color w:val="000000"/>
                <w:sz w:val="20"/>
                <w:szCs w:val="20"/>
              </w:rPr>
            </w:pPr>
            <w:r w:rsidRPr="00392E88">
              <w:rPr>
                <w:b/>
                <w:color w:val="000000"/>
                <w:sz w:val="20"/>
              </w:rPr>
              <w:t>0,000</w:t>
            </w:r>
          </w:p>
        </w:tc>
        <w:tc>
          <w:tcPr>
            <w:tcW w:w="437" w:type="pct"/>
            <w:gridSpan w:val="2"/>
            <w:tcBorders>
              <w:top w:val="nil"/>
              <w:left w:val="nil"/>
              <w:bottom w:val="single" w:sz="8" w:space="0" w:color="auto"/>
              <w:right w:val="single" w:sz="8" w:space="0" w:color="auto"/>
            </w:tcBorders>
            <w:shd w:val="clear" w:color="000000" w:fill="D9D9D9"/>
            <w:vAlign w:val="center"/>
            <w:hideMark/>
          </w:tcPr>
          <w:p w14:paraId="2F65EDE4" w14:textId="77777777" w:rsidR="00044D5B" w:rsidRPr="00392E88" w:rsidRDefault="00044D5B">
            <w:pPr>
              <w:spacing w:before="0" w:after="0"/>
              <w:jc w:val="right"/>
              <w:rPr>
                <w:b/>
                <w:bCs/>
                <w:color w:val="000000"/>
                <w:sz w:val="20"/>
                <w:szCs w:val="20"/>
              </w:rPr>
            </w:pPr>
            <w:r w:rsidRPr="00392E88">
              <w:rPr>
                <w:b/>
                <w:color w:val="000000"/>
                <w:sz w:val="20"/>
              </w:rPr>
              <w:t>0,000</w:t>
            </w:r>
          </w:p>
        </w:tc>
        <w:tc>
          <w:tcPr>
            <w:tcW w:w="437" w:type="pct"/>
            <w:gridSpan w:val="2"/>
            <w:tcBorders>
              <w:top w:val="nil"/>
              <w:left w:val="nil"/>
              <w:bottom w:val="single" w:sz="8" w:space="0" w:color="auto"/>
              <w:right w:val="single" w:sz="8" w:space="0" w:color="auto"/>
            </w:tcBorders>
            <w:shd w:val="clear" w:color="000000" w:fill="D9D9D9"/>
            <w:vAlign w:val="center"/>
            <w:hideMark/>
          </w:tcPr>
          <w:p w14:paraId="74641978" w14:textId="77777777" w:rsidR="00044D5B" w:rsidRPr="00392E88" w:rsidRDefault="00044D5B">
            <w:pPr>
              <w:spacing w:before="0" w:after="0"/>
              <w:jc w:val="right"/>
              <w:rPr>
                <w:b/>
                <w:bCs/>
                <w:color w:val="000000"/>
                <w:sz w:val="20"/>
                <w:szCs w:val="20"/>
              </w:rPr>
            </w:pPr>
            <w:r w:rsidRPr="00392E88">
              <w:rPr>
                <w:b/>
                <w:color w:val="000000"/>
                <w:sz w:val="20"/>
              </w:rPr>
              <w:t>0,000</w:t>
            </w:r>
          </w:p>
        </w:tc>
        <w:tc>
          <w:tcPr>
            <w:tcW w:w="529" w:type="pct"/>
            <w:gridSpan w:val="2"/>
            <w:tcBorders>
              <w:top w:val="nil"/>
              <w:left w:val="nil"/>
              <w:bottom w:val="single" w:sz="8" w:space="0" w:color="auto"/>
              <w:right w:val="single" w:sz="8" w:space="0" w:color="auto"/>
            </w:tcBorders>
            <w:shd w:val="clear" w:color="000000" w:fill="D9D9D9"/>
            <w:vAlign w:val="center"/>
            <w:hideMark/>
          </w:tcPr>
          <w:p w14:paraId="3F320209" w14:textId="77777777" w:rsidR="00044D5B" w:rsidRPr="00392E88" w:rsidRDefault="00044D5B">
            <w:pPr>
              <w:spacing w:before="0" w:after="0"/>
              <w:jc w:val="right"/>
              <w:rPr>
                <w:b/>
                <w:bCs/>
                <w:color w:val="000000"/>
                <w:sz w:val="20"/>
                <w:szCs w:val="20"/>
              </w:rPr>
            </w:pPr>
            <w:r w:rsidRPr="00392E88">
              <w:rPr>
                <w:b/>
                <w:color w:val="000000"/>
                <w:sz w:val="20"/>
              </w:rPr>
              <w:t>0,000</w:t>
            </w:r>
          </w:p>
        </w:tc>
      </w:tr>
    </w:tbl>
    <w:p w14:paraId="12949C54" w14:textId="77777777" w:rsidR="00044D5B" w:rsidRPr="00392E88" w:rsidRDefault="00044D5B" w:rsidP="00044D5B">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632"/>
        <w:gridCol w:w="241"/>
        <w:gridCol w:w="1110"/>
        <w:gridCol w:w="1256"/>
        <w:gridCol w:w="628"/>
        <w:gridCol w:w="631"/>
        <w:gridCol w:w="1054"/>
        <w:gridCol w:w="1054"/>
        <w:gridCol w:w="1054"/>
        <w:gridCol w:w="1054"/>
        <w:gridCol w:w="1300"/>
      </w:tblGrid>
      <w:tr w:rsidR="00B55C7B" w:rsidRPr="00392E88" w14:paraId="2FC5B3F6" w14:textId="77777777">
        <w:trPr>
          <w:jc w:val="center"/>
        </w:trPr>
        <w:tc>
          <w:tcPr>
            <w:tcW w:w="1739" w:type="pct"/>
            <w:gridSpan w:val="2"/>
            <w:shd w:val="thinDiagStripe" w:color="C0C0C0" w:fill="auto"/>
            <w:vAlign w:val="center"/>
          </w:tcPr>
          <w:p w14:paraId="6A3E0B92" w14:textId="77777777" w:rsidR="00044D5B" w:rsidRPr="00392E88" w:rsidRDefault="00044D5B">
            <w:pPr>
              <w:spacing w:before="60" w:after="60"/>
              <w:jc w:val="center"/>
              <w:rPr>
                <w:b/>
                <w:noProof/>
              </w:rPr>
            </w:pPr>
            <w:r w:rsidRPr="00392E88">
              <w:br w:type="page"/>
            </w:r>
            <w:r w:rsidRPr="00392E88">
              <w:rPr>
                <w:b/>
                <w:sz w:val="22"/>
              </w:rPr>
              <w:t xml:space="preserve">Dział wieloletnich ram finansowych </w:t>
            </w:r>
          </w:p>
        </w:tc>
        <w:tc>
          <w:tcPr>
            <w:tcW w:w="396" w:type="pct"/>
            <w:shd w:val="thinDiagStripe" w:color="C0C0C0" w:fill="auto"/>
            <w:vAlign w:val="center"/>
          </w:tcPr>
          <w:p w14:paraId="694EBDB2" w14:textId="77777777" w:rsidR="00044D5B" w:rsidRPr="00392E88" w:rsidRDefault="00044D5B">
            <w:pPr>
              <w:spacing w:before="60" w:after="60"/>
              <w:jc w:val="center"/>
              <w:rPr>
                <w:noProof/>
              </w:rPr>
            </w:pPr>
            <w:r w:rsidRPr="00392E88">
              <w:rPr>
                <w:b/>
                <w:sz w:val="22"/>
              </w:rPr>
              <w:t>7</w:t>
            </w:r>
          </w:p>
        </w:tc>
        <w:tc>
          <w:tcPr>
            <w:tcW w:w="2865" w:type="pct"/>
            <w:gridSpan w:val="8"/>
            <w:vAlign w:val="center"/>
          </w:tcPr>
          <w:p w14:paraId="0CD057D1" w14:textId="77777777" w:rsidR="00044D5B" w:rsidRPr="00392E88" w:rsidRDefault="00044D5B">
            <w:pPr>
              <w:spacing w:before="60" w:after="60"/>
              <w:rPr>
                <w:noProof/>
              </w:rPr>
            </w:pPr>
            <w:r w:rsidRPr="00392E88">
              <w:rPr>
                <w:sz w:val="22"/>
              </w:rPr>
              <w:t>„Wydatki administracyjne”</w:t>
            </w:r>
            <w:r w:rsidRPr="00392E88">
              <w:t xml:space="preserve"> </w:t>
            </w:r>
          </w:p>
        </w:tc>
      </w:tr>
      <w:tr w:rsidR="00B55C7B" w:rsidRPr="00392E88" w14:paraId="4C30D66F" w14:textId="7777777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8"/>
        </w:trPr>
        <w:tc>
          <w:tcPr>
            <w:tcW w:w="3032" w:type="pct"/>
            <w:gridSpan w:val="6"/>
            <w:vMerge w:val="restart"/>
            <w:tcBorders>
              <w:top w:val="single" w:sz="8" w:space="0" w:color="auto"/>
              <w:left w:val="single" w:sz="8" w:space="0" w:color="auto"/>
              <w:bottom w:val="single" w:sz="8" w:space="0" w:color="auto"/>
              <w:right w:val="single" w:sz="8" w:space="0" w:color="auto"/>
            </w:tcBorders>
            <w:vAlign w:val="center"/>
            <w:hideMark/>
          </w:tcPr>
          <w:p w14:paraId="5D0E7E35" w14:textId="77777777" w:rsidR="00044D5B" w:rsidRPr="00392E88" w:rsidRDefault="00044D5B">
            <w:pPr>
              <w:spacing w:before="0" w:after="0"/>
              <w:jc w:val="center"/>
              <w:rPr>
                <w:color w:val="000000"/>
                <w:szCs w:val="24"/>
              </w:rPr>
            </w:pPr>
            <w:r w:rsidRPr="00392E88">
              <w:rPr>
                <w:color w:val="000000"/>
              </w:rPr>
              <w:t>Dyrekcja Generalna: &lt;…….&gt;</w:t>
            </w:r>
          </w:p>
        </w:tc>
        <w:tc>
          <w:tcPr>
            <w:tcW w:w="376" w:type="pct"/>
            <w:tcBorders>
              <w:top w:val="single" w:sz="8" w:space="0" w:color="auto"/>
              <w:left w:val="nil"/>
              <w:bottom w:val="nil"/>
              <w:right w:val="single" w:sz="8" w:space="0" w:color="auto"/>
            </w:tcBorders>
            <w:vAlign w:val="center"/>
            <w:hideMark/>
          </w:tcPr>
          <w:p w14:paraId="100C9A8A" w14:textId="77777777" w:rsidR="00044D5B" w:rsidRPr="00392E88" w:rsidRDefault="00044D5B">
            <w:pPr>
              <w:spacing w:before="0" w:after="0"/>
              <w:jc w:val="center"/>
              <w:rPr>
                <w:color w:val="000000"/>
                <w:sz w:val="20"/>
                <w:szCs w:val="20"/>
              </w:rPr>
            </w:pPr>
            <w:r w:rsidRPr="00392E88">
              <w:rPr>
                <w:color w:val="000000"/>
                <w:sz w:val="20"/>
              </w:rPr>
              <w:t>Rok</w:t>
            </w:r>
          </w:p>
        </w:tc>
        <w:tc>
          <w:tcPr>
            <w:tcW w:w="376" w:type="pct"/>
            <w:tcBorders>
              <w:top w:val="single" w:sz="8" w:space="0" w:color="auto"/>
              <w:left w:val="nil"/>
              <w:bottom w:val="nil"/>
              <w:right w:val="single" w:sz="8" w:space="0" w:color="auto"/>
            </w:tcBorders>
            <w:vAlign w:val="center"/>
            <w:hideMark/>
          </w:tcPr>
          <w:p w14:paraId="4E914718" w14:textId="77777777" w:rsidR="00044D5B" w:rsidRPr="00392E88" w:rsidRDefault="00044D5B">
            <w:pPr>
              <w:spacing w:before="0" w:after="0"/>
              <w:jc w:val="center"/>
              <w:rPr>
                <w:color w:val="000000"/>
                <w:sz w:val="20"/>
                <w:szCs w:val="20"/>
              </w:rPr>
            </w:pPr>
            <w:r w:rsidRPr="00392E88">
              <w:rPr>
                <w:color w:val="000000"/>
                <w:sz w:val="20"/>
              </w:rPr>
              <w:t>Rok</w:t>
            </w:r>
          </w:p>
        </w:tc>
        <w:tc>
          <w:tcPr>
            <w:tcW w:w="376" w:type="pct"/>
            <w:tcBorders>
              <w:top w:val="single" w:sz="8" w:space="0" w:color="auto"/>
              <w:left w:val="nil"/>
              <w:bottom w:val="nil"/>
              <w:right w:val="single" w:sz="8" w:space="0" w:color="auto"/>
            </w:tcBorders>
            <w:vAlign w:val="center"/>
            <w:hideMark/>
          </w:tcPr>
          <w:p w14:paraId="36614EF1" w14:textId="77777777" w:rsidR="00044D5B" w:rsidRPr="00392E88" w:rsidRDefault="00044D5B">
            <w:pPr>
              <w:spacing w:before="0" w:after="0"/>
              <w:jc w:val="center"/>
              <w:rPr>
                <w:color w:val="000000"/>
                <w:sz w:val="20"/>
                <w:szCs w:val="20"/>
              </w:rPr>
            </w:pPr>
            <w:r w:rsidRPr="00392E88">
              <w:rPr>
                <w:color w:val="000000"/>
                <w:sz w:val="20"/>
              </w:rPr>
              <w:t>Rok</w:t>
            </w:r>
          </w:p>
        </w:tc>
        <w:tc>
          <w:tcPr>
            <w:tcW w:w="376" w:type="pct"/>
            <w:tcBorders>
              <w:top w:val="single" w:sz="8" w:space="0" w:color="auto"/>
              <w:left w:val="nil"/>
              <w:bottom w:val="nil"/>
              <w:right w:val="single" w:sz="8" w:space="0" w:color="auto"/>
            </w:tcBorders>
            <w:vAlign w:val="center"/>
            <w:hideMark/>
          </w:tcPr>
          <w:p w14:paraId="4E1E4A9E" w14:textId="77777777" w:rsidR="00044D5B" w:rsidRPr="00392E88" w:rsidRDefault="00044D5B">
            <w:pPr>
              <w:spacing w:before="0" w:after="0"/>
              <w:jc w:val="center"/>
              <w:rPr>
                <w:color w:val="000000"/>
                <w:sz w:val="20"/>
                <w:szCs w:val="20"/>
              </w:rPr>
            </w:pPr>
            <w:r w:rsidRPr="00392E88">
              <w:rPr>
                <w:color w:val="000000"/>
                <w:sz w:val="20"/>
              </w:rPr>
              <w:t>Rok</w:t>
            </w:r>
          </w:p>
        </w:tc>
        <w:tc>
          <w:tcPr>
            <w:tcW w:w="465" w:type="pct"/>
            <w:vMerge w:val="restart"/>
            <w:tcBorders>
              <w:top w:val="single" w:sz="8" w:space="0" w:color="auto"/>
              <w:left w:val="single" w:sz="8" w:space="0" w:color="auto"/>
              <w:bottom w:val="single" w:sz="8" w:space="0" w:color="000000"/>
              <w:right w:val="single" w:sz="8" w:space="0" w:color="auto"/>
            </w:tcBorders>
            <w:vAlign w:val="center"/>
            <w:hideMark/>
          </w:tcPr>
          <w:p w14:paraId="7B216BC8" w14:textId="77777777" w:rsidR="00044D5B" w:rsidRPr="00392E88" w:rsidRDefault="00044D5B">
            <w:pPr>
              <w:spacing w:before="0" w:after="0"/>
              <w:jc w:val="center"/>
              <w:rPr>
                <w:b/>
                <w:bCs/>
                <w:color w:val="000000"/>
                <w:sz w:val="20"/>
                <w:szCs w:val="20"/>
              </w:rPr>
            </w:pPr>
            <w:r w:rsidRPr="00392E88">
              <w:rPr>
                <w:b/>
                <w:color w:val="000000"/>
                <w:sz w:val="20"/>
              </w:rPr>
              <w:t>OGÓŁEM WRF 2021–2027</w:t>
            </w:r>
          </w:p>
        </w:tc>
      </w:tr>
      <w:tr w:rsidR="00470A36" w:rsidRPr="00392E88" w14:paraId="4464F110" w14:textId="7777777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6"/>
            <w:vMerge/>
            <w:tcBorders>
              <w:top w:val="single" w:sz="8" w:space="0" w:color="auto"/>
              <w:left w:val="single" w:sz="8" w:space="0" w:color="auto"/>
              <w:bottom w:val="single" w:sz="8" w:space="0" w:color="auto"/>
              <w:right w:val="single" w:sz="8" w:space="0" w:color="auto"/>
            </w:tcBorders>
            <w:vAlign w:val="center"/>
            <w:hideMark/>
          </w:tcPr>
          <w:p w14:paraId="089F470E" w14:textId="77777777" w:rsidR="00044D5B" w:rsidRPr="00392E88" w:rsidRDefault="00044D5B">
            <w:pPr>
              <w:spacing w:before="0" w:after="0"/>
              <w:jc w:val="left"/>
              <w:rPr>
                <w:color w:val="000000"/>
                <w:szCs w:val="24"/>
                <w:lang w:eastAsia="en-IE"/>
              </w:rPr>
            </w:pPr>
          </w:p>
        </w:tc>
        <w:tc>
          <w:tcPr>
            <w:tcW w:w="376" w:type="pct"/>
            <w:tcBorders>
              <w:top w:val="nil"/>
              <w:left w:val="nil"/>
              <w:bottom w:val="single" w:sz="8" w:space="0" w:color="auto"/>
              <w:right w:val="single" w:sz="8" w:space="0" w:color="auto"/>
            </w:tcBorders>
            <w:vAlign w:val="center"/>
            <w:hideMark/>
          </w:tcPr>
          <w:p w14:paraId="617598AF" w14:textId="77777777" w:rsidR="00044D5B" w:rsidRPr="00392E88" w:rsidRDefault="00044D5B">
            <w:pPr>
              <w:spacing w:before="0" w:after="0"/>
              <w:jc w:val="center"/>
              <w:rPr>
                <w:b/>
                <w:bCs/>
                <w:color w:val="000000"/>
                <w:sz w:val="20"/>
                <w:szCs w:val="20"/>
              </w:rPr>
            </w:pPr>
            <w:r w:rsidRPr="00392E88">
              <w:rPr>
                <w:b/>
                <w:color w:val="000000"/>
                <w:sz w:val="20"/>
              </w:rPr>
              <w:t>2024</w:t>
            </w:r>
          </w:p>
        </w:tc>
        <w:tc>
          <w:tcPr>
            <w:tcW w:w="376" w:type="pct"/>
            <w:tcBorders>
              <w:top w:val="nil"/>
              <w:left w:val="nil"/>
              <w:bottom w:val="single" w:sz="8" w:space="0" w:color="auto"/>
              <w:right w:val="single" w:sz="8" w:space="0" w:color="auto"/>
            </w:tcBorders>
            <w:vAlign w:val="center"/>
            <w:hideMark/>
          </w:tcPr>
          <w:p w14:paraId="776F5F0B" w14:textId="77777777" w:rsidR="00044D5B" w:rsidRPr="00392E88" w:rsidRDefault="00044D5B">
            <w:pPr>
              <w:spacing w:before="0" w:after="0"/>
              <w:jc w:val="center"/>
              <w:rPr>
                <w:b/>
                <w:bCs/>
                <w:color w:val="000000"/>
                <w:sz w:val="20"/>
                <w:szCs w:val="20"/>
              </w:rPr>
            </w:pPr>
            <w:r w:rsidRPr="00392E88">
              <w:rPr>
                <w:b/>
                <w:color w:val="000000"/>
                <w:sz w:val="20"/>
              </w:rPr>
              <w:t>2025</w:t>
            </w:r>
          </w:p>
        </w:tc>
        <w:tc>
          <w:tcPr>
            <w:tcW w:w="376" w:type="pct"/>
            <w:tcBorders>
              <w:top w:val="nil"/>
              <w:left w:val="nil"/>
              <w:bottom w:val="single" w:sz="8" w:space="0" w:color="auto"/>
              <w:right w:val="single" w:sz="8" w:space="0" w:color="auto"/>
            </w:tcBorders>
            <w:vAlign w:val="center"/>
            <w:hideMark/>
          </w:tcPr>
          <w:p w14:paraId="069E114D" w14:textId="77777777" w:rsidR="00044D5B" w:rsidRPr="00392E88" w:rsidRDefault="00044D5B">
            <w:pPr>
              <w:spacing w:before="0" w:after="0"/>
              <w:jc w:val="center"/>
              <w:rPr>
                <w:b/>
                <w:bCs/>
                <w:color w:val="000000"/>
                <w:sz w:val="20"/>
                <w:szCs w:val="20"/>
              </w:rPr>
            </w:pPr>
            <w:r w:rsidRPr="00392E88">
              <w:rPr>
                <w:b/>
                <w:color w:val="000000"/>
                <w:sz w:val="20"/>
              </w:rPr>
              <w:t>2026</w:t>
            </w:r>
          </w:p>
        </w:tc>
        <w:tc>
          <w:tcPr>
            <w:tcW w:w="376" w:type="pct"/>
            <w:tcBorders>
              <w:top w:val="nil"/>
              <w:left w:val="nil"/>
              <w:bottom w:val="single" w:sz="8" w:space="0" w:color="auto"/>
              <w:right w:val="single" w:sz="8" w:space="0" w:color="auto"/>
            </w:tcBorders>
            <w:vAlign w:val="center"/>
            <w:hideMark/>
          </w:tcPr>
          <w:p w14:paraId="790A6473" w14:textId="77777777" w:rsidR="00044D5B" w:rsidRPr="00392E88" w:rsidRDefault="00044D5B">
            <w:pPr>
              <w:spacing w:before="0" w:after="0"/>
              <w:jc w:val="center"/>
              <w:rPr>
                <w:b/>
                <w:bCs/>
                <w:color w:val="000000"/>
                <w:sz w:val="20"/>
                <w:szCs w:val="20"/>
              </w:rPr>
            </w:pPr>
            <w:r w:rsidRPr="00392E88">
              <w:rPr>
                <w:b/>
                <w:color w:val="000000"/>
                <w:sz w:val="20"/>
              </w:rPr>
              <w:t>2027</w:t>
            </w:r>
          </w:p>
        </w:tc>
        <w:tc>
          <w:tcPr>
            <w:tcW w:w="465" w:type="pct"/>
            <w:vMerge/>
            <w:tcBorders>
              <w:top w:val="single" w:sz="8" w:space="0" w:color="auto"/>
              <w:left w:val="single" w:sz="8" w:space="0" w:color="auto"/>
              <w:bottom w:val="single" w:sz="8" w:space="0" w:color="000000"/>
              <w:right w:val="single" w:sz="8" w:space="0" w:color="auto"/>
            </w:tcBorders>
            <w:vAlign w:val="center"/>
            <w:hideMark/>
          </w:tcPr>
          <w:p w14:paraId="1EBC99CC" w14:textId="77777777" w:rsidR="00044D5B" w:rsidRPr="00392E88" w:rsidRDefault="00044D5B">
            <w:pPr>
              <w:spacing w:before="0" w:after="0"/>
              <w:jc w:val="left"/>
              <w:rPr>
                <w:b/>
                <w:bCs/>
                <w:color w:val="000000"/>
                <w:sz w:val="20"/>
                <w:szCs w:val="20"/>
                <w:lang w:eastAsia="en-IE"/>
              </w:rPr>
            </w:pPr>
          </w:p>
        </w:tc>
      </w:tr>
      <w:tr w:rsidR="00E6355E" w:rsidRPr="00392E88" w14:paraId="63ACC1E1" w14:textId="7777777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6"/>
            <w:tcBorders>
              <w:top w:val="single" w:sz="8" w:space="0" w:color="auto"/>
              <w:left w:val="single" w:sz="8" w:space="0" w:color="auto"/>
              <w:bottom w:val="single" w:sz="8" w:space="0" w:color="auto"/>
              <w:right w:val="single" w:sz="8" w:space="0" w:color="auto"/>
            </w:tcBorders>
            <w:vAlign w:val="center"/>
            <w:hideMark/>
          </w:tcPr>
          <w:p w14:paraId="6F80D75D" w14:textId="77777777" w:rsidR="00044D5B" w:rsidRPr="00392E88" w:rsidRDefault="00044D5B">
            <w:pPr>
              <w:spacing w:before="0" w:after="0"/>
              <w:jc w:val="left"/>
              <w:rPr>
                <w:rFonts w:ascii="Wingdings" w:hAnsi="Wingdings" w:cs="Calibri"/>
                <w:color w:val="000000"/>
                <w:sz w:val="22"/>
              </w:rPr>
            </w:pPr>
            <w:r w:rsidRPr="00392E88">
              <w:rPr>
                <w:rFonts w:ascii="Wingdings" w:hAnsi="Wingdings"/>
                <w:color w:val="000000"/>
                <w:sz w:val="22"/>
              </w:rPr>
              <w:t>Ÿ</w:t>
            </w:r>
            <w:r w:rsidRPr="00392E88">
              <w:t xml:space="preserve"> Zasoby ludzkie</w:t>
            </w:r>
            <w:r w:rsidRPr="00392E88">
              <w:rPr>
                <w:color w:val="000000"/>
                <w:sz w:val="22"/>
              </w:rPr>
              <w:t xml:space="preserve"> </w:t>
            </w:r>
          </w:p>
        </w:tc>
        <w:tc>
          <w:tcPr>
            <w:tcW w:w="376" w:type="pct"/>
            <w:tcBorders>
              <w:top w:val="nil"/>
              <w:left w:val="nil"/>
              <w:bottom w:val="single" w:sz="8" w:space="0" w:color="auto"/>
              <w:right w:val="single" w:sz="8" w:space="0" w:color="auto"/>
            </w:tcBorders>
            <w:shd w:val="clear" w:color="000000" w:fill="D9D9D9"/>
            <w:vAlign w:val="center"/>
            <w:hideMark/>
          </w:tcPr>
          <w:p w14:paraId="3CD301D9" w14:textId="77777777" w:rsidR="00044D5B" w:rsidRPr="00392E88" w:rsidRDefault="00044D5B">
            <w:pPr>
              <w:spacing w:before="0" w:after="0"/>
              <w:jc w:val="right"/>
              <w:rPr>
                <w:color w:val="000000"/>
                <w:sz w:val="20"/>
                <w:szCs w:val="20"/>
              </w:rPr>
            </w:pPr>
            <w:r w:rsidRPr="00392E88">
              <w:rPr>
                <w:color w:val="000000"/>
                <w:sz w:val="20"/>
              </w:rPr>
              <w:t>0,000</w:t>
            </w:r>
          </w:p>
        </w:tc>
        <w:tc>
          <w:tcPr>
            <w:tcW w:w="376" w:type="pct"/>
            <w:tcBorders>
              <w:top w:val="nil"/>
              <w:left w:val="nil"/>
              <w:bottom w:val="single" w:sz="8" w:space="0" w:color="auto"/>
              <w:right w:val="single" w:sz="8" w:space="0" w:color="auto"/>
            </w:tcBorders>
            <w:shd w:val="clear" w:color="000000" w:fill="D9D9D9"/>
            <w:vAlign w:val="center"/>
            <w:hideMark/>
          </w:tcPr>
          <w:p w14:paraId="05FAAD70" w14:textId="77777777" w:rsidR="00044D5B" w:rsidRPr="00392E88" w:rsidRDefault="00044D5B">
            <w:pPr>
              <w:spacing w:before="0" w:after="0"/>
              <w:jc w:val="right"/>
              <w:rPr>
                <w:color w:val="000000"/>
                <w:sz w:val="20"/>
                <w:szCs w:val="20"/>
              </w:rPr>
            </w:pPr>
            <w:r w:rsidRPr="00392E88">
              <w:rPr>
                <w:color w:val="000000"/>
                <w:sz w:val="20"/>
              </w:rPr>
              <w:t>0,000</w:t>
            </w:r>
          </w:p>
        </w:tc>
        <w:tc>
          <w:tcPr>
            <w:tcW w:w="376" w:type="pct"/>
            <w:tcBorders>
              <w:top w:val="nil"/>
              <w:left w:val="nil"/>
              <w:bottom w:val="single" w:sz="8" w:space="0" w:color="auto"/>
              <w:right w:val="single" w:sz="8" w:space="0" w:color="auto"/>
            </w:tcBorders>
            <w:shd w:val="clear" w:color="000000" w:fill="D9D9D9"/>
            <w:vAlign w:val="center"/>
            <w:hideMark/>
          </w:tcPr>
          <w:p w14:paraId="7CDC5FBA" w14:textId="77777777" w:rsidR="00044D5B" w:rsidRPr="00392E88" w:rsidRDefault="00044D5B">
            <w:pPr>
              <w:spacing w:before="0" w:after="0"/>
              <w:jc w:val="right"/>
              <w:rPr>
                <w:color w:val="000000"/>
                <w:sz w:val="20"/>
                <w:szCs w:val="20"/>
              </w:rPr>
            </w:pPr>
            <w:r w:rsidRPr="00392E88">
              <w:rPr>
                <w:color w:val="000000"/>
                <w:sz w:val="20"/>
              </w:rPr>
              <w:t>0,000</w:t>
            </w:r>
          </w:p>
        </w:tc>
        <w:tc>
          <w:tcPr>
            <w:tcW w:w="376" w:type="pct"/>
            <w:tcBorders>
              <w:top w:val="nil"/>
              <w:left w:val="nil"/>
              <w:bottom w:val="single" w:sz="8" w:space="0" w:color="auto"/>
              <w:right w:val="single" w:sz="8" w:space="0" w:color="auto"/>
            </w:tcBorders>
            <w:shd w:val="clear" w:color="000000" w:fill="D9D9D9"/>
            <w:vAlign w:val="center"/>
            <w:hideMark/>
          </w:tcPr>
          <w:p w14:paraId="2D514BB2" w14:textId="77777777" w:rsidR="00044D5B" w:rsidRPr="00392E88" w:rsidRDefault="00044D5B">
            <w:pPr>
              <w:spacing w:before="0" w:after="0"/>
              <w:jc w:val="right"/>
              <w:rPr>
                <w:color w:val="000000"/>
                <w:sz w:val="20"/>
                <w:szCs w:val="20"/>
              </w:rPr>
            </w:pPr>
            <w:r w:rsidRPr="00392E88">
              <w:rPr>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14:paraId="22D1BF83" w14:textId="77777777" w:rsidR="00044D5B" w:rsidRPr="00392E88" w:rsidRDefault="00044D5B">
            <w:pPr>
              <w:spacing w:before="0" w:after="0"/>
              <w:jc w:val="right"/>
              <w:rPr>
                <w:b/>
                <w:bCs/>
                <w:color w:val="000000"/>
                <w:sz w:val="20"/>
                <w:szCs w:val="20"/>
              </w:rPr>
            </w:pPr>
            <w:r w:rsidRPr="00392E88">
              <w:rPr>
                <w:b/>
                <w:color w:val="000000"/>
                <w:sz w:val="20"/>
              </w:rPr>
              <w:t>0,000</w:t>
            </w:r>
          </w:p>
        </w:tc>
      </w:tr>
      <w:tr w:rsidR="00E6355E" w:rsidRPr="00392E88" w14:paraId="7E6E02B9" w14:textId="7777777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6"/>
            <w:tcBorders>
              <w:top w:val="single" w:sz="8" w:space="0" w:color="auto"/>
              <w:left w:val="single" w:sz="8" w:space="0" w:color="auto"/>
              <w:bottom w:val="single" w:sz="8" w:space="0" w:color="auto"/>
              <w:right w:val="single" w:sz="8" w:space="0" w:color="auto"/>
            </w:tcBorders>
            <w:vAlign w:val="center"/>
            <w:hideMark/>
          </w:tcPr>
          <w:p w14:paraId="7596C4E7" w14:textId="77777777" w:rsidR="00044D5B" w:rsidRPr="00392E88" w:rsidRDefault="00044D5B">
            <w:pPr>
              <w:spacing w:before="0" w:after="0"/>
              <w:jc w:val="left"/>
              <w:rPr>
                <w:rFonts w:ascii="Wingdings" w:hAnsi="Wingdings" w:cs="Calibri"/>
                <w:color w:val="000000"/>
                <w:sz w:val="22"/>
              </w:rPr>
            </w:pPr>
            <w:r w:rsidRPr="00392E88">
              <w:rPr>
                <w:rFonts w:ascii="Wingdings" w:hAnsi="Wingdings"/>
                <w:color w:val="000000"/>
                <w:sz w:val="22"/>
              </w:rPr>
              <w:t>Ÿ</w:t>
            </w:r>
            <w:r w:rsidRPr="00392E88">
              <w:t xml:space="preserve"> Pozostałe wydatki administracyjne</w:t>
            </w:r>
            <w:r w:rsidRPr="00392E88">
              <w:rPr>
                <w:color w:val="000000"/>
                <w:sz w:val="22"/>
              </w:rPr>
              <w:t xml:space="preserve"> </w:t>
            </w:r>
          </w:p>
        </w:tc>
        <w:tc>
          <w:tcPr>
            <w:tcW w:w="376" w:type="pct"/>
            <w:tcBorders>
              <w:top w:val="nil"/>
              <w:left w:val="nil"/>
              <w:bottom w:val="single" w:sz="8" w:space="0" w:color="auto"/>
              <w:right w:val="single" w:sz="8" w:space="0" w:color="auto"/>
            </w:tcBorders>
            <w:shd w:val="clear" w:color="000000" w:fill="D9D9D9"/>
            <w:vAlign w:val="center"/>
            <w:hideMark/>
          </w:tcPr>
          <w:p w14:paraId="340CCEE6" w14:textId="77777777" w:rsidR="00044D5B" w:rsidRPr="00392E88" w:rsidRDefault="00044D5B">
            <w:pPr>
              <w:spacing w:before="0" w:after="0"/>
              <w:jc w:val="right"/>
              <w:rPr>
                <w:color w:val="000000"/>
                <w:sz w:val="20"/>
                <w:szCs w:val="20"/>
              </w:rPr>
            </w:pPr>
            <w:r w:rsidRPr="00392E88">
              <w:rPr>
                <w:color w:val="000000"/>
                <w:sz w:val="20"/>
              </w:rPr>
              <w:t>0,000</w:t>
            </w:r>
          </w:p>
        </w:tc>
        <w:tc>
          <w:tcPr>
            <w:tcW w:w="376" w:type="pct"/>
            <w:tcBorders>
              <w:top w:val="nil"/>
              <w:left w:val="nil"/>
              <w:bottom w:val="single" w:sz="8" w:space="0" w:color="auto"/>
              <w:right w:val="single" w:sz="8" w:space="0" w:color="auto"/>
            </w:tcBorders>
            <w:shd w:val="clear" w:color="000000" w:fill="D9D9D9"/>
            <w:vAlign w:val="center"/>
            <w:hideMark/>
          </w:tcPr>
          <w:p w14:paraId="6A6A267E" w14:textId="77777777" w:rsidR="00044D5B" w:rsidRPr="00392E88" w:rsidRDefault="00044D5B">
            <w:pPr>
              <w:spacing w:before="0" w:after="0"/>
              <w:jc w:val="right"/>
              <w:rPr>
                <w:color w:val="000000"/>
                <w:sz w:val="20"/>
                <w:szCs w:val="20"/>
              </w:rPr>
            </w:pPr>
            <w:r w:rsidRPr="00392E88">
              <w:rPr>
                <w:color w:val="000000"/>
                <w:sz w:val="20"/>
              </w:rPr>
              <w:t>0,000</w:t>
            </w:r>
          </w:p>
        </w:tc>
        <w:tc>
          <w:tcPr>
            <w:tcW w:w="376" w:type="pct"/>
            <w:tcBorders>
              <w:top w:val="nil"/>
              <w:left w:val="nil"/>
              <w:bottom w:val="single" w:sz="8" w:space="0" w:color="auto"/>
              <w:right w:val="single" w:sz="8" w:space="0" w:color="auto"/>
            </w:tcBorders>
            <w:shd w:val="clear" w:color="000000" w:fill="D9D9D9"/>
            <w:vAlign w:val="center"/>
            <w:hideMark/>
          </w:tcPr>
          <w:p w14:paraId="0553A0EB" w14:textId="77777777" w:rsidR="00044D5B" w:rsidRPr="00392E88" w:rsidRDefault="00044D5B">
            <w:pPr>
              <w:spacing w:before="0" w:after="0"/>
              <w:jc w:val="right"/>
              <w:rPr>
                <w:color w:val="000000"/>
                <w:sz w:val="20"/>
                <w:szCs w:val="20"/>
              </w:rPr>
            </w:pPr>
            <w:r w:rsidRPr="00392E88">
              <w:rPr>
                <w:color w:val="000000"/>
                <w:sz w:val="20"/>
              </w:rPr>
              <w:t>0,000</w:t>
            </w:r>
          </w:p>
        </w:tc>
        <w:tc>
          <w:tcPr>
            <w:tcW w:w="376" w:type="pct"/>
            <w:tcBorders>
              <w:top w:val="nil"/>
              <w:left w:val="nil"/>
              <w:bottom w:val="single" w:sz="8" w:space="0" w:color="auto"/>
              <w:right w:val="single" w:sz="8" w:space="0" w:color="auto"/>
            </w:tcBorders>
            <w:shd w:val="clear" w:color="000000" w:fill="D9D9D9"/>
            <w:vAlign w:val="center"/>
            <w:hideMark/>
          </w:tcPr>
          <w:p w14:paraId="7451157C" w14:textId="77777777" w:rsidR="00044D5B" w:rsidRPr="00392E88" w:rsidRDefault="00044D5B">
            <w:pPr>
              <w:spacing w:before="0" w:after="0"/>
              <w:jc w:val="right"/>
              <w:rPr>
                <w:color w:val="000000"/>
                <w:sz w:val="20"/>
                <w:szCs w:val="20"/>
              </w:rPr>
            </w:pPr>
            <w:r w:rsidRPr="00392E88">
              <w:rPr>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14:paraId="65B22623" w14:textId="77777777" w:rsidR="00044D5B" w:rsidRPr="00392E88" w:rsidRDefault="00044D5B">
            <w:pPr>
              <w:spacing w:before="0" w:after="0"/>
              <w:jc w:val="right"/>
              <w:rPr>
                <w:b/>
                <w:bCs/>
                <w:color w:val="000000"/>
                <w:sz w:val="20"/>
                <w:szCs w:val="20"/>
              </w:rPr>
            </w:pPr>
            <w:r w:rsidRPr="00392E88">
              <w:rPr>
                <w:b/>
                <w:color w:val="000000"/>
                <w:sz w:val="20"/>
              </w:rPr>
              <w:t>0,000</w:t>
            </w:r>
          </w:p>
        </w:tc>
      </w:tr>
      <w:tr w:rsidR="00E6355E" w:rsidRPr="00392E88" w14:paraId="50EB46C2" w14:textId="7777777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653" w:type="pct"/>
            <w:tcBorders>
              <w:top w:val="nil"/>
              <w:left w:val="single" w:sz="8" w:space="0" w:color="auto"/>
              <w:bottom w:val="single" w:sz="8" w:space="0" w:color="auto"/>
              <w:right w:val="single" w:sz="8" w:space="0" w:color="auto"/>
            </w:tcBorders>
            <w:vAlign w:val="center"/>
            <w:hideMark/>
          </w:tcPr>
          <w:p w14:paraId="5D6B76A1" w14:textId="77777777" w:rsidR="00044D5B" w:rsidRPr="00392E88" w:rsidRDefault="00044D5B">
            <w:pPr>
              <w:spacing w:before="0" w:after="0"/>
              <w:jc w:val="center"/>
              <w:rPr>
                <w:b/>
                <w:bCs/>
                <w:color w:val="000000"/>
                <w:sz w:val="22"/>
              </w:rPr>
            </w:pPr>
            <w:r w:rsidRPr="00392E88">
              <w:rPr>
                <w:b/>
                <w:color w:val="000000"/>
                <w:sz w:val="22"/>
              </w:rPr>
              <w:t>OGÓŁEM Dyrekcja Generalna</w:t>
            </w:r>
            <w:r w:rsidRPr="00392E88">
              <w:rPr>
                <w:color w:val="000000"/>
                <w:sz w:val="22"/>
              </w:rPr>
              <w:t xml:space="preserve"> &lt;….&gt;</w:t>
            </w:r>
          </w:p>
        </w:tc>
        <w:tc>
          <w:tcPr>
            <w:tcW w:w="1378" w:type="pct"/>
            <w:gridSpan w:val="5"/>
            <w:tcBorders>
              <w:top w:val="single" w:sz="8" w:space="0" w:color="auto"/>
              <w:left w:val="nil"/>
              <w:bottom w:val="single" w:sz="8" w:space="0" w:color="auto"/>
              <w:right w:val="single" w:sz="8" w:space="0" w:color="auto"/>
            </w:tcBorders>
            <w:vAlign w:val="center"/>
            <w:hideMark/>
          </w:tcPr>
          <w:p w14:paraId="7EB2EF67" w14:textId="77777777" w:rsidR="00044D5B" w:rsidRPr="00392E88" w:rsidRDefault="00044D5B">
            <w:pPr>
              <w:spacing w:before="0" w:after="0"/>
              <w:jc w:val="left"/>
              <w:rPr>
                <w:color w:val="000000"/>
                <w:sz w:val="18"/>
                <w:szCs w:val="18"/>
              </w:rPr>
            </w:pPr>
            <w:r w:rsidRPr="00392E88">
              <w:rPr>
                <w:color w:val="000000"/>
                <w:sz w:val="18"/>
              </w:rPr>
              <w:t xml:space="preserve">Środki </w:t>
            </w:r>
          </w:p>
        </w:tc>
        <w:tc>
          <w:tcPr>
            <w:tcW w:w="376" w:type="pct"/>
            <w:tcBorders>
              <w:top w:val="nil"/>
              <w:left w:val="nil"/>
              <w:bottom w:val="single" w:sz="8" w:space="0" w:color="auto"/>
              <w:right w:val="single" w:sz="8" w:space="0" w:color="auto"/>
            </w:tcBorders>
            <w:shd w:val="clear" w:color="000000" w:fill="D9D9D9"/>
            <w:vAlign w:val="center"/>
            <w:hideMark/>
          </w:tcPr>
          <w:p w14:paraId="3197385B" w14:textId="77777777" w:rsidR="00044D5B" w:rsidRPr="00392E88" w:rsidRDefault="00044D5B">
            <w:pPr>
              <w:spacing w:before="0" w:after="0"/>
              <w:jc w:val="right"/>
              <w:rPr>
                <w:b/>
                <w:bCs/>
                <w:color w:val="000000"/>
                <w:sz w:val="20"/>
                <w:szCs w:val="20"/>
              </w:rPr>
            </w:pPr>
            <w:r w:rsidRPr="00392E88">
              <w:rPr>
                <w:b/>
                <w:color w:val="000000"/>
                <w:sz w:val="20"/>
              </w:rPr>
              <w:t>0,000</w:t>
            </w:r>
          </w:p>
        </w:tc>
        <w:tc>
          <w:tcPr>
            <w:tcW w:w="376" w:type="pct"/>
            <w:tcBorders>
              <w:top w:val="nil"/>
              <w:left w:val="nil"/>
              <w:bottom w:val="single" w:sz="8" w:space="0" w:color="auto"/>
              <w:right w:val="single" w:sz="8" w:space="0" w:color="auto"/>
            </w:tcBorders>
            <w:shd w:val="clear" w:color="000000" w:fill="D9D9D9"/>
            <w:vAlign w:val="center"/>
            <w:hideMark/>
          </w:tcPr>
          <w:p w14:paraId="1159D14E" w14:textId="77777777" w:rsidR="00044D5B" w:rsidRPr="00392E88" w:rsidRDefault="00044D5B">
            <w:pPr>
              <w:spacing w:before="0" w:after="0"/>
              <w:jc w:val="right"/>
              <w:rPr>
                <w:b/>
                <w:bCs/>
                <w:color w:val="000000"/>
                <w:sz w:val="20"/>
                <w:szCs w:val="20"/>
              </w:rPr>
            </w:pPr>
            <w:r w:rsidRPr="00392E88">
              <w:rPr>
                <w:b/>
                <w:color w:val="000000"/>
                <w:sz w:val="20"/>
              </w:rPr>
              <w:t>0,000</w:t>
            </w:r>
          </w:p>
        </w:tc>
        <w:tc>
          <w:tcPr>
            <w:tcW w:w="376" w:type="pct"/>
            <w:tcBorders>
              <w:top w:val="nil"/>
              <w:left w:val="nil"/>
              <w:bottom w:val="single" w:sz="8" w:space="0" w:color="auto"/>
              <w:right w:val="single" w:sz="8" w:space="0" w:color="auto"/>
            </w:tcBorders>
            <w:shd w:val="clear" w:color="000000" w:fill="D9D9D9"/>
            <w:vAlign w:val="center"/>
            <w:hideMark/>
          </w:tcPr>
          <w:p w14:paraId="3DBF536F" w14:textId="77777777" w:rsidR="00044D5B" w:rsidRPr="00392E88" w:rsidRDefault="00044D5B">
            <w:pPr>
              <w:spacing w:before="0" w:after="0"/>
              <w:jc w:val="right"/>
              <w:rPr>
                <w:b/>
                <w:bCs/>
                <w:color w:val="000000"/>
                <w:sz w:val="20"/>
                <w:szCs w:val="20"/>
              </w:rPr>
            </w:pPr>
            <w:r w:rsidRPr="00392E88">
              <w:rPr>
                <w:b/>
                <w:color w:val="000000"/>
                <w:sz w:val="20"/>
              </w:rPr>
              <w:t>0,000</w:t>
            </w:r>
          </w:p>
        </w:tc>
        <w:tc>
          <w:tcPr>
            <w:tcW w:w="376" w:type="pct"/>
            <w:tcBorders>
              <w:top w:val="nil"/>
              <w:left w:val="nil"/>
              <w:bottom w:val="single" w:sz="8" w:space="0" w:color="auto"/>
              <w:right w:val="single" w:sz="8" w:space="0" w:color="auto"/>
            </w:tcBorders>
            <w:shd w:val="clear" w:color="000000" w:fill="D9D9D9"/>
            <w:vAlign w:val="center"/>
            <w:hideMark/>
          </w:tcPr>
          <w:p w14:paraId="6FF0A8B5" w14:textId="77777777" w:rsidR="00044D5B" w:rsidRPr="00392E88" w:rsidRDefault="00044D5B">
            <w:pPr>
              <w:spacing w:before="0" w:after="0"/>
              <w:jc w:val="right"/>
              <w:rPr>
                <w:b/>
                <w:bCs/>
                <w:color w:val="000000"/>
                <w:sz w:val="20"/>
                <w:szCs w:val="20"/>
              </w:rPr>
            </w:pPr>
            <w:r w:rsidRPr="00392E88">
              <w:rPr>
                <w:b/>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14:paraId="7E850A5B" w14:textId="77777777" w:rsidR="00044D5B" w:rsidRPr="00392E88" w:rsidRDefault="00044D5B">
            <w:pPr>
              <w:spacing w:before="0" w:after="0"/>
              <w:jc w:val="right"/>
              <w:rPr>
                <w:b/>
                <w:bCs/>
                <w:color w:val="000000"/>
                <w:sz w:val="20"/>
                <w:szCs w:val="20"/>
              </w:rPr>
            </w:pPr>
            <w:r w:rsidRPr="00392E88">
              <w:rPr>
                <w:b/>
                <w:color w:val="000000"/>
                <w:sz w:val="20"/>
              </w:rPr>
              <w:t>0,000</w:t>
            </w:r>
          </w:p>
        </w:tc>
      </w:tr>
      <w:tr w:rsidR="00927EB0" w:rsidRPr="00392E88" w14:paraId="35483E22" w14:textId="7777777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653" w:type="pct"/>
            <w:tcBorders>
              <w:top w:val="nil"/>
              <w:left w:val="nil"/>
              <w:bottom w:val="nil"/>
              <w:right w:val="nil"/>
            </w:tcBorders>
            <w:noWrap/>
            <w:vAlign w:val="bottom"/>
            <w:hideMark/>
          </w:tcPr>
          <w:p w14:paraId="6D066A7F" w14:textId="77777777" w:rsidR="00044D5B" w:rsidRPr="00392E88" w:rsidRDefault="00044D5B">
            <w:pPr>
              <w:spacing w:before="0" w:after="0"/>
              <w:jc w:val="right"/>
              <w:rPr>
                <w:b/>
                <w:bCs/>
                <w:color w:val="000000"/>
                <w:sz w:val="20"/>
                <w:szCs w:val="20"/>
                <w:lang w:eastAsia="en-IE"/>
              </w:rPr>
            </w:pPr>
          </w:p>
        </w:tc>
        <w:tc>
          <w:tcPr>
            <w:tcW w:w="929" w:type="pct"/>
            <w:gridSpan w:val="3"/>
            <w:tcBorders>
              <w:top w:val="nil"/>
              <w:left w:val="nil"/>
              <w:bottom w:val="nil"/>
              <w:right w:val="nil"/>
            </w:tcBorders>
            <w:noWrap/>
            <w:vAlign w:val="bottom"/>
            <w:hideMark/>
          </w:tcPr>
          <w:p w14:paraId="2A308B2A" w14:textId="77777777" w:rsidR="00044D5B" w:rsidRPr="00392E88" w:rsidRDefault="00044D5B">
            <w:pPr>
              <w:spacing w:before="0" w:after="0"/>
              <w:jc w:val="left"/>
              <w:rPr>
                <w:sz w:val="20"/>
                <w:szCs w:val="20"/>
                <w:lang w:eastAsia="en-IE"/>
              </w:rPr>
            </w:pPr>
          </w:p>
        </w:tc>
        <w:tc>
          <w:tcPr>
            <w:tcW w:w="224" w:type="pct"/>
            <w:tcBorders>
              <w:top w:val="nil"/>
              <w:left w:val="nil"/>
              <w:bottom w:val="nil"/>
              <w:right w:val="nil"/>
            </w:tcBorders>
            <w:noWrap/>
            <w:vAlign w:val="bottom"/>
            <w:hideMark/>
          </w:tcPr>
          <w:p w14:paraId="23579C02" w14:textId="77777777" w:rsidR="00044D5B" w:rsidRPr="00392E88" w:rsidRDefault="00044D5B">
            <w:pPr>
              <w:spacing w:before="0" w:after="0"/>
              <w:jc w:val="left"/>
              <w:rPr>
                <w:sz w:val="20"/>
                <w:szCs w:val="20"/>
                <w:lang w:eastAsia="en-IE"/>
              </w:rPr>
            </w:pPr>
          </w:p>
        </w:tc>
        <w:tc>
          <w:tcPr>
            <w:tcW w:w="225" w:type="pct"/>
            <w:tcBorders>
              <w:top w:val="nil"/>
              <w:left w:val="nil"/>
              <w:bottom w:val="nil"/>
              <w:right w:val="nil"/>
            </w:tcBorders>
            <w:noWrap/>
            <w:vAlign w:val="bottom"/>
            <w:hideMark/>
          </w:tcPr>
          <w:p w14:paraId="7308B2B8" w14:textId="77777777" w:rsidR="00044D5B" w:rsidRPr="00392E88" w:rsidRDefault="00044D5B">
            <w:pPr>
              <w:spacing w:before="0" w:after="0"/>
              <w:jc w:val="left"/>
              <w:rPr>
                <w:sz w:val="20"/>
                <w:szCs w:val="20"/>
                <w:lang w:eastAsia="en-IE"/>
              </w:rPr>
            </w:pPr>
          </w:p>
        </w:tc>
        <w:tc>
          <w:tcPr>
            <w:tcW w:w="376" w:type="pct"/>
            <w:tcBorders>
              <w:top w:val="nil"/>
              <w:left w:val="nil"/>
              <w:bottom w:val="nil"/>
              <w:right w:val="nil"/>
            </w:tcBorders>
            <w:noWrap/>
            <w:vAlign w:val="bottom"/>
            <w:hideMark/>
          </w:tcPr>
          <w:p w14:paraId="2FBD2D50" w14:textId="77777777" w:rsidR="00044D5B" w:rsidRPr="00392E88" w:rsidRDefault="00044D5B">
            <w:pPr>
              <w:spacing w:before="0" w:after="0"/>
              <w:jc w:val="left"/>
              <w:rPr>
                <w:sz w:val="20"/>
                <w:szCs w:val="20"/>
                <w:lang w:eastAsia="en-IE"/>
              </w:rPr>
            </w:pPr>
          </w:p>
        </w:tc>
        <w:tc>
          <w:tcPr>
            <w:tcW w:w="376" w:type="pct"/>
            <w:tcBorders>
              <w:top w:val="nil"/>
              <w:left w:val="nil"/>
              <w:bottom w:val="nil"/>
              <w:right w:val="nil"/>
            </w:tcBorders>
            <w:noWrap/>
            <w:vAlign w:val="bottom"/>
            <w:hideMark/>
          </w:tcPr>
          <w:p w14:paraId="07802245" w14:textId="77777777" w:rsidR="00044D5B" w:rsidRPr="00392E88" w:rsidRDefault="00044D5B">
            <w:pPr>
              <w:spacing w:before="0" w:after="0"/>
              <w:jc w:val="left"/>
              <w:rPr>
                <w:sz w:val="20"/>
                <w:szCs w:val="20"/>
                <w:lang w:eastAsia="en-IE"/>
              </w:rPr>
            </w:pPr>
          </w:p>
        </w:tc>
        <w:tc>
          <w:tcPr>
            <w:tcW w:w="376" w:type="pct"/>
            <w:tcBorders>
              <w:top w:val="nil"/>
              <w:left w:val="nil"/>
              <w:bottom w:val="nil"/>
              <w:right w:val="nil"/>
            </w:tcBorders>
            <w:noWrap/>
            <w:vAlign w:val="bottom"/>
            <w:hideMark/>
          </w:tcPr>
          <w:p w14:paraId="59AF5A20" w14:textId="77777777" w:rsidR="00044D5B" w:rsidRPr="00392E88" w:rsidRDefault="00044D5B">
            <w:pPr>
              <w:spacing w:before="0" w:after="0"/>
              <w:jc w:val="left"/>
              <w:rPr>
                <w:sz w:val="20"/>
                <w:szCs w:val="20"/>
                <w:lang w:eastAsia="en-IE"/>
              </w:rPr>
            </w:pPr>
          </w:p>
        </w:tc>
        <w:tc>
          <w:tcPr>
            <w:tcW w:w="376" w:type="pct"/>
            <w:tcBorders>
              <w:top w:val="nil"/>
              <w:left w:val="nil"/>
              <w:bottom w:val="nil"/>
              <w:right w:val="nil"/>
            </w:tcBorders>
            <w:noWrap/>
            <w:vAlign w:val="bottom"/>
            <w:hideMark/>
          </w:tcPr>
          <w:p w14:paraId="37216C25" w14:textId="77777777" w:rsidR="00044D5B" w:rsidRPr="00392E88" w:rsidRDefault="00044D5B">
            <w:pPr>
              <w:spacing w:before="0" w:after="0"/>
              <w:jc w:val="left"/>
              <w:rPr>
                <w:sz w:val="20"/>
                <w:szCs w:val="20"/>
                <w:lang w:eastAsia="en-IE"/>
              </w:rPr>
            </w:pPr>
          </w:p>
        </w:tc>
        <w:tc>
          <w:tcPr>
            <w:tcW w:w="465" w:type="pct"/>
            <w:tcBorders>
              <w:top w:val="nil"/>
              <w:left w:val="nil"/>
              <w:bottom w:val="nil"/>
              <w:right w:val="nil"/>
            </w:tcBorders>
            <w:noWrap/>
            <w:vAlign w:val="bottom"/>
            <w:hideMark/>
          </w:tcPr>
          <w:p w14:paraId="183E9E36" w14:textId="77777777" w:rsidR="00044D5B" w:rsidRPr="00392E88" w:rsidRDefault="00044D5B">
            <w:pPr>
              <w:spacing w:before="0" w:after="0"/>
              <w:jc w:val="left"/>
              <w:rPr>
                <w:sz w:val="20"/>
                <w:szCs w:val="20"/>
                <w:lang w:eastAsia="en-IE"/>
              </w:rPr>
            </w:pPr>
          </w:p>
        </w:tc>
      </w:tr>
      <w:tr w:rsidR="00B55C7B" w:rsidRPr="00392E88" w14:paraId="68AA24FE" w14:textId="7777777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3032" w:type="pct"/>
            <w:gridSpan w:val="6"/>
            <w:vMerge w:val="restart"/>
            <w:tcBorders>
              <w:top w:val="single" w:sz="8" w:space="0" w:color="auto"/>
              <w:left w:val="single" w:sz="8" w:space="0" w:color="auto"/>
              <w:bottom w:val="single" w:sz="8" w:space="0" w:color="auto"/>
              <w:right w:val="single" w:sz="8" w:space="0" w:color="auto"/>
            </w:tcBorders>
            <w:vAlign w:val="center"/>
            <w:hideMark/>
          </w:tcPr>
          <w:p w14:paraId="2F8460E4" w14:textId="77777777" w:rsidR="00044D5B" w:rsidRPr="00392E88" w:rsidRDefault="00044D5B">
            <w:pPr>
              <w:spacing w:before="0" w:after="0"/>
              <w:jc w:val="center"/>
              <w:rPr>
                <w:color w:val="000000"/>
                <w:szCs w:val="24"/>
              </w:rPr>
            </w:pPr>
            <w:r w:rsidRPr="00392E88">
              <w:rPr>
                <w:color w:val="000000"/>
              </w:rPr>
              <w:t>Dyrekcja Generalna: &lt;…….&gt;</w:t>
            </w:r>
          </w:p>
        </w:tc>
        <w:tc>
          <w:tcPr>
            <w:tcW w:w="376" w:type="pct"/>
            <w:tcBorders>
              <w:top w:val="single" w:sz="8" w:space="0" w:color="auto"/>
              <w:left w:val="nil"/>
              <w:bottom w:val="nil"/>
              <w:right w:val="single" w:sz="8" w:space="0" w:color="auto"/>
            </w:tcBorders>
            <w:vAlign w:val="center"/>
            <w:hideMark/>
          </w:tcPr>
          <w:p w14:paraId="0485C9B2" w14:textId="77777777" w:rsidR="00044D5B" w:rsidRPr="00392E88" w:rsidRDefault="00044D5B">
            <w:pPr>
              <w:spacing w:before="0" w:after="0"/>
              <w:jc w:val="center"/>
              <w:rPr>
                <w:color w:val="000000"/>
                <w:sz w:val="20"/>
                <w:szCs w:val="20"/>
              </w:rPr>
            </w:pPr>
            <w:r w:rsidRPr="00392E88">
              <w:rPr>
                <w:color w:val="000000"/>
                <w:sz w:val="20"/>
              </w:rPr>
              <w:t>Rok</w:t>
            </w:r>
          </w:p>
        </w:tc>
        <w:tc>
          <w:tcPr>
            <w:tcW w:w="376" w:type="pct"/>
            <w:tcBorders>
              <w:top w:val="single" w:sz="8" w:space="0" w:color="auto"/>
              <w:left w:val="nil"/>
              <w:bottom w:val="nil"/>
              <w:right w:val="single" w:sz="8" w:space="0" w:color="auto"/>
            </w:tcBorders>
            <w:vAlign w:val="center"/>
            <w:hideMark/>
          </w:tcPr>
          <w:p w14:paraId="1B97745A" w14:textId="77777777" w:rsidR="00044D5B" w:rsidRPr="00392E88" w:rsidRDefault="00044D5B">
            <w:pPr>
              <w:spacing w:before="0" w:after="0"/>
              <w:jc w:val="center"/>
              <w:rPr>
                <w:color w:val="000000"/>
                <w:sz w:val="20"/>
                <w:szCs w:val="20"/>
              </w:rPr>
            </w:pPr>
            <w:r w:rsidRPr="00392E88">
              <w:rPr>
                <w:color w:val="000000"/>
                <w:sz w:val="20"/>
              </w:rPr>
              <w:t>Rok</w:t>
            </w:r>
          </w:p>
        </w:tc>
        <w:tc>
          <w:tcPr>
            <w:tcW w:w="376" w:type="pct"/>
            <w:tcBorders>
              <w:top w:val="single" w:sz="8" w:space="0" w:color="auto"/>
              <w:left w:val="nil"/>
              <w:bottom w:val="nil"/>
              <w:right w:val="single" w:sz="8" w:space="0" w:color="auto"/>
            </w:tcBorders>
            <w:vAlign w:val="center"/>
            <w:hideMark/>
          </w:tcPr>
          <w:p w14:paraId="1C576D80" w14:textId="77777777" w:rsidR="00044D5B" w:rsidRPr="00392E88" w:rsidRDefault="00044D5B">
            <w:pPr>
              <w:spacing w:before="0" w:after="0"/>
              <w:jc w:val="center"/>
              <w:rPr>
                <w:color w:val="000000"/>
                <w:sz w:val="20"/>
                <w:szCs w:val="20"/>
              </w:rPr>
            </w:pPr>
            <w:r w:rsidRPr="00392E88">
              <w:rPr>
                <w:color w:val="000000"/>
                <w:sz w:val="20"/>
              </w:rPr>
              <w:t>Rok</w:t>
            </w:r>
          </w:p>
        </w:tc>
        <w:tc>
          <w:tcPr>
            <w:tcW w:w="376" w:type="pct"/>
            <w:tcBorders>
              <w:top w:val="single" w:sz="8" w:space="0" w:color="auto"/>
              <w:left w:val="nil"/>
              <w:bottom w:val="nil"/>
              <w:right w:val="single" w:sz="8" w:space="0" w:color="auto"/>
            </w:tcBorders>
            <w:vAlign w:val="center"/>
            <w:hideMark/>
          </w:tcPr>
          <w:p w14:paraId="611081F1" w14:textId="77777777" w:rsidR="00044D5B" w:rsidRPr="00392E88" w:rsidRDefault="00044D5B">
            <w:pPr>
              <w:spacing w:before="0" w:after="0"/>
              <w:jc w:val="center"/>
              <w:rPr>
                <w:color w:val="000000"/>
                <w:sz w:val="20"/>
                <w:szCs w:val="20"/>
              </w:rPr>
            </w:pPr>
            <w:r w:rsidRPr="00392E88">
              <w:rPr>
                <w:color w:val="000000"/>
                <w:sz w:val="20"/>
              </w:rPr>
              <w:t>Rok</w:t>
            </w:r>
          </w:p>
        </w:tc>
        <w:tc>
          <w:tcPr>
            <w:tcW w:w="465" w:type="pct"/>
            <w:vMerge w:val="restart"/>
            <w:tcBorders>
              <w:top w:val="single" w:sz="8" w:space="0" w:color="auto"/>
              <w:left w:val="single" w:sz="8" w:space="0" w:color="auto"/>
              <w:bottom w:val="single" w:sz="8" w:space="0" w:color="000000"/>
              <w:right w:val="single" w:sz="8" w:space="0" w:color="auto"/>
            </w:tcBorders>
            <w:vAlign w:val="center"/>
            <w:hideMark/>
          </w:tcPr>
          <w:p w14:paraId="5155EE77" w14:textId="77777777" w:rsidR="00044D5B" w:rsidRPr="00392E88" w:rsidRDefault="00044D5B">
            <w:pPr>
              <w:spacing w:before="0" w:after="0"/>
              <w:jc w:val="center"/>
              <w:rPr>
                <w:b/>
                <w:bCs/>
                <w:color w:val="000000"/>
                <w:sz w:val="20"/>
                <w:szCs w:val="20"/>
              </w:rPr>
            </w:pPr>
            <w:r w:rsidRPr="00392E88">
              <w:rPr>
                <w:b/>
                <w:color w:val="000000"/>
                <w:sz w:val="20"/>
              </w:rPr>
              <w:t>OGÓŁEM WRF 2021–2027</w:t>
            </w:r>
          </w:p>
        </w:tc>
      </w:tr>
      <w:tr w:rsidR="00470A36" w:rsidRPr="00392E88" w14:paraId="114618F6" w14:textId="7777777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6"/>
            <w:vMerge/>
            <w:tcBorders>
              <w:top w:val="single" w:sz="8" w:space="0" w:color="auto"/>
              <w:left w:val="single" w:sz="8" w:space="0" w:color="auto"/>
              <w:bottom w:val="single" w:sz="8" w:space="0" w:color="auto"/>
              <w:right w:val="single" w:sz="8" w:space="0" w:color="auto"/>
            </w:tcBorders>
            <w:vAlign w:val="center"/>
            <w:hideMark/>
          </w:tcPr>
          <w:p w14:paraId="625A1557" w14:textId="77777777" w:rsidR="00044D5B" w:rsidRPr="00392E88" w:rsidRDefault="00044D5B">
            <w:pPr>
              <w:spacing w:before="0" w:after="0"/>
              <w:jc w:val="left"/>
              <w:rPr>
                <w:color w:val="000000"/>
                <w:szCs w:val="24"/>
                <w:lang w:eastAsia="en-IE"/>
              </w:rPr>
            </w:pPr>
          </w:p>
        </w:tc>
        <w:tc>
          <w:tcPr>
            <w:tcW w:w="376" w:type="pct"/>
            <w:tcBorders>
              <w:top w:val="nil"/>
              <w:left w:val="nil"/>
              <w:bottom w:val="single" w:sz="8" w:space="0" w:color="auto"/>
              <w:right w:val="single" w:sz="8" w:space="0" w:color="auto"/>
            </w:tcBorders>
            <w:vAlign w:val="center"/>
            <w:hideMark/>
          </w:tcPr>
          <w:p w14:paraId="34F1881E" w14:textId="77777777" w:rsidR="00044D5B" w:rsidRPr="00392E88" w:rsidRDefault="00044D5B">
            <w:pPr>
              <w:spacing w:before="0" w:after="0"/>
              <w:jc w:val="center"/>
              <w:rPr>
                <w:b/>
                <w:bCs/>
                <w:color w:val="000000"/>
                <w:sz w:val="20"/>
                <w:szCs w:val="20"/>
              </w:rPr>
            </w:pPr>
            <w:r w:rsidRPr="00392E88">
              <w:rPr>
                <w:b/>
                <w:color w:val="000000"/>
                <w:sz w:val="20"/>
              </w:rPr>
              <w:t>2024</w:t>
            </w:r>
          </w:p>
        </w:tc>
        <w:tc>
          <w:tcPr>
            <w:tcW w:w="376" w:type="pct"/>
            <w:tcBorders>
              <w:top w:val="nil"/>
              <w:left w:val="nil"/>
              <w:bottom w:val="single" w:sz="8" w:space="0" w:color="auto"/>
              <w:right w:val="single" w:sz="8" w:space="0" w:color="auto"/>
            </w:tcBorders>
            <w:vAlign w:val="center"/>
            <w:hideMark/>
          </w:tcPr>
          <w:p w14:paraId="30FFB4C0" w14:textId="77777777" w:rsidR="00044D5B" w:rsidRPr="00392E88" w:rsidRDefault="00044D5B">
            <w:pPr>
              <w:spacing w:before="0" w:after="0"/>
              <w:jc w:val="center"/>
              <w:rPr>
                <w:b/>
                <w:bCs/>
                <w:color w:val="000000"/>
                <w:sz w:val="20"/>
                <w:szCs w:val="20"/>
              </w:rPr>
            </w:pPr>
            <w:r w:rsidRPr="00392E88">
              <w:rPr>
                <w:b/>
                <w:color w:val="000000"/>
                <w:sz w:val="20"/>
              </w:rPr>
              <w:t>2025</w:t>
            </w:r>
          </w:p>
        </w:tc>
        <w:tc>
          <w:tcPr>
            <w:tcW w:w="376" w:type="pct"/>
            <w:tcBorders>
              <w:top w:val="nil"/>
              <w:left w:val="nil"/>
              <w:bottom w:val="single" w:sz="8" w:space="0" w:color="auto"/>
              <w:right w:val="single" w:sz="8" w:space="0" w:color="auto"/>
            </w:tcBorders>
            <w:vAlign w:val="center"/>
            <w:hideMark/>
          </w:tcPr>
          <w:p w14:paraId="5CC5F906" w14:textId="77777777" w:rsidR="00044D5B" w:rsidRPr="00392E88" w:rsidRDefault="00044D5B">
            <w:pPr>
              <w:spacing w:before="0" w:after="0"/>
              <w:jc w:val="center"/>
              <w:rPr>
                <w:b/>
                <w:bCs/>
                <w:color w:val="000000"/>
                <w:sz w:val="20"/>
                <w:szCs w:val="20"/>
              </w:rPr>
            </w:pPr>
            <w:r w:rsidRPr="00392E88">
              <w:rPr>
                <w:b/>
                <w:color w:val="000000"/>
                <w:sz w:val="20"/>
              </w:rPr>
              <w:t>2026</w:t>
            </w:r>
          </w:p>
        </w:tc>
        <w:tc>
          <w:tcPr>
            <w:tcW w:w="376" w:type="pct"/>
            <w:tcBorders>
              <w:top w:val="nil"/>
              <w:left w:val="nil"/>
              <w:bottom w:val="single" w:sz="8" w:space="0" w:color="auto"/>
              <w:right w:val="single" w:sz="8" w:space="0" w:color="auto"/>
            </w:tcBorders>
            <w:vAlign w:val="center"/>
            <w:hideMark/>
          </w:tcPr>
          <w:p w14:paraId="31EF3BC3" w14:textId="77777777" w:rsidR="00044D5B" w:rsidRPr="00392E88" w:rsidRDefault="00044D5B">
            <w:pPr>
              <w:spacing w:before="0" w:after="0"/>
              <w:jc w:val="center"/>
              <w:rPr>
                <w:b/>
                <w:bCs/>
                <w:color w:val="000000"/>
                <w:sz w:val="20"/>
                <w:szCs w:val="20"/>
              </w:rPr>
            </w:pPr>
            <w:r w:rsidRPr="00392E88">
              <w:rPr>
                <w:b/>
                <w:color w:val="000000"/>
                <w:sz w:val="20"/>
              </w:rPr>
              <w:t>2027</w:t>
            </w:r>
          </w:p>
        </w:tc>
        <w:tc>
          <w:tcPr>
            <w:tcW w:w="465" w:type="pct"/>
            <w:vMerge/>
            <w:tcBorders>
              <w:top w:val="single" w:sz="8" w:space="0" w:color="auto"/>
              <w:left w:val="single" w:sz="8" w:space="0" w:color="auto"/>
              <w:bottom w:val="single" w:sz="8" w:space="0" w:color="000000"/>
              <w:right w:val="single" w:sz="8" w:space="0" w:color="auto"/>
            </w:tcBorders>
            <w:vAlign w:val="center"/>
            <w:hideMark/>
          </w:tcPr>
          <w:p w14:paraId="41D486D9" w14:textId="77777777" w:rsidR="00044D5B" w:rsidRPr="00392E88" w:rsidRDefault="00044D5B">
            <w:pPr>
              <w:spacing w:before="0" w:after="0"/>
              <w:jc w:val="left"/>
              <w:rPr>
                <w:b/>
                <w:bCs/>
                <w:color w:val="000000"/>
                <w:sz w:val="20"/>
                <w:szCs w:val="20"/>
                <w:lang w:eastAsia="en-IE"/>
              </w:rPr>
            </w:pPr>
          </w:p>
        </w:tc>
      </w:tr>
      <w:tr w:rsidR="00E6355E" w:rsidRPr="00392E88" w14:paraId="5AA312FA" w14:textId="7777777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6"/>
            <w:tcBorders>
              <w:top w:val="single" w:sz="8" w:space="0" w:color="auto"/>
              <w:left w:val="single" w:sz="8" w:space="0" w:color="auto"/>
              <w:bottom w:val="single" w:sz="8" w:space="0" w:color="auto"/>
              <w:right w:val="single" w:sz="8" w:space="0" w:color="auto"/>
            </w:tcBorders>
            <w:vAlign w:val="center"/>
            <w:hideMark/>
          </w:tcPr>
          <w:p w14:paraId="49385EF2" w14:textId="77777777" w:rsidR="00044D5B" w:rsidRPr="00392E88" w:rsidRDefault="00044D5B">
            <w:pPr>
              <w:spacing w:before="0" w:after="0"/>
              <w:jc w:val="left"/>
              <w:rPr>
                <w:rFonts w:ascii="Wingdings" w:hAnsi="Wingdings" w:cs="Calibri"/>
                <w:color w:val="000000"/>
                <w:sz w:val="22"/>
              </w:rPr>
            </w:pPr>
            <w:r w:rsidRPr="00392E88">
              <w:rPr>
                <w:rFonts w:ascii="Wingdings" w:hAnsi="Wingdings"/>
                <w:color w:val="000000"/>
                <w:sz w:val="22"/>
              </w:rPr>
              <w:t>Ÿ</w:t>
            </w:r>
            <w:r w:rsidRPr="00392E88">
              <w:t xml:space="preserve"> Zasoby ludzkie</w:t>
            </w:r>
            <w:r w:rsidRPr="00392E88">
              <w:rPr>
                <w:color w:val="000000"/>
                <w:sz w:val="22"/>
              </w:rPr>
              <w:t xml:space="preserve"> </w:t>
            </w:r>
          </w:p>
        </w:tc>
        <w:tc>
          <w:tcPr>
            <w:tcW w:w="376" w:type="pct"/>
            <w:tcBorders>
              <w:top w:val="nil"/>
              <w:left w:val="nil"/>
              <w:bottom w:val="single" w:sz="8" w:space="0" w:color="auto"/>
              <w:right w:val="single" w:sz="8" w:space="0" w:color="auto"/>
            </w:tcBorders>
            <w:shd w:val="clear" w:color="000000" w:fill="D9D9D9"/>
            <w:vAlign w:val="center"/>
            <w:hideMark/>
          </w:tcPr>
          <w:p w14:paraId="129F51FE" w14:textId="77777777" w:rsidR="00044D5B" w:rsidRPr="00392E88" w:rsidRDefault="00044D5B">
            <w:pPr>
              <w:spacing w:before="0" w:after="0"/>
              <w:jc w:val="right"/>
              <w:rPr>
                <w:color w:val="000000"/>
                <w:sz w:val="20"/>
                <w:szCs w:val="20"/>
              </w:rPr>
            </w:pPr>
            <w:r w:rsidRPr="00392E88">
              <w:rPr>
                <w:color w:val="000000"/>
                <w:sz w:val="20"/>
              </w:rPr>
              <w:t>0,000</w:t>
            </w:r>
          </w:p>
        </w:tc>
        <w:tc>
          <w:tcPr>
            <w:tcW w:w="376" w:type="pct"/>
            <w:tcBorders>
              <w:top w:val="nil"/>
              <w:left w:val="nil"/>
              <w:bottom w:val="single" w:sz="8" w:space="0" w:color="auto"/>
              <w:right w:val="single" w:sz="8" w:space="0" w:color="auto"/>
            </w:tcBorders>
            <w:shd w:val="clear" w:color="000000" w:fill="D9D9D9"/>
            <w:vAlign w:val="center"/>
            <w:hideMark/>
          </w:tcPr>
          <w:p w14:paraId="05193C38" w14:textId="77777777" w:rsidR="00044D5B" w:rsidRPr="00392E88" w:rsidRDefault="00044D5B">
            <w:pPr>
              <w:spacing w:before="0" w:after="0"/>
              <w:jc w:val="right"/>
              <w:rPr>
                <w:color w:val="000000"/>
                <w:sz w:val="20"/>
                <w:szCs w:val="20"/>
              </w:rPr>
            </w:pPr>
            <w:r w:rsidRPr="00392E88">
              <w:rPr>
                <w:color w:val="000000"/>
                <w:sz w:val="20"/>
              </w:rPr>
              <w:t>0,000</w:t>
            </w:r>
          </w:p>
        </w:tc>
        <w:tc>
          <w:tcPr>
            <w:tcW w:w="376" w:type="pct"/>
            <w:tcBorders>
              <w:top w:val="nil"/>
              <w:left w:val="nil"/>
              <w:bottom w:val="single" w:sz="8" w:space="0" w:color="auto"/>
              <w:right w:val="single" w:sz="8" w:space="0" w:color="auto"/>
            </w:tcBorders>
            <w:shd w:val="clear" w:color="000000" w:fill="D9D9D9"/>
            <w:vAlign w:val="center"/>
            <w:hideMark/>
          </w:tcPr>
          <w:p w14:paraId="3427D3A3" w14:textId="77777777" w:rsidR="00044D5B" w:rsidRPr="00392E88" w:rsidRDefault="00044D5B">
            <w:pPr>
              <w:spacing w:before="0" w:after="0"/>
              <w:jc w:val="right"/>
              <w:rPr>
                <w:color w:val="000000"/>
                <w:sz w:val="20"/>
                <w:szCs w:val="20"/>
              </w:rPr>
            </w:pPr>
            <w:r w:rsidRPr="00392E88">
              <w:rPr>
                <w:color w:val="000000"/>
                <w:sz w:val="20"/>
              </w:rPr>
              <w:t>0,000</w:t>
            </w:r>
          </w:p>
        </w:tc>
        <w:tc>
          <w:tcPr>
            <w:tcW w:w="376" w:type="pct"/>
            <w:tcBorders>
              <w:top w:val="nil"/>
              <w:left w:val="nil"/>
              <w:bottom w:val="single" w:sz="8" w:space="0" w:color="auto"/>
              <w:right w:val="single" w:sz="8" w:space="0" w:color="auto"/>
            </w:tcBorders>
            <w:shd w:val="clear" w:color="000000" w:fill="D9D9D9"/>
            <w:vAlign w:val="center"/>
            <w:hideMark/>
          </w:tcPr>
          <w:p w14:paraId="76EEDCE4" w14:textId="77777777" w:rsidR="00044D5B" w:rsidRPr="00392E88" w:rsidRDefault="00044D5B">
            <w:pPr>
              <w:spacing w:before="0" w:after="0"/>
              <w:jc w:val="right"/>
              <w:rPr>
                <w:color w:val="000000"/>
                <w:sz w:val="20"/>
                <w:szCs w:val="20"/>
              </w:rPr>
            </w:pPr>
            <w:r w:rsidRPr="00392E88">
              <w:rPr>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14:paraId="449D1E60" w14:textId="77777777" w:rsidR="00044D5B" w:rsidRPr="00392E88" w:rsidRDefault="00044D5B">
            <w:pPr>
              <w:spacing w:before="0" w:after="0"/>
              <w:jc w:val="right"/>
              <w:rPr>
                <w:b/>
                <w:bCs/>
                <w:color w:val="000000"/>
                <w:sz w:val="20"/>
                <w:szCs w:val="20"/>
              </w:rPr>
            </w:pPr>
            <w:r w:rsidRPr="00392E88">
              <w:rPr>
                <w:b/>
                <w:color w:val="000000"/>
                <w:sz w:val="20"/>
              </w:rPr>
              <w:t>0,000</w:t>
            </w:r>
          </w:p>
        </w:tc>
      </w:tr>
      <w:tr w:rsidR="00E6355E" w:rsidRPr="00392E88" w14:paraId="3F4545F9" w14:textId="7777777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6"/>
            <w:tcBorders>
              <w:top w:val="single" w:sz="8" w:space="0" w:color="auto"/>
              <w:left w:val="single" w:sz="8" w:space="0" w:color="auto"/>
              <w:bottom w:val="single" w:sz="8" w:space="0" w:color="auto"/>
              <w:right w:val="single" w:sz="8" w:space="0" w:color="auto"/>
            </w:tcBorders>
            <w:vAlign w:val="center"/>
            <w:hideMark/>
          </w:tcPr>
          <w:p w14:paraId="3D1BF350" w14:textId="77777777" w:rsidR="00044D5B" w:rsidRPr="00392E88" w:rsidRDefault="00044D5B">
            <w:pPr>
              <w:spacing w:before="0" w:after="0"/>
              <w:jc w:val="left"/>
              <w:rPr>
                <w:rFonts w:ascii="Wingdings" w:hAnsi="Wingdings" w:cs="Calibri"/>
                <w:color w:val="000000"/>
                <w:sz w:val="22"/>
              </w:rPr>
            </w:pPr>
            <w:r w:rsidRPr="00392E88">
              <w:rPr>
                <w:rFonts w:ascii="Wingdings" w:hAnsi="Wingdings"/>
                <w:color w:val="000000"/>
                <w:sz w:val="22"/>
              </w:rPr>
              <w:t>Ÿ</w:t>
            </w:r>
            <w:r w:rsidRPr="00392E88">
              <w:t xml:space="preserve"> Pozostałe wydatki administracyjne</w:t>
            </w:r>
            <w:r w:rsidRPr="00392E88">
              <w:rPr>
                <w:color w:val="000000"/>
                <w:sz w:val="22"/>
              </w:rPr>
              <w:t xml:space="preserve"> </w:t>
            </w:r>
          </w:p>
        </w:tc>
        <w:tc>
          <w:tcPr>
            <w:tcW w:w="376" w:type="pct"/>
            <w:tcBorders>
              <w:top w:val="nil"/>
              <w:left w:val="nil"/>
              <w:bottom w:val="single" w:sz="8" w:space="0" w:color="auto"/>
              <w:right w:val="single" w:sz="8" w:space="0" w:color="auto"/>
            </w:tcBorders>
            <w:shd w:val="clear" w:color="000000" w:fill="D9D9D9"/>
            <w:vAlign w:val="center"/>
            <w:hideMark/>
          </w:tcPr>
          <w:p w14:paraId="74520C84" w14:textId="77777777" w:rsidR="00044D5B" w:rsidRPr="00392E88" w:rsidRDefault="00044D5B">
            <w:pPr>
              <w:spacing w:before="0" w:after="0"/>
              <w:jc w:val="right"/>
              <w:rPr>
                <w:color w:val="000000"/>
                <w:sz w:val="20"/>
                <w:szCs w:val="20"/>
              </w:rPr>
            </w:pPr>
            <w:r w:rsidRPr="00392E88">
              <w:rPr>
                <w:color w:val="000000"/>
                <w:sz w:val="20"/>
              </w:rPr>
              <w:t>0,000</w:t>
            </w:r>
          </w:p>
        </w:tc>
        <w:tc>
          <w:tcPr>
            <w:tcW w:w="376" w:type="pct"/>
            <w:tcBorders>
              <w:top w:val="nil"/>
              <w:left w:val="nil"/>
              <w:bottom w:val="single" w:sz="8" w:space="0" w:color="auto"/>
              <w:right w:val="single" w:sz="8" w:space="0" w:color="auto"/>
            </w:tcBorders>
            <w:shd w:val="clear" w:color="000000" w:fill="D9D9D9"/>
            <w:vAlign w:val="center"/>
            <w:hideMark/>
          </w:tcPr>
          <w:p w14:paraId="0AB71699" w14:textId="77777777" w:rsidR="00044D5B" w:rsidRPr="00392E88" w:rsidRDefault="00044D5B">
            <w:pPr>
              <w:spacing w:before="0" w:after="0"/>
              <w:jc w:val="right"/>
              <w:rPr>
                <w:color w:val="000000"/>
                <w:sz w:val="20"/>
                <w:szCs w:val="20"/>
              </w:rPr>
            </w:pPr>
            <w:r w:rsidRPr="00392E88">
              <w:rPr>
                <w:color w:val="000000"/>
                <w:sz w:val="20"/>
              </w:rPr>
              <w:t>0,000</w:t>
            </w:r>
          </w:p>
        </w:tc>
        <w:tc>
          <w:tcPr>
            <w:tcW w:w="376" w:type="pct"/>
            <w:tcBorders>
              <w:top w:val="nil"/>
              <w:left w:val="nil"/>
              <w:bottom w:val="single" w:sz="8" w:space="0" w:color="auto"/>
              <w:right w:val="single" w:sz="8" w:space="0" w:color="auto"/>
            </w:tcBorders>
            <w:shd w:val="clear" w:color="000000" w:fill="D9D9D9"/>
            <w:vAlign w:val="center"/>
            <w:hideMark/>
          </w:tcPr>
          <w:p w14:paraId="2CEA9BC3" w14:textId="77777777" w:rsidR="00044D5B" w:rsidRPr="00392E88" w:rsidRDefault="00044D5B">
            <w:pPr>
              <w:spacing w:before="0" w:after="0"/>
              <w:jc w:val="right"/>
              <w:rPr>
                <w:color w:val="000000"/>
                <w:sz w:val="20"/>
                <w:szCs w:val="20"/>
              </w:rPr>
            </w:pPr>
            <w:r w:rsidRPr="00392E88">
              <w:rPr>
                <w:color w:val="000000"/>
                <w:sz w:val="20"/>
              </w:rPr>
              <w:t>0,000</w:t>
            </w:r>
          </w:p>
        </w:tc>
        <w:tc>
          <w:tcPr>
            <w:tcW w:w="376" w:type="pct"/>
            <w:tcBorders>
              <w:top w:val="nil"/>
              <w:left w:val="nil"/>
              <w:bottom w:val="single" w:sz="8" w:space="0" w:color="auto"/>
              <w:right w:val="single" w:sz="8" w:space="0" w:color="auto"/>
            </w:tcBorders>
            <w:shd w:val="clear" w:color="000000" w:fill="D9D9D9"/>
            <w:vAlign w:val="center"/>
            <w:hideMark/>
          </w:tcPr>
          <w:p w14:paraId="3F6659D0" w14:textId="77777777" w:rsidR="00044D5B" w:rsidRPr="00392E88" w:rsidRDefault="00044D5B">
            <w:pPr>
              <w:spacing w:before="0" w:after="0"/>
              <w:jc w:val="right"/>
              <w:rPr>
                <w:color w:val="000000"/>
                <w:sz w:val="20"/>
                <w:szCs w:val="20"/>
              </w:rPr>
            </w:pPr>
            <w:r w:rsidRPr="00392E88">
              <w:rPr>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14:paraId="54904F76" w14:textId="77777777" w:rsidR="00044D5B" w:rsidRPr="00392E88" w:rsidRDefault="00044D5B">
            <w:pPr>
              <w:spacing w:before="0" w:after="0"/>
              <w:jc w:val="right"/>
              <w:rPr>
                <w:b/>
                <w:bCs/>
                <w:color w:val="000000"/>
                <w:sz w:val="20"/>
                <w:szCs w:val="20"/>
              </w:rPr>
            </w:pPr>
            <w:r w:rsidRPr="00392E88">
              <w:rPr>
                <w:b/>
                <w:color w:val="000000"/>
                <w:sz w:val="20"/>
              </w:rPr>
              <w:t>0,000</w:t>
            </w:r>
          </w:p>
        </w:tc>
      </w:tr>
      <w:tr w:rsidR="00E6355E" w:rsidRPr="00392E88" w14:paraId="47E06D73" w14:textId="7777777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653" w:type="pct"/>
            <w:tcBorders>
              <w:top w:val="nil"/>
              <w:left w:val="single" w:sz="8" w:space="0" w:color="auto"/>
              <w:bottom w:val="single" w:sz="8" w:space="0" w:color="auto"/>
              <w:right w:val="single" w:sz="8" w:space="0" w:color="auto"/>
            </w:tcBorders>
            <w:vAlign w:val="center"/>
            <w:hideMark/>
          </w:tcPr>
          <w:p w14:paraId="5F9A2EB5" w14:textId="77777777" w:rsidR="00044D5B" w:rsidRPr="00392E88" w:rsidRDefault="00044D5B">
            <w:pPr>
              <w:spacing w:before="0" w:after="0"/>
              <w:jc w:val="center"/>
              <w:rPr>
                <w:b/>
                <w:bCs/>
                <w:color w:val="000000"/>
                <w:sz w:val="22"/>
              </w:rPr>
            </w:pPr>
            <w:r w:rsidRPr="00392E88">
              <w:rPr>
                <w:b/>
                <w:color w:val="000000"/>
                <w:sz w:val="22"/>
              </w:rPr>
              <w:t>OGÓŁEM Dyrekcja Generalna</w:t>
            </w:r>
            <w:r w:rsidRPr="00392E88">
              <w:rPr>
                <w:color w:val="000000"/>
                <w:sz w:val="22"/>
              </w:rPr>
              <w:t xml:space="preserve"> &lt;….&gt;</w:t>
            </w:r>
          </w:p>
        </w:tc>
        <w:tc>
          <w:tcPr>
            <w:tcW w:w="1378" w:type="pct"/>
            <w:gridSpan w:val="5"/>
            <w:tcBorders>
              <w:top w:val="single" w:sz="8" w:space="0" w:color="auto"/>
              <w:left w:val="nil"/>
              <w:bottom w:val="single" w:sz="8" w:space="0" w:color="auto"/>
              <w:right w:val="single" w:sz="8" w:space="0" w:color="auto"/>
            </w:tcBorders>
            <w:vAlign w:val="center"/>
            <w:hideMark/>
          </w:tcPr>
          <w:p w14:paraId="38FEBA02" w14:textId="77777777" w:rsidR="00044D5B" w:rsidRPr="00392E88" w:rsidRDefault="00044D5B">
            <w:pPr>
              <w:spacing w:before="0" w:after="0"/>
              <w:jc w:val="left"/>
              <w:rPr>
                <w:color w:val="000000"/>
                <w:sz w:val="18"/>
                <w:szCs w:val="18"/>
              </w:rPr>
            </w:pPr>
            <w:r w:rsidRPr="00392E88">
              <w:rPr>
                <w:color w:val="000000"/>
                <w:sz w:val="18"/>
              </w:rPr>
              <w:t xml:space="preserve">Środki </w:t>
            </w:r>
          </w:p>
        </w:tc>
        <w:tc>
          <w:tcPr>
            <w:tcW w:w="376" w:type="pct"/>
            <w:tcBorders>
              <w:top w:val="nil"/>
              <w:left w:val="nil"/>
              <w:bottom w:val="single" w:sz="8" w:space="0" w:color="auto"/>
              <w:right w:val="single" w:sz="8" w:space="0" w:color="auto"/>
            </w:tcBorders>
            <w:shd w:val="clear" w:color="000000" w:fill="D9D9D9"/>
            <w:vAlign w:val="center"/>
            <w:hideMark/>
          </w:tcPr>
          <w:p w14:paraId="1F32B9EB" w14:textId="77777777" w:rsidR="00044D5B" w:rsidRPr="00392E88" w:rsidRDefault="00044D5B">
            <w:pPr>
              <w:spacing w:before="0" w:after="0"/>
              <w:jc w:val="right"/>
              <w:rPr>
                <w:b/>
                <w:bCs/>
                <w:color w:val="000000"/>
                <w:sz w:val="20"/>
                <w:szCs w:val="20"/>
              </w:rPr>
            </w:pPr>
            <w:r w:rsidRPr="00392E88">
              <w:rPr>
                <w:b/>
                <w:color w:val="000000"/>
                <w:sz w:val="20"/>
              </w:rPr>
              <w:t>0,000</w:t>
            </w:r>
          </w:p>
        </w:tc>
        <w:tc>
          <w:tcPr>
            <w:tcW w:w="376" w:type="pct"/>
            <w:tcBorders>
              <w:top w:val="nil"/>
              <w:left w:val="nil"/>
              <w:bottom w:val="single" w:sz="8" w:space="0" w:color="auto"/>
              <w:right w:val="single" w:sz="8" w:space="0" w:color="auto"/>
            </w:tcBorders>
            <w:shd w:val="clear" w:color="000000" w:fill="D9D9D9"/>
            <w:vAlign w:val="center"/>
            <w:hideMark/>
          </w:tcPr>
          <w:p w14:paraId="78132204" w14:textId="77777777" w:rsidR="00044D5B" w:rsidRPr="00392E88" w:rsidRDefault="00044D5B">
            <w:pPr>
              <w:spacing w:before="0" w:after="0"/>
              <w:jc w:val="right"/>
              <w:rPr>
                <w:b/>
                <w:bCs/>
                <w:color w:val="000000"/>
                <w:sz w:val="20"/>
                <w:szCs w:val="20"/>
              </w:rPr>
            </w:pPr>
            <w:r w:rsidRPr="00392E88">
              <w:rPr>
                <w:b/>
                <w:color w:val="000000"/>
                <w:sz w:val="20"/>
              </w:rPr>
              <w:t>0,000</w:t>
            </w:r>
          </w:p>
        </w:tc>
        <w:tc>
          <w:tcPr>
            <w:tcW w:w="376" w:type="pct"/>
            <w:tcBorders>
              <w:top w:val="nil"/>
              <w:left w:val="nil"/>
              <w:bottom w:val="single" w:sz="8" w:space="0" w:color="auto"/>
              <w:right w:val="single" w:sz="8" w:space="0" w:color="auto"/>
            </w:tcBorders>
            <w:shd w:val="clear" w:color="000000" w:fill="D9D9D9"/>
            <w:vAlign w:val="center"/>
            <w:hideMark/>
          </w:tcPr>
          <w:p w14:paraId="110CF5C2" w14:textId="77777777" w:rsidR="00044D5B" w:rsidRPr="00392E88" w:rsidRDefault="00044D5B">
            <w:pPr>
              <w:spacing w:before="0" w:after="0"/>
              <w:jc w:val="right"/>
              <w:rPr>
                <w:b/>
                <w:bCs/>
                <w:color w:val="000000"/>
                <w:sz w:val="20"/>
                <w:szCs w:val="20"/>
              </w:rPr>
            </w:pPr>
            <w:r w:rsidRPr="00392E88">
              <w:rPr>
                <w:b/>
                <w:color w:val="000000"/>
                <w:sz w:val="20"/>
              </w:rPr>
              <w:t>0,000</w:t>
            </w:r>
          </w:p>
        </w:tc>
        <w:tc>
          <w:tcPr>
            <w:tcW w:w="376" w:type="pct"/>
            <w:tcBorders>
              <w:top w:val="nil"/>
              <w:left w:val="nil"/>
              <w:bottom w:val="single" w:sz="8" w:space="0" w:color="auto"/>
              <w:right w:val="single" w:sz="8" w:space="0" w:color="auto"/>
            </w:tcBorders>
            <w:shd w:val="clear" w:color="000000" w:fill="D9D9D9"/>
            <w:vAlign w:val="center"/>
            <w:hideMark/>
          </w:tcPr>
          <w:p w14:paraId="393CC228" w14:textId="77777777" w:rsidR="00044D5B" w:rsidRPr="00392E88" w:rsidRDefault="00044D5B">
            <w:pPr>
              <w:spacing w:before="0" w:after="0"/>
              <w:jc w:val="right"/>
              <w:rPr>
                <w:b/>
                <w:bCs/>
                <w:color w:val="000000"/>
                <w:sz w:val="20"/>
                <w:szCs w:val="20"/>
              </w:rPr>
            </w:pPr>
            <w:r w:rsidRPr="00392E88">
              <w:rPr>
                <w:b/>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14:paraId="6AF15896" w14:textId="77777777" w:rsidR="00044D5B" w:rsidRPr="00392E88" w:rsidRDefault="00044D5B">
            <w:pPr>
              <w:spacing w:before="0" w:after="0"/>
              <w:jc w:val="right"/>
              <w:rPr>
                <w:b/>
                <w:bCs/>
                <w:color w:val="000000"/>
                <w:sz w:val="20"/>
                <w:szCs w:val="20"/>
              </w:rPr>
            </w:pPr>
            <w:r w:rsidRPr="00392E88">
              <w:rPr>
                <w:b/>
                <w:color w:val="000000"/>
                <w:sz w:val="20"/>
              </w:rPr>
              <w:t>0,000</w:t>
            </w:r>
          </w:p>
        </w:tc>
      </w:tr>
      <w:tr w:rsidR="00927EB0" w:rsidRPr="00392E88" w14:paraId="38DF47B4" w14:textId="7777777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653" w:type="pct"/>
            <w:tcBorders>
              <w:top w:val="nil"/>
              <w:left w:val="nil"/>
              <w:bottom w:val="nil"/>
              <w:right w:val="nil"/>
            </w:tcBorders>
            <w:noWrap/>
            <w:vAlign w:val="bottom"/>
            <w:hideMark/>
          </w:tcPr>
          <w:p w14:paraId="07D3B178" w14:textId="77777777" w:rsidR="00044D5B" w:rsidRPr="00392E88" w:rsidRDefault="00044D5B">
            <w:pPr>
              <w:spacing w:before="0" w:after="0"/>
              <w:jc w:val="right"/>
              <w:rPr>
                <w:b/>
                <w:bCs/>
                <w:color w:val="000000"/>
                <w:sz w:val="20"/>
                <w:szCs w:val="20"/>
                <w:lang w:eastAsia="en-IE"/>
              </w:rPr>
            </w:pPr>
          </w:p>
        </w:tc>
        <w:tc>
          <w:tcPr>
            <w:tcW w:w="929" w:type="pct"/>
            <w:gridSpan w:val="3"/>
            <w:tcBorders>
              <w:top w:val="nil"/>
              <w:left w:val="nil"/>
              <w:bottom w:val="nil"/>
              <w:right w:val="nil"/>
            </w:tcBorders>
            <w:noWrap/>
            <w:vAlign w:val="bottom"/>
            <w:hideMark/>
          </w:tcPr>
          <w:p w14:paraId="5F4BF028" w14:textId="77777777" w:rsidR="00044D5B" w:rsidRPr="00392E88" w:rsidRDefault="00044D5B">
            <w:pPr>
              <w:spacing w:before="0" w:after="0"/>
              <w:jc w:val="left"/>
              <w:rPr>
                <w:sz w:val="20"/>
                <w:szCs w:val="20"/>
                <w:lang w:eastAsia="en-IE"/>
              </w:rPr>
            </w:pPr>
          </w:p>
        </w:tc>
        <w:tc>
          <w:tcPr>
            <w:tcW w:w="224" w:type="pct"/>
            <w:tcBorders>
              <w:top w:val="nil"/>
              <w:left w:val="nil"/>
              <w:bottom w:val="nil"/>
              <w:right w:val="nil"/>
            </w:tcBorders>
            <w:noWrap/>
            <w:vAlign w:val="bottom"/>
            <w:hideMark/>
          </w:tcPr>
          <w:p w14:paraId="7F4904C5" w14:textId="77777777" w:rsidR="00044D5B" w:rsidRPr="00392E88" w:rsidRDefault="00044D5B">
            <w:pPr>
              <w:spacing w:before="0" w:after="0"/>
              <w:jc w:val="left"/>
              <w:rPr>
                <w:sz w:val="20"/>
                <w:szCs w:val="20"/>
                <w:lang w:eastAsia="en-IE"/>
              </w:rPr>
            </w:pPr>
          </w:p>
        </w:tc>
        <w:tc>
          <w:tcPr>
            <w:tcW w:w="225" w:type="pct"/>
            <w:tcBorders>
              <w:top w:val="nil"/>
              <w:left w:val="nil"/>
              <w:bottom w:val="nil"/>
              <w:right w:val="nil"/>
            </w:tcBorders>
            <w:noWrap/>
            <w:vAlign w:val="bottom"/>
            <w:hideMark/>
          </w:tcPr>
          <w:p w14:paraId="2F48FC64" w14:textId="77777777" w:rsidR="00044D5B" w:rsidRPr="00392E88" w:rsidRDefault="00044D5B">
            <w:pPr>
              <w:spacing w:before="0" w:after="0"/>
              <w:jc w:val="left"/>
              <w:rPr>
                <w:sz w:val="20"/>
                <w:szCs w:val="20"/>
                <w:lang w:eastAsia="en-IE"/>
              </w:rPr>
            </w:pPr>
          </w:p>
        </w:tc>
        <w:tc>
          <w:tcPr>
            <w:tcW w:w="376" w:type="pct"/>
            <w:tcBorders>
              <w:top w:val="nil"/>
              <w:left w:val="nil"/>
              <w:bottom w:val="nil"/>
              <w:right w:val="nil"/>
            </w:tcBorders>
            <w:noWrap/>
            <w:vAlign w:val="bottom"/>
            <w:hideMark/>
          </w:tcPr>
          <w:p w14:paraId="1E0767DD" w14:textId="77777777" w:rsidR="00044D5B" w:rsidRPr="00392E88" w:rsidRDefault="00044D5B">
            <w:pPr>
              <w:spacing w:before="0" w:after="0"/>
              <w:jc w:val="left"/>
              <w:rPr>
                <w:sz w:val="20"/>
                <w:szCs w:val="20"/>
                <w:lang w:eastAsia="en-IE"/>
              </w:rPr>
            </w:pPr>
          </w:p>
        </w:tc>
        <w:tc>
          <w:tcPr>
            <w:tcW w:w="376" w:type="pct"/>
            <w:tcBorders>
              <w:top w:val="nil"/>
              <w:left w:val="nil"/>
              <w:bottom w:val="nil"/>
              <w:right w:val="nil"/>
            </w:tcBorders>
            <w:noWrap/>
            <w:vAlign w:val="bottom"/>
            <w:hideMark/>
          </w:tcPr>
          <w:p w14:paraId="1D285377" w14:textId="77777777" w:rsidR="00044D5B" w:rsidRPr="00392E88" w:rsidRDefault="00044D5B">
            <w:pPr>
              <w:spacing w:before="0" w:after="0"/>
              <w:jc w:val="left"/>
              <w:rPr>
                <w:sz w:val="20"/>
                <w:szCs w:val="20"/>
                <w:lang w:eastAsia="en-IE"/>
              </w:rPr>
            </w:pPr>
          </w:p>
        </w:tc>
        <w:tc>
          <w:tcPr>
            <w:tcW w:w="376" w:type="pct"/>
            <w:tcBorders>
              <w:top w:val="nil"/>
              <w:left w:val="nil"/>
              <w:bottom w:val="nil"/>
              <w:right w:val="nil"/>
            </w:tcBorders>
            <w:noWrap/>
            <w:vAlign w:val="bottom"/>
            <w:hideMark/>
          </w:tcPr>
          <w:p w14:paraId="2F16CF54" w14:textId="77777777" w:rsidR="00044D5B" w:rsidRPr="00392E88" w:rsidRDefault="00044D5B">
            <w:pPr>
              <w:spacing w:before="0" w:after="0"/>
              <w:jc w:val="left"/>
              <w:rPr>
                <w:sz w:val="20"/>
                <w:szCs w:val="20"/>
                <w:lang w:eastAsia="en-IE"/>
              </w:rPr>
            </w:pPr>
          </w:p>
        </w:tc>
        <w:tc>
          <w:tcPr>
            <w:tcW w:w="376" w:type="pct"/>
            <w:tcBorders>
              <w:top w:val="nil"/>
              <w:left w:val="nil"/>
              <w:bottom w:val="nil"/>
              <w:right w:val="nil"/>
            </w:tcBorders>
            <w:noWrap/>
            <w:vAlign w:val="bottom"/>
            <w:hideMark/>
          </w:tcPr>
          <w:p w14:paraId="191C8DDA" w14:textId="77777777" w:rsidR="00044D5B" w:rsidRPr="00392E88" w:rsidRDefault="00044D5B">
            <w:pPr>
              <w:spacing w:before="0" w:after="0"/>
              <w:jc w:val="left"/>
              <w:rPr>
                <w:sz w:val="20"/>
                <w:szCs w:val="20"/>
                <w:lang w:eastAsia="en-IE"/>
              </w:rPr>
            </w:pPr>
          </w:p>
        </w:tc>
        <w:tc>
          <w:tcPr>
            <w:tcW w:w="465" w:type="pct"/>
            <w:tcBorders>
              <w:top w:val="nil"/>
              <w:left w:val="nil"/>
              <w:bottom w:val="nil"/>
              <w:right w:val="nil"/>
            </w:tcBorders>
            <w:noWrap/>
            <w:vAlign w:val="bottom"/>
            <w:hideMark/>
          </w:tcPr>
          <w:p w14:paraId="777AB0D8" w14:textId="77777777" w:rsidR="00044D5B" w:rsidRPr="00392E88" w:rsidRDefault="00044D5B">
            <w:pPr>
              <w:spacing w:before="0" w:after="0"/>
              <w:jc w:val="left"/>
              <w:rPr>
                <w:sz w:val="20"/>
                <w:szCs w:val="20"/>
                <w:lang w:eastAsia="en-IE"/>
              </w:rPr>
            </w:pPr>
          </w:p>
        </w:tc>
      </w:tr>
      <w:tr w:rsidR="00983E98" w:rsidRPr="00392E88" w14:paraId="07083D53" w14:textId="7777777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00"/>
        </w:trPr>
        <w:tc>
          <w:tcPr>
            <w:tcW w:w="2583" w:type="pct"/>
            <w:gridSpan w:val="4"/>
            <w:tcBorders>
              <w:top w:val="single" w:sz="8" w:space="0" w:color="auto"/>
              <w:left w:val="single" w:sz="8" w:space="0" w:color="auto"/>
              <w:bottom w:val="single" w:sz="8" w:space="0" w:color="auto"/>
              <w:right w:val="single" w:sz="8" w:space="0" w:color="auto"/>
            </w:tcBorders>
            <w:shd w:val="thinDiagStripe" w:color="C0C0C0" w:fill="F1F1F1"/>
            <w:vAlign w:val="center"/>
            <w:hideMark/>
          </w:tcPr>
          <w:p w14:paraId="68CE9A55" w14:textId="77777777" w:rsidR="00044D5B" w:rsidRPr="00392E88" w:rsidRDefault="00044D5B">
            <w:pPr>
              <w:spacing w:before="0" w:after="0"/>
              <w:jc w:val="center"/>
              <w:rPr>
                <w:b/>
                <w:bCs/>
                <w:color w:val="000000"/>
                <w:sz w:val="22"/>
              </w:rPr>
            </w:pPr>
            <w:r w:rsidRPr="00392E88">
              <w:rPr>
                <w:b/>
                <w:color w:val="000000"/>
                <w:sz w:val="22"/>
              </w:rPr>
              <w:t xml:space="preserve">OGÓŁEM środki na DZIAŁ 7 wieloletnich ram finansowych </w:t>
            </w:r>
          </w:p>
        </w:tc>
        <w:tc>
          <w:tcPr>
            <w:tcW w:w="449" w:type="pct"/>
            <w:gridSpan w:val="2"/>
            <w:tcBorders>
              <w:top w:val="single" w:sz="8" w:space="0" w:color="auto"/>
              <w:left w:val="nil"/>
              <w:bottom w:val="single" w:sz="8" w:space="0" w:color="auto"/>
              <w:right w:val="single" w:sz="8" w:space="0" w:color="auto"/>
            </w:tcBorders>
            <w:vAlign w:val="center"/>
            <w:hideMark/>
          </w:tcPr>
          <w:p w14:paraId="590395D4" w14:textId="77777777" w:rsidR="00044D5B" w:rsidRPr="00392E88" w:rsidRDefault="00044D5B">
            <w:pPr>
              <w:spacing w:before="0" w:after="0"/>
              <w:jc w:val="center"/>
              <w:rPr>
                <w:color w:val="000000"/>
                <w:sz w:val="18"/>
                <w:szCs w:val="18"/>
              </w:rPr>
            </w:pPr>
            <w:r w:rsidRPr="00392E88">
              <w:rPr>
                <w:color w:val="000000"/>
                <w:sz w:val="18"/>
              </w:rPr>
              <w:t>(Środki na zobowiązania ogółem = środki na płatności ogółem)</w:t>
            </w:r>
          </w:p>
        </w:tc>
        <w:tc>
          <w:tcPr>
            <w:tcW w:w="376" w:type="pct"/>
            <w:tcBorders>
              <w:top w:val="single" w:sz="8" w:space="0" w:color="auto"/>
              <w:left w:val="nil"/>
              <w:bottom w:val="single" w:sz="8" w:space="0" w:color="auto"/>
              <w:right w:val="single" w:sz="8" w:space="0" w:color="auto"/>
            </w:tcBorders>
            <w:shd w:val="clear" w:color="000000" w:fill="D9D9D9"/>
            <w:vAlign w:val="center"/>
            <w:hideMark/>
          </w:tcPr>
          <w:p w14:paraId="7997D5E1" w14:textId="77777777" w:rsidR="00044D5B" w:rsidRPr="00392E88" w:rsidRDefault="00044D5B">
            <w:pPr>
              <w:spacing w:before="0" w:after="0"/>
              <w:jc w:val="right"/>
              <w:rPr>
                <w:b/>
                <w:bCs/>
                <w:color w:val="000000"/>
                <w:sz w:val="20"/>
                <w:szCs w:val="20"/>
              </w:rPr>
            </w:pPr>
            <w:r w:rsidRPr="00392E88">
              <w:rPr>
                <w:b/>
                <w:color w:val="000000"/>
                <w:sz w:val="20"/>
              </w:rPr>
              <w:t>0,000</w:t>
            </w:r>
          </w:p>
        </w:tc>
        <w:tc>
          <w:tcPr>
            <w:tcW w:w="376" w:type="pct"/>
            <w:tcBorders>
              <w:top w:val="single" w:sz="8" w:space="0" w:color="auto"/>
              <w:left w:val="nil"/>
              <w:bottom w:val="single" w:sz="8" w:space="0" w:color="auto"/>
              <w:right w:val="single" w:sz="8" w:space="0" w:color="auto"/>
            </w:tcBorders>
            <w:shd w:val="clear" w:color="000000" w:fill="D9D9D9"/>
            <w:vAlign w:val="center"/>
            <w:hideMark/>
          </w:tcPr>
          <w:p w14:paraId="50F52035" w14:textId="77777777" w:rsidR="00044D5B" w:rsidRPr="00392E88" w:rsidRDefault="00044D5B">
            <w:pPr>
              <w:spacing w:before="0" w:after="0"/>
              <w:jc w:val="right"/>
              <w:rPr>
                <w:b/>
                <w:bCs/>
                <w:color w:val="000000"/>
                <w:sz w:val="20"/>
                <w:szCs w:val="20"/>
              </w:rPr>
            </w:pPr>
            <w:r w:rsidRPr="00392E88">
              <w:rPr>
                <w:b/>
                <w:color w:val="000000"/>
                <w:sz w:val="20"/>
              </w:rPr>
              <w:t>0,000</w:t>
            </w:r>
          </w:p>
        </w:tc>
        <w:tc>
          <w:tcPr>
            <w:tcW w:w="376" w:type="pct"/>
            <w:tcBorders>
              <w:top w:val="single" w:sz="8" w:space="0" w:color="auto"/>
              <w:left w:val="nil"/>
              <w:bottom w:val="single" w:sz="8" w:space="0" w:color="auto"/>
              <w:right w:val="single" w:sz="8" w:space="0" w:color="auto"/>
            </w:tcBorders>
            <w:shd w:val="clear" w:color="000000" w:fill="D9D9D9"/>
            <w:vAlign w:val="center"/>
            <w:hideMark/>
          </w:tcPr>
          <w:p w14:paraId="66E17AAD" w14:textId="77777777" w:rsidR="00044D5B" w:rsidRPr="00392E88" w:rsidRDefault="00044D5B">
            <w:pPr>
              <w:spacing w:before="0" w:after="0"/>
              <w:jc w:val="right"/>
              <w:rPr>
                <w:b/>
                <w:bCs/>
                <w:color w:val="000000"/>
                <w:sz w:val="20"/>
                <w:szCs w:val="20"/>
              </w:rPr>
            </w:pPr>
            <w:r w:rsidRPr="00392E88">
              <w:rPr>
                <w:b/>
                <w:color w:val="000000"/>
                <w:sz w:val="20"/>
              </w:rPr>
              <w:t>0,000</w:t>
            </w:r>
          </w:p>
        </w:tc>
        <w:tc>
          <w:tcPr>
            <w:tcW w:w="376" w:type="pct"/>
            <w:tcBorders>
              <w:top w:val="single" w:sz="8" w:space="0" w:color="auto"/>
              <w:left w:val="nil"/>
              <w:bottom w:val="single" w:sz="8" w:space="0" w:color="auto"/>
              <w:right w:val="single" w:sz="8" w:space="0" w:color="auto"/>
            </w:tcBorders>
            <w:shd w:val="clear" w:color="000000" w:fill="D9D9D9"/>
            <w:vAlign w:val="center"/>
            <w:hideMark/>
          </w:tcPr>
          <w:p w14:paraId="732C2E7D" w14:textId="77777777" w:rsidR="00044D5B" w:rsidRPr="00392E88" w:rsidRDefault="00044D5B">
            <w:pPr>
              <w:spacing w:before="0" w:after="0"/>
              <w:jc w:val="right"/>
              <w:rPr>
                <w:b/>
                <w:bCs/>
                <w:color w:val="000000"/>
                <w:sz w:val="20"/>
                <w:szCs w:val="20"/>
              </w:rPr>
            </w:pPr>
            <w:r w:rsidRPr="00392E88">
              <w:rPr>
                <w:b/>
                <w:color w:val="000000"/>
                <w:sz w:val="20"/>
              </w:rPr>
              <w:t>0,000</w:t>
            </w:r>
          </w:p>
        </w:tc>
        <w:tc>
          <w:tcPr>
            <w:tcW w:w="465" w:type="pct"/>
            <w:tcBorders>
              <w:top w:val="single" w:sz="8" w:space="0" w:color="auto"/>
              <w:left w:val="nil"/>
              <w:bottom w:val="single" w:sz="8" w:space="0" w:color="auto"/>
              <w:right w:val="single" w:sz="8" w:space="0" w:color="auto"/>
            </w:tcBorders>
            <w:shd w:val="clear" w:color="000000" w:fill="D9D9D9"/>
            <w:vAlign w:val="center"/>
            <w:hideMark/>
          </w:tcPr>
          <w:p w14:paraId="010063FB" w14:textId="77777777" w:rsidR="00044D5B" w:rsidRPr="00392E88" w:rsidRDefault="00044D5B">
            <w:pPr>
              <w:spacing w:before="0" w:after="0"/>
              <w:jc w:val="right"/>
              <w:rPr>
                <w:b/>
                <w:bCs/>
                <w:color w:val="000000"/>
                <w:sz w:val="20"/>
                <w:szCs w:val="20"/>
              </w:rPr>
            </w:pPr>
            <w:r w:rsidRPr="00392E88">
              <w:rPr>
                <w:b/>
                <w:color w:val="000000"/>
                <w:sz w:val="20"/>
              </w:rPr>
              <w:t>0,000</w:t>
            </w:r>
          </w:p>
        </w:tc>
      </w:tr>
    </w:tbl>
    <w:p w14:paraId="622541EA" w14:textId="77777777" w:rsidR="00044D5B" w:rsidRPr="00392E88" w:rsidRDefault="00044D5B" w:rsidP="00044D5B">
      <w:pPr>
        <w:jc w:val="right"/>
        <w:rPr>
          <w:noProof/>
          <w:sz w:val="20"/>
        </w:rPr>
      </w:pPr>
      <w:r w:rsidRPr="00392E88">
        <w:rPr>
          <w:sz w:val="20"/>
        </w:rPr>
        <w:t>w mln EUR (do trzech miejsc po przecinku)</w:t>
      </w:r>
    </w:p>
    <w:tbl>
      <w:tblPr>
        <w:tblW w:w="5000" w:type="pct"/>
        <w:tblInd w:w="-118" w:type="dxa"/>
        <w:tblCellMar>
          <w:left w:w="0" w:type="dxa"/>
          <w:right w:w="0" w:type="dxa"/>
        </w:tblCellMar>
        <w:tblLook w:val="04A0" w:firstRow="1" w:lastRow="0" w:firstColumn="1" w:lastColumn="0" w:noHBand="0" w:noVBand="1"/>
      </w:tblPr>
      <w:tblGrid>
        <w:gridCol w:w="5529"/>
        <w:gridCol w:w="2051"/>
        <w:gridCol w:w="1238"/>
        <w:gridCol w:w="1237"/>
        <w:gridCol w:w="1237"/>
        <w:gridCol w:w="1237"/>
        <w:gridCol w:w="1495"/>
      </w:tblGrid>
      <w:tr w:rsidR="00B55C7B" w:rsidRPr="00392E88" w14:paraId="068AC6A5" w14:textId="77777777">
        <w:trPr>
          <w:trHeight w:val="288"/>
        </w:trPr>
        <w:tc>
          <w:tcPr>
            <w:tcW w:w="2702" w:type="pct"/>
            <w:gridSpan w:val="2"/>
            <w:vMerge w:val="restart"/>
            <w:tcBorders>
              <w:top w:val="single" w:sz="8" w:space="0" w:color="auto"/>
              <w:left w:val="single" w:sz="8" w:space="0" w:color="auto"/>
              <w:bottom w:val="single" w:sz="8" w:space="0" w:color="auto"/>
              <w:right w:val="single" w:sz="8" w:space="0" w:color="auto"/>
            </w:tcBorders>
            <w:vAlign w:val="center"/>
            <w:hideMark/>
          </w:tcPr>
          <w:p w14:paraId="4A5E8C28" w14:textId="77777777" w:rsidR="00044D5B" w:rsidRPr="00392E88" w:rsidRDefault="00044D5B">
            <w:pPr>
              <w:spacing w:before="0" w:after="0"/>
              <w:jc w:val="center"/>
              <w:rPr>
                <w:color w:val="000000"/>
                <w:szCs w:val="24"/>
              </w:rPr>
            </w:pPr>
            <w:r w:rsidRPr="00392E88">
              <w:rPr>
                <w:color w:val="000000"/>
              </w:rPr>
              <w:t xml:space="preserve"> </w:t>
            </w:r>
          </w:p>
        </w:tc>
        <w:tc>
          <w:tcPr>
            <w:tcW w:w="441" w:type="pct"/>
            <w:tcBorders>
              <w:top w:val="single" w:sz="8" w:space="0" w:color="auto"/>
              <w:left w:val="nil"/>
              <w:bottom w:val="nil"/>
              <w:right w:val="single" w:sz="8" w:space="0" w:color="auto"/>
            </w:tcBorders>
            <w:vAlign w:val="center"/>
            <w:hideMark/>
          </w:tcPr>
          <w:p w14:paraId="2833AA1B" w14:textId="77777777" w:rsidR="00044D5B" w:rsidRPr="00392E88" w:rsidRDefault="00044D5B">
            <w:pPr>
              <w:spacing w:before="0" w:after="0"/>
              <w:jc w:val="center"/>
              <w:rPr>
                <w:color w:val="000000"/>
                <w:sz w:val="20"/>
                <w:szCs w:val="20"/>
              </w:rPr>
            </w:pPr>
            <w:r w:rsidRPr="00392E88">
              <w:rPr>
                <w:color w:val="000000"/>
                <w:sz w:val="20"/>
              </w:rPr>
              <w:t>Rok</w:t>
            </w:r>
          </w:p>
        </w:tc>
        <w:tc>
          <w:tcPr>
            <w:tcW w:w="441" w:type="pct"/>
            <w:tcBorders>
              <w:top w:val="single" w:sz="8" w:space="0" w:color="auto"/>
              <w:left w:val="nil"/>
              <w:bottom w:val="nil"/>
              <w:right w:val="single" w:sz="8" w:space="0" w:color="auto"/>
            </w:tcBorders>
            <w:vAlign w:val="center"/>
            <w:hideMark/>
          </w:tcPr>
          <w:p w14:paraId="6111A3E6" w14:textId="77777777" w:rsidR="00044D5B" w:rsidRPr="00392E88" w:rsidRDefault="00044D5B">
            <w:pPr>
              <w:spacing w:before="0" w:after="0"/>
              <w:jc w:val="center"/>
              <w:rPr>
                <w:color w:val="000000"/>
                <w:sz w:val="20"/>
                <w:szCs w:val="20"/>
              </w:rPr>
            </w:pPr>
            <w:r w:rsidRPr="00392E88">
              <w:rPr>
                <w:color w:val="000000"/>
                <w:sz w:val="20"/>
              </w:rPr>
              <w:t>Rok</w:t>
            </w:r>
          </w:p>
        </w:tc>
        <w:tc>
          <w:tcPr>
            <w:tcW w:w="441" w:type="pct"/>
            <w:tcBorders>
              <w:top w:val="single" w:sz="8" w:space="0" w:color="auto"/>
              <w:left w:val="nil"/>
              <w:bottom w:val="nil"/>
              <w:right w:val="single" w:sz="8" w:space="0" w:color="auto"/>
            </w:tcBorders>
            <w:vAlign w:val="center"/>
            <w:hideMark/>
          </w:tcPr>
          <w:p w14:paraId="7CC9A370" w14:textId="77777777" w:rsidR="00044D5B" w:rsidRPr="00392E88" w:rsidRDefault="00044D5B">
            <w:pPr>
              <w:spacing w:before="0" w:after="0"/>
              <w:jc w:val="center"/>
              <w:rPr>
                <w:color w:val="000000"/>
                <w:sz w:val="20"/>
                <w:szCs w:val="20"/>
              </w:rPr>
            </w:pPr>
            <w:r w:rsidRPr="00392E88">
              <w:rPr>
                <w:color w:val="000000"/>
                <w:sz w:val="20"/>
              </w:rPr>
              <w:t>Rok</w:t>
            </w:r>
          </w:p>
        </w:tc>
        <w:tc>
          <w:tcPr>
            <w:tcW w:w="441" w:type="pct"/>
            <w:tcBorders>
              <w:top w:val="single" w:sz="8" w:space="0" w:color="auto"/>
              <w:left w:val="nil"/>
              <w:bottom w:val="nil"/>
              <w:right w:val="single" w:sz="8" w:space="0" w:color="auto"/>
            </w:tcBorders>
            <w:vAlign w:val="center"/>
            <w:hideMark/>
          </w:tcPr>
          <w:p w14:paraId="5E900DAD" w14:textId="77777777" w:rsidR="00044D5B" w:rsidRPr="00392E88" w:rsidRDefault="00044D5B">
            <w:pPr>
              <w:spacing w:before="0" w:after="0"/>
              <w:jc w:val="center"/>
              <w:rPr>
                <w:color w:val="000000"/>
                <w:sz w:val="20"/>
                <w:szCs w:val="20"/>
              </w:rPr>
            </w:pPr>
            <w:r w:rsidRPr="00392E88">
              <w:rPr>
                <w:color w:val="000000"/>
                <w:sz w:val="20"/>
              </w:rPr>
              <w:t>Rok</w:t>
            </w:r>
          </w:p>
        </w:tc>
        <w:tc>
          <w:tcPr>
            <w:tcW w:w="533" w:type="pct"/>
            <w:vMerge w:val="restart"/>
            <w:tcBorders>
              <w:top w:val="single" w:sz="8" w:space="0" w:color="auto"/>
              <w:left w:val="single" w:sz="8" w:space="0" w:color="auto"/>
              <w:bottom w:val="single" w:sz="8" w:space="0" w:color="000000"/>
              <w:right w:val="single" w:sz="8" w:space="0" w:color="auto"/>
            </w:tcBorders>
            <w:vAlign w:val="center"/>
            <w:hideMark/>
          </w:tcPr>
          <w:p w14:paraId="576987C7" w14:textId="77777777" w:rsidR="00044D5B" w:rsidRPr="00392E88" w:rsidRDefault="00044D5B">
            <w:pPr>
              <w:spacing w:before="0" w:after="0"/>
              <w:jc w:val="center"/>
              <w:rPr>
                <w:b/>
                <w:bCs/>
                <w:color w:val="000000"/>
                <w:sz w:val="20"/>
                <w:szCs w:val="20"/>
              </w:rPr>
            </w:pPr>
            <w:r w:rsidRPr="00392E88">
              <w:rPr>
                <w:b/>
                <w:color w:val="000000"/>
                <w:sz w:val="20"/>
              </w:rPr>
              <w:t>OGÓŁEM WRF 2021–2027</w:t>
            </w:r>
          </w:p>
        </w:tc>
      </w:tr>
      <w:tr w:rsidR="00470A36" w:rsidRPr="00392E88" w14:paraId="66818446" w14:textId="77777777">
        <w:trPr>
          <w:trHeight w:val="300"/>
        </w:trPr>
        <w:tc>
          <w:tcPr>
            <w:tcW w:w="2702" w:type="pct"/>
            <w:gridSpan w:val="2"/>
            <w:vMerge/>
            <w:tcBorders>
              <w:top w:val="single" w:sz="8" w:space="0" w:color="auto"/>
              <w:left w:val="single" w:sz="8" w:space="0" w:color="auto"/>
              <w:bottom w:val="single" w:sz="8" w:space="0" w:color="auto"/>
              <w:right w:val="single" w:sz="8" w:space="0" w:color="auto"/>
            </w:tcBorders>
            <w:vAlign w:val="center"/>
            <w:hideMark/>
          </w:tcPr>
          <w:p w14:paraId="14F36A42" w14:textId="77777777" w:rsidR="00044D5B" w:rsidRPr="00392E88" w:rsidRDefault="00044D5B">
            <w:pPr>
              <w:spacing w:before="0" w:after="0"/>
              <w:jc w:val="left"/>
              <w:rPr>
                <w:color w:val="000000"/>
                <w:szCs w:val="24"/>
                <w:lang w:eastAsia="en-IE"/>
              </w:rPr>
            </w:pPr>
          </w:p>
        </w:tc>
        <w:tc>
          <w:tcPr>
            <w:tcW w:w="441" w:type="pct"/>
            <w:tcBorders>
              <w:top w:val="nil"/>
              <w:left w:val="nil"/>
              <w:bottom w:val="single" w:sz="8" w:space="0" w:color="auto"/>
              <w:right w:val="single" w:sz="8" w:space="0" w:color="auto"/>
            </w:tcBorders>
            <w:vAlign w:val="center"/>
            <w:hideMark/>
          </w:tcPr>
          <w:p w14:paraId="59400FEF" w14:textId="77777777" w:rsidR="00044D5B" w:rsidRPr="00392E88" w:rsidRDefault="00044D5B">
            <w:pPr>
              <w:spacing w:before="0" w:after="0"/>
              <w:jc w:val="center"/>
              <w:rPr>
                <w:b/>
                <w:bCs/>
                <w:color w:val="000000"/>
                <w:sz w:val="20"/>
                <w:szCs w:val="20"/>
              </w:rPr>
            </w:pPr>
            <w:r w:rsidRPr="00392E88">
              <w:rPr>
                <w:b/>
                <w:color w:val="000000"/>
                <w:sz w:val="20"/>
              </w:rPr>
              <w:t>2024</w:t>
            </w:r>
          </w:p>
        </w:tc>
        <w:tc>
          <w:tcPr>
            <w:tcW w:w="441" w:type="pct"/>
            <w:tcBorders>
              <w:top w:val="nil"/>
              <w:left w:val="nil"/>
              <w:bottom w:val="single" w:sz="8" w:space="0" w:color="auto"/>
              <w:right w:val="single" w:sz="8" w:space="0" w:color="auto"/>
            </w:tcBorders>
            <w:vAlign w:val="center"/>
            <w:hideMark/>
          </w:tcPr>
          <w:p w14:paraId="09B0393E" w14:textId="77777777" w:rsidR="00044D5B" w:rsidRPr="00392E88" w:rsidRDefault="00044D5B">
            <w:pPr>
              <w:spacing w:before="0" w:after="0"/>
              <w:jc w:val="center"/>
              <w:rPr>
                <w:b/>
                <w:bCs/>
                <w:color w:val="000000"/>
                <w:sz w:val="20"/>
                <w:szCs w:val="20"/>
              </w:rPr>
            </w:pPr>
            <w:r w:rsidRPr="00392E88">
              <w:rPr>
                <w:b/>
                <w:color w:val="000000"/>
                <w:sz w:val="20"/>
              </w:rPr>
              <w:t>2025</w:t>
            </w:r>
          </w:p>
        </w:tc>
        <w:tc>
          <w:tcPr>
            <w:tcW w:w="441" w:type="pct"/>
            <w:tcBorders>
              <w:top w:val="nil"/>
              <w:left w:val="nil"/>
              <w:bottom w:val="single" w:sz="8" w:space="0" w:color="auto"/>
              <w:right w:val="single" w:sz="8" w:space="0" w:color="auto"/>
            </w:tcBorders>
            <w:vAlign w:val="center"/>
            <w:hideMark/>
          </w:tcPr>
          <w:p w14:paraId="4890A4D6" w14:textId="77777777" w:rsidR="00044D5B" w:rsidRPr="00392E88" w:rsidRDefault="00044D5B">
            <w:pPr>
              <w:spacing w:before="0" w:after="0"/>
              <w:jc w:val="center"/>
              <w:rPr>
                <w:b/>
                <w:bCs/>
                <w:color w:val="000000"/>
                <w:sz w:val="20"/>
                <w:szCs w:val="20"/>
              </w:rPr>
            </w:pPr>
            <w:r w:rsidRPr="00392E88">
              <w:rPr>
                <w:b/>
                <w:color w:val="000000"/>
                <w:sz w:val="20"/>
              </w:rPr>
              <w:t>2026</w:t>
            </w:r>
          </w:p>
        </w:tc>
        <w:tc>
          <w:tcPr>
            <w:tcW w:w="441" w:type="pct"/>
            <w:tcBorders>
              <w:top w:val="nil"/>
              <w:left w:val="nil"/>
              <w:bottom w:val="single" w:sz="8" w:space="0" w:color="auto"/>
              <w:right w:val="single" w:sz="8" w:space="0" w:color="auto"/>
            </w:tcBorders>
            <w:vAlign w:val="center"/>
            <w:hideMark/>
          </w:tcPr>
          <w:p w14:paraId="7010911D" w14:textId="77777777" w:rsidR="00044D5B" w:rsidRPr="00392E88" w:rsidRDefault="00044D5B">
            <w:pPr>
              <w:spacing w:before="0" w:after="0"/>
              <w:jc w:val="center"/>
              <w:rPr>
                <w:b/>
                <w:bCs/>
                <w:color w:val="000000"/>
                <w:sz w:val="20"/>
                <w:szCs w:val="20"/>
              </w:rPr>
            </w:pPr>
            <w:r w:rsidRPr="00392E88">
              <w:rPr>
                <w:b/>
                <w:color w:val="000000"/>
                <w:sz w:val="20"/>
              </w:rPr>
              <w:t>2027</w:t>
            </w:r>
          </w:p>
        </w:tc>
        <w:tc>
          <w:tcPr>
            <w:tcW w:w="533" w:type="pct"/>
            <w:vMerge/>
            <w:tcBorders>
              <w:top w:val="single" w:sz="8" w:space="0" w:color="auto"/>
              <w:left w:val="single" w:sz="8" w:space="0" w:color="auto"/>
              <w:bottom w:val="single" w:sz="8" w:space="0" w:color="000000"/>
              <w:right w:val="single" w:sz="8" w:space="0" w:color="auto"/>
            </w:tcBorders>
            <w:vAlign w:val="center"/>
            <w:hideMark/>
          </w:tcPr>
          <w:p w14:paraId="469BEA8A" w14:textId="77777777" w:rsidR="00044D5B" w:rsidRPr="00392E88" w:rsidRDefault="00044D5B">
            <w:pPr>
              <w:spacing w:before="0" w:after="0"/>
              <w:jc w:val="left"/>
              <w:rPr>
                <w:b/>
                <w:bCs/>
                <w:color w:val="000000"/>
                <w:sz w:val="20"/>
                <w:szCs w:val="20"/>
                <w:lang w:eastAsia="en-IE"/>
              </w:rPr>
            </w:pPr>
          </w:p>
        </w:tc>
      </w:tr>
      <w:tr w:rsidR="00E6355E" w:rsidRPr="00392E88" w14:paraId="1835B9AB" w14:textId="77777777">
        <w:trPr>
          <w:trHeight w:val="564"/>
        </w:trPr>
        <w:tc>
          <w:tcPr>
            <w:tcW w:w="1971" w:type="pct"/>
            <w:tcBorders>
              <w:top w:val="single" w:sz="8" w:space="0" w:color="auto"/>
              <w:left w:val="single" w:sz="8" w:space="0" w:color="auto"/>
              <w:bottom w:val="single" w:sz="8" w:space="0" w:color="auto"/>
              <w:right w:val="single" w:sz="8" w:space="0" w:color="000000"/>
            </w:tcBorders>
            <w:shd w:val="clear" w:color="000000" w:fill="C0C0C0"/>
            <w:vAlign w:val="center"/>
            <w:hideMark/>
          </w:tcPr>
          <w:p w14:paraId="11BC70F6" w14:textId="40D2A44A" w:rsidR="00044D5B" w:rsidRPr="00392E88" w:rsidRDefault="00044D5B">
            <w:pPr>
              <w:spacing w:before="0" w:after="0"/>
              <w:jc w:val="center"/>
              <w:rPr>
                <w:b/>
                <w:bCs/>
                <w:color w:val="000000"/>
                <w:sz w:val="22"/>
              </w:rPr>
            </w:pPr>
            <w:r w:rsidRPr="00392E88">
              <w:rPr>
                <w:b/>
                <w:color w:val="000000"/>
                <w:sz w:val="22"/>
              </w:rPr>
              <w:t xml:space="preserve">OGÓŁEM środki na DZIAŁY </w:t>
            </w:r>
            <w:r w:rsidRPr="006E6446">
              <w:rPr>
                <w:b/>
                <w:color w:val="000000"/>
                <w:sz w:val="22"/>
              </w:rPr>
              <w:t>od</w:t>
            </w:r>
            <w:r w:rsidR="006E6446" w:rsidRPr="006E6446">
              <w:rPr>
                <w:b/>
                <w:color w:val="000000"/>
                <w:sz w:val="22"/>
              </w:rPr>
              <w:t> </w:t>
            </w:r>
            <w:r w:rsidRPr="006E6446">
              <w:rPr>
                <w:b/>
                <w:color w:val="000000"/>
                <w:sz w:val="22"/>
              </w:rPr>
              <w:t>1</w:t>
            </w:r>
            <w:r w:rsidRPr="00392E88">
              <w:rPr>
                <w:b/>
                <w:color w:val="000000"/>
                <w:sz w:val="22"/>
              </w:rPr>
              <w:t xml:space="preserve"> </w:t>
            </w:r>
            <w:r w:rsidRPr="006E6446">
              <w:rPr>
                <w:b/>
                <w:color w:val="000000"/>
                <w:sz w:val="22"/>
              </w:rPr>
              <w:t>do</w:t>
            </w:r>
            <w:r w:rsidR="006E6446" w:rsidRPr="006E6446">
              <w:rPr>
                <w:b/>
                <w:color w:val="000000"/>
                <w:sz w:val="22"/>
              </w:rPr>
              <w:t> </w:t>
            </w:r>
            <w:r w:rsidRPr="006E6446">
              <w:rPr>
                <w:b/>
                <w:color w:val="000000"/>
                <w:sz w:val="22"/>
              </w:rPr>
              <w:t>7</w:t>
            </w:r>
          </w:p>
        </w:tc>
        <w:tc>
          <w:tcPr>
            <w:tcW w:w="731" w:type="pct"/>
            <w:tcBorders>
              <w:top w:val="single" w:sz="8" w:space="0" w:color="auto"/>
              <w:left w:val="nil"/>
              <w:bottom w:val="single" w:sz="8" w:space="0" w:color="auto"/>
              <w:right w:val="single" w:sz="8" w:space="0" w:color="auto"/>
            </w:tcBorders>
            <w:vAlign w:val="center"/>
            <w:hideMark/>
          </w:tcPr>
          <w:p w14:paraId="054646B1" w14:textId="77777777" w:rsidR="00044D5B" w:rsidRPr="00392E88" w:rsidRDefault="00044D5B">
            <w:pPr>
              <w:spacing w:before="0" w:after="0"/>
              <w:rPr>
                <w:color w:val="000000"/>
                <w:sz w:val="18"/>
                <w:szCs w:val="18"/>
              </w:rPr>
            </w:pPr>
            <w:r w:rsidRPr="00392E88">
              <w:rPr>
                <w:color w:val="000000"/>
                <w:sz w:val="18"/>
              </w:rPr>
              <w:t>Środki na zobowiązania</w:t>
            </w:r>
          </w:p>
        </w:tc>
        <w:tc>
          <w:tcPr>
            <w:tcW w:w="441" w:type="pct"/>
            <w:tcBorders>
              <w:top w:val="nil"/>
              <w:left w:val="nil"/>
              <w:bottom w:val="single" w:sz="8" w:space="0" w:color="auto"/>
              <w:right w:val="single" w:sz="8" w:space="0" w:color="auto"/>
            </w:tcBorders>
            <w:shd w:val="clear" w:color="000000" w:fill="D9D9D9"/>
            <w:vAlign w:val="center"/>
            <w:hideMark/>
          </w:tcPr>
          <w:p w14:paraId="7412A60D" w14:textId="77777777" w:rsidR="00044D5B" w:rsidRPr="00392E88" w:rsidRDefault="00044D5B">
            <w:pPr>
              <w:spacing w:before="0" w:after="0"/>
              <w:jc w:val="right"/>
              <w:rPr>
                <w:b/>
                <w:bCs/>
                <w:color w:val="000000"/>
                <w:szCs w:val="24"/>
              </w:rPr>
            </w:pPr>
            <w:r w:rsidRPr="00392E88">
              <w:rPr>
                <w:b/>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14:paraId="0A7931F1" w14:textId="77777777" w:rsidR="00044D5B" w:rsidRPr="00392E88" w:rsidRDefault="00044D5B">
            <w:pPr>
              <w:spacing w:before="0" w:after="0"/>
              <w:jc w:val="right"/>
              <w:rPr>
                <w:b/>
                <w:bCs/>
                <w:color w:val="000000"/>
                <w:szCs w:val="24"/>
              </w:rPr>
            </w:pPr>
            <w:r w:rsidRPr="00392E88">
              <w:rPr>
                <w:b/>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14:paraId="667DAFB5" w14:textId="77777777" w:rsidR="00044D5B" w:rsidRPr="00392E88" w:rsidRDefault="00044D5B">
            <w:pPr>
              <w:spacing w:before="0" w:after="0"/>
              <w:jc w:val="right"/>
              <w:rPr>
                <w:b/>
                <w:bCs/>
                <w:color w:val="000000"/>
                <w:szCs w:val="24"/>
              </w:rPr>
            </w:pPr>
            <w:r w:rsidRPr="00392E88">
              <w:rPr>
                <w:b/>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14:paraId="7ECAA5B1" w14:textId="77777777" w:rsidR="00044D5B" w:rsidRPr="00392E88" w:rsidRDefault="00044D5B">
            <w:pPr>
              <w:spacing w:before="0" w:after="0"/>
              <w:jc w:val="right"/>
              <w:rPr>
                <w:b/>
                <w:bCs/>
                <w:color w:val="000000"/>
                <w:szCs w:val="24"/>
              </w:rPr>
            </w:pPr>
            <w:r w:rsidRPr="00392E88">
              <w:rPr>
                <w:b/>
                <w:color w:val="000000"/>
              </w:rPr>
              <w:t>0,000</w:t>
            </w:r>
          </w:p>
        </w:tc>
        <w:tc>
          <w:tcPr>
            <w:tcW w:w="533" w:type="pct"/>
            <w:tcBorders>
              <w:top w:val="nil"/>
              <w:left w:val="nil"/>
              <w:bottom w:val="single" w:sz="8" w:space="0" w:color="auto"/>
              <w:right w:val="single" w:sz="8" w:space="0" w:color="auto"/>
            </w:tcBorders>
            <w:shd w:val="clear" w:color="000000" w:fill="D9D9D9"/>
            <w:vAlign w:val="center"/>
            <w:hideMark/>
          </w:tcPr>
          <w:p w14:paraId="3F436991" w14:textId="77777777" w:rsidR="00044D5B" w:rsidRPr="00392E88" w:rsidRDefault="00044D5B">
            <w:pPr>
              <w:spacing w:before="0" w:after="0"/>
              <w:jc w:val="right"/>
              <w:rPr>
                <w:b/>
                <w:bCs/>
                <w:color w:val="000000"/>
                <w:szCs w:val="24"/>
              </w:rPr>
            </w:pPr>
            <w:r w:rsidRPr="00392E88">
              <w:rPr>
                <w:b/>
                <w:color w:val="000000"/>
              </w:rPr>
              <w:t>0,000</w:t>
            </w:r>
          </w:p>
        </w:tc>
      </w:tr>
      <w:tr w:rsidR="00E6355E" w:rsidRPr="00392E88" w14:paraId="27F99C0A" w14:textId="77777777">
        <w:trPr>
          <w:trHeight w:val="540"/>
        </w:trPr>
        <w:tc>
          <w:tcPr>
            <w:tcW w:w="1971" w:type="pct"/>
            <w:tcBorders>
              <w:top w:val="single" w:sz="8" w:space="0" w:color="auto"/>
              <w:left w:val="single" w:sz="8" w:space="0" w:color="auto"/>
              <w:bottom w:val="single" w:sz="8" w:space="0" w:color="auto"/>
              <w:right w:val="single" w:sz="8" w:space="0" w:color="000000"/>
            </w:tcBorders>
            <w:shd w:val="clear" w:color="000000" w:fill="C0C0C0"/>
            <w:vAlign w:val="center"/>
            <w:hideMark/>
          </w:tcPr>
          <w:p w14:paraId="60208E5D" w14:textId="77777777" w:rsidR="00044D5B" w:rsidRPr="00392E88" w:rsidRDefault="00044D5B">
            <w:pPr>
              <w:spacing w:before="0" w:after="0"/>
              <w:jc w:val="center"/>
              <w:rPr>
                <w:color w:val="000000"/>
                <w:sz w:val="22"/>
              </w:rPr>
            </w:pPr>
            <w:r w:rsidRPr="00392E88">
              <w:rPr>
                <w:color w:val="000000"/>
                <w:sz w:val="22"/>
              </w:rPr>
              <w:t>wieloletnich ram finansowych</w:t>
            </w:r>
            <w:r w:rsidRPr="00392E88">
              <w:rPr>
                <w:b/>
                <w:color w:val="000000"/>
                <w:sz w:val="22"/>
              </w:rPr>
              <w:t xml:space="preserve"> </w:t>
            </w:r>
          </w:p>
        </w:tc>
        <w:tc>
          <w:tcPr>
            <w:tcW w:w="731" w:type="pct"/>
            <w:tcBorders>
              <w:top w:val="single" w:sz="8" w:space="0" w:color="auto"/>
              <w:left w:val="nil"/>
              <w:bottom w:val="single" w:sz="8" w:space="0" w:color="auto"/>
              <w:right w:val="single" w:sz="8" w:space="0" w:color="auto"/>
            </w:tcBorders>
            <w:vAlign w:val="center"/>
            <w:hideMark/>
          </w:tcPr>
          <w:p w14:paraId="5C027D4B" w14:textId="77777777" w:rsidR="00044D5B" w:rsidRPr="00392E88" w:rsidRDefault="00044D5B">
            <w:pPr>
              <w:spacing w:before="0" w:after="0"/>
              <w:rPr>
                <w:color w:val="000000"/>
                <w:sz w:val="18"/>
                <w:szCs w:val="18"/>
              </w:rPr>
            </w:pPr>
            <w:r w:rsidRPr="00392E88">
              <w:rPr>
                <w:color w:val="000000"/>
                <w:sz w:val="18"/>
              </w:rPr>
              <w:t>Środki na płatności</w:t>
            </w:r>
          </w:p>
        </w:tc>
        <w:tc>
          <w:tcPr>
            <w:tcW w:w="441" w:type="pct"/>
            <w:tcBorders>
              <w:top w:val="nil"/>
              <w:left w:val="nil"/>
              <w:bottom w:val="single" w:sz="8" w:space="0" w:color="auto"/>
              <w:right w:val="single" w:sz="8" w:space="0" w:color="auto"/>
            </w:tcBorders>
            <w:shd w:val="clear" w:color="000000" w:fill="D9D9D9"/>
            <w:vAlign w:val="center"/>
            <w:hideMark/>
          </w:tcPr>
          <w:p w14:paraId="668D9B95" w14:textId="77777777" w:rsidR="00044D5B" w:rsidRPr="00392E88" w:rsidRDefault="00044D5B">
            <w:pPr>
              <w:spacing w:before="0" w:after="0"/>
              <w:jc w:val="right"/>
              <w:rPr>
                <w:b/>
                <w:bCs/>
                <w:color w:val="000000"/>
                <w:szCs w:val="24"/>
              </w:rPr>
            </w:pPr>
            <w:r w:rsidRPr="00392E88">
              <w:rPr>
                <w:b/>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14:paraId="61968E33" w14:textId="77777777" w:rsidR="00044D5B" w:rsidRPr="00392E88" w:rsidRDefault="00044D5B">
            <w:pPr>
              <w:spacing w:before="0" w:after="0"/>
              <w:jc w:val="right"/>
              <w:rPr>
                <w:b/>
                <w:bCs/>
                <w:color w:val="000000"/>
                <w:szCs w:val="24"/>
              </w:rPr>
            </w:pPr>
            <w:r w:rsidRPr="00392E88">
              <w:rPr>
                <w:b/>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14:paraId="67DA2A05" w14:textId="77777777" w:rsidR="00044D5B" w:rsidRPr="00392E88" w:rsidRDefault="00044D5B">
            <w:pPr>
              <w:spacing w:before="0" w:after="0"/>
              <w:jc w:val="right"/>
              <w:rPr>
                <w:b/>
                <w:bCs/>
                <w:color w:val="000000"/>
                <w:szCs w:val="24"/>
              </w:rPr>
            </w:pPr>
            <w:r w:rsidRPr="00392E88">
              <w:rPr>
                <w:b/>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14:paraId="378AE672" w14:textId="77777777" w:rsidR="00044D5B" w:rsidRPr="00392E88" w:rsidRDefault="00044D5B">
            <w:pPr>
              <w:spacing w:before="0" w:after="0"/>
              <w:jc w:val="right"/>
              <w:rPr>
                <w:b/>
                <w:bCs/>
                <w:color w:val="000000"/>
                <w:szCs w:val="24"/>
              </w:rPr>
            </w:pPr>
            <w:r w:rsidRPr="00392E88">
              <w:rPr>
                <w:b/>
                <w:color w:val="000000"/>
              </w:rPr>
              <w:t>0,000</w:t>
            </w:r>
          </w:p>
        </w:tc>
        <w:tc>
          <w:tcPr>
            <w:tcW w:w="533" w:type="pct"/>
            <w:tcBorders>
              <w:top w:val="nil"/>
              <w:left w:val="nil"/>
              <w:bottom w:val="single" w:sz="8" w:space="0" w:color="auto"/>
              <w:right w:val="single" w:sz="8" w:space="0" w:color="auto"/>
            </w:tcBorders>
            <w:shd w:val="clear" w:color="000000" w:fill="D9D9D9"/>
            <w:vAlign w:val="center"/>
            <w:hideMark/>
          </w:tcPr>
          <w:p w14:paraId="66B77B14" w14:textId="77777777" w:rsidR="00044D5B" w:rsidRPr="00392E88" w:rsidRDefault="00044D5B">
            <w:pPr>
              <w:spacing w:before="0" w:after="0"/>
              <w:jc w:val="right"/>
              <w:rPr>
                <w:b/>
                <w:bCs/>
                <w:color w:val="000000"/>
                <w:szCs w:val="24"/>
              </w:rPr>
            </w:pPr>
            <w:r w:rsidRPr="00392E88">
              <w:rPr>
                <w:b/>
                <w:color w:val="000000"/>
              </w:rPr>
              <w:t>0,000</w:t>
            </w:r>
          </w:p>
        </w:tc>
      </w:tr>
    </w:tbl>
    <w:p w14:paraId="2DE3E315" w14:textId="29123B1D" w:rsidR="00044D5B" w:rsidRPr="00392E88" w:rsidRDefault="00044D5B" w:rsidP="00044D5B">
      <w:pPr>
        <w:pStyle w:val="ManualHeading3"/>
      </w:pPr>
      <w:r w:rsidRPr="00392E88">
        <w:t>3.2.1.2.</w:t>
      </w:r>
      <w:r w:rsidRPr="00392E88">
        <w:tab/>
        <w:t>Środki</w:t>
      </w:r>
      <w:r w:rsidR="006E6446" w:rsidRPr="00392E88">
        <w:t xml:space="preserve"> z</w:t>
      </w:r>
      <w:r w:rsidR="006E6446">
        <w:t> </w:t>
      </w:r>
      <w:r w:rsidR="006E6446" w:rsidRPr="00392E88">
        <w:t>zew</w:t>
      </w:r>
      <w:r w:rsidRPr="00392E88">
        <w:t>nętrznych dochodów przeznaczonych na określony cel</w:t>
      </w:r>
    </w:p>
    <w:p w14:paraId="1A8B5FFE" w14:textId="77777777" w:rsidR="00044D5B" w:rsidRPr="00392E88" w:rsidRDefault="00044D5B" w:rsidP="00044D5B">
      <w:pPr>
        <w:jc w:val="right"/>
        <w:rPr>
          <w:noProof/>
          <w:sz w:val="18"/>
          <w:szCs w:val="18"/>
        </w:rPr>
      </w:pPr>
      <w:r w:rsidRPr="00392E88">
        <w:rPr>
          <w:sz w:val="18"/>
        </w:rPr>
        <w:t>w mln EUR (do trzech miejsc po przecinku)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874"/>
        <w:gridCol w:w="1110"/>
        <w:gridCol w:w="8030"/>
      </w:tblGrid>
      <w:tr w:rsidR="00470A36" w:rsidRPr="00392E88" w14:paraId="6F60CBD6" w14:textId="77777777">
        <w:trPr>
          <w:jc w:val="center"/>
        </w:trPr>
        <w:tc>
          <w:tcPr>
            <w:tcW w:w="1739" w:type="pct"/>
            <w:shd w:val="thinDiagStripe" w:color="C0C0C0" w:fill="auto"/>
            <w:vAlign w:val="center"/>
          </w:tcPr>
          <w:p w14:paraId="6FEE5210" w14:textId="77777777" w:rsidR="00044D5B" w:rsidRPr="00392E88" w:rsidRDefault="00044D5B">
            <w:pPr>
              <w:spacing w:before="60" w:after="60"/>
              <w:jc w:val="center"/>
              <w:rPr>
                <w:b/>
                <w:noProof/>
              </w:rPr>
            </w:pPr>
            <w:r w:rsidRPr="00392E88">
              <w:rPr>
                <w:b/>
                <w:sz w:val="22"/>
              </w:rPr>
              <w:t xml:space="preserve">Dział wieloletnich ram finansowych </w:t>
            </w:r>
          </w:p>
        </w:tc>
        <w:tc>
          <w:tcPr>
            <w:tcW w:w="396" w:type="pct"/>
            <w:vAlign w:val="center"/>
          </w:tcPr>
          <w:p w14:paraId="24CF11E5" w14:textId="77777777" w:rsidR="00044D5B" w:rsidRPr="00392E88" w:rsidRDefault="00044D5B">
            <w:pPr>
              <w:spacing w:before="60" w:after="60"/>
              <w:jc w:val="center"/>
              <w:rPr>
                <w:noProof/>
              </w:rPr>
            </w:pPr>
            <w:r w:rsidRPr="00392E88">
              <w:rPr>
                <w:sz w:val="22"/>
              </w:rPr>
              <w:t>Numer</w:t>
            </w:r>
          </w:p>
        </w:tc>
        <w:tc>
          <w:tcPr>
            <w:tcW w:w="2865" w:type="pct"/>
            <w:vAlign w:val="center"/>
          </w:tcPr>
          <w:p w14:paraId="36EE4F31" w14:textId="77777777" w:rsidR="00044D5B" w:rsidRPr="00392E88" w:rsidRDefault="00044D5B">
            <w:pPr>
              <w:spacing w:before="60" w:after="60"/>
              <w:rPr>
                <w:noProof/>
              </w:rPr>
            </w:pPr>
          </w:p>
        </w:tc>
      </w:tr>
    </w:tbl>
    <w:p w14:paraId="6F78C40E" w14:textId="77777777" w:rsidR="00044D5B" w:rsidRPr="00392E88" w:rsidRDefault="00044D5B" w:rsidP="00044D5B">
      <w:pPr>
        <w:rPr>
          <w:noProof/>
          <w:sz w:val="16"/>
        </w:rPr>
      </w:pPr>
    </w:p>
    <w:tbl>
      <w:tblPr>
        <w:tblW w:w="5000" w:type="pct"/>
        <w:tblInd w:w="-118" w:type="dxa"/>
        <w:tblCellMar>
          <w:left w:w="0" w:type="dxa"/>
          <w:right w:w="0" w:type="dxa"/>
        </w:tblCellMar>
        <w:tblLook w:val="04A0" w:firstRow="1" w:lastRow="0" w:firstColumn="1" w:lastColumn="0" w:noHBand="0" w:noVBand="1"/>
      </w:tblPr>
      <w:tblGrid>
        <w:gridCol w:w="4809"/>
        <w:gridCol w:w="492"/>
        <w:gridCol w:w="481"/>
        <w:gridCol w:w="865"/>
        <w:gridCol w:w="1311"/>
        <w:gridCol w:w="72"/>
        <w:gridCol w:w="1173"/>
        <w:gridCol w:w="62"/>
        <w:gridCol w:w="1184"/>
        <w:gridCol w:w="67"/>
        <w:gridCol w:w="1180"/>
        <w:gridCol w:w="71"/>
        <w:gridCol w:w="1313"/>
        <w:gridCol w:w="472"/>
        <w:gridCol w:w="472"/>
      </w:tblGrid>
      <w:tr w:rsidR="00470A36" w:rsidRPr="00392E88" w14:paraId="5746EA8C" w14:textId="77777777">
        <w:trPr>
          <w:trHeight w:val="420"/>
        </w:trPr>
        <w:tc>
          <w:tcPr>
            <w:tcW w:w="2444" w:type="pct"/>
            <w:gridSpan w:val="4"/>
            <w:tcBorders>
              <w:top w:val="single" w:sz="8" w:space="0" w:color="auto"/>
              <w:left w:val="single" w:sz="8" w:space="0" w:color="auto"/>
              <w:bottom w:val="single" w:sz="8" w:space="0" w:color="auto"/>
              <w:right w:val="single" w:sz="8" w:space="0" w:color="auto"/>
            </w:tcBorders>
            <w:vAlign w:val="center"/>
            <w:hideMark/>
          </w:tcPr>
          <w:p w14:paraId="07063BE9" w14:textId="77777777" w:rsidR="00044D5B" w:rsidRPr="00392E88" w:rsidRDefault="00044D5B">
            <w:pPr>
              <w:spacing w:before="0" w:after="0"/>
              <w:jc w:val="center"/>
              <w:rPr>
                <w:color w:val="000000"/>
                <w:sz w:val="22"/>
              </w:rPr>
            </w:pPr>
            <w:r w:rsidRPr="00392E88">
              <w:rPr>
                <w:color w:val="000000"/>
                <w:sz w:val="22"/>
              </w:rPr>
              <w:t>Dyrekcja Generalna: &lt;…….&gt;</w:t>
            </w:r>
          </w:p>
        </w:tc>
        <w:tc>
          <w:tcPr>
            <w:tcW w:w="496" w:type="pct"/>
            <w:gridSpan w:val="2"/>
            <w:tcBorders>
              <w:top w:val="single" w:sz="8" w:space="0" w:color="auto"/>
              <w:left w:val="nil"/>
              <w:bottom w:val="single" w:sz="8" w:space="0" w:color="auto"/>
              <w:right w:val="single" w:sz="8" w:space="0" w:color="auto"/>
            </w:tcBorders>
            <w:vAlign w:val="center"/>
            <w:hideMark/>
          </w:tcPr>
          <w:p w14:paraId="1534FFA3" w14:textId="77777777" w:rsidR="00044D5B" w:rsidRPr="00392E88" w:rsidRDefault="00044D5B">
            <w:pPr>
              <w:spacing w:before="0" w:after="0"/>
              <w:jc w:val="center"/>
              <w:rPr>
                <w:color w:val="000000"/>
                <w:sz w:val="20"/>
                <w:szCs w:val="20"/>
              </w:rPr>
            </w:pPr>
            <w:r w:rsidRPr="00392E88">
              <w:rPr>
                <w:color w:val="000000"/>
                <w:sz w:val="20"/>
              </w:rPr>
              <w:t>Rok</w:t>
            </w:r>
          </w:p>
        </w:tc>
        <w:tc>
          <w:tcPr>
            <w:tcW w:w="496" w:type="pct"/>
            <w:gridSpan w:val="2"/>
            <w:tcBorders>
              <w:top w:val="single" w:sz="8" w:space="0" w:color="auto"/>
              <w:left w:val="nil"/>
              <w:bottom w:val="single" w:sz="8" w:space="0" w:color="auto"/>
              <w:right w:val="single" w:sz="8" w:space="0" w:color="auto"/>
            </w:tcBorders>
            <w:vAlign w:val="center"/>
            <w:hideMark/>
          </w:tcPr>
          <w:p w14:paraId="2D3FC737" w14:textId="77777777" w:rsidR="00044D5B" w:rsidRPr="00392E88" w:rsidRDefault="00044D5B">
            <w:pPr>
              <w:spacing w:before="0" w:after="0"/>
              <w:jc w:val="center"/>
              <w:rPr>
                <w:color w:val="000000"/>
                <w:sz w:val="20"/>
                <w:szCs w:val="20"/>
              </w:rPr>
            </w:pPr>
            <w:r w:rsidRPr="00392E88">
              <w:rPr>
                <w:color w:val="000000"/>
                <w:sz w:val="20"/>
              </w:rPr>
              <w:t>Rok</w:t>
            </w:r>
          </w:p>
        </w:tc>
        <w:tc>
          <w:tcPr>
            <w:tcW w:w="496" w:type="pct"/>
            <w:gridSpan w:val="2"/>
            <w:tcBorders>
              <w:top w:val="single" w:sz="8" w:space="0" w:color="auto"/>
              <w:left w:val="nil"/>
              <w:bottom w:val="single" w:sz="8" w:space="0" w:color="auto"/>
              <w:right w:val="single" w:sz="8" w:space="0" w:color="auto"/>
            </w:tcBorders>
            <w:vAlign w:val="center"/>
            <w:hideMark/>
          </w:tcPr>
          <w:p w14:paraId="02CA48E6" w14:textId="77777777" w:rsidR="00044D5B" w:rsidRPr="00392E88" w:rsidRDefault="00044D5B">
            <w:pPr>
              <w:spacing w:before="0" w:after="0"/>
              <w:jc w:val="center"/>
              <w:rPr>
                <w:color w:val="000000"/>
                <w:sz w:val="20"/>
                <w:szCs w:val="20"/>
              </w:rPr>
            </w:pPr>
            <w:r w:rsidRPr="00392E88">
              <w:rPr>
                <w:color w:val="000000"/>
                <w:sz w:val="20"/>
              </w:rPr>
              <w:t>Rok</w:t>
            </w:r>
          </w:p>
        </w:tc>
        <w:tc>
          <w:tcPr>
            <w:tcW w:w="478" w:type="pct"/>
            <w:gridSpan w:val="2"/>
            <w:tcBorders>
              <w:top w:val="single" w:sz="8" w:space="0" w:color="auto"/>
              <w:left w:val="nil"/>
              <w:bottom w:val="single" w:sz="8" w:space="0" w:color="auto"/>
              <w:right w:val="single" w:sz="8" w:space="0" w:color="auto"/>
            </w:tcBorders>
            <w:vAlign w:val="center"/>
            <w:hideMark/>
          </w:tcPr>
          <w:p w14:paraId="255B50B6" w14:textId="77777777" w:rsidR="00044D5B" w:rsidRPr="00392E88" w:rsidRDefault="00044D5B">
            <w:pPr>
              <w:spacing w:before="0" w:after="0"/>
              <w:jc w:val="center"/>
              <w:rPr>
                <w:color w:val="000000"/>
                <w:sz w:val="20"/>
                <w:szCs w:val="20"/>
              </w:rPr>
            </w:pPr>
            <w:r w:rsidRPr="00392E88">
              <w:rPr>
                <w:color w:val="000000"/>
                <w:sz w:val="20"/>
              </w:rPr>
              <w:t>Rok</w:t>
            </w:r>
          </w:p>
        </w:tc>
        <w:tc>
          <w:tcPr>
            <w:tcW w:w="590" w:type="pct"/>
            <w:gridSpan w:val="3"/>
            <w:tcBorders>
              <w:top w:val="single" w:sz="8" w:space="0" w:color="auto"/>
              <w:left w:val="single" w:sz="8" w:space="0" w:color="auto"/>
              <w:bottom w:val="single" w:sz="8" w:space="0" w:color="auto"/>
              <w:right w:val="single" w:sz="8" w:space="0" w:color="auto"/>
            </w:tcBorders>
            <w:vAlign w:val="center"/>
            <w:hideMark/>
          </w:tcPr>
          <w:p w14:paraId="3B340F97" w14:textId="77777777" w:rsidR="00044D5B" w:rsidRPr="00392E88" w:rsidRDefault="00044D5B">
            <w:pPr>
              <w:spacing w:before="0" w:after="0"/>
              <w:jc w:val="center"/>
              <w:rPr>
                <w:b/>
                <w:bCs/>
                <w:color w:val="000000"/>
                <w:sz w:val="20"/>
                <w:szCs w:val="20"/>
              </w:rPr>
            </w:pPr>
            <w:r w:rsidRPr="00392E88">
              <w:rPr>
                <w:b/>
                <w:color w:val="000000"/>
                <w:sz w:val="20"/>
              </w:rPr>
              <w:t>OGÓŁEM WRF 2021–2027</w:t>
            </w:r>
          </w:p>
        </w:tc>
      </w:tr>
      <w:tr w:rsidR="00470A36" w:rsidRPr="00392E88" w14:paraId="7721DCA4" w14:textId="77777777">
        <w:trPr>
          <w:trHeight w:val="288"/>
        </w:trPr>
        <w:tc>
          <w:tcPr>
            <w:tcW w:w="2444" w:type="pct"/>
            <w:gridSpan w:val="4"/>
            <w:tcBorders>
              <w:top w:val="single" w:sz="8" w:space="0" w:color="auto"/>
              <w:left w:val="single" w:sz="8" w:space="0" w:color="auto"/>
              <w:bottom w:val="single" w:sz="8" w:space="0" w:color="auto"/>
              <w:right w:val="single" w:sz="8" w:space="0" w:color="auto"/>
            </w:tcBorders>
            <w:vAlign w:val="center"/>
            <w:hideMark/>
          </w:tcPr>
          <w:p w14:paraId="56A0DCC4" w14:textId="77777777" w:rsidR="00044D5B" w:rsidRPr="00392E88" w:rsidRDefault="00044D5B">
            <w:pPr>
              <w:spacing w:before="0" w:after="0"/>
              <w:jc w:val="left"/>
              <w:rPr>
                <w:color w:val="000000"/>
                <w:sz w:val="22"/>
                <w:lang w:eastAsia="en-IE"/>
              </w:rPr>
            </w:pPr>
          </w:p>
        </w:tc>
        <w:tc>
          <w:tcPr>
            <w:tcW w:w="496" w:type="pct"/>
            <w:gridSpan w:val="2"/>
            <w:tcBorders>
              <w:top w:val="nil"/>
              <w:left w:val="nil"/>
              <w:bottom w:val="single" w:sz="8" w:space="0" w:color="auto"/>
              <w:right w:val="single" w:sz="8" w:space="0" w:color="auto"/>
            </w:tcBorders>
            <w:vAlign w:val="center"/>
            <w:hideMark/>
          </w:tcPr>
          <w:p w14:paraId="74423839" w14:textId="77777777" w:rsidR="00044D5B" w:rsidRPr="00392E88" w:rsidRDefault="00044D5B">
            <w:pPr>
              <w:spacing w:before="0" w:after="0"/>
              <w:jc w:val="center"/>
              <w:rPr>
                <w:b/>
                <w:bCs/>
                <w:color w:val="000000"/>
                <w:sz w:val="20"/>
                <w:szCs w:val="20"/>
              </w:rPr>
            </w:pPr>
            <w:r w:rsidRPr="00392E88">
              <w:rPr>
                <w:b/>
                <w:color w:val="000000"/>
                <w:sz w:val="20"/>
              </w:rPr>
              <w:t>2024</w:t>
            </w:r>
          </w:p>
        </w:tc>
        <w:tc>
          <w:tcPr>
            <w:tcW w:w="496" w:type="pct"/>
            <w:gridSpan w:val="2"/>
            <w:tcBorders>
              <w:top w:val="nil"/>
              <w:left w:val="nil"/>
              <w:bottom w:val="single" w:sz="8" w:space="0" w:color="auto"/>
              <w:right w:val="single" w:sz="8" w:space="0" w:color="auto"/>
            </w:tcBorders>
            <w:vAlign w:val="center"/>
            <w:hideMark/>
          </w:tcPr>
          <w:p w14:paraId="2B73C790" w14:textId="77777777" w:rsidR="00044D5B" w:rsidRPr="00392E88" w:rsidRDefault="00044D5B">
            <w:pPr>
              <w:spacing w:before="0" w:after="0"/>
              <w:jc w:val="center"/>
              <w:rPr>
                <w:b/>
                <w:bCs/>
                <w:color w:val="000000"/>
                <w:sz w:val="20"/>
                <w:szCs w:val="20"/>
              </w:rPr>
            </w:pPr>
            <w:r w:rsidRPr="00392E88">
              <w:rPr>
                <w:b/>
                <w:color w:val="000000"/>
                <w:sz w:val="20"/>
              </w:rPr>
              <w:t>2025</w:t>
            </w:r>
          </w:p>
        </w:tc>
        <w:tc>
          <w:tcPr>
            <w:tcW w:w="496" w:type="pct"/>
            <w:gridSpan w:val="2"/>
            <w:tcBorders>
              <w:top w:val="nil"/>
              <w:left w:val="nil"/>
              <w:bottom w:val="single" w:sz="8" w:space="0" w:color="auto"/>
              <w:right w:val="single" w:sz="8" w:space="0" w:color="auto"/>
            </w:tcBorders>
            <w:vAlign w:val="center"/>
            <w:hideMark/>
          </w:tcPr>
          <w:p w14:paraId="13BBA5AC" w14:textId="77777777" w:rsidR="00044D5B" w:rsidRPr="00392E88" w:rsidRDefault="00044D5B">
            <w:pPr>
              <w:spacing w:before="0" w:after="0"/>
              <w:jc w:val="center"/>
              <w:rPr>
                <w:b/>
                <w:bCs/>
                <w:color w:val="000000"/>
                <w:sz w:val="20"/>
                <w:szCs w:val="20"/>
              </w:rPr>
            </w:pPr>
            <w:r w:rsidRPr="00392E88">
              <w:rPr>
                <w:b/>
                <w:color w:val="000000"/>
                <w:sz w:val="20"/>
              </w:rPr>
              <w:t>2026</w:t>
            </w:r>
          </w:p>
        </w:tc>
        <w:tc>
          <w:tcPr>
            <w:tcW w:w="478" w:type="pct"/>
            <w:gridSpan w:val="2"/>
            <w:tcBorders>
              <w:top w:val="nil"/>
              <w:left w:val="nil"/>
              <w:bottom w:val="single" w:sz="8" w:space="0" w:color="auto"/>
              <w:right w:val="single" w:sz="8" w:space="0" w:color="auto"/>
            </w:tcBorders>
            <w:vAlign w:val="center"/>
            <w:hideMark/>
          </w:tcPr>
          <w:p w14:paraId="20CF8077" w14:textId="77777777" w:rsidR="00044D5B" w:rsidRPr="00392E88" w:rsidRDefault="00044D5B">
            <w:pPr>
              <w:spacing w:before="0" w:after="0"/>
              <w:jc w:val="center"/>
              <w:rPr>
                <w:b/>
                <w:bCs/>
                <w:color w:val="000000"/>
                <w:sz w:val="20"/>
                <w:szCs w:val="20"/>
              </w:rPr>
            </w:pPr>
            <w:r w:rsidRPr="00392E88">
              <w:rPr>
                <w:b/>
                <w:color w:val="000000"/>
                <w:sz w:val="20"/>
              </w:rPr>
              <w:t>2027</w:t>
            </w:r>
          </w:p>
        </w:tc>
        <w:tc>
          <w:tcPr>
            <w:tcW w:w="590" w:type="pct"/>
            <w:gridSpan w:val="3"/>
            <w:tcBorders>
              <w:top w:val="single" w:sz="8" w:space="0" w:color="auto"/>
              <w:left w:val="single" w:sz="8" w:space="0" w:color="auto"/>
              <w:bottom w:val="single" w:sz="8" w:space="0" w:color="auto"/>
              <w:right w:val="single" w:sz="8" w:space="0" w:color="auto"/>
            </w:tcBorders>
            <w:vAlign w:val="center"/>
            <w:hideMark/>
          </w:tcPr>
          <w:p w14:paraId="53802BEC" w14:textId="77777777" w:rsidR="00044D5B" w:rsidRPr="00392E88" w:rsidRDefault="00044D5B">
            <w:pPr>
              <w:spacing w:before="0" w:after="0"/>
              <w:jc w:val="left"/>
              <w:rPr>
                <w:b/>
                <w:bCs/>
                <w:color w:val="000000"/>
                <w:sz w:val="20"/>
                <w:szCs w:val="20"/>
                <w:lang w:eastAsia="en-IE"/>
              </w:rPr>
            </w:pPr>
          </w:p>
        </w:tc>
      </w:tr>
      <w:tr w:rsidR="0014428F" w:rsidRPr="00392E88" w14:paraId="35C50E83" w14:textId="77777777">
        <w:trPr>
          <w:trHeight w:val="300"/>
        </w:trPr>
        <w:tc>
          <w:tcPr>
            <w:tcW w:w="5000" w:type="pct"/>
            <w:gridSpan w:val="15"/>
            <w:tcBorders>
              <w:top w:val="single" w:sz="8" w:space="0" w:color="auto"/>
              <w:left w:val="single" w:sz="8" w:space="0" w:color="auto"/>
              <w:bottom w:val="single" w:sz="8" w:space="0" w:color="auto"/>
              <w:right w:val="single" w:sz="8" w:space="0" w:color="auto"/>
            </w:tcBorders>
            <w:vAlign w:val="center"/>
            <w:hideMark/>
          </w:tcPr>
          <w:p w14:paraId="691A6C99" w14:textId="77777777" w:rsidR="00044D5B" w:rsidRPr="00392E88" w:rsidRDefault="00044D5B">
            <w:pPr>
              <w:spacing w:before="0" w:after="0"/>
              <w:jc w:val="left"/>
              <w:rPr>
                <w:color w:val="000000"/>
                <w:sz w:val="21"/>
                <w:szCs w:val="21"/>
              </w:rPr>
            </w:pPr>
            <w:r w:rsidRPr="00392E88">
              <w:rPr>
                <w:color w:val="000000"/>
                <w:sz w:val="21"/>
              </w:rPr>
              <w:t xml:space="preserve">Środki operacyjne </w:t>
            </w:r>
          </w:p>
        </w:tc>
      </w:tr>
      <w:tr w:rsidR="00E62D64" w:rsidRPr="00392E88" w14:paraId="5558A09B" w14:textId="77777777">
        <w:trPr>
          <w:trHeight w:val="288"/>
        </w:trPr>
        <w:tc>
          <w:tcPr>
            <w:tcW w:w="1419" w:type="pct"/>
            <w:gridSpan w:val="4"/>
            <w:vMerge w:val="restart"/>
            <w:tcBorders>
              <w:top w:val="nil"/>
              <w:left w:val="single" w:sz="8" w:space="0" w:color="auto"/>
              <w:bottom w:val="single" w:sz="8" w:space="0" w:color="auto"/>
              <w:right w:val="single" w:sz="8" w:space="0" w:color="auto"/>
            </w:tcBorders>
            <w:noWrap/>
            <w:vAlign w:val="center"/>
            <w:hideMark/>
          </w:tcPr>
          <w:p w14:paraId="63CA84C4" w14:textId="77777777" w:rsidR="00044D5B" w:rsidRPr="00392E88" w:rsidRDefault="00044D5B">
            <w:pPr>
              <w:spacing w:before="0" w:after="0"/>
              <w:jc w:val="left"/>
              <w:rPr>
                <w:color w:val="000000"/>
                <w:sz w:val="22"/>
              </w:rPr>
            </w:pPr>
            <w:r w:rsidRPr="00392E88">
              <w:rPr>
                <w:color w:val="000000"/>
                <w:sz w:val="22"/>
              </w:rPr>
              <w:t>Linia budżetowa</w:t>
            </w:r>
          </w:p>
        </w:tc>
        <w:tc>
          <w:tcPr>
            <w:tcW w:w="529" w:type="pct"/>
            <w:gridSpan w:val="2"/>
            <w:tcBorders>
              <w:top w:val="nil"/>
              <w:left w:val="nil"/>
              <w:bottom w:val="single" w:sz="8" w:space="0" w:color="auto"/>
              <w:right w:val="single" w:sz="8" w:space="0" w:color="auto"/>
            </w:tcBorders>
            <w:vAlign w:val="center"/>
            <w:hideMark/>
          </w:tcPr>
          <w:p w14:paraId="6B54307D" w14:textId="77777777" w:rsidR="00044D5B" w:rsidRPr="00392E88" w:rsidRDefault="00044D5B">
            <w:pPr>
              <w:spacing w:before="0" w:after="0"/>
              <w:rPr>
                <w:color w:val="000000"/>
                <w:sz w:val="18"/>
                <w:szCs w:val="18"/>
              </w:rPr>
            </w:pPr>
            <w:r w:rsidRPr="00392E88">
              <w:rPr>
                <w:color w:val="000000"/>
                <w:sz w:val="18"/>
              </w:rPr>
              <w:t>Środki na zobowiązania</w:t>
            </w:r>
          </w:p>
        </w:tc>
        <w:tc>
          <w:tcPr>
            <w:tcW w:w="496" w:type="pct"/>
            <w:gridSpan w:val="2"/>
            <w:tcBorders>
              <w:top w:val="single" w:sz="8" w:space="0" w:color="auto"/>
              <w:left w:val="nil"/>
              <w:bottom w:val="single" w:sz="8" w:space="0" w:color="auto"/>
              <w:right w:val="single" w:sz="8" w:space="0" w:color="auto"/>
            </w:tcBorders>
            <w:vAlign w:val="center"/>
            <w:hideMark/>
          </w:tcPr>
          <w:p w14:paraId="17D50AB9" w14:textId="77777777" w:rsidR="00044D5B" w:rsidRPr="00392E88" w:rsidRDefault="00044D5B">
            <w:pPr>
              <w:spacing w:before="0" w:after="0"/>
              <w:jc w:val="center"/>
              <w:rPr>
                <w:color w:val="000000"/>
                <w:sz w:val="14"/>
                <w:szCs w:val="14"/>
              </w:rPr>
            </w:pPr>
            <w:r w:rsidRPr="00392E88">
              <w:rPr>
                <w:color w:val="000000"/>
                <w:sz w:val="14"/>
              </w:rPr>
              <w:t>(1a)</w:t>
            </w:r>
          </w:p>
        </w:tc>
        <w:tc>
          <w:tcPr>
            <w:tcW w:w="496" w:type="pct"/>
            <w:gridSpan w:val="2"/>
            <w:tcBorders>
              <w:top w:val="nil"/>
              <w:left w:val="nil"/>
              <w:bottom w:val="single" w:sz="8" w:space="0" w:color="auto"/>
              <w:right w:val="single" w:sz="8" w:space="0" w:color="auto"/>
            </w:tcBorders>
            <w:vAlign w:val="center"/>
            <w:hideMark/>
          </w:tcPr>
          <w:p w14:paraId="6309107B" w14:textId="77777777" w:rsidR="00044D5B" w:rsidRPr="00392E88" w:rsidRDefault="00044D5B">
            <w:pPr>
              <w:spacing w:before="0" w:after="0"/>
              <w:jc w:val="right"/>
              <w:rPr>
                <w:color w:val="000000"/>
                <w:sz w:val="20"/>
                <w:szCs w:val="20"/>
              </w:rPr>
            </w:pPr>
            <w:r w:rsidRPr="00392E88">
              <w:rPr>
                <w:color w:val="000000"/>
                <w:sz w:val="20"/>
              </w:rPr>
              <w:t xml:space="preserve"> </w:t>
            </w:r>
          </w:p>
        </w:tc>
        <w:tc>
          <w:tcPr>
            <w:tcW w:w="496" w:type="pct"/>
            <w:gridSpan w:val="2"/>
            <w:tcBorders>
              <w:top w:val="nil"/>
              <w:left w:val="nil"/>
              <w:bottom w:val="single" w:sz="8" w:space="0" w:color="auto"/>
              <w:right w:val="single" w:sz="8" w:space="0" w:color="auto"/>
            </w:tcBorders>
            <w:vAlign w:val="center"/>
            <w:hideMark/>
          </w:tcPr>
          <w:p w14:paraId="6DCA1E24" w14:textId="77777777" w:rsidR="00044D5B" w:rsidRPr="00392E88" w:rsidRDefault="00044D5B">
            <w:pPr>
              <w:spacing w:before="0" w:after="0"/>
              <w:jc w:val="right"/>
              <w:rPr>
                <w:color w:val="000000"/>
                <w:sz w:val="20"/>
                <w:szCs w:val="20"/>
              </w:rPr>
            </w:pPr>
            <w:r w:rsidRPr="00392E88">
              <w:rPr>
                <w:color w:val="000000"/>
                <w:sz w:val="20"/>
              </w:rPr>
              <w:t xml:space="preserve"> </w:t>
            </w:r>
          </w:p>
        </w:tc>
        <w:tc>
          <w:tcPr>
            <w:tcW w:w="496" w:type="pct"/>
            <w:tcBorders>
              <w:top w:val="nil"/>
              <w:left w:val="nil"/>
              <w:bottom w:val="single" w:sz="8" w:space="0" w:color="auto"/>
              <w:right w:val="single" w:sz="8" w:space="0" w:color="auto"/>
            </w:tcBorders>
            <w:vAlign w:val="center"/>
            <w:hideMark/>
          </w:tcPr>
          <w:p w14:paraId="7DF334A6" w14:textId="77777777" w:rsidR="00044D5B" w:rsidRPr="00392E88" w:rsidRDefault="00044D5B">
            <w:pPr>
              <w:spacing w:before="0" w:after="0"/>
              <w:jc w:val="right"/>
              <w:rPr>
                <w:color w:val="000000"/>
                <w:sz w:val="20"/>
                <w:szCs w:val="20"/>
              </w:rPr>
            </w:pPr>
            <w:r w:rsidRPr="00392E88">
              <w:rPr>
                <w:color w:val="000000"/>
                <w:sz w:val="20"/>
              </w:rPr>
              <w:t xml:space="preserve"> </w:t>
            </w:r>
          </w:p>
        </w:tc>
        <w:tc>
          <w:tcPr>
            <w:tcW w:w="478" w:type="pct"/>
            <w:tcBorders>
              <w:top w:val="nil"/>
              <w:left w:val="nil"/>
              <w:bottom w:val="single" w:sz="8" w:space="0" w:color="auto"/>
              <w:right w:val="single" w:sz="8" w:space="0" w:color="auto"/>
            </w:tcBorders>
            <w:vAlign w:val="center"/>
            <w:hideMark/>
          </w:tcPr>
          <w:p w14:paraId="7637C1F5" w14:textId="77777777" w:rsidR="00044D5B" w:rsidRPr="00392E88" w:rsidRDefault="00044D5B">
            <w:pPr>
              <w:spacing w:before="0" w:after="0"/>
              <w:jc w:val="right"/>
              <w:rPr>
                <w:color w:val="000000"/>
                <w:sz w:val="20"/>
                <w:szCs w:val="20"/>
              </w:rPr>
            </w:pPr>
            <w:r w:rsidRPr="00392E88">
              <w:rPr>
                <w:color w:val="000000"/>
                <w:sz w:val="20"/>
              </w:rPr>
              <w:t xml:space="preserve"> </w:t>
            </w:r>
          </w:p>
        </w:tc>
        <w:tc>
          <w:tcPr>
            <w:tcW w:w="590" w:type="pct"/>
            <w:tcBorders>
              <w:top w:val="nil"/>
              <w:left w:val="nil"/>
              <w:bottom w:val="single" w:sz="8" w:space="0" w:color="auto"/>
              <w:right w:val="single" w:sz="8" w:space="0" w:color="auto"/>
            </w:tcBorders>
            <w:shd w:val="clear" w:color="000000" w:fill="D9D9D9"/>
            <w:vAlign w:val="center"/>
            <w:hideMark/>
          </w:tcPr>
          <w:p w14:paraId="5418C55F" w14:textId="77777777" w:rsidR="00044D5B" w:rsidRPr="00392E88" w:rsidRDefault="00044D5B">
            <w:pPr>
              <w:spacing w:before="0" w:after="0"/>
              <w:jc w:val="right"/>
              <w:rPr>
                <w:b/>
                <w:bCs/>
                <w:color w:val="000000"/>
                <w:sz w:val="20"/>
                <w:szCs w:val="20"/>
              </w:rPr>
            </w:pPr>
            <w:r w:rsidRPr="00392E88">
              <w:rPr>
                <w:b/>
                <w:color w:val="000000"/>
                <w:sz w:val="20"/>
              </w:rPr>
              <w:t>0,000</w:t>
            </w:r>
          </w:p>
        </w:tc>
      </w:tr>
      <w:tr w:rsidR="00E62D64" w:rsidRPr="00392E88" w14:paraId="20E35894" w14:textId="77777777">
        <w:trPr>
          <w:trHeight w:val="315"/>
        </w:trPr>
        <w:tc>
          <w:tcPr>
            <w:tcW w:w="1419" w:type="pct"/>
            <w:gridSpan w:val="4"/>
            <w:vMerge/>
            <w:tcBorders>
              <w:top w:val="nil"/>
              <w:left w:val="single" w:sz="8" w:space="0" w:color="auto"/>
              <w:bottom w:val="single" w:sz="8" w:space="0" w:color="auto"/>
              <w:right w:val="single" w:sz="8" w:space="0" w:color="auto"/>
            </w:tcBorders>
            <w:vAlign w:val="center"/>
            <w:hideMark/>
          </w:tcPr>
          <w:p w14:paraId="44164502" w14:textId="77777777" w:rsidR="00044D5B" w:rsidRPr="00392E88" w:rsidRDefault="00044D5B">
            <w:pPr>
              <w:spacing w:before="0" w:after="0"/>
              <w:jc w:val="left"/>
              <w:rPr>
                <w:color w:val="000000"/>
                <w:sz w:val="22"/>
                <w:lang w:eastAsia="en-IE"/>
              </w:rPr>
            </w:pPr>
          </w:p>
        </w:tc>
        <w:tc>
          <w:tcPr>
            <w:tcW w:w="529" w:type="pct"/>
            <w:gridSpan w:val="2"/>
            <w:tcBorders>
              <w:top w:val="nil"/>
              <w:left w:val="nil"/>
              <w:bottom w:val="single" w:sz="8" w:space="0" w:color="auto"/>
              <w:right w:val="single" w:sz="8" w:space="0" w:color="auto"/>
            </w:tcBorders>
            <w:vAlign w:val="center"/>
            <w:hideMark/>
          </w:tcPr>
          <w:p w14:paraId="25622A61" w14:textId="77777777" w:rsidR="00044D5B" w:rsidRPr="00392E88" w:rsidRDefault="00044D5B">
            <w:pPr>
              <w:spacing w:before="0" w:after="0"/>
              <w:rPr>
                <w:color w:val="000000"/>
                <w:sz w:val="18"/>
                <w:szCs w:val="18"/>
              </w:rPr>
            </w:pPr>
            <w:r w:rsidRPr="00392E88">
              <w:rPr>
                <w:color w:val="000000"/>
                <w:sz w:val="18"/>
              </w:rPr>
              <w:t>Środki na płatności</w:t>
            </w:r>
          </w:p>
        </w:tc>
        <w:tc>
          <w:tcPr>
            <w:tcW w:w="496" w:type="pct"/>
            <w:gridSpan w:val="2"/>
            <w:tcBorders>
              <w:top w:val="single" w:sz="8" w:space="0" w:color="auto"/>
              <w:left w:val="nil"/>
              <w:bottom w:val="single" w:sz="8" w:space="0" w:color="auto"/>
              <w:right w:val="single" w:sz="8" w:space="0" w:color="auto"/>
            </w:tcBorders>
            <w:vAlign w:val="center"/>
            <w:hideMark/>
          </w:tcPr>
          <w:p w14:paraId="42009E1C" w14:textId="77777777" w:rsidR="00044D5B" w:rsidRPr="00392E88" w:rsidRDefault="00044D5B">
            <w:pPr>
              <w:spacing w:before="0" w:after="0"/>
              <w:jc w:val="center"/>
              <w:rPr>
                <w:color w:val="000000"/>
                <w:sz w:val="14"/>
                <w:szCs w:val="14"/>
              </w:rPr>
            </w:pPr>
            <w:r w:rsidRPr="00392E88">
              <w:rPr>
                <w:color w:val="000000"/>
                <w:sz w:val="14"/>
              </w:rPr>
              <w:t>(2a)</w:t>
            </w:r>
          </w:p>
        </w:tc>
        <w:tc>
          <w:tcPr>
            <w:tcW w:w="496" w:type="pct"/>
            <w:gridSpan w:val="2"/>
            <w:tcBorders>
              <w:top w:val="nil"/>
              <w:left w:val="nil"/>
              <w:bottom w:val="single" w:sz="8" w:space="0" w:color="auto"/>
              <w:right w:val="single" w:sz="8" w:space="0" w:color="auto"/>
            </w:tcBorders>
            <w:vAlign w:val="center"/>
            <w:hideMark/>
          </w:tcPr>
          <w:p w14:paraId="2CBE6DF7" w14:textId="77777777" w:rsidR="00044D5B" w:rsidRPr="00392E88" w:rsidRDefault="00044D5B">
            <w:pPr>
              <w:spacing w:before="0" w:after="0"/>
              <w:jc w:val="right"/>
              <w:rPr>
                <w:color w:val="000000"/>
                <w:sz w:val="20"/>
                <w:szCs w:val="20"/>
              </w:rPr>
            </w:pPr>
            <w:r w:rsidRPr="00392E88">
              <w:rPr>
                <w:color w:val="000000"/>
                <w:sz w:val="20"/>
              </w:rPr>
              <w:t xml:space="preserve"> </w:t>
            </w:r>
          </w:p>
        </w:tc>
        <w:tc>
          <w:tcPr>
            <w:tcW w:w="496" w:type="pct"/>
            <w:gridSpan w:val="2"/>
            <w:tcBorders>
              <w:top w:val="nil"/>
              <w:left w:val="nil"/>
              <w:bottom w:val="single" w:sz="8" w:space="0" w:color="auto"/>
              <w:right w:val="single" w:sz="8" w:space="0" w:color="auto"/>
            </w:tcBorders>
            <w:vAlign w:val="center"/>
            <w:hideMark/>
          </w:tcPr>
          <w:p w14:paraId="208D75BF" w14:textId="77777777" w:rsidR="00044D5B" w:rsidRPr="00392E88" w:rsidRDefault="00044D5B">
            <w:pPr>
              <w:spacing w:before="0" w:after="0"/>
              <w:jc w:val="right"/>
              <w:rPr>
                <w:color w:val="000000"/>
                <w:sz w:val="20"/>
                <w:szCs w:val="20"/>
              </w:rPr>
            </w:pPr>
            <w:r w:rsidRPr="00392E88">
              <w:rPr>
                <w:color w:val="000000"/>
                <w:sz w:val="20"/>
              </w:rPr>
              <w:t xml:space="preserve"> </w:t>
            </w:r>
          </w:p>
        </w:tc>
        <w:tc>
          <w:tcPr>
            <w:tcW w:w="496" w:type="pct"/>
            <w:tcBorders>
              <w:top w:val="nil"/>
              <w:left w:val="nil"/>
              <w:bottom w:val="single" w:sz="8" w:space="0" w:color="auto"/>
              <w:right w:val="single" w:sz="8" w:space="0" w:color="auto"/>
            </w:tcBorders>
            <w:vAlign w:val="center"/>
            <w:hideMark/>
          </w:tcPr>
          <w:p w14:paraId="6DEAF222" w14:textId="77777777" w:rsidR="00044D5B" w:rsidRPr="00392E88" w:rsidRDefault="00044D5B">
            <w:pPr>
              <w:spacing w:before="0" w:after="0"/>
              <w:jc w:val="right"/>
              <w:rPr>
                <w:color w:val="000000"/>
                <w:sz w:val="20"/>
                <w:szCs w:val="20"/>
              </w:rPr>
            </w:pPr>
            <w:r w:rsidRPr="00392E88">
              <w:rPr>
                <w:color w:val="000000"/>
                <w:sz w:val="20"/>
              </w:rPr>
              <w:t xml:space="preserve"> </w:t>
            </w:r>
          </w:p>
        </w:tc>
        <w:tc>
          <w:tcPr>
            <w:tcW w:w="478" w:type="pct"/>
            <w:tcBorders>
              <w:top w:val="nil"/>
              <w:left w:val="nil"/>
              <w:bottom w:val="single" w:sz="8" w:space="0" w:color="auto"/>
              <w:right w:val="single" w:sz="8" w:space="0" w:color="auto"/>
            </w:tcBorders>
            <w:vAlign w:val="center"/>
            <w:hideMark/>
          </w:tcPr>
          <w:p w14:paraId="6957E2B5" w14:textId="77777777" w:rsidR="00044D5B" w:rsidRPr="00392E88" w:rsidRDefault="00044D5B">
            <w:pPr>
              <w:spacing w:before="0" w:after="0"/>
              <w:jc w:val="right"/>
              <w:rPr>
                <w:color w:val="000000"/>
                <w:sz w:val="20"/>
                <w:szCs w:val="20"/>
              </w:rPr>
            </w:pPr>
            <w:r w:rsidRPr="00392E88">
              <w:rPr>
                <w:color w:val="000000"/>
                <w:sz w:val="20"/>
              </w:rPr>
              <w:t xml:space="preserve"> </w:t>
            </w:r>
          </w:p>
        </w:tc>
        <w:tc>
          <w:tcPr>
            <w:tcW w:w="590" w:type="pct"/>
            <w:tcBorders>
              <w:top w:val="nil"/>
              <w:left w:val="nil"/>
              <w:bottom w:val="single" w:sz="8" w:space="0" w:color="auto"/>
              <w:right w:val="single" w:sz="8" w:space="0" w:color="auto"/>
            </w:tcBorders>
            <w:shd w:val="clear" w:color="000000" w:fill="D9D9D9"/>
            <w:vAlign w:val="center"/>
            <w:hideMark/>
          </w:tcPr>
          <w:p w14:paraId="6BA12A5E" w14:textId="77777777" w:rsidR="00044D5B" w:rsidRPr="00392E88" w:rsidRDefault="00044D5B">
            <w:pPr>
              <w:spacing w:before="0" w:after="0"/>
              <w:jc w:val="right"/>
              <w:rPr>
                <w:b/>
                <w:bCs/>
                <w:color w:val="000000"/>
                <w:sz w:val="20"/>
                <w:szCs w:val="20"/>
              </w:rPr>
            </w:pPr>
            <w:r w:rsidRPr="00392E88">
              <w:rPr>
                <w:b/>
                <w:color w:val="000000"/>
                <w:sz w:val="20"/>
              </w:rPr>
              <w:t>0,000</w:t>
            </w:r>
          </w:p>
        </w:tc>
      </w:tr>
      <w:tr w:rsidR="00E62D64" w:rsidRPr="00392E88" w14:paraId="37A75C8D" w14:textId="77777777">
        <w:trPr>
          <w:trHeight w:val="315"/>
        </w:trPr>
        <w:tc>
          <w:tcPr>
            <w:tcW w:w="1419" w:type="pct"/>
            <w:gridSpan w:val="4"/>
            <w:vMerge w:val="restart"/>
            <w:tcBorders>
              <w:top w:val="nil"/>
              <w:left w:val="single" w:sz="8" w:space="0" w:color="auto"/>
              <w:bottom w:val="single" w:sz="8" w:space="0" w:color="auto"/>
              <w:right w:val="single" w:sz="8" w:space="0" w:color="auto"/>
            </w:tcBorders>
            <w:vAlign w:val="center"/>
            <w:hideMark/>
          </w:tcPr>
          <w:p w14:paraId="4CC9E621" w14:textId="77777777" w:rsidR="00044D5B" w:rsidRPr="00392E88" w:rsidRDefault="00044D5B">
            <w:pPr>
              <w:spacing w:before="0" w:after="0"/>
              <w:rPr>
                <w:color w:val="000000"/>
                <w:sz w:val="20"/>
                <w:szCs w:val="20"/>
              </w:rPr>
            </w:pPr>
            <w:r w:rsidRPr="00392E88">
              <w:rPr>
                <w:color w:val="000000"/>
                <w:sz w:val="20"/>
              </w:rPr>
              <w:t>Linia budżetowa</w:t>
            </w:r>
          </w:p>
        </w:tc>
        <w:tc>
          <w:tcPr>
            <w:tcW w:w="529" w:type="pct"/>
            <w:gridSpan w:val="2"/>
            <w:tcBorders>
              <w:top w:val="nil"/>
              <w:left w:val="nil"/>
              <w:bottom w:val="single" w:sz="8" w:space="0" w:color="auto"/>
              <w:right w:val="single" w:sz="8" w:space="0" w:color="auto"/>
            </w:tcBorders>
            <w:vAlign w:val="center"/>
            <w:hideMark/>
          </w:tcPr>
          <w:p w14:paraId="788E5AF3" w14:textId="77777777" w:rsidR="00044D5B" w:rsidRPr="00392E88" w:rsidRDefault="00044D5B">
            <w:pPr>
              <w:spacing w:before="0" w:after="0"/>
              <w:rPr>
                <w:color w:val="000000"/>
                <w:sz w:val="18"/>
                <w:szCs w:val="18"/>
              </w:rPr>
            </w:pPr>
            <w:r w:rsidRPr="00392E88">
              <w:rPr>
                <w:color w:val="000000"/>
                <w:sz w:val="18"/>
              </w:rPr>
              <w:t>Środki na zobowiązania</w:t>
            </w:r>
          </w:p>
        </w:tc>
        <w:tc>
          <w:tcPr>
            <w:tcW w:w="496" w:type="pct"/>
            <w:gridSpan w:val="2"/>
            <w:tcBorders>
              <w:top w:val="single" w:sz="8" w:space="0" w:color="auto"/>
              <w:left w:val="nil"/>
              <w:bottom w:val="single" w:sz="8" w:space="0" w:color="auto"/>
              <w:right w:val="single" w:sz="8" w:space="0" w:color="auto"/>
            </w:tcBorders>
            <w:vAlign w:val="center"/>
            <w:hideMark/>
          </w:tcPr>
          <w:p w14:paraId="084409C0" w14:textId="77777777" w:rsidR="00044D5B" w:rsidRPr="00392E88" w:rsidRDefault="00044D5B">
            <w:pPr>
              <w:spacing w:before="0" w:after="0"/>
              <w:jc w:val="center"/>
              <w:rPr>
                <w:color w:val="000000"/>
                <w:sz w:val="14"/>
                <w:szCs w:val="14"/>
              </w:rPr>
            </w:pPr>
            <w:r w:rsidRPr="00392E88">
              <w:rPr>
                <w:color w:val="000000"/>
                <w:sz w:val="14"/>
              </w:rPr>
              <w:t>(1b)</w:t>
            </w:r>
          </w:p>
        </w:tc>
        <w:tc>
          <w:tcPr>
            <w:tcW w:w="496" w:type="pct"/>
            <w:gridSpan w:val="2"/>
            <w:tcBorders>
              <w:top w:val="nil"/>
              <w:left w:val="nil"/>
              <w:bottom w:val="single" w:sz="8" w:space="0" w:color="auto"/>
              <w:right w:val="single" w:sz="8" w:space="0" w:color="auto"/>
            </w:tcBorders>
            <w:vAlign w:val="center"/>
            <w:hideMark/>
          </w:tcPr>
          <w:p w14:paraId="3536CCC3" w14:textId="77777777" w:rsidR="00044D5B" w:rsidRPr="00392E88" w:rsidRDefault="00044D5B">
            <w:pPr>
              <w:spacing w:before="0" w:after="0"/>
              <w:jc w:val="right"/>
              <w:rPr>
                <w:color w:val="000000"/>
                <w:sz w:val="20"/>
                <w:szCs w:val="20"/>
              </w:rPr>
            </w:pPr>
            <w:r w:rsidRPr="00392E88">
              <w:rPr>
                <w:color w:val="000000"/>
                <w:sz w:val="20"/>
              </w:rPr>
              <w:t xml:space="preserve"> </w:t>
            </w:r>
          </w:p>
        </w:tc>
        <w:tc>
          <w:tcPr>
            <w:tcW w:w="496" w:type="pct"/>
            <w:gridSpan w:val="2"/>
            <w:tcBorders>
              <w:top w:val="nil"/>
              <w:left w:val="nil"/>
              <w:bottom w:val="single" w:sz="8" w:space="0" w:color="auto"/>
              <w:right w:val="single" w:sz="8" w:space="0" w:color="auto"/>
            </w:tcBorders>
            <w:vAlign w:val="center"/>
            <w:hideMark/>
          </w:tcPr>
          <w:p w14:paraId="125A2FA8" w14:textId="77777777" w:rsidR="00044D5B" w:rsidRPr="00392E88" w:rsidRDefault="00044D5B">
            <w:pPr>
              <w:spacing w:before="0" w:after="0"/>
              <w:jc w:val="right"/>
              <w:rPr>
                <w:color w:val="000000"/>
                <w:sz w:val="20"/>
                <w:szCs w:val="20"/>
              </w:rPr>
            </w:pPr>
            <w:r w:rsidRPr="00392E88">
              <w:rPr>
                <w:color w:val="000000"/>
                <w:sz w:val="20"/>
              </w:rPr>
              <w:t xml:space="preserve"> </w:t>
            </w:r>
          </w:p>
        </w:tc>
        <w:tc>
          <w:tcPr>
            <w:tcW w:w="496" w:type="pct"/>
            <w:tcBorders>
              <w:top w:val="nil"/>
              <w:left w:val="nil"/>
              <w:bottom w:val="single" w:sz="8" w:space="0" w:color="auto"/>
              <w:right w:val="single" w:sz="8" w:space="0" w:color="auto"/>
            </w:tcBorders>
            <w:vAlign w:val="center"/>
            <w:hideMark/>
          </w:tcPr>
          <w:p w14:paraId="28E2F934" w14:textId="77777777" w:rsidR="00044D5B" w:rsidRPr="00392E88" w:rsidRDefault="00044D5B">
            <w:pPr>
              <w:spacing w:before="0" w:after="0"/>
              <w:jc w:val="right"/>
              <w:rPr>
                <w:color w:val="000000"/>
                <w:sz w:val="20"/>
                <w:szCs w:val="20"/>
              </w:rPr>
            </w:pPr>
            <w:r w:rsidRPr="00392E88">
              <w:rPr>
                <w:color w:val="000000"/>
                <w:sz w:val="20"/>
              </w:rPr>
              <w:t xml:space="preserve"> </w:t>
            </w:r>
          </w:p>
        </w:tc>
        <w:tc>
          <w:tcPr>
            <w:tcW w:w="478" w:type="pct"/>
            <w:tcBorders>
              <w:top w:val="nil"/>
              <w:left w:val="nil"/>
              <w:bottom w:val="single" w:sz="8" w:space="0" w:color="auto"/>
              <w:right w:val="single" w:sz="8" w:space="0" w:color="auto"/>
            </w:tcBorders>
            <w:vAlign w:val="center"/>
            <w:hideMark/>
          </w:tcPr>
          <w:p w14:paraId="267F0A12" w14:textId="77777777" w:rsidR="00044D5B" w:rsidRPr="00392E88" w:rsidRDefault="00044D5B">
            <w:pPr>
              <w:spacing w:before="0" w:after="0"/>
              <w:jc w:val="right"/>
              <w:rPr>
                <w:color w:val="000000"/>
                <w:sz w:val="20"/>
                <w:szCs w:val="20"/>
              </w:rPr>
            </w:pPr>
            <w:r w:rsidRPr="00392E88">
              <w:rPr>
                <w:color w:val="000000"/>
                <w:sz w:val="20"/>
              </w:rPr>
              <w:t xml:space="preserve"> </w:t>
            </w:r>
          </w:p>
        </w:tc>
        <w:tc>
          <w:tcPr>
            <w:tcW w:w="590" w:type="pct"/>
            <w:tcBorders>
              <w:top w:val="nil"/>
              <w:left w:val="nil"/>
              <w:bottom w:val="single" w:sz="8" w:space="0" w:color="auto"/>
              <w:right w:val="single" w:sz="8" w:space="0" w:color="auto"/>
            </w:tcBorders>
            <w:shd w:val="clear" w:color="000000" w:fill="D9D9D9"/>
            <w:vAlign w:val="center"/>
            <w:hideMark/>
          </w:tcPr>
          <w:p w14:paraId="72B227A2" w14:textId="77777777" w:rsidR="00044D5B" w:rsidRPr="00392E88" w:rsidRDefault="00044D5B">
            <w:pPr>
              <w:spacing w:before="0" w:after="0"/>
              <w:jc w:val="right"/>
              <w:rPr>
                <w:b/>
                <w:bCs/>
                <w:color w:val="000000"/>
                <w:sz w:val="20"/>
                <w:szCs w:val="20"/>
              </w:rPr>
            </w:pPr>
            <w:r w:rsidRPr="00392E88">
              <w:rPr>
                <w:b/>
                <w:color w:val="000000"/>
                <w:sz w:val="20"/>
              </w:rPr>
              <w:t>0,000</w:t>
            </w:r>
          </w:p>
        </w:tc>
      </w:tr>
      <w:tr w:rsidR="00E62D64" w:rsidRPr="00392E88" w14:paraId="22491912" w14:textId="77777777">
        <w:trPr>
          <w:trHeight w:val="315"/>
        </w:trPr>
        <w:tc>
          <w:tcPr>
            <w:tcW w:w="1419" w:type="pct"/>
            <w:gridSpan w:val="4"/>
            <w:vMerge/>
            <w:tcBorders>
              <w:top w:val="nil"/>
              <w:left w:val="single" w:sz="8" w:space="0" w:color="auto"/>
              <w:bottom w:val="single" w:sz="8" w:space="0" w:color="auto"/>
              <w:right w:val="single" w:sz="8" w:space="0" w:color="auto"/>
            </w:tcBorders>
            <w:vAlign w:val="center"/>
            <w:hideMark/>
          </w:tcPr>
          <w:p w14:paraId="2A9659E0" w14:textId="77777777" w:rsidR="00044D5B" w:rsidRPr="00392E88" w:rsidRDefault="00044D5B">
            <w:pPr>
              <w:spacing w:before="0" w:after="0"/>
              <w:jc w:val="left"/>
              <w:rPr>
                <w:color w:val="000000"/>
                <w:sz w:val="20"/>
                <w:szCs w:val="20"/>
                <w:lang w:eastAsia="en-IE"/>
              </w:rPr>
            </w:pPr>
          </w:p>
        </w:tc>
        <w:tc>
          <w:tcPr>
            <w:tcW w:w="529" w:type="pct"/>
            <w:gridSpan w:val="2"/>
            <w:tcBorders>
              <w:top w:val="nil"/>
              <w:left w:val="nil"/>
              <w:bottom w:val="single" w:sz="8" w:space="0" w:color="auto"/>
              <w:right w:val="single" w:sz="8" w:space="0" w:color="auto"/>
            </w:tcBorders>
            <w:vAlign w:val="center"/>
            <w:hideMark/>
          </w:tcPr>
          <w:p w14:paraId="6502B93E" w14:textId="77777777" w:rsidR="00044D5B" w:rsidRPr="00392E88" w:rsidRDefault="00044D5B">
            <w:pPr>
              <w:spacing w:before="0" w:after="0"/>
              <w:rPr>
                <w:color w:val="000000"/>
                <w:sz w:val="18"/>
                <w:szCs w:val="18"/>
              </w:rPr>
            </w:pPr>
            <w:r w:rsidRPr="00392E88">
              <w:rPr>
                <w:color w:val="000000"/>
                <w:sz w:val="18"/>
              </w:rPr>
              <w:t>Środki na płatności</w:t>
            </w:r>
          </w:p>
        </w:tc>
        <w:tc>
          <w:tcPr>
            <w:tcW w:w="496" w:type="pct"/>
            <w:gridSpan w:val="2"/>
            <w:tcBorders>
              <w:top w:val="single" w:sz="8" w:space="0" w:color="auto"/>
              <w:left w:val="nil"/>
              <w:bottom w:val="single" w:sz="8" w:space="0" w:color="auto"/>
              <w:right w:val="single" w:sz="8" w:space="0" w:color="auto"/>
            </w:tcBorders>
            <w:vAlign w:val="center"/>
            <w:hideMark/>
          </w:tcPr>
          <w:p w14:paraId="34897BAE" w14:textId="77777777" w:rsidR="00044D5B" w:rsidRPr="00392E88" w:rsidRDefault="00044D5B">
            <w:pPr>
              <w:spacing w:before="0" w:after="0"/>
              <w:jc w:val="center"/>
              <w:rPr>
                <w:color w:val="000000"/>
                <w:sz w:val="14"/>
                <w:szCs w:val="14"/>
              </w:rPr>
            </w:pPr>
            <w:r w:rsidRPr="00392E88">
              <w:rPr>
                <w:color w:val="000000"/>
                <w:sz w:val="14"/>
              </w:rPr>
              <w:t>(2b)</w:t>
            </w:r>
          </w:p>
        </w:tc>
        <w:tc>
          <w:tcPr>
            <w:tcW w:w="496" w:type="pct"/>
            <w:gridSpan w:val="2"/>
            <w:tcBorders>
              <w:top w:val="nil"/>
              <w:left w:val="nil"/>
              <w:bottom w:val="single" w:sz="8" w:space="0" w:color="auto"/>
              <w:right w:val="single" w:sz="8" w:space="0" w:color="auto"/>
            </w:tcBorders>
            <w:vAlign w:val="center"/>
            <w:hideMark/>
          </w:tcPr>
          <w:p w14:paraId="195A9B3A" w14:textId="77777777" w:rsidR="00044D5B" w:rsidRPr="00392E88" w:rsidRDefault="00044D5B">
            <w:pPr>
              <w:spacing w:before="0" w:after="0"/>
              <w:jc w:val="right"/>
              <w:rPr>
                <w:color w:val="000000"/>
                <w:sz w:val="20"/>
                <w:szCs w:val="20"/>
              </w:rPr>
            </w:pPr>
            <w:r w:rsidRPr="00392E88">
              <w:rPr>
                <w:color w:val="000000"/>
                <w:sz w:val="20"/>
              </w:rPr>
              <w:t xml:space="preserve"> </w:t>
            </w:r>
          </w:p>
        </w:tc>
        <w:tc>
          <w:tcPr>
            <w:tcW w:w="496" w:type="pct"/>
            <w:gridSpan w:val="2"/>
            <w:tcBorders>
              <w:top w:val="nil"/>
              <w:left w:val="nil"/>
              <w:bottom w:val="single" w:sz="8" w:space="0" w:color="auto"/>
              <w:right w:val="single" w:sz="8" w:space="0" w:color="auto"/>
            </w:tcBorders>
            <w:vAlign w:val="center"/>
            <w:hideMark/>
          </w:tcPr>
          <w:p w14:paraId="4401D1D1" w14:textId="77777777" w:rsidR="00044D5B" w:rsidRPr="00392E88" w:rsidRDefault="00044D5B">
            <w:pPr>
              <w:spacing w:before="0" w:after="0"/>
              <w:jc w:val="right"/>
              <w:rPr>
                <w:color w:val="000000"/>
                <w:sz w:val="20"/>
                <w:szCs w:val="20"/>
              </w:rPr>
            </w:pPr>
            <w:r w:rsidRPr="00392E88">
              <w:rPr>
                <w:color w:val="000000"/>
                <w:sz w:val="20"/>
              </w:rPr>
              <w:t xml:space="preserve"> </w:t>
            </w:r>
          </w:p>
        </w:tc>
        <w:tc>
          <w:tcPr>
            <w:tcW w:w="496" w:type="pct"/>
            <w:tcBorders>
              <w:top w:val="nil"/>
              <w:left w:val="nil"/>
              <w:bottom w:val="single" w:sz="8" w:space="0" w:color="auto"/>
              <w:right w:val="single" w:sz="8" w:space="0" w:color="auto"/>
            </w:tcBorders>
            <w:vAlign w:val="center"/>
            <w:hideMark/>
          </w:tcPr>
          <w:p w14:paraId="14DB1F49" w14:textId="77777777" w:rsidR="00044D5B" w:rsidRPr="00392E88" w:rsidRDefault="00044D5B">
            <w:pPr>
              <w:spacing w:before="0" w:after="0"/>
              <w:jc w:val="right"/>
              <w:rPr>
                <w:color w:val="000000"/>
                <w:sz w:val="20"/>
                <w:szCs w:val="20"/>
              </w:rPr>
            </w:pPr>
            <w:r w:rsidRPr="00392E88">
              <w:rPr>
                <w:color w:val="000000"/>
                <w:sz w:val="20"/>
              </w:rPr>
              <w:t xml:space="preserve"> </w:t>
            </w:r>
          </w:p>
        </w:tc>
        <w:tc>
          <w:tcPr>
            <w:tcW w:w="478" w:type="pct"/>
            <w:tcBorders>
              <w:top w:val="nil"/>
              <w:left w:val="nil"/>
              <w:bottom w:val="single" w:sz="8" w:space="0" w:color="auto"/>
              <w:right w:val="single" w:sz="8" w:space="0" w:color="auto"/>
            </w:tcBorders>
            <w:vAlign w:val="center"/>
            <w:hideMark/>
          </w:tcPr>
          <w:p w14:paraId="354BFDA0" w14:textId="77777777" w:rsidR="00044D5B" w:rsidRPr="00392E88" w:rsidRDefault="00044D5B">
            <w:pPr>
              <w:spacing w:before="0" w:after="0"/>
              <w:jc w:val="right"/>
              <w:rPr>
                <w:color w:val="000000"/>
                <w:sz w:val="20"/>
                <w:szCs w:val="20"/>
              </w:rPr>
            </w:pPr>
            <w:r w:rsidRPr="00392E88">
              <w:rPr>
                <w:color w:val="000000"/>
                <w:sz w:val="20"/>
              </w:rPr>
              <w:t xml:space="preserve"> </w:t>
            </w:r>
          </w:p>
        </w:tc>
        <w:tc>
          <w:tcPr>
            <w:tcW w:w="590" w:type="pct"/>
            <w:tcBorders>
              <w:top w:val="nil"/>
              <w:left w:val="nil"/>
              <w:bottom w:val="single" w:sz="8" w:space="0" w:color="auto"/>
              <w:right w:val="single" w:sz="8" w:space="0" w:color="auto"/>
            </w:tcBorders>
            <w:shd w:val="clear" w:color="000000" w:fill="D9D9D9"/>
            <w:vAlign w:val="center"/>
            <w:hideMark/>
          </w:tcPr>
          <w:p w14:paraId="3F4DAF41" w14:textId="77777777" w:rsidR="00044D5B" w:rsidRPr="00392E88" w:rsidRDefault="00044D5B">
            <w:pPr>
              <w:spacing w:before="0" w:after="0"/>
              <w:jc w:val="right"/>
              <w:rPr>
                <w:b/>
                <w:bCs/>
                <w:color w:val="000000"/>
                <w:sz w:val="20"/>
                <w:szCs w:val="20"/>
              </w:rPr>
            </w:pPr>
            <w:r w:rsidRPr="00392E88">
              <w:rPr>
                <w:b/>
                <w:color w:val="000000"/>
                <w:sz w:val="20"/>
              </w:rPr>
              <w:t>0,000</w:t>
            </w:r>
          </w:p>
        </w:tc>
      </w:tr>
      <w:tr w:rsidR="0014428F" w:rsidRPr="00392E88" w14:paraId="465A8F51" w14:textId="77777777">
        <w:trPr>
          <w:trHeight w:val="288"/>
        </w:trPr>
        <w:tc>
          <w:tcPr>
            <w:tcW w:w="5000" w:type="pct"/>
            <w:gridSpan w:val="15"/>
            <w:tcBorders>
              <w:top w:val="single" w:sz="8" w:space="0" w:color="auto"/>
              <w:left w:val="single" w:sz="8" w:space="0" w:color="auto"/>
              <w:bottom w:val="single" w:sz="8" w:space="0" w:color="auto"/>
              <w:right w:val="single" w:sz="8" w:space="0" w:color="auto"/>
            </w:tcBorders>
            <w:noWrap/>
            <w:vAlign w:val="bottom"/>
            <w:hideMark/>
          </w:tcPr>
          <w:p w14:paraId="695393D0" w14:textId="77777777" w:rsidR="00044D5B" w:rsidRPr="00392E88" w:rsidRDefault="00044D5B">
            <w:pPr>
              <w:spacing w:before="0" w:after="0"/>
              <w:jc w:val="left"/>
              <w:rPr>
                <w:color w:val="000000"/>
                <w:sz w:val="22"/>
              </w:rPr>
            </w:pPr>
            <w:r w:rsidRPr="00392E88">
              <w:rPr>
                <w:color w:val="000000"/>
                <w:sz w:val="22"/>
              </w:rPr>
              <w:t>Środki administracyjne finansowane ze środków przydzielonych na określone programy</w:t>
            </w:r>
            <w:r w:rsidRPr="00392E88">
              <w:t xml:space="preserve"> </w:t>
            </w:r>
          </w:p>
        </w:tc>
      </w:tr>
      <w:tr w:rsidR="00E62D64" w:rsidRPr="00392E88" w14:paraId="7ACEC6BA" w14:textId="77777777">
        <w:trPr>
          <w:trHeight w:val="288"/>
        </w:trPr>
        <w:tc>
          <w:tcPr>
            <w:tcW w:w="1419" w:type="pct"/>
            <w:gridSpan w:val="4"/>
            <w:tcBorders>
              <w:top w:val="nil"/>
              <w:left w:val="single" w:sz="8" w:space="0" w:color="auto"/>
              <w:bottom w:val="single" w:sz="8" w:space="0" w:color="auto"/>
              <w:right w:val="single" w:sz="8" w:space="0" w:color="auto"/>
            </w:tcBorders>
            <w:vAlign w:val="center"/>
            <w:hideMark/>
          </w:tcPr>
          <w:p w14:paraId="1B3900D4" w14:textId="77777777" w:rsidR="00044D5B" w:rsidRPr="00392E88" w:rsidRDefault="00044D5B">
            <w:pPr>
              <w:spacing w:before="0" w:after="0"/>
              <w:rPr>
                <w:color w:val="000000"/>
                <w:sz w:val="20"/>
                <w:szCs w:val="20"/>
              </w:rPr>
            </w:pPr>
            <w:r w:rsidRPr="00392E88">
              <w:rPr>
                <w:color w:val="000000"/>
                <w:sz w:val="20"/>
              </w:rPr>
              <w:t>Linia budżetowa</w:t>
            </w:r>
          </w:p>
        </w:tc>
        <w:tc>
          <w:tcPr>
            <w:tcW w:w="529" w:type="pct"/>
            <w:gridSpan w:val="2"/>
            <w:tcBorders>
              <w:top w:val="nil"/>
              <w:left w:val="nil"/>
              <w:bottom w:val="single" w:sz="8" w:space="0" w:color="auto"/>
              <w:right w:val="single" w:sz="8" w:space="0" w:color="auto"/>
            </w:tcBorders>
            <w:vAlign w:val="center"/>
            <w:hideMark/>
          </w:tcPr>
          <w:p w14:paraId="74E175CB" w14:textId="77777777" w:rsidR="00044D5B" w:rsidRPr="00392E88" w:rsidRDefault="00044D5B">
            <w:pPr>
              <w:spacing w:before="0" w:after="0"/>
              <w:jc w:val="right"/>
              <w:rPr>
                <w:color w:val="000000"/>
                <w:sz w:val="18"/>
                <w:szCs w:val="18"/>
              </w:rPr>
            </w:pPr>
            <w:r w:rsidRPr="00392E88">
              <w:rPr>
                <w:color w:val="000000"/>
                <w:sz w:val="18"/>
              </w:rPr>
              <w:t xml:space="preserve"> </w:t>
            </w:r>
          </w:p>
        </w:tc>
        <w:tc>
          <w:tcPr>
            <w:tcW w:w="496" w:type="pct"/>
            <w:gridSpan w:val="2"/>
            <w:tcBorders>
              <w:top w:val="single" w:sz="8" w:space="0" w:color="auto"/>
              <w:left w:val="nil"/>
              <w:bottom w:val="single" w:sz="8" w:space="0" w:color="auto"/>
              <w:right w:val="single" w:sz="8" w:space="0" w:color="auto"/>
            </w:tcBorders>
            <w:vAlign w:val="center"/>
            <w:hideMark/>
          </w:tcPr>
          <w:p w14:paraId="0870D01B" w14:textId="77777777" w:rsidR="00044D5B" w:rsidRPr="00392E88" w:rsidRDefault="00044D5B">
            <w:pPr>
              <w:spacing w:before="0" w:after="0"/>
              <w:jc w:val="center"/>
              <w:rPr>
                <w:color w:val="000000"/>
                <w:sz w:val="14"/>
                <w:szCs w:val="14"/>
              </w:rPr>
            </w:pPr>
            <w:r w:rsidRPr="00392E88">
              <w:rPr>
                <w:color w:val="000000"/>
                <w:sz w:val="14"/>
              </w:rPr>
              <w:t>(3)</w:t>
            </w:r>
          </w:p>
        </w:tc>
        <w:tc>
          <w:tcPr>
            <w:tcW w:w="496" w:type="pct"/>
            <w:gridSpan w:val="2"/>
            <w:tcBorders>
              <w:top w:val="nil"/>
              <w:left w:val="nil"/>
              <w:bottom w:val="single" w:sz="8" w:space="0" w:color="auto"/>
              <w:right w:val="single" w:sz="8" w:space="0" w:color="auto"/>
            </w:tcBorders>
            <w:vAlign w:val="center"/>
            <w:hideMark/>
          </w:tcPr>
          <w:p w14:paraId="6AEC49E3" w14:textId="77777777" w:rsidR="00044D5B" w:rsidRPr="00392E88" w:rsidRDefault="00044D5B">
            <w:pPr>
              <w:spacing w:before="0" w:after="0"/>
              <w:jc w:val="right"/>
              <w:rPr>
                <w:b/>
                <w:bCs/>
                <w:color w:val="000000"/>
                <w:sz w:val="20"/>
                <w:szCs w:val="20"/>
              </w:rPr>
            </w:pPr>
            <w:r w:rsidRPr="00392E88">
              <w:rPr>
                <w:b/>
                <w:color w:val="000000"/>
                <w:sz w:val="20"/>
              </w:rPr>
              <w:t xml:space="preserve"> </w:t>
            </w:r>
          </w:p>
        </w:tc>
        <w:tc>
          <w:tcPr>
            <w:tcW w:w="496" w:type="pct"/>
            <w:gridSpan w:val="2"/>
            <w:tcBorders>
              <w:top w:val="nil"/>
              <w:left w:val="nil"/>
              <w:bottom w:val="single" w:sz="8" w:space="0" w:color="auto"/>
              <w:right w:val="single" w:sz="8" w:space="0" w:color="auto"/>
            </w:tcBorders>
            <w:vAlign w:val="center"/>
            <w:hideMark/>
          </w:tcPr>
          <w:p w14:paraId="05DB7E82" w14:textId="77777777" w:rsidR="00044D5B" w:rsidRPr="00392E88" w:rsidRDefault="00044D5B">
            <w:pPr>
              <w:spacing w:before="0" w:after="0"/>
              <w:jc w:val="right"/>
              <w:rPr>
                <w:b/>
                <w:bCs/>
                <w:color w:val="000000"/>
                <w:sz w:val="20"/>
                <w:szCs w:val="20"/>
              </w:rPr>
            </w:pPr>
            <w:r w:rsidRPr="00392E88">
              <w:rPr>
                <w:b/>
                <w:color w:val="000000"/>
                <w:sz w:val="20"/>
              </w:rPr>
              <w:t xml:space="preserve"> </w:t>
            </w:r>
          </w:p>
        </w:tc>
        <w:tc>
          <w:tcPr>
            <w:tcW w:w="496" w:type="pct"/>
            <w:tcBorders>
              <w:top w:val="nil"/>
              <w:left w:val="nil"/>
              <w:bottom w:val="single" w:sz="8" w:space="0" w:color="auto"/>
              <w:right w:val="single" w:sz="8" w:space="0" w:color="auto"/>
            </w:tcBorders>
            <w:vAlign w:val="center"/>
            <w:hideMark/>
          </w:tcPr>
          <w:p w14:paraId="5090EA36" w14:textId="77777777" w:rsidR="00044D5B" w:rsidRPr="00392E88" w:rsidRDefault="00044D5B">
            <w:pPr>
              <w:spacing w:before="0" w:after="0"/>
              <w:jc w:val="right"/>
              <w:rPr>
                <w:b/>
                <w:bCs/>
                <w:color w:val="000000"/>
                <w:sz w:val="20"/>
                <w:szCs w:val="20"/>
              </w:rPr>
            </w:pPr>
            <w:r w:rsidRPr="00392E88">
              <w:rPr>
                <w:b/>
                <w:color w:val="000000"/>
                <w:sz w:val="20"/>
              </w:rPr>
              <w:t xml:space="preserve"> </w:t>
            </w:r>
          </w:p>
        </w:tc>
        <w:tc>
          <w:tcPr>
            <w:tcW w:w="478" w:type="pct"/>
            <w:tcBorders>
              <w:top w:val="nil"/>
              <w:left w:val="nil"/>
              <w:bottom w:val="single" w:sz="8" w:space="0" w:color="auto"/>
              <w:right w:val="single" w:sz="8" w:space="0" w:color="auto"/>
            </w:tcBorders>
            <w:vAlign w:val="center"/>
            <w:hideMark/>
          </w:tcPr>
          <w:p w14:paraId="6276012B" w14:textId="77777777" w:rsidR="00044D5B" w:rsidRPr="00392E88" w:rsidRDefault="00044D5B">
            <w:pPr>
              <w:spacing w:before="0" w:after="0"/>
              <w:jc w:val="right"/>
              <w:rPr>
                <w:b/>
                <w:bCs/>
                <w:color w:val="000000"/>
                <w:sz w:val="20"/>
                <w:szCs w:val="20"/>
              </w:rPr>
            </w:pPr>
            <w:r w:rsidRPr="00392E88">
              <w:rPr>
                <w:b/>
                <w:color w:val="000000"/>
                <w:sz w:val="20"/>
              </w:rPr>
              <w:t xml:space="preserve"> </w:t>
            </w:r>
          </w:p>
        </w:tc>
        <w:tc>
          <w:tcPr>
            <w:tcW w:w="590" w:type="pct"/>
            <w:tcBorders>
              <w:top w:val="nil"/>
              <w:left w:val="nil"/>
              <w:bottom w:val="single" w:sz="8" w:space="0" w:color="auto"/>
              <w:right w:val="single" w:sz="8" w:space="0" w:color="auto"/>
            </w:tcBorders>
            <w:shd w:val="clear" w:color="000000" w:fill="D9D9D9"/>
            <w:vAlign w:val="center"/>
            <w:hideMark/>
          </w:tcPr>
          <w:p w14:paraId="6417A982" w14:textId="77777777" w:rsidR="00044D5B" w:rsidRPr="00392E88" w:rsidRDefault="00044D5B">
            <w:pPr>
              <w:spacing w:before="0" w:after="0"/>
              <w:jc w:val="right"/>
              <w:rPr>
                <w:b/>
                <w:bCs/>
                <w:color w:val="000000"/>
                <w:sz w:val="20"/>
                <w:szCs w:val="20"/>
              </w:rPr>
            </w:pPr>
            <w:r w:rsidRPr="00392E88">
              <w:rPr>
                <w:b/>
                <w:color w:val="000000"/>
                <w:sz w:val="20"/>
              </w:rPr>
              <w:t>0,000</w:t>
            </w:r>
          </w:p>
        </w:tc>
      </w:tr>
      <w:tr w:rsidR="00983E98" w:rsidRPr="00392E88" w14:paraId="13B2B6DA" w14:textId="77777777">
        <w:trPr>
          <w:trHeight w:val="288"/>
        </w:trPr>
        <w:tc>
          <w:tcPr>
            <w:tcW w:w="1419" w:type="pct"/>
            <w:gridSpan w:val="4"/>
            <w:vMerge w:val="restart"/>
            <w:tcBorders>
              <w:top w:val="nil"/>
              <w:left w:val="single" w:sz="8" w:space="0" w:color="auto"/>
              <w:right w:val="single" w:sz="8" w:space="0" w:color="auto"/>
            </w:tcBorders>
            <w:vAlign w:val="center"/>
            <w:hideMark/>
          </w:tcPr>
          <w:p w14:paraId="69AAB9FD" w14:textId="77777777" w:rsidR="00044D5B" w:rsidRPr="00392E88" w:rsidRDefault="00044D5B">
            <w:pPr>
              <w:spacing w:before="0" w:after="0"/>
              <w:jc w:val="center"/>
              <w:rPr>
                <w:b/>
                <w:bCs/>
                <w:color w:val="000000"/>
                <w:sz w:val="22"/>
              </w:rPr>
            </w:pPr>
            <w:r w:rsidRPr="00392E88">
              <w:rPr>
                <w:b/>
                <w:color w:val="000000"/>
                <w:sz w:val="22"/>
              </w:rPr>
              <w:t>OGÓŁEM środki</w:t>
            </w:r>
          </w:p>
          <w:p w14:paraId="55AE18D1" w14:textId="77777777" w:rsidR="00044D5B" w:rsidRPr="00392E88" w:rsidRDefault="00044D5B">
            <w:pPr>
              <w:spacing w:before="0" w:after="0"/>
              <w:jc w:val="center"/>
              <w:rPr>
                <w:b/>
                <w:bCs/>
                <w:color w:val="000000"/>
                <w:sz w:val="22"/>
              </w:rPr>
            </w:pPr>
            <w:r w:rsidRPr="00392E88">
              <w:rPr>
                <w:b/>
                <w:color w:val="000000"/>
                <w:sz w:val="22"/>
              </w:rPr>
              <w:t xml:space="preserve">dla Dyrekcji Generalnej </w:t>
            </w:r>
            <w:r w:rsidRPr="00392E88">
              <w:rPr>
                <w:color w:val="000000"/>
                <w:sz w:val="22"/>
              </w:rPr>
              <w:t>&lt;…….&gt;</w:t>
            </w:r>
          </w:p>
        </w:tc>
        <w:tc>
          <w:tcPr>
            <w:tcW w:w="529" w:type="pct"/>
            <w:gridSpan w:val="2"/>
            <w:tcBorders>
              <w:top w:val="nil"/>
              <w:left w:val="nil"/>
              <w:bottom w:val="single" w:sz="8" w:space="0" w:color="auto"/>
              <w:right w:val="single" w:sz="8" w:space="0" w:color="auto"/>
            </w:tcBorders>
            <w:vAlign w:val="center"/>
            <w:hideMark/>
          </w:tcPr>
          <w:p w14:paraId="12FAF813" w14:textId="77777777" w:rsidR="00044D5B" w:rsidRPr="00392E88" w:rsidRDefault="00044D5B">
            <w:pPr>
              <w:spacing w:before="0" w:after="0"/>
              <w:rPr>
                <w:color w:val="000000"/>
                <w:sz w:val="18"/>
                <w:szCs w:val="18"/>
              </w:rPr>
            </w:pPr>
            <w:r w:rsidRPr="00392E88">
              <w:rPr>
                <w:color w:val="000000"/>
                <w:sz w:val="18"/>
              </w:rPr>
              <w:t>Środki na zobowiązania</w:t>
            </w:r>
          </w:p>
        </w:tc>
        <w:tc>
          <w:tcPr>
            <w:tcW w:w="496" w:type="pct"/>
            <w:gridSpan w:val="2"/>
            <w:tcBorders>
              <w:top w:val="single" w:sz="8" w:space="0" w:color="auto"/>
              <w:left w:val="nil"/>
              <w:bottom w:val="single" w:sz="8" w:space="0" w:color="auto"/>
              <w:right w:val="single" w:sz="8" w:space="0" w:color="auto"/>
            </w:tcBorders>
            <w:vAlign w:val="center"/>
            <w:hideMark/>
          </w:tcPr>
          <w:p w14:paraId="410BA4D4" w14:textId="77777777" w:rsidR="00044D5B" w:rsidRPr="00392E88" w:rsidRDefault="00044D5B">
            <w:pPr>
              <w:spacing w:before="0" w:after="0"/>
              <w:jc w:val="center"/>
              <w:rPr>
                <w:color w:val="000000"/>
                <w:sz w:val="14"/>
                <w:szCs w:val="14"/>
              </w:rPr>
            </w:pPr>
            <w:r w:rsidRPr="00392E88">
              <w:rPr>
                <w:color w:val="000000"/>
                <w:sz w:val="14"/>
              </w:rPr>
              <w:t>=1a+1b+3</w:t>
            </w:r>
          </w:p>
        </w:tc>
        <w:tc>
          <w:tcPr>
            <w:tcW w:w="496" w:type="pct"/>
            <w:gridSpan w:val="2"/>
            <w:tcBorders>
              <w:top w:val="nil"/>
              <w:left w:val="nil"/>
              <w:bottom w:val="single" w:sz="8" w:space="0" w:color="auto"/>
              <w:right w:val="single" w:sz="8" w:space="0" w:color="auto"/>
            </w:tcBorders>
            <w:shd w:val="clear" w:color="000000" w:fill="D9D9D9"/>
            <w:vAlign w:val="center"/>
            <w:hideMark/>
          </w:tcPr>
          <w:p w14:paraId="76BF2E22" w14:textId="77777777" w:rsidR="00044D5B" w:rsidRPr="00392E88" w:rsidRDefault="00044D5B">
            <w:pPr>
              <w:spacing w:before="0" w:after="0"/>
              <w:jc w:val="right"/>
              <w:rPr>
                <w:b/>
                <w:bCs/>
                <w:color w:val="000000"/>
                <w:sz w:val="20"/>
                <w:szCs w:val="20"/>
              </w:rPr>
            </w:pPr>
            <w:r w:rsidRPr="00392E88">
              <w:rPr>
                <w:b/>
                <w:color w:val="000000"/>
                <w:sz w:val="20"/>
              </w:rPr>
              <w:t>0,000</w:t>
            </w:r>
          </w:p>
        </w:tc>
        <w:tc>
          <w:tcPr>
            <w:tcW w:w="496" w:type="pct"/>
            <w:gridSpan w:val="2"/>
            <w:tcBorders>
              <w:top w:val="nil"/>
              <w:left w:val="nil"/>
              <w:bottom w:val="single" w:sz="8" w:space="0" w:color="auto"/>
              <w:right w:val="single" w:sz="8" w:space="0" w:color="auto"/>
            </w:tcBorders>
            <w:shd w:val="clear" w:color="000000" w:fill="D9D9D9"/>
            <w:vAlign w:val="center"/>
            <w:hideMark/>
          </w:tcPr>
          <w:p w14:paraId="1F59B561" w14:textId="77777777" w:rsidR="00044D5B" w:rsidRPr="00392E88" w:rsidRDefault="00044D5B">
            <w:pPr>
              <w:spacing w:before="0" w:after="0"/>
              <w:jc w:val="right"/>
              <w:rPr>
                <w:b/>
                <w:bCs/>
                <w:color w:val="000000"/>
                <w:sz w:val="20"/>
                <w:szCs w:val="20"/>
              </w:rPr>
            </w:pPr>
            <w:r w:rsidRPr="00392E88">
              <w:rPr>
                <w:b/>
                <w:color w:val="000000"/>
                <w:sz w:val="20"/>
              </w:rPr>
              <w:t>0,000</w:t>
            </w:r>
          </w:p>
        </w:tc>
        <w:tc>
          <w:tcPr>
            <w:tcW w:w="496" w:type="pct"/>
            <w:tcBorders>
              <w:top w:val="nil"/>
              <w:left w:val="nil"/>
              <w:bottom w:val="single" w:sz="8" w:space="0" w:color="auto"/>
              <w:right w:val="single" w:sz="8" w:space="0" w:color="auto"/>
            </w:tcBorders>
            <w:shd w:val="clear" w:color="000000" w:fill="D9D9D9"/>
            <w:vAlign w:val="center"/>
            <w:hideMark/>
          </w:tcPr>
          <w:p w14:paraId="4F901AC9" w14:textId="77777777" w:rsidR="00044D5B" w:rsidRPr="00392E88" w:rsidRDefault="00044D5B">
            <w:pPr>
              <w:spacing w:before="0" w:after="0"/>
              <w:jc w:val="right"/>
              <w:rPr>
                <w:b/>
                <w:bCs/>
                <w:color w:val="000000"/>
                <w:sz w:val="20"/>
                <w:szCs w:val="20"/>
              </w:rPr>
            </w:pPr>
            <w:r w:rsidRPr="00392E88">
              <w:rPr>
                <w:b/>
                <w:color w:val="000000"/>
                <w:sz w:val="20"/>
              </w:rPr>
              <w:t>0,000</w:t>
            </w:r>
          </w:p>
        </w:tc>
        <w:tc>
          <w:tcPr>
            <w:tcW w:w="478" w:type="pct"/>
            <w:tcBorders>
              <w:top w:val="nil"/>
              <w:left w:val="nil"/>
              <w:bottom w:val="single" w:sz="8" w:space="0" w:color="auto"/>
              <w:right w:val="single" w:sz="8" w:space="0" w:color="auto"/>
            </w:tcBorders>
            <w:shd w:val="clear" w:color="000000" w:fill="D9D9D9"/>
            <w:vAlign w:val="center"/>
            <w:hideMark/>
          </w:tcPr>
          <w:p w14:paraId="666074F9" w14:textId="77777777" w:rsidR="00044D5B" w:rsidRPr="00392E88" w:rsidRDefault="00044D5B">
            <w:pPr>
              <w:spacing w:before="0" w:after="0"/>
              <w:jc w:val="right"/>
              <w:rPr>
                <w:b/>
                <w:bCs/>
                <w:color w:val="000000"/>
                <w:sz w:val="20"/>
                <w:szCs w:val="20"/>
              </w:rPr>
            </w:pPr>
            <w:r w:rsidRPr="00392E88">
              <w:rPr>
                <w:b/>
                <w:color w:val="000000"/>
                <w:sz w:val="20"/>
              </w:rPr>
              <w:t>0,000</w:t>
            </w:r>
          </w:p>
        </w:tc>
        <w:tc>
          <w:tcPr>
            <w:tcW w:w="590" w:type="pct"/>
            <w:tcBorders>
              <w:top w:val="nil"/>
              <w:left w:val="nil"/>
              <w:bottom w:val="single" w:sz="8" w:space="0" w:color="auto"/>
              <w:right w:val="single" w:sz="8" w:space="0" w:color="auto"/>
            </w:tcBorders>
            <w:shd w:val="clear" w:color="000000" w:fill="D9D9D9"/>
            <w:vAlign w:val="center"/>
            <w:hideMark/>
          </w:tcPr>
          <w:p w14:paraId="1D745A23" w14:textId="77777777" w:rsidR="00044D5B" w:rsidRPr="00392E88" w:rsidRDefault="00044D5B">
            <w:pPr>
              <w:spacing w:before="0" w:after="0"/>
              <w:jc w:val="right"/>
              <w:rPr>
                <w:b/>
                <w:bCs/>
                <w:color w:val="000000"/>
                <w:sz w:val="20"/>
                <w:szCs w:val="20"/>
              </w:rPr>
            </w:pPr>
            <w:r w:rsidRPr="00392E88">
              <w:rPr>
                <w:b/>
                <w:color w:val="000000"/>
                <w:sz w:val="20"/>
              </w:rPr>
              <w:t>0,000</w:t>
            </w:r>
          </w:p>
        </w:tc>
      </w:tr>
      <w:tr w:rsidR="00983E98" w:rsidRPr="00392E88" w14:paraId="5A7A7AFA" w14:textId="77777777">
        <w:trPr>
          <w:trHeight w:val="288"/>
        </w:trPr>
        <w:tc>
          <w:tcPr>
            <w:tcW w:w="1419" w:type="pct"/>
            <w:gridSpan w:val="4"/>
            <w:vMerge/>
            <w:tcBorders>
              <w:left w:val="single" w:sz="8" w:space="0" w:color="auto"/>
              <w:bottom w:val="single" w:sz="8" w:space="0" w:color="auto"/>
              <w:right w:val="single" w:sz="8" w:space="0" w:color="auto"/>
            </w:tcBorders>
            <w:vAlign w:val="center"/>
            <w:hideMark/>
          </w:tcPr>
          <w:p w14:paraId="4A1D7D45" w14:textId="77777777" w:rsidR="00044D5B" w:rsidRPr="00392E88" w:rsidRDefault="00044D5B">
            <w:pPr>
              <w:spacing w:before="0" w:after="0"/>
              <w:jc w:val="center"/>
              <w:rPr>
                <w:b/>
                <w:bCs/>
                <w:color w:val="000000"/>
                <w:sz w:val="22"/>
                <w:lang w:eastAsia="en-IE"/>
              </w:rPr>
            </w:pPr>
          </w:p>
        </w:tc>
        <w:tc>
          <w:tcPr>
            <w:tcW w:w="529" w:type="pct"/>
            <w:gridSpan w:val="2"/>
            <w:tcBorders>
              <w:top w:val="nil"/>
              <w:left w:val="nil"/>
              <w:bottom w:val="single" w:sz="8" w:space="0" w:color="auto"/>
              <w:right w:val="single" w:sz="8" w:space="0" w:color="auto"/>
            </w:tcBorders>
            <w:vAlign w:val="center"/>
            <w:hideMark/>
          </w:tcPr>
          <w:p w14:paraId="685BA31F" w14:textId="77777777" w:rsidR="00044D5B" w:rsidRPr="00392E88" w:rsidRDefault="00044D5B">
            <w:pPr>
              <w:spacing w:before="0" w:after="0"/>
              <w:rPr>
                <w:color w:val="000000"/>
                <w:sz w:val="18"/>
                <w:szCs w:val="18"/>
              </w:rPr>
            </w:pPr>
            <w:r w:rsidRPr="00392E88">
              <w:rPr>
                <w:color w:val="000000"/>
                <w:sz w:val="18"/>
              </w:rPr>
              <w:t>Środki na płatności</w:t>
            </w:r>
          </w:p>
        </w:tc>
        <w:tc>
          <w:tcPr>
            <w:tcW w:w="496" w:type="pct"/>
            <w:gridSpan w:val="2"/>
            <w:tcBorders>
              <w:top w:val="single" w:sz="8" w:space="0" w:color="auto"/>
              <w:left w:val="nil"/>
              <w:bottom w:val="single" w:sz="8" w:space="0" w:color="auto"/>
              <w:right w:val="single" w:sz="8" w:space="0" w:color="auto"/>
            </w:tcBorders>
            <w:vAlign w:val="center"/>
            <w:hideMark/>
          </w:tcPr>
          <w:p w14:paraId="1E8DBB0C" w14:textId="77777777" w:rsidR="00044D5B" w:rsidRPr="00392E88" w:rsidRDefault="00044D5B">
            <w:pPr>
              <w:spacing w:before="0" w:after="0"/>
              <w:jc w:val="center"/>
              <w:rPr>
                <w:color w:val="000000"/>
                <w:sz w:val="14"/>
                <w:szCs w:val="14"/>
              </w:rPr>
            </w:pPr>
            <w:r w:rsidRPr="00392E88">
              <w:rPr>
                <w:color w:val="000000"/>
                <w:sz w:val="14"/>
              </w:rPr>
              <w:t>=2a+2b+3</w:t>
            </w:r>
          </w:p>
        </w:tc>
        <w:tc>
          <w:tcPr>
            <w:tcW w:w="496" w:type="pct"/>
            <w:gridSpan w:val="2"/>
            <w:tcBorders>
              <w:top w:val="nil"/>
              <w:left w:val="nil"/>
              <w:bottom w:val="single" w:sz="8" w:space="0" w:color="auto"/>
              <w:right w:val="single" w:sz="8" w:space="0" w:color="auto"/>
            </w:tcBorders>
            <w:shd w:val="clear" w:color="000000" w:fill="D9D9D9"/>
            <w:vAlign w:val="center"/>
            <w:hideMark/>
          </w:tcPr>
          <w:p w14:paraId="3E4D8C95" w14:textId="77777777" w:rsidR="00044D5B" w:rsidRPr="00392E88" w:rsidRDefault="00044D5B">
            <w:pPr>
              <w:spacing w:before="0" w:after="0"/>
              <w:jc w:val="right"/>
              <w:rPr>
                <w:b/>
                <w:bCs/>
                <w:color w:val="000000"/>
                <w:sz w:val="20"/>
                <w:szCs w:val="20"/>
              </w:rPr>
            </w:pPr>
            <w:r w:rsidRPr="00392E88">
              <w:rPr>
                <w:b/>
                <w:color w:val="000000"/>
                <w:sz w:val="20"/>
              </w:rPr>
              <w:t>0,000</w:t>
            </w:r>
          </w:p>
        </w:tc>
        <w:tc>
          <w:tcPr>
            <w:tcW w:w="496" w:type="pct"/>
            <w:gridSpan w:val="2"/>
            <w:tcBorders>
              <w:top w:val="nil"/>
              <w:left w:val="nil"/>
              <w:bottom w:val="single" w:sz="8" w:space="0" w:color="auto"/>
              <w:right w:val="single" w:sz="8" w:space="0" w:color="auto"/>
            </w:tcBorders>
            <w:shd w:val="clear" w:color="000000" w:fill="D9D9D9"/>
            <w:vAlign w:val="center"/>
            <w:hideMark/>
          </w:tcPr>
          <w:p w14:paraId="40170612" w14:textId="77777777" w:rsidR="00044D5B" w:rsidRPr="00392E88" w:rsidRDefault="00044D5B">
            <w:pPr>
              <w:spacing w:before="0" w:after="0"/>
              <w:jc w:val="right"/>
              <w:rPr>
                <w:b/>
                <w:bCs/>
                <w:color w:val="000000"/>
                <w:sz w:val="20"/>
                <w:szCs w:val="20"/>
              </w:rPr>
            </w:pPr>
            <w:r w:rsidRPr="00392E88">
              <w:rPr>
                <w:b/>
                <w:color w:val="000000"/>
                <w:sz w:val="20"/>
              </w:rPr>
              <w:t>0,000</w:t>
            </w:r>
          </w:p>
        </w:tc>
        <w:tc>
          <w:tcPr>
            <w:tcW w:w="496" w:type="pct"/>
            <w:tcBorders>
              <w:top w:val="nil"/>
              <w:left w:val="nil"/>
              <w:bottom w:val="single" w:sz="8" w:space="0" w:color="auto"/>
              <w:right w:val="single" w:sz="8" w:space="0" w:color="auto"/>
            </w:tcBorders>
            <w:shd w:val="clear" w:color="000000" w:fill="D9D9D9"/>
            <w:vAlign w:val="center"/>
            <w:hideMark/>
          </w:tcPr>
          <w:p w14:paraId="4E50C77D" w14:textId="77777777" w:rsidR="00044D5B" w:rsidRPr="00392E88" w:rsidRDefault="00044D5B">
            <w:pPr>
              <w:spacing w:before="0" w:after="0"/>
              <w:jc w:val="right"/>
              <w:rPr>
                <w:b/>
                <w:bCs/>
                <w:color w:val="000000"/>
                <w:sz w:val="20"/>
                <w:szCs w:val="20"/>
              </w:rPr>
            </w:pPr>
            <w:r w:rsidRPr="00392E88">
              <w:rPr>
                <w:b/>
                <w:color w:val="000000"/>
                <w:sz w:val="20"/>
              </w:rPr>
              <w:t>0,000</w:t>
            </w:r>
          </w:p>
        </w:tc>
        <w:tc>
          <w:tcPr>
            <w:tcW w:w="478" w:type="pct"/>
            <w:tcBorders>
              <w:top w:val="nil"/>
              <w:left w:val="nil"/>
              <w:bottom w:val="single" w:sz="8" w:space="0" w:color="auto"/>
              <w:right w:val="single" w:sz="8" w:space="0" w:color="auto"/>
            </w:tcBorders>
            <w:shd w:val="clear" w:color="000000" w:fill="D9D9D9"/>
            <w:vAlign w:val="center"/>
            <w:hideMark/>
          </w:tcPr>
          <w:p w14:paraId="0C01F648" w14:textId="77777777" w:rsidR="00044D5B" w:rsidRPr="00392E88" w:rsidRDefault="00044D5B">
            <w:pPr>
              <w:spacing w:before="0" w:after="0"/>
              <w:jc w:val="right"/>
              <w:rPr>
                <w:b/>
                <w:bCs/>
                <w:color w:val="000000"/>
                <w:sz w:val="20"/>
                <w:szCs w:val="20"/>
              </w:rPr>
            </w:pPr>
            <w:r w:rsidRPr="00392E88">
              <w:rPr>
                <w:b/>
                <w:color w:val="000000"/>
                <w:sz w:val="20"/>
              </w:rPr>
              <w:t>0,000</w:t>
            </w:r>
          </w:p>
        </w:tc>
        <w:tc>
          <w:tcPr>
            <w:tcW w:w="590" w:type="pct"/>
            <w:tcBorders>
              <w:top w:val="nil"/>
              <w:left w:val="nil"/>
              <w:bottom w:val="single" w:sz="8" w:space="0" w:color="auto"/>
              <w:right w:val="single" w:sz="8" w:space="0" w:color="auto"/>
            </w:tcBorders>
            <w:shd w:val="clear" w:color="000000" w:fill="D9D9D9"/>
            <w:vAlign w:val="center"/>
            <w:hideMark/>
          </w:tcPr>
          <w:p w14:paraId="4251E2E6" w14:textId="77777777" w:rsidR="00044D5B" w:rsidRPr="00392E88" w:rsidRDefault="00044D5B">
            <w:pPr>
              <w:spacing w:before="0" w:after="0"/>
              <w:jc w:val="right"/>
              <w:rPr>
                <w:b/>
                <w:bCs/>
                <w:color w:val="000000"/>
                <w:sz w:val="20"/>
                <w:szCs w:val="20"/>
              </w:rPr>
            </w:pPr>
            <w:r w:rsidRPr="00392E88">
              <w:rPr>
                <w:b/>
                <w:color w:val="000000"/>
                <w:sz w:val="20"/>
              </w:rPr>
              <w:t>0,000</w:t>
            </w:r>
          </w:p>
        </w:tc>
      </w:tr>
      <w:tr w:rsidR="00470A36" w:rsidRPr="00392E88" w14:paraId="7C401CC2" w14:textId="77777777">
        <w:trPr>
          <w:trHeight w:val="420"/>
        </w:trPr>
        <w:tc>
          <w:tcPr>
            <w:tcW w:w="2444" w:type="pct"/>
            <w:gridSpan w:val="4"/>
            <w:tcBorders>
              <w:top w:val="single" w:sz="8" w:space="0" w:color="auto"/>
              <w:left w:val="single" w:sz="8" w:space="0" w:color="auto"/>
              <w:bottom w:val="single" w:sz="8" w:space="0" w:color="auto"/>
              <w:right w:val="single" w:sz="8" w:space="0" w:color="auto"/>
            </w:tcBorders>
            <w:vAlign w:val="center"/>
            <w:hideMark/>
          </w:tcPr>
          <w:p w14:paraId="73CD796E" w14:textId="77777777" w:rsidR="00044D5B" w:rsidRPr="00392E88" w:rsidRDefault="00044D5B">
            <w:pPr>
              <w:spacing w:before="0" w:after="0"/>
              <w:jc w:val="center"/>
              <w:rPr>
                <w:color w:val="000000"/>
                <w:sz w:val="22"/>
              </w:rPr>
            </w:pPr>
            <w:r w:rsidRPr="00392E88">
              <w:rPr>
                <w:color w:val="000000"/>
                <w:sz w:val="22"/>
              </w:rPr>
              <w:t>Dyrekcja Generalna: &lt;…….&gt;</w:t>
            </w:r>
          </w:p>
        </w:tc>
        <w:tc>
          <w:tcPr>
            <w:tcW w:w="496" w:type="pct"/>
            <w:gridSpan w:val="2"/>
            <w:tcBorders>
              <w:top w:val="single" w:sz="8" w:space="0" w:color="auto"/>
              <w:left w:val="nil"/>
              <w:bottom w:val="single" w:sz="8" w:space="0" w:color="auto"/>
              <w:right w:val="single" w:sz="8" w:space="0" w:color="auto"/>
            </w:tcBorders>
            <w:vAlign w:val="center"/>
            <w:hideMark/>
          </w:tcPr>
          <w:p w14:paraId="2CB866C0" w14:textId="77777777" w:rsidR="00044D5B" w:rsidRPr="00392E88" w:rsidRDefault="00044D5B">
            <w:pPr>
              <w:spacing w:before="0" w:after="0"/>
              <w:jc w:val="center"/>
              <w:rPr>
                <w:color w:val="000000"/>
                <w:sz w:val="20"/>
                <w:szCs w:val="20"/>
              </w:rPr>
            </w:pPr>
            <w:r w:rsidRPr="00392E88">
              <w:rPr>
                <w:color w:val="000000"/>
                <w:sz w:val="20"/>
              </w:rPr>
              <w:t>Rok</w:t>
            </w:r>
          </w:p>
        </w:tc>
        <w:tc>
          <w:tcPr>
            <w:tcW w:w="496" w:type="pct"/>
            <w:gridSpan w:val="2"/>
            <w:tcBorders>
              <w:top w:val="single" w:sz="8" w:space="0" w:color="auto"/>
              <w:left w:val="nil"/>
              <w:bottom w:val="single" w:sz="8" w:space="0" w:color="auto"/>
              <w:right w:val="single" w:sz="8" w:space="0" w:color="auto"/>
            </w:tcBorders>
            <w:vAlign w:val="center"/>
            <w:hideMark/>
          </w:tcPr>
          <w:p w14:paraId="394A9BE8" w14:textId="77777777" w:rsidR="00044D5B" w:rsidRPr="00392E88" w:rsidRDefault="00044D5B">
            <w:pPr>
              <w:spacing w:before="0" w:after="0"/>
              <w:jc w:val="center"/>
              <w:rPr>
                <w:color w:val="000000"/>
                <w:sz w:val="20"/>
                <w:szCs w:val="20"/>
              </w:rPr>
            </w:pPr>
            <w:r w:rsidRPr="00392E88">
              <w:rPr>
                <w:color w:val="000000"/>
                <w:sz w:val="20"/>
              </w:rPr>
              <w:t>Rok</w:t>
            </w:r>
          </w:p>
        </w:tc>
        <w:tc>
          <w:tcPr>
            <w:tcW w:w="496" w:type="pct"/>
            <w:gridSpan w:val="2"/>
            <w:tcBorders>
              <w:top w:val="single" w:sz="8" w:space="0" w:color="auto"/>
              <w:left w:val="nil"/>
              <w:bottom w:val="single" w:sz="8" w:space="0" w:color="auto"/>
              <w:right w:val="single" w:sz="8" w:space="0" w:color="auto"/>
            </w:tcBorders>
            <w:vAlign w:val="center"/>
            <w:hideMark/>
          </w:tcPr>
          <w:p w14:paraId="7E4BEA0B" w14:textId="77777777" w:rsidR="00044D5B" w:rsidRPr="00392E88" w:rsidRDefault="00044D5B">
            <w:pPr>
              <w:spacing w:before="0" w:after="0"/>
              <w:jc w:val="center"/>
              <w:rPr>
                <w:color w:val="000000"/>
                <w:sz w:val="20"/>
                <w:szCs w:val="20"/>
              </w:rPr>
            </w:pPr>
            <w:r w:rsidRPr="00392E88">
              <w:rPr>
                <w:color w:val="000000"/>
                <w:sz w:val="20"/>
              </w:rPr>
              <w:t>Rok</w:t>
            </w:r>
          </w:p>
        </w:tc>
        <w:tc>
          <w:tcPr>
            <w:tcW w:w="478" w:type="pct"/>
            <w:gridSpan w:val="2"/>
            <w:tcBorders>
              <w:top w:val="single" w:sz="8" w:space="0" w:color="auto"/>
              <w:left w:val="nil"/>
              <w:bottom w:val="single" w:sz="8" w:space="0" w:color="auto"/>
              <w:right w:val="single" w:sz="8" w:space="0" w:color="auto"/>
            </w:tcBorders>
            <w:vAlign w:val="center"/>
            <w:hideMark/>
          </w:tcPr>
          <w:p w14:paraId="415EB53C" w14:textId="77777777" w:rsidR="00044D5B" w:rsidRPr="00392E88" w:rsidRDefault="00044D5B">
            <w:pPr>
              <w:spacing w:before="0" w:after="0"/>
              <w:jc w:val="center"/>
              <w:rPr>
                <w:color w:val="000000"/>
                <w:sz w:val="20"/>
                <w:szCs w:val="20"/>
              </w:rPr>
            </w:pPr>
            <w:r w:rsidRPr="00392E88">
              <w:rPr>
                <w:color w:val="000000"/>
                <w:sz w:val="20"/>
              </w:rPr>
              <w:t>Rok</w:t>
            </w:r>
          </w:p>
        </w:tc>
        <w:tc>
          <w:tcPr>
            <w:tcW w:w="590" w:type="pct"/>
            <w:gridSpan w:val="3"/>
            <w:tcBorders>
              <w:top w:val="single" w:sz="8" w:space="0" w:color="auto"/>
              <w:left w:val="single" w:sz="8" w:space="0" w:color="auto"/>
              <w:bottom w:val="single" w:sz="8" w:space="0" w:color="auto"/>
              <w:right w:val="single" w:sz="8" w:space="0" w:color="auto"/>
            </w:tcBorders>
            <w:vAlign w:val="center"/>
            <w:hideMark/>
          </w:tcPr>
          <w:p w14:paraId="695BA7C5" w14:textId="77777777" w:rsidR="00044D5B" w:rsidRPr="00392E88" w:rsidRDefault="00044D5B">
            <w:pPr>
              <w:spacing w:before="0" w:after="0"/>
              <w:jc w:val="center"/>
              <w:rPr>
                <w:b/>
                <w:bCs/>
                <w:color w:val="000000"/>
                <w:sz w:val="20"/>
                <w:szCs w:val="20"/>
              </w:rPr>
            </w:pPr>
            <w:r w:rsidRPr="00392E88">
              <w:rPr>
                <w:b/>
                <w:color w:val="000000"/>
                <w:sz w:val="20"/>
              </w:rPr>
              <w:t>OGÓŁEM WRF 2021–2027</w:t>
            </w:r>
          </w:p>
        </w:tc>
      </w:tr>
      <w:tr w:rsidR="00470A36" w:rsidRPr="00392E88" w14:paraId="30E32A47" w14:textId="77777777">
        <w:trPr>
          <w:trHeight w:val="288"/>
        </w:trPr>
        <w:tc>
          <w:tcPr>
            <w:tcW w:w="2444" w:type="pct"/>
            <w:gridSpan w:val="4"/>
            <w:tcBorders>
              <w:top w:val="single" w:sz="8" w:space="0" w:color="auto"/>
              <w:left w:val="single" w:sz="8" w:space="0" w:color="auto"/>
              <w:bottom w:val="single" w:sz="8" w:space="0" w:color="auto"/>
              <w:right w:val="single" w:sz="8" w:space="0" w:color="auto"/>
            </w:tcBorders>
            <w:vAlign w:val="center"/>
            <w:hideMark/>
          </w:tcPr>
          <w:p w14:paraId="429C49C5" w14:textId="77777777" w:rsidR="00044D5B" w:rsidRPr="00392E88" w:rsidRDefault="00044D5B">
            <w:pPr>
              <w:spacing w:before="0" w:after="0"/>
              <w:jc w:val="left"/>
              <w:rPr>
                <w:color w:val="000000"/>
                <w:sz w:val="22"/>
                <w:lang w:eastAsia="en-IE"/>
              </w:rPr>
            </w:pPr>
          </w:p>
        </w:tc>
        <w:tc>
          <w:tcPr>
            <w:tcW w:w="496" w:type="pct"/>
            <w:gridSpan w:val="2"/>
            <w:tcBorders>
              <w:top w:val="nil"/>
              <w:left w:val="nil"/>
              <w:bottom w:val="single" w:sz="8" w:space="0" w:color="auto"/>
              <w:right w:val="single" w:sz="8" w:space="0" w:color="auto"/>
            </w:tcBorders>
            <w:vAlign w:val="center"/>
            <w:hideMark/>
          </w:tcPr>
          <w:p w14:paraId="00C6D7D2" w14:textId="77777777" w:rsidR="00044D5B" w:rsidRPr="00392E88" w:rsidRDefault="00044D5B">
            <w:pPr>
              <w:spacing w:before="0" w:after="0"/>
              <w:jc w:val="center"/>
              <w:rPr>
                <w:b/>
                <w:bCs/>
                <w:color w:val="000000"/>
                <w:sz w:val="20"/>
                <w:szCs w:val="20"/>
              </w:rPr>
            </w:pPr>
            <w:r w:rsidRPr="00392E88">
              <w:rPr>
                <w:b/>
                <w:color w:val="000000"/>
                <w:sz w:val="20"/>
              </w:rPr>
              <w:t>2024</w:t>
            </w:r>
          </w:p>
        </w:tc>
        <w:tc>
          <w:tcPr>
            <w:tcW w:w="496" w:type="pct"/>
            <w:gridSpan w:val="2"/>
            <w:tcBorders>
              <w:top w:val="nil"/>
              <w:left w:val="nil"/>
              <w:bottom w:val="single" w:sz="8" w:space="0" w:color="auto"/>
              <w:right w:val="single" w:sz="8" w:space="0" w:color="auto"/>
            </w:tcBorders>
            <w:vAlign w:val="center"/>
            <w:hideMark/>
          </w:tcPr>
          <w:p w14:paraId="6752512E" w14:textId="77777777" w:rsidR="00044D5B" w:rsidRPr="00392E88" w:rsidRDefault="00044D5B">
            <w:pPr>
              <w:spacing w:before="0" w:after="0"/>
              <w:jc w:val="center"/>
              <w:rPr>
                <w:b/>
                <w:bCs/>
                <w:color w:val="000000"/>
                <w:sz w:val="20"/>
                <w:szCs w:val="20"/>
              </w:rPr>
            </w:pPr>
            <w:r w:rsidRPr="00392E88">
              <w:rPr>
                <w:b/>
                <w:color w:val="000000"/>
                <w:sz w:val="20"/>
              </w:rPr>
              <w:t>2025</w:t>
            </w:r>
          </w:p>
        </w:tc>
        <w:tc>
          <w:tcPr>
            <w:tcW w:w="496" w:type="pct"/>
            <w:gridSpan w:val="2"/>
            <w:tcBorders>
              <w:top w:val="nil"/>
              <w:left w:val="nil"/>
              <w:bottom w:val="single" w:sz="8" w:space="0" w:color="auto"/>
              <w:right w:val="single" w:sz="8" w:space="0" w:color="auto"/>
            </w:tcBorders>
            <w:vAlign w:val="center"/>
            <w:hideMark/>
          </w:tcPr>
          <w:p w14:paraId="5C012CE6" w14:textId="77777777" w:rsidR="00044D5B" w:rsidRPr="00392E88" w:rsidRDefault="00044D5B">
            <w:pPr>
              <w:spacing w:before="0" w:after="0"/>
              <w:jc w:val="center"/>
              <w:rPr>
                <w:b/>
                <w:bCs/>
                <w:color w:val="000000"/>
                <w:sz w:val="20"/>
                <w:szCs w:val="20"/>
              </w:rPr>
            </w:pPr>
            <w:r w:rsidRPr="00392E88">
              <w:rPr>
                <w:b/>
                <w:color w:val="000000"/>
                <w:sz w:val="20"/>
              </w:rPr>
              <w:t>2026</w:t>
            </w:r>
          </w:p>
        </w:tc>
        <w:tc>
          <w:tcPr>
            <w:tcW w:w="478" w:type="pct"/>
            <w:gridSpan w:val="2"/>
            <w:tcBorders>
              <w:top w:val="nil"/>
              <w:left w:val="nil"/>
              <w:bottom w:val="single" w:sz="8" w:space="0" w:color="auto"/>
              <w:right w:val="single" w:sz="8" w:space="0" w:color="auto"/>
            </w:tcBorders>
            <w:vAlign w:val="center"/>
            <w:hideMark/>
          </w:tcPr>
          <w:p w14:paraId="34245B08" w14:textId="77777777" w:rsidR="00044D5B" w:rsidRPr="00392E88" w:rsidRDefault="00044D5B">
            <w:pPr>
              <w:spacing w:before="0" w:after="0"/>
              <w:jc w:val="center"/>
              <w:rPr>
                <w:b/>
                <w:bCs/>
                <w:color w:val="000000"/>
                <w:sz w:val="20"/>
                <w:szCs w:val="20"/>
              </w:rPr>
            </w:pPr>
            <w:r w:rsidRPr="00392E88">
              <w:rPr>
                <w:b/>
                <w:color w:val="000000"/>
                <w:sz w:val="20"/>
              </w:rPr>
              <w:t>2027</w:t>
            </w:r>
          </w:p>
        </w:tc>
        <w:tc>
          <w:tcPr>
            <w:tcW w:w="590" w:type="pct"/>
            <w:gridSpan w:val="3"/>
            <w:tcBorders>
              <w:top w:val="single" w:sz="8" w:space="0" w:color="auto"/>
              <w:left w:val="single" w:sz="8" w:space="0" w:color="auto"/>
              <w:bottom w:val="single" w:sz="8" w:space="0" w:color="auto"/>
              <w:right w:val="single" w:sz="8" w:space="0" w:color="auto"/>
            </w:tcBorders>
            <w:vAlign w:val="center"/>
            <w:hideMark/>
          </w:tcPr>
          <w:p w14:paraId="71C515D3" w14:textId="77777777" w:rsidR="00044D5B" w:rsidRPr="00392E88" w:rsidRDefault="00044D5B">
            <w:pPr>
              <w:spacing w:before="0" w:after="0"/>
              <w:jc w:val="left"/>
              <w:rPr>
                <w:b/>
                <w:bCs/>
                <w:color w:val="000000"/>
                <w:sz w:val="20"/>
                <w:szCs w:val="20"/>
                <w:lang w:eastAsia="en-IE"/>
              </w:rPr>
            </w:pPr>
          </w:p>
        </w:tc>
      </w:tr>
      <w:tr w:rsidR="0014428F" w:rsidRPr="00392E88" w14:paraId="5A971E2E" w14:textId="77777777">
        <w:trPr>
          <w:trHeight w:val="300"/>
        </w:trPr>
        <w:tc>
          <w:tcPr>
            <w:tcW w:w="5000" w:type="pct"/>
            <w:gridSpan w:val="15"/>
            <w:tcBorders>
              <w:top w:val="single" w:sz="8" w:space="0" w:color="auto"/>
              <w:left w:val="single" w:sz="8" w:space="0" w:color="auto"/>
              <w:bottom w:val="single" w:sz="8" w:space="0" w:color="auto"/>
              <w:right w:val="single" w:sz="8" w:space="0" w:color="auto"/>
            </w:tcBorders>
            <w:vAlign w:val="center"/>
            <w:hideMark/>
          </w:tcPr>
          <w:p w14:paraId="15D9AB8E" w14:textId="77777777" w:rsidR="00044D5B" w:rsidRPr="00392E88" w:rsidRDefault="00044D5B">
            <w:pPr>
              <w:spacing w:before="0" w:after="0"/>
              <w:jc w:val="left"/>
              <w:rPr>
                <w:color w:val="000000"/>
                <w:sz w:val="21"/>
                <w:szCs w:val="21"/>
              </w:rPr>
            </w:pPr>
            <w:r w:rsidRPr="00392E88">
              <w:rPr>
                <w:color w:val="000000"/>
                <w:sz w:val="21"/>
              </w:rPr>
              <w:t xml:space="preserve">Środki operacyjne </w:t>
            </w:r>
          </w:p>
        </w:tc>
      </w:tr>
      <w:tr w:rsidR="00E62D64" w:rsidRPr="00392E88" w14:paraId="58AEBF8B" w14:textId="77777777">
        <w:trPr>
          <w:trHeight w:val="288"/>
        </w:trPr>
        <w:tc>
          <w:tcPr>
            <w:tcW w:w="1419" w:type="pct"/>
            <w:gridSpan w:val="4"/>
            <w:vMerge w:val="restart"/>
            <w:tcBorders>
              <w:top w:val="nil"/>
              <w:left w:val="single" w:sz="8" w:space="0" w:color="auto"/>
              <w:bottom w:val="single" w:sz="8" w:space="0" w:color="auto"/>
              <w:right w:val="single" w:sz="8" w:space="0" w:color="auto"/>
            </w:tcBorders>
            <w:noWrap/>
            <w:vAlign w:val="center"/>
            <w:hideMark/>
          </w:tcPr>
          <w:p w14:paraId="726DC25E" w14:textId="77777777" w:rsidR="00044D5B" w:rsidRPr="00392E88" w:rsidRDefault="00044D5B">
            <w:pPr>
              <w:spacing w:before="0" w:after="0"/>
              <w:jc w:val="left"/>
              <w:rPr>
                <w:color w:val="000000"/>
                <w:sz w:val="22"/>
              </w:rPr>
            </w:pPr>
            <w:r w:rsidRPr="00392E88">
              <w:rPr>
                <w:color w:val="000000"/>
                <w:sz w:val="22"/>
              </w:rPr>
              <w:t>Linia budżetowa</w:t>
            </w:r>
          </w:p>
        </w:tc>
        <w:tc>
          <w:tcPr>
            <w:tcW w:w="529" w:type="pct"/>
            <w:gridSpan w:val="2"/>
            <w:tcBorders>
              <w:top w:val="nil"/>
              <w:left w:val="nil"/>
              <w:bottom w:val="single" w:sz="8" w:space="0" w:color="auto"/>
              <w:right w:val="single" w:sz="8" w:space="0" w:color="auto"/>
            </w:tcBorders>
            <w:vAlign w:val="center"/>
            <w:hideMark/>
          </w:tcPr>
          <w:p w14:paraId="77C6936B" w14:textId="77777777" w:rsidR="00044D5B" w:rsidRPr="00392E88" w:rsidRDefault="00044D5B">
            <w:pPr>
              <w:spacing w:before="0" w:after="0"/>
              <w:rPr>
                <w:color w:val="000000"/>
                <w:sz w:val="18"/>
                <w:szCs w:val="18"/>
              </w:rPr>
            </w:pPr>
            <w:r w:rsidRPr="00392E88">
              <w:rPr>
                <w:color w:val="000000"/>
                <w:sz w:val="18"/>
              </w:rPr>
              <w:t>Środki na zobowiązania</w:t>
            </w:r>
          </w:p>
        </w:tc>
        <w:tc>
          <w:tcPr>
            <w:tcW w:w="496" w:type="pct"/>
            <w:gridSpan w:val="2"/>
            <w:tcBorders>
              <w:top w:val="single" w:sz="8" w:space="0" w:color="auto"/>
              <w:left w:val="nil"/>
              <w:bottom w:val="single" w:sz="8" w:space="0" w:color="auto"/>
              <w:right w:val="single" w:sz="8" w:space="0" w:color="auto"/>
            </w:tcBorders>
            <w:vAlign w:val="center"/>
            <w:hideMark/>
          </w:tcPr>
          <w:p w14:paraId="18127911" w14:textId="77777777" w:rsidR="00044D5B" w:rsidRPr="00392E88" w:rsidRDefault="00044D5B">
            <w:pPr>
              <w:spacing w:before="0" w:after="0"/>
              <w:jc w:val="center"/>
              <w:rPr>
                <w:color w:val="000000"/>
                <w:sz w:val="14"/>
                <w:szCs w:val="14"/>
              </w:rPr>
            </w:pPr>
            <w:r w:rsidRPr="00392E88">
              <w:rPr>
                <w:color w:val="000000"/>
                <w:sz w:val="14"/>
              </w:rPr>
              <w:t>(1a)</w:t>
            </w:r>
          </w:p>
        </w:tc>
        <w:tc>
          <w:tcPr>
            <w:tcW w:w="496" w:type="pct"/>
            <w:gridSpan w:val="2"/>
            <w:tcBorders>
              <w:top w:val="nil"/>
              <w:left w:val="nil"/>
              <w:bottom w:val="single" w:sz="8" w:space="0" w:color="auto"/>
              <w:right w:val="single" w:sz="8" w:space="0" w:color="auto"/>
            </w:tcBorders>
            <w:vAlign w:val="center"/>
            <w:hideMark/>
          </w:tcPr>
          <w:p w14:paraId="17BB4B22" w14:textId="77777777" w:rsidR="00044D5B" w:rsidRPr="00392E88" w:rsidRDefault="00044D5B">
            <w:pPr>
              <w:spacing w:before="0" w:after="0"/>
              <w:jc w:val="right"/>
              <w:rPr>
                <w:color w:val="000000"/>
                <w:sz w:val="20"/>
                <w:szCs w:val="20"/>
              </w:rPr>
            </w:pPr>
            <w:r w:rsidRPr="00392E88">
              <w:rPr>
                <w:color w:val="000000"/>
                <w:sz w:val="20"/>
              </w:rPr>
              <w:t xml:space="preserve"> </w:t>
            </w:r>
          </w:p>
        </w:tc>
        <w:tc>
          <w:tcPr>
            <w:tcW w:w="496" w:type="pct"/>
            <w:gridSpan w:val="2"/>
            <w:tcBorders>
              <w:top w:val="nil"/>
              <w:left w:val="nil"/>
              <w:bottom w:val="single" w:sz="8" w:space="0" w:color="auto"/>
              <w:right w:val="single" w:sz="8" w:space="0" w:color="auto"/>
            </w:tcBorders>
            <w:vAlign w:val="center"/>
            <w:hideMark/>
          </w:tcPr>
          <w:p w14:paraId="073E158C" w14:textId="77777777" w:rsidR="00044D5B" w:rsidRPr="00392E88" w:rsidRDefault="00044D5B">
            <w:pPr>
              <w:spacing w:before="0" w:after="0"/>
              <w:jc w:val="right"/>
              <w:rPr>
                <w:color w:val="000000"/>
                <w:sz w:val="20"/>
                <w:szCs w:val="20"/>
              </w:rPr>
            </w:pPr>
            <w:r w:rsidRPr="00392E88">
              <w:rPr>
                <w:color w:val="000000"/>
                <w:sz w:val="20"/>
              </w:rPr>
              <w:t xml:space="preserve"> </w:t>
            </w:r>
          </w:p>
        </w:tc>
        <w:tc>
          <w:tcPr>
            <w:tcW w:w="496" w:type="pct"/>
            <w:tcBorders>
              <w:top w:val="nil"/>
              <w:left w:val="nil"/>
              <w:bottom w:val="single" w:sz="8" w:space="0" w:color="auto"/>
              <w:right w:val="single" w:sz="8" w:space="0" w:color="auto"/>
            </w:tcBorders>
            <w:vAlign w:val="center"/>
            <w:hideMark/>
          </w:tcPr>
          <w:p w14:paraId="73CD4631" w14:textId="77777777" w:rsidR="00044D5B" w:rsidRPr="00392E88" w:rsidRDefault="00044D5B">
            <w:pPr>
              <w:spacing w:before="0" w:after="0"/>
              <w:jc w:val="right"/>
              <w:rPr>
                <w:color w:val="000000"/>
                <w:sz w:val="20"/>
                <w:szCs w:val="20"/>
              </w:rPr>
            </w:pPr>
            <w:r w:rsidRPr="00392E88">
              <w:rPr>
                <w:color w:val="000000"/>
                <w:sz w:val="20"/>
              </w:rPr>
              <w:t xml:space="preserve"> </w:t>
            </w:r>
          </w:p>
        </w:tc>
        <w:tc>
          <w:tcPr>
            <w:tcW w:w="478" w:type="pct"/>
            <w:tcBorders>
              <w:top w:val="nil"/>
              <w:left w:val="nil"/>
              <w:bottom w:val="single" w:sz="8" w:space="0" w:color="auto"/>
              <w:right w:val="single" w:sz="8" w:space="0" w:color="auto"/>
            </w:tcBorders>
            <w:vAlign w:val="center"/>
            <w:hideMark/>
          </w:tcPr>
          <w:p w14:paraId="250AB7B2" w14:textId="77777777" w:rsidR="00044D5B" w:rsidRPr="00392E88" w:rsidRDefault="00044D5B">
            <w:pPr>
              <w:spacing w:before="0" w:after="0"/>
              <w:jc w:val="right"/>
              <w:rPr>
                <w:color w:val="000000"/>
                <w:sz w:val="20"/>
                <w:szCs w:val="20"/>
              </w:rPr>
            </w:pPr>
            <w:r w:rsidRPr="00392E88">
              <w:rPr>
                <w:color w:val="000000"/>
                <w:sz w:val="20"/>
              </w:rPr>
              <w:t xml:space="preserve"> </w:t>
            </w:r>
          </w:p>
        </w:tc>
        <w:tc>
          <w:tcPr>
            <w:tcW w:w="590" w:type="pct"/>
            <w:tcBorders>
              <w:top w:val="nil"/>
              <w:left w:val="nil"/>
              <w:bottom w:val="single" w:sz="8" w:space="0" w:color="auto"/>
              <w:right w:val="single" w:sz="8" w:space="0" w:color="auto"/>
            </w:tcBorders>
            <w:shd w:val="clear" w:color="000000" w:fill="D9D9D9"/>
            <w:vAlign w:val="center"/>
            <w:hideMark/>
          </w:tcPr>
          <w:p w14:paraId="2735DEBD" w14:textId="77777777" w:rsidR="00044D5B" w:rsidRPr="00392E88" w:rsidRDefault="00044D5B">
            <w:pPr>
              <w:spacing w:before="0" w:after="0"/>
              <w:jc w:val="right"/>
              <w:rPr>
                <w:b/>
                <w:bCs/>
                <w:color w:val="000000"/>
                <w:sz w:val="20"/>
                <w:szCs w:val="20"/>
              </w:rPr>
            </w:pPr>
            <w:r w:rsidRPr="00392E88">
              <w:rPr>
                <w:b/>
                <w:color w:val="000000"/>
                <w:sz w:val="20"/>
              </w:rPr>
              <w:t>0,000</w:t>
            </w:r>
          </w:p>
        </w:tc>
      </w:tr>
      <w:tr w:rsidR="00E62D64" w:rsidRPr="00392E88" w14:paraId="43BE08E6" w14:textId="77777777">
        <w:trPr>
          <w:trHeight w:val="315"/>
        </w:trPr>
        <w:tc>
          <w:tcPr>
            <w:tcW w:w="1419" w:type="pct"/>
            <w:gridSpan w:val="4"/>
            <w:vMerge/>
            <w:tcBorders>
              <w:top w:val="nil"/>
              <w:left w:val="single" w:sz="8" w:space="0" w:color="auto"/>
              <w:bottom w:val="single" w:sz="8" w:space="0" w:color="auto"/>
              <w:right w:val="single" w:sz="8" w:space="0" w:color="auto"/>
            </w:tcBorders>
            <w:vAlign w:val="center"/>
            <w:hideMark/>
          </w:tcPr>
          <w:p w14:paraId="42F70AE4" w14:textId="77777777" w:rsidR="00044D5B" w:rsidRPr="00392E88" w:rsidRDefault="00044D5B">
            <w:pPr>
              <w:spacing w:before="0" w:after="0"/>
              <w:jc w:val="left"/>
              <w:rPr>
                <w:color w:val="000000"/>
                <w:sz w:val="22"/>
                <w:lang w:eastAsia="en-IE"/>
              </w:rPr>
            </w:pPr>
          </w:p>
        </w:tc>
        <w:tc>
          <w:tcPr>
            <w:tcW w:w="529" w:type="pct"/>
            <w:gridSpan w:val="2"/>
            <w:tcBorders>
              <w:top w:val="nil"/>
              <w:left w:val="nil"/>
              <w:bottom w:val="single" w:sz="8" w:space="0" w:color="auto"/>
              <w:right w:val="single" w:sz="8" w:space="0" w:color="auto"/>
            </w:tcBorders>
            <w:vAlign w:val="center"/>
            <w:hideMark/>
          </w:tcPr>
          <w:p w14:paraId="1A69AD0A" w14:textId="77777777" w:rsidR="00044D5B" w:rsidRPr="00392E88" w:rsidRDefault="00044D5B">
            <w:pPr>
              <w:spacing w:before="0" w:after="0"/>
              <w:rPr>
                <w:color w:val="000000"/>
                <w:sz w:val="18"/>
                <w:szCs w:val="18"/>
              </w:rPr>
            </w:pPr>
            <w:r w:rsidRPr="00392E88">
              <w:rPr>
                <w:color w:val="000000"/>
                <w:sz w:val="18"/>
              </w:rPr>
              <w:t>Środki na płatności</w:t>
            </w:r>
          </w:p>
        </w:tc>
        <w:tc>
          <w:tcPr>
            <w:tcW w:w="496" w:type="pct"/>
            <w:gridSpan w:val="2"/>
            <w:tcBorders>
              <w:top w:val="single" w:sz="8" w:space="0" w:color="auto"/>
              <w:left w:val="nil"/>
              <w:bottom w:val="single" w:sz="8" w:space="0" w:color="auto"/>
              <w:right w:val="single" w:sz="8" w:space="0" w:color="auto"/>
            </w:tcBorders>
            <w:vAlign w:val="center"/>
            <w:hideMark/>
          </w:tcPr>
          <w:p w14:paraId="632014CC" w14:textId="77777777" w:rsidR="00044D5B" w:rsidRPr="00392E88" w:rsidRDefault="00044D5B">
            <w:pPr>
              <w:spacing w:before="0" w:after="0"/>
              <w:jc w:val="center"/>
              <w:rPr>
                <w:color w:val="000000"/>
                <w:sz w:val="14"/>
                <w:szCs w:val="14"/>
              </w:rPr>
            </w:pPr>
            <w:r w:rsidRPr="00392E88">
              <w:rPr>
                <w:color w:val="000000"/>
                <w:sz w:val="14"/>
              </w:rPr>
              <w:t>(2a)</w:t>
            </w:r>
          </w:p>
        </w:tc>
        <w:tc>
          <w:tcPr>
            <w:tcW w:w="496" w:type="pct"/>
            <w:gridSpan w:val="2"/>
            <w:tcBorders>
              <w:top w:val="nil"/>
              <w:left w:val="nil"/>
              <w:bottom w:val="single" w:sz="8" w:space="0" w:color="auto"/>
              <w:right w:val="single" w:sz="8" w:space="0" w:color="auto"/>
            </w:tcBorders>
            <w:vAlign w:val="center"/>
            <w:hideMark/>
          </w:tcPr>
          <w:p w14:paraId="60CAD0D7" w14:textId="77777777" w:rsidR="00044D5B" w:rsidRPr="00392E88" w:rsidRDefault="00044D5B">
            <w:pPr>
              <w:spacing w:before="0" w:after="0"/>
              <w:jc w:val="right"/>
              <w:rPr>
                <w:color w:val="000000"/>
                <w:sz w:val="20"/>
                <w:szCs w:val="20"/>
              </w:rPr>
            </w:pPr>
            <w:r w:rsidRPr="00392E88">
              <w:rPr>
                <w:color w:val="000000"/>
                <w:sz w:val="20"/>
              </w:rPr>
              <w:t xml:space="preserve"> </w:t>
            </w:r>
          </w:p>
        </w:tc>
        <w:tc>
          <w:tcPr>
            <w:tcW w:w="496" w:type="pct"/>
            <w:gridSpan w:val="2"/>
            <w:tcBorders>
              <w:top w:val="nil"/>
              <w:left w:val="nil"/>
              <w:bottom w:val="single" w:sz="8" w:space="0" w:color="auto"/>
              <w:right w:val="single" w:sz="8" w:space="0" w:color="auto"/>
            </w:tcBorders>
            <w:vAlign w:val="center"/>
            <w:hideMark/>
          </w:tcPr>
          <w:p w14:paraId="5FBAB62C" w14:textId="77777777" w:rsidR="00044D5B" w:rsidRPr="00392E88" w:rsidRDefault="00044D5B">
            <w:pPr>
              <w:spacing w:before="0" w:after="0"/>
              <w:jc w:val="right"/>
              <w:rPr>
                <w:color w:val="000000"/>
                <w:sz w:val="20"/>
                <w:szCs w:val="20"/>
              </w:rPr>
            </w:pPr>
            <w:r w:rsidRPr="00392E88">
              <w:rPr>
                <w:color w:val="000000"/>
                <w:sz w:val="20"/>
              </w:rPr>
              <w:t xml:space="preserve"> </w:t>
            </w:r>
          </w:p>
        </w:tc>
        <w:tc>
          <w:tcPr>
            <w:tcW w:w="496" w:type="pct"/>
            <w:tcBorders>
              <w:top w:val="nil"/>
              <w:left w:val="nil"/>
              <w:bottom w:val="single" w:sz="8" w:space="0" w:color="auto"/>
              <w:right w:val="single" w:sz="8" w:space="0" w:color="auto"/>
            </w:tcBorders>
            <w:vAlign w:val="center"/>
            <w:hideMark/>
          </w:tcPr>
          <w:p w14:paraId="18EBAFAC" w14:textId="77777777" w:rsidR="00044D5B" w:rsidRPr="00392E88" w:rsidRDefault="00044D5B">
            <w:pPr>
              <w:spacing w:before="0" w:after="0"/>
              <w:jc w:val="right"/>
              <w:rPr>
                <w:color w:val="000000"/>
                <w:sz w:val="20"/>
                <w:szCs w:val="20"/>
              </w:rPr>
            </w:pPr>
            <w:r w:rsidRPr="00392E88">
              <w:rPr>
                <w:color w:val="000000"/>
                <w:sz w:val="20"/>
              </w:rPr>
              <w:t xml:space="preserve"> </w:t>
            </w:r>
          </w:p>
        </w:tc>
        <w:tc>
          <w:tcPr>
            <w:tcW w:w="478" w:type="pct"/>
            <w:tcBorders>
              <w:top w:val="nil"/>
              <w:left w:val="nil"/>
              <w:bottom w:val="single" w:sz="8" w:space="0" w:color="auto"/>
              <w:right w:val="single" w:sz="8" w:space="0" w:color="auto"/>
            </w:tcBorders>
            <w:vAlign w:val="center"/>
            <w:hideMark/>
          </w:tcPr>
          <w:p w14:paraId="24BF0C5D" w14:textId="77777777" w:rsidR="00044D5B" w:rsidRPr="00392E88" w:rsidRDefault="00044D5B">
            <w:pPr>
              <w:spacing w:before="0" w:after="0"/>
              <w:jc w:val="right"/>
              <w:rPr>
                <w:color w:val="000000"/>
                <w:sz w:val="20"/>
                <w:szCs w:val="20"/>
              </w:rPr>
            </w:pPr>
            <w:r w:rsidRPr="00392E88">
              <w:rPr>
                <w:color w:val="000000"/>
                <w:sz w:val="20"/>
              </w:rPr>
              <w:t xml:space="preserve"> </w:t>
            </w:r>
          </w:p>
        </w:tc>
        <w:tc>
          <w:tcPr>
            <w:tcW w:w="590" w:type="pct"/>
            <w:tcBorders>
              <w:top w:val="nil"/>
              <w:left w:val="nil"/>
              <w:bottom w:val="single" w:sz="8" w:space="0" w:color="auto"/>
              <w:right w:val="single" w:sz="8" w:space="0" w:color="auto"/>
            </w:tcBorders>
            <w:shd w:val="clear" w:color="000000" w:fill="D9D9D9"/>
            <w:vAlign w:val="center"/>
            <w:hideMark/>
          </w:tcPr>
          <w:p w14:paraId="504A0C13" w14:textId="77777777" w:rsidR="00044D5B" w:rsidRPr="00392E88" w:rsidRDefault="00044D5B">
            <w:pPr>
              <w:spacing w:before="0" w:after="0"/>
              <w:jc w:val="right"/>
              <w:rPr>
                <w:b/>
                <w:bCs/>
                <w:color w:val="000000"/>
                <w:sz w:val="20"/>
                <w:szCs w:val="20"/>
              </w:rPr>
            </w:pPr>
            <w:r w:rsidRPr="00392E88">
              <w:rPr>
                <w:b/>
                <w:color w:val="000000"/>
                <w:sz w:val="20"/>
              </w:rPr>
              <w:t>0,000</w:t>
            </w:r>
          </w:p>
        </w:tc>
      </w:tr>
      <w:tr w:rsidR="00E62D64" w:rsidRPr="00392E88" w14:paraId="6FD90D6D" w14:textId="77777777">
        <w:trPr>
          <w:trHeight w:val="315"/>
        </w:trPr>
        <w:tc>
          <w:tcPr>
            <w:tcW w:w="1419" w:type="pct"/>
            <w:gridSpan w:val="4"/>
            <w:vMerge w:val="restart"/>
            <w:tcBorders>
              <w:top w:val="nil"/>
              <w:left w:val="single" w:sz="8" w:space="0" w:color="auto"/>
              <w:bottom w:val="single" w:sz="8" w:space="0" w:color="auto"/>
              <w:right w:val="single" w:sz="8" w:space="0" w:color="auto"/>
            </w:tcBorders>
            <w:vAlign w:val="center"/>
            <w:hideMark/>
          </w:tcPr>
          <w:p w14:paraId="6C682AC8" w14:textId="77777777" w:rsidR="00044D5B" w:rsidRPr="00392E88" w:rsidRDefault="00044D5B">
            <w:pPr>
              <w:spacing w:before="0" w:after="0"/>
              <w:rPr>
                <w:color w:val="000000"/>
                <w:sz w:val="20"/>
                <w:szCs w:val="20"/>
              </w:rPr>
            </w:pPr>
            <w:r w:rsidRPr="00392E88">
              <w:rPr>
                <w:color w:val="000000"/>
                <w:sz w:val="20"/>
              </w:rPr>
              <w:t>Linia budżetowa</w:t>
            </w:r>
          </w:p>
        </w:tc>
        <w:tc>
          <w:tcPr>
            <w:tcW w:w="529" w:type="pct"/>
            <w:gridSpan w:val="2"/>
            <w:tcBorders>
              <w:top w:val="nil"/>
              <w:left w:val="nil"/>
              <w:bottom w:val="single" w:sz="8" w:space="0" w:color="auto"/>
              <w:right w:val="single" w:sz="8" w:space="0" w:color="auto"/>
            </w:tcBorders>
            <w:vAlign w:val="center"/>
            <w:hideMark/>
          </w:tcPr>
          <w:p w14:paraId="733E2294" w14:textId="77777777" w:rsidR="00044D5B" w:rsidRPr="00392E88" w:rsidRDefault="00044D5B">
            <w:pPr>
              <w:spacing w:before="0" w:after="0"/>
              <w:rPr>
                <w:color w:val="000000"/>
                <w:sz w:val="18"/>
                <w:szCs w:val="18"/>
              </w:rPr>
            </w:pPr>
            <w:r w:rsidRPr="00392E88">
              <w:rPr>
                <w:color w:val="000000"/>
                <w:sz w:val="18"/>
              </w:rPr>
              <w:t>Środki na zobowiązania</w:t>
            </w:r>
          </w:p>
        </w:tc>
        <w:tc>
          <w:tcPr>
            <w:tcW w:w="496" w:type="pct"/>
            <w:gridSpan w:val="2"/>
            <w:tcBorders>
              <w:top w:val="single" w:sz="8" w:space="0" w:color="auto"/>
              <w:left w:val="nil"/>
              <w:bottom w:val="single" w:sz="8" w:space="0" w:color="auto"/>
              <w:right w:val="single" w:sz="8" w:space="0" w:color="auto"/>
            </w:tcBorders>
            <w:vAlign w:val="center"/>
            <w:hideMark/>
          </w:tcPr>
          <w:p w14:paraId="31C18592" w14:textId="77777777" w:rsidR="00044D5B" w:rsidRPr="00392E88" w:rsidRDefault="00044D5B">
            <w:pPr>
              <w:spacing w:before="0" w:after="0"/>
              <w:jc w:val="center"/>
              <w:rPr>
                <w:color w:val="000000"/>
                <w:sz w:val="14"/>
                <w:szCs w:val="14"/>
              </w:rPr>
            </w:pPr>
            <w:r w:rsidRPr="00392E88">
              <w:rPr>
                <w:color w:val="000000"/>
                <w:sz w:val="14"/>
              </w:rPr>
              <w:t>(1b)</w:t>
            </w:r>
          </w:p>
        </w:tc>
        <w:tc>
          <w:tcPr>
            <w:tcW w:w="496" w:type="pct"/>
            <w:gridSpan w:val="2"/>
            <w:tcBorders>
              <w:top w:val="nil"/>
              <w:left w:val="nil"/>
              <w:bottom w:val="single" w:sz="8" w:space="0" w:color="auto"/>
              <w:right w:val="single" w:sz="8" w:space="0" w:color="auto"/>
            </w:tcBorders>
            <w:vAlign w:val="center"/>
            <w:hideMark/>
          </w:tcPr>
          <w:p w14:paraId="682E0AFA" w14:textId="77777777" w:rsidR="00044D5B" w:rsidRPr="00392E88" w:rsidRDefault="00044D5B">
            <w:pPr>
              <w:spacing w:before="0" w:after="0"/>
              <w:jc w:val="right"/>
              <w:rPr>
                <w:color w:val="000000"/>
                <w:sz w:val="20"/>
                <w:szCs w:val="20"/>
              </w:rPr>
            </w:pPr>
            <w:r w:rsidRPr="00392E88">
              <w:rPr>
                <w:color w:val="000000"/>
                <w:sz w:val="20"/>
              </w:rPr>
              <w:t xml:space="preserve"> </w:t>
            </w:r>
          </w:p>
        </w:tc>
        <w:tc>
          <w:tcPr>
            <w:tcW w:w="496" w:type="pct"/>
            <w:gridSpan w:val="2"/>
            <w:tcBorders>
              <w:top w:val="nil"/>
              <w:left w:val="nil"/>
              <w:bottom w:val="single" w:sz="8" w:space="0" w:color="auto"/>
              <w:right w:val="single" w:sz="8" w:space="0" w:color="auto"/>
            </w:tcBorders>
            <w:vAlign w:val="center"/>
            <w:hideMark/>
          </w:tcPr>
          <w:p w14:paraId="496809F6" w14:textId="77777777" w:rsidR="00044D5B" w:rsidRPr="00392E88" w:rsidRDefault="00044D5B">
            <w:pPr>
              <w:spacing w:before="0" w:after="0"/>
              <w:jc w:val="right"/>
              <w:rPr>
                <w:color w:val="000000"/>
                <w:sz w:val="20"/>
                <w:szCs w:val="20"/>
              </w:rPr>
            </w:pPr>
            <w:r w:rsidRPr="00392E88">
              <w:rPr>
                <w:color w:val="000000"/>
                <w:sz w:val="20"/>
              </w:rPr>
              <w:t xml:space="preserve"> </w:t>
            </w:r>
          </w:p>
        </w:tc>
        <w:tc>
          <w:tcPr>
            <w:tcW w:w="496" w:type="pct"/>
            <w:tcBorders>
              <w:top w:val="nil"/>
              <w:left w:val="nil"/>
              <w:bottom w:val="single" w:sz="8" w:space="0" w:color="auto"/>
              <w:right w:val="single" w:sz="8" w:space="0" w:color="auto"/>
            </w:tcBorders>
            <w:vAlign w:val="center"/>
            <w:hideMark/>
          </w:tcPr>
          <w:p w14:paraId="375306D9" w14:textId="77777777" w:rsidR="00044D5B" w:rsidRPr="00392E88" w:rsidRDefault="00044D5B">
            <w:pPr>
              <w:spacing w:before="0" w:after="0"/>
              <w:jc w:val="right"/>
              <w:rPr>
                <w:color w:val="000000"/>
                <w:sz w:val="20"/>
                <w:szCs w:val="20"/>
              </w:rPr>
            </w:pPr>
            <w:r w:rsidRPr="00392E88">
              <w:rPr>
                <w:color w:val="000000"/>
                <w:sz w:val="20"/>
              </w:rPr>
              <w:t xml:space="preserve"> </w:t>
            </w:r>
          </w:p>
        </w:tc>
        <w:tc>
          <w:tcPr>
            <w:tcW w:w="478" w:type="pct"/>
            <w:tcBorders>
              <w:top w:val="nil"/>
              <w:left w:val="nil"/>
              <w:bottom w:val="single" w:sz="8" w:space="0" w:color="auto"/>
              <w:right w:val="single" w:sz="8" w:space="0" w:color="auto"/>
            </w:tcBorders>
            <w:vAlign w:val="center"/>
            <w:hideMark/>
          </w:tcPr>
          <w:p w14:paraId="073A7C91" w14:textId="77777777" w:rsidR="00044D5B" w:rsidRPr="00392E88" w:rsidRDefault="00044D5B">
            <w:pPr>
              <w:spacing w:before="0" w:after="0"/>
              <w:jc w:val="right"/>
              <w:rPr>
                <w:color w:val="000000"/>
                <w:sz w:val="20"/>
                <w:szCs w:val="20"/>
              </w:rPr>
            </w:pPr>
            <w:r w:rsidRPr="00392E88">
              <w:rPr>
                <w:color w:val="000000"/>
                <w:sz w:val="20"/>
              </w:rPr>
              <w:t xml:space="preserve"> </w:t>
            </w:r>
          </w:p>
        </w:tc>
        <w:tc>
          <w:tcPr>
            <w:tcW w:w="590" w:type="pct"/>
            <w:tcBorders>
              <w:top w:val="nil"/>
              <w:left w:val="nil"/>
              <w:bottom w:val="single" w:sz="8" w:space="0" w:color="auto"/>
              <w:right w:val="single" w:sz="8" w:space="0" w:color="auto"/>
            </w:tcBorders>
            <w:shd w:val="clear" w:color="000000" w:fill="D9D9D9"/>
            <w:vAlign w:val="center"/>
            <w:hideMark/>
          </w:tcPr>
          <w:p w14:paraId="69C96FF6" w14:textId="77777777" w:rsidR="00044D5B" w:rsidRPr="00392E88" w:rsidRDefault="00044D5B">
            <w:pPr>
              <w:spacing w:before="0" w:after="0"/>
              <w:jc w:val="right"/>
              <w:rPr>
                <w:b/>
                <w:bCs/>
                <w:color w:val="000000"/>
                <w:sz w:val="20"/>
                <w:szCs w:val="20"/>
              </w:rPr>
            </w:pPr>
            <w:r w:rsidRPr="00392E88">
              <w:rPr>
                <w:b/>
                <w:color w:val="000000"/>
                <w:sz w:val="20"/>
              </w:rPr>
              <w:t>0,000</w:t>
            </w:r>
          </w:p>
        </w:tc>
      </w:tr>
      <w:tr w:rsidR="00E62D64" w:rsidRPr="00392E88" w14:paraId="5A3E8E13" w14:textId="77777777">
        <w:trPr>
          <w:trHeight w:val="315"/>
        </w:trPr>
        <w:tc>
          <w:tcPr>
            <w:tcW w:w="1419" w:type="pct"/>
            <w:gridSpan w:val="4"/>
            <w:vMerge/>
            <w:tcBorders>
              <w:top w:val="nil"/>
              <w:left w:val="single" w:sz="8" w:space="0" w:color="auto"/>
              <w:bottom w:val="single" w:sz="8" w:space="0" w:color="auto"/>
              <w:right w:val="single" w:sz="8" w:space="0" w:color="auto"/>
            </w:tcBorders>
            <w:vAlign w:val="center"/>
            <w:hideMark/>
          </w:tcPr>
          <w:p w14:paraId="74E4FF5D" w14:textId="77777777" w:rsidR="00044D5B" w:rsidRPr="00392E88" w:rsidRDefault="00044D5B">
            <w:pPr>
              <w:spacing w:before="0" w:after="0"/>
              <w:jc w:val="left"/>
              <w:rPr>
                <w:color w:val="000000"/>
                <w:sz w:val="20"/>
                <w:szCs w:val="20"/>
                <w:lang w:eastAsia="en-IE"/>
              </w:rPr>
            </w:pPr>
          </w:p>
        </w:tc>
        <w:tc>
          <w:tcPr>
            <w:tcW w:w="529" w:type="pct"/>
            <w:gridSpan w:val="2"/>
            <w:tcBorders>
              <w:top w:val="nil"/>
              <w:left w:val="nil"/>
              <w:bottom w:val="single" w:sz="8" w:space="0" w:color="auto"/>
              <w:right w:val="single" w:sz="8" w:space="0" w:color="auto"/>
            </w:tcBorders>
            <w:vAlign w:val="center"/>
            <w:hideMark/>
          </w:tcPr>
          <w:p w14:paraId="10257ADD" w14:textId="77777777" w:rsidR="00044D5B" w:rsidRPr="00392E88" w:rsidRDefault="00044D5B">
            <w:pPr>
              <w:spacing w:before="0" w:after="0"/>
              <w:rPr>
                <w:color w:val="000000"/>
                <w:sz w:val="18"/>
                <w:szCs w:val="18"/>
              </w:rPr>
            </w:pPr>
            <w:r w:rsidRPr="00392E88">
              <w:rPr>
                <w:color w:val="000000"/>
                <w:sz w:val="18"/>
              </w:rPr>
              <w:t>Środki na płatności</w:t>
            </w:r>
          </w:p>
        </w:tc>
        <w:tc>
          <w:tcPr>
            <w:tcW w:w="496" w:type="pct"/>
            <w:gridSpan w:val="2"/>
            <w:tcBorders>
              <w:top w:val="single" w:sz="8" w:space="0" w:color="auto"/>
              <w:left w:val="nil"/>
              <w:bottom w:val="single" w:sz="8" w:space="0" w:color="auto"/>
              <w:right w:val="single" w:sz="8" w:space="0" w:color="auto"/>
            </w:tcBorders>
            <w:vAlign w:val="center"/>
            <w:hideMark/>
          </w:tcPr>
          <w:p w14:paraId="08E72F4E" w14:textId="77777777" w:rsidR="00044D5B" w:rsidRPr="00392E88" w:rsidRDefault="00044D5B">
            <w:pPr>
              <w:spacing w:before="0" w:after="0"/>
              <w:jc w:val="center"/>
              <w:rPr>
                <w:color w:val="000000"/>
                <w:sz w:val="14"/>
                <w:szCs w:val="14"/>
              </w:rPr>
            </w:pPr>
            <w:r w:rsidRPr="00392E88">
              <w:rPr>
                <w:color w:val="000000"/>
                <w:sz w:val="14"/>
              </w:rPr>
              <w:t>(2b)</w:t>
            </w:r>
          </w:p>
        </w:tc>
        <w:tc>
          <w:tcPr>
            <w:tcW w:w="496" w:type="pct"/>
            <w:gridSpan w:val="2"/>
            <w:tcBorders>
              <w:top w:val="nil"/>
              <w:left w:val="nil"/>
              <w:bottom w:val="single" w:sz="8" w:space="0" w:color="auto"/>
              <w:right w:val="single" w:sz="8" w:space="0" w:color="auto"/>
            </w:tcBorders>
            <w:vAlign w:val="center"/>
            <w:hideMark/>
          </w:tcPr>
          <w:p w14:paraId="280E6D99" w14:textId="77777777" w:rsidR="00044D5B" w:rsidRPr="00392E88" w:rsidRDefault="00044D5B">
            <w:pPr>
              <w:spacing w:before="0" w:after="0"/>
              <w:jc w:val="right"/>
              <w:rPr>
                <w:color w:val="000000"/>
                <w:sz w:val="20"/>
                <w:szCs w:val="20"/>
              </w:rPr>
            </w:pPr>
            <w:r w:rsidRPr="00392E88">
              <w:rPr>
                <w:color w:val="000000"/>
                <w:sz w:val="20"/>
              </w:rPr>
              <w:t xml:space="preserve"> </w:t>
            </w:r>
          </w:p>
        </w:tc>
        <w:tc>
          <w:tcPr>
            <w:tcW w:w="496" w:type="pct"/>
            <w:gridSpan w:val="2"/>
            <w:tcBorders>
              <w:top w:val="nil"/>
              <w:left w:val="nil"/>
              <w:bottom w:val="single" w:sz="8" w:space="0" w:color="auto"/>
              <w:right w:val="single" w:sz="8" w:space="0" w:color="auto"/>
            </w:tcBorders>
            <w:vAlign w:val="center"/>
            <w:hideMark/>
          </w:tcPr>
          <w:p w14:paraId="4C8F4B24" w14:textId="77777777" w:rsidR="00044D5B" w:rsidRPr="00392E88" w:rsidRDefault="00044D5B">
            <w:pPr>
              <w:spacing w:before="0" w:after="0"/>
              <w:jc w:val="right"/>
              <w:rPr>
                <w:color w:val="000000"/>
                <w:sz w:val="20"/>
                <w:szCs w:val="20"/>
              </w:rPr>
            </w:pPr>
            <w:r w:rsidRPr="00392E88">
              <w:rPr>
                <w:color w:val="000000"/>
                <w:sz w:val="20"/>
              </w:rPr>
              <w:t xml:space="preserve"> </w:t>
            </w:r>
          </w:p>
        </w:tc>
        <w:tc>
          <w:tcPr>
            <w:tcW w:w="496" w:type="pct"/>
            <w:tcBorders>
              <w:top w:val="nil"/>
              <w:left w:val="nil"/>
              <w:bottom w:val="single" w:sz="8" w:space="0" w:color="auto"/>
              <w:right w:val="single" w:sz="8" w:space="0" w:color="auto"/>
            </w:tcBorders>
            <w:vAlign w:val="center"/>
            <w:hideMark/>
          </w:tcPr>
          <w:p w14:paraId="304285A3" w14:textId="77777777" w:rsidR="00044D5B" w:rsidRPr="00392E88" w:rsidRDefault="00044D5B">
            <w:pPr>
              <w:spacing w:before="0" w:after="0"/>
              <w:jc w:val="right"/>
              <w:rPr>
                <w:color w:val="000000"/>
                <w:sz w:val="20"/>
                <w:szCs w:val="20"/>
              </w:rPr>
            </w:pPr>
            <w:r w:rsidRPr="00392E88">
              <w:rPr>
                <w:color w:val="000000"/>
                <w:sz w:val="20"/>
              </w:rPr>
              <w:t xml:space="preserve"> </w:t>
            </w:r>
          </w:p>
        </w:tc>
        <w:tc>
          <w:tcPr>
            <w:tcW w:w="478" w:type="pct"/>
            <w:tcBorders>
              <w:top w:val="nil"/>
              <w:left w:val="nil"/>
              <w:bottom w:val="single" w:sz="8" w:space="0" w:color="auto"/>
              <w:right w:val="single" w:sz="8" w:space="0" w:color="auto"/>
            </w:tcBorders>
            <w:vAlign w:val="center"/>
            <w:hideMark/>
          </w:tcPr>
          <w:p w14:paraId="030D84BA" w14:textId="77777777" w:rsidR="00044D5B" w:rsidRPr="00392E88" w:rsidRDefault="00044D5B">
            <w:pPr>
              <w:spacing w:before="0" w:after="0"/>
              <w:jc w:val="right"/>
              <w:rPr>
                <w:color w:val="000000"/>
                <w:sz w:val="20"/>
                <w:szCs w:val="20"/>
              </w:rPr>
            </w:pPr>
            <w:r w:rsidRPr="00392E88">
              <w:rPr>
                <w:color w:val="000000"/>
                <w:sz w:val="20"/>
              </w:rPr>
              <w:t xml:space="preserve"> </w:t>
            </w:r>
          </w:p>
        </w:tc>
        <w:tc>
          <w:tcPr>
            <w:tcW w:w="590" w:type="pct"/>
            <w:tcBorders>
              <w:top w:val="nil"/>
              <w:left w:val="nil"/>
              <w:bottom w:val="single" w:sz="8" w:space="0" w:color="auto"/>
              <w:right w:val="single" w:sz="8" w:space="0" w:color="auto"/>
            </w:tcBorders>
            <w:shd w:val="clear" w:color="000000" w:fill="D9D9D9"/>
            <w:vAlign w:val="center"/>
            <w:hideMark/>
          </w:tcPr>
          <w:p w14:paraId="38A98420" w14:textId="77777777" w:rsidR="00044D5B" w:rsidRPr="00392E88" w:rsidRDefault="00044D5B">
            <w:pPr>
              <w:spacing w:before="0" w:after="0"/>
              <w:jc w:val="right"/>
              <w:rPr>
                <w:b/>
                <w:bCs/>
                <w:color w:val="000000"/>
                <w:sz w:val="20"/>
                <w:szCs w:val="20"/>
              </w:rPr>
            </w:pPr>
            <w:r w:rsidRPr="00392E88">
              <w:rPr>
                <w:b/>
                <w:color w:val="000000"/>
                <w:sz w:val="20"/>
              </w:rPr>
              <w:t>0,000</w:t>
            </w:r>
          </w:p>
        </w:tc>
      </w:tr>
      <w:tr w:rsidR="0014428F" w:rsidRPr="00392E88" w14:paraId="44B47F39" w14:textId="77777777">
        <w:trPr>
          <w:trHeight w:val="288"/>
        </w:trPr>
        <w:tc>
          <w:tcPr>
            <w:tcW w:w="5000" w:type="pct"/>
            <w:gridSpan w:val="15"/>
            <w:tcBorders>
              <w:top w:val="single" w:sz="8" w:space="0" w:color="auto"/>
              <w:left w:val="single" w:sz="8" w:space="0" w:color="auto"/>
              <w:bottom w:val="single" w:sz="8" w:space="0" w:color="auto"/>
              <w:right w:val="single" w:sz="8" w:space="0" w:color="auto"/>
            </w:tcBorders>
            <w:noWrap/>
            <w:vAlign w:val="bottom"/>
            <w:hideMark/>
          </w:tcPr>
          <w:p w14:paraId="2CDD6690" w14:textId="77777777" w:rsidR="00044D5B" w:rsidRPr="00392E88" w:rsidRDefault="00044D5B">
            <w:pPr>
              <w:spacing w:before="0" w:after="0"/>
              <w:jc w:val="left"/>
              <w:rPr>
                <w:color w:val="000000"/>
                <w:sz w:val="22"/>
              </w:rPr>
            </w:pPr>
            <w:r w:rsidRPr="00392E88">
              <w:rPr>
                <w:color w:val="000000"/>
                <w:sz w:val="22"/>
              </w:rPr>
              <w:t>Środki administracyjne finansowane ze środków przydzielonych na określone programy</w:t>
            </w:r>
            <w:r w:rsidRPr="00392E88">
              <w:t xml:space="preserve"> </w:t>
            </w:r>
          </w:p>
        </w:tc>
      </w:tr>
      <w:tr w:rsidR="00E62D64" w:rsidRPr="00392E88" w14:paraId="4416DB36" w14:textId="77777777">
        <w:trPr>
          <w:trHeight w:val="288"/>
        </w:trPr>
        <w:tc>
          <w:tcPr>
            <w:tcW w:w="1419" w:type="pct"/>
            <w:gridSpan w:val="4"/>
            <w:tcBorders>
              <w:top w:val="nil"/>
              <w:left w:val="single" w:sz="8" w:space="0" w:color="auto"/>
              <w:bottom w:val="single" w:sz="8" w:space="0" w:color="auto"/>
              <w:right w:val="single" w:sz="8" w:space="0" w:color="auto"/>
            </w:tcBorders>
            <w:vAlign w:val="center"/>
            <w:hideMark/>
          </w:tcPr>
          <w:p w14:paraId="5B819089" w14:textId="77777777" w:rsidR="00044D5B" w:rsidRPr="00392E88" w:rsidRDefault="00044D5B">
            <w:pPr>
              <w:spacing w:before="0" w:after="0"/>
              <w:rPr>
                <w:color w:val="000000"/>
                <w:sz w:val="20"/>
                <w:szCs w:val="20"/>
              </w:rPr>
            </w:pPr>
            <w:r w:rsidRPr="00392E88">
              <w:rPr>
                <w:color w:val="000000"/>
                <w:sz w:val="20"/>
              </w:rPr>
              <w:t>Linia budżetowa</w:t>
            </w:r>
          </w:p>
        </w:tc>
        <w:tc>
          <w:tcPr>
            <w:tcW w:w="529" w:type="pct"/>
            <w:gridSpan w:val="2"/>
            <w:tcBorders>
              <w:top w:val="nil"/>
              <w:left w:val="nil"/>
              <w:bottom w:val="single" w:sz="8" w:space="0" w:color="auto"/>
              <w:right w:val="single" w:sz="8" w:space="0" w:color="auto"/>
            </w:tcBorders>
            <w:vAlign w:val="center"/>
            <w:hideMark/>
          </w:tcPr>
          <w:p w14:paraId="1492C804" w14:textId="77777777" w:rsidR="00044D5B" w:rsidRPr="00392E88" w:rsidRDefault="00044D5B">
            <w:pPr>
              <w:spacing w:before="0" w:after="0"/>
              <w:jc w:val="right"/>
              <w:rPr>
                <w:color w:val="000000"/>
                <w:sz w:val="18"/>
                <w:szCs w:val="18"/>
              </w:rPr>
            </w:pPr>
            <w:r w:rsidRPr="00392E88">
              <w:rPr>
                <w:color w:val="000000"/>
                <w:sz w:val="18"/>
              </w:rPr>
              <w:t xml:space="preserve"> </w:t>
            </w:r>
          </w:p>
        </w:tc>
        <w:tc>
          <w:tcPr>
            <w:tcW w:w="496" w:type="pct"/>
            <w:gridSpan w:val="2"/>
            <w:tcBorders>
              <w:top w:val="single" w:sz="8" w:space="0" w:color="auto"/>
              <w:left w:val="nil"/>
              <w:bottom w:val="single" w:sz="8" w:space="0" w:color="auto"/>
              <w:right w:val="single" w:sz="8" w:space="0" w:color="auto"/>
            </w:tcBorders>
            <w:vAlign w:val="center"/>
            <w:hideMark/>
          </w:tcPr>
          <w:p w14:paraId="5E0FF8AC" w14:textId="77777777" w:rsidR="00044D5B" w:rsidRPr="00392E88" w:rsidRDefault="00044D5B">
            <w:pPr>
              <w:spacing w:before="0" w:after="0"/>
              <w:jc w:val="center"/>
              <w:rPr>
                <w:color w:val="000000"/>
                <w:sz w:val="14"/>
                <w:szCs w:val="14"/>
              </w:rPr>
            </w:pPr>
            <w:r w:rsidRPr="00392E88">
              <w:rPr>
                <w:color w:val="000000"/>
                <w:sz w:val="14"/>
              </w:rPr>
              <w:t>(3)</w:t>
            </w:r>
          </w:p>
        </w:tc>
        <w:tc>
          <w:tcPr>
            <w:tcW w:w="496" w:type="pct"/>
            <w:gridSpan w:val="2"/>
            <w:tcBorders>
              <w:top w:val="nil"/>
              <w:left w:val="nil"/>
              <w:bottom w:val="single" w:sz="8" w:space="0" w:color="auto"/>
              <w:right w:val="single" w:sz="8" w:space="0" w:color="auto"/>
            </w:tcBorders>
            <w:vAlign w:val="center"/>
            <w:hideMark/>
          </w:tcPr>
          <w:p w14:paraId="25C3D9AB" w14:textId="77777777" w:rsidR="00044D5B" w:rsidRPr="00392E88" w:rsidRDefault="00044D5B">
            <w:pPr>
              <w:spacing w:before="0" w:after="0"/>
              <w:jc w:val="right"/>
              <w:rPr>
                <w:b/>
                <w:bCs/>
                <w:color w:val="000000"/>
                <w:sz w:val="20"/>
                <w:szCs w:val="20"/>
              </w:rPr>
            </w:pPr>
            <w:r w:rsidRPr="00392E88">
              <w:rPr>
                <w:b/>
                <w:color w:val="000000"/>
                <w:sz w:val="20"/>
              </w:rPr>
              <w:t xml:space="preserve"> </w:t>
            </w:r>
          </w:p>
        </w:tc>
        <w:tc>
          <w:tcPr>
            <w:tcW w:w="496" w:type="pct"/>
            <w:gridSpan w:val="2"/>
            <w:tcBorders>
              <w:top w:val="nil"/>
              <w:left w:val="nil"/>
              <w:bottom w:val="single" w:sz="8" w:space="0" w:color="auto"/>
              <w:right w:val="single" w:sz="8" w:space="0" w:color="auto"/>
            </w:tcBorders>
            <w:vAlign w:val="center"/>
            <w:hideMark/>
          </w:tcPr>
          <w:p w14:paraId="65824046" w14:textId="77777777" w:rsidR="00044D5B" w:rsidRPr="00392E88" w:rsidRDefault="00044D5B">
            <w:pPr>
              <w:spacing w:before="0" w:after="0"/>
              <w:jc w:val="right"/>
              <w:rPr>
                <w:b/>
                <w:bCs/>
                <w:color w:val="000000"/>
                <w:sz w:val="20"/>
                <w:szCs w:val="20"/>
              </w:rPr>
            </w:pPr>
            <w:r w:rsidRPr="00392E88">
              <w:rPr>
                <w:b/>
                <w:color w:val="000000"/>
                <w:sz w:val="20"/>
              </w:rPr>
              <w:t xml:space="preserve"> </w:t>
            </w:r>
          </w:p>
        </w:tc>
        <w:tc>
          <w:tcPr>
            <w:tcW w:w="496" w:type="pct"/>
            <w:tcBorders>
              <w:top w:val="nil"/>
              <w:left w:val="nil"/>
              <w:bottom w:val="single" w:sz="8" w:space="0" w:color="auto"/>
              <w:right w:val="single" w:sz="8" w:space="0" w:color="auto"/>
            </w:tcBorders>
            <w:vAlign w:val="center"/>
            <w:hideMark/>
          </w:tcPr>
          <w:p w14:paraId="50E89E63" w14:textId="77777777" w:rsidR="00044D5B" w:rsidRPr="00392E88" w:rsidRDefault="00044D5B">
            <w:pPr>
              <w:spacing w:before="0" w:after="0"/>
              <w:jc w:val="right"/>
              <w:rPr>
                <w:b/>
                <w:bCs/>
                <w:color w:val="000000"/>
                <w:sz w:val="20"/>
                <w:szCs w:val="20"/>
              </w:rPr>
            </w:pPr>
            <w:r w:rsidRPr="00392E88">
              <w:rPr>
                <w:b/>
                <w:color w:val="000000"/>
                <w:sz w:val="20"/>
              </w:rPr>
              <w:t xml:space="preserve"> </w:t>
            </w:r>
          </w:p>
        </w:tc>
        <w:tc>
          <w:tcPr>
            <w:tcW w:w="478" w:type="pct"/>
            <w:tcBorders>
              <w:top w:val="nil"/>
              <w:left w:val="nil"/>
              <w:bottom w:val="single" w:sz="8" w:space="0" w:color="auto"/>
              <w:right w:val="single" w:sz="8" w:space="0" w:color="auto"/>
            </w:tcBorders>
            <w:vAlign w:val="center"/>
            <w:hideMark/>
          </w:tcPr>
          <w:p w14:paraId="07111775" w14:textId="77777777" w:rsidR="00044D5B" w:rsidRPr="00392E88" w:rsidRDefault="00044D5B">
            <w:pPr>
              <w:spacing w:before="0" w:after="0"/>
              <w:jc w:val="right"/>
              <w:rPr>
                <w:b/>
                <w:bCs/>
                <w:color w:val="000000"/>
                <w:sz w:val="20"/>
                <w:szCs w:val="20"/>
              </w:rPr>
            </w:pPr>
            <w:r w:rsidRPr="00392E88">
              <w:rPr>
                <w:b/>
                <w:color w:val="000000"/>
                <w:sz w:val="20"/>
              </w:rPr>
              <w:t xml:space="preserve"> </w:t>
            </w:r>
          </w:p>
        </w:tc>
        <w:tc>
          <w:tcPr>
            <w:tcW w:w="590" w:type="pct"/>
            <w:tcBorders>
              <w:top w:val="nil"/>
              <w:left w:val="nil"/>
              <w:bottom w:val="single" w:sz="8" w:space="0" w:color="auto"/>
              <w:right w:val="single" w:sz="8" w:space="0" w:color="auto"/>
            </w:tcBorders>
            <w:shd w:val="clear" w:color="000000" w:fill="D9D9D9"/>
            <w:vAlign w:val="center"/>
            <w:hideMark/>
          </w:tcPr>
          <w:p w14:paraId="35BD8EAA" w14:textId="77777777" w:rsidR="00044D5B" w:rsidRPr="00392E88" w:rsidRDefault="00044D5B">
            <w:pPr>
              <w:spacing w:before="0" w:after="0"/>
              <w:jc w:val="right"/>
              <w:rPr>
                <w:b/>
                <w:bCs/>
                <w:color w:val="000000"/>
                <w:sz w:val="20"/>
                <w:szCs w:val="20"/>
              </w:rPr>
            </w:pPr>
            <w:r w:rsidRPr="00392E88">
              <w:rPr>
                <w:b/>
                <w:color w:val="000000"/>
                <w:sz w:val="20"/>
              </w:rPr>
              <w:t>0,000</w:t>
            </w:r>
          </w:p>
        </w:tc>
      </w:tr>
      <w:tr w:rsidR="00983E98" w:rsidRPr="00392E88" w14:paraId="351A946A" w14:textId="77777777">
        <w:trPr>
          <w:trHeight w:val="288"/>
        </w:trPr>
        <w:tc>
          <w:tcPr>
            <w:tcW w:w="1419" w:type="pct"/>
            <w:gridSpan w:val="4"/>
            <w:vMerge w:val="restart"/>
            <w:tcBorders>
              <w:top w:val="nil"/>
              <w:left w:val="single" w:sz="8" w:space="0" w:color="auto"/>
              <w:right w:val="single" w:sz="8" w:space="0" w:color="auto"/>
            </w:tcBorders>
            <w:vAlign w:val="center"/>
            <w:hideMark/>
          </w:tcPr>
          <w:p w14:paraId="3BE47D16" w14:textId="77777777" w:rsidR="00044D5B" w:rsidRPr="00392E88" w:rsidRDefault="00044D5B">
            <w:pPr>
              <w:spacing w:before="0" w:after="0"/>
              <w:jc w:val="center"/>
              <w:rPr>
                <w:b/>
                <w:bCs/>
                <w:color w:val="000000"/>
                <w:sz w:val="22"/>
              </w:rPr>
            </w:pPr>
            <w:r w:rsidRPr="00392E88">
              <w:rPr>
                <w:b/>
                <w:color w:val="000000"/>
                <w:sz w:val="22"/>
              </w:rPr>
              <w:t>OGÓŁEM środki</w:t>
            </w:r>
          </w:p>
          <w:p w14:paraId="479F7FFF" w14:textId="77777777" w:rsidR="00044D5B" w:rsidRPr="00392E88" w:rsidRDefault="00044D5B">
            <w:pPr>
              <w:spacing w:before="0" w:after="0"/>
              <w:jc w:val="center"/>
              <w:rPr>
                <w:b/>
                <w:bCs/>
                <w:color w:val="000000"/>
                <w:sz w:val="22"/>
              </w:rPr>
            </w:pPr>
            <w:r w:rsidRPr="00392E88">
              <w:rPr>
                <w:b/>
                <w:color w:val="000000"/>
                <w:sz w:val="22"/>
              </w:rPr>
              <w:t xml:space="preserve">dla Dyrekcji Generalnej </w:t>
            </w:r>
            <w:r w:rsidRPr="00392E88">
              <w:rPr>
                <w:color w:val="000000"/>
                <w:sz w:val="22"/>
              </w:rPr>
              <w:t>&lt;…….&gt;</w:t>
            </w:r>
          </w:p>
        </w:tc>
        <w:tc>
          <w:tcPr>
            <w:tcW w:w="529" w:type="pct"/>
            <w:gridSpan w:val="2"/>
            <w:tcBorders>
              <w:top w:val="nil"/>
              <w:left w:val="nil"/>
              <w:bottom w:val="single" w:sz="8" w:space="0" w:color="auto"/>
              <w:right w:val="single" w:sz="8" w:space="0" w:color="auto"/>
            </w:tcBorders>
            <w:vAlign w:val="center"/>
            <w:hideMark/>
          </w:tcPr>
          <w:p w14:paraId="4CFE2CA8" w14:textId="77777777" w:rsidR="00044D5B" w:rsidRPr="00392E88" w:rsidRDefault="00044D5B">
            <w:pPr>
              <w:spacing w:before="0" w:after="0"/>
              <w:rPr>
                <w:color w:val="000000"/>
                <w:sz w:val="18"/>
                <w:szCs w:val="18"/>
              </w:rPr>
            </w:pPr>
            <w:r w:rsidRPr="00392E88">
              <w:rPr>
                <w:color w:val="000000"/>
                <w:sz w:val="18"/>
              </w:rPr>
              <w:t>Środki na zobowiązania</w:t>
            </w:r>
          </w:p>
        </w:tc>
        <w:tc>
          <w:tcPr>
            <w:tcW w:w="496" w:type="pct"/>
            <w:gridSpan w:val="2"/>
            <w:tcBorders>
              <w:top w:val="single" w:sz="8" w:space="0" w:color="auto"/>
              <w:left w:val="nil"/>
              <w:bottom w:val="single" w:sz="8" w:space="0" w:color="auto"/>
              <w:right w:val="single" w:sz="8" w:space="0" w:color="auto"/>
            </w:tcBorders>
            <w:vAlign w:val="center"/>
            <w:hideMark/>
          </w:tcPr>
          <w:p w14:paraId="4E040CC3" w14:textId="77777777" w:rsidR="00044D5B" w:rsidRPr="00392E88" w:rsidRDefault="00044D5B">
            <w:pPr>
              <w:spacing w:before="0" w:after="0"/>
              <w:jc w:val="center"/>
              <w:rPr>
                <w:color w:val="000000"/>
                <w:sz w:val="14"/>
                <w:szCs w:val="14"/>
              </w:rPr>
            </w:pPr>
            <w:r w:rsidRPr="00392E88">
              <w:rPr>
                <w:color w:val="000000"/>
                <w:sz w:val="14"/>
              </w:rPr>
              <w:t>=1a+1b+3</w:t>
            </w:r>
          </w:p>
        </w:tc>
        <w:tc>
          <w:tcPr>
            <w:tcW w:w="496" w:type="pct"/>
            <w:gridSpan w:val="2"/>
            <w:tcBorders>
              <w:top w:val="nil"/>
              <w:left w:val="nil"/>
              <w:bottom w:val="single" w:sz="8" w:space="0" w:color="auto"/>
              <w:right w:val="single" w:sz="8" w:space="0" w:color="auto"/>
            </w:tcBorders>
            <w:shd w:val="clear" w:color="000000" w:fill="D9D9D9"/>
            <w:vAlign w:val="center"/>
            <w:hideMark/>
          </w:tcPr>
          <w:p w14:paraId="0C6A659E" w14:textId="77777777" w:rsidR="00044D5B" w:rsidRPr="00392E88" w:rsidRDefault="00044D5B">
            <w:pPr>
              <w:spacing w:before="0" w:after="0"/>
              <w:jc w:val="right"/>
              <w:rPr>
                <w:b/>
                <w:bCs/>
                <w:color w:val="000000"/>
                <w:sz w:val="20"/>
                <w:szCs w:val="20"/>
              </w:rPr>
            </w:pPr>
            <w:r w:rsidRPr="00392E88">
              <w:rPr>
                <w:b/>
                <w:color w:val="000000"/>
                <w:sz w:val="20"/>
              </w:rPr>
              <w:t>0,000</w:t>
            </w:r>
          </w:p>
        </w:tc>
        <w:tc>
          <w:tcPr>
            <w:tcW w:w="496" w:type="pct"/>
            <w:gridSpan w:val="2"/>
            <w:tcBorders>
              <w:top w:val="nil"/>
              <w:left w:val="nil"/>
              <w:bottom w:val="single" w:sz="8" w:space="0" w:color="auto"/>
              <w:right w:val="single" w:sz="8" w:space="0" w:color="auto"/>
            </w:tcBorders>
            <w:shd w:val="clear" w:color="000000" w:fill="D9D9D9"/>
            <w:vAlign w:val="center"/>
            <w:hideMark/>
          </w:tcPr>
          <w:p w14:paraId="68C90A87" w14:textId="77777777" w:rsidR="00044D5B" w:rsidRPr="00392E88" w:rsidRDefault="00044D5B">
            <w:pPr>
              <w:spacing w:before="0" w:after="0"/>
              <w:jc w:val="right"/>
              <w:rPr>
                <w:b/>
                <w:bCs/>
                <w:color w:val="000000"/>
                <w:sz w:val="20"/>
                <w:szCs w:val="20"/>
              </w:rPr>
            </w:pPr>
            <w:r w:rsidRPr="00392E88">
              <w:rPr>
                <w:b/>
                <w:color w:val="000000"/>
                <w:sz w:val="20"/>
              </w:rPr>
              <w:t>0,000</w:t>
            </w:r>
          </w:p>
        </w:tc>
        <w:tc>
          <w:tcPr>
            <w:tcW w:w="496" w:type="pct"/>
            <w:tcBorders>
              <w:top w:val="nil"/>
              <w:left w:val="nil"/>
              <w:bottom w:val="single" w:sz="8" w:space="0" w:color="auto"/>
              <w:right w:val="single" w:sz="8" w:space="0" w:color="auto"/>
            </w:tcBorders>
            <w:shd w:val="clear" w:color="000000" w:fill="D9D9D9"/>
            <w:vAlign w:val="center"/>
            <w:hideMark/>
          </w:tcPr>
          <w:p w14:paraId="03A5DCBA" w14:textId="77777777" w:rsidR="00044D5B" w:rsidRPr="00392E88" w:rsidRDefault="00044D5B">
            <w:pPr>
              <w:spacing w:before="0" w:after="0"/>
              <w:jc w:val="right"/>
              <w:rPr>
                <w:b/>
                <w:bCs/>
                <w:color w:val="000000"/>
                <w:sz w:val="20"/>
                <w:szCs w:val="20"/>
              </w:rPr>
            </w:pPr>
            <w:r w:rsidRPr="00392E88">
              <w:rPr>
                <w:b/>
                <w:color w:val="000000"/>
                <w:sz w:val="20"/>
              </w:rPr>
              <w:t>0,000</w:t>
            </w:r>
          </w:p>
        </w:tc>
        <w:tc>
          <w:tcPr>
            <w:tcW w:w="478" w:type="pct"/>
            <w:tcBorders>
              <w:top w:val="nil"/>
              <w:left w:val="nil"/>
              <w:bottom w:val="single" w:sz="8" w:space="0" w:color="auto"/>
              <w:right w:val="single" w:sz="8" w:space="0" w:color="auto"/>
            </w:tcBorders>
            <w:shd w:val="clear" w:color="000000" w:fill="D9D9D9"/>
            <w:vAlign w:val="center"/>
            <w:hideMark/>
          </w:tcPr>
          <w:p w14:paraId="0D116C78" w14:textId="77777777" w:rsidR="00044D5B" w:rsidRPr="00392E88" w:rsidRDefault="00044D5B">
            <w:pPr>
              <w:spacing w:before="0" w:after="0"/>
              <w:jc w:val="right"/>
              <w:rPr>
                <w:b/>
                <w:bCs/>
                <w:color w:val="000000"/>
                <w:sz w:val="20"/>
                <w:szCs w:val="20"/>
              </w:rPr>
            </w:pPr>
            <w:r w:rsidRPr="00392E88">
              <w:rPr>
                <w:b/>
                <w:color w:val="000000"/>
                <w:sz w:val="20"/>
              </w:rPr>
              <w:t>0,000</w:t>
            </w:r>
          </w:p>
        </w:tc>
        <w:tc>
          <w:tcPr>
            <w:tcW w:w="590" w:type="pct"/>
            <w:tcBorders>
              <w:top w:val="nil"/>
              <w:left w:val="nil"/>
              <w:bottom w:val="single" w:sz="8" w:space="0" w:color="auto"/>
              <w:right w:val="single" w:sz="8" w:space="0" w:color="auto"/>
            </w:tcBorders>
            <w:shd w:val="clear" w:color="000000" w:fill="D9D9D9"/>
            <w:vAlign w:val="center"/>
            <w:hideMark/>
          </w:tcPr>
          <w:p w14:paraId="707AE11A" w14:textId="77777777" w:rsidR="00044D5B" w:rsidRPr="00392E88" w:rsidRDefault="00044D5B">
            <w:pPr>
              <w:spacing w:before="0" w:after="0"/>
              <w:jc w:val="right"/>
              <w:rPr>
                <w:b/>
                <w:bCs/>
                <w:color w:val="000000"/>
                <w:sz w:val="20"/>
                <w:szCs w:val="20"/>
              </w:rPr>
            </w:pPr>
            <w:r w:rsidRPr="00392E88">
              <w:rPr>
                <w:b/>
                <w:color w:val="000000"/>
                <w:sz w:val="20"/>
              </w:rPr>
              <w:t>0,000</w:t>
            </w:r>
          </w:p>
        </w:tc>
      </w:tr>
      <w:tr w:rsidR="00983E98" w:rsidRPr="00392E88" w14:paraId="1BC6D0CD" w14:textId="77777777">
        <w:trPr>
          <w:trHeight w:val="288"/>
        </w:trPr>
        <w:tc>
          <w:tcPr>
            <w:tcW w:w="1419" w:type="pct"/>
            <w:gridSpan w:val="4"/>
            <w:vMerge/>
            <w:tcBorders>
              <w:left w:val="single" w:sz="8" w:space="0" w:color="auto"/>
              <w:bottom w:val="single" w:sz="8" w:space="0" w:color="auto"/>
              <w:right w:val="single" w:sz="8" w:space="0" w:color="auto"/>
            </w:tcBorders>
            <w:vAlign w:val="center"/>
            <w:hideMark/>
          </w:tcPr>
          <w:p w14:paraId="57BC649F" w14:textId="77777777" w:rsidR="00044D5B" w:rsidRPr="00392E88" w:rsidRDefault="00044D5B">
            <w:pPr>
              <w:spacing w:before="0" w:after="0"/>
              <w:jc w:val="center"/>
              <w:rPr>
                <w:b/>
                <w:bCs/>
                <w:color w:val="000000"/>
                <w:sz w:val="22"/>
                <w:lang w:eastAsia="en-IE"/>
              </w:rPr>
            </w:pPr>
          </w:p>
        </w:tc>
        <w:tc>
          <w:tcPr>
            <w:tcW w:w="529" w:type="pct"/>
            <w:gridSpan w:val="2"/>
            <w:tcBorders>
              <w:top w:val="nil"/>
              <w:left w:val="nil"/>
              <w:bottom w:val="single" w:sz="8" w:space="0" w:color="auto"/>
              <w:right w:val="single" w:sz="8" w:space="0" w:color="auto"/>
            </w:tcBorders>
            <w:vAlign w:val="center"/>
            <w:hideMark/>
          </w:tcPr>
          <w:p w14:paraId="716D17DA" w14:textId="77777777" w:rsidR="00044D5B" w:rsidRPr="00392E88" w:rsidRDefault="00044D5B">
            <w:pPr>
              <w:spacing w:before="0" w:after="0"/>
              <w:rPr>
                <w:color w:val="000000"/>
                <w:sz w:val="18"/>
                <w:szCs w:val="18"/>
              </w:rPr>
            </w:pPr>
            <w:r w:rsidRPr="00392E88">
              <w:rPr>
                <w:color w:val="000000"/>
                <w:sz w:val="18"/>
              </w:rPr>
              <w:t>Środki na płatności</w:t>
            </w:r>
          </w:p>
        </w:tc>
        <w:tc>
          <w:tcPr>
            <w:tcW w:w="496" w:type="pct"/>
            <w:gridSpan w:val="2"/>
            <w:tcBorders>
              <w:top w:val="single" w:sz="8" w:space="0" w:color="auto"/>
              <w:left w:val="nil"/>
              <w:bottom w:val="single" w:sz="8" w:space="0" w:color="auto"/>
              <w:right w:val="single" w:sz="8" w:space="0" w:color="auto"/>
            </w:tcBorders>
            <w:vAlign w:val="center"/>
            <w:hideMark/>
          </w:tcPr>
          <w:p w14:paraId="0138FC36" w14:textId="77777777" w:rsidR="00044D5B" w:rsidRPr="00392E88" w:rsidRDefault="00044D5B">
            <w:pPr>
              <w:spacing w:before="0" w:after="0"/>
              <w:jc w:val="center"/>
              <w:rPr>
                <w:color w:val="000000"/>
                <w:sz w:val="14"/>
                <w:szCs w:val="14"/>
              </w:rPr>
            </w:pPr>
            <w:r w:rsidRPr="00392E88">
              <w:rPr>
                <w:color w:val="000000"/>
                <w:sz w:val="14"/>
              </w:rPr>
              <w:t>=2a+2b+3</w:t>
            </w:r>
          </w:p>
        </w:tc>
        <w:tc>
          <w:tcPr>
            <w:tcW w:w="496" w:type="pct"/>
            <w:gridSpan w:val="2"/>
            <w:tcBorders>
              <w:top w:val="nil"/>
              <w:left w:val="nil"/>
              <w:bottom w:val="single" w:sz="8" w:space="0" w:color="auto"/>
              <w:right w:val="single" w:sz="8" w:space="0" w:color="auto"/>
            </w:tcBorders>
            <w:shd w:val="clear" w:color="000000" w:fill="D9D9D9"/>
            <w:vAlign w:val="center"/>
            <w:hideMark/>
          </w:tcPr>
          <w:p w14:paraId="02305A65" w14:textId="77777777" w:rsidR="00044D5B" w:rsidRPr="00392E88" w:rsidRDefault="00044D5B">
            <w:pPr>
              <w:spacing w:before="0" w:after="0"/>
              <w:jc w:val="right"/>
              <w:rPr>
                <w:b/>
                <w:bCs/>
                <w:color w:val="000000"/>
                <w:sz w:val="20"/>
                <w:szCs w:val="20"/>
              </w:rPr>
            </w:pPr>
            <w:r w:rsidRPr="00392E88">
              <w:rPr>
                <w:b/>
                <w:color w:val="000000"/>
                <w:sz w:val="20"/>
              </w:rPr>
              <w:t>0,000</w:t>
            </w:r>
          </w:p>
        </w:tc>
        <w:tc>
          <w:tcPr>
            <w:tcW w:w="496" w:type="pct"/>
            <w:gridSpan w:val="2"/>
            <w:tcBorders>
              <w:top w:val="nil"/>
              <w:left w:val="nil"/>
              <w:bottom w:val="single" w:sz="8" w:space="0" w:color="auto"/>
              <w:right w:val="single" w:sz="8" w:space="0" w:color="auto"/>
            </w:tcBorders>
            <w:shd w:val="clear" w:color="000000" w:fill="D9D9D9"/>
            <w:vAlign w:val="center"/>
            <w:hideMark/>
          </w:tcPr>
          <w:p w14:paraId="14087FB4" w14:textId="77777777" w:rsidR="00044D5B" w:rsidRPr="00392E88" w:rsidRDefault="00044D5B">
            <w:pPr>
              <w:spacing w:before="0" w:after="0"/>
              <w:jc w:val="right"/>
              <w:rPr>
                <w:b/>
                <w:bCs/>
                <w:color w:val="000000"/>
                <w:sz w:val="20"/>
                <w:szCs w:val="20"/>
              </w:rPr>
            </w:pPr>
            <w:r w:rsidRPr="00392E88">
              <w:rPr>
                <w:b/>
                <w:color w:val="000000"/>
                <w:sz w:val="20"/>
              </w:rPr>
              <w:t>0,000</w:t>
            </w:r>
          </w:p>
        </w:tc>
        <w:tc>
          <w:tcPr>
            <w:tcW w:w="496" w:type="pct"/>
            <w:tcBorders>
              <w:top w:val="nil"/>
              <w:left w:val="nil"/>
              <w:bottom w:val="single" w:sz="8" w:space="0" w:color="auto"/>
              <w:right w:val="single" w:sz="8" w:space="0" w:color="auto"/>
            </w:tcBorders>
            <w:shd w:val="clear" w:color="000000" w:fill="D9D9D9"/>
            <w:vAlign w:val="center"/>
            <w:hideMark/>
          </w:tcPr>
          <w:p w14:paraId="2517E568" w14:textId="77777777" w:rsidR="00044D5B" w:rsidRPr="00392E88" w:rsidRDefault="00044D5B">
            <w:pPr>
              <w:spacing w:before="0" w:after="0"/>
              <w:jc w:val="right"/>
              <w:rPr>
                <w:b/>
                <w:bCs/>
                <w:color w:val="000000"/>
                <w:sz w:val="20"/>
                <w:szCs w:val="20"/>
              </w:rPr>
            </w:pPr>
            <w:r w:rsidRPr="00392E88">
              <w:rPr>
                <w:b/>
                <w:color w:val="000000"/>
                <w:sz w:val="20"/>
              </w:rPr>
              <w:t>0,000</w:t>
            </w:r>
          </w:p>
        </w:tc>
        <w:tc>
          <w:tcPr>
            <w:tcW w:w="478" w:type="pct"/>
            <w:tcBorders>
              <w:top w:val="nil"/>
              <w:left w:val="nil"/>
              <w:bottom w:val="single" w:sz="8" w:space="0" w:color="auto"/>
              <w:right w:val="single" w:sz="8" w:space="0" w:color="auto"/>
            </w:tcBorders>
            <w:shd w:val="clear" w:color="000000" w:fill="D9D9D9"/>
            <w:vAlign w:val="center"/>
            <w:hideMark/>
          </w:tcPr>
          <w:p w14:paraId="20C89D23" w14:textId="77777777" w:rsidR="00044D5B" w:rsidRPr="00392E88" w:rsidRDefault="00044D5B">
            <w:pPr>
              <w:spacing w:before="0" w:after="0"/>
              <w:jc w:val="right"/>
              <w:rPr>
                <w:b/>
                <w:bCs/>
                <w:color w:val="000000"/>
                <w:sz w:val="20"/>
                <w:szCs w:val="20"/>
              </w:rPr>
            </w:pPr>
            <w:r w:rsidRPr="00392E88">
              <w:rPr>
                <w:b/>
                <w:color w:val="000000"/>
                <w:sz w:val="20"/>
              </w:rPr>
              <w:t>0,000</w:t>
            </w:r>
          </w:p>
        </w:tc>
        <w:tc>
          <w:tcPr>
            <w:tcW w:w="590" w:type="pct"/>
            <w:tcBorders>
              <w:top w:val="nil"/>
              <w:left w:val="nil"/>
              <w:bottom w:val="single" w:sz="8" w:space="0" w:color="auto"/>
              <w:right w:val="single" w:sz="8" w:space="0" w:color="auto"/>
            </w:tcBorders>
            <w:shd w:val="clear" w:color="000000" w:fill="D9D9D9"/>
            <w:vAlign w:val="center"/>
            <w:hideMark/>
          </w:tcPr>
          <w:p w14:paraId="4B411B72" w14:textId="77777777" w:rsidR="00044D5B" w:rsidRPr="00392E88" w:rsidRDefault="00044D5B">
            <w:pPr>
              <w:spacing w:before="0" w:after="0"/>
              <w:jc w:val="right"/>
              <w:rPr>
                <w:b/>
                <w:bCs/>
                <w:color w:val="000000"/>
                <w:sz w:val="20"/>
                <w:szCs w:val="20"/>
              </w:rPr>
            </w:pPr>
            <w:r w:rsidRPr="00392E88">
              <w:rPr>
                <w:b/>
                <w:color w:val="000000"/>
                <w:sz w:val="20"/>
              </w:rPr>
              <w:t>0,000</w:t>
            </w:r>
          </w:p>
        </w:tc>
      </w:tr>
      <w:tr w:rsidR="00B55C7B" w:rsidRPr="00392E88" w14:paraId="0D8044BB" w14:textId="77777777">
        <w:trPr>
          <w:trHeight w:val="300"/>
        </w:trPr>
        <w:tc>
          <w:tcPr>
            <w:tcW w:w="2432" w:type="pct"/>
            <w:gridSpan w:val="5"/>
            <w:vMerge w:val="restart"/>
            <w:tcBorders>
              <w:top w:val="single" w:sz="8" w:space="0" w:color="auto"/>
              <w:left w:val="single" w:sz="8" w:space="0" w:color="auto"/>
              <w:bottom w:val="single" w:sz="8" w:space="0" w:color="000000"/>
              <w:right w:val="single" w:sz="8" w:space="0" w:color="000000"/>
            </w:tcBorders>
            <w:vAlign w:val="center"/>
            <w:hideMark/>
          </w:tcPr>
          <w:p w14:paraId="33E9BAC9" w14:textId="77777777" w:rsidR="00044D5B" w:rsidRPr="00392E88" w:rsidRDefault="00044D5B">
            <w:pPr>
              <w:spacing w:before="0" w:after="0"/>
              <w:jc w:val="center"/>
              <w:rPr>
                <w:b/>
                <w:bCs/>
                <w:color w:val="000000"/>
                <w:sz w:val="22"/>
              </w:rPr>
            </w:pPr>
            <w:r w:rsidRPr="00392E88">
              <w:rPr>
                <w:b/>
                <w:color w:val="000000"/>
                <w:sz w:val="22"/>
              </w:rPr>
              <w:t xml:space="preserve"> </w:t>
            </w:r>
          </w:p>
        </w:tc>
        <w:tc>
          <w:tcPr>
            <w:tcW w:w="493" w:type="pct"/>
            <w:gridSpan w:val="2"/>
            <w:tcBorders>
              <w:top w:val="single" w:sz="8" w:space="0" w:color="auto"/>
              <w:left w:val="nil"/>
              <w:bottom w:val="single" w:sz="8" w:space="0" w:color="auto"/>
              <w:right w:val="single" w:sz="8" w:space="0" w:color="auto"/>
            </w:tcBorders>
            <w:vAlign w:val="center"/>
            <w:hideMark/>
          </w:tcPr>
          <w:p w14:paraId="28AF7A00" w14:textId="77777777" w:rsidR="00044D5B" w:rsidRPr="00392E88" w:rsidRDefault="00044D5B">
            <w:pPr>
              <w:spacing w:before="0" w:after="0"/>
              <w:jc w:val="center"/>
              <w:rPr>
                <w:color w:val="000000"/>
                <w:sz w:val="20"/>
                <w:szCs w:val="20"/>
              </w:rPr>
            </w:pPr>
            <w:r w:rsidRPr="00392E88">
              <w:rPr>
                <w:color w:val="000000"/>
                <w:sz w:val="20"/>
              </w:rPr>
              <w:t>Rok</w:t>
            </w:r>
          </w:p>
        </w:tc>
        <w:tc>
          <w:tcPr>
            <w:tcW w:w="493" w:type="pct"/>
            <w:gridSpan w:val="2"/>
            <w:tcBorders>
              <w:top w:val="single" w:sz="8" w:space="0" w:color="auto"/>
              <w:left w:val="nil"/>
              <w:bottom w:val="single" w:sz="8" w:space="0" w:color="auto"/>
              <w:right w:val="single" w:sz="8" w:space="0" w:color="auto"/>
            </w:tcBorders>
            <w:vAlign w:val="center"/>
            <w:hideMark/>
          </w:tcPr>
          <w:p w14:paraId="6EE828B1" w14:textId="77777777" w:rsidR="00044D5B" w:rsidRPr="00392E88" w:rsidRDefault="00044D5B">
            <w:pPr>
              <w:spacing w:before="0" w:after="0"/>
              <w:jc w:val="center"/>
              <w:rPr>
                <w:color w:val="000000"/>
                <w:sz w:val="20"/>
                <w:szCs w:val="20"/>
              </w:rPr>
            </w:pPr>
            <w:r w:rsidRPr="00392E88">
              <w:rPr>
                <w:color w:val="000000"/>
                <w:sz w:val="20"/>
              </w:rPr>
              <w:t>Rok</w:t>
            </w:r>
          </w:p>
        </w:tc>
        <w:tc>
          <w:tcPr>
            <w:tcW w:w="493" w:type="pct"/>
            <w:gridSpan w:val="2"/>
            <w:tcBorders>
              <w:top w:val="single" w:sz="8" w:space="0" w:color="auto"/>
              <w:left w:val="nil"/>
              <w:bottom w:val="single" w:sz="8" w:space="0" w:color="auto"/>
              <w:right w:val="single" w:sz="8" w:space="0" w:color="auto"/>
            </w:tcBorders>
            <w:vAlign w:val="center"/>
            <w:hideMark/>
          </w:tcPr>
          <w:p w14:paraId="5B6DEE35" w14:textId="77777777" w:rsidR="00044D5B" w:rsidRPr="00392E88" w:rsidRDefault="00044D5B">
            <w:pPr>
              <w:spacing w:before="0" w:after="0"/>
              <w:jc w:val="center"/>
              <w:rPr>
                <w:color w:val="000000"/>
                <w:sz w:val="20"/>
                <w:szCs w:val="20"/>
              </w:rPr>
            </w:pPr>
            <w:r w:rsidRPr="00392E88">
              <w:rPr>
                <w:color w:val="000000"/>
                <w:sz w:val="20"/>
              </w:rPr>
              <w:t>Rok</w:t>
            </w:r>
          </w:p>
        </w:tc>
        <w:tc>
          <w:tcPr>
            <w:tcW w:w="493" w:type="pct"/>
            <w:gridSpan w:val="2"/>
            <w:tcBorders>
              <w:top w:val="single" w:sz="8" w:space="0" w:color="auto"/>
              <w:left w:val="nil"/>
              <w:bottom w:val="single" w:sz="8" w:space="0" w:color="auto"/>
              <w:right w:val="single" w:sz="8" w:space="0" w:color="auto"/>
            </w:tcBorders>
            <w:vAlign w:val="center"/>
            <w:hideMark/>
          </w:tcPr>
          <w:p w14:paraId="23585447" w14:textId="77777777" w:rsidR="00044D5B" w:rsidRPr="00392E88" w:rsidRDefault="00044D5B">
            <w:pPr>
              <w:spacing w:before="0" w:after="0"/>
              <w:jc w:val="center"/>
              <w:rPr>
                <w:color w:val="000000"/>
                <w:sz w:val="20"/>
                <w:szCs w:val="20"/>
              </w:rPr>
            </w:pPr>
            <w:r w:rsidRPr="00392E88">
              <w:rPr>
                <w:color w:val="000000"/>
                <w:sz w:val="20"/>
              </w:rPr>
              <w:t>Rok</w:t>
            </w:r>
          </w:p>
        </w:tc>
        <w:tc>
          <w:tcPr>
            <w:tcW w:w="596" w:type="pct"/>
            <w:gridSpan w:val="2"/>
            <w:vMerge w:val="restart"/>
            <w:tcBorders>
              <w:top w:val="single" w:sz="8" w:space="0" w:color="auto"/>
              <w:left w:val="single" w:sz="8" w:space="0" w:color="auto"/>
              <w:bottom w:val="single" w:sz="8" w:space="0" w:color="auto"/>
              <w:right w:val="single" w:sz="8" w:space="0" w:color="auto"/>
            </w:tcBorders>
            <w:vAlign w:val="center"/>
            <w:hideMark/>
          </w:tcPr>
          <w:p w14:paraId="0EA5E649" w14:textId="77777777" w:rsidR="00044D5B" w:rsidRPr="00392E88" w:rsidRDefault="00044D5B">
            <w:pPr>
              <w:spacing w:before="0" w:after="0"/>
              <w:jc w:val="center"/>
              <w:rPr>
                <w:b/>
                <w:bCs/>
                <w:color w:val="000000"/>
                <w:sz w:val="20"/>
                <w:szCs w:val="20"/>
              </w:rPr>
            </w:pPr>
            <w:r w:rsidRPr="00392E88">
              <w:rPr>
                <w:b/>
                <w:color w:val="000000"/>
                <w:sz w:val="20"/>
              </w:rPr>
              <w:t>OGÓŁEM WRF 2021–2027</w:t>
            </w:r>
          </w:p>
        </w:tc>
      </w:tr>
      <w:tr w:rsidR="00B55C7B" w:rsidRPr="00392E88" w14:paraId="28B0D72D" w14:textId="77777777">
        <w:trPr>
          <w:trHeight w:val="300"/>
        </w:trPr>
        <w:tc>
          <w:tcPr>
            <w:tcW w:w="2432" w:type="pct"/>
            <w:gridSpan w:val="5"/>
            <w:vMerge/>
            <w:tcBorders>
              <w:top w:val="single" w:sz="8" w:space="0" w:color="auto"/>
              <w:left w:val="single" w:sz="8" w:space="0" w:color="auto"/>
              <w:bottom w:val="single" w:sz="8" w:space="0" w:color="000000"/>
              <w:right w:val="single" w:sz="8" w:space="0" w:color="000000"/>
            </w:tcBorders>
            <w:vAlign w:val="center"/>
            <w:hideMark/>
          </w:tcPr>
          <w:p w14:paraId="0CD974FB" w14:textId="77777777" w:rsidR="00044D5B" w:rsidRPr="00392E88" w:rsidRDefault="00044D5B">
            <w:pPr>
              <w:spacing w:before="0" w:after="0"/>
              <w:jc w:val="left"/>
              <w:rPr>
                <w:b/>
                <w:bCs/>
                <w:color w:val="000000"/>
                <w:sz w:val="22"/>
                <w:lang w:eastAsia="en-IE"/>
              </w:rPr>
            </w:pPr>
          </w:p>
        </w:tc>
        <w:tc>
          <w:tcPr>
            <w:tcW w:w="493" w:type="pct"/>
            <w:gridSpan w:val="2"/>
            <w:tcBorders>
              <w:top w:val="nil"/>
              <w:left w:val="nil"/>
              <w:bottom w:val="single" w:sz="8" w:space="0" w:color="auto"/>
              <w:right w:val="single" w:sz="8" w:space="0" w:color="auto"/>
            </w:tcBorders>
            <w:vAlign w:val="center"/>
            <w:hideMark/>
          </w:tcPr>
          <w:p w14:paraId="0D6979C2" w14:textId="77777777" w:rsidR="00044D5B" w:rsidRPr="00392E88" w:rsidRDefault="00044D5B">
            <w:pPr>
              <w:spacing w:before="0" w:after="0"/>
              <w:jc w:val="center"/>
              <w:rPr>
                <w:b/>
                <w:bCs/>
                <w:color w:val="000000"/>
                <w:sz w:val="20"/>
                <w:szCs w:val="20"/>
              </w:rPr>
            </w:pPr>
            <w:r w:rsidRPr="00392E88">
              <w:rPr>
                <w:b/>
                <w:color w:val="000000"/>
                <w:sz w:val="20"/>
              </w:rPr>
              <w:t>2024</w:t>
            </w:r>
          </w:p>
        </w:tc>
        <w:tc>
          <w:tcPr>
            <w:tcW w:w="493" w:type="pct"/>
            <w:gridSpan w:val="2"/>
            <w:tcBorders>
              <w:top w:val="nil"/>
              <w:left w:val="nil"/>
              <w:bottom w:val="single" w:sz="8" w:space="0" w:color="auto"/>
              <w:right w:val="single" w:sz="8" w:space="0" w:color="auto"/>
            </w:tcBorders>
            <w:vAlign w:val="center"/>
            <w:hideMark/>
          </w:tcPr>
          <w:p w14:paraId="2270C046" w14:textId="77777777" w:rsidR="00044D5B" w:rsidRPr="00392E88" w:rsidRDefault="00044D5B">
            <w:pPr>
              <w:spacing w:before="0" w:after="0"/>
              <w:jc w:val="center"/>
              <w:rPr>
                <w:b/>
                <w:bCs/>
                <w:color w:val="000000"/>
                <w:sz w:val="20"/>
                <w:szCs w:val="20"/>
              </w:rPr>
            </w:pPr>
            <w:r w:rsidRPr="00392E88">
              <w:rPr>
                <w:b/>
                <w:color w:val="000000"/>
                <w:sz w:val="20"/>
              </w:rPr>
              <w:t>2025</w:t>
            </w:r>
          </w:p>
        </w:tc>
        <w:tc>
          <w:tcPr>
            <w:tcW w:w="493" w:type="pct"/>
            <w:gridSpan w:val="2"/>
            <w:tcBorders>
              <w:top w:val="nil"/>
              <w:left w:val="nil"/>
              <w:bottom w:val="single" w:sz="8" w:space="0" w:color="auto"/>
              <w:right w:val="single" w:sz="8" w:space="0" w:color="auto"/>
            </w:tcBorders>
            <w:vAlign w:val="center"/>
            <w:hideMark/>
          </w:tcPr>
          <w:p w14:paraId="5A8D0B21" w14:textId="77777777" w:rsidR="00044D5B" w:rsidRPr="00392E88" w:rsidRDefault="00044D5B">
            <w:pPr>
              <w:spacing w:before="0" w:after="0"/>
              <w:jc w:val="center"/>
              <w:rPr>
                <w:b/>
                <w:bCs/>
                <w:color w:val="000000"/>
                <w:sz w:val="20"/>
                <w:szCs w:val="20"/>
              </w:rPr>
            </w:pPr>
            <w:r w:rsidRPr="00392E88">
              <w:rPr>
                <w:b/>
                <w:color w:val="000000"/>
                <w:sz w:val="20"/>
              </w:rPr>
              <w:t>2026</w:t>
            </w:r>
          </w:p>
        </w:tc>
        <w:tc>
          <w:tcPr>
            <w:tcW w:w="493" w:type="pct"/>
            <w:gridSpan w:val="2"/>
            <w:tcBorders>
              <w:top w:val="nil"/>
              <w:left w:val="nil"/>
              <w:bottom w:val="single" w:sz="8" w:space="0" w:color="auto"/>
              <w:right w:val="single" w:sz="8" w:space="0" w:color="auto"/>
            </w:tcBorders>
            <w:vAlign w:val="center"/>
            <w:hideMark/>
          </w:tcPr>
          <w:p w14:paraId="6FF0D8B0" w14:textId="77777777" w:rsidR="00044D5B" w:rsidRPr="00392E88" w:rsidRDefault="00044D5B">
            <w:pPr>
              <w:spacing w:before="0" w:after="0"/>
              <w:jc w:val="center"/>
              <w:rPr>
                <w:b/>
                <w:bCs/>
                <w:color w:val="000000"/>
                <w:sz w:val="20"/>
                <w:szCs w:val="20"/>
              </w:rPr>
            </w:pPr>
            <w:r w:rsidRPr="00392E88">
              <w:rPr>
                <w:b/>
                <w:color w:val="000000"/>
                <w:sz w:val="20"/>
              </w:rPr>
              <w:t>2027</w:t>
            </w:r>
          </w:p>
        </w:tc>
        <w:tc>
          <w:tcPr>
            <w:tcW w:w="596" w:type="pct"/>
            <w:gridSpan w:val="2"/>
            <w:vMerge/>
            <w:tcBorders>
              <w:top w:val="single" w:sz="8" w:space="0" w:color="auto"/>
              <w:left w:val="single" w:sz="8" w:space="0" w:color="auto"/>
              <w:bottom w:val="single" w:sz="8" w:space="0" w:color="auto"/>
              <w:right w:val="single" w:sz="8" w:space="0" w:color="auto"/>
            </w:tcBorders>
            <w:vAlign w:val="center"/>
            <w:hideMark/>
          </w:tcPr>
          <w:p w14:paraId="05B5C0C4" w14:textId="77777777" w:rsidR="00044D5B" w:rsidRPr="00392E88" w:rsidRDefault="00044D5B">
            <w:pPr>
              <w:spacing w:before="0" w:after="0"/>
              <w:jc w:val="left"/>
              <w:rPr>
                <w:b/>
                <w:bCs/>
                <w:color w:val="000000"/>
                <w:sz w:val="20"/>
                <w:szCs w:val="20"/>
                <w:lang w:eastAsia="en-IE"/>
              </w:rPr>
            </w:pPr>
          </w:p>
        </w:tc>
      </w:tr>
      <w:tr w:rsidR="00983E98" w:rsidRPr="00392E88" w14:paraId="3F0A7029" w14:textId="77777777">
        <w:trPr>
          <w:trHeight w:val="432"/>
        </w:trPr>
        <w:tc>
          <w:tcPr>
            <w:tcW w:w="1411" w:type="pct"/>
            <w:gridSpan w:val="2"/>
            <w:vMerge w:val="restart"/>
            <w:tcBorders>
              <w:top w:val="nil"/>
              <w:left w:val="single" w:sz="8" w:space="0" w:color="auto"/>
              <w:bottom w:val="single" w:sz="8" w:space="0" w:color="auto"/>
              <w:right w:val="single" w:sz="8" w:space="0" w:color="auto"/>
            </w:tcBorders>
            <w:vAlign w:val="center"/>
            <w:hideMark/>
          </w:tcPr>
          <w:p w14:paraId="233BA720" w14:textId="2BF20192" w:rsidR="00044D5B" w:rsidRPr="00392E88" w:rsidRDefault="00044D5B">
            <w:pPr>
              <w:spacing w:before="0" w:after="0"/>
              <w:rPr>
                <w:color w:val="000000"/>
                <w:sz w:val="21"/>
                <w:szCs w:val="21"/>
              </w:rPr>
            </w:pPr>
            <w:r w:rsidRPr="00392E88">
              <w:rPr>
                <w:color w:val="000000"/>
                <w:sz w:val="21"/>
              </w:rPr>
              <w:t>OGÓŁEM środki operacyjn</w:t>
            </w:r>
            <w:r w:rsidRPr="006E6446">
              <w:rPr>
                <w:color w:val="000000"/>
                <w:sz w:val="21"/>
              </w:rPr>
              <w:t>e</w:t>
            </w:r>
            <w:r w:rsidR="006E6446" w:rsidRPr="006E6446">
              <w:rPr>
                <w:color w:val="000000"/>
                <w:sz w:val="21"/>
              </w:rPr>
              <w:t xml:space="preserve"> </w:t>
            </w:r>
            <w:r w:rsidRPr="006E6446">
              <w:br/>
            </w:r>
          </w:p>
        </w:tc>
        <w:tc>
          <w:tcPr>
            <w:tcW w:w="529" w:type="pct"/>
            <w:gridSpan w:val="2"/>
            <w:tcBorders>
              <w:top w:val="nil"/>
              <w:left w:val="nil"/>
              <w:bottom w:val="single" w:sz="8" w:space="0" w:color="auto"/>
              <w:right w:val="single" w:sz="8" w:space="0" w:color="auto"/>
            </w:tcBorders>
            <w:vAlign w:val="center"/>
            <w:hideMark/>
          </w:tcPr>
          <w:p w14:paraId="42873EEE" w14:textId="77777777" w:rsidR="00044D5B" w:rsidRPr="00392E88" w:rsidRDefault="00044D5B">
            <w:pPr>
              <w:spacing w:before="0" w:after="0"/>
              <w:rPr>
                <w:color w:val="000000"/>
                <w:sz w:val="18"/>
                <w:szCs w:val="18"/>
              </w:rPr>
            </w:pPr>
            <w:r w:rsidRPr="00392E88">
              <w:rPr>
                <w:color w:val="000000"/>
                <w:sz w:val="18"/>
              </w:rPr>
              <w:t>Środki na zobowiązania</w:t>
            </w:r>
          </w:p>
        </w:tc>
        <w:tc>
          <w:tcPr>
            <w:tcW w:w="492" w:type="pct"/>
            <w:tcBorders>
              <w:top w:val="single" w:sz="8" w:space="0" w:color="auto"/>
              <w:left w:val="nil"/>
              <w:bottom w:val="single" w:sz="8" w:space="0" w:color="auto"/>
              <w:right w:val="single" w:sz="8" w:space="0" w:color="auto"/>
            </w:tcBorders>
            <w:vAlign w:val="center"/>
            <w:hideMark/>
          </w:tcPr>
          <w:p w14:paraId="5986152A" w14:textId="77777777" w:rsidR="00044D5B" w:rsidRPr="00392E88" w:rsidRDefault="00044D5B">
            <w:pPr>
              <w:spacing w:before="0" w:after="0"/>
              <w:jc w:val="center"/>
              <w:rPr>
                <w:color w:val="000000"/>
                <w:sz w:val="14"/>
                <w:szCs w:val="14"/>
              </w:rPr>
            </w:pPr>
            <w:r w:rsidRPr="00392E88">
              <w:rPr>
                <w:color w:val="000000"/>
                <w:sz w:val="14"/>
              </w:rPr>
              <w:t>(4)</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07E6CAE5" w14:textId="77777777" w:rsidR="00044D5B" w:rsidRPr="00392E88" w:rsidRDefault="00044D5B">
            <w:pPr>
              <w:spacing w:before="0" w:after="0"/>
              <w:jc w:val="right"/>
              <w:rPr>
                <w:color w:val="000000"/>
                <w:sz w:val="20"/>
                <w:szCs w:val="20"/>
              </w:rPr>
            </w:pPr>
            <w:r w:rsidRPr="00392E88">
              <w:rPr>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3C02767A" w14:textId="77777777" w:rsidR="00044D5B" w:rsidRPr="00392E88" w:rsidRDefault="00044D5B">
            <w:pPr>
              <w:spacing w:before="0" w:after="0"/>
              <w:jc w:val="right"/>
              <w:rPr>
                <w:color w:val="000000"/>
                <w:sz w:val="20"/>
                <w:szCs w:val="20"/>
              </w:rPr>
            </w:pPr>
            <w:r w:rsidRPr="00392E88">
              <w:rPr>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45880481" w14:textId="77777777" w:rsidR="00044D5B" w:rsidRPr="00392E88" w:rsidRDefault="00044D5B">
            <w:pPr>
              <w:spacing w:before="0" w:after="0"/>
              <w:jc w:val="right"/>
              <w:rPr>
                <w:color w:val="000000"/>
                <w:sz w:val="20"/>
                <w:szCs w:val="20"/>
              </w:rPr>
            </w:pPr>
            <w:r w:rsidRPr="00392E88">
              <w:rPr>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0E21AF12" w14:textId="77777777" w:rsidR="00044D5B" w:rsidRPr="00392E88" w:rsidRDefault="00044D5B">
            <w:pPr>
              <w:spacing w:before="0" w:after="0"/>
              <w:jc w:val="right"/>
              <w:rPr>
                <w:color w:val="000000"/>
                <w:sz w:val="20"/>
                <w:szCs w:val="20"/>
              </w:rPr>
            </w:pPr>
            <w:r w:rsidRPr="00392E88">
              <w:rPr>
                <w:color w:val="000000"/>
                <w:sz w:val="20"/>
              </w:rPr>
              <w:t>0,000</w:t>
            </w:r>
          </w:p>
        </w:tc>
        <w:tc>
          <w:tcPr>
            <w:tcW w:w="596" w:type="pct"/>
            <w:gridSpan w:val="2"/>
            <w:tcBorders>
              <w:top w:val="nil"/>
              <w:left w:val="nil"/>
              <w:bottom w:val="single" w:sz="8" w:space="0" w:color="auto"/>
              <w:right w:val="single" w:sz="8" w:space="0" w:color="auto"/>
            </w:tcBorders>
            <w:shd w:val="clear" w:color="000000" w:fill="D9D9D9"/>
            <w:vAlign w:val="center"/>
            <w:hideMark/>
          </w:tcPr>
          <w:p w14:paraId="3D45EFB9" w14:textId="77777777" w:rsidR="00044D5B" w:rsidRPr="00392E88" w:rsidRDefault="00044D5B">
            <w:pPr>
              <w:spacing w:before="0" w:after="0"/>
              <w:jc w:val="right"/>
              <w:rPr>
                <w:b/>
                <w:bCs/>
                <w:color w:val="000000"/>
                <w:sz w:val="20"/>
                <w:szCs w:val="20"/>
              </w:rPr>
            </w:pPr>
            <w:r w:rsidRPr="00392E88">
              <w:rPr>
                <w:b/>
                <w:color w:val="000000"/>
                <w:sz w:val="20"/>
              </w:rPr>
              <w:t>0,000</w:t>
            </w:r>
          </w:p>
        </w:tc>
      </w:tr>
      <w:tr w:rsidR="00983E98" w:rsidRPr="00392E88" w14:paraId="23361CB8" w14:textId="77777777">
        <w:trPr>
          <w:trHeight w:val="456"/>
        </w:trPr>
        <w:tc>
          <w:tcPr>
            <w:tcW w:w="1411" w:type="pct"/>
            <w:gridSpan w:val="2"/>
            <w:vMerge/>
            <w:tcBorders>
              <w:top w:val="nil"/>
              <w:left w:val="single" w:sz="8" w:space="0" w:color="auto"/>
              <w:bottom w:val="single" w:sz="8" w:space="0" w:color="auto"/>
              <w:right w:val="single" w:sz="8" w:space="0" w:color="auto"/>
            </w:tcBorders>
            <w:vAlign w:val="center"/>
            <w:hideMark/>
          </w:tcPr>
          <w:p w14:paraId="0E7DBA93" w14:textId="77777777" w:rsidR="00044D5B" w:rsidRPr="00392E88" w:rsidRDefault="00044D5B">
            <w:pPr>
              <w:spacing w:before="0" w:after="0"/>
              <w:jc w:val="left"/>
              <w:rPr>
                <w:color w:val="000000"/>
                <w:sz w:val="21"/>
                <w:szCs w:val="21"/>
                <w:lang w:eastAsia="en-IE"/>
              </w:rPr>
            </w:pPr>
          </w:p>
        </w:tc>
        <w:tc>
          <w:tcPr>
            <w:tcW w:w="529" w:type="pct"/>
            <w:gridSpan w:val="2"/>
            <w:tcBorders>
              <w:top w:val="nil"/>
              <w:left w:val="nil"/>
              <w:bottom w:val="single" w:sz="8" w:space="0" w:color="auto"/>
              <w:right w:val="single" w:sz="8" w:space="0" w:color="auto"/>
            </w:tcBorders>
            <w:vAlign w:val="center"/>
            <w:hideMark/>
          </w:tcPr>
          <w:p w14:paraId="086B5F8A" w14:textId="77777777" w:rsidR="00044D5B" w:rsidRPr="00392E88" w:rsidRDefault="00044D5B">
            <w:pPr>
              <w:spacing w:before="0" w:after="0"/>
              <w:rPr>
                <w:color w:val="000000"/>
                <w:sz w:val="18"/>
                <w:szCs w:val="18"/>
              </w:rPr>
            </w:pPr>
            <w:r w:rsidRPr="00392E88">
              <w:rPr>
                <w:color w:val="000000"/>
                <w:sz w:val="18"/>
              </w:rPr>
              <w:t>Środki na płatności</w:t>
            </w:r>
          </w:p>
        </w:tc>
        <w:tc>
          <w:tcPr>
            <w:tcW w:w="492" w:type="pct"/>
            <w:tcBorders>
              <w:top w:val="single" w:sz="8" w:space="0" w:color="auto"/>
              <w:left w:val="nil"/>
              <w:bottom w:val="single" w:sz="8" w:space="0" w:color="auto"/>
              <w:right w:val="single" w:sz="8" w:space="0" w:color="auto"/>
            </w:tcBorders>
            <w:vAlign w:val="center"/>
            <w:hideMark/>
          </w:tcPr>
          <w:p w14:paraId="1A3CE536" w14:textId="77777777" w:rsidR="00044D5B" w:rsidRPr="00392E88" w:rsidRDefault="00044D5B">
            <w:pPr>
              <w:spacing w:before="0" w:after="0"/>
              <w:jc w:val="center"/>
              <w:rPr>
                <w:color w:val="000000"/>
                <w:sz w:val="14"/>
                <w:szCs w:val="14"/>
              </w:rPr>
            </w:pPr>
            <w:r w:rsidRPr="00392E88">
              <w:rPr>
                <w:color w:val="000000"/>
                <w:sz w:val="14"/>
              </w:rPr>
              <w:t>(5)</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2D320550" w14:textId="77777777" w:rsidR="00044D5B" w:rsidRPr="00392E88" w:rsidRDefault="00044D5B">
            <w:pPr>
              <w:spacing w:before="0" w:after="0"/>
              <w:jc w:val="right"/>
              <w:rPr>
                <w:color w:val="000000"/>
                <w:sz w:val="20"/>
                <w:szCs w:val="20"/>
              </w:rPr>
            </w:pPr>
            <w:r w:rsidRPr="00392E88">
              <w:rPr>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7302867B" w14:textId="77777777" w:rsidR="00044D5B" w:rsidRPr="00392E88" w:rsidRDefault="00044D5B">
            <w:pPr>
              <w:spacing w:before="0" w:after="0"/>
              <w:jc w:val="right"/>
              <w:rPr>
                <w:color w:val="000000"/>
                <w:sz w:val="20"/>
                <w:szCs w:val="20"/>
              </w:rPr>
            </w:pPr>
            <w:r w:rsidRPr="00392E88">
              <w:rPr>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42EE1445" w14:textId="77777777" w:rsidR="00044D5B" w:rsidRPr="00392E88" w:rsidRDefault="00044D5B">
            <w:pPr>
              <w:spacing w:before="0" w:after="0"/>
              <w:jc w:val="right"/>
              <w:rPr>
                <w:color w:val="000000"/>
                <w:sz w:val="20"/>
                <w:szCs w:val="20"/>
              </w:rPr>
            </w:pPr>
            <w:r w:rsidRPr="00392E88">
              <w:rPr>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428C7102" w14:textId="77777777" w:rsidR="00044D5B" w:rsidRPr="00392E88" w:rsidRDefault="00044D5B">
            <w:pPr>
              <w:spacing w:before="0" w:after="0"/>
              <w:jc w:val="right"/>
              <w:rPr>
                <w:color w:val="000000"/>
                <w:sz w:val="20"/>
                <w:szCs w:val="20"/>
              </w:rPr>
            </w:pPr>
            <w:r w:rsidRPr="00392E88">
              <w:rPr>
                <w:color w:val="000000"/>
                <w:sz w:val="20"/>
              </w:rPr>
              <w:t>0,000</w:t>
            </w:r>
          </w:p>
        </w:tc>
        <w:tc>
          <w:tcPr>
            <w:tcW w:w="596" w:type="pct"/>
            <w:gridSpan w:val="2"/>
            <w:tcBorders>
              <w:top w:val="nil"/>
              <w:left w:val="nil"/>
              <w:bottom w:val="single" w:sz="8" w:space="0" w:color="auto"/>
              <w:right w:val="single" w:sz="8" w:space="0" w:color="auto"/>
            </w:tcBorders>
            <w:shd w:val="clear" w:color="000000" w:fill="D9D9D9"/>
            <w:vAlign w:val="center"/>
            <w:hideMark/>
          </w:tcPr>
          <w:p w14:paraId="20D840AE" w14:textId="77777777" w:rsidR="00044D5B" w:rsidRPr="00392E88" w:rsidRDefault="00044D5B">
            <w:pPr>
              <w:spacing w:before="0" w:after="0"/>
              <w:jc w:val="right"/>
              <w:rPr>
                <w:b/>
                <w:bCs/>
                <w:color w:val="000000"/>
                <w:sz w:val="20"/>
                <w:szCs w:val="20"/>
              </w:rPr>
            </w:pPr>
            <w:r w:rsidRPr="00392E88">
              <w:rPr>
                <w:b/>
                <w:color w:val="000000"/>
                <w:sz w:val="20"/>
              </w:rPr>
              <w:t>0,000</w:t>
            </w:r>
          </w:p>
        </w:tc>
      </w:tr>
      <w:tr w:rsidR="00E6355E" w:rsidRPr="00392E88" w14:paraId="15935BD3" w14:textId="77777777">
        <w:trPr>
          <w:trHeight w:val="924"/>
        </w:trPr>
        <w:tc>
          <w:tcPr>
            <w:tcW w:w="1939" w:type="pct"/>
            <w:gridSpan w:val="2"/>
            <w:tcBorders>
              <w:top w:val="single" w:sz="8" w:space="0" w:color="auto"/>
              <w:left w:val="single" w:sz="8" w:space="0" w:color="auto"/>
              <w:bottom w:val="single" w:sz="8" w:space="0" w:color="auto"/>
              <w:right w:val="single" w:sz="8" w:space="0" w:color="auto"/>
            </w:tcBorders>
            <w:vAlign w:val="center"/>
            <w:hideMark/>
          </w:tcPr>
          <w:p w14:paraId="6DF87996" w14:textId="77777777" w:rsidR="00044D5B" w:rsidRPr="00392E88" w:rsidRDefault="00044D5B">
            <w:pPr>
              <w:spacing w:before="0" w:after="0"/>
              <w:rPr>
                <w:color w:val="000000"/>
                <w:sz w:val="21"/>
                <w:szCs w:val="21"/>
              </w:rPr>
            </w:pPr>
            <w:r w:rsidRPr="00392E88">
              <w:rPr>
                <w:color w:val="000000"/>
                <w:sz w:val="21"/>
              </w:rPr>
              <w:t xml:space="preserve">OGÓŁEM środki administracyjne finansowane ze środków przydzielonych na określone programy </w:t>
            </w:r>
          </w:p>
        </w:tc>
        <w:tc>
          <w:tcPr>
            <w:tcW w:w="492" w:type="pct"/>
            <w:gridSpan w:val="3"/>
            <w:tcBorders>
              <w:top w:val="single" w:sz="8" w:space="0" w:color="auto"/>
              <w:left w:val="nil"/>
              <w:bottom w:val="single" w:sz="8" w:space="0" w:color="auto"/>
              <w:right w:val="single" w:sz="8" w:space="0" w:color="auto"/>
            </w:tcBorders>
            <w:vAlign w:val="center"/>
            <w:hideMark/>
          </w:tcPr>
          <w:p w14:paraId="705D58EA" w14:textId="77777777" w:rsidR="00044D5B" w:rsidRPr="00392E88" w:rsidRDefault="00044D5B">
            <w:pPr>
              <w:spacing w:before="0" w:after="0"/>
              <w:jc w:val="center"/>
              <w:rPr>
                <w:color w:val="000000"/>
                <w:sz w:val="14"/>
                <w:szCs w:val="14"/>
              </w:rPr>
            </w:pPr>
            <w:r w:rsidRPr="00392E88">
              <w:rPr>
                <w:color w:val="000000"/>
                <w:sz w:val="14"/>
              </w:rPr>
              <w:t>(6)</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4828F8BA" w14:textId="77777777" w:rsidR="00044D5B" w:rsidRPr="00392E88" w:rsidRDefault="00044D5B">
            <w:pPr>
              <w:spacing w:before="0" w:after="0"/>
              <w:jc w:val="right"/>
              <w:rPr>
                <w:color w:val="000000"/>
                <w:sz w:val="20"/>
                <w:szCs w:val="20"/>
              </w:rPr>
            </w:pPr>
            <w:r w:rsidRPr="00392E88">
              <w:rPr>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66DACAD0" w14:textId="77777777" w:rsidR="00044D5B" w:rsidRPr="00392E88" w:rsidRDefault="00044D5B">
            <w:pPr>
              <w:spacing w:before="0" w:after="0"/>
              <w:jc w:val="right"/>
              <w:rPr>
                <w:color w:val="000000"/>
                <w:sz w:val="20"/>
                <w:szCs w:val="20"/>
              </w:rPr>
            </w:pPr>
            <w:r w:rsidRPr="00392E88">
              <w:rPr>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72A38632" w14:textId="77777777" w:rsidR="00044D5B" w:rsidRPr="00392E88" w:rsidRDefault="00044D5B">
            <w:pPr>
              <w:spacing w:before="0" w:after="0"/>
              <w:jc w:val="right"/>
              <w:rPr>
                <w:color w:val="000000"/>
                <w:sz w:val="20"/>
                <w:szCs w:val="20"/>
              </w:rPr>
            </w:pPr>
            <w:r w:rsidRPr="00392E88">
              <w:rPr>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066016F1" w14:textId="77777777" w:rsidR="00044D5B" w:rsidRPr="00392E88" w:rsidRDefault="00044D5B">
            <w:pPr>
              <w:spacing w:before="0" w:after="0"/>
              <w:jc w:val="right"/>
              <w:rPr>
                <w:color w:val="000000"/>
                <w:sz w:val="20"/>
                <w:szCs w:val="20"/>
              </w:rPr>
            </w:pPr>
            <w:r w:rsidRPr="00392E88">
              <w:rPr>
                <w:color w:val="000000"/>
                <w:sz w:val="20"/>
              </w:rPr>
              <w:t>0,000</w:t>
            </w:r>
          </w:p>
        </w:tc>
        <w:tc>
          <w:tcPr>
            <w:tcW w:w="596" w:type="pct"/>
            <w:gridSpan w:val="2"/>
            <w:tcBorders>
              <w:top w:val="nil"/>
              <w:left w:val="nil"/>
              <w:bottom w:val="single" w:sz="8" w:space="0" w:color="auto"/>
              <w:right w:val="single" w:sz="8" w:space="0" w:color="auto"/>
            </w:tcBorders>
            <w:shd w:val="clear" w:color="000000" w:fill="D9D9D9"/>
            <w:vAlign w:val="center"/>
            <w:hideMark/>
          </w:tcPr>
          <w:p w14:paraId="2F5CC8E2" w14:textId="77777777" w:rsidR="00044D5B" w:rsidRPr="00392E88" w:rsidRDefault="00044D5B">
            <w:pPr>
              <w:spacing w:before="0" w:after="0"/>
              <w:jc w:val="right"/>
              <w:rPr>
                <w:b/>
                <w:bCs/>
                <w:color w:val="000000"/>
                <w:sz w:val="20"/>
                <w:szCs w:val="20"/>
              </w:rPr>
            </w:pPr>
            <w:r w:rsidRPr="00392E88">
              <w:rPr>
                <w:b/>
                <w:color w:val="000000"/>
                <w:sz w:val="20"/>
              </w:rPr>
              <w:t>0,000</w:t>
            </w:r>
          </w:p>
        </w:tc>
      </w:tr>
      <w:tr w:rsidR="00983E98" w:rsidRPr="00392E88" w14:paraId="40F03713" w14:textId="77777777">
        <w:trPr>
          <w:trHeight w:val="564"/>
        </w:trPr>
        <w:tc>
          <w:tcPr>
            <w:tcW w:w="1411" w:type="pct"/>
            <w:gridSpan w:val="2"/>
            <w:tcBorders>
              <w:top w:val="nil"/>
              <w:left w:val="single" w:sz="8" w:space="0" w:color="auto"/>
              <w:bottom w:val="nil"/>
              <w:right w:val="single" w:sz="8" w:space="0" w:color="auto"/>
            </w:tcBorders>
            <w:shd w:val="thinDiagStripe" w:color="C0C0C0" w:fill="F1F1F1"/>
            <w:vAlign w:val="center"/>
            <w:hideMark/>
          </w:tcPr>
          <w:p w14:paraId="51365956" w14:textId="77777777" w:rsidR="00044D5B" w:rsidRPr="00392E88" w:rsidRDefault="00044D5B">
            <w:pPr>
              <w:spacing w:before="0" w:after="0"/>
              <w:jc w:val="center"/>
              <w:rPr>
                <w:b/>
                <w:bCs/>
                <w:color w:val="000000"/>
                <w:sz w:val="22"/>
              </w:rPr>
            </w:pPr>
            <w:r w:rsidRPr="00392E88">
              <w:rPr>
                <w:b/>
                <w:color w:val="000000"/>
                <w:sz w:val="22"/>
              </w:rPr>
              <w:t>OGÓŁEM środki na DZIAŁ &lt;….&gt;</w:t>
            </w:r>
          </w:p>
        </w:tc>
        <w:tc>
          <w:tcPr>
            <w:tcW w:w="529" w:type="pct"/>
            <w:gridSpan w:val="2"/>
            <w:tcBorders>
              <w:top w:val="nil"/>
              <w:left w:val="nil"/>
              <w:bottom w:val="single" w:sz="8" w:space="0" w:color="auto"/>
              <w:right w:val="single" w:sz="8" w:space="0" w:color="auto"/>
            </w:tcBorders>
            <w:vAlign w:val="center"/>
            <w:hideMark/>
          </w:tcPr>
          <w:p w14:paraId="2D0E0E1D" w14:textId="77777777" w:rsidR="00044D5B" w:rsidRPr="00392E88" w:rsidRDefault="00044D5B">
            <w:pPr>
              <w:spacing w:before="0" w:after="0"/>
              <w:rPr>
                <w:color w:val="000000"/>
                <w:sz w:val="18"/>
                <w:szCs w:val="18"/>
              </w:rPr>
            </w:pPr>
            <w:r w:rsidRPr="00392E88">
              <w:rPr>
                <w:color w:val="000000"/>
                <w:sz w:val="18"/>
              </w:rPr>
              <w:t>Środki na zobowiązania</w:t>
            </w:r>
          </w:p>
        </w:tc>
        <w:tc>
          <w:tcPr>
            <w:tcW w:w="492" w:type="pct"/>
            <w:tcBorders>
              <w:top w:val="single" w:sz="8" w:space="0" w:color="auto"/>
              <w:left w:val="nil"/>
              <w:bottom w:val="single" w:sz="8" w:space="0" w:color="auto"/>
              <w:right w:val="single" w:sz="8" w:space="0" w:color="auto"/>
            </w:tcBorders>
            <w:vAlign w:val="center"/>
            <w:hideMark/>
          </w:tcPr>
          <w:p w14:paraId="0F402829" w14:textId="77777777" w:rsidR="00044D5B" w:rsidRPr="00392E88" w:rsidRDefault="00044D5B">
            <w:pPr>
              <w:spacing w:before="0" w:after="0"/>
              <w:jc w:val="center"/>
              <w:rPr>
                <w:color w:val="000000"/>
                <w:sz w:val="14"/>
                <w:szCs w:val="14"/>
              </w:rPr>
            </w:pPr>
            <w:r w:rsidRPr="00392E88">
              <w:rPr>
                <w:color w:val="000000"/>
                <w:sz w:val="14"/>
              </w:rPr>
              <w:t>=4+6</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2B515429" w14:textId="77777777" w:rsidR="00044D5B" w:rsidRPr="00392E88" w:rsidRDefault="00044D5B">
            <w:pPr>
              <w:spacing w:before="0" w:after="0"/>
              <w:jc w:val="right"/>
              <w:rPr>
                <w:b/>
                <w:bCs/>
                <w:color w:val="000000"/>
                <w:sz w:val="20"/>
                <w:szCs w:val="20"/>
              </w:rPr>
            </w:pPr>
            <w:r w:rsidRPr="00392E88">
              <w:rPr>
                <w:b/>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6A166343" w14:textId="77777777" w:rsidR="00044D5B" w:rsidRPr="00392E88" w:rsidRDefault="00044D5B">
            <w:pPr>
              <w:spacing w:before="0" w:after="0"/>
              <w:jc w:val="right"/>
              <w:rPr>
                <w:b/>
                <w:bCs/>
                <w:color w:val="000000"/>
                <w:sz w:val="20"/>
                <w:szCs w:val="20"/>
              </w:rPr>
            </w:pPr>
            <w:r w:rsidRPr="00392E88">
              <w:rPr>
                <w:b/>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77EAEE48" w14:textId="77777777" w:rsidR="00044D5B" w:rsidRPr="00392E88" w:rsidRDefault="00044D5B">
            <w:pPr>
              <w:spacing w:before="0" w:after="0"/>
              <w:jc w:val="right"/>
              <w:rPr>
                <w:b/>
                <w:bCs/>
                <w:color w:val="000000"/>
                <w:sz w:val="20"/>
                <w:szCs w:val="20"/>
              </w:rPr>
            </w:pPr>
            <w:r w:rsidRPr="00392E88">
              <w:rPr>
                <w:b/>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0AC44469" w14:textId="77777777" w:rsidR="00044D5B" w:rsidRPr="00392E88" w:rsidRDefault="00044D5B">
            <w:pPr>
              <w:spacing w:before="0" w:after="0"/>
              <w:jc w:val="right"/>
              <w:rPr>
                <w:b/>
                <w:bCs/>
                <w:color w:val="000000"/>
                <w:sz w:val="20"/>
                <w:szCs w:val="20"/>
              </w:rPr>
            </w:pPr>
            <w:r w:rsidRPr="00392E88">
              <w:rPr>
                <w:b/>
                <w:color w:val="000000"/>
                <w:sz w:val="20"/>
              </w:rPr>
              <w:t>0,000</w:t>
            </w:r>
          </w:p>
        </w:tc>
        <w:tc>
          <w:tcPr>
            <w:tcW w:w="596" w:type="pct"/>
            <w:gridSpan w:val="2"/>
            <w:tcBorders>
              <w:top w:val="nil"/>
              <w:left w:val="nil"/>
              <w:bottom w:val="single" w:sz="8" w:space="0" w:color="auto"/>
              <w:right w:val="single" w:sz="8" w:space="0" w:color="auto"/>
            </w:tcBorders>
            <w:shd w:val="clear" w:color="000000" w:fill="D9D9D9"/>
            <w:vAlign w:val="center"/>
            <w:hideMark/>
          </w:tcPr>
          <w:p w14:paraId="26811430" w14:textId="77777777" w:rsidR="00044D5B" w:rsidRPr="00392E88" w:rsidRDefault="00044D5B">
            <w:pPr>
              <w:spacing w:before="0" w:after="0"/>
              <w:jc w:val="right"/>
              <w:rPr>
                <w:b/>
                <w:bCs/>
                <w:color w:val="000000"/>
                <w:sz w:val="20"/>
                <w:szCs w:val="20"/>
              </w:rPr>
            </w:pPr>
            <w:r w:rsidRPr="00392E88">
              <w:rPr>
                <w:b/>
                <w:color w:val="000000"/>
                <w:sz w:val="20"/>
              </w:rPr>
              <w:t>0,000</w:t>
            </w:r>
          </w:p>
        </w:tc>
      </w:tr>
      <w:tr w:rsidR="00983E98" w:rsidRPr="00392E88" w14:paraId="008134CA" w14:textId="77777777">
        <w:trPr>
          <w:trHeight w:val="528"/>
        </w:trPr>
        <w:tc>
          <w:tcPr>
            <w:tcW w:w="1411" w:type="pct"/>
            <w:gridSpan w:val="2"/>
            <w:tcBorders>
              <w:top w:val="nil"/>
              <w:left w:val="single" w:sz="8" w:space="0" w:color="auto"/>
              <w:bottom w:val="single" w:sz="8" w:space="0" w:color="auto"/>
              <w:right w:val="single" w:sz="8" w:space="0" w:color="auto"/>
            </w:tcBorders>
            <w:shd w:val="thinDiagStripe" w:color="C0C0C0" w:fill="F1F1F1"/>
            <w:vAlign w:val="center"/>
            <w:hideMark/>
          </w:tcPr>
          <w:p w14:paraId="5A7DB23C" w14:textId="77777777" w:rsidR="00044D5B" w:rsidRPr="00392E88" w:rsidRDefault="00044D5B">
            <w:pPr>
              <w:spacing w:before="0" w:after="0"/>
              <w:jc w:val="center"/>
              <w:rPr>
                <w:color w:val="000000"/>
                <w:sz w:val="22"/>
              </w:rPr>
            </w:pPr>
            <w:r w:rsidRPr="00392E88">
              <w:rPr>
                <w:color w:val="000000"/>
                <w:sz w:val="22"/>
              </w:rPr>
              <w:t>wieloletnich ram finansowych</w:t>
            </w:r>
          </w:p>
        </w:tc>
        <w:tc>
          <w:tcPr>
            <w:tcW w:w="529" w:type="pct"/>
            <w:gridSpan w:val="2"/>
            <w:tcBorders>
              <w:top w:val="nil"/>
              <w:left w:val="nil"/>
              <w:bottom w:val="single" w:sz="8" w:space="0" w:color="auto"/>
              <w:right w:val="single" w:sz="8" w:space="0" w:color="auto"/>
            </w:tcBorders>
            <w:vAlign w:val="center"/>
            <w:hideMark/>
          </w:tcPr>
          <w:p w14:paraId="232B9BF0" w14:textId="77777777" w:rsidR="00044D5B" w:rsidRPr="00392E88" w:rsidRDefault="00044D5B">
            <w:pPr>
              <w:spacing w:before="0" w:after="0"/>
              <w:rPr>
                <w:color w:val="000000"/>
                <w:sz w:val="18"/>
                <w:szCs w:val="18"/>
              </w:rPr>
            </w:pPr>
            <w:r w:rsidRPr="00392E88">
              <w:rPr>
                <w:color w:val="000000"/>
                <w:sz w:val="18"/>
              </w:rPr>
              <w:t>Środki na płatności</w:t>
            </w:r>
          </w:p>
        </w:tc>
        <w:tc>
          <w:tcPr>
            <w:tcW w:w="492" w:type="pct"/>
            <w:tcBorders>
              <w:top w:val="single" w:sz="8" w:space="0" w:color="auto"/>
              <w:left w:val="nil"/>
              <w:bottom w:val="single" w:sz="8" w:space="0" w:color="auto"/>
              <w:right w:val="single" w:sz="8" w:space="0" w:color="auto"/>
            </w:tcBorders>
            <w:vAlign w:val="center"/>
            <w:hideMark/>
          </w:tcPr>
          <w:p w14:paraId="5B0A0E7E" w14:textId="77777777" w:rsidR="00044D5B" w:rsidRPr="00392E88" w:rsidRDefault="00044D5B">
            <w:pPr>
              <w:spacing w:before="0" w:after="0"/>
              <w:jc w:val="center"/>
              <w:rPr>
                <w:color w:val="000000"/>
                <w:sz w:val="14"/>
                <w:szCs w:val="14"/>
              </w:rPr>
            </w:pPr>
            <w:r w:rsidRPr="00392E88">
              <w:rPr>
                <w:color w:val="000000"/>
                <w:sz w:val="14"/>
              </w:rPr>
              <w:t>=5+6</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2BDADC7B" w14:textId="77777777" w:rsidR="00044D5B" w:rsidRPr="00392E88" w:rsidRDefault="00044D5B">
            <w:pPr>
              <w:spacing w:before="0" w:after="0"/>
              <w:jc w:val="right"/>
              <w:rPr>
                <w:b/>
                <w:bCs/>
                <w:color w:val="000000"/>
                <w:sz w:val="20"/>
                <w:szCs w:val="20"/>
              </w:rPr>
            </w:pPr>
            <w:r w:rsidRPr="00392E88">
              <w:rPr>
                <w:b/>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064912F5" w14:textId="77777777" w:rsidR="00044D5B" w:rsidRPr="00392E88" w:rsidRDefault="00044D5B">
            <w:pPr>
              <w:spacing w:before="0" w:after="0"/>
              <w:jc w:val="right"/>
              <w:rPr>
                <w:b/>
                <w:bCs/>
                <w:color w:val="000000"/>
                <w:sz w:val="20"/>
                <w:szCs w:val="20"/>
              </w:rPr>
            </w:pPr>
            <w:r w:rsidRPr="00392E88">
              <w:rPr>
                <w:b/>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3C69044A" w14:textId="77777777" w:rsidR="00044D5B" w:rsidRPr="00392E88" w:rsidRDefault="00044D5B">
            <w:pPr>
              <w:spacing w:before="0" w:after="0"/>
              <w:jc w:val="right"/>
              <w:rPr>
                <w:b/>
                <w:bCs/>
                <w:color w:val="000000"/>
                <w:sz w:val="20"/>
                <w:szCs w:val="20"/>
              </w:rPr>
            </w:pPr>
            <w:r w:rsidRPr="00392E88">
              <w:rPr>
                <w:b/>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23D66912" w14:textId="77777777" w:rsidR="00044D5B" w:rsidRPr="00392E88" w:rsidRDefault="00044D5B">
            <w:pPr>
              <w:spacing w:before="0" w:after="0"/>
              <w:jc w:val="right"/>
              <w:rPr>
                <w:b/>
                <w:bCs/>
                <w:color w:val="000000"/>
                <w:sz w:val="20"/>
                <w:szCs w:val="20"/>
              </w:rPr>
            </w:pPr>
            <w:r w:rsidRPr="00392E88">
              <w:rPr>
                <w:b/>
                <w:color w:val="000000"/>
                <w:sz w:val="20"/>
              </w:rPr>
              <w:t>0,000</w:t>
            </w:r>
          </w:p>
        </w:tc>
        <w:tc>
          <w:tcPr>
            <w:tcW w:w="596" w:type="pct"/>
            <w:gridSpan w:val="2"/>
            <w:tcBorders>
              <w:top w:val="nil"/>
              <w:left w:val="nil"/>
              <w:bottom w:val="single" w:sz="8" w:space="0" w:color="auto"/>
              <w:right w:val="single" w:sz="8" w:space="0" w:color="auto"/>
            </w:tcBorders>
            <w:shd w:val="clear" w:color="000000" w:fill="D9D9D9"/>
            <w:vAlign w:val="center"/>
            <w:hideMark/>
          </w:tcPr>
          <w:p w14:paraId="73899760" w14:textId="77777777" w:rsidR="00044D5B" w:rsidRPr="00392E88" w:rsidRDefault="00044D5B">
            <w:pPr>
              <w:spacing w:before="0" w:after="0"/>
              <w:jc w:val="right"/>
              <w:rPr>
                <w:b/>
                <w:bCs/>
                <w:color w:val="000000"/>
                <w:sz w:val="20"/>
                <w:szCs w:val="20"/>
              </w:rPr>
            </w:pPr>
            <w:r w:rsidRPr="00392E88">
              <w:rPr>
                <w:b/>
                <w:color w:val="000000"/>
                <w:sz w:val="20"/>
              </w:rPr>
              <w:t>0,000</w:t>
            </w:r>
          </w:p>
        </w:tc>
      </w:tr>
      <w:tr w:rsidR="00470A36" w:rsidRPr="00392E88" w14:paraId="4FA81F86" w14:textId="77777777">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jc w:val="center"/>
        </w:trPr>
        <w:tc>
          <w:tcPr>
            <w:tcW w:w="1739" w:type="pct"/>
            <w:shd w:val="thinDiagStripe" w:color="C0C0C0" w:fill="auto"/>
            <w:vAlign w:val="center"/>
          </w:tcPr>
          <w:p w14:paraId="70F6A401" w14:textId="77777777" w:rsidR="00044D5B" w:rsidRPr="00392E88" w:rsidRDefault="00044D5B">
            <w:pPr>
              <w:spacing w:before="60" w:after="60"/>
              <w:jc w:val="center"/>
              <w:rPr>
                <w:b/>
                <w:noProof/>
              </w:rPr>
            </w:pPr>
            <w:r w:rsidRPr="00392E88">
              <w:rPr>
                <w:b/>
                <w:sz w:val="22"/>
              </w:rPr>
              <w:t xml:space="preserve">Dział wieloletnich ram finansowych </w:t>
            </w:r>
          </w:p>
        </w:tc>
        <w:tc>
          <w:tcPr>
            <w:tcW w:w="396" w:type="pct"/>
            <w:gridSpan w:val="2"/>
            <w:vAlign w:val="center"/>
          </w:tcPr>
          <w:p w14:paraId="40FEAE47" w14:textId="77777777" w:rsidR="00044D5B" w:rsidRPr="00392E88" w:rsidRDefault="00044D5B">
            <w:pPr>
              <w:spacing w:before="60" w:after="60"/>
              <w:jc w:val="center"/>
              <w:rPr>
                <w:noProof/>
              </w:rPr>
            </w:pPr>
            <w:r w:rsidRPr="00392E88">
              <w:rPr>
                <w:sz w:val="22"/>
              </w:rPr>
              <w:t>Numer</w:t>
            </w:r>
          </w:p>
        </w:tc>
        <w:tc>
          <w:tcPr>
            <w:tcW w:w="2865" w:type="pct"/>
            <w:gridSpan w:val="12"/>
            <w:vAlign w:val="center"/>
          </w:tcPr>
          <w:p w14:paraId="0570B3A3" w14:textId="77777777" w:rsidR="00044D5B" w:rsidRPr="00392E88" w:rsidRDefault="00044D5B">
            <w:pPr>
              <w:spacing w:before="60" w:after="60"/>
              <w:rPr>
                <w:noProof/>
              </w:rPr>
            </w:pPr>
          </w:p>
        </w:tc>
      </w:tr>
    </w:tbl>
    <w:p w14:paraId="7FCE3111" w14:textId="77777777" w:rsidR="00044D5B" w:rsidRPr="00392E88" w:rsidRDefault="00044D5B" w:rsidP="00044D5B">
      <w:pPr>
        <w:spacing w:before="0" w:after="200" w:line="276" w:lineRule="auto"/>
        <w:jc w:val="left"/>
        <w:rPr>
          <w:noProof/>
          <w:sz w:val="16"/>
        </w:rPr>
      </w:pPr>
    </w:p>
    <w:tbl>
      <w:tblPr>
        <w:tblW w:w="5000" w:type="pct"/>
        <w:tblInd w:w="-118" w:type="dxa"/>
        <w:tblCellMar>
          <w:left w:w="0" w:type="dxa"/>
          <w:right w:w="0" w:type="dxa"/>
        </w:tblCellMar>
        <w:tblLook w:val="04A0" w:firstRow="1" w:lastRow="0" w:firstColumn="1" w:lastColumn="0" w:noHBand="0" w:noVBand="1"/>
      </w:tblPr>
      <w:tblGrid>
        <w:gridCol w:w="134"/>
        <w:gridCol w:w="3430"/>
        <w:gridCol w:w="4047"/>
        <w:gridCol w:w="1099"/>
        <w:gridCol w:w="802"/>
        <w:gridCol w:w="2"/>
        <w:gridCol w:w="805"/>
        <w:gridCol w:w="240"/>
        <w:gridCol w:w="70"/>
        <w:gridCol w:w="2"/>
        <w:gridCol w:w="427"/>
        <w:gridCol w:w="283"/>
        <w:gridCol w:w="62"/>
        <w:gridCol w:w="2"/>
        <w:gridCol w:w="308"/>
        <w:gridCol w:w="255"/>
        <w:gridCol w:w="46"/>
        <w:gridCol w:w="2"/>
        <w:gridCol w:w="167"/>
        <w:gridCol w:w="316"/>
        <w:gridCol w:w="49"/>
        <w:gridCol w:w="2"/>
        <w:gridCol w:w="104"/>
        <w:gridCol w:w="378"/>
        <w:gridCol w:w="471"/>
        <w:gridCol w:w="521"/>
      </w:tblGrid>
      <w:tr w:rsidR="00B55C7B" w:rsidRPr="00392E88" w14:paraId="44443AC7" w14:textId="77777777">
        <w:trPr>
          <w:trHeight w:val="420"/>
        </w:trPr>
        <w:tc>
          <w:tcPr>
            <w:tcW w:w="2444" w:type="pct"/>
            <w:gridSpan w:val="6"/>
            <w:vMerge w:val="restart"/>
            <w:tcBorders>
              <w:top w:val="single" w:sz="8" w:space="0" w:color="auto"/>
              <w:left w:val="single" w:sz="8" w:space="0" w:color="auto"/>
              <w:bottom w:val="single" w:sz="8" w:space="0" w:color="auto"/>
              <w:right w:val="single" w:sz="8" w:space="0" w:color="auto"/>
            </w:tcBorders>
            <w:vAlign w:val="center"/>
            <w:hideMark/>
          </w:tcPr>
          <w:p w14:paraId="243D4DC4" w14:textId="77777777" w:rsidR="00044D5B" w:rsidRPr="00392E88" w:rsidRDefault="00044D5B">
            <w:pPr>
              <w:spacing w:before="0" w:after="0"/>
              <w:jc w:val="center"/>
              <w:rPr>
                <w:color w:val="000000"/>
                <w:sz w:val="22"/>
              </w:rPr>
            </w:pPr>
            <w:r w:rsidRPr="00392E88">
              <w:rPr>
                <w:color w:val="000000"/>
                <w:sz w:val="22"/>
              </w:rPr>
              <w:t>Dyrekcja Generalna: &lt;…….&gt;</w:t>
            </w:r>
          </w:p>
        </w:tc>
        <w:tc>
          <w:tcPr>
            <w:tcW w:w="496" w:type="pct"/>
            <w:gridSpan w:val="4"/>
            <w:tcBorders>
              <w:top w:val="single" w:sz="8" w:space="0" w:color="auto"/>
              <w:left w:val="nil"/>
              <w:bottom w:val="single" w:sz="8" w:space="0" w:color="auto"/>
              <w:right w:val="single" w:sz="8" w:space="0" w:color="auto"/>
            </w:tcBorders>
            <w:vAlign w:val="center"/>
            <w:hideMark/>
          </w:tcPr>
          <w:p w14:paraId="5EDD23F4" w14:textId="77777777" w:rsidR="00044D5B" w:rsidRPr="00392E88" w:rsidRDefault="00044D5B">
            <w:pPr>
              <w:spacing w:before="0" w:after="0"/>
              <w:jc w:val="center"/>
              <w:rPr>
                <w:color w:val="000000"/>
                <w:sz w:val="20"/>
                <w:szCs w:val="20"/>
              </w:rPr>
            </w:pPr>
            <w:r w:rsidRPr="00392E88">
              <w:rPr>
                <w:color w:val="000000"/>
                <w:sz w:val="20"/>
              </w:rPr>
              <w:t>Rok</w:t>
            </w:r>
          </w:p>
        </w:tc>
        <w:tc>
          <w:tcPr>
            <w:tcW w:w="496" w:type="pct"/>
            <w:gridSpan w:val="4"/>
            <w:tcBorders>
              <w:top w:val="single" w:sz="8" w:space="0" w:color="auto"/>
              <w:left w:val="nil"/>
              <w:bottom w:val="single" w:sz="8" w:space="0" w:color="auto"/>
              <w:right w:val="single" w:sz="8" w:space="0" w:color="auto"/>
            </w:tcBorders>
            <w:vAlign w:val="center"/>
            <w:hideMark/>
          </w:tcPr>
          <w:p w14:paraId="64B939FB" w14:textId="77777777" w:rsidR="00044D5B" w:rsidRPr="00392E88" w:rsidRDefault="00044D5B">
            <w:pPr>
              <w:spacing w:before="0" w:after="0"/>
              <w:jc w:val="center"/>
              <w:rPr>
                <w:color w:val="000000"/>
                <w:sz w:val="20"/>
                <w:szCs w:val="20"/>
              </w:rPr>
            </w:pPr>
            <w:r w:rsidRPr="00392E88">
              <w:rPr>
                <w:color w:val="000000"/>
                <w:sz w:val="20"/>
              </w:rPr>
              <w:t>Rok</w:t>
            </w:r>
          </w:p>
        </w:tc>
        <w:tc>
          <w:tcPr>
            <w:tcW w:w="496" w:type="pct"/>
            <w:gridSpan w:val="4"/>
            <w:tcBorders>
              <w:top w:val="single" w:sz="8" w:space="0" w:color="auto"/>
              <w:left w:val="nil"/>
              <w:bottom w:val="single" w:sz="8" w:space="0" w:color="auto"/>
              <w:right w:val="single" w:sz="8" w:space="0" w:color="auto"/>
            </w:tcBorders>
            <w:vAlign w:val="center"/>
            <w:hideMark/>
          </w:tcPr>
          <w:p w14:paraId="30F23311" w14:textId="77777777" w:rsidR="00044D5B" w:rsidRPr="00392E88" w:rsidRDefault="00044D5B">
            <w:pPr>
              <w:spacing w:before="0" w:after="0"/>
              <w:jc w:val="center"/>
              <w:rPr>
                <w:color w:val="000000"/>
                <w:sz w:val="20"/>
                <w:szCs w:val="20"/>
              </w:rPr>
            </w:pPr>
            <w:r w:rsidRPr="00392E88">
              <w:rPr>
                <w:color w:val="000000"/>
                <w:sz w:val="20"/>
              </w:rPr>
              <w:t>Rok</w:t>
            </w:r>
          </w:p>
        </w:tc>
        <w:tc>
          <w:tcPr>
            <w:tcW w:w="478" w:type="pct"/>
            <w:gridSpan w:val="4"/>
            <w:tcBorders>
              <w:top w:val="single" w:sz="8" w:space="0" w:color="auto"/>
              <w:left w:val="nil"/>
              <w:bottom w:val="single" w:sz="8" w:space="0" w:color="auto"/>
              <w:right w:val="single" w:sz="8" w:space="0" w:color="auto"/>
            </w:tcBorders>
            <w:vAlign w:val="center"/>
            <w:hideMark/>
          </w:tcPr>
          <w:p w14:paraId="569DE7B2" w14:textId="77777777" w:rsidR="00044D5B" w:rsidRPr="00392E88" w:rsidRDefault="00044D5B">
            <w:pPr>
              <w:spacing w:before="0" w:after="0"/>
              <w:jc w:val="center"/>
              <w:rPr>
                <w:color w:val="000000"/>
                <w:sz w:val="20"/>
                <w:szCs w:val="20"/>
              </w:rPr>
            </w:pPr>
            <w:r w:rsidRPr="00392E88">
              <w:rPr>
                <w:color w:val="000000"/>
                <w:sz w:val="20"/>
              </w:rPr>
              <w:t>Rok</w:t>
            </w:r>
          </w:p>
        </w:tc>
        <w:tc>
          <w:tcPr>
            <w:tcW w:w="590" w:type="pct"/>
            <w:gridSpan w:val="4"/>
            <w:vMerge w:val="restart"/>
            <w:tcBorders>
              <w:top w:val="single" w:sz="8" w:space="0" w:color="auto"/>
              <w:left w:val="single" w:sz="8" w:space="0" w:color="auto"/>
              <w:bottom w:val="single" w:sz="8" w:space="0" w:color="auto"/>
              <w:right w:val="single" w:sz="8" w:space="0" w:color="auto"/>
            </w:tcBorders>
            <w:vAlign w:val="center"/>
            <w:hideMark/>
          </w:tcPr>
          <w:p w14:paraId="02CE6D50" w14:textId="77777777" w:rsidR="00044D5B" w:rsidRPr="00392E88" w:rsidRDefault="00044D5B">
            <w:pPr>
              <w:spacing w:before="0" w:after="0"/>
              <w:jc w:val="center"/>
              <w:rPr>
                <w:b/>
                <w:bCs/>
                <w:color w:val="000000"/>
                <w:sz w:val="20"/>
                <w:szCs w:val="20"/>
              </w:rPr>
            </w:pPr>
            <w:r w:rsidRPr="00392E88">
              <w:rPr>
                <w:b/>
                <w:color w:val="000000"/>
                <w:sz w:val="20"/>
              </w:rPr>
              <w:t>OGÓŁEM WRF 2021–2027</w:t>
            </w:r>
          </w:p>
        </w:tc>
      </w:tr>
      <w:tr w:rsidR="00974AF3" w:rsidRPr="00392E88" w14:paraId="74CDF639" w14:textId="77777777">
        <w:trPr>
          <w:trHeight w:val="288"/>
        </w:trPr>
        <w:tc>
          <w:tcPr>
            <w:tcW w:w="2444" w:type="pct"/>
            <w:gridSpan w:val="6"/>
            <w:vMerge/>
            <w:vAlign w:val="center"/>
            <w:hideMark/>
          </w:tcPr>
          <w:p w14:paraId="088FBE4A" w14:textId="77777777" w:rsidR="00044D5B" w:rsidRPr="00392E88" w:rsidRDefault="00044D5B">
            <w:pPr>
              <w:spacing w:before="0" w:after="0"/>
              <w:jc w:val="left"/>
              <w:rPr>
                <w:color w:val="000000"/>
                <w:sz w:val="22"/>
                <w:lang w:eastAsia="en-IE"/>
              </w:rPr>
            </w:pPr>
          </w:p>
        </w:tc>
        <w:tc>
          <w:tcPr>
            <w:tcW w:w="496" w:type="pct"/>
            <w:gridSpan w:val="4"/>
            <w:tcBorders>
              <w:top w:val="nil"/>
              <w:left w:val="nil"/>
              <w:bottom w:val="single" w:sz="8" w:space="0" w:color="auto"/>
              <w:right w:val="single" w:sz="8" w:space="0" w:color="auto"/>
            </w:tcBorders>
            <w:vAlign w:val="center"/>
            <w:hideMark/>
          </w:tcPr>
          <w:p w14:paraId="0D83C6C5" w14:textId="77777777" w:rsidR="00044D5B" w:rsidRPr="00392E88" w:rsidRDefault="00044D5B">
            <w:pPr>
              <w:spacing w:before="0" w:after="0"/>
              <w:jc w:val="center"/>
              <w:rPr>
                <w:b/>
                <w:bCs/>
                <w:color w:val="000000"/>
                <w:sz w:val="20"/>
                <w:szCs w:val="20"/>
              </w:rPr>
            </w:pPr>
            <w:r w:rsidRPr="00392E88">
              <w:rPr>
                <w:b/>
                <w:color w:val="000000"/>
                <w:sz w:val="20"/>
              </w:rPr>
              <w:t>2024</w:t>
            </w:r>
          </w:p>
        </w:tc>
        <w:tc>
          <w:tcPr>
            <w:tcW w:w="496" w:type="pct"/>
            <w:gridSpan w:val="4"/>
            <w:tcBorders>
              <w:top w:val="nil"/>
              <w:left w:val="nil"/>
              <w:bottom w:val="single" w:sz="8" w:space="0" w:color="auto"/>
              <w:right w:val="single" w:sz="8" w:space="0" w:color="auto"/>
            </w:tcBorders>
            <w:vAlign w:val="center"/>
            <w:hideMark/>
          </w:tcPr>
          <w:p w14:paraId="136D3BA7" w14:textId="77777777" w:rsidR="00044D5B" w:rsidRPr="00392E88" w:rsidRDefault="00044D5B">
            <w:pPr>
              <w:spacing w:before="0" w:after="0"/>
              <w:jc w:val="center"/>
              <w:rPr>
                <w:b/>
                <w:bCs/>
                <w:color w:val="000000"/>
                <w:sz w:val="20"/>
                <w:szCs w:val="20"/>
              </w:rPr>
            </w:pPr>
            <w:r w:rsidRPr="00392E88">
              <w:rPr>
                <w:b/>
                <w:color w:val="000000"/>
                <w:sz w:val="20"/>
              </w:rPr>
              <w:t>2025</w:t>
            </w:r>
          </w:p>
        </w:tc>
        <w:tc>
          <w:tcPr>
            <w:tcW w:w="496" w:type="pct"/>
            <w:gridSpan w:val="4"/>
            <w:tcBorders>
              <w:top w:val="nil"/>
              <w:left w:val="nil"/>
              <w:bottom w:val="single" w:sz="8" w:space="0" w:color="auto"/>
              <w:right w:val="single" w:sz="8" w:space="0" w:color="auto"/>
            </w:tcBorders>
            <w:vAlign w:val="center"/>
            <w:hideMark/>
          </w:tcPr>
          <w:p w14:paraId="60961F1A" w14:textId="77777777" w:rsidR="00044D5B" w:rsidRPr="00392E88" w:rsidRDefault="00044D5B">
            <w:pPr>
              <w:spacing w:before="0" w:after="0"/>
              <w:jc w:val="center"/>
              <w:rPr>
                <w:b/>
                <w:bCs/>
                <w:color w:val="000000"/>
                <w:sz w:val="20"/>
                <w:szCs w:val="20"/>
              </w:rPr>
            </w:pPr>
            <w:r w:rsidRPr="00392E88">
              <w:rPr>
                <w:b/>
                <w:color w:val="000000"/>
                <w:sz w:val="20"/>
              </w:rPr>
              <w:t>2026</w:t>
            </w:r>
          </w:p>
        </w:tc>
        <w:tc>
          <w:tcPr>
            <w:tcW w:w="478" w:type="pct"/>
            <w:gridSpan w:val="4"/>
            <w:tcBorders>
              <w:top w:val="nil"/>
              <w:left w:val="nil"/>
              <w:bottom w:val="single" w:sz="8" w:space="0" w:color="auto"/>
              <w:right w:val="single" w:sz="8" w:space="0" w:color="auto"/>
            </w:tcBorders>
            <w:vAlign w:val="center"/>
            <w:hideMark/>
          </w:tcPr>
          <w:p w14:paraId="7A341371" w14:textId="77777777" w:rsidR="00044D5B" w:rsidRPr="00392E88" w:rsidRDefault="00044D5B">
            <w:pPr>
              <w:spacing w:before="0" w:after="0"/>
              <w:jc w:val="center"/>
              <w:rPr>
                <w:b/>
                <w:bCs/>
                <w:color w:val="000000"/>
                <w:sz w:val="20"/>
                <w:szCs w:val="20"/>
              </w:rPr>
            </w:pPr>
            <w:r w:rsidRPr="00392E88">
              <w:rPr>
                <w:b/>
                <w:color w:val="000000"/>
                <w:sz w:val="20"/>
              </w:rPr>
              <w:t>2027</w:t>
            </w:r>
          </w:p>
        </w:tc>
        <w:tc>
          <w:tcPr>
            <w:tcW w:w="590" w:type="pct"/>
            <w:gridSpan w:val="4"/>
            <w:vMerge/>
            <w:vAlign w:val="center"/>
            <w:hideMark/>
          </w:tcPr>
          <w:p w14:paraId="3ADABE94" w14:textId="77777777" w:rsidR="00044D5B" w:rsidRPr="00392E88" w:rsidRDefault="00044D5B">
            <w:pPr>
              <w:spacing w:before="0" w:after="0"/>
              <w:jc w:val="left"/>
              <w:rPr>
                <w:b/>
                <w:bCs/>
                <w:color w:val="000000"/>
                <w:sz w:val="20"/>
                <w:szCs w:val="20"/>
                <w:lang w:eastAsia="en-IE"/>
              </w:rPr>
            </w:pPr>
          </w:p>
        </w:tc>
      </w:tr>
      <w:tr w:rsidR="0014428F" w:rsidRPr="00392E88" w14:paraId="737C9CD5" w14:textId="77777777">
        <w:trPr>
          <w:trHeight w:val="300"/>
        </w:trPr>
        <w:tc>
          <w:tcPr>
            <w:tcW w:w="5000" w:type="pct"/>
            <w:gridSpan w:val="26"/>
            <w:tcBorders>
              <w:top w:val="single" w:sz="8" w:space="0" w:color="auto"/>
              <w:left w:val="single" w:sz="8" w:space="0" w:color="auto"/>
              <w:bottom w:val="single" w:sz="8" w:space="0" w:color="auto"/>
              <w:right w:val="single" w:sz="8" w:space="0" w:color="auto"/>
            </w:tcBorders>
            <w:vAlign w:val="center"/>
            <w:hideMark/>
          </w:tcPr>
          <w:p w14:paraId="1C6BED55" w14:textId="77777777" w:rsidR="00044D5B" w:rsidRPr="00392E88" w:rsidRDefault="00044D5B">
            <w:pPr>
              <w:spacing w:before="0" w:after="0"/>
              <w:jc w:val="left"/>
              <w:rPr>
                <w:color w:val="000000"/>
                <w:sz w:val="21"/>
                <w:szCs w:val="21"/>
              </w:rPr>
            </w:pPr>
            <w:r w:rsidRPr="00392E88">
              <w:rPr>
                <w:color w:val="000000"/>
                <w:sz w:val="21"/>
              </w:rPr>
              <w:t xml:space="preserve">Środki operacyjne </w:t>
            </w:r>
          </w:p>
        </w:tc>
      </w:tr>
      <w:tr w:rsidR="00E62D64" w:rsidRPr="00392E88" w14:paraId="32FF7390" w14:textId="77777777">
        <w:trPr>
          <w:trHeight w:val="288"/>
        </w:trPr>
        <w:tc>
          <w:tcPr>
            <w:tcW w:w="1419" w:type="pct"/>
            <w:gridSpan w:val="2"/>
            <w:vMerge w:val="restart"/>
            <w:tcBorders>
              <w:top w:val="nil"/>
              <w:left w:val="single" w:sz="8" w:space="0" w:color="auto"/>
              <w:bottom w:val="single" w:sz="8" w:space="0" w:color="auto"/>
              <w:right w:val="single" w:sz="8" w:space="0" w:color="auto"/>
            </w:tcBorders>
            <w:noWrap/>
            <w:vAlign w:val="center"/>
            <w:hideMark/>
          </w:tcPr>
          <w:p w14:paraId="0E99981C" w14:textId="77777777" w:rsidR="00044D5B" w:rsidRPr="00392E88" w:rsidRDefault="00044D5B">
            <w:pPr>
              <w:spacing w:before="0" w:after="0"/>
              <w:jc w:val="left"/>
              <w:rPr>
                <w:color w:val="000000"/>
                <w:sz w:val="22"/>
              </w:rPr>
            </w:pPr>
            <w:r w:rsidRPr="00392E88">
              <w:rPr>
                <w:color w:val="000000"/>
                <w:sz w:val="22"/>
              </w:rPr>
              <w:t>Linia budżetowa</w:t>
            </w:r>
          </w:p>
        </w:tc>
        <w:tc>
          <w:tcPr>
            <w:tcW w:w="529" w:type="pct"/>
            <w:tcBorders>
              <w:top w:val="nil"/>
              <w:left w:val="nil"/>
              <w:bottom w:val="single" w:sz="8" w:space="0" w:color="auto"/>
              <w:right w:val="single" w:sz="8" w:space="0" w:color="auto"/>
            </w:tcBorders>
            <w:vAlign w:val="center"/>
            <w:hideMark/>
          </w:tcPr>
          <w:p w14:paraId="356D200C" w14:textId="77777777" w:rsidR="00044D5B" w:rsidRPr="00392E88" w:rsidRDefault="00044D5B">
            <w:pPr>
              <w:spacing w:before="0" w:after="0"/>
              <w:rPr>
                <w:color w:val="000000"/>
                <w:sz w:val="18"/>
                <w:szCs w:val="18"/>
              </w:rPr>
            </w:pPr>
            <w:r w:rsidRPr="00392E88">
              <w:rPr>
                <w:color w:val="000000"/>
                <w:sz w:val="18"/>
              </w:rPr>
              <w:t>Środki na zobowiązania</w:t>
            </w:r>
          </w:p>
        </w:tc>
        <w:tc>
          <w:tcPr>
            <w:tcW w:w="496" w:type="pct"/>
            <w:gridSpan w:val="3"/>
            <w:tcBorders>
              <w:top w:val="single" w:sz="8" w:space="0" w:color="auto"/>
              <w:left w:val="nil"/>
              <w:bottom w:val="single" w:sz="8" w:space="0" w:color="auto"/>
              <w:right w:val="single" w:sz="8" w:space="0" w:color="auto"/>
            </w:tcBorders>
            <w:vAlign w:val="center"/>
            <w:hideMark/>
          </w:tcPr>
          <w:p w14:paraId="367336D7" w14:textId="77777777" w:rsidR="00044D5B" w:rsidRPr="00392E88" w:rsidRDefault="00044D5B">
            <w:pPr>
              <w:spacing w:before="0" w:after="0"/>
              <w:jc w:val="center"/>
              <w:rPr>
                <w:color w:val="000000"/>
                <w:sz w:val="14"/>
                <w:szCs w:val="14"/>
              </w:rPr>
            </w:pPr>
            <w:r w:rsidRPr="00392E88">
              <w:rPr>
                <w:color w:val="000000"/>
                <w:sz w:val="14"/>
              </w:rPr>
              <w:t>(1a)</w:t>
            </w:r>
          </w:p>
        </w:tc>
        <w:tc>
          <w:tcPr>
            <w:tcW w:w="496" w:type="pct"/>
            <w:gridSpan w:val="4"/>
            <w:tcBorders>
              <w:top w:val="nil"/>
              <w:left w:val="nil"/>
              <w:bottom w:val="single" w:sz="8" w:space="0" w:color="auto"/>
              <w:right w:val="single" w:sz="8" w:space="0" w:color="auto"/>
            </w:tcBorders>
            <w:vAlign w:val="center"/>
            <w:hideMark/>
          </w:tcPr>
          <w:p w14:paraId="7D0B9EB5" w14:textId="77777777" w:rsidR="00044D5B" w:rsidRPr="00392E88" w:rsidRDefault="00044D5B">
            <w:pPr>
              <w:spacing w:before="0" w:after="0"/>
              <w:jc w:val="right"/>
              <w:rPr>
                <w:color w:val="000000"/>
                <w:sz w:val="20"/>
                <w:szCs w:val="20"/>
              </w:rPr>
            </w:pPr>
            <w:r w:rsidRPr="00392E88">
              <w:rPr>
                <w:color w:val="000000"/>
                <w:sz w:val="20"/>
              </w:rPr>
              <w:t xml:space="preserve"> </w:t>
            </w:r>
          </w:p>
        </w:tc>
        <w:tc>
          <w:tcPr>
            <w:tcW w:w="496" w:type="pct"/>
            <w:gridSpan w:val="4"/>
            <w:tcBorders>
              <w:top w:val="nil"/>
              <w:left w:val="nil"/>
              <w:bottom w:val="single" w:sz="8" w:space="0" w:color="auto"/>
              <w:right w:val="single" w:sz="8" w:space="0" w:color="auto"/>
            </w:tcBorders>
            <w:vAlign w:val="center"/>
            <w:hideMark/>
          </w:tcPr>
          <w:p w14:paraId="41D48655" w14:textId="77777777" w:rsidR="00044D5B" w:rsidRPr="00392E88" w:rsidRDefault="00044D5B">
            <w:pPr>
              <w:spacing w:before="0" w:after="0"/>
              <w:jc w:val="right"/>
              <w:rPr>
                <w:color w:val="000000"/>
                <w:sz w:val="20"/>
                <w:szCs w:val="20"/>
              </w:rPr>
            </w:pPr>
            <w:r w:rsidRPr="00392E88">
              <w:rPr>
                <w:color w:val="000000"/>
                <w:sz w:val="20"/>
              </w:rPr>
              <w:t xml:space="preserve"> </w:t>
            </w:r>
          </w:p>
        </w:tc>
        <w:tc>
          <w:tcPr>
            <w:tcW w:w="496" w:type="pct"/>
            <w:gridSpan w:val="4"/>
            <w:tcBorders>
              <w:top w:val="nil"/>
              <w:left w:val="nil"/>
              <w:bottom w:val="single" w:sz="8" w:space="0" w:color="auto"/>
              <w:right w:val="single" w:sz="8" w:space="0" w:color="auto"/>
            </w:tcBorders>
            <w:vAlign w:val="center"/>
            <w:hideMark/>
          </w:tcPr>
          <w:p w14:paraId="11323908" w14:textId="77777777" w:rsidR="00044D5B" w:rsidRPr="00392E88" w:rsidRDefault="00044D5B">
            <w:pPr>
              <w:spacing w:before="0" w:after="0"/>
              <w:jc w:val="right"/>
              <w:rPr>
                <w:color w:val="000000"/>
                <w:sz w:val="20"/>
                <w:szCs w:val="20"/>
              </w:rPr>
            </w:pPr>
            <w:r w:rsidRPr="00392E88">
              <w:rPr>
                <w:color w:val="000000"/>
                <w:sz w:val="20"/>
              </w:rPr>
              <w:t xml:space="preserve"> </w:t>
            </w:r>
          </w:p>
        </w:tc>
        <w:tc>
          <w:tcPr>
            <w:tcW w:w="478" w:type="pct"/>
            <w:gridSpan w:val="4"/>
            <w:tcBorders>
              <w:top w:val="nil"/>
              <w:left w:val="nil"/>
              <w:bottom w:val="single" w:sz="8" w:space="0" w:color="auto"/>
              <w:right w:val="single" w:sz="8" w:space="0" w:color="auto"/>
            </w:tcBorders>
            <w:vAlign w:val="center"/>
            <w:hideMark/>
          </w:tcPr>
          <w:p w14:paraId="4EC2ACB1" w14:textId="77777777" w:rsidR="00044D5B" w:rsidRPr="00392E88" w:rsidRDefault="00044D5B">
            <w:pPr>
              <w:spacing w:before="0" w:after="0"/>
              <w:jc w:val="right"/>
              <w:rPr>
                <w:color w:val="000000"/>
                <w:sz w:val="20"/>
                <w:szCs w:val="20"/>
              </w:rPr>
            </w:pPr>
            <w:r w:rsidRPr="00392E88">
              <w:rPr>
                <w:color w:val="000000"/>
                <w:sz w:val="20"/>
              </w:rPr>
              <w:t xml:space="preserve"> </w:t>
            </w:r>
          </w:p>
        </w:tc>
        <w:tc>
          <w:tcPr>
            <w:tcW w:w="590" w:type="pct"/>
            <w:gridSpan w:val="4"/>
            <w:tcBorders>
              <w:top w:val="nil"/>
              <w:left w:val="nil"/>
              <w:bottom w:val="single" w:sz="8" w:space="0" w:color="auto"/>
              <w:right w:val="single" w:sz="8" w:space="0" w:color="auto"/>
            </w:tcBorders>
            <w:shd w:val="clear" w:color="auto" w:fill="D9D9D9" w:themeFill="background1" w:themeFillShade="D9"/>
            <w:vAlign w:val="center"/>
            <w:hideMark/>
          </w:tcPr>
          <w:p w14:paraId="1D67D267" w14:textId="77777777" w:rsidR="00044D5B" w:rsidRPr="00392E88" w:rsidRDefault="00044D5B">
            <w:pPr>
              <w:spacing w:before="0" w:after="0"/>
              <w:jc w:val="right"/>
              <w:rPr>
                <w:b/>
                <w:bCs/>
                <w:color w:val="000000"/>
                <w:sz w:val="20"/>
                <w:szCs w:val="20"/>
              </w:rPr>
            </w:pPr>
            <w:r w:rsidRPr="00392E88">
              <w:rPr>
                <w:b/>
                <w:color w:val="000000"/>
                <w:sz w:val="20"/>
              </w:rPr>
              <w:t>0,000</w:t>
            </w:r>
          </w:p>
        </w:tc>
      </w:tr>
      <w:tr w:rsidR="00E62D64" w:rsidRPr="00392E88" w14:paraId="1A9785FB" w14:textId="77777777">
        <w:trPr>
          <w:trHeight w:val="315"/>
        </w:trPr>
        <w:tc>
          <w:tcPr>
            <w:tcW w:w="1419" w:type="pct"/>
            <w:gridSpan w:val="2"/>
            <w:vMerge/>
            <w:vAlign w:val="center"/>
            <w:hideMark/>
          </w:tcPr>
          <w:p w14:paraId="0D01335B" w14:textId="77777777" w:rsidR="00044D5B" w:rsidRPr="00392E88" w:rsidRDefault="00044D5B">
            <w:pPr>
              <w:spacing w:before="0" w:after="0"/>
              <w:jc w:val="left"/>
              <w:rPr>
                <w:color w:val="000000"/>
                <w:sz w:val="22"/>
                <w:lang w:eastAsia="en-IE"/>
              </w:rPr>
            </w:pPr>
          </w:p>
        </w:tc>
        <w:tc>
          <w:tcPr>
            <w:tcW w:w="529" w:type="pct"/>
            <w:tcBorders>
              <w:top w:val="nil"/>
              <w:left w:val="nil"/>
              <w:bottom w:val="single" w:sz="8" w:space="0" w:color="auto"/>
              <w:right w:val="single" w:sz="8" w:space="0" w:color="auto"/>
            </w:tcBorders>
            <w:vAlign w:val="center"/>
            <w:hideMark/>
          </w:tcPr>
          <w:p w14:paraId="021BEDF3" w14:textId="77777777" w:rsidR="00044D5B" w:rsidRPr="00392E88" w:rsidRDefault="00044D5B">
            <w:pPr>
              <w:spacing w:before="0" w:after="0"/>
              <w:rPr>
                <w:color w:val="000000"/>
                <w:sz w:val="18"/>
                <w:szCs w:val="18"/>
              </w:rPr>
            </w:pPr>
            <w:r w:rsidRPr="00392E88">
              <w:rPr>
                <w:color w:val="000000"/>
                <w:sz w:val="18"/>
              </w:rPr>
              <w:t>Środki na płatności</w:t>
            </w:r>
          </w:p>
        </w:tc>
        <w:tc>
          <w:tcPr>
            <w:tcW w:w="496" w:type="pct"/>
            <w:gridSpan w:val="3"/>
            <w:tcBorders>
              <w:top w:val="single" w:sz="8" w:space="0" w:color="auto"/>
              <w:left w:val="nil"/>
              <w:bottom w:val="single" w:sz="8" w:space="0" w:color="auto"/>
              <w:right w:val="single" w:sz="8" w:space="0" w:color="auto"/>
            </w:tcBorders>
            <w:vAlign w:val="center"/>
            <w:hideMark/>
          </w:tcPr>
          <w:p w14:paraId="0484261F" w14:textId="77777777" w:rsidR="00044D5B" w:rsidRPr="00392E88" w:rsidRDefault="00044D5B">
            <w:pPr>
              <w:spacing w:before="0" w:after="0"/>
              <w:jc w:val="center"/>
              <w:rPr>
                <w:color w:val="000000"/>
                <w:sz w:val="14"/>
                <w:szCs w:val="14"/>
              </w:rPr>
            </w:pPr>
            <w:r w:rsidRPr="00392E88">
              <w:rPr>
                <w:color w:val="000000"/>
                <w:sz w:val="14"/>
              </w:rPr>
              <w:t>(2a)</w:t>
            </w:r>
          </w:p>
        </w:tc>
        <w:tc>
          <w:tcPr>
            <w:tcW w:w="496" w:type="pct"/>
            <w:gridSpan w:val="4"/>
            <w:tcBorders>
              <w:top w:val="nil"/>
              <w:left w:val="nil"/>
              <w:bottom w:val="single" w:sz="8" w:space="0" w:color="auto"/>
              <w:right w:val="single" w:sz="8" w:space="0" w:color="auto"/>
            </w:tcBorders>
            <w:vAlign w:val="center"/>
            <w:hideMark/>
          </w:tcPr>
          <w:p w14:paraId="5CB7387F" w14:textId="77777777" w:rsidR="00044D5B" w:rsidRPr="00392E88" w:rsidRDefault="00044D5B">
            <w:pPr>
              <w:spacing w:before="0" w:after="0"/>
              <w:jc w:val="right"/>
              <w:rPr>
                <w:color w:val="000000"/>
                <w:sz w:val="20"/>
                <w:szCs w:val="20"/>
              </w:rPr>
            </w:pPr>
            <w:r w:rsidRPr="00392E88">
              <w:rPr>
                <w:color w:val="000000"/>
                <w:sz w:val="20"/>
              </w:rPr>
              <w:t xml:space="preserve"> </w:t>
            </w:r>
          </w:p>
        </w:tc>
        <w:tc>
          <w:tcPr>
            <w:tcW w:w="496" w:type="pct"/>
            <w:gridSpan w:val="4"/>
            <w:tcBorders>
              <w:top w:val="nil"/>
              <w:left w:val="nil"/>
              <w:bottom w:val="single" w:sz="8" w:space="0" w:color="auto"/>
              <w:right w:val="single" w:sz="8" w:space="0" w:color="auto"/>
            </w:tcBorders>
            <w:vAlign w:val="center"/>
            <w:hideMark/>
          </w:tcPr>
          <w:p w14:paraId="7BFF4AAC" w14:textId="77777777" w:rsidR="00044D5B" w:rsidRPr="00392E88" w:rsidRDefault="00044D5B">
            <w:pPr>
              <w:spacing w:before="0" w:after="0"/>
              <w:jc w:val="right"/>
              <w:rPr>
                <w:color w:val="000000"/>
                <w:sz w:val="20"/>
                <w:szCs w:val="20"/>
              </w:rPr>
            </w:pPr>
            <w:r w:rsidRPr="00392E88">
              <w:rPr>
                <w:color w:val="000000"/>
                <w:sz w:val="20"/>
              </w:rPr>
              <w:t xml:space="preserve"> </w:t>
            </w:r>
          </w:p>
        </w:tc>
        <w:tc>
          <w:tcPr>
            <w:tcW w:w="496" w:type="pct"/>
            <w:gridSpan w:val="4"/>
            <w:tcBorders>
              <w:top w:val="nil"/>
              <w:left w:val="nil"/>
              <w:bottom w:val="single" w:sz="8" w:space="0" w:color="auto"/>
              <w:right w:val="single" w:sz="8" w:space="0" w:color="auto"/>
            </w:tcBorders>
            <w:vAlign w:val="center"/>
            <w:hideMark/>
          </w:tcPr>
          <w:p w14:paraId="0BE0A4A5" w14:textId="77777777" w:rsidR="00044D5B" w:rsidRPr="00392E88" w:rsidRDefault="00044D5B">
            <w:pPr>
              <w:spacing w:before="0" w:after="0"/>
              <w:jc w:val="right"/>
              <w:rPr>
                <w:color w:val="000000"/>
                <w:sz w:val="20"/>
                <w:szCs w:val="20"/>
              </w:rPr>
            </w:pPr>
            <w:r w:rsidRPr="00392E88">
              <w:rPr>
                <w:color w:val="000000"/>
                <w:sz w:val="20"/>
              </w:rPr>
              <w:t xml:space="preserve"> </w:t>
            </w:r>
          </w:p>
        </w:tc>
        <w:tc>
          <w:tcPr>
            <w:tcW w:w="478" w:type="pct"/>
            <w:gridSpan w:val="4"/>
            <w:tcBorders>
              <w:top w:val="nil"/>
              <w:left w:val="nil"/>
              <w:bottom w:val="single" w:sz="8" w:space="0" w:color="auto"/>
              <w:right w:val="single" w:sz="8" w:space="0" w:color="auto"/>
            </w:tcBorders>
            <w:vAlign w:val="center"/>
            <w:hideMark/>
          </w:tcPr>
          <w:p w14:paraId="441900AB" w14:textId="77777777" w:rsidR="00044D5B" w:rsidRPr="00392E88" w:rsidRDefault="00044D5B">
            <w:pPr>
              <w:spacing w:before="0" w:after="0"/>
              <w:jc w:val="right"/>
              <w:rPr>
                <w:color w:val="000000"/>
                <w:sz w:val="20"/>
                <w:szCs w:val="20"/>
              </w:rPr>
            </w:pPr>
            <w:r w:rsidRPr="00392E88">
              <w:rPr>
                <w:color w:val="000000"/>
                <w:sz w:val="20"/>
              </w:rPr>
              <w:t xml:space="preserve"> </w:t>
            </w:r>
          </w:p>
        </w:tc>
        <w:tc>
          <w:tcPr>
            <w:tcW w:w="590" w:type="pct"/>
            <w:gridSpan w:val="4"/>
            <w:tcBorders>
              <w:top w:val="nil"/>
              <w:left w:val="nil"/>
              <w:bottom w:val="single" w:sz="8" w:space="0" w:color="auto"/>
              <w:right w:val="single" w:sz="8" w:space="0" w:color="auto"/>
            </w:tcBorders>
            <w:shd w:val="clear" w:color="auto" w:fill="D9D9D9" w:themeFill="background1" w:themeFillShade="D9"/>
            <w:vAlign w:val="center"/>
            <w:hideMark/>
          </w:tcPr>
          <w:p w14:paraId="0E3B78D7" w14:textId="77777777" w:rsidR="00044D5B" w:rsidRPr="00392E88" w:rsidRDefault="00044D5B">
            <w:pPr>
              <w:spacing w:before="0" w:after="0"/>
              <w:jc w:val="right"/>
              <w:rPr>
                <w:b/>
                <w:bCs/>
                <w:color w:val="000000"/>
                <w:sz w:val="20"/>
                <w:szCs w:val="20"/>
              </w:rPr>
            </w:pPr>
            <w:r w:rsidRPr="00392E88">
              <w:rPr>
                <w:b/>
                <w:color w:val="000000"/>
                <w:sz w:val="20"/>
              </w:rPr>
              <w:t>0,000</w:t>
            </w:r>
          </w:p>
        </w:tc>
      </w:tr>
      <w:tr w:rsidR="00E62D64" w:rsidRPr="00392E88" w14:paraId="1FDA9BA5" w14:textId="77777777">
        <w:trPr>
          <w:trHeight w:val="315"/>
        </w:trPr>
        <w:tc>
          <w:tcPr>
            <w:tcW w:w="1419" w:type="pct"/>
            <w:gridSpan w:val="2"/>
            <w:vMerge w:val="restart"/>
            <w:tcBorders>
              <w:top w:val="nil"/>
              <w:left w:val="single" w:sz="8" w:space="0" w:color="auto"/>
              <w:bottom w:val="single" w:sz="8" w:space="0" w:color="auto"/>
              <w:right w:val="single" w:sz="8" w:space="0" w:color="auto"/>
            </w:tcBorders>
            <w:vAlign w:val="center"/>
            <w:hideMark/>
          </w:tcPr>
          <w:p w14:paraId="41FBB8AA" w14:textId="77777777" w:rsidR="00044D5B" w:rsidRPr="00392E88" w:rsidRDefault="00044D5B">
            <w:pPr>
              <w:spacing w:before="0" w:after="0"/>
              <w:rPr>
                <w:color w:val="000000"/>
                <w:sz w:val="20"/>
                <w:szCs w:val="20"/>
              </w:rPr>
            </w:pPr>
            <w:r w:rsidRPr="00392E88">
              <w:rPr>
                <w:color w:val="000000"/>
                <w:sz w:val="20"/>
              </w:rPr>
              <w:t>Linia budżetowa</w:t>
            </w:r>
          </w:p>
        </w:tc>
        <w:tc>
          <w:tcPr>
            <w:tcW w:w="529" w:type="pct"/>
            <w:tcBorders>
              <w:top w:val="nil"/>
              <w:left w:val="nil"/>
              <w:bottom w:val="single" w:sz="8" w:space="0" w:color="auto"/>
              <w:right w:val="single" w:sz="8" w:space="0" w:color="auto"/>
            </w:tcBorders>
            <w:vAlign w:val="center"/>
            <w:hideMark/>
          </w:tcPr>
          <w:p w14:paraId="70E81A5C" w14:textId="77777777" w:rsidR="00044D5B" w:rsidRPr="00392E88" w:rsidRDefault="00044D5B">
            <w:pPr>
              <w:spacing w:before="0" w:after="0"/>
              <w:rPr>
                <w:color w:val="000000"/>
                <w:sz w:val="18"/>
                <w:szCs w:val="18"/>
              </w:rPr>
            </w:pPr>
            <w:r w:rsidRPr="00392E88">
              <w:rPr>
                <w:color w:val="000000"/>
                <w:sz w:val="18"/>
              </w:rPr>
              <w:t>Środki na zobowiązania</w:t>
            </w:r>
          </w:p>
        </w:tc>
        <w:tc>
          <w:tcPr>
            <w:tcW w:w="496" w:type="pct"/>
            <w:gridSpan w:val="3"/>
            <w:tcBorders>
              <w:top w:val="single" w:sz="8" w:space="0" w:color="auto"/>
              <w:left w:val="nil"/>
              <w:bottom w:val="single" w:sz="8" w:space="0" w:color="auto"/>
              <w:right w:val="single" w:sz="8" w:space="0" w:color="auto"/>
            </w:tcBorders>
            <w:vAlign w:val="center"/>
            <w:hideMark/>
          </w:tcPr>
          <w:p w14:paraId="13483C00" w14:textId="77777777" w:rsidR="00044D5B" w:rsidRPr="00392E88" w:rsidRDefault="00044D5B">
            <w:pPr>
              <w:spacing w:before="0" w:after="0"/>
              <w:jc w:val="center"/>
              <w:rPr>
                <w:color w:val="000000"/>
                <w:sz w:val="14"/>
                <w:szCs w:val="14"/>
              </w:rPr>
            </w:pPr>
            <w:r w:rsidRPr="00392E88">
              <w:rPr>
                <w:color w:val="000000"/>
                <w:sz w:val="14"/>
              </w:rPr>
              <w:t>(1b)</w:t>
            </w:r>
          </w:p>
        </w:tc>
        <w:tc>
          <w:tcPr>
            <w:tcW w:w="496" w:type="pct"/>
            <w:gridSpan w:val="4"/>
            <w:tcBorders>
              <w:top w:val="nil"/>
              <w:left w:val="nil"/>
              <w:bottom w:val="single" w:sz="8" w:space="0" w:color="auto"/>
              <w:right w:val="single" w:sz="8" w:space="0" w:color="auto"/>
            </w:tcBorders>
            <w:vAlign w:val="center"/>
            <w:hideMark/>
          </w:tcPr>
          <w:p w14:paraId="55329A26" w14:textId="77777777" w:rsidR="00044D5B" w:rsidRPr="00392E88" w:rsidRDefault="00044D5B">
            <w:pPr>
              <w:spacing w:before="0" w:after="0"/>
              <w:jc w:val="right"/>
              <w:rPr>
                <w:color w:val="000000"/>
                <w:sz w:val="20"/>
                <w:szCs w:val="20"/>
              </w:rPr>
            </w:pPr>
            <w:r w:rsidRPr="00392E88">
              <w:rPr>
                <w:color w:val="000000"/>
                <w:sz w:val="20"/>
              </w:rPr>
              <w:t xml:space="preserve"> </w:t>
            </w:r>
          </w:p>
        </w:tc>
        <w:tc>
          <w:tcPr>
            <w:tcW w:w="496" w:type="pct"/>
            <w:gridSpan w:val="4"/>
            <w:tcBorders>
              <w:top w:val="nil"/>
              <w:left w:val="nil"/>
              <w:bottom w:val="single" w:sz="8" w:space="0" w:color="auto"/>
              <w:right w:val="single" w:sz="8" w:space="0" w:color="auto"/>
            </w:tcBorders>
            <w:vAlign w:val="center"/>
            <w:hideMark/>
          </w:tcPr>
          <w:p w14:paraId="11508EF5" w14:textId="77777777" w:rsidR="00044D5B" w:rsidRPr="00392E88" w:rsidRDefault="00044D5B">
            <w:pPr>
              <w:spacing w:before="0" w:after="0"/>
              <w:jc w:val="right"/>
              <w:rPr>
                <w:color w:val="000000"/>
                <w:sz w:val="20"/>
                <w:szCs w:val="20"/>
              </w:rPr>
            </w:pPr>
            <w:r w:rsidRPr="00392E88">
              <w:rPr>
                <w:color w:val="000000"/>
                <w:sz w:val="20"/>
              </w:rPr>
              <w:t xml:space="preserve"> </w:t>
            </w:r>
          </w:p>
        </w:tc>
        <w:tc>
          <w:tcPr>
            <w:tcW w:w="496" w:type="pct"/>
            <w:gridSpan w:val="4"/>
            <w:tcBorders>
              <w:top w:val="nil"/>
              <w:left w:val="nil"/>
              <w:bottom w:val="single" w:sz="8" w:space="0" w:color="auto"/>
              <w:right w:val="single" w:sz="8" w:space="0" w:color="auto"/>
            </w:tcBorders>
            <w:vAlign w:val="center"/>
            <w:hideMark/>
          </w:tcPr>
          <w:p w14:paraId="5A88F6BD" w14:textId="77777777" w:rsidR="00044D5B" w:rsidRPr="00392E88" w:rsidRDefault="00044D5B">
            <w:pPr>
              <w:spacing w:before="0" w:after="0"/>
              <w:jc w:val="right"/>
              <w:rPr>
                <w:color w:val="000000"/>
                <w:sz w:val="20"/>
                <w:szCs w:val="20"/>
              </w:rPr>
            </w:pPr>
            <w:r w:rsidRPr="00392E88">
              <w:rPr>
                <w:color w:val="000000"/>
                <w:sz w:val="20"/>
              </w:rPr>
              <w:t xml:space="preserve"> </w:t>
            </w:r>
          </w:p>
        </w:tc>
        <w:tc>
          <w:tcPr>
            <w:tcW w:w="478" w:type="pct"/>
            <w:gridSpan w:val="4"/>
            <w:tcBorders>
              <w:top w:val="nil"/>
              <w:left w:val="nil"/>
              <w:bottom w:val="single" w:sz="8" w:space="0" w:color="auto"/>
              <w:right w:val="single" w:sz="8" w:space="0" w:color="auto"/>
            </w:tcBorders>
            <w:vAlign w:val="center"/>
            <w:hideMark/>
          </w:tcPr>
          <w:p w14:paraId="536E912B" w14:textId="77777777" w:rsidR="00044D5B" w:rsidRPr="00392E88" w:rsidRDefault="00044D5B">
            <w:pPr>
              <w:spacing w:before="0" w:after="0"/>
              <w:jc w:val="right"/>
              <w:rPr>
                <w:color w:val="000000"/>
                <w:sz w:val="20"/>
                <w:szCs w:val="20"/>
              </w:rPr>
            </w:pPr>
            <w:r w:rsidRPr="00392E88">
              <w:rPr>
                <w:color w:val="000000"/>
                <w:sz w:val="20"/>
              </w:rPr>
              <w:t xml:space="preserve"> </w:t>
            </w:r>
          </w:p>
        </w:tc>
        <w:tc>
          <w:tcPr>
            <w:tcW w:w="590" w:type="pct"/>
            <w:gridSpan w:val="4"/>
            <w:tcBorders>
              <w:top w:val="nil"/>
              <w:left w:val="nil"/>
              <w:bottom w:val="single" w:sz="8" w:space="0" w:color="auto"/>
              <w:right w:val="single" w:sz="8" w:space="0" w:color="auto"/>
            </w:tcBorders>
            <w:shd w:val="clear" w:color="auto" w:fill="D9D9D9" w:themeFill="background1" w:themeFillShade="D9"/>
            <w:vAlign w:val="center"/>
            <w:hideMark/>
          </w:tcPr>
          <w:p w14:paraId="53C3F6A9" w14:textId="77777777" w:rsidR="00044D5B" w:rsidRPr="00392E88" w:rsidRDefault="00044D5B">
            <w:pPr>
              <w:spacing w:before="0" w:after="0"/>
              <w:jc w:val="right"/>
              <w:rPr>
                <w:b/>
                <w:bCs/>
                <w:color w:val="000000"/>
                <w:sz w:val="20"/>
                <w:szCs w:val="20"/>
              </w:rPr>
            </w:pPr>
            <w:r w:rsidRPr="00392E88">
              <w:rPr>
                <w:b/>
                <w:color w:val="000000"/>
                <w:sz w:val="20"/>
              </w:rPr>
              <w:t>0,000</w:t>
            </w:r>
          </w:p>
        </w:tc>
      </w:tr>
      <w:tr w:rsidR="00E62D64" w:rsidRPr="00392E88" w14:paraId="701BDD16" w14:textId="77777777">
        <w:trPr>
          <w:trHeight w:val="315"/>
        </w:trPr>
        <w:tc>
          <w:tcPr>
            <w:tcW w:w="1419" w:type="pct"/>
            <w:gridSpan w:val="2"/>
            <w:vMerge/>
            <w:vAlign w:val="center"/>
            <w:hideMark/>
          </w:tcPr>
          <w:p w14:paraId="2091D226" w14:textId="77777777" w:rsidR="00044D5B" w:rsidRPr="00392E88" w:rsidRDefault="00044D5B">
            <w:pPr>
              <w:spacing w:before="0" w:after="0"/>
              <w:jc w:val="left"/>
              <w:rPr>
                <w:color w:val="000000"/>
                <w:sz w:val="20"/>
                <w:szCs w:val="20"/>
                <w:lang w:eastAsia="en-IE"/>
              </w:rPr>
            </w:pPr>
          </w:p>
        </w:tc>
        <w:tc>
          <w:tcPr>
            <w:tcW w:w="529" w:type="pct"/>
            <w:tcBorders>
              <w:top w:val="nil"/>
              <w:left w:val="nil"/>
              <w:bottom w:val="single" w:sz="8" w:space="0" w:color="auto"/>
              <w:right w:val="single" w:sz="8" w:space="0" w:color="auto"/>
            </w:tcBorders>
            <w:vAlign w:val="center"/>
            <w:hideMark/>
          </w:tcPr>
          <w:p w14:paraId="1537C10B" w14:textId="77777777" w:rsidR="00044D5B" w:rsidRPr="00392E88" w:rsidRDefault="00044D5B">
            <w:pPr>
              <w:spacing w:before="0" w:after="0"/>
              <w:rPr>
                <w:color w:val="000000"/>
                <w:sz w:val="18"/>
                <w:szCs w:val="18"/>
              </w:rPr>
            </w:pPr>
            <w:r w:rsidRPr="00392E88">
              <w:rPr>
                <w:color w:val="000000"/>
                <w:sz w:val="18"/>
              </w:rPr>
              <w:t>Środki na płatności</w:t>
            </w:r>
          </w:p>
        </w:tc>
        <w:tc>
          <w:tcPr>
            <w:tcW w:w="496" w:type="pct"/>
            <w:gridSpan w:val="3"/>
            <w:tcBorders>
              <w:top w:val="single" w:sz="8" w:space="0" w:color="auto"/>
              <w:left w:val="nil"/>
              <w:bottom w:val="single" w:sz="8" w:space="0" w:color="auto"/>
              <w:right w:val="single" w:sz="8" w:space="0" w:color="auto"/>
            </w:tcBorders>
            <w:vAlign w:val="center"/>
            <w:hideMark/>
          </w:tcPr>
          <w:p w14:paraId="16F5702E" w14:textId="77777777" w:rsidR="00044D5B" w:rsidRPr="00392E88" w:rsidRDefault="00044D5B">
            <w:pPr>
              <w:spacing w:before="0" w:after="0"/>
              <w:jc w:val="center"/>
              <w:rPr>
                <w:color w:val="000000"/>
                <w:sz w:val="14"/>
                <w:szCs w:val="14"/>
              </w:rPr>
            </w:pPr>
            <w:r w:rsidRPr="00392E88">
              <w:rPr>
                <w:color w:val="000000"/>
                <w:sz w:val="14"/>
              </w:rPr>
              <w:t>(2b)</w:t>
            </w:r>
          </w:p>
        </w:tc>
        <w:tc>
          <w:tcPr>
            <w:tcW w:w="496" w:type="pct"/>
            <w:gridSpan w:val="4"/>
            <w:tcBorders>
              <w:top w:val="nil"/>
              <w:left w:val="nil"/>
              <w:bottom w:val="single" w:sz="8" w:space="0" w:color="auto"/>
              <w:right w:val="single" w:sz="8" w:space="0" w:color="auto"/>
            </w:tcBorders>
            <w:vAlign w:val="center"/>
            <w:hideMark/>
          </w:tcPr>
          <w:p w14:paraId="60DD5C7E" w14:textId="77777777" w:rsidR="00044D5B" w:rsidRPr="00392E88" w:rsidRDefault="00044D5B">
            <w:pPr>
              <w:spacing w:before="0" w:after="0"/>
              <w:jc w:val="right"/>
              <w:rPr>
                <w:color w:val="000000"/>
                <w:sz w:val="20"/>
                <w:szCs w:val="20"/>
              </w:rPr>
            </w:pPr>
            <w:r w:rsidRPr="00392E88">
              <w:rPr>
                <w:color w:val="000000"/>
                <w:sz w:val="20"/>
              </w:rPr>
              <w:t xml:space="preserve"> </w:t>
            </w:r>
          </w:p>
        </w:tc>
        <w:tc>
          <w:tcPr>
            <w:tcW w:w="496" w:type="pct"/>
            <w:gridSpan w:val="4"/>
            <w:tcBorders>
              <w:top w:val="nil"/>
              <w:left w:val="nil"/>
              <w:bottom w:val="single" w:sz="8" w:space="0" w:color="auto"/>
              <w:right w:val="single" w:sz="8" w:space="0" w:color="auto"/>
            </w:tcBorders>
            <w:vAlign w:val="center"/>
            <w:hideMark/>
          </w:tcPr>
          <w:p w14:paraId="27322810" w14:textId="77777777" w:rsidR="00044D5B" w:rsidRPr="00392E88" w:rsidRDefault="00044D5B">
            <w:pPr>
              <w:spacing w:before="0" w:after="0"/>
              <w:jc w:val="right"/>
              <w:rPr>
                <w:color w:val="000000"/>
                <w:sz w:val="20"/>
                <w:szCs w:val="20"/>
              </w:rPr>
            </w:pPr>
            <w:r w:rsidRPr="00392E88">
              <w:rPr>
                <w:color w:val="000000"/>
                <w:sz w:val="20"/>
              </w:rPr>
              <w:t xml:space="preserve"> </w:t>
            </w:r>
          </w:p>
        </w:tc>
        <w:tc>
          <w:tcPr>
            <w:tcW w:w="496" w:type="pct"/>
            <w:gridSpan w:val="4"/>
            <w:tcBorders>
              <w:top w:val="nil"/>
              <w:left w:val="nil"/>
              <w:bottom w:val="single" w:sz="8" w:space="0" w:color="auto"/>
              <w:right w:val="single" w:sz="8" w:space="0" w:color="auto"/>
            </w:tcBorders>
            <w:vAlign w:val="center"/>
            <w:hideMark/>
          </w:tcPr>
          <w:p w14:paraId="4A37C2EE" w14:textId="77777777" w:rsidR="00044D5B" w:rsidRPr="00392E88" w:rsidRDefault="00044D5B">
            <w:pPr>
              <w:spacing w:before="0" w:after="0"/>
              <w:jc w:val="right"/>
              <w:rPr>
                <w:color w:val="000000"/>
                <w:sz w:val="20"/>
                <w:szCs w:val="20"/>
              </w:rPr>
            </w:pPr>
            <w:r w:rsidRPr="00392E88">
              <w:rPr>
                <w:color w:val="000000"/>
                <w:sz w:val="20"/>
              </w:rPr>
              <w:t xml:space="preserve"> </w:t>
            </w:r>
          </w:p>
        </w:tc>
        <w:tc>
          <w:tcPr>
            <w:tcW w:w="478" w:type="pct"/>
            <w:gridSpan w:val="4"/>
            <w:tcBorders>
              <w:top w:val="nil"/>
              <w:left w:val="nil"/>
              <w:bottom w:val="single" w:sz="8" w:space="0" w:color="auto"/>
              <w:right w:val="single" w:sz="8" w:space="0" w:color="auto"/>
            </w:tcBorders>
            <w:vAlign w:val="center"/>
            <w:hideMark/>
          </w:tcPr>
          <w:p w14:paraId="583E0B7C" w14:textId="77777777" w:rsidR="00044D5B" w:rsidRPr="00392E88" w:rsidRDefault="00044D5B">
            <w:pPr>
              <w:spacing w:before="0" w:after="0"/>
              <w:jc w:val="right"/>
              <w:rPr>
                <w:color w:val="000000"/>
                <w:sz w:val="20"/>
                <w:szCs w:val="20"/>
              </w:rPr>
            </w:pPr>
            <w:r w:rsidRPr="00392E88">
              <w:rPr>
                <w:color w:val="000000"/>
                <w:sz w:val="20"/>
              </w:rPr>
              <w:t xml:space="preserve"> </w:t>
            </w:r>
          </w:p>
        </w:tc>
        <w:tc>
          <w:tcPr>
            <w:tcW w:w="590" w:type="pct"/>
            <w:gridSpan w:val="4"/>
            <w:tcBorders>
              <w:top w:val="nil"/>
              <w:left w:val="nil"/>
              <w:bottom w:val="single" w:sz="8" w:space="0" w:color="auto"/>
              <w:right w:val="single" w:sz="8" w:space="0" w:color="auto"/>
            </w:tcBorders>
            <w:shd w:val="clear" w:color="auto" w:fill="D9D9D9" w:themeFill="background1" w:themeFillShade="D9"/>
            <w:vAlign w:val="center"/>
            <w:hideMark/>
          </w:tcPr>
          <w:p w14:paraId="5F4B8AE2" w14:textId="77777777" w:rsidR="00044D5B" w:rsidRPr="00392E88" w:rsidRDefault="00044D5B">
            <w:pPr>
              <w:spacing w:before="0" w:after="0"/>
              <w:jc w:val="right"/>
              <w:rPr>
                <w:b/>
                <w:bCs/>
                <w:color w:val="000000"/>
                <w:sz w:val="20"/>
                <w:szCs w:val="20"/>
              </w:rPr>
            </w:pPr>
            <w:r w:rsidRPr="00392E88">
              <w:rPr>
                <w:b/>
                <w:color w:val="000000"/>
                <w:sz w:val="20"/>
              </w:rPr>
              <w:t>0,000</w:t>
            </w:r>
          </w:p>
        </w:tc>
      </w:tr>
      <w:tr w:rsidR="0014428F" w:rsidRPr="00392E88" w14:paraId="52F5F781" w14:textId="77777777">
        <w:trPr>
          <w:trHeight w:val="288"/>
        </w:trPr>
        <w:tc>
          <w:tcPr>
            <w:tcW w:w="5000" w:type="pct"/>
            <w:gridSpan w:val="26"/>
            <w:tcBorders>
              <w:top w:val="single" w:sz="8" w:space="0" w:color="auto"/>
              <w:left w:val="single" w:sz="8" w:space="0" w:color="auto"/>
              <w:bottom w:val="single" w:sz="8" w:space="0" w:color="auto"/>
              <w:right w:val="single" w:sz="8" w:space="0" w:color="auto"/>
            </w:tcBorders>
            <w:noWrap/>
            <w:vAlign w:val="bottom"/>
            <w:hideMark/>
          </w:tcPr>
          <w:p w14:paraId="77FD7ECA" w14:textId="77777777" w:rsidR="00044D5B" w:rsidRPr="00392E88" w:rsidRDefault="00044D5B">
            <w:pPr>
              <w:spacing w:before="0" w:after="0"/>
              <w:jc w:val="left"/>
              <w:rPr>
                <w:color w:val="000000"/>
                <w:sz w:val="22"/>
              </w:rPr>
            </w:pPr>
            <w:r w:rsidRPr="00392E88">
              <w:rPr>
                <w:color w:val="000000"/>
                <w:sz w:val="22"/>
              </w:rPr>
              <w:t>Środki administracyjne finansowane ze środków przydzielonych na określone programy</w:t>
            </w:r>
            <w:r w:rsidRPr="00392E88">
              <w:t xml:space="preserve"> </w:t>
            </w:r>
          </w:p>
        </w:tc>
      </w:tr>
      <w:tr w:rsidR="00E62D64" w:rsidRPr="00392E88" w14:paraId="6B57E34E" w14:textId="77777777">
        <w:trPr>
          <w:trHeight w:val="288"/>
        </w:trPr>
        <w:tc>
          <w:tcPr>
            <w:tcW w:w="1419" w:type="pct"/>
            <w:gridSpan w:val="2"/>
            <w:tcBorders>
              <w:top w:val="nil"/>
              <w:left w:val="single" w:sz="8" w:space="0" w:color="auto"/>
              <w:bottom w:val="single" w:sz="8" w:space="0" w:color="auto"/>
              <w:right w:val="single" w:sz="8" w:space="0" w:color="auto"/>
            </w:tcBorders>
            <w:vAlign w:val="center"/>
            <w:hideMark/>
          </w:tcPr>
          <w:p w14:paraId="4124EDE6" w14:textId="77777777" w:rsidR="00044D5B" w:rsidRPr="00392E88" w:rsidRDefault="00044D5B">
            <w:pPr>
              <w:spacing w:before="0" w:after="0"/>
              <w:rPr>
                <w:color w:val="000000"/>
                <w:sz w:val="20"/>
                <w:szCs w:val="20"/>
              </w:rPr>
            </w:pPr>
            <w:r w:rsidRPr="00392E88">
              <w:rPr>
                <w:color w:val="000000"/>
                <w:sz w:val="20"/>
              </w:rPr>
              <w:t>Linia budżetowa</w:t>
            </w:r>
          </w:p>
        </w:tc>
        <w:tc>
          <w:tcPr>
            <w:tcW w:w="529" w:type="pct"/>
            <w:tcBorders>
              <w:top w:val="nil"/>
              <w:left w:val="nil"/>
              <w:bottom w:val="single" w:sz="8" w:space="0" w:color="auto"/>
              <w:right w:val="single" w:sz="8" w:space="0" w:color="auto"/>
            </w:tcBorders>
            <w:vAlign w:val="center"/>
            <w:hideMark/>
          </w:tcPr>
          <w:p w14:paraId="40C768D2" w14:textId="77777777" w:rsidR="00044D5B" w:rsidRPr="00392E88" w:rsidRDefault="00044D5B">
            <w:pPr>
              <w:spacing w:before="0" w:after="0"/>
              <w:jc w:val="right"/>
              <w:rPr>
                <w:color w:val="000000"/>
                <w:sz w:val="18"/>
                <w:szCs w:val="18"/>
              </w:rPr>
            </w:pPr>
            <w:r w:rsidRPr="00392E88">
              <w:rPr>
                <w:color w:val="000000"/>
                <w:sz w:val="18"/>
              </w:rPr>
              <w:t xml:space="preserve"> </w:t>
            </w:r>
          </w:p>
        </w:tc>
        <w:tc>
          <w:tcPr>
            <w:tcW w:w="496" w:type="pct"/>
            <w:gridSpan w:val="3"/>
            <w:tcBorders>
              <w:top w:val="single" w:sz="8" w:space="0" w:color="auto"/>
              <w:left w:val="nil"/>
              <w:bottom w:val="single" w:sz="8" w:space="0" w:color="auto"/>
              <w:right w:val="single" w:sz="8" w:space="0" w:color="auto"/>
            </w:tcBorders>
            <w:vAlign w:val="center"/>
            <w:hideMark/>
          </w:tcPr>
          <w:p w14:paraId="3D0D1914" w14:textId="77777777" w:rsidR="00044D5B" w:rsidRPr="00392E88" w:rsidRDefault="00044D5B">
            <w:pPr>
              <w:spacing w:before="0" w:after="0"/>
              <w:jc w:val="center"/>
              <w:rPr>
                <w:color w:val="000000"/>
                <w:sz w:val="14"/>
                <w:szCs w:val="14"/>
              </w:rPr>
            </w:pPr>
            <w:r w:rsidRPr="00392E88">
              <w:rPr>
                <w:color w:val="000000"/>
                <w:sz w:val="14"/>
              </w:rPr>
              <w:t>(3)</w:t>
            </w:r>
          </w:p>
        </w:tc>
        <w:tc>
          <w:tcPr>
            <w:tcW w:w="496" w:type="pct"/>
            <w:gridSpan w:val="4"/>
            <w:tcBorders>
              <w:top w:val="nil"/>
              <w:left w:val="nil"/>
              <w:bottom w:val="single" w:sz="8" w:space="0" w:color="auto"/>
              <w:right w:val="single" w:sz="8" w:space="0" w:color="auto"/>
            </w:tcBorders>
            <w:vAlign w:val="center"/>
            <w:hideMark/>
          </w:tcPr>
          <w:p w14:paraId="3A87F779" w14:textId="77777777" w:rsidR="00044D5B" w:rsidRPr="00392E88" w:rsidRDefault="00044D5B">
            <w:pPr>
              <w:spacing w:before="0" w:after="0"/>
              <w:jc w:val="right"/>
              <w:rPr>
                <w:b/>
                <w:bCs/>
                <w:color w:val="000000"/>
                <w:sz w:val="20"/>
                <w:szCs w:val="20"/>
              </w:rPr>
            </w:pPr>
            <w:r w:rsidRPr="00392E88">
              <w:rPr>
                <w:b/>
                <w:color w:val="000000"/>
                <w:sz w:val="20"/>
              </w:rPr>
              <w:t xml:space="preserve"> </w:t>
            </w:r>
          </w:p>
        </w:tc>
        <w:tc>
          <w:tcPr>
            <w:tcW w:w="496" w:type="pct"/>
            <w:gridSpan w:val="4"/>
            <w:tcBorders>
              <w:top w:val="nil"/>
              <w:left w:val="nil"/>
              <w:bottom w:val="single" w:sz="8" w:space="0" w:color="auto"/>
              <w:right w:val="single" w:sz="8" w:space="0" w:color="auto"/>
            </w:tcBorders>
            <w:vAlign w:val="center"/>
            <w:hideMark/>
          </w:tcPr>
          <w:p w14:paraId="0D2DA351" w14:textId="77777777" w:rsidR="00044D5B" w:rsidRPr="00392E88" w:rsidRDefault="00044D5B">
            <w:pPr>
              <w:spacing w:before="0" w:after="0"/>
              <w:jc w:val="right"/>
              <w:rPr>
                <w:b/>
                <w:bCs/>
                <w:color w:val="000000"/>
                <w:sz w:val="20"/>
                <w:szCs w:val="20"/>
              </w:rPr>
            </w:pPr>
            <w:r w:rsidRPr="00392E88">
              <w:rPr>
                <w:b/>
                <w:color w:val="000000"/>
                <w:sz w:val="20"/>
              </w:rPr>
              <w:t xml:space="preserve"> </w:t>
            </w:r>
          </w:p>
        </w:tc>
        <w:tc>
          <w:tcPr>
            <w:tcW w:w="496" w:type="pct"/>
            <w:gridSpan w:val="4"/>
            <w:tcBorders>
              <w:top w:val="nil"/>
              <w:left w:val="nil"/>
              <w:bottom w:val="single" w:sz="8" w:space="0" w:color="auto"/>
              <w:right w:val="single" w:sz="8" w:space="0" w:color="auto"/>
            </w:tcBorders>
            <w:vAlign w:val="center"/>
            <w:hideMark/>
          </w:tcPr>
          <w:p w14:paraId="2ADF2368" w14:textId="77777777" w:rsidR="00044D5B" w:rsidRPr="00392E88" w:rsidRDefault="00044D5B">
            <w:pPr>
              <w:spacing w:before="0" w:after="0"/>
              <w:jc w:val="right"/>
              <w:rPr>
                <w:b/>
                <w:bCs/>
                <w:color w:val="000000"/>
                <w:sz w:val="20"/>
                <w:szCs w:val="20"/>
              </w:rPr>
            </w:pPr>
            <w:r w:rsidRPr="00392E88">
              <w:rPr>
                <w:b/>
                <w:color w:val="000000"/>
                <w:sz w:val="20"/>
              </w:rPr>
              <w:t xml:space="preserve"> </w:t>
            </w:r>
          </w:p>
        </w:tc>
        <w:tc>
          <w:tcPr>
            <w:tcW w:w="478" w:type="pct"/>
            <w:gridSpan w:val="4"/>
            <w:tcBorders>
              <w:top w:val="nil"/>
              <w:left w:val="nil"/>
              <w:bottom w:val="single" w:sz="8" w:space="0" w:color="auto"/>
              <w:right w:val="single" w:sz="8" w:space="0" w:color="auto"/>
            </w:tcBorders>
            <w:vAlign w:val="center"/>
            <w:hideMark/>
          </w:tcPr>
          <w:p w14:paraId="4D5E2379" w14:textId="77777777" w:rsidR="00044D5B" w:rsidRPr="00392E88" w:rsidRDefault="00044D5B">
            <w:pPr>
              <w:spacing w:before="0" w:after="0"/>
              <w:jc w:val="right"/>
              <w:rPr>
                <w:b/>
                <w:bCs/>
                <w:color w:val="000000"/>
                <w:sz w:val="20"/>
                <w:szCs w:val="20"/>
              </w:rPr>
            </w:pPr>
            <w:r w:rsidRPr="00392E88">
              <w:rPr>
                <w:b/>
                <w:color w:val="000000"/>
                <w:sz w:val="20"/>
              </w:rPr>
              <w:t xml:space="preserve"> </w:t>
            </w:r>
          </w:p>
        </w:tc>
        <w:tc>
          <w:tcPr>
            <w:tcW w:w="590" w:type="pct"/>
            <w:gridSpan w:val="4"/>
            <w:tcBorders>
              <w:top w:val="nil"/>
              <w:left w:val="nil"/>
              <w:bottom w:val="single" w:sz="8" w:space="0" w:color="auto"/>
              <w:right w:val="single" w:sz="8" w:space="0" w:color="auto"/>
            </w:tcBorders>
            <w:shd w:val="clear" w:color="auto" w:fill="D9D9D9" w:themeFill="background1" w:themeFillShade="D9"/>
            <w:vAlign w:val="center"/>
            <w:hideMark/>
          </w:tcPr>
          <w:p w14:paraId="2F83B8DE" w14:textId="77777777" w:rsidR="00044D5B" w:rsidRPr="00392E88" w:rsidRDefault="00044D5B">
            <w:pPr>
              <w:spacing w:before="0" w:after="0"/>
              <w:jc w:val="right"/>
              <w:rPr>
                <w:b/>
                <w:bCs/>
                <w:color w:val="000000"/>
                <w:sz w:val="20"/>
                <w:szCs w:val="20"/>
              </w:rPr>
            </w:pPr>
            <w:r w:rsidRPr="00392E88">
              <w:rPr>
                <w:b/>
                <w:color w:val="000000"/>
                <w:sz w:val="20"/>
              </w:rPr>
              <w:t>0,000</w:t>
            </w:r>
          </w:p>
        </w:tc>
      </w:tr>
      <w:tr w:rsidR="00983E98" w:rsidRPr="00392E88" w14:paraId="1548D522" w14:textId="77777777">
        <w:trPr>
          <w:trHeight w:val="288"/>
        </w:trPr>
        <w:tc>
          <w:tcPr>
            <w:tcW w:w="1419" w:type="pct"/>
            <w:gridSpan w:val="2"/>
            <w:vMerge w:val="restart"/>
            <w:tcBorders>
              <w:top w:val="nil"/>
              <w:left w:val="single" w:sz="8" w:space="0" w:color="auto"/>
              <w:right w:val="single" w:sz="8" w:space="0" w:color="auto"/>
            </w:tcBorders>
            <w:vAlign w:val="center"/>
            <w:hideMark/>
          </w:tcPr>
          <w:p w14:paraId="25B80C31" w14:textId="77777777" w:rsidR="00044D5B" w:rsidRPr="00392E88" w:rsidRDefault="00044D5B">
            <w:pPr>
              <w:spacing w:before="0" w:after="0"/>
              <w:jc w:val="center"/>
              <w:rPr>
                <w:b/>
                <w:bCs/>
                <w:color w:val="000000"/>
                <w:sz w:val="22"/>
              </w:rPr>
            </w:pPr>
            <w:r w:rsidRPr="00392E88">
              <w:rPr>
                <w:b/>
                <w:color w:val="000000"/>
                <w:sz w:val="22"/>
              </w:rPr>
              <w:t>OGÓŁEM środki</w:t>
            </w:r>
          </w:p>
          <w:p w14:paraId="20B87A29" w14:textId="77777777" w:rsidR="00044D5B" w:rsidRPr="00392E88" w:rsidRDefault="00044D5B">
            <w:pPr>
              <w:spacing w:before="0" w:after="0"/>
              <w:jc w:val="center"/>
              <w:rPr>
                <w:b/>
                <w:bCs/>
                <w:color w:val="000000"/>
                <w:sz w:val="22"/>
              </w:rPr>
            </w:pPr>
            <w:r w:rsidRPr="00392E88">
              <w:rPr>
                <w:b/>
                <w:color w:val="000000"/>
                <w:sz w:val="22"/>
              </w:rPr>
              <w:t xml:space="preserve">dla Dyrekcji Generalnej </w:t>
            </w:r>
            <w:r w:rsidRPr="00392E88">
              <w:rPr>
                <w:color w:val="000000"/>
                <w:sz w:val="22"/>
              </w:rPr>
              <w:t>&lt;…….&gt;</w:t>
            </w:r>
          </w:p>
        </w:tc>
        <w:tc>
          <w:tcPr>
            <w:tcW w:w="529" w:type="pct"/>
            <w:tcBorders>
              <w:top w:val="nil"/>
              <w:left w:val="nil"/>
              <w:bottom w:val="single" w:sz="8" w:space="0" w:color="auto"/>
              <w:right w:val="single" w:sz="8" w:space="0" w:color="auto"/>
            </w:tcBorders>
            <w:vAlign w:val="center"/>
            <w:hideMark/>
          </w:tcPr>
          <w:p w14:paraId="60333FE0" w14:textId="77777777" w:rsidR="00044D5B" w:rsidRPr="00392E88" w:rsidRDefault="00044D5B">
            <w:pPr>
              <w:spacing w:before="0" w:after="0"/>
              <w:rPr>
                <w:color w:val="000000"/>
                <w:sz w:val="18"/>
                <w:szCs w:val="18"/>
              </w:rPr>
            </w:pPr>
            <w:r w:rsidRPr="00392E88">
              <w:rPr>
                <w:color w:val="000000"/>
                <w:sz w:val="18"/>
              </w:rPr>
              <w:t>Środki na zobowiązania</w:t>
            </w:r>
          </w:p>
        </w:tc>
        <w:tc>
          <w:tcPr>
            <w:tcW w:w="496" w:type="pct"/>
            <w:gridSpan w:val="3"/>
            <w:tcBorders>
              <w:top w:val="single" w:sz="8" w:space="0" w:color="auto"/>
              <w:left w:val="nil"/>
              <w:bottom w:val="single" w:sz="8" w:space="0" w:color="auto"/>
              <w:right w:val="single" w:sz="8" w:space="0" w:color="auto"/>
            </w:tcBorders>
            <w:vAlign w:val="center"/>
            <w:hideMark/>
          </w:tcPr>
          <w:p w14:paraId="29264B12" w14:textId="77777777" w:rsidR="00044D5B" w:rsidRPr="00392E88" w:rsidRDefault="00044D5B">
            <w:pPr>
              <w:spacing w:before="0" w:after="0"/>
              <w:jc w:val="center"/>
              <w:rPr>
                <w:color w:val="000000"/>
                <w:sz w:val="14"/>
                <w:szCs w:val="14"/>
              </w:rPr>
            </w:pPr>
            <w:r w:rsidRPr="00392E88">
              <w:rPr>
                <w:color w:val="000000"/>
                <w:sz w:val="14"/>
              </w:rPr>
              <w:t>=1a+1b+3</w:t>
            </w:r>
          </w:p>
        </w:tc>
        <w:tc>
          <w:tcPr>
            <w:tcW w:w="496" w:type="pct"/>
            <w:gridSpan w:val="4"/>
            <w:tcBorders>
              <w:top w:val="nil"/>
              <w:left w:val="nil"/>
              <w:bottom w:val="single" w:sz="8" w:space="0" w:color="auto"/>
              <w:right w:val="single" w:sz="8" w:space="0" w:color="auto"/>
            </w:tcBorders>
            <w:shd w:val="clear" w:color="auto" w:fill="D9D9D9" w:themeFill="background1" w:themeFillShade="D9"/>
            <w:vAlign w:val="center"/>
            <w:hideMark/>
          </w:tcPr>
          <w:p w14:paraId="3D1AAB16" w14:textId="77777777" w:rsidR="00044D5B" w:rsidRPr="00392E88" w:rsidRDefault="00044D5B">
            <w:pPr>
              <w:spacing w:before="0" w:after="0"/>
              <w:jc w:val="right"/>
              <w:rPr>
                <w:b/>
                <w:bCs/>
                <w:color w:val="000000"/>
                <w:sz w:val="20"/>
                <w:szCs w:val="20"/>
              </w:rPr>
            </w:pPr>
            <w:r w:rsidRPr="00392E88">
              <w:rPr>
                <w:b/>
                <w:color w:val="000000"/>
                <w:sz w:val="20"/>
              </w:rPr>
              <w:t>0,000</w:t>
            </w:r>
          </w:p>
        </w:tc>
        <w:tc>
          <w:tcPr>
            <w:tcW w:w="496" w:type="pct"/>
            <w:gridSpan w:val="4"/>
            <w:tcBorders>
              <w:top w:val="nil"/>
              <w:left w:val="nil"/>
              <w:bottom w:val="single" w:sz="8" w:space="0" w:color="auto"/>
              <w:right w:val="single" w:sz="8" w:space="0" w:color="auto"/>
            </w:tcBorders>
            <w:shd w:val="clear" w:color="auto" w:fill="D9D9D9" w:themeFill="background1" w:themeFillShade="D9"/>
            <w:vAlign w:val="center"/>
            <w:hideMark/>
          </w:tcPr>
          <w:p w14:paraId="432231A6" w14:textId="77777777" w:rsidR="00044D5B" w:rsidRPr="00392E88" w:rsidRDefault="00044D5B">
            <w:pPr>
              <w:spacing w:before="0" w:after="0"/>
              <w:jc w:val="right"/>
              <w:rPr>
                <w:b/>
                <w:bCs/>
                <w:color w:val="000000"/>
                <w:sz w:val="20"/>
                <w:szCs w:val="20"/>
              </w:rPr>
            </w:pPr>
            <w:r w:rsidRPr="00392E88">
              <w:rPr>
                <w:b/>
                <w:color w:val="000000"/>
                <w:sz w:val="20"/>
              </w:rPr>
              <w:t>0,000</w:t>
            </w:r>
          </w:p>
        </w:tc>
        <w:tc>
          <w:tcPr>
            <w:tcW w:w="496" w:type="pct"/>
            <w:gridSpan w:val="4"/>
            <w:tcBorders>
              <w:top w:val="nil"/>
              <w:left w:val="nil"/>
              <w:bottom w:val="single" w:sz="8" w:space="0" w:color="auto"/>
              <w:right w:val="single" w:sz="8" w:space="0" w:color="auto"/>
            </w:tcBorders>
            <w:shd w:val="clear" w:color="auto" w:fill="D9D9D9" w:themeFill="background1" w:themeFillShade="D9"/>
            <w:vAlign w:val="center"/>
            <w:hideMark/>
          </w:tcPr>
          <w:p w14:paraId="11D79229" w14:textId="77777777" w:rsidR="00044D5B" w:rsidRPr="00392E88" w:rsidRDefault="00044D5B">
            <w:pPr>
              <w:spacing w:before="0" w:after="0"/>
              <w:jc w:val="right"/>
              <w:rPr>
                <w:b/>
                <w:bCs/>
                <w:color w:val="000000"/>
                <w:sz w:val="20"/>
                <w:szCs w:val="20"/>
              </w:rPr>
            </w:pPr>
            <w:r w:rsidRPr="00392E88">
              <w:rPr>
                <w:b/>
                <w:color w:val="000000"/>
                <w:sz w:val="20"/>
              </w:rPr>
              <w:t>0,000</w:t>
            </w:r>
          </w:p>
        </w:tc>
        <w:tc>
          <w:tcPr>
            <w:tcW w:w="478" w:type="pct"/>
            <w:gridSpan w:val="4"/>
            <w:tcBorders>
              <w:top w:val="nil"/>
              <w:left w:val="nil"/>
              <w:bottom w:val="single" w:sz="8" w:space="0" w:color="auto"/>
              <w:right w:val="single" w:sz="8" w:space="0" w:color="auto"/>
            </w:tcBorders>
            <w:shd w:val="clear" w:color="auto" w:fill="D9D9D9" w:themeFill="background1" w:themeFillShade="D9"/>
            <w:vAlign w:val="center"/>
            <w:hideMark/>
          </w:tcPr>
          <w:p w14:paraId="160EF51B" w14:textId="77777777" w:rsidR="00044D5B" w:rsidRPr="00392E88" w:rsidRDefault="00044D5B">
            <w:pPr>
              <w:spacing w:before="0" w:after="0"/>
              <w:jc w:val="right"/>
              <w:rPr>
                <w:b/>
                <w:bCs/>
                <w:color w:val="000000"/>
                <w:sz w:val="20"/>
                <w:szCs w:val="20"/>
              </w:rPr>
            </w:pPr>
            <w:r w:rsidRPr="00392E88">
              <w:rPr>
                <w:b/>
                <w:color w:val="000000"/>
                <w:sz w:val="20"/>
              </w:rPr>
              <w:t>0,000</w:t>
            </w:r>
          </w:p>
        </w:tc>
        <w:tc>
          <w:tcPr>
            <w:tcW w:w="590" w:type="pct"/>
            <w:gridSpan w:val="4"/>
            <w:tcBorders>
              <w:top w:val="nil"/>
              <w:left w:val="nil"/>
              <w:bottom w:val="single" w:sz="8" w:space="0" w:color="auto"/>
              <w:right w:val="single" w:sz="8" w:space="0" w:color="auto"/>
            </w:tcBorders>
            <w:shd w:val="clear" w:color="auto" w:fill="D9D9D9" w:themeFill="background1" w:themeFillShade="D9"/>
            <w:vAlign w:val="center"/>
            <w:hideMark/>
          </w:tcPr>
          <w:p w14:paraId="56DDC7DA" w14:textId="77777777" w:rsidR="00044D5B" w:rsidRPr="00392E88" w:rsidRDefault="00044D5B">
            <w:pPr>
              <w:spacing w:before="0" w:after="0"/>
              <w:jc w:val="right"/>
              <w:rPr>
                <w:b/>
                <w:bCs/>
                <w:color w:val="000000"/>
                <w:sz w:val="20"/>
                <w:szCs w:val="20"/>
              </w:rPr>
            </w:pPr>
            <w:r w:rsidRPr="00392E88">
              <w:rPr>
                <w:b/>
                <w:color w:val="000000"/>
                <w:sz w:val="20"/>
              </w:rPr>
              <w:t>0,000</w:t>
            </w:r>
          </w:p>
        </w:tc>
      </w:tr>
      <w:tr w:rsidR="00E62D64" w:rsidRPr="00392E88" w14:paraId="41959BD8" w14:textId="77777777">
        <w:trPr>
          <w:trHeight w:val="288"/>
        </w:trPr>
        <w:tc>
          <w:tcPr>
            <w:tcW w:w="1419" w:type="pct"/>
            <w:gridSpan w:val="2"/>
            <w:vMerge/>
            <w:vAlign w:val="center"/>
            <w:hideMark/>
          </w:tcPr>
          <w:p w14:paraId="26253226" w14:textId="77777777" w:rsidR="00044D5B" w:rsidRPr="00392E88" w:rsidRDefault="00044D5B">
            <w:pPr>
              <w:spacing w:before="0" w:after="0"/>
              <w:jc w:val="center"/>
              <w:rPr>
                <w:b/>
                <w:bCs/>
                <w:color w:val="000000"/>
                <w:sz w:val="22"/>
                <w:lang w:eastAsia="en-IE"/>
              </w:rPr>
            </w:pPr>
          </w:p>
        </w:tc>
        <w:tc>
          <w:tcPr>
            <w:tcW w:w="529" w:type="pct"/>
            <w:tcBorders>
              <w:top w:val="nil"/>
              <w:left w:val="nil"/>
              <w:bottom w:val="single" w:sz="8" w:space="0" w:color="auto"/>
              <w:right w:val="single" w:sz="8" w:space="0" w:color="auto"/>
            </w:tcBorders>
            <w:vAlign w:val="center"/>
            <w:hideMark/>
          </w:tcPr>
          <w:p w14:paraId="7C01A981" w14:textId="77777777" w:rsidR="00044D5B" w:rsidRPr="00392E88" w:rsidRDefault="00044D5B">
            <w:pPr>
              <w:spacing w:before="0" w:after="0"/>
              <w:rPr>
                <w:color w:val="000000"/>
                <w:sz w:val="18"/>
                <w:szCs w:val="18"/>
              </w:rPr>
            </w:pPr>
            <w:r w:rsidRPr="00392E88">
              <w:rPr>
                <w:color w:val="000000"/>
                <w:sz w:val="18"/>
              </w:rPr>
              <w:t>Środki na płatności</w:t>
            </w:r>
          </w:p>
        </w:tc>
        <w:tc>
          <w:tcPr>
            <w:tcW w:w="496" w:type="pct"/>
            <w:gridSpan w:val="3"/>
            <w:tcBorders>
              <w:top w:val="single" w:sz="8" w:space="0" w:color="auto"/>
              <w:left w:val="nil"/>
              <w:bottom w:val="single" w:sz="8" w:space="0" w:color="auto"/>
              <w:right w:val="single" w:sz="8" w:space="0" w:color="auto"/>
            </w:tcBorders>
            <w:vAlign w:val="center"/>
            <w:hideMark/>
          </w:tcPr>
          <w:p w14:paraId="66D0A190" w14:textId="77777777" w:rsidR="00044D5B" w:rsidRPr="00392E88" w:rsidRDefault="00044D5B">
            <w:pPr>
              <w:spacing w:before="0" w:after="0"/>
              <w:jc w:val="center"/>
              <w:rPr>
                <w:color w:val="000000"/>
                <w:sz w:val="14"/>
                <w:szCs w:val="14"/>
              </w:rPr>
            </w:pPr>
            <w:r w:rsidRPr="00392E88">
              <w:rPr>
                <w:color w:val="000000"/>
                <w:sz w:val="14"/>
              </w:rPr>
              <w:t>=2a+2b+3</w:t>
            </w:r>
          </w:p>
        </w:tc>
        <w:tc>
          <w:tcPr>
            <w:tcW w:w="496" w:type="pct"/>
            <w:gridSpan w:val="4"/>
            <w:tcBorders>
              <w:top w:val="nil"/>
              <w:left w:val="nil"/>
              <w:bottom w:val="single" w:sz="8" w:space="0" w:color="auto"/>
              <w:right w:val="single" w:sz="8" w:space="0" w:color="auto"/>
            </w:tcBorders>
            <w:shd w:val="clear" w:color="auto" w:fill="D9D9D9" w:themeFill="background1" w:themeFillShade="D9"/>
            <w:vAlign w:val="center"/>
            <w:hideMark/>
          </w:tcPr>
          <w:p w14:paraId="6CD2FA23" w14:textId="77777777" w:rsidR="00044D5B" w:rsidRPr="00392E88" w:rsidRDefault="00044D5B">
            <w:pPr>
              <w:spacing w:before="0" w:after="0"/>
              <w:jc w:val="right"/>
              <w:rPr>
                <w:b/>
                <w:bCs/>
                <w:color w:val="000000"/>
                <w:sz w:val="20"/>
                <w:szCs w:val="20"/>
              </w:rPr>
            </w:pPr>
            <w:r w:rsidRPr="00392E88">
              <w:rPr>
                <w:b/>
                <w:color w:val="000000"/>
                <w:sz w:val="20"/>
              </w:rPr>
              <w:t>0,000</w:t>
            </w:r>
          </w:p>
        </w:tc>
        <w:tc>
          <w:tcPr>
            <w:tcW w:w="496" w:type="pct"/>
            <w:gridSpan w:val="4"/>
            <w:tcBorders>
              <w:top w:val="nil"/>
              <w:left w:val="nil"/>
              <w:bottom w:val="single" w:sz="8" w:space="0" w:color="auto"/>
              <w:right w:val="single" w:sz="8" w:space="0" w:color="auto"/>
            </w:tcBorders>
            <w:shd w:val="clear" w:color="auto" w:fill="D9D9D9" w:themeFill="background1" w:themeFillShade="D9"/>
            <w:vAlign w:val="center"/>
            <w:hideMark/>
          </w:tcPr>
          <w:p w14:paraId="74D2EEF9" w14:textId="77777777" w:rsidR="00044D5B" w:rsidRPr="00392E88" w:rsidRDefault="00044D5B">
            <w:pPr>
              <w:spacing w:before="0" w:after="0"/>
              <w:jc w:val="right"/>
              <w:rPr>
                <w:b/>
                <w:bCs/>
                <w:color w:val="000000"/>
                <w:sz w:val="20"/>
                <w:szCs w:val="20"/>
              </w:rPr>
            </w:pPr>
            <w:r w:rsidRPr="00392E88">
              <w:rPr>
                <w:b/>
                <w:color w:val="000000"/>
                <w:sz w:val="20"/>
              </w:rPr>
              <w:t>0,000</w:t>
            </w:r>
          </w:p>
        </w:tc>
        <w:tc>
          <w:tcPr>
            <w:tcW w:w="496" w:type="pct"/>
            <w:gridSpan w:val="4"/>
            <w:tcBorders>
              <w:top w:val="nil"/>
              <w:left w:val="nil"/>
              <w:bottom w:val="single" w:sz="8" w:space="0" w:color="auto"/>
              <w:right w:val="single" w:sz="8" w:space="0" w:color="auto"/>
            </w:tcBorders>
            <w:shd w:val="clear" w:color="auto" w:fill="D9D9D9" w:themeFill="background1" w:themeFillShade="D9"/>
            <w:vAlign w:val="center"/>
            <w:hideMark/>
          </w:tcPr>
          <w:p w14:paraId="5B26B3C7" w14:textId="77777777" w:rsidR="00044D5B" w:rsidRPr="00392E88" w:rsidRDefault="00044D5B">
            <w:pPr>
              <w:spacing w:before="0" w:after="0"/>
              <w:jc w:val="right"/>
              <w:rPr>
                <w:b/>
                <w:bCs/>
                <w:color w:val="000000"/>
                <w:sz w:val="20"/>
                <w:szCs w:val="20"/>
              </w:rPr>
            </w:pPr>
            <w:r w:rsidRPr="00392E88">
              <w:rPr>
                <w:b/>
                <w:color w:val="000000"/>
                <w:sz w:val="20"/>
              </w:rPr>
              <w:t>0,000</w:t>
            </w:r>
          </w:p>
        </w:tc>
        <w:tc>
          <w:tcPr>
            <w:tcW w:w="478" w:type="pct"/>
            <w:gridSpan w:val="4"/>
            <w:tcBorders>
              <w:top w:val="nil"/>
              <w:left w:val="nil"/>
              <w:bottom w:val="single" w:sz="8" w:space="0" w:color="auto"/>
              <w:right w:val="single" w:sz="8" w:space="0" w:color="auto"/>
            </w:tcBorders>
            <w:shd w:val="clear" w:color="auto" w:fill="D9D9D9" w:themeFill="background1" w:themeFillShade="D9"/>
            <w:vAlign w:val="center"/>
            <w:hideMark/>
          </w:tcPr>
          <w:p w14:paraId="76CBB3BA" w14:textId="77777777" w:rsidR="00044D5B" w:rsidRPr="00392E88" w:rsidRDefault="00044D5B">
            <w:pPr>
              <w:spacing w:before="0" w:after="0"/>
              <w:jc w:val="right"/>
              <w:rPr>
                <w:b/>
                <w:bCs/>
                <w:color w:val="000000"/>
                <w:sz w:val="20"/>
                <w:szCs w:val="20"/>
              </w:rPr>
            </w:pPr>
            <w:r w:rsidRPr="00392E88">
              <w:rPr>
                <w:b/>
                <w:color w:val="000000"/>
                <w:sz w:val="20"/>
              </w:rPr>
              <w:t>0,000</w:t>
            </w:r>
          </w:p>
        </w:tc>
        <w:tc>
          <w:tcPr>
            <w:tcW w:w="590" w:type="pct"/>
            <w:gridSpan w:val="4"/>
            <w:tcBorders>
              <w:top w:val="nil"/>
              <w:left w:val="nil"/>
              <w:bottom w:val="single" w:sz="8" w:space="0" w:color="auto"/>
              <w:right w:val="single" w:sz="8" w:space="0" w:color="auto"/>
            </w:tcBorders>
            <w:shd w:val="clear" w:color="auto" w:fill="D9D9D9" w:themeFill="background1" w:themeFillShade="D9"/>
            <w:vAlign w:val="center"/>
            <w:hideMark/>
          </w:tcPr>
          <w:p w14:paraId="7FBAEFFC" w14:textId="77777777" w:rsidR="00044D5B" w:rsidRPr="00392E88" w:rsidRDefault="00044D5B">
            <w:pPr>
              <w:spacing w:before="0" w:after="0"/>
              <w:jc w:val="right"/>
              <w:rPr>
                <w:b/>
                <w:bCs/>
                <w:color w:val="000000"/>
                <w:sz w:val="20"/>
                <w:szCs w:val="20"/>
              </w:rPr>
            </w:pPr>
            <w:r w:rsidRPr="00392E88">
              <w:rPr>
                <w:b/>
                <w:color w:val="000000"/>
                <w:sz w:val="20"/>
              </w:rPr>
              <w:t>0,000</w:t>
            </w:r>
          </w:p>
        </w:tc>
      </w:tr>
      <w:tr w:rsidR="00470A36" w:rsidRPr="00392E88" w14:paraId="50CD4A59" w14:textId="77777777">
        <w:trPr>
          <w:trHeight w:val="420"/>
        </w:trPr>
        <w:tc>
          <w:tcPr>
            <w:tcW w:w="2444" w:type="pct"/>
            <w:gridSpan w:val="5"/>
            <w:tcBorders>
              <w:top w:val="single" w:sz="8" w:space="0" w:color="auto"/>
              <w:left w:val="single" w:sz="8" w:space="0" w:color="auto"/>
              <w:bottom w:val="single" w:sz="8" w:space="0" w:color="auto"/>
              <w:right w:val="single" w:sz="8" w:space="0" w:color="auto"/>
            </w:tcBorders>
            <w:vAlign w:val="center"/>
            <w:hideMark/>
          </w:tcPr>
          <w:p w14:paraId="488AAA0F" w14:textId="77777777" w:rsidR="00044D5B" w:rsidRPr="00392E88" w:rsidRDefault="00044D5B">
            <w:pPr>
              <w:spacing w:before="0" w:after="0"/>
              <w:jc w:val="center"/>
              <w:rPr>
                <w:color w:val="000000"/>
                <w:sz w:val="22"/>
              </w:rPr>
            </w:pPr>
            <w:r w:rsidRPr="00392E88">
              <w:rPr>
                <w:color w:val="000000"/>
                <w:sz w:val="22"/>
              </w:rPr>
              <w:t>Dyrekcja Generalna: &lt;…….&gt;</w:t>
            </w:r>
          </w:p>
        </w:tc>
        <w:tc>
          <w:tcPr>
            <w:tcW w:w="496" w:type="pct"/>
            <w:gridSpan w:val="4"/>
            <w:tcBorders>
              <w:top w:val="single" w:sz="8" w:space="0" w:color="auto"/>
              <w:left w:val="nil"/>
              <w:bottom w:val="single" w:sz="8" w:space="0" w:color="auto"/>
              <w:right w:val="single" w:sz="8" w:space="0" w:color="auto"/>
            </w:tcBorders>
            <w:vAlign w:val="center"/>
            <w:hideMark/>
          </w:tcPr>
          <w:p w14:paraId="0AAAE508" w14:textId="77777777" w:rsidR="00044D5B" w:rsidRPr="00392E88" w:rsidRDefault="00044D5B">
            <w:pPr>
              <w:spacing w:before="0" w:after="0"/>
              <w:jc w:val="center"/>
              <w:rPr>
                <w:color w:val="000000"/>
                <w:sz w:val="20"/>
                <w:szCs w:val="20"/>
              </w:rPr>
            </w:pPr>
            <w:r w:rsidRPr="00392E88">
              <w:rPr>
                <w:color w:val="000000"/>
                <w:sz w:val="20"/>
              </w:rPr>
              <w:t>Rok</w:t>
            </w:r>
          </w:p>
        </w:tc>
        <w:tc>
          <w:tcPr>
            <w:tcW w:w="496" w:type="pct"/>
            <w:gridSpan w:val="4"/>
            <w:tcBorders>
              <w:top w:val="single" w:sz="8" w:space="0" w:color="auto"/>
              <w:left w:val="nil"/>
              <w:bottom w:val="single" w:sz="8" w:space="0" w:color="auto"/>
              <w:right w:val="single" w:sz="8" w:space="0" w:color="auto"/>
            </w:tcBorders>
            <w:vAlign w:val="center"/>
            <w:hideMark/>
          </w:tcPr>
          <w:p w14:paraId="592126BE" w14:textId="77777777" w:rsidR="00044D5B" w:rsidRPr="00392E88" w:rsidRDefault="00044D5B">
            <w:pPr>
              <w:spacing w:before="0" w:after="0"/>
              <w:jc w:val="center"/>
              <w:rPr>
                <w:color w:val="000000"/>
                <w:sz w:val="20"/>
                <w:szCs w:val="20"/>
              </w:rPr>
            </w:pPr>
            <w:r w:rsidRPr="00392E88">
              <w:rPr>
                <w:color w:val="000000"/>
                <w:sz w:val="20"/>
              </w:rPr>
              <w:t>Rok</w:t>
            </w:r>
          </w:p>
        </w:tc>
        <w:tc>
          <w:tcPr>
            <w:tcW w:w="496" w:type="pct"/>
            <w:gridSpan w:val="4"/>
            <w:tcBorders>
              <w:top w:val="single" w:sz="8" w:space="0" w:color="auto"/>
              <w:left w:val="nil"/>
              <w:bottom w:val="single" w:sz="8" w:space="0" w:color="auto"/>
              <w:right w:val="single" w:sz="8" w:space="0" w:color="auto"/>
            </w:tcBorders>
            <w:vAlign w:val="center"/>
            <w:hideMark/>
          </w:tcPr>
          <w:p w14:paraId="67D821C2" w14:textId="77777777" w:rsidR="00044D5B" w:rsidRPr="00392E88" w:rsidRDefault="00044D5B">
            <w:pPr>
              <w:spacing w:before="0" w:after="0"/>
              <w:jc w:val="center"/>
              <w:rPr>
                <w:color w:val="000000"/>
                <w:sz w:val="20"/>
                <w:szCs w:val="20"/>
              </w:rPr>
            </w:pPr>
            <w:r w:rsidRPr="00392E88">
              <w:rPr>
                <w:color w:val="000000"/>
                <w:sz w:val="20"/>
              </w:rPr>
              <w:t>Rok</w:t>
            </w:r>
          </w:p>
        </w:tc>
        <w:tc>
          <w:tcPr>
            <w:tcW w:w="478" w:type="pct"/>
            <w:gridSpan w:val="4"/>
            <w:tcBorders>
              <w:top w:val="single" w:sz="8" w:space="0" w:color="auto"/>
              <w:left w:val="nil"/>
              <w:bottom w:val="single" w:sz="8" w:space="0" w:color="auto"/>
              <w:right w:val="single" w:sz="8" w:space="0" w:color="auto"/>
            </w:tcBorders>
            <w:vAlign w:val="center"/>
            <w:hideMark/>
          </w:tcPr>
          <w:p w14:paraId="69940E67" w14:textId="77777777" w:rsidR="00044D5B" w:rsidRPr="00392E88" w:rsidRDefault="00044D5B">
            <w:pPr>
              <w:spacing w:before="0" w:after="0"/>
              <w:jc w:val="center"/>
              <w:rPr>
                <w:color w:val="000000"/>
                <w:sz w:val="20"/>
                <w:szCs w:val="20"/>
              </w:rPr>
            </w:pPr>
            <w:r w:rsidRPr="00392E88">
              <w:rPr>
                <w:color w:val="000000"/>
                <w:sz w:val="20"/>
              </w:rPr>
              <w:t>Rok</w:t>
            </w:r>
          </w:p>
        </w:tc>
        <w:tc>
          <w:tcPr>
            <w:tcW w:w="590" w:type="pct"/>
            <w:gridSpan w:val="5"/>
            <w:tcBorders>
              <w:top w:val="single" w:sz="8" w:space="0" w:color="auto"/>
              <w:left w:val="single" w:sz="8" w:space="0" w:color="auto"/>
              <w:bottom w:val="single" w:sz="8" w:space="0" w:color="auto"/>
              <w:right w:val="single" w:sz="8" w:space="0" w:color="auto"/>
            </w:tcBorders>
            <w:vAlign w:val="center"/>
            <w:hideMark/>
          </w:tcPr>
          <w:p w14:paraId="6FF97A14" w14:textId="77777777" w:rsidR="00044D5B" w:rsidRPr="00392E88" w:rsidRDefault="00044D5B">
            <w:pPr>
              <w:spacing w:before="0" w:after="0"/>
              <w:jc w:val="center"/>
              <w:rPr>
                <w:b/>
                <w:bCs/>
                <w:color w:val="000000"/>
                <w:sz w:val="20"/>
                <w:szCs w:val="20"/>
              </w:rPr>
            </w:pPr>
            <w:r w:rsidRPr="00392E88">
              <w:rPr>
                <w:b/>
                <w:color w:val="000000"/>
                <w:sz w:val="20"/>
              </w:rPr>
              <w:t>OGÓŁEM WRF 2021–2027</w:t>
            </w:r>
          </w:p>
        </w:tc>
      </w:tr>
      <w:tr w:rsidR="00470A36" w:rsidRPr="00392E88" w14:paraId="7D5C674A" w14:textId="77777777">
        <w:trPr>
          <w:trHeight w:val="288"/>
        </w:trPr>
        <w:tc>
          <w:tcPr>
            <w:tcW w:w="2444" w:type="pct"/>
            <w:gridSpan w:val="5"/>
            <w:tcBorders>
              <w:top w:val="single" w:sz="8" w:space="0" w:color="auto"/>
              <w:left w:val="single" w:sz="8" w:space="0" w:color="auto"/>
              <w:bottom w:val="single" w:sz="8" w:space="0" w:color="auto"/>
              <w:right w:val="single" w:sz="8" w:space="0" w:color="auto"/>
            </w:tcBorders>
            <w:vAlign w:val="center"/>
            <w:hideMark/>
          </w:tcPr>
          <w:p w14:paraId="6EAA268D" w14:textId="77777777" w:rsidR="00044D5B" w:rsidRPr="00392E88" w:rsidRDefault="00044D5B">
            <w:pPr>
              <w:spacing w:before="0" w:after="0"/>
              <w:jc w:val="left"/>
              <w:rPr>
                <w:color w:val="000000"/>
                <w:sz w:val="22"/>
                <w:lang w:eastAsia="en-IE"/>
              </w:rPr>
            </w:pPr>
          </w:p>
        </w:tc>
        <w:tc>
          <w:tcPr>
            <w:tcW w:w="496" w:type="pct"/>
            <w:gridSpan w:val="4"/>
            <w:tcBorders>
              <w:top w:val="nil"/>
              <w:left w:val="nil"/>
              <w:bottom w:val="single" w:sz="8" w:space="0" w:color="auto"/>
              <w:right w:val="single" w:sz="8" w:space="0" w:color="auto"/>
            </w:tcBorders>
            <w:vAlign w:val="center"/>
            <w:hideMark/>
          </w:tcPr>
          <w:p w14:paraId="1095D07C" w14:textId="77777777" w:rsidR="00044D5B" w:rsidRPr="00392E88" w:rsidRDefault="00044D5B">
            <w:pPr>
              <w:spacing w:before="0" w:after="0"/>
              <w:jc w:val="center"/>
              <w:rPr>
                <w:b/>
                <w:bCs/>
                <w:color w:val="000000"/>
                <w:sz w:val="20"/>
                <w:szCs w:val="20"/>
              </w:rPr>
            </w:pPr>
            <w:r w:rsidRPr="00392E88">
              <w:rPr>
                <w:b/>
                <w:color w:val="000000"/>
                <w:sz w:val="20"/>
              </w:rPr>
              <w:t>2024</w:t>
            </w:r>
          </w:p>
        </w:tc>
        <w:tc>
          <w:tcPr>
            <w:tcW w:w="496" w:type="pct"/>
            <w:gridSpan w:val="4"/>
            <w:tcBorders>
              <w:top w:val="nil"/>
              <w:left w:val="nil"/>
              <w:bottom w:val="single" w:sz="8" w:space="0" w:color="auto"/>
              <w:right w:val="single" w:sz="8" w:space="0" w:color="auto"/>
            </w:tcBorders>
            <w:vAlign w:val="center"/>
            <w:hideMark/>
          </w:tcPr>
          <w:p w14:paraId="5E6BCFD4" w14:textId="77777777" w:rsidR="00044D5B" w:rsidRPr="00392E88" w:rsidRDefault="00044D5B">
            <w:pPr>
              <w:spacing w:before="0" w:after="0"/>
              <w:jc w:val="center"/>
              <w:rPr>
                <w:b/>
                <w:bCs/>
                <w:color w:val="000000"/>
                <w:sz w:val="20"/>
                <w:szCs w:val="20"/>
              </w:rPr>
            </w:pPr>
            <w:r w:rsidRPr="00392E88">
              <w:rPr>
                <w:b/>
                <w:color w:val="000000"/>
                <w:sz w:val="20"/>
              </w:rPr>
              <w:t>2025</w:t>
            </w:r>
          </w:p>
        </w:tc>
        <w:tc>
          <w:tcPr>
            <w:tcW w:w="496" w:type="pct"/>
            <w:gridSpan w:val="4"/>
            <w:tcBorders>
              <w:top w:val="nil"/>
              <w:left w:val="nil"/>
              <w:bottom w:val="single" w:sz="8" w:space="0" w:color="auto"/>
              <w:right w:val="single" w:sz="8" w:space="0" w:color="auto"/>
            </w:tcBorders>
            <w:vAlign w:val="center"/>
            <w:hideMark/>
          </w:tcPr>
          <w:p w14:paraId="6910ED5A" w14:textId="77777777" w:rsidR="00044D5B" w:rsidRPr="00392E88" w:rsidRDefault="00044D5B">
            <w:pPr>
              <w:spacing w:before="0" w:after="0"/>
              <w:jc w:val="center"/>
              <w:rPr>
                <w:b/>
                <w:bCs/>
                <w:color w:val="000000"/>
                <w:sz w:val="20"/>
                <w:szCs w:val="20"/>
              </w:rPr>
            </w:pPr>
            <w:r w:rsidRPr="00392E88">
              <w:rPr>
                <w:b/>
                <w:color w:val="000000"/>
                <w:sz w:val="20"/>
              </w:rPr>
              <w:t>2026</w:t>
            </w:r>
          </w:p>
        </w:tc>
        <w:tc>
          <w:tcPr>
            <w:tcW w:w="478" w:type="pct"/>
            <w:gridSpan w:val="4"/>
            <w:tcBorders>
              <w:top w:val="nil"/>
              <w:left w:val="nil"/>
              <w:bottom w:val="single" w:sz="8" w:space="0" w:color="auto"/>
              <w:right w:val="single" w:sz="8" w:space="0" w:color="auto"/>
            </w:tcBorders>
            <w:vAlign w:val="center"/>
            <w:hideMark/>
          </w:tcPr>
          <w:p w14:paraId="496E80C5" w14:textId="77777777" w:rsidR="00044D5B" w:rsidRPr="00392E88" w:rsidRDefault="00044D5B">
            <w:pPr>
              <w:spacing w:before="0" w:after="0"/>
              <w:jc w:val="center"/>
              <w:rPr>
                <w:b/>
                <w:bCs/>
                <w:color w:val="000000"/>
                <w:sz w:val="20"/>
                <w:szCs w:val="20"/>
              </w:rPr>
            </w:pPr>
            <w:r w:rsidRPr="00392E88">
              <w:rPr>
                <w:b/>
                <w:color w:val="000000"/>
                <w:sz w:val="20"/>
              </w:rPr>
              <w:t>2027</w:t>
            </w:r>
          </w:p>
        </w:tc>
        <w:tc>
          <w:tcPr>
            <w:tcW w:w="590" w:type="pct"/>
            <w:gridSpan w:val="5"/>
            <w:tcBorders>
              <w:top w:val="single" w:sz="8" w:space="0" w:color="auto"/>
              <w:left w:val="single" w:sz="8" w:space="0" w:color="auto"/>
              <w:bottom w:val="single" w:sz="8" w:space="0" w:color="auto"/>
              <w:right w:val="single" w:sz="8" w:space="0" w:color="auto"/>
            </w:tcBorders>
            <w:vAlign w:val="center"/>
            <w:hideMark/>
          </w:tcPr>
          <w:p w14:paraId="2F4ECEB3" w14:textId="77777777" w:rsidR="00044D5B" w:rsidRPr="00392E88" w:rsidRDefault="00044D5B">
            <w:pPr>
              <w:spacing w:before="0" w:after="0"/>
              <w:jc w:val="left"/>
              <w:rPr>
                <w:b/>
                <w:bCs/>
                <w:color w:val="000000"/>
                <w:sz w:val="20"/>
                <w:szCs w:val="20"/>
                <w:lang w:eastAsia="en-IE"/>
              </w:rPr>
            </w:pPr>
          </w:p>
        </w:tc>
      </w:tr>
      <w:tr w:rsidR="0014428F" w:rsidRPr="00392E88" w14:paraId="047EFB91" w14:textId="77777777">
        <w:trPr>
          <w:trHeight w:val="300"/>
        </w:trPr>
        <w:tc>
          <w:tcPr>
            <w:tcW w:w="5000" w:type="pct"/>
            <w:gridSpan w:val="26"/>
            <w:tcBorders>
              <w:top w:val="single" w:sz="8" w:space="0" w:color="auto"/>
              <w:left w:val="single" w:sz="8" w:space="0" w:color="auto"/>
              <w:bottom w:val="single" w:sz="8" w:space="0" w:color="auto"/>
              <w:right w:val="single" w:sz="8" w:space="0" w:color="auto"/>
            </w:tcBorders>
            <w:vAlign w:val="center"/>
            <w:hideMark/>
          </w:tcPr>
          <w:p w14:paraId="5CF37FE9" w14:textId="77777777" w:rsidR="00044D5B" w:rsidRPr="00392E88" w:rsidRDefault="00044D5B">
            <w:pPr>
              <w:spacing w:before="0" w:after="0"/>
              <w:jc w:val="left"/>
              <w:rPr>
                <w:color w:val="000000"/>
                <w:sz w:val="21"/>
                <w:szCs w:val="21"/>
              </w:rPr>
            </w:pPr>
            <w:r w:rsidRPr="00392E88">
              <w:rPr>
                <w:color w:val="000000"/>
                <w:sz w:val="21"/>
              </w:rPr>
              <w:t xml:space="preserve">Środki operacyjne </w:t>
            </w:r>
          </w:p>
        </w:tc>
      </w:tr>
      <w:tr w:rsidR="00E62D64" w:rsidRPr="00392E88" w14:paraId="6EF50BA1" w14:textId="77777777">
        <w:trPr>
          <w:trHeight w:val="288"/>
        </w:trPr>
        <w:tc>
          <w:tcPr>
            <w:tcW w:w="1419" w:type="pct"/>
            <w:gridSpan w:val="5"/>
            <w:vMerge w:val="restart"/>
            <w:tcBorders>
              <w:top w:val="nil"/>
              <w:left w:val="single" w:sz="8" w:space="0" w:color="auto"/>
              <w:bottom w:val="single" w:sz="8" w:space="0" w:color="auto"/>
              <w:right w:val="single" w:sz="8" w:space="0" w:color="auto"/>
            </w:tcBorders>
            <w:noWrap/>
            <w:vAlign w:val="center"/>
            <w:hideMark/>
          </w:tcPr>
          <w:p w14:paraId="1685AF10" w14:textId="77777777" w:rsidR="00044D5B" w:rsidRPr="00392E88" w:rsidRDefault="00044D5B">
            <w:pPr>
              <w:spacing w:before="0" w:after="0"/>
              <w:jc w:val="left"/>
              <w:rPr>
                <w:color w:val="000000"/>
                <w:sz w:val="22"/>
              </w:rPr>
            </w:pPr>
            <w:r w:rsidRPr="00392E88">
              <w:rPr>
                <w:color w:val="000000"/>
                <w:sz w:val="22"/>
              </w:rPr>
              <w:t>Linia budżetowa</w:t>
            </w:r>
          </w:p>
        </w:tc>
        <w:tc>
          <w:tcPr>
            <w:tcW w:w="529" w:type="pct"/>
            <w:gridSpan w:val="4"/>
            <w:tcBorders>
              <w:top w:val="nil"/>
              <w:left w:val="nil"/>
              <w:bottom w:val="single" w:sz="8" w:space="0" w:color="auto"/>
              <w:right w:val="single" w:sz="8" w:space="0" w:color="auto"/>
            </w:tcBorders>
            <w:vAlign w:val="center"/>
            <w:hideMark/>
          </w:tcPr>
          <w:p w14:paraId="2199B3EF" w14:textId="77777777" w:rsidR="00044D5B" w:rsidRPr="00392E88" w:rsidRDefault="00044D5B">
            <w:pPr>
              <w:spacing w:before="0" w:after="0"/>
              <w:rPr>
                <w:color w:val="000000"/>
                <w:sz w:val="18"/>
                <w:szCs w:val="18"/>
              </w:rPr>
            </w:pPr>
            <w:r w:rsidRPr="00392E88">
              <w:rPr>
                <w:color w:val="000000"/>
                <w:sz w:val="18"/>
              </w:rPr>
              <w:t>Środki na zobowiązania</w:t>
            </w:r>
          </w:p>
        </w:tc>
        <w:tc>
          <w:tcPr>
            <w:tcW w:w="496" w:type="pct"/>
            <w:gridSpan w:val="4"/>
            <w:tcBorders>
              <w:top w:val="single" w:sz="8" w:space="0" w:color="auto"/>
              <w:left w:val="nil"/>
              <w:bottom w:val="single" w:sz="8" w:space="0" w:color="auto"/>
              <w:right w:val="single" w:sz="8" w:space="0" w:color="auto"/>
            </w:tcBorders>
            <w:vAlign w:val="center"/>
            <w:hideMark/>
          </w:tcPr>
          <w:p w14:paraId="2098975E" w14:textId="77777777" w:rsidR="00044D5B" w:rsidRPr="00392E88" w:rsidRDefault="00044D5B">
            <w:pPr>
              <w:spacing w:before="0" w:after="0"/>
              <w:jc w:val="center"/>
              <w:rPr>
                <w:color w:val="000000"/>
                <w:sz w:val="14"/>
                <w:szCs w:val="14"/>
              </w:rPr>
            </w:pPr>
            <w:r w:rsidRPr="00392E88">
              <w:rPr>
                <w:color w:val="000000"/>
                <w:sz w:val="14"/>
              </w:rPr>
              <w:t>(1a)</w:t>
            </w:r>
          </w:p>
        </w:tc>
        <w:tc>
          <w:tcPr>
            <w:tcW w:w="496" w:type="pct"/>
            <w:gridSpan w:val="4"/>
            <w:tcBorders>
              <w:top w:val="nil"/>
              <w:left w:val="nil"/>
              <w:bottom w:val="single" w:sz="8" w:space="0" w:color="auto"/>
              <w:right w:val="single" w:sz="8" w:space="0" w:color="auto"/>
            </w:tcBorders>
            <w:vAlign w:val="center"/>
            <w:hideMark/>
          </w:tcPr>
          <w:p w14:paraId="18F3A5D3" w14:textId="77777777" w:rsidR="00044D5B" w:rsidRPr="00392E88" w:rsidRDefault="00044D5B">
            <w:pPr>
              <w:spacing w:before="0" w:after="0"/>
              <w:jc w:val="right"/>
              <w:rPr>
                <w:color w:val="000000"/>
                <w:sz w:val="20"/>
                <w:szCs w:val="20"/>
              </w:rPr>
            </w:pPr>
            <w:r w:rsidRPr="00392E88">
              <w:rPr>
                <w:color w:val="000000"/>
                <w:sz w:val="20"/>
              </w:rPr>
              <w:t xml:space="preserve"> </w:t>
            </w:r>
          </w:p>
        </w:tc>
        <w:tc>
          <w:tcPr>
            <w:tcW w:w="496" w:type="pct"/>
            <w:gridSpan w:val="4"/>
            <w:tcBorders>
              <w:top w:val="nil"/>
              <w:left w:val="nil"/>
              <w:bottom w:val="single" w:sz="8" w:space="0" w:color="auto"/>
              <w:right w:val="single" w:sz="8" w:space="0" w:color="auto"/>
            </w:tcBorders>
            <w:vAlign w:val="center"/>
            <w:hideMark/>
          </w:tcPr>
          <w:p w14:paraId="562D5DBA" w14:textId="77777777" w:rsidR="00044D5B" w:rsidRPr="00392E88" w:rsidRDefault="00044D5B">
            <w:pPr>
              <w:spacing w:before="0" w:after="0"/>
              <w:jc w:val="right"/>
              <w:rPr>
                <w:color w:val="000000"/>
                <w:sz w:val="20"/>
                <w:szCs w:val="20"/>
              </w:rPr>
            </w:pPr>
            <w:r w:rsidRPr="00392E88">
              <w:rPr>
                <w:color w:val="000000"/>
                <w:sz w:val="20"/>
              </w:rPr>
              <w:t xml:space="preserve"> </w:t>
            </w:r>
          </w:p>
        </w:tc>
        <w:tc>
          <w:tcPr>
            <w:tcW w:w="496" w:type="pct"/>
            <w:gridSpan w:val="3"/>
            <w:tcBorders>
              <w:top w:val="nil"/>
              <w:left w:val="nil"/>
              <w:bottom w:val="single" w:sz="8" w:space="0" w:color="auto"/>
              <w:right w:val="single" w:sz="8" w:space="0" w:color="auto"/>
            </w:tcBorders>
            <w:vAlign w:val="center"/>
            <w:hideMark/>
          </w:tcPr>
          <w:p w14:paraId="25718CC0" w14:textId="77777777" w:rsidR="00044D5B" w:rsidRPr="00392E88" w:rsidRDefault="00044D5B">
            <w:pPr>
              <w:spacing w:before="0" w:after="0"/>
              <w:jc w:val="right"/>
              <w:rPr>
                <w:color w:val="000000"/>
                <w:sz w:val="20"/>
                <w:szCs w:val="20"/>
              </w:rPr>
            </w:pPr>
            <w:r w:rsidRPr="00392E88">
              <w:rPr>
                <w:color w:val="000000"/>
                <w:sz w:val="20"/>
              </w:rPr>
              <w:t xml:space="preserve"> </w:t>
            </w:r>
          </w:p>
        </w:tc>
        <w:tc>
          <w:tcPr>
            <w:tcW w:w="478" w:type="pct"/>
            <w:tcBorders>
              <w:top w:val="nil"/>
              <w:left w:val="nil"/>
              <w:bottom w:val="single" w:sz="8" w:space="0" w:color="auto"/>
              <w:right w:val="single" w:sz="8" w:space="0" w:color="auto"/>
            </w:tcBorders>
            <w:vAlign w:val="center"/>
            <w:hideMark/>
          </w:tcPr>
          <w:p w14:paraId="103175F9" w14:textId="77777777" w:rsidR="00044D5B" w:rsidRPr="00392E88" w:rsidRDefault="00044D5B">
            <w:pPr>
              <w:spacing w:before="0" w:after="0"/>
              <w:jc w:val="right"/>
              <w:rPr>
                <w:color w:val="000000"/>
                <w:sz w:val="20"/>
                <w:szCs w:val="20"/>
              </w:rPr>
            </w:pPr>
            <w:r w:rsidRPr="00392E88">
              <w:rPr>
                <w:color w:val="000000"/>
                <w:sz w:val="20"/>
              </w:rPr>
              <w:t xml:space="preserve"> </w:t>
            </w:r>
          </w:p>
        </w:tc>
        <w:tc>
          <w:tcPr>
            <w:tcW w:w="590" w:type="pct"/>
            <w:tcBorders>
              <w:top w:val="nil"/>
              <w:left w:val="nil"/>
              <w:bottom w:val="single" w:sz="8" w:space="0" w:color="auto"/>
              <w:right w:val="single" w:sz="8" w:space="0" w:color="auto"/>
            </w:tcBorders>
            <w:shd w:val="clear" w:color="000000" w:fill="D9D9D9"/>
            <w:vAlign w:val="center"/>
            <w:hideMark/>
          </w:tcPr>
          <w:p w14:paraId="54878B3A" w14:textId="77777777" w:rsidR="00044D5B" w:rsidRPr="00392E88" w:rsidRDefault="00044D5B">
            <w:pPr>
              <w:spacing w:before="0" w:after="0"/>
              <w:jc w:val="right"/>
              <w:rPr>
                <w:b/>
                <w:bCs/>
                <w:color w:val="000000"/>
                <w:sz w:val="20"/>
                <w:szCs w:val="20"/>
              </w:rPr>
            </w:pPr>
            <w:r w:rsidRPr="00392E88">
              <w:rPr>
                <w:b/>
                <w:color w:val="000000"/>
                <w:sz w:val="20"/>
              </w:rPr>
              <w:t>0,000</w:t>
            </w:r>
          </w:p>
        </w:tc>
      </w:tr>
      <w:tr w:rsidR="00E62D64" w:rsidRPr="00392E88" w14:paraId="087F04A9" w14:textId="77777777">
        <w:trPr>
          <w:trHeight w:val="315"/>
        </w:trPr>
        <w:tc>
          <w:tcPr>
            <w:tcW w:w="1419" w:type="pct"/>
            <w:gridSpan w:val="5"/>
            <w:vMerge/>
            <w:tcBorders>
              <w:top w:val="nil"/>
              <w:left w:val="single" w:sz="8" w:space="0" w:color="auto"/>
              <w:bottom w:val="single" w:sz="8" w:space="0" w:color="auto"/>
              <w:right w:val="single" w:sz="8" w:space="0" w:color="auto"/>
            </w:tcBorders>
            <w:vAlign w:val="center"/>
            <w:hideMark/>
          </w:tcPr>
          <w:p w14:paraId="49CC1E57" w14:textId="77777777" w:rsidR="00044D5B" w:rsidRPr="00392E88" w:rsidRDefault="00044D5B">
            <w:pPr>
              <w:spacing w:before="0" w:after="0"/>
              <w:jc w:val="left"/>
              <w:rPr>
                <w:color w:val="000000"/>
                <w:sz w:val="22"/>
                <w:lang w:eastAsia="en-IE"/>
              </w:rPr>
            </w:pPr>
          </w:p>
        </w:tc>
        <w:tc>
          <w:tcPr>
            <w:tcW w:w="529" w:type="pct"/>
            <w:gridSpan w:val="4"/>
            <w:tcBorders>
              <w:top w:val="nil"/>
              <w:left w:val="nil"/>
              <w:bottom w:val="single" w:sz="8" w:space="0" w:color="auto"/>
              <w:right w:val="single" w:sz="8" w:space="0" w:color="auto"/>
            </w:tcBorders>
            <w:vAlign w:val="center"/>
            <w:hideMark/>
          </w:tcPr>
          <w:p w14:paraId="36B4DD60" w14:textId="77777777" w:rsidR="00044D5B" w:rsidRPr="00392E88" w:rsidRDefault="00044D5B">
            <w:pPr>
              <w:spacing w:before="0" w:after="0"/>
              <w:rPr>
                <w:color w:val="000000"/>
                <w:sz w:val="18"/>
                <w:szCs w:val="18"/>
              </w:rPr>
            </w:pPr>
            <w:r w:rsidRPr="00392E88">
              <w:rPr>
                <w:color w:val="000000"/>
                <w:sz w:val="18"/>
              </w:rPr>
              <w:t>Środki na płatności</w:t>
            </w:r>
          </w:p>
        </w:tc>
        <w:tc>
          <w:tcPr>
            <w:tcW w:w="496" w:type="pct"/>
            <w:gridSpan w:val="4"/>
            <w:tcBorders>
              <w:top w:val="single" w:sz="8" w:space="0" w:color="auto"/>
              <w:left w:val="nil"/>
              <w:bottom w:val="single" w:sz="8" w:space="0" w:color="auto"/>
              <w:right w:val="single" w:sz="8" w:space="0" w:color="auto"/>
            </w:tcBorders>
            <w:vAlign w:val="center"/>
            <w:hideMark/>
          </w:tcPr>
          <w:p w14:paraId="539D89AF" w14:textId="77777777" w:rsidR="00044D5B" w:rsidRPr="00392E88" w:rsidRDefault="00044D5B">
            <w:pPr>
              <w:spacing w:before="0" w:after="0"/>
              <w:jc w:val="center"/>
              <w:rPr>
                <w:color w:val="000000"/>
                <w:sz w:val="14"/>
                <w:szCs w:val="14"/>
              </w:rPr>
            </w:pPr>
            <w:r w:rsidRPr="00392E88">
              <w:rPr>
                <w:color w:val="000000"/>
                <w:sz w:val="14"/>
              </w:rPr>
              <w:t>(2a)</w:t>
            </w:r>
          </w:p>
        </w:tc>
        <w:tc>
          <w:tcPr>
            <w:tcW w:w="496" w:type="pct"/>
            <w:gridSpan w:val="4"/>
            <w:tcBorders>
              <w:top w:val="nil"/>
              <w:left w:val="nil"/>
              <w:bottom w:val="single" w:sz="8" w:space="0" w:color="auto"/>
              <w:right w:val="single" w:sz="8" w:space="0" w:color="auto"/>
            </w:tcBorders>
            <w:vAlign w:val="center"/>
            <w:hideMark/>
          </w:tcPr>
          <w:p w14:paraId="5DB7E84C" w14:textId="77777777" w:rsidR="00044D5B" w:rsidRPr="00392E88" w:rsidRDefault="00044D5B">
            <w:pPr>
              <w:spacing w:before="0" w:after="0"/>
              <w:jc w:val="right"/>
              <w:rPr>
                <w:color w:val="000000"/>
                <w:sz w:val="20"/>
                <w:szCs w:val="20"/>
              </w:rPr>
            </w:pPr>
            <w:r w:rsidRPr="00392E88">
              <w:rPr>
                <w:color w:val="000000"/>
                <w:sz w:val="20"/>
              </w:rPr>
              <w:t xml:space="preserve"> </w:t>
            </w:r>
          </w:p>
        </w:tc>
        <w:tc>
          <w:tcPr>
            <w:tcW w:w="496" w:type="pct"/>
            <w:gridSpan w:val="4"/>
            <w:tcBorders>
              <w:top w:val="nil"/>
              <w:left w:val="nil"/>
              <w:bottom w:val="single" w:sz="8" w:space="0" w:color="auto"/>
              <w:right w:val="single" w:sz="8" w:space="0" w:color="auto"/>
            </w:tcBorders>
            <w:vAlign w:val="center"/>
            <w:hideMark/>
          </w:tcPr>
          <w:p w14:paraId="735790C2" w14:textId="77777777" w:rsidR="00044D5B" w:rsidRPr="00392E88" w:rsidRDefault="00044D5B">
            <w:pPr>
              <w:spacing w:before="0" w:after="0"/>
              <w:jc w:val="right"/>
              <w:rPr>
                <w:color w:val="000000"/>
                <w:sz w:val="20"/>
                <w:szCs w:val="20"/>
              </w:rPr>
            </w:pPr>
            <w:r w:rsidRPr="00392E88">
              <w:rPr>
                <w:color w:val="000000"/>
                <w:sz w:val="20"/>
              </w:rPr>
              <w:t xml:space="preserve"> </w:t>
            </w:r>
          </w:p>
        </w:tc>
        <w:tc>
          <w:tcPr>
            <w:tcW w:w="496" w:type="pct"/>
            <w:gridSpan w:val="3"/>
            <w:tcBorders>
              <w:top w:val="nil"/>
              <w:left w:val="nil"/>
              <w:bottom w:val="single" w:sz="8" w:space="0" w:color="auto"/>
              <w:right w:val="single" w:sz="8" w:space="0" w:color="auto"/>
            </w:tcBorders>
            <w:vAlign w:val="center"/>
            <w:hideMark/>
          </w:tcPr>
          <w:p w14:paraId="01596AED" w14:textId="77777777" w:rsidR="00044D5B" w:rsidRPr="00392E88" w:rsidRDefault="00044D5B">
            <w:pPr>
              <w:spacing w:before="0" w:after="0"/>
              <w:jc w:val="right"/>
              <w:rPr>
                <w:color w:val="000000"/>
                <w:sz w:val="20"/>
                <w:szCs w:val="20"/>
              </w:rPr>
            </w:pPr>
            <w:r w:rsidRPr="00392E88">
              <w:rPr>
                <w:color w:val="000000"/>
                <w:sz w:val="20"/>
              </w:rPr>
              <w:t xml:space="preserve"> </w:t>
            </w:r>
          </w:p>
        </w:tc>
        <w:tc>
          <w:tcPr>
            <w:tcW w:w="478" w:type="pct"/>
            <w:tcBorders>
              <w:top w:val="nil"/>
              <w:left w:val="nil"/>
              <w:bottom w:val="single" w:sz="8" w:space="0" w:color="auto"/>
              <w:right w:val="single" w:sz="8" w:space="0" w:color="auto"/>
            </w:tcBorders>
            <w:vAlign w:val="center"/>
            <w:hideMark/>
          </w:tcPr>
          <w:p w14:paraId="5E67B0BB" w14:textId="77777777" w:rsidR="00044D5B" w:rsidRPr="00392E88" w:rsidRDefault="00044D5B">
            <w:pPr>
              <w:spacing w:before="0" w:after="0"/>
              <w:jc w:val="right"/>
              <w:rPr>
                <w:color w:val="000000"/>
                <w:sz w:val="20"/>
                <w:szCs w:val="20"/>
              </w:rPr>
            </w:pPr>
            <w:r w:rsidRPr="00392E88">
              <w:rPr>
                <w:color w:val="000000"/>
                <w:sz w:val="20"/>
              </w:rPr>
              <w:t xml:space="preserve"> </w:t>
            </w:r>
          </w:p>
        </w:tc>
        <w:tc>
          <w:tcPr>
            <w:tcW w:w="590" w:type="pct"/>
            <w:tcBorders>
              <w:top w:val="nil"/>
              <w:left w:val="nil"/>
              <w:bottom w:val="single" w:sz="8" w:space="0" w:color="auto"/>
              <w:right w:val="single" w:sz="8" w:space="0" w:color="auto"/>
            </w:tcBorders>
            <w:shd w:val="clear" w:color="000000" w:fill="D9D9D9"/>
            <w:vAlign w:val="center"/>
            <w:hideMark/>
          </w:tcPr>
          <w:p w14:paraId="4AF3DD56" w14:textId="77777777" w:rsidR="00044D5B" w:rsidRPr="00392E88" w:rsidRDefault="00044D5B">
            <w:pPr>
              <w:spacing w:before="0" w:after="0"/>
              <w:jc w:val="right"/>
              <w:rPr>
                <w:b/>
                <w:bCs/>
                <w:color w:val="000000"/>
                <w:sz w:val="20"/>
                <w:szCs w:val="20"/>
              </w:rPr>
            </w:pPr>
            <w:r w:rsidRPr="00392E88">
              <w:rPr>
                <w:b/>
                <w:color w:val="000000"/>
                <w:sz w:val="20"/>
              </w:rPr>
              <w:t>0,000</w:t>
            </w:r>
          </w:p>
        </w:tc>
      </w:tr>
      <w:tr w:rsidR="00E62D64" w:rsidRPr="00392E88" w14:paraId="1969A7D8" w14:textId="77777777">
        <w:trPr>
          <w:trHeight w:val="315"/>
        </w:trPr>
        <w:tc>
          <w:tcPr>
            <w:tcW w:w="1419" w:type="pct"/>
            <w:gridSpan w:val="5"/>
            <w:vMerge w:val="restart"/>
            <w:tcBorders>
              <w:top w:val="nil"/>
              <w:left w:val="single" w:sz="8" w:space="0" w:color="auto"/>
              <w:bottom w:val="single" w:sz="8" w:space="0" w:color="auto"/>
              <w:right w:val="single" w:sz="8" w:space="0" w:color="auto"/>
            </w:tcBorders>
            <w:vAlign w:val="center"/>
            <w:hideMark/>
          </w:tcPr>
          <w:p w14:paraId="0BE287C3" w14:textId="77777777" w:rsidR="00044D5B" w:rsidRPr="00392E88" w:rsidRDefault="00044D5B">
            <w:pPr>
              <w:spacing w:before="0" w:after="0"/>
              <w:rPr>
                <w:color w:val="000000"/>
                <w:sz w:val="20"/>
                <w:szCs w:val="20"/>
              </w:rPr>
            </w:pPr>
            <w:r w:rsidRPr="00392E88">
              <w:rPr>
                <w:color w:val="000000"/>
                <w:sz w:val="20"/>
              </w:rPr>
              <w:t>Linia budżetowa</w:t>
            </w:r>
          </w:p>
        </w:tc>
        <w:tc>
          <w:tcPr>
            <w:tcW w:w="529" w:type="pct"/>
            <w:gridSpan w:val="4"/>
            <w:tcBorders>
              <w:top w:val="nil"/>
              <w:left w:val="nil"/>
              <w:bottom w:val="single" w:sz="8" w:space="0" w:color="auto"/>
              <w:right w:val="single" w:sz="8" w:space="0" w:color="auto"/>
            </w:tcBorders>
            <w:vAlign w:val="center"/>
            <w:hideMark/>
          </w:tcPr>
          <w:p w14:paraId="0C7EF871" w14:textId="77777777" w:rsidR="00044D5B" w:rsidRPr="00392E88" w:rsidRDefault="00044D5B">
            <w:pPr>
              <w:spacing w:before="0" w:after="0"/>
              <w:rPr>
                <w:color w:val="000000"/>
                <w:sz w:val="18"/>
                <w:szCs w:val="18"/>
              </w:rPr>
            </w:pPr>
            <w:r w:rsidRPr="00392E88">
              <w:rPr>
                <w:color w:val="000000"/>
                <w:sz w:val="18"/>
              </w:rPr>
              <w:t>Środki na zobowiązania</w:t>
            </w:r>
          </w:p>
        </w:tc>
        <w:tc>
          <w:tcPr>
            <w:tcW w:w="496" w:type="pct"/>
            <w:gridSpan w:val="4"/>
            <w:tcBorders>
              <w:top w:val="single" w:sz="8" w:space="0" w:color="auto"/>
              <w:left w:val="nil"/>
              <w:bottom w:val="single" w:sz="8" w:space="0" w:color="auto"/>
              <w:right w:val="single" w:sz="8" w:space="0" w:color="auto"/>
            </w:tcBorders>
            <w:vAlign w:val="center"/>
            <w:hideMark/>
          </w:tcPr>
          <w:p w14:paraId="7E0DCE27" w14:textId="77777777" w:rsidR="00044D5B" w:rsidRPr="00392E88" w:rsidRDefault="00044D5B">
            <w:pPr>
              <w:spacing w:before="0" w:after="0"/>
              <w:jc w:val="center"/>
              <w:rPr>
                <w:color w:val="000000"/>
                <w:sz w:val="14"/>
                <w:szCs w:val="14"/>
              </w:rPr>
            </w:pPr>
            <w:r w:rsidRPr="00392E88">
              <w:rPr>
                <w:color w:val="000000"/>
                <w:sz w:val="14"/>
              </w:rPr>
              <w:t>(1b)</w:t>
            </w:r>
          </w:p>
        </w:tc>
        <w:tc>
          <w:tcPr>
            <w:tcW w:w="496" w:type="pct"/>
            <w:gridSpan w:val="4"/>
            <w:tcBorders>
              <w:top w:val="nil"/>
              <w:left w:val="nil"/>
              <w:bottom w:val="single" w:sz="8" w:space="0" w:color="auto"/>
              <w:right w:val="single" w:sz="8" w:space="0" w:color="auto"/>
            </w:tcBorders>
            <w:vAlign w:val="center"/>
            <w:hideMark/>
          </w:tcPr>
          <w:p w14:paraId="72AABCD4" w14:textId="77777777" w:rsidR="00044D5B" w:rsidRPr="00392E88" w:rsidRDefault="00044D5B">
            <w:pPr>
              <w:spacing w:before="0" w:after="0"/>
              <w:jc w:val="right"/>
              <w:rPr>
                <w:color w:val="000000"/>
                <w:sz w:val="20"/>
                <w:szCs w:val="20"/>
              </w:rPr>
            </w:pPr>
            <w:r w:rsidRPr="00392E88">
              <w:rPr>
                <w:color w:val="000000"/>
                <w:sz w:val="20"/>
              </w:rPr>
              <w:t xml:space="preserve"> </w:t>
            </w:r>
          </w:p>
        </w:tc>
        <w:tc>
          <w:tcPr>
            <w:tcW w:w="496" w:type="pct"/>
            <w:gridSpan w:val="4"/>
            <w:tcBorders>
              <w:top w:val="nil"/>
              <w:left w:val="nil"/>
              <w:bottom w:val="single" w:sz="8" w:space="0" w:color="auto"/>
              <w:right w:val="single" w:sz="8" w:space="0" w:color="auto"/>
            </w:tcBorders>
            <w:vAlign w:val="center"/>
            <w:hideMark/>
          </w:tcPr>
          <w:p w14:paraId="1B1B0B3A" w14:textId="77777777" w:rsidR="00044D5B" w:rsidRPr="00392E88" w:rsidRDefault="00044D5B">
            <w:pPr>
              <w:spacing w:before="0" w:after="0"/>
              <w:jc w:val="right"/>
              <w:rPr>
                <w:color w:val="000000"/>
                <w:sz w:val="20"/>
                <w:szCs w:val="20"/>
              </w:rPr>
            </w:pPr>
            <w:r w:rsidRPr="00392E88">
              <w:rPr>
                <w:color w:val="000000"/>
                <w:sz w:val="20"/>
              </w:rPr>
              <w:t xml:space="preserve"> </w:t>
            </w:r>
          </w:p>
        </w:tc>
        <w:tc>
          <w:tcPr>
            <w:tcW w:w="496" w:type="pct"/>
            <w:gridSpan w:val="3"/>
            <w:tcBorders>
              <w:top w:val="nil"/>
              <w:left w:val="nil"/>
              <w:bottom w:val="single" w:sz="8" w:space="0" w:color="auto"/>
              <w:right w:val="single" w:sz="8" w:space="0" w:color="auto"/>
            </w:tcBorders>
            <w:vAlign w:val="center"/>
            <w:hideMark/>
          </w:tcPr>
          <w:p w14:paraId="778A6D6F" w14:textId="77777777" w:rsidR="00044D5B" w:rsidRPr="00392E88" w:rsidRDefault="00044D5B">
            <w:pPr>
              <w:spacing w:before="0" w:after="0"/>
              <w:jc w:val="right"/>
              <w:rPr>
                <w:color w:val="000000"/>
                <w:sz w:val="20"/>
                <w:szCs w:val="20"/>
              </w:rPr>
            </w:pPr>
            <w:r w:rsidRPr="00392E88">
              <w:rPr>
                <w:color w:val="000000"/>
                <w:sz w:val="20"/>
              </w:rPr>
              <w:t xml:space="preserve"> </w:t>
            </w:r>
          </w:p>
        </w:tc>
        <w:tc>
          <w:tcPr>
            <w:tcW w:w="478" w:type="pct"/>
            <w:tcBorders>
              <w:top w:val="nil"/>
              <w:left w:val="nil"/>
              <w:bottom w:val="single" w:sz="8" w:space="0" w:color="auto"/>
              <w:right w:val="single" w:sz="8" w:space="0" w:color="auto"/>
            </w:tcBorders>
            <w:vAlign w:val="center"/>
            <w:hideMark/>
          </w:tcPr>
          <w:p w14:paraId="14953277" w14:textId="77777777" w:rsidR="00044D5B" w:rsidRPr="00392E88" w:rsidRDefault="00044D5B">
            <w:pPr>
              <w:spacing w:before="0" w:after="0"/>
              <w:jc w:val="right"/>
              <w:rPr>
                <w:color w:val="000000"/>
                <w:sz w:val="20"/>
                <w:szCs w:val="20"/>
              </w:rPr>
            </w:pPr>
            <w:r w:rsidRPr="00392E88">
              <w:rPr>
                <w:color w:val="000000"/>
                <w:sz w:val="20"/>
              </w:rPr>
              <w:t xml:space="preserve"> </w:t>
            </w:r>
          </w:p>
        </w:tc>
        <w:tc>
          <w:tcPr>
            <w:tcW w:w="590" w:type="pct"/>
            <w:tcBorders>
              <w:top w:val="nil"/>
              <w:left w:val="nil"/>
              <w:bottom w:val="single" w:sz="8" w:space="0" w:color="auto"/>
              <w:right w:val="single" w:sz="8" w:space="0" w:color="auto"/>
            </w:tcBorders>
            <w:shd w:val="clear" w:color="000000" w:fill="D9D9D9"/>
            <w:vAlign w:val="center"/>
            <w:hideMark/>
          </w:tcPr>
          <w:p w14:paraId="3ABDAB84" w14:textId="77777777" w:rsidR="00044D5B" w:rsidRPr="00392E88" w:rsidRDefault="00044D5B">
            <w:pPr>
              <w:spacing w:before="0" w:after="0"/>
              <w:jc w:val="right"/>
              <w:rPr>
                <w:b/>
                <w:bCs/>
                <w:color w:val="000000"/>
                <w:sz w:val="20"/>
                <w:szCs w:val="20"/>
              </w:rPr>
            </w:pPr>
            <w:r w:rsidRPr="00392E88">
              <w:rPr>
                <w:b/>
                <w:color w:val="000000"/>
                <w:sz w:val="20"/>
              </w:rPr>
              <w:t>0,000</w:t>
            </w:r>
          </w:p>
        </w:tc>
      </w:tr>
      <w:tr w:rsidR="00E62D64" w:rsidRPr="00392E88" w14:paraId="504A057C" w14:textId="77777777">
        <w:trPr>
          <w:trHeight w:val="315"/>
        </w:trPr>
        <w:tc>
          <w:tcPr>
            <w:tcW w:w="1419" w:type="pct"/>
            <w:gridSpan w:val="5"/>
            <w:vMerge/>
            <w:tcBorders>
              <w:top w:val="nil"/>
              <w:left w:val="single" w:sz="8" w:space="0" w:color="auto"/>
              <w:bottom w:val="single" w:sz="8" w:space="0" w:color="auto"/>
              <w:right w:val="single" w:sz="8" w:space="0" w:color="auto"/>
            </w:tcBorders>
            <w:vAlign w:val="center"/>
            <w:hideMark/>
          </w:tcPr>
          <w:p w14:paraId="0558C87D" w14:textId="77777777" w:rsidR="00044D5B" w:rsidRPr="00392E88" w:rsidRDefault="00044D5B">
            <w:pPr>
              <w:spacing w:before="0" w:after="0"/>
              <w:jc w:val="left"/>
              <w:rPr>
                <w:color w:val="000000"/>
                <w:sz w:val="20"/>
                <w:szCs w:val="20"/>
                <w:lang w:eastAsia="en-IE"/>
              </w:rPr>
            </w:pPr>
          </w:p>
        </w:tc>
        <w:tc>
          <w:tcPr>
            <w:tcW w:w="529" w:type="pct"/>
            <w:gridSpan w:val="4"/>
            <w:tcBorders>
              <w:top w:val="nil"/>
              <w:left w:val="nil"/>
              <w:bottom w:val="single" w:sz="8" w:space="0" w:color="auto"/>
              <w:right w:val="single" w:sz="8" w:space="0" w:color="auto"/>
            </w:tcBorders>
            <w:vAlign w:val="center"/>
            <w:hideMark/>
          </w:tcPr>
          <w:p w14:paraId="3A100DAC" w14:textId="77777777" w:rsidR="00044D5B" w:rsidRPr="00392E88" w:rsidRDefault="00044D5B">
            <w:pPr>
              <w:spacing w:before="0" w:after="0"/>
              <w:rPr>
                <w:color w:val="000000"/>
                <w:sz w:val="18"/>
                <w:szCs w:val="18"/>
              </w:rPr>
            </w:pPr>
            <w:r w:rsidRPr="00392E88">
              <w:rPr>
                <w:color w:val="000000"/>
                <w:sz w:val="18"/>
              </w:rPr>
              <w:t>Środki na płatności</w:t>
            </w:r>
          </w:p>
        </w:tc>
        <w:tc>
          <w:tcPr>
            <w:tcW w:w="496" w:type="pct"/>
            <w:gridSpan w:val="4"/>
            <w:tcBorders>
              <w:top w:val="single" w:sz="8" w:space="0" w:color="auto"/>
              <w:left w:val="nil"/>
              <w:bottom w:val="single" w:sz="8" w:space="0" w:color="auto"/>
              <w:right w:val="single" w:sz="8" w:space="0" w:color="auto"/>
            </w:tcBorders>
            <w:vAlign w:val="center"/>
            <w:hideMark/>
          </w:tcPr>
          <w:p w14:paraId="14E9440C" w14:textId="77777777" w:rsidR="00044D5B" w:rsidRPr="00392E88" w:rsidRDefault="00044D5B">
            <w:pPr>
              <w:spacing w:before="0" w:after="0"/>
              <w:jc w:val="center"/>
              <w:rPr>
                <w:color w:val="000000"/>
                <w:sz w:val="14"/>
                <w:szCs w:val="14"/>
              </w:rPr>
            </w:pPr>
            <w:r w:rsidRPr="00392E88">
              <w:rPr>
                <w:color w:val="000000"/>
                <w:sz w:val="14"/>
              </w:rPr>
              <w:t>(2b)</w:t>
            </w:r>
          </w:p>
        </w:tc>
        <w:tc>
          <w:tcPr>
            <w:tcW w:w="496" w:type="pct"/>
            <w:gridSpan w:val="4"/>
            <w:tcBorders>
              <w:top w:val="nil"/>
              <w:left w:val="nil"/>
              <w:bottom w:val="single" w:sz="8" w:space="0" w:color="auto"/>
              <w:right w:val="single" w:sz="8" w:space="0" w:color="auto"/>
            </w:tcBorders>
            <w:vAlign w:val="center"/>
            <w:hideMark/>
          </w:tcPr>
          <w:p w14:paraId="53E43B8D" w14:textId="77777777" w:rsidR="00044D5B" w:rsidRPr="00392E88" w:rsidRDefault="00044D5B">
            <w:pPr>
              <w:spacing w:before="0" w:after="0"/>
              <w:jc w:val="right"/>
              <w:rPr>
                <w:color w:val="000000"/>
                <w:sz w:val="20"/>
                <w:szCs w:val="20"/>
              </w:rPr>
            </w:pPr>
            <w:r w:rsidRPr="00392E88">
              <w:rPr>
                <w:color w:val="000000"/>
                <w:sz w:val="20"/>
              </w:rPr>
              <w:t xml:space="preserve"> </w:t>
            </w:r>
          </w:p>
        </w:tc>
        <w:tc>
          <w:tcPr>
            <w:tcW w:w="496" w:type="pct"/>
            <w:gridSpan w:val="4"/>
            <w:tcBorders>
              <w:top w:val="nil"/>
              <w:left w:val="nil"/>
              <w:bottom w:val="single" w:sz="8" w:space="0" w:color="auto"/>
              <w:right w:val="single" w:sz="8" w:space="0" w:color="auto"/>
            </w:tcBorders>
            <w:vAlign w:val="center"/>
            <w:hideMark/>
          </w:tcPr>
          <w:p w14:paraId="75CD7D17" w14:textId="77777777" w:rsidR="00044D5B" w:rsidRPr="00392E88" w:rsidRDefault="00044D5B">
            <w:pPr>
              <w:spacing w:before="0" w:after="0"/>
              <w:jc w:val="right"/>
              <w:rPr>
                <w:color w:val="000000"/>
                <w:sz w:val="20"/>
                <w:szCs w:val="20"/>
              </w:rPr>
            </w:pPr>
            <w:r w:rsidRPr="00392E88">
              <w:rPr>
                <w:color w:val="000000"/>
                <w:sz w:val="20"/>
              </w:rPr>
              <w:t xml:space="preserve"> </w:t>
            </w:r>
          </w:p>
        </w:tc>
        <w:tc>
          <w:tcPr>
            <w:tcW w:w="496" w:type="pct"/>
            <w:gridSpan w:val="3"/>
            <w:tcBorders>
              <w:top w:val="nil"/>
              <w:left w:val="nil"/>
              <w:bottom w:val="single" w:sz="8" w:space="0" w:color="auto"/>
              <w:right w:val="single" w:sz="8" w:space="0" w:color="auto"/>
            </w:tcBorders>
            <w:vAlign w:val="center"/>
            <w:hideMark/>
          </w:tcPr>
          <w:p w14:paraId="6744D8A2" w14:textId="77777777" w:rsidR="00044D5B" w:rsidRPr="00392E88" w:rsidRDefault="00044D5B">
            <w:pPr>
              <w:spacing w:before="0" w:after="0"/>
              <w:jc w:val="right"/>
              <w:rPr>
                <w:color w:val="000000"/>
                <w:sz w:val="20"/>
                <w:szCs w:val="20"/>
              </w:rPr>
            </w:pPr>
            <w:r w:rsidRPr="00392E88">
              <w:rPr>
                <w:color w:val="000000"/>
                <w:sz w:val="20"/>
              </w:rPr>
              <w:t xml:space="preserve"> </w:t>
            </w:r>
          </w:p>
        </w:tc>
        <w:tc>
          <w:tcPr>
            <w:tcW w:w="478" w:type="pct"/>
            <w:tcBorders>
              <w:top w:val="nil"/>
              <w:left w:val="nil"/>
              <w:bottom w:val="single" w:sz="8" w:space="0" w:color="auto"/>
              <w:right w:val="single" w:sz="8" w:space="0" w:color="auto"/>
            </w:tcBorders>
            <w:vAlign w:val="center"/>
            <w:hideMark/>
          </w:tcPr>
          <w:p w14:paraId="5737B3AA" w14:textId="77777777" w:rsidR="00044D5B" w:rsidRPr="00392E88" w:rsidRDefault="00044D5B">
            <w:pPr>
              <w:spacing w:before="0" w:after="0"/>
              <w:jc w:val="right"/>
              <w:rPr>
                <w:color w:val="000000"/>
                <w:sz w:val="20"/>
                <w:szCs w:val="20"/>
              </w:rPr>
            </w:pPr>
            <w:r w:rsidRPr="00392E88">
              <w:rPr>
                <w:color w:val="000000"/>
                <w:sz w:val="20"/>
              </w:rPr>
              <w:t xml:space="preserve"> </w:t>
            </w:r>
          </w:p>
        </w:tc>
        <w:tc>
          <w:tcPr>
            <w:tcW w:w="590" w:type="pct"/>
            <w:tcBorders>
              <w:top w:val="nil"/>
              <w:left w:val="nil"/>
              <w:bottom w:val="single" w:sz="8" w:space="0" w:color="auto"/>
              <w:right w:val="single" w:sz="8" w:space="0" w:color="auto"/>
            </w:tcBorders>
            <w:shd w:val="clear" w:color="000000" w:fill="D9D9D9"/>
            <w:vAlign w:val="center"/>
            <w:hideMark/>
          </w:tcPr>
          <w:p w14:paraId="0EF4616B" w14:textId="77777777" w:rsidR="00044D5B" w:rsidRPr="00392E88" w:rsidRDefault="00044D5B">
            <w:pPr>
              <w:spacing w:before="0" w:after="0"/>
              <w:jc w:val="right"/>
              <w:rPr>
                <w:b/>
                <w:bCs/>
                <w:color w:val="000000"/>
                <w:sz w:val="20"/>
                <w:szCs w:val="20"/>
              </w:rPr>
            </w:pPr>
            <w:r w:rsidRPr="00392E88">
              <w:rPr>
                <w:b/>
                <w:color w:val="000000"/>
                <w:sz w:val="20"/>
              </w:rPr>
              <w:t>0,000</w:t>
            </w:r>
          </w:p>
        </w:tc>
      </w:tr>
      <w:tr w:rsidR="0014428F" w:rsidRPr="00392E88" w14:paraId="0BF60B0B" w14:textId="77777777">
        <w:trPr>
          <w:trHeight w:val="288"/>
        </w:trPr>
        <w:tc>
          <w:tcPr>
            <w:tcW w:w="5000" w:type="pct"/>
            <w:gridSpan w:val="26"/>
            <w:tcBorders>
              <w:top w:val="single" w:sz="8" w:space="0" w:color="auto"/>
              <w:left w:val="single" w:sz="8" w:space="0" w:color="auto"/>
              <w:bottom w:val="single" w:sz="8" w:space="0" w:color="auto"/>
              <w:right w:val="single" w:sz="8" w:space="0" w:color="auto"/>
            </w:tcBorders>
            <w:noWrap/>
            <w:vAlign w:val="bottom"/>
            <w:hideMark/>
          </w:tcPr>
          <w:p w14:paraId="42C1480E" w14:textId="77777777" w:rsidR="00044D5B" w:rsidRPr="00392E88" w:rsidRDefault="00044D5B">
            <w:pPr>
              <w:spacing w:before="0" w:after="0"/>
              <w:jc w:val="left"/>
              <w:rPr>
                <w:color w:val="000000"/>
                <w:sz w:val="22"/>
              </w:rPr>
            </w:pPr>
            <w:r w:rsidRPr="00392E88">
              <w:rPr>
                <w:color w:val="000000"/>
                <w:sz w:val="22"/>
              </w:rPr>
              <w:t>Środki administracyjne finansowane ze środków przydzielonych na określone programy</w:t>
            </w:r>
            <w:r w:rsidRPr="00392E88">
              <w:t xml:space="preserve"> </w:t>
            </w:r>
          </w:p>
        </w:tc>
      </w:tr>
      <w:tr w:rsidR="00E62D64" w:rsidRPr="00392E88" w14:paraId="1090EDF9" w14:textId="77777777">
        <w:trPr>
          <w:trHeight w:val="288"/>
        </w:trPr>
        <w:tc>
          <w:tcPr>
            <w:tcW w:w="1419" w:type="pct"/>
            <w:gridSpan w:val="5"/>
            <w:tcBorders>
              <w:top w:val="nil"/>
              <w:left w:val="single" w:sz="8" w:space="0" w:color="auto"/>
              <w:bottom w:val="single" w:sz="8" w:space="0" w:color="auto"/>
              <w:right w:val="single" w:sz="8" w:space="0" w:color="auto"/>
            </w:tcBorders>
            <w:vAlign w:val="center"/>
            <w:hideMark/>
          </w:tcPr>
          <w:p w14:paraId="7912632F" w14:textId="77777777" w:rsidR="00044D5B" w:rsidRPr="00392E88" w:rsidRDefault="00044D5B">
            <w:pPr>
              <w:spacing w:before="0" w:after="0"/>
              <w:rPr>
                <w:color w:val="000000"/>
                <w:sz w:val="20"/>
                <w:szCs w:val="20"/>
              </w:rPr>
            </w:pPr>
            <w:r w:rsidRPr="00392E88">
              <w:rPr>
                <w:color w:val="000000"/>
                <w:sz w:val="20"/>
              </w:rPr>
              <w:t>Linia budżetowa</w:t>
            </w:r>
          </w:p>
        </w:tc>
        <w:tc>
          <w:tcPr>
            <w:tcW w:w="529" w:type="pct"/>
            <w:gridSpan w:val="4"/>
            <w:tcBorders>
              <w:top w:val="nil"/>
              <w:left w:val="nil"/>
              <w:bottom w:val="single" w:sz="8" w:space="0" w:color="auto"/>
              <w:right w:val="single" w:sz="8" w:space="0" w:color="auto"/>
            </w:tcBorders>
            <w:vAlign w:val="center"/>
            <w:hideMark/>
          </w:tcPr>
          <w:p w14:paraId="5173F922" w14:textId="77777777" w:rsidR="00044D5B" w:rsidRPr="00392E88" w:rsidRDefault="00044D5B">
            <w:pPr>
              <w:spacing w:before="0" w:after="0"/>
              <w:jc w:val="right"/>
              <w:rPr>
                <w:color w:val="000000"/>
                <w:sz w:val="18"/>
                <w:szCs w:val="18"/>
              </w:rPr>
            </w:pPr>
            <w:r w:rsidRPr="00392E88">
              <w:rPr>
                <w:color w:val="000000"/>
                <w:sz w:val="18"/>
              </w:rPr>
              <w:t xml:space="preserve"> </w:t>
            </w:r>
          </w:p>
        </w:tc>
        <w:tc>
          <w:tcPr>
            <w:tcW w:w="496" w:type="pct"/>
            <w:gridSpan w:val="4"/>
            <w:tcBorders>
              <w:top w:val="single" w:sz="8" w:space="0" w:color="auto"/>
              <w:left w:val="nil"/>
              <w:bottom w:val="single" w:sz="8" w:space="0" w:color="auto"/>
              <w:right w:val="single" w:sz="8" w:space="0" w:color="auto"/>
            </w:tcBorders>
            <w:vAlign w:val="center"/>
            <w:hideMark/>
          </w:tcPr>
          <w:p w14:paraId="69297F51" w14:textId="77777777" w:rsidR="00044D5B" w:rsidRPr="00392E88" w:rsidRDefault="00044D5B">
            <w:pPr>
              <w:spacing w:before="0" w:after="0"/>
              <w:jc w:val="center"/>
              <w:rPr>
                <w:color w:val="000000"/>
                <w:sz w:val="14"/>
                <w:szCs w:val="14"/>
              </w:rPr>
            </w:pPr>
            <w:r w:rsidRPr="00392E88">
              <w:rPr>
                <w:color w:val="000000"/>
                <w:sz w:val="14"/>
              </w:rPr>
              <w:t>(3)</w:t>
            </w:r>
          </w:p>
        </w:tc>
        <w:tc>
          <w:tcPr>
            <w:tcW w:w="496" w:type="pct"/>
            <w:gridSpan w:val="4"/>
            <w:tcBorders>
              <w:top w:val="nil"/>
              <w:left w:val="nil"/>
              <w:bottom w:val="single" w:sz="8" w:space="0" w:color="auto"/>
              <w:right w:val="single" w:sz="8" w:space="0" w:color="auto"/>
            </w:tcBorders>
            <w:vAlign w:val="center"/>
            <w:hideMark/>
          </w:tcPr>
          <w:p w14:paraId="78062AD4" w14:textId="77777777" w:rsidR="00044D5B" w:rsidRPr="00392E88" w:rsidRDefault="00044D5B">
            <w:pPr>
              <w:spacing w:before="0" w:after="0"/>
              <w:jc w:val="right"/>
              <w:rPr>
                <w:b/>
                <w:bCs/>
                <w:color w:val="000000"/>
                <w:sz w:val="20"/>
                <w:szCs w:val="20"/>
              </w:rPr>
            </w:pPr>
            <w:r w:rsidRPr="00392E88">
              <w:rPr>
                <w:b/>
                <w:color w:val="000000"/>
                <w:sz w:val="20"/>
              </w:rPr>
              <w:t xml:space="preserve"> </w:t>
            </w:r>
          </w:p>
        </w:tc>
        <w:tc>
          <w:tcPr>
            <w:tcW w:w="496" w:type="pct"/>
            <w:gridSpan w:val="4"/>
            <w:tcBorders>
              <w:top w:val="nil"/>
              <w:left w:val="nil"/>
              <w:bottom w:val="single" w:sz="8" w:space="0" w:color="auto"/>
              <w:right w:val="single" w:sz="8" w:space="0" w:color="auto"/>
            </w:tcBorders>
            <w:vAlign w:val="center"/>
            <w:hideMark/>
          </w:tcPr>
          <w:p w14:paraId="1FA5F024" w14:textId="77777777" w:rsidR="00044D5B" w:rsidRPr="00392E88" w:rsidRDefault="00044D5B">
            <w:pPr>
              <w:spacing w:before="0" w:after="0"/>
              <w:jc w:val="right"/>
              <w:rPr>
                <w:b/>
                <w:bCs/>
                <w:color w:val="000000"/>
                <w:sz w:val="20"/>
                <w:szCs w:val="20"/>
              </w:rPr>
            </w:pPr>
            <w:r w:rsidRPr="00392E88">
              <w:rPr>
                <w:b/>
                <w:color w:val="000000"/>
                <w:sz w:val="20"/>
              </w:rPr>
              <w:t xml:space="preserve"> </w:t>
            </w:r>
          </w:p>
        </w:tc>
        <w:tc>
          <w:tcPr>
            <w:tcW w:w="496" w:type="pct"/>
            <w:gridSpan w:val="3"/>
            <w:tcBorders>
              <w:top w:val="nil"/>
              <w:left w:val="nil"/>
              <w:bottom w:val="single" w:sz="8" w:space="0" w:color="auto"/>
              <w:right w:val="single" w:sz="8" w:space="0" w:color="auto"/>
            </w:tcBorders>
            <w:vAlign w:val="center"/>
            <w:hideMark/>
          </w:tcPr>
          <w:p w14:paraId="3BFA68EC" w14:textId="77777777" w:rsidR="00044D5B" w:rsidRPr="00392E88" w:rsidRDefault="00044D5B">
            <w:pPr>
              <w:spacing w:before="0" w:after="0"/>
              <w:jc w:val="right"/>
              <w:rPr>
                <w:b/>
                <w:bCs/>
                <w:color w:val="000000"/>
                <w:sz w:val="20"/>
                <w:szCs w:val="20"/>
              </w:rPr>
            </w:pPr>
            <w:r w:rsidRPr="00392E88">
              <w:rPr>
                <w:b/>
                <w:color w:val="000000"/>
                <w:sz w:val="20"/>
              </w:rPr>
              <w:t xml:space="preserve"> </w:t>
            </w:r>
          </w:p>
        </w:tc>
        <w:tc>
          <w:tcPr>
            <w:tcW w:w="478" w:type="pct"/>
            <w:tcBorders>
              <w:top w:val="nil"/>
              <w:left w:val="nil"/>
              <w:bottom w:val="single" w:sz="8" w:space="0" w:color="auto"/>
              <w:right w:val="single" w:sz="8" w:space="0" w:color="auto"/>
            </w:tcBorders>
            <w:vAlign w:val="center"/>
            <w:hideMark/>
          </w:tcPr>
          <w:p w14:paraId="10980964" w14:textId="77777777" w:rsidR="00044D5B" w:rsidRPr="00392E88" w:rsidRDefault="00044D5B">
            <w:pPr>
              <w:spacing w:before="0" w:after="0"/>
              <w:jc w:val="right"/>
              <w:rPr>
                <w:b/>
                <w:bCs/>
                <w:color w:val="000000"/>
                <w:sz w:val="20"/>
                <w:szCs w:val="20"/>
              </w:rPr>
            </w:pPr>
            <w:r w:rsidRPr="00392E88">
              <w:rPr>
                <w:b/>
                <w:color w:val="000000"/>
                <w:sz w:val="20"/>
              </w:rPr>
              <w:t xml:space="preserve"> </w:t>
            </w:r>
          </w:p>
        </w:tc>
        <w:tc>
          <w:tcPr>
            <w:tcW w:w="590" w:type="pct"/>
            <w:tcBorders>
              <w:top w:val="nil"/>
              <w:left w:val="nil"/>
              <w:bottom w:val="single" w:sz="8" w:space="0" w:color="auto"/>
              <w:right w:val="single" w:sz="8" w:space="0" w:color="auto"/>
            </w:tcBorders>
            <w:shd w:val="clear" w:color="000000" w:fill="D9D9D9"/>
            <w:vAlign w:val="center"/>
            <w:hideMark/>
          </w:tcPr>
          <w:p w14:paraId="33AD0B22" w14:textId="77777777" w:rsidR="00044D5B" w:rsidRPr="00392E88" w:rsidRDefault="00044D5B">
            <w:pPr>
              <w:spacing w:before="0" w:after="0"/>
              <w:jc w:val="right"/>
              <w:rPr>
                <w:b/>
                <w:bCs/>
                <w:color w:val="000000"/>
                <w:sz w:val="20"/>
                <w:szCs w:val="20"/>
              </w:rPr>
            </w:pPr>
            <w:r w:rsidRPr="00392E88">
              <w:rPr>
                <w:b/>
                <w:color w:val="000000"/>
                <w:sz w:val="20"/>
              </w:rPr>
              <w:t>0,000</w:t>
            </w:r>
          </w:p>
        </w:tc>
      </w:tr>
      <w:tr w:rsidR="00983E98" w:rsidRPr="00392E88" w14:paraId="637FC7AB" w14:textId="77777777">
        <w:trPr>
          <w:trHeight w:val="288"/>
        </w:trPr>
        <w:tc>
          <w:tcPr>
            <w:tcW w:w="1419" w:type="pct"/>
            <w:gridSpan w:val="5"/>
            <w:vMerge w:val="restart"/>
            <w:tcBorders>
              <w:top w:val="nil"/>
              <w:left w:val="single" w:sz="8" w:space="0" w:color="auto"/>
              <w:right w:val="single" w:sz="8" w:space="0" w:color="auto"/>
            </w:tcBorders>
            <w:vAlign w:val="center"/>
            <w:hideMark/>
          </w:tcPr>
          <w:p w14:paraId="23061C09" w14:textId="77777777" w:rsidR="00044D5B" w:rsidRPr="00392E88" w:rsidRDefault="00044D5B">
            <w:pPr>
              <w:spacing w:before="0" w:after="0"/>
              <w:jc w:val="center"/>
              <w:rPr>
                <w:b/>
                <w:bCs/>
                <w:color w:val="000000"/>
                <w:sz w:val="22"/>
              </w:rPr>
            </w:pPr>
            <w:r w:rsidRPr="00392E88">
              <w:rPr>
                <w:b/>
                <w:color w:val="000000"/>
                <w:sz w:val="22"/>
              </w:rPr>
              <w:t>OGÓŁEM środki</w:t>
            </w:r>
          </w:p>
          <w:p w14:paraId="3C6E500C" w14:textId="77777777" w:rsidR="00044D5B" w:rsidRPr="00392E88" w:rsidRDefault="00044D5B">
            <w:pPr>
              <w:spacing w:before="0" w:after="0"/>
              <w:jc w:val="center"/>
              <w:rPr>
                <w:b/>
                <w:bCs/>
                <w:color w:val="000000"/>
                <w:sz w:val="22"/>
              </w:rPr>
            </w:pPr>
            <w:r w:rsidRPr="00392E88">
              <w:rPr>
                <w:b/>
                <w:color w:val="000000"/>
                <w:sz w:val="22"/>
              </w:rPr>
              <w:t xml:space="preserve">dla Dyrekcji Generalnej </w:t>
            </w:r>
            <w:r w:rsidRPr="00392E88">
              <w:rPr>
                <w:color w:val="000000"/>
                <w:sz w:val="22"/>
              </w:rPr>
              <w:t>&lt;…….&gt;</w:t>
            </w:r>
          </w:p>
        </w:tc>
        <w:tc>
          <w:tcPr>
            <w:tcW w:w="529" w:type="pct"/>
            <w:gridSpan w:val="4"/>
            <w:tcBorders>
              <w:top w:val="nil"/>
              <w:left w:val="nil"/>
              <w:bottom w:val="single" w:sz="8" w:space="0" w:color="auto"/>
              <w:right w:val="single" w:sz="8" w:space="0" w:color="auto"/>
            </w:tcBorders>
            <w:vAlign w:val="center"/>
            <w:hideMark/>
          </w:tcPr>
          <w:p w14:paraId="6F01C0D6" w14:textId="77777777" w:rsidR="00044D5B" w:rsidRPr="00392E88" w:rsidRDefault="00044D5B">
            <w:pPr>
              <w:spacing w:before="0" w:after="0"/>
              <w:rPr>
                <w:color w:val="000000"/>
                <w:sz w:val="18"/>
                <w:szCs w:val="18"/>
              </w:rPr>
            </w:pPr>
            <w:r w:rsidRPr="00392E88">
              <w:rPr>
                <w:color w:val="000000"/>
                <w:sz w:val="18"/>
              </w:rPr>
              <w:t>Środki na zobowiązania</w:t>
            </w:r>
          </w:p>
        </w:tc>
        <w:tc>
          <w:tcPr>
            <w:tcW w:w="496" w:type="pct"/>
            <w:gridSpan w:val="4"/>
            <w:tcBorders>
              <w:top w:val="single" w:sz="8" w:space="0" w:color="auto"/>
              <w:left w:val="nil"/>
              <w:bottom w:val="single" w:sz="8" w:space="0" w:color="auto"/>
              <w:right w:val="single" w:sz="8" w:space="0" w:color="auto"/>
            </w:tcBorders>
            <w:vAlign w:val="center"/>
            <w:hideMark/>
          </w:tcPr>
          <w:p w14:paraId="314FC1D6" w14:textId="77777777" w:rsidR="00044D5B" w:rsidRPr="00392E88" w:rsidRDefault="00044D5B">
            <w:pPr>
              <w:spacing w:before="0" w:after="0"/>
              <w:jc w:val="center"/>
              <w:rPr>
                <w:color w:val="000000"/>
                <w:sz w:val="14"/>
                <w:szCs w:val="14"/>
              </w:rPr>
            </w:pPr>
            <w:r w:rsidRPr="00392E88">
              <w:rPr>
                <w:color w:val="000000"/>
                <w:sz w:val="14"/>
              </w:rPr>
              <w:t>=1a+1b+3</w:t>
            </w:r>
          </w:p>
        </w:tc>
        <w:tc>
          <w:tcPr>
            <w:tcW w:w="496" w:type="pct"/>
            <w:gridSpan w:val="4"/>
            <w:tcBorders>
              <w:top w:val="nil"/>
              <w:left w:val="nil"/>
              <w:bottom w:val="single" w:sz="8" w:space="0" w:color="auto"/>
              <w:right w:val="single" w:sz="8" w:space="0" w:color="auto"/>
            </w:tcBorders>
            <w:shd w:val="clear" w:color="000000" w:fill="D9D9D9"/>
            <w:vAlign w:val="center"/>
            <w:hideMark/>
          </w:tcPr>
          <w:p w14:paraId="5BCBFE64" w14:textId="77777777" w:rsidR="00044D5B" w:rsidRPr="00392E88" w:rsidRDefault="00044D5B">
            <w:pPr>
              <w:spacing w:before="0" w:after="0"/>
              <w:jc w:val="right"/>
              <w:rPr>
                <w:b/>
                <w:bCs/>
                <w:color w:val="000000"/>
                <w:sz w:val="20"/>
                <w:szCs w:val="20"/>
              </w:rPr>
            </w:pPr>
            <w:r w:rsidRPr="00392E88">
              <w:rPr>
                <w:b/>
                <w:color w:val="000000"/>
                <w:sz w:val="20"/>
              </w:rPr>
              <w:t>0,000</w:t>
            </w:r>
          </w:p>
        </w:tc>
        <w:tc>
          <w:tcPr>
            <w:tcW w:w="496" w:type="pct"/>
            <w:gridSpan w:val="4"/>
            <w:tcBorders>
              <w:top w:val="nil"/>
              <w:left w:val="nil"/>
              <w:bottom w:val="single" w:sz="8" w:space="0" w:color="auto"/>
              <w:right w:val="single" w:sz="8" w:space="0" w:color="auto"/>
            </w:tcBorders>
            <w:shd w:val="clear" w:color="000000" w:fill="D9D9D9"/>
            <w:vAlign w:val="center"/>
            <w:hideMark/>
          </w:tcPr>
          <w:p w14:paraId="3BEB1F64" w14:textId="77777777" w:rsidR="00044D5B" w:rsidRPr="00392E88" w:rsidRDefault="00044D5B">
            <w:pPr>
              <w:spacing w:before="0" w:after="0"/>
              <w:jc w:val="right"/>
              <w:rPr>
                <w:b/>
                <w:bCs/>
                <w:color w:val="000000"/>
                <w:sz w:val="20"/>
                <w:szCs w:val="20"/>
              </w:rPr>
            </w:pPr>
            <w:r w:rsidRPr="00392E88">
              <w:rPr>
                <w:b/>
                <w:color w:val="000000"/>
                <w:sz w:val="20"/>
              </w:rPr>
              <w:t>0,000</w:t>
            </w:r>
          </w:p>
        </w:tc>
        <w:tc>
          <w:tcPr>
            <w:tcW w:w="496" w:type="pct"/>
            <w:gridSpan w:val="3"/>
            <w:tcBorders>
              <w:top w:val="nil"/>
              <w:left w:val="nil"/>
              <w:bottom w:val="single" w:sz="8" w:space="0" w:color="auto"/>
              <w:right w:val="single" w:sz="8" w:space="0" w:color="auto"/>
            </w:tcBorders>
            <w:shd w:val="clear" w:color="000000" w:fill="D9D9D9"/>
            <w:vAlign w:val="center"/>
            <w:hideMark/>
          </w:tcPr>
          <w:p w14:paraId="462009BB" w14:textId="77777777" w:rsidR="00044D5B" w:rsidRPr="00392E88" w:rsidRDefault="00044D5B">
            <w:pPr>
              <w:spacing w:before="0" w:after="0"/>
              <w:jc w:val="right"/>
              <w:rPr>
                <w:b/>
                <w:bCs/>
                <w:color w:val="000000"/>
                <w:sz w:val="20"/>
                <w:szCs w:val="20"/>
              </w:rPr>
            </w:pPr>
            <w:r w:rsidRPr="00392E88">
              <w:rPr>
                <w:b/>
                <w:color w:val="000000"/>
                <w:sz w:val="20"/>
              </w:rPr>
              <w:t>0,000</w:t>
            </w:r>
          </w:p>
        </w:tc>
        <w:tc>
          <w:tcPr>
            <w:tcW w:w="478" w:type="pct"/>
            <w:tcBorders>
              <w:top w:val="nil"/>
              <w:left w:val="nil"/>
              <w:bottom w:val="single" w:sz="8" w:space="0" w:color="auto"/>
              <w:right w:val="single" w:sz="8" w:space="0" w:color="auto"/>
            </w:tcBorders>
            <w:shd w:val="clear" w:color="000000" w:fill="D9D9D9"/>
            <w:vAlign w:val="center"/>
            <w:hideMark/>
          </w:tcPr>
          <w:p w14:paraId="562232EF" w14:textId="77777777" w:rsidR="00044D5B" w:rsidRPr="00392E88" w:rsidRDefault="00044D5B">
            <w:pPr>
              <w:spacing w:before="0" w:after="0"/>
              <w:jc w:val="right"/>
              <w:rPr>
                <w:b/>
                <w:bCs/>
                <w:color w:val="000000"/>
                <w:sz w:val="20"/>
                <w:szCs w:val="20"/>
              </w:rPr>
            </w:pPr>
            <w:r w:rsidRPr="00392E88">
              <w:rPr>
                <w:b/>
                <w:color w:val="000000"/>
                <w:sz w:val="20"/>
              </w:rPr>
              <w:t>0,000</w:t>
            </w:r>
          </w:p>
        </w:tc>
        <w:tc>
          <w:tcPr>
            <w:tcW w:w="590" w:type="pct"/>
            <w:tcBorders>
              <w:top w:val="nil"/>
              <w:left w:val="nil"/>
              <w:bottom w:val="single" w:sz="8" w:space="0" w:color="auto"/>
              <w:right w:val="single" w:sz="8" w:space="0" w:color="auto"/>
            </w:tcBorders>
            <w:shd w:val="clear" w:color="000000" w:fill="D9D9D9"/>
            <w:vAlign w:val="center"/>
            <w:hideMark/>
          </w:tcPr>
          <w:p w14:paraId="7908D928" w14:textId="77777777" w:rsidR="00044D5B" w:rsidRPr="00392E88" w:rsidRDefault="00044D5B">
            <w:pPr>
              <w:spacing w:before="0" w:after="0"/>
              <w:jc w:val="right"/>
              <w:rPr>
                <w:b/>
                <w:bCs/>
                <w:color w:val="000000"/>
                <w:sz w:val="20"/>
                <w:szCs w:val="20"/>
              </w:rPr>
            </w:pPr>
            <w:r w:rsidRPr="00392E88">
              <w:rPr>
                <w:b/>
                <w:color w:val="000000"/>
                <w:sz w:val="20"/>
              </w:rPr>
              <w:t>0,000</w:t>
            </w:r>
          </w:p>
        </w:tc>
      </w:tr>
      <w:tr w:rsidR="00983E98" w:rsidRPr="00392E88" w14:paraId="0ED28A88" w14:textId="77777777">
        <w:trPr>
          <w:trHeight w:val="288"/>
        </w:trPr>
        <w:tc>
          <w:tcPr>
            <w:tcW w:w="1419" w:type="pct"/>
            <w:gridSpan w:val="5"/>
            <w:vMerge/>
            <w:tcBorders>
              <w:left w:val="single" w:sz="8" w:space="0" w:color="auto"/>
              <w:bottom w:val="single" w:sz="8" w:space="0" w:color="auto"/>
              <w:right w:val="single" w:sz="8" w:space="0" w:color="auto"/>
            </w:tcBorders>
            <w:vAlign w:val="center"/>
            <w:hideMark/>
          </w:tcPr>
          <w:p w14:paraId="381BD9F1" w14:textId="77777777" w:rsidR="00044D5B" w:rsidRPr="00392E88" w:rsidRDefault="00044D5B">
            <w:pPr>
              <w:spacing w:before="0" w:after="0"/>
              <w:jc w:val="center"/>
              <w:rPr>
                <w:b/>
                <w:bCs/>
                <w:color w:val="000000"/>
                <w:sz w:val="22"/>
                <w:lang w:eastAsia="en-IE"/>
              </w:rPr>
            </w:pPr>
          </w:p>
        </w:tc>
        <w:tc>
          <w:tcPr>
            <w:tcW w:w="529" w:type="pct"/>
            <w:gridSpan w:val="4"/>
            <w:tcBorders>
              <w:top w:val="nil"/>
              <w:left w:val="nil"/>
              <w:bottom w:val="single" w:sz="8" w:space="0" w:color="auto"/>
              <w:right w:val="single" w:sz="8" w:space="0" w:color="auto"/>
            </w:tcBorders>
            <w:vAlign w:val="center"/>
            <w:hideMark/>
          </w:tcPr>
          <w:p w14:paraId="1F84BED5" w14:textId="77777777" w:rsidR="00044D5B" w:rsidRPr="00392E88" w:rsidRDefault="00044D5B">
            <w:pPr>
              <w:spacing w:before="0" w:after="0"/>
              <w:rPr>
                <w:color w:val="000000"/>
                <w:sz w:val="18"/>
                <w:szCs w:val="18"/>
              </w:rPr>
            </w:pPr>
            <w:r w:rsidRPr="00392E88">
              <w:rPr>
                <w:color w:val="000000"/>
                <w:sz w:val="18"/>
              </w:rPr>
              <w:t>Środki na płatności</w:t>
            </w:r>
          </w:p>
        </w:tc>
        <w:tc>
          <w:tcPr>
            <w:tcW w:w="496" w:type="pct"/>
            <w:gridSpan w:val="4"/>
            <w:tcBorders>
              <w:top w:val="single" w:sz="8" w:space="0" w:color="auto"/>
              <w:left w:val="nil"/>
              <w:bottom w:val="single" w:sz="8" w:space="0" w:color="auto"/>
              <w:right w:val="single" w:sz="8" w:space="0" w:color="auto"/>
            </w:tcBorders>
            <w:vAlign w:val="center"/>
            <w:hideMark/>
          </w:tcPr>
          <w:p w14:paraId="4299A168" w14:textId="77777777" w:rsidR="00044D5B" w:rsidRPr="00392E88" w:rsidRDefault="00044D5B">
            <w:pPr>
              <w:spacing w:before="0" w:after="0"/>
              <w:jc w:val="center"/>
              <w:rPr>
                <w:color w:val="000000"/>
                <w:sz w:val="14"/>
                <w:szCs w:val="14"/>
              </w:rPr>
            </w:pPr>
            <w:r w:rsidRPr="00392E88">
              <w:rPr>
                <w:color w:val="000000"/>
                <w:sz w:val="14"/>
              </w:rPr>
              <w:t>=2a+2b+3</w:t>
            </w:r>
          </w:p>
        </w:tc>
        <w:tc>
          <w:tcPr>
            <w:tcW w:w="496" w:type="pct"/>
            <w:gridSpan w:val="4"/>
            <w:tcBorders>
              <w:top w:val="nil"/>
              <w:left w:val="nil"/>
              <w:bottom w:val="single" w:sz="8" w:space="0" w:color="auto"/>
              <w:right w:val="single" w:sz="8" w:space="0" w:color="auto"/>
            </w:tcBorders>
            <w:shd w:val="clear" w:color="000000" w:fill="D9D9D9"/>
            <w:vAlign w:val="center"/>
            <w:hideMark/>
          </w:tcPr>
          <w:p w14:paraId="1AD1FD2F" w14:textId="77777777" w:rsidR="00044D5B" w:rsidRPr="00392E88" w:rsidRDefault="00044D5B">
            <w:pPr>
              <w:spacing w:before="0" w:after="0"/>
              <w:jc w:val="right"/>
              <w:rPr>
                <w:b/>
                <w:bCs/>
                <w:color w:val="000000"/>
                <w:sz w:val="20"/>
                <w:szCs w:val="20"/>
              </w:rPr>
            </w:pPr>
            <w:r w:rsidRPr="00392E88">
              <w:rPr>
                <w:b/>
                <w:color w:val="000000"/>
                <w:sz w:val="20"/>
              </w:rPr>
              <w:t>0,000</w:t>
            </w:r>
          </w:p>
        </w:tc>
        <w:tc>
          <w:tcPr>
            <w:tcW w:w="496" w:type="pct"/>
            <w:gridSpan w:val="4"/>
            <w:tcBorders>
              <w:top w:val="nil"/>
              <w:left w:val="nil"/>
              <w:bottom w:val="single" w:sz="8" w:space="0" w:color="auto"/>
              <w:right w:val="single" w:sz="8" w:space="0" w:color="auto"/>
            </w:tcBorders>
            <w:shd w:val="clear" w:color="000000" w:fill="D9D9D9"/>
            <w:vAlign w:val="center"/>
            <w:hideMark/>
          </w:tcPr>
          <w:p w14:paraId="04EAA4DB" w14:textId="77777777" w:rsidR="00044D5B" w:rsidRPr="00392E88" w:rsidRDefault="00044D5B">
            <w:pPr>
              <w:spacing w:before="0" w:after="0"/>
              <w:jc w:val="right"/>
              <w:rPr>
                <w:b/>
                <w:bCs/>
                <w:color w:val="000000"/>
                <w:sz w:val="20"/>
                <w:szCs w:val="20"/>
              </w:rPr>
            </w:pPr>
            <w:r w:rsidRPr="00392E88">
              <w:rPr>
                <w:b/>
                <w:color w:val="000000"/>
                <w:sz w:val="20"/>
              </w:rPr>
              <w:t>0,000</w:t>
            </w:r>
          </w:p>
        </w:tc>
        <w:tc>
          <w:tcPr>
            <w:tcW w:w="496" w:type="pct"/>
            <w:gridSpan w:val="3"/>
            <w:tcBorders>
              <w:top w:val="nil"/>
              <w:left w:val="nil"/>
              <w:bottom w:val="single" w:sz="8" w:space="0" w:color="auto"/>
              <w:right w:val="single" w:sz="8" w:space="0" w:color="auto"/>
            </w:tcBorders>
            <w:shd w:val="clear" w:color="000000" w:fill="D9D9D9"/>
            <w:vAlign w:val="center"/>
            <w:hideMark/>
          </w:tcPr>
          <w:p w14:paraId="38C3228D" w14:textId="77777777" w:rsidR="00044D5B" w:rsidRPr="00392E88" w:rsidRDefault="00044D5B">
            <w:pPr>
              <w:spacing w:before="0" w:after="0"/>
              <w:jc w:val="right"/>
              <w:rPr>
                <w:b/>
                <w:bCs/>
                <w:color w:val="000000"/>
                <w:sz w:val="20"/>
                <w:szCs w:val="20"/>
              </w:rPr>
            </w:pPr>
            <w:r w:rsidRPr="00392E88">
              <w:rPr>
                <w:b/>
                <w:color w:val="000000"/>
                <w:sz w:val="20"/>
              </w:rPr>
              <w:t>0,000</w:t>
            </w:r>
          </w:p>
        </w:tc>
        <w:tc>
          <w:tcPr>
            <w:tcW w:w="478" w:type="pct"/>
            <w:tcBorders>
              <w:top w:val="nil"/>
              <w:left w:val="nil"/>
              <w:bottom w:val="single" w:sz="8" w:space="0" w:color="auto"/>
              <w:right w:val="single" w:sz="8" w:space="0" w:color="auto"/>
            </w:tcBorders>
            <w:shd w:val="clear" w:color="000000" w:fill="D9D9D9"/>
            <w:vAlign w:val="center"/>
            <w:hideMark/>
          </w:tcPr>
          <w:p w14:paraId="31114F85" w14:textId="77777777" w:rsidR="00044D5B" w:rsidRPr="00392E88" w:rsidRDefault="00044D5B">
            <w:pPr>
              <w:spacing w:before="0" w:after="0"/>
              <w:jc w:val="right"/>
              <w:rPr>
                <w:b/>
                <w:bCs/>
                <w:color w:val="000000"/>
                <w:sz w:val="20"/>
                <w:szCs w:val="20"/>
              </w:rPr>
            </w:pPr>
            <w:r w:rsidRPr="00392E88">
              <w:rPr>
                <w:b/>
                <w:color w:val="000000"/>
                <w:sz w:val="20"/>
              </w:rPr>
              <w:t>0,000</w:t>
            </w:r>
          </w:p>
        </w:tc>
        <w:tc>
          <w:tcPr>
            <w:tcW w:w="590" w:type="pct"/>
            <w:tcBorders>
              <w:top w:val="nil"/>
              <w:left w:val="nil"/>
              <w:bottom w:val="single" w:sz="8" w:space="0" w:color="auto"/>
              <w:right w:val="single" w:sz="8" w:space="0" w:color="auto"/>
            </w:tcBorders>
            <w:shd w:val="clear" w:color="000000" w:fill="D9D9D9"/>
            <w:vAlign w:val="center"/>
            <w:hideMark/>
          </w:tcPr>
          <w:p w14:paraId="0024620F" w14:textId="77777777" w:rsidR="00044D5B" w:rsidRPr="00392E88" w:rsidRDefault="00044D5B">
            <w:pPr>
              <w:spacing w:before="0" w:after="0"/>
              <w:jc w:val="right"/>
              <w:rPr>
                <w:b/>
                <w:bCs/>
                <w:color w:val="000000"/>
                <w:sz w:val="20"/>
                <w:szCs w:val="20"/>
              </w:rPr>
            </w:pPr>
            <w:r w:rsidRPr="00392E88">
              <w:rPr>
                <w:b/>
                <w:color w:val="000000"/>
                <w:sz w:val="20"/>
              </w:rPr>
              <w:t>0,000</w:t>
            </w:r>
          </w:p>
        </w:tc>
      </w:tr>
      <w:tr w:rsidR="00B55C7B" w:rsidRPr="00392E88" w14:paraId="137C9A97" w14:textId="77777777">
        <w:trPr>
          <w:trHeight w:val="300"/>
        </w:trPr>
        <w:tc>
          <w:tcPr>
            <w:tcW w:w="2432" w:type="pct"/>
            <w:gridSpan w:val="8"/>
            <w:vMerge w:val="restart"/>
            <w:tcBorders>
              <w:top w:val="single" w:sz="8" w:space="0" w:color="auto"/>
              <w:left w:val="single" w:sz="8" w:space="0" w:color="auto"/>
              <w:bottom w:val="single" w:sz="8" w:space="0" w:color="000000"/>
              <w:right w:val="single" w:sz="8" w:space="0" w:color="000000"/>
            </w:tcBorders>
            <w:vAlign w:val="center"/>
            <w:hideMark/>
          </w:tcPr>
          <w:p w14:paraId="6835FDD2" w14:textId="77777777" w:rsidR="00044D5B" w:rsidRPr="00392E88" w:rsidRDefault="00044D5B">
            <w:pPr>
              <w:spacing w:before="0" w:after="0"/>
              <w:jc w:val="center"/>
              <w:rPr>
                <w:b/>
                <w:bCs/>
                <w:color w:val="000000"/>
                <w:sz w:val="22"/>
              </w:rPr>
            </w:pPr>
            <w:r w:rsidRPr="00392E88">
              <w:rPr>
                <w:b/>
                <w:color w:val="000000"/>
                <w:sz w:val="22"/>
              </w:rPr>
              <w:t xml:space="preserve"> </w:t>
            </w:r>
          </w:p>
        </w:tc>
        <w:tc>
          <w:tcPr>
            <w:tcW w:w="493" w:type="pct"/>
            <w:gridSpan w:val="4"/>
            <w:tcBorders>
              <w:top w:val="single" w:sz="8" w:space="0" w:color="auto"/>
              <w:left w:val="nil"/>
              <w:bottom w:val="single" w:sz="8" w:space="0" w:color="auto"/>
              <w:right w:val="single" w:sz="8" w:space="0" w:color="auto"/>
            </w:tcBorders>
            <w:vAlign w:val="center"/>
            <w:hideMark/>
          </w:tcPr>
          <w:p w14:paraId="7A574CF5" w14:textId="77777777" w:rsidR="00044D5B" w:rsidRPr="00392E88" w:rsidRDefault="00044D5B">
            <w:pPr>
              <w:spacing w:before="0" w:after="0"/>
              <w:jc w:val="center"/>
              <w:rPr>
                <w:color w:val="000000"/>
                <w:sz w:val="20"/>
                <w:szCs w:val="20"/>
              </w:rPr>
            </w:pPr>
            <w:r w:rsidRPr="00392E88">
              <w:rPr>
                <w:color w:val="000000"/>
                <w:sz w:val="20"/>
              </w:rPr>
              <w:t>Rok</w:t>
            </w:r>
          </w:p>
        </w:tc>
        <w:tc>
          <w:tcPr>
            <w:tcW w:w="493" w:type="pct"/>
            <w:gridSpan w:val="4"/>
            <w:tcBorders>
              <w:top w:val="single" w:sz="8" w:space="0" w:color="auto"/>
              <w:left w:val="nil"/>
              <w:bottom w:val="single" w:sz="8" w:space="0" w:color="auto"/>
              <w:right w:val="single" w:sz="8" w:space="0" w:color="auto"/>
            </w:tcBorders>
            <w:vAlign w:val="center"/>
            <w:hideMark/>
          </w:tcPr>
          <w:p w14:paraId="023053E2" w14:textId="77777777" w:rsidR="00044D5B" w:rsidRPr="00392E88" w:rsidRDefault="00044D5B">
            <w:pPr>
              <w:spacing w:before="0" w:after="0"/>
              <w:jc w:val="center"/>
              <w:rPr>
                <w:color w:val="000000"/>
                <w:sz w:val="20"/>
                <w:szCs w:val="20"/>
              </w:rPr>
            </w:pPr>
            <w:r w:rsidRPr="00392E88">
              <w:rPr>
                <w:color w:val="000000"/>
                <w:sz w:val="20"/>
              </w:rPr>
              <w:t>Rok</w:t>
            </w:r>
          </w:p>
        </w:tc>
        <w:tc>
          <w:tcPr>
            <w:tcW w:w="493" w:type="pct"/>
            <w:gridSpan w:val="4"/>
            <w:tcBorders>
              <w:top w:val="single" w:sz="8" w:space="0" w:color="auto"/>
              <w:left w:val="nil"/>
              <w:bottom w:val="single" w:sz="8" w:space="0" w:color="auto"/>
              <w:right w:val="single" w:sz="8" w:space="0" w:color="auto"/>
            </w:tcBorders>
            <w:vAlign w:val="center"/>
            <w:hideMark/>
          </w:tcPr>
          <w:p w14:paraId="130EC8C4" w14:textId="77777777" w:rsidR="00044D5B" w:rsidRPr="00392E88" w:rsidRDefault="00044D5B">
            <w:pPr>
              <w:spacing w:before="0" w:after="0"/>
              <w:jc w:val="center"/>
              <w:rPr>
                <w:color w:val="000000"/>
                <w:sz w:val="20"/>
                <w:szCs w:val="20"/>
              </w:rPr>
            </w:pPr>
            <w:r w:rsidRPr="00392E88">
              <w:rPr>
                <w:color w:val="000000"/>
                <w:sz w:val="20"/>
              </w:rPr>
              <w:t>Rok</w:t>
            </w:r>
          </w:p>
        </w:tc>
        <w:tc>
          <w:tcPr>
            <w:tcW w:w="493" w:type="pct"/>
            <w:gridSpan w:val="4"/>
            <w:tcBorders>
              <w:top w:val="single" w:sz="8" w:space="0" w:color="auto"/>
              <w:left w:val="nil"/>
              <w:bottom w:val="single" w:sz="8" w:space="0" w:color="auto"/>
              <w:right w:val="single" w:sz="8" w:space="0" w:color="auto"/>
            </w:tcBorders>
            <w:vAlign w:val="center"/>
            <w:hideMark/>
          </w:tcPr>
          <w:p w14:paraId="3938BB82" w14:textId="77777777" w:rsidR="00044D5B" w:rsidRPr="00392E88" w:rsidRDefault="00044D5B">
            <w:pPr>
              <w:spacing w:before="0" w:after="0"/>
              <w:jc w:val="center"/>
              <w:rPr>
                <w:color w:val="000000"/>
                <w:sz w:val="20"/>
                <w:szCs w:val="20"/>
              </w:rPr>
            </w:pPr>
            <w:r w:rsidRPr="00392E88">
              <w:rPr>
                <w:color w:val="000000"/>
                <w:sz w:val="20"/>
              </w:rPr>
              <w:t>Rok</w:t>
            </w:r>
          </w:p>
        </w:tc>
        <w:tc>
          <w:tcPr>
            <w:tcW w:w="596" w:type="pct"/>
            <w:gridSpan w:val="2"/>
            <w:vMerge w:val="restart"/>
            <w:tcBorders>
              <w:top w:val="single" w:sz="8" w:space="0" w:color="auto"/>
              <w:left w:val="single" w:sz="8" w:space="0" w:color="auto"/>
              <w:bottom w:val="single" w:sz="8" w:space="0" w:color="auto"/>
              <w:right w:val="single" w:sz="8" w:space="0" w:color="auto"/>
            </w:tcBorders>
            <w:vAlign w:val="center"/>
            <w:hideMark/>
          </w:tcPr>
          <w:p w14:paraId="507E2C76" w14:textId="77777777" w:rsidR="00044D5B" w:rsidRPr="00392E88" w:rsidRDefault="00044D5B">
            <w:pPr>
              <w:spacing w:before="0" w:after="0"/>
              <w:jc w:val="center"/>
              <w:rPr>
                <w:b/>
                <w:bCs/>
                <w:color w:val="000000"/>
                <w:sz w:val="20"/>
                <w:szCs w:val="20"/>
              </w:rPr>
            </w:pPr>
            <w:r w:rsidRPr="00392E88">
              <w:rPr>
                <w:b/>
                <w:color w:val="000000"/>
                <w:sz w:val="20"/>
              </w:rPr>
              <w:t>OGÓŁEM WRF 2021–2027</w:t>
            </w:r>
          </w:p>
        </w:tc>
      </w:tr>
      <w:tr w:rsidR="00B55C7B" w:rsidRPr="00392E88" w14:paraId="557C28CC" w14:textId="77777777">
        <w:trPr>
          <w:trHeight w:val="300"/>
        </w:trPr>
        <w:tc>
          <w:tcPr>
            <w:tcW w:w="2432" w:type="pct"/>
            <w:gridSpan w:val="8"/>
            <w:vMerge/>
            <w:tcBorders>
              <w:top w:val="single" w:sz="8" w:space="0" w:color="auto"/>
              <w:left w:val="single" w:sz="8" w:space="0" w:color="auto"/>
              <w:bottom w:val="single" w:sz="8" w:space="0" w:color="000000"/>
              <w:right w:val="single" w:sz="8" w:space="0" w:color="000000"/>
            </w:tcBorders>
            <w:vAlign w:val="center"/>
            <w:hideMark/>
          </w:tcPr>
          <w:p w14:paraId="2E433FAA" w14:textId="77777777" w:rsidR="00044D5B" w:rsidRPr="00392E88" w:rsidRDefault="00044D5B">
            <w:pPr>
              <w:spacing w:before="0" w:after="0"/>
              <w:jc w:val="left"/>
              <w:rPr>
                <w:b/>
                <w:bCs/>
                <w:color w:val="000000"/>
                <w:sz w:val="22"/>
                <w:lang w:eastAsia="en-IE"/>
              </w:rPr>
            </w:pPr>
          </w:p>
        </w:tc>
        <w:tc>
          <w:tcPr>
            <w:tcW w:w="493" w:type="pct"/>
            <w:gridSpan w:val="4"/>
            <w:tcBorders>
              <w:top w:val="nil"/>
              <w:left w:val="nil"/>
              <w:bottom w:val="single" w:sz="8" w:space="0" w:color="auto"/>
              <w:right w:val="single" w:sz="8" w:space="0" w:color="auto"/>
            </w:tcBorders>
            <w:vAlign w:val="center"/>
            <w:hideMark/>
          </w:tcPr>
          <w:p w14:paraId="64EE280F" w14:textId="77777777" w:rsidR="00044D5B" w:rsidRPr="00392E88" w:rsidRDefault="00044D5B">
            <w:pPr>
              <w:spacing w:before="0" w:after="0"/>
              <w:jc w:val="center"/>
              <w:rPr>
                <w:b/>
                <w:bCs/>
                <w:color w:val="000000"/>
                <w:sz w:val="20"/>
                <w:szCs w:val="20"/>
              </w:rPr>
            </w:pPr>
            <w:r w:rsidRPr="00392E88">
              <w:rPr>
                <w:b/>
                <w:color w:val="000000"/>
                <w:sz w:val="20"/>
              </w:rPr>
              <w:t>2024</w:t>
            </w:r>
          </w:p>
        </w:tc>
        <w:tc>
          <w:tcPr>
            <w:tcW w:w="493" w:type="pct"/>
            <w:gridSpan w:val="4"/>
            <w:tcBorders>
              <w:top w:val="nil"/>
              <w:left w:val="nil"/>
              <w:bottom w:val="single" w:sz="8" w:space="0" w:color="auto"/>
              <w:right w:val="single" w:sz="8" w:space="0" w:color="auto"/>
            </w:tcBorders>
            <w:vAlign w:val="center"/>
            <w:hideMark/>
          </w:tcPr>
          <w:p w14:paraId="1F83B658" w14:textId="77777777" w:rsidR="00044D5B" w:rsidRPr="00392E88" w:rsidRDefault="00044D5B">
            <w:pPr>
              <w:spacing w:before="0" w:after="0"/>
              <w:jc w:val="center"/>
              <w:rPr>
                <w:b/>
                <w:bCs/>
                <w:color w:val="000000"/>
                <w:sz w:val="20"/>
                <w:szCs w:val="20"/>
              </w:rPr>
            </w:pPr>
            <w:r w:rsidRPr="00392E88">
              <w:rPr>
                <w:b/>
                <w:color w:val="000000"/>
                <w:sz w:val="20"/>
              </w:rPr>
              <w:t>2025</w:t>
            </w:r>
          </w:p>
        </w:tc>
        <w:tc>
          <w:tcPr>
            <w:tcW w:w="493" w:type="pct"/>
            <w:gridSpan w:val="4"/>
            <w:tcBorders>
              <w:top w:val="nil"/>
              <w:left w:val="nil"/>
              <w:bottom w:val="single" w:sz="8" w:space="0" w:color="auto"/>
              <w:right w:val="single" w:sz="8" w:space="0" w:color="auto"/>
            </w:tcBorders>
            <w:vAlign w:val="center"/>
            <w:hideMark/>
          </w:tcPr>
          <w:p w14:paraId="1AF72137" w14:textId="77777777" w:rsidR="00044D5B" w:rsidRPr="00392E88" w:rsidRDefault="00044D5B">
            <w:pPr>
              <w:spacing w:before="0" w:after="0"/>
              <w:jc w:val="center"/>
              <w:rPr>
                <w:b/>
                <w:bCs/>
                <w:color w:val="000000"/>
                <w:sz w:val="20"/>
                <w:szCs w:val="20"/>
              </w:rPr>
            </w:pPr>
            <w:r w:rsidRPr="00392E88">
              <w:rPr>
                <w:b/>
                <w:color w:val="000000"/>
                <w:sz w:val="20"/>
              </w:rPr>
              <w:t>2026</w:t>
            </w:r>
          </w:p>
        </w:tc>
        <w:tc>
          <w:tcPr>
            <w:tcW w:w="493" w:type="pct"/>
            <w:gridSpan w:val="4"/>
            <w:tcBorders>
              <w:top w:val="nil"/>
              <w:left w:val="nil"/>
              <w:bottom w:val="single" w:sz="8" w:space="0" w:color="auto"/>
              <w:right w:val="single" w:sz="8" w:space="0" w:color="auto"/>
            </w:tcBorders>
            <w:vAlign w:val="center"/>
            <w:hideMark/>
          </w:tcPr>
          <w:p w14:paraId="15C20D41" w14:textId="77777777" w:rsidR="00044D5B" w:rsidRPr="00392E88" w:rsidRDefault="00044D5B">
            <w:pPr>
              <w:spacing w:before="0" w:after="0"/>
              <w:jc w:val="center"/>
              <w:rPr>
                <w:b/>
                <w:bCs/>
                <w:color w:val="000000"/>
                <w:sz w:val="20"/>
                <w:szCs w:val="20"/>
              </w:rPr>
            </w:pPr>
            <w:r w:rsidRPr="00392E88">
              <w:rPr>
                <w:b/>
                <w:color w:val="000000"/>
                <w:sz w:val="20"/>
              </w:rPr>
              <w:t>2027</w:t>
            </w:r>
          </w:p>
        </w:tc>
        <w:tc>
          <w:tcPr>
            <w:tcW w:w="596" w:type="pct"/>
            <w:gridSpan w:val="2"/>
            <w:vMerge/>
            <w:tcBorders>
              <w:top w:val="single" w:sz="8" w:space="0" w:color="auto"/>
              <w:left w:val="single" w:sz="8" w:space="0" w:color="auto"/>
              <w:bottom w:val="single" w:sz="8" w:space="0" w:color="auto"/>
              <w:right w:val="single" w:sz="8" w:space="0" w:color="auto"/>
            </w:tcBorders>
            <w:vAlign w:val="center"/>
            <w:hideMark/>
          </w:tcPr>
          <w:p w14:paraId="50833B06" w14:textId="77777777" w:rsidR="00044D5B" w:rsidRPr="00392E88" w:rsidRDefault="00044D5B">
            <w:pPr>
              <w:spacing w:before="0" w:after="0"/>
              <w:jc w:val="left"/>
              <w:rPr>
                <w:b/>
                <w:bCs/>
                <w:color w:val="000000"/>
                <w:sz w:val="20"/>
                <w:szCs w:val="20"/>
                <w:lang w:eastAsia="en-IE"/>
              </w:rPr>
            </w:pPr>
          </w:p>
        </w:tc>
      </w:tr>
      <w:tr w:rsidR="00983E98" w:rsidRPr="00392E88" w14:paraId="49EFAA4F" w14:textId="77777777">
        <w:trPr>
          <w:trHeight w:val="432"/>
        </w:trPr>
        <w:tc>
          <w:tcPr>
            <w:tcW w:w="1411" w:type="pct"/>
            <w:gridSpan w:val="3"/>
            <w:vMerge w:val="restart"/>
            <w:tcBorders>
              <w:top w:val="nil"/>
              <w:left w:val="single" w:sz="8" w:space="0" w:color="auto"/>
              <w:bottom w:val="single" w:sz="8" w:space="0" w:color="auto"/>
              <w:right w:val="single" w:sz="8" w:space="0" w:color="auto"/>
            </w:tcBorders>
            <w:vAlign w:val="center"/>
            <w:hideMark/>
          </w:tcPr>
          <w:p w14:paraId="17360F3A" w14:textId="04EC352B" w:rsidR="00044D5B" w:rsidRPr="00392E88" w:rsidRDefault="00044D5B">
            <w:pPr>
              <w:spacing w:before="0" w:after="0"/>
              <w:rPr>
                <w:color w:val="000000"/>
                <w:sz w:val="21"/>
                <w:szCs w:val="21"/>
              </w:rPr>
            </w:pPr>
            <w:r w:rsidRPr="00392E88">
              <w:rPr>
                <w:color w:val="000000"/>
                <w:sz w:val="21"/>
              </w:rPr>
              <w:t>OGÓŁEM środki operacyjn</w:t>
            </w:r>
            <w:r w:rsidRPr="006E6446">
              <w:rPr>
                <w:color w:val="000000"/>
                <w:sz w:val="21"/>
              </w:rPr>
              <w:t>e</w:t>
            </w:r>
            <w:r w:rsidR="006E6446" w:rsidRPr="006E6446">
              <w:rPr>
                <w:color w:val="000000"/>
                <w:sz w:val="21"/>
              </w:rPr>
              <w:t xml:space="preserve"> </w:t>
            </w:r>
            <w:r w:rsidRPr="006E6446">
              <w:br/>
            </w:r>
          </w:p>
        </w:tc>
        <w:tc>
          <w:tcPr>
            <w:tcW w:w="529" w:type="pct"/>
            <w:gridSpan w:val="2"/>
            <w:tcBorders>
              <w:top w:val="nil"/>
              <w:left w:val="nil"/>
              <w:bottom w:val="single" w:sz="8" w:space="0" w:color="auto"/>
              <w:right w:val="single" w:sz="8" w:space="0" w:color="auto"/>
            </w:tcBorders>
            <w:vAlign w:val="center"/>
            <w:hideMark/>
          </w:tcPr>
          <w:p w14:paraId="0FF2D3E1" w14:textId="77777777" w:rsidR="00044D5B" w:rsidRPr="00392E88" w:rsidRDefault="00044D5B">
            <w:pPr>
              <w:spacing w:before="0" w:after="0"/>
              <w:rPr>
                <w:color w:val="000000"/>
                <w:sz w:val="18"/>
                <w:szCs w:val="18"/>
              </w:rPr>
            </w:pPr>
            <w:r w:rsidRPr="00392E88">
              <w:rPr>
                <w:color w:val="000000"/>
                <w:sz w:val="18"/>
              </w:rPr>
              <w:t>Środki na zobowiązania</w:t>
            </w:r>
          </w:p>
        </w:tc>
        <w:tc>
          <w:tcPr>
            <w:tcW w:w="492" w:type="pct"/>
            <w:gridSpan w:val="3"/>
            <w:tcBorders>
              <w:top w:val="single" w:sz="8" w:space="0" w:color="auto"/>
              <w:left w:val="nil"/>
              <w:bottom w:val="single" w:sz="8" w:space="0" w:color="auto"/>
              <w:right w:val="single" w:sz="8" w:space="0" w:color="auto"/>
            </w:tcBorders>
            <w:vAlign w:val="center"/>
            <w:hideMark/>
          </w:tcPr>
          <w:p w14:paraId="71B70DDE" w14:textId="77777777" w:rsidR="00044D5B" w:rsidRPr="00392E88" w:rsidRDefault="00044D5B">
            <w:pPr>
              <w:spacing w:before="0" w:after="0"/>
              <w:jc w:val="center"/>
              <w:rPr>
                <w:color w:val="000000"/>
                <w:sz w:val="14"/>
                <w:szCs w:val="14"/>
              </w:rPr>
            </w:pPr>
            <w:r w:rsidRPr="00392E88">
              <w:rPr>
                <w:color w:val="000000"/>
                <w:sz w:val="14"/>
              </w:rPr>
              <w:t>(4)</w:t>
            </w:r>
          </w:p>
        </w:tc>
        <w:tc>
          <w:tcPr>
            <w:tcW w:w="493" w:type="pct"/>
            <w:gridSpan w:val="4"/>
            <w:tcBorders>
              <w:top w:val="nil"/>
              <w:left w:val="nil"/>
              <w:bottom w:val="single" w:sz="8" w:space="0" w:color="auto"/>
              <w:right w:val="single" w:sz="8" w:space="0" w:color="auto"/>
            </w:tcBorders>
            <w:shd w:val="clear" w:color="000000" w:fill="D9D9D9"/>
            <w:vAlign w:val="center"/>
            <w:hideMark/>
          </w:tcPr>
          <w:p w14:paraId="169BE128" w14:textId="77777777" w:rsidR="00044D5B" w:rsidRPr="00392E88" w:rsidRDefault="00044D5B">
            <w:pPr>
              <w:spacing w:before="0" w:after="0"/>
              <w:jc w:val="right"/>
              <w:rPr>
                <w:color w:val="000000"/>
                <w:sz w:val="20"/>
                <w:szCs w:val="20"/>
              </w:rPr>
            </w:pPr>
            <w:r w:rsidRPr="00392E88">
              <w:rPr>
                <w:color w:val="000000"/>
                <w:sz w:val="20"/>
              </w:rPr>
              <w:t>0,000</w:t>
            </w:r>
          </w:p>
        </w:tc>
        <w:tc>
          <w:tcPr>
            <w:tcW w:w="493" w:type="pct"/>
            <w:gridSpan w:val="4"/>
            <w:tcBorders>
              <w:top w:val="nil"/>
              <w:left w:val="nil"/>
              <w:bottom w:val="single" w:sz="8" w:space="0" w:color="auto"/>
              <w:right w:val="single" w:sz="8" w:space="0" w:color="auto"/>
            </w:tcBorders>
            <w:shd w:val="clear" w:color="000000" w:fill="D9D9D9"/>
            <w:vAlign w:val="center"/>
            <w:hideMark/>
          </w:tcPr>
          <w:p w14:paraId="75197765" w14:textId="77777777" w:rsidR="00044D5B" w:rsidRPr="00392E88" w:rsidRDefault="00044D5B">
            <w:pPr>
              <w:spacing w:before="0" w:after="0"/>
              <w:jc w:val="right"/>
              <w:rPr>
                <w:color w:val="000000"/>
                <w:sz w:val="20"/>
                <w:szCs w:val="20"/>
              </w:rPr>
            </w:pPr>
            <w:r w:rsidRPr="00392E88">
              <w:rPr>
                <w:color w:val="000000"/>
                <w:sz w:val="20"/>
              </w:rPr>
              <w:t>0,000</w:t>
            </w:r>
          </w:p>
        </w:tc>
        <w:tc>
          <w:tcPr>
            <w:tcW w:w="493" w:type="pct"/>
            <w:gridSpan w:val="4"/>
            <w:tcBorders>
              <w:top w:val="nil"/>
              <w:left w:val="nil"/>
              <w:bottom w:val="single" w:sz="8" w:space="0" w:color="auto"/>
              <w:right w:val="single" w:sz="8" w:space="0" w:color="auto"/>
            </w:tcBorders>
            <w:shd w:val="clear" w:color="000000" w:fill="D9D9D9"/>
            <w:vAlign w:val="center"/>
            <w:hideMark/>
          </w:tcPr>
          <w:p w14:paraId="6D0662E9" w14:textId="77777777" w:rsidR="00044D5B" w:rsidRPr="00392E88" w:rsidRDefault="00044D5B">
            <w:pPr>
              <w:spacing w:before="0" w:after="0"/>
              <w:jc w:val="right"/>
              <w:rPr>
                <w:color w:val="000000"/>
                <w:sz w:val="20"/>
                <w:szCs w:val="20"/>
              </w:rPr>
            </w:pPr>
            <w:r w:rsidRPr="00392E88">
              <w:rPr>
                <w:color w:val="000000"/>
                <w:sz w:val="20"/>
              </w:rPr>
              <w:t>0,000</w:t>
            </w:r>
          </w:p>
        </w:tc>
        <w:tc>
          <w:tcPr>
            <w:tcW w:w="493" w:type="pct"/>
            <w:gridSpan w:val="4"/>
            <w:tcBorders>
              <w:top w:val="nil"/>
              <w:left w:val="nil"/>
              <w:bottom w:val="single" w:sz="8" w:space="0" w:color="auto"/>
              <w:right w:val="single" w:sz="8" w:space="0" w:color="auto"/>
            </w:tcBorders>
            <w:shd w:val="clear" w:color="000000" w:fill="D9D9D9"/>
            <w:vAlign w:val="center"/>
            <w:hideMark/>
          </w:tcPr>
          <w:p w14:paraId="290D835A" w14:textId="77777777" w:rsidR="00044D5B" w:rsidRPr="00392E88" w:rsidRDefault="00044D5B">
            <w:pPr>
              <w:spacing w:before="0" w:after="0"/>
              <w:jc w:val="right"/>
              <w:rPr>
                <w:color w:val="000000"/>
                <w:sz w:val="20"/>
                <w:szCs w:val="20"/>
              </w:rPr>
            </w:pPr>
            <w:r w:rsidRPr="00392E88">
              <w:rPr>
                <w:color w:val="000000"/>
                <w:sz w:val="20"/>
              </w:rPr>
              <w:t>0,000</w:t>
            </w:r>
          </w:p>
        </w:tc>
        <w:tc>
          <w:tcPr>
            <w:tcW w:w="596" w:type="pct"/>
            <w:gridSpan w:val="2"/>
            <w:tcBorders>
              <w:top w:val="nil"/>
              <w:left w:val="nil"/>
              <w:bottom w:val="single" w:sz="8" w:space="0" w:color="auto"/>
              <w:right w:val="single" w:sz="8" w:space="0" w:color="auto"/>
            </w:tcBorders>
            <w:shd w:val="clear" w:color="000000" w:fill="D9D9D9"/>
            <w:vAlign w:val="center"/>
            <w:hideMark/>
          </w:tcPr>
          <w:p w14:paraId="0674CD2B" w14:textId="77777777" w:rsidR="00044D5B" w:rsidRPr="00392E88" w:rsidRDefault="00044D5B">
            <w:pPr>
              <w:spacing w:before="0" w:after="0"/>
              <w:jc w:val="right"/>
              <w:rPr>
                <w:b/>
                <w:bCs/>
                <w:color w:val="000000"/>
                <w:sz w:val="20"/>
                <w:szCs w:val="20"/>
              </w:rPr>
            </w:pPr>
            <w:r w:rsidRPr="00392E88">
              <w:rPr>
                <w:b/>
                <w:color w:val="000000"/>
                <w:sz w:val="20"/>
              </w:rPr>
              <w:t>0,000</w:t>
            </w:r>
          </w:p>
        </w:tc>
      </w:tr>
      <w:tr w:rsidR="00983E98" w:rsidRPr="00392E88" w14:paraId="1A29D349" w14:textId="77777777">
        <w:trPr>
          <w:trHeight w:val="456"/>
        </w:trPr>
        <w:tc>
          <w:tcPr>
            <w:tcW w:w="1411" w:type="pct"/>
            <w:gridSpan w:val="3"/>
            <w:vMerge/>
            <w:tcBorders>
              <w:top w:val="nil"/>
              <w:left w:val="single" w:sz="8" w:space="0" w:color="auto"/>
              <w:bottom w:val="single" w:sz="8" w:space="0" w:color="auto"/>
              <w:right w:val="single" w:sz="8" w:space="0" w:color="auto"/>
            </w:tcBorders>
            <w:vAlign w:val="center"/>
            <w:hideMark/>
          </w:tcPr>
          <w:p w14:paraId="0A6581AD" w14:textId="77777777" w:rsidR="00044D5B" w:rsidRPr="00392E88" w:rsidRDefault="00044D5B">
            <w:pPr>
              <w:spacing w:before="0" w:after="0"/>
              <w:jc w:val="left"/>
              <w:rPr>
                <w:color w:val="000000"/>
                <w:sz w:val="21"/>
                <w:szCs w:val="21"/>
                <w:lang w:eastAsia="en-IE"/>
              </w:rPr>
            </w:pPr>
          </w:p>
        </w:tc>
        <w:tc>
          <w:tcPr>
            <w:tcW w:w="529" w:type="pct"/>
            <w:gridSpan w:val="2"/>
            <w:tcBorders>
              <w:top w:val="nil"/>
              <w:left w:val="nil"/>
              <w:bottom w:val="single" w:sz="8" w:space="0" w:color="auto"/>
              <w:right w:val="single" w:sz="8" w:space="0" w:color="auto"/>
            </w:tcBorders>
            <w:vAlign w:val="center"/>
            <w:hideMark/>
          </w:tcPr>
          <w:p w14:paraId="732C8FAE" w14:textId="77777777" w:rsidR="00044D5B" w:rsidRPr="00392E88" w:rsidRDefault="00044D5B">
            <w:pPr>
              <w:spacing w:before="0" w:after="0"/>
              <w:rPr>
                <w:color w:val="000000"/>
                <w:sz w:val="18"/>
                <w:szCs w:val="18"/>
              </w:rPr>
            </w:pPr>
            <w:r w:rsidRPr="00392E88">
              <w:rPr>
                <w:color w:val="000000"/>
                <w:sz w:val="18"/>
              </w:rPr>
              <w:t>Środki na płatności</w:t>
            </w:r>
          </w:p>
        </w:tc>
        <w:tc>
          <w:tcPr>
            <w:tcW w:w="492" w:type="pct"/>
            <w:gridSpan w:val="3"/>
            <w:tcBorders>
              <w:top w:val="single" w:sz="8" w:space="0" w:color="auto"/>
              <w:left w:val="nil"/>
              <w:bottom w:val="single" w:sz="8" w:space="0" w:color="auto"/>
              <w:right w:val="single" w:sz="8" w:space="0" w:color="auto"/>
            </w:tcBorders>
            <w:vAlign w:val="center"/>
            <w:hideMark/>
          </w:tcPr>
          <w:p w14:paraId="0F90EB25" w14:textId="77777777" w:rsidR="00044D5B" w:rsidRPr="00392E88" w:rsidRDefault="00044D5B">
            <w:pPr>
              <w:spacing w:before="0" w:after="0"/>
              <w:jc w:val="center"/>
              <w:rPr>
                <w:color w:val="000000"/>
                <w:sz w:val="14"/>
                <w:szCs w:val="14"/>
              </w:rPr>
            </w:pPr>
            <w:r w:rsidRPr="00392E88">
              <w:rPr>
                <w:color w:val="000000"/>
                <w:sz w:val="14"/>
              </w:rPr>
              <w:t>(5)</w:t>
            </w:r>
          </w:p>
        </w:tc>
        <w:tc>
          <w:tcPr>
            <w:tcW w:w="493" w:type="pct"/>
            <w:gridSpan w:val="4"/>
            <w:tcBorders>
              <w:top w:val="nil"/>
              <w:left w:val="nil"/>
              <w:bottom w:val="single" w:sz="8" w:space="0" w:color="auto"/>
              <w:right w:val="single" w:sz="8" w:space="0" w:color="auto"/>
            </w:tcBorders>
            <w:shd w:val="clear" w:color="000000" w:fill="D9D9D9"/>
            <w:vAlign w:val="center"/>
            <w:hideMark/>
          </w:tcPr>
          <w:p w14:paraId="45999154" w14:textId="77777777" w:rsidR="00044D5B" w:rsidRPr="00392E88" w:rsidRDefault="00044D5B">
            <w:pPr>
              <w:spacing w:before="0" w:after="0"/>
              <w:jc w:val="right"/>
              <w:rPr>
                <w:color w:val="000000"/>
                <w:sz w:val="20"/>
                <w:szCs w:val="20"/>
              </w:rPr>
            </w:pPr>
            <w:r w:rsidRPr="00392E88">
              <w:rPr>
                <w:color w:val="000000"/>
                <w:sz w:val="20"/>
              </w:rPr>
              <w:t>0,000</w:t>
            </w:r>
          </w:p>
        </w:tc>
        <w:tc>
          <w:tcPr>
            <w:tcW w:w="493" w:type="pct"/>
            <w:gridSpan w:val="4"/>
            <w:tcBorders>
              <w:top w:val="nil"/>
              <w:left w:val="nil"/>
              <w:bottom w:val="single" w:sz="8" w:space="0" w:color="auto"/>
              <w:right w:val="single" w:sz="8" w:space="0" w:color="auto"/>
            </w:tcBorders>
            <w:shd w:val="clear" w:color="000000" w:fill="D9D9D9"/>
            <w:vAlign w:val="center"/>
            <w:hideMark/>
          </w:tcPr>
          <w:p w14:paraId="2F6927C5" w14:textId="77777777" w:rsidR="00044D5B" w:rsidRPr="00392E88" w:rsidRDefault="00044D5B">
            <w:pPr>
              <w:spacing w:before="0" w:after="0"/>
              <w:jc w:val="right"/>
              <w:rPr>
                <w:color w:val="000000"/>
                <w:sz w:val="20"/>
                <w:szCs w:val="20"/>
              </w:rPr>
            </w:pPr>
            <w:r w:rsidRPr="00392E88">
              <w:rPr>
                <w:color w:val="000000"/>
                <w:sz w:val="20"/>
              </w:rPr>
              <w:t>0,000</w:t>
            </w:r>
          </w:p>
        </w:tc>
        <w:tc>
          <w:tcPr>
            <w:tcW w:w="493" w:type="pct"/>
            <w:gridSpan w:val="4"/>
            <w:tcBorders>
              <w:top w:val="nil"/>
              <w:left w:val="nil"/>
              <w:bottom w:val="single" w:sz="8" w:space="0" w:color="auto"/>
              <w:right w:val="single" w:sz="8" w:space="0" w:color="auto"/>
            </w:tcBorders>
            <w:shd w:val="clear" w:color="000000" w:fill="D9D9D9"/>
            <w:vAlign w:val="center"/>
            <w:hideMark/>
          </w:tcPr>
          <w:p w14:paraId="70278BC0" w14:textId="77777777" w:rsidR="00044D5B" w:rsidRPr="00392E88" w:rsidRDefault="00044D5B">
            <w:pPr>
              <w:spacing w:before="0" w:after="0"/>
              <w:jc w:val="right"/>
              <w:rPr>
                <w:color w:val="000000"/>
                <w:sz w:val="20"/>
                <w:szCs w:val="20"/>
              </w:rPr>
            </w:pPr>
            <w:r w:rsidRPr="00392E88">
              <w:rPr>
                <w:color w:val="000000"/>
                <w:sz w:val="20"/>
              </w:rPr>
              <w:t>0,000</w:t>
            </w:r>
          </w:p>
        </w:tc>
        <w:tc>
          <w:tcPr>
            <w:tcW w:w="493" w:type="pct"/>
            <w:gridSpan w:val="4"/>
            <w:tcBorders>
              <w:top w:val="nil"/>
              <w:left w:val="nil"/>
              <w:bottom w:val="single" w:sz="8" w:space="0" w:color="auto"/>
              <w:right w:val="single" w:sz="8" w:space="0" w:color="auto"/>
            </w:tcBorders>
            <w:shd w:val="clear" w:color="000000" w:fill="D9D9D9"/>
            <w:vAlign w:val="center"/>
            <w:hideMark/>
          </w:tcPr>
          <w:p w14:paraId="38294720" w14:textId="77777777" w:rsidR="00044D5B" w:rsidRPr="00392E88" w:rsidRDefault="00044D5B">
            <w:pPr>
              <w:spacing w:before="0" w:after="0"/>
              <w:jc w:val="right"/>
              <w:rPr>
                <w:color w:val="000000"/>
                <w:sz w:val="20"/>
                <w:szCs w:val="20"/>
              </w:rPr>
            </w:pPr>
            <w:r w:rsidRPr="00392E88">
              <w:rPr>
                <w:color w:val="000000"/>
                <w:sz w:val="20"/>
              </w:rPr>
              <w:t>0,000</w:t>
            </w:r>
          </w:p>
        </w:tc>
        <w:tc>
          <w:tcPr>
            <w:tcW w:w="596" w:type="pct"/>
            <w:gridSpan w:val="2"/>
            <w:tcBorders>
              <w:top w:val="nil"/>
              <w:left w:val="nil"/>
              <w:bottom w:val="single" w:sz="8" w:space="0" w:color="auto"/>
              <w:right w:val="single" w:sz="8" w:space="0" w:color="auto"/>
            </w:tcBorders>
            <w:shd w:val="clear" w:color="000000" w:fill="D9D9D9"/>
            <w:vAlign w:val="center"/>
            <w:hideMark/>
          </w:tcPr>
          <w:p w14:paraId="229A7290" w14:textId="77777777" w:rsidR="00044D5B" w:rsidRPr="00392E88" w:rsidRDefault="00044D5B">
            <w:pPr>
              <w:spacing w:before="0" w:after="0"/>
              <w:jc w:val="right"/>
              <w:rPr>
                <w:b/>
                <w:bCs/>
                <w:color w:val="000000"/>
                <w:sz w:val="20"/>
                <w:szCs w:val="20"/>
              </w:rPr>
            </w:pPr>
            <w:r w:rsidRPr="00392E88">
              <w:rPr>
                <w:b/>
                <w:color w:val="000000"/>
                <w:sz w:val="20"/>
              </w:rPr>
              <w:t>0,000</w:t>
            </w:r>
          </w:p>
        </w:tc>
      </w:tr>
      <w:tr w:rsidR="00E6355E" w:rsidRPr="00392E88" w14:paraId="5FB54417" w14:textId="77777777">
        <w:trPr>
          <w:trHeight w:val="924"/>
        </w:trPr>
        <w:tc>
          <w:tcPr>
            <w:tcW w:w="1939" w:type="pct"/>
            <w:gridSpan w:val="3"/>
            <w:tcBorders>
              <w:top w:val="single" w:sz="8" w:space="0" w:color="auto"/>
              <w:left w:val="single" w:sz="8" w:space="0" w:color="auto"/>
              <w:bottom w:val="single" w:sz="8" w:space="0" w:color="auto"/>
              <w:right w:val="single" w:sz="8" w:space="0" w:color="auto"/>
            </w:tcBorders>
            <w:vAlign w:val="center"/>
            <w:hideMark/>
          </w:tcPr>
          <w:p w14:paraId="519B4A3F" w14:textId="77777777" w:rsidR="00044D5B" w:rsidRPr="00392E88" w:rsidRDefault="00044D5B">
            <w:pPr>
              <w:spacing w:before="0" w:after="0"/>
              <w:rPr>
                <w:color w:val="000000"/>
                <w:sz w:val="21"/>
                <w:szCs w:val="21"/>
              </w:rPr>
            </w:pPr>
            <w:r w:rsidRPr="00392E88">
              <w:rPr>
                <w:color w:val="000000"/>
                <w:sz w:val="21"/>
              </w:rPr>
              <w:t xml:space="preserve">OGÓŁEM środki administracyjne finansowane ze środków przydzielonych na określone programy </w:t>
            </w:r>
          </w:p>
        </w:tc>
        <w:tc>
          <w:tcPr>
            <w:tcW w:w="492" w:type="pct"/>
            <w:gridSpan w:val="5"/>
            <w:tcBorders>
              <w:top w:val="single" w:sz="8" w:space="0" w:color="auto"/>
              <w:left w:val="nil"/>
              <w:bottom w:val="single" w:sz="8" w:space="0" w:color="auto"/>
              <w:right w:val="single" w:sz="8" w:space="0" w:color="auto"/>
            </w:tcBorders>
            <w:vAlign w:val="center"/>
            <w:hideMark/>
          </w:tcPr>
          <w:p w14:paraId="4D7C2B9A" w14:textId="77777777" w:rsidR="00044D5B" w:rsidRPr="00392E88" w:rsidRDefault="00044D5B">
            <w:pPr>
              <w:spacing w:before="0" w:after="0"/>
              <w:jc w:val="center"/>
              <w:rPr>
                <w:color w:val="000000"/>
                <w:sz w:val="14"/>
                <w:szCs w:val="14"/>
              </w:rPr>
            </w:pPr>
            <w:r w:rsidRPr="00392E88">
              <w:rPr>
                <w:color w:val="000000"/>
                <w:sz w:val="14"/>
              </w:rPr>
              <w:t>(6)</w:t>
            </w:r>
          </w:p>
        </w:tc>
        <w:tc>
          <w:tcPr>
            <w:tcW w:w="493" w:type="pct"/>
            <w:gridSpan w:val="4"/>
            <w:tcBorders>
              <w:top w:val="nil"/>
              <w:left w:val="nil"/>
              <w:bottom w:val="single" w:sz="8" w:space="0" w:color="auto"/>
              <w:right w:val="single" w:sz="8" w:space="0" w:color="auto"/>
            </w:tcBorders>
            <w:shd w:val="clear" w:color="000000" w:fill="D9D9D9"/>
            <w:vAlign w:val="center"/>
            <w:hideMark/>
          </w:tcPr>
          <w:p w14:paraId="2FA18F2F" w14:textId="77777777" w:rsidR="00044D5B" w:rsidRPr="00392E88" w:rsidRDefault="00044D5B">
            <w:pPr>
              <w:spacing w:before="0" w:after="0"/>
              <w:jc w:val="right"/>
              <w:rPr>
                <w:color w:val="000000"/>
                <w:sz w:val="20"/>
                <w:szCs w:val="20"/>
              </w:rPr>
            </w:pPr>
            <w:r w:rsidRPr="00392E88">
              <w:rPr>
                <w:color w:val="000000"/>
                <w:sz w:val="20"/>
              </w:rPr>
              <w:t>0,000</w:t>
            </w:r>
          </w:p>
        </w:tc>
        <w:tc>
          <w:tcPr>
            <w:tcW w:w="493" w:type="pct"/>
            <w:gridSpan w:val="4"/>
            <w:tcBorders>
              <w:top w:val="nil"/>
              <w:left w:val="nil"/>
              <w:bottom w:val="single" w:sz="8" w:space="0" w:color="auto"/>
              <w:right w:val="single" w:sz="8" w:space="0" w:color="auto"/>
            </w:tcBorders>
            <w:shd w:val="clear" w:color="000000" w:fill="D9D9D9"/>
            <w:vAlign w:val="center"/>
            <w:hideMark/>
          </w:tcPr>
          <w:p w14:paraId="63FEC88D" w14:textId="77777777" w:rsidR="00044D5B" w:rsidRPr="00392E88" w:rsidRDefault="00044D5B">
            <w:pPr>
              <w:spacing w:before="0" w:after="0"/>
              <w:jc w:val="right"/>
              <w:rPr>
                <w:color w:val="000000"/>
                <w:sz w:val="20"/>
                <w:szCs w:val="20"/>
              </w:rPr>
            </w:pPr>
            <w:r w:rsidRPr="00392E88">
              <w:rPr>
                <w:color w:val="000000"/>
                <w:sz w:val="20"/>
              </w:rPr>
              <w:t>0,000</w:t>
            </w:r>
          </w:p>
        </w:tc>
        <w:tc>
          <w:tcPr>
            <w:tcW w:w="493" w:type="pct"/>
            <w:gridSpan w:val="4"/>
            <w:tcBorders>
              <w:top w:val="nil"/>
              <w:left w:val="nil"/>
              <w:bottom w:val="single" w:sz="8" w:space="0" w:color="auto"/>
              <w:right w:val="single" w:sz="8" w:space="0" w:color="auto"/>
            </w:tcBorders>
            <w:shd w:val="clear" w:color="000000" w:fill="D9D9D9"/>
            <w:vAlign w:val="center"/>
            <w:hideMark/>
          </w:tcPr>
          <w:p w14:paraId="4060B831" w14:textId="77777777" w:rsidR="00044D5B" w:rsidRPr="00392E88" w:rsidRDefault="00044D5B">
            <w:pPr>
              <w:spacing w:before="0" w:after="0"/>
              <w:jc w:val="right"/>
              <w:rPr>
                <w:color w:val="000000"/>
                <w:sz w:val="20"/>
                <w:szCs w:val="20"/>
              </w:rPr>
            </w:pPr>
            <w:r w:rsidRPr="00392E88">
              <w:rPr>
                <w:color w:val="000000"/>
                <w:sz w:val="20"/>
              </w:rPr>
              <w:t>0,000</w:t>
            </w:r>
          </w:p>
        </w:tc>
        <w:tc>
          <w:tcPr>
            <w:tcW w:w="493" w:type="pct"/>
            <w:gridSpan w:val="4"/>
            <w:tcBorders>
              <w:top w:val="nil"/>
              <w:left w:val="nil"/>
              <w:bottom w:val="single" w:sz="8" w:space="0" w:color="auto"/>
              <w:right w:val="single" w:sz="8" w:space="0" w:color="auto"/>
            </w:tcBorders>
            <w:shd w:val="clear" w:color="000000" w:fill="D9D9D9"/>
            <w:vAlign w:val="center"/>
            <w:hideMark/>
          </w:tcPr>
          <w:p w14:paraId="59870A03" w14:textId="77777777" w:rsidR="00044D5B" w:rsidRPr="00392E88" w:rsidRDefault="00044D5B">
            <w:pPr>
              <w:spacing w:before="0" w:after="0"/>
              <w:jc w:val="right"/>
              <w:rPr>
                <w:color w:val="000000"/>
                <w:sz w:val="20"/>
                <w:szCs w:val="20"/>
              </w:rPr>
            </w:pPr>
            <w:r w:rsidRPr="00392E88">
              <w:rPr>
                <w:color w:val="000000"/>
                <w:sz w:val="20"/>
              </w:rPr>
              <w:t>0,000</w:t>
            </w:r>
          </w:p>
        </w:tc>
        <w:tc>
          <w:tcPr>
            <w:tcW w:w="596" w:type="pct"/>
            <w:gridSpan w:val="2"/>
            <w:tcBorders>
              <w:top w:val="nil"/>
              <w:left w:val="nil"/>
              <w:bottom w:val="single" w:sz="8" w:space="0" w:color="auto"/>
              <w:right w:val="single" w:sz="8" w:space="0" w:color="auto"/>
            </w:tcBorders>
            <w:shd w:val="clear" w:color="000000" w:fill="D9D9D9"/>
            <w:vAlign w:val="center"/>
            <w:hideMark/>
          </w:tcPr>
          <w:p w14:paraId="2C98099B" w14:textId="77777777" w:rsidR="00044D5B" w:rsidRPr="00392E88" w:rsidRDefault="00044D5B">
            <w:pPr>
              <w:spacing w:before="0" w:after="0"/>
              <w:jc w:val="right"/>
              <w:rPr>
                <w:b/>
                <w:bCs/>
                <w:color w:val="000000"/>
                <w:sz w:val="20"/>
                <w:szCs w:val="20"/>
              </w:rPr>
            </w:pPr>
            <w:r w:rsidRPr="00392E88">
              <w:rPr>
                <w:b/>
                <w:color w:val="000000"/>
                <w:sz w:val="20"/>
              </w:rPr>
              <w:t>0,000</w:t>
            </w:r>
          </w:p>
        </w:tc>
      </w:tr>
      <w:tr w:rsidR="00983E98" w:rsidRPr="00392E88" w14:paraId="6177FACA" w14:textId="77777777">
        <w:trPr>
          <w:trHeight w:val="564"/>
        </w:trPr>
        <w:tc>
          <w:tcPr>
            <w:tcW w:w="1411" w:type="pct"/>
            <w:gridSpan w:val="3"/>
            <w:tcBorders>
              <w:top w:val="nil"/>
              <w:left w:val="single" w:sz="8" w:space="0" w:color="auto"/>
              <w:bottom w:val="nil"/>
              <w:right w:val="single" w:sz="8" w:space="0" w:color="auto"/>
            </w:tcBorders>
            <w:shd w:val="thinDiagStripe" w:color="C0C0C0" w:fill="F1F1F1"/>
            <w:vAlign w:val="center"/>
            <w:hideMark/>
          </w:tcPr>
          <w:p w14:paraId="48021CD1" w14:textId="77777777" w:rsidR="00044D5B" w:rsidRPr="00392E88" w:rsidRDefault="00044D5B">
            <w:pPr>
              <w:spacing w:before="0" w:after="0"/>
              <w:jc w:val="center"/>
              <w:rPr>
                <w:b/>
                <w:bCs/>
                <w:color w:val="000000"/>
                <w:sz w:val="22"/>
              </w:rPr>
            </w:pPr>
            <w:r w:rsidRPr="00392E88">
              <w:rPr>
                <w:b/>
                <w:color w:val="000000"/>
                <w:sz w:val="22"/>
              </w:rPr>
              <w:t>OGÓŁEM środki na DZIAŁ &lt;….&gt;</w:t>
            </w:r>
          </w:p>
        </w:tc>
        <w:tc>
          <w:tcPr>
            <w:tcW w:w="529" w:type="pct"/>
            <w:gridSpan w:val="2"/>
            <w:tcBorders>
              <w:top w:val="nil"/>
              <w:left w:val="nil"/>
              <w:bottom w:val="single" w:sz="8" w:space="0" w:color="auto"/>
              <w:right w:val="single" w:sz="8" w:space="0" w:color="auto"/>
            </w:tcBorders>
            <w:vAlign w:val="center"/>
            <w:hideMark/>
          </w:tcPr>
          <w:p w14:paraId="14185E70" w14:textId="77777777" w:rsidR="00044D5B" w:rsidRPr="00392E88" w:rsidRDefault="00044D5B">
            <w:pPr>
              <w:spacing w:before="0" w:after="0"/>
              <w:rPr>
                <w:color w:val="000000"/>
                <w:sz w:val="18"/>
                <w:szCs w:val="18"/>
              </w:rPr>
            </w:pPr>
            <w:r w:rsidRPr="00392E88">
              <w:rPr>
                <w:color w:val="000000"/>
                <w:sz w:val="18"/>
              </w:rPr>
              <w:t>Środki na zobowiązania</w:t>
            </w:r>
          </w:p>
        </w:tc>
        <w:tc>
          <w:tcPr>
            <w:tcW w:w="492" w:type="pct"/>
            <w:gridSpan w:val="3"/>
            <w:tcBorders>
              <w:top w:val="single" w:sz="8" w:space="0" w:color="auto"/>
              <w:left w:val="nil"/>
              <w:bottom w:val="single" w:sz="8" w:space="0" w:color="auto"/>
              <w:right w:val="single" w:sz="8" w:space="0" w:color="auto"/>
            </w:tcBorders>
            <w:vAlign w:val="center"/>
            <w:hideMark/>
          </w:tcPr>
          <w:p w14:paraId="05EBA05E" w14:textId="77777777" w:rsidR="00044D5B" w:rsidRPr="00392E88" w:rsidRDefault="00044D5B">
            <w:pPr>
              <w:spacing w:before="0" w:after="0"/>
              <w:jc w:val="center"/>
              <w:rPr>
                <w:color w:val="000000"/>
                <w:sz w:val="14"/>
                <w:szCs w:val="14"/>
              </w:rPr>
            </w:pPr>
            <w:r w:rsidRPr="00392E88">
              <w:rPr>
                <w:color w:val="000000"/>
                <w:sz w:val="14"/>
              </w:rPr>
              <w:t>=4+6</w:t>
            </w:r>
          </w:p>
        </w:tc>
        <w:tc>
          <w:tcPr>
            <w:tcW w:w="493" w:type="pct"/>
            <w:gridSpan w:val="4"/>
            <w:tcBorders>
              <w:top w:val="nil"/>
              <w:left w:val="nil"/>
              <w:bottom w:val="single" w:sz="8" w:space="0" w:color="auto"/>
              <w:right w:val="single" w:sz="8" w:space="0" w:color="auto"/>
            </w:tcBorders>
            <w:shd w:val="clear" w:color="000000" w:fill="D9D9D9"/>
            <w:vAlign w:val="center"/>
            <w:hideMark/>
          </w:tcPr>
          <w:p w14:paraId="3B73FA09" w14:textId="77777777" w:rsidR="00044D5B" w:rsidRPr="00392E88" w:rsidRDefault="00044D5B">
            <w:pPr>
              <w:spacing w:before="0" w:after="0"/>
              <w:jc w:val="right"/>
              <w:rPr>
                <w:b/>
                <w:bCs/>
                <w:color w:val="000000"/>
                <w:sz w:val="20"/>
                <w:szCs w:val="20"/>
              </w:rPr>
            </w:pPr>
            <w:r w:rsidRPr="00392E88">
              <w:rPr>
                <w:b/>
                <w:color w:val="000000"/>
                <w:sz w:val="20"/>
              </w:rPr>
              <w:t>0,000</w:t>
            </w:r>
          </w:p>
        </w:tc>
        <w:tc>
          <w:tcPr>
            <w:tcW w:w="493" w:type="pct"/>
            <w:gridSpan w:val="4"/>
            <w:tcBorders>
              <w:top w:val="nil"/>
              <w:left w:val="nil"/>
              <w:bottom w:val="single" w:sz="8" w:space="0" w:color="auto"/>
              <w:right w:val="single" w:sz="8" w:space="0" w:color="auto"/>
            </w:tcBorders>
            <w:shd w:val="clear" w:color="000000" w:fill="D9D9D9"/>
            <w:vAlign w:val="center"/>
            <w:hideMark/>
          </w:tcPr>
          <w:p w14:paraId="6B4BF479" w14:textId="77777777" w:rsidR="00044D5B" w:rsidRPr="00392E88" w:rsidRDefault="00044D5B">
            <w:pPr>
              <w:spacing w:before="0" w:after="0"/>
              <w:jc w:val="right"/>
              <w:rPr>
                <w:b/>
                <w:bCs/>
                <w:color w:val="000000"/>
                <w:sz w:val="20"/>
                <w:szCs w:val="20"/>
              </w:rPr>
            </w:pPr>
            <w:r w:rsidRPr="00392E88">
              <w:rPr>
                <w:b/>
                <w:color w:val="000000"/>
                <w:sz w:val="20"/>
              </w:rPr>
              <w:t>0,000</w:t>
            </w:r>
          </w:p>
        </w:tc>
        <w:tc>
          <w:tcPr>
            <w:tcW w:w="493" w:type="pct"/>
            <w:gridSpan w:val="4"/>
            <w:tcBorders>
              <w:top w:val="nil"/>
              <w:left w:val="nil"/>
              <w:bottom w:val="single" w:sz="8" w:space="0" w:color="auto"/>
              <w:right w:val="single" w:sz="8" w:space="0" w:color="auto"/>
            </w:tcBorders>
            <w:shd w:val="clear" w:color="000000" w:fill="D9D9D9"/>
            <w:vAlign w:val="center"/>
            <w:hideMark/>
          </w:tcPr>
          <w:p w14:paraId="5BEEB18D" w14:textId="77777777" w:rsidR="00044D5B" w:rsidRPr="00392E88" w:rsidRDefault="00044D5B">
            <w:pPr>
              <w:spacing w:before="0" w:after="0"/>
              <w:jc w:val="right"/>
              <w:rPr>
                <w:b/>
                <w:bCs/>
                <w:color w:val="000000"/>
                <w:sz w:val="20"/>
                <w:szCs w:val="20"/>
              </w:rPr>
            </w:pPr>
            <w:r w:rsidRPr="00392E88">
              <w:rPr>
                <w:b/>
                <w:color w:val="000000"/>
                <w:sz w:val="20"/>
              </w:rPr>
              <w:t>0,000</w:t>
            </w:r>
          </w:p>
        </w:tc>
        <w:tc>
          <w:tcPr>
            <w:tcW w:w="493" w:type="pct"/>
            <w:gridSpan w:val="4"/>
            <w:tcBorders>
              <w:top w:val="nil"/>
              <w:left w:val="nil"/>
              <w:bottom w:val="single" w:sz="8" w:space="0" w:color="auto"/>
              <w:right w:val="single" w:sz="8" w:space="0" w:color="auto"/>
            </w:tcBorders>
            <w:shd w:val="clear" w:color="000000" w:fill="D9D9D9"/>
            <w:vAlign w:val="center"/>
            <w:hideMark/>
          </w:tcPr>
          <w:p w14:paraId="6F1E6821" w14:textId="77777777" w:rsidR="00044D5B" w:rsidRPr="00392E88" w:rsidRDefault="00044D5B">
            <w:pPr>
              <w:spacing w:before="0" w:after="0"/>
              <w:jc w:val="right"/>
              <w:rPr>
                <w:b/>
                <w:bCs/>
                <w:color w:val="000000"/>
                <w:sz w:val="20"/>
                <w:szCs w:val="20"/>
              </w:rPr>
            </w:pPr>
            <w:r w:rsidRPr="00392E88">
              <w:rPr>
                <w:b/>
                <w:color w:val="000000"/>
                <w:sz w:val="20"/>
              </w:rPr>
              <w:t>0,000</w:t>
            </w:r>
          </w:p>
        </w:tc>
        <w:tc>
          <w:tcPr>
            <w:tcW w:w="596" w:type="pct"/>
            <w:gridSpan w:val="2"/>
            <w:tcBorders>
              <w:top w:val="nil"/>
              <w:left w:val="nil"/>
              <w:bottom w:val="single" w:sz="8" w:space="0" w:color="auto"/>
              <w:right w:val="single" w:sz="8" w:space="0" w:color="auto"/>
            </w:tcBorders>
            <w:shd w:val="clear" w:color="000000" w:fill="D9D9D9"/>
            <w:vAlign w:val="center"/>
            <w:hideMark/>
          </w:tcPr>
          <w:p w14:paraId="7C8DA821" w14:textId="77777777" w:rsidR="00044D5B" w:rsidRPr="00392E88" w:rsidRDefault="00044D5B">
            <w:pPr>
              <w:spacing w:before="0" w:after="0"/>
              <w:jc w:val="right"/>
              <w:rPr>
                <w:b/>
                <w:bCs/>
                <w:color w:val="000000"/>
                <w:sz w:val="20"/>
                <w:szCs w:val="20"/>
              </w:rPr>
            </w:pPr>
            <w:r w:rsidRPr="00392E88">
              <w:rPr>
                <w:b/>
                <w:color w:val="000000"/>
                <w:sz w:val="20"/>
              </w:rPr>
              <w:t>0,000</w:t>
            </w:r>
          </w:p>
        </w:tc>
      </w:tr>
      <w:tr w:rsidR="00983E98" w:rsidRPr="00392E88" w14:paraId="20F1CA89" w14:textId="77777777">
        <w:trPr>
          <w:trHeight w:val="528"/>
        </w:trPr>
        <w:tc>
          <w:tcPr>
            <w:tcW w:w="1411" w:type="pct"/>
            <w:gridSpan w:val="3"/>
            <w:tcBorders>
              <w:top w:val="nil"/>
              <w:left w:val="single" w:sz="8" w:space="0" w:color="auto"/>
              <w:bottom w:val="single" w:sz="8" w:space="0" w:color="auto"/>
              <w:right w:val="single" w:sz="8" w:space="0" w:color="auto"/>
            </w:tcBorders>
            <w:shd w:val="thinDiagStripe" w:color="C0C0C0" w:fill="F1F1F1"/>
            <w:vAlign w:val="center"/>
            <w:hideMark/>
          </w:tcPr>
          <w:p w14:paraId="52DCFA83" w14:textId="77777777" w:rsidR="00044D5B" w:rsidRPr="00392E88" w:rsidRDefault="00044D5B">
            <w:pPr>
              <w:spacing w:before="0" w:after="0"/>
              <w:jc w:val="center"/>
              <w:rPr>
                <w:color w:val="000000"/>
                <w:sz w:val="22"/>
              </w:rPr>
            </w:pPr>
            <w:r w:rsidRPr="00392E88">
              <w:rPr>
                <w:color w:val="000000"/>
                <w:sz w:val="22"/>
              </w:rPr>
              <w:t>wieloletnich ram finansowych</w:t>
            </w:r>
          </w:p>
        </w:tc>
        <w:tc>
          <w:tcPr>
            <w:tcW w:w="529" w:type="pct"/>
            <w:gridSpan w:val="2"/>
            <w:tcBorders>
              <w:top w:val="nil"/>
              <w:left w:val="nil"/>
              <w:bottom w:val="single" w:sz="8" w:space="0" w:color="auto"/>
              <w:right w:val="single" w:sz="8" w:space="0" w:color="auto"/>
            </w:tcBorders>
            <w:vAlign w:val="center"/>
            <w:hideMark/>
          </w:tcPr>
          <w:p w14:paraId="02835959" w14:textId="77777777" w:rsidR="00044D5B" w:rsidRPr="00392E88" w:rsidRDefault="00044D5B">
            <w:pPr>
              <w:spacing w:before="0" w:after="0"/>
              <w:rPr>
                <w:color w:val="000000"/>
                <w:sz w:val="18"/>
                <w:szCs w:val="18"/>
              </w:rPr>
            </w:pPr>
            <w:r w:rsidRPr="00392E88">
              <w:rPr>
                <w:color w:val="000000"/>
                <w:sz w:val="18"/>
              </w:rPr>
              <w:t>Środki na płatności</w:t>
            </w:r>
          </w:p>
        </w:tc>
        <w:tc>
          <w:tcPr>
            <w:tcW w:w="492" w:type="pct"/>
            <w:gridSpan w:val="3"/>
            <w:tcBorders>
              <w:top w:val="single" w:sz="8" w:space="0" w:color="auto"/>
              <w:left w:val="nil"/>
              <w:bottom w:val="single" w:sz="8" w:space="0" w:color="auto"/>
              <w:right w:val="single" w:sz="8" w:space="0" w:color="auto"/>
            </w:tcBorders>
            <w:vAlign w:val="center"/>
            <w:hideMark/>
          </w:tcPr>
          <w:p w14:paraId="04075213" w14:textId="77777777" w:rsidR="00044D5B" w:rsidRPr="00392E88" w:rsidRDefault="00044D5B">
            <w:pPr>
              <w:spacing w:before="0" w:after="0"/>
              <w:jc w:val="center"/>
              <w:rPr>
                <w:color w:val="000000"/>
                <w:sz w:val="14"/>
                <w:szCs w:val="14"/>
              </w:rPr>
            </w:pPr>
            <w:r w:rsidRPr="00392E88">
              <w:rPr>
                <w:color w:val="000000"/>
                <w:sz w:val="14"/>
              </w:rPr>
              <w:t>=5+6</w:t>
            </w:r>
          </w:p>
        </w:tc>
        <w:tc>
          <w:tcPr>
            <w:tcW w:w="493" w:type="pct"/>
            <w:gridSpan w:val="4"/>
            <w:tcBorders>
              <w:top w:val="nil"/>
              <w:left w:val="nil"/>
              <w:bottom w:val="single" w:sz="8" w:space="0" w:color="auto"/>
              <w:right w:val="single" w:sz="8" w:space="0" w:color="auto"/>
            </w:tcBorders>
            <w:shd w:val="clear" w:color="000000" w:fill="D9D9D9"/>
            <w:vAlign w:val="center"/>
            <w:hideMark/>
          </w:tcPr>
          <w:p w14:paraId="27E452DC" w14:textId="77777777" w:rsidR="00044D5B" w:rsidRPr="00392E88" w:rsidRDefault="00044D5B">
            <w:pPr>
              <w:spacing w:before="0" w:after="0"/>
              <w:jc w:val="right"/>
              <w:rPr>
                <w:b/>
                <w:bCs/>
                <w:color w:val="000000"/>
                <w:sz w:val="20"/>
                <w:szCs w:val="20"/>
              </w:rPr>
            </w:pPr>
            <w:r w:rsidRPr="00392E88">
              <w:rPr>
                <w:b/>
                <w:color w:val="000000"/>
                <w:sz w:val="20"/>
              </w:rPr>
              <w:t>0,000</w:t>
            </w:r>
          </w:p>
        </w:tc>
        <w:tc>
          <w:tcPr>
            <w:tcW w:w="493" w:type="pct"/>
            <w:gridSpan w:val="4"/>
            <w:tcBorders>
              <w:top w:val="nil"/>
              <w:left w:val="nil"/>
              <w:bottom w:val="single" w:sz="8" w:space="0" w:color="auto"/>
              <w:right w:val="single" w:sz="8" w:space="0" w:color="auto"/>
            </w:tcBorders>
            <w:shd w:val="clear" w:color="000000" w:fill="D9D9D9"/>
            <w:vAlign w:val="center"/>
            <w:hideMark/>
          </w:tcPr>
          <w:p w14:paraId="7D4B95FB" w14:textId="77777777" w:rsidR="00044D5B" w:rsidRPr="00392E88" w:rsidRDefault="00044D5B">
            <w:pPr>
              <w:spacing w:before="0" w:after="0"/>
              <w:jc w:val="right"/>
              <w:rPr>
                <w:b/>
                <w:bCs/>
                <w:color w:val="000000"/>
                <w:sz w:val="20"/>
                <w:szCs w:val="20"/>
              </w:rPr>
            </w:pPr>
            <w:r w:rsidRPr="00392E88">
              <w:rPr>
                <w:b/>
                <w:color w:val="000000"/>
                <w:sz w:val="20"/>
              </w:rPr>
              <w:t>0,000</w:t>
            </w:r>
          </w:p>
        </w:tc>
        <w:tc>
          <w:tcPr>
            <w:tcW w:w="493" w:type="pct"/>
            <w:gridSpan w:val="4"/>
            <w:tcBorders>
              <w:top w:val="nil"/>
              <w:left w:val="nil"/>
              <w:bottom w:val="single" w:sz="8" w:space="0" w:color="auto"/>
              <w:right w:val="single" w:sz="8" w:space="0" w:color="auto"/>
            </w:tcBorders>
            <w:shd w:val="clear" w:color="000000" w:fill="D9D9D9"/>
            <w:vAlign w:val="center"/>
            <w:hideMark/>
          </w:tcPr>
          <w:p w14:paraId="57C5A77F" w14:textId="77777777" w:rsidR="00044D5B" w:rsidRPr="00392E88" w:rsidRDefault="00044D5B">
            <w:pPr>
              <w:spacing w:before="0" w:after="0"/>
              <w:jc w:val="right"/>
              <w:rPr>
                <w:b/>
                <w:bCs/>
                <w:color w:val="000000"/>
                <w:sz w:val="20"/>
                <w:szCs w:val="20"/>
              </w:rPr>
            </w:pPr>
            <w:r w:rsidRPr="00392E88">
              <w:rPr>
                <w:b/>
                <w:color w:val="000000"/>
                <w:sz w:val="20"/>
              </w:rPr>
              <w:t>0,000</w:t>
            </w:r>
          </w:p>
        </w:tc>
        <w:tc>
          <w:tcPr>
            <w:tcW w:w="493" w:type="pct"/>
            <w:gridSpan w:val="4"/>
            <w:tcBorders>
              <w:top w:val="nil"/>
              <w:left w:val="nil"/>
              <w:bottom w:val="single" w:sz="8" w:space="0" w:color="auto"/>
              <w:right w:val="single" w:sz="8" w:space="0" w:color="auto"/>
            </w:tcBorders>
            <w:shd w:val="clear" w:color="000000" w:fill="D9D9D9"/>
            <w:vAlign w:val="center"/>
            <w:hideMark/>
          </w:tcPr>
          <w:p w14:paraId="54B7852F" w14:textId="77777777" w:rsidR="00044D5B" w:rsidRPr="00392E88" w:rsidRDefault="00044D5B">
            <w:pPr>
              <w:spacing w:before="0" w:after="0"/>
              <w:jc w:val="right"/>
              <w:rPr>
                <w:b/>
                <w:bCs/>
                <w:color w:val="000000"/>
                <w:sz w:val="20"/>
                <w:szCs w:val="20"/>
              </w:rPr>
            </w:pPr>
            <w:r w:rsidRPr="00392E88">
              <w:rPr>
                <w:b/>
                <w:color w:val="000000"/>
                <w:sz w:val="20"/>
              </w:rPr>
              <w:t>0,000</w:t>
            </w:r>
          </w:p>
        </w:tc>
        <w:tc>
          <w:tcPr>
            <w:tcW w:w="596" w:type="pct"/>
            <w:gridSpan w:val="2"/>
            <w:tcBorders>
              <w:top w:val="nil"/>
              <w:left w:val="nil"/>
              <w:bottom w:val="single" w:sz="8" w:space="0" w:color="auto"/>
              <w:right w:val="single" w:sz="8" w:space="0" w:color="auto"/>
            </w:tcBorders>
            <w:shd w:val="clear" w:color="000000" w:fill="D9D9D9"/>
            <w:vAlign w:val="center"/>
            <w:hideMark/>
          </w:tcPr>
          <w:p w14:paraId="1F7D31F2" w14:textId="77777777" w:rsidR="00044D5B" w:rsidRPr="00392E88" w:rsidRDefault="00044D5B">
            <w:pPr>
              <w:spacing w:before="0" w:after="0"/>
              <w:jc w:val="right"/>
              <w:rPr>
                <w:b/>
                <w:bCs/>
                <w:color w:val="000000"/>
                <w:sz w:val="20"/>
                <w:szCs w:val="20"/>
              </w:rPr>
            </w:pPr>
            <w:r w:rsidRPr="00392E88">
              <w:rPr>
                <w:b/>
                <w:color w:val="000000"/>
                <w:sz w:val="20"/>
              </w:rPr>
              <w:t>0,000</w:t>
            </w:r>
          </w:p>
        </w:tc>
      </w:tr>
      <w:tr w:rsidR="00733BD3" w:rsidRPr="00392E88" w14:paraId="1ABB40B3" w14:textId="77777777">
        <w:trPr>
          <w:gridBefore w:val="1"/>
          <w:trHeight w:val="288"/>
        </w:trPr>
        <w:tc>
          <w:tcPr>
            <w:tcW w:w="1522" w:type="pct"/>
            <w:gridSpan w:val="2"/>
            <w:tcBorders>
              <w:top w:val="nil"/>
              <w:left w:val="nil"/>
              <w:bottom w:val="nil"/>
              <w:right w:val="nil"/>
            </w:tcBorders>
            <w:noWrap/>
            <w:vAlign w:val="bottom"/>
            <w:hideMark/>
          </w:tcPr>
          <w:p w14:paraId="7ECF7E6C" w14:textId="77777777" w:rsidR="00044D5B" w:rsidRPr="00392E88" w:rsidRDefault="00044D5B">
            <w:pPr>
              <w:spacing w:before="0" w:after="0"/>
              <w:jc w:val="left"/>
              <w:rPr>
                <w:sz w:val="20"/>
                <w:szCs w:val="24"/>
                <w:lang w:eastAsia="en-IE"/>
              </w:rPr>
            </w:pPr>
          </w:p>
        </w:tc>
        <w:tc>
          <w:tcPr>
            <w:tcW w:w="471" w:type="pct"/>
            <w:tcBorders>
              <w:top w:val="nil"/>
              <w:left w:val="nil"/>
              <w:bottom w:val="nil"/>
              <w:right w:val="nil"/>
            </w:tcBorders>
            <w:noWrap/>
            <w:vAlign w:val="bottom"/>
            <w:hideMark/>
          </w:tcPr>
          <w:p w14:paraId="7931E240" w14:textId="77777777" w:rsidR="00044D5B" w:rsidRPr="00392E88" w:rsidRDefault="00044D5B">
            <w:pPr>
              <w:spacing w:before="0" w:after="0"/>
              <w:jc w:val="left"/>
              <w:rPr>
                <w:sz w:val="20"/>
                <w:szCs w:val="20"/>
                <w:lang w:eastAsia="en-IE"/>
              </w:rPr>
            </w:pPr>
          </w:p>
        </w:tc>
        <w:tc>
          <w:tcPr>
            <w:tcW w:w="365" w:type="pct"/>
            <w:tcBorders>
              <w:top w:val="nil"/>
              <w:left w:val="nil"/>
              <w:bottom w:val="nil"/>
              <w:right w:val="nil"/>
            </w:tcBorders>
            <w:noWrap/>
            <w:vAlign w:val="bottom"/>
            <w:hideMark/>
          </w:tcPr>
          <w:p w14:paraId="09C1BC8C" w14:textId="77777777" w:rsidR="00044D5B" w:rsidRPr="00392E88" w:rsidRDefault="00044D5B">
            <w:pPr>
              <w:spacing w:before="0" w:after="0"/>
              <w:jc w:val="left"/>
              <w:rPr>
                <w:sz w:val="20"/>
                <w:szCs w:val="20"/>
                <w:lang w:eastAsia="en-IE"/>
              </w:rPr>
            </w:pPr>
          </w:p>
        </w:tc>
        <w:tc>
          <w:tcPr>
            <w:tcW w:w="366" w:type="pct"/>
            <w:gridSpan w:val="2"/>
            <w:tcBorders>
              <w:top w:val="nil"/>
              <w:left w:val="nil"/>
              <w:bottom w:val="nil"/>
              <w:right w:val="single" w:sz="4" w:space="0" w:color="auto"/>
            </w:tcBorders>
            <w:noWrap/>
            <w:vAlign w:val="bottom"/>
            <w:hideMark/>
          </w:tcPr>
          <w:p w14:paraId="686AEDBF" w14:textId="77777777" w:rsidR="00044D5B" w:rsidRPr="00392E88" w:rsidRDefault="00044D5B">
            <w:pPr>
              <w:spacing w:before="0" w:after="0"/>
              <w:jc w:val="left"/>
              <w:rPr>
                <w:sz w:val="20"/>
                <w:szCs w:val="20"/>
                <w:lang w:eastAsia="en-IE"/>
              </w:rPr>
            </w:pPr>
          </w:p>
        </w:tc>
        <w:tc>
          <w:tcPr>
            <w:tcW w:w="437" w:type="pct"/>
            <w:gridSpan w:val="4"/>
            <w:tcBorders>
              <w:top w:val="single" w:sz="8" w:space="0" w:color="auto"/>
              <w:left w:val="single" w:sz="4" w:space="0" w:color="auto"/>
              <w:bottom w:val="nil"/>
              <w:right w:val="single" w:sz="8" w:space="0" w:color="auto"/>
            </w:tcBorders>
            <w:vAlign w:val="center"/>
            <w:hideMark/>
          </w:tcPr>
          <w:p w14:paraId="692F9CA3" w14:textId="77777777" w:rsidR="00044D5B" w:rsidRPr="00392E88" w:rsidRDefault="00044D5B">
            <w:pPr>
              <w:spacing w:before="0" w:after="0"/>
              <w:jc w:val="center"/>
              <w:rPr>
                <w:color w:val="000000"/>
                <w:sz w:val="20"/>
                <w:szCs w:val="20"/>
              </w:rPr>
            </w:pPr>
            <w:r w:rsidRPr="00392E88">
              <w:rPr>
                <w:color w:val="000000"/>
                <w:sz w:val="20"/>
              </w:rPr>
              <w:t>Rok</w:t>
            </w:r>
          </w:p>
        </w:tc>
        <w:tc>
          <w:tcPr>
            <w:tcW w:w="437" w:type="pct"/>
            <w:gridSpan w:val="4"/>
            <w:tcBorders>
              <w:top w:val="single" w:sz="8" w:space="0" w:color="auto"/>
              <w:left w:val="nil"/>
              <w:bottom w:val="nil"/>
              <w:right w:val="single" w:sz="8" w:space="0" w:color="auto"/>
            </w:tcBorders>
            <w:vAlign w:val="center"/>
            <w:hideMark/>
          </w:tcPr>
          <w:p w14:paraId="62991AC4" w14:textId="77777777" w:rsidR="00044D5B" w:rsidRPr="00392E88" w:rsidRDefault="00044D5B">
            <w:pPr>
              <w:spacing w:before="0" w:after="0"/>
              <w:jc w:val="center"/>
              <w:rPr>
                <w:color w:val="000000"/>
                <w:sz w:val="20"/>
                <w:szCs w:val="20"/>
              </w:rPr>
            </w:pPr>
            <w:r w:rsidRPr="00392E88">
              <w:rPr>
                <w:color w:val="000000"/>
                <w:sz w:val="20"/>
              </w:rPr>
              <w:t>Rok</w:t>
            </w:r>
          </w:p>
        </w:tc>
        <w:tc>
          <w:tcPr>
            <w:tcW w:w="437" w:type="pct"/>
            <w:gridSpan w:val="4"/>
            <w:tcBorders>
              <w:top w:val="single" w:sz="8" w:space="0" w:color="auto"/>
              <w:left w:val="nil"/>
              <w:bottom w:val="nil"/>
              <w:right w:val="single" w:sz="8" w:space="0" w:color="auto"/>
            </w:tcBorders>
            <w:vAlign w:val="center"/>
            <w:hideMark/>
          </w:tcPr>
          <w:p w14:paraId="26A4AD38" w14:textId="77777777" w:rsidR="00044D5B" w:rsidRPr="00392E88" w:rsidRDefault="00044D5B">
            <w:pPr>
              <w:spacing w:before="0" w:after="0"/>
              <w:jc w:val="center"/>
              <w:rPr>
                <w:color w:val="000000"/>
                <w:sz w:val="20"/>
                <w:szCs w:val="20"/>
              </w:rPr>
            </w:pPr>
            <w:r w:rsidRPr="00392E88">
              <w:rPr>
                <w:color w:val="000000"/>
                <w:sz w:val="20"/>
              </w:rPr>
              <w:t>Rok</w:t>
            </w:r>
          </w:p>
        </w:tc>
        <w:tc>
          <w:tcPr>
            <w:tcW w:w="437" w:type="pct"/>
            <w:gridSpan w:val="4"/>
            <w:tcBorders>
              <w:top w:val="single" w:sz="8" w:space="0" w:color="auto"/>
              <w:left w:val="nil"/>
              <w:bottom w:val="nil"/>
              <w:right w:val="single" w:sz="8" w:space="0" w:color="auto"/>
            </w:tcBorders>
            <w:vAlign w:val="center"/>
            <w:hideMark/>
          </w:tcPr>
          <w:p w14:paraId="1695F2EC" w14:textId="77777777" w:rsidR="00044D5B" w:rsidRPr="00392E88" w:rsidRDefault="00044D5B">
            <w:pPr>
              <w:spacing w:before="0" w:after="0"/>
              <w:jc w:val="center"/>
              <w:rPr>
                <w:color w:val="000000"/>
                <w:sz w:val="20"/>
                <w:szCs w:val="20"/>
              </w:rPr>
            </w:pPr>
            <w:r w:rsidRPr="00392E88">
              <w:rPr>
                <w:color w:val="000000"/>
                <w:sz w:val="20"/>
              </w:rPr>
              <w:t>Rok</w:t>
            </w:r>
          </w:p>
        </w:tc>
        <w:tc>
          <w:tcPr>
            <w:tcW w:w="528" w:type="pct"/>
            <w:gridSpan w:val="3"/>
            <w:vMerge w:val="restart"/>
            <w:tcBorders>
              <w:top w:val="single" w:sz="8" w:space="0" w:color="auto"/>
              <w:left w:val="single" w:sz="8" w:space="0" w:color="auto"/>
              <w:bottom w:val="single" w:sz="8" w:space="0" w:color="000000"/>
              <w:right w:val="single" w:sz="8" w:space="0" w:color="auto"/>
            </w:tcBorders>
            <w:vAlign w:val="center"/>
            <w:hideMark/>
          </w:tcPr>
          <w:p w14:paraId="1194F658" w14:textId="77777777" w:rsidR="00044D5B" w:rsidRPr="00392E88" w:rsidRDefault="00044D5B">
            <w:pPr>
              <w:spacing w:before="0" w:after="0"/>
              <w:jc w:val="center"/>
              <w:rPr>
                <w:b/>
                <w:bCs/>
                <w:color w:val="000000"/>
                <w:sz w:val="20"/>
                <w:szCs w:val="20"/>
              </w:rPr>
            </w:pPr>
            <w:r w:rsidRPr="00392E88">
              <w:rPr>
                <w:b/>
                <w:color w:val="000000"/>
                <w:sz w:val="20"/>
              </w:rPr>
              <w:t>OGÓŁEM WRF 2021–2027</w:t>
            </w:r>
          </w:p>
        </w:tc>
      </w:tr>
      <w:tr w:rsidR="00983E98" w:rsidRPr="00392E88" w14:paraId="40CBB251" w14:textId="77777777">
        <w:trPr>
          <w:gridBefore w:val="1"/>
          <w:trHeight w:val="300"/>
        </w:trPr>
        <w:tc>
          <w:tcPr>
            <w:tcW w:w="1522" w:type="pct"/>
            <w:gridSpan w:val="2"/>
            <w:tcBorders>
              <w:top w:val="nil"/>
              <w:left w:val="nil"/>
              <w:bottom w:val="nil"/>
              <w:right w:val="nil"/>
            </w:tcBorders>
            <w:noWrap/>
            <w:vAlign w:val="bottom"/>
            <w:hideMark/>
          </w:tcPr>
          <w:p w14:paraId="1CADC562" w14:textId="77777777" w:rsidR="00044D5B" w:rsidRPr="00392E88" w:rsidRDefault="00044D5B">
            <w:pPr>
              <w:spacing w:before="0" w:after="0"/>
              <w:jc w:val="center"/>
              <w:rPr>
                <w:b/>
                <w:bCs/>
                <w:color w:val="000000"/>
                <w:sz w:val="20"/>
                <w:szCs w:val="20"/>
                <w:lang w:eastAsia="en-IE"/>
              </w:rPr>
            </w:pPr>
          </w:p>
        </w:tc>
        <w:tc>
          <w:tcPr>
            <w:tcW w:w="471" w:type="pct"/>
            <w:tcBorders>
              <w:top w:val="nil"/>
              <w:left w:val="nil"/>
              <w:bottom w:val="nil"/>
              <w:right w:val="nil"/>
            </w:tcBorders>
            <w:noWrap/>
            <w:vAlign w:val="bottom"/>
            <w:hideMark/>
          </w:tcPr>
          <w:p w14:paraId="5179F679" w14:textId="77777777" w:rsidR="00044D5B" w:rsidRPr="00392E88" w:rsidRDefault="00044D5B">
            <w:pPr>
              <w:spacing w:before="0" w:after="0"/>
              <w:jc w:val="left"/>
              <w:rPr>
                <w:sz w:val="20"/>
                <w:szCs w:val="20"/>
                <w:lang w:eastAsia="en-IE"/>
              </w:rPr>
            </w:pPr>
          </w:p>
        </w:tc>
        <w:tc>
          <w:tcPr>
            <w:tcW w:w="365" w:type="pct"/>
            <w:tcBorders>
              <w:top w:val="nil"/>
              <w:left w:val="nil"/>
              <w:bottom w:val="nil"/>
              <w:right w:val="nil"/>
            </w:tcBorders>
            <w:noWrap/>
            <w:vAlign w:val="bottom"/>
            <w:hideMark/>
          </w:tcPr>
          <w:p w14:paraId="4EF170CC" w14:textId="77777777" w:rsidR="00044D5B" w:rsidRPr="00392E88" w:rsidRDefault="00044D5B">
            <w:pPr>
              <w:spacing w:before="0" w:after="0"/>
              <w:jc w:val="left"/>
              <w:rPr>
                <w:sz w:val="20"/>
                <w:szCs w:val="20"/>
                <w:lang w:eastAsia="en-IE"/>
              </w:rPr>
            </w:pPr>
          </w:p>
        </w:tc>
        <w:tc>
          <w:tcPr>
            <w:tcW w:w="366" w:type="pct"/>
            <w:gridSpan w:val="2"/>
            <w:tcBorders>
              <w:top w:val="nil"/>
              <w:left w:val="nil"/>
              <w:bottom w:val="nil"/>
              <w:right w:val="single" w:sz="4" w:space="0" w:color="auto"/>
            </w:tcBorders>
            <w:noWrap/>
            <w:vAlign w:val="bottom"/>
            <w:hideMark/>
          </w:tcPr>
          <w:p w14:paraId="1F813115" w14:textId="77777777" w:rsidR="00044D5B" w:rsidRPr="00392E88" w:rsidRDefault="00044D5B">
            <w:pPr>
              <w:spacing w:before="0" w:after="0"/>
              <w:jc w:val="left"/>
              <w:rPr>
                <w:sz w:val="20"/>
                <w:szCs w:val="20"/>
                <w:lang w:eastAsia="en-IE"/>
              </w:rPr>
            </w:pPr>
          </w:p>
        </w:tc>
        <w:tc>
          <w:tcPr>
            <w:tcW w:w="437" w:type="pct"/>
            <w:gridSpan w:val="4"/>
            <w:tcBorders>
              <w:top w:val="nil"/>
              <w:left w:val="single" w:sz="4" w:space="0" w:color="auto"/>
              <w:bottom w:val="single" w:sz="8" w:space="0" w:color="auto"/>
              <w:right w:val="single" w:sz="8" w:space="0" w:color="auto"/>
            </w:tcBorders>
            <w:vAlign w:val="center"/>
            <w:hideMark/>
          </w:tcPr>
          <w:p w14:paraId="3A44A67B" w14:textId="77777777" w:rsidR="00044D5B" w:rsidRPr="00392E88" w:rsidRDefault="00044D5B">
            <w:pPr>
              <w:spacing w:before="0" w:after="0"/>
              <w:jc w:val="center"/>
              <w:rPr>
                <w:b/>
                <w:bCs/>
                <w:color w:val="000000"/>
                <w:sz w:val="20"/>
                <w:szCs w:val="20"/>
              </w:rPr>
            </w:pPr>
            <w:r w:rsidRPr="00392E88">
              <w:rPr>
                <w:b/>
                <w:color w:val="000000"/>
                <w:sz w:val="20"/>
              </w:rPr>
              <w:t>2024</w:t>
            </w:r>
          </w:p>
        </w:tc>
        <w:tc>
          <w:tcPr>
            <w:tcW w:w="437" w:type="pct"/>
            <w:gridSpan w:val="4"/>
            <w:tcBorders>
              <w:top w:val="nil"/>
              <w:left w:val="nil"/>
              <w:bottom w:val="single" w:sz="8" w:space="0" w:color="auto"/>
              <w:right w:val="single" w:sz="8" w:space="0" w:color="auto"/>
            </w:tcBorders>
            <w:vAlign w:val="center"/>
            <w:hideMark/>
          </w:tcPr>
          <w:p w14:paraId="76B38AD5" w14:textId="77777777" w:rsidR="00044D5B" w:rsidRPr="00392E88" w:rsidRDefault="00044D5B">
            <w:pPr>
              <w:spacing w:before="0" w:after="0"/>
              <w:jc w:val="center"/>
              <w:rPr>
                <w:b/>
                <w:bCs/>
                <w:color w:val="000000"/>
                <w:sz w:val="20"/>
                <w:szCs w:val="20"/>
              </w:rPr>
            </w:pPr>
            <w:r w:rsidRPr="00392E88">
              <w:rPr>
                <w:b/>
                <w:color w:val="000000"/>
                <w:sz w:val="20"/>
              </w:rPr>
              <w:t>2025</w:t>
            </w:r>
          </w:p>
        </w:tc>
        <w:tc>
          <w:tcPr>
            <w:tcW w:w="437" w:type="pct"/>
            <w:gridSpan w:val="4"/>
            <w:tcBorders>
              <w:top w:val="nil"/>
              <w:left w:val="nil"/>
              <w:bottom w:val="single" w:sz="8" w:space="0" w:color="auto"/>
              <w:right w:val="single" w:sz="8" w:space="0" w:color="auto"/>
            </w:tcBorders>
            <w:vAlign w:val="center"/>
            <w:hideMark/>
          </w:tcPr>
          <w:p w14:paraId="60E1F886" w14:textId="77777777" w:rsidR="00044D5B" w:rsidRPr="00392E88" w:rsidRDefault="00044D5B">
            <w:pPr>
              <w:spacing w:before="0" w:after="0"/>
              <w:jc w:val="center"/>
              <w:rPr>
                <w:b/>
                <w:bCs/>
                <w:color w:val="000000"/>
                <w:sz w:val="20"/>
                <w:szCs w:val="20"/>
              </w:rPr>
            </w:pPr>
            <w:r w:rsidRPr="00392E88">
              <w:rPr>
                <w:b/>
                <w:color w:val="000000"/>
                <w:sz w:val="20"/>
              </w:rPr>
              <w:t>2026</w:t>
            </w:r>
          </w:p>
        </w:tc>
        <w:tc>
          <w:tcPr>
            <w:tcW w:w="437" w:type="pct"/>
            <w:gridSpan w:val="4"/>
            <w:tcBorders>
              <w:top w:val="nil"/>
              <w:left w:val="nil"/>
              <w:bottom w:val="single" w:sz="8" w:space="0" w:color="auto"/>
              <w:right w:val="single" w:sz="8" w:space="0" w:color="auto"/>
            </w:tcBorders>
            <w:vAlign w:val="center"/>
            <w:hideMark/>
          </w:tcPr>
          <w:p w14:paraId="5808234A" w14:textId="77777777" w:rsidR="00044D5B" w:rsidRPr="00392E88" w:rsidRDefault="00044D5B">
            <w:pPr>
              <w:spacing w:before="0" w:after="0"/>
              <w:jc w:val="center"/>
              <w:rPr>
                <w:b/>
                <w:bCs/>
                <w:color w:val="000000"/>
                <w:sz w:val="20"/>
                <w:szCs w:val="20"/>
              </w:rPr>
            </w:pPr>
            <w:r w:rsidRPr="00392E88">
              <w:rPr>
                <w:b/>
                <w:color w:val="000000"/>
                <w:sz w:val="20"/>
              </w:rPr>
              <w:t>2027</w:t>
            </w:r>
          </w:p>
        </w:tc>
        <w:tc>
          <w:tcPr>
            <w:tcW w:w="528" w:type="pct"/>
            <w:gridSpan w:val="3"/>
            <w:vMerge/>
            <w:tcBorders>
              <w:top w:val="single" w:sz="8" w:space="0" w:color="auto"/>
              <w:left w:val="single" w:sz="8" w:space="0" w:color="auto"/>
              <w:bottom w:val="single" w:sz="8" w:space="0" w:color="000000"/>
              <w:right w:val="single" w:sz="8" w:space="0" w:color="auto"/>
            </w:tcBorders>
            <w:vAlign w:val="center"/>
            <w:hideMark/>
          </w:tcPr>
          <w:p w14:paraId="4B3EBC54" w14:textId="77777777" w:rsidR="00044D5B" w:rsidRPr="00392E88" w:rsidRDefault="00044D5B">
            <w:pPr>
              <w:spacing w:before="0" w:after="0"/>
              <w:jc w:val="left"/>
              <w:rPr>
                <w:b/>
                <w:bCs/>
                <w:color w:val="000000"/>
                <w:sz w:val="20"/>
                <w:szCs w:val="20"/>
                <w:lang w:eastAsia="en-IE"/>
              </w:rPr>
            </w:pPr>
          </w:p>
        </w:tc>
      </w:tr>
      <w:tr w:rsidR="00E62D64" w:rsidRPr="00392E88" w14:paraId="23910D26" w14:textId="77777777">
        <w:trPr>
          <w:gridBefore w:val="1"/>
          <w:trHeight w:val="300"/>
        </w:trPr>
        <w:tc>
          <w:tcPr>
            <w:tcW w:w="1522" w:type="pct"/>
            <w:gridSpan w:val="2"/>
            <w:vMerge w:val="restart"/>
            <w:tcBorders>
              <w:top w:val="single" w:sz="8" w:space="0" w:color="auto"/>
              <w:left w:val="single" w:sz="8" w:space="0" w:color="auto"/>
              <w:bottom w:val="single" w:sz="8" w:space="0" w:color="auto"/>
              <w:right w:val="single" w:sz="8" w:space="0" w:color="auto"/>
            </w:tcBorders>
            <w:vAlign w:val="center"/>
            <w:hideMark/>
          </w:tcPr>
          <w:p w14:paraId="6184920F" w14:textId="77777777" w:rsidR="00044D5B" w:rsidRPr="00392E88" w:rsidRDefault="00044D5B">
            <w:pPr>
              <w:spacing w:before="0" w:after="0"/>
              <w:rPr>
                <w:color w:val="000000"/>
                <w:sz w:val="21"/>
                <w:szCs w:val="21"/>
              </w:rPr>
            </w:pPr>
            <w:r w:rsidRPr="00392E88">
              <w:rPr>
                <w:rFonts w:ascii="Calibri" w:hAnsi="Calibri"/>
                <w:color w:val="000000"/>
                <w:sz w:val="21"/>
              </w:rPr>
              <w:t xml:space="preserve">• </w:t>
            </w:r>
            <w:r w:rsidRPr="00392E88">
              <w:rPr>
                <w:color w:val="000000"/>
                <w:sz w:val="21"/>
              </w:rPr>
              <w:t>OGÓŁEM środki operacyjne (wszystkie działy operacyjne)</w:t>
            </w:r>
          </w:p>
        </w:tc>
        <w:tc>
          <w:tcPr>
            <w:tcW w:w="471" w:type="pct"/>
            <w:tcBorders>
              <w:top w:val="single" w:sz="8" w:space="0" w:color="auto"/>
              <w:left w:val="nil"/>
              <w:bottom w:val="single" w:sz="8" w:space="0" w:color="auto"/>
              <w:right w:val="single" w:sz="8" w:space="0" w:color="auto"/>
            </w:tcBorders>
            <w:vAlign w:val="center"/>
            <w:hideMark/>
          </w:tcPr>
          <w:p w14:paraId="35E431FA" w14:textId="77777777" w:rsidR="00044D5B" w:rsidRPr="00392E88" w:rsidRDefault="00044D5B">
            <w:pPr>
              <w:spacing w:before="0" w:after="0"/>
              <w:rPr>
                <w:color w:val="000000"/>
                <w:sz w:val="18"/>
                <w:szCs w:val="18"/>
              </w:rPr>
            </w:pPr>
            <w:r w:rsidRPr="00392E88">
              <w:rPr>
                <w:color w:val="000000"/>
                <w:sz w:val="18"/>
              </w:rPr>
              <w:t>Środki na zobowiązania</w:t>
            </w:r>
          </w:p>
        </w:tc>
        <w:tc>
          <w:tcPr>
            <w:tcW w:w="731" w:type="pct"/>
            <w:gridSpan w:val="3"/>
            <w:tcBorders>
              <w:top w:val="single" w:sz="8" w:space="0" w:color="auto"/>
              <w:left w:val="nil"/>
              <w:bottom w:val="single" w:sz="8" w:space="0" w:color="auto"/>
              <w:right w:val="single" w:sz="8" w:space="0" w:color="000000"/>
            </w:tcBorders>
            <w:vAlign w:val="center"/>
            <w:hideMark/>
          </w:tcPr>
          <w:p w14:paraId="0E5E0636" w14:textId="77777777" w:rsidR="00044D5B" w:rsidRPr="00392E88" w:rsidRDefault="00044D5B">
            <w:pPr>
              <w:spacing w:before="0" w:after="0"/>
              <w:jc w:val="center"/>
              <w:rPr>
                <w:color w:val="000000"/>
                <w:sz w:val="14"/>
                <w:szCs w:val="14"/>
              </w:rPr>
            </w:pPr>
            <w:r w:rsidRPr="00392E88">
              <w:rPr>
                <w:color w:val="000000"/>
                <w:sz w:val="14"/>
              </w:rPr>
              <w:t>(4)</w:t>
            </w:r>
          </w:p>
        </w:tc>
        <w:tc>
          <w:tcPr>
            <w:tcW w:w="437" w:type="pct"/>
            <w:gridSpan w:val="4"/>
            <w:tcBorders>
              <w:top w:val="nil"/>
              <w:left w:val="nil"/>
              <w:bottom w:val="single" w:sz="8" w:space="0" w:color="auto"/>
              <w:right w:val="single" w:sz="8" w:space="0" w:color="auto"/>
            </w:tcBorders>
            <w:shd w:val="clear" w:color="000000" w:fill="D9D9D9"/>
            <w:vAlign w:val="center"/>
            <w:hideMark/>
          </w:tcPr>
          <w:p w14:paraId="4820F68C" w14:textId="77777777" w:rsidR="00044D5B" w:rsidRPr="00392E88" w:rsidRDefault="00044D5B">
            <w:pPr>
              <w:spacing w:before="0" w:after="0"/>
              <w:jc w:val="right"/>
              <w:rPr>
                <w:color w:val="000000"/>
                <w:sz w:val="20"/>
                <w:szCs w:val="20"/>
              </w:rPr>
            </w:pPr>
            <w:r w:rsidRPr="00392E88">
              <w:rPr>
                <w:color w:val="000000"/>
                <w:sz w:val="20"/>
              </w:rPr>
              <w:t>0,000</w:t>
            </w:r>
          </w:p>
        </w:tc>
        <w:tc>
          <w:tcPr>
            <w:tcW w:w="437" w:type="pct"/>
            <w:gridSpan w:val="4"/>
            <w:tcBorders>
              <w:top w:val="nil"/>
              <w:left w:val="nil"/>
              <w:bottom w:val="single" w:sz="8" w:space="0" w:color="auto"/>
              <w:right w:val="single" w:sz="8" w:space="0" w:color="auto"/>
            </w:tcBorders>
            <w:shd w:val="clear" w:color="000000" w:fill="D9D9D9"/>
            <w:vAlign w:val="center"/>
            <w:hideMark/>
          </w:tcPr>
          <w:p w14:paraId="339F23CA" w14:textId="77777777" w:rsidR="00044D5B" w:rsidRPr="00392E88" w:rsidRDefault="00044D5B">
            <w:pPr>
              <w:spacing w:before="0" w:after="0"/>
              <w:jc w:val="right"/>
              <w:rPr>
                <w:color w:val="000000"/>
                <w:sz w:val="20"/>
                <w:szCs w:val="20"/>
              </w:rPr>
            </w:pPr>
            <w:r w:rsidRPr="00392E88">
              <w:rPr>
                <w:color w:val="000000"/>
                <w:sz w:val="20"/>
              </w:rPr>
              <w:t>0,000</w:t>
            </w:r>
          </w:p>
        </w:tc>
        <w:tc>
          <w:tcPr>
            <w:tcW w:w="437" w:type="pct"/>
            <w:gridSpan w:val="4"/>
            <w:tcBorders>
              <w:top w:val="nil"/>
              <w:left w:val="nil"/>
              <w:bottom w:val="single" w:sz="8" w:space="0" w:color="auto"/>
              <w:right w:val="single" w:sz="8" w:space="0" w:color="auto"/>
            </w:tcBorders>
            <w:shd w:val="clear" w:color="000000" w:fill="D9D9D9"/>
            <w:vAlign w:val="center"/>
            <w:hideMark/>
          </w:tcPr>
          <w:p w14:paraId="7B2CC86F" w14:textId="77777777" w:rsidR="00044D5B" w:rsidRPr="00392E88" w:rsidRDefault="00044D5B">
            <w:pPr>
              <w:spacing w:before="0" w:after="0"/>
              <w:jc w:val="right"/>
              <w:rPr>
                <w:color w:val="000000"/>
                <w:sz w:val="20"/>
                <w:szCs w:val="20"/>
              </w:rPr>
            </w:pPr>
            <w:r w:rsidRPr="00392E88">
              <w:rPr>
                <w:color w:val="000000"/>
                <w:sz w:val="20"/>
              </w:rPr>
              <w:t>0,000</w:t>
            </w:r>
          </w:p>
        </w:tc>
        <w:tc>
          <w:tcPr>
            <w:tcW w:w="437" w:type="pct"/>
            <w:gridSpan w:val="4"/>
            <w:tcBorders>
              <w:top w:val="nil"/>
              <w:left w:val="nil"/>
              <w:bottom w:val="single" w:sz="8" w:space="0" w:color="auto"/>
              <w:right w:val="single" w:sz="8" w:space="0" w:color="auto"/>
            </w:tcBorders>
            <w:shd w:val="clear" w:color="000000" w:fill="D9D9D9"/>
            <w:vAlign w:val="center"/>
            <w:hideMark/>
          </w:tcPr>
          <w:p w14:paraId="0012322E" w14:textId="77777777" w:rsidR="00044D5B" w:rsidRPr="00392E88" w:rsidRDefault="00044D5B">
            <w:pPr>
              <w:spacing w:before="0" w:after="0"/>
              <w:jc w:val="right"/>
              <w:rPr>
                <w:color w:val="000000"/>
                <w:sz w:val="20"/>
                <w:szCs w:val="20"/>
              </w:rPr>
            </w:pPr>
            <w:r w:rsidRPr="00392E88">
              <w:rPr>
                <w:color w:val="000000"/>
                <w:sz w:val="20"/>
              </w:rPr>
              <w:t>0,000</w:t>
            </w:r>
          </w:p>
        </w:tc>
        <w:tc>
          <w:tcPr>
            <w:tcW w:w="528" w:type="pct"/>
            <w:gridSpan w:val="3"/>
            <w:tcBorders>
              <w:top w:val="nil"/>
              <w:left w:val="nil"/>
              <w:bottom w:val="single" w:sz="8" w:space="0" w:color="auto"/>
              <w:right w:val="single" w:sz="8" w:space="0" w:color="auto"/>
            </w:tcBorders>
            <w:shd w:val="clear" w:color="000000" w:fill="D9D9D9"/>
            <w:vAlign w:val="center"/>
            <w:hideMark/>
          </w:tcPr>
          <w:p w14:paraId="551BB8E5" w14:textId="77777777" w:rsidR="00044D5B" w:rsidRPr="00392E88" w:rsidRDefault="00044D5B">
            <w:pPr>
              <w:spacing w:before="0" w:after="0"/>
              <w:jc w:val="right"/>
              <w:rPr>
                <w:b/>
                <w:bCs/>
                <w:color w:val="000000"/>
                <w:sz w:val="20"/>
                <w:szCs w:val="20"/>
              </w:rPr>
            </w:pPr>
            <w:r w:rsidRPr="00392E88">
              <w:rPr>
                <w:b/>
                <w:color w:val="000000"/>
                <w:sz w:val="20"/>
              </w:rPr>
              <w:t>0,000</w:t>
            </w:r>
          </w:p>
        </w:tc>
      </w:tr>
      <w:tr w:rsidR="00983E98" w:rsidRPr="00392E88" w14:paraId="1352132C" w14:textId="77777777">
        <w:trPr>
          <w:gridBefore w:val="1"/>
          <w:trHeight w:val="300"/>
        </w:trPr>
        <w:tc>
          <w:tcPr>
            <w:tcW w:w="1522" w:type="pct"/>
            <w:gridSpan w:val="2"/>
            <w:vMerge/>
            <w:tcBorders>
              <w:top w:val="single" w:sz="8" w:space="0" w:color="auto"/>
              <w:left w:val="single" w:sz="8" w:space="0" w:color="auto"/>
              <w:bottom w:val="single" w:sz="8" w:space="0" w:color="auto"/>
              <w:right w:val="single" w:sz="8" w:space="0" w:color="auto"/>
            </w:tcBorders>
            <w:vAlign w:val="center"/>
            <w:hideMark/>
          </w:tcPr>
          <w:p w14:paraId="0EB237C2" w14:textId="77777777" w:rsidR="00044D5B" w:rsidRPr="00392E88" w:rsidRDefault="00044D5B">
            <w:pPr>
              <w:spacing w:before="0" w:after="0"/>
              <w:jc w:val="left"/>
              <w:rPr>
                <w:color w:val="000000"/>
                <w:sz w:val="21"/>
                <w:szCs w:val="21"/>
                <w:lang w:eastAsia="en-IE"/>
              </w:rPr>
            </w:pPr>
          </w:p>
        </w:tc>
        <w:tc>
          <w:tcPr>
            <w:tcW w:w="471" w:type="pct"/>
            <w:tcBorders>
              <w:top w:val="nil"/>
              <w:left w:val="nil"/>
              <w:bottom w:val="single" w:sz="8" w:space="0" w:color="auto"/>
              <w:right w:val="single" w:sz="8" w:space="0" w:color="auto"/>
            </w:tcBorders>
            <w:vAlign w:val="center"/>
            <w:hideMark/>
          </w:tcPr>
          <w:p w14:paraId="6611D5DB" w14:textId="77777777" w:rsidR="00044D5B" w:rsidRPr="00392E88" w:rsidRDefault="00044D5B">
            <w:pPr>
              <w:spacing w:before="0" w:after="0"/>
              <w:rPr>
                <w:color w:val="000000"/>
                <w:sz w:val="18"/>
                <w:szCs w:val="18"/>
              </w:rPr>
            </w:pPr>
            <w:r w:rsidRPr="00392E88">
              <w:rPr>
                <w:color w:val="000000"/>
                <w:sz w:val="18"/>
              </w:rPr>
              <w:t>Środki na płatności</w:t>
            </w:r>
          </w:p>
        </w:tc>
        <w:tc>
          <w:tcPr>
            <w:tcW w:w="731" w:type="pct"/>
            <w:gridSpan w:val="3"/>
            <w:tcBorders>
              <w:top w:val="single" w:sz="8" w:space="0" w:color="auto"/>
              <w:left w:val="nil"/>
              <w:bottom w:val="single" w:sz="8" w:space="0" w:color="auto"/>
              <w:right w:val="single" w:sz="8" w:space="0" w:color="000000"/>
            </w:tcBorders>
            <w:vAlign w:val="center"/>
            <w:hideMark/>
          </w:tcPr>
          <w:p w14:paraId="55461E3B" w14:textId="77777777" w:rsidR="00044D5B" w:rsidRPr="00392E88" w:rsidRDefault="00044D5B">
            <w:pPr>
              <w:spacing w:before="0" w:after="0"/>
              <w:jc w:val="center"/>
              <w:rPr>
                <w:color w:val="000000"/>
                <w:sz w:val="14"/>
                <w:szCs w:val="14"/>
              </w:rPr>
            </w:pPr>
            <w:r w:rsidRPr="00392E88">
              <w:rPr>
                <w:color w:val="000000"/>
                <w:sz w:val="14"/>
              </w:rPr>
              <w:t>(5)</w:t>
            </w:r>
          </w:p>
        </w:tc>
        <w:tc>
          <w:tcPr>
            <w:tcW w:w="437" w:type="pct"/>
            <w:gridSpan w:val="4"/>
            <w:tcBorders>
              <w:top w:val="nil"/>
              <w:left w:val="nil"/>
              <w:bottom w:val="single" w:sz="8" w:space="0" w:color="auto"/>
              <w:right w:val="single" w:sz="8" w:space="0" w:color="auto"/>
            </w:tcBorders>
            <w:shd w:val="clear" w:color="000000" w:fill="D9D9D9"/>
            <w:vAlign w:val="center"/>
            <w:hideMark/>
          </w:tcPr>
          <w:p w14:paraId="7E0297F2" w14:textId="77777777" w:rsidR="00044D5B" w:rsidRPr="00392E88" w:rsidRDefault="00044D5B">
            <w:pPr>
              <w:spacing w:before="0" w:after="0"/>
              <w:jc w:val="right"/>
              <w:rPr>
                <w:color w:val="000000"/>
                <w:sz w:val="20"/>
                <w:szCs w:val="20"/>
              </w:rPr>
            </w:pPr>
            <w:r w:rsidRPr="00392E88">
              <w:rPr>
                <w:color w:val="000000"/>
                <w:sz w:val="20"/>
              </w:rPr>
              <w:t>0,000</w:t>
            </w:r>
          </w:p>
        </w:tc>
        <w:tc>
          <w:tcPr>
            <w:tcW w:w="437" w:type="pct"/>
            <w:gridSpan w:val="4"/>
            <w:tcBorders>
              <w:top w:val="nil"/>
              <w:left w:val="nil"/>
              <w:bottom w:val="single" w:sz="8" w:space="0" w:color="auto"/>
              <w:right w:val="single" w:sz="8" w:space="0" w:color="auto"/>
            </w:tcBorders>
            <w:shd w:val="clear" w:color="000000" w:fill="D9D9D9"/>
            <w:vAlign w:val="center"/>
            <w:hideMark/>
          </w:tcPr>
          <w:p w14:paraId="448C08F0" w14:textId="77777777" w:rsidR="00044D5B" w:rsidRPr="00392E88" w:rsidRDefault="00044D5B">
            <w:pPr>
              <w:spacing w:before="0" w:after="0"/>
              <w:jc w:val="right"/>
              <w:rPr>
                <w:color w:val="000000"/>
                <w:sz w:val="20"/>
                <w:szCs w:val="20"/>
              </w:rPr>
            </w:pPr>
            <w:r w:rsidRPr="00392E88">
              <w:rPr>
                <w:color w:val="000000"/>
                <w:sz w:val="20"/>
              </w:rPr>
              <w:t>0,000</w:t>
            </w:r>
          </w:p>
        </w:tc>
        <w:tc>
          <w:tcPr>
            <w:tcW w:w="437" w:type="pct"/>
            <w:gridSpan w:val="4"/>
            <w:tcBorders>
              <w:top w:val="nil"/>
              <w:left w:val="nil"/>
              <w:bottom w:val="single" w:sz="8" w:space="0" w:color="auto"/>
              <w:right w:val="single" w:sz="8" w:space="0" w:color="auto"/>
            </w:tcBorders>
            <w:shd w:val="clear" w:color="000000" w:fill="D9D9D9"/>
            <w:vAlign w:val="center"/>
            <w:hideMark/>
          </w:tcPr>
          <w:p w14:paraId="4B3FB9ED" w14:textId="77777777" w:rsidR="00044D5B" w:rsidRPr="00392E88" w:rsidRDefault="00044D5B">
            <w:pPr>
              <w:spacing w:before="0" w:after="0"/>
              <w:jc w:val="right"/>
              <w:rPr>
                <w:color w:val="000000"/>
                <w:sz w:val="20"/>
                <w:szCs w:val="20"/>
              </w:rPr>
            </w:pPr>
            <w:r w:rsidRPr="00392E88">
              <w:rPr>
                <w:color w:val="000000"/>
                <w:sz w:val="20"/>
              </w:rPr>
              <w:t>0,000</w:t>
            </w:r>
          </w:p>
        </w:tc>
        <w:tc>
          <w:tcPr>
            <w:tcW w:w="437" w:type="pct"/>
            <w:gridSpan w:val="4"/>
            <w:tcBorders>
              <w:top w:val="nil"/>
              <w:left w:val="nil"/>
              <w:bottom w:val="single" w:sz="8" w:space="0" w:color="auto"/>
              <w:right w:val="single" w:sz="8" w:space="0" w:color="auto"/>
            </w:tcBorders>
            <w:shd w:val="clear" w:color="000000" w:fill="D9D9D9"/>
            <w:vAlign w:val="center"/>
            <w:hideMark/>
          </w:tcPr>
          <w:p w14:paraId="66CC91A9" w14:textId="77777777" w:rsidR="00044D5B" w:rsidRPr="00392E88" w:rsidRDefault="00044D5B">
            <w:pPr>
              <w:spacing w:before="0" w:after="0"/>
              <w:jc w:val="right"/>
              <w:rPr>
                <w:color w:val="000000"/>
                <w:sz w:val="20"/>
                <w:szCs w:val="20"/>
              </w:rPr>
            </w:pPr>
            <w:r w:rsidRPr="00392E88">
              <w:rPr>
                <w:color w:val="000000"/>
                <w:sz w:val="20"/>
              </w:rPr>
              <w:t>0,000</w:t>
            </w:r>
          </w:p>
        </w:tc>
        <w:tc>
          <w:tcPr>
            <w:tcW w:w="528" w:type="pct"/>
            <w:gridSpan w:val="3"/>
            <w:tcBorders>
              <w:top w:val="nil"/>
              <w:left w:val="nil"/>
              <w:bottom w:val="single" w:sz="8" w:space="0" w:color="auto"/>
              <w:right w:val="single" w:sz="8" w:space="0" w:color="auto"/>
            </w:tcBorders>
            <w:shd w:val="clear" w:color="000000" w:fill="D9D9D9"/>
            <w:vAlign w:val="center"/>
            <w:hideMark/>
          </w:tcPr>
          <w:p w14:paraId="50FCF50F" w14:textId="77777777" w:rsidR="00044D5B" w:rsidRPr="00392E88" w:rsidRDefault="00044D5B">
            <w:pPr>
              <w:spacing w:before="0" w:after="0"/>
              <w:jc w:val="right"/>
              <w:rPr>
                <w:b/>
                <w:bCs/>
                <w:color w:val="000000"/>
                <w:sz w:val="20"/>
                <w:szCs w:val="20"/>
              </w:rPr>
            </w:pPr>
            <w:r w:rsidRPr="00392E88">
              <w:rPr>
                <w:b/>
                <w:color w:val="000000"/>
                <w:sz w:val="20"/>
              </w:rPr>
              <w:t>0,000</w:t>
            </w:r>
          </w:p>
        </w:tc>
      </w:tr>
      <w:tr w:rsidR="00E6355E" w:rsidRPr="00392E88" w14:paraId="6A1C762B" w14:textId="77777777">
        <w:trPr>
          <w:gridBefore w:val="1"/>
          <w:trHeight w:val="990"/>
        </w:trPr>
        <w:tc>
          <w:tcPr>
            <w:tcW w:w="1993" w:type="pct"/>
            <w:gridSpan w:val="3"/>
            <w:tcBorders>
              <w:top w:val="single" w:sz="8" w:space="0" w:color="auto"/>
              <w:left w:val="single" w:sz="8" w:space="0" w:color="auto"/>
              <w:bottom w:val="single" w:sz="8" w:space="0" w:color="auto"/>
              <w:right w:val="single" w:sz="8" w:space="0" w:color="000000"/>
            </w:tcBorders>
            <w:vAlign w:val="center"/>
            <w:hideMark/>
          </w:tcPr>
          <w:p w14:paraId="4EB646D7" w14:textId="77777777" w:rsidR="00044D5B" w:rsidRPr="00392E88" w:rsidRDefault="00044D5B">
            <w:pPr>
              <w:spacing w:before="0" w:after="0"/>
              <w:rPr>
                <w:color w:val="000000"/>
                <w:sz w:val="21"/>
                <w:szCs w:val="21"/>
              </w:rPr>
            </w:pPr>
            <w:r w:rsidRPr="00392E88">
              <w:rPr>
                <w:rFonts w:ascii="Calibri" w:hAnsi="Calibri"/>
                <w:color w:val="000000"/>
                <w:sz w:val="21"/>
              </w:rPr>
              <w:t>•</w:t>
            </w:r>
            <w:r w:rsidRPr="00392E88">
              <w:rPr>
                <w:color w:val="000000"/>
                <w:sz w:val="21"/>
              </w:rPr>
              <w:t xml:space="preserve"> OGÓŁEM środki administracyjne finansowane ze środków przydzielonych na określone programy (wszystkie działy operacyjne)</w:t>
            </w:r>
          </w:p>
        </w:tc>
        <w:tc>
          <w:tcPr>
            <w:tcW w:w="731" w:type="pct"/>
            <w:gridSpan w:val="3"/>
            <w:tcBorders>
              <w:top w:val="single" w:sz="8" w:space="0" w:color="auto"/>
              <w:left w:val="nil"/>
              <w:bottom w:val="single" w:sz="8" w:space="0" w:color="auto"/>
              <w:right w:val="single" w:sz="8" w:space="0" w:color="000000"/>
            </w:tcBorders>
            <w:vAlign w:val="center"/>
            <w:hideMark/>
          </w:tcPr>
          <w:p w14:paraId="41C8875D" w14:textId="77777777" w:rsidR="00044D5B" w:rsidRPr="00392E88" w:rsidRDefault="00044D5B">
            <w:pPr>
              <w:spacing w:before="0" w:after="0"/>
              <w:jc w:val="center"/>
              <w:rPr>
                <w:color w:val="000000"/>
                <w:sz w:val="14"/>
                <w:szCs w:val="14"/>
              </w:rPr>
            </w:pPr>
            <w:r w:rsidRPr="00392E88">
              <w:rPr>
                <w:color w:val="000000"/>
                <w:sz w:val="14"/>
              </w:rPr>
              <w:t>(6)</w:t>
            </w:r>
          </w:p>
        </w:tc>
        <w:tc>
          <w:tcPr>
            <w:tcW w:w="437" w:type="pct"/>
            <w:gridSpan w:val="4"/>
            <w:tcBorders>
              <w:top w:val="nil"/>
              <w:left w:val="nil"/>
              <w:bottom w:val="single" w:sz="8" w:space="0" w:color="auto"/>
              <w:right w:val="single" w:sz="8" w:space="0" w:color="auto"/>
            </w:tcBorders>
            <w:shd w:val="clear" w:color="000000" w:fill="D9D9D9"/>
            <w:vAlign w:val="center"/>
            <w:hideMark/>
          </w:tcPr>
          <w:p w14:paraId="44FDCBC8" w14:textId="77777777" w:rsidR="00044D5B" w:rsidRPr="00392E88" w:rsidRDefault="00044D5B">
            <w:pPr>
              <w:spacing w:before="0" w:after="0"/>
              <w:jc w:val="right"/>
              <w:rPr>
                <w:color w:val="000000"/>
                <w:sz w:val="20"/>
                <w:szCs w:val="20"/>
              </w:rPr>
            </w:pPr>
            <w:r w:rsidRPr="00392E88">
              <w:rPr>
                <w:color w:val="000000"/>
                <w:sz w:val="20"/>
              </w:rPr>
              <w:t>0,000</w:t>
            </w:r>
          </w:p>
        </w:tc>
        <w:tc>
          <w:tcPr>
            <w:tcW w:w="437" w:type="pct"/>
            <w:gridSpan w:val="4"/>
            <w:tcBorders>
              <w:top w:val="nil"/>
              <w:left w:val="nil"/>
              <w:bottom w:val="single" w:sz="8" w:space="0" w:color="auto"/>
              <w:right w:val="single" w:sz="8" w:space="0" w:color="auto"/>
            </w:tcBorders>
            <w:shd w:val="clear" w:color="000000" w:fill="D9D9D9"/>
            <w:vAlign w:val="center"/>
            <w:hideMark/>
          </w:tcPr>
          <w:p w14:paraId="577F9F0E" w14:textId="77777777" w:rsidR="00044D5B" w:rsidRPr="00392E88" w:rsidRDefault="00044D5B">
            <w:pPr>
              <w:spacing w:before="0" w:after="0"/>
              <w:jc w:val="right"/>
              <w:rPr>
                <w:color w:val="000000"/>
                <w:sz w:val="20"/>
                <w:szCs w:val="20"/>
              </w:rPr>
            </w:pPr>
            <w:r w:rsidRPr="00392E88">
              <w:rPr>
                <w:color w:val="000000"/>
                <w:sz w:val="20"/>
              </w:rPr>
              <w:t>0,000</w:t>
            </w:r>
          </w:p>
        </w:tc>
        <w:tc>
          <w:tcPr>
            <w:tcW w:w="437" w:type="pct"/>
            <w:gridSpan w:val="4"/>
            <w:tcBorders>
              <w:top w:val="nil"/>
              <w:left w:val="nil"/>
              <w:bottom w:val="single" w:sz="8" w:space="0" w:color="auto"/>
              <w:right w:val="single" w:sz="8" w:space="0" w:color="auto"/>
            </w:tcBorders>
            <w:shd w:val="clear" w:color="000000" w:fill="D9D9D9"/>
            <w:vAlign w:val="center"/>
            <w:hideMark/>
          </w:tcPr>
          <w:p w14:paraId="5605CF66" w14:textId="77777777" w:rsidR="00044D5B" w:rsidRPr="00392E88" w:rsidRDefault="00044D5B">
            <w:pPr>
              <w:spacing w:before="0" w:after="0"/>
              <w:jc w:val="right"/>
              <w:rPr>
                <w:color w:val="000000"/>
                <w:sz w:val="20"/>
                <w:szCs w:val="20"/>
              </w:rPr>
            </w:pPr>
            <w:r w:rsidRPr="00392E88">
              <w:rPr>
                <w:color w:val="000000"/>
                <w:sz w:val="20"/>
              </w:rPr>
              <w:t>0,000</w:t>
            </w:r>
          </w:p>
        </w:tc>
        <w:tc>
          <w:tcPr>
            <w:tcW w:w="437" w:type="pct"/>
            <w:gridSpan w:val="4"/>
            <w:tcBorders>
              <w:top w:val="nil"/>
              <w:left w:val="nil"/>
              <w:bottom w:val="single" w:sz="8" w:space="0" w:color="auto"/>
              <w:right w:val="single" w:sz="8" w:space="0" w:color="auto"/>
            </w:tcBorders>
            <w:shd w:val="clear" w:color="000000" w:fill="D9D9D9"/>
            <w:vAlign w:val="center"/>
            <w:hideMark/>
          </w:tcPr>
          <w:p w14:paraId="37F26ACD" w14:textId="77777777" w:rsidR="00044D5B" w:rsidRPr="00392E88" w:rsidRDefault="00044D5B">
            <w:pPr>
              <w:spacing w:before="0" w:after="0"/>
              <w:jc w:val="right"/>
              <w:rPr>
                <w:color w:val="000000"/>
                <w:sz w:val="20"/>
                <w:szCs w:val="20"/>
              </w:rPr>
            </w:pPr>
            <w:r w:rsidRPr="00392E88">
              <w:rPr>
                <w:color w:val="000000"/>
                <w:sz w:val="20"/>
              </w:rPr>
              <w:t>0,000</w:t>
            </w:r>
          </w:p>
        </w:tc>
        <w:tc>
          <w:tcPr>
            <w:tcW w:w="528" w:type="pct"/>
            <w:gridSpan w:val="3"/>
            <w:tcBorders>
              <w:top w:val="nil"/>
              <w:left w:val="nil"/>
              <w:bottom w:val="single" w:sz="8" w:space="0" w:color="auto"/>
              <w:right w:val="single" w:sz="8" w:space="0" w:color="auto"/>
            </w:tcBorders>
            <w:shd w:val="clear" w:color="000000" w:fill="D9D9D9"/>
            <w:vAlign w:val="center"/>
            <w:hideMark/>
          </w:tcPr>
          <w:p w14:paraId="69F7FFC7" w14:textId="77777777" w:rsidR="00044D5B" w:rsidRPr="00392E88" w:rsidRDefault="00044D5B">
            <w:pPr>
              <w:spacing w:before="0" w:after="0"/>
              <w:jc w:val="right"/>
              <w:rPr>
                <w:b/>
                <w:bCs/>
                <w:color w:val="000000"/>
                <w:sz w:val="20"/>
                <w:szCs w:val="20"/>
              </w:rPr>
            </w:pPr>
            <w:r w:rsidRPr="00392E88">
              <w:rPr>
                <w:b/>
                <w:color w:val="000000"/>
                <w:sz w:val="20"/>
              </w:rPr>
              <w:t>0,000</w:t>
            </w:r>
          </w:p>
        </w:tc>
      </w:tr>
      <w:tr w:rsidR="00983E98" w:rsidRPr="00392E88" w14:paraId="19364BF8" w14:textId="77777777">
        <w:trPr>
          <w:gridBefore w:val="1"/>
          <w:trHeight w:val="564"/>
        </w:trPr>
        <w:tc>
          <w:tcPr>
            <w:tcW w:w="1522" w:type="pct"/>
            <w:gridSpan w:val="2"/>
            <w:tcBorders>
              <w:top w:val="nil"/>
              <w:left w:val="single" w:sz="8" w:space="0" w:color="auto"/>
              <w:bottom w:val="nil"/>
              <w:right w:val="single" w:sz="8" w:space="0" w:color="auto"/>
            </w:tcBorders>
            <w:shd w:val="thinDiagStripe" w:color="C0C0C0" w:fill="F1F1F1"/>
            <w:vAlign w:val="center"/>
            <w:hideMark/>
          </w:tcPr>
          <w:p w14:paraId="60EE39A5" w14:textId="0196ED9D" w:rsidR="00044D5B" w:rsidRPr="00392E88" w:rsidRDefault="00044D5B">
            <w:pPr>
              <w:spacing w:before="0" w:after="0"/>
              <w:jc w:val="center"/>
              <w:rPr>
                <w:b/>
                <w:bCs/>
                <w:color w:val="000000"/>
                <w:sz w:val="22"/>
              </w:rPr>
            </w:pPr>
            <w:r w:rsidRPr="00392E88">
              <w:rPr>
                <w:b/>
                <w:color w:val="000000"/>
                <w:sz w:val="22"/>
              </w:rPr>
              <w:t xml:space="preserve">OGÓŁEM środki na DZIAŁY </w:t>
            </w:r>
            <w:r w:rsidRPr="006E6446">
              <w:rPr>
                <w:b/>
                <w:color w:val="000000"/>
                <w:sz w:val="22"/>
              </w:rPr>
              <w:t>od</w:t>
            </w:r>
            <w:r w:rsidR="006E6446" w:rsidRPr="006E6446">
              <w:rPr>
                <w:b/>
                <w:color w:val="000000"/>
                <w:sz w:val="22"/>
              </w:rPr>
              <w:t> </w:t>
            </w:r>
            <w:r w:rsidRPr="006E6446">
              <w:rPr>
                <w:b/>
                <w:color w:val="000000"/>
                <w:sz w:val="22"/>
              </w:rPr>
              <w:t>1</w:t>
            </w:r>
            <w:r w:rsidRPr="00392E88">
              <w:rPr>
                <w:b/>
                <w:color w:val="000000"/>
                <w:sz w:val="22"/>
              </w:rPr>
              <w:t xml:space="preserve"> </w:t>
            </w:r>
            <w:r w:rsidRPr="006E6446">
              <w:rPr>
                <w:b/>
                <w:color w:val="000000"/>
                <w:sz w:val="22"/>
              </w:rPr>
              <w:t>do</w:t>
            </w:r>
            <w:r w:rsidR="006E6446" w:rsidRPr="006E6446">
              <w:rPr>
                <w:b/>
                <w:color w:val="000000"/>
                <w:sz w:val="22"/>
              </w:rPr>
              <w:t> </w:t>
            </w:r>
            <w:r w:rsidRPr="006E6446">
              <w:rPr>
                <w:b/>
                <w:color w:val="000000"/>
                <w:sz w:val="22"/>
              </w:rPr>
              <w:t>6</w:t>
            </w:r>
          </w:p>
        </w:tc>
        <w:tc>
          <w:tcPr>
            <w:tcW w:w="471" w:type="pct"/>
            <w:tcBorders>
              <w:top w:val="nil"/>
              <w:left w:val="nil"/>
              <w:bottom w:val="nil"/>
              <w:right w:val="single" w:sz="8" w:space="0" w:color="auto"/>
            </w:tcBorders>
            <w:vAlign w:val="center"/>
            <w:hideMark/>
          </w:tcPr>
          <w:p w14:paraId="2E26499B" w14:textId="77777777" w:rsidR="00044D5B" w:rsidRPr="00392E88" w:rsidRDefault="00044D5B">
            <w:pPr>
              <w:spacing w:before="0" w:after="0"/>
              <w:rPr>
                <w:color w:val="000000"/>
                <w:sz w:val="18"/>
                <w:szCs w:val="18"/>
              </w:rPr>
            </w:pPr>
            <w:r w:rsidRPr="00392E88">
              <w:rPr>
                <w:color w:val="000000"/>
                <w:sz w:val="18"/>
              </w:rPr>
              <w:t>Środki na zobowiązania</w:t>
            </w:r>
          </w:p>
        </w:tc>
        <w:tc>
          <w:tcPr>
            <w:tcW w:w="731" w:type="pct"/>
            <w:gridSpan w:val="3"/>
            <w:tcBorders>
              <w:top w:val="single" w:sz="8" w:space="0" w:color="auto"/>
              <w:left w:val="nil"/>
              <w:bottom w:val="nil"/>
              <w:right w:val="single" w:sz="8" w:space="0" w:color="000000"/>
            </w:tcBorders>
            <w:vAlign w:val="center"/>
            <w:hideMark/>
          </w:tcPr>
          <w:p w14:paraId="0DE290E9" w14:textId="77777777" w:rsidR="00044D5B" w:rsidRPr="00392E88" w:rsidRDefault="00044D5B">
            <w:pPr>
              <w:spacing w:before="0" w:after="0"/>
              <w:jc w:val="center"/>
              <w:rPr>
                <w:color w:val="000000"/>
                <w:sz w:val="14"/>
                <w:szCs w:val="14"/>
              </w:rPr>
            </w:pPr>
            <w:r w:rsidRPr="00392E88">
              <w:rPr>
                <w:color w:val="000000"/>
                <w:sz w:val="14"/>
              </w:rPr>
              <w:t>=4+6</w:t>
            </w:r>
          </w:p>
        </w:tc>
        <w:tc>
          <w:tcPr>
            <w:tcW w:w="437" w:type="pct"/>
            <w:gridSpan w:val="4"/>
            <w:tcBorders>
              <w:top w:val="nil"/>
              <w:left w:val="nil"/>
              <w:bottom w:val="single" w:sz="8" w:space="0" w:color="auto"/>
              <w:right w:val="single" w:sz="8" w:space="0" w:color="auto"/>
            </w:tcBorders>
            <w:shd w:val="clear" w:color="000000" w:fill="D9D9D9"/>
            <w:vAlign w:val="center"/>
            <w:hideMark/>
          </w:tcPr>
          <w:p w14:paraId="47DDE6B4" w14:textId="77777777" w:rsidR="00044D5B" w:rsidRPr="00392E88" w:rsidRDefault="00044D5B">
            <w:pPr>
              <w:spacing w:before="0" w:after="0"/>
              <w:jc w:val="right"/>
              <w:rPr>
                <w:b/>
                <w:bCs/>
                <w:color w:val="000000"/>
                <w:sz w:val="20"/>
                <w:szCs w:val="20"/>
              </w:rPr>
            </w:pPr>
            <w:r w:rsidRPr="00392E88">
              <w:rPr>
                <w:b/>
                <w:color w:val="000000"/>
                <w:sz w:val="20"/>
              </w:rPr>
              <w:t>0,000</w:t>
            </w:r>
          </w:p>
        </w:tc>
        <w:tc>
          <w:tcPr>
            <w:tcW w:w="437" w:type="pct"/>
            <w:gridSpan w:val="4"/>
            <w:tcBorders>
              <w:top w:val="nil"/>
              <w:left w:val="nil"/>
              <w:bottom w:val="single" w:sz="8" w:space="0" w:color="auto"/>
              <w:right w:val="single" w:sz="8" w:space="0" w:color="auto"/>
            </w:tcBorders>
            <w:shd w:val="clear" w:color="000000" w:fill="D9D9D9"/>
            <w:vAlign w:val="center"/>
            <w:hideMark/>
          </w:tcPr>
          <w:p w14:paraId="26E859BD" w14:textId="77777777" w:rsidR="00044D5B" w:rsidRPr="00392E88" w:rsidRDefault="00044D5B">
            <w:pPr>
              <w:spacing w:before="0" w:after="0"/>
              <w:jc w:val="right"/>
              <w:rPr>
                <w:b/>
                <w:bCs/>
                <w:color w:val="000000"/>
                <w:sz w:val="20"/>
                <w:szCs w:val="20"/>
              </w:rPr>
            </w:pPr>
            <w:r w:rsidRPr="00392E88">
              <w:rPr>
                <w:b/>
                <w:color w:val="000000"/>
                <w:sz w:val="20"/>
              </w:rPr>
              <w:t>0,000</w:t>
            </w:r>
          </w:p>
        </w:tc>
        <w:tc>
          <w:tcPr>
            <w:tcW w:w="437" w:type="pct"/>
            <w:gridSpan w:val="4"/>
            <w:tcBorders>
              <w:top w:val="nil"/>
              <w:left w:val="nil"/>
              <w:bottom w:val="single" w:sz="8" w:space="0" w:color="auto"/>
              <w:right w:val="single" w:sz="8" w:space="0" w:color="auto"/>
            </w:tcBorders>
            <w:shd w:val="clear" w:color="000000" w:fill="D9D9D9"/>
            <w:vAlign w:val="center"/>
            <w:hideMark/>
          </w:tcPr>
          <w:p w14:paraId="3AC7730A" w14:textId="77777777" w:rsidR="00044D5B" w:rsidRPr="00392E88" w:rsidRDefault="00044D5B">
            <w:pPr>
              <w:spacing w:before="0" w:after="0"/>
              <w:jc w:val="right"/>
              <w:rPr>
                <w:b/>
                <w:bCs/>
                <w:color w:val="000000"/>
                <w:sz w:val="20"/>
                <w:szCs w:val="20"/>
              </w:rPr>
            </w:pPr>
            <w:r w:rsidRPr="00392E88">
              <w:rPr>
                <w:b/>
                <w:color w:val="000000"/>
                <w:sz w:val="20"/>
              </w:rPr>
              <w:t>0,000</w:t>
            </w:r>
          </w:p>
        </w:tc>
        <w:tc>
          <w:tcPr>
            <w:tcW w:w="437" w:type="pct"/>
            <w:gridSpan w:val="4"/>
            <w:tcBorders>
              <w:top w:val="nil"/>
              <w:left w:val="nil"/>
              <w:bottom w:val="single" w:sz="8" w:space="0" w:color="auto"/>
              <w:right w:val="single" w:sz="8" w:space="0" w:color="auto"/>
            </w:tcBorders>
            <w:shd w:val="clear" w:color="000000" w:fill="D9D9D9"/>
            <w:vAlign w:val="center"/>
            <w:hideMark/>
          </w:tcPr>
          <w:p w14:paraId="10951623" w14:textId="77777777" w:rsidR="00044D5B" w:rsidRPr="00392E88" w:rsidRDefault="00044D5B">
            <w:pPr>
              <w:spacing w:before="0" w:after="0"/>
              <w:jc w:val="right"/>
              <w:rPr>
                <w:b/>
                <w:bCs/>
                <w:color w:val="000000"/>
                <w:sz w:val="20"/>
                <w:szCs w:val="20"/>
              </w:rPr>
            </w:pPr>
            <w:r w:rsidRPr="00392E88">
              <w:rPr>
                <w:b/>
                <w:color w:val="000000"/>
                <w:sz w:val="20"/>
              </w:rPr>
              <w:t>0,000</w:t>
            </w:r>
          </w:p>
        </w:tc>
        <w:tc>
          <w:tcPr>
            <w:tcW w:w="528" w:type="pct"/>
            <w:gridSpan w:val="3"/>
            <w:tcBorders>
              <w:top w:val="nil"/>
              <w:left w:val="nil"/>
              <w:bottom w:val="single" w:sz="8" w:space="0" w:color="auto"/>
              <w:right w:val="single" w:sz="8" w:space="0" w:color="auto"/>
            </w:tcBorders>
            <w:shd w:val="clear" w:color="000000" w:fill="D9D9D9"/>
            <w:vAlign w:val="center"/>
            <w:hideMark/>
          </w:tcPr>
          <w:p w14:paraId="427EE57A" w14:textId="77777777" w:rsidR="00044D5B" w:rsidRPr="00392E88" w:rsidRDefault="00044D5B">
            <w:pPr>
              <w:spacing w:before="0" w:after="0"/>
              <w:jc w:val="right"/>
              <w:rPr>
                <w:b/>
                <w:bCs/>
                <w:color w:val="000000"/>
                <w:sz w:val="20"/>
                <w:szCs w:val="20"/>
              </w:rPr>
            </w:pPr>
            <w:r w:rsidRPr="00392E88">
              <w:rPr>
                <w:b/>
                <w:color w:val="000000"/>
                <w:sz w:val="20"/>
              </w:rPr>
              <w:t>0,000</w:t>
            </w:r>
          </w:p>
        </w:tc>
      </w:tr>
      <w:tr w:rsidR="00983E98" w:rsidRPr="00392E88" w14:paraId="65BF514B" w14:textId="77777777">
        <w:trPr>
          <w:gridBefore w:val="1"/>
          <w:trHeight w:val="588"/>
        </w:trPr>
        <w:tc>
          <w:tcPr>
            <w:tcW w:w="1522" w:type="pct"/>
            <w:gridSpan w:val="2"/>
            <w:tcBorders>
              <w:top w:val="nil"/>
              <w:left w:val="single" w:sz="8" w:space="0" w:color="auto"/>
              <w:bottom w:val="single" w:sz="8" w:space="0" w:color="auto"/>
              <w:right w:val="single" w:sz="8" w:space="0" w:color="auto"/>
            </w:tcBorders>
            <w:shd w:val="thinDiagStripe" w:color="C0C0C0" w:fill="F1F1F1"/>
            <w:vAlign w:val="center"/>
            <w:hideMark/>
          </w:tcPr>
          <w:p w14:paraId="530D29FB" w14:textId="77777777" w:rsidR="00044D5B" w:rsidRPr="00392E88" w:rsidRDefault="00044D5B">
            <w:pPr>
              <w:spacing w:before="0" w:after="0"/>
              <w:jc w:val="center"/>
              <w:rPr>
                <w:color w:val="000000"/>
                <w:sz w:val="20"/>
                <w:szCs w:val="20"/>
              </w:rPr>
            </w:pPr>
            <w:r w:rsidRPr="00392E88">
              <w:rPr>
                <w:color w:val="000000"/>
                <w:sz w:val="20"/>
              </w:rPr>
              <w:t>wieloletnich ram finansowych (kwota referencyjna)</w:t>
            </w:r>
          </w:p>
        </w:tc>
        <w:tc>
          <w:tcPr>
            <w:tcW w:w="471" w:type="pct"/>
            <w:tcBorders>
              <w:top w:val="nil"/>
              <w:left w:val="nil"/>
              <w:bottom w:val="single" w:sz="8" w:space="0" w:color="auto"/>
              <w:right w:val="single" w:sz="8" w:space="0" w:color="auto"/>
            </w:tcBorders>
            <w:vAlign w:val="center"/>
            <w:hideMark/>
          </w:tcPr>
          <w:p w14:paraId="3B106790" w14:textId="77777777" w:rsidR="00044D5B" w:rsidRPr="00392E88" w:rsidRDefault="00044D5B">
            <w:pPr>
              <w:spacing w:before="0" w:after="0"/>
              <w:rPr>
                <w:color w:val="000000"/>
                <w:sz w:val="18"/>
                <w:szCs w:val="18"/>
              </w:rPr>
            </w:pPr>
            <w:r w:rsidRPr="00392E88">
              <w:rPr>
                <w:color w:val="000000"/>
                <w:sz w:val="18"/>
              </w:rPr>
              <w:t>Środki na płatności</w:t>
            </w:r>
          </w:p>
        </w:tc>
        <w:tc>
          <w:tcPr>
            <w:tcW w:w="731" w:type="pct"/>
            <w:gridSpan w:val="3"/>
            <w:tcBorders>
              <w:top w:val="single" w:sz="8" w:space="0" w:color="auto"/>
              <w:left w:val="nil"/>
              <w:bottom w:val="single" w:sz="8" w:space="0" w:color="auto"/>
              <w:right w:val="single" w:sz="8" w:space="0" w:color="000000"/>
            </w:tcBorders>
            <w:vAlign w:val="center"/>
            <w:hideMark/>
          </w:tcPr>
          <w:p w14:paraId="7F61CFEF" w14:textId="77777777" w:rsidR="00044D5B" w:rsidRPr="00392E88" w:rsidRDefault="00044D5B">
            <w:pPr>
              <w:spacing w:before="0" w:after="0"/>
              <w:jc w:val="center"/>
              <w:rPr>
                <w:color w:val="000000"/>
                <w:sz w:val="14"/>
                <w:szCs w:val="14"/>
              </w:rPr>
            </w:pPr>
            <w:r w:rsidRPr="00392E88">
              <w:rPr>
                <w:color w:val="000000"/>
                <w:sz w:val="14"/>
              </w:rPr>
              <w:t>=5+6</w:t>
            </w:r>
          </w:p>
        </w:tc>
        <w:tc>
          <w:tcPr>
            <w:tcW w:w="437" w:type="pct"/>
            <w:gridSpan w:val="4"/>
            <w:tcBorders>
              <w:top w:val="nil"/>
              <w:left w:val="nil"/>
              <w:bottom w:val="single" w:sz="8" w:space="0" w:color="auto"/>
              <w:right w:val="single" w:sz="8" w:space="0" w:color="auto"/>
            </w:tcBorders>
            <w:shd w:val="clear" w:color="000000" w:fill="D9D9D9"/>
            <w:vAlign w:val="center"/>
            <w:hideMark/>
          </w:tcPr>
          <w:p w14:paraId="6672EEBF" w14:textId="77777777" w:rsidR="00044D5B" w:rsidRPr="00392E88" w:rsidRDefault="00044D5B">
            <w:pPr>
              <w:spacing w:before="0" w:after="0"/>
              <w:jc w:val="right"/>
              <w:rPr>
                <w:b/>
                <w:bCs/>
                <w:color w:val="000000"/>
                <w:sz w:val="20"/>
                <w:szCs w:val="20"/>
              </w:rPr>
            </w:pPr>
            <w:r w:rsidRPr="00392E88">
              <w:rPr>
                <w:b/>
                <w:color w:val="000000"/>
                <w:sz w:val="20"/>
              </w:rPr>
              <w:t>0,000</w:t>
            </w:r>
          </w:p>
        </w:tc>
        <w:tc>
          <w:tcPr>
            <w:tcW w:w="437" w:type="pct"/>
            <w:gridSpan w:val="4"/>
            <w:tcBorders>
              <w:top w:val="nil"/>
              <w:left w:val="nil"/>
              <w:bottom w:val="single" w:sz="8" w:space="0" w:color="auto"/>
              <w:right w:val="single" w:sz="8" w:space="0" w:color="auto"/>
            </w:tcBorders>
            <w:shd w:val="clear" w:color="000000" w:fill="D9D9D9"/>
            <w:vAlign w:val="center"/>
            <w:hideMark/>
          </w:tcPr>
          <w:p w14:paraId="623DF704" w14:textId="77777777" w:rsidR="00044D5B" w:rsidRPr="00392E88" w:rsidRDefault="00044D5B">
            <w:pPr>
              <w:spacing w:before="0" w:after="0"/>
              <w:jc w:val="right"/>
              <w:rPr>
                <w:b/>
                <w:bCs/>
                <w:color w:val="000000"/>
                <w:sz w:val="20"/>
                <w:szCs w:val="20"/>
              </w:rPr>
            </w:pPr>
            <w:r w:rsidRPr="00392E88">
              <w:rPr>
                <w:b/>
                <w:color w:val="000000"/>
                <w:sz w:val="20"/>
              </w:rPr>
              <w:t>0,000</w:t>
            </w:r>
          </w:p>
        </w:tc>
        <w:tc>
          <w:tcPr>
            <w:tcW w:w="437" w:type="pct"/>
            <w:gridSpan w:val="4"/>
            <w:tcBorders>
              <w:top w:val="nil"/>
              <w:left w:val="nil"/>
              <w:bottom w:val="single" w:sz="8" w:space="0" w:color="auto"/>
              <w:right w:val="single" w:sz="8" w:space="0" w:color="auto"/>
            </w:tcBorders>
            <w:shd w:val="clear" w:color="000000" w:fill="D9D9D9"/>
            <w:vAlign w:val="center"/>
            <w:hideMark/>
          </w:tcPr>
          <w:p w14:paraId="7E3A484A" w14:textId="77777777" w:rsidR="00044D5B" w:rsidRPr="00392E88" w:rsidRDefault="00044D5B">
            <w:pPr>
              <w:spacing w:before="0" w:after="0"/>
              <w:jc w:val="right"/>
              <w:rPr>
                <w:b/>
                <w:bCs/>
                <w:color w:val="000000"/>
                <w:sz w:val="20"/>
                <w:szCs w:val="20"/>
              </w:rPr>
            </w:pPr>
            <w:r w:rsidRPr="00392E88">
              <w:rPr>
                <w:b/>
                <w:color w:val="000000"/>
                <w:sz w:val="20"/>
              </w:rPr>
              <w:t>0,000</w:t>
            </w:r>
          </w:p>
        </w:tc>
        <w:tc>
          <w:tcPr>
            <w:tcW w:w="437" w:type="pct"/>
            <w:gridSpan w:val="4"/>
            <w:tcBorders>
              <w:top w:val="nil"/>
              <w:left w:val="nil"/>
              <w:bottom w:val="single" w:sz="8" w:space="0" w:color="auto"/>
              <w:right w:val="single" w:sz="8" w:space="0" w:color="auto"/>
            </w:tcBorders>
            <w:shd w:val="clear" w:color="000000" w:fill="D9D9D9"/>
            <w:vAlign w:val="center"/>
            <w:hideMark/>
          </w:tcPr>
          <w:p w14:paraId="1CF4380B" w14:textId="77777777" w:rsidR="00044D5B" w:rsidRPr="00392E88" w:rsidRDefault="00044D5B">
            <w:pPr>
              <w:spacing w:before="0" w:after="0"/>
              <w:jc w:val="right"/>
              <w:rPr>
                <w:b/>
                <w:bCs/>
                <w:color w:val="000000"/>
                <w:sz w:val="20"/>
                <w:szCs w:val="20"/>
              </w:rPr>
            </w:pPr>
            <w:r w:rsidRPr="00392E88">
              <w:rPr>
                <w:b/>
                <w:color w:val="000000"/>
                <w:sz w:val="20"/>
              </w:rPr>
              <w:t>0,000</w:t>
            </w:r>
          </w:p>
        </w:tc>
        <w:tc>
          <w:tcPr>
            <w:tcW w:w="528" w:type="pct"/>
            <w:gridSpan w:val="3"/>
            <w:tcBorders>
              <w:top w:val="nil"/>
              <w:left w:val="nil"/>
              <w:bottom w:val="single" w:sz="8" w:space="0" w:color="auto"/>
              <w:right w:val="single" w:sz="8" w:space="0" w:color="auto"/>
            </w:tcBorders>
            <w:shd w:val="clear" w:color="000000" w:fill="D9D9D9"/>
            <w:vAlign w:val="center"/>
            <w:hideMark/>
          </w:tcPr>
          <w:p w14:paraId="6016CCE5" w14:textId="77777777" w:rsidR="00044D5B" w:rsidRPr="00392E88" w:rsidRDefault="00044D5B">
            <w:pPr>
              <w:spacing w:before="0" w:after="0"/>
              <w:jc w:val="right"/>
              <w:rPr>
                <w:b/>
                <w:bCs/>
                <w:color w:val="000000"/>
                <w:sz w:val="20"/>
                <w:szCs w:val="20"/>
              </w:rPr>
            </w:pPr>
            <w:r w:rsidRPr="00392E88">
              <w:rPr>
                <w:b/>
                <w:color w:val="000000"/>
                <w:sz w:val="20"/>
              </w:rPr>
              <w:t>0,000</w:t>
            </w:r>
          </w:p>
        </w:tc>
      </w:tr>
    </w:tbl>
    <w:p w14:paraId="779E9DDB" w14:textId="77777777" w:rsidR="00044D5B" w:rsidRPr="00392E88" w:rsidRDefault="00044D5B" w:rsidP="00044D5B"/>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874"/>
        <w:gridCol w:w="1110"/>
        <w:gridCol w:w="8030"/>
      </w:tblGrid>
      <w:tr w:rsidR="00B55C7B" w:rsidRPr="00392E88" w14:paraId="72513986" w14:textId="77777777">
        <w:trPr>
          <w:jc w:val="center"/>
        </w:trPr>
        <w:tc>
          <w:tcPr>
            <w:tcW w:w="1668" w:type="pct"/>
            <w:shd w:val="thinDiagStripe" w:color="C0C0C0" w:fill="auto"/>
            <w:vAlign w:val="center"/>
          </w:tcPr>
          <w:p w14:paraId="1B1AE52E" w14:textId="77777777" w:rsidR="00044D5B" w:rsidRPr="00392E88" w:rsidRDefault="00044D5B">
            <w:pPr>
              <w:spacing w:before="60" w:after="60"/>
              <w:jc w:val="center"/>
              <w:rPr>
                <w:b/>
                <w:noProof/>
              </w:rPr>
            </w:pPr>
            <w:r w:rsidRPr="00392E88">
              <w:br w:type="page"/>
            </w:r>
            <w:r w:rsidRPr="00392E88">
              <w:rPr>
                <w:b/>
                <w:sz w:val="22"/>
              </w:rPr>
              <w:t xml:space="preserve">Dział wieloletnich ram finansowych </w:t>
            </w:r>
          </w:p>
        </w:tc>
        <w:tc>
          <w:tcPr>
            <w:tcW w:w="380" w:type="pct"/>
            <w:shd w:val="thinDiagStripe" w:color="C0C0C0" w:fill="auto"/>
            <w:vAlign w:val="center"/>
          </w:tcPr>
          <w:p w14:paraId="71D6CAAF" w14:textId="77777777" w:rsidR="00044D5B" w:rsidRPr="00392E88" w:rsidRDefault="00044D5B">
            <w:pPr>
              <w:spacing w:before="60" w:after="60"/>
              <w:jc w:val="center"/>
              <w:rPr>
                <w:noProof/>
              </w:rPr>
            </w:pPr>
            <w:r w:rsidRPr="00392E88">
              <w:rPr>
                <w:b/>
                <w:sz w:val="22"/>
              </w:rPr>
              <w:t>7</w:t>
            </w:r>
          </w:p>
        </w:tc>
        <w:tc>
          <w:tcPr>
            <w:tcW w:w="2749" w:type="pct"/>
            <w:vAlign w:val="center"/>
          </w:tcPr>
          <w:p w14:paraId="582A8586" w14:textId="77777777" w:rsidR="00044D5B" w:rsidRPr="00392E88" w:rsidRDefault="00044D5B">
            <w:pPr>
              <w:spacing w:before="60" w:after="60"/>
              <w:rPr>
                <w:noProof/>
              </w:rPr>
            </w:pPr>
            <w:r w:rsidRPr="00392E88">
              <w:rPr>
                <w:sz w:val="22"/>
              </w:rPr>
              <w:t>„Wydatki administracyjne”</w:t>
            </w:r>
            <w:r w:rsidRPr="00392E88">
              <w:t xml:space="preserve"> </w:t>
            </w:r>
          </w:p>
        </w:tc>
      </w:tr>
    </w:tbl>
    <w:p w14:paraId="3118AD56" w14:textId="77777777" w:rsidR="00044D5B" w:rsidRPr="00392E88" w:rsidRDefault="00044D5B" w:rsidP="00044D5B">
      <w:pPr>
        <w:jc w:val="right"/>
        <w:rPr>
          <w:noProof/>
          <w:sz w:val="20"/>
        </w:rPr>
      </w:pPr>
      <w:r w:rsidRPr="00392E88">
        <w:rPr>
          <w:sz w:val="20"/>
        </w:rPr>
        <w:t>w mln EUR (do trzech miejsc po przecinku)</w:t>
      </w:r>
    </w:p>
    <w:tbl>
      <w:tblPr>
        <w:tblW w:w="13140" w:type="dxa"/>
        <w:tblInd w:w="118" w:type="dxa"/>
        <w:tblCellMar>
          <w:left w:w="0" w:type="dxa"/>
          <w:right w:w="0" w:type="dxa"/>
        </w:tblCellMar>
        <w:tblLook w:val="04A0" w:firstRow="1" w:lastRow="0" w:firstColumn="1" w:lastColumn="0" w:noHBand="0" w:noVBand="1"/>
      </w:tblPr>
      <w:tblGrid>
        <w:gridCol w:w="4405"/>
        <w:gridCol w:w="2477"/>
        <w:gridCol w:w="505"/>
        <w:gridCol w:w="505"/>
        <w:gridCol w:w="1001"/>
        <w:gridCol w:w="1001"/>
        <w:gridCol w:w="1001"/>
        <w:gridCol w:w="1001"/>
        <w:gridCol w:w="1244"/>
      </w:tblGrid>
      <w:tr w:rsidR="00B55C7B" w:rsidRPr="00392E88" w14:paraId="6A1A9FB3" w14:textId="77777777">
        <w:trPr>
          <w:trHeight w:val="288"/>
        </w:trPr>
        <w:tc>
          <w:tcPr>
            <w:tcW w:w="7892" w:type="dxa"/>
            <w:gridSpan w:val="4"/>
            <w:vMerge w:val="restart"/>
            <w:tcBorders>
              <w:top w:val="single" w:sz="8" w:space="0" w:color="auto"/>
              <w:left w:val="single" w:sz="8" w:space="0" w:color="auto"/>
              <w:bottom w:val="single" w:sz="8" w:space="0" w:color="auto"/>
              <w:right w:val="single" w:sz="8" w:space="0" w:color="auto"/>
            </w:tcBorders>
            <w:vAlign w:val="center"/>
            <w:hideMark/>
          </w:tcPr>
          <w:p w14:paraId="1ABE8633" w14:textId="77777777" w:rsidR="00044D5B" w:rsidRPr="00392E88" w:rsidRDefault="00044D5B">
            <w:pPr>
              <w:spacing w:before="0" w:after="0"/>
              <w:jc w:val="center"/>
              <w:rPr>
                <w:color w:val="000000"/>
                <w:szCs w:val="24"/>
              </w:rPr>
            </w:pPr>
            <w:r w:rsidRPr="00392E88">
              <w:rPr>
                <w:color w:val="000000"/>
              </w:rPr>
              <w:t>Dyrekcja Generalna: &lt;…….&gt;</w:t>
            </w:r>
          </w:p>
        </w:tc>
        <w:tc>
          <w:tcPr>
            <w:tcW w:w="1001" w:type="dxa"/>
            <w:tcBorders>
              <w:top w:val="single" w:sz="8" w:space="0" w:color="auto"/>
              <w:left w:val="nil"/>
              <w:bottom w:val="nil"/>
              <w:right w:val="single" w:sz="8" w:space="0" w:color="auto"/>
            </w:tcBorders>
            <w:vAlign w:val="center"/>
            <w:hideMark/>
          </w:tcPr>
          <w:p w14:paraId="1A2F10B8" w14:textId="77777777" w:rsidR="00044D5B" w:rsidRPr="00392E88" w:rsidRDefault="00044D5B">
            <w:pPr>
              <w:spacing w:before="0" w:after="0"/>
              <w:jc w:val="center"/>
              <w:rPr>
                <w:color w:val="000000"/>
                <w:sz w:val="20"/>
                <w:szCs w:val="20"/>
              </w:rPr>
            </w:pPr>
            <w:r w:rsidRPr="00392E88">
              <w:rPr>
                <w:color w:val="000000"/>
                <w:sz w:val="20"/>
              </w:rPr>
              <w:t>Rok</w:t>
            </w:r>
          </w:p>
        </w:tc>
        <w:tc>
          <w:tcPr>
            <w:tcW w:w="1001" w:type="dxa"/>
            <w:tcBorders>
              <w:top w:val="single" w:sz="8" w:space="0" w:color="auto"/>
              <w:left w:val="nil"/>
              <w:bottom w:val="nil"/>
              <w:right w:val="single" w:sz="8" w:space="0" w:color="auto"/>
            </w:tcBorders>
            <w:vAlign w:val="center"/>
            <w:hideMark/>
          </w:tcPr>
          <w:p w14:paraId="1AA1338B" w14:textId="77777777" w:rsidR="00044D5B" w:rsidRPr="00392E88" w:rsidRDefault="00044D5B">
            <w:pPr>
              <w:spacing w:before="0" w:after="0"/>
              <w:jc w:val="center"/>
              <w:rPr>
                <w:color w:val="000000"/>
                <w:sz w:val="20"/>
                <w:szCs w:val="20"/>
              </w:rPr>
            </w:pPr>
            <w:r w:rsidRPr="00392E88">
              <w:rPr>
                <w:color w:val="000000"/>
                <w:sz w:val="20"/>
              </w:rPr>
              <w:t>Rok</w:t>
            </w:r>
          </w:p>
        </w:tc>
        <w:tc>
          <w:tcPr>
            <w:tcW w:w="1001" w:type="dxa"/>
            <w:tcBorders>
              <w:top w:val="single" w:sz="8" w:space="0" w:color="auto"/>
              <w:left w:val="nil"/>
              <w:bottom w:val="nil"/>
              <w:right w:val="single" w:sz="8" w:space="0" w:color="auto"/>
            </w:tcBorders>
            <w:vAlign w:val="center"/>
            <w:hideMark/>
          </w:tcPr>
          <w:p w14:paraId="35432706" w14:textId="77777777" w:rsidR="00044D5B" w:rsidRPr="00392E88" w:rsidRDefault="00044D5B">
            <w:pPr>
              <w:spacing w:before="0" w:after="0"/>
              <w:jc w:val="center"/>
              <w:rPr>
                <w:color w:val="000000"/>
                <w:sz w:val="20"/>
                <w:szCs w:val="20"/>
              </w:rPr>
            </w:pPr>
            <w:r w:rsidRPr="00392E88">
              <w:rPr>
                <w:color w:val="000000"/>
                <w:sz w:val="20"/>
              </w:rPr>
              <w:t>Rok</w:t>
            </w:r>
          </w:p>
        </w:tc>
        <w:tc>
          <w:tcPr>
            <w:tcW w:w="1001" w:type="dxa"/>
            <w:tcBorders>
              <w:top w:val="single" w:sz="8" w:space="0" w:color="auto"/>
              <w:left w:val="nil"/>
              <w:bottom w:val="nil"/>
              <w:right w:val="single" w:sz="8" w:space="0" w:color="auto"/>
            </w:tcBorders>
            <w:vAlign w:val="center"/>
            <w:hideMark/>
          </w:tcPr>
          <w:p w14:paraId="6C3CEE9D" w14:textId="77777777" w:rsidR="00044D5B" w:rsidRPr="00392E88" w:rsidRDefault="00044D5B">
            <w:pPr>
              <w:spacing w:before="0" w:after="0"/>
              <w:jc w:val="center"/>
              <w:rPr>
                <w:color w:val="000000"/>
                <w:sz w:val="20"/>
                <w:szCs w:val="20"/>
              </w:rPr>
            </w:pPr>
            <w:r w:rsidRPr="00392E88">
              <w:rPr>
                <w:color w:val="000000"/>
                <w:sz w:val="20"/>
              </w:rPr>
              <w:t>Rok</w:t>
            </w:r>
          </w:p>
        </w:tc>
        <w:tc>
          <w:tcPr>
            <w:tcW w:w="1244" w:type="dxa"/>
            <w:vMerge w:val="restart"/>
            <w:tcBorders>
              <w:top w:val="single" w:sz="8" w:space="0" w:color="auto"/>
              <w:left w:val="single" w:sz="8" w:space="0" w:color="auto"/>
              <w:bottom w:val="single" w:sz="8" w:space="0" w:color="000000"/>
              <w:right w:val="single" w:sz="8" w:space="0" w:color="auto"/>
            </w:tcBorders>
            <w:vAlign w:val="center"/>
            <w:hideMark/>
          </w:tcPr>
          <w:p w14:paraId="789AEA47" w14:textId="77777777" w:rsidR="00044D5B" w:rsidRPr="00392E88" w:rsidRDefault="00044D5B">
            <w:pPr>
              <w:spacing w:before="0" w:after="0"/>
              <w:jc w:val="center"/>
              <w:rPr>
                <w:b/>
                <w:bCs/>
                <w:color w:val="000000"/>
                <w:sz w:val="20"/>
                <w:szCs w:val="20"/>
              </w:rPr>
            </w:pPr>
            <w:r w:rsidRPr="00392E88">
              <w:rPr>
                <w:b/>
                <w:color w:val="000000"/>
                <w:sz w:val="20"/>
              </w:rPr>
              <w:t>OGÓŁEM WRF 2021–2027</w:t>
            </w:r>
          </w:p>
        </w:tc>
      </w:tr>
      <w:tr w:rsidR="00470A36" w:rsidRPr="00392E88" w14:paraId="7B15CF23" w14:textId="77777777">
        <w:trPr>
          <w:trHeight w:val="300"/>
        </w:trPr>
        <w:tc>
          <w:tcPr>
            <w:tcW w:w="7892" w:type="dxa"/>
            <w:gridSpan w:val="4"/>
            <w:vMerge/>
            <w:tcBorders>
              <w:top w:val="single" w:sz="8" w:space="0" w:color="auto"/>
              <w:left w:val="single" w:sz="8" w:space="0" w:color="auto"/>
              <w:bottom w:val="single" w:sz="8" w:space="0" w:color="auto"/>
              <w:right w:val="single" w:sz="8" w:space="0" w:color="auto"/>
            </w:tcBorders>
            <w:vAlign w:val="center"/>
            <w:hideMark/>
          </w:tcPr>
          <w:p w14:paraId="1A6D8440" w14:textId="77777777" w:rsidR="00044D5B" w:rsidRPr="00392E88" w:rsidRDefault="00044D5B">
            <w:pPr>
              <w:spacing w:before="0" w:after="0"/>
              <w:jc w:val="left"/>
              <w:rPr>
                <w:color w:val="000000"/>
                <w:szCs w:val="24"/>
                <w:lang w:eastAsia="en-IE"/>
              </w:rPr>
            </w:pPr>
          </w:p>
        </w:tc>
        <w:tc>
          <w:tcPr>
            <w:tcW w:w="1001" w:type="dxa"/>
            <w:tcBorders>
              <w:top w:val="nil"/>
              <w:left w:val="nil"/>
              <w:bottom w:val="single" w:sz="8" w:space="0" w:color="auto"/>
              <w:right w:val="single" w:sz="8" w:space="0" w:color="auto"/>
            </w:tcBorders>
            <w:vAlign w:val="center"/>
            <w:hideMark/>
          </w:tcPr>
          <w:p w14:paraId="76774624" w14:textId="77777777" w:rsidR="00044D5B" w:rsidRPr="00392E88" w:rsidRDefault="00044D5B">
            <w:pPr>
              <w:spacing w:before="0" w:after="0"/>
              <w:jc w:val="center"/>
              <w:rPr>
                <w:b/>
                <w:bCs/>
                <w:color w:val="000000"/>
                <w:sz w:val="20"/>
                <w:szCs w:val="20"/>
              </w:rPr>
            </w:pPr>
            <w:r w:rsidRPr="00392E88">
              <w:rPr>
                <w:b/>
                <w:color w:val="000000"/>
                <w:sz w:val="20"/>
              </w:rPr>
              <w:t>2024</w:t>
            </w:r>
          </w:p>
        </w:tc>
        <w:tc>
          <w:tcPr>
            <w:tcW w:w="1001" w:type="dxa"/>
            <w:tcBorders>
              <w:top w:val="nil"/>
              <w:left w:val="nil"/>
              <w:bottom w:val="single" w:sz="8" w:space="0" w:color="auto"/>
              <w:right w:val="single" w:sz="8" w:space="0" w:color="auto"/>
            </w:tcBorders>
            <w:vAlign w:val="center"/>
            <w:hideMark/>
          </w:tcPr>
          <w:p w14:paraId="58CACA70" w14:textId="77777777" w:rsidR="00044D5B" w:rsidRPr="00392E88" w:rsidRDefault="00044D5B">
            <w:pPr>
              <w:spacing w:before="0" w:after="0"/>
              <w:jc w:val="center"/>
              <w:rPr>
                <w:b/>
                <w:bCs/>
                <w:color w:val="000000"/>
                <w:sz w:val="20"/>
                <w:szCs w:val="20"/>
              </w:rPr>
            </w:pPr>
            <w:r w:rsidRPr="00392E88">
              <w:rPr>
                <w:b/>
                <w:color w:val="000000"/>
                <w:sz w:val="20"/>
              </w:rPr>
              <w:t>2025</w:t>
            </w:r>
          </w:p>
        </w:tc>
        <w:tc>
          <w:tcPr>
            <w:tcW w:w="1001" w:type="dxa"/>
            <w:tcBorders>
              <w:top w:val="nil"/>
              <w:left w:val="nil"/>
              <w:bottom w:val="single" w:sz="8" w:space="0" w:color="auto"/>
              <w:right w:val="single" w:sz="8" w:space="0" w:color="auto"/>
            </w:tcBorders>
            <w:vAlign w:val="center"/>
            <w:hideMark/>
          </w:tcPr>
          <w:p w14:paraId="76C51229" w14:textId="77777777" w:rsidR="00044D5B" w:rsidRPr="00392E88" w:rsidRDefault="00044D5B">
            <w:pPr>
              <w:spacing w:before="0" w:after="0"/>
              <w:jc w:val="center"/>
              <w:rPr>
                <w:b/>
                <w:bCs/>
                <w:color w:val="000000"/>
                <w:sz w:val="20"/>
                <w:szCs w:val="20"/>
              </w:rPr>
            </w:pPr>
            <w:r w:rsidRPr="00392E88">
              <w:rPr>
                <w:b/>
                <w:color w:val="000000"/>
                <w:sz w:val="20"/>
              </w:rPr>
              <w:t>2026</w:t>
            </w:r>
          </w:p>
        </w:tc>
        <w:tc>
          <w:tcPr>
            <w:tcW w:w="1001" w:type="dxa"/>
            <w:tcBorders>
              <w:top w:val="nil"/>
              <w:left w:val="nil"/>
              <w:bottom w:val="single" w:sz="8" w:space="0" w:color="auto"/>
              <w:right w:val="single" w:sz="8" w:space="0" w:color="auto"/>
            </w:tcBorders>
            <w:vAlign w:val="center"/>
            <w:hideMark/>
          </w:tcPr>
          <w:p w14:paraId="0156A92F" w14:textId="77777777" w:rsidR="00044D5B" w:rsidRPr="00392E88" w:rsidRDefault="00044D5B">
            <w:pPr>
              <w:spacing w:before="0" w:after="0"/>
              <w:jc w:val="center"/>
              <w:rPr>
                <w:b/>
                <w:bCs/>
                <w:color w:val="000000"/>
                <w:sz w:val="20"/>
                <w:szCs w:val="20"/>
              </w:rPr>
            </w:pPr>
            <w:r w:rsidRPr="00392E88">
              <w:rPr>
                <w:b/>
                <w:color w:val="000000"/>
                <w:sz w:val="20"/>
              </w:rPr>
              <w:t>2027</w:t>
            </w:r>
          </w:p>
        </w:tc>
        <w:tc>
          <w:tcPr>
            <w:tcW w:w="1244" w:type="dxa"/>
            <w:vMerge/>
            <w:tcBorders>
              <w:top w:val="single" w:sz="8" w:space="0" w:color="auto"/>
              <w:left w:val="single" w:sz="8" w:space="0" w:color="auto"/>
              <w:bottom w:val="single" w:sz="8" w:space="0" w:color="000000"/>
              <w:right w:val="single" w:sz="8" w:space="0" w:color="auto"/>
            </w:tcBorders>
            <w:vAlign w:val="center"/>
            <w:hideMark/>
          </w:tcPr>
          <w:p w14:paraId="74A50DF8" w14:textId="77777777" w:rsidR="00044D5B" w:rsidRPr="00392E88" w:rsidRDefault="00044D5B">
            <w:pPr>
              <w:spacing w:before="0" w:after="0"/>
              <w:jc w:val="left"/>
              <w:rPr>
                <w:b/>
                <w:bCs/>
                <w:color w:val="000000"/>
                <w:sz w:val="20"/>
                <w:szCs w:val="20"/>
                <w:lang w:eastAsia="en-IE"/>
              </w:rPr>
            </w:pPr>
          </w:p>
        </w:tc>
      </w:tr>
      <w:tr w:rsidR="00E6355E" w:rsidRPr="00392E88" w14:paraId="79496D04" w14:textId="77777777">
        <w:trPr>
          <w:trHeight w:val="300"/>
        </w:trPr>
        <w:tc>
          <w:tcPr>
            <w:tcW w:w="7892" w:type="dxa"/>
            <w:gridSpan w:val="4"/>
            <w:tcBorders>
              <w:top w:val="single" w:sz="8" w:space="0" w:color="auto"/>
              <w:left w:val="single" w:sz="8" w:space="0" w:color="auto"/>
              <w:bottom w:val="single" w:sz="8" w:space="0" w:color="auto"/>
              <w:right w:val="single" w:sz="8" w:space="0" w:color="auto"/>
            </w:tcBorders>
            <w:vAlign w:val="center"/>
            <w:hideMark/>
          </w:tcPr>
          <w:p w14:paraId="0EB87A9D" w14:textId="77777777" w:rsidR="00044D5B" w:rsidRPr="00392E88" w:rsidRDefault="00044D5B">
            <w:pPr>
              <w:spacing w:before="0" w:after="0"/>
              <w:jc w:val="left"/>
              <w:rPr>
                <w:rFonts w:ascii="Wingdings" w:hAnsi="Wingdings" w:cs="Calibri"/>
                <w:color w:val="000000"/>
                <w:sz w:val="22"/>
              </w:rPr>
            </w:pPr>
            <w:r w:rsidRPr="00392E88">
              <w:rPr>
                <w:rFonts w:ascii="Wingdings" w:hAnsi="Wingdings"/>
                <w:color w:val="000000"/>
                <w:sz w:val="22"/>
              </w:rPr>
              <w:t>Ÿ</w:t>
            </w:r>
            <w:r w:rsidRPr="00392E88">
              <w:t xml:space="preserve"> Zasoby ludzkie</w:t>
            </w:r>
            <w:r w:rsidRPr="00392E88">
              <w:rPr>
                <w:color w:val="000000"/>
                <w:sz w:val="22"/>
              </w:rPr>
              <w:t xml:space="preserve"> </w:t>
            </w:r>
          </w:p>
        </w:tc>
        <w:tc>
          <w:tcPr>
            <w:tcW w:w="1001" w:type="dxa"/>
            <w:tcBorders>
              <w:top w:val="nil"/>
              <w:left w:val="nil"/>
              <w:bottom w:val="single" w:sz="8" w:space="0" w:color="auto"/>
              <w:right w:val="single" w:sz="8" w:space="0" w:color="auto"/>
            </w:tcBorders>
            <w:shd w:val="clear" w:color="000000" w:fill="D9D9D9"/>
            <w:vAlign w:val="center"/>
            <w:hideMark/>
          </w:tcPr>
          <w:p w14:paraId="5644871D" w14:textId="77777777" w:rsidR="00044D5B" w:rsidRPr="00392E88" w:rsidRDefault="00044D5B">
            <w:pPr>
              <w:spacing w:before="0" w:after="0"/>
              <w:jc w:val="right"/>
              <w:rPr>
                <w:color w:val="000000"/>
                <w:sz w:val="20"/>
                <w:szCs w:val="20"/>
              </w:rPr>
            </w:pPr>
            <w:r w:rsidRPr="00392E88">
              <w:rPr>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14:paraId="1E005893" w14:textId="77777777" w:rsidR="00044D5B" w:rsidRPr="00392E88" w:rsidRDefault="00044D5B">
            <w:pPr>
              <w:spacing w:before="0" w:after="0"/>
              <w:jc w:val="right"/>
              <w:rPr>
                <w:color w:val="000000"/>
                <w:sz w:val="20"/>
                <w:szCs w:val="20"/>
              </w:rPr>
            </w:pPr>
            <w:r w:rsidRPr="00392E88">
              <w:rPr>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14:paraId="0E52CE9B" w14:textId="77777777" w:rsidR="00044D5B" w:rsidRPr="00392E88" w:rsidRDefault="00044D5B">
            <w:pPr>
              <w:spacing w:before="0" w:after="0"/>
              <w:jc w:val="right"/>
              <w:rPr>
                <w:color w:val="000000"/>
                <w:sz w:val="20"/>
                <w:szCs w:val="20"/>
              </w:rPr>
            </w:pPr>
            <w:r w:rsidRPr="00392E88">
              <w:rPr>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14:paraId="19CCC390" w14:textId="77777777" w:rsidR="00044D5B" w:rsidRPr="00392E88" w:rsidRDefault="00044D5B">
            <w:pPr>
              <w:spacing w:before="0" w:after="0"/>
              <w:jc w:val="right"/>
              <w:rPr>
                <w:color w:val="000000"/>
                <w:sz w:val="20"/>
                <w:szCs w:val="20"/>
              </w:rPr>
            </w:pPr>
            <w:r w:rsidRPr="00392E88">
              <w:rPr>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14:paraId="5F772814" w14:textId="77777777" w:rsidR="00044D5B" w:rsidRPr="00392E88" w:rsidRDefault="00044D5B">
            <w:pPr>
              <w:spacing w:before="0" w:after="0"/>
              <w:jc w:val="right"/>
              <w:rPr>
                <w:b/>
                <w:bCs/>
                <w:color w:val="000000"/>
                <w:sz w:val="20"/>
                <w:szCs w:val="20"/>
              </w:rPr>
            </w:pPr>
            <w:r w:rsidRPr="00392E88">
              <w:rPr>
                <w:b/>
                <w:color w:val="000000"/>
                <w:sz w:val="20"/>
              </w:rPr>
              <w:t>0,000</w:t>
            </w:r>
          </w:p>
        </w:tc>
      </w:tr>
      <w:tr w:rsidR="00E6355E" w:rsidRPr="00392E88" w14:paraId="3994E30B" w14:textId="77777777">
        <w:trPr>
          <w:trHeight w:val="300"/>
        </w:trPr>
        <w:tc>
          <w:tcPr>
            <w:tcW w:w="7892" w:type="dxa"/>
            <w:gridSpan w:val="4"/>
            <w:tcBorders>
              <w:top w:val="single" w:sz="8" w:space="0" w:color="auto"/>
              <w:left w:val="single" w:sz="8" w:space="0" w:color="auto"/>
              <w:bottom w:val="single" w:sz="8" w:space="0" w:color="auto"/>
              <w:right w:val="single" w:sz="8" w:space="0" w:color="auto"/>
            </w:tcBorders>
            <w:vAlign w:val="center"/>
            <w:hideMark/>
          </w:tcPr>
          <w:p w14:paraId="10E825EC" w14:textId="77777777" w:rsidR="00044D5B" w:rsidRPr="00392E88" w:rsidRDefault="00044D5B">
            <w:pPr>
              <w:spacing w:before="0" w:after="0"/>
              <w:jc w:val="left"/>
              <w:rPr>
                <w:rFonts w:ascii="Wingdings" w:hAnsi="Wingdings" w:cs="Calibri"/>
                <w:color w:val="000000"/>
                <w:sz w:val="22"/>
              </w:rPr>
            </w:pPr>
            <w:r w:rsidRPr="00392E88">
              <w:rPr>
                <w:rFonts w:ascii="Wingdings" w:hAnsi="Wingdings"/>
                <w:color w:val="000000"/>
                <w:sz w:val="22"/>
              </w:rPr>
              <w:t>Ÿ</w:t>
            </w:r>
            <w:r w:rsidRPr="00392E88">
              <w:t xml:space="preserve"> Pozostałe wydatki administracyjne</w:t>
            </w:r>
            <w:r w:rsidRPr="00392E88">
              <w:rPr>
                <w:color w:val="000000"/>
                <w:sz w:val="22"/>
              </w:rPr>
              <w:t xml:space="preserve"> </w:t>
            </w:r>
          </w:p>
        </w:tc>
        <w:tc>
          <w:tcPr>
            <w:tcW w:w="1001" w:type="dxa"/>
            <w:tcBorders>
              <w:top w:val="nil"/>
              <w:left w:val="nil"/>
              <w:bottom w:val="single" w:sz="8" w:space="0" w:color="auto"/>
              <w:right w:val="single" w:sz="8" w:space="0" w:color="auto"/>
            </w:tcBorders>
            <w:shd w:val="clear" w:color="000000" w:fill="D9D9D9"/>
            <w:vAlign w:val="center"/>
            <w:hideMark/>
          </w:tcPr>
          <w:p w14:paraId="35037EC4" w14:textId="77777777" w:rsidR="00044D5B" w:rsidRPr="00392E88" w:rsidRDefault="00044D5B">
            <w:pPr>
              <w:spacing w:before="0" w:after="0"/>
              <w:jc w:val="right"/>
              <w:rPr>
                <w:color w:val="000000"/>
                <w:sz w:val="20"/>
                <w:szCs w:val="20"/>
              </w:rPr>
            </w:pPr>
            <w:r w:rsidRPr="00392E88">
              <w:rPr>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14:paraId="6222E93C" w14:textId="77777777" w:rsidR="00044D5B" w:rsidRPr="00392E88" w:rsidRDefault="00044D5B">
            <w:pPr>
              <w:spacing w:before="0" w:after="0"/>
              <w:jc w:val="right"/>
              <w:rPr>
                <w:color w:val="000000"/>
                <w:sz w:val="20"/>
                <w:szCs w:val="20"/>
              </w:rPr>
            </w:pPr>
            <w:r w:rsidRPr="00392E88">
              <w:rPr>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14:paraId="705AA04D" w14:textId="77777777" w:rsidR="00044D5B" w:rsidRPr="00392E88" w:rsidRDefault="00044D5B">
            <w:pPr>
              <w:spacing w:before="0" w:after="0"/>
              <w:jc w:val="right"/>
              <w:rPr>
                <w:color w:val="000000"/>
                <w:sz w:val="20"/>
                <w:szCs w:val="20"/>
              </w:rPr>
            </w:pPr>
            <w:r w:rsidRPr="00392E88">
              <w:rPr>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14:paraId="5FC48D53" w14:textId="77777777" w:rsidR="00044D5B" w:rsidRPr="00392E88" w:rsidRDefault="00044D5B">
            <w:pPr>
              <w:spacing w:before="0" w:after="0"/>
              <w:jc w:val="right"/>
              <w:rPr>
                <w:color w:val="000000"/>
                <w:sz w:val="20"/>
                <w:szCs w:val="20"/>
              </w:rPr>
            </w:pPr>
            <w:r w:rsidRPr="00392E88">
              <w:rPr>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14:paraId="126EA3F7" w14:textId="77777777" w:rsidR="00044D5B" w:rsidRPr="00392E88" w:rsidRDefault="00044D5B">
            <w:pPr>
              <w:spacing w:before="0" w:after="0"/>
              <w:jc w:val="right"/>
              <w:rPr>
                <w:b/>
                <w:bCs/>
                <w:color w:val="000000"/>
                <w:sz w:val="20"/>
                <w:szCs w:val="20"/>
              </w:rPr>
            </w:pPr>
            <w:r w:rsidRPr="00392E88">
              <w:rPr>
                <w:b/>
                <w:color w:val="000000"/>
                <w:sz w:val="20"/>
              </w:rPr>
              <w:t>0,000</w:t>
            </w:r>
          </w:p>
        </w:tc>
      </w:tr>
      <w:tr w:rsidR="00E6355E" w:rsidRPr="00392E88" w14:paraId="5B0C8BE1" w14:textId="77777777">
        <w:trPr>
          <w:trHeight w:val="300"/>
        </w:trPr>
        <w:tc>
          <w:tcPr>
            <w:tcW w:w="4405" w:type="dxa"/>
            <w:tcBorders>
              <w:top w:val="nil"/>
              <w:left w:val="single" w:sz="8" w:space="0" w:color="auto"/>
              <w:bottom w:val="single" w:sz="8" w:space="0" w:color="auto"/>
              <w:right w:val="single" w:sz="8" w:space="0" w:color="auto"/>
            </w:tcBorders>
            <w:vAlign w:val="center"/>
            <w:hideMark/>
          </w:tcPr>
          <w:p w14:paraId="1FD6EC33" w14:textId="77777777" w:rsidR="00044D5B" w:rsidRPr="00392E88" w:rsidRDefault="00044D5B">
            <w:pPr>
              <w:spacing w:before="0" w:after="0"/>
              <w:jc w:val="center"/>
              <w:rPr>
                <w:b/>
                <w:bCs/>
                <w:color w:val="000000"/>
                <w:sz w:val="22"/>
              </w:rPr>
            </w:pPr>
            <w:r w:rsidRPr="00392E88">
              <w:rPr>
                <w:b/>
                <w:color w:val="000000"/>
                <w:sz w:val="22"/>
              </w:rPr>
              <w:t>OGÓŁEM Dyrekcja Generalna</w:t>
            </w:r>
            <w:r w:rsidRPr="00392E88">
              <w:rPr>
                <w:color w:val="000000"/>
                <w:sz w:val="22"/>
              </w:rPr>
              <w:t xml:space="preserve"> &lt;….&gt;</w:t>
            </w:r>
          </w:p>
        </w:tc>
        <w:tc>
          <w:tcPr>
            <w:tcW w:w="3487" w:type="dxa"/>
            <w:gridSpan w:val="3"/>
            <w:tcBorders>
              <w:top w:val="single" w:sz="8" w:space="0" w:color="auto"/>
              <w:left w:val="nil"/>
              <w:bottom w:val="single" w:sz="8" w:space="0" w:color="auto"/>
              <w:right w:val="single" w:sz="8" w:space="0" w:color="auto"/>
            </w:tcBorders>
            <w:vAlign w:val="center"/>
            <w:hideMark/>
          </w:tcPr>
          <w:p w14:paraId="133013C8" w14:textId="77777777" w:rsidR="00044D5B" w:rsidRPr="00392E88" w:rsidRDefault="00044D5B">
            <w:pPr>
              <w:spacing w:before="0" w:after="0"/>
              <w:jc w:val="left"/>
              <w:rPr>
                <w:color w:val="000000"/>
                <w:sz w:val="18"/>
                <w:szCs w:val="18"/>
              </w:rPr>
            </w:pPr>
            <w:r w:rsidRPr="00392E88">
              <w:rPr>
                <w:color w:val="000000"/>
                <w:sz w:val="18"/>
              </w:rPr>
              <w:t xml:space="preserve">Środki </w:t>
            </w:r>
          </w:p>
        </w:tc>
        <w:tc>
          <w:tcPr>
            <w:tcW w:w="1001" w:type="dxa"/>
            <w:tcBorders>
              <w:top w:val="nil"/>
              <w:left w:val="nil"/>
              <w:bottom w:val="single" w:sz="8" w:space="0" w:color="auto"/>
              <w:right w:val="single" w:sz="8" w:space="0" w:color="auto"/>
            </w:tcBorders>
            <w:shd w:val="clear" w:color="000000" w:fill="D9D9D9"/>
            <w:vAlign w:val="center"/>
            <w:hideMark/>
          </w:tcPr>
          <w:p w14:paraId="36739C6D" w14:textId="77777777" w:rsidR="00044D5B" w:rsidRPr="00392E88" w:rsidRDefault="00044D5B">
            <w:pPr>
              <w:spacing w:before="0" w:after="0"/>
              <w:jc w:val="right"/>
              <w:rPr>
                <w:b/>
                <w:bCs/>
                <w:color w:val="000000"/>
                <w:sz w:val="20"/>
                <w:szCs w:val="20"/>
              </w:rPr>
            </w:pPr>
            <w:r w:rsidRPr="00392E88">
              <w:rPr>
                <w:b/>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14:paraId="0C44C0FE" w14:textId="77777777" w:rsidR="00044D5B" w:rsidRPr="00392E88" w:rsidRDefault="00044D5B">
            <w:pPr>
              <w:spacing w:before="0" w:after="0"/>
              <w:jc w:val="right"/>
              <w:rPr>
                <w:b/>
                <w:bCs/>
                <w:color w:val="000000"/>
                <w:sz w:val="20"/>
                <w:szCs w:val="20"/>
              </w:rPr>
            </w:pPr>
            <w:r w:rsidRPr="00392E88">
              <w:rPr>
                <w:b/>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14:paraId="44AC7703" w14:textId="77777777" w:rsidR="00044D5B" w:rsidRPr="00392E88" w:rsidRDefault="00044D5B">
            <w:pPr>
              <w:spacing w:before="0" w:after="0"/>
              <w:jc w:val="right"/>
              <w:rPr>
                <w:b/>
                <w:bCs/>
                <w:color w:val="000000"/>
                <w:sz w:val="20"/>
                <w:szCs w:val="20"/>
              </w:rPr>
            </w:pPr>
            <w:r w:rsidRPr="00392E88">
              <w:rPr>
                <w:b/>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14:paraId="275E8469" w14:textId="77777777" w:rsidR="00044D5B" w:rsidRPr="00392E88" w:rsidRDefault="00044D5B">
            <w:pPr>
              <w:spacing w:before="0" w:after="0"/>
              <w:jc w:val="right"/>
              <w:rPr>
                <w:b/>
                <w:bCs/>
                <w:color w:val="000000"/>
                <w:sz w:val="20"/>
                <w:szCs w:val="20"/>
              </w:rPr>
            </w:pPr>
            <w:r w:rsidRPr="00392E88">
              <w:rPr>
                <w:b/>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14:paraId="700A6D35" w14:textId="77777777" w:rsidR="00044D5B" w:rsidRPr="00392E88" w:rsidRDefault="00044D5B">
            <w:pPr>
              <w:spacing w:before="0" w:after="0"/>
              <w:jc w:val="right"/>
              <w:rPr>
                <w:b/>
                <w:bCs/>
                <w:color w:val="000000"/>
                <w:sz w:val="20"/>
                <w:szCs w:val="20"/>
              </w:rPr>
            </w:pPr>
            <w:r w:rsidRPr="00392E88">
              <w:rPr>
                <w:b/>
                <w:color w:val="000000"/>
                <w:sz w:val="20"/>
              </w:rPr>
              <w:t>0,000</w:t>
            </w:r>
          </w:p>
        </w:tc>
      </w:tr>
      <w:tr w:rsidR="009A0F8D" w:rsidRPr="00392E88" w14:paraId="253457F8" w14:textId="77777777">
        <w:trPr>
          <w:trHeight w:val="300"/>
        </w:trPr>
        <w:tc>
          <w:tcPr>
            <w:tcW w:w="4405" w:type="dxa"/>
            <w:tcBorders>
              <w:top w:val="nil"/>
              <w:left w:val="nil"/>
              <w:bottom w:val="nil"/>
              <w:right w:val="nil"/>
            </w:tcBorders>
            <w:noWrap/>
            <w:vAlign w:val="bottom"/>
            <w:hideMark/>
          </w:tcPr>
          <w:p w14:paraId="0B5F19DF" w14:textId="77777777" w:rsidR="00044D5B" w:rsidRPr="00392E88" w:rsidRDefault="00044D5B">
            <w:pPr>
              <w:spacing w:before="0" w:after="0"/>
              <w:jc w:val="right"/>
              <w:rPr>
                <w:b/>
                <w:bCs/>
                <w:color w:val="000000"/>
                <w:sz w:val="20"/>
                <w:szCs w:val="20"/>
                <w:lang w:eastAsia="en-IE"/>
              </w:rPr>
            </w:pPr>
          </w:p>
        </w:tc>
        <w:tc>
          <w:tcPr>
            <w:tcW w:w="2477" w:type="dxa"/>
            <w:tcBorders>
              <w:top w:val="nil"/>
              <w:left w:val="nil"/>
              <w:bottom w:val="nil"/>
              <w:right w:val="nil"/>
            </w:tcBorders>
            <w:noWrap/>
            <w:vAlign w:val="bottom"/>
            <w:hideMark/>
          </w:tcPr>
          <w:p w14:paraId="5A703F66" w14:textId="77777777" w:rsidR="00044D5B" w:rsidRPr="00392E88" w:rsidRDefault="00044D5B">
            <w:pPr>
              <w:spacing w:before="0" w:after="0"/>
              <w:jc w:val="left"/>
              <w:rPr>
                <w:sz w:val="20"/>
                <w:szCs w:val="20"/>
                <w:lang w:eastAsia="en-IE"/>
              </w:rPr>
            </w:pPr>
          </w:p>
        </w:tc>
        <w:tc>
          <w:tcPr>
            <w:tcW w:w="505" w:type="dxa"/>
            <w:tcBorders>
              <w:top w:val="nil"/>
              <w:left w:val="nil"/>
              <w:bottom w:val="nil"/>
              <w:right w:val="nil"/>
            </w:tcBorders>
            <w:noWrap/>
            <w:vAlign w:val="bottom"/>
            <w:hideMark/>
          </w:tcPr>
          <w:p w14:paraId="1F3D1F86" w14:textId="77777777" w:rsidR="00044D5B" w:rsidRPr="00392E88" w:rsidRDefault="00044D5B">
            <w:pPr>
              <w:spacing w:before="0" w:after="0"/>
              <w:jc w:val="left"/>
              <w:rPr>
                <w:sz w:val="20"/>
                <w:szCs w:val="20"/>
                <w:lang w:eastAsia="en-IE"/>
              </w:rPr>
            </w:pPr>
          </w:p>
        </w:tc>
        <w:tc>
          <w:tcPr>
            <w:tcW w:w="505" w:type="dxa"/>
            <w:tcBorders>
              <w:top w:val="nil"/>
              <w:left w:val="nil"/>
              <w:bottom w:val="nil"/>
              <w:right w:val="nil"/>
            </w:tcBorders>
            <w:noWrap/>
            <w:vAlign w:val="bottom"/>
            <w:hideMark/>
          </w:tcPr>
          <w:p w14:paraId="06EF07A3" w14:textId="77777777" w:rsidR="00044D5B" w:rsidRPr="00392E88" w:rsidRDefault="00044D5B">
            <w:pPr>
              <w:spacing w:before="0" w:after="0"/>
              <w:jc w:val="left"/>
              <w:rPr>
                <w:sz w:val="20"/>
                <w:szCs w:val="20"/>
                <w:lang w:eastAsia="en-IE"/>
              </w:rPr>
            </w:pPr>
          </w:p>
        </w:tc>
        <w:tc>
          <w:tcPr>
            <w:tcW w:w="1001" w:type="dxa"/>
            <w:tcBorders>
              <w:top w:val="nil"/>
              <w:left w:val="nil"/>
              <w:bottom w:val="nil"/>
              <w:right w:val="nil"/>
            </w:tcBorders>
            <w:noWrap/>
            <w:vAlign w:val="bottom"/>
            <w:hideMark/>
          </w:tcPr>
          <w:p w14:paraId="1B04B549" w14:textId="77777777" w:rsidR="00044D5B" w:rsidRPr="00392E88" w:rsidRDefault="00044D5B">
            <w:pPr>
              <w:spacing w:before="0" w:after="0"/>
              <w:jc w:val="left"/>
              <w:rPr>
                <w:sz w:val="20"/>
                <w:szCs w:val="20"/>
                <w:lang w:eastAsia="en-IE"/>
              </w:rPr>
            </w:pPr>
          </w:p>
        </w:tc>
        <w:tc>
          <w:tcPr>
            <w:tcW w:w="1001" w:type="dxa"/>
            <w:tcBorders>
              <w:top w:val="nil"/>
              <w:left w:val="nil"/>
              <w:bottom w:val="nil"/>
              <w:right w:val="nil"/>
            </w:tcBorders>
            <w:noWrap/>
            <w:vAlign w:val="bottom"/>
            <w:hideMark/>
          </w:tcPr>
          <w:p w14:paraId="1EAB666C" w14:textId="77777777" w:rsidR="00044D5B" w:rsidRPr="00392E88" w:rsidRDefault="00044D5B">
            <w:pPr>
              <w:spacing w:before="0" w:after="0"/>
              <w:jc w:val="left"/>
              <w:rPr>
                <w:sz w:val="20"/>
                <w:szCs w:val="20"/>
                <w:lang w:eastAsia="en-IE"/>
              </w:rPr>
            </w:pPr>
          </w:p>
        </w:tc>
        <w:tc>
          <w:tcPr>
            <w:tcW w:w="1001" w:type="dxa"/>
            <w:tcBorders>
              <w:top w:val="nil"/>
              <w:left w:val="nil"/>
              <w:bottom w:val="nil"/>
              <w:right w:val="nil"/>
            </w:tcBorders>
            <w:noWrap/>
            <w:vAlign w:val="bottom"/>
            <w:hideMark/>
          </w:tcPr>
          <w:p w14:paraId="3084F9DA" w14:textId="77777777" w:rsidR="00044D5B" w:rsidRPr="00392E88" w:rsidRDefault="00044D5B">
            <w:pPr>
              <w:spacing w:before="0" w:after="0"/>
              <w:jc w:val="left"/>
              <w:rPr>
                <w:sz w:val="20"/>
                <w:szCs w:val="20"/>
                <w:lang w:eastAsia="en-IE"/>
              </w:rPr>
            </w:pPr>
          </w:p>
        </w:tc>
        <w:tc>
          <w:tcPr>
            <w:tcW w:w="1001" w:type="dxa"/>
            <w:tcBorders>
              <w:top w:val="nil"/>
              <w:left w:val="nil"/>
              <w:bottom w:val="nil"/>
              <w:right w:val="nil"/>
            </w:tcBorders>
            <w:noWrap/>
            <w:vAlign w:val="bottom"/>
            <w:hideMark/>
          </w:tcPr>
          <w:p w14:paraId="7871F802" w14:textId="77777777" w:rsidR="00044D5B" w:rsidRPr="00392E88" w:rsidRDefault="00044D5B">
            <w:pPr>
              <w:spacing w:before="0" w:after="0"/>
              <w:jc w:val="left"/>
              <w:rPr>
                <w:sz w:val="20"/>
                <w:szCs w:val="20"/>
                <w:lang w:eastAsia="en-IE"/>
              </w:rPr>
            </w:pPr>
          </w:p>
        </w:tc>
        <w:tc>
          <w:tcPr>
            <w:tcW w:w="1244" w:type="dxa"/>
            <w:tcBorders>
              <w:top w:val="nil"/>
              <w:left w:val="nil"/>
              <w:bottom w:val="nil"/>
              <w:right w:val="nil"/>
            </w:tcBorders>
            <w:noWrap/>
            <w:vAlign w:val="bottom"/>
            <w:hideMark/>
          </w:tcPr>
          <w:p w14:paraId="4744606F" w14:textId="77777777" w:rsidR="00044D5B" w:rsidRPr="00392E88" w:rsidRDefault="00044D5B">
            <w:pPr>
              <w:spacing w:before="0" w:after="0"/>
              <w:jc w:val="left"/>
              <w:rPr>
                <w:sz w:val="20"/>
                <w:szCs w:val="20"/>
                <w:lang w:eastAsia="en-IE"/>
              </w:rPr>
            </w:pPr>
          </w:p>
        </w:tc>
      </w:tr>
      <w:tr w:rsidR="00B55C7B" w:rsidRPr="00392E88" w14:paraId="733EDF28" w14:textId="77777777">
        <w:trPr>
          <w:trHeight w:val="315"/>
        </w:trPr>
        <w:tc>
          <w:tcPr>
            <w:tcW w:w="7892" w:type="dxa"/>
            <w:gridSpan w:val="4"/>
            <w:vMerge w:val="restart"/>
            <w:tcBorders>
              <w:top w:val="single" w:sz="8" w:space="0" w:color="auto"/>
              <w:left w:val="single" w:sz="8" w:space="0" w:color="auto"/>
              <w:bottom w:val="single" w:sz="8" w:space="0" w:color="auto"/>
              <w:right w:val="single" w:sz="8" w:space="0" w:color="auto"/>
            </w:tcBorders>
            <w:vAlign w:val="center"/>
            <w:hideMark/>
          </w:tcPr>
          <w:p w14:paraId="641F902C" w14:textId="77777777" w:rsidR="00044D5B" w:rsidRPr="00392E88" w:rsidRDefault="00044D5B">
            <w:pPr>
              <w:spacing w:before="0" w:after="0"/>
              <w:jc w:val="center"/>
              <w:rPr>
                <w:color w:val="000000"/>
                <w:szCs w:val="24"/>
              </w:rPr>
            </w:pPr>
            <w:r w:rsidRPr="00392E88">
              <w:rPr>
                <w:color w:val="000000"/>
              </w:rPr>
              <w:t>Dyrekcja Generalna: &lt;…….&gt;</w:t>
            </w:r>
          </w:p>
        </w:tc>
        <w:tc>
          <w:tcPr>
            <w:tcW w:w="1001" w:type="dxa"/>
            <w:tcBorders>
              <w:top w:val="single" w:sz="8" w:space="0" w:color="auto"/>
              <w:left w:val="nil"/>
              <w:bottom w:val="nil"/>
              <w:right w:val="single" w:sz="8" w:space="0" w:color="auto"/>
            </w:tcBorders>
            <w:vAlign w:val="center"/>
            <w:hideMark/>
          </w:tcPr>
          <w:p w14:paraId="29EAC1FA" w14:textId="77777777" w:rsidR="00044D5B" w:rsidRPr="00392E88" w:rsidRDefault="00044D5B">
            <w:pPr>
              <w:spacing w:before="0" w:after="0"/>
              <w:jc w:val="center"/>
              <w:rPr>
                <w:color w:val="000000"/>
                <w:sz w:val="20"/>
                <w:szCs w:val="20"/>
              </w:rPr>
            </w:pPr>
            <w:r w:rsidRPr="00392E88">
              <w:rPr>
                <w:color w:val="000000"/>
                <w:sz w:val="20"/>
              </w:rPr>
              <w:t>Rok</w:t>
            </w:r>
          </w:p>
        </w:tc>
        <w:tc>
          <w:tcPr>
            <w:tcW w:w="1001" w:type="dxa"/>
            <w:tcBorders>
              <w:top w:val="single" w:sz="8" w:space="0" w:color="auto"/>
              <w:left w:val="nil"/>
              <w:bottom w:val="nil"/>
              <w:right w:val="single" w:sz="8" w:space="0" w:color="auto"/>
            </w:tcBorders>
            <w:vAlign w:val="center"/>
            <w:hideMark/>
          </w:tcPr>
          <w:p w14:paraId="2E204D11" w14:textId="77777777" w:rsidR="00044D5B" w:rsidRPr="00392E88" w:rsidRDefault="00044D5B">
            <w:pPr>
              <w:spacing w:before="0" w:after="0"/>
              <w:jc w:val="center"/>
              <w:rPr>
                <w:color w:val="000000"/>
                <w:sz w:val="20"/>
                <w:szCs w:val="20"/>
              </w:rPr>
            </w:pPr>
            <w:r w:rsidRPr="00392E88">
              <w:rPr>
                <w:color w:val="000000"/>
                <w:sz w:val="20"/>
              </w:rPr>
              <w:t>Rok</w:t>
            </w:r>
          </w:p>
        </w:tc>
        <w:tc>
          <w:tcPr>
            <w:tcW w:w="1001" w:type="dxa"/>
            <w:tcBorders>
              <w:top w:val="single" w:sz="8" w:space="0" w:color="auto"/>
              <w:left w:val="nil"/>
              <w:bottom w:val="nil"/>
              <w:right w:val="single" w:sz="8" w:space="0" w:color="auto"/>
            </w:tcBorders>
            <w:vAlign w:val="center"/>
            <w:hideMark/>
          </w:tcPr>
          <w:p w14:paraId="28395653" w14:textId="77777777" w:rsidR="00044D5B" w:rsidRPr="00392E88" w:rsidRDefault="00044D5B">
            <w:pPr>
              <w:spacing w:before="0" w:after="0"/>
              <w:jc w:val="center"/>
              <w:rPr>
                <w:color w:val="000000"/>
                <w:sz w:val="20"/>
                <w:szCs w:val="20"/>
              </w:rPr>
            </w:pPr>
            <w:r w:rsidRPr="00392E88">
              <w:rPr>
                <w:color w:val="000000"/>
                <w:sz w:val="20"/>
              </w:rPr>
              <w:t>Rok</w:t>
            </w:r>
          </w:p>
        </w:tc>
        <w:tc>
          <w:tcPr>
            <w:tcW w:w="1001" w:type="dxa"/>
            <w:tcBorders>
              <w:top w:val="single" w:sz="8" w:space="0" w:color="auto"/>
              <w:left w:val="nil"/>
              <w:bottom w:val="nil"/>
              <w:right w:val="single" w:sz="8" w:space="0" w:color="auto"/>
            </w:tcBorders>
            <w:vAlign w:val="center"/>
            <w:hideMark/>
          </w:tcPr>
          <w:p w14:paraId="3AB17D21" w14:textId="77777777" w:rsidR="00044D5B" w:rsidRPr="00392E88" w:rsidRDefault="00044D5B">
            <w:pPr>
              <w:spacing w:before="0" w:after="0"/>
              <w:jc w:val="center"/>
              <w:rPr>
                <w:color w:val="000000"/>
                <w:sz w:val="20"/>
                <w:szCs w:val="20"/>
              </w:rPr>
            </w:pPr>
            <w:r w:rsidRPr="00392E88">
              <w:rPr>
                <w:color w:val="000000"/>
                <w:sz w:val="20"/>
              </w:rPr>
              <w:t>Rok</w:t>
            </w:r>
          </w:p>
        </w:tc>
        <w:tc>
          <w:tcPr>
            <w:tcW w:w="1244" w:type="dxa"/>
            <w:vMerge w:val="restart"/>
            <w:tcBorders>
              <w:top w:val="single" w:sz="8" w:space="0" w:color="auto"/>
              <w:left w:val="single" w:sz="8" w:space="0" w:color="auto"/>
              <w:bottom w:val="single" w:sz="8" w:space="0" w:color="000000"/>
              <w:right w:val="single" w:sz="8" w:space="0" w:color="auto"/>
            </w:tcBorders>
            <w:vAlign w:val="center"/>
            <w:hideMark/>
          </w:tcPr>
          <w:p w14:paraId="461A1FB3" w14:textId="77777777" w:rsidR="00044D5B" w:rsidRPr="00392E88" w:rsidRDefault="00044D5B">
            <w:pPr>
              <w:spacing w:before="0" w:after="0"/>
              <w:jc w:val="center"/>
              <w:rPr>
                <w:b/>
                <w:bCs/>
                <w:color w:val="000000"/>
                <w:sz w:val="20"/>
                <w:szCs w:val="20"/>
              </w:rPr>
            </w:pPr>
            <w:r w:rsidRPr="00392E88">
              <w:rPr>
                <w:b/>
                <w:color w:val="000000"/>
                <w:sz w:val="20"/>
              </w:rPr>
              <w:t>OGÓŁEM WRF 2021–2027</w:t>
            </w:r>
          </w:p>
        </w:tc>
      </w:tr>
      <w:tr w:rsidR="00470A36" w:rsidRPr="00392E88" w14:paraId="0B274770" w14:textId="77777777">
        <w:trPr>
          <w:trHeight w:val="300"/>
        </w:trPr>
        <w:tc>
          <w:tcPr>
            <w:tcW w:w="7892" w:type="dxa"/>
            <w:gridSpan w:val="4"/>
            <w:vMerge/>
            <w:tcBorders>
              <w:top w:val="single" w:sz="8" w:space="0" w:color="auto"/>
              <w:left w:val="single" w:sz="8" w:space="0" w:color="auto"/>
              <w:bottom w:val="single" w:sz="8" w:space="0" w:color="auto"/>
              <w:right w:val="single" w:sz="8" w:space="0" w:color="auto"/>
            </w:tcBorders>
            <w:vAlign w:val="center"/>
            <w:hideMark/>
          </w:tcPr>
          <w:p w14:paraId="4E03E629" w14:textId="77777777" w:rsidR="00044D5B" w:rsidRPr="00392E88" w:rsidRDefault="00044D5B">
            <w:pPr>
              <w:spacing w:before="0" w:after="0"/>
              <w:jc w:val="left"/>
              <w:rPr>
                <w:color w:val="000000"/>
                <w:szCs w:val="24"/>
                <w:lang w:eastAsia="en-IE"/>
              </w:rPr>
            </w:pPr>
          </w:p>
        </w:tc>
        <w:tc>
          <w:tcPr>
            <w:tcW w:w="1001" w:type="dxa"/>
            <w:tcBorders>
              <w:top w:val="nil"/>
              <w:left w:val="nil"/>
              <w:bottom w:val="single" w:sz="8" w:space="0" w:color="auto"/>
              <w:right w:val="single" w:sz="8" w:space="0" w:color="auto"/>
            </w:tcBorders>
            <w:vAlign w:val="center"/>
            <w:hideMark/>
          </w:tcPr>
          <w:p w14:paraId="06A18AA4" w14:textId="77777777" w:rsidR="00044D5B" w:rsidRPr="00392E88" w:rsidRDefault="00044D5B">
            <w:pPr>
              <w:spacing w:before="0" w:after="0"/>
              <w:jc w:val="center"/>
              <w:rPr>
                <w:b/>
                <w:bCs/>
                <w:color w:val="000000"/>
                <w:sz w:val="20"/>
                <w:szCs w:val="20"/>
              </w:rPr>
            </w:pPr>
            <w:r w:rsidRPr="00392E88">
              <w:rPr>
                <w:b/>
                <w:color w:val="000000"/>
                <w:sz w:val="20"/>
              </w:rPr>
              <w:t>2024</w:t>
            </w:r>
          </w:p>
        </w:tc>
        <w:tc>
          <w:tcPr>
            <w:tcW w:w="1001" w:type="dxa"/>
            <w:tcBorders>
              <w:top w:val="nil"/>
              <w:left w:val="nil"/>
              <w:bottom w:val="single" w:sz="8" w:space="0" w:color="auto"/>
              <w:right w:val="single" w:sz="8" w:space="0" w:color="auto"/>
            </w:tcBorders>
            <w:vAlign w:val="center"/>
            <w:hideMark/>
          </w:tcPr>
          <w:p w14:paraId="7E505D96" w14:textId="77777777" w:rsidR="00044D5B" w:rsidRPr="00392E88" w:rsidRDefault="00044D5B">
            <w:pPr>
              <w:spacing w:before="0" w:after="0"/>
              <w:jc w:val="center"/>
              <w:rPr>
                <w:b/>
                <w:bCs/>
                <w:color w:val="000000"/>
                <w:sz w:val="20"/>
                <w:szCs w:val="20"/>
              </w:rPr>
            </w:pPr>
            <w:r w:rsidRPr="00392E88">
              <w:rPr>
                <w:b/>
                <w:color w:val="000000"/>
                <w:sz w:val="20"/>
              </w:rPr>
              <w:t>2025</w:t>
            </w:r>
          </w:p>
        </w:tc>
        <w:tc>
          <w:tcPr>
            <w:tcW w:w="1001" w:type="dxa"/>
            <w:tcBorders>
              <w:top w:val="nil"/>
              <w:left w:val="nil"/>
              <w:bottom w:val="single" w:sz="8" w:space="0" w:color="auto"/>
              <w:right w:val="single" w:sz="8" w:space="0" w:color="auto"/>
            </w:tcBorders>
            <w:vAlign w:val="center"/>
            <w:hideMark/>
          </w:tcPr>
          <w:p w14:paraId="6C23438B" w14:textId="77777777" w:rsidR="00044D5B" w:rsidRPr="00392E88" w:rsidRDefault="00044D5B">
            <w:pPr>
              <w:spacing w:before="0" w:after="0"/>
              <w:jc w:val="center"/>
              <w:rPr>
                <w:b/>
                <w:bCs/>
                <w:color w:val="000000"/>
                <w:sz w:val="20"/>
                <w:szCs w:val="20"/>
              </w:rPr>
            </w:pPr>
            <w:r w:rsidRPr="00392E88">
              <w:rPr>
                <w:b/>
                <w:color w:val="000000"/>
                <w:sz w:val="20"/>
              </w:rPr>
              <w:t>2026</w:t>
            </w:r>
          </w:p>
        </w:tc>
        <w:tc>
          <w:tcPr>
            <w:tcW w:w="1001" w:type="dxa"/>
            <w:tcBorders>
              <w:top w:val="nil"/>
              <w:left w:val="nil"/>
              <w:bottom w:val="single" w:sz="8" w:space="0" w:color="auto"/>
              <w:right w:val="single" w:sz="8" w:space="0" w:color="auto"/>
            </w:tcBorders>
            <w:vAlign w:val="center"/>
            <w:hideMark/>
          </w:tcPr>
          <w:p w14:paraId="1FE315AC" w14:textId="77777777" w:rsidR="00044D5B" w:rsidRPr="00392E88" w:rsidRDefault="00044D5B">
            <w:pPr>
              <w:spacing w:before="0" w:after="0"/>
              <w:jc w:val="center"/>
              <w:rPr>
                <w:b/>
                <w:bCs/>
                <w:color w:val="000000"/>
                <w:sz w:val="20"/>
                <w:szCs w:val="20"/>
              </w:rPr>
            </w:pPr>
            <w:r w:rsidRPr="00392E88">
              <w:rPr>
                <w:b/>
                <w:color w:val="000000"/>
                <w:sz w:val="20"/>
              </w:rPr>
              <w:t>2027</w:t>
            </w:r>
          </w:p>
        </w:tc>
        <w:tc>
          <w:tcPr>
            <w:tcW w:w="1244" w:type="dxa"/>
            <w:vMerge/>
            <w:tcBorders>
              <w:top w:val="single" w:sz="8" w:space="0" w:color="auto"/>
              <w:left w:val="single" w:sz="8" w:space="0" w:color="auto"/>
              <w:bottom w:val="single" w:sz="8" w:space="0" w:color="000000"/>
              <w:right w:val="single" w:sz="8" w:space="0" w:color="auto"/>
            </w:tcBorders>
            <w:vAlign w:val="center"/>
            <w:hideMark/>
          </w:tcPr>
          <w:p w14:paraId="65C329CB" w14:textId="77777777" w:rsidR="00044D5B" w:rsidRPr="00392E88" w:rsidRDefault="00044D5B">
            <w:pPr>
              <w:spacing w:before="0" w:after="0"/>
              <w:jc w:val="left"/>
              <w:rPr>
                <w:b/>
                <w:bCs/>
                <w:color w:val="000000"/>
                <w:sz w:val="20"/>
                <w:szCs w:val="20"/>
                <w:lang w:eastAsia="en-IE"/>
              </w:rPr>
            </w:pPr>
          </w:p>
        </w:tc>
      </w:tr>
      <w:tr w:rsidR="00E6355E" w:rsidRPr="00392E88" w14:paraId="1B1FB3D9" w14:textId="77777777">
        <w:trPr>
          <w:trHeight w:val="300"/>
        </w:trPr>
        <w:tc>
          <w:tcPr>
            <w:tcW w:w="7892" w:type="dxa"/>
            <w:gridSpan w:val="4"/>
            <w:tcBorders>
              <w:top w:val="single" w:sz="8" w:space="0" w:color="auto"/>
              <w:left w:val="single" w:sz="8" w:space="0" w:color="auto"/>
              <w:bottom w:val="single" w:sz="8" w:space="0" w:color="auto"/>
              <w:right w:val="single" w:sz="8" w:space="0" w:color="auto"/>
            </w:tcBorders>
            <w:vAlign w:val="center"/>
            <w:hideMark/>
          </w:tcPr>
          <w:p w14:paraId="7CEC3C5F" w14:textId="77777777" w:rsidR="00044D5B" w:rsidRPr="00392E88" w:rsidRDefault="00044D5B">
            <w:pPr>
              <w:spacing w:before="0" w:after="0"/>
              <w:jc w:val="left"/>
              <w:rPr>
                <w:rFonts w:ascii="Wingdings" w:hAnsi="Wingdings" w:cs="Calibri"/>
                <w:color w:val="000000"/>
                <w:sz w:val="22"/>
              </w:rPr>
            </w:pPr>
            <w:r w:rsidRPr="00392E88">
              <w:rPr>
                <w:rFonts w:ascii="Wingdings" w:hAnsi="Wingdings"/>
                <w:color w:val="000000"/>
                <w:sz w:val="22"/>
              </w:rPr>
              <w:t>Ÿ</w:t>
            </w:r>
            <w:r w:rsidRPr="00392E88">
              <w:t xml:space="preserve"> Zasoby ludzkie</w:t>
            </w:r>
            <w:r w:rsidRPr="00392E88">
              <w:rPr>
                <w:color w:val="000000"/>
                <w:sz w:val="22"/>
              </w:rPr>
              <w:t xml:space="preserve"> </w:t>
            </w:r>
          </w:p>
        </w:tc>
        <w:tc>
          <w:tcPr>
            <w:tcW w:w="1001" w:type="dxa"/>
            <w:tcBorders>
              <w:top w:val="nil"/>
              <w:left w:val="nil"/>
              <w:bottom w:val="single" w:sz="8" w:space="0" w:color="auto"/>
              <w:right w:val="single" w:sz="8" w:space="0" w:color="auto"/>
            </w:tcBorders>
            <w:shd w:val="clear" w:color="000000" w:fill="D9D9D9"/>
            <w:vAlign w:val="center"/>
            <w:hideMark/>
          </w:tcPr>
          <w:p w14:paraId="0DD4FA8E" w14:textId="77777777" w:rsidR="00044D5B" w:rsidRPr="00392E88" w:rsidRDefault="00044D5B">
            <w:pPr>
              <w:spacing w:before="0" w:after="0"/>
              <w:jc w:val="right"/>
              <w:rPr>
                <w:color w:val="000000"/>
                <w:sz w:val="20"/>
                <w:szCs w:val="20"/>
              </w:rPr>
            </w:pPr>
            <w:r w:rsidRPr="00392E88">
              <w:rPr>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14:paraId="3E9CDEBF" w14:textId="77777777" w:rsidR="00044D5B" w:rsidRPr="00392E88" w:rsidRDefault="00044D5B">
            <w:pPr>
              <w:spacing w:before="0" w:after="0"/>
              <w:jc w:val="right"/>
              <w:rPr>
                <w:color w:val="000000"/>
                <w:sz w:val="20"/>
                <w:szCs w:val="20"/>
              </w:rPr>
            </w:pPr>
            <w:r w:rsidRPr="00392E88">
              <w:rPr>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14:paraId="231A11F7" w14:textId="77777777" w:rsidR="00044D5B" w:rsidRPr="00392E88" w:rsidRDefault="00044D5B">
            <w:pPr>
              <w:spacing w:before="0" w:after="0"/>
              <w:jc w:val="right"/>
              <w:rPr>
                <w:color w:val="000000"/>
                <w:sz w:val="20"/>
                <w:szCs w:val="20"/>
              </w:rPr>
            </w:pPr>
            <w:r w:rsidRPr="00392E88">
              <w:rPr>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14:paraId="3A2FFCA2" w14:textId="77777777" w:rsidR="00044D5B" w:rsidRPr="00392E88" w:rsidRDefault="00044D5B">
            <w:pPr>
              <w:spacing w:before="0" w:after="0"/>
              <w:jc w:val="right"/>
              <w:rPr>
                <w:color w:val="000000"/>
                <w:sz w:val="20"/>
                <w:szCs w:val="20"/>
              </w:rPr>
            </w:pPr>
            <w:r w:rsidRPr="00392E88">
              <w:rPr>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14:paraId="5DFBACC4" w14:textId="77777777" w:rsidR="00044D5B" w:rsidRPr="00392E88" w:rsidRDefault="00044D5B">
            <w:pPr>
              <w:spacing w:before="0" w:after="0"/>
              <w:jc w:val="right"/>
              <w:rPr>
                <w:b/>
                <w:bCs/>
                <w:color w:val="000000"/>
                <w:sz w:val="20"/>
                <w:szCs w:val="20"/>
              </w:rPr>
            </w:pPr>
            <w:r w:rsidRPr="00392E88">
              <w:rPr>
                <w:b/>
                <w:color w:val="000000"/>
                <w:sz w:val="20"/>
              </w:rPr>
              <w:t>0,000</w:t>
            </w:r>
          </w:p>
        </w:tc>
      </w:tr>
      <w:tr w:rsidR="00E6355E" w:rsidRPr="00392E88" w14:paraId="73ED9D89" w14:textId="77777777">
        <w:trPr>
          <w:trHeight w:val="300"/>
        </w:trPr>
        <w:tc>
          <w:tcPr>
            <w:tcW w:w="7892" w:type="dxa"/>
            <w:gridSpan w:val="4"/>
            <w:tcBorders>
              <w:top w:val="single" w:sz="8" w:space="0" w:color="auto"/>
              <w:left w:val="single" w:sz="8" w:space="0" w:color="auto"/>
              <w:bottom w:val="single" w:sz="8" w:space="0" w:color="auto"/>
              <w:right w:val="single" w:sz="8" w:space="0" w:color="auto"/>
            </w:tcBorders>
            <w:vAlign w:val="center"/>
            <w:hideMark/>
          </w:tcPr>
          <w:p w14:paraId="2A433ABD" w14:textId="77777777" w:rsidR="00044D5B" w:rsidRPr="00392E88" w:rsidRDefault="00044D5B">
            <w:pPr>
              <w:spacing w:before="0" w:after="0"/>
              <w:jc w:val="left"/>
              <w:rPr>
                <w:rFonts w:ascii="Wingdings" w:hAnsi="Wingdings" w:cs="Calibri"/>
                <w:color w:val="000000"/>
                <w:sz w:val="22"/>
              </w:rPr>
            </w:pPr>
            <w:r w:rsidRPr="00392E88">
              <w:rPr>
                <w:rFonts w:ascii="Wingdings" w:hAnsi="Wingdings"/>
                <w:color w:val="000000"/>
                <w:sz w:val="22"/>
              </w:rPr>
              <w:t>Ÿ</w:t>
            </w:r>
            <w:r w:rsidRPr="00392E88">
              <w:t xml:space="preserve"> Pozostałe wydatki administracyjne</w:t>
            </w:r>
            <w:r w:rsidRPr="00392E88">
              <w:rPr>
                <w:color w:val="000000"/>
                <w:sz w:val="22"/>
              </w:rPr>
              <w:t xml:space="preserve"> </w:t>
            </w:r>
          </w:p>
        </w:tc>
        <w:tc>
          <w:tcPr>
            <w:tcW w:w="1001" w:type="dxa"/>
            <w:tcBorders>
              <w:top w:val="nil"/>
              <w:left w:val="nil"/>
              <w:bottom w:val="single" w:sz="8" w:space="0" w:color="auto"/>
              <w:right w:val="single" w:sz="8" w:space="0" w:color="auto"/>
            </w:tcBorders>
            <w:shd w:val="clear" w:color="000000" w:fill="D9D9D9"/>
            <w:vAlign w:val="center"/>
            <w:hideMark/>
          </w:tcPr>
          <w:p w14:paraId="70313342" w14:textId="77777777" w:rsidR="00044D5B" w:rsidRPr="00392E88" w:rsidRDefault="00044D5B">
            <w:pPr>
              <w:spacing w:before="0" w:after="0"/>
              <w:jc w:val="right"/>
              <w:rPr>
                <w:color w:val="000000"/>
                <w:sz w:val="20"/>
                <w:szCs w:val="20"/>
              </w:rPr>
            </w:pPr>
            <w:r w:rsidRPr="00392E88">
              <w:rPr>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14:paraId="2A885993" w14:textId="77777777" w:rsidR="00044D5B" w:rsidRPr="00392E88" w:rsidRDefault="00044D5B">
            <w:pPr>
              <w:spacing w:before="0" w:after="0"/>
              <w:jc w:val="right"/>
              <w:rPr>
                <w:color w:val="000000"/>
                <w:sz w:val="20"/>
                <w:szCs w:val="20"/>
              </w:rPr>
            </w:pPr>
            <w:r w:rsidRPr="00392E88">
              <w:rPr>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14:paraId="4BE113C6" w14:textId="77777777" w:rsidR="00044D5B" w:rsidRPr="00392E88" w:rsidRDefault="00044D5B">
            <w:pPr>
              <w:spacing w:before="0" w:after="0"/>
              <w:jc w:val="right"/>
              <w:rPr>
                <w:color w:val="000000"/>
                <w:sz w:val="20"/>
                <w:szCs w:val="20"/>
              </w:rPr>
            </w:pPr>
            <w:r w:rsidRPr="00392E88">
              <w:rPr>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14:paraId="14C075B0" w14:textId="77777777" w:rsidR="00044D5B" w:rsidRPr="00392E88" w:rsidRDefault="00044D5B">
            <w:pPr>
              <w:spacing w:before="0" w:after="0"/>
              <w:jc w:val="right"/>
              <w:rPr>
                <w:color w:val="000000"/>
                <w:sz w:val="20"/>
                <w:szCs w:val="20"/>
              </w:rPr>
            </w:pPr>
            <w:r w:rsidRPr="00392E88">
              <w:rPr>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14:paraId="366FA3D9" w14:textId="77777777" w:rsidR="00044D5B" w:rsidRPr="00392E88" w:rsidRDefault="00044D5B">
            <w:pPr>
              <w:spacing w:before="0" w:after="0"/>
              <w:jc w:val="right"/>
              <w:rPr>
                <w:b/>
                <w:bCs/>
                <w:color w:val="000000"/>
                <w:sz w:val="20"/>
                <w:szCs w:val="20"/>
              </w:rPr>
            </w:pPr>
            <w:r w:rsidRPr="00392E88">
              <w:rPr>
                <w:b/>
                <w:color w:val="000000"/>
                <w:sz w:val="20"/>
              </w:rPr>
              <w:t>0,000</w:t>
            </w:r>
          </w:p>
        </w:tc>
      </w:tr>
      <w:tr w:rsidR="00E6355E" w:rsidRPr="00392E88" w14:paraId="71B8E9D5" w14:textId="77777777">
        <w:trPr>
          <w:trHeight w:val="300"/>
        </w:trPr>
        <w:tc>
          <w:tcPr>
            <w:tcW w:w="4405" w:type="dxa"/>
            <w:tcBorders>
              <w:top w:val="nil"/>
              <w:left w:val="single" w:sz="8" w:space="0" w:color="auto"/>
              <w:bottom w:val="single" w:sz="8" w:space="0" w:color="auto"/>
              <w:right w:val="single" w:sz="8" w:space="0" w:color="auto"/>
            </w:tcBorders>
            <w:vAlign w:val="center"/>
            <w:hideMark/>
          </w:tcPr>
          <w:p w14:paraId="7DC18B93" w14:textId="77777777" w:rsidR="00044D5B" w:rsidRPr="00392E88" w:rsidRDefault="00044D5B">
            <w:pPr>
              <w:spacing w:before="0" w:after="0"/>
              <w:jc w:val="center"/>
              <w:rPr>
                <w:b/>
                <w:bCs/>
                <w:color w:val="000000"/>
                <w:sz w:val="22"/>
              </w:rPr>
            </w:pPr>
            <w:r w:rsidRPr="00392E88">
              <w:rPr>
                <w:b/>
                <w:color w:val="000000"/>
                <w:sz w:val="22"/>
              </w:rPr>
              <w:t>OGÓŁEM Dyrekcja Generalna</w:t>
            </w:r>
            <w:r w:rsidRPr="00392E88">
              <w:rPr>
                <w:color w:val="000000"/>
                <w:sz w:val="22"/>
              </w:rPr>
              <w:t xml:space="preserve"> &lt;….&gt;</w:t>
            </w:r>
          </w:p>
        </w:tc>
        <w:tc>
          <w:tcPr>
            <w:tcW w:w="3487" w:type="dxa"/>
            <w:gridSpan w:val="3"/>
            <w:tcBorders>
              <w:top w:val="single" w:sz="8" w:space="0" w:color="auto"/>
              <w:left w:val="nil"/>
              <w:bottom w:val="single" w:sz="8" w:space="0" w:color="auto"/>
              <w:right w:val="single" w:sz="8" w:space="0" w:color="auto"/>
            </w:tcBorders>
            <w:vAlign w:val="center"/>
            <w:hideMark/>
          </w:tcPr>
          <w:p w14:paraId="05147B85" w14:textId="77777777" w:rsidR="00044D5B" w:rsidRPr="00392E88" w:rsidRDefault="00044D5B">
            <w:pPr>
              <w:spacing w:before="0" w:after="0"/>
              <w:jc w:val="left"/>
              <w:rPr>
                <w:color w:val="000000"/>
                <w:sz w:val="18"/>
                <w:szCs w:val="18"/>
              </w:rPr>
            </w:pPr>
            <w:r w:rsidRPr="00392E88">
              <w:rPr>
                <w:color w:val="000000"/>
                <w:sz w:val="18"/>
              </w:rPr>
              <w:t xml:space="preserve">Środki </w:t>
            </w:r>
          </w:p>
        </w:tc>
        <w:tc>
          <w:tcPr>
            <w:tcW w:w="1001" w:type="dxa"/>
            <w:tcBorders>
              <w:top w:val="nil"/>
              <w:left w:val="nil"/>
              <w:bottom w:val="single" w:sz="8" w:space="0" w:color="auto"/>
              <w:right w:val="single" w:sz="8" w:space="0" w:color="auto"/>
            </w:tcBorders>
            <w:shd w:val="clear" w:color="000000" w:fill="D9D9D9"/>
            <w:vAlign w:val="center"/>
            <w:hideMark/>
          </w:tcPr>
          <w:p w14:paraId="7DD34D31" w14:textId="77777777" w:rsidR="00044D5B" w:rsidRPr="00392E88" w:rsidRDefault="00044D5B">
            <w:pPr>
              <w:spacing w:before="0" w:after="0"/>
              <w:jc w:val="right"/>
              <w:rPr>
                <w:b/>
                <w:bCs/>
                <w:color w:val="000000"/>
                <w:sz w:val="20"/>
                <w:szCs w:val="20"/>
              </w:rPr>
            </w:pPr>
            <w:r w:rsidRPr="00392E88">
              <w:rPr>
                <w:b/>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14:paraId="2E4553A1" w14:textId="77777777" w:rsidR="00044D5B" w:rsidRPr="00392E88" w:rsidRDefault="00044D5B">
            <w:pPr>
              <w:spacing w:before="0" w:after="0"/>
              <w:jc w:val="right"/>
              <w:rPr>
                <w:b/>
                <w:bCs/>
                <w:color w:val="000000"/>
                <w:sz w:val="20"/>
                <w:szCs w:val="20"/>
              </w:rPr>
            </w:pPr>
            <w:r w:rsidRPr="00392E88">
              <w:rPr>
                <w:b/>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14:paraId="34A600A9" w14:textId="77777777" w:rsidR="00044D5B" w:rsidRPr="00392E88" w:rsidRDefault="00044D5B">
            <w:pPr>
              <w:spacing w:before="0" w:after="0"/>
              <w:jc w:val="right"/>
              <w:rPr>
                <w:b/>
                <w:bCs/>
                <w:color w:val="000000"/>
                <w:sz w:val="20"/>
                <w:szCs w:val="20"/>
              </w:rPr>
            </w:pPr>
            <w:r w:rsidRPr="00392E88">
              <w:rPr>
                <w:b/>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14:paraId="5F741D92" w14:textId="77777777" w:rsidR="00044D5B" w:rsidRPr="00392E88" w:rsidRDefault="00044D5B">
            <w:pPr>
              <w:spacing w:before="0" w:after="0"/>
              <w:jc w:val="right"/>
              <w:rPr>
                <w:b/>
                <w:bCs/>
                <w:color w:val="000000"/>
                <w:sz w:val="20"/>
                <w:szCs w:val="20"/>
              </w:rPr>
            </w:pPr>
            <w:r w:rsidRPr="00392E88">
              <w:rPr>
                <w:b/>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14:paraId="049F6380" w14:textId="77777777" w:rsidR="00044D5B" w:rsidRPr="00392E88" w:rsidRDefault="00044D5B">
            <w:pPr>
              <w:spacing w:before="0" w:after="0"/>
              <w:jc w:val="right"/>
              <w:rPr>
                <w:b/>
                <w:bCs/>
                <w:color w:val="000000"/>
                <w:sz w:val="20"/>
                <w:szCs w:val="20"/>
              </w:rPr>
            </w:pPr>
            <w:r w:rsidRPr="00392E88">
              <w:rPr>
                <w:b/>
                <w:color w:val="000000"/>
                <w:sz w:val="20"/>
              </w:rPr>
              <w:t>0,000</w:t>
            </w:r>
          </w:p>
        </w:tc>
      </w:tr>
      <w:tr w:rsidR="009A0F8D" w:rsidRPr="00392E88" w14:paraId="56C3BA34" w14:textId="77777777">
        <w:trPr>
          <w:trHeight w:val="300"/>
        </w:trPr>
        <w:tc>
          <w:tcPr>
            <w:tcW w:w="4405" w:type="dxa"/>
            <w:tcBorders>
              <w:top w:val="nil"/>
              <w:left w:val="nil"/>
              <w:bottom w:val="nil"/>
              <w:right w:val="nil"/>
            </w:tcBorders>
            <w:noWrap/>
            <w:vAlign w:val="bottom"/>
            <w:hideMark/>
          </w:tcPr>
          <w:p w14:paraId="5DEF8364" w14:textId="77777777" w:rsidR="00044D5B" w:rsidRPr="00392E88" w:rsidRDefault="00044D5B">
            <w:pPr>
              <w:spacing w:before="0" w:after="0"/>
              <w:jc w:val="right"/>
              <w:rPr>
                <w:b/>
                <w:bCs/>
                <w:color w:val="000000"/>
                <w:sz w:val="20"/>
                <w:szCs w:val="20"/>
                <w:lang w:eastAsia="en-IE"/>
              </w:rPr>
            </w:pPr>
          </w:p>
        </w:tc>
        <w:tc>
          <w:tcPr>
            <w:tcW w:w="2477" w:type="dxa"/>
            <w:tcBorders>
              <w:top w:val="nil"/>
              <w:left w:val="nil"/>
              <w:bottom w:val="nil"/>
              <w:right w:val="nil"/>
            </w:tcBorders>
            <w:noWrap/>
            <w:vAlign w:val="bottom"/>
            <w:hideMark/>
          </w:tcPr>
          <w:p w14:paraId="48908CA3" w14:textId="77777777" w:rsidR="00044D5B" w:rsidRPr="00392E88" w:rsidRDefault="00044D5B">
            <w:pPr>
              <w:spacing w:before="0" w:after="0"/>
              <w:jc w:val="left"/>
              <w:rPr>
                <w:sz w:val="20"/>
                <w:szCs w:val="20"/>
                <w:lang w:eastAsia="en-IE"/>
              </w:rPr>
            </w:pPr>
          </w:p>
        </w:tc>
        <w:tc>
          <w:tcPr>
            <w:tcW w:w="505" w:type="dxa"/>
            <w:tcBorders>
              <w:top w:val="nil"/>
              <w:left w:val="nil"/>
              <w:bottom w:val="nil"/>
              <w:right w:val="nil"/>
            </w:tcBorders>
            <w:noWrap/>
            <w:vAlign w:val="bottom"/>
            <w:hideMark/>
          </w:tcPr>
          <w:p w14:paraId="6C7025F9" w14:textId="77777777" w:rsidR="00044D5B" w:rsidRPr="00392E88" w:rsidRDefault="00044D5B">
            <w:pPr>
              <w:spacing w:before="0" w:after="0"/>
              <w:jc w:val="left"/>
              <w:rPr>
                <w:sz w:val="20"/>
                <w:szCs w:val="20"/>
                <w:lang w:eastAsia="en-IE"/>
              </w:rPr>
            </w:pPr>
          </w:p>
        </w:tc>
        <w:tc>
          <w:tcPr>
            <w:tcW w:w="505" w:type="dxa"/>
            <w:tcBorders>
              <w:top w:val="nil"/>
              <w:left w:val="nil"/>
              <w:bottom w:val="nil"/>
              <w:right w:val="nil"/>
            </w:tcBorders>
            <w:noWrap/>
            <w:vAlign w:val="bottom"/>
            <w:hideMark/>
          </w:tcPr>
          <w:p w14:paraId="256DBCB7" w14:textId="77777777" w:rsidR="00044D5B" w:rsidRPr="00392E88" w:rsidRDefault="00044D5B">
            <w:pPr>
              <w:spacing w:before="0" w:after="0"/>
              <w:jc w:val="left"/>
              <w:rPr>
                <w:sz w:val="20"/>
                <w:szCs w:val="20"/>
                <w:lang w:eastAsia="en-IE"/>
              </w:rPr>
            </w:pPr>
          </w:p>
        </w:tc>
        <w:tc>
          <w:tcPr>
            <w:tcW w:w="1001" w:type="dxa"/>
            <w:tcBorders>
              <w:top w:val="nil"/>
              <w:left w:val="nil"/>
              <w:bottom w:val="nil"/>
              <w:right w:val="nil"/>
            </w:tcBorders>
            <w:noWrap/>
            <w:vAlign w:val="bottom"/>
            <w:hideMark/>
          </w:tcPr>
          <w:p w14:paraId="7DED8AAC" w14:textId="77777777" w:rsidR="00044D5B" w:rsidRPr="00392E88" w:rsidRDefault="00044D5B">
            <w:pPr>
              <w:spacing w:before="0" w:after="0"/>
              <w:jc w:val="left"/>
              <w:rPr>
                <w:sz w:val="20"/>
                <w:szCs w:val="20"/>
                <w:lang w:eastAsia="en-IE"/>
              </w:rPr>
            </w:pPr>
          </w:p>
        </w:tc>
        <w:tc>
          <w:tcPr>
            <w:tcW w:w="1001" w:type="dxa"/>
            <w:tcBorders>
              <w:top w:val="nil"/>
              <w:left w:val="nil"/>
              <w:bottom w:val="nil"/>
              <w:right w:val="nil"/>
            </w:tcBorders>
            <w:noWrap/>
            <w:vAlign w:val="bottom"/>
            <w:hideMark/>
          </w:tcPr>
          <w:p w14:paraId="1CEDF2A8" w14:textId="77777777" w:rsidR="00044D5B" w:rsidRPr="00392E88" w:rsidRDefault="00044D5B">
            <w:pPr>
              <w:spacing w:before="0" w:after="0"/>
              <w:jc w:val="left"/>
              <w:rPr>
                <w:sz w:val="20"/>
                <w:szCs w:val="20"/>
                <w:lang w:eastAsia="en-IE"/>
              </w:rPr>
            </w:pPr>
          </w:p>
        </w:tc>
        <w:tc>
          <w:tcPr>
            <w:tcW w:w="1001" w:type="dxa"/>
            <w:tcBorders>
              <w:top w:val="nil"/>
              <w:left w:val="nil"/>
              <w:bottom w:val="nil"/>
              <w:right w:val="nil"/>
            </w:tcBorders>
            <w:noWrap/>
            <w:vAlign w:val="bottom"/>
            <w:hideMark/>
          </w:tcPr>
          <w:p w14:paraId="6F82C868" w14:textId="77777777" w:rsidR="00044D5B" w:rsidRPr="00392E88" w:rsidRDefault="00044D5B">
            <w:pPr>
              <w:spacing w:before="0" w:after="0"/>
              <w:jc w:val="left"/>
              <w:rPr>
                <w:sz w:val="20"/>
                <w:szCs w:val="20"/>
                <w:lang w:eastAsia="en-IE"/>
              </w:rPr>
            </w:pPr>
          </w:p>
        </w:tc>
        <w:tc>
          <w:tcPr>
            <w:tcW w:w="1001" w:type="dxa"/>
            <w:tcBorders>
              <w:top w:val="nil"/>
              <w:left w:val="nil"/>
              <w:bottom w:val="nil"/>
              <w:right w:val="nil"/>
            </w:tcBorders>
            <w:noWrap/>
            <w:vAlign w:val="bottom"/>
            <w:hideMark/>
          </w:tcPr>
          <w:p w14:paraId="074F3286" w14:textId="77777777" w:rsidR="00044D5B" w:rsidRPr="00392E88" w:rsidRDefault="00044D5B">
            <w:pPr>
              <w:spacing w:before="0" w:after="0"/>
              <w:jc w:val="left"/>
              <w:rPr>
                <w:sz w:val="20"/>
                <w:szCs w:val="20"/>
                <w:lang w:eastAsia="en-IE"/>
              </w:rPr>
            </w:pPr>
          </w:p>
        </w:tc>
        <w:tc>
          <w:tcPr>
            <w:tcW w:w="1244" w:type="dxa"/>
            <w:tcBorders>
              <w:top w:val="nil"/>
              <w:left w:val="nil"/>
              <w:bottom w:val="nil"/>
              <w:right w:val="nil"/>
            </w:tcBorders>
            <w:noWrap/>
            <w:vAlign w:val="bottom"/>
            <w:hideMark/>
          </w:tcPr>
          <w:p w14:paraId="0451F229" w14:textId="77777777" w:rsidR="00044D5B" w:rsidRPr="00392E88" w:rsidRDefault="00044D5B">
            <w:pPr>
              <w:spacing w:before="0" w:after="0"/>
              <w:jc w:val="left"/>
              <w:rPr>
                <w:sz w:val="20"/>
                <w:szCs w:val="20"/>
                <w:lang w:eastAsia="en-IE"/>
              </w:rPr>
            </w:pPr>
          </w:p>
        </w:tc>
      </w:tr>
      <w:tr w:rsidR="00E62D64" w:rsidRPr="00392E88" w14:paraId="5FA15248" w14:textId="77777777">
        <w:trPr>
          <w:trHeight w:val="900"/>
        </w:trPr>
        <w:tc>
          <w:tcPr>
            <w:tcW w:w="6882" w:type="dxa"/>
            <w:tcBorders>
              <w:top w:val="single" w:sz="8" w:space="0" w:color="auto"/>
              <w:left w:val="single" w:sz="8" w:space="0" w:color="auto"/>
              <w:bottom w:val="single" w:sz="8" w:space="0" w:color="auto"/>
              <w:right w:val="single" w:sz="8" w:space="0" w:color="auto"/>
            </w:tcBorders>
            <w:shd w:val="thinDiagStripe" w:color="C0C0C0" w:fill="F1F1F1"/>
            <w:vAlign w:val="center"/>
            <w:hideMark/>
          </w:tcPr>
          <w:p w14:paraId="2DCB3648" w14:textId="77777777" w:rsidR="00044D5B" w:rsidRPr="00392E88" w:rsidRDefault="00044D5B">
            <w:pPr>
              <w:spacing w:before="0" w:after="0"/>
              <w:jc w:val="center"/>
              <w:rPr>
                <w:b/>
                <w:bCs/>
                <w:color w:val="000000"/>
                <w:sz w:val="22"/>
              </w:rPr>
            </w:pPr>
            <w:r w:rsidRPr="00392E88">
              <w:rPr>
                <w:b/>
                <w:color w:val="000000"/>
                <w:sz w:val="22"/>
              </w:rPr>
              <w:t xml:space="preserve">OGÓŁEM środki na DZIAŁ 7 wieloletnich ram finansowych </w:t>
            </w:r>
          </w:p>
        </w:tc>
        <w:tc>
          <w:tcPr>
            <w:tcW w:w="1010" w:type="dxa"/>
            <w:gridSpan w:val="3"/>
            <w:tcBorders>
              <w:top w:val="single" w:sz="8" w:space="0" w:color="auto"/>
              <w:left w:val="nil"/>
              <w:bottom w:val="single" w:sz="8" w:space="0" w:color="auto"/>
              <w:right w:val="single" w:sz="8" w:space="0" w:color="auto"/>
            </w:tcBorders>
            <w:vAlign w:val="center"/>
            <w:hideMark/>
          </w:tcPr>
          <w:p w14:paraId="67EE3661" w14:textId="77777777" w:rsidR="00044D5B" w:rsidRPr="00392E88" w:rsidRDefault="00044D5B">
            <w:pPr>
              <w:spacing w:before="0" w:after="0"/>
              <w:jc w:val="center"/>
              <w:rPr>
                <w:color w:val="000000"/>
                <w:sz w:val="18"/>
                <w:szCs w:val="18"/>
              </w:rPr>
            </w:pPr>
            <w:r w:rsidRPr="00392E88">
              <w:rPr>
                <w:color w:val="000000"/>
                <w:sz w:val="18"/>
              </w:rPr>
              <w:t>(Środki na zobowiązania ogółem = środki na płatności ogółem)</w:t>
            </w:r>
          </w:p>
        </w:tc>
        <w:tc>
          <w:tcPr>
            <w:tcW w:w="1001" w:type="dxa"/>
            <w:tcBorders>
              <w:top w:val="single" w:sz="8" w:space="0" w:color="auto"/>
              <w:left w:val="nil"/>
              <w:bottom w:val="single" w:sz="8" w:space="0" w:color="auto"/>
              <w:right w:val="single" w:sz="8" w:space="0" w:color="auto"/>
            </w:tcBorders>
            <w:shd w:val="clear" w:color="000000" w:fill="D9D9D9"/>
            <w:vAlign w:val="center"/>
            <w:hideMark/>
          </w:tcPr>
          <w:p w14:paraId="38A9195B" w14:textId="77777777" w:rsidR="00044D5B" w:rsidRPr="00392E88" w:rsidRDefault="00044D5B">
            <w:pPr>
              <w:spacing w:before="0" w:after="0"/>
              <w:jc w:val="right"/>
              <w:rPr>
                <w:b/>
                <w:bCs/>
                <w:color w:val="000000"/>
                <w:sz w:val="20"/>
                <w:szCs w:val="20"/>
              </w:rPr>
            </w:pPr>
            <w:r w:rsidRPr="00392E88">
              <w:rPr>
                <w:b/>
                <w:color w:val="000000"/>
                <w:sz w:val="20"/>
              </w:rPr>
              <w:t>0,000</w:t>
            </w:r>
          </w:p>
        </w:tc>
        <w:tc>
          <w:tcPr>
            <w:tcW w:w="1001" w:type="dxa"/>
            <w:tcBorders>
              <w:top w:val="single" w:sz="8" w:space="0" w:color="auto"/>
              <w:left w:val="nil"/>
              <w:bottom w:val="single" w:sz="8" w:space="0" w:color="auto"/>
              <w:right w:val="single" w:sz="8" w:space="0" w:color="auto"/>
            </w:tcBorders>
            <w:shd w:val="clear" w:color="000000" w:fill="D9D9D9"/>
            <w:vAlign w:val="center"/>
            <w:hideMark/>
          </w:tcPr>
          <w:p w14:paraId="4A3E8409" w14:textId="77777777" w:rsidR="00044D5B" w:rsidRPr="00392E88" w:rsidRDefault="00044D5B">
            <w:pPr>
              <w:spacing w:before="0" w:after="0"/>
              <w:jc w:val="right"/>
              <w:rPr>
                <w:b/>
                <w:bCs/>
                <w:color w:val="000000"/>
                <w:sz w:val="20"/>
                <w:szCs w:val="20"/>
              </w:rPr>
            </w:pPr>
            <w:r w:rsidRPr="00392E88">
              <w:rPr>
                <w:b/>
                <w:color w:val="000000"/>
                <w:sz w:val="20"/>
              </w:rPr>
              <w:t>0,000</w:t>
            </w:r>
          </w:p>
        </w:tc>
        <w:tc>
          <w:tcPr>
            <w:tcW w:w="1001" w:type="dxa"/>
            <w:tcBorders>
              <w:top w:val="single" w:sz="8" w:space="0" w:color="auto"/>
              <w:left w:val="nil"/>
              <w:bottom w:val="single" w:sz="8" w:space="0" w:color="auto"/>
              <w:right w:val="single" w:sz="8" w:space="0" w:color="auto"/>
            </w:tcBorders>
            <w:shd w:val="clear" w:color="000000" w:fill="D9D9D9"/>
            <w:vAlign w:val="center"/>
            <w:hideMark/>
          </w:tcPr>
          <w:p w14:paraId="5B5C2E27" w14:textId="77777777" w:rsidR="00044D5B" w:rsidRPr="00392E88" w:rsidRDefault="00044D5B">
            <w:pPr>
              <w:spacing w:before="0" w:after="0"/>
              <w:jc w:val="right"/>
              <w:rPr>
                <w:b/>
                <w:bCs/>
                <w:color w:val="000000"/>
                <w:sz w:val="20"/>
                <w:szCs w:val="20"/>
              </w:rPr>
            </w:pPr>
            <w:r w:rsidRPr="00392E88">
              <w:rPr>
                <w:b/>
                <w:color w:val="000000"/>
                <w:sz w:val="20"/>
              </w:rPr>
              <w:t>0,000</w:t>
            </w:r>
          </w:p>
        </w:tc>
        <w:tc>
          <w:tcPr>
            <w:tcW w:w="1001" w:type="dxa"/>
            <w:tcBorders>
              <w:top w:val="single" w:sz="8" w:space="0" w:color="auto"/>
              <w:left w:val="nil"/>
              <w:bottom w:val="single" w:sz="8" w:space="0" w:color="auto"/>
              <w:right w:val="single" w:sz="8" w:space="0" w:color="auto"/>
            </w:tcBorders>
            <w:shd w:val="clear" w:color="000000" w:fill="D9D9D9"/>
            <w:vAlign w:val="center"/>
            <w:hideMark/>
          </w:tcPr>
          <w:p w14:paraId="7A6362AF" w14:textId="77777777" w:rsidR="00044D5B" w:rsidRPr="00392E88" w:rsidRDefault="00044D5B">
            <w:pPr>
              <w:spacing w:before="0" w:after="0"/>
              <w:jc w:val="right"/>
              <w:rPr>
                <w:b/>
                <w:bCs/>
                <w:color w:val="000000"/>
                <w:sz w:val="20"/>
                <w:szCs w:val="20"/>
              </w:rPr>
            </w:pPr>
            <w:r w:rsidRPr="00392E88">
              <w:rPr>
                <w:b/>
                <w:color w:val="000000"/>
                <w:sz w:val="20"/>
              </w:rPr>
              <w:t>0,000</w:t>
            </w:r>
          </w:p>
        </w:tc>
        <w:tc>
          <w:tcPr>
            <w:tcW w:w="1244" w:type="dxa"/>
            <w:tcBorders>
              <w:top w:val="single" w:sz="8" w:space="0" w:color="auto"/>
              <w:left w:val="nil"/>
              <w:bottom w:val="single" w:sz="8" w:space="0" w:color="auto"/>
              <w:right w:val="single" w:sz="8" w:space="0" w:color="auto"/>
            </w:tcBorders>
            <w:shd w:val="clear" w:color="000000" w:fill="D9D9D9"/>
            <w:vAlign w:val="center"/>
            <w:hideMark/>
          </w:tcPr>
          <w:p w14:paraId="51CDCF94" w14:textId="77777777" w:rsidR="00044D5B" w:rsidRPr="00392E88" w:rsidRDefault="00044D5B">
            <w:pPr>
              <w:spacing w:before="0" w:after="0"/>
              <w:jc w:val="right"/>
              <w:rPr>
                <w:b/>
                <w:bCs/>
                <w:color w:val="000000"/>
                <w:sz w:val="20"/>
                <w:szCs w:val="20"/>
              </w:rPr>
            </w:pPr>
            <w:r w:rsidRPr="00392E88">
              <w:rPr>
                <w:b/>
                <w:color w:val="000000"/>
                <w:sz w:val="20"/>
              </w:rPr>
              <w:t>0,000</w:t>
            </w:r>
          </w:p>
        </w:tc>
      </w:tr>
    </w:tbl>
    <w:p w14:paraId="4ADE751D" w14:textId="77777777" w:rsidR="00044D5B" w:rsidRPr="00392E88" w:rsidRDefault="00044D5B" w:rsidP="00044D5B">
      <w:pPr>
        <w:jc w:val="right"/>
        <w:rPr>
          <w:noProof/>
          <w:sz w:val="20"/>
        </w:rPr>
      </w:pPr>
      <w:r w:rsidRPr="00392E88">
        <w:rPr>
          <w:sz w:val="20"/>
        </w:rPr>
        <w:t>w mln EUR (do trzech miejsc po przecinku)</w:t>
      </w:r>
    </w:p>
    <w:tbl>
      <w:tblPr>
        <w:tblW w:w="13140" w:type="dxa"/>
        <w:tblInd w:w="118" w:type="dxa"/>
        <w:tblCellMar>
          <w:left w:w="0" w:type="dxa"/>
          <w:right w:w="0" w:type="dxa"/>
        </w:tblCellMar>
        <w:tblLook w:val="04A0" w:firstRow="1" w:lastRow="0" w:firstColumn="1" w:lastColumn="0" w:noHBand="0" w:noVBand="1"/>
      </w:tblPr>
      <w:tblGrid>
        <w:gridCol w:w="5180"/>
        <w:gridCol w:w="1920"/>
        <w:gridCol w:w="1160"/>
        <w:gridCol w:w="1160"/>
        <w:gridCol w:w="1160"/>
        <w:gridCol w:w="1160"/>
        <w:gridCol w:w="1400"/>
      </w:tblGrid>
      <w:tr w:rsidR="00B55C7B" w:rsidRPr="00392E88" w14:paraId="53721005" w14:textId="77777777">
        <w:trPr>
          <w:trHeight w:val="288"/>
        </w:trPr>
        <w:tc>
          <w:tcPr>
            <w:tcW w:w="7100" w:type="dxa"/>
            <w:gridSpan w:val="2"/>
            <w:vMerge w:val="restart"/>
            <w:tcBorders>
              <w:top w:val="single" w:sz="8" w:space="0" w:color="auto"/>
              <w:left w:val="single" w:sz="8" w:space="0" w:color="auto"/>
              <w:bottom w:val="single" w:sz="8" w:space="0" w:color="auto"/>
              <w:right w:val="single" w:sz="8" w:space="0" w:color="auto"/>
            </w:tcBorders>
            <w:vAlign w:val="center"/>
            <w:hideMark/>
          </w:tcPr>
          <w:p w14:paraId="533FB506" w14:textId="77777777" w:rsidR="00044D5B" w:rsidRPr="00392E88" w:rsidRDefault="00044D5B">
            <w:pPr>
              <w:spacing w:before="0" w:after="0"/>
              <w:jc w:val="center"/>
              <w:rPr>
                <w:color w:val="000000"/>
                <w:szCs w:val="24"/>
              </w:rPr>
            </w:pPr>
            <w:r w:rsidRPr="00392E88">
              <w:rPr>
                <w:color w:val="000000"/>
              </w:rPr>
              <w:t xml:space="preserve"> </w:t>
            </w:r>
          </w:p>
        </w:tc>
        <w:tc>
          <w:tcPr>
            <w:tcW w:w="1160" w:type="dxa"/>
            <w:tcBorders>
              <w:top w:val="single" w:sz="8" w:space="0" w:color="auto"/>
              <w:left w:val="nil"/>
              <w:bottom w:val="nil"/>
              <w:right w:val="single" w:sz="8" w:space="0" w:color="auto"/>
            </w:tcBorders>
            <w:vAlign w:val="center"/>
            <w:hideMark/>
          </w:tcPr>
          <w:p w14:paraId="4E1078B3" w14:textId="77777777" w:rsidR="00044D5B" w:rsidRPr="00392E88" w:rsidRDefault="00044D5B">
            <w:pPr>
              <w:spacing w:before="0" w:after="0"/>
              <w:jc w:val="center"/>
              <w:rPr>
                <w:color w:val="000000"/>
                <w:sz w:val="20"/>
                <w:szCs w:val="20"/>
              </w:rPr>
            </w:pPr>
            <w:r w:rsidRPr="00392E88">
              <w:rPr>
                <w:color w:val="000000"/>
                <w:sz w:val="20"/>
              </w:rPr>
              <w:t>Rok</w:t>
            </w:r>
          </w:p>
        </w:tc>
        <w:tc>
          <w:tcPr>
            <w:tcW w:w="1160" w:type="dxa"/>
            <w:tcBorders>
              <w:top w:val="single" w:sz="8" w:space="0" w:color="auto"/>
              <w:left w:val="nil"/>
              <w:bottom w:val="nil"/>
              <w:right w:val="single" w:sz="8" w:space="0" w:color="auto"/>
            </w:tcBorders>
            <w:vAlign w:val="center"/>
            <w:hideMark/>
          </w:tcPr>
          <w:p w14:paraId="68F35CD7" w14:textId="77777777" w:rsidR="00044D5B" w:rsidRPr="00392E88" w:rsidRDefault="00044D5B">
            <w:pPr>
              <w:spacing w:before="0" w:after="0"/>
              <w:jc w:val="center"/>
              <w:rPr>
                <w:color w:val="000000"/>
                <w:sz w:val="20"/>
                <w:szCs w:val="20"/>
              </w:rPr>
            </w:pPr>
            <w:r w:rsidRPr="00392E88">
              <w:rPr>
                <w:color w:val="000000"/>
                <w:sz w:val="20"/>
              </w:rPr>
              <w:t>Rok</w:t>
            </w:r>
          </w:p>
        </w:tc>
        <w:tc>
          <w:tcPr>
            <w:tcW w:w="1160" w:type="dxa"/>
            <w:tcBorders>
              <w:top w:val="single" w:sz="8" w:space="0" w:color="auto"/>
              <w:left w:val="nil"/>
              <w:bottom w:val="nil"/>
              <w:right w:val="single" w:sz="8" w:space="0" w:color="auto"/>
            </w:tcBorders>
            <w:vAlign w:val="center"/>
            <w:hideMark/>
          </w:tcPr>
          <w:p w14:paraId="5B3DA0EF" w14:textId="77777777" w:rsidR="00044D5B" w:rsidRPr="00392E88" w:rsidRDefault="00044D5B">
            <w:pPr>
              <w:spacing w:before="0" w:after="0"/>
              <w:jc w:val="center"/>
              <w:rPr>
                <w:color w:val="000000"/>
                <w:sz w:val="20"/>
                <w:szCs w:val="20"/>
              </w:rPr>
            </w:pPr>
            <w:r w:rsidRPr="00392E88">
              <w:rPr>
                <w:color w:val="000000"/>
                <w:sz w:val="20"/>
              </w:rPr>
              <w:t>Rok</w:t>
            </w:r>
          </w:p>
        </w:tc>
        <w:tc>
          <w:tcPr>
            <w:tcW w:w="1160" w:type="dxa"/>
            <w:tcBorders>
              <w:top w:val="single" w:sz="8" w:space="0" w:color="auto"/>
              <w:left w:val="nil"/>
              <w:bottom w:val="nil"/>
              <w:right w:val="single" w:sz="8" w:space="0" w:color="auto"/>
            </w:tcBorders>
            <w:vAlign w:val="center"/>
            <w:hideMark/>
          </w:tcPr>
          <w:p w14:paraId="6653E230" w14:textId="77777777" w:rsidR="00044D5B" w:rsidRPr="00392E88" w:rsidRDefault="00044D5B">
            <w:pPr>
              <w:spacing w:before="0" w:after="0"/>
              <w:jc w:val="center"/>
              <w:rPr>
                <w:color w:val="000000"/>
                <w:sz w:val="20"/>
                <w:szCs w:val="20"/>
              </w:rPr>
            </w:pPr>
            <w:r w:rsidRPr="00392E88">
              <w:rPr>
                <w:color w:val="000000"/>
                <w:sz w:val="20"/>
              </w:rPr>
              <w:t>Rok</w:t>
            </w:r>
          </w:p>
        </w:tc>
        <w:tc>
          <w:tcPr>
            <w:tcW w:w="1400" w:type="dxa"/>
            <w:vMerge w:val="restart"/>
            <w:tcBorders>
              <w:top w:val="single" w:sz="8" w:space="0" w:color="auto"/>
              <w:left w:val="single" w:sz="8" w:space="0" w:color="auto"/>
              <w:bottom w:val="single" w:sz="8" w:space="0" w:color="000000"/>
              <w:right w:val="single" w:sz="8" w:space="0" w:color="auto"/>
            </w:tcBorders>
            <w:vAlign w:val="center"/>
            <w:hideMark/>
          </w:tcPr>
          <w:p w14:paraId="3B1944D2" w14:textId="77777777" w:rsidR="00044D5B" w:rsidRPr="00392E88" w:rsidRDefault="00044D5B">
            <w:pPr>
              <w:spacing w:before="0" w:after="0"/>
              <w:jc w:val="center"/>
              <w:rPr>
                <w:b/>
                <w:bCs/>
                <w:color w:val="000000"/>
                <w:sz w:val="20"/>
                <w:szCs w:val="20"/>
              </w:rPr>
            </w:pPr>
            <w:r w:rsidRPr="00392E88">
              <w:rPr>
                <w:b/>
                <w:color w:val="000000"/>
                <w:sz w:val="20"/>
              </w:rPr>
              <w:t>OGÓŁEM WRF 2021–2027</w:t>
            </w:r>
          </w:p>
        </w:tc>
      </w:tr>
      <w:tr w:rsidR="00470A36" w:rsidRPr="00392E88" w14:paraId="6FC9C6B4" w14:textId="77777777">
        <w:trPr>
          <w:trHeight w:val="300"/>
        </w:trPr>
        <w:tc>
          <w:tcPr>
            <w:tcW w:w="7100" w:type="dxa"/>
            <w:gridSpan w:val="2"/>
            <w:vMerge/>
            <w:tcBorders>
              <w:top w:val="single" w:sz="8" w:space="0" w:color="auto"/>
              <w:left w:val="single" w:sz="8" w:space="0" w:color="auto"/>
              <w:bottom w:val="single" w:sz="8" w:space="0" w:color="auto"/>
              <w:right w:val="single" w:sz="8" w:space="0" w:color="auto"/>
            </w:tcBorders>
            <w:vAlign w:val="center"/>
            <w:hideMark/>
          </w:tcPr>
          <w:p w14:paraId="59DD6096" w14:textId="77777777" w:rsidR="00044D5B" w:rsidRPr="00392E88" w:rsidRDefault="00044D5B">
            <w:pPr>
              <w:spacing w:before="0" w:after="0"/>
              <w:jc w:val="left"/>
              <w:rPr>
                <w:color w:val="000000"/>
                <w:szCs w:val="24"/>
                <w:lang w:eastAsia="en-IE"/>
              </w:rPr>
            </w:pPr>
          </w:p>
        </w:tc>
        <w:tc>
          <w:tcPr>
            <w:tcW w:w="1160" w:type="dxa"/>
            <w:tcBorders>
              <w:top w:val="nil"/>
              <w:left w:val="nil"/>
              <w:bottom w:val="single" w:sz="8" w:space="0" w:color="auto"/>
              <w:right w:val="single" w:sz="8" w:space="0" w:color="auto"/>
            </w:tcBorders>
            <w:vAlign w:val="center"/>
            <w:hideMark/>
          </w:tcPr>
          <w:p w14:paraId="1CCF535B" w14:textId="77777777" w:rsidR="00044D5B" w:rsidRPr="00392E88" w:rsidRDefault="00044D5B">
            <w:pPr>
              <w:spacing w:before="0" w:after="0"/>
              <w:jc w:val="center"/>
              <w:rPr>
                <w:b/>
                <w:bCs/>
                <w:color w:val="000000"/>
                <w:sz w:val="20"/>
                <w:szCs w:val="20"/>
              </w:rPr>
            </w:pPr>
            <w:r w:rsidRPr="00392E88">
              <w:rPr>
                <w:b/>
                <w:color w:val="000000"/>
                <w:sz w:val="20"/>
              </w:rPr>
              <w:t>2024</w:t>
            </w:r>
          </w:p>
        </w:tc>
        <w:tc>
          <w:tcPr>
            <w:tcW w:w="1160" w:type="dxa"/>
            <w:tcBorders>
              <w:top w:val="nil"/>
              <w:left w:val="nil"/>
              <w:bottom w:val="single" w:sz="8" w:space="0" w:color="auto"/>
              <w:right w:val="single" w:sz="8" w:space="0" w:color="auto"/>
            </w:tcBorders>
            <w:vAlign w:val="center"/>
            <w:hideMark/>
          </w:tcPr>
          <w:p w14:paraId="58BD7D02" w14:textId="77777777" w:rsidR="00044D5B" w:rsidRPr="00392E88" w:rsidRDefault="00044D5B">
            <w:pPr>
              <w:spacing w:before="0" w:after="0"/>
              <w:jc w:val="center"/>
              <w:rPr>
                <w:b/>
                <w:bCs/>
                <w:color w:val="000000"/>
                <w:sz w:val="20"/>
                <w:szCs w:val="20"/>
              </w:rPr>
            </w:pPr>
            <w:r w:rsidRPr="00392E88">
              <w:rPr>
                <w:b/>
                <w:color w:val="000000"/>
                <w:sz w:val="20"/>
              </w:rPr>
              <w:t>2025</w:t>
            </w:r>
          </w:p>
        </w:tc>
        <w:tc>
          <w:tcPr>
            <w:tcW w:w="1160" w:type="dxa"/>
            <w:tcBorders>
              <w:top w:val="nil"/>
              <w:left w:val="nil"/>
              <w:bottom w:val="single" w:sz="8" w:space="0" w:color="auto"/>
              <w:right w:val="single" w:sz="8" w:space="0" w:color="auto"/>
            </w:tcBorders>
            <w:vAlign w:val="center"/>
            <w:hideMark/>
          </w:tcPr>
          <w:p w14:paraId="7871A358" w14:textId="77777777" w:rsidR="00044D5B" w:rsidRPr="00392E88" w:rsidRDefault="00044D5B">
            <w:pPr>
              <w:spacing w:before="0" w:after="0"/>
              <w:jc w:val="center"/>
              <w:rPr>
                <w:b/>
                <w:bCs/>
                <w:color w:val="000000"/>
                <w:sz w:val="20"/>
                <w:szCs w:val="20"/>
              </w:rPr>
            </w:pPr>
            <w:r w:rsidRPr="00392E88">
              <w:rPr>
                <w:b/>
                <w:color w:val="000000"/>
                <w:sz w:val="20"/>
              </w:rPr>
              <w:t>2026</w:t>
            </w:r>
          </w:p>
        </w:tc>
        <w:tc>
          <w:tcPr>
            <w:tcW w:w="1160" w:type="dxa"/>
            <w:tcBorders>
              <w:top w:val="nil"/>
              <w:left w:val="nil"/>
              <w:bottom w:val="single" w:sz="8" w:space="0" w:color="auto"/>
              <w:right w:val="single" w:sz="8" w:space="0" w:color="auto"/>
            </w:tcBorders>
            <w:vAlign w:val="center"/>
            <w:hideMark/>
          </w:tcPr>
          <w:p w14:paraId="3A945D35" w14:textId="77777777" w:rsidR="00044D5B" w:rsidRPr="00392E88" w:rsidRDefault="00044D5B">
            <w:pPr>
              <w:spacing w:before="0" w:after="0"/>
              <w:jc w:val="center"/>
              <w:rPr>
                <w:b/>
                <w:bCs/>
                <w:color w:val="000000"/>
                <w:sz w:val="20"/>
                <w:szCs w:val="20"/>
              </w:rPr>
            </w:pPr>
            <w:r w:rsidRPr="00392E88">
              <w:rPr>
                <w:b/>
                <w:color w:val="000000"/>
                <w:sz w:val="20"/>
              </w:rPr>
              <w:t>2027</w:t>
            </w:r>
          </w:p>
        </w:tc>
        <w:tc>
          <w:tcPr>
            <w:tcW w:w="1400" w:type="dxa"/>
            <w:vMerge/>
            <w:tcBorders>
              <w:top w:val="single" w:sz="8" w:space="0" w:color="auto"/>
              <w:left w:val="single" w:sz="8" w:space="0" w:color="auto"/>
              <w:bottom w:val="single" w:sz="8" w:space="0" w:color="000000"/>
              <w:right w:val="single" w:sz="8" w:space="0" w:color="auto"/>
            </w:tcBorders>
            <w:vAlign w:val="center"/>
            <w:hideMark/>
          </w:tcPr>
          <w:p w14:paraId="68C88601" w14:textId="77777777" w:rsidR="00044D5B" w:rsidRPr="00392E88" w:rsidRDefault="00044D5B">
            <w:pPr>
              <w:spacing w:before="0" w:after="0"/>
              <w:jc w:val="left"/>
              <w:rPr>
                <w:b/>
                <w:bCs/>
                <w:color w:val="000000"/>
                <w:sz w:val="20"/>
                <w:szCs w:val="20"/>
                <w:lang w:eastAsia="en-IE"/>
              </w:rPr>
            </w:pPr>
          </w:p>
        </w:tc>
      </w:tr>
      <w:tr w:rsidR="00E62D64" w:rsidRPr="00392E88" w14:paraId="5CAF7B2C" w14:textId="77777777">
        <w:trPr>
          <w:trHeight w:val="564"/>
        </w:trPr>
        <w:tc>
          <w:tcPr>
            <w:tcW w:w="5180" w:type="dxa"/>
            <w:tcBorders>
              <w:top w:val="single" w:sz="8" w:space="0" w:color="auto"/>
              <w:left w:val="single" w:sz="8" w:space="0" w:color="auto"/>
              <w:bottom w:val="single" w:sz="8" w:space="0" w:color="auto"/>
              <w:right w:val="single" w:sz="8" w:space="0" w:color="000000"/>
            </w:tcBorders>
            <w:shd w:val="clear" w:color="000000" w:fill="C0C0C0"/>
            <w:vAlign w:val="center"/>
            <w:hideMark/>
          </w:tcPr>
          <w:p w14:paraId="2AD8C846" w14:textId="02B10E83" w:rsidR="00044D5B" w:rsidRPr="00392E88" w:rsidRDefault="00044D5B">
            <w:pPr>
              <w:spacing w:before="0" w:after="0"/>
              <w:jc w:val="center"/>
              <w:rPr>
                <w:b/>
                <w:bCs/>
                <w:color w:val="000000"/>
                <w:sz w:val="22"/>
              </w:rPr>
            </w:pPr>
            <w:r w:rsidRPr="00392E88">
              <w:rPr>
                <w:b/>
                <w:color w:val="000000"/>
                <w:sz w:val="22"/>
              </w:rPr>
              <w:t xml:space="preserve">OGÓŁEM środki na DZIAŁY </w:t>
            </w:r>
            <w:r w:rsidRPr="006E6446">
              <w:rPr>
                <w:b/>
                <w:color w:val="000000"/>
                <w:sz w:val="22"/>
              </w:rPr>
              <w:t>od</w:t>
            </w:r>
            <w:r w:rsidR="006E6446" w:rsidRPr="006E6446">
              <w:rPr>
                <w:b/>
                <w:color w:val="000000"/>
                <w:sz w:val="22"/>
              </w:rPr>
              <w:t> </w:t>
            </w:r>
            <w:r w:rsidRPr="006E6446">
              <w:rPr>
                <w:b/>
                <w:color w:val="000000"/>
                <w:sz w:val="22"/>
              </w:rPr>
              <w:t>1</w:t>
            </w:r>
            <w:r w:rsidRPr="00392E88">
              <w:rPr>
                <w:b/>
                <w:color w:val="000000"/>
                <w:sz w:val="22"/>
              </w:rPr>
              <w:t xml:space="preserve"> </w:t>
            </w:r>
            <w:r w:rsidRPr="006E6446">
              <w:rPr>
                <w:b/>
                <w:color w:val="000000"/>
                <w:sz w:val="22"/>
              </w:rPr>
              <w:t>do</w:t>
            </w:r>
            <w:r w:rsidR="006E6446" w:rsidRPr="006E6446">
              <w:rPr>
                <w:b/>
                <w:color w:val="000000"/>
                <w:sz w:val="22"/>
              </w:rPr>
              <w:t> </w:t>
            </w:r>
            <w:r w:rsidRPr="006E6446">
              <w:rPr>
                <w:b/>
                <w:color w:val="000000"/>
                <w:sz w:val="22"/>
              </w:rPr>
              <w:t>7</w:t>
            </w:r>
          </w:p>
        </w:tc>
        <w:tc>
          <w:tcPr>
            <w:tcW w:w="1920" w:type="dxa"/>
            <w:tcBorders>
              <w:top w:val="single" w:sz="8" w:space="0" w:color="auto"/>
              <w:left w:val="nil"/>
              <w:bottom w:val="single" w:sz="8" w:space="0" w:color="auto"/>
              <w:right w:val="single" w:sz="8" w:space="0" w:color="auto"/>
            </w:tcBorders>
            <w:vAlign w:val="center"/>
            <w:hideMark/>
          </w:tcPr>
          <w:p w14:paraId="5987FA06" w14:textId="77777777" w:rsidR="00044D5B" w:rsidRPr="00392E88" w:rsidRDefault="00044D5B">
            <w:pPr>
              <w:spacing w:before="0" w:after="0"/>
              <w:rPr>
                <w:color w:val="000000"/>
                <w:sz w:val="18"/>
                <w:szCs w:val="18"/>
              </w:rPr>
            </w:pPr>
            <w:r w:rsidRPr="00392E88">
              <w:rPr>
                <w:color w:val="000000"/>
                <w:sz w:val="18"/>
              </w:rPr>
              <w:t>Środki na zobowiązania</w:t>
            </w:r>
          </w:p>
        </w:tc>
        <w:tc>
          <w:tcPr>
            <w:tcW w:w="1160" w:type="dxa"/>
            <w:tcBorders>
              <w:top w:val="nil"/>
              <w:left w:val="nil"/>
              <w:bottom w:val="single" w:sz="8" w:space="0" w:color="auto"/>
              <w:right w:val="single" w:sz="8" w:space="0" w:color="auto"/>
            </w:tcBorders>
            <w:shd w:val="clear" w:color="000000" w:fill="D9D9D9"/>
            <w:vAlign w:val="center"/>
            <w:hideMark/>
          </w:tcPr>
          <w:p w14:paraId="508F94CA" w14:textId="77777777" w:rsidR="00044D5B" w:rsidRPr="00392E88" w:rsidRDefault="00044D5B">
            <w:pPr>
              <w:spacing w:before="0" w:after="0"/>
              <w:jc w:val="right"/>
              <w:rPr>
                <w:b/>
                <w:bCs/>
                <w:color w:val="000000"/>
                <w:szCs w:val="24"/>
              </w:rPr>
            </w:pPr>
            <w:r w:rsidRPr="00392E88">
              <w:rPr>
                <w:b/>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14:paraId="2F4BF6B4" w14:textId="77777777" w:rsidR="00044D5B" w:rsidRPr="00392E88" w:rsidRDefault="00044D5B">
            <w:pPr>
              <w:spacing w:before="0" w:after="0"/>
              <w:jc w:val="right"/>
              <w:rPr>
                <w:b/>
                <w:bCs/>
                <w:color w:val="000000"/>
                <w:szCs w:val="24"/>
              </w:rPr>
            </w:pPr>
            <w:r w:rsidRPr="00392E88">
              <w:rPr>
                <w:b/>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14:paraId="104431C2" w14:textId="77777777" w:rsidR="00044D5B" w:rsidRPr="00392E88" w:rsidRDefault="00044D5B">
            <w:pPr>
              <w:spacing w:before="0" w:after="0"/>
              <w:jc w:val="right"/>
              <w:rPr>
                <w:b/>
                <w:bCs/>
                <w:color w:val="000000"/>
                <w:szCs w:val="24"/>
              </w:rPr>
            </w:pPr>
            <w:r w:rsidRPr="00392E88">
              <w:rPr>
                <w:b/>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14:paraId="23359534" w14:textId="77777777" w:rsidR="00044D5B" w:rsidRPr="00392E88" w:rsidRDefault="00044D5B">
            <w:pPr>
              <w:spacing w:before="0" w:after="0"/>
              <w:jc w:val="right"/>
              <w:rPr>
                <w:b/>
                <w:bCs/>
                <w:color w:val="000000"/>
                <w:szCs w:val="24"/>
              </w:rPr>
            </w:pPr>
            <w:r w:rsidRPr="00392E88">
              <w:rPr>
                <w:b/>
                <w:color w:val="000000"/>
              </w:rPr>
              <w:t>0,000</w:t>
            </w:r>
          </w:p>
        </w:tc>
        <w:tc>
          <w:tcPr>
            <w:tcW w:w="1400" w:type="dxa"/>
            <w:tcBorders>
              <w:top w:val="nil"/>
              <w:left w:val="nil"/>
              <w:bottom w:val="single" w:sz="8" w:space="0" w:color="auto"/>
              <w:right w:val="single" w:sz="8" w:space="0" w:color="auto"/>
            </w:tcBorders>
            <w:shd w:val="clear" w:color="000000" w:fill="D9D9D9"/>
            <w:vAlign w:val="center"/>
            <w:hideMark/>
          </w:tcPr>
          <w:p w14:paraId="59A9A86E" w14:textId="77777777" w:rsidR="00044D5B" w:rsidRPr="00392E88" w:rsidRDefault="00044D5B">
            <w:pPr>
              <w:spacing w:before="0" w:after="0"/>
              <w:jc w:val="right"/>
              <w:rPr>
                <w:b/>
                <w:bCs/>
                <w:color w:val="000000"/>
                <w:szCs w:val="24"/>
              </w:rPr>
            </w:pPr>
            <w:r w:rsidRPr="00392E88">
              <w:rPr>
                <w:b/>
                <w:color w:val="000000"/>
              </w:rPr>
              <w:t>0,000</w:t>
            </w:r>
          </w:p>
        </w:tc>
      </w:tr>
      <w:tr w:rsidR="00E62D64" w:rsidRPr="00392E88" w14:paraId="6CFE9B19" w14:textId="77777777">
        <w:trPr>
          <w:trHeight w:val="540"/>
        </w:trPr>
        <w:tc>
          <w:tcPr>
            <w:tcW w:w="5180" w:type="dxa"/>
            <w:tcBorders>
              <w:top w:val="single" w:sz="8" w:space="0" w:color="auto"/>
              <w:left w:val="single" w:sz="8" w:space="0" w:color="auto"/>
              <w:bottom w:val="single" w:sz="8" w:space="0" w:color="auto"/>
              <w:right w:val="single" w:sz="8" w:space="0" w:color="000000"/>
            </w:tcBorders>
            <w:shd w:val="clear" w:color="000000" w:fill="C0C0C0"/>
            <w:vAlign w:val="center"/>
            <w:hideMark/>
          </w:tcPr>
          <w:p w14:paraId="53152073" w14:textId="77777777" w:rsidR="00044D5B" w:rsidRPr="00392E88" w:rsidRDefault="00044D5B">
            <w:pPr>
              <w:spacing w:before="0" w:after="0"/>
              <w:jc w:val="center"/>
              <w:rPr>
                <w:color w:val="000000"/>
                <w:sz w:val="22"/>
              </w:rPr>
            </w:pPr>
            <w:r w:rsidRPr="00392E88">
              <w:rPr>
                <w:color w:val="000000"/>
                <w:sz w:val="22"/>
              </w:rPr>
              <w:t>wieloletnich ram finansowych</w:t>
            </w:r>
            <w:r w:rsidRPr="00392E88">
              <w:rPr>
                <w:b/>
                <w:color w:val="000000"/>
                <w:sz w:val="22"/>
              </w:rPr>
              <w:t xml:space="preserve"> </w:t>
            </w:r>
          </w:p>
        </w:tc>
        <w:tc>
          <w:tcPr>
            <w:tcW w:w="1920" w:type="dxa"/>
            <w:tcBorders>
              <w:top w:val="single" w:sz="8" w:space="0" w:color="auto"/>
              <w:left w:val="nil"/>
              <w:bottom w:val="single" w:sz="8" w:space="0" w:color="auto"/>
              <w:right w:val="single" w:sz="8" w:space="0" w:color="auto"/>
            </w:tcBorders>
            <w:vAlign w:val="center"/>
            <w:hideMark/>
          </w:tcPr>
          <w:p w14:paraId="6C8AB0F8" w14:textId="77777777" w:rsidR="00044D5B" w:rsidRPr="00392E88" w:rsidRDefault="00044D5B">
            <w:pPr>
              <w:spacing w:before="0" w:after="0"/>
              <w:rPr>
                <w:color w:val="000000"/>
                <w:sz w:val="18"/>
                <w:szCs w:val="18"/>
              </w:rPr>
            </w:pPr>
            <w:r w:rsidRPr="00392E88">
              <w:rPr>
                <w:color w:val="000000"/>
                <w:sz w:val="18"/>
              </w:rPr>
              <w:t>Środki na płatności</w:t>
            </w:r>
          </w:p>
        </w:tc>
        <w:tc>
          <w:tcPr>
            <w:tcW w:w="1160" w:type="dxa"/>
            <w:tcBorders>
              <w:top w:val="nil"/>
              <w:left w:val="nil"/>
              <w:bottom w:val="single" w:sz="8" w:space="0" w:color="auto"/>
              <w:right w:val="single" w:sz="8" w:space="0" w:color="auto"/>
            </w:tcBorders>
            <w:shd w:val="clear" w:color="000000" w:fill="D9D9D9"/>
            <w:vAlign w:val="center"/>
            <w:hideMark/>
          </w:tcPr>
          <w:p w14:paraId="1FB40817" w14:textId="77777777" w:rsidR="00044D5B" w:rsidRPr="00392E88" w:rsidRDefault="00044D5B">
            <w:pPr>
              <w:spacing w:before="0" w:after="0"/>
              <w:jc w:val="right"/>
              <w:rPr>
                <w:b/>
                <w:bCs/>
                <w:color w:val="000000"/>
                <w:szCs w:val="24"/>
              </w:rPr>
            </w:pPr>
            <w:r w:rsidRPr="00392E88">
              <w:rPr>
                <w:b/>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14:paraId="58A726B5" w14:textId="77777777" w:rsidR="00044D5B" w:rsidRPr="00392E88" w:rsidRDefault="00044D5B">
            <w:pPr>
              <w:spacing w:before="0" w:after="0"/>
              <w:jc w:val="right"/>
              <w:rPr>
                <w:b/>
                <w:bCs/>
                <w:color w:val="000000"/>
                <w:szCs w:val="24"/>
              </w:rPr>
            </w:pPr>
            <w:r w:rsidRPr="00392E88">
              <w:rPr>
                <w:b/>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14:paraId="1F84CB1E" w14:textId="77777777" w:rsidR="00044D5B" w:rsidRPr="00392E88" w:rsidRDefault="00044D5B">
            <w:pPr>
              <w:spacing w:before="0" w:after="0"/>
              <w:jc w:val="right"/>
              <w:rPr>
                <w:b/>
                <w:bCs/>
                <w:color w:val="000000"/>
                <w:szCs w:val="24"/>
              </w:rPr>
            </w:pPr>
            <w:r w:rsidRPr="00392E88">
              <w:rPr>
                <w:b/>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14:paraId="4470FDD0" w14:textId="77777777" w:rsidR="00044D5B" w:rsidRPr="00392E88" w:rsidRDefault="00044D5B">
            <w:pPr>
              <w:spacing w:before="0" w:after="0"/>
              <w:jc w:val="right"/>
              <w:rPr>
                <w:b/>
                <w:bCs/>
                <w:color w:val="000000"/>
                <w:szCs w:val="24"/>
              </w:rPr>
            </w:pPr>
            <w:r w:rsidRPr="00392E88">
              <w:rPr>
                <w:b/>
                <w:color w:val="000000"/>
              </w:rPr>
              <w:t>0,000</w:t>
            </w:r>
          </w:p>
        </w:tc>
        <w:tc>
          <w:tcPr>
            <w:tcW w:w="1400" w:type="dxa"/>
            <w:tcBorders>
              <w:top w:val="nil"/>
              <w:left w:val="nil"/>
              <w:bottom w:val="single" w:sz="8" w:space="0" w:color="auto"/>
              <w:right w:val="single" w:sz="8" w:space="0" w:color="auto"/>
            </w:tcBorders>
            <w:shd w:val="clear" w:color="000000" w:fill="D9D9D9"/>
            <w:vAlign w:val="center"/>
            <w:hideMark/>
          </w:tcPr>
          <w:p w14:paraId="3DC5EC14" w14:textId="77777777" w:rsidR="00044D5B" w:rsidRPr="00392E88" w:rsidRDefault="00044D5B">
            <w:pPr>
              <w:spacing w:before="0" w:after="0"/>
              <w:jc w:val="right"/>
              <w:rPr>
                <w:b/>
                <w:bCs/>
                <w:color w:val="000000"/>
                <w:szCs w:val="24"/>
              </w:rPr>
            </w:pPr>
            <w:r w:rsidRPr="00392E88">
              <w:rPr>
                <w:b/>
                <w:color w:val="000000"/>
              </w:rPr>
              <w:t>0,000</w:t>
            </w:r>
          </w:p>
        </w:tc>
      </w:tr>
    </w:tbl>
    <w:p w14:paraId="7E90F422" w14:textId="55E789BB" w:rsidR="00044D5B" w:rsidRPr="00392E88" w:rsidRDefault="00044D5B" w:rsidP="00044D5B">
      <w:pPr>
        <w:pStyle w:val="ManualHeading3"/>
        <w:rPr>
          <w:bCs/>
          <w:noProof/>
          <w:szCs w:val="24"/>
        </w:rPr>
      </w:pPr>
      <w:r w:rsidRPr="00392E88">
        <w:t>3.2.2.</w:t>
      </w:r>
      <w:r w:rsidRPr="00392E88">
        <w:tab/>
        <w:t>Szacowany produkt finansowany ze środków operacyjnych (nie wypełniać</w:t>
      </w:r>
      <w:r w:rsidR="006E6446" w:rsidRPr="00392E88">
        <w:t xml:space="preserve"> w</w:t>
      </w:r>
      <w:r w:rsidR="006E6446">
        <w:t> </w:t>
      </w:r>
      <w:r w:rsidR="006E6446" w:rsidRPr="00392E88">
        <w:t>prz</w:t>
      </w:r>
      <w:r w:rsidRPr="00392E88">
        <w:t>ypadku agencji zdecentralizowanych)</w:t>
      </w:r>
    </w:p>
    <w:p w14:paraId="19F2A57B" w14:textId="4F4A6D6C" w:rsidR="00044D5B" w:rsidRPr="00392E88" w:rsidRDefault="00044D5B" w:rsidP="00044D5B">
      <w:pPr>
        <w:jc w:val="right"/>
        <w:rPr>
          <w:noProof/>
          <w:sz w:val="20"/>
        </w:rPr>
      </w:pPr>
      <w:r w:rsidRPr="00392E88">
        <w:rPr>
          <w:sz w:val="20"/>
        </w:rPr>
        <w:t>Środki na zobowiązania</w:t>
      </w:r>
      <w:r w:rsidR="006E6446" w:rsidRPr="00392E88">
        <w:rPr>
          <w:sz w:val="20"/>
        </w:rPr>
        <w:t xml:space="preserve"> w</w:t>
      </w:r>
      <w:r w:rsidR="006E6446">
        <w:rPr>
          <w:sz w:val="20"/>
        </w:rPr>
        <w:t> </w:t>
      </w:r>
      <w:r w:rsidR="006E6446" w:rsidRPr="00392E88">
        <w:rPr>
          <w:sz w:val="20"/>
        </w:rPr>
        <w:t>mln</w:t>
      </w:r>
      <w:r w:rsidRPr="00392E88">
        <w:rPr>
          <w:sz w:val="20"/>
        </w:rPr>
        <w:t xml:space="preserve"> EUR (do trzech miejsc po przecinku)</w:t>
      </w:r>
    </w:p>
    <w:tbl>
      <w:tblPr>
        <w:tblW w:w="13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419"/>
        <w:gridCol w:w="718"/>
        <w:gridCol w:w="699"/>
        <w:gridCol w:w="502"/>
        <w:gridCol w:w="717"/>
        <w:gridCol w:w="538"/>
        <w:gridCol w:w="717"/>
        <w:gridCol w:w="717"/>
        <w:gridCol w:w="717"/>
        <w:gridCol w:w="947"/>
        <w:gridCol w:w="717"/>
        <w:gridCol w:w="538"/>
        <w:gridCol w:w="646"/>
        <w:gridCol w:w="430"/>
        <w:gridCol w:w="717"/>
        <w:gridCol w:w="538"/>
        <w:gridCol w:w="717"/>
        <w:gridCol w:w="717"/>
        <w:gridCol w:w="897"/>
      </w:tblGrid>
      <w:tr w:rsidR="00504273" w:rsidRPr="00392E88" w14:paraId="5E0D1950" w14:textId="77777777">
        <w:trPr>
          <w:jc w:val="center"/>
        </w:trPr>
        <w:tc>
          <w:tcPr>
            <w:tcW w:w="1423" w:type="dxa"/>
            <w:vAlign w:val="center"/>
          </w:tcPr>
          <w:p w14:paraId="0CC30D2B" w14:textId="096594C5" w:rsidR="00044D5B" w:rsidRPr="00392E88" w:rsidRDefault="00044D5B">
            <w:pPr>
              <w:ind w:right="-29"/>
              <w:jc w:val="center"/>
              <w:rPr>
                <w:b/>
                <w:noProof/>
                <w:sz w:val="18"/>
                <w:szCs w:val="18"/>
              </w:rPr>
            </w:pPr>
            <w:r w:rsidRPr="00392E88">
              <w:rPr>
                <w:b/>
                <w:sz w:val="18"/>
              </w:rPr>
              <w:t>Określić cele</w:t>
            </w:r>
            <w:r w:rsidR="006E6446" w:rsidRPr="00392E88">
              <w:rPr>
                <w:b/>
                <w:sz w:val="18"/>
              </w:rPr>
              <w:t xml:space="preserve"> i</w:t>
            </w:r>
            <w:r w:rsidR="006E6446">
              <w:rPr>
                <w:b/>
                <w:sz w:val="18"/>
              </w:rPr>
              <w:t> </w:t>
            </w:r>
            <w:r w:rsidR="006E6446" w:rsidRPr="00392E88">
              <w:rPr>
                <w:b/>
                <w:sz w:val="18"/>
              </w:rPr>
              <w:t>pro</w:t>
            </w:r>
            <w:r w:rsidRPr="00392E88">
              <w:rPr>
                <w:b/>
                <w:sz w:val="18"/>
              </w:rPr>
              <w:t xml:space="preserve">dukty </w:t>
            </w:r>
          </w:p>
          <w:p w14:paraId="31DCE7EA" w14:textId="77777777" w:rsidR="00044D5B" w:rsidRPr="00392E88" w:rsidRDefault="00044D5B">
            <w:pPr>
              <w:ind w:right="-29"/>
              <w:jc w:val="center"/>
              <w:rPr>
                <w:b/>
                <w:noProof/>
                <w:sz w:val="18"/>
                <w:szCs w:val="18"/>
              </w:rPr>
            </w:pPr>
          </w:p>
          <w:p w14:paraId="02B9C5D1" w14:textId="77777777" w:rsidR="00044D5B" w:rsidRPr="00392E88" w:rsidRDefault="00044D5B">
            <w:pPr>
              <w:ind w:right="-29"/>
              <w:jc w:val="center"/>
              <w:rPr>
                <w:noProof/>
                <w:sz w:val="18"/>
                <w:szCs w:val="18"/>
              </w:rPr>
            </w:pPr>
            <w:r w:rsidRPr="00392E88">
              <w:rPr>
                <w:rFonts w:ascii="Wingdings" w:hAnsi="Wingdings"/>
                <w:sz w:val="18"/>
              </w:rPr>
              <w:t>ò</w:t>
            </w:r>
          </w:p>
        </w:tc>
        <w:tc>
          <w:tcPr>
            <w:tcW w:w="720" w:type="dxa"/>
            <w:vAlign w:val="center"/>
          </w:tcPr>
          <w:p w14:paraId="2BE6932E" w14:textId="77777777" w:rsidR="00044D5B" w:rsidRPr="00392E88" w:rsidRDefault="00044D5B">
            <w:pPr>
              <w:ind w:right="-29"/>
              <w:jc w:val="center"/>
              <w:rPr>
                <w:noProof/>
                <w:sz w:val="18"/>
                <w:szCs w:val="18"/>
              </w:rPr>
            </w:pPr>
          </w:p>
        </w:tc>
        <w:tc>
          <w:tcPr>
            <w:tcW w:w="701" w:type="dxa"/>
            <w:vAlign w:val="center"/>
          </w:tcPr>
          <w:p w14:paraId="47A924A7" w14:textId="77777777" w:rsidR="00044D5B" w:rsidRPr="00392E88" w:rsidRDefault="00044D5B">
            <w:pPr>
              <w:ind w:right="-29"/>
              <w:jc w:val="center"/>
              <w:rPr>
                <w:noProof/>
                <w:sz w:val="18"/>
                <w:szCs w:val="18"/>
              </w:rPr>
            </w:pPr>
          </w:p>
        </w:tc>
        <w:tc>
          <w:tcPr>
            <w:tcW w:w="1224" w:type="dxa"/>
            <w:gridSpan w:val="2"/>
            <w:tcBorders>
              <w:left w:val="nil"/>
            </w:tcBorders>
            <w:vAlign w:val="center"/>
          </w:tcPr>
          <w:p w14:paraId="3EEFFC73" w14:textId="16E83E6D" w:rsidR="00044D5B" w:rsidRPr="00392E88" w:rsidRDefault="00044D5B">
            <w:pPr>
              <w:ind w:right="-29"/>
              <w:jc w:val="center"/>
              <w:rPr>
                <w:noProof/>
                <w:sz w:val="18"/>
                <w:szCs w:val="18"/>
              </w:rPr>
            </w:pPr>
            <w:r w:rsidRPr="00392E88">
              <w:rPr>
                <w:sz w:val="18"/>
              </w:rPr>
              <w:t>Ro</w:t>
            </w:r>
            <w:r w:rsidRPr="006E6446">
              <w:rPr>
                <w:sz w:val="18"/>
              </w:rPr>
              <w:t>k</w:t>
            </w:r>
            <w:r w:rsidR="006E6446" w:rsidRPr="006E6446">
              <w:rPr>
                <w:sz w:val="18"/>
              </w:rPr>
              <w:t xml:space="preserve"> </w:t>
            </w:r>
            <w:r w:rsidRPr="006E6446">
              <w:br/>
            </w:r>
            <w:r w:rsidRPr="00392E88">
              <w:rPr>
                <w:b/>
                <w:sz w:val="18"/>
              </w:rPr>
              <w:t>2024</w:t>
            </w:r>
          </w:p>
        </w:tc>
        <w:tc>
          <w:tcPr>
            <w:tcW w:w="1260" w:type="dxa"/>
            <w:gridSpan w:val="2"/>
            <w:vAlign w:val="center"/>
          </w:tcPr>
          <w:p w14:paraId="17B4A331" w14:textId="78D414C7" w:rsidR="00044D5B" w:rsidRPr="00392E88" w:rsidRDefault="00044D5B">
            <w:pPr>
              <w:ind w:right="-29"/>
              <w:jc w:val="center"/>
              <w:rPr>
                <w:noProof/>
                <w:sz w:val="18"/>
                <w:szCs w:val="18"/>
              </w:rPr>
            </w:pPr>
            <w:r w:rsidRPr="00392E88">
              <w:rPr>
                <w:sz w:val="18"/>
              </w:rPr>
              <w:t>Ro</w:t>
            </w:r>
            <w:r w:rsidRPr="006E6446">
              <w:rPr>
                <w:sz w:val="18"/>
              </w:rPr>
              <w:t>k</w:t>
            </w:r>
            <w:r w:rsidR="006E6446" w:rsidRPr="006E6446">
              <w:rPr>
                <w:sz w:val="18"/>
              </w:rPr>
              <w:t xml:space="preserve"> </w:t>
            </w:r>
            <w:r w:rsidRPr="006E6446">
              <w:br/>
            </w:r>
            <w:r w:rsidRPr="00392E88">
              <w:rPr>
                <w:b/>
                <w:sz w:val="18"/>
              </w:rPr>
              <w:t>2025</w:t>
            </w:r>
          </w:p>
        </w:tc>
        <w:tc>
          <w:tcPr>
            <w:tcW w:w="1440" w:type="dxa"/>
            <w:gridSpan w:val="2"/>
            <w:vAlign w:val="center"/>
          </w:tcPr>
          <w:p w14:paraId="07E5595C" w14:textId="30502CD6" w:rsidR="00044D5B" w:rsidRPr="00392E88" w:rsidRDefault="00044D5B">
            <w:pPr>
              <w:ind w:right="-29"/>
              <w:jc w:val="center"/>
              <w:rPr>
                <w:noProof/>
                <w:sz w:val="18"/>
                <w:szCs w:val="18"/>
              </w:rPr>
            </w:pPr>
            <w:r w:rsidRPr="00392E88">
              <w:rPr>
                <w:sz w:val="18"/>
              </w:rPr>
              <w:t>Ro</w:t>
            </w:r>
            <w:r w:rsidRPr="006E6446">
              <w:rPr>
                <w:sz w:val="18"/>
              </w:rPr>
              <w:t>k</w:t>
            </w:r>
            <w:r w:rsidR="006E6446" w:rsidRPr="006E6446">
              <w:rPr>
                <w:sz w:val="18"/>
              </w:rPr>
              <w:t xml:space="preserve"> </w:t>
            </w:r>
            <w:r w:rsidRPr="006E6446">
              <w:br/>
            </w:r>
            <w:r w:rsidRPr="00392E88">
              <w:rPr>
                <w:b/>
                <w:sz w:val="18"/>
              </w:rPr>
              <w:t>2026</w:t>
            </w:r>
          </w:p>
        </w:tc>
        <w:tc>
          <w:tcPr>
            <w:tcW w:w="1620" w:type="dxa"/>
            <w:gridSpan w:val="2"/>
            <w:vAlign w:val="center"/>
          </w:tcPr>
          <w:p w14:paraId="04A1C7A3" w14:textId="16526CFF" w:rsidR="00044D5B" w:rsidRPr="00392E88" w:rsidRDefault="00044D5B">
            <w:pPr>
              <w:ind w:right="-29"/>
              <w:jc w:val="center"/>
              <w:rPr>
                <w:noProof/>
                <w:sz w:val="18"/>
                <w:szCs w:val="18"/>
              </w:rPr>
            </w:pPr>
            <w:r w:rsidRPr="00392E88">
              <w:rPr>
                <w:sz w:val="18"/>
              </w:rPr>
              <w:t>Ro</w:t>
            </w:r>
            <w:r w:rsidRPr="006E6446">
              <w:rPr>
                <w:sz w:val="18"/>
              </w:rPr>
              <w:t>k</w:t>
            </w:r>
            <w:r w:rsidR="006E6446" w:rsidRPr="006E6446">
              <w:rPr>
                <w:sz w:val="18"/>
              </w:rPr>
              <w:t xml:space="preserve"> </w:t>
            </w:r>
            <w:r w:rsidRPr="006E6446">
              <w:br/>
            </w:r>
            <w:r w:rsidRPr="00392E88">
              <w:rPr>
                <w:b/>
                <w:sz w:val="18"/>
              </w:rPr>
              <w:t>2027</w:t>
            </w:r>
          </w:p>
        </w:tc>
        <w:tc>
          <w:tcPr>
            <w:tcW w:w="3600" w:type="dxa"/>
            <w:gridSpan w:val="6"/>
            <w:vAlign w:val="center"/>
          </w:tcPr>
          <w:p w14:paraId="4D7467F2" w14:textId="77777777" w:rsidR="00044D5B" w:rsidRPr="00392E88" w:rsidRDefault="00044D5B">
            <w:pPr>
              <w:jc w:val="center"/>
              <w:rPr>
                <w:noProof/>
                <w:sz w:val="18"/>
                <w:szCs w:val="18"/>
              </w:rPr>
            </w:pPr>
            <w:r w:rsidRPr="00392E88">
              <w:rPr>
                <w:sz w:val="18"/>
              </w:rPr>
              <w:t>Wprowadzić taką liczbę kolumn dla poszczególnych lat, jaka jest niezbędna, by odzwierciedlić cały okres wpływu (por. sekcja 1.6)</w:t>
            </w:r>
          </w:p>
        </w:tc>
        <w:tc>
          <w:tcPr>
            <w:tcW w:w="1620" w:type="dxa"/>
            <w:gridSpan w:val="2"/>
            <w:tcBorders>
              <w:left w:val="nil"/>
              <w:bottom w:val="nil"/>
            </w:tcBorders>
            <w:vAlign w:val="center"/>
          </w:tcPr>
          <w:p w14:paraId="05C47D71" w14:textId="77777777" w:rsidR="00044D5B" w:rsidRPr="00392E88" w:rsidRDefault="00044D5B">
            <w:pPr>
              <w:ind w:right="-29"/>
              <w:jc w:val="center"/>
              <w:rPr>
                <w:noProof/>
                <w:sz w:val="18"/>
                <w:szCs w:val="18"/>
              </w:rPr>
            </w:pPr>
            <w:r w:rsidRPr="00392E88">
              <w:rPr>
                <w:b/>
                <w:sz w:val="18"/>
              </w:rPr>
              <w:t>OGÓŁEM</w:t>
            </w:r>
          </w:p>
        </w:tc>
      </w:tr>
      <w:tr w:rsidR="00D84377" w:rsidRPr="00392E88" w14:paraId="108E928D" w14:textId="77777777">
        <w:trPr>
          <w:jc w:val="center"/>
        </w:trPr>
        <w:tc>
          <w:tcPr>
            <w:tcW w:w="1423" w:type="dxa"/>
            <w:vAlign w:val="center"/>
          </w:tcPr>
          <w:p w14:paraId="3790F3EB" w14:textId="77777777" w:rsidR="00044D5B" w:rsidRPr="00392E88" w:rsidRDefault="00044D5B">
            <w:pPr>
              <w:ind w:right="-29"/>
              <w:jc w:val="center"/>
              <w:rPr>
                <w:noProof/>
                <w:sz w:val="18"/>
                <w:szCs w:val="18"/>
              </w:rPr>
            </w:pPr>
          </w:p>
        </w:tc>
        <w:tc>
          <w:tcPr>
            <w:tcW w:w="12185" w:type="dxa"/>
            <w:gridSpan w:val="18"/>
            <w:vAlign w:val="center"/>
          </w:tcPr>
          <w:p w14:paraId="4EEA60C0" w14:textId="77777777" w:rsidR="00044D5B" w:rsidRPr="00392E88" w:rsidRDefault="00044D5B">
            <w:pPr>
              <w:spacing w:before="60" w:after="60"/>
              <w:ind w:right="-29"/>
              <w:jc w:val="center"/>
              <w:rPr>
                <w:noProof/>
                <w:sz w:val="18"/>
                <w:szCs w:val="18"/>
              </w:rPr>
            </w:pPr>
            <w:r w:rsidRPr="00392E88">
              <w:rPr>
                <w:b/>
                <w:sz w:val="18"/>
              </w:rPr>
              <w:t>PRODUKT</w:t>
            </w:r>
          </w:p>
        </w:tc>
      </w:tr>
      <w:tr w:rsidR="00E62D64" w:rsidRPr="00392E88" w14:paraId="5705D50F" w14:textId="77777777">
        <w:trPr>
          <w:cantSplit/>
          <w:trHeight w:val="1134"/>
          <w:jc w:val="center"/>
        </w:trPr>
        <w:tc>
          <w:tcPr>
            <w:tcW w:w="1423" w:type="dxa"/>
            <w:vAlign w:val="center"/>
          </w:tcPr>
          <w:p w14:paraId="4898D4CF" w14:textId="77777777" w:rsidR="00044D5B" w:rsidRPr="00392E88" w:rsidRDefault="00044D5B">
            <w:pPr>
              <w:rPr>
                <w:noProof/>
                <w:sz w:val="18"/>
                <w:szCs w:val="18"/>
              </w:rPr>
            </w:pPr>
          </w:p>
        </w:tc>
        <w:tc>
          <w:tcPr>
            <w:tcW w:w="720" w:type="dxa"/>
            <w:vAlign w:val="center"/>
          </w:tcPr>
          <w:p w14:paraId="2A28DBC6" w14:textId="77777777" w:rsidR="00044D5B" w:rsidRPr="00392E88" w:rsidRDefault="00044D5B">
            <w:pPr>
              <w:jc w:val="center"/>
              <w:rPr>
                <w:noProof/>
                <w:sz w:val="18"/>
                <w:szCs w:val="18"/>
              </w:rPr>
            </w:pPr>
            <w:r w:rsidRPr="00392E88">
              <w:rPr>
                <w:sz w:val="18"/>
              </w:rPr>
              <w:t>Rodzaj</w:t>
            </w:r>
            <w:r w:rsidRPr="00392E88">
              <w:rPr>
                <w:rStyle w:val="FootnoteReference"/>
                <w:noProof/>
                <w:sz w:val="18"/>
              </w:rPr>
              <w:footnoteReference w:id="43"/>
            </w:r>
          </w:p>
          <w:p w14:paraId="7C83F4D9" w14:textId="77777777" w:rsidR="00044D5B" w:rsidRPr="00392E88" w:rsidRDefault="00044D5B">
            <w:pPr>
              <w:spacing w:before="0" w:after="0"/>
              <w:jc w:val="center"/>
              <w:rPr>
                <w:noProof/>
                <w:sz w:val="18"/>
                <w:szCs w:val="18"/>
              </w:rPr>
            </w:pPr>
          </w:p>
        </w:tc>
        <w:tc>
          <w:tcPr>
            <w:tcW w:w="701" w:type="dxa"/>
            <w:vAlign w:val="center"/>
          </w:tcPr>
          <w:p w14:paraId="6D551254" w14:textId="77777777" w:rsidR="00044D5B" w:rsidRPr="00392E88" w:rsidRDefault="00044D5B">
            <w:pPr>
              <w:jc w:val="center"/>
              <w:rPr>
                <w:noProof/>
                <w:sz w:val="18"/>
                <w:szCs w:val="18"/>
              </w:rPr>
            </w:pPr>
            <w:r w:rsidRPr="00392E88">
              <w:rPr>
                <w:sz w:val="18"/>
              </w:rPr>
              <w:t>Średni koszt</w:t>
            </w:r>
          </w:p>
        </w:tc>
        <w:tc>
          <w:tcPr>
            <w:tcW w:w="504" w:type="dxa"/>
            <w:tcBorders>
              <w:left w:val="nil"/>
              <w:right w:val="dashSmallGap" w:sz="4" w:space="0" w:color="auto"/>
            </w:tcBorders>
            <w:shd w:val="pct10" w:color="auto" w:fill="auto"/>
            <w:textDirection w:val="btLr"/>
            <w:vAlign w:val="center"/>
          </w:tcPr>
          <w:p w14:paraId="73AD1720" w14:textId="77777777" w:rsidR="00044D5B" w:rsidRPr="00392E88" w:rsidRDefault="00044D5B">
            <w:pPr>
              <w:ind w:left="113" w:right="113"/>
              <w:jc w:val="center"/>
              <w:rPr>
                <w:noProof/>
                <w:sz w:val="18"/>
                <w:szCs w:val="18"/>
              </w:rPr>
            </w:pPr>
            <w:r w:rsidRPr="00392E88">
              <w:rPr>
                <w:sz w:val="18"/>
              </w:rPr>
              <w:t>Liczba</w:t>
            </w:r>
          </w:p>
        </w:tc>
        <w:tc>
          <w:tcPr>
            <w:tcW w:w="720" w:type="dxa"/>
            <w:tcBorders>
              <w:left w:val="dashSmallGap" w:sz="4" w:space="0" w:color="auto"/>
            </w:tcBorders>
            <w:shd w:val="pct10" w:color="auto" w:fill="auto"/>
            <w:vAlign w:val="center"/>
          </w:tcPr>
          <w:p w14:paraId="525D1525" w14:textId="77777777" w:rsidR="00044D5B" w:rsidRPr="00392E88" w:rsidRDefault="00044D5B">
            <w:pPr>
              <w:jc w:val="center"/>
              <w:rPr>
                <w:noProof/>
                <w:sz w:val="18"/>
                <w:szCs w:val="18"/>
              </w:rPr>
            </w:pPr>
            <w:r w:rsidRPr="00392E88">
              <w:rPr>
                <w:sz w:val="18"/>
              </w:rPr>
              <w:t>Koszt</w:t>
            </w:r>
          </w:p>
        </w:tc>
        <w:tc>
          <w:tcPr>
            <w:tcW w:w="540" w:type="dxa"/>
            <w:tcBorders>
              <w:right w:val="dashSmallGap" w:sz="4" w:space="0" w:color="auto"/>
            </w:tcBorders>
            <w:shd w:val="pct10" w:color="auto" w:fill="auto"/>
            <w:textDirection w:val="btLr"/>
            <w:vAlign w:val="center"/>
          </w:tcPr>
          <w:p w14:paraId="58010348" w14:textId="77777777" w:rsidR="00044D5B" w:rsidRPr="00392E88" w:rsidRDefault="00044D5B">
            <w:pPr>
              <w:ind w:left="113" w:right="113"/>
              <w:jc w:val="center"/>
              <w:rPr>
                <w:noProof/>
                <w:sz w:val="18"/>
                <w:szCs w:val="18"/>
              </w:rPr>
            </w:pPr>
            <w:r w:rsidRPr="00392E88">
              <w:rPr>
                <w:sz w:val="18"/>
              </w:rPr>
              <w:t>Liczba</w:t>
            </w:r>
          </w:p>
        </w:tc>
        <w:tc>
          <w:tcPr>
            <w:tcW w:w="720" w:type="dxa"/>
            <w:tcBorders>
              <w:left w:val="dashSmallGap" w:sz="4" w:space="0" w:color="auto"/>
            </w:tcBorders>
            <w:shd w:val="pct10" w:color="auto" w:fill="auto"/>
            <w:vAlign w:val="center"/>
          </w:tcPr>
          <w:p w14:paraId="39E7CF00" w14:textId="77777777" w:rsidR="00044D5B" w:rsidRPr="00392E88" w:rsidRDefault="00044D5B">
            <w:pPr>
              <w:jc w:val="center"/>
              <w:rPr>
                <w:noProof/>
                <w:sz w:val="18"/>
                <w:szCs w:val="18"/>
              </w:rPr>
            </w:pPr>
            <w:r w:rsidRPr="00392E88">
              <w:rPr>
                <w:sz w:val="18"/>
              </w:rPr>
              <w:t>Koszt</w:t>
            </w:r>
          </w:p>
        </w:tc>
        <w:tc>
          <w:tcPr>
            <w:tcW w:w="720" w:type="dxa"/>
            <w:tcBorders>
              <w:right w:val="dashSmallGap" w:sz="4" w:space="0" w:color="auto"/>
            </w:tcBorders>
            <w:shd w:val="pct10" w:color="auto" w:fill="auto"/>
            <w:textDirection w:val="btLr"/>
            <w:vAlign w:val="center"/>
          </w:tcPr>
          <w:p w14:paraId="0CFD17C8" w14:textId="77777777" w:rsidR="00044D5B" w:rsidRPr="00392E88" w:rsidRDefault="00044D5B">
            <w:pPr>
              <w:ind w:left="113" w:right="113"/>
              <w:jc w:val="center"/>
              <w:rPr>
                <w:noProof/>
                <w:sz w:val="18"/>
                <w:szCs w:val="18"/>
              </w:rPr>
            </w:pPr>
            <w:r w:rsidRPr="00392E88">
              <w:rPr>
                <w:sz w:val="18"/>
              </w:rPr>
              <w:t>Liczba</w:t>
            </w:r>
          </w:p>
        </w:tc>
        <w:tc>
          <w:tcPr>
            <w:tcW w:w="720" w:type="dxa"/>
            <w:tcBorders>
              <w:left w:val="dashSmallGap" w:sz="4" w:space="0" w:color="auto"/>
            </w:tcBorders>
            <w:shd w:val="pct10" w:color="auto" w:fill="auto"/>
            <w:vAlign w:val="center"/>
          </w:tcPr>
          <w:p w14:paraId="648612E5" w14:textId="77777777" w:rsidR="00044D5B" w:rsidRPr="00392E88" w:rsidRDefault="00044D5B">
            <w:pPr>
              <w:jc w:val="center"/>
              <w:rPr>
                <w:noProof/>
                <w:sz w:val="18"/>
                <w:szCs w:val="18"/>
              </w:rPr>
            </w:pPr>
            <w:r w:rsidRPr="00392E88">
              <w:rPr>
                <w:sz w:val="18"/>
              </w:rPr>
              <w:t>Koszt</w:t>
            </w:r>
          </w:p>
        </w:tc>
        <w:tc>
          <w:tcPr>
            <w:tcW w:w="900" w:type="dxa"/>
            <w:tcBorders>
              <w:right w:val="dashSmallGap" w:sz="4" w:space="0" w:color="auto"/>
            </w:tcBorders>
            <w:shd w:val="pct10" w:color="auto" w:fill="auto"/>
            <w:textDirection w:val="btLr"/>
            <w:vAlign w:val="center"/>
          </w:tcPr>
          <w:p w14:paraId="068FC0B9" w14:textId="77777777" w:rsidR="00044D5B" w:rsidRPr="00392E88" w:rsidRDefault="00044D5B">
            <w:pPr>
              <w:ind w:left="113" w:right="113"/>
              <w:jc w:val="center"/>
              <w:rPr>
                <w:noProof/>
                <w:sz w:val="18"/>
                <w:szCs w:val="18"/>
              </w:rPr>
            </w:pPr>
            <w:r w:rsidRPr="00392E88">
              <w:rPr>
                <w:sz w:val="18"/>
              </w:rPr>
              <w:t>Liczba</w:t>
            </w:r>
          </w:p>
        </w:tc>
        <w:tc>
          <w:tcPr>
            <w:tcW w:w="720" w:type="dxa"/>
            <w:tcBorders>
              <w:left w:val="dashSmallGap" w:sz="4" w:space="0" w:color="auto"/>
            </w:tcBorders>
            <w:shd w:val="pct10" w:color="auto" w:fill="auto"/>
            <w:vAlign w:val="center"/>
          </w:tcPr>
          <w:p w14:paraId="53E13167" w14:textId="77777777" w:rsidR="00044D5B" w:rsidRPr="00392E88" w:rsidRDefault="00044D5B">
            <w:pPr>
              <w:jc w:val="center"/>
              <w:rPr>
                <w:noProof/>
                <w:sz w:val="18"/>
                <w:szCs w:val="18"/>
              </w:rPr>
            </w:pPr>
            <w:r w:rsidRPr="00392E88">
              <w:rPr>
                <w:sz w:val="18"/>
              </w:rPr>
              <w:t>Koszt</w:t>
            </w:r>
          </w:p>
        </w:tc>
        <w:tc>
          <w:tcPr>
            <w:tcW w:w="540" w:type="dxa"/>
            <w:tcBorders>
              <w:right w:val="dashSmallGap" w:sz="4" w:space="0" w:color="auto"/>
            </w:tcBorders>
            <w:shd w:val="pct10" w:color="auto" w:fill="auto"/>
            <w:textDirection w:val="btLr"/>
            <w:vAlign w:val="center"/>
          </w:tcPr>
          <w:p w14:paraId="01311F1A" w14:textId="77777777" w:rsidR="00044D5B" w:rsidRPr="00392E88" w:rsidRDefault="00044D5B">
            <w:pPr>
              <w:ind w:left="113" w:right="113"/>
              <w:jc w:val="center"/>
              <w:rPr>
                <w:noProof/>
                <w:sz w:val="18"/>
                <w:szCs w:val="18"/>
              </w:rPr>
            </w:pPr>
            <w:r w:rsidRPr="00392E88">
              <w:rPr>
                <w:sz w:val="18"/>
              </w:rPr>
              <w:t>Liczba</w:t>
            </w:r>
          </w:p>
        </w:tc>
        <w:tc>
          <w:tcPr>
            <w:tcW w:w="648" w:type="dxa"/>
            <w:tcBorders>
              <w:left w:val="dashSmallGap" w:sz="4" w:space="0" w:color="auto"/>
            </w:tcBorders>
            <w:shd w:val="pct10" w:color="auto" w:fill="auto"/>
            <w:vAlign w:val="center"/>
          </w:tcPr>
          <w:p w14:paraId="5482E463" w14:textId="77777777" w:rsidR="00044D5B" w:rsidRPr="00392E88" w:rsidRDefault="00044D5B">
            <w:pPr>
              <w:jc w:val="center"/>
              <w:rPr>
                <w:noProof/>
                <w:sz w:val="18"/>
                <w:szCs w:val="18"/>
              </w:rPr>
            </w:pPr>
            <w:r w:rsidRPr="00392E88">
              <w:rPr>
                <w:sz w:val="18"/>
              </w:rPr>
              <w:t>Koszt</w:t>
            </w:r>
          </w:p>
        </w:tc>
        <w:tc>
          <w:tcPr>
            <w:tcW w:w="432" w:type="dxa"/>
            <w:tcBorders>
              <w:right w:val="dashSmallGap" w:sz="4" w:space="0" w:color="auto"/>
            </w:tcBorders>
            <w:shd w:val="pct10" w:color="auto" w:fill="auto"/>
            <w:textDirection w:val="btLr"/>
            <w:vAlign w:val="center"/>
          </w:tcPr>
          <w:p w14:paraId="3C808FCB" w14:textId="77777777" w:rsidR="00044D5B" w:rsidRPr="00392E88" w:rsidRDefault="00044D5B">
            <w:pPr>
              <w:ind w:left="113" w:right="113"/>
              <w:jc w:val="center"/>
              <w:rPr>
                <w:noProof/>
                <w:sz w:val="18"/>
                <w:szCs w:val="18"/>
              </w:rPr>
            </w:pPr>
            <w:r w:rsidRPr="00392E88">
              <w:rPr>
                <w:sz w:val="18"/>
              </w:rPr>
              <w:t>Liczba</w:t>
            </w:r>
          </w:p>
        </w:tc>
        <w:tc>
          <w:tcPr>
            <w:tcW w:w="720" w:type="dxa"/>
            <w:tcBorders>
              <w:left w:val="dashSmallGap" w:sz="4" w:space="0" w:color="auto"/>
            </w:tcBorders>
            <w:shd w:val="pct10" w:color="auto" w:fill="auto"/>
            <w:vAlign w:val="center"/>
          </w:tcPr>
          <w:p w14:paraId="2B193E48" w14:textId="77777777" w:rsidR="00044D5B" w:rsidRPr="00392E88" w:rsidRDefault="00044D5B">
            <w:pPr>
              <w:jc w:val="center"/>
              <w:rPr>
                <w:noProof/>
                <w:sz w:val="18"/>
                <w:szCs w:val="18"/>
              </w:rPr>
            </w:pPr>
            <w:r w:rsidRPr="00392E88">
              <w:rPr>
                <w:sz w:val="18"/>
              </w:rPr>
              <w:t>Koszt</w:t>
            </w:r>
          </w:p>
        </w:tc>
        <w:tc>
          <w:tcPr>
            <w:tcW w:w="540" w:type="dxa"/>
            <w:tcBorders>
              <w:right w:val="dashSmallGap" w:sz="4" w:space="0" w:color="auto"/>
            </w:tcBorders>
            <w:shd w:val="pct10" w:color="auto" w:fill="auto"/>
            <w:textDirection w:val="btLr"/>
            <w:vAlign w:val="center"/>
          </w:tcPr>
          <w:p w14:paraId="02771A57" w14:textId="77777777" w:rsidR="00044D5B" w:rsidRPr="00392E88" w:rsidRDefault="00044D5B">
            <w:pPr>
              <w:ind w:left="113" w:right="113"/>
              <w:jc w:val="center"/>
              <w:rPr>
                <w:noProof/>
                <w:sz w:val="18"/>
                <w:szCs w:val="18"/>
              </w:rPr>
            </w:pPr>
            <w:r w:rsidRPr="00392E88">
              <w:rPr>
                <w:sz w:val="18"/>
              </w:rPr>
              <w:t>Liczba</w:t>
            </w:r>
          </w:p>
        </w:tc>
        <w:tc>
          <w:tcPr>
            <w:tcW w:w="720" w:type="dxa"/>
            <w:tcBorders>
              <w:left w:val="dashSmallGap" w:sz="4" w:space="0" w:color="auto"/>
            </w:tcBorders>
            <w:shd w:val="pct10" w:color="auto" w:fill="auto"/>
            <w:vAlign w:val="center"/>
          </w:tcPr>
          <w:p w14:paraId="2E3A2857" w14:textId="77777777" w:rsidR="00044D5B" w:rsidRPr="00392E88" w:rsidRDefault="00044D5B">
            <w:pPr>
              <w:jc w:val="center"/>
              <w:rPr>
                <w:noProof/>
                <w:sz w:val="18"/>
                <w:szCs w:val="18"/>
              </w:rPr>
            </w:pPr>
            <w:r w:rsidRPr="00392E88">
              <w:rPr>
                <w:sz w:val="18"/>
              </w:rPr>
              <w:t>Koszt</w:t>
            </w:r>
          </w:p>
        </w:tc>
        <w:tc>
          <w:tcPr>
            <w:tcW w:w="720" w:type="dxa"/>
            <w:tcBorders>
              <w:right w:val="dashSmallGap" w:sz="4" w:space="0" w:color="auto"/>
            </w:tcBorders>
            <w:shd w:val="pct10" w:color="auto" w:fill="auto"/>
            <w:vAlign w:val="center"/>
          </w:tcPr>
          <w:p w14:paraId="082A55F2" w14:textId="77777777" w:rsidR="00044D5B" w:rsidRPr="00392E88" w:rsidRDefault="00044D5B">
            <w:pPr>
              <w:jc w:val="center"/>
              <w:rPr>
                <w:noProof/>
                <w:sz w:val="18"/>
                <w:szCs w:val="18"/>
              </w:rPr>
            </w:pPr>
            <w:r w:rsidRPr="00392E88">
              <w:rPr>
                <w:sz w:val="18"/>
              </w:rPr>
              <w:t>Liczba ogółem</w:t>
            </w:r>
          </w:p>
        </w:tc>
        <w:tc>
          <w:tcPr>
            <w:tcW w:w="900" w:type="dxa"/>
            <w:tcBorders>
              <w:left w:val="dashSmallGap" w:sz="4" w:space="0" w:color="auto"/>
            </w:tcBorders>
            <w:shd w:val="pct10" w:color="auto" w:fill="auto"/>
            <w:vAlign w:val="center"/>
          </w:tcPr>
          <w:p w14:paraId="5B2FE234" w14:textId="77777777" w:rsidR="00044D5B" w:rsidRPr="00392E88" w:rsidRDefault="00044D5B">
            <w:pPr>
              <w:jc w:val="center"/>
              <w:rPr>
                <w:noProof/>
                <w:sz w:val="18"/>
                <w:szCs w:val="18"/>
              </w:rPr>
            </w:pPr>
            <w:r w:rsidRPr="00392E88">
              <w:rPr>
                <w:sz w:val="18"/>
              </w:rPr>
              <w:t>Koszt całkowity</w:t>
            </w:r>
          </w:p>
        </w:tc>
      </w:tr>
      <w:tr w:rsidR="009700B5" w:rsidRPr="00392E88" w14:paraId="18EF0597" w14:textId="77777777">
        <w:trPr>
          <w:jc w:val="center"/>
        </w:trPr>
        <w:tc>
          <w:tcPr>
            <w:tcW w:w="2844" w:type="dxa"/>
            <w:gridSpan w:val="3"/>
            <w:vAlign w:val="center"/>
          </w:tcPr>
          <w:p w14:paraId="15CB7712" w14:textId="06031CAB" w:rsidR="00044D5B" w:rsidRPr="00392E88" w:rsidRDefault="00044D5B">
            <w:pPr>
              <w:spacing w:before="60" w:after="60"/>
              <w:ind w:right="-29"/>
              <w:jc w:val="center"/>
              <w:rPr>
                <w:noProof/>
                <w:sz w:val="18"/>
                <w:szCs w:val="18"/>
              </w:rPr>
            </w:pPr>
            <w:r w:rsidRPr="00392E88">
              <w:rPr>
                <w:sz w:val="18"/>
              </w:rPr>
              <w:t xml:space="preserve">CEL SZCZEGÓŁOWY </w:t>
            </w:r>
            <w:r w:rsidRPr="006E6446">
              <w:rPr>
                <w:sz w:val="18"/>
              </w:rPr>
              <w:t>nr</w:t>
            </w:r>
            <w:r w:rsidR="006E6446" w:rsidRPr="006E6446">
              <w:rPr>
                <w:sz w:val="18"/>
              </w:rPr>
              <w:t> </w:t>
            </w:r>
            <w:r w:rsidRPr="006E6446">
              <w:rPr>
                <w:sz w:val="18"/>
              </w:rPr>
              <w:t>1</w:t>
            </w:r>
            <w:r w:rsidRPr="00392E88">
              <w:rPr>
                <w:rStyle w:val="FootnoteReference"/>
                <w:noProof/>
                <w:sz w:val="18"/>
              </w:rPr>
              <w:footnoteReference w:id="44"/>
            </w:r>
          </w:p>
        </w:tc>
        <w:tc>
          <w:tcPr>
            <w:tcW w:w="504" w:type="dxa"/>
            <w:tcBorders>
              <w:top w:val="nil"/>
              <w:left w:val="nil"/>
              <w:bottom w:val="nil"/>
              <w:right w:val="nil"/>
            </w:tcBorders>
          </w:tcPr>
          <w:p w14:paraId="39A3A01E" w14:textId="77777777" w:rsidR="00044D5B" w:rsidRPr="00392E88" w:rsidRDefault="00044D5B">
            <w:pPr>
              <w:spacing w:before="60" w:after="60"/>
              <w:ind w:right="-29"/>
              <w:jc w:val="center"/>
              <w:rPr>
                <w:noProof/>
                <w:sz w:val="18"/>
                <w:szCs w:val="18"/>
              </w:rPr>
            </w:pPr>
          </w:p>
        </w:tc>
        <w:tc>
          <w:tcPr>
            <w:tcW w:w="720" w:type="dxa"/>
            <w:tcBorders>
              <w:top w:val="nil"/>
              <w:left w:val="nil"/>
              <w:bottom w:val="nil"/>
              <w:right w:val="nil"/>
            </w:tcBorders>
          </w:tcPr>
          <w:p w14:paraId="554269AD" w14:textId="77777777" w:rsidR="00044D5B" w:rsidRPr="00392E88" w:rsidRDefault="00044D5B">
            <w:pPr>
              <w:spacing w:before="60" w:after="60"/>
              <w:ind w:right="-29"/>
              <w:jc w:val="center"/>
              <w:rPr>
                <w:noProof/>
                <w:sz w:val="18"/>
                <w:szCs w:val="18"/>
              </w:rPr>
            </w:pPr>
          </w:p>
        </w:tc>
        <w:tc>
          <w:tcPr>
            <w:tcW w:w="540" w:type="dxa"/>
            <w:tcBorders>
              <w:top w:val="nil"/>
              <w:left w:val="nil"/>
              <w:bottom w:val="nil"/>
              <w:right w:val="nil"/>
            </w:tcBorders>
          </w:tcPr>
          <w:p w14:paraId="6FDCF653" w14:textId="77777777" w:rsidR="00044D5B" w:rsidRPr="00392E88" w:rsidRDefault="00044D5B">
            <w:pPr>
              <w:spacing w:before="60" w:after="60"/>
              <w:ind w:right="-29"/>
              <w:jc w:val="center"/>
              <w:rPr>
                <w:noProof/>
                <w:sz w:val="18"/>
                <w:szCs w:val="18"/>
              </w:rPr>
            </w:pPr>
          </w:p>
        </w:tc>
        <w:tc>
          <w:tcPr>
            <w:tcW w:w="720" w:type="dxa"/>
            <w:tcBorders>
              <w:top w:val="nil"/>
              <w:left w:val="nil"/>
              <w:bottom w:val="nil"/>
              <w:right w:val="nil"/>
            </w:tcBorders>
          </w:tcPr>
          <w:p w14:paraId="0AE2BE40" w14:textId="77777777" w:rsidR="00044D5B" w:rsidRPr="00392E88" w:rsidRDefault="00044D5B">
            <w:pPr>
              <w:spacing w:before="60" w:after="60"/>
              <w:ind w:right="-29"/>
              <w:jc w:val="center"/>
              <w:rPr>
                <w:noProof/>
                <w:sz w:val="18"/>
                <w:szCs w:val="18"/>
              </w:rPr>
            </w:pPr>
          </w:p>
        </w:tc>
        <w:tc>
          <w:tcPr>
            <w:tcW w:w="720" w:type="dxa"/>
            <w:tcBorders>
              <w:top w:val="nil"/>
              <w:left w:val="nil"/>
              <w:bottom w:val="nil"/>
              <w:right w:val="nil"/>
            </w:tcBorders>
          </w:tcPr>
          <w:p w14:paraId="37A94689" w14:textId="77777777" w:rsidR="00044D5B" w:rsidRPr="00392E88" w:rsidRDefault="00044D5B">
            <w:pPr>
              <w:spacing w:before="60" w:after="60"/>
              <w:ind w:right="-29"/>
              <w:jc w:val="center"/>
              <w:rPr>
                <w:noProof/>
                <w:sz w:val="18"/>
                <w:szCs w:val="18"/>
              </w:rPr>
            </w:pPr>
          </w:p>
        </w:tc>
        <w:tc>
          <w:tcPr>
            <w:tcW w:w="720" w:type="dxa"/>
            <w:tcBorders>
              <w:top w:val="nil"/>
              <w:left w:val="nil"/>
              <w:bottom w:val="nil"/>
              <w:right w:val="nil"/>
            </w:tcBorders>
          </w:tcPr>
          <w:p w14:paraId="7403D2D4" w14:textId="77777777" w:rsidR="00044D5B" w:rsidRPr="00392E88" w:rsidRDefault="00044D5B">
            <w:pPr>
              <w:spacing w:before="60" w:after="60"/>
              <w:ind w:right="-29"/>
              <w:jc w:val="center"/>
              <w:rPr>
                <w:noProof/>
                <w:sz w:val="18"/>
                <w:szCs w:val="18"/>
              </w:rPr>
            </w:pPr>
          </w:p>
        </w:tc>
        <w:tc>
          <w:tcPr>
            <w:tcW w:w="900" w:type="dxa"/>
            <w:tcBorders>
              <w:top w:val="nil"/>
              <w:left w:val="nil"/>
              <w:bottom w:val="nil"/>
              <w:right w:val="nil"/>
            </w:tcBorders>
          </w:tcPr>
          <w:p w14:paraId="51BBFFC8" w14:textId="77777777" w:rsidR="00044D5B" w:rsidRPr="00392E88" w:rsidRDefault="00044D5B">
            <w:pPr>
              <w:spacing w:before="60" w:after="60"/>
              <w:ind w:right="-29"/>
              <w:jc w:val="center"/>
              <w:rPr>
                <w:noProof/>
                <w:sz w:val="18"/>
                <w:szCs w:val="18"/>
              </w:rPr>
            </w:pPr>
          </w:p>
        </w:tc>
        <w:tc>
          <w:tcPr>
            <w:tcW w:w="720" w:type="dxa"/>
            <w:tcBorders>
              <w:top w:val="nil"/>
              <w:left w:val="nil"/>
              <w:bottom w:val="nil"/>
              <w:right w:val="nil"/>
            </w:tcBorders>
          </w:tcPr>
          <w:p w14:paraId="345083BC" w14:textId="77777777" w:rsidR="00044D5B" w:rsidRPr="00392E88" w:rsidRDefault="00044D5B">
            <w:pPr>
              <w:spacing w:before="60" w:after="60"/>
              <w:ind w:right="-29"/>
              <w:jc w:val="center"/>
              <w:rPr>
                <w:noProof/>
                <w:sz w:val="18"/>
                <w:szCs w:val="18"/>
              </w:rPr>
            </w:pPr>
          </w:p>
        </w:tc>
        <w:tc>
          <w:tcPr>
            <w:tcW w:w="540" w:type="dxa"/>
            <w:tcBorders>
              <w:top w:val="nil"/>
              <w:left w:val="nil"/>
              <w:bottom w:val="nil"/>
              <w:right w:val="nil"/>
            </w:tcBorders>
          </w:tcPr>
          <w:p w14:paraId="0FDA823D" w14:textId="77777777" w:rsidR="00044D5B" w:rsidRPr="00392E88" w:rsidRDefault="00044D5B">
            <w:pPr>
              <w:spacing w:before="60" w:after="60"/>
              <w:ind w:right="-29"/>
              <w:jc w:val="center"/>
              <w:rPr>
                <w:noProof/>
                <w:sz w:val="18"/>
                <w:szCs w:val="18"/>
              </w:rPr>
            </w:pPr>
          </w:p>
        </w:tc>
        <w:tc>
          <w:tcPr>
            <w:tcW w:w="648" w:type="dxa"/>
            <w:tcBorders>
              <w:top w:val="nil"/>
              <w:left w:val="nil"/>
              <w:bottom w:val="nil"/>
              <w:right w:val="nil"/>
            </w:tcBorders>
          </w:tcPr>
          <w:p w14:paraId="4CC327D0" w14:textId="77777777" w:rsidR="00044D5B" w:rsidRPr="00392E88" w:rsidRDefault="00044D5B">
            <w:pPr>
              <w:spacing w:before="60" w:after="60"/>
              <w:ind w:right="-29"/>
              <w:jc w:val="center"/>
              <w:rPr>
                <w:noProof/>
                <w:sz w:val="18"/>
                <w:szCs w:val="18"/>
              </w:rPr>
            </w:pPr>
          </w:p>
        </w:tc>
        <w:tc>
          <w:tcPr>
            <w:tcW w:w="432" w:type="dxa"/>
            <w:tcBorders>
              <w:top w:val="nil"/>
              <w:left w:val="nil"/>
              <w:bottom w:val="nil"/>
              <w:right w:val="nil"/>
            </w:tcBorders>
          </w:tcPr>
          <w:p w14:paraId="75DB459A" w14:textId="77777777" w:rsidR="00044D5B" w:rsidRPr="00392E88" w:rsidRDefault="00044D5B">
            <w:pPr>
              <w:spacing w:before="60" w:after="60"/>
              <w:ind w:right="-29"/>
              <w:jc w:val="center"/>
              <w:rPr>
                <w:noProof/>
                <w:sz w:val="18"/>
                <w:szCs w:val="18"/>
              </w:rPr>
            </w:pPr>
          </w:p>
        </w:tc>
        <w:tc>
          <w:tcPr>
            <w:tcW w:w="720" w:type="dxa"/>
            <w:tcBorders>
              <w:top w:val="nil"/>
              <w:left w:val="nil"/>
              <w:bottom w:val="nil"/>
              <w:right w:val="nil"/>
            </w:tcBorders>
          </w:tcPr>
          <w:p w14:paraId="780A2C7D" w14:textId="77777777" w:rsidR="00044D5B" w:rsidRPr="00392E88" w:rsidRDefault="00044D5B">
            <w:pPr>
              <w:spacing w:before="60" w:after="60"/>
              <w:ind w:right="-29"/>
              <w:jc w:val="center"/>
              <w:rPr>
                <w:noProof/>
                <w:sz w:val="18"/>
                <w:szCs w:val="18"/>
              </w:rPr>
            </w:pPr>
          </w:p>
        </w:tc>
        <w:tc>
          <w:tcPr>
            <w:tcW w:w="540" w:type="dxa"/>
            <w:tcBorders>
              <w:top w:val="nil"/>
              <w:left w:val="nil"/>
              <w:bottom w:val="nil"/>
              <w:right w:val="nil"/>
            </w:tcBorders>
          </w:tcPr>
          <w:p w14:paraId="3959A7E1" w14:textId="77777777" w:rsidR="00044D5B" w:rsidRPr="00392E88" w:rsidRDefault="00044D5B">
            <w:pPr>
              <w:spacing w:before="60" w:after="60"/>
              <w:ind w:right="-29"/>
              <w:jc w:val="center"/>
              <w:rPr>
                <w:noProof/>
                <w:sz w:val="18"/>
                <w:szCs w:val="18"/>
              </w:rPr>
            </w:pPr>
          </w:p>
        </w:tc>
        <w:tc>
          <w:tcPr>
            <w:tcW w:w="720" w:type="dxa"/>
            <w:tcBorders>
              <w:top w:val="nil"/>
              <w:left w:val="nil"/>
              <w:bottom w:val="nil"/>
              <w:right w:val="nil"/>
            </w:tcBorders>
          </w:tcPr>
          <w:p w14:paraId="3F8A2EF1" w14:textId="77777777" w:rsidR="00044D5B" w:rsidRPr="00392E88" w:rsidRDefault="00044D5B">
            <w:pPr>
              <w:spacing w:before="60" w:after="60"/>
              <w:ind w:right="-29"/>
              <w:jc w:val="center"/>
              <w:rPr>
                <w:noProof/>
                <w:sz w:val="18"/>
                <w:szCs w:val="18"/>
              </w:rPr>
            </w:pPr>
          </w:p>
        </w:tc>
        <w:tc>
          <w:tcPr>
            <w:tcW w:w="720" w:type="dxa"/>
            <w:tcBorders>
              <w:top w:val="nil"/>
              <w:left w:val="nil"/>
              <w:bottom w:val="nil"/>
              <w:right w:val="nil"/>
            </w:tcBorders>
          </w:tcPr>
          <w:p w14:paraId="3337A2FA" w14:textId="77777777" w:rsidR="00044D5B" w:rsidRPr="00392E88" w:rsidRDefault="00044D5B">
            <w:pPr>
              <w:spacing w:before="60" w:after="60"/>
              <w:ind w:right="-29"/>
              <w:jc w:val="center"/>
              <w:rPr>
                <w:noProof/>
                <w:sz w:val="18"/>
                <w:szCs w:val="18"/>
              </w:rPr>
            </w:pPr>
          </w:p>
        </w:tc>
        <w:tc>
          <w:tcPr>
            <w:tcW w:w="900" w:type="dxa"/>
            <w:tcBorders>
              <w:top w:val="nil"/>
              <w:left w:val="nil"/>
              <w:bottom w:val="nil"/>
              <w:right w:val="nil"/>
            </w:tcBorders>
          </w:tcPr>
          <w:p w14:paraId="787418F9" w14:textId="77777777" w:rsidR="00044D5B" w:rsidRPr="00392E88" w:rsidRDefault="00044D5B">
            <w:pPr>
              <w:spacing w:before="60" w:after="60"/>
              <w:ind w:right="-29"/>
              <w:jc w:val="center"/>
              <w:rPr>
                <w:noProof/>
                <w:sz w:val="18"/>
                <w:szCs w:val="18"/>
              </w:rPr>
            </w:pPr>
          </w:p>
        </w:tc>
      </w:tr>
      <w:tr w:rsidR="00E82A37" w:rsidRPr="00392E88" w14:paraId="614F3390" w14:textId="77777777">
        <w:trPr>
          <w:trHeight w:hRule="exact" w:val="369"/>
          <w:jc w:val="center"/>
        </w:trPr>
        <w:tc>
          <w:tcPr>
            <w:tcW w:w="1423" w:type="dxa"/>
          </w:tcPr>
          <w:p w14:paraId="24B63285" w14:textId="77777777" w:rsidR="00044D5B" w:rsidRPr="00392E88" w:rsidRDefault="00044D5B">
            <w:pPr>
              <w:ind w:right="-29"/>
              <w:jc w:val="center"/>
              <w:rPr>
                <w:noProof/>
                <w:sz w:val="18"/>
                <w:szCs w:val="18"/>
              </w:rPr>
            </w:pPr>
            <w:r w:rsidRPr="00392E88">
              <w:rPr>
                <w:sz w:val="18"/>
              </w:rPr>
              <w:t>- Produkt</w:t>
            </w:r>
          </w:p>
        </w:tc>
        <w:tc>
          <w:tcPr>
            <w:tcW w:w="720" w:type="dxa"/>
          </w:tcPr>
          <w:p w14:paraId="7CBCE8C9" w14:textId="77777777" w:rsidR="00044D5B" w:rsidRPr="00392E88" w:rsidRDefault="00044D5B">
            <w:pPr>
              <w:ind w:right="-29"/>
              <w:jc w:val="center"/>
              <w:rPr>
                <w:noProof/>
                <w:sz w:val="18"/>
                <w:szCs w:val="18"/>
              </w:rPr>
            </w:pPr>
          </w:p>
        </w:tc>
        <w:tc>
          <w:tcPr>
            <w:tcW w:w="701" w:type="dxa"/>
          </w:tcPr>
          <w:p w14:paraId="763B6A5E" w14:textId="77777777" w:rsidR="00044D5B" w:rsidRPr="00392E88" w:rsidRDefault="00044D5B">
            <w:pPr>
              <w:ind w:right="-29"/>
              <w:jc w:val="center"/>
              <w:rPr>
                <w:noProof/>
                <w:sz w:val="18"/>
                <w:szCs w:val="18"/>
              </w:rPr>
            </w:pPr>
          </w:p>
        </w:tc>
        <w:tc>
          <w:tcPr>
            <w:tcW w:w="504" w:type="dxa"/>
            <w:tcBorders>
              <w:right w:val="dashSmallGap" w:sz="4" w:space="0" w:color="auto"/>
            </w:tcBorders>
          </w:tcPr>
          <w:p w14:paraId="606C8205" w14:textId="77777777" w:rsidR="00044D5B" w:rsidRPr="00392E88" w:rsidRDefault="00044D5B">
            <w:pPr>
              <w:ind w:right="-29"/>
              <w:jc w:val="center"/>
              <w:rPr>
                <w:noProof/>
                <w:sz w:val="18"/>
                <w:szCs w:val="18"/>
              </w:rPr>
            </w:pPr>
          </w:p>
        </w:tc>
        <w:tc>
          <w:tcPr>
            <w:tcW w:w="720" w:type="dxa"/>
            <w:tcBorders>
              <w:left w:val="dashSmallGap" w:sz="4" w:space="0" w:color="auto"/>
            </w:tcBorders>
          </w:tcPr>
          <w:p w14:paraId="3DC4ECFB" w14:textId="77777777" w:rsidR="00044D5B" w:rsidRPr="00392E88" w:rsidRDefault="00044D5B">
            <w:pPr>
              <w:ind w:right="-29"/>
              <w:jc w:val="center"/>
              <w:rPr>
                <w:noProof/>
                <w:sz w:val="18"/>
                <w:szCs w:val="18"/>
              </w:rPr>
            </w:pPr>
          </w:p>
        </w:tc>
        <w:tc>
          <w:tcPr>
            <w:tcW w:w="540" w:type="dxa"/>
            <w:tcBorders>
              <w:right w:val="dashSmallGap" w:sz="4" w:space="0" w:color="auto"/>
            </w:tcBorders>
          </w:tcPr>
          <w:p w14:paraId="46C439FE" w14:textId="77777777" w:rsidR="00044D5B" w:rsidRPr="00392E88" w:rsidRDefault="00044D5B">
            <w:pPr>
              <w:ind w:right="-29"/>
              <w:jc w:val="center"/>
              <w:rPr>
                <w:noProof/>
                <w:sz w:val="18"/>
                <w:szCs w:val="18"/>
              </w:rPr>
            </w:pPr>
          </w:p>
        </w:tc>
        <w:tc>
          <w:tcPr>
            <w:tcW w:w="720" w:type="dxa"/>
            <w:tcBorders>
              <w:left w:val="dashSmallGap" w:sz="4" w:space="0" w:color="auto"/>
            </w:tcBorders>
          </w:tcPr>
          <w:p w14:paraId="70F192D2" w14:textId="77777777" w:rsidR="00044D5B" w:rsidRPr="00392E88" w:rsidRDefault="00044D5B">
            <w:pPr>
              <w:ind w:right="-29"/>
              <w:jc w:val="center"/>
              <w:rPr>
                <w:noProof/>
                <w:sz w:val="18"/>
                <w:szCs w:val="18"/>
              </w:rPr>
            </w:pPr>
          </w:p>
        </w:tc>
        <w:tc>
          <w:tcPr>
            <w:tcW w:w="720" w:type="dxa"/>
            <w:tcBorders>
              <w:right w:val="dashSmallGap" w:sz="4" w:space="0" w:color="auto"/>
            </w:tcBorders>
          </w:tcPr>
          <w:p w14:paraId="7E9A826A" w14:textId="77777777" w:rsidR="00044D5B" w:rsidRPr="00392E88" w:rsidRDefault="00044D5B">
            <w:pPr>
              <w:ind w:right="-29"/>
              <w:jc w:val="center"/>
              <w:rPr>
                <w:noProof/>
                <w:sz w:val="18"/>
                <w:szCs w:val="18"/>
              </w:rPr>
            </w:pPr>
          </w:p>
        </w:tc>
        <w:tc>
          <w:tcPr>
            <w:tcW w:w="720" w:type="dxa"/>
            <w:tcBorders>
              <w:left w:val="dashSmallGap" w:sz="4" w:space="0" w:color="auto"/>
            </w:tcBorders>
          </w:tcPr>
          <w:p w14:paraId="088A0DBA" w14:textId="77777777" w:rsidR="00044D5B" w:rsidRPr="00392E88" w:rsidRDefault="00044D5B">
            <w:pPr>
              <w:ind w:right="-29"/>
              <w:jc w:val="center"/>
              <w:rPr>
                <w:noProof/>
                <w:sz w:val="18"/>
                <w:szCs w:val="18"/>
              </w:rPr>
            </w:pPr>
          </w:p>
        </w:tc>
        <w:tc>
          <w:tcPr>
            <w:tcW w:w="900" w:type="dxa"/>
            <w:tcBorders>
              <w:right w:val="dashSmallGap" w:sz="4" w:space="0" w:color="auto"/>
            </w:tcBorders>
          </w:tcPr>
          <w:p w14:paraId="333D5DBB" w14:textId="77777777" w:rsidR="00044D5B" w:rsidRPr="00392E88" w:rsidRDefault="00044D5B">
            <w:pPr>
              <w:ind w:right="-29"/>
              <w:jc w:val="center"/>
              <w:rPr>
                <w:noProof/>
                <w:sz w:val="18"/>
                <w:szCs w:val="18"/>
              </w:rPr>
            </w:pPr>
          </w:p>
        </w:tc>
        <w:tc>
          <w:tcPr>
            <w:tcW w:w="720" w:type="dxa"/>
            <w:tcBorders>
              <w:left w:val="dashSmallGap" w:sz="4" w:space="0" w:color="auto"/>
            </w:tcBorders>
          </w:tcPr>
          <w:p w14:paraId="54419B82" w14:textId="77777777" w:rsidR="00044D5B" w:rsidRPr="00392E88" w:rsidRDefault="00044D5B">
            <w:pPr>
              <w:ind w:right="-29"/>
              <w:jc w:val="center"/>
              <w:rPr>
                <w:noProof/>
                <w:sz w:val="18"/>
                <w:szCs w:val="18"/>
              </w:rPr>
            </w:pPr>
          </w:p>
        </w:tc>
        <w:tc>
          <w:tcPr>
            <w:tcW w:w="540" w:type="dxa"/>
            <w:tcBorders>
              <w:right w:val="dashSmallGap" w:sz="4" w:space="0" w:color="auto"/>
            </w:tcBorders>
          </w:tcPr>
          <w:p w14:paraId="73F7BC7D" w14:textId="77777777" w:rsidR="00044D5B" w:rsidRPr="00392E88" w:rsidRDefault="00044D5B">
            <w:pPr>
              <w:ind w:right="-29"/>
              <w:jc w:val="center"/>
              <w:rPr>
                <w:noProof/>
                <w:sz w:val="18"/>
                <w:szCs w:val="18"/>
              </w:rPr>
            </w:pPr>
          </w:p>
        </w:tc>
        <w:tc>
          <w:tcPr>
            <w:tcW w:w="648" w:type="dxa"/>
            <w:tcBorders>
              <w:left w:val="dashSmallGap" w:sz="4" w:space="0" w:color="auto"/>
            </w:tcBorders>
          </w:tcPr>
          <w:p w14:paraId="020707B1" w14:textId="77777777" w:rsidR="00044D5B" w:rsidRPr="00392E88" w:rsidRDefault="00044D5B">
            <w:pPr>
              <w:ind w:right="-29"/>
              <w:jc w:val="center"/>
              <w:rPr>
                <w:noProof/>
                <w:sz w:val="18"/>
                <w:szCs w:val="18"/>
              </w:rPr>
            </w:pPr>
          </w:p>
        </w:tc>
        <w:tc>
          <w:tcPr>
            <w:tcW w:w="432" w:type="dxa"/>
            <w:tcBorders>
              <w:right w:val="dashSmallGap" w:sz="4" w:space="0" w:color="auto"/>
            </w:tcBorders>
          </w:tcPr>
          <w:p w14:paraId="62BEC393" w14:textId="77777777" w:rsidR="00044D5B" w:rsidRPr="00392E88" w:rsidRDefault="00044D5B">
            <w:pPr>
              <w:ind w:right="-29"/>
              <w:jc w:val="center"/>
              <w:rPr>
                <w:noProof/>
                <w:sz w:val="18"/>
                <w:szCs w:val="18"/>
              </w:rPr>
            </w:pPr>
          </w:p>
        </w:tc>
        <w:tc>
          <w:tcPr>
            <w:tcW w:w="720" w:type="dxa"/>
            <w:tcBorders>
              <w:left w:val="dashSmallGap" w:sz="4" w:space="0" w:color="auto"/>
            </w:tcBorders>
          </w:tcPr>
          <w:p w14:paraId="4B61DA09" w14:textId="77777777" w:rsidR="00044D5B" w:rsidRPr="00392E88" w:rsidRDefault="00044D5B">
            <w:pPr>
              <w:ind w:right="-29"/>
              <w:jc w:val="center"/>
              <w:rPr>
                <w:noProof/>
                <w:sz w:val="18"/>
                <w:szCs w:val="18"/>
              </w:rPr>
            </w:pPr>
          </w:p>
        </w:tc>
        <w:tc>
          <w:tcPr>
            <w:tcW w:w="540" w:type="dxa"/>
            <w:tcBorders>
              <w:right w:val="dashSmallGap" w:sz="4" w:space="0" w:color="auto"/>
            </w:tcBorders>
          </w:tcPr>
          <w:p w14:paraId="03F670E0" w14:textId="77777777" w:rsidR="00044D5B" w:rsidRPr="00392E88" w:rsidRDefault="00044D5B">
            <w:pPr>
              <w:ind w:right="-29"/>
              <w:jc w:val="center"/>
              <w:rPr>
                <w:noProof/>
                <w:sz w:val="18"/>
                <w:szCs w:val="18"/>
              </w:rPr>
            </w:pPr>
          </w:p>
        </w:tc>
        <w:tc>
          <w:tcPr>
            <w:tcW w:w="720" w:type="dxa"/>
            <w:tcBorders>
              <w:left w:val="dashSmallGap" w:sz="4" w:space="0" w:color="auto"/>
            </w:tcBorders>
          </w:tcPr>
          <w:p w14:paraId="2055008B" w14:textId="77777777" w:rsidR="00044D5B" w:rsidRPr="00392E88" w:rsidRDefault="00044D5B">
            <w:pPr>
              <w:ind w:right="-29"/>
              <w:jc w:val="center"/>
              <w:rPr>
                <w:noProof/>
                <w:sz w:val="18"/>
                <w:szCs w:val="18"/>
              </w:rPr>
            </w:pPr>
          </w:p>
        </w:tc>
        <w:tc>
          <w:tcPr>
            <w:tcW w:w="720" w:type="dxa"/>
          </w:tcPr>
          <w:p w14:paraId="78028CB0" w14:textId="77777777" w:rsidR="00044D5B" w:rsidRPr="00392E88" w:rsidRDefault="00044D5B">
            <w:pPr>
              <w:ind w:right="-29"/>
              <w:jc w:val="center"/>
              <w:rPr>
                <w:noProof/>
                <w:sz w:val="18"/>
                <w:szCs w:val="18"/>
              </w:rPr>
            </w:pPr>
          </w:p>
        </w:tc>
        <w:tc>
          <w:tcPr>
            <w:tcW w:w="900" w:type="dxa"/>
          </w:tcPr>
          <w:p w14:paraId="14DC44FC" w14:textId="77777777" w:rsidR="00044D5B" w:rsidRPr="00392E88" w:rsidRDefault="00044D5B">
            <w:pPr>
              <w:ind w:right="-29"/>
              <w:jc w:val="center"/>
              <w:rPr>
                <w:noProof/>
                <w:sz w:val="18"/>
                <w:szCs w:val="18"/>
              </w:rPr>
            </w:pPr>
          </w:p>
        </w:tc>
      </w:tr>
      <w:tr w:rsidR="00E82A37" w:rsidRPr="00392E88" w14:paraId="7CE06B15" w14:textId="77777777">
        <w:trPr>
          <w:trHeight w:hRule="exact" w:val="369"/>
          <w:jc w:val="center"/>
        </w:trPr>
        <w:tc>
          <w:tcPr>
            <w:tcW w:w="1423" w:type="dxa"/>
          </w:tcPr>
          <w:p w14:paraId="367A081C" w14:textId="77777777" w:rsidR="00044D5B" w:rsidRPr="00392E88" w:rsidRDefault="00044D5B">
            <w:pPr>
              <w:ind w:right="-29"/>
              <w:jc w:val="center"/>
              <w:rPr>
                <w:noProof/>
                <w:sz w:val="18"/>
                <w:szCs w:val="18"/>
              </w:rPr>
            </w:pPr>
            <w:r w:rsidRPr="00392E88">
              <w:rPr>
                <w:sz w:val="18"/>
              </w:rPr>
              <w:t>- Produkt</w:t>
            </w:r>
          </w:p>
        </w:tc>
        <w:tc>
          <w:tcPr>
            <w:tcW w:w="720" w:type="dxa"/>
          </w:tcPr>
          <w:p w14:paraId="0295EA20" w14:textId="77777777" w:rsidR="00044D5B" w:rsidRPr="00392E88" w:rsidRDefault="00044D5B">
            <w:pPr>
              <w:ind w:right="-29"/>
              <w:jc w:val="center"/>
              <w:rPr>
                <w:noProof/>
                <w:sz w:val="18"/>
                <w:szCs w:val="18"/>
              </w:rPr>
            </w:pPr>
          </w:p>
        </w:tc>
        <w:tc>
          <w:tcPr>
            <w:tcW w:w="701" w:type="dxa"/>
          </w:tcPr>
          <w:p w14:paraId="4C4379D5" w14:textId="77777777" w:rsidR="00044D5B" w:rsidRPr="00392E88" w:rsidRDefault="00044D5B">
            <w:pPr>
              <w:ind w:right="-29"/>
              <w:jc w:val="center"/>
              <w:rPr>
                <w:noProof/>
                <w:sz w:val="18"/>
                <w:szCs w:val="18"/>
              </w:rPr>
            </w:pPr>
          </w:p>
        </w:tc>
        <w:tc>
          <w:tcPr>
            <w:tcW w:w="504" w:type="dxa"/>
            <w:tcBorders>
              <w:right w:val="dashSmallGap" w:sz="4" w:space="0" w:color="auto"/>
            </w:tcBorders>
          </w:tcPr>
          <w:p w14:paraId="53A5C0AA" w14:textId="77777777" w:rsidR="00044D5B" w:rsidRPr="00392E88" w:rsidRDefault="00044D5B">
            <w:pPr>
              <w:ind w:right="-29"/>
              <w:jc w:val="center"/>
              <w:rPr>
                <w:noProof/>
                <w:sz w:val="18"/>
                <w:szCs w:val="18"/>
              </w:rPr>
            </w:pPr>
          </w:p>
        </w:tc>
        <w:tc>
          <w:tcPr>
            <w:tcW w:w="720" w:type="dxa"/>
            <w:tcBorders>
              <w:left w:val="dashSmallGap" w:sz="4" w:space="0" w:color="auto"/>
            </w:tcBorders>
          </w:tcPr>
          <w:p w14:paraId="18DD13E6" w14:textId="77777777" w:rsidR="00044D5B" w:rsidRPr="00392E88" w:rsidRDefault="00044D5B">
            <w:pPr>
              <w:ind w:right="-29"/>
              <w:jc w:val="center"/>
              <w:rPr>
                <w:noProof/>
                <w:sz w:val="18"/>
                <w:szCs w:val="18"/>
              </w:rPr>
            </w:pPr>
          </w:p>
        </w:tc>
        <w:tc>
          <w:tcPr>
            <w:tcW w:w="540" w:type="dxa"/>
            <w:tcBorders>
              <w:right w:val="dashSmallGap" w:sz="4" w:space="0" w:color="auto"/>
            </w:tcBorders>
          </w:tcPr>
          <w:p w14:paraId="745125BC" w14:textId="77777777" w:rsidR="00044D5B" w:rsidRPr="00392E88" w:rsidRDefault="00044D5B">
            <w:pPr>
              <w:ind w:right="-29"/>
              <w:jc w:val="center"/>
              <w:rPr>
                <w:noProof/>
                <w:sz w:val="18"/>
                <w:szCs w:val="18"/>
              </w:rPr>
            </w:pPr>
          </w:p>
        </w:tc>
        <w:tc>
          <w:tcPr>
            <w:tcW w:w="720" w:type="dxa"/>
            <w:tcBorders>
              <w:left w:val="dashSmallGap" w:sz="4" w:space="0" w:color="auto"/>
            </w:tcBorders>
          </w:tcPr>
          <w:p w14:paraId="68218C90" w14:textId="77777777" w:rsidR="00044D5B" w:rsidRPr="00392E88" w:rsidRDefault="00044D5B">
            <w:pPr>
              <w:ind w:right="-29"/>
              <w:jc w:val="center"/>
              <w:rPr>
                <w:noProof/>
                <w:sz w:val="18"/>
                <w:szCs w:val="18"/>
              </w:rPr>
            </w:pPr>
          </w:p>
        </w:tc>
        <w:tc>
          <w:tcPr>
            <w:tcW w:w="720" w:type="dxa"/>
            <w:tcBorders>
              <w:right w:val="dashSmallGap" w:sz="4" w:space="0" w:color="auto"/>
            </w:tcBorders>
          </w:tcPr>
          <w:p w14:paraId="6A1A6679" w14:textId="77777777" w:rsidR="00044D5B" w:rsidRPr="00392E88" w:rsidRDefault="00044D5B">
            <w:pPr>
              <w:ind w:right="-29"/>
              <w:jc w:val="center"/>
              <w:rPr>
                <w:noProof/>
                <w:sz w:val="18"/>
                <w:szCs w:val="18"/>
              </w:rPr>
            </w:pPr>
          </w:p>
        </w:tc>
        <w:tc>
          <w:tcPr>
            <w:tcW w:w="720" w:type="dxa"/>
            <w:tcBorders>
              <w:left w:val="dashSmallGap" w:sz="4" w:space="0" w:color="auto"/>
            </w:tcBorders>
          </w:tcPr>
          <w:p w14:paraId="11DA1AF5" w14:textId="77777777" w:rsidR="00044D5B" w:rsidRPr="00392E88" w:rsidRDefault="00044D5B">
            <w:pPr>
              <w:ind w:right="-29"/>
              <w:jc w:val="center"/>
              <w:rPr>
                <w:noProof/>
                <w:sz w:val="18"/>
                <w:szCs w:val="18"/>
              </w:rPr>
            </w:pPr>
          </w:p>
        </w:tc>
        <w:tc>
          <w:tcPr>
            <w:tcW w:w="900" w:type="dxa"/>
            <w:tcBorders>
              <w:right w:val="dashSmallGap" w:sz="4" w:space="0" w:color="auto"/>
            </w:tcBorders>
          </w:tcPr>
          <w:p w14:paraId="7748EB2A" w14:textId="77777777" w:rsidR="00044D5B" w:rsidRPr="00392E88" w:rsidRDefault="00044D5B">
            <w:pPr>
              <w:ind w:right="-29"/>
              <w:jc w:val="center"/>
              <w:rPr>
                <w:noProof/>
                <w:sz w:val="18"/>
                <w:szCs w:val="18"/>
              </w:rPr>
            </w:pPr>
          </w:p>
        </w:tc>
        <w:tc>
          <w:tcPr>
            <w:tcW w:w="720" w:type="dxa"/>
            <w:tcBorders>
              <w:left w:val="dashSmallGap" w:sz="4" w:space="0" w:color="auto"/>
            </w:tcBorders>
          </w:tcPr>
          <w:p w14:paraId="43729302" w14:textId="77777777" w:rsidR="00044D5B" w:rsidRPr="00392E88" w:rsidRDefault="00044D5B">
            <w:pPr>
              <w:ind w:right="-29"/>
              <w:jc w:val="center"/>
              <w:rPr>
                <w:noProof/>
                <w:sz w:val="18"/>
                <w:szCs w:val="18"/>
              </w:rPr>
            </w:pPr>
          </w:p>
        </w:tc>
        <w:tc>
          <w:tcPr>
            <w:tcW w:w="540" w:type="dxa"/>
            <w:tcBorders>
              <w:right w:val="dashSmallGap" w:sz="4" w:space="0" w:color="auto"/>
            </w:tcBorders>
          </w:tcPr>
          <w:p w14:paraId="1D7E8B2C" w14:textId="77777777" w:rsidR="00044D5B" w:rsidRPr="00392E88" w:rsidRDefault="00044D5B">
            <w:pPr>
              <w:ind w:right="-29"/>
              <w:jc w:val="center"/>
              <w:rPr>
                <w:noProof/>
                <w:sz w:val="18"/>
                <w:szCs w:val="18"/>
              </w:rPr>
            </w:pPr>
          </w:p>
        </w:tc>
        <w:tc>
          <w:tcPr>
            <w:tcW w:w="648" w:type="dxa"/>
            <w:tcBorders>
              <w:left w:val="dashSmallGap" w:sz="4" w:space="0" w:color="auto"/>
            </w:tcBorders>
          </w:tcPr>
          <w:p w14:paraId="1AADC97D" w14:textId="77777777" w:rsidR="00044D5B" w:rsidRPr="00392E88" w:rsidRDefault="00044D5B">
            <w:pPr>
              <w:ind w:right="-29"/>
              <w:jc w:val="center"/>
              <w:rPr>
                <w:noProof/>
                <w:sz w:val="18"/>
                <w:szCs w:val="18"/>
              </w:rPr>
            </w:pPr>
          </w:p>
        </w:tc>
        <w:tc>
          <w:tcPr>
            <w:tcW w:w="432" w:type="dxa"/>
            <w:tcBorders>
              <w:right w:val="dashSmallGap" w:sz="4" w:space="0" w:color="auto"/>
            </w:tcBorders>
          </w:tcPr>
          <w:p w14:paraId="18178439" w14:textId="77777777" w:rsidR="00044D5B" w:rsidRPr="00392E88" w:rsidRDefault="00044D5B">
            <w:pPr>
              <w:ind w:right="-29"/>
              <w:jc w:val="center"/>
              <w:rPr>
                <w:noProof/>
                <w:sz w:val="18"/>
                <w:szCs w:val="18"/>
              </w:rPr>
            </w:pPr>
          </w:p>
        </w:tc>
        <w:tc>
          <w:tcPr>
            <w:tcW w:w="720" w:type="dxa"/>
            <w:tcBorders>
              <w:left w:val="dashSmallGap" w:sz="4" w:space="0" w:color="auto"/>
            </w:tcBorders>
          </w:tcPr>
          <w:p w14:paraId="593840F1" w14:textId="77777777" w:rsidR="00044D5B" w:rsidRPr="00392E88" w:rsidRDefault="00044D5B">
            <w:pPr>
              <w:ind w:right="-29"/>
              <w:jc w:val="center"/>
              <w:rPr>
                <w:noProof/>
                <w:sz w:val="18"/>
                <w:szCs w:val="18"/>
              </w:rPr>
            </w:pPr>
          </w:p>
        </w:tc>
        <w:tc>
          <w:tcPr>
            <w:tcW w:w="540" w:type="dxa"/>
            <w:tcBorders>
              <w:right w:val="dashSmallGap" w:sz="4" w:space="0" w:color="auto"/>
            </w:tcBorders>
          </w:tcPr>
          <w:p w14:paraId="5E204D44" w14:textId="77777777" w:rsidR="00044D5B" w:rsidRPr="00392E88" w:rsidRDefault="00044D5B">
            <w:pPr>
              <w:ind w:right="-29"/>
              <w:jc w:val="center"/>
              <w:rPr>
                <w:noProof/>
                <w:sz w:val="18"/>
                <w:szCs w:val="18"/>
              </w:rPr>
            </w:pPr>
          </w:p>
        </w:tc>
        <w:tc>
          <w:tcPr>
            <w:tcW w:w="720" w:type="dxa"/>
            <w:tcBorders>
              <w:left w:val="dashSmallGap" w:sz="4" w:space="0" w:color="auto"/>
            </w:tcBorders>
          </w:tcPr>
          <w:p w14:paraId="1841233D" w14:textId="77777777" w:rsidR="00044D5B" w:rsidRPr="00392E88" w:rsidRDefault="00044D5B">
            <w:pPr>
              <w:ind w:right="-29"/>
              <w:jc w:val="center"/>
              <w:rPr>
                <w:noProof/>
                <w:sz w:val="18"/>
                <w:szCs w:val="18"/>
              </w:rPr>
            </w:pPr>
          </w:p>
        </w:tc>
        <w:tc>
          <w:tcPr>
            <w:tcW w:w="720" w:type="dxa"/>
          </w:tcPr>
          <w:p w14:paraId="15F1A677" w14:textId="77777777" w:rsidR="00044D5B" w:rsidRPr="00392E88" w:rsidRDefault="00044D5B">
            <w:pPr>
              <w:ind w:right="-29"/>
              <w:jc w:val="center"/>
              <w:rPr>
                <w:noProof/>
                <w:sz w:val="18"/>
                <w:szCs w:val="18"/>
              </w:rPr>
            </w:pPr>
          </w:p>
        </w:tc>
        <w:tc>
          <w:tcPr>
            <w:tcW w:w="900" w:type="dxa"/>
          </w:tcPr>
          <w:p w14:paraId="728BEBC2" w14:textId="77777777" w:rsidR="00044D5B" w:rsidRPr="00392E88" w:rsidRDefault="00044D5B">
            <w:pPr>
              <w:ind w:right="-29"/>
              <w:jc w:val="center"/>
              <w:rPr>
                <w:noProof/>
                <w:sz w:val="18"/>
                <w:szCs w:val="18"/>
              </w:rPr>
            </w:pPr>
          </w:p>
        </w:tc>
      </w:tr>
      <w:tr w:rsidR="00983E98" w:rsidRPr="00392E88" w14:paraId="77D845CF" w14:textId="77777777">
        <w:trPr>
          <w:trHeight w:hRule="exact" w:val="369"/>
          <w:jc w:val="center"/>
        </w:trPr>
        <w:tc>
          <w:tcPr>
            <w:tcW w:w="1423" w:type="dxa"/>
          </w:tcPr>
          <w:p w14:paraId="4878FD57" w14:textId="77777777" w:rsidR="00044D5B" w:rsidRPr="00392E88" w:rsidRDefault="00044D5B">
            <w:pPr>
              <w:ind w:right="-29"/>
              <w:jc w:val="center"/>
              <w:rPr>
                <w:noProof/>
                <w:sz w:val="18"/>
                <w:szCs w:val="18"/>
              </w:rPr>
            </w:pPr>
            <w:r w:rsidRPr="00392E88">
              <w:rPr>
                <w:sz w:val="18"/>
              </w:rPr>
              <w:t>- Produkt</w:t>
            </w:r>
          </w:p>
        </w:tc>
        <w:tc>
          <w:tcPr>
            <w:tcW w:w="720" w:type="dxa"/>
          </w:tcPr>
          <w:p w14:paraId="649BBE0E" w14:textId="77777777" w:rsidR="00044D5B" w:rsidRPr="00392E88" w:rsidRDefault="00044D5B">
            <w:pPr>
              <w:ind w:right="-29"/>
              <w:jc w:val="center"/>
              <w:rPr>
                <w:noProof/>
                <w:sz w:val="18"/>
                <w:szCs w:val="18"/>
              </w:rPr>
            </w:pPr>
          </w:p>
        </w:tc>
        <w:tc>
          <w:tcPr>
            <w:tcW w:w="701" w:type="dxa"/>
          </w:tcPr>
          <w:p w14:paraId="45D71BEB" w14:textId="77777777" w:rsidR="00044D5B" w:rsidRPr="00392E88" w:rsidRDefault="00044D5B">
            <w:pPr>
              <w:ind w:right="-29"/>
              <w:jc w:val="center"/>
              <w:rPr>
                <w:noProof/>
                <w:sz w:val="18"/>
                <w:szCs w:val="18"/>
              </w:rPr>
            </w:pPr>
          </w:p>
        </w:tc>
        <w:tc>
          <w:tcPr>
            <w:tcW w:w="504" w:type="dxa"/>
          </w:tcPr>
          <w:p w14:paraId="6856D15F" w14:textId="77777777" w:rsidR="00044D5B" w:rsidRPr="00392E88" w:rsidRDefault="00044D5B">
            <w:pPr>
              <w:ind w:right="-29"/>
              <w:jc w:val="center"/>
              <w:rPr>
                <w:noProof/>
                <w:sz w:val="18"/>
                <w:szCs w:val="18"/>
              </w:rPr>
            </w:pPr>
          </w:p>
        </w:tc>
        <w:tc>
          <w:tcPr>
            <w:tcW w:w="720" w:type="dxa"/>
          </w:tcPr>
          <w:p w14:paraId="65AB22E5" w14:textId="77777777" w:rsidR="00044D5B" w:rsidRPr="00392E88" w:rsidRDefault="00044D5B">
            <w:pPr>
              <w:ind w:right="-29"/>
              <w:jc w:val="center"/>
              <w:rPr>
                <w:noProof/>
                <w:sz w:val="18"/>
                <w:szCs w:val="18"/>
              </w:rPr>
            </w:pPr>
          </w:p>
        </w:tc>
        <w:tc>
          <w:tcPr>
            <w:tcW w:w="540" w:type="dxa"/>
          </w:tcPr>
          <w:p w14:paraId="71668EEB" w14:textId="77777777" w:rsidR="00044D5B" w:rsidRPr="00392E88" w:rsidRDefault="00044D5B">
            <w:pPr>
              <w:ind w:right="-29"/>
              <w:jc w:val="center"/>
              <w:rPr>
                <w:noProof/>
                <w:sz w:val="18"/>
                <w:szCs w:val="18"/>
              </w:rPr>
            </w:pPr>
          </w:p>
        </w:tc>
        <w:tc>
          <w:tcPr>
            <w:tcW w:w="720" w:type="dxa"/>
          </w:tcPr>
          <w:p w14:paraId="0685C483" w14:textId="77777777" w:rsidR="00044D5B" w:rsidRPr="00392E88" w:rsidRDefault="00044D5B">
            <w:pPr>
              <w:ind w:right="-29"/>
              <w:jc w:val="center"/>
              <w:rPr>
                <w:noProof/>
                <w:sz w:val="18"/>
                <w:szCs w:val="18"/>
              </w:rPr>
            </w:pPr>
          </w:p>
        </w:tc>
        <w:tc>
          <w:tcPr>
            <w:tcW w:w="720" w:type="dxa"/>
          </w:tcPr>
          <w:p w14:paraId="54D081DF" w14:textId="77777777" w:rsidR="00044D5B" w:rsidRPr="00392E88" w:rsidRDefault="00044D5B">
            <w:pPr>
              <w:ind w:right="-29"/>
              <w:jc w:val="center"/>
              <w:rPr>
                <w:noProof/>
                <w:sz w:val="18"/>
                <w:szCs w:val="18"/>
              </w:rPr>
            </w:pPr>
          </w:p>
        </w:tc>
        <w:tc>
          <w:tcPr>
            <w:tcW w:w="720" w:type="dxa"/>
          </w:tcPr>
          <w:p w14:paraId="5E132F43" w14:textId="77777777" w:rsidR="00044D5B" w:rsidRPr="00392E88" w:rsidRDefault="00044D5B">
            <w:pPr>
              <w:ind w:right="-29"/>
              <w:jc w:val="center"/>
              <w:rPr>
                <w:noProof/>
                <w:sz w:val="18"/>
                <w:szCs w:val="18"/>
              </w:rPr>
            </w:pPr>
          </w:p>
        </w:tc>
        <w:tc>
          <w:tcPr>
            <w:tcW w:w="900" w:type="dxa"/>
          </w:tcPr>
          <w:p w14:paraId="210902B8" w14:textId="77777777" w:rsidR="00044D5B" w:rsidRPr="00392E88" w:rsidRDefault="00044D5B">
            <w:pPr>
              <w:ind w:right="-29"/>
              <w:jc w:val="center"/>
              <w:rPr>
                <w:noProof/>
                <w:sz w:val="18"/>
                <w:szCs w:val="18"/>
              </w:rPr>
            </w:pPr>
          </w:p>
        </w:tc>
        <w:tc>
          <w:tcPr>
            <w:tcW w:w="720" w:type="dxa"/>
          </w:tcPr>
          <w:p w14:paraId="71BA1D77" w14:textId="77777777" w:rsidR="00044D5B" w:rsidRPr="00392E88" w:rsidRDefault="00044D5B">
            <w:pPr>
              <w:ind w:right="-29"/>
              <w:jc w:val="center"/>
              <w:rPr>
                <w:noProof/>
                <w:sz w:val="18"/>
                <w:szCs w:val="18"/>
              </w:rPr>
            </w:pPr>
          </w:p>
        </w:tc>
        <w:tc>
          <w:tcPr>
            <w:tcW w:w="540" w:type="dxa"/>
          </w:tcPr>
          <w:p w14:paraId="0C094928" w14:textId="77777777" w:rsidR="00044D5B" w:rsidRPr="00392E88" w:rsidRDefault="00044D5B">
            <w:pPr>
              <w:ind w:right="-29"/>
              <w:jc w:val="center"/>
              <w:rPr>
                <w:noProof/>
                <w:sz w:val="18"/>
                <w:szCs w:val="18"/>
              </w:rPr>
            </w:pPr>
          </w:p>
        </w:tc>
        <w:tc>
          <w:tcPr>
            <w:tcW w:w="648" w:type="dxa"/>
          </w:tcPr>
          <w:p w14:paraId="5B483ECC" w14:textId="77777777" w:rsidR="00044D5B" w:rsidRPr="00392E88" w:rsidRDefault="00044D5B">
            <w:pPr>
              <w:ind w:right="-29"/>
              <w:jc w:val="center"/>
              <w:rPr>
                <w:noProof/>
                <w:sz w:val="18"/>
                <w:szCs w:val="18"/>
              </w:rPr>
            </w:pPr>
          </w:p>
        </w:tc>
        <w:tc>
          <w:tcPr>
            <w:tcW w:w="432" w:type="dxa"/>
          </w:tcPr>
          <w:p w14:paraId="7D9E0BF2" w14:textId="77777777" w:rsidR="00044D5B" w:rsidRPr="00392E88" w:rsidRDefault="00044D5B">
            <w:pPr>
              <w:ind w:right="-29"/>
              <w:jc w:val="center"/>
              <w:rPr>
                <w:noProof/>
                <w:sz w:val="18"/>
                <w:szCs w:val="18"/>
              </w:rPr>
            </w:pPr>
          </w:p>
        </w:tc>
        <w:tc>
          <w:tcPr>
            <w:tcW w:w="720" w:type="dxa"/>
          </w:tcPr>
          <w:p w14:paraId="333D3C13" w14:textId="77777777" w:rsidR="00044D5B" w:rsidRPr="00392E88" w:rsidRDefault="00044D5B">
            <w:pPr>
              <w:ind w:right="-29"/>
              <w:jc w:val="center"/>
              <w:rPr>
                <w:noProof/>
                <w:sz w:val="18"/>
                <w:szCs w:val="18"/>
              </w:rPr>
            </w:pPr>
          </w:p>
        </w:tc>
        <w:tc>
          <w:tcPr>
            <w:tcW w:w="540" w:type="dxa"/>
          </w:tcPr>
          <w:p w14:paraId="4F3673CD" w14:textId="77777777" w:rsidR="00044D5B" w:rsidRPr="00392E88" w:rsidRDefault="00044D5B">
            <w:pPr>
              <w:ind w:right="-29"/>
              <w:jc w:val="center"/>
              <w:rPr>
                <w:noProof/>
                <w:sz w:val="18"/>
                <w:szCs w:val="18"/>
              </w:rPr>
            </w:pPr>
          </w:p>
        </w:tc>
        <w:tc>
          <w:tcPr>
            <w:tcW w:w="720" w:type="dxa"/>
          </w:tcPr>
          <w:p w14:paraId="77056393" w14:textId="77777777" w:rsidR="00044D5B" w:rsidRPr="00392E88" w:rsidRDefault="00044D5B">
            <w:pPr>
              <w:ind w:right="-29"/>
              <w:jc w:val="center"/>
              <w:rPr>
                <w:noProof/>
                <w:sz w:val="18"/>
                <w:szCs w:val="18"/>
              </w:rPr>
            </w:pPr>
          </w:p>
        </w:tc>
        <w:tc>
          <w:tcPr>
            <w:tcW w:w="720" w:type="dxa"/>
          </w:tcPr>
          <w:p w14:paraId="24C9F205" w14:textId="77777777" w:rsidR="00044D5B" w:rsidRPr="00392E88" w:rsidRDefault="00044D5B">
            <w:pPr>
              <w:ind w:right="-29"/>
              <w:jc w:val="center"/>
              <w:rPr>
                <w:noProof/>
                <w:sz w:val="18"/>
                <w:szCs w:val="18"/>
              </w:rPr>
            </w:pPr>
          </w:p>
        </w:tc>
        <w:tc>
          <w:tcPr>
            <w:tcW w:w="900" w:type="dxa"/>
          </w:tcPr>
          <w:p w14:paraId="725667C8" w14:textId="77777777" w:rsidR="00044D5B" w:rsidRPr="00392E88" w:rsidRDefault="00044D5B">
            <w:pPr>
              <w:ind w:right="-29"/>
              <w:jc w:val="center"/>
              <w:rPr>
                <w:noProof/>
                <w:sz w:val="18"/>
                <w:szCs w:val="18"/>
              </w:rPr>
            </w:pPr>
          </w:p>
        </w:tc>
      </w:tr>
      <w:tr w:rsidR="009700B5" w:rsidRPr="00392E88" w14:paraId="49657EA5" w14:textId="77777777">
        <w:trPr>
          <w:trHeight w:val="77"/>
          <w:jc w:val="center"/>
        </w:trPr>
        <w:tc>
          <w:tcPr>
            <w:tcW w:w="2844" w:type="dxa"/>
            <w:gridSpan w:val="3"/>
            <w:tcBorders>
              <w:bottom w:val="single" w:sz="12" w:space="0" w:color="auto"/>
            </w:tcBorders>
            <w:vAlign w:val="center"/>
          </w:tcPr>
          <w:p w14:paraId="3EFB149B" w14:textId="1093015A" w:rsidR="00044D5B" w:rsidRPr="00392E88" w:rsidRDefault="00044D5B">
            <w:pPr>
              <w:ind w:right="-29"/>
              <w:jc w:val="center"/>
              <w:rPr>
                <w:noProof/>
                <w:sz w:val="18"/>
                <w:szCs w:val="18"/>
              </w:rPr>
            </w:pPr>
            <w:r w:rsidRPr="00392E88">
              <w:rPr>
                <w:sz w:val="18"/>
              </w:rPr>
              <w:t xml:space="preserve">Cel szczegółowy </w:t>
            </w:r>
            <w:r w:rsidRPr="006E6446">
              <w:rPr>
                <w:sz w:val="18"/>
              </w:rPr>
              <w:t>nr</w:t>
            </w:r>
            <w:r w:rsidR="006E6446" w:rsidRPr="006E6446">
              <w:rPr>
                <w:sz w:val="18"/>
              </w:rPr>
              <w:t> </w:t>
            </w:r>
            <w:r w:rsidRPr="006E6446">
              <w:rPr>
                <w:sz w:val="18"/>
              </w:rPr>
              <w:t>1</w:t>
            </w:r>
            <w:r w:rsidRPr="00392E88">
              <w:rPr>
                <w:sz w:val="18"/>
              </w:rPr>
              <w:t xml:space="preserve"> – suma cząstkowa</w:t>
            </w:r>
          </w:p>
        </w:tc>
        <w:tc>
          <w:tcPr>
            <w:tcW w:w="504" w:type="dxa"/>
            <w:tcBorders>
              <w:bottom w:val="single" w:sz="12" w:space="0" w:color="auto"/>
            </w:tcBorders>
          </w:tcPr>
          <w:p w14:paraId="41524245" w14:textId="77777777" w:rsidR="00044D5B" w:rsidRPr="00392E88" w:rsidRDefault="00044D5B">
            <w:pPr>
              <w:ind w:right="-29"/>
              <w:jc w:val="center"/>
              <w:rPr>
                <w:noProof/>
                <w:sz w:val="18"/>
                <w:szCs w:val="18"/>
              </w:rPr>
            </w:pPr>
          </w:p>
        </w:tc>
        <w:tc>
          <w:tcPr>
            <w:tcW w:w="720" w:type="dxa"/>
            <w:tcBorders>
              <w:bottom w:val="single" w:sz="12" w:space="0" w:color="auto"/>
            </w:tcBorders>
          </w:tcPr>
          <w:p w14:paraId="0BC5213E" w14:textId="77777777" w:rsidR="00044D5B" w:rsidRPr="00392E88" w:rsidRDefault="00044D5B">
            <w:pPr>
              <w:ind w:right="-29"/>
              <w:jc w:val="center"/>
              <w:rPr>
                <w:noProof/>
                <w:sz w:val="18"/>
                <w:szCs w:val="18"/>
              </w:rPr>
            </w:pPr>
          </w:p>
        </w:tc>
        <w:tc>
          <w:tcPr>
            <w:tcW w:w="540" w:type="dxa"/>
            <w:tcBorders>
              <w:bottom w:val="single" w:sz="12" w:space="0" w:color="auto"/>
            </w:tcBorders>
          </w:tcPr>
          <w:p w14:paraId="249908A3" w14:textId="77777777" w:rsidR="00044D5B" w:rsidRPr="00392E88" w:rsidRDefault="00044D5B">
            <w:pPr>
              <w:ind w:right="-29"/>
              <w:jc w:val="center"/>
              <w:rPr>
                <w:noProof/>
                <w:sz w:val="18"/>
                <w:szCs w:val="18"/>
              </w:rPr>
            </w:pPr>
          </w:p>
        </w:tc>
        <w:tc>
          <w:tcPr>
            <w:tcW w:w="720" w:type="dxa"/>
            <w:tcBorders>
              <w:bottom w:val="single" w:sz="12" w:space="0" w:color="auto"/>
            </w:tcBorders>
          </w:tcPr>
          <w:p w14:paraId="1DED2923" w14:textId="77777777" w:rsidR="00044D5B" w:rsidRPr="00392E88" w:rsidRDefault="00044D5B">
            <w:pPr>
              <w:ind w:right="-29"/>
              <w:jc w:val="center"/>
              <w:rPr>
                <w:noProof/>
                <w:sz w:val="18"/>
                <w:szCs w:val="18"/>
              </w:rPr>
            </w:pPr>
          </w:p>
        </w:tc>
        <w:tc>
          <w:tcPr>
            <w:tcW w:w="720" w:type="dxa"/>
            <w:tcBorders>
              <w:bottom w:val="single" w:sz="12" w:space="0" w:color="auto"/>
            </w:tcBorders>
          </w:tcPr>
          <w:p w14:paraId="2E4FE7FA" w14:textId="77777777" w:rsidR="00044D5B" w:rsidRPr="00392E88" w:rsidRDefault="00044D5B">
            <w:pPr>
              <w:ind w:right="-29"/>
              <w:jc w:val="center"/>
              <w:rPr>
                <w:noProof/>
                <w:sz w:val="18"/>
                <w:szCs w:val="18"/>
              </w:rPr>
            </w:pPr>
          </w:p>
        </w:tc>
        <w:tc>
          <w:tcPr>
            <w:tcW w:w="720" w:type="dxa"/>
            <w:tcBorders>
              <w:bottom w:val="single" w:sz="12" w:space="0" w:color="auto"/>
            </w:tcBorders>
          </w:tcPr>
          <w:p w14:paraId="4A832781" w14:textId="77777777" w:rsidR="00044D5B" w:rsidRPr="00392E88" w:rsidRDefault="00044D5B">
            <w:pPr>
              <w:ind w:right="-29"/>
              <w:jc w:val="center"/>
              <w:rPr>
                <w:noProof/>
                <w:sz w:val="18"/>
                <w:szCs w:val="18"/>
              </w:rPr>
            </w:pPr>
          </w:p>
        </w:tc>
        <w:tc>
          <w:tcPr>
            <w:tcW w:w="900" w:type="dxa"/>
            <w:tcBorders>
              <w:bottom w:val="single" w:sz="12" w:space="0" w:color="auto"/>
            </w:tcBorders>
          </w:tcPr>
          <w:p w14:paraId="248F56DB" w14:textId="77777777" w:rsidR="00044D5B" w:rsidRPr="00392E88" w:rsidRDefault="00044D5B">
            <w:pPr>
              <w:ind w:right="-29"/>
              <w:jc w:val="center"/>
              <w:rPr>
                <w:noProof/>
                <w:sz w:val="18"/>
                <w:szCs w:val="18"/>
              </w:rPr>
            </w:pPr>
          </w:p>
        </w:tc>
        <w:tc>
          <w:tcPr>
            <w:tcW w:w="720" w:type="dxa"/>
            <w:tcBorders>
              <w:bottom w:val="single" w:sz="12" w:space="0" w:color="auto"/>
            </w:tcBorders>
          </w:tcPr>
          <w:p w14:paraId="2A03E4FA" w14:textId="77777777" w:rsidR="00044D5B" w:rsidRPr="00392E88" w:rsidRDefault="00044D5B">
            <w:pPr>
              <w:ind w:right="-29"/>
              <w:jc w:val="center"/>
              <w:rPr>
                <w:noProof/>
                <w:sz w:val="18"/>
                <w:szCs w:val="18"/>
              </w:rPr>
            </w:pPr>
          </w:p>
        </w:tc>
        <w:tc>
          <w:tcPr>
            <w:tcW w:w="540" w:type="dxa"/>
            <w:tcBorders>
              <w:bottom w:val="single" w:sz="12" w:space="0" w:color="auto"/>
            </w:tcBorders>
          </w:tcPr>
          <w:p w14:paraId="7274275B" w14:textId="77777777" w:rsidR="00044D5B" w:rsidRPr="00392E88" w:rsidRDefault="00044D5B">
            <w:pPr>
              <w:ind w:right="-29"/>
              <w:jc w:val="center"/>
              <w:rPr>
                <w:noProof/>
                <w:sz w:val="18"/>
                <w:szCs w:val="18"/>
              </w:rPr>
            </w:pPr>
          </w:p>
        </w:tc>
        <w:tc>
          <w:tcPr>
            <w:tcW w:w="648" w:type="dxa"/>
            <w:tcBorders>
              <w:bottom w:val="single" w:sz="12" w:space="0" w:color="auto"/>
            </w:tcBorders>
          </w:tcPr>
          <w:p w14:paraId="6D16B469" w14:textId="77777777" w:rsidR="00044D5B" w:rsidRPr="00392E88" w:rsidRDefault="00044D5B">
            <w:pPr>
              <w:ind w:right="-29"/>
              <w:jc w:val="center"/>
              <w:rPr>
                <w:noProof/>
                <w:sz w:val="18"/>
                <w:szCs w:val="18"/>
              </w:rPr>
            </w:pPr>
          </w:p>
        </w:tc>
        <w:tc>
          <w:tcPr>
            <w:tcW w:w="432" w:type="dxa"/>
            <w:tcBorders>
              <w:bottom w:val="single" w:sz="12" w:space="0" w:color="auto"/>
            </w:tcBorders>
          </w:tcPr>
          <w:p w14:paraId="1B13FEC8" w14:textId="77777777" w:rsidR="00044D5B" w:rsidRPr="00392E88" w:rsidRDefault="00044D5B">
            <w:pPr>
              <w:ind w:right="-29"/>
              <w:jc w:val="center"/>
              <w:rPr>
                <w:noProof/>
                <w:sz w:val="18"/>
                <w:szCs w:val="18"/>
              </w:rPr>
            </w:pPr>
          </w:p>
        </w:tc>
        <w:tc>
          <w:tcPr>
            <w:tcW w:w="720" w:type="dxa"/>
            <w:tcBorders>
              <w:bottom w:val="single" w:sz="12" w:space="0" w:color="auto"/>
            </w:tcBorders>
          </w:tcPr>
          <w:p w14:paraId="69220204" w14:textId="77777777" w:rsidR="00044D5B" w:rsidRPr="00392E88" w:rsidRDefault="00044D5B">
            <w:pPr>
              <w:ind w:right="-29"/>
              <w:jc w:val="center"/>
              <w:rPr>
                <w:noProof/>
                <w:sz w:val="18"/>
                <w:szCs w:val="18"/>
              </w:rPr>
            </w:pPr>
          </w:p>
        </w:tc>
        <w:tc>
          <w:tcPr>
            <w:tcW w:w="540" w:type="dxa"/>
            <w:tcBorders>
              <w:bottom w:val="single" w:sz="12" w:space="0" w:color="auto"/>
            </w:tcBorders>
          </w:tcPr>
          <w:p w14:paraId="58B4389B" w14:textId="77777777" w:rsidR="00044D5B" w:rsidRPr="00392E88" w:rsidRDefault="00044D5B">
            <w:pPr>
              <w:ind w:right="-29"/>
              <w:jc w:val="center"/>
              <w:rPr>
                <w:noProof/>
                <w:sz w:val="18"/>
                <w:szCs w:val="18"/>
              </w:rPr>
            </w:pPr>
          </w:p>
        </w:tc>
        <w:tc>
          <w:tcPr>
            <w:tcW w:w="720" w:type="dxa"/>
            <w:tcBorders>
              <w:bottom w:val="single" w:sz="12" w:space="0" w:color="auto"/>
            </w:tcBorders>
          </w:tcPr>
          <w:p w14:paraId="14EC7465" w14:textId="77777777" w:rsidR="00044D5B" w:rsidRPr="00392E88" w:rsidRDefault="00044D5B">
            <w:pPr>
              <w:ind w:right="-29"/>
              <w:jc w:val="center"/>
              <w:rPr>
                <w:noProof/>
                <w:sz w:val="18"/>
                <w:szCs w:val="18"/>
              </w:rPr>
            </w:pPr>
          </w:p>
        </w:tc>
        <w:tc>
          <w:tcPr>
            <w:tcW w:w="720" w:type="dxa"/>
            <w:tcBorders>
              <w:bottom w:val="single" w:sz="12" w:space="0" w:color="auto"/>
            </w:tcBorders>
          </w:tcPr>
          <w:p w14:paraId="4E39F140" w14:textId="77777777" w:rsidR="00044D5B" w:rsidRPr="00392E88" w:rsidRDefault="00044D5B">
            <w:pPr>
              <w:ind w:right="-29"/>
              <w:jc w:val="center"/>
              <w:rPr>
                <w:noProof/>
                <w:sz w:val="18"/>
                <w:szCs w:val="18"/>
              </w:rPr>
            </w:pPr>
          </w:p>
        </w:tc>
        <w:tc>
          <w:tcPr>
            <w:tcW w:w="900" w:type="dxa"/>
            <w:tcBorders>
              <w:bottom w:val="single" w:sz="12" w:space="0" w:color="auto"/>
            </w:tcBorders>
          </w:tcPr>
          <w:p w14:paraId="1FE904AF" w14:textId="77777777" w:rsidR="00044D5B" w:rsidRPr="00392E88" w:rsidRDefault="00044D5B">
            <w:pPr>
              <w:ind w:right="-29"/>
              <w:jc w:val="center"/>
              <w:rPr>
                <w:noProof/>
                <w:sz w:val="18"/>
                <w:szCs w:val="18"/>
              </w:rPr>
            </w:pPr>
          </w:p>
        </w:tc>
      </w:tr>
      <w:tr w:rsidR="009700B5" w:rsidRPr="00392E88" w14:paraId="4698FA4E" w14:textId="77777777">
        <w:trPr>
          <w:jc w:val="center"/>
        </w:trPr>
        <w:tc>
          <w:tcPr>
            <w:tcW w:w="2844" w:type="dxa"/>
            <w:gridSpan w:val="3"/>
            <w:vAlign w:val="center"/>
          </w:tcPr>
          <w:p w14:paraId="55B86E4F" w14:textId="223B7303" w:rsidR="00044D5B" w:rsidRPr="00392E88" w:rsidRDefault="00044D5B">
            <w:pPr>
              <w:spacing w:before="60" w:after="60"/>
              <w:ind w:right="-29"/>
              <w:jc w:val="center"/>
              <w:rPr>
                <w:noProof/>
                <w:sz w:val="18"/>
                <w:szCs w:val="18"/>
              </w:rPr>
            </w:pPr>
            <w:r w:rsidRPr="00392E88">
              <w:rPr>
                <w:sz w:val="18"/>
              </w:rPr>
              <w:t xml:space="preserve">CEL SZCZEGÓŁOWY </w:t>
            </w:r>
            <w:r w:rsidRPr="006E6446">
              <w:rPr>
                <w:sz w:val="18"/>
              </w:rPr>
              <w:t>nr</w:t>
            </w:r>
            <w:r w:rsidR="006E6446" w:rsidRPr="006E6446">
              <w:rPr>
                <w:sz w:val="18"/>
              </w:rPr>
              <w:t> </w:t>
            </w:r>
            <w:r w:rsidRPr="006E6446">
              <w:rPr>
                <w:sz w:val="18"/>
              </w:rPr>
              <w:t>2</w:t>
            </w:r>
          </w:p>
        </w:tc>
        <w:tc>
          <w:tcPr>
            <w:tcW w:w="504" w:type="dxa"/>
            <w:tcBorders>
              <w:top w:val="nil"/>
              <w:left w:val="nil"/>
              <w:bottom w:val="nil"/>
              <w:right w:val="nil"/>
            </w:tcBorders>
          </w:tcPr>
          <w:p w14:paraId="1F6CBBE5" w14:textId="77777777" w:rsidR="00044D5B" w:rsidRPr="00392E88" w:rsidRDefault="00044D5B">
            <w:pPr>
              <w:spacing w:before="60" w:after="60"/>
              <w:ind w:right="-29"/>
              <w:jc w:val="center"/>
              <w:rPr>
                <w:noProof/>
                <w:sz w:val="18"/>
                <w:szCs w:val="18"/>
              </w:rPr>
            </w:pPr>
          </w:p>
        </w:tc>
        <w:tc>
          <w:tcPr>
            <w:tcW w:w="720" w:type="dxa"/>
            <w:tcBorders>
              <w:top w:val="nil"/>
              <w:left w:val="nil"/>
              <w:bottom w:val="nil"/>
              <w:right w:val="nil"/>
            </w:tcBorders>
          </w:tcPr>
          <w:p w14:paraId="297108F3" w14:textId="77777777" w:rsidR="00044D5B" w:rsidRPr="00392E88" w:rsidRDefault="00044D5B">
            <w:pPr>
              <w:spacing w:before="60" w:after="60"/>
              <w:ind w:right="-29"/>
              <w:jc w:val="center"/>
              <w:rPr>
                <w:noProof/>
                <w:sz w:val="18"/>
                <w:szCs w:val="18"/>
              </w:rPr>
            </w:pPr>
          </w:p>
        </w:tc>
        <w:tc>
          <w:tcPr>
            <w:tcW w:w="540" w:type="dxa"/>
            <w:tcBorders>
              <w:top w:val="nil"/>
              <w:left w:val="nil"/>
              <w:bottom w:val="nil"/>
              <w:right w:val="nil"/>
            </w:tcBorders>
          </w:tcPr>
          <w:p w14:paraId="70711410" w14:textId="77777777" w:rsidR="00044D5B" w:rsidRPr="00392E88" w:rsidRDefault="00044D5B">
            <w:pPr>
              <w:spacing w:before="60" w:after="60"/>
              <w:ind w:right="-29"/>
              <w:jc w:val="center"/>
              <w:rPr>
                <w:noProof/>
                <w:sz w:val="18"/>
                <w:szCs w:val="18"/>
              </w:rPr>
            </w:pPr>
          </w:p>
        </w:tc>
        <w:tc>
          <w:tcPr>
            <w:tcW w:w="720" w:type="dxa"/>
            <w:tcBorders>
              <w:top w:val="nil"/>
              <w:left w:val="nil"/>
              <w:bottom w:val="nil"/>
              <w:right w:val="nil"/>
            </w:tcBorders>
          </w:tcPr>
          <w:p w14:paraId="3D1B9616" w14:textId="77777777" w:rsidR="00044D5B" w:rsidRPr="00392E88" w:rsidRDefault="00044D5B">
            <w:pPr>
              <w:spacing w:before="60" w:after="60"/>
              <w:ind w:right="-29"/>
              <w:jc w:val="center"/>
              <w:rPr>
                <w:noProof/>
                <w:sz w:val="18"/>
                <w:szCs w:val="18"/>
              </w:rPr>
            </w:pPr>
          </w:p>
        </w:tc>
        <w:tc>
          <w:tcPr>
            <w:tcW w:w="720" w:type="dxa"/>
            <w:tcBorders>
              <w:top w:val="nil"/>
              <w:left w:val="nil"/>
              <w:bottom w:val="nil"/>
              <w:right w:val="nil"/>
            </w:tcBorders>
          </w:tcPr>
          <w:p w14:paraId="66598F99" w14:textId="77777777" w:rsidR="00044D5B" w:rsidRPr="00392E88" w:rsidRDefault="00044D5B">
            <w:pPr>
              <w:spacing w:before="60" w:after="60"/>
              <w:ind w:right="-29"/>
              <w:jc w:val="center"/>
              <w:rPr>
                <w:noProof/>
                <w:sz w:val="18"/>
                <w:szCs w:val="18"/>
              </w:rPr>
            </w:pPr>
          </w:p>
        </w:tc>
        <w:tc>
          <w:tcPr>
            <w:tcW w:w="720" w:type="dxa"/>
            <w:tcBorders>
              <w:top w:val="nil"/>
              <w:left w:val="nil"/>
              <w:bottom w:val="nil"/>
              <w:right w:val="nil"/>
            </w:tcBorders>
          </w:tcPr>
          <w:p w14:paraId="14E6D6F9" w14:textId="77777777" w:rsidR="00044D5B" w:rsidRPr="00392E88" w:rsidRDefault="00044D5B">
            <w:pPr>
              <w:spacing w:before="60" w:after="60"/>
              <w:ind w:right="-29"/>
              <w:jc w:val="center"/>
              <w:rPr>
                <w:noProof/>
                <w:sz w:val="18"/>
                <w:szCs w:val="18"/>
              </w:rPr>
            </w:pPr>
          </w:p>
        </w:tc>
        <w:tc>
          <w:tcPr>
            <w:tcW w:w="900" w:type="dxa"/>
            <w:tcBorders>
              <w:top w:val="nil"/>
              <w:left w:val="nil"/>
              <w:bottom w:val="nil"/>
              <w:right w:val="nil"/>
            </w:tcBorders>
          </w:tcPr>
          <w:p w14:paraId="76D1C1A1" w14:textId="77777777" w:rsidR="00044D5B" w:rsidRPr="00392E88" w:rsidRDefault="00044D5B">
            <w:pPr>
              <w:spacing w:before="60" w:after="60"/>
              <w:ind w:right="-29"/>
              <w:jc w:val="center"/>
              <w:rPr>
                <w:noProof/>
                <w:sz w:val="18"/>
                <w:szCs w:val="18"/>
              </w:rPr>
            </w:pPr>
          </w:p>
        </w:tc>
        <w:tc>
          <w:tcPr>
            <w:tcW w:w="720" w:type="dxa"/>
            <w:tcBorders>
              <w:top w:val="nil"/>
              <w:left w:val="nil"/>
              <w:bottom w:val="nil"/>
              <w:right w:val="nil"/>
            </w:tcBorders>
          </w:tcPr>
          <w:p w14:paraId="67FE4003" w14:textId="77777777" w:rsidR="00044D5B" w:rsidRPr="00392E88" w:rsidRDefault="00044D5B">
            <w:pPr>
              <w:spacing w:before="60" w:after="60"/>
              <w:ind w:right="-29"/>
              <w:jc w:val="center"/>
              <w:rPr>
                <w:noProof/>
                <w:sz w:val="18"/>
                <w:szCs w:val="18"/>
              </w:rPr>
            </w:pPr>
          </w:p>
        </w:tc>
        <w:tc>
          <w:tcPr>
            <w:tcW w:w="540" w:type="dxa"/>
            <w:tcBorders>
              <w:top w:val="nil"/>
              <w:left w:val="nil"/>
              <w:bottom w:val="nil"/>
              <w:right w:val="nil"/>
            </w:tcBorders>
          </w:tcPr>
          <w:p w14:paraId="1FEA9D1E" w14:textId="77777777" w:rsidR="00044D5B" w:rsidRPr="00392E88" w:rsidRDefault="00044D5B">
            <w:pPr>
              <w:spacing w:before="60" w:after="60"/>
              <w:ind w:right="-29"/>
              <w:jc w:val="center"/>
              <w:rPr>
                <w:noProof/>
                <w:sz w:val="18"/>
                <w:szCs w:val="18"/>
              </w:rPr>
            </w:pPr>
          </w:p>
        </w:tc>
        <w:tc>
          <w:tcPr>
            <w:tcW w:w="648" w:type="dxa"/>
            <w:tcBorders>
              <w:top w:val="nil"/>
              <w:left w:val="nil"/>
              <w:bottom w:val="nil"/>
              <w:right w:val="nil"/>
            </w:tcBorders>
          </w:tcPr>
          <w:p w14:paraId="069A3C34" w14:textId="77777777" w:rsidR="00044D5B" w:rsidRPr="00392E88" w:rsidRDefault="00044D5B">
            <w:pPr>
              <w:spacing w:before="60" w:after="60"/>
              <w:ind w:right="-29"/>
              <w:jc w:val="center"/>
              <w:rPr>
                <w:noProof/>
                <w:sz w:val="18"/>
                <w:szCs w:val="18"/>
              </w:rPr>
            </w:pPr>
          </w:p>
        </w:tc>
        <w:tc>
          <w:tcPr>
            <w:tcW w:w="432" w:type="dxa"/>
            <w:tcBorders>
              <w:top w:val="nil"/>
              <w:left w:val="nil"/>
              <w:bottom w:val="nil"/>
              <w:right w:val="nil"/>
            </w:tcBorders>
          </w:tcPr>
          <w:p w14:paraId="6604421F" w14:textId="77777777" w:rsidR="00044D5B" w:rsidRPr="00392E88" w:rsidRDefault="00044D5B">
            <w:pPr>
              <w:spacing w:before="60" w:after="60"/>
              <w:ind w:right="-29"/>
              <w:jc w:val="center"/>
              <w:rPr>
                <w:noProof/>
                <w:sz w:val="18"/>
                <w:szCs w:val="18"/>
              </w:rPr>
            </w:pPr>
          </w:p>
        </w:tc>
        <w:tc>
          <w:tcPr>
            <w:tcW w:w="720" w:type="dxa"/>
            <w:tcBorders>
              <w:top w:val="nil"/>
              <w:left w:val="nil"/>
              <w:bottom w:val="nil"/>
              <w:right w:val="nil"/>
            </w:tcBorders>
          </w:tcPr>
          <w:p w14:paraId="4C69980C" w14:textId="77777777" w:rsidR="00044D5B" w:rsidRPr="00392E88" w:rsidRDefault="00044D5B">
            <w:pPr>
              <w:spacing w:before="60" w:after="60"/>
              <w:ind w:right="-29"/>
              <w:jc w:val="center"/>
              <w:rPr>
                <w:noProof/>
                <w:sz w:val="18"/>
                <w:szCs w:val="18"/>
              </w:rPr>
            </w:pPr>
          </w:p>
        </w:tc>
        <w:tc>
          <w:tcPr>
            <w:tcW w:w="540" w:type="dxa"/>
            <w:tcBorders>
              <w:top w:val="nil"/>
              <w:left w:val="nil"/>
              <w:bottom w:val="nil"/>
              <w:right w:val="nil"/>
            </w:tcBorders>
          </w:tcPr>
          <w:p w14:paraId="09FAD6B6" w14:textId="77777777" w:rsidR="00044D5B" w:rsidRPr="00392E88" w:rsidRDefault="00044D5B">
            <w:pPr>
              <w:spacing w:before="60" w:after="60"/>
              <w:ind w:right="-29"/>
              <w:jc w:val="center"/>
              <w:rPr>
                <w:noProof/>
                <w:sz w:val="18"/>
                <w:szCs w:val="18"/>
              </w:rPr>
            </w:pPr>
          </w:p>
        </w:tc>
        <w:tc>
          <w:tcPr>
            <w:tcW w:w="720" w:type="dxa"/>
            <w:tcBorders>
              <w:top w:val="nil"/>
              <w:left w:val="nil"/>
              <w:bottom w:val="nil"/>
              <w:right w:val="nil"/>
            </w:tcBorders>
          </w:tcPr>
          <w:p w14:paraId="770BA921" w14:textId="77777777" w:rsidR="00044D5B" w:rsidRPr="00392E88" w:rsidRDefault="00044D5B">
            <w:pPr>
              <w:spacing w:before="60" w:after="60"/>
              <w:ind w:right="-29"/>
              <w:jc w:val="center"/>
              <w:rPr>
                <w:noProof/>
                <w:sz w:val="18"/>
                <w:szCs w:val="18"/>
              </w:rPr>
            </w:pPr>
          </w:p>
        </w:tc>
        <w:tc>
          <w:tcPr>
            <w:tcW w:w="720" w:type="dxa"/>
            <w:tcBorders>
              <w:top w:val="nil"/>
              <w:left w:val="nil"/>
              <w:bottom w:val="nil"/>
              <w:right w:val="nil"/>
            </w:tcBorders>
          </w:tcPr>
          <w:p w14:paraId="15644CDA" w14:textId="77777777" w:rsidR="00044D5B" w:rsidRPr="00392E88" w:rsidRDefault="00044D5B">
            <w:pPr>
              <w:spacing w:before="60" w:after="60"/>
              <w:ind w:right="-29"/>
              <w:jc w:val="center"/>
              <w:rPr>
                <w:noProof/>
                <w:sz w:val="18"/>
                <w:szCs w:val="18"/>
              </w:rPr>
            </w:pPr>
          </w:p>
        </w:tc>
        <w:tc>
          <w:tcPr>
            <w:tcW w:w="900" w:type="dxa"/>
            <w:tcBorders>
              <w:top w:val="nil"/>
              <w:left w:val="nil"/>
              <w:bottom w:val="nil"/>
              <w:right w:val="nil"/>
            </w:tcBorders>
          </w:tcPr>
          <w:p w14:paraId="43E51665" w14:textId="77777777" w:rsidR="00044D5B" w:rsidRPr="00392E88" w:rsidRDefault="00044D5B">
            <w:pPr>
              <w:spacing w:before="60" w:after="60"/>
              <w:ind w:right="-29"/>
              <w:jc w:val="center"/>
              <w:rPr>
                <w:noProof/>
                <w:sz w:val="18"/>
                <w:szCs w:val="18"/>
              </w:rPr>
            </w:pPr>
          </w:p>
        </w:tc>
      </w:tr>
      <w:tr w:rsidR="00983E98" w:rsidRPr="00392E88" w14:paraId="59718E50" w14:textId="77777777">
        <w:trPr>
          <w:trHeight w:hRule="exact" w:val="369"/>
          <w:jc w:val="center"/>
        </w:trPr>
        <w:tc>
          <w:tcPr>
            <w:tcW w:w="1423" w:type="dxa"/>
          </w:tcPr>
          <w:p w14:paraId="75C76577" w14:textId="77777777" w:rsidR="00044D5B" w:rsidRPr="00392E88" w:rsidRDefault="00044D5B">
            <w:pPr>
              <w:ind w:right="-29"/>
              <w:jc w:val="center"/>
              <w:rPr>
                <w:noProof/>
                <w:sz w:val="18"/>
                <w:szCs w:val="18"/>
              </w:rPr>
            </w:pPr>
            <w:r w:rsidRPr="00392E88">
              <w:rPr>
                <w:sz w:val="18"/>
              </w:rPr>
              <w:t>- Produkt</w:t>
            </w:r>
          </w:p>
        </w:tc>
        <w:tc>
          <w:tcPr>
            <w:tcW w:w="720" w:type="dxa"/>
          </w:tcPr>
          <w:p w14:paraId="7D8C6BFB" w14:textId="77777777" w:rsidR="00044D5B" w:rsidRPr="00392E88" w:rsidRDefault="00044D5B">
            <w:pPr>
              <w:ind w:right="-29"/>
              <w:jc w:val="center"/>
              <w:rPr>
                <w:noProof/>
                <w:sz w:val="18"/>
                <w:szCs w:val="18"/>
              </w:rPr>
            </w:pPr>
          </w:p>
        </w:tc>
        <w:tc>
          <w:tcPr>
            <w:tcW w:w="701" w:type="dxa"/>
          </w:tcPr>
          <w:p w14:paraId="0F176FCD" w14:textId="77777777" w:rsidR="00044D5B" w:rsidRPr="00392E88" w:rsidRDefault="00044D5B">
            <w:pPr>
              <w:ind w:right="-29"/>
              <w:jc w:val="center"/>
              <w:rPr>
                <w:noProof/>
                <w:sz w:val="18"/>
                <w:szCs w:val="18"/>
              </w:rPr>
            </w:pPr>
          </w:p>
        </w:tc>
        <w:tc>
          <w:tcPr>
            <w:tcW w:w="504" w:type="dxa"/>
          </w:tcPr>
          <w:p w14:paraId="1128C971" w14:textId="77777777" w:rsidR="00044D5B" w:rsidRPr="00392E88" w:rsidRDefault="00044D5B">
            <w:pPr>
              <w:ind w:right="-29"/>
              <w:jc w:val="center"/>
              <w:rPr>
                <w:noProof/>
                <w:sz w:val="18"/>
                <w:szCs w:val="18"/>
              </w:rPr>
            </w:pPr>
          </w:p>
        </w:tc>
        <w:tc>
          <w:tcPr>
            <w:tcW w:w="720" w:type="dxa"/>
          </w:tcPr>
          <w:p w14:paraId="64C4AFD7" w14:textId="77777777" w:rsidR="00044D5B" w:rsidRPr="00392E88" w:rsidRDefault="00044D5B">
            <w:pPr>
              <w:ind w:right="-29"/>
              <w:jc w:val="center"/>
              <w:rPr>
                <w:noProof/>
                <w:sz w:val="18"/>
                <w:szCs w:val="18"/>
              </w:rPr>
            </w:pPr>
          </w:p>
        </w:tc>
        <w:tc>
          <w:tcPr>
            <w:tcW w:w="540" w:type="dxa"/>
          </w:tcPr>
          <w:p w14:paraId="689AC95C" w14:textId="77777777" w:rsidR="00044D5B" w:rsidRPr="00392E88" w:rsidRDefault="00044D5B">
            <w:pPr>
              <w:ind w:right="-29"/>
              <w:jc w:val="center"/>
              <w:rPr>
                <w:noProof/>
                <w:sz w:val="18"/>
                <w:szCs w:val="18"/>
              </w:rPr>
            </w:pPr>
          </w:p>
        </w:tc>
        <w:tc>
          <w:tcPr>
            <w:tcW w:w="720" w:type="dxa"/>
          </w:tcPr>
          <w:p w14:paraId="152BAABD" w14:textId="77777777" w:rsidR="00044D5B" w:rsidRPr="00392E88" w:rsidRDefault="00044D5B">
            <w:pPr>
              <w:ind w:right="-29"/>
              <w:jc w:val="center"/>
              <w:rPr>
                <w:noProof/>
                <w:sz w:val="18"/>
                <w:szCs w:val="18"/>
              </w:rPr>
            </w:pPr>
          </w:p>
        </w:tc>
        <w:tc>
          <w:tcPr>
            <w:tcW w:w="720" w:type="dxa"/>
          </w:tcPr>
          <w:p w14:paraId="4741BFBE" w14:textId="77777777" w:rsidR="00044D5B" w:rsidRPr="00392E88" w:rsidRDefault="00044D5B">
            <w:pPr>
              <w:ind w:right="-29"/>
              <w:jc w:val="center"/>
              <w:rPr>
                <w:noProof/>
                <w:sz w:val="18"/>
                <w:szCs w:val="18"/>
              </w:rPr>
            </w:pPr>
          </w:p>
        </w:tc>
        <w:tc>
          <w:tcPr>
            <w:tcW w:w="720" w:type="dxa"/>
          </w:tcPr>
          <w:p w14:paraId="4065C6DF" w14:textId="77777777" w:rsidR="00044D5B" w:rsidRPr="00392E88" w:rsidRDefault="00044D5B">
            <w:pPr>
              <w:ind w:right="-29"/>
              <w:jc w:val="center"/>
              <w:rPr>
                <w:noProof/>
                <w:sz w:val="18"/>
                <w:szCs w:val="18"/>
              </w:rPr>
            </w:pPr>
          </w:p>
        </w:tc>
        <w:tc>
          <w:tcPr>
            <w:tcW w:w="900" w:type="dxa"/>
          </w:tcPr>
          <w:p w14:paraId="1B8B339A" w14:textId="77777777" w:rsidR="00044D5B" w:rsidRPr="00392E88" w:rsidRDefault="00044D5B">
            <w:pPr>
              <w:ind w:right="-29"/>
              <w:jc w:val="center"/>
              <w:rPr>
                <w:noProof/>
                <w:sz w:val="18"/>
                <w:szCs w:val="18"/>
              </w:rPr>
            </w:pPr>
          </w:p>
        </w:tc>
        <w:tc>
          <w:tcPr>
            <w:tcW w:w="720" w:type="dxa"/>
          </w:tcPr>
          <w:p w14:paraId="46476593" w14:textId="77777777" w:rsidR="00044D5B" w:rsidRPr="00392E88" w:rsidRDefault="00044D5B">
            <w:pPr>
              <w:ind w:right="-29"/>
              <w:jc w:val="center"/>
              <w:rPr>
                <w:noProof/>
                <w:sz w:val="18"/>
                <w:szCs w:val="18"/>
              </w:rPr>
            </w:pPr>
          </w:p>
        </w:tc>
        <w:tc>
          <w:tcPr>
            <w:tcW w:w="540" w:type="dxa"/>
          </w:tcPr>
          <w:p w14:paraId="3C108EF2" w14:textId="77777777" w:rsidR="00044D5B" w:rsidRPr="00392E88" w:rsidRDefault="00044D5B">
            <w:pPr>
              <w:ind w:right="-29"/>
              <w:jc w:val="center"/>
              <w:rPr>
                <w:noProof/>
                <w:sz w:val="18"/>
                <w:szCs w:val="18"/>
              </w:rPr>
            </w:pPr>
          </w:p>
        </w:tc>
        <w:tc>
          <w:tcPr>
            <w:tcW w:w="648" w:type="dxa"/>
          </w:tcPr>
          <w:p w14:paraId="6248ABE2" w14:textId="77777777" w:rsidR="00044D5B" w:rsidRPr="00392E88" w:rsidRDefault="00044D5B">
            <w:pPr>
              <w:ind w:right="-29"/>
              <w:jc w:val="center"/>
              <w:rPr>
                <w:noProof/>
                <w:sz w:val="18"/>
                <w:szCs w:val="18"/>
              </w:rPr>
            </w:pPr>
          </w:p>
        </w:tc>
        <w:tc>
          <w:tcPr>
            <w:tcW w:w="432" w:type="dxa"/>
          </w:tcPr>
          <w:p w14:paraId="18F6F25E" w14:textId="77777777" w:rsidR="00044D5B" w:rsidRPr="00392E88" w:rsidRDefault="00044D5B">
            <w:pPr>
              <w:ind w:right="-29"/>
              <w:jc w:val="center"/>
              <w:rPr>
                <w:noProof/>
                <w:sz w:val="18"/>
                <w:szCs w:val="18"/>
              </w:rPr>
            </w:pPr>
          </w:p>
        </w:tc>
        <w:tc>
          <w:tcPr>
            <w:tcW w:w="720" w:type="dxa"/>
          </w:tcPr>
          <w:p w14:paraId="54BCBDE3" w14:textId="77777777" w:rsidR="00044D5B" w:rsidRPr="00392E88" w:rsidRDefault="00044D5B">
            <w:pPr>
              <w:ind w:right="-29"/>
              <w:jc w:val="center"/>
              <w:rPr>
                <w:noProof/>
                <w:sz w:val="18"/>
                <w:szCs w:val="18"/>
              </w:rPr>
            </w:pPr>
          </w:p>
        </w:tc>
        <w:tc>
          <w:tcPr>
            <w:tcW w:w="540" w:type="dxa"/>
          </w:tcPr>
          <w:p w14:paraId="67CDA114" w14:textId="77777777" w:rsidR="00044D5B" w:rsidRPr="00392E88" w:rsidRDefault="00044D5B">
            <w:pPr>
              <w:ind w:right="-29"/>
              <w:jc w:val="center"/>
              <w:rPr>
                <w:noProof/>
                <w:sz w:val="18"/>
                <w:szCs w:val="18"/>
              </w:rPr>
            </w:pPr>
          </w:p>
        </w:tc>
        <w:tc>
          <w:tcPr>
            <w:tcW w:w="720" w:type="dxa"/>
          </w:tcPr>
          <w:p w14:paraId="56A96085" w14:textId="77777777" w:rsidR="00044D5B" w:rsidRPr="00392E88" w:rsidRDefault="00044D5B">
            <w:pPr>
              <w:ind w:right="-29"/>
              <w:jc w:val="center"/>
              <w:rPr>
                <w:noProof/>
                <w:sz w:val="18"/>
                <w:szCs w:val="18"/>
              </w:rPr>
            </w:pPr>
          </w:p>
        </w:tc>
        <w:tc>
          <w:tcPr>
            <w:tcW w:w="720" w:type="dxa"/>
          </w:tcPr>
          <w:p w14:paraId="3AE8A981" w14:textId="77777777" w:rsidR="00044D5B" w:rsidRPr="00392E88" w:rsidRDefault="00044D5B">
            <w:pPr>
              <w:ind w:right="-29"/>
              <w:jc w:val="center"/>
              <w:rPr>
                <w:noProof/>
                <w:sz w:val="18"/>
                <w:szCs w:val="18"/>
              </w:rPr>
            </w:pPr>
          </w:p>
        </w:tc>
        <w:tc>
          <w:tcPr>
            <w:tcW w:w="900" w:type="dxa"/>
          </w:tcPr>
          <w:p w14:paraId="0ABB95E1" w14:textId="77777777" w:rsidR="00044D5B" w:rsidRPr="00392E88" w:rsidRDefault="00044D5B">
            <w:pPr>
              <w:ind w:right="-29"/>
              <w:jc w:val="center"/>
              <w:rPr>
                <w:noProof/>
                <w:sz w:val="18"/>
                <w:szCs w:val="18"/>
              </w:rPr>
            </w:pPr>
          </w:p>
        </w:tc>
      </w:tr>
      <w:tr w:rsidR="009700B5" w:rsidRPr="00392E88" w14:paraId="65D78097" w14:textId="77777777">
        <w:trPr>
          <w:jc w:val="center"/>
        </w:trPr>
        <w:tc>
          <w:tcPr>
            <w:tcW w:w="2844" w:type="dxa"/>
            <w:gridSpan w:val="3"/>
            <w:tcBorders>
              <w:bottom w:val="single" w:sz="12" w:space="0" w:color="auto"/>
            </w:tcBorders>
            <w:vAlign w:val="center"/>
          </w:tcPr>
          <w:p w14:paraId="746D6807" w14:textId="741625DD" w:rsidR="00044D5B" w:rsidRPr="00392E88" w:rsidRDefault="00044D5B">
            <w:pPr>
              <w:jc w:val="center"/>
              <w:rPr>
                <w:noProof/>
                <w:sz w:val="18"/>
                <w:szCs w:val="18"/>
              </w:rPr>
            </w:pPr>
            <w:r w:rsidRPr="00392E88">
              <w:rPr>
                <w:sz w:val="18"/>
              </w:rPr>
              <w:t xml:space="preserve">Cel szczegółowy </w:t>
            </w:r>
            <w:r w:rsidRPr="006E6446">
              <w:rPr>
                <w:sz w:val="18"/>
              </w:rPr>
              <w:t>nr</w:t>
            </w:r>
            <w:r w:rsidR="006E6446" w:rsidRPr="006E6446">
              <w:rPr>
                <w:sz w:val="18"/>
              </w:rPr>
              <w:t> </w:t>
            </w:r>
            <w:r w:rsidRPr="006E6446">
              <w:rPr>
                <w:sz w:val="18"/>
              </w:rPr>
              <w:t>2</w:t>
            </w:r>
            <w:r w:rsidRPr="00392E88">
              <w:rPr>
                <w:sz w:val="18"/>
              </w:rPr>
              <w:t xml:space="preserve"> – suma cząstkowa</w:t>
            </w:r>
          </w:p>
        </w:tc>
        <w:tc>
          <w:tcPr>
            <w:tcW w:w="504" w:type="dxa"/>
            <w:tcBorders>
              <w:bottom w:val="single" w:sz="12" w:space="0" w:color="auto"/>
            </w:tcBorders>
          </w:tcPr>
          <w:p w14:paraId="243CD3FF" w14:textId="77777777" w:rsidR="00044D5B" w:rsidRPr="00392E88" w:rsidRDefault="00044D5B">
            <w:pPr>
              <w:ind w:right="-29"/>
              <w:jc w:val="center"/>
              <w:rPr>
                <w:noProof/>
                <w:sz w:val="18"/>
                <w:szCs w:val="18"/>
              </w:rPr>
            </w:pPr>
          </w:p>
        </w:tc>
        <w:tc>
          <w:tcPr>
            <w:tcW w:w="720" w:type="dxa"/>
            <w:tcBorders>
              <w:bottom w:val="single" w:sz="12" w:space="0" w:color="auto"/>
            </w:tcBorders>
          </w:tcPr>
          <w:p w14:paraId="4C9DB66D" w14:textId="77777777" w:rsidR="00044D5B" w:rsidRPr="00392E88" w:rsidRDefault="00044D5B">
            <w:pPr>
              <w:ind w:right="-29"/>
              <w:jc w:val="center"/>
              <w:rPr>
                <w:noProof/>
                <w:sz w:val="18"/>
                <w:szCs w:val="18"/>
              </w:rPr>
            </w:pPr>
          </w:p>
        </w:tc>
        <w:tc>
          <w:tcPr>
            <w:tcW w:w="540" w:type="dxa"/>
            <w:tcBorders>
              <w:bottom w:val="single" w:sz="12" w:space="0" w:color="auto"/>
            </w:tcBorders>
          </w:tcPr>
          <w:p w14:paraId="596C56CD" w14:textId="77777777" w:rsidR="00044D5B" w:rsidRPr="00392E88" w:rsidRDefault="00044D5B">
            <w:pPr>
              <w:ind w:right="-29"/>
              <w:jc w:val="center"/>
              <w:rPr>
                <w:noProof/>
                <w:sz w:val="18"/>
                <w:szCs w:val="18"/>
              </w:rPr>
            </w:pPr>
          </w:p>
        </w:tc>
        <w:tc>
          <w:tcPr>
            <w:tcW w:w="720" w:type="dxa"/>
            <w:tcBorders>
              <w:bottom w:val="single" w:sz="12" w:space="0" w:color="auto"/>
            </w:tcBorders>
          </w:tcPr>
          <w:p w14:paraId="2C4AE332" w14:textId="77777777" w:rsidR="00044D5B" w:rsidRPr="00392E88" w:rsidRDefault="00044D5B">
            <w:pPr>
              <w:ind w:right="-29"/>
              <w:jc w:val="center"/>
              <w:rPr>
                <w:noProof/>
                <w:sz w:val="18"/>
                <w:szCs w:val="18"/>
              </w:rPr>
            </w:pPr>
          </w:p>
        </w:tc>
        <w:tc>
          <w:tcPr>
            <w:tcW w:w="720" w:type="dxa"/>
            <w:tcBorders>
              <w:bottom w:val="single" w:sz="12" w:space="0" w:color="auto"/>
            </w:tcBorders>
          </w:tcPr>
          <w:p w14:paraId="4FFABE25" w14:textId="77777777" w:rsidR="00044D5B" w:rsidRPr="00392E88" w:rsidRDefault="00044D5B">
            <w:pPr>
              <w:ind w:right="-29"/>
              <w:jc w:val="center"/>
              <w:rPr>
                <w:noProof/>
                <w:sz w:val="18"/>
                <w:szCs w:val="18"/>
              </w:rPr>
            </w:pPr>
          </w:p>
        </w:tc>
        <w:tc>
          <w:tcPr>
            <w:tcW w:w="720" w:type="dxa"/>
            <w:tcBorders>
              <w:bottom w:val="single" w:sz="12" w:space="0" w:color="auto"/>
            </w:tcBorders>
          </w:tcPr>
          <w:p w14:paraId="615D6822" w14:textId="77777777" w:rsidR="00044D5B" w:rsidRPr="00392E88" w:rsidRDefault="00044D5B">
            <w:pPr>
              <w:ind w:right="-29"/>
              <w:jc w:val="center"/>
              <w:rPr>
                <w:noProof/>
                <w:sz w:val="18"/>
                <w:szCs w:val="18"/>
              </w:rPr>
            </w:pPr>
          </w:p>
        </w:tc>
        <w:tc>
          <w:tcPr>
            <w:tcW w:w="951" w:type="dxa"/>
            <w:tcBorders>
              <w:bottom w:val="single" w:sz="12" w:space="0" w:color="auto"/>
            </w:tcBorders>
          </w:tcPr>
          <w:p w14:paraId="5770C042" w14:textId="77777777" w:rsidR="00044D5B" w:rsidRPr="00392E88" w:rsidRDefault="00044D5B">
            <w:pPr>
              <w:ind w:right="-29"/>
              <w:jc w:val="center"/>
              <w:rPr>
                <w:noProof/>
                <w:sz w:val="18"/>
                <w:szCs w:val="18"/>
              </w:rPr>
            </w:pPr>
          </w:p>
        </w:tc>
        <w:tc>
          <w:tcPr>
            <w:tcW w:w="669" w:type="dxa"/>
            <w:tcBorders>
              <w:bottom w:val="single" w:sz="12" w:space="0" w:color="auto"/>
            </w:tcBorders>
          </w:tcPr>
          <w:p w14:paraId="1B8C9100" w14:textId="77777777" w:rsidR="00044D5B" w:rsidRPr="00392E88" w:rsidRDefault="00044D5B">
            <w:pPr>
              <w:ind w:right="-29"/>
              <w:jc w:val="center"/>
              <w:rPr>
                <w:noProof/>
                <w:sz w:val="18"/>
                <w:szCs w:val="18"/>
              </w:rPr>
            </w:pPr>
          </w:p>
        </w:tc>
        <w:tc>
          <w:tcPr>
            <w:tcW w:w="540" w:type="dxa"/>
            <w:tcBorders>
              <w:bottom w:val="single" w:sz="12" w:space="0" w:color="auto"/>
            </w:tcBorders>
          </w:tcPr>
          <w:p w14:paraId="7AA36B7D" w14:textId="77777777" w:rsidR="00044D5B" w:rsidRPr="00392E88" w:rsidRDefault="00044D5B">
            <w:pPr>
              <w:ind w:right="-29"/>
              <w:jc w:val="center"/>
              <w:rPr>
                <w:noProof/>
                <w:sz w:val="18"/>
                <w:szCs w:val="18"/>
              </w:rPr>
            </w:pPr>
          </w:p>
        </w:tc>
        <w:tc>
          <w:tcPr>
            <w:tcW w:w="648" w:type="dxa"/>
            <w:tcBorders>
              <w:bottom w:val="single" w:sz="12" w:space="0" w:color="auto"/>
            </w:tcBorders>
          </w:tcPr>
          <w:p w14:paraId="6A5F86FB" w14:textId="77777777" w:rsidR="00044D5B" w:rsidRPr="00392E88" w:rsidRDefault="00044D5B">
            <w:pPr>
              <w:ind w:right="-29"/>
              <w:jc w:val="center"/>
              <w:rPr>
                <w:noProof/>
                <w:sz w:val="18"/>
                <w:szCs w:val="18"/>
              </w:rPr>
            </w:pPr>
          </w:p>
        </w:tc>
        <w:tc>
          <w:tcPr>
            <w:tcW w:w="432" w:type="dxa"/>
            <w:tcBorders>
              <w:bottom w:val="single" w:sz="12" w:space="0" w:color="auto"/>
            </w:tcBorders>
          </w:tcPr>
          <w:p w14:paraId="6DCA2CAA" w14:textId="77777777" w:rsidR="00044D5B" w:rsidRPr="00392E88" w:rsidRDefault="00044D5B">
            <w:pPr>
              <w:ind w:right="-29"/>
              <w:jc w:val="center"/>
              <w:rPr>
                <w:noProof/>
                <w:sz w:val="18"/>
                <w:szCs w:val="18"/>
              </w:rPr>
            </w:pPr>
          </w:p>
        </w:tc>
        <w:tc>
          <w:tcPr>
            <w:tcW w:w="720" w:type="dxa"/>
            <w:tcBorders>
              <w:bottom w:val="single" w:sz="12" w:space="0" w:color="auto"/>
            </w:tcBorders>
          </w:tcPr>
          <w:p w14:paraId="00205BAA" w14:textId="77777777" w:rsidR="00044D5B" w:rsidRPr="00392E88" w:rsidRDefault="00044D5B">
            <w:pPr>
              <w:ind w:right="-29"/>
              <w:jc w:val="center"/>
              <w:rPr>
                <w:noProof/>
                <w:sz w:val="18"/>
                <w:szCs w:val="18"/>
              </w:rPr>
            </w:pPr>
          </w:p>
        </w:tc>
        <w:tc>
          <w:tcPr>
            <w:tcW w:w="540" w:type="dxa"/>
            <w:tcBorders>
              <w:bottom w:val="single" w:sz="12" w:space="0" w:color="auto"/>
            </w:tcBorders>
          </w:tcPr>
          <w:p w14:paraId="74693D6E" w14:textId="77777777" w:rsidR="00044D5B" w:rsidRPr="00392E88" w:rsidRDefault="00044D5B">
            <w:pPr>
              <w:ind w:right="-29"/>
              <w:jc w:val="center"/>
              <w:rPr>
                <w:noProof/>
                <w:sz w:val="18"/>
                <w:szCs w:val="18"/>
              </w:rPr>
            </w:pPr>
          </w:p>
        </w:tc>
        <w:tc>
          <w:tcPr>
            <w:tcW w:w="720" w:type="dxa"/>
            <w:tcBorders>
              <w:bottom w:val="single" w:sz="12" w:space="0" w:color="auto"/>
            </w:tcBorders>
          </w:tcPr>
          <w:p w14:paraId="04669968" w14:textId="77777777" w:rsidR="00044D5B" w:rsidRPr="00392E88" w:rsidRDefault="00044D5B">
            <w:pPr>
              <w:ind w:right="-29"/>
              <w:jc w:val="center"/>
              <w:rPr>
                <w:noProof/>
                <w:sz w:val="18"/>
                <w:szCs w:val="18"/>
              </w:rPr>
            </w:pPr>
          </w:p>
        </w:tc>
        <w:tc>
          <w:tcPr>
            <w:tcW w:w="720" w:type="dxa"/>
            <w:tcBorders>
              <w:bottom w:val="single" w:sz="12" w:space="0" w:color="auto"/>
            </w:tcBorders>
          </w:tcPr>
          <w:p w14:paraId="6F17D09E" w14:textId="77777777" w:rsidR="00044D5B" w:rsidRPr="00392E88" w:rsidRDefault="00044D5B">
            <w:pPr>
              <w:ind w:right="-29"/>
              <w:jc w:val="center"/>
              <w:rPr>
                <w:noProof/>
                <w:sz w:val="18"/>
                <w:szCs w:val="18"/>
              </w:rPr>
            </w:pPr>
          </w:p>
        </w:tc>
        <w:tc>
          <w:tcPr>
            <w:tcW w:w="900" w:type="dxa"/>
            <w:tcBorders>
              <w:bottom w:val="single" w:sz="12" w:space="0" w:color="auto"/>
            </w:tcBorders>
          </w:tcPr>
          <w:p w14:paraId="7FAB332F" w14:textId="77777777" w:rsidR="00044D5B" w:rsidRPr="00392E88" w:rsidRDefault="00044D5B">
            <w:pPr>
              <w:ind w:right="-29"/>
              <w:jc w:val="center"/>
              <w:rPr>
                <w:noProof/>
                <w:sz w:val="18"/>
                <w:szCs w:val="18"/>
              </w:rPr>
            </w:pPr>
          </w:p>
        </w:tc>
      </w:tr>
      <w:tr w:rsidR="00E6355E" w:rsidRPr="00392E88" w14:paraId="4BEB2343" w14:textId="77777777">
        <w:trPr>
          <w:jc w:val="center"/>
        </w:trPr>
        <w:tc>
          <w:tcPr>
            <w:tcW w:w="2844" w:type="dxa"/>
            <w:gridSpan w:val="3"/>
            <w:tcBorders>
              <w:top w:val="single" w:sz="12" w:space="0" w:color="auto"/>
              <w:left w:val="single" w:sz="12" w:space="0" w:color="auto"/>
              <w:bottom w:val="single" w:sz="12" w:space="0" w:color="auto"/>
            </w:tcBorders>
            <w:vAlign w:val="center"/>
          </w:tcPr>
          <w:p w14:paraId="176D1E10" w14:textId="77777777" w:rsidR="00044D5B" w:rsidRPr="00392E88" w:rsidRDefault="00044D5B">
            <w:pPr>
              <w:ind w:right="-29"/>
              <w:jc w:val="center"/>
              <w:rPr>
                <w:noProof/>
                <w:sz w:val="18"/>
                <w:szCs w:val="18"/>
              </w:rPr>
            </w:pPr>
            <w:r w:rsidRPr="00392E88">
              <w:rPr>
                <w:b/>
                <w:sz w:val="18"/>
              </w:rPr>
              <w:t>OGÓŁEM</w:t>
            </w:r>
          </w:p>
        </w:tc>
        <w:tc>
          <w:tcPr>
            <w:tcW w:w="504" w:type="dxa"/>
            <w:tcBorders>
              <w:top w:val="single" w:sz="12" w:space="0" w:color="auto"/>
              <w:bottom w:val="single" w:sz="12" w:space="0" w:color="auto"/>
            </w:tcBorders>
          </w:tcPr>
          <w:p w14:paraId="5027134B" w14:textId="77777777" w:rsidR="00044D5B" w:rsidRPr="00392E88" w:rsidRDefault="00044D5B">
            <w:pPr>
              <w:spacing w:before="180" w:after="180"/>
              <w:ind w:right="-29"/>
              <w:jc w:val="center"/>
              <w:rPr>
                <w:noProof/>
                <w:sz w:val="18"/>
                <w:szCs w:val="18"/>
              </w:rPr>
            </w:pPr>
          </w:p>
        </w:tc>
        <w:tc>
          <w:tcPr>
            <w:tcW w:w="720" w:type="dxa"/>
            <w:tcBorders>
              <w:top w:val="single" w:sz="12" w:space="0" w:color="auto"/>
              <w:bottom w:val="single" w:sz="12" w:space="0" w:color="auto"/>
            </w:tcBorders>
          </w:tcPr>
          <w:p w14:paraId="061C0907" w14:textId="77777777" w:rsidR="00044D5B" w:rsidRPr="00392E88" w:rsidRDefault="00044D5B">
            <w:pPr>
              <w:spacing w:before="180" w:after="180"/>
              <w:ind w:right="-29"/>
              <w:jc w:val="center"/>
              <w:rPr>
                <w:noProof/>
                <w:sz w:val="18"/>
                <w:szCs w:val="18"/>
              </w:rPr>
            </w:pPr>
          </w:p>
        </w:tc>
        <w:tc>
          <w:tcPr>
            <w:tcW w:w="540" w:type="dxa"/>
            <w:tcBorders>
              <w:top w:val="single" w:sz="12" w:space="0" w:color="auto"/>
              <w:bottom w:val="single" w:sz="12" w:space="0" w:color="auto"/>
            </w:tcBorders>
          </w:tcPr>
          <w:p w14:paraId="7C9310C7" w14:textId="77777777" w:rsidR="00044D5B" w:rsidRPr="00392E88" w:rsidRDefault="00044D5B">
            <w:pPr>
              <w:spacing w:before="180" w:after="180"/>
              <w:ind w:right="-29"/>
              <w:jc w:val="center"/>
              <w:rPr>
                <w:noProof/>
                <w:sz w:val="18"/>
                <w:szCs w:val="18"/>
              </w:rPr>
            </w:pPr>
          </w:p>
        </w:tc>
        <w:tc>
          <w:tcPr>
            <w:tcW w:w="720" w:type="dxa"/>
            <w:tcBorders>
              <w:top w:val="single" w:sz="12" w:space="0" w:color="auto"/>
              <w:bottom w:val="single" w:sz="12" w:space="0" w:color="auto"/>
            </w:tcBorders>
          </w:tcPr>
          <w:p w14:paraId="30F7AE2F" w14:textId="77777777" w:rsidR="00044D5B" w:rsidRPr="00392E88" w:rsidRDefault="00044D5B">
            <w:pPr>
              <w:spacing w:before="180" w:after="180"/>
              <w:ind w:right="-29"/>
              <w:jc w:val="center"/>
              <w:rPr>
                <w:noProof/>
                <w:sz w:val="18"/>
                <w:szCs w:val="18"/>
              </w:rPr>
            </w:pPr>
          </w:p>
        </w:tc>
        <w:tc>
          <w:tcPr>
            <w:tcW w:w="720" w:type="dxa"/>
            <w:tcBorders>
              <w:top w:val="single" w:sz="12" w:space="0" w:color="auto"/>
              <w:bottom w:val="single" w:sz="12" w:space="0" w:color="auto"/>
            </w:tcBorders>
          </w:tcPr>
          <w:p w14:paraId="28E21FB6" w14:textId="77777777" w:rsidR="00044D5B" w:rsidRPr="00392E88" w:rsidRDefault="00044D5B">
            <w:pPr>
              <w:spacing w:before="180" w:after="180"/>
              <w:ind w:right="-29"/>
              <w:jc w:val="center"/>
              <w:rPr>
                <w:noProof/>
                <w:sz w:val="18"/>
                <w:szCs w:val="18"/>
              </w:rPr>
            </w:pPr>
          </w:p>
        </w:tc>
        <w:tc>
          <w:tcPr>
            <w:tcW w:w="720" w:type="dxa"/>
            <w:tcBorders>
              <w:top w:val="single" w:sz="12" w:space="0" w:color="auto"/>
              <w:bottom w:val="single" w:sz="12" w:space="0" w:color="auto"/>
            </w:tcBorders>
          </w:tcPr>
          <w:p w14:paraId="05E74C68" w14:textId="77777777" w:rsidR="00044D5B" w:rsidRPr="00392E88" w:rsidRDefault="00044D5B">
            <w:pPr>
              <w:spacing w:before="180" w:after="180"/>
              <w:ind w:right="-29"/>
              <w:jc w:val="center"/>
              <w:rPr>
                <w:noProof/>
                <w:sz w:val="18"/>
                <w:szCs w:val="18"/>
              </w:rPr>
            </w:pPr>
          </w:p>
        </w:tc>
        <w:tc>
          <w:tcPr>
            <w:tcW w:w="900" w:type="dxa"/>
            <w:tcBorders>
              <w:top w:val="single" w:sz="12" w:space="0" w:color="auto"/>
              <w:bottom w:val="single" w:sz="12" w:space="0" w:color="auto"/>
            </w:tcBorders>
          </w:tcPr>
          <w:p w14:paraId="156AE99B" w14:textId="77777777" w:rsidR="00044D5B" w:rsidRPr="00392E88" w:rsidRDefault="00044D5B">
            <w:pPr>
              <w:spacing w:before="180" w:after="180"/>
              <w:ind w:right="-29"/>
              <w:jc w:val="center"/>
              <w:rPr>
                <w:noProof/>
                <w:sz w:val="18"/>
                <w:szCs w:val="18"/>
              </w:rPr>
            </w:pPr>
          </w:p>
        </w:tc>
        <w:tc>
          <w:tcPr>
            <w:tcW w:w="720" w:type="dxa"/>
            <w:tcBorders>
              <w:top w:val="single" w:sz="12" w:space="0" w:color="auto"/>
              <w:bottom w:val="single" w:sz="12" w:space="0" w:color="auto"/>
            </w:tcBorders>
          </w:tcPr>
          <w:p w14:paraId="41909F26" w14:textId="77777777" w:rsidR="00044D5B" w:rsidRPr="00392E88" w:rsidRDefault="00044D5B">
            <w:pPr>
              <w:spacing w:before="180" w:after="180"/>
              <w:ind w:right="-29"/>
              <w:jc w:val="center"/>
              <w:rPr>
                <w:noProof/>
                <w:sz w:val="18"/>
                <w:szCs w:val="18"/>
              </w:rPr>
            </w:pPr>
          </w:p>
        </w:tc>
        <w:tc>
          <w:tcPr>
            <w:tcW w:w="540" w:type="dxa"/>
            <w:tcBorders>
              <w:top w:val="single" w:sz="12" w:space="0" w:color="auto"/>
              <w:bottom w:val="single" w:sz="12" w:space="0" w:color="auto"/>
            </w:tcBorders>
          </w:tcPr>
          <w:p w14:paraId="6436455A" w14:textId="77777777" w:rsidR="00044D5B" w:rsidRPr="00392E88" w:rsidRDefault="00044D5B">
            <w:pPr>
              <w:spacing w:before="180" w:after="180"/>
              <w:ind w:right="-29"/>
              <w:jc w:val="center"/>
              <w:rPr>
                <w:noProof/>
                <w:sz w:val="18"/>
                <w:szCs w:val="18"/>
              </w:rPr>
            </w:pPr>
          </w:p>
        </w:tc>
        <w:tc>
          <w:tcPr>
            <w:tcW w:w="648" w:type="dxa"/>
            <w:tcBorders>
              <w:top w:val="single" w:sz="12" w:space="0" w:color="auto"/>
              <w:bottom w:val="single" w:sz="12" w:space="0" w:color="auto"/>
            </w:tcBorders>
          </w:tcPr>
          <w:p w14:paraId="110F71A7" w14:textId="77777777" w:rsidR="00044D5B" w:rsidRPr="00392E88" w:rsidRDefault="00044D5B">
            <w:pPr>
              <w:spacing w:before="180" w:after="180"/>
              <w:ind w:right="-29"/>
              <w:jc w:val="center"/>
              <w:rPr>
                <w:noProof/>
                <w:sz w:val="18"/>
                <w:szCs w:val="18"/>
              </w:rPr>
            </w:pPr>
          </w:p>
        </w:tc>
        <w:tc>
          <w:tcPr>
            <w:tcW w:w="432" w:type="dxa"/>
            <w:tcBorders>
              <w:top w:val="single" w:sz="12" w:space="0" w:color="auto"/>
              <w:bottom w:val="single" w:sz="12" w:space="0" w:color="auto"/>
            </w:tcBorders>
          </w:tcPr>
          <w:p w14:paraId="1887D2FC" w14:textId="77777777" w:rsidR="00044D5B" w:rsidRPr="00392E88" w:rsidRDefault="00044D5B">
            <w:pPr>
              <w:spacing w:before="180" w:after="180"/>
              <w:ind w:right="-29"/>
              <w:jc w:val="center"/>
              <w:rPr>
                <w:noProof/>
                <w:sz w:val="18"/>
                <w:szCs w:val="18"/>
              </w:rPr>
            </w:pPr>
          </w:p>
        </w:tc>
        <w:tc>
          <w:tcPr>
            <w:tcW w:w="720" w:type="dxa"/>
            <w:tcBorders>
              <w:top w:val="single" w:sz="12" w:space="0" w:color="auto"/>
              <w:bottom w:val="single" w:sz="12" w:space="0" w:color="auto"/>
            </w:tcBorders>
          </w:tcPr>
          <w:p w14:paraId="2DB5D3AE" w14:textId="77777777" w:rsidR="00044D5B" w:rsidRPr="00392E88" w:rsidRDefault="00044D5B">
            <w:pPr>
              <w:spacing w:before="180" w:after="180"/>
              <w:ind w:right="-29"/>
              <w:jc w:val="center"/>
              <w:rPr>
                <w:noProof/>
                <w:sz w:val="18"/>
                <w:szCs w:val="18"/>
              </w:rPr>
            </w:pPr>
          </w:p>
        </w:tc>
        <w:tc>
          <w:tcPr>
            <w:tcW w:w="540" w:type="dxa"/>
            <w:tcBorders>
              <w:top w:val="single" w:sz="12" w:space="0" w:color="auto"/>
              <w:bottom w:val="single" w:sz="12" w:space="0" w:color="auto"/>
            </w:tcBorders>
          </w:tcPr>
          <w:p w14:paraId="338694A7" w14:textId="77777777" w:rsidR="00044D5B" w:rsidRPr="00392E88" w:rsidRDefault="00044D5B">
            <w:pPr>
              <w:spacing w:before="180" w:after="180"/>
              <w:ind w:right="-29"/>
              <w:jc w:val="center"/>
              <w:rPr>
                <w:noProof/>
                <w:sz w:val="18"/>
                <w:szCs w:val="18"/>
              </w:rPr>
            </w:pPr>
          </w:p>
        </w:tc>
        <w:tc>
          <w:tcPr>
            <w:tcW w:w="720" w:type="dxa"/>
            <w:tcBorders>
              <w:top w:val="single" w:sz="12" w:space="0" w:color="auto"/>
              <w:bottom w:val="single" w:sz="12" w:space="0" w:color="auto"/>
            </w:tcBorders>
          </w:tcPr>
          <w:p w14:paraId="4D01875C" w14:textId="77777777" w:rsidR="00044D5B" w:rsidRPr="00392E88" w:rsidRDefault="00044D5B">
            <w:pPr>
              <w:spacing w:before="180" w:after="180"/>
              <w:ind w:right="-29"/>
              <w:jc w:val="center"/>
              <w:rPr>
                <w:noProof/>
                <w:sz w:val="18"/>
                <w:szCs w:val="18"/>
              </w:rPr>
            </w:pPr>
          </w:p>
        </w:tc>
        <w:tc>
          <w:tcPr>
            <w:tcW w:w="720" w:type="dxa"/>
            <w:tcBorders>
              <w:top w:val="single" w:sz="12" w:space="0" w:color="auto"/>
              <w:bottom w:val="single" w:sz="12" w:space="0" w:color="auto"/>
            </w:tcBorders>
          </w:tcPr>
          <w:p w14:paraId="4EB2B335" w14:textId="77777777" w:rsidR="00044D5B" w:rsidRPr="00392E88" w:rsidRDefault="00044D5B">
            <w:pPr>
              <w:spacing w:before="180" w:after="180"/>
              <w:ind w:right="-29"/>
              <w:jc w:val="center"/>
              <w:rPr>
                <w:noProof/>
                <w:sz w:val="18"/>
                <w:szCs w:val="18"/>
              </w:rPr>
            </w:pPr>
          </w:p>
        </w:tc>
        <w:tc>
          <w:tcPr>
            <w:tcW w:w="900" w:type="dxa"/>
            <w:tcBorders>
              <w:top w:val="single" w:sz="12" w:space="0" w:color="auto"/>
              <w:bottom w:val="single" w:sz="12" w:space="0" w:color="auto"/>
              <w:right w:val="single" w:sz="12" w:space="0" w:color="auto"/>
            </w:tcBorders>
          </w:tcPr>
          <w:p w14:paraId="3891C97A" w14:textId="77777777" w:rsidR="00044D5B" w:rsidRPr="00392E88" w:rsidRDefault="00044D5B">
            <w:pPr>
              <w:spacing w:before="180" w:after="180"/>
              <w:ind w:right="-29"/>
              <w:jc w:val="center"/>
              <w:rPr>
                <w:noProof/>
                <w:sz w:val="18"/>
                <w:szCs w:val="18"/>
              </w:rPr>
            </w:pPr>
          </w:p>
        </w:tc>
      </w:tr>
    </w:tbl>
    <w:p w14:paraId="16B4A84B" w14:textId="77777777" w:rsidR="00044D5B" w:rsidRPr="00392E88" w:rsidRDefault="00044D5B" w:rsidP="00044D5B">
      <w:pPr>
        <w:rPr>
          <w:noProof/>
        </w:rPr>
        <w:sectPr w:rsidR="00044D5B" w:rsidRPr="00392E88" w:rsidSect="00682C29">
          <w:pgSz w:w="16840" w:h="11907" w:orient="landscape" w:code="9"/>
          <w:pgMar w:top="1134" w:right="1418" w:bottom="567" w:left="1418" w:header="709" w:footer="709" w:gutter="0"/>
          <w:cols w:space="708"/>
          <w:docGrid w:linePitch="360"/>
        </w:sectPr>
      </w:pPr>
    </w:p>
    <w:p w14:paraId="2BA90EC1" w14:textId="77777777" w:rsidR="00044D5B" w:rsidRPr="00392E88" w:rsidRDefault="00044D5B" w:rsidP="00044D5B">
      <w:pPr>
        <w:pStyle w:val="ManualHeading3"/>
        <w:rPr>
          <w:bCs/>
          <w:noProof/>
          <w:szCs w:val="24"/>
        </w:rPr>
      </w:pPr>
      <w:r w:rsidRPr="00392E88">
        <w:t>3.2.3.</w:t>
      </w:r>
      <w:r w:rsidRPr="00392E88">
        <w:tab/>
        <w:t xml:space="preserve">Podsumowanie szacunkowego wpływu na środki administracyjne </w:t>
      </w:r>
    </w:p>
    <w:p w14:paraId="0FA7BCDC" w14:textId="69B405F7" w:rsidR="00044D5B" w:rsidRPr="00392E88" w:rsidRDefault="00044D5B" w:rsidP="00044D5B">
      <w:pPr>
        <w:pStyle w:val="ListDash1"/>
        <w:rPr>
          <w:noProof/>
        </w:rPr>
      </w:pPr>
      <w:r w:rsidRPr="00392E88">
        <w:rPr>
          <w:rFonts w:ascii="Wingdings" w:hAnsi="Wingdings"/>
        </w:rPr>
        <w:t>¨</w:t>
      </w:r>
      <w:r w:rsidRPr="00392E88">
        <w:tab/>
        <w:t>Wniosek/inicjatywa nie wiąże się</w:t>
      </w:r>
      <w:r w:rsidR="006E6446" w:rsidRPr="00392E88">
        <w:t xml:space="preserve"> z</w:t>
      </w:r>
      <w:r w:rsidR="006E6446">
        <w:t> </w:t>
      </w:r>
      <w:r w:rsidR="006E6446" w:rsidRPr="00392E88">
        <w:t>kon</w:t>
      </w:r>
      <w:r w:rsidRPr="00392E88">
        <w:t xml:space="preserve">iecznością wykorzystania środków administracyjnych </w:t>
      </w:r>
    </w:p>
    <w:p w14:paraId="310506FC" w14:textId="2FF2CF2B" w:rsidR="00044D5B" w:rsidRPr="00392E88" w:rsidRDefault="00044D5B" w:rsidP="00044D5B">
      <w:pPr>
        <w:pStyle w:val="ListDash1"/>
        <w:rPr>
          <w:noProof/>
        </w:rPr>
      </w:pPr>
      <w:r w:rsidRPr="00392E88">
        <w:rPr>
          <w:rFonts w:ascii="Wingdings" w:hAnsi="Wingdings"/>
        </w:rPr>
        <w:t>¨</w:t>
      </w:r>
      <w:r w:rsidRPr="00392E88">
        <w:tab/>
        <w:t>Wniosek/inicjatywa wiąże się</w:t>
      </w:r>
      <w:r w:rsidR="006E6446" w:rsidRPr="00392E88">
        <w:t xml:space="preserve"> z</w:t>
      </w:r>
      <w:r w:rsidR="006E6446">
        <w:t> </w:t>
      </w:r>
      <w:r w:rsidR="006E6446" w:rsidRPr="00392E88">
        <w:t>kon</w:t>
      </w:r>
      <w:r w:rsidRPr="00392E88">
        <w:t>iecznością wykorzystania środków administracyjnych, jak określono poniżej</w:t>
      </w:r>
    </w:p>
    <w:p w14:paraId="28E9BAD4" w14:textId="70BABCCE" w:rsidR="00044D5B" w:rsidRPr="00392E88" w:rsidRDefault="00044D5B" w:rsidP="00044D5B">
      <w:pPr>
        <w:pStyle w:val="ManualHeading3"/>
      </w:pPr>
      <w:r w:rsidRPr="00392E88">
        <w:t>3.2.3.1. Środki</w:t>
      </w:r>
      <w:r w:rsidR="006E6446" w:rsidRPr="00392E88">
        <w:t xml:space="preserve"> z</w:t>
      </w:r>
      <w:r w:rsidR="006E6446">
        <w:t> </w:t>
      </w:r>
      <w:r w:rsidR="006E6446" w:rsidRPr="00392E88">
        <w:t>uch</w:t>
      </w:r>
      <w:r w:rsidRPr="00392E88">
        <w:t>walonego budżetu</w:t>
      </w:r>
    </w:p>
    <w:tbl>
      <w:tblPr>
        <w:tblW w:w="5000" w:type="pct"/>
        <w:tblInd w:w="-118" w:type="dxa"/>
        <w:tblCellMar>
          <w:left w:w="0" w:type="dxa"/>
          <w:right w:w="0" w:type="dxa"/>
        </w:tblCellMar>
        <w:tblLook w:val="04A0" w:firstRow="1" w:lastRow="0" w:firstColumn="1" w:lastColumn="0" w:noHBand="0" w:noVBand="1"/>
      </w:tblPr>
      <w:tblGrid>
        <w:gridCol w:w="3940"/>
        <w:gridCol w:w="1006"/>
        <w:gridCol w:w="1006"/>
        <w:gridCol w:w="1006"/>
        <w:gridCol w:w="1006"/>
        <w:gridCol w:w="1129"/>
      </w:tblGrid>
      <w:tr w:rsidR="00B55C7B" w:rsidRPr="00392E88" w14:paraId="1AD92186" w14:textId="77777777">
        <w:trPr>
          <w:trHeight w:val="300"/>
        </w:trPr>
        <w:tc>
          <w:tcPr>
            <w:tcW w:w="2167" w:type="pct"/>
            <w:vMerge w:val="restart"/>
            <w:tcBorders>
              <w:top w:val="single" w:sz="8" w:space="0" w:color="auto"/>
              <w:left w:val="single" w:sz="8" w:space="0" w:color="auto"/>
              <w:bottom w:val="single" w:sz="8" w:space="0" w:color="auto"/>
              <w:right w:val="single" w:sz="8" w:space="0" w:color="auto"/>
            </w:tcBorders>
            <w:vAlign w:val="center"/>
            <w:hideMark/>
          </w:tcPr>
          <w:p w14:paraId="29B12338" w14:textId="77777777" w:rsidR="00044D5B" w:rsidRPr="00392E88" w:rsidRDefault="00044D5B">
            <w:pPr>
              <w:spacing w:before="0" w:after="0"/>
              <w:jc w:val="center"/>
              <w:rPr>
                <w:b/>
                <w:bCs/>
                <w:color w:val="000000"/>
                <w:sz w:val="18"/>
                <w:szCs w:val="18"/>
              </w:rPr>
            </w:pPr>
            <w:r w:rsidRPr="00392E88">
              <w:rPr>
                <w:b/>
                <w:color w:val="000000"/>
                <w:sz w:val="18"/>
              </w:rPr>
              <w:t>ZATWIERDZONE ŚRODKI</w:t>
            </w:r>
          </w:p>
        </w:tc>
        <w:tc>
          <w:tcPr>
            <w:tcW w:w="553" w:type="pct"/>
            <w:tcBorders>
              <w:top w:val="single" w:sz="8" w:space="0" w:color="auto"/>
              <w:left w:val="nil"/>
              <w:bottom w:val="single" w:sz="8" w:space="0" w:color="auto"/>
              <w:right w:val="single" w:sz="8" w:space="0" w:color="auto"/>
            </w:tcBorders>
            <w:vAlign w:val="center"/>
            <w:hideMark/>
          </w:tcPr>
          <w:p w14:paraId="0BA0EAC5" w14:textId="77777777" w:rsidR="00044D5B" w:rsidRPr="00392E88" w:rsidRDefault="00044D5B">
            <w:pPr>
              <w:spacing w:before="0" w:after="0"/>
              <w:jc w:val="center"/>
              <w:rPr>
                <w:color w:val="000000"/>
                <w:sz w:val="18"/>
                <w:szCs w:val="18"/>
              </w:rPr>
            </w:pPr>
            <w:r w:rsidRPr="00392E88">
              <w:rPr>
                <w:color w:val="000000"/>
                <w:sz w:val="18"/>
              </w:rPr>
              <w:t>Rok</w:t>
            </w:r>
          </w:p>
        </w:tc>
        <w:tc>
          <w:tcPr>
            <w:tcW w:w="553" w:type="pct"/>
            <w:tcBorders>
              <w:top w:val="single" w:sz="8" w:space="0" w:color="auto"/>
              <w:left w:val="nil"/>
              <w:bottom w:val="single" w:sz="8" w:space="0" w:color="auto"/>
              <w:right w:val="single" w:sz="8" w:space="0" w:color="auto"/>
            </w:tcBorders>
            <w:vAlign w:val="center"/>
            <w:hideMark/>
          </w:tcPr>
          <w:p w14:paraId="375B4FB9" w14:textId="77777777" w:rsidR="00044D5B" w:rsidRPr="00392E88" w:rsidRDefault="00044D5B">
            <w:pPr>
              <w:spacing w:before="0" w:after="0"/>
              <w:jc w:val="center"/>
              <w:rPr>
                <w:color w:val="000000"/>
                <w:sz w:val="18"/>
                <w:szCs w:val="18"/>
              </w:rPr>
            </w:pPr>
            <w:r w:rsidRPr="00392E88">
              <w:rPr>
                <w:color w:val="000000"/>
                <w:sz w:val="18"/>
              </w:rPr>
              <w:t>Rok</w:t>
            </w:r>
          </w:p>
        </w:tc>
        <w:tc>
          <w:tcPr>
            <w:tcW w:w="553" w:type="pct"/>
            <w:tcBorders>
              <w:top w:val="single" w:sz="8" w:space="0" w:color="auto"/>
              <w:left w:val="nil"/>
              <w:bottom w:val="single" w:sz="8" w:space="0" w:color="auto"/>
              <w:right w:val="single" w:sz="8" w:space="0" w:color="auto"/>
            </w:tcBorders>
            <w:vAlign w:val="center"/>
            <w:hideMark/>
          </w:tcPr>
          <w:p w14:paraId="450E42F9" w14:textId="77777777" w:rsidR="00044D5B" w:rsidRPr="00392E88" w:rsidRDefault="00044D5B">
            <w:pPr>
              <w:spacing w:before="0" w:after="0"/>
              <w:jc w:val="center"/>
              <w:rPr>
                <w:color w:val="000000"/>
                <w:sz w:val="18"/>
                <w:szCs w:val="18"/>
              </w:rPr>
            </w:pPr>
            <w:r w:rsidRPr="00392E88">
              <w:rPr>
                <w:color w:val="000000"/>
                <w:sz w:val="18"/>
              </w:rPr>
              <w:t>Rok</w:t>
            </w:r>
          </w:p>
        </w:tc>
        <w:tc>
          <w:tcPr>
            <w:tcW w:w="553" w:type="pct"/>
            <w:tcBorders>
              <w:top w:val="single" w:sz="8" w:space="0" w:color="auto"/>
              <w:left w:val="nil"/>
              <w:bottom w:val="single" w:sz="8" w:space="0" w:color="auto"/>
              <w:right w:val="single" w:sz="8" w:space="0" w:color="auto"/>
            </w:tcBorders>
            <w:vAlign w:val="center"/>
            <w:hideMark/>
          </w:tcPr>
          <w:p w14:paraId="4F2C3155" w14:textId="77777777" w:rsidR="00044D5B" w:rsidRPr="00392E88" w:rsidRDefault="00044D5B">
            <w:pPr>
              <w:spacing w:before="0" w:after="0"/>
              <w:jc w:val="center"/>
              <w:rPr>
                <w:color w:val="000000"/>
                <w:sz w:val="18"/>
                <w:szCs w:val="18"/>
              </w:rPr>
            </w:pPr>
            <w:r w:rsidRPr="00392E88">
              <w:rPr>
                <w:color w:val="000000"/>
                <w:sz w:val="18"/>
              </w:rPr>
              <w:t>Rok</w:t>
            </w:r>
          </w:p>
        </w:tc>
        <w:tc>
          <w:tcPr>
            <w:tcW w:w="622" w:type="pct"/>
            <w:vMerge w:val="restart"/>
            <w:tcBorders>
              <w:top w:val="single" w:sz="8" w:space="0" w:color="auto"/>
              <w:left w:val="single" w:sz="8" w:space="0" w:color="auto"/>
              <w:bottom w:val="single" w:sz="8" w:space="0" w:color="auto"/>
              <w:right w:val="single" w:sz="8" w:space="0" w:color="auto"/>
            </w:tcBorders>
            <w:vAlign w:val="center"/>
            <w:hideMark/>
          </w:tcPr>
          <w:p w14:paraId="6D6D72C7" w14:textId="77777777" w:rsidR="00044D5B" w:rsidRPr="00392E88" w:rsidRDefault="00044D5B">
            <w:pPr>
              <w:spacing w:before="0" w:after="0"/>
              <w:jc w:val="center"/>
              <w:rPr>
                <w:b/>
                <w:bCs/>
                <w:color w:val="000000"/>
                <w:sz w:val="18"/>
                <w:szCs w:val="18"/>
              </w:rPr>
            </w:pPr>
            <w:r w:rsidRPr="00392E88">
              <w:rPr>
                <w:b/>
                <w:color w:val="000000"/>
                <w:sz w:val="18"/>
              </w:rPr>
              <w:t>OGÓŁEM 2021–2027</w:t>
            </w:r>
          </w:p>
        </w:tc>
      </w:tr>
      <w:tr w:rsidR="00470A36" w:rsidRPr="00392E88" w14:paraId="1AF6E8AA" w14:textId="77777777">
        <w:trPr>
          <w:trHeight w:val="300"/>
        </w:trPr>
        <w:tc>
          <w:tcPr>
            <w:tcW w:w="2167" w:type="pct"/>
            <w:vMerge/>
            <w:tcBorders>
              <w:top w:val="single" w:sz="8" w:space="0" w:color="auto"/>
              <w:left w:val="single" w:sz="8" w:space="0" w:color="auto"/>
              <w:bottom w:val="single" w:sz="8" w:space="0" w:color="auto"/>
              <w:right w:val="single" w:sz="8" w:space="0" w:color="auto"/>
            </w:tcBorders>
            <w:vAlign w:val="center"/>
            <w:hideMark/>
          </w:tcPr>
          <w:p w14:paraId="16E7D472" w14:textId="77777777" w:rsidR="00044D5B" w:rsidRPr="00392E88" w:rsidRDefault="00044D5B">
            <w:pPr>
              <w:spacing w:before="0" w:after="0"/>
              <w:jc w:val="left"/>
              <w:rPr>
                <w:b/>
                <w:bCs/>
                <w:color w:val="000000"/>
                <w:sz w:val="18"/>
                <w:szCs w:val="18"/>
                <w:lang w:eastAsia="en-IE"/>
              </w:rPr>
            </w:pPr>
          </w:p>
        </w:tc>
        <w:tc>
          <w:tcPr>
            <w:tcW w:w="553" w:type="pct"/>
            <w:tcBorders>
              <w:top w:val="nil"/>
              <w:left w:val="nil"/>
              <w:bottom w:val="single" w:sz="8" w:space="0" w:color="auto"/>
              <w:right w:val="single" w:sz="8" w:space="0" w:color="auto"/>
            </w:tcBorders>
            <w:vAlign w:val="center"/>
            <w:hideMark/>
          </w:tcPr>
          <w:p w14:paraId="56CDC6D2" w14:textId="77777777" w:rsidR="00044D5B" w:rsidRPr="00392E88" w:rsidRDefault="00044D5B">
            <w:pPr>
              <w:spacing w:before="0" w:after="0"/>
              <w:jc w:val="center"/>
              <w:rPr>
                <w:b/>
                <w:bCs/>
                <w:color w:val="000000"/>
                <w:sz w:val="18"/>
                <w:szCs w:val="18"/>
              </w:rPr>
            </w:pPr>
            <w:r w:rsidRPr="00392E88">
              <w:rPr>
                <w:b/>
                <w:color w:val="000000"/>
                <w:sz w:val="18"/>
              </w:rPr>
              <w:t>2024</w:t>
            </w:r>
          </w:p>
        </w:tc>
        <w:tc>
          <w:tcPr>
            <w:tcW w:w="553" w:type="pct"/>
            <w:tcBorders>
              <w:top w:val="nil"/>
              <w:left w:val="nil"/>
              <w:bottom w:val="single" w:sz="8" w:space="0" w:color="auto"/>
              <w:right w:val="single" w:sz="8" w:space="0" w:color="auto"/>
            </w:tcBorders>
            <w:vAlign w:val="center"/>
            <w:hideMark/>
          </w:tcPr>
          <w:p w14:paraId="2F5142FA" w14:textId="77777777" w:rsidR="00044D5B" w:rsidRPr="00392E88" w:rsidRDefault="00044D5B">
            <w:pPr>
              <w:spacing w:before="0" w:after="0"/>
              <w:jc w:val="center"/>
              <w:rPr>
                <w:b/>
                <w:bCs/>
                <w:color w:val="000000"/>
                <w:sz w:val="18"/>
                <w:szCs w:val="18"/>
              </w:rPr>
            </w:pPr>
            <w:r w:rsidRPr="00392E88">
              <w:rPr>
                <w:b/>
                <w:color w:val="000000"/>
                <w:sz w:val="18"/>
              </w:rPr>
              <w:t>2025</w:t>
            </w:r>
          </w:p>
        </w:tc>
        <w:tc>
          <w:tcPr>
            <w:tcW w:w="553" w:type="pct"/>
            <w:tcBorders>
              <w:top w:val="nil"/>
              <w:left w:val="nil"/>
              <w:bottom w:val="single" w:sz="8" w:space="0" w:color="auto"/>
              <w:right w:val="single" w:sz="8" w:space="0" w:color="auto"/>
            </w:tcBorders>
            <w:vAlign w:val="center"/>
            <w:hideMark/>
          </w:tcPr>
          <w:p w14:paraId="5B833EBF" w14:textId="77777777" w:rsidR="00044D5B" w:rsidRPr="00392E88" w:rsidRDefault="00044D5B">
            <w:pPr>
              <w:spacing w:before="0" w:after="0"/>
              <w:jc w:val="center"/>
              <w:rPr>
                <w:b/>
                <w:bCs/>
                <w:color w:val="000000"/>
                <w:sz w:val="18"/>
                <w:szCs w:val="18"/>
              </w:rPr>
            </w:pPr>
            <w:r w:rsidRPr="00392E88">
              <w:rPr>
                <w:b/>
                <w:color w:val="000000"/>
                <w:sz w:val="18"/>
              </w:rPr>
              <w:t>2026</w:t>
            </w:r>
          </w:p>
        </w:tc>
        <w:tc>
          <w:tcPr>
            <w:tcW w:w="553" w:type="pct"/>
            <w:tcBorders>
              <w:top w:val="nil"/>
              <w:left w:val="nil"/>
              <w:bottom w:val="single" w:sz="8" w:space="0" w:color="auto"/>
              <w:right w:val="single" w:sz="8" w:space="0" w:color="auto"/>
            </w:tcBorders>
            <w:vAlign w:val="center"/>
            <w:hideMark/>
          </w:tcPr>
          <w:p w14:paraId="550AFBA1" w14:textId="77777777" w:rsidR="00044D5B" w:rsidRPr="00392E88" w:rsidRDefault="00044D5B">
            <w:pPr>
              <w:spacing w:before="0" w:after="0"/>
              <w:jc w:val="center"/>
              <w:rPr>
                <w:b/>
                <w:bCs/>
                <w:color w:val="000000"/>
                <w:sz w:val="18"/>
                <w:szCs w:val="18"/>
              </w:rPr>
            </w:pPr>
            <w:r w:rsidRPr="00392E88">
              <w:rPr>
                <w:b/>
                <w:color w:val="000000"/>
                <w:sz w:val="18"/>
              </w:rPr>
              <w:t>2027</w:t>
            </w:r>
          </w:p>
        </w:tc>
        <w:tc>
          <w:tcPr>
            <w:tcW w:w="622" w:type="pct"/>
            <w:vMerge/>
            <w:tcBorders>
              <w:top w:val="single" w:sz="8" w:space="0" w:color="auto"/>
              <w:left w:val="single" w:sz="8" w:space="0" w:color="auto"/>
              <w:bottom w:val="single" w:sz="8" w:space="0" w:color="auto"/>
              <w:right w:val="single" w:sz="8" w:space="0" w:color="auto"/>
            </w:tcBorders>
            <w:vAlign w:val="center"/>
            <w:hideMark/>
          </w:tcPr>
          <w:p w14:paraId="21642BF4" w14:textId="77777777" w:rsidR="00044D5B" w:rsidRPr="00392E88" w:rsidRDefault="00044D5B">
            <w:pPr>
              <w:spacing w:before="0" w:after="0"/>
              <w:jc w:val="left"/>
              <w:rPr>
                <w:b/>
                <w:bCs/>
                <w:color w:val="000000"/>
                <w:sz w:val="18"/>
                <w:szCs w:val="18"/>
                <w:lang w:eastAsia="en-IE"/>
              </w:rPr>
            </w:pPr>
          </w:p>
        </w:tc>
      </w:tr>
      <w:tr w:rsidR="00A7536C" w:rsidRPr="00392E88" w14:paraId="3116A157" w14:textId="77777777">
        <w:trPr>
          <w:trHeight w:val="300"/>
        </w:trPr>
        <w:tc>
          <w:tcPr>
            <w:tcW w:w="5000" w:type="pct"/>
            <w:gridSpan w:val="6"/>
            <w:tcBorders>
              <w:top w:val="single" w:sz="8" w:space="0" w:color="auto"/>
              <w:left w:val="single" w:sz="8" w:space="0" w:color="auto"/>
              <w:bottom w:val="single" w:sz="8" w:space="0" w:color="auto"/>
              <w:right w:val="single" w:sz="4" w:space="0" w:color="auto"/>
            </w:tcBorders>
            <w:vAlign w:val="center"/>
            <w:hideMark/>
          </w:tcPr>
          <w:p w14:paraId="0D487E01" w14:textId="77777777" w:rsidR="00044D5B" w:rsidRPr="00392E88" w:rsidRDefault="00044D5B">
            <w:pPr>
              <w:spacing w:before="0" w:after="0"/>
              <w:jc w:val="left"/>
              <w:rPr>
                <w:b/>
                <w:bCs/>
                <w:sz w:val="16"/>
                <w:szCs w:val="16"/>
              </w:rPr>
            </w:pPr>
            <w:r w:rsidRPr="00392E88">
              <w:rPr>
                <w:b/>
                <w:sz w:val="16"/>
              </w:rPr>
              <w:t>DZIAŁ 7</w:t>
            </w:r>
          </w:p>
        </w:tc>
      </w:tr>
      <w:tr w:rsidR="00E62D64" w:rsidRPr="00392E88" w14:paraId="13D82582" w14:textId="77777777">
        <w:trPr>
          <w:trHeight w:val="300"/>
        </w:trPr>
        <w:tc>
          <w:tcPr>
            <w:tcW w:w="2167" w:type="pct"/>
            <w:tcBorders>
              <w:top w:val="nil"/>
              <w:left w:val="single" w:sz="8" w:space="0" w:color="auto"/>
              <w:bottom w:val="single" w:sz="8" w:space="0" w:color="auto"/>
              <w:right w:val="single" w:sz="8" w:space="0" w:color="auto"/>
            </w:tcBorders>
            <w:vAlign w:val="center"/>
            <w:hideMark/>
          </w:tcPr>
          <w:p w14:paraId="4C384A31" w14:textId="77777777" w:rsidR="00044D5B" w:rsidRPr="00392E88" w:rsidRDefault="00044D5B">
            <w:pPr>
              <w:spacing w:before="0" w:after="0"/>
              <w:jc w:val="left"/>
              <w:rPr>
                <w:color w:val="000000"/>
                <w:sz w:val="16"/>
                <w:szCs w:val="16"/>
              </w:rPr>
            </w:pPr>
            <w:r w:rsidRPr="00392E88">
              <w:rPr>
                <w:color w:val="000000"/>
                <w:sz w:val="16"/>
              </w:rPr>
              <w:t xml:space="preserve">Zasoby ludzkie </w:t>
            </w:r>
          </w:p>
        </w:tc>
        <w:tc>
          <w:tcPr>
            <w:tcW w:w="553" w:type="pct"/>
            <w:tcBorders>
              <w:top w:val="nil"/>
              <w:left w:val="nil"/>
              <w:bottom w:val="single" w:sz="8" w:space="0" w:color="auto"/>
              <w:right w:val="single" w:sz="8" w:space="0" w:color="auto"/>
            </w:tcBorders>
            <w:shd w:val="clear" w:color="000000" w:fill="D9D9D9"/>
            <w:vAlign w:val="center"/>
            <w:hideMark/>
          </w:tcPr>
          <w:p w14:paraId="26830D7F" w14:textId="77777777" w:rsidR="00044D5B" w:rsidRPr="00392E88" w:rsidRDefault="00044D5B">
            <w:pPr>
              <w:spacing w:before="0" w:after="0"/>
              <w:jc w:val="right"/>
              <w:rPr>
                <w:color w:val="000000"/>
                <w:sz w:val="16"/>
                <w:szCs w:val="16"/>
              </w:rPr>
            </w:pPr>
            <w:r w:rsidRPr="00392E88">
              <w:rPr>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0CA996DC" w14:textId="77777777" w:rsidR="00044D5B" w:rsidRPr="00392E88" w:rsidRDefault="00044D5B">
            <w:pPr>
              <w:spacing w:before="0" w:after="0"/>
              <w:jc w:val="right"/>
              <w:rPr>
                <w:color w:val="000000"/>
                <w:sz w:val="16"/>
                <w:szCs w:val="16"/>
              </w:rPr>
            </w:pPr>
            <w:r w:rsidRPr="00392E88">
              <w:rPr>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610D219A" w14:textId="77777777" w:rsidR="00044D5B" w:rsidRPr="00392E88" w:rsidRDefault="00044D5B">
            <w:pPr>
              <w:spacing w:before="0" w:after="0"/>
              <w:jc w:val="right"/>
              <w:rPr>
                <w:color w:val="000000"/>
                <w:sz w:val="16"/>
                <w:szCs w:val="16"/>
              </w:rPr>
            </w:pPr>
            <w:r w:rsidRPr="00392E88">
              <w:rPr>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4FCF0D2D" w14:textId="77777777" w:rsidR="00044D5B" w:rsidRPr="00392E88" w:rsidRDefault="00044D5B">
            <w:pPr>
              <w:spacing w:before="0" w:after="0"/>
              <w:jc w:val="right"/>
              <w:rPr>
                <w:color w:val="000000"/>
                <w:sz w:val="16"/>
                <w:szCs w:val="16"/>
              </w:rPr>
            </w:pPr>
            <w:r w:rsidRPr="00392E88">
              <w:rPr>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14:paraId="55395754" w14:textId="77777777" w:rsidR="00044D5B" w:rsidRPr="00392E88" w:rsidRDefault="00044D5B">
            <w:pPr>
              <w:spacing w:before="0" w:after="0"/>
              <w:jc w:val="right"/>
              <w:rPr>
                <w:b/>
                <w:bCs/>
                <w:color w:val="000000"/>
                <w:sz w:val="16"/>
                <w:szCs w:val="16"/>
              </w:rPr>
            </w:pPr>
            <w:r w:rsidRPr="00392E88">
              <w:rPr>
                <w:b/>
                <w:color w:val="000000"/>
                <w:sz w:val="16"/>
              </w:rPr>
              <w:t>0,000</w:t>
            </w:r>
          </w:p>
        </w:tc>
      </w:tr>
      <w:tr w:rsidR="00E62D64" w:rsidRPr="00392E88" w14:paraId="5A42DD56" w14:textId="77777777">
        <w:trPr>
          <w:trHeight w:val="300"/>
        </w:trPr>
        <w:tc>
          <w:tcPr>
            <w:tcW w:w="2167" w:type="pct"/>
            <w:tcBorders>
              <w:top w:val="nil"/>
              <w:left w:val="single" w:sz="8" w:space="0" w:color="auto"/>
              <w:bottom w:val="single" w:sz="8" w:space="0" w:color="auto"/>
              <w:right w:val="single" w:sz="8" w:space="0" w:color="auto"/>
            </w:tcBorders>
            <w:vAlign w:val="center"/>
            <w:hideMark/>
          </w:tcPr>
          <w:p w14:paraId="6623A698" w14:textId="77777777" w:rsidR="00044D5B" w:rsidRPr="00392E88" w:rsidRDefault="00044D5B">
            <w:pPr>
              <w:spacing w:before="0" w:after="0"/>
              <w:jc w:val="left"/>
              <w:rPr>
                <w:color w:val="000000"/>
                <w:sz w:val="16"/>
                <w:szCs w:val="16"/>
              </w:rPr>
            </w:pPr>
            <w:r w:rsidRPr="00392E88">
              <w:rPr>
                <w:color w:val="000000"/>
                <w:sz w:val="16"/>
              </w:rPr>
              <w:t xml:space="preserve">Pozostałe wydatki administracyjne </w:t>
            </w:r>
          </w:p>
        </w:tc>
        <w:tc>
          <w:tcPr>
            <w:tcW w:w="553" w:type="pct"/>
            <w:tcBorders>
              <w:top w:val="nil"/>
              <w:left w:val="nil"/>
              <w:bottom w:val="single" w:sz="8" w:space="0" w:color="auto"/>
              <w:right w:val="single" w:sz="8" w:space="0" w:color="auto"/>
            </w:tcBorders>
            <w:shd w:val="clear" w:color="000000" w:fill="D9D9D9"/>
            <w:vAlign w:val="center"/>
            <w:hideMark/>
          </w:tcPr>
          <w:p w14:paraId="00BB022B" w14:textId="77777777" w:rsidR="00044D5B" w:rsidRPr="00392E88" w:rsidRDefault="00044D5B">
            <w:pPr>
              <w:spacing w:before="0" w:after="0"/>
              <w:jc w:val="right"/>
              <w:rPr>
                <w:color w:val="000000"/>
                <w:sz w:val="16"/>
                <w:szCs w:val="16"/>
              </w:rPr>
            </w:pPr>
            <w:r w:rsidRPr="00392E88">
              <w:rPr>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214EE325" w14:textId="77777777" w:rsidR="00044D5B" w:rsidRPr="00392E88" w:rsidRDefault="00044D5B">
            <w:pPr>
              <w:spacing w:before="0" w:after="0"/>
              <w:jc w:val="right"/>
              <w:rPr>
                <w:color w:val="000000"/>
                <w:sz w:val="16"/>
                <w:szCs w:val="16"/>
              </w:rPr>
            </w:pPr>
            <w:r w:rsidRPr="00392E88">
              <w:rPr>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6A6CCCC5" w14:textId="77777777" w:rsidR="00044D5B" w:rsidRPr="00392E88" w:rsidRDefault="00044D5B">
            <w:pPr>
              <w:spacing w:before="0" w:after="0"/>
              <w:jc w:val="right"/>
              <w:rPr>
                <w:color w:val="000000"/>
                <w:sz w:val="16"/>
                <w:szCs w:val="16"/>
              </w:rPr>
            </w:pPr>
            <w:r w:rsidRPr="00392E88">
              <w:rPr>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6AF88E19" w14:textId="77777777" w:rsidR="00044D5B" w:rsidRPr="00392E88" w:rsidRDefault="00044D5B">
            <w:pPr>
              <w:spacing w:before="0" w:after="0"/>
              <w:jc w:val="right"/>
              <w:rPr>
                <w:color w:val="000000"/>
                <w:sz w:val="16"/>
                <w:szCs w:val="16"/>
              </w:rPr>
            </w:pPr>
            <w:r w:rsidRPr="00392E88">
              <w:rPr>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14:paraId="5C704639" w14:textId="77777777" w:rsidR="00044D5B" w:rsidRPr="00392E88" w:rsidRDefault="00044D5B">
            <w:pPr>
              <w:spacing w:before="0" w:after="0"/>
              <w:jc w:val="right"/>
              <w:rPr>
                <w:b/>
                <w:bCs/>
                <w:color w:val="000000"/>
                <w:sz w:val="16"/>
                <w:szCs w:val="16"/>
              </w:rPr>
            </w:pPr>
            <w:r w:rsidRPr="00392E88">
              <w:rPr>
                <w:b/>
                <w:color w:val="000000"/>
                <w:sz w:val="16"/>
              </w:rPr>
              <w:t>0,000</w:t>
            </w:r>
          </w:p>
        </w:tc>
      </w:tr>
      <w:tr w:rsidR="00504273" w:rsidRPr="00392E88" w14:paraId="4B35EBD1" w14:textId="77777777">
        <w:trPr>
          <w:trHeight w:val="300"/>
        </w:trPr>
        <w:tc>
          <w:tcPr>
            <w:tcW w:w="2167" w:type="pct"/>
            <w:tcBorders>
              <w:top w:val="nil"/>
              <w:left w:val="single" w:sz="8" w:space="0" w:color="auto"/>
              <w:bottom w:val="single" w:sz="8" w:space="0" w:color="auto"/>
              <w:right w:val="single" w:sz="8" w:space="0" w:color="auto"/>
            </w:tcBorders>
            <w:shd w:val="clear" w:color="000000" w:fill="CCCCCC"/>
            <w:vAlign w:val="center"/>
            <w:hideMark/>
          </w:tcPr>
          <w:p w14:paraId="523203E8" w14:textId="77777777" w:rsidR="00044D5B" w:rsidRPr="00392E88" w:rsidRDefault="00044D5B">
            <w:pPr>
              <w:spacing w:before="0" w:after="0"/>
              <w:jc w:val="center"/>
              <w:rPr>
                <w:b/>
                <w:bCs/>
                <w:color w:val="000000"/>
                <w:sz w:val="16"/>
                <w:szCs w:val="16"/>
              </w:rPr>
            </w:pPr>
            <w:r w:rsidRPr="00392E88">
              <w:rPr>
                <w:b/>
                <w:color w:val="000000"/>
                <w:sz w:val="16"/>
              </w:rPr>
              <w:t>Suma cząstkowa DZIAŁ 7</w:t>
            </w:r>
          </w:p>
        </w:tc>
        <w:tc>
          <w:tcPr>
            <w:tcW w:w="553" w:type="pct"/>
            <w:tcBorders>
              <w:top w:val="nil"/>
              <w:left w:val="nil"/>
              <w:bottom w:val="single" w:sz="8" w:space="0" w:color="auto"/>
              <w:right w:val="single" w:sz="8" w:space="0" w:color="auto"/>
            </w:tcBorders>
            <w:shd w:val="clear" w:color="000000" w:fill="D9D9D9"/>
            <w:vAlign w:val="center"/>
            <w:hideMark/>
          </w:tcPr>
          <w:p w14:paraId="63CCC90D" w14:textId="77777777" w:rsidR="00044D5B" w:rsidRPr="00392E88" w:rsidRDefault="00044D5B">
            <w:pPr>
              <w:spacing w:before="0" w:after="0"/>
              <w:jc w:val="right"/>
              <w:rPr>
                <w:b/>
                <w:bCs/>
                <w:color w:val="000000"/>
                <w:sz w:val="16"/>
                <w:szCs w:val="16"/>
              </w:rPr>
            </w:pPr>
            <w:r w:rsidRPr="00392E88">
              <w:rPr>
                <w:b/>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4249D588" w14:textId="77777777" w:rsidR="00044D5B" w:rsidRPr="00392E88" w:rsidRDefault="00044D5B">
            <w:pPr>
              <w:spacing w:before="0" w:after="0"/>
              <w:jc w:val="right"/>
              <w:rPr>
                <w:b/>
                <w:bCs/>
                <w:color w:val="000000"/>
                <w:sz w:val="16"/>
                <w:szCs w:val="16"/>
              </w:rPr>
            </w:pPr>
            <w:r w:rsidRPr="00392E88">
              <w:rPr>
                <w:b/>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2591AC22" w14:textId="77777777" w:rsidR="00044D5B" w:rsidRPr="00392E88" w:rsidRDefault="00044D5B">
            <w:pPr>
              <w:spacing w:before="0" w:after="0"/>
              <w:jc w:val="right"/>
              <w:rPr>
                <w:b/>
                <w:bCs/>
                <w:color w:val="000000"/>
                <w:sz w:val="16"/>
                <w:szCs w:val="16"/>
              </w:rPr>
            </w:pPr>
            <w:r w:rsidRPr="00392E88">
              <w:rPr>
                <w:b/>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60855324" w14:textId="77777777" w:rsidR="00044D5B" w:rsidRPr="00392E88" w:rsidRDefault="00044D5B">
            <w:pPr>
              <w:spacing w:before="0" w:after="0"/>
              <w:jc w:val="right"/>
              <w:rPr>
                <w:b/>
                <w:bCs/>
                <w:color w:val="000000"/>
                <w:sz w:val="16"/>
                <w:szCs w:val="16"/>
              </w:rPr>
            </w:pPr>
            <w:r w:rsidRPr="00392E88">
              <w:rPr>
                <w:b/>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14:paraId="75D36E28" w14:textId="77777777" w:rsidR="00044D5B" w:rsidRPr="00392E88" w:rsidRDefault="00044D5B">
            <w:pPr>
              <w:spacing w:before="0" w:after="0"/>
              <w:jc w:val="right"/>
              <w:rPr>
                <w:b/>
                <w:bCs/>
                <w:color w:val="000000"/>
                <w:sz w:val="16"/>
                <w:szCs w:val="16"/>
              </w:rPr>
            </w:pPr>
            <w:r w:rsidRPr="00392E88">
              <w:rPr>
                <w:b/>
                <w:color w:val="000000"/>
                <w:sz w:val="16"/>
              </w:rPr>
              <w:t>0,000</w:t>
            </w:r>
          </w:p>
        </w:tc>
      </w:tr>
      <w:tr w:rsidR="00A7536C" w:rsidRPr="00392E88" w14:paraId="3A69477F" w14:textId="77777777">
        <w:trPr>
          <w:trHeight w:val="300"/>
        </w:trPr>
        <w:tc>
          <w:tcPr>
            <w:tcW w:w="5000" w:type="pct"/>
            <w:gridSpan w:val="6"/>
            <w:tcBorders>
              <w:top w:val="single" w:sz="8" w:space="0" w:color="auto"/>
              <w:left w:val="single" w:sz="8" w:space="0" w:color="auto"/>
              <w:bottom w:val="single" w:sz="8" w:space="0" w:color="auto"/>
              <w:right w:val="single" w:sz="4" w:space="0" w:color="auto"/>
            </w:tcBorders>
            <w:vAlign w:val="center"/>
            <w:hideMark/>
          </w:tcPr>
          <w:p w14:paraId="6EA4915B" w14:textId="77777777" w:rsidR="00044D5B" w:rsidRPr="00392E88" w:rsidRDefault="00044D5B">
            <w:pPr>
              <w:spacing w:before="0" w:after="0"/>
              <w:jc w:val="left"/>
              <w:rPr>
                <w:b/>
                <w:bCs/>
                <w:sz w:val="16"/>
                <w:szCs w:val="16"/>
              </w:rPr>
            </w:pPr>
            <w:r w:rsidRPr="00392E88">
              <w:rPr>
                <w:b/>
                <w:sz w:val="16"/>
              </w:rPr>
              <w:t>Poza DZIAŁEM 7</w:t>
            </w:r>
          </w:p>
        </w:tc>
      </w:tr>
      <w:tr w:rsidR="00E62D64" w:rsidRPr="00392E88" w14:paraId="361996F2" w14:textId="77777777">
        <w:trPr>
          <w:trHeight w:val="300"/>
        </w:trPr>
        <w:tc>
          <w:tcPr>
            <w:tcW w:w="2167" w:type="pct"/>
            <w:tcBorders>
              <w:top w:val="nil"/>
              <w:left w:val="single" w:sz="8" w:space="0" w:color="auto"/>
              <w:bottom w:val="single" w:sz="8" w:space="0" w:color="auto"/>
              <w:right w:val="single" w:sz="8" w:space="0" w:color="auto"/>
            </w:tcBorders>
            <w:vAlign w:val="center"/>
            <w:hideMark/>
          </w:tcPr>
          <w:p w14:paraId="73E89B4A" w14:textId="77777777" w:rsidR="00044D5B" w:rsidRPr="00392E88" w:rsidRDefault="00044D5B">
            <w:pPr>
              <w:spacing w:before="0" w:after="0"/>
              <w:jc w:val="left"/>
              <w:rPr>
                <w:color w:val="000000"/>
                <w:sz w:val="16"/>
                <w:szCs w:val="16"/>
              </w:rPr>
            </w:pPr>
            <w:r w:rsidRPr="00392E88">
              <w:rPr>
                <w:color w:val="000000"/>
                <w:sz w:val="16"/>
              </w:rPr>
              <w:t xml:space="preserve">Zasoby ludzkie </w:t>
            </w:r>
          </w:p>
        </w:tc>
        <w:tc>
          <w:tcPr>
            <w:tcW w:w="553" w:type="pct"/>
            <w:tcBorders>
              <w:top w:val="nil"/>
              <w:left w:val="nil"/>
              <w:bottom w:val="single" w:sz="8" w:space="0" w:color="auto"/>
              <w:right w:val="single" w:sz="8" w:space="0" w:color="auto"/>
            </w:tcBorders>
            <w:shd w:val="clear" w:color="000000" w:fill="D9D9D9"/>
            <w:vAlign w:val="center"/>
            <w:hideMark/>
          </w:tcPr>
          <w:p w14:paraId="3D9A6303" w14:textId="77777777" w:rsidR="00044D5B" w:rsidRPr="00392E88" w:rsidRDefault="00044D5B">
            <w:pPr>
              <w:spacing w:before="0" w:after="0"/>
              <w:jc w:val="right"/>
              <w:rPr>
                <w:color w:val="000000"/>
                <w:sz w:val="16"/>
                <w:szCs w:val="16"/>
              </w:rPr>
            </w:pPr>
            <w:r w:rsidRPr="00392E88">
              <w:rPr>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66D5511D" w14:textId="77777777" w:rsidR="00044D5B" w:rsidRPr="00392E88" w:rsidRDefault="00044D5B">
            <w:pPr>
              <w:spacing w:before="0" w:after="0"/>
              <w:jc w:val="right"/>
              <w:rPr>
                <w:color w:val="000000"/>
                <w:sz w:val="16"/>
                <w:szCs w:val="16"/>
              </w:rPr>
            </w:pPr>
            <w:r w:rsidRPr="00392E88">
              <w:rPr>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2095BC60" w14:textId="77777777" w:rsidR="00044D5B" w:rsidRPr="00392E88" w:rsidRDefault="00044D5B">
            <w:pPr>
              <w:spacing w:before="0" w:after="0"/>
              <w:jc w:val="right"/>
              <w:rPr>
                <w:color w:val="000000"/>
                <w:sz w:val="16"/>
                <w:szCs w:val="16"/>
              </w:rPr>
            </w:pPr>
            <w:r w:rsidRPr="00392E88">
              <w:rPr>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2B686580" w14:textId="77777777" w:rsidR="00044D5B" w:rsidRPr="00392E88" w:rsidRDefault="00044D5B">
            <w:pPr>
              <w:spacing w:before="0" w:after="0"/>
              <w:jc w:val="right"/>
              <w:rPr>
                <w:color w:val="000000"/>
                <w:sz w:val="16"/>
                <w:szCs w:val="16"/>
              </w:rPr>
            </w:pPr>
            <w:r w:rsidRPr="00392E88">
              <w:rPr>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14:paraId="5F0AA2EF" w14:textId="77777777" w:rsidR="00044D5B" w:rsidRPr="00392E88" w:rsidRDefault="00044D5B">
            <w:pPr>
              <w:spacing w:before="0" w:after="0"/>
              <w:jc w:val="right"/>
              <w:rPr>
                <w:b/>
                <w:bCs/>
                <w:color w:val="000000"/>
                <w:sz w:val="16"/>
                <w:szCs w:val="16"/>
              </w:rPr>
            </w:pPr>
            <w:r w:rsidRPr="00392E88">
              <w:rPr>
                <w:b/>
                <w:color w:val="000000"/>
                <w:sz w:val="16"/>
              </w:rPr>
              <w:t>0,000</w:t>
            </w:r>
          </w:p>
        </w:tc>
      </w:tr>
      <w:tr w:rsidR="00E62D64" w:rsidRPr="00392E88" w14:paraId="43E95697" w14:textId="77777777">
        <w:trPr>
          <w:trHeight w:val="300"/>
        </w:trPr>
        <w:tc>
          <w:tcPr>
            <w:tcW w:w="2167" w:type="pct"/>
            <w:tcBorders>
              <w:top w:val="nil"/>
              <w:left w:val="single" w:sz="8" w:space="0" w:color="auto"/>
              <w:bottom w:val="single" w:sz="8" w:space="0" w:color="auto"/>
              <w:right w:val="single" w:sz="8" w:space="0" w:color="auto"/>
            </w:tcBorders>
            <w:vAlign w:val="center"/>
            <w:hideMark/>
          </w:tcPr>
          <w:p w14:paraId="0EC09FE1" w14:textId="37CDC95E" w:rsidR="00044D5B" w:rsidRPr="00392E88" w:rsidRDefault="00044D5B">
            <w:pPr>
              <w:spacing w:before="0" w:after="0"/>
              <w:jc w:val="left"/>
              <w:rPr>
                <w:color w:val="000000"/>
                <w:sz w:val="16"/>
                <w:szCs w:val="16"/>
              </w:rPr>
            </w:pPr>
            <w:r w:rsidRPr="00392E88">
              <w:rPr>
                <w:color w:val="000000"/>
                <w:sz w:val="16"/>
              </w:rPr>
              <w:t>Pozostałe wydatki</w:t>
            </w:r>
            <w:r w:rsidR="006E6446" w:rsidRPr="00392E88">
              <w:rPr>
                <w:color w:val="000000"/>
                <w:sz w:val="16"/>
              </w:rPr>
              <w:t xml:space="preserve"> o</w:t>
            </w:r>
            <w:r w:rsidR="006E6446">
              <w:rPr>
                <w:color w:val="000000"/>
                <w:sz w:val="16"/>
              </w:rPr>
              <w:t> </w:t>
            </w:r>
            <w:r w:rsidR="006E6446" w:rsidRPr="00392E88">
              <w:rPr>
                <w:color w:val="000000"/>
                <w:sz w:val="16"/>
              </w:rPr>
              <w:t>cha</w:t>
            </w:r>
            <w:r w:rsidRPr="00392E88">
              <w:rPr>
                <w:color w:val="000000"/>
                <w:sz w:val="16"/>
              </w:rPr>
              <w:t>rakterze administracyjnym</w:t>
            </w:r>
          </w:p>
        </w:tc>
        <w:tc>
          <w:tcPr>
            <w:tcW w:w="553" w:type="pct"/>
            <w:tcBorders>
              <w:top w:val="nil"/>
              <w:left w:val="nil"/>
              <w:bottom w:val="single" w:sz="8" w:space="0" w:color="auto"/>
              <w:right w:val="single" w:sz="8" w:space="0" w:color="auto"/>
            </w:tcBorders>
            <w:shd w:val="clear" w:color="000000" w:fill="D9D9D9"/>
            <w:vAlign w:val="center"/>
            <w:hideMark/>
          </w:tcPr>
          <w:p w14:paraId="0EC225AD" w14:textId="77777777" w:rsidR="00044D5B" w:rsidRPr="00392E88" w:rsidRDefault="00044D5B">
            <w:pPr>
              <w:spacing w:before="0" w:after="0"/>
              <w:jc w:val="right"/>
              <w:rPr>
                <w:color w:val="000000"/>
                <w:sz w:val="16"/>
                <w:szCs w:val="16"/>
              </w:rPr>
            </w:pPr>
            <w:r w:rsidRPr="00392E88">
              <w:rPr>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492C1465" w14:textId="77777777" w:rsidR="00044D5B" w:rsidRPr="00392E88" w:rsidRDefault="00044D5B">
            <w:pPr>
              <w:spacing w:before="0" w:after="0"/>
              <w:jc w:val="right"/>
              <w:rPr>
                <w:color w:val="000000"/>
                <w:sz w:val="16"/>
                <w:szCs w:val="16"/>
              </w:rPr>
            </w:pPr>
            <w:r w:rsidRPr="00392E88">
              <w:rPr>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3B174986" w14:textId="77777777" w:rsidR="00044D5B" w:rsidRPr="00392E88" w:rsidRDefault="00044D5B">
            <w:pPr>
              <w:spacing w:before="0" w:after="0"/>
              <w:jc w:val="right"/>
              <w:rPr>
                <w:color w:val="000000"/>
                <w:sz w:val="16"/>
                <w:szCs w:val="16"/>
              </w:rPr>
            </w:pPr>
            <w:r w:rsidRPr="00392E88">
              <w:rPr>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076C6390" w14:textId="77777777" w:rsidR="00044D5B" w:rsidRPr="00392E88" w:rsidRDefault="00044D5B">
            <w:pPr>
              <w:spacing w:before="0" w:after="0"/>
              <w:jc w:val="right"/>
              <w:rPr>
                <w:color w:val="000000"/>
                <w:sz w:val="16"/>
                <w:szCs w:val="16"/>
              </w:rPr>
            </w:pPr>
            <w:r w:rsidRPr="00392E88">
              <w:rPr>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14:paraId="64344288" w14:textId="77777777" w:rsidR="00044D5B" w:rsidRPr="00392E88" w:rsidRDefault="00044D5B">
            <w:pPr>
              <w:spacing w:before="0" w:after="0"/>
              <w:jc w:val="right"/>
              <w:rPr>
                <w:b/>
                <w:bCs/>
                <w:color w:val="000000"/>
                <w:sz w:val="16"/>
                <w:szCs w:val="16"/>
              </w:rPr>
            </w:pPr>
            <w:r w:rsidRPr="00392E88">
              <w:rPr>
                <w:b/>
                <w:color w:val="000000"/>
                <w:sz w:val="16"/>
              </w:rPr>
              <w:t>0,000</w:t>
            </w:r>
          </w:p>
        </w:tc>
      </w:tr>
      <w:tr w:rsidR="00504273" w:rsidRPr="00392E88" w14:paraId="05D24D74" w14:textId="77777777">
        <w:trPr>
          <w:trHeight w:val="300"/>
        </w:trPr>
        <w:tc>
          <w:tcPr>
            <w:tcW w:w="2167" w:type="pct"/>
            <w:tcBorders>
              <w:top w:val="nil"/>
              <w:left w:val="single" w:sz="8" w:space="0" w:color="auto"/>
              <w:bottom w:val="single" w:sz="8" w:space="0" w:color="auto"/>
              <w:right w:val="single" w:sz="8" w:space="0" w:color="auto"/>
            </w:tcBorders>
            <w:shd w:val="clear" w:color="000000" w:fill="CCCCCC"/>
            <w:vAlign w:val="center"/>
            <w:hideMark/>
          </w:tcPr>
          <w:p w14:paraId="69ABAA02" w14:textId="77777777" w:rsidR="00044D5B" w:rsidRPr="00392E88" w:rsidRDefault="00044D5B">
            <w:pPr>
              <w:spacing w:before="0" w:after="0"/>
              <w:jc w:val="center"/>
              <w:rPr>
                <w:b/>
                <w:bCs/>
                <w:color w:val="000000"/>
                <w:sz w:val="16"/>
                <w:szCs w:val="16"/>
              </w:rPr>
            </w:pPr>
            <w:r w:rsidRPr="00392E88">
              <w:rPr>
                <w:b/>
                <w:color w:val="000000"/>
                <w:sz w:val="16"/>
              </w:rPr>
              <w:t>Suma cząstkowa poza DZIAŁEM 7</w:t>
            </w:r>
          </w:p>
        </w:tc>
        <w:tc>
          <w:tcPr>
            <w:tcW w:w="553" w:type="pct"/>
            <w:tcBorders>
              <w:top w:val="nil"/>
              <w:left w:val="nil"/>
              <w:bottom w:val="single" w:sz="8" w:space="0" w:color="auto"/>
              <w:right w:val="single" w:sz="8" w:space="0" w:color="auto"/>
            </w:tcBorders>
            <w:shd w:val="clear" w:color="000000" w:fill="D9D9D9"/>
            <w:vAlign w:val="center"/>
            <w:hideMark/>
          </w:tcPr>
          <w:p w14:paraId="79A5EFAE" w14:textId="77777777" w:rsidR="00044D5B" w:rsidRPr="00392E88" w:rsidRDefault="00044D5B">
            <w:pPr>
              <w:spacing w:before="0" w:after="0"/>
              <w:jc w:val="right"/>
              <w:rPr>
                <w:b/>
                <w:bCs/>
                <w:color w:val="000000"/>
                <w:sz w:val="16"/>
                <w:szCs w:val="16"/>
              </w:rPr>
            </w:pPr>
            <w:r w:rsidRPr="00392E88">
              <w:rPr>
                <w:b/>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6DE8E80F" w14:textId="77777777" w:rsidR="00044D5B" w:rsidRPr="00392E88" w:rsidRDefault="00044D5B">
            <w:pPr>
              <w:spacing w:before="0" w:after="0"/>
              <w:jc w:val="right"/>
              <w:rPr>
                <w:b/>
                <w:bCs/>
                <w:color w:val="000000"/>
                <w:sz w:val="16"/>
                <w:szCs w:val="16"/>
              </w:rPr>
            </w:pPr>
            <w:r w:rsidRPr="00392E88">
              <w:rPr>
                <w:b/>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1B1B7F69" w14:textId="77777777" w:rsidR="00044D5B" w:rsidRPr="00392E88" w:rsidRDefault="00044D5B">
            <w:pPr>
              <w:spacing w:before="0" w:after="0"/>
              <w:jc w:val="right"/>
              <w:rPr>
                <w:b/>
                <w:bCs/>
                <w:color w:val="000000"/>
                <w:sz w:val="16"/>
                <w:szCs w:val="16"/>
              </w:rPr>
            </w:pPr>
            <w:r w:rsidRPr="00392E88">
              <w:rPr>
                <w:b/>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08F3B1A5" w14:textId="77777777" w:rsidR="00044D5B" w:rsidRPr="00392E88" w:rsidRDefault="00044D5B">
            <w:pPr>
              <w:spacing w:before="0" w:after="0"/>
              <w:jc w:val="right"/>
              <w:rPr>
                <w:b/>
                <w:bCs/>
                <w:color w:val="000000"/>
                <w:sz w:val="16"/>
                <w:szCs w:val="16"/>
              </w:rPr>
            </w:pPr>
            <w:r w:rsidRPr="00392E88">
              <w:rPr>
                <w:b/>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14:paraId="07F2B9E5" w14:textId="77777777" w:rsidR="00044D5B" w:rsidRPr="00392E88" w:rsidRDefault="00044D5B">
            <w:pPr>
              <w:spacing w:before="0" w:after="0"/>
              <w:jc w:val="right"/>
              <w:rPr>
                <w:b/>
                <w:bCs/>
                <w:color w:val="000000"/>
                <w:sz w:val="16"/>
                <w:szCs w:val="16"/>
              </w:rPr>
            </w:pPr>
            <w:r w:rsidRPr="00392E88">
              <w:rPr>
                <w:b/>
                <w:color w:val="000000"/>
                <w:sz w:val="16"/>
              </w:rPr>
              <w:t>0,000</w:t>
            </w:r>
          </w:p>
        </w:tc>
      </w:tr>
      <w:tr w:rsidR="00A7536C" w:rsidRPr="00392E88" w14:paraId="32A94646" w14:textId="77777777">
        <w:trPr>
          <w:trHeight w:val="300"/>
        </w:trPr>
        <w:tc>
          <w:tcPr>
            <w:tcW w:w="5000" w:type="pct"/>
            <w:gridSpan w:val="6"/>
            <w:tcBorders>
              <w:top w:val="single" w:sz="8" w:space="0" w:color="auto"/>
              <w:left w:val="single" w:sz="8" w:space="0" w:color="auto"/>
              <w:bottom w:val="single" w:sz="8" w:space="0" w:color="auto"/>
              <w:right w:val="single" w:sz="4" w:space="0" w:color="auto"/>
            </w:tcBorders>
            <w:noWrap/>
            <w:vAlign w:val="center"/>
            <w:hideMark/>
          </w:tcPr>
          <w:p w14:paraId="6FF204A6" w14:textId="77777777" w:rsidR="00044D5B" w:rsidRPr="00392E88" w:rsidRDefault="00044D5B">
            <w:pPr>
              <w:spacing w:before="0" w:after="0"/>
              <w:jc w:val="center"/>
              <w:rPr>
                <w:color w:val="000000"/>
                <w:sz w:val="16"/>
                <w:szCs w:val="16"/>
              </w:rPr>
            </w:pPr>
            <w:r w:rsidRPr="00392E88">
              <w:rPr>
                <w:color w:val="000000"/>
                <w:sz w:val="16"/>
              </w:rPr>
              <w:t xml:space="preserve"> </w:t>
            </w:r>
          </w:p>
        </w:tc>
      </w:tr>
      <w:tr w:rsidR="00E62D64" w:rsidRPr="00392E88" w14:paraId="1B5AA2D6" w14:textId="77777777">
        <w:trPr>
          <w:trHeight w:val="300"/>
        </w:trPr>
        <w:tc>
          <w:tcPr>
            <w:tcW w:w="2167" w:type="pct"/>
            <w:tcBorders>
              <w:top w:val="nil"/>
              <w:left w:val="single" w:sz="8" w:space="0" w:color="auto"/>
              <w:bottom w:val="single" w:sz="8" w:space="0" w:color="auto"/>
              <w:right w:val="single" w:sz="8" w:space="0" w:color="auto"/>
            </w:tcBorders>
            <w:vAlign w:val="center"/>
            <w:hideMark/>
          </w:tcPr>
          <w:p w14:paraId="22F9A98C" w14:textId="77777777" w:rsidR="00044D5B" w:rsidRPr="00392E88" w:rsidRDefault="00044D5B">
            <w:pPr>
              <w:spacing w:before="0" w:after="0"/>
              <w:jc w:val="center"/>
              <w:rPr>
                <w:b/>
                <w:bCs/>
                <w:color w:val="000000"/>
                <w:sz w:val="16"/>
                <w:szCs w:val="16"/>
              </w:rPr>
            </w:pPr>
            <w:r w:rsidRPr="00392E88">
              <w:rPr>
                <w:b/>
                <w:color w:val="000000"/>
                <w:sz w:val="16"/>
              </w:rPr>
              <w:t>OGÓŁEM</w:t>
            </w:r>
          </w:p>
        </w:tc>
        <w:tc>
          <w:tcPr>
            <w:tcW w:w="553" w:type="pct"/>
            <w:tcBorders>
              <w:top w:val="nil"/>
              <w:left w:val="nil"/>
              <w:bottom w:val="single" w:sz="8" w:space="0" w:color="auto"/>
              <w:right w:val="single" w:sz="8" w:space="0" w:color="auto"/>
            </w:tcBorders>
            <w:shd w:val="clear" w:color="000000" w:fill="D9D9D9"/>
            <w:vAlign w:val="center"/>
            <w:hideMark/>
          </w:tcPr>
          <w:p w14:paraId="5EEA2996" w14:textId="77777777" w:rsidR="00044D5B" w:rsidRPr="00392E88" w:rsidRDefault="00044D5B">
            <w:pPr>
              <w:spacing w:before="0" w:after="0"/>
              <w:jc w:val="right"/>
              <w:rPr>
                <w:b/>
                <w:bCs/>
                <w:color w:val="000000"/>
                <w:sz w:val="16"/>
                <w:szCs w:val="16"/>
              </w:rPr>
            </w:pPr>
            <w:r w:rsidRPr="00392E88">
              <w:rPr>
                <w:b/>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584A5581" w14:textId="77777777" w:rsidR="00044D5B" w:rsidRPr="00392E88" w:rsidRDefault="00044D5B">
            <w:pPr>
              <w:spacing w:before="0" w:after="0"/>
              <w:jc w:val="right"/>
              <w:rPr>
                <w:b/>
                <w:bCs/>
                <w:color w:val="000000"/>
                <w:sz w:val="16"/>
                <w:szCs w:val="16"/>
              </w:rPr>
            </w:pPr>
            <w:r w:rsidRPr="00392E88">
              <w:rPr>
                <w:b/>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36BF12ED" w14:textId="77777777" w:rsidR="00044D5B" w:rsidRPr="00392E88" w:rsidRDefault="00044D5B">
            <w:pPr>
              <w:spacing w:before="0" w:after="0"/>
              <w:jc w:val="right"/>
              <w:rPr>
                <w:b/>
                <w:bCs/>
                <w:color w:val="000000"/>
                <w:sz w:val="16"/>
                <w:szCs w:val="16"/>
              </w:rPr>
            </w:pPr>
            <w:r w:rsidRPr="00392E88">
              <w:rPr>
                <w:b/>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5B45D880" w14:textId="77777777" w:rsidR="00044D5B" w:rsidRPr="00392E88" w:rsidRDefault="00044D5B">
            <w:pPr>
              <w:spacing w:before="0" w:after="0"/>
              <w:jc w:val="right"/>
              <w:rPr>
                <w:b/>
                <w:bCs/>
                <w:color w:val="000000"/>
                <w:sz w:val="16"/>
                <w:szCs w:val="16"/>
              </w:rPr>
            </w:pPr>
            <w:r w:rsidRPr="00392E88">
              <w:rPr>
                <w:b/>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14:paraId="218F8E81" w14:textId="77777777" w:rsidR="00044D5B" w:rsidRPr="00392E88" w:rsidRDefault="00044D5B">
            <w:pPr>
              <w:spacing w:before="0" w:after="0"/>
              <w:jc w:val="right"/>
              <w:rPr>
                <w:b/>
                <w:bCs/>
                <w:color w:val="000000"/>
                <w:sz w:val="16"/>
                <w:szCs w:val="16"/>
              </w:rPr>
            </w:pPr>
            <w:r w:rsidRPr="00392E88">
              <w:rPr>
                <w:b/>
                <w:color w:val="000000"/>
                <w:sz w:val="16"/>
              </w:rPr>
              <w:t>0,000</w:t>
            </w:r>
          </w:p>
        </w:tc>
      </w:tr>
    </w:tbl>
    <w:p w14:paraId="7F25B984" w14:textId="62F6D1A7" w:rsidR="00044D5B" w:rsidRPr="00392E88" w:rsidRDefault="00044D5B" w:rsidP="00044D5B">
      <w:pPr>
        <w:pStyle w:val="ManualHeading3"/>
      </w:pPr>
      <w:r w:rsidRPr="00392E88">
        <w:t>3.2.3.2.</w:t>
      </w:r>
      <w:r w:rsidRPr="00392E88">
        <w:tab/>
        <w:t>Środki</w:t>
      </w:r>
      <w:r w:rsidR="006E6446" w:rsidRPr="00392E88">
        <w:t xml:space="preserve"> z</w:t>
      </w:r>
      <w:r w:rsidR="006E6446">
        <w:t> </w:t>
      </w:r>
      <w:r w:rsidR="006E6446" w:rsidRPr="00392E88">
        <w:t>zew</w:t>
      </w:r>
      <w:r w:rsidRPr="00392E88">
        <w:t>nętrznych dochodów przeznaczonych na określony cel</w:t>
      </w:r>
    </w:p>
    <w:tbl>
      <w:tblPr>
        <w:tblW w:w="5000" w:type="pct"/>
        <w:tblInd w:w="-118" w:type="dxa"/>
        <w:tblCellMar>
          <w:left w:w="0" w:type="dxa"/>
          <w:right w:w="0" w:type="dxa"/>
        </w:tblCellMar>
        <w:tblLook w:val="04A0" w:firstRow="1" w:lastRow="0" w:firstColumn="1" w:lastColumn="0" w:noHBand="0" w:noVBand="1"/>
      </w:tblPr>
      <w:tblGrid>
        <w:gridCol w:w="3938"/>
        <w:gridCol w:w="1006"/>
        <w:gridCol w:w="1006"/>
        <w:gridCol w:w="1006"/>
        <w:gridCol w:w="1006"/>
        <w:gridCol w:w="1131"/>
      </w:tblGrid>
      <w:tr w:rsidR="00E6355E" w:rsidRPr="00392E88" w14:paraId="2B0CDFFE" w14:textId="77777777">
        <w:trPr>
          <w:trHeight w:val="300"/>
        </w:trPr>
        <w:tc>
          <w:tcPr>
            <w:tcW w:w="2166" w:type="pct"/>
            <w:vMerge w:val="restart"/>
            <w:tcBorders>
              <w:top w:val="single" w:sz="8" w:space="0" w:color="auto"/>
              <w:left w:val="single" w:sz="8" w:space="0" w:color="auto"/>
              <w:bottom w:val="single" w:sz="8" w:space="0" w:color="000000"/>
              <w:right w:val="single" w:sz="8" w:space="0" w:color="auto"/>
            </w:tcBorders>
            <w:vAlign w:val="center"/>
            <w:hideMark/>
          </w:tcPr>
          <w:p w14:paraId="654AEB9F" w14:textId="77777777" w:rsidR="00044D5B" w:rsidRPr="00392E88" w:rsidRDefault="00044D5B">
            <w:pPr>
              <w:spacing w:before="0" w:after="0"/>
              <w:jc w:val="center"/>
              <w:rPr>
                <w:b/>
                <w:bCs/>
                <w:color w:val="000000"/>
                <w:sz w:val="18"/>
                <w:szCs w:val="18"/>
              </w:rPr>
            </w:pPr>
            <w:r w:rsidRPr="00392E88">
              <w:rPr>
                <w:b/>
                <w:color w:val="000000"/>
                <w:sz w:val="18"/>
              </w:rPr>
              <w:t>ZEWNĘTRZNE DOCHODY PRZEZNACZONE NA OKREŚLONY CEL</w:t>
            </w:r>
          </w:p>
        </w:tc>
        <w:tc>
          <w:tcPr>
            <w:tcW w:w="553" w:type="pct"/>
            <w:tcBorders>
              <w:top w:val="single" w:sz="8" w:space="0" w:color="auto"/>
              <w:left w:val="nil"/>
              <w:bottom w:val="nil"/>
              <w:right w:val="single" w:sz="8" w:space="0" w:color="auto"/>
            </w:tcBorders>
            <w:vAlign w:val="center"/>
            <w:hideMark/>
          </w:tcPr>
          <w:p w14:paraId="063E178B" w14:textId="77777777" w:rsidR="00044D5B" w:rsidRPr="00392E88" w:rsidRDefault="00044D5B">
            <w:pPr>
              <w:spacing w:before="0" w:after="0"/>
              <w:jc w:val="center"/>
              <w:rPr>
                <w:color w:val="000000"/>
                <w:sz w:val="18"/>
                <w:szCs w:val="18"/>
              </w:rPr>
            </w:pPr>
            <w:r w:rsidRPr="00392E88">
              <w:rPr>
                <w:color w:val="000000"/>
                <w:sz w:val="18"/>
              </w:rPr>
              <w:t>Rok</w:t>
            </w:r>
          </w:p>
        </w:tc>
        <w:tc>
          <w:tcPr>
            <w:tcW w:w="553" w:type="pct"/>
            <w:tcBorders>
              <w:top w:val="single" w:sz="8" w:space="0" w:color="auto"/>
              <w:left w:val="nil"/>
              <w:bottom w:val="nil"/>
              <w:right w:val="single" w:sz="8" w:space="0" w:color="auto"/>
            </w:tcBorders>
            <w:vAlign w:val="center"/>
            <w:hideMark/>
          </w:tcPr>
          <w:p w14:paraId="1719EEBD" w14:textId="77777777" w:rsidR="00044D5B" w:rsidRPr="00392E88" w:rsidRDefault="00044D5B">
            <w:pPr>
              <w:spacing w:before="0" w:after="0"/>
              <w:jc w:val="center"/>
              <w:rPr>
                <w:color w:val="000000"/>
                <w:sz w:val="18"/>
                <w:szCs w:val="18"/>
              </w:rPr>
            </w:pPr>
            <w:r w:rsidRPr="00392E88">
              <w:rPr>
                <w:color w:val="000000"/>
                <w:sz w:val="18"/>
              </w:rPr>
              <w:t>Rok</w:t>
            </w:r>
          </w:p>
        </w:tc>
        <w:tc>
          <w:tcPr>
            <w:tcW w:w="553" w:type="pct"/>
            <w:tcBorders>
              <w:top w:val="single" w:sz="8" w:space="0" w:color="auto"/>
              <w:left w:val="nil"/>
              <w:bottom w:val="nil"/>
              <w:right w:val="single" w:sz="8" w:space="0" w:color="auto"/>
            </w:tcBorders>
            <w:vAlign w:val="center"/>
            <w:hideMark/>
          </w:tcPr>
          <w:p w14:paraId="58E887D3" w14:textId="77777777" w:rsidR="00044D5B" w:rsidRPr="00392E88" w:rsidRDefault="00044D5B">
            <w:pPr>
              <w:spacing w:before="0" w:after="0"/>
              <w:jc w:val="center"/>
              <w:rPr>
                <w:color w:val="000000"/>
                <w:sz w:val="18"/>
                <w:szCs w:val="18"/>
              </w:rPr>
            </w:pPr>
            <w:r w:rsidRPr="00392E88">
              <w:rPr>
                <w:color w:val="000000"/>
                <w:sz w:val="18"/>
              </w:rPr>
              <w:t>Rok</w:t>
            </w:r>
          </w:p>
        </w:tc>
        <w:tc>
          <w:tcPr>
            <w:tcW w:w="553" w:type="pct"/>
            <w:tcBorders>
              <w:top w:val="single" w:sz="8" w:space="0" w:color="auto"/>
              <w:left w:val="nil"/>
              <w:bottom w:val="nil"/>
              <w:right w:val="single" w:sz="8" w:space="0" w:color="auto"/>
            </w:tcBorders>
            <w:vAlign w:val="center"/>
            <w:hideMark/>
          </w:tcPr>
          <w:p w14:paraId="6BAF8836" w14:textId="77777777" w:rsidR="00044D5B" w:rsidRPr="00392E88" w:rsidRDefault="00044D5B">
            <w:pPr>
              <w:spacing w:before="0" w:after="0"/>
              <w:jc w:val="center"/>
              <w:rPr>
                <w:color w:val="000000"/>
                <w:sz w:val="18"/>
                <w:szCs w:val="18"/>
              </w:rPr>
            </w:pPr>
            <w:r w:rsidRPr="00392E88">
              <w:rPr>
                <w:color w:val="000000"/>
                <w:sz w:val="18"/>
              </w:rPr>
              <w:t>Rok</w:t>
            </w:r>
          </w:p>
        </w:tc>
        <w:tc>
          <w:tcPr>
            <w:tcW w:w="622" w:type="pct"/>
            <w:vMerge w:val="restart"/>
            <w:tcBorders>
              <w:top w:val="single" w:sz="8" w:space="0" w:color="auto"/>
              <w:left w:val="single" w:sz="8" w:space="0" w:color="auto"/>
              <w:bottom w:val="single" w:sz="8" w:space="0" w:color="000000"/>
              <w:right w:val="single" w:sz="8" w:space="0" w:color="auto"/>
            </w:tcBorders>
            <w:vAlign w:val="center"/>
            <w:hideMark/>
          </w:tcPr>
          <w:p w14:paraId="4809624C" w14:textId="77777777" w:rsidR="00044D5B" w:rsidRPr="00392E88" w:rsidRDefault="00044D5B">
            <w:pPr>
              <w:spacing w:before="0" w:after="0"/>
              <w:jc w:val="center"/>
              <w:rPr>
                <w:b/>
                <w:bCs/>
                <w:color w:val="000000"/>
                <w:sz w:val="18"/>
                <w:szCs w:val="18"/>
              </w:rPr>
            </w:pPr>
            <w:r w:rsidRPr="00392E88">
              <w:rPr>
                <w:b/>
                <w:color w:val="000000"/>
                <w:sz w:val="18"/>
              </w:rPr>
              <w:t>OGÓŁEM 2021–2027</w:t>
            </w:r>
          </w:p>
        </w:tc>
      </w:tr>
      <w:tr w:rsidR="00470A36" w:rsidRPr="00392E88" w14:paraId="69F55812" w14:textId="77777777">
        <w:trPr>
          <w:trHeight w:val="300"/>
        </w:trPr>
        <w:tc>
          <w:tcPr>
            <w:tcW w:w="2166" w:type="pct"/>
            <w:vMerge/>
            <w:tcBorders>
              <w:top w:val="single" w:sz="8" w:space="0" w:color="auto"/>
              <w:left w:val="single" w:sz="8" w:space="0" w:color="auto"/>
              <w:bottom w:val="single" w:sz="8" w:space="0" w:color="auto"/>
              <w:right w:val="single" w:sz="8" w:space="0" w:color="auto"/>
            </w:tcBorders>
            <w:vAlign w:val="center"/>
            <w:hideMark/>
          </w:tcPr>
          <w:p w14:paraId="27F9D9B5" w14:textId="77777777" w:rsidR="00044D5B" w:rsidRPr="00392E88" w:rsidRDefault="00044D5B">
            <w:pPr>
              <w:spacing w:before="0" w:after="0"/>
              <w:jc w:val="left"/>
              <w:rPr>
                <w:b/>
                <w:bCs/>
                <w:color w:val="000000"/>
                <w:sz w:val="18"/>
                <w:szCs w:val="18"/>
                <w:lang w:eastAsia="en-IE"/>
              </w:rPr>
            </w:pPr>
          </w:p>
        </w:tc>
        <w:tc>
          <w:tcPr>
            <w:tcW w:w="553" w:type="pct"/>
            <w:tcBorders>
              <w:top w:val="nil"/>
              <w:left w:val="nil"/>
              <w:bottom w:val="single" w:sz="8" w:space="0" w:color="auto"/>
              <w:right w:val="single" w:sz="8" w:space="0" w:color="auto"/>
            </w:tcBorders>
            <w:vAlign w:val="center"/>
            <w:hideMark/>
          </w:tcPr>
          <w:p w14:paraId="3721C4B4" w14:textId="77777777" w:rsidR="00044D5B" w:rsidRPr="00392E88" w:rsidRDefault="00044D5B">
            <w:pPr>
              <w:spacing w:before="0" w:after="0"/>
              <w:jc w:val="center"/>
              <w:rPr>
                <w:b/>
                <w:bCs/>
                <w:color w:val="000000"/>
                <w:sz w:val="18"/>
                <w:szCs w:val="18"/>
              </w:rPr>
            </w:pPr>
            <w:r w:rsidRPr="00392E88">
              <w:rPr>
                <w:b/>
                <w:color w:val="000000"/>
                <w:sz w:val="18"/>
              </w:rPr>
              <w:t>2024</w:t>
            </w:r>
          </w:p>
        </w:tc>
        <w:tc>
          <w:tcPr>
            <w:tcW w:w="553" w:type="pct"/>
            <w:tcBorders>
              <w:top w:val="nil"/>
              <w:left w:val="nil"/>
              <w:bottom w:val="single" w:sz="8" w:space="0" w:color="auto"/>
              <w:right w:val="single" w:sz="8" w:space="0" w:color="auto"/>
            </w:tcBorders>
            <w:vAlign w:val="center"/>
            <w:hideMark/>
          </w:tcPr>
          <w:p w14:paraId="2583FFF7" w14:textId="77777777" w:rsidR="00044D5B" w:rsidRPr="00392E88" w:rsidRDefault="00044D5B">
            <w:pPr>
              <w:spacing w:before="0" w:after="0"/>
              <w:jc w:val="center"/>
              <w:rPr>
                <w:b/>
                <w:bCs/>
                <w:color w:val="000000"/>
                <w:sz w:val="18"/>
                <w:szCs w:val="18"/>
              </w:rPr>
            </w:pPr>
            <w:r w:rsidRPr="00392E88">
              <w:rPr>
                <w:b/>
                <w:color w:val="000000"/>
                <w:sz w:val="18"/>
              </w:rPr>
              <w:t>2025</w:t>
            </w:r>
          </w:p>
        </w:tc>
        <w:tc>
          <w:tcPr>
            <w:tcW w:w="553" w:type="pct"/>
            <w:tcBorders>
              <w:top w:val="nil"/>
              <w:left w:val="nil"/>
              <w:bottom w:val="single" w:sz="8" w:space="0" w:color="auto"/>
              <w:right w:val="single" w:sz="8" w:space="0" w:color="auto"/>
            </w:tcBorders>
            <w:vAlign w:val="center"/>
            <w:hideMark/>
          </w:tcPr>
          <w:p w14:paraId="53FF60A6" w14:textId="77777777" w:rsidR="00044D5B" w:rsidRPr="00392E88" w:rsidRDefault="00044D5B">
            <w:pPr>
              <w:spacing w:before="0" w:after="0"/>
              <w:jc w:val="center"/>
              <w:rPr>
                <w:b/>
                <w:bCs/>
                <w:color w:val="000000"/>
                <w:sz w:val="18"/>
                <w:szCs w:val="18"/>
              </w:rPr>
            </w:pPr>
            <w:r w:rsidRPr="00392E88">
              <w:rPr>
                <w:b/>
                <w:color w:val="000000"/>
                <w:sz w:val="18"/>
              </w:rPr>
              <w:t>2026</w:t>
            </w:r>
          </w:p>
        </w:tc>
        <w:tc>
          <w:tcPr>
            <w:tcW w:w="553" w:type="pct"/>
            <w:tcBorders>
              <w:top w:val="nil"/>
              <w:left w:val="nil"/>
              <w:bottom w:val="single" w:sz="8" w:space="0" w:color="auto"/>
              <w:right w:val="single" w:sz="8" w:space="0" w:color="auto"/>
            </w:tcBorders>
            <w:vAlign w:val="center"/>
            <w:hideMark/>
          </w:tcPr>
          <w:p w14:paraId="072BA9CF" w14:textId="77777777" w:rsidR="00044D5B" w:rsidRPr="00392E88" w:rsidRDefault="00044D5B">
            <w:pPr>
              <w:spacing w:before="0" w:after="0"/>
              <w:jc w:val="center"/>
              <w:rPr>
                <w:b/>
                <w:bCs/>
                <w:color w:val="000000"/>
                <w:sz w:val="18"/>
                <w:szCs w:val="18"/>
              </w:rPr>
            </w:pPr>
            <w:r w:rsidRPr="00392E88">
              <w:rPr>
                <w:b/>
                <w:color w:val="000000"/>
                <w:sz w:val="18"/>
              </w:rPr>
              <w:t>2027</w:t>
            </w:r>
          </w:p>
        </w:tc>
        <w:tc>
          <w:tcPr>
            <w:tcW w:w="622" w:type="pct"/>
            <w:vMerge/>
            <w:tcBorders>
              <w:top w:val="single" w:sz="8" w:space="0" w:color="auto"/>
              <w:left w:val="single" w:sz="8" w:space="0" w:color="auto"/>
              <w:bottom w:val="single" w:sz="8" w:space="0" w:color="auto"/>
              <w:right w:val="single" w:sz="8" w:space="0" w:color="auto"/>
            </w:tcBorders>
            <w:vAlign w:val="center"/>
            <w:hideMark/>
          </w:tcPr>
          <w:p w14:paraId="311E1416" w14:textId="77777777" w:rsidR="00044D5B" w:rsidRPr="00392E88" w:rsidRDefault="00044D5B">
            <w:pPr>
              <w:spacing w:before="0" w:after="0"/>
              <w:jc w:val="left"/>
              <w:rPr>
                <w:b/>
                <w:bCs/>
                <w:color w:val="000000"/>
                <w:sz w:val="18"/>
                <w:szCs w:val="18"/>
                <w:lang w:eastAsia="en-IE"/>
              </w:rPr>
            </w:pPr>
          </w:p>
        </w:tc>
      </w:tr>
      <w:tr w:rsidR="00A7536C" w:rsidRPr="00392E88" w14:paraId="3E61DE06" w14:textId="77777777">
        <w:trPr>
          <w:trHeight w:val="300"/>
        </w:trPr>
        <w:tc>
          <w:tcPr>
            <w:tcW w:w="5000" w:type="pct"/>
            <w:gridSpan w:val="6"/>
            <w:tcBorders>
              <w:top w:val="single" w:sz="8" w:space="0" w:color="auto"/>
              <w:left w:val="single" w:sz="8" w:space="0" w:color="auto"/>
              <w:bottom w:val="single" w:sz="8" w:space="0" w:color="auto"/>
              <w:right w:val="single" w:sz="4" w:space="0" w:color="auto"/>
            </w:tcBorders>
            <w:vAlign w:val="center"/>
            <w:hideMark/>
          </w:tcPr>
          <w:p w14:paraId="0440A0B4" w14:textId="77777777" w:rsidR="00044D5B" w:rsidRPr="00392E88" w:rsidRDefault="00044D5B">
            <w:pPr>
              <w:spacing w:before="0" w:after="0"/>
              <w:jc w:val="left"/>
              <w:rPr>
                <w:b/>
                <w:bCs/>
                <w:sz w:val="16"/>
                <w:szCs w:val="16"/>
              </w:rPr>
            </w:pPr>
            <w:r w:rsidRPr="00392E88">
              <w:rPr>
                <w:b/>
                <w:sz w:val="16"/>
              </w:rPr>
              <w:t>DZIAŁ 7</w:t>
            </w:r>
          </w:p>
        </w:tc>
      </w:tr>
      <w:tr w:rsidR="00E62D64" w:rsidRPr="00392E88" w14:paraId="48342D02" w14:textId="77777777">
        <w:trPr>
          <w:trHeight w:val="300"/>
        </w:trPr>
        <w:tc>
          <w:tcPr>
            <w:tcW w:w="2166" w:type="pct"/>
            <w:tcBorders>
              <w:top w:val="nil"/>
              <w:left w:val="single" w:sz="8" w:space="0" w:color="auto"/>
              <w:bottom w:val="single" w:sz="8" w:space="0" w:color="auto"/>
              <w:right w:val="single" w:sz="8" w:space="0" w:color="auto"/>
            </w:tcBorders>
            <w:vAlign w:val="center"/>
            <w:hideMark/>
          </w:tcPr>
          <w:p w14:paraId="4B8F74B4" w14:textId="77777777" w:rsidR="00044D5B" w:rsidRPr="00392E88" w:rsidRDefault="00044D5B">
            <w:pPr>
              <w:spacing w:before="0" w:after="0"/>
              <w:jc w:val="left"/>
              <w:rPr>
                <w:color w:val="000000"/>
                <w:sz w:val="16"/>
                <w:szCs w:val="16"/>
              </w:rPr>
            </w:pPr>
            <w:r w:rsidRPr="00392E88">
              <w:rPr>
                <w:color w:val="000000"/>
                <w:sz w:val="16"/>
              </w:rPr>
              <w:t xml:space="preserve">Zasoby ludzkie </w:t>
            </w:r>
          </w:p>
        </w:tc>
        <w:tc>
          <w:tcPr>
            <w:tcW w:w="553" w:type="pct"/>
            <w:tcBorders>
              <w:top w:val="nil"/>
              <w:left w:val="nil"/>
              <w:bottom w:val="single" w:sz="8" w:space="0" w:color="auto"/>
              <w:right w:val="single" w:sz="8" w:space="0" w:color="auto"/>
            </w:tcBorders>
            <w:shd w:val="clear" w:color="000000" w:fill="D9D9D9"/>
            <w:vAlign w:val="center"/>
            <w:hideMark/>
          </w:tcPr>
          <w:p w14:paraId="597D0624" w14:textId="77777777" w:rsidR="00044D5B" w:rsidRPr="00392E88" w:rsidRDefault="00044D5B">
            <w:pPr>
              <w:spacing w:before="0" w:after="0"/>
              <w:jc w:val="right"/>
              <w:rPr>
                <w:color w:val="000000"/>
                <w:sz w:val="16"/>
                <w:szCs w:val="16"/>
              </w:rPr>
            </w:pPr>
            <w:r w:rsidRPr="00392E88">
              <w:rPr>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2C616A5F" w14:textId="77777777" w:rsidR="00044D5B" w:rsidRPr="00392E88" w:rsidRDefault="00044D5B">
            <w:pPr>
              <w:spacing w:before="0" w:after="0"/>
              <w:jc w:val="right"/>
              <w:rPr>
                <w:color w:val="000000"/>
                <w:sz w:val="16"/>
                <w:szCs w:val="16"/>
              </w:rPr>
            </w:pPr>
            <w:r w:rsidRPr="00392E88">
              <w:rPr>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303A8971" w14:textId="77777777" w:rsidR="00044D5B" w:rsidRPr="00392E88" w:rsidRDefault="00044D5B">
            <w:pPr>
              <w:spacing w:before="0" w:after="0"/>
              <w:jc w:val="right"/>
              <w:rPr>
                <w:color w:val="000000"/>
                <w:sz w:val="16"/>
                <w:szCs w:val="16"/>
              </w:rPr>
            </w:pPr>
            <w:r w:rsidRPr="00392E88">
              <w:rPr>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50B7801A" w14:textId="77777777" w:rsidR="00044D5B" w:rsidRPr="00392E88" w:rsidRDefault="00044D5B">
            <w:pPr>
              <w:spacing w:before="0" w:after="0"/>
              <w:jc w:val="right"/>
              <w:rPr>
                <w:color w:val="000000"/>
                <w:sz w:val="16"/>
                <w:szCs w:val="16"/>
              </w:rPr>
            </w:pPr>
            <w:r w:rsidRPr="00392E88">
              <w:rPr>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14:paraId="2ABA4D4C" w14:textId="77777777" w:rsidR="00044D5B" w:rsidRPr="00392E88" w:rsidRDefault="00044D5B">
            <w:pPr>
              <w:spacing w:before="0" w:after="0"/>
              <w:jc w:val="right"/>
              <w:rPr>
                <w:b/>
                <w:bCs/>
                <w:color w:val="000000"/>
                <w:sz w:val="16"/>
                <w:szCs w:val="16"/>
              </w:rPr>
            </w:pPr>
            <w:r w:rsidRPr="00392E88">
              <w:rPr>
                <w:b/>
                <w:color w:val="000000"/>
                <w:sz w:val="16"/>
              </w:rPr>
              <w:t>0,000</w:t>
            </w:r>
          </w:p>
        </w:tc>
      </w:tr>
      <w:tr w:rsidR="00E62D64" w:rsidRPr="00392E88" w14:paraId="15CF0588" w14:textId="77777777">
        <w:trPr>
          <w:trHeight w:val="300"/>
        </w:trPr>
        <w:tc>
          <w:tcPr>
            <w:tcW w:w="2166" w:type="pct"/>
            <w:tcBorders>
              <w:top w:val="nil"/>
              <w:left w:val="single" w:sz="8" w:space="0" w:color="auto"/>
              <w:bottom w:val="single" w:sz="8" w:space="0" w:color="auto"/>
              <w:right w:val="single" w:sz="8" w:space="0" w:color="auto"/>
            </w:tcBorders>
            <w:vAlign w:val="center"/>
            <w:hideMark/>
          </w:tcPr>
          <w:p w14:paraId="14AF7BBF" w14:textId="77777777" w:rsidR="00044D5B" w:rsidRPr="00392E88" w:rsidRDefault="00044D5B">
            <w:pPr>
              <w:spacing w:before="0" w:after="0"/>
              <w:jc w:val="left"/>
              <w:rPr>
                <w:color w:val="000000"/>
                <w:sz w:val="16"/>
                <w:szCs w:val="16"/>
              </w:rPr>
            </w:pPr>
            <w:r w:rsidRPr="00392E88">
              <w:rPr>
                <w:color w:val="000000"/>
                <w:sz w:val="16"/>
              </w:rPr>
              <w:t xml:space="preserve">Pozostałe wydatki administracyjne </w:t>
            </w:r>
          </w:p>
        </w:tc>
        <w:tc>
          <w:tcPr>
            <w:tcW w:w="553" w:type="pct"/>
            <w:tcBorders>
              <w:top w:val="nil"/>
              <w:left w:val="nil"/>
              <w:bottom w:val="single" w:sz="8" w:space="0" w:color="auto"/>
              <w:right w:val="single" w:sz="8" w:space="0" w:color="auto"/>
            </w:tcBorders>
            <w:shd w:val="clear" w:color="000000" w:fill="D9D9D9"/>
            <w:vAlign w:val="center"/>
            <w:hideMark/>
          </w:tcPr>
          <w:p w14:paraId="2B2B15F2" w14:textId="77777777" w:rsidR="00044D5B" w:rsidRPr="00392E88" w:rsidRDefault="00044D5B">
            <w:pPr>
              <w:spacing w:before="0" w:after="0"/>
              <w:jc w:val="right"/>
              <w:rPr>
                <w:color w:val="000000"/>
                <w:sz w:val="16"/>
                <w:szCs w:val="16"/>
              </w:rPr>
            </w:pPr>
            <w:r w:rsidRPr="00392E88">
              <w:rPr>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2EF5AA4D" w14:textId="77777777" w:rsidR="00044D5B" w:rsidRPr="00392E88" w:rsidRDefault="00044D5B">
            <w:pPr>
              <w:spacing w:before="0" w:after="0"/>
              <w:jc w:val="right"/>
              <w:rPr>
                <w:color w:val="000000"/>
                <w:sz w:val="16"/>
                <w:szCs w:val="16"/>
              </w:rPr>
            </w:pPr>
            <w:r w:rsidRPr="00392E88">
              <w:rPr>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21930718" w14:textId="77777777" w:rsidR="00044D5B" w:rsidRPr="00392E88" w:rsidRDefault="00044D5B">
            <w:pPr>
              <w:spacing w:before="0" w:after="0"/>
              <w:jc w:val="right"/>
              <w:rPr>
                <w:color w:val="000000"/>
                <w:sz w:val="16"/>
                <w:szCs w:val="16"/>
              </w:rPr>
            </w:pPr>
            <w:r w:rsidRPr="00392E88">
              <w:rPr>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2083E343" w14:textId="77777777" w:rsidR="00044D5B" w:rsidRPr="00392E88" w:rsidRDefault="00044D5B">
            <w:pPr>
              <w:spacing w:before="0" w:after="0"/>
              <w:jc w:val="right"/>
              <w:rPr>
                <w:color w:val="000000"/>
                <w:sz w:val="16"/>
                <w:szCs w:val="16"/>
              </w:rPr>
            </w:pPr>
            <w:r w:rsidRPr="00392E88">
              <w:rPr>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14:paraId="7EB23603" w14:textId="77777777" w:rsidR="00044D5B" w:rsidRPr="00392E88" w:rsidRDefault="00044D5B">
            <w:pPr>
              <w:spacing w:before="0" w:after="0"/>
              <w:jc w:val="right"/>
              <w:rPr>
                <w:b/>
                <w:bCs/>
                <w:color w:val="000000"/>
                <w:sz w:val="16"/>
                <w:szCs w:val="16"/>
              </w:rPr>
            </w:pPr>
            <w:r w:rsidRPr="00392E88">
              <w:rPr>
                <w:b/>
                <w:color w:val="000000"/>
                <w:sz w:val="16"/>
              </w:rPr>
              <w:t>0,000</w:t>
            </w:r>
          </w:p>
        </w:tc>
      </w:tr>
      <w:tr w:rsidR="00504273" w:rsidRPr="00392E88" w14:paraId="204F30F1" w14:textId="77777777">
        <w:trPr>
          <w:trHeight w:val="300"/>
        </w:trPr>
        <w:tc>
          <w:tcPr>
            <w:tcW w:w="2166" w:type="pct"/>
            <w:tcBorders>
              <w:top w:val="nil"/>
              <w:left w:val="single" w:sz="8" w:space="0" w:color="auto"/>
              <w:bottom w:val="single" w:sz="8" w:space="0" w:color="auto"/>
              <w:right w:val="single" w:sz="8" w:space="0" w:color="auto"/>
            </w:tcBorders>
            <w:shd w:val="clear" w:color="000000" w:fill="CCCCCC"/>
            <w:vAlign w:val="center"/>
            <w:hideMark/>
          </w:tcPr>
          <w:p w14:paraId="4213F05F" w14:textId="77777777" w:rsidR="00044D5B" w:rsidRPr="00392E88" w:rsidRDefault="00044D5B">
            <w:pPr>
              <w:spacing w:before="0" w:after="0"/>
              <w:jc w:val="center"/>
              <w:rPr>
                <w:b/>
                <w:bCs/>
                <w:color w:val="000000"/>
                <w:sz w:val="16"/>
                <w:szCs w:val="16"/>
              </w:rPr>
            </w:pPr>
            <w:r w:rsidRPr="00392E88">
              <w:rPr>
                <w:b/>
                <w:color w:val="000000"/>
                <w:sz w:val="16"/>
              </w:rPr>
              <w:t>Suma cząstkowa DZIAŁ 7</w:t>
            </w:r>
          </w:p>
        </w:tc>
        <w:tc>
          <w:tcPr>
            <w:tcW w:w="553" w:type="pct"/>
            <w:tcBorders>
              <w:top w:val="nil"/>
              <w:left w:val="nil"/>
              <w:bottom w:val="single" w:sz="8" w:space="0" w:color="auto"/>
              <w:right w:val="single" w:sz="8" w:space="0" w:color="auto"/>
            </w:tcBorders>
            <w:shd w:val="clear" w:color="000000" w:fill="D9D9D9"/>
            <w:vAlign w:val="center"/>
            <w:hideMark/>
          </w:tcPr>
          <w:p w14:paraId="11F94EAC" w14:textId="77777777" w:rsidR="00044D5B" w:rsidRPr="00392E88" w:rsidRDefault="00044D5B">
            <w:pPr>
              <w:spacing w:before="0" w:after="0"/>
              <w:jc w:val="right"/>
              <w:rPr>
                <w:b/>
                <w:bCs/>
                <w:color w:val="000000"/>
                <w:sz w:val="16"/>
                <w:szCs w:val="16"/>
              </w:rPr>
            </w:pPr>
            <w:r w:rsidRPr="00392E88">
              <w:rPr>
                <w:b/>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244BCE04" w14:textId="77777777" w:rsidR="00044D5B" w:rsidRPr="00392E88" w:rsidRDefault="00044D5B">
            <w:pPr>
              <w:spacing w:before="0" w:after="0"/>
              <w:jc w:val="right"/>
              <w:rPr>
                <w:b/>
                <w:bCs/>
                <w:color w:val="000000"/>
                <w:sz w:val="16"/>
                <w:szCs w:val="16"/>
              </w:rPr>
            </w:pPr>
            <w:r w:rsidRPr="00392E88">
              <w:rPr>
                <w:b/>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0B2B2568" w14:textId="77777777" w:rsidR="00044D5B" w:rsidRPr="00392E88" w:rsidRDefault="00044D5B">
            <w:pPr>
              <w:spacing w:before="0" w:after="0"/>
              <w:jc w:val="right"/>
              <w:rPr>
                <w:b/>
                <w:bCs/>
                <w:color w:val="000000"/>
                <w:sz w:val="16"/>
                <w:szCs w:val="16"/>
              </w:rPr>
            </w:pPr>
            <w:r w:rsidRPr="00392E88">
              <w:rPr>
                <w:b/>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1146B1DE" w14:textId="77777777" w:rsidR="00044D5B" w:rsidRPr="00392E88" w:rsidRDefault="00044D5B">
            <w:pPr>
              <w:spacing w:before="0" w:after="0"/>
              <w:jc w:val="right"/>
              <w:rPr>
                <w:b/>
                <w:bCs/>
                <w:color w:val="000000"/>
                <w:sz w:val="16"/>
                <w:szCs w:val="16"/>
              </w:rPr>
            </w:pPr>
            <w:r w:rsidRPr="00392E88">
              <w:rPr>
                <w:b/>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14:paraId="60225622" w14:textId="77777777" w:rsidR="00044D5B" w:rsidRPr="00392E88" w:rsidRDefault="00044D5B">
            <w:pPr>
              <w:spacing w:before="0" w:after="0"/>
              <w:jc w:val="right"/>
              <w:rPr>
                <w:b/>
                <w:bCs/>
                <w:color w:val="000000"/>
                <w:sz w:val="16"/>
                <w:szCs w:val="16"/>
              </w:rPr>
            </w:pPr>
            <w:r w:rsidRPr="00392E88">
              <w:rPr>
                <w:b/>
                <w:color w:val="000000"/>
                <w:sz w:val="16"/>
              </w:rPr>
              <w:t>0,000</w:t>
            </w:r>
          </w:p>
        </w:tc>
      </w:tr>
      <w:tr w:rsidR="00A7536C" w:rsidRPr="00392E88" w14:paraId="62E4B340" w14:textId="77777777">
        <w:trPr>
          <w:trHeight w:val="300"/>
        </w:trPr>
        <w:tc>
          <w:tcPr>
            <w:tcW w:w="5000" w:type="pct"/>
            <w:gridSpan w:val="6"/>
            <w:tcBorders>
              <w:top w:val="single" w:sz="8" w:space="0" w:color="auto"/>
              <w:left w:val="single" w:sz="8" w:space="0" w:color="auto"/>
              <w:bottom w:val="single" w:sz="8" w:space="0" w:color="auto"/>
              <w:right w:val="single" w:sz="4" w:space="0" w:color="auto"/>
            </w:tcBorders>
            <w:vAlign w:val="center"/>
            <w:hideMark/>
          </w:tcPr>
          <w:p w14:paraId="1915582F" w14:textId="77777777" w:rsidR="00044D5B" w:rsidRPr="00392E88" w:rsidRDefault="00044D5B">
            <w:pPr>
              <w:spacing w:before="0" w:after="0"/>
              <w:jc w:val="left"/>
              <w:rPr>
                <w:b/>
                <w:bCs/>
                <w:sz w:val="16"/>
                <w:szCs w:val="16"/>
              </w:rPr>
            </w:pPr>
            <w:r w:rsidRPr="00392E88">
              <w:rPr>
                <w:b/>
                <w:sz w:val="16"/>
              </w:rPr>
              <w:t>Poza DZIAŁEM 7</w:t>
            </w:r>
          </w:p>
        </w:tc>
      </w:tr>
      <w:tr w:rsidR="00E62D64" w:rsidRPr="00392E88" w14:paraId="0677C8BB" w14:textId="77777777">
        <w:trPr>
          <w:trHeight w:val="300"/>
        </w:trPr>
        <w:tc>
          <w:tcPr>
            <w:tcW w:w="2166" w:type="pct"/>
            <w:tcBorders>
              <w:top w:val="nil"/>
              <w:left w:val="single" w:sz="8" w:space="0" w:color="auto"/>
              <w:bottom w:val="single" w:sz="8" w:space="0" w:color="auto"/>
              <w:right w:val="single" w:sz="8" w:space="0" w:color="auto"/>
            </w:tcBorders>
            <w:vAlign w:val="center"/>
            <w:hideMark/>
          </w:tcPr>
          <w:p w14:paraId="7ABD9695" w14:textId="77777777" w:rsidR="00044D5B" w:rsidRPr="00392E88" w:rsidRDefault="00044D5B">
            <w:pPr>
              <w:spacing w:before="0" w:after="0"/>
              <w:jc w:val="left"/>
              <w:rPr>
                <w:color w:val="000000"/>
                <w:sz w:val="16"/>
                <w:szCs w:val="16"/>
              </w:rPr>
            </w:pPr>
            <w:r w:rsidRPr="00392E88">
              <w:rPr>
                <w:color w:val="000000"/>
                <w:sz w:val="16"/>
              </w:rPr>
              <w:t xml:space="preserve">Zasoby ludzkie </w:t>
            </w:r>
          </w:p>
        </w:tc>
        <w:tc>
          <w:tcPr>
            <w:tcW w:w="553" w:type="pct"/>
            <w:tcBorders>
              <w:top w:val="nil"/>
              <w:left w:val="nil"/>
              <w:bottom w:val="single" w:sz="8" w:space="0" w:color="auto"/>
              <w:right w:val="single" w:sz="8" w:space="0" w:color="auto"/>
            </w:tcBorders>
            <w:shd w:val="clear" w:color="000000" w:fill="D9D9D9"/>
            <w:vAlign w:val="center"/>
            <w:hideMark/>
          </w:tcPr>
          <w:p w14:paraId="5646C764" w14:textId="77777777" w:rsidR="00044D5B" w:rsidRPr="00392E88" w:rsidRDefault="00044D5B">
            <w:pPr>
              <w:spacing w:before="0" w:after="0"/>
              <w:jc w:val="right"/>
              <w:rPr>
                <w:color w:val="000000"/>
                <w:sz w:val="16"/>
                <w:szCs w:val="16"/>
              </w:rPr>
            </w:pPr>
            <w:r w:rsidRPr="00392E88">
              <w:rPr>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745C2B81" w14:textId="77777777" w:rsidR="00044D5B" w:rsidRPr="00392E88" w:rsidRDefault="00044D5B">
            <w:pPr>
              <w:spacing w:before="0" w:after="0"/>
              <w:jc w:val="right"/>
              <w:rPr>
                <w:color w:val="000000"/>
                <w:sz w:val="16"/>
                <w:szCs w:val="16"/>
              </w:rPr>
            </w:pPr>
            <w:r w:rsidRPr="00392E88">
              <w:rPr>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0EFDEE73" w14:textId="77777777" w:rsidR="00044D5B" w:rsidRPr="00392E88" w:rsidRDefault="00044D5B">
            <w:pPr>
              <w:spacing w:before="0" w:after="0"/>
              <w:jc w:val="right"/>
              <w:rPr>
                <w:color w:val="000000"/>
                <w:sz w:val="16"/>
                <w:szCs w:val="16"/>
              </w:rPr>
            </w:pPr>
            <w:r w:rsidRPr="00392E88">
              <w:rPr>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3EB16B8C" w14:textId="77777777" w:rsidR="00044D5B" w:rsidRPr="00392E88" w:rsidRDefault="00044D5B">
            <w:pPr>
              <w:spacing w:before="0" w:after="0"/>
              <w:jc w:val="right"/>
              <w:rPr>
                <w:color w:val="000000"/>
                <w:sz w:val="16"/>
                <w:szCs w:val="16"/>
              </w:rPr>
            </w:pPr>
            <w:r w:rsidRPr="00392E88">
              <w:rPr>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14:paraId="3777B56C" w14:textId="77777777" w:rsidR="00044D5B" w:rsidRPr="00392E88" w:rsidRDefault="00044D5B">
            <w:pPr>
              <w:spacing w:before="0" w:after="0"/>
              <w:jc w:val="right"/>
              <w:rPr>
                <w:b/>
                <w:bCs/>
                <w:color w:val="000000"/>
                <w:sz w:val="16"/>
                <w:szCs w:val="16"/>
              </w:rPr>
            </w:pPr>
            <w:r w:rsidRPr="00392E88">
              <w:rPr>
                <w:b/>
                <w:color w:val="000000"/>
                <w:sz w:val="16"/>
              </w:rPr>
              <w:t>0,000</w:t>
            </w:r>
          </w:p>
        </w:tc>
      </w:tr>
      <w:tr w:rsidR="00E62D64" w:rsidRPr="00392E88" w14:paraId="2685755A" w14:textId="77777777">
        <w:trPr>
          <w:trHeight w:val="300"/>
        </w:trPr>
        <w:tc>
          <w:tcPr>
            <w:tcW w:w="2166" w:type="pct"/>
            <w:tcBorders>
              <w:top w:val="nil"/>
              <w:left w:val="single" w:sz="8" w:space="0" w:color="auto"/>
              <w:bottom w:val="single" w:sz="8" w:space="0" w:color="auto"/>
              <w:right w:val="single" w:sz="8" w:space="0" w:color="auto"/>
            </w:tcBorders>
            <w:vAlign w:val="center"/>
            <w:hideMark/>
          </w:tcPr>
          <w:p w14:paraId="3C5C4EE7" w14:textId="766739F4" w:rsidR="00044D5B" w:rsidRPr="00392E88" w:rsidRDefault="00044D5B">
            <w:pPr>
              <w:spacing w:before="0" w:after="0"/>
              <w:jc w:val="left"/>
              <w:rPr>
                <w:color w:val="000000"/>
                <w:sz w:val="16"/>
                <w:szCs w:val="16"/>
              </w:rPr>
            </w:pPr>
            <w:r w:rsidRPr="00392E88">
              <w:rPr>
                <w:color w:val="000000"/>
                <w:sz w:val="16"/>
              </w:rPr>
              <w:t>Pozostałe wydatki</w:t>
            </w:r>
            <w:r w:rsidR="006E6446" w:rsidRPr="00392E88">
              <w:rPr>
                <w:color w:val="000000"/>
                <w:sz w:val="16"/>
              </w:rPr>
              <w:t xml:space="preserve"> o</w:t>
            </w:r>
            <w:r w:rsidR="006E6446">
              <w:rPr>
                <w:color w:val="000000"/>
                <w:sz w:val="16"/>
              </w:rPr>
              <w:t> </w:t>
            </w:r>
            <w:r w:rsidR="006E6446" w:rsidRPr="00392E88">
              <w:rPr>
                <w:color w:val="000000"/>
                <w:sz w:val="16"/>
              </w:rPr>
              <w:t>cha</w:t>
            </w:r>
            <w:r w:rsidRPr="00392E88">
              <w:rPr>
                <w:color w:val="000000"/>
                <w:sz w:val="16"/>
              </w:rPr>
              <w:t>rakterze administracyjnym</w:t>
            </w:r>
          </w:p>
        </w:tc>
        <w:tc>
          <w:tcPr>
            <w:tcW w:w="553" w:type="pct"/>
            <w:tcBorders>
              <w:top w:val="nil"/>
              <w:left w:val="nil"/>
              <w:bottom w:val="single" w:sz="8" w:space="0" w:color="auto"/>
              <w:right w:val="single" w:sz="8" w:space="0" w:color="auto"/>
            </w:tcBorders>
            <w:shd w:val="clear" w:color="000000" w:fill="D9D9D9"/>
            <w:vAlign w:val="center"/>
            <w:hideMark/>
          </w:tcPr>
          <w:p w14:paraId="3C4BCAC3" w14:textId="77777777" w:rsidR="00044D5B" w:rsidRPr="00392E88" w:rsidRDefault="00044D5B">
            <w:pPr>
              <w:spacing w:before="0" w:after="0"/>
              <w:jc w:val="right"/>
              <w:rPr>
                <w:color w:val="000000"/>
                <w:sz w:val="16"/>
                <w:szCs w:val="16"/>
              </w:rPr>
            </w:pPr>
            <w:r w:rsidRPr="00392E88">
              <w:rPr>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42AE6252" w14:textId="77777777" w:rsidR="00044D5B" w:rsidRPr="00392E88" w:rsidRDefault="00044D5B">
            <w:pPr>
              <w:spacing w:before="0" w:after="0"/>
              <w:jc w:val="right"/>
              <w:rPr>
                <w:color w:val="000000"/>
                <w:sz w:val="16"/>
                <w:szCs w:val="16"/>
              </w:rPr>
            </w:pPr>
            <w:r w:rsidRPr="00392E88">
              <w:rPr>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36FEC892" w14:textId="77777777" w:rsidR="00044D5B" w:rsidRPr="00392E88" w:rsidRDefault="00044D5B">
            <w:pPr>
              <w:spacing w:before="0" w:after="0"/>
              <w:jc w:val="right"/>
              <w:rPr>
                <w:color w:val="000000"/>
                <w:sz w:val="16"/>
                <w:szCs w:val="16"/>
              </w:rPr>
            </w:pPr>
            <w:r w:rsidRPr="00392E88">
              <w:rPr>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67614847" w14:textId="77777777" w:rsidR="00044D5B" w:rsidRPr="00392E88" w:rsidRDefault="00044D5B">
            <w:pPr>
              <w:spacing w:before="0" w:after="0"/>
              <w:jc w:val="right"/>
              <w:rPr>
                <w:color w:val="000000"/>
                <w:sz w:val="16"/>
                <w:szCs w:val="16"/>
              </w:rPr>
            </w:pPr>
            <w:r w:rsidRPr="00392E88">
              <w:rPr>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14:paraId="1A1EB153" w14:textId="77777777" w:rsidR="00044D5B" w:rsidRPr="00392E88" w:rsidRDefault="00044D5B">
            <w:pPr>
              <w:spacing w:before="0" w:after="0"/>
              <w:jc w:val="right"/>
              <w:rPr>
                <w:b/>
                <w:bCs/>
                <w:color w:val="000000"/>
                <w:sz w:val="16"/>
                <w:szCs w:val="16"/>
              </w:rPr>
            </w:pPr>
            <w:r w:rsidRPr="00392E88">
              <w:rPr>
                <w:b/>
                <w:color w:val="000000"/>
                <w:sz w:val="16"/>
              </w:rPr>
              <w:t>0,000</w:t>
            </w:r>
          </w:p>
        </w:tc>
      </w:tr>
      <w:tr w:rsidR="00504273" w:rsidRPr="00392E88" w14:paraId="42FFA7C5" w14:textId="77777777">
        <w:trPr>
          <w:trHeight w:val="300"/>
        </w:trPr>
        <w:tc>
          <w:tcPr>
            <w:tcW w:w="2166" w:type="pct"/>
            <w:tcBorders>
              <w:top w:val="nil"/>
              <w:left w:val="single" w:sz="8" w:space="0" w:color="auto"/>
              <w:bottom w:val="single" w:sz="8" w:space="0" w:color="auto"/>
              <w:right w:val="single" w:sz="8" w:space="0" w:color="auto"/>
            </w:tcBorders>
            <w:shd w:val="clear" w:color="000000" w:fill="CCCCCC"/>
            <w:vAlign w:val="center"/>
            <w:hideMark/>
          </w:tcPr>
          <w:p w14:paraId="68F3BA03" w14:textId="77777777" w:rsidR="00044D5B" w:rsidRPr="00392E88" w:rsidRDefault="00044D5B">
            <w:pPr>
              <w:spacing w:before="0" w:after="0"/>
              <w:jc w:val="center"/>
              <w:rPr>
                <w:b/>
                <w:bCs/>
                <w:color w:val="000000"/>
                <w:sz w:val="16"/>
                <w:szCs w:val="16"/>
              </w:rPr>
            </w:pPr>
            <w:r w:rsidRPr="00392E88">
              <w:rPr>
                <w:b/>
                <w:color w:val="000000"/>
                <w:sz w:val="16"/>
              </w:rPr>
              <w:t>Suma cząstkowa poza DZIAŁEM 7</w:t>
            </w:r>
          </w:p>
        </w:tc>
        <w:tc>
          <w:tcPr>
            <w:tcW w:w="553" w:type="pct"/>
            <w:tcBorders>
              <w:top w:val="nil"/>
              <w:left w:val="nil"/>
              <w:bottom w:val="single" w:sz="8" w:space="0" w:color="auto"/>
              <w:right w:val="single" w:sz="8" w:space="0" w:color="auto"/>
            </w:tcBorders>
            <w:shd w:val="clear" w:color="000000" w:fill="D9D9D9"/>
            <w:vAlign w:val="center"/>
            <w:hideMark/>
          </w:tcPr>
          <w:p w14:paraId="6933E765" w14:textId="77777777" w:rsidR="00044D5B" w:rsidRPr="00392E88" w:rsidRDefault="00044D5B">
            <w:pPr>
              <w:spacing w:before="0" w:after="0"/>
              <w:jc w:val="right"/>
              <w:rPr>
                <w:b/>
                <w:bCs/>
                <w:color w:val="000000"/>
                <w:sz w:val="16"/>
                <w:szCs w:val="16"/>
              </w:rPr>
            </w:pPr>
            <w:r w:rsidRPr="00392E88">
              <w:rPr>
                <w:b/>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0740F386" w14:textId="77777777" w:rsidR="00044D5B" w:rsidRPr="00392E88" w:rsidRDefault="00044D5B">
            <w:pPr>
              <w:spacing w:before="0" w:after="0"/>
              <w:jc w:val="right"/>
              <w:rPr>
                <w:b/>
                <w:bCs/>
                <w:color w:val="000000"/>
                <w:sz w:val="16"/>
                <w:szCs w:val="16"/>
              </w:rPr>
            </w:pPr>
            <w:r w:rsidRPr="00392E88">
              <w:rPr>
                <w:b/>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61CB0962" w14:textId="77777777" w:rsidR="00044D5B" w:rsidRPr="00392E88" w:rsidRDefault="00044D5B">
            <w:pPr>
              <w:spacing w:before="0" w:after="0"/>
              <w:jc w:val="right"/>
              <w:rPr>
                <w:b/>
                <w:bCs/>
                <w:color w:val="000000"/>
                <w:sz w:val="16"/>
                <w:szCs w:val="16"/>
              </w:rPr>
            </w:pPr>
            <w:r w:rsidRPr="00392E88">
              <w:rPr>
                <w:b/>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4533ED29" w14:textId="77777777" w:rsidR="00044D5B" w:rsidRPr="00392E88" w:rsidRDefault="00044D5B">
            <w:pPr>
              <w:spacing w:before="0" w:after="0"/>
              <w:jc w:val="right"/>
              <w:rPr>
                <w:b/>
                <w:bCs/>
                <w:color w:val="000000"/>
                <w:sz w:val="16"/>
                <w:szCs w:val="16"/>
              </w:rPr>
            </w:pPr>
            <w:r w:rsidRPr="00392E88">
              <w:rPr>
                <w:b/>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14:paraId="741E21B2" w14:textId="77777777" w:rsidR="00044D5B" w:rsidRPr="00392E88" w:rsidRDefault="00044D5B">
            <w:pPr>
              <w:spacing w:before="0" w:after="0"/>
              <w:jc w:val="right"/>
              <w:rPr>
                <w:b/>
                <w:bCs/>
                <w:color w:val="000000"/>
                <w:sz w:val="16"/>
                <w:szCs w:val="16"/>
              </w:rPr>
            </w:pPr>
            <w:r w:rsidRPr="00392E88">
              <w:rPr>
                <w:b/>
                <w:color w:val="000000"/>
                <w:sz w:val="16"/>
              </w:rPr>
              <w:t>0,000</w:t>
            </w:r>
          </w:p>
        </w:tc>
      </w:tr>
      <w:tr w:rsidR="00A7536C" w:rsidRPr="00392E88" w14:paraId="33EB1D1D" w14:textId="77777777">
        <w:trPr>
          <w:trHeight w:val="300"/>
        </w:trPr>
        <w:tc>
          <w:tcPr>
            <w:tcW w:w="5000" w:type="pct"/>
            <w:gridSpan w:val="6"/>
            <w:tcBorders>
              <w:top w:val="single" w:sz="8" w:space="0" w:color="auto"/>
              <w:left w:val="single" w:sz="8" w:space="0" w:color="auto"/>
              <w:bottom w:val="single" w:sz="8" w:space="0" w:color="auto"/>
              <w:right w:val="single" w:sz="4" w:space="0" w:color="auto"/>
            </w:tcBorders>
            <w:noWrap/>
            <w:vAlign w:val="center"/>
            <w:hideMark/>
          </w:tcPr>
          <w:p w14:paraId="64D3FF04" w14:textId="77777777" w:rsidR="00044D5B" w:rsidRPr="00392E88" w:rsidRDefault="00044D5B">
            <w:pPr>
              <w:spacing w:before="0" w:after="0"/>
              <w:jc w:val="center"/>
              <w:rPr>
                <w:color w:val="000000"/>
                <w:sz w:val="16"/>
                <w:szCs w:val="16"/>
              </w:rPr>
            </w:pPr>
            <w:r w:rsidRPr="00392E88">
              <w:rPr>
                <w:color w:val="000000"/>
                <w:sz w:val="16"/>
              </w:rPr>
              <w:t xml:space="preserve"> </w:t>
            </w:r>
          </w:p>
        </w:tc>
      </w:tr>
      <w:tr w:rsidR="00E62D64" w:rsidRPr="00392E88" w14:paraId="027EAE83" w14:textId="77777777">
        <w:trPr>
          <w:trHeight w:val="312"/>
        </w:trPr>
        <w:tc>
          <w:tcPr>
            <w:tcW w:w="2166" w:type="pct"/>
            <w:tcBorders>
              <w:top w:val="single" w:sz="12" w:space="0" w:color="auto"/>
              <w:left w:val="single" w:sz="12" w:space="0" w:color="auto"/>
              <w:bottom w:val="single" w:sz="12" w:space="0" w:color="auto"/>
              <w:right w:val="single" w:sz="8" w:space="0" w:color="auto"/>
            </w:tcBorders>
            <w:vAlign w:val="center"/>
            <w:hideMark/>
          </w:tcPr>
          <w:p w14:paraId="5DC8A126" w14:textId="77777777" w:rsidR="00044D5B" w:rsidRPr="00392E88" w:rsidRDefault="00044D5B">
            <w:pPr>
              <w:spacing w:before="0" w:after="0"/>
              <w:jc w:val="center"/>
              <w:rPr>
                <w:b/>
                <w:bCs/>
                <w:color w:val="000000"/>
                <w:sz w:val="16"/>
                <w:szCs w:val="16"/>
              </w:rPr>
            </w:pPr>
            <w:r w:rsidRPr="00392E88">
              <w:rPr>
                <w:b/>
                <w:color w:val="000000"/>
                <w:sz w:val="16"/>
              </w:rPr>
              <w:t>OGÓŁEM</w:t>
            </w:r>
          </w:p>
        </w:tc>
        <w:tc>
          <w:tcPr>
            <w:tcW w:w="553" w:type="pct"/>
            <w:tcBorders>
              <w:top w:val="single" w:sz="12" w:space="0" w:color="auto"/>
              <w:left w:val="nil"/>
              <w:bottom w:val="single" w:sz="12" w:space="0" w:color="auto"/>
              <w:right w:val="single" w:sz="8" w:space="0" w:color="auto"/>
            </w:tcBorders>
            <w:shd w:val="clear" w:color="000000" w:fill="D9D9D9"/>
            <w:vAlign w:val="center"/>
            <w:hideMark/>
          </w:tcPr>
          <w:p w14:paraId="74DB10CF" w14:textId="77777777" w:rsidR="00044D5B" w:rsidRPr="00392E88" w:rsidRDefault="00044D5B">
            <w:pPr>
              <w:spacing w:before="0" w:after="0"/>
              <w:jc w:val="right"/>
              <w:rPr>
                <w:b/>
                <w:bCs/>
                <w:color w:val="000000"/>
                <w:sz w:val="16"/>
                <w:szCs w:val="16"/>
              </w:rPr>
            </w:pPr>
            <w:r w:rsidRPr="00392E88">
              <w:rPr>
                <w:b/>
                <w:color w:val="000000"/>
                <w:sz w:val="16"/>
              </w:rPr>
              <w:t>0,000</w:t>
            </w:r>
          </w:p>
        </w:tc>
        <w:tc>
          <w:tcPr>
            <w:tcW w:w="553" w:type="pct"/>
            <w:tcBorders>
              <w:top w:val="single" w:sz="12" w:space="0" w:color="auto"/>
              <w:left w:val="nil"/>
              <w:bottom w:val="single" w:sz="12" w:space="0" w:color="auto"/>
              <w:right w:val="single" w:sz="8" w:space="0" w:color="auto"/>
            </w:tcBorders>
            <w:shd w:val="clear" w:color="000000" w:fill="D9D9D9"/>
            <w:vAlign w:val="center"/>
            <w:hideMark/>
          </w:tcPr>
          <w:p w14:paraId="1320C585" w14:textId="77777777" w:rsidR="00044D5B" w:rsidRPr="00392E88" w:rsidRDefault="00044D5B">
            <w:pPr>
              <w:spacing w:before="0" w:after="0"/>
              <w:jc w:val="right"/>
              <w:rPr>
                <w:b/>
                <w:bCs/>
                <w:color w:val="000000"/>
                <w:sz w:val="16"/>
                <w:szCs w:val="16"/>
              </w:rPr>
            </w:pPr>
            <w:r w:rsidRPr="00392E88">
              <w:rPr>
                <w:b/>
                <w:color w:val="000000"/>
                <w:sz w:val="16"/>
              </w:rPr>
              <w:t>0,000</w:t>
            </w:r>
          </w:p>
        </w:tc>
        <w:tc>
          <w:tcPr>
            <w:tcW w:w="553" w:type="pct"/>
            <w:tcBorders>
              <w:top w:val="single" w:sz="12" w:space="0" w:color="auto"/>
              <w:left w:val="nil"/>
              <w:bottom w:val="single" w:sz="12" w:space="0" w:color="auto"/>
              <w:right w:val="single" w:sz="8" w:space="0" w:color="auto"/>
            </w:tcBorders>
            <w:shd w:val="clear" w:color="000000" w:fill="D9D9D9"/>
            <w:vAlign w:val="center"/>
            <w:hideMark/>
          </w:tcPr>
          <w:p w14:paraId="6B463D94" w14:textId="77777777" w:rsidR="00044D5B" w:rsidRPr="00392E88" w:rsidRDefault="00044D5B">
            <w:pPr>
              <w:spacing w:before="0" w:after="0"/>
              <w:jc w:val="right"/>
              <w:rPr>
                <w:b/>
                <w:bCs/>
                <w:color w:val="000000"/>
                <w:sz w:val="16"/>
                <w:szCs w:val="16"/>
              </w:rPr>
            </w:pPr>
            <w:r w:rsidRPr="00392E88">
              <w:rPr>
                <w:b/>
                <w:color w:val="000000"/>
                <w:sz w:val="16"/>
              </w:rPr>
              <w:t>0,000</w:t>
            </w:r>
          </w:p>
        </w:tc>
        <w:tc>
          <w:tcPr>
            <w:tcW w:w="553" w:type="pct"/>
            <w:tcBorders>
              <w:top w:val="single" w:sz="12" w:space="0" w:color="auto"/>
              <w:left w:val="nil"/>
              <w:bottom w:val="single" w:sz="12" w:space="0" w:color="auto"/>
              <w:right w:val="single" w:sz="8" w:space="0" w:color="auto"/>
            </w:tcBorders>
            <w:shd w:val="clear" w:color="000000" w:fill="D9D9D9"/>
            <w:vAlign w:val="center"/>
            <w:hideMark/>
          </w:tcPr>
          <w:p w14:paraId="00B554CD" w14:textId="77777777" w:rsidR="00044D5B" w:rsidRPr="00392E88" w:rsidRDefault="00044D5B">
            <w:pPr>
              <w:spacing w:before="0" w:after="0"/>
              <w:jc w:val="right"/>
              <w:rPr>
                <w:b/>
                <w:bCs/>
                <w:color w:val="000000"/>
                <w:sz w:val="16"/>
                <w:szCs w:val="16"/>
              </w:rPr>
            </w:pPr>
            <w:r w:rsidRPr="00392E88">
              <w:rPr>
                <w:b/>
                <w:color w:val="000000"/>
                <w:sz w:val="16"/>
              </w:rPr>
              <w:t>0,000</w:t>
            </w:r>
          </w:p>
        </w:tc>
        <w:tc>
          <w:tcPr>
            <w:tcW w:w="622" w:type="pct"/>
            <w:tcBorders>
              <w:top w:val="single" w:sz="12" w:space="0" w:color="auto"/>
              <w:left w:val="nil"/>
              <w:bottom w:val="single" w:sz="12" w:space="0" w:color="auto"/>
              <w:right w:val="single" w:sz="8" w:space="0" w:color="auto"/>
            </w:tcBorders>
            <w:shd w:val="clear" w:color="000000" w:fill="D9D9D9"/>
            <w:vAlign w:val="center"/>
            <w:hideMark/>
          </w:tcPr>
          <w:p w14:paraId="4782DDAA" w14:textId="77777777" w:rsidR="00044D5B" w:rsidRPr="00392E88" w:rsidRDefault="00044D5B">
            <w:pPr>
              <w:spacing w:before="0" w:after="0"/>
              <w:jc w:val="right"/>
              <w:rPr>
                <w:b/>
                <w:bCs/>
                <w:color w:val="000000"/>
                <w:sz w:val="16"/>
                <w:szCs w:val="16"/>
              </w:rPr>
            </w:pPr>
            <w:r w:rsidRPr="00392E88">
              <w:rPr>
                <w:b/>
                <w:color w:val="000000"/>
                <w:sz w:val="16"/>
              </w:rPr>
              <w:t>0,000</w:t>
            </w:r>
          </w:p>
        </w:tc>
      </w:tr>
    </w:tbl>
    <w:p w14:paraId="50F977CF" w14:textId="77777777" w:rsidR="00044D5B" w:rsidRPr="00392E88" w:rsidRDefault="00044D5B" w:rsidP="00044D5B">
      <w:pPr>
        <w:pStyle w:val="ManualHeading3"/>
      </w:pPr>
      <w:r w:rsidRPr="00392E88">
        <w:t>3.2.3.3.</w:t>
      </w:r>
      <w:r w:rsidRPr="00392E88">
        <w:tab/>
        <w:t>Ogółem środki</w:t>
      </w:r>
    </w:p>
    <w:tbl>
      <w:tblPr>
        <w:tblW w:w="8680" w:type="dxa"/>
        <w:tblInd w:w="-118" w:type="dxa"/>
        <w:tblCellMar>
          <w:left w:w="0" w:type="dxa"/>
          <w:right w:w="0" w:type="dxa"/>
        </w:tblCellMar>
        <w:tblLook w:val="04A0" w:firstRow="1" w:lastRow="0" w:firstColumn="1" w:lastColumn="0" w:noHBand="0" w:noVBand="1"/>
      </w:tblPr>
      <w:tblGrid>
        <w:gridCol w:w="3760"/>
        <w:gridCol w:w="960"/>
        <w:gridCol w:w="960"/>
        <w:gridCol w:w="960"/>
        <w:gridCol w:w="960"/>
        <w:gridCol w:w="1080"/>
      </w:tblGrid>
      <w:tr w:rsidR="00E6355E" w:rsidRPr="00392E88" w14:paraId="27FEE1BC" w14:textId="77777777">
        <w:trPr>
          <w:trHeight w:val="519"/>
        </w:trPr>
        <w:tc>
          <w:tcPr>
            <w:tcW w:w="3760" w:type="dxa"/>
            <w:vMerge w:val="restart"/>
            <w:tcBorders>
              <w:top w:val="single" w:sz="8" w:space="0" w:color="auto"/>
              <w:left w:val="single" w:sz="8" w:space="0" w:color="auto"/>
              <w:bottom w:val="single" w:sz="8" w:space="0" w:color="000000"/>
              <w:right w:val="single" w:sz="8" w:space="0" w:color="auto"/>
            </w:tcBorders>
            <w:vAlign w:val="center"/>
            <w:hideMark/>
          </w:tcPr>
          <w:p w14:paraId="0D761E17" w14:textId="77777777" w:rsidR="00044D5B" w:rsidRPr="00392E88" w:rsidRDefault="00044D5B">
            <w:pPr>
              <w:spacing w:before="0" w:after="0"/>
              <w:jc w:val="center"/>
              <w:rPr>
                <w:b/>
                <w:bCs/>
                <w:color w:val="000000"/>
                <w:sz w:val="18"/>
                <w:szCs w:val="18"/>
              </w:rPr>
            </w:pPr>
            <w:r w:rsidRPr="00392E88">
              <w:rPr>
                <w:b/>
                <w:color w:val="000000"/>
                <w:sz w:val="18"/>
              </w:rPr>
              <w:t>OGÓŁEM</w:t>
            </w:r>
            <w:r w:rsidRPr="00392E88">
              <w:t xml:space="preserve"> </w:t>
            </w:r>
            <w:r w:rsidRPr="00392E88">
              <w:br/>
            </w:r>
            <w:r w:rsidRPr="00392E88">
              <w:rPr>
                <w:b/>
                <w:color w:val="000000"/>
                <w:sz w:val="18"/>
              </w:rPr>
              <w:t>ZATWIERDZONE ŚRODKI + ZEWNĘTRZNE DOCHODY PRZEZNACZONE NA OKREŚLONY CEL</w:t>
            </w:r>
          </w:p>
        </w:tc>
        <w:tc>
          <w:tcPr>
            <w:tcW w:w="960" w:type="dxa"/>
            <w:tcBorders>
              <w:top w:val="single" w:sz="8" w:space="0" w:color="auto"/>
              <w:left w:val="nil"/>
              <w:bottom w:val="nil"/>
              <w:right w:val="single" w:sz="8" w:space="0" w:color="auto"/>
            </w:tcBorders>
            <w:vAlign w:val="center"/>
            <w:hideMark/>
          </w:tcPr>
          <w:p w14:paraId="076D1354" w14:textId="77777777" w:rsidR="00044D5B" w:rsidRPr="00392E88" w:rsidRDefault="00044D5B">
            <w:pPr>
              <w:spacing w:before="0" w:after="0"/>
              <w:jc w:val="center"/>
              <w:rPr>
                <w:color w:val="000000"/>
                <w:sz w:val="18"/>
                <w:szCs w:val="18"/>
              </w:rPr>
            </w:pPr>
            <w:r w:rsidRPr="00392E88">
              <w:rPr>
                <w:color w:val="000000"/>
                <w:sz w:val="18"/>
              </w:rPr>
              <w:t>Rok</w:t>
            </w:r>
          </w:p>
        </w:tc>
        <w:tc>
          <w:tcPr>
            <w:tcW w:w="960" w:type="dxa"/>
            <w:tcBorders>
              <w:top w:val="single" w:sz="8" w:space="0" w:color="auto"/>
              <w:left w:val="nil"/>
              <w:bottom w:val="nil"/>
              <w:right w:val="single" w:sz="8" w:space="0" w:color="auto"/>
            </w:tcBorders>
            <w:vAlign w:val="center"/>
            <w:hideMark/>
          </w:tcPr>
          <w:p w14:paraId="7E8B2F1D" w14:textId="77777777" w:rsidR="00044D5B" w:rsidRPr="00392E88" w:rsidRDefault="00044D5B">
            <w:pPr>
              <w:spacing w:before="0" w:after="0"/>
              <w:jc w:val="center"/>
              <w:rPr>
                <w:color w:val="000000"/>
                <w:sz w:val="18"/>
                <w:szCs w:val="18"/>
              </w:rPr>
            </w:pPr>
            <w:r w:rsidRPr="00392E88">
              <w:rPr>
                <w:color w:val="000000"/>
                <w:sz w:val="18"/>
              </w:rPr>
              <w:t>Rok</w:t>
            </w:r>
          </w:p>
        </w:tc>
        <w:tc>
          <w:tcPr>
            <w:tcW w:w="960" w:type="dxa"/>
            <w:tcBorders>
              <w:top w:val="single" w:sz="8" w:space="0" w:color="auto"/>
              <w:left w:val="nil"/>
              <w:bottom w:val="nil"/>
              <w:right w:val="single" w:sz="8" w:space="0" w:color="auto"/>
            </w:tcBorders>
            <w:vAlign w:val="center"/>
            <w:hideMark/>
          </w:tcPr>
          <w:p w14:paraId="3C9B752E" w14:textId="77777777" w:rsidR="00044D5B" w:rsidRPr="00392E88" w:rsidRDefault="00044D5B">
            <w:pPr>
              <w:spacing w:before="0" w:after="0"/>
              <w:jc w:val="center"/>
              <w:rPr>
                <w:color w:val="000000"/>
                <w:sz w:val="18"/>
                <w:szCs w:val="18"/>
              </w:rPr>
            </w:pPr>
            <w:r w:rsidRPr="00392E88">
              <w:rPr>
                <w:color w:val="000000"/>
                <w:sz w:val="18"/>
              </w:rPr>
              <w:t>Rok</w:t>
            </w:r>
          </w:p>
        </w:tc>
        <w:tc>
          <w:tcPr>
            <w:tcW w:w="960" w:type="dxa"/>
            <w:tcBorders>
              <w:top w:val="single" w:sz="8" w:space="0" w:color="auto"/>
              <w:left w:val="nil"/>
              <w:bottom w:val="nil"/>
              <w:right w:val="single" w:sz="8" w:space="0" w:color="auto"/>
            </w:tcBorders>
            <w:vAlign w:val="center"/>
            <w:hideMark/>
          </w:tcPr>
          <w:p w14:paraId="32EB331D" w14:textId="77777777" w:rsidR="00044D5B" w:rsidRPr="00392E88" w:rsidRDefault="00044D5B">
            <w:pPr>
              <w:spacing w:before="0" w:after="0"/>
              <w:jc w:val="center"/>
              <w:rPr>
                <w:color w:val="000000"/>
                <w:sz w:val="18"/>
                <w:szCs w:val="18"/>
              </w:rPr>
            </w:pPr>
            <w:r w:rsidRPr="00392E88">
              <w:rPr>
                <w:color w:val="000000"/>
                <w:sz w:val="18"/>
              </w:rPr>
              <w:t>Rok</w:t>
            </w:r>
          </w:p>
        </w:tc>
        <w:tc>
          <w:tcPr>
            <w:tcW w:w="1080" w:type="dxa"/>
            <w:vMerge w:val="restart"/>
            <w:tcBorders>
              <w:top w:val="single" w:sz="8" w:space="0" w:color="auto"/>
              <w:left w:val="single" w:sz="8" w:space="0" w:color="auto"/>
              <w:bottom w:val="single" w:sz="8" w:space="0" w:color="000000"/>
              <w:right w:val="single" w:sz="8" w:space="0" w:color="auto"/>
            </w:tcBorders>
            <w:vAlign w:val="center"/>
            <w:hideMark/>
          </w:tcPr>
          <w:p w14:paraId="0414AB5E" w14:textId="77777777" w:rsidR="00044D5B" w:rsidRPr="00392E88" w:rsidRDefault="00044D5B">
            <w:pPr>
              <w:spacing w:before="0" w:after="0"/>
              <w:jc w:val="center"/>
              <w:rPr>
                <w:b/>
                <w:bCs/>
                <w:color w:val="000000"/>
                <w:sz w:val="18"/>
                <w:szCs w:val="18"/>
              </w:rPr>
            </w:pPr>
            <w:r w:rsidRPr="00392E88">
              <w:rPr>
                <w:b/>
                <w:color w:val="000000"/>
                <w:sz w:val="18"/>
              </w:rPr>
              <w:t>OGÓŁEM 2021–2027</w:t>
            </w:r>
          </w:p>
        </w:tc>
      </w:tr>
      <w:tr w:rsidR="00470A36" w:rsidRPr="00392E88" w14:paraId="4BEDA52D" w14:textId="77777777">
        <w:trPr>
          <w:trHeight w:val="519"/>
        </w:trPr>
        <w:tc>
          <w:tcPr>
            <w:tcW w:w="3760" w:type="dxa"/>
            <w:vMerge/>
            <w:tcBorders>
              <w:top w:val="single" w:sz="8" w:space="0" w:color="auto"/>
              <w:left w:val="single" w:sz="8" w:space="0" w:color="auto"/>
              <w:bottom w:val="single" w:sz="8" w:space="0" w:color="auto"/>
              <w:right w:val="single" w:sz="8" w:space="0" w:color="auto"/>
            </w:tcBorders>
            <w:vAlign w:val="center"/>
            <w:hideMark/>
          </w:tcPr>
          <w:p w14:paraId="78269FB1" w14:textId="77777777" w:rsidR="00044D5B" w:rsidRPr="00392E88" w:rsidRDefault="00044D5B">
            <w:pPr>
              <w:spacing w:before="0" w:after="0"/>
              <w:jc w:val="left"/>
              <w:rPr>
                <w:b/>
                <w:bCs/>
                <w:color w:val="000000"/>
                <w:sz w:val="18"/>
                <w:szCs w:val="18"/>
                <w:lang w:eastAsia="en-IE"/>
              </w:rPr>
            </w:pPr>
          </w:p>
        </w:tc>
        <w:tc>
          <w:tcPr>
            <w:tcW w:w="960" w:type="dxa"/>
            <w:tcBorders>
              <w:top w:val="nil"/>
              <w:left w:val="nil"/>
              <w:bottom w:val="single" w:sz="8" w:space="0" w:color="auto"/>
              <w:right w:val="single" w:sz="8" w:space="0" w:color="auto"/>
            </w:tcBorders>
            <w:vAlign w:val="center"/>
            <w:hideMark/>
          </w:tcPr>
          <w:p w14:paraId="7CC9448E" w14:textId="77777777" w:rsidR="00044D5B" w:rsidRPr="00392E88" w:rsidRDefault="00044D5B">
            <w:pPr>
              <w:spacing w:before="0" w:after="0"/>
              <w:jc w:val="center"/>
              <w:rPr>
                <w:b/>
                <w:bCs/>
                <w:color w:val="000000"/>
                <w:sz w:val="18"/>
                <w:szCs w:val="18"/>
              </w:rPr>
            </w:pPr>
            <w:r w:rsidRPr="00392E88">
              <w:rPr>
                <w:b/>
                <w:color w:val="000000"/>
                <w:sz w:val="18"/>
              </w:rPr>
              <w:t>2024</w:t>
            </w:r>
          </w:p>
        </w:tc>
        <w:tc>
          <w:tcPr>
            <w:tcW w:w="960" w:type="dxa"/>
            <w:tcBorders>
              <w:top w:val="nil"/>
              <w:left w:val="nil"/>
              <w:bottom w:val="single" w:sz="8" w:space="0" w:color="auto"/>
              <w:right w:val="single" w:sz="8" w:space="0" w:color="auto"/>
            </w:tcBorders>
            <w:vAlign w:val="center"/>
            <w:hideMark/>
          </w:tcPr>
          <w:p w14:paraId="5057F425" w14:textId="77777777" w:rsidR="00044D5B" w:rsidRPr="00392E88" w:rsidRDefault="00044D5B">
            <w:pPr>
              <w:spacing w:before="0" w:after="0"/>
              <w:jc w:val="center"/>
              <w:rPr>
                <w:b/>
                <w:bCs/>
                <w:color w:val="000000"/>
                <w:sz w:val="18"/>
                <w:szCs w:val="18"/>
              </w:rPr>
            </w:pPr>
            <w:r w:rsidRPr="00392E88">
              <w:rPr>
                <w:b/>
                <w:color w:val="000000"/>
                <w:sz w:val="18"/>
              </w:rPr>
              <w:t>2025</w:t>
            </w:r>
          </w:p>
        </w:tc>
        <w:tc>
          <w:tcPr>
            <w:tcW w:w="960" w:type="dxa"/>
            <w:tcBorders>
              <w:top w:val="nil"/>
              <w:left w:val="nil"/>
              <w:bottom w:val="single" w:sz="8" w:space="0" w:color="auto"/>
              <w:right w:val="single" w:sz="8" w:space="0" w:color="auto"/>
            </w:tcBorders>
            <w:vAlign w:val="center"/>
            <w:hideMark/>
          </w:tcPr>
          <w:p w14:paraId="593E1352" w14:textId="77777777" w:rsidR="00044D5B" w:rsidRPr="00392E88" w:rsidRDefault="00044D5B">
            <w:pPr>
              <w:spacing w:before="0" w:after="0"/>
              <w:jc w:val="center"/>
              <w:rPr>
                <w:b/>
                <w:bCs/>
                <w:color w:val="000000"/>
                <w:sz w:val="18"/>
                <w:szCs w:val="18"/>
              </w:rPr>
            </w:pPr>
            <w:r w:rsidRPr="00392E88">
              <w:rPr>
                <w:b/>
                <w:color w:val="000000"/>
                <w:sz w:val="18"/>
              </w:rPr>
              <w:t>2026</w:t>
            </w:r>
          </w:p>
        </w:tc>
        <w:tc>
          <w:tcPr>
            <w:tcW w:w="960" w:type="dxa"/>
            <w:tcBorders>
              <w:top w:val="nil"/>
              <w:left w:val="nil"/>
              <w:bottom w:val="single" w:sz="8" w:space="0" w:color="auto"/>
              <w:right w:val="single" w:sz="8" w:space="0" w:color="auto"/>
            </w:tcBorders>
            <w:vAlign w:val="center"/>
            <w:hideMark/>
          </w:tcPr>
          <w:p w14:paraId="3D780F80" w14:textId="77777777" w:rsidR="00044D5B" w:rsidRPr="00392E88" w:rsidRDefault="00044D5B">
            <w:pPr>
              <w:spacing w:before="0" w:after="0"/>
              <w:jc w:val="center"/>
              <w:rPr>
                <w:b/>
                <w:bCs/>
                <w:color w:val="000000"/>
                <w:sz w:val="18"/>
                <w:szCs w:val="18"/>
              </w:rPr>
            </w:pPr>
            <w:r w:rsidRPr="00392E88">
              <w:rPr>
                <w:b/>
                <w:color w:val="000000"/>
                <w:sz w:val="18"/>
              </w:rPr>
              <w:t>2027</w:t>
            </w:r>
          </w:p>
        </w:tc>
        <w:tc>
          <w:tcPr>
            <w:tcW w:w="1080" w:type="dxa"/>
            <w:vMerge/>
            <w:tcBorders>
              <w:top w:val="single" w:sz="8" w:space="0" w:color="auto"/>
              <w:left w:val="single" w:sz="8" w:space="0" w:color="auto"/>
              <w:bottom w:val="single" w:sz="8" w:space="0" w:color="auto"/>
              <w:right w:val="single" w:sz="8" w:space="0" w:color="auto"/>
            </w:tcBorders>
            <w:vAlign w:val="center"/>
            <w:hideMark/>
          </w:tcPr>
          <w:p w14:paraId="41F76BC1" w14:textId="77777777" w:rsidR="00044D5B" w:rsidRPr="00392E88" w:rsidRDefault="00044D5B">
            <w:pPr>
              <w:spacing w:before="0" w:after="0"/>
              <w:jc w:val="left"/>
              <w:rPr>
                <w:b/>
                <w:bCs/>
                <w:color w:val="000000"/>
                <w:sz w:val="18"/>
                <w:szCs w:val="18"/>
                <w:lang w:eastAsia="en-IE"/>
              </w:rPr>
            </w:pPr>
          </w:p>
        </w:tc>
      </w:tr>
      <w:tr w:rsidR="00A7536C" w:rsidRPr="00392E88" w14:paraId="07127221" w14:textId="77777777">
        <w:trPr>
          <w:trHeight w:val="300"/>
        </w:trPr>
        <w:tc>
          <w:tcPr>
            <w:tcW w:w="8680" w:type="dxa"/>
            <w:gridSpan w:val="6"/>
            <w:tcBorders>
              <w:top w:val="single" w:sz="8" w:space="0" w:color="auto"/>
              <w:left w:val="single" w:sz="8" w:space="0" w:color="auto"/>
              <w:bottom w:val="single" w:sz="8" w:space="0" w:color="auto"/>
              <w:right w:val="single" w:sz="4" w:space="0" w:color="auto"/>
            </w:tcBorders>
            <w:vAlign w:val="center"/>
            <w:hideMark/>
          </w:tcPr>
          <w:p w14:paraId="76E695EC" w14:textId="77777777" w:rsidR="00044D5B" w:rsidRPr="00392E88" w:rsidRDefault="00044D5B">
            <w:pPr>
              <w:spacing w:before="0" w:after="0"/>
              <w:jc w:val="left"/>
              <w:rPr>
                <w:b/>
                <w:bCs/>
                <w:sz w:val="16"/>
                <w:szCs w:val="16"/>
              </w:rPr>
            </w:pPr>
            <w:r w:rsidRPr="00392E88">
              <w:rPr>
                <w:b/>
                <w:sz w:val="16"/>
              </w:rPr>
              <w:t>DZIAŁ 7</w:t>
            </w:r>
          </w:p>
        </w:tc>
      </w:tr>
      <w:tr w:rsidR="00E62D64" w:rsidRPr="00392E88" w14:paraId="6828253E" w14:textId="77777777">
        <w:trPr>
          <w:trHeight w:val="300"/>
        </w:trPr>
        <w:tc>
          <w:tcPr>
            <w:tcW w:w="3760" w:type="dxa"/>
            <w:tcBorders>
              <w:top w:val="nil"/>
              <w:left w:val="single" w:sz="8" w:space="0" w:color="auto"/>
              <w:bottom w:val="single" w:sz="8" w:space="0" w:color="auto"/>
              <w:right w:val="single" w:sz="8" w:space="0" w:color="auto"/>
            </w:tcBorders>
            <w:vAlign w:val="center"/>
            <w:hideMark/>
          </w:tcPr>
          <w:p w14:paraId="69B104F9" w14:textId="77777777" w:rsidR="00044D5B" w:rsidRPr="00392E88" w:rsidRDefault="00044D5B">
            <w:pPr>
              <w:spacing w:before="0" w:after="0"/>
              <w:jc w:val="left"/>
              <w:rPr>
                <w:color w:val="000000"/>
                <w:sz w:val="16"/>
                <w:szCs w:val="16"/>
              </w:rPr>
            </w:pPr>
            <w:r w:rsidRPr="00392E88">
              <w:rPr>
                <w:color w:val="000000"/>
                <w:sz w:val="16"/>
              </w:rPr>
              <w:t xml:space="preserve">Zasoby ludzkie </w:t>
            </w:r>
          </w:p>
        </w:tc>
        <w:tc>
          <w:tcPr>
            <w:tcW w:w="960" w:type="dxa"/>
            <w:tcBorders>
              <w:top w:val="nil"/>
              <w:left w:val="nil"/>
              <w:bottom w:val="single" w:sz="8" w:space="0" w:color="auto"/>
              <w:right w:val="single" w:sz="8" w:space="0" w:color="auto"/>
            </w:tcBorders>
            <w:shd w:val="clear" w:color="000000" w:fill="D9D9D9"/>
            <w:vAlign w:val="center"/>
            <w:hideMark/>
          </w:tcPr>
          <w:p w14:paraId="4718AC02" w14:textId="77777777" w:rsidR="00044D5B" w:rsidRPr="00392E88" w:rsidRDefault="00044D5B">
            <w:pPr>
              <w:spacing w:before="0" w:after="0"/>
              <w:jc w:val="right"/>
              <w:rPr>
                <w:color w:val="000000"/>
                <w:sz w:val="16"/>
                <w:szCs w:val="16"/>
              </w:rPr>
            </w:pPr>
            <w:r w:rsidRPr="00392E88">
              <w:rPr>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14:paraId="188BA39E" w14:textId="77777777" w:rsidR="00044D5B" w:rsidRPr="00392E88" w:rsidRDefault="00044D5B">
            <w:pPr>
              <w:spacing w:before="0" w:after="0"/>
              <w:jc w:val="right"/>
              <w:rPr>
                <w:color w:val="000000"/>
                <w:sz w:val="16"/>
                <w:szCs w:val="16"/>
              </w:rPr>
            </w:pPr>
            <w:r w:rsidRPr="00392E88">
              <w:rPr>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14:paraId="4010A48A" w14:textId="77777777" w:rsidR="00044D5B" w:rsidRPr="00392E88" w:rsidRDefault="00044D5B">
            <w:pPr>
              <w:spacing w:before="0" w:after="0"/>
              <w:jc w:val="right"/>
              <w:rPr>
                <w:color w:val="000000"/>
                <w:sz w:val="16"/>
                <w:szCs w:val="16"/>
              </w:rPr>
            </w:pPr>
            <w:r w:rsidRPr="00392E88">
              <w:rPr>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14:paraId="59850831" w14:textId="77777777" w:rsidR="00044D5B" w:rsidRPr="00392E88" w:rsidRDefault="00044D5B">
            <w:pPr>
              <w:spacing w:before="0" w:after="0"/>
              <w:jc w:val="right"/>
              <w:rPr>
                <w:color w:val="000000"/>
                <w:sz w:val="16"/>
                <w:szCs w:val="16"/>
              </w:rPr>
            </w:pPr>
            <w:r w:rsidRPr="00392E88">
              <w:rPr>
                <w:color w:val="000000"/>
                <w:sz w:val="16"/>
              </w:rPr>
              <w:t>0,000</w:t>
            </w:r>
          </w:p>
        </w:tc>
        <w:tc>
          <w:tcPr>
            <w:tcW w:w="1080" w:type="dxa"/>
            <w:tcBorders>
              <w:top w:val="nil"/>
              <w:left w:val="nil"/>
              <w:bottom w:val="single" w:sz="8" w:space="0" w:color="auto"/>
              <w:right w:val="single" w:sz="8" w:space="0" w:color="auto"/>
            </w:tcBorders>
            <w:shd w:val="clear" w:color="000000" w:fill="D9D9D9"/>
            <w:vAlign w:val="center"/>
            <w:hideMark/>
          </w:tcPr>
          <w:p w14:paraId="5F981345" w14:textId="77777777" w:rsidR="00044D5B" w:rsidRPr="00392E88" w:rsidRDefault="00044D5B">
            <w:pPr>
              <w:spacing w:before="0" w:after="0"/>
              <w:jc w:val="right"/>
              <w:rPr>
                <w:b/>
                <w:bCs/>
                <w:color w:val="000000"/>
                <w:sz w:val="16"/>
                <w:szCs w:val="16"/>
              </w:rPr>
            </w:pPr>
            <w:r w:rsidRPr="00392E88">
              <w:rPr>
                <w:b/>
                <w:color w:val="000000"/>
                <w:sz w:val="16"/>
              </w:rPr>
              <w:t>0,000</w:t>
            </w:r>
          </w:p>
        </w:tc>
      </w:tr>
      <w:tr w:rsidR="00E62D64" w:rsidRPr="00392E88" w14:paraId="1180F7C1" w14:textId="77777777">
        <w:trPr>
          <w:trHeight w:val="300"/>
        </w:trPr>
        <w:tc>
          <w:tcPr>
            <w:tcW w:w="3760" w:type="dxa"/>
            <w:tcBorders>
              <w:top w:val="nil"/>
              <w:left w:val="single" w:sz="8" w:space="0" w:color="auto"/>
              <w:bottom w:val="single" w:sz="8" w:space="0" w:color="auto"/>
              <w:right w:val="single" w:sz="8" w:space="0" w:color="auto"/>
            </w:tcBorders>
            <w:vAlign w:val="center"/>
            <w:hideMark/>
          </w:tcPr>
          <w:p w14:paraId="672999EE" w14:textId="77777777" w:rsidR="00044D5B" w:rsidRPr="00392E88" w:rsidRDefault="00044D5B">
            <w:pPr>
              <w:spacing w:before="0" w:after="0"/>
              <w:jc w:val="left"/>
              <w:rPr>
                <w:color w:val="000000"/>
                <w:sz w:val="16"/>
                <w:szCs w:val="16"/>
              </w:rPr>
            </w:pPr>
            <w:r w:rsidRPr="00392E88">
              <w:rPr>
                <w:color w:val="000000"/>
                <w:sz w:val="16"/>
              </w:rPr>
              <w:t xml:space="preserve">Pozostałe wydatki administracyjne </w:t>
            </w:r>
          </w:p>
        </w:tc>
        <w:tc>
          <w:tcPr>
            <w:tcW w:w="960" w:type="dxa"/>
            <w:tcBorders>
              <w:top w:val="nil"/>
              <w:left w:val="nil"/>
              <w:bottom w:val="single" w:sz="8" w:space="0" w:color="auto"/>
              <w:right w:val="single" w:sz="8" w:space="0" w:color="auto"/>
            </w:tcBorders>
            <w:shd w:val="clear" w:color="000000" w:fill="D9D9D9"/>
            <w:vAlign w:val="center"/>
            <w:hideMark/>
          </w:tcPr>
          <w:p w14:paraId="42033A91" w14:textId="77777777" w:rsidR="00044D5B" w:rsidRPr="00392E88" w:rsidRDefault="00044D5B">
            <w:pPr>
              <w:spacing w:before="0" w:after="0"/>
              <w:jc w:val="right"/>
              <w:rPr>
                <w:color w:val="000000"/>
                <w:sz w:val="16"/>
                <w:szCs w:val="16"/>
              </w:rPr>
            </w:pPr>
            <w:r w:rsidRPr="00392E88">
              <w:rPr>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14:paraId="10EAB73A" w14:textId="77777777" w:rsidR="00044D5B" w:rsidRPr="00392E88" w:rsidRDefault="00044D5B">
            <w:pPr>
              <w:spacing w:before="0" w:after="0"/>
              <w:jc w:val="right"/>
              <w:rPr>
                <w:color w:val="000000"/>
                <w:sz w:val="16"/>
                <w:szCs w:val="16"/>
              </w:rPr>
            </w:pPr>
            <w:r w:rsidRPr="00392E88">
              <w:rPr>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14:paraId="1783EACA" w14:textId="77777777" w:rsidR="00044D5B" w:rsidRPr="00392E88" w:rsidRDefault="00044D5B">
            <w:pPr>
              <w:spacing w:before="0" w:after="0"/>
              <w:jc w:val="right"/>
              <w:rPr>
                <w:color w:val="000000"/>
                <w:sz w:val="16"/>
                <w:szCs w:val="16"/>
              </w:rPr>
            </w:pPr>
            <w:r w:rsidRPr="00392E88">
              <w:rPr>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14:paraId="3AD2FC22" w14:textId="77777777" w:rsidR="00044D5B" w:rsidRPr="00392E88" w:rsidRDefault="00044D5B">
            <w:pPr>
              <w:spacing w:before="0" w:after="0"/>
              <w:jc w:val="right"/>
              <w:rPr>
                <w:color w:val="000000"/>
                <w:sz w:val="16"/>
                <w:szCs w:val="16"/>
              </w:rPr>
            </w:pPr>
            <w:r w:rsidRPr="00392E88">
              <w:rPr>
                <w:color w:val="000000"/>
                <w:sz w:val="16"/>
              </w:rPr>
              <w:t>0,000</w:t>
            </w:r>
          </w:p>
        </w:tc>
        <w:tc>
          <w:tcPr>
            <w:tcW w:w="1080" w:type="dxa"/>
            <w:tcBorders>
              <w:top w:val="nil"/>
              <w:left w:val="nil"/>
              <w:bottom w:val="single" w:sz="8" w:space="0" w:color="auto"/>
              <w:right w:val="single" w:sz="8" w:space="0" w:color="auto"/>
            </w:tcBorders>
            <w:shd w:val="clear" w:color="000000" w:fill="D9D9D9"/>
            <w:vAlign w:val="center"/>
            <w:hideMark/>
          </w:tcPr>
          <w:p w14:paraId="4B1F7965" w14:textId="77777777" w:rsidR="00044D5B" w:rsidRPr="00392E88" w:rsidRDefault="00044D5B">
            <w:pPr>
              <w:spacing w:before="0" w:after="0"/>
              <w:jc w:val="right"/>
              <w:rPr>
                <w:b/>
                <w:bCs/>
                <w:color w:val="000000"/>
                <w:sz w:val="16"/>
                <w:szCs w:val="16"/>
              </w:rPr>
            </w:pPr>
            <w:r w:rsidRPr="00392E88">
              <w:rPr>
                <w:b/>
                <w:color w:val="000000"/>
                <w:sz w:val="16"/>
              </w:rPr>
              <w:t>0,000</w:t>
            </w:r>
          </w:p>
        </w:tc>
      </w:tr>
      <w:tr w:rsidR="00504273" w:rsidRPr="00392E88" w14:paraId="52AEDA1C" w14:textId="77777777">
        <w:trPr>
          <w:trHeight w:val="300"/>
        </w:trPr>
        <w:tc>
          <w:tcPr>
            <w:tcW w:w="3760" w:type="dxa"/>
            <w:tcBorders>
              <w:top w:val="nil"/>
              <w:left w:val="single" w:sz="8" w:space="0" w:color="auto"/>
              <w:bottom w:val="single" w:sz="8" w:space="0" w:color="auto"/>
              <w:right w:val="single" w:sz="8" w:space="0" w:color="auto"/>
            </w:tcBorders>
            <w:shd w:val="clear" w:color="000000" w:fill="CCCCCC"/>
            <w:vAlign w:val="center"/>
            <w:hideMark/>
          </w:tcPr>
          <w:p w14:paraId="1BAD5559" w14:textId="77777777" w:rsidR="00044D5B" w:rsidRPr="00392E88" w:rsidRDefault="00044D5B">
            <w:pPr>
              <w:spacing w:before="0" w:after="0"/>
              <w:jc w:val="center"/>
              <w:rPr>
                <w:b/>
                <w:bCs/>
                <w:color w:val="000000"/>
                <w:sz w:val="16"/>
                <w:szCs w:val="16"/>
              </w:rPr>
            </w:pPr>
            <w:r w:rsidRPr="00392E88">
              <w:rPr>
                <w:b/>
                <w:color w:val="000000"/>
                <w:sz w:val="16"/>
              </w:rPr>
              <w:t>Suma cząstkowa DZIAŁ 7</w:t>
            </w:r>
          </w:p>
        </w:tc>
        <w:tc>
          <w:tcPr>
            <w:tcW w:w="960" w:type="dxa"/>
            <w:tcBorders>
              <w:top w:val="nil"/>
              <w:left w:val="nil"/>
              <w:bottom w:val="single" w:sz="8" w:space="0" w:color="auto"/>
              <w:right w:val="single" w:sz="8" w:space="0" w:color="auto"/>
            </w:tcBorders>
            <w:shd w:val="clear" w:color="000000" w:fill="D9D9D9"/>
            <w:vAlign w:val="center"/>
            <w:hideMark/>
          </w:tcPr>
          <w:p w14:paraId="63AFED94" w14:textId="77777777" w:rsidR="00044D5B" w:rsidRPr="00392E88" w:rsidRDefault="00044D5B">
            <w:pPr>
              <w:spacing w:before="0" w:after="0"/>
              <w:jc w:val="right"/>
              <w:rPr>
                <w:b/>
                <w:bCs/>
                <w:color w:val="000000"/>
                <w:sz w:val="16"/>
                <w:szCs w:val="16"/>
              </w:rPr>
            </w:pPr>
            <w:r w:rsidRPr="00392E88">
              <w:rPr>
                <w:b/>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14:paraId="6F3A3415" w14:textId="77777777" w:rsidR="00044D5B" w:rsidRPr="00392E88" w:rsidRDefault="00044D5B">
            <w:pPr>
              <w:spacing w:before="0" w:after="0"/>
              <w:jc w:val="right"/>
              <w:rPr>
                <w:b/>
                <w:bCs/>
                <w:color w:val="000000"/>
                <w:sz w:val="16"/>
                <w:szCs w:val="16"/>
              </w:rPr>
            </w:pPr>
            <w:r w:rsidRPr="00392E88">
              <w:rPr>
                <w:b/>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14:paraId="26ED0A5C" w14:textId="77777777" w:rsidR="00044D5B" w:rsidRPr="00392E88" w:rsidRDefault="00044D5B">
            <w:pPr>
              <w:spacing w:before="0" w:after="0"/>
              <w:jc w:val="right"/>
              <w:rPr>
                <w:b/>
                <w:bCs/>
                <w:color w:val="000000"/>
                <w:sz w:val="16"/>
                <w:szCs w:val="16"/>
              </w:rPr>
            </w:pPr>
            <w:r w:rsidRPr="00392E88">
              <w:rPr>
                <w:b/>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14:paraId="6EB3214B" w14:textId="77777777" w:rsidR="00044D5B" w:rsidRPr="00392E88" w:rsidRDefault="00044D5B">
            <w:pPr>
              <w:spacing w:before="0" w:after="0"/>
              <w:jc w:val="right"/>
              <w:rPr>
                <w:b/>
                <w:bCs/>
                <w:color w:val="000000"/>
                <w:sz w:val="16"/>
                <w:szCs w:val="16"/>
              </w:rPr>
            </w:pPr>
            <w:r w:rsidRPr="00392E88">
              <w:rPr>
                <w:b/>
                <w:color w:val="000000"/>
                <w:sz w:val="16"/>
              </w:rPr>
              <w:t>0,000</w:t>
            </w:r>
          </w:p>
        </w:tc>
        <w:tc>
          <w:tcPr>
            <w:tcW w:w="1080" w:type="dxa"/>
            <w:tcBorders>
              <w:top w:val="nil"/>
              <w:left w:val="nil"/>
              <w:bottom w:val="single" w:sz="8" w:space="0" w:color="auto"/>
              <w:right w:val="single" w:sz="8" w:space="0" w:color="auto"/>
            </w:tcBorders>
            <w:shd w:val="clear" w:color="000000" w:fill="D9D9D9"/>
            <w:vAlign w:val="center"/>
            <w:hideMark/>
          </w:tcPr>
          <w:p w14:paraId="69112B16" w14:textId="77777777" w:rsidR="00044D5B" w:rsidRPr="00392E88" w:rsidRDefault="00044D5B">
            <w:pPr>
              <w:spacing w:before="0" w:after="0"/>
              <w:jc w:val="right"/>
              <w:rPr>
                <w:b/>
                <w:bCs/>
                <w:color w:val="000000"/>
                <w:sz w:val="16"/>
                <w:szCs w:val="16"/>
              </w:rPr>
            </w:pPr>
            <w:r w:rsidRPr="00392E88">
              <w:rPr>
                <w:b/>
                <w:color w:val="000000"/>
                <w:sz w:val="16"/>
              </w:rPr>
              <w:t>0,000</w:t>
            </w:r>
          </w:p>
        </w:tc>
      </w:tr>
      <w:tr w:rsidR="00A7536C" w:rsidRPr="00392E88" w14:paraId="2266D210" w14:textId="77777777">
        <w:trPr>
          <w:trHeight w:val="300"/>
        </w:trPr>
        <w:tc>
          <w:tcPr>
            <w:tcW w:w="8680" w:type="dxa"/>
            <w:gridSpan w:val="6"/>
            <w:tcBorders>
              <w:top w:val="single" w:sz="8" w:space="0" w:color="auto"/>
              <w:left w:val="single" w:sz="8" w:space="0" w:color="auto"/>
              <w:bottom w:val="single" w:sz="8" w:space="0" w:color="auto"/>
              <w:right w:val="single" w:sz="4" w:space="0" w:color="auto"/>
            </w:tcBorders>
            <w:vAlign w:val="center"/>
            <w:hideMark/>
          </w:tcPr>
          <w:p w14:paraId="18F24C53" w14:textId="77777777" w:rsidR="00044D5B" w:rsidRPr="00392E88" w:rsidRDefault="00044D5B">
            <w:pPr>
              <w:spacing w:before="0" w:after="0"/>
              <w:jc w:val="left"/>
              <w:rPr>
                <w:b/>
                <w:bCs/>
                <w:sz w:val="16"/>
                <w:szCs w:val="16"/>
              </w:rPr>
            </w:pPr>
            <w:r w:rsidRPr="00392E88">
              <w:rPr>
                <w:b/>
                <w:sz w:val="16"/>
              </w:rPr>
              <w:t>Poza DZIAŁEM 7</w:t>
            </w:r>
          </w:p>
        </w:tc>
      </w:tr>
      <w:tr w:rsidR="00E62D64" w:rsidRPr="00392E88" w14:paraId="0A572997" w14:textId="77777777">
        <w:trPr>
          <w:trHeight w:val="300"/>
        </w:trPr>
        <w:tc>
          <w:tcPr>
            <w:tcW w:w="3760" w:type="dxa"/>
            <w:tcBorders>
              <w:top w:val="nil"/>
              <w:left w:val="single" w:sz="8" w:space="0" w:color="auto"/>
              <w:bottom w:val="single" w:sz="8" w:space="0" w:color="auto"/>
              <w:right w:val="single" w:sz="8" w:space="0" w:color="auto"/>
            </w:tcBorders>
            <w:vAlign w:val="center"/>
            <w:hideMark/>
          </w:tcPr>
          <w:p w14:paraId="5D957558" w14:textId="77777777" w:rsidR="00044D5B" w:rsidRPr="00392E88" w:rsidRDefault="00044D5B">
            <w:pPr>
              <w:spacing w:before="0" w:after="0"/>
              <w:jc w:val="left"/>
              <w:rPr>
                <w:color w:val="000000"/>
                <w:sz w:val="16"/>
                <w:szCs w:val="16"/>
              </w:rPr>
            </w:pPr>
            <w:r w:rsidRPr="00392E88">
              <w:rPr>
                <w:color w:val="000000"/>
                <w:sz w:val="16"/>
              </w:rPr>
              <w:t xml:space="preserve">Zasoby ludzkie </w:t>
            </w:r>
          </w:p>
        </w:tc>
        <w:tc>
          <w:tcPr>
            <w:tcW w:w="960" w:type="dxa"/>
            <w:tcBorders>
              <w:top w:val="nil"/>
              <w:left w:val="nil"/>
              <w:bottom w:val="single" w:sz="8" w:space="0" w:color="auto"/>
              <w:right w:val="single" w:sz="8" w:space="0" w:color="auto"/>
            </w:tcBorders>
            <w:shd w:val="clear" w:color="000000" w:fill="D9D9D9"/>
            <w:vAlign w:val="center"/>
            <w:hideMark/>
          </w:tcPr>
          <w:p w14:paraId="49C3A063" w14:textId="77777777" w:rsidR="00044D5B" w:rsidRPr="00392E88" w:rsidRDefault="00044D5B">
            <w:pPr>
              <w:spacing w:before="0" w:after="0"/>
              <w:jc w:val="right"/>
              <w:rPr>
                <w:color w:val="000000"/>
                <w:sz w:val="16"/>
                <w:szCs w:val="16"/>
              </w:rPr>
            </w:pPr>
            <w:r w:rsidRPr="00392E88">
              <w:rPr>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14:paraId="70ECD39F" w14:textId="77777777" w:rsidR="00044D5B" w:rsidRPr="00392E88" w:rsidRDefault="00044D5B">
            <w:pPr>
              <w:spacing w:before="0" w:after="0"/>
              <w:jc w:val="right"/>
              <w:rPr>
                <w:color w:val="000000"/>
                <w:sz w:val="16"/>
                <w:szCs w:val="16"/>
              </w:rPr>
            </w:pPr>
            <w:r w:rsidRPr="00392E88">
              <w:rPr>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14:paraId="487F7CE9" w14:textId="77777777" w:rsidR="00044D5B" w:rsidRPr="00392E88" w:rsidRDefault="00044D5B">
            <w:pPr>
              <w:spacing w:before="0" w:after="0"/>
              <w:jc w:val="right"/>
              <w:rPr>
                <w:color w:val="000000"/>
                <w:sz w:val="16"/>
                <w:szCs w:val="16"/>
              </w:rPr>
            </w:pPr>
            <w:r w:rsidRPr="00392E88">
              <w:rPr>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14:paraId="5DE7E41D" w14:textId="77777777" w:rsidR="00044D5B" w:rsidRPr="00392E88" w:rsidRDefault="00044D5B">
            <w:pPr>
              <w:spacing w:before="0" w:after="0"/>
              <w:jc w:val="right"/>
              <w:rPr>
                <w:color w:val="000000"/>
                <w:sz w:val="16"/>
                <w:szCs w:val="16"/>
              </w:rPr>
            </w:pPr>
            <w:r w:rsidRPr="00392E88">
              <w:rPr>
                <w:color w:val="000000"/>
                <w:sz w:val="16"/>
              </w:rPr>
              <w:t>0,000</w:t>
            </w:r>
          </w:p>
        </w:tc>
        <w:tc>
          <w:tcPr>
            <w:tcW w:w="1080" w:type="dxa"/>
            <w:tcBorders>
              <w:top w:val="nil"/>
              <w:left w:val="nil"/>
              <w:bottom w:val="single" w:sz="8" w:space="0" w:color="auto"/>
              <w:right w:val="single" w:sz="8" w:space="0" w:color="auto"/>
            </w:tcBorders>
            <w:shd w:val="clear" w:color="000000" w:fill="D9D9D9"/>
            <w:vAlign w:val="center"/>
            <w:hideMark/>
          </w:tcPr>
          <w:p w14:paraId="242714D6" w14:textId="77777777" w:rsidR="00044D5B" w:rsidRPr="00392E88" w:rsidRDefault="00044D5B">
            <w:pPr>
              <w:spacing w:before="0" w:after="0"/>
              <w:jc w:val="right"/>
              <w:rPr>
                <w:b/>
                <w:bCs/>
                <w:color w:val="000000"/>
                <w:sz w:val="16"/>
                <w:szCs w:val="16"/>
              </w:rPr>
            </w:pPr>
            <w:r w:rsidRPr="00392E88">
              <w:rPr>
                <w:b/>
                <w:color w:val="000000"/>
                <w:sz w:val="16"/>
              </w:rPr>
              <w:t>0,000</w:t>
            </w:r>
          </w:p>
        </w:tc>
      </w:tr>
      <w:tr w:rsidR="00E62D64" w:rsidRPr="00392E88" w14:paraId="4D6005C8" w14:textId="77777777">
        <w:trPr>
          <w:trHeight w:val="300"/>
        </w:trPr>
        <w:tc>
          <w:tcPr>
            <w:tcW w:w="3760" w:type="dxa"/>
            <w:tcBorders>
              <w:top w:val="nil"/>
              <w:left w:val="single" w:sz="8" w:space="0" w:color="auto"/>
              <w:bottom w:val="single" w:sz="8" w:space="0" w:color="auto"/>
              <w:right w:val="single" w:sz="8" w:space="0" w:color="auto"/>
            </w:tcBorders>
            <w:vAlign w:val="center"/>
            <w:hideMark/>
          </w:tcPr>
          <w:p w14:paraId="4CE34325" w14:textId="054D854A" w:rsidR="00044D5B" w:rsidRPr="00392E88" w:rsidRDefault="00044D5B">
            <w:pPr>
              <w:spacing w:before="0" w:after="0"/>
              <w:jc w:val="left"/>
              <w:rPr>
                <w:color w:val="000000"/>
                <w:sz w:val="16"/>
                <w:szCs w:val="16"/>
              </w:rPr>
            </w:pPr>
            <w:r w:rsidRPr="00392E88">
              <w:rPr>
                <w:color w:val="000000"/>
                <w:sz w:val="16"/>
              </w:rPr>
              <w:t>Pozostałe wydatki</w:t>
            </w:r>
            <w:r w:rsidR="006E6446" w:rsidRPr="00392E88">
              <w:rPr>
                <w:color w:val="000000"/>
                <w:sz w:val="16"/>
              </w:rPr>
              <w:t xml:space="preserve"> o</w:t>
            </w:r>
            <w:r w:rsidR="006E6446">
              <w:rPr>
                <w:color w:val="000000"/>
                <w:sz w:val="16"/>
              </w:rPr>
              <w:t> </w:t>
            </w:r>
            <w:r w:rsidR="006E6446" w:rsidRPr="00392E88">
              <w:rPr>
                <w:color w:val="000000"/>
                <w:sz w:val="16"/>
              </w:rPr>
              <w:t>cha</w:t>
            </w:r>
            <w:r w:rsidRPr="00392E88">
              <w:rPr>
                <w:color w:val="000000"/>
                <w:sz w:val="16"/>
              </w:rPr>
              <w:t>rakterze administracyjnym</w:t>
            </w:r>
          </w:p>
        </w:tc>
        <w:tc>
          <w:tcPr>
            <w:tcW w:w="960" w:type="dxa"/>
            <w:tcBorders>
              <w:top w:val="nil"/>
              <w:left w:val="nil"/>
              <w:bottom w:val="single" w:sz="8" w:space="0" w:color="auto"/>
              <w:right w:val="single" w:sz="8" w:space="0" w:color="auto"/>
            </w:tcBorders>
            <w:shd w:val="clear" w:color="000000" w:fill="D9D9D9"/>
            <w:vAlign w:val="center"/>
            <w:hideMark/>
          </w:tcPr>
          <w:p w14:paraId="4593D29C" w14:textId="77777777" w:rsidR="00044D5B" w:rsidRPr="00392E88" w:rsidRDefault="00044D5B">
            <w:pPr>
              <w:spacing w:before="0" w:after="0"/>
              <w:jc w:val="right"/>
              <w:rPr>
                <w:color w:val="000000"/>
                <w:sz w:val="16"/>
                <w:szCs w:val="16"/>
              </w:rPr>
            </w:pPr>
            <w:r w:rsidRPr="00392E88">
              <w:rPr>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14:paraId="5303814A" w14:textId="77777777" w:rsidR="00044D5B" w:rsidRPr="00392E88" w:rsidRDefault="00044D5B">
            <w:pPr>
              <w:spacing w:before="0" w:after="0"/>
              <w:jc w:val="right"/>
              <w:rPr>
                <w:color w:val="000000"/>
                <w:sz w:val="16"/>
                <w:szCs w:val="16"/>
              </w:rPr>
            </w:pPr>
            <w:r w:rsidRPr="00392E88">
              <w:rPr>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14:paraId="4883CCD3" w14:textId="77777777" w:rsidR="00044D5B" w:rsidRPr="00392E88" w:rsidRDefault="00044D5B">
            <w:pPr>
              <w:spacing w:before="0" w:after="0"/>
              <w:jc w:val="right"/>
              <w:rPr>
                <w:color w:val="000000"/>
                <w:sz w:val="16"/>
                <w:szCs w:val="16"/>
              </w:rPr>
            </w:pPr>
            <w:r w:rsidRPr="00392E88">
              <w:rPr>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14:paraId="0355856F" w14:textId="77777777" w:rsidR="00044D5B" w:rsidRPr="00392E88" w:rsidRDefault="00044D5B">
            <w:pPr>
              <w:spacing w:before="0" w:after="0"/>
              <w:jc w:val="right"/>
              <w:rPr>
                <w:color w:val="000000"/>
                <w:sz w:val="16"/>
                <w:szCs w:val="16"/>
              </w:rPr>
            </w:pPr>
            <w:r w:rsidRPr="00392E88">
              <w:rPr>
                <w:color w:val="000000"/>
                <w:sz w:val="16"/>
              </w:rPr>
              <w:t>0,000</w:t>
            </w:r>
          </w:p>
        </w:tc>
        <w:tc>
          <w:tcPr>
            <w:tcW w:w="1080" w:type="dxa"/>
            <w:tcBorders>
              <w:top w:val="nil"/>
              <w:left w:val="nil"/>
              <w:bottom w:val="single" w:sz="8" w:space="0" w:color="auto"/>
              <w:right w:val="single" w:sz="8" w:space="0" w:color="auto"/>
            </w:tcBorders>
            <w:shd w:val="clear" w:color="000000" w:fill="D9D9D9"/>
            <w:vAlign w:val="center"/>
            <w:hideMark/>
          </w:tcPr>
          <w:p w14:paraId="02ECB172" w14:textId="77777777" w:rsidR="00044D5B" w:rsidRPr="00392E88" w:rsidRDefault="00044D5B">
            <w:pPr>
              <w:spacing w:before="0" w:after="0"/>
              <w:jc w:val="right"/>
              <w:rPr>
                <w:b/>
                <w:bCs/>
                <w:color w:val="000000"/>
                <w:sz w:val="16"/>
                <w:szCs w:val="16"/>
              </w:rPr>
            </w:pPr>
            <w:r w:rsidRPr="00392E88">
              <w:rPr>
                <w:b/>
                <w:color w:val="000000"/>
                <w:sz w:val="16"/>
              </w:rPr>
              <w:t>0,000</w:t>
            </w:r>
          </w:p>
        </w:tc>
      </w:tr>
      <w:tr w:rsidR="00504273" w:rsidRPr="00392E88" w14:paraId="1EAC2E4A" w14:textId="77777777">
        <w:trPr>
          <w:trHeight w:val="300"/>
        </w:trPr>
        <w:tc>
          <w:tcPr>
            <w:tcW w:w="3760" w:type="dxa"/>
            <w:tcBorders>
              <w:top w:val="nil"/>
              <w:left w:val="single" w:sz="8" w:space="0" w:color="auto"/>
              <w:bottom w:val="single" w:sz="8" w:space="0" w:color="auto"/>
              <w:right w:val="single" w:sz="8" w:space="0" w:color="auto"/>
            </w:tcBorders>
            <w:shd w:val="clear" w:color="000000" w:fill="CCCCCC"/>
            <w:vAlign w:val="center"/>
            <w:hideMark/>
          </w:tcPr>
          <w:p w14:paraId="77CA994E" w14:textId="77777777" w:rsidR="00044D5B" w:rsidRPr="00392E88" w:rsidRDefault="00044D5B">
            <w:pPr>
              <w:spacing w:before="0" w:after="0"/>
              <w:jc w:val="center"/>
              <w:rPr>
                <w:b/>
                <w:bCs/>
                <w:color w:val="000000"/>
                <w:sz w:val="16"/>
                <w:szCs w:val="16"/>
              </w:rPr>
            </w:pPr>
            <w:r w:rsidRPr="00392E88">
              <w:rPr>
                <w:b/>
                <w:color w:val="000000"/>
                <w:sz w:val="16"/>
              </w:rPr>
              <w:t>Suma cząstkowa poza DZIAŁEM 7</w:t>
            </w:r>
          </w:p>
        </w:tc>
        <w:tc>
          <w:tcPr>
            <w:tcW w:w="960" w:type="dxa"/>
            <w:tcBorders>
              <w:top w:val="nil"/>
              <w:left w:val="nil"/>
              <w:bottom w:val="single" w:sz="8" w:space="0" w:color="auto"/>
              <w:right w:val="single" w:sz="8" w:space="0" w:color="auto"/>
            </w:tcBorders>
            <w:shd w:val="clear" w:color="000000" w:fill="D9D9D9"/>
            <w:vAlign w:val="center"/>
            <w:hideMark/>
          </w:tcPr>
          <w:p w14:paraId="32683967" w14:textId="77777777" w:rsidR="00044D5B" w:rsidRPr="00392E88" w:rsidRDefault="00044D5B">
            <w:pPr>
              <w:spacing w:before="0" w:after="0"/>
              <w:jc w:val="right"/>
              <w:rPr>
                <w:b/>
                <w:bCs/>
                <w:color w:val="000000"/>
                <w:sz w:val="16"/>
                <w:szCs w:val="16"/>
              </w:rPr>
            </w:pPr>
            <w:r w:rsidRPr="00392E88">
              <w:rPr>
                <w:b/>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14:paraId="636EE5D4" w14:textId="77777777" w:rsidR="00044D5B" w:rsidRPr="00392E88" w:rsidRDefault="00044D5B">
            <w:pPr>
              <w:spacing w:before="0" w:after="0"/>
              <w:jc w:val="right"/>
              <w:rPr>
                <w:b/>
                <w:bCs/>
                <w:color w:val="000000"/>
                <w:sz w:val="16"/>
                <w:szCs w:val="16"/>
              </w:rPr>
            </w:pPr>
            <w:r w:rsidRPr="00392E88">
              <w:rPr>
                <w:b/>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14:paraId="3073E5CF" w14:textId="77777777" w:rsidR="00044D5B" w:rsidRPr="00392E88" w:rsidRDefault="00044D5B">
            <w:pPr>
              <w:spacing w:before="0" w:after="0"/>
              <w:jc w:val="right"/>
              <w:rPr>
                <w:b/>
                <w:bCs/>
                <w:color w:val="000000"/>
                <w:sz w:val="16"/>
                <w:szCs w:val="16"/>
              </w:rPr>
            </w:pPr>
            <w:r w:rsidRPr="00392E88">
              <w:rPr>
                <w:b/>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14:paraId="69441056" w14:textId="77777777" w:rsidR="00044D5B" w:rsidRPr="00392E88" w:rsidRDefault="00044D5B">
            <w:pPr>
              <w:spacing w:before="0" w:after="0"/>
              <w:jc w:val="right"/>
              <w:rPr>
                <w:b/>
                <w:bCs/>
                <w:color w:val="000000"/>
                <w:sz w:val="16"/>
                <w:szCs w:val="16"/>
              </w:rPr>
            </w:pPr>
            <w:r w:rsidRPr="00392E88">
              <w:rPr>
                <w:b/>
                <w:color w:val="000000"/>
                <w:sz w:val="16"/>
              </w:rPr>
              <w:t>0,000</w:t>
            </w:r>
          </w:p>
        </w:tc>
        <w:tc>
          <w:tcPr>
            <w:tcW w:w="1080" w:type="dxa"/>
            <w:tcBorders>
              <w:top w:val="nil"/>
              <w:left w:val="nil"/>
              <w:bottom w:val="single" w:sz="8" w:space="0" w:color="auto"/>
              <w:right w:val="single" w:sz="8" w:space="0" w:color="auto"/>
            </w:tcBorders>
            <w:shd w:val="clear" w:color="000000" w:fill="D9D9D9"/>
            <w:vAlign w:val="center"/>
            <w:hideMark/>
          </w:tcPr>
          <w:p w14:paraId="7333A0C9" w14:textId="77777777" w:rsidR="00044D5B" w:rsidRPr="00392E88" w:rsidRDefault="00044D5B">
            <w:pPr>
              <w:spacing w:before="0" w:after="0"/>
              <w:jc w:val="right"/>
              <w:rPr>
                <w:b/>
                <w:bCs/>
                <w:color w:val="000000"/>
                <w:sz w:val="16"/>
                <w:szCs w:val="16"/>
              </w:rPr>
            </w:pPr>
            <w:r w:rsidRPr="00392E88">
              <w:rPr>
                <w:b/>
                <w:color w:val="000000"/>
                <w:sz w:val="16"/>
              </w:rPr>
              <w:t>0,000</w:t>
            </w:r>
          </w:p>
        </w:tc>
      </w:tr>
      <w:tr w:rsidR="00A7536C" w:rsidRPr="00392E88" w14:paraId="041FAA36" w14:textId="77777777">
        <w:trPr>
          <w:trHeight w:val="300"/>
        </w:trPr>
        <w:tc>
          <w:tcPr>
            <w:tcW w:w="8680" w:type="dxa"/>
            <w:gridSpan w:val="6"/>
            <w:tcBorders>
              <w:top w:val="single" w:sz="8" w:space="0" w:color="auto"/>
              <w:left w:val="single" w:sz="8" w:space="0" w:color="auto"/>
              <w:bottom w:val="single" w:sz="8" w:space="0" w:color="auto"/>
              <w:right w:val="single" w:sz="4" w:space="0" w:color="auto"/>
            </w:tcBorders>
            <w:noWrap/>
            <w:vAlign w:val="center"/>
            <w:hideMark/>
          </w:tcPr>
          <w:p w14:paraId="4E789CAE" w14:textId="77777777" w:rsidR="00044D5B" w:rsidRPr="00392E88" w:rsidRDefault="00044D5B">
            <w:pPr>
              <w:spacing w:before="0" w:after="0"/>
              <w:jc w:val="center"/>
              <w:rPr>
                <w:color w:val="000000"/>
                <w:sz w:val="16"/>
                <w:szCs w:val="16"/>
              </w:rPr>
            </w:pPr>
            <w:r w:rsidRPr="00392E88">
              <w:rPr>
                <w:color w:val="000000"/>
                <w:sz w:val="16"/>
              </w:rPr>
              <w:t xml:space="preserve"> </w:t>
            </w:r>
          </w:p>
        </w:tc>
      </w:tr>
      <w:tr w:rsidR="00E62D64" w:rsidRPr="00392E88" w14:paraId="3494D512" w14:textId="77777777">
        <w:trPr>
          <w:trHeight w:val="312"/>
        </w:trPr>
        <w:tc>
          <w:tcPr>
            <w:tcW w:w="3760" w:type="dxa"/>
            <w:tcBorders>
              <w:top w:val="single" w:sz="12" w:space="0" w:color="auto"/>
              <w:left w:val="single" w:sz="12" w:space="0" w:color="auto"/>
              <w:bottom w:val="single" w:sz="12" w:space="0" w:color="auto"/>
              <w:right w:val="single" w:sz="8" w:space="0" w:color="auto"/>
            </w:tcBorders>
            <w:vAlign w:val="center"/>
            <w:hideMark/>
          </w:tcPr>
          <w:p w14:paraId="4DD19BC7" w14:textId="77777777" w:rsidR="00044D5B" w:rsidRPr="00392E88" w:rsidRDefault="00044D5B">
            <w:pPr>
              <w:spacing w:before="0" w:after="0"/>
              <w:jc w:val="center"/>
              <w:rPr>
                <w:b/>
                <w:bCs/>
                <w:color w:val="000000"/>
                <w:sz w:val="16"/>
                <w:szCs w:val="16"/>
              </w:rPr>
            </w:pPr>
            <w:r w:rsidRPr="00392E88">
              <w:rPr>
                <w:b/>
                <w:color w:val="000000"/>
                <w:sz w:val="16"/>
              </w:rPr>
              <w:t>OGÓŁEM</w:t>
            </w:r>
          </w:p>
        </w:tc>
        <w:tc>
          <w:tcPr>
            <w:tcW w:w="960" w:type="dxa"/>
            <w:tcBorders>
              <w:top w:val="single" w:sz="12" w:space="0" w:color="auto"/>
              <w:left w:val="nil"/>
              <w:bottom w:val="single" w:sz="12" w:space="0" w:color="auto"/>
              <w:right w:val="single" w:sz="8" w:space="0" w:color="auto"/>
            </w:tcBorders>
            <w:shd w:val="clear" w:color="000000" w:fill="D9D9D9"/>
            <w:vAlign w:val="center"/>
            <w:hideMark/>
          </w:tcPr>
          <w:p w14:paraId="7D520A0A" w14:textId="77777777" w:rsidR="00044D5B" w:rsidRPr="00392E88" w:rsidRDefault="00044D5B">
            <w:pPr>
              <w:spacing w:before="0" w:after="0"/>
              <w:jc w:val="right"/>
              <w:rPr>
                <w:b/>
                <w:bCs/>
                <w:color w:val="000000"/>
                <w:sz w:val="16"/>
                <w:szCs w:val="16"/>
              </w:rPr>
            </w:pPr>
            <w:r w:rsidRPr="00392E88">
              <w:rPr>
                <w:b/>
                <w:color w:val="000000"/>
                <w:sz w:val="16"/>
              </w:rPr>
              <w:t>0,000</w:t>
            </w:r>
          </w:p>
        </w:tc>
        <w:tc>
          <w:tcPr>
            <w:tcW w:w="960" w:type="dxa"/>
            <w:tcBorders>
              <w:top w:val="single" w:sz="12" w:space="0" w:color="auto"/>
              <w:left w:val="nil"/>
              <w:bottom w:val="single" w:sz="12" w:space="0" w:color="auto"/>
              <w:right w:val="single" w:sz="8" w:space="0" w:color="auto"/>
            </w:tcBorders>
            <w:shd w:val="clear" w:color="000000" w:fill="D9D9D9"/>
            <w:vAlign w:val="center"/>
            <w:hideMark/>
          </w:tcPr>
          <w:p w14:paraId="4F581F49" w14:textId="77777777" w:rsidR="00044D5B" w:rsidRPr="00392E88" w:rsidRDefault="00044D5B">
            <w:pPr>
              <w:spacing w:before="0" w:after="0"/>
              <w:jc w:val="right"/>
              <w:rPr>
                <w:b/>
                <w:bCs/>
                <w:color w:val="000000"/>
                <w:sz w:val="16"/>
                <w:szCs w:val="16"/>
              </w:rPr>
            </w:pPr>
            <w:r w:rsidRPr="00392E88">
              <w:rPr>
                <w:b/>
                <w:color w:val="000000"/>
                <w:sz w:val="16"/>
              </w:rPr>
              <w:t>0,000</w:t>
            </w:r>
          </w:p>
        </w:tc>
        <w:tc>
          <w:tcPr>
            <w:tcW w:w="960" w:type="dxa"/>
            <w:tcBorders>
              <w:top w:val="single" w:sz="12" w:space="0" w:color="auto"/>
              <w:left w:val="nil"/>
              <w:bottom w:val="single" w:sz="12" w:space="0" w:color="auto"/>
              <w:right w:val="single" w:sz="8" w:space="0" w:color="auto"/>
            </w:tcBorders>
            <w:shd w:val="clear" w:color="000000" w:fill="D9D9D9"/>
            <w:vAlign w:val="center"/>
            <w:hideMark/>
          </w:tcPr>
          <w:p w14:paraId="02B524E4" w14:textId="77777777" w:rsidR="00044D5B" w:rsidRPr="00392E88" w:rsidRDefault="00044D5B">
            <w:pPr>
              <w:spacing w:before="0" w:after="0"/>
              <w:jc w:val="right"/>
              <w:rPr>
                <w:b/>
                <w:bCs/>
                <w:color w:val="000000"/>
                <w:sz w:val="16"/>
                <w:szCs w:val="16"/>
              </w:rPr>
            </w:pPr>
            <w:r w:rsidRPr="00392E88">
              <w:rPr>
                <w:b/>
                <w:color w:val="000000"/>
                <w:sz w:val="16"/>
              </w:rPr>
              <w:t>0,000</w:t>
            </w:r>
          </w:p>
        </w:tc>
        <w:tc>
          <w:tcPr>
            <w:tcW w:w="960" w:type="dxa"/>
            <w:tcBorders>
              <w:top w:val="single" w:sz="12" w:space="0" w:color="auto"/>
              <w:left w:val="nil"/>
              <w:bottom w:val="single" w:sz="12" w:space="0" w:color="auto"/>
              <w:right w:val="single" w:sz="8" w:space="0" w:color="auto"/>
            </w:tcBorders>
            <w:shd w:val="clear" w:color="000000" w:fill="D9D9D9"/>
            <w:vAlign w:val="center"/>
            <w:hideMark/>
          </w:tcPr>
          <w:p w14:paraId="7A54EB7B" w14:textId="77777777" w:rsidR="00044D5B" w:rsidRPr="00392E88" w:rsidRDefault="00044D5B">
            <w:pPr>
              <w:spacing w:before="0" w:after="0"/>
              <w:jc w:val="right"/>
              <w:rPr>
                <w:b/>
                <w:bCs/>
                <w:color w:val="000000"/>
                <w:sz w:val="16"/>
                <w:szCs w:val="16"/>
              </w:rPr>
            </w:pPr>
            <w:r w:rsidRPr="00392E88">
              <w:rPr>
                <w:b/>
                <w:color w:val="000000"/>
                <w:sz w:val="16"/>
              </w:rPr>
              <w:t>0,000</w:t>
            </w:r>
          </w:p>
        </w:tc>
        <w:tc>
          <w:tcPr>
            <w:tcW w:w="1080" w:type="dxa"/>
            <w:tcBorders>
              <w:top w:val="single" w:sz="12" w:space="0" w:color="auto"/>
              <w:left w:val="nil"/>
              <w:bottom w:val="single" w:sz="12" w:space="0" w:color="auto"/>
              <w:right w:val="single" w:sz="8" w:space="0" w:color="auto"/>
            </w:tcBorders>
            <w:shd w:val="clear" w:color="000000" w:fill="D9D9D9"/>
            <w:vAlign w:val="center"/>
            <w:hideMark/>
          </w:tcPr>
          <w:p w14:paraId="26DAD7C8" w14:textId="77777777" w:rsidR="00044D5B" w:rsidRPr="00392E88" w:rsidRDefault="00044D5B">
            <w:pPr>
              <w:spacing w:before="0" w:after="0"/>
              <w:jc w:val="right"/>
              <w:rPr>
                <w:b/>
                <w:bCs/>
                <w:color w:val="000000"/>
                <w:sz w:val="16"/>
                <w:szCs w:val="16"/>
              </w:rPr>
            </w:pPr>
            <w:r w:rsidRPr="00392E88">
              <w:rPr>
                <w:b/>
                <w:color w:val="000000"/>
                <w:sz w:val="16"/>
              </w:rPr>
              <w:t>0,000</w:t>
            </w:r>
          </w:p>
        </w:tc>
      </w:tr>
    </w:tbl>
    <w:p w14:paraId="4CBEDCF8" w14:textId="7F54EE7D" w:rsidR="00044D5B" w:rsidRPr="00392E88" w:rsidRDefault="00044D5B" w:rsidP="00044D5B">
      <w:pPr>
        <w:rPr>
          <w:noProof/>
          <w:sz w:val="22"/>
          <w:szCs w:val="28"/>
        </w:rPr>
      </w:pPr>
      <w:r w:rsidRPr="00392E88">
        <w:rPr>
          <w:sz w:val="22"/>
        </w:rPr>
        <w:t>Potrzeby</w:t>
      </w:r>
      <w:r w:rsidR="006E6446" w:rsidRPr="00392E88">
        <w:rPr>
          <w:sz w:val="22"/>
        </w:rPr>
        <w:t xml:space="preserve"> w</w:t>
      </w:r>
      <w:r w:rsidR="006E6446">
        <w:rPr>
          <w:sz w:val="22"/>
        </w:rPr>
        <w:t> </w:t>
      </w:r>
      <w:r w:rsidR="006E6446" w:rsidRPr="00392E88">
        <w:rPr>
          <w:sz w:val="22"/>
        </w:rPr>
        <w:t>zak</w:t>
      </w:r>
      <w:r w:rsidRPr="00392E88">
        <w:rPr>
          <w:sz w:val="22"/>
        </w:rPr>
        <w:t>resie środków na zasoby ludzkie</w:t>
      </w:r>
      <w:r w:rsidR="006E6446" w:rsidRPr="00392E88">
        <w:rPr>
          <w:sz w:val="22"/>
        </w:rPr>
        <w:t xml:space="preserve"> i</w:t>
      </w:r>
      <w:r w:rsidR="006E6446">
        <w:rPr>
          <w:sz w:val="22"/>
        </w:rPr>
        <w:t> </w:t>
      </w:r>
      <w:r w:rsidR="006E6446" w:rsidRPr="00392E88">
        <w:rPr>
          <w:sz w:val="22"/>
        </w:rPr>
        <w:t>inn</w:t>
      </w:r>
      <w:r w:rsidRPr="00392E88">
        <w:rPr>
          <w:sz w:val="22"/>
        </w:rPr>
        <w:t>e wydatki</w:t>
      </w:r>
      <w:r w:rsidR="006E6446" w:rsidRPr="00392E88">
        <w:rPr>
          <w:sz w:val="22"/>
        </w:rPr>
        <w:t xml:space="preserve"> o</w:t>
      </w:r>
      <w:r w:rsidR="006E6446">
        <w:rPr>
          <w:sz w:val="22"/>
        </w:rPr>
        <w:t> </w:t>
      </w:r>
      <w:r w:rsidR="006E6446" w:rsidRPr="00392E88">
        <w:rPr>
          <w:sz w:val="22"/>
        </w:rPr>
        <w:t>cha</w:t>
      </w:r>
      <w:r w:rsidRPr="00392E88">
        <w:rPr>
          <w:sz w:val="22"/>
        </w:rPr>
        <w:t>rakterze administracyjnym zostaną pokryte ze środków dyrekcji generalnej już przydzielonych na zarządzanie tym działaniem lub przesuniętych</w:t>
      </w:r>
      <w:r w:rsidR="006E6446" w:rsidRPr="00392E88">
        <w:rPr>
          <w:sz w:val="22"/>
        </w:rPr>
        <w:t xml:space="preserve"> w</w:t>
      </w:r>
      <w:r w:rsidR="006E6446">
        <w:rPr>
          <w:sz w:val="22"/>
        </w:rPr>
        <w:t> </w:t>
      </w:r>
      <w:r w:rsidR="006E6446" w:rsidRPr="00392E88">
        <w:rPr>
          <w:sz w:val="22"/>
        </w:rPr>
        <w:t>ram</w:t>
      </w:r>
      <w:r w:rsidRPr="00392E88">
        <w:rPr>
          <w:sz w:val="22"/>
        </w:rPr>
        <w:t>ach dyrekcji generalnej, uzupełnionych</w:t>
      </w:r>
      <w:r w:rsidR="006E6446" w:rsidRPr="00392E88">
        <w:rPr>
          <w:sz w:val="22"/>
        </w:rPr>
        <w:t xml:space="preserve"> w</w:t>
      </w:r>
      <w:r w:rsidR="006E6446">
        <w:rPr>
          <w:sz w:val="22"/>
        </w:rPr>
        <w:t> </w:t>
      </w:r>
      <w:r w:rsidR="006E6446" w:rsidRPr="00392E88">
        <w:rPr>
          <w:sz w:val="22"/>
        </w:rPr>
        <w:t>raz</w:t>
      </w:r>
      <w:r w:rsidRPr="00392E88">
        <w:rPr>
          <w:sz w:val="22"/>
        </w:rPr>
        <w:t>ie potrzeby wszelkimi dodatkowymi zasobami, które mogą zostać przydzielone zarządzającej dyrekcji generalnej</w:t>
      </w:r>
      <w:r w:rsidR="006E6446" w:rsidRPr="00392E88">
        <w:rPr>
          <w:sz w:val="22"/>
        </w:rPr>
        <w:t xml:space="preserve"> w</w:t>
      </w:r>
      <w:r w:rsidR="006E6446">
        <w:rPr>
          <w:sz w:val="22"/>
        </w:rPr>
        <w:t> </w:t>
      </w:r>
      <w:r w:rsidR="006E6446" w:rsidRPr="00392E88">
        <w:rPr>
          <w:sz w:val="22"/>
        </w:rPr>
        <w:t>ram</w:t>
      </w:r>
      <w:r w:rsidRPr="00392E88">
        <w:rPr>
          <w:sz w:val="22"/>
        </w:rPr>
        <w:t>ach procedury rocznego przydziału środków oraz</w:t>
      </w:r>
      <w:r w:rsidR="006E6446" w:rsidRPr="00392E88">
        <w:rPr>
          <w:sz w:val="22"/>
        </w:rPr>
        <w:t xml:space="preserve"> w</w:t>
      </w:r>
      <w:r w:rsidR="006E6446">
        <w:rPr>
          <w:sz w:val="22"/>
        </w:rPr>
        <w:t> </w:t>
      </w:r>
      <w:r w:rsidR="006E6446" w:rsidRPr="00392E88">
        <w:rPr>
          <w:sz w:val="22"/>
        </w:rPr>
        <w:t>świ</w:t>
      </w:r>
      <w:r w:rsidRPr="00392E88">
        <w:rPr>
          <w:sz w:val="22"/>
        </w:rPr>
        <w:t>etle istniejących ograniczeń budżetowych.</w:t>
      </w:r>
    </w:p>
    <w:p w14:paraId="512FF03B" w14:textId="77777777" w:rsidR="00044D5B" w:rsidRPr="00392E88" w:rsidRDefault="00044D5B" w:rsidP="00044D5B">
      <w:pPr>
        <w:pStyle w:val="ManualHeading3"/>
        <w:rPr>
          <w:bCs/>
          <w:noProof/>
          <w:szCs w:val="24"/>
        </w:rPr>
      </w:pPr>
      <w:r w:rsidRPr="00392E88">
        <w:t>3.2.4.</w:t>
      </w:r>
      <w:r w:rsidRPr="00392E88">
        <w:tab/>
        <w:t xml:space="preserve">Szacowane zapotrzebowanie na zasoby ludzkie </w:t>
      </w:r>
    </w:p>
    <w:p w14:paraId="371FF4FB" w14:textId="23137AAC" w:rsidR="00044D5B" w:rsidRPr="00392E88" w:rsidRDefault="00044D5B" w:rsidP="00044D5B">
      <w:pPr>
        <w:pStyle w:val="ListDash1"/>
        <w:rPr>
          <w:noProof/>
        </w:rPr>
      </w:pPr>
      <w:r w:rsidRPr="00392E88">
        <w:rPr>
          <w:rFonts w:ascii="Wingdings" w:hAnsi="Wingdings"/>
        </w:rPr>
        <w:t>¨</w:t>
      </w:r>
      <w:r w:rsidRPr="00392E88">
        <w:tab/>
        <w:t>Wniosek/inicjatywa nie wiąże się</w:t>
      </w:r>
      <w:r w:rsidR="006E6446" w:rsidRPr="00392E88">
        <w:t xml:space="preserve"> z</w:t>
      </w:r>
      <w:r w:rsidR="006E6446">
        <w:t> </w:t>
      </w:r>
      <w:r w:rsidR="006E6446" w:rsidRPr="00392E88">
        <w:t>kon</w:t>
      </w:r>
      <w:r w:rsidRPr="00392E88">
        <w:t xml:space="preserve">iecznością wykorzystania zasobów ludzkich </w:t>
      </w:r>
    </w:p>
    <w:p w14:paraId="60060A16" w14:textId="7447E98A" w:rsidR="00044D5B" w:rsidRPr="00392E88" w:rsidRDefault="00044D5B" w:rsidP="00044D5B">
      <w:pPr>
        <w:pStyle w:val="ListDash1"/>
        <w:rPr>
          <w:noProof/>
        </w:rPr>
      </w:pPr>
      <w:r w:rsidRPr="00392E88">
        <w:rPr>
          <w:rFonts w:ascii="Wingdings" w:hAnsi="Wingdings"/>
        </w:rPr>
        <w:t>¨</w:t>
      </w:r>
      <w:r w:rsidRPr="00392E88">
        <w:tab/>
        <w:t>Wniosek/inicjatywa wiąże się</w:t>
      </w:r>
      <w:r w:rsidR="006E6446" w:rsidRPr="00392E88">
        <w:t xml:space="preserve"> z</w:t>
      </w:r>
      <w:r w:rsidR="006E6446">
        <w:t> </w:t>
      </w:r>
      <w:r w:rsidR="006E6446" w:rsidRPr="00392E88">
        <w:t>kon</w:t>
      </w:r>
      <w:r w:rsidRPr="00392E88">
        <w:t>iecznością wykorzystania zasobów ludzkich, jak określono poniżej</w:t>
      </w:r>
    </w:p>
    <w:p w14:paraId="62BDE414" w14:textId="4CFEB544" w:rsidR="00044D5B" w:rsidRPr="00392E88" w:rsidRDefault="00044D5B" w:rsidP="00044D5B">
      <w:pPr>
        <w:pStyle w:val="ManualHeading3"/>
      </w:pPr>
      <w:r w:rsidRPr="00392E88">
        <w:t>3.2.4.1.</w:t>
      </w:r>
      <w:r w:rsidRPr="00392E88">
        <w:tab/>
        <w:t>Finansowane</w:t>
      </w:r>
      <w:r w:rsidR="006E6446" w:rsidRPr="00392E88">
        <w:t xml:space="preserve"> z</w:t>
      </w:r>
      <w:r w:rsidR="006E6446">
        <w:t> </w:t>
      </w:r>
      <w:r w:rsidR="006E6446" w:rsidRPr="00392E88">
        <w:t>uch</w:t>
      </w:r>
      <w:r w:rsidRPr="00392E88">
        <w:t>walonego budżetu</w:t>
      </w:r>
    </w:p>
    <w:p w14:paraId="29E3B74C" w14:textId="51EC9341" w:rsidR="00044D5B" w:rsidRPr="00392E88" w:rsidRDefault="00044D5B" w:rsidP="00044D5B">
      <w:pPr>
        <w:spacing w:after="60"/>
        <w:jc w:val="right"/>
        <w:rPr>
          <w:i/>
          <w:noProof/>
          <w:sz w:val="20"/>
        </w:rPr>
      </w:pPr>
      <w:r w:rsidRPr="00392E88">
        <w:rPr>
          <w:i/>
          <w:sz w:val="20"/>
        </w:rPr>
        <w:t>Wartości szacunkowe należy wyrazić</w:t>
      </w:r>
      <w:r w:rsidR="006E6446" w:rsidRPr="00392E88">
        <w:rPr>
          <w:i/>
          <w:sz w:val="20"/>
        </w:rPr>
        <w:t xml:space="preserve"> w</w:t>
      </w:r>
      <w:r w:rsidR="006E6446">
        <w:rPr>
          <w:i/>
          <w:sz w:val="20"/>
        </w:rPr>
        <w:t> </w:t>
      </w:r>
      <w:r w:rsidR="006E6446" w:rsidRPr="00392E88">
        <w:rPr>
          <w:i/>
          <w:sz w:val="20"/>
        </w:rPr>
        <w:t>ekw</w:t>
      </w:r>
      <w:r w:rsidRPr="00392E88">
        <w:rPr>
          <w:i/>
          <w:sz w:val="20"/>
        </w:rPr>
        <w:t>iwalentach pełnego czasu pracy (EPC)</w:t>
      </w:r>
    </w:p>
    <w:p w14:paraId="1FFBA4E5" w14:textId="77777777" w:rsidR="00044D5B" w:rsidRPr="00392E88" w:rsidRDefault="00044D5B" w:rsidP="00044D5B">
      <w:pPr>
        <w:pStyle w:val="Text1"/>
        <w:spacing w:before="60" w:after="60"/>
        <w:ind w:left="-426" w:right="-427"/>
        <w:rPr>
          <w:b/>
          <w:noProof/>
          <w:sz w:val="18"/>
          <w:szCs w:val="18"/>
        </w:rPr>
      </w:pPr>
    </w:p>
    <w:tbl>
      <w:tblPr>
        <w:tblW w:w="5000" w:type="pct"/>
        <w:tblInd w:w="-118" w:type="dxa"/>
        <w:tblCellMar>
          <w:left w:w="0" w:type="dxa"/>
          <w:right w:w="0" w:type="dxa"/>
        </w:tblCellMar>
        <w:tblLook w:val="04A0" w:firstRow="1" w:lastRow="0" w:firstColumn="1" w:lastColumn="0" w:noHBand="0" w:noVBand="1"/>
      </w:tblPr>
      <w:tblGrid>
        <w:gridCol w:w="1483"/>
        <w:gridCol w:w="3816"/>
        <w:gridCol w:w="949"/>
        <w:gridCol w:w="949"/>
        <w:gridCol w:w="949"/>
        <w:gridCol w:w="947"/>
      </w:tblGrid>
      <w:tr w:rsidR="00E6355E" w:rsidRPr="00392E88" w14:paraId="4CDC932A" w14:textId="77777777">
        <w:trPr>
          <w:trHeight w:val="300"/>
        </w:trPr>
        <w:tc>
          <w:tcPr>
            <w:tcW w:w="2913" w:type="pct"/>
            <w:gridSpan w:val="2"/>
            <w:vMerge w:val="restart"/>
            <w:tcBorders>
              <w:top w:val="single" w:sz="8" w:space="0" w:color="auto"/>
              <w:left w:val="single" w:sz="8" w:space="0" w:color="auto"/>
              <w:bottom w:val="single" w:sz="8" w:space="0" w:color="000000"/>
              <w:right w:val="single" w:sz="8" w:space="0" w:color="000000"/>
            </w:tcBorders>
            <w:vAlign w:val="center"/>
            <w:hideMark/>
          </w:tcPr>
          <w:p w14:paraId="13F1A735" w14:textId="77777777" w:rsidR="00044D5B" w:rsidRPr="00392E88" w:rsidRDefault="00044D5B">
            <w:pPr>
              <w:spacing w:before="0" w:after="0"/>
              <w:jc w:val="center"/>
              <w:rPr>
                <w:b/>
                <w:bCs/>
                <w:color w:val="000000"/>
                <w:sz w:val="18"/>
                <w:szCs w:val="18"/>
              </w:rPr>
            </w:pPr>
            <w:r w:rsidRPr="00392E88">
              <w:rPr>
                <w:b/>
                <w:color w:val="000000"/>
                <w:sz w:val="18"/>
              </w:rPr>
              <w:t>ZATWIERDZONE ŚRODKI</w:t>
            </w:r>
          </w:p>
        </w:tc>
        <w:tc>
          <w:tcPr>
            <w:tcW w:w="522" w:type="pct"/>
            <w:tcBorders>
              <w:top w:val="single" w:sz="8" w:space="0" w:color="auto"/>
              <w:left w:val="nil"/>
              <w:bottom w:val="nil"/>
              <w:right w:val="single" w:sz="8" w:space="0" w:color="auto"/>
            </w:tcBorders>
            <w:vAlign w:val="center"/>
            <w:hideMark/>
          </w:tcPr>
          <w:p w14:paraId="38A850B4" w14:textId="77777777" w:rsidR="00044D5B" w:rsidRPr="00392E88" w:rsidRDefault="00044D5B">
            <w:pPr>
              <w:spacing w:before="0" w:after="0"/>
              <w:jc w:val="center"/>
              <w:rPr>
                <w:color w:val="000000"/>
                <w:sz w:val="20"/>
                <w:szCs w:val="20"/>
              </w:rPr>
            </w:pPr>
            <w:r w:rsidRPr="00392E88">
              <w:rPr>
                <w:color w:val="000000"/>
                <w:sz w:val="20"/>
              </w:rPr>
              <w:t>Rok</w:t>
            </w:r>
          </w:p>
        </w:tc>
        <w:tc>
          <w:tcPr>
            <w:tcW w:w="522" w:type="pct"/>
            <w:tcBorders>
              <w:top w:val="single" w:sz="8" w:space="0" w:color="auto"/>
              <w:left w:val="nil"/>
              <w:bottom w:val="nil"/>
              <w:right w:val="single" w:sz="8" w:space="0" w:color="auto"/>
            </w:tcBorders>
            <w:vAlign w:val="center"/>
            <w:hideMark/>
          </w:tcPr>
          <w:p w14:paraId="2C2CE8ED" w14:textId="77777777" w:rsidR="00044D5B" w:rsidRPr="00392E88" w:rsidRDefault="00044D5B">
            <w:pPr>
              <w:spacing w:before="0" w:after="0"/>
              <w:jc w:val="center"/>
              <w:rPr>
                <w:color w:val="000000"/>
                <w:sz w:val="20"/>
                <w:szCs w:val="20"/>
              </w:rPr>
            </w:pPr>
            <w:r w:rsidRPr="00392E88">
              <w:rPr>
                <w:color w:val="000000"/>
                <w:sz w:val="20"/>
              </w:rPr>
              <w:t>Rok</w:t>
            </w:r>
          </w:p>
        </w:tc>
        <w:tc>
          <w:tcPr>
            <w:tcW w:w="522" w:type="pct"/>
            <w:tcBorders>
              <w:top w:val="single" w:sz="8" w:space="0" w:color="auto"/>
              <w:left w:val="nil"/>
              <w:bottom w:val="nil"/>
              <w:right w:val="single" w:sz="8" w:space="0" w:color="auto"/>
            </w:tcBorders>
            <w:vAlign w:val="center"/>
            <w:hideMark/>
          </w:tcPr>
          <w:p w14:paraId="51F09647" w14:textId="77777777" w:rsidR="00044D5B" w:rsidRPr="00392E88" w:rsidRDefault="00044D5B">
            <w:pPr>
              <w:spacing w:before="0" w:after="0"/>
              <w:jc w:val="center"/>
              <w:rPr>
                <w:color w:val="000000"/>
                <w:sz w:val="20"/>
                <w:szCs w:val="20"/>
              </w:rPr>
            </w:pPr>
            <w:r w:rsidRPr="00392E88">
              <w:rPr>
                <w:color w:val="000000"/>
                <w:sz w:val="20"/>
              </w:rPr>
              <w:t>Rok</w:t>
            </w:r>
          </w:p>
        </w:tc>
        <w:tc>
          <w:tcPr>
            <w:tcW w:w="522" w:type="pct"/>
            <w:tcBorders>
              <w:top w:val="single" w:sz="8" w:space="0" w:color="auto"/>
              <w:left w:val="nil"/>
              <w:bottom w:val="nil"/>
              <w:right w:val="single" w:sz="8" w:space="0" w:color="auto"/>
            </w:tcBorders>
            <w:vAlign w:val="center"/>
            <w:hideMark/>
          </w:tcPr>
          <w:p w14:paraId="15C1F4E4" w14:textId="77777777" w:rsidR="00044D5B" w:rsidRPr="00392E88" w:rsidRDefault="00044D5B">
            <w:pPr>
              <w:spacing w:before="0" w:after="0"/>
              <w:jc w:val="center"/>
              <w:rPr>
                <w:color w:val="000000"/>
                <w:sz w:val="20"/>
                <w:szCs w:val="20"/>
              </w:rPr>
            </w:pPr>
            <w:r w:rsidRPr="00392E88">
              <w:rPr>
                <w:color w:val="000000"/>
                <w:sz w:val="20"/>
              </w:rPr>
              <w:t>Rok</w:t>
            </w:r>
          </w:p>
        </w:tc>
      </w:tr>
      <w:tr w:rsidR="00E6355E" w:rsidRPr="00392E88" w14:paraId="5EFE049D" w14:textId="77777777">
        <w:trPr>
          <w:trHeight w:val="300"/>
        </w:trPr>
        <w:tc>
          <w:tcPr>
            <w:tcW w:w="2913" w:type="pct"/>
            <w:gridSpan w:val="2"/>
            <w:vMerge/>
            <w:tcBorders>
              <w:top w:val="single" w:sz="8" w:space="0" w:color="auto"/>
              <w:left w:val="single" w:sz="8" w:space="0" w:color="auto"/>
              <w:bottom w:val="single" w:sz="8" w:space="0" w:color="auto"/>
              <w:right w:val="single" w:sz="8" w:space="0" w:color="000000"/>
            </w:tcBorders>
            <w:vAlign w:val="center"/>
            <w:hideMark/>
          </w:tcPr>
          <w:p w14:paraId="45067EE9" w14:textId="77777777" w:rsidR="00044D5B" w:rsidRPr="00392E88" w:rsidRDefault="00044D5B">
            <w:pPr>
              <w:spacing w:before="0" w:after="0"/>
              <w:jc w:val="left"/>
              <w:rPr>
                <w:b/>
                <w:bCs/>
                <w:color w:val="000000"/>
                <w:sz w:val="18"/>
                <w:szCs w:val="18"/>
                <w:lang w:eastAsia="en-IE"/>
              </w:rPr>
            </w:pPr>
          </w:p>
        </w:tc>
        <w:tc>
          <w:tcPr>
            <w:tcW w:w="522" w:type="pct"/>
            <w:tcBorders>
              <w:top w:val="nil"/>
              <w:left w:val="nil"/>
              <w:bottom w:val="single" w:sz="8" w:space="0" w:color="auto"/>
              <w:right w:val="single" w:sz="8" w:space="0" w:color="auto"/>
            </w:tcBorders>
            <w:vAlign w:val="center"/>
            <w:hideMark/>
          </w:tcPr>
          <w:p w14:paraId="253F8384" w14:textId="77777777" w:rsidR="00044D5B" w:rsidRPr="00392E88" w:rsidRDefault="00044D5B">
            <w:pPr>
              <w:spacing w:before="0" w:after="0"/>
              <w:jc w:val="center"/>
              <w:rPr>
                <w:b/>
                <w:bCs/>
                <w:color w:val="000000"/>
                <w:sz w:val="20"/>
                <w:szCs w:val="20"/>
              </w:rPr>
            </w:pPr>
            <w:r w:rsidRPr="00392E88">
              <w:rPr>
                <w:b/>
                <w:color w:val="000000"/>
                <w:sz w:val="20"/>
              </w:rPr>
              <w:t>2024</w:t>
            </w:r>
          </w:p>
        </w:tc>
        <w:tc>
          <w:tcPr>
            <w:tcW w:w="522" w:type="pct"/>
            <w:tcBorders>
              <w:top w:val="nil"/>
              <w:left w:val="nil"/>
              <w:bottom w:val="single" w:sz="8" w:space="0" w:color="auto"/>
              <w:right w:val="single" w:sz="8" w:space="0" w:color="auto"/>
            </w:tcBorders>
            <w:vAlign w:val="center"/>
            <w:hideMark/>
          </w:tcPr>
          <w:p w14:paraId="10A534C0" w14:textId="77777777" w:rsidR="00044D5B" w:rsidRPr="00392E88" w:rsidRDefault="00044D5B">
            <w:pPr>
              <w:spacing w:before="0" w:after="0"/>
              <w:jc w:val="center"/>
              <w:rPr>
                <w:b/>
                <w:bCs/>
                <w:color w:val="000000"/>
                <w:sz w:val="20"/>
                <w:szCs w:val="20"/>
              </w:rPr>
            </w:pPr>
            <w:r w:rsidRPr="00392E88">
              <w:rPr>
                <w:b/>
                <w:color w:val="000000"/>
                <w:sz w:val="20"/>
              </w:rPr>
              <w:t>2025</w:t>
            </w:r>
          </w:p>
        </w:tc>
        <w:tc>
          <w:tcPr>
            <w:tcW w:w="522" w:type="pct"/>
            <w:tcBorders>
              <w:top w:val="nil"/>
              <w:left w:val="nil"/>
              <w:bottom w:val="single" w:sz="8" w:space="0" w:color="auto"/>
              <w:right w:val="single" w:sz="8" w:space="0" w:color="auto"/>
            </w:tcBorders>
            <w:vAlign w:val="center"/>
            <w:hideMark/>
          </w:tcPr>
          <w:p w14:paraId="2CE55C67" w14:textId="77777777" w:rsidR="00044D5B" w:rsidRPr="00392E88" w:rsidRDefault="00044D5B">
            <w:pPr>
              <w:spacing w:before="0" w:after="0"/>
              <w:jc w:val="center"/>
              <w:rPr>
                <w:b/>
                <w:bCs/>
                <w:color w:val="000000"/>
                <w:sz w:val="20"/>
                <w:szCs w:val="20"/>
              </w:rPr>
            </w:pPr>
            <w:r w:rsidRPr="00392E88">
              <w:rPr>
                <w:b/>
                <w:color w:val="000000"/>
                <w:sz w:val="20"/>
              </w:rPr>
              <w:t>2026</w:t>
            </w:r>
          </w:p>
        </w:tc>
        <w:tc>
          <w:tcPr>
            <w:tcW w:w="522" w:type="pct"/>
            <w:tcBorders>
              <w:top w:val="nil"/>
              <w:left w:val="nil"/>
              <w:bottom w:val="single" w:sz="8" w:space="0" w:color="auto"/>
              <w:right w:val="single" w:sz="8" w:space="0" w:color="auto"/>
            </w:tcBorders>
            <w:vAlign w:val="center"/>
            <w:hideMark/>
          </w:tcPr>
          <w:p w14:paraId="7616AD29" w14:textId="77777777" w:rsidR="00044D5B" w:rsidRPr="00392E88" w:rsidRDefault="00044D5B">
            <w:pPr>
              <w:spacing w:before="0" w:after="0"/>
              <w:jc w:val="center"/>
              <w:rPr>
                <w:b/>
                <w:bCs/>
                <w:color w:val="000000"/>
                <w:sz w:val="20"/>
                <w:szCs w:val="20"/>
              </w:rPr>
            </w:pPr>
            <w:r w:rsidRPr="00392E88">
              <w:rPr>
                <w:b/>
                <w:color w:val="000000"/>
                <w:sz w:val="20"/>
              </w:rPr>
              <w:t>2027</w:t>
            </w:r>
          </w:p>
        </w:tc>
      </w:tr>
      <w:tr w:rsidR="00C45E62" w:rsidRPr="00392E88" w14:paraId="7B743FBA" w14:textId="77777777">
        <w:trPr>
          <w:trHeight w:val="300"/>
        </w:trPr>
        <w:tc>
          <w:tcPr>
            <w:tcW w:w="5000" w:type="pct"/>
            <w:gridSpan w:val="6"/>
            <w:tcBorders>
              <w:top w:val="single" w:sz="8" w:space="0" w:color="auto"/>
              <w:left w:val="single" w:sz="8" w:space="0" w:color="auto"/>
              <w:bottom w:val="single" w:sz="8" w:space="0" w:color="auto"/>
              <w:right w:val="single" w:sz="4" w:space="0" w:color="auto"/>
            </w:tcBorders>
            <w:vAlign w:val="center"/>
            <w:hideMark/>
          </w:tcPr>
          <w:p w14:paraId="5203EBA7" w14:textId="51FAFC97" w:rsidR="00044D5B" w:rsidRPr="00392E88" w:rsidRDefault="00044D5B">
            <w:pPr>
              <w:spacing w:before="0" w:after="0"/>
              <w:jc w:val="left"/>
              <w:rPr>
                <w:rFonts w:ascii="Wingdings" w:hAnsi="Wingdings" w:cs="Calibri"/>
                <w:b/>
                <w:bCs/>
                <w:color w:val="000000"/>
                <w:sz w:val="16"/>
                <w:szCs w:val="16"/>
              </w:rPr>
            </w:pPr>
            <w:r w:rsidRPr="00392E88">
              <w:rPr>
                <w:rFonts w:ascii="Wingdings" w:hAnsi="Wingdings"/>
                <w:b/>
                <w:color w:val="000000"/>
                <w:sz w:val="16"/>
              </w:rPr>
              <w:t>Ÿ</w:t>
            </w:r>
            <w:r w:rsidRPr="00392E88">
              <w:rPr>
                <w:b/>
                <w:color w:val="000000"/>
                <w:sz w:val="16"/>
              </w:rPr>
              <w:t xml:space="preserve"> Stanowiska przewidziane</w:t>
            </w:r>
            <w:r w:rsidR="006E6446" w:rsidRPr="00392E88">
              <w:rPr>
                <w:b/>
                <w:color w:val="000000"/>
                <w:sz w:val="16"/>
              </w:rPr>
              <w:t xml:space="preserve"> w</w:t>
            </w:r>
            <w:r w:rsidR="006E6446">
              <w:rPr>
                <w:b/>
                <w:color w:val="000000"/>
                <w:sz w:val="16"/>
              </w:rPr>
              <w:t> </w:t>
            </w:r>
            <w:r w:rsidR="006E6446" w:rsidRPr="00392E88">
              <w:rPr>
                <w:b/>
                <w:color w:val="000000"/>
                <w:sz w:val="16"/>
              </w:rPr>
              <w:t>pla</w:t>
            </w:r>
            <w:r w:rsidRPr="00392E88">
              <w:rPr>
                <w:b/>
                <w:color w:val="000000"/>
                <w:sz w:val="16"/>
              </w:rPr>
              <w:t>nie zatrudnienia (stanowiska urzędników</w:t>
            </w:r>
            <w:r w:rsidR="006E6446" w:rsidRPr="00392E88">
              <w:rPr>
                <w:b/>
                <w:color w:val="000000"/>
                <w:sz w:val="16"/>
              </w:rPr>
              <w:t xml:space="preserve"> i</w:t>
            </w:r>
            <w:r w:rsidR="006E6446">
              <w:rPr>
                <w:b/>
                <w:color w:val="000000"/>
                <w:sz w:val="16"/>
              </w:rPr>
              <w:t> </w:t>
            </w:r>
            <w:r w:rsidR="006E6446" w:rsidRPr="00392E88">
              <w:rPr>
                <w:b/>
                <w:color w:val="000000"/>
                <w:sz w:val="16"/>
              </w:rPr>
              <w:t>pra</w:t>
            </w:r>
            <w:r w:rsidRPr="00392E88">
              <w:rPr>
                <w:b/>
                <w:color w:val="000000"/>
                <w:sz w:val="16"/>
              </w:rPr>
              <w:t>cowników zatrudnionych na czas określony)</w:t>
            </w:r>
          </w:p>
        </w:tc>
      </w:tr>
      <w:tr w:rsidR="00E6355E" w:rsidRPr="00392E88" w14:paraId="3C2FF3C6" w14:textId="77777777">
        <w:trPr>
          <w:trHeight w:val="300"/>
        </w:trPr>
        <w:tc>
          <w:tcPr>
            <w:tcW w:w="2913" w:type="pct"/>
            <w:gridSpan w:val="2"/>
            <w:tcBorders>
              <w:top w:val="single" w:sz="8" w:space="0" w:color="auto"/>
              <w:left w:val="single" w:sz="8" w:space="0" w:color="auto"/>
              <w:bottom w:val="single" w:sz="8" w:space="0" w:color="auto"/>
              <w:right w:val="single" w:sz="8" w:space="0" w:color="auto"/>
            </w:tcBorders>
            <w:vAlign w:val="center"/>
            <w:hideMark/>
          </w:tcPr>
          <w:p w14:paraId="35BDCF83" w14:textId="23492CE8" w:rsidR="00044D5B" w:rsidRPr="00392E88" w:rsidRDefault="00044D5B">
            <w:pPr>
              <w:spacing w:before="0" w:after="0"/>
              <w:ind w:firstLineChars="100" w:firstLine="240"/>
              <w:jc w:val="left"/>
              <w:rPr>
                <w:color w:val="000000"/>
                <w:sz w:val="16"/>
                <w:szCs w:val="16"/>
              </w:rPr>
            </w:pPr>
            <w:r w:rsidRPr="00392E88">
              <w:rPr>
                <w:color w:val="000000"/>
              </w:rPr>
              <w:t>20 01 02 01 (w centrali</w:t>
            </w:r>
            <w:r w:rsidR="006E6446" w:rsidRPr="00392E88">
              <w:rPr>
                <w:color w:val="000000"/>
              </w:rPr>
              <w:t xml:space="preserve"> i</w:t>
            </w:r>
            <w:r w:rsidR="006E6446">
              <w:rPr>
                <w:color w:val="000000"/>
              </w:rPr>
              <w:t> </w:t>
            </w:r>
            <w:r w:rsidR="006E6446" w:rsidRPr="00392E88">
              <w:rPr>
                <w:color w:val="000000"/>
              </w:rPr>
              <w:t>w</w:t>
            </w:r>
            <w:r w:rsidR="006E6446">
              <w:rPr>
                <w:color w:val="000000"/>
              </w:rPr>
              <w:t> </w:t>
            </w:r>
            <w:r w:rsidR="006E6446" w:rsidRPr="00392E88">
              <w:rPr>
                <w:color w:val="000000"/>
              </w:rPr>
              <w:t>biu</w:t>
            </w:r>
            <w:r w:rsidRPr="00392E88">
              <w:rPr>
                <w:color w:val="000000"/>
              </w:rPr>
              <w:t>rach przedstawicielstw Komisji)</w:t>
            </w:r>
          </w:p>
        </w:tc>
        <w:tc>
          <w:tcPr>
            <w:tcW w:w="522" w:type="pct"/>
            <w:tcBorders>
              <w:top w:val="nil"/>
              <w:left w:val="nil"/>
              <w:bottom w:val="single" w:sz="8" w:space="0" w:color="auto"/>
              <w:right w:val="single" w:sz="8" w:space="0" w:color="auto"/>
            </w:tcBorders>
            <w:shd w:val="clear" w:color="000000" w:fill="D9D9D9"/>
            <w:vAlign w:val="center"/>
            <w:hideMark/>
          </w:tcPr>
          <w:p w14:paraId="4DCEA1B1" w14:textId="77777777" w:rsidR="00044D5B" w:rsidRPr="00392E88" w:rsidRDefault="00044D5B">
            <w:pPr>
              <w:spacing w:before="0" w:after="0"/>
              <w:jc w:val="center"/>
              <w:rPr>
                <w:color w:val="000000"/>
                <w:sz w:val="16"/>
                <w:szCs w:val="16"/>
              </w:rPr>
            </w:pPr>
            <w:r w:rsidRPr="00392E88">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0B1DD99F" w14:textId="77777777" w:rsidR="00044D5B" w:rsidRPr="00392E88" w:rsidRDefault="00044D5B">
            <w:pPr>
              <w:spacing w:before="0" w:after="0"/>
              <w:jc w:val="center"/>
              <w:rPr>
                <w:color w:val="000000"/>
                <w:sz w:val="16"/>
                <w:szCs w:val="16"/>
              </w:rPr>
            </w:pPr>
            <w:r w:rsidRPr="00392E88">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133265D5" w14:textId="77777777" w:rsidR="00044D5B" w:rsidRPr="00392E88" w:rsidRDefault="00044D5B">
            <w:pPr>
              <w:spacing w:before="0" w:after="0"/>
              <w:jc w:val="center"/>
              <w:rPr>
                <w:color w:val="000000"/>
                <w:sz w:val="16"/>
                <w:szCs w:val="16"/>
              </w:rPr>
            </w:pPr>
            <w:r w:rsidRPr="00392E88">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0F795148" w14:textId="77777777" w:rsidR="00044D5B" w:rsidRPr="00392E88" w:rsidRDefault="00044D5B">
            <w:pPr>
              <w:spacing w:before="0" w:after="0"/>
              <w:jc w:val="center"/>
              <w:rPr>
                <w:color w:val="000000"/>
                <w:sz w:val="16"/>
                <w:szCs w:val="16"/>
              </w:rPr>
            </w:pPr>
            <w:r w:rsidRPr="00392E88">
              <w:rPr>
                <w:color w:val="000000"/>
                <w:sz w:val="16"/>
              </w:rPr>
              <w:t>0</w:t>
            </w:r>
          </w:p>
        </w:tc>
      </w:tr>
      <w:tr w:rsidR="00E6355E" w:rsidRPr="00392E88" w14:paraId="2132334A" w14:textId="77777777">
        <w:trPr>
          <w:trHeight w:val="300"/>
        </w:trPr>
        <w:tc>
          <w:tcPr>
            <w:tcW w:w="2913" w:type="pct"/>
            <w:gridSpan w:val="2"/>
            <w:tcBorders>
              <w:top w:val="single" w:sz="8" w:space="0" w:color="auto"/>
              <w:left w:val="single" w:sz="8" w:space="0" w:color="auto"/>
              <w:bottom w:val="single" w:sz="8" w:space="0" w:color="auto"/>
              <w:right w:val="single" w:sz="8" w:space="0" w:color="auto"/>
            </w:tcBorders>
            <w:vAlign w:val="center"/>
            <w:hideMark/>
          </w:tcPr>
          <w:p w14:paraId="16A7CAC0" w14:textId="77777777" w:rsidR="00044D5B" w:rsidRPr="00392E88" w:rsidRDefault="00044D5B">
            <w:pPr>
              <w:spacing w:before="0" w:after="0"/>
              <w:ind w:firstLineChars="100" w:firstLine="160"/>
              <w:jc w:val="left"/>
              <w:rPr>
                <w:color w:val="000000"/>
                <w:sz w:val="16"/>
                <w:szCs w:val="16"/>
              </w:rPr>
            </w:pPr>
            <w:r w:rsidRPr="00392E88">
              <w:rPr>
                <w:color w:val="000000"/>
                <w:sz w:val="16"/>
              </w:rPr>
              <w:t>20 01 02 03 (w delegaturach UE)</w:t>
            </w:r>
          </w:p>
        </w:tc>
        <w:tc>
          <w:tcPr>
            <w:tcW w:w="522" w:type="pct"/>
            <w:tcBorders>
              <w:top w:val="nil"/>
              <w:left w:val="nil"/>
              <w:bottom w:val="single" w:sz="8" w:space="0" w:color="auto"/>
              <w:right w:val="single" w:sz="8" w:space="0" w:color="auto"/>
            </w:tcBorders>
            <w:shd w:val="clear" w:color="000000" w:fill="D9D9D9"/>
            <w:vAlign w:val="center"/>
            <w:hideMark/>
          </w:tcPr>
          <w:p w14:paraId="3E19D6BB" w14:textId="77777777" w:rsidR="00044D5B" w:rsidRPr="00392E88" w:rsidRDefault="00044D5B">
            <w:pPr>
              <w:spacing w:before="0" w:after="0"/>
              <w:jc w:val="center"/>
              <w:rPr>
                <w:color w:val="000000"/>
                <w:sz w:val="16"/>
                <w:szCs w:val="16"/>
              </w:rPr>
            </w:pPr>
            <w:r w:rsidRPr="00392E88">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004F9982" w14:textId="77777777" w:rsidR="00044D5B" w:rsidRPr="00392E88" w:rsidRDefault="00044D5B">
            <w:pPr>
              <w:spacing w:before="0" w:after="0"/>
              <w:jc w:val="center"/>
              <w:rPr>
                <w:color w:val="000000"/>
                <w:sz w:val="16"/>
                <w:szCs w:val="16"/>
              </w:rPr>
            </w:pPr>
            <w:r w:rsidRPr="00392E88">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08C0ADFA" w14:textId="77777777" w:rsidR="00044D5B" w:rsidRPr="00392E88" w:rsidRDefault="00044D5B">
            <w:pPr>
              <w:spacing w:before="0" w:after="0"/>
              <w:jc w:val="center"/>
              <w:rPr>
                <w:color w:val="000000"/>
                <w:sz w:val="16"/>
                <w:szCs w:val="16"/>
              </w:rPr>
            </w:pPr>
            <w:r w:rsidRPr="00392E88">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62DF0791" w14:textId="77777777" w:rsidR="00044D5B" w:rsidRPr="00392E88" w:rsidRDefault="00044D5B">
            <w:pPr>
              <w:spacing w:before="0" w:after="0"/>
              <w:jc w:val="center"/>
              <w:rPr>
                <w:color w:val="000000"/>
                <w:sz w:val="16"/>
                <w:szCs w:val="16"/>
              </w:rPr>
            </w:pPr>
            <w:r w:rsidRPr="00392E88">
              <w:rPr>
                <w:color w:val="000000"/>
                <w:sz w:val="16"/>
              </w:rPr>
              <w:t>0</w:t>
            </w:r>
          </w:p>
        </w:tc>
      </w:tr>
      <w:tr w:rsidR="00E6355E" w:rsidRPr="00392E88" w14:paraId="55C493F4" w14:textId="77777777">
        <w:trPr>
          <w:trHeight w:val="300"/>
        </w:trPr>
        <w:tc>
          <w:tcPr>
            <w:tcW w:w="2913" w:type="pct"/>
            <w:gridSpan w:val="2"/>
            <w:tcBorders>
              <w:top w:val="single" w:sz="8" w:space="0" w:color="auto"/>
              <w:left w:val="single" w:sz="8" w:space="0" w:color="auto"/>
              <w:bottom w:val="single" w:sz="8" w:space="0" w:color="auto"/>
              <w:right w:val="single" w:sz="8" w:space="0" w:color="auto"/>
            </w:tcBorders>
            <w:vAlign w:val="center"/>
            <w:hideMark/>
          </w:tcPr>
          <w:p w14:paraId="1DE65E79" w14:textId="77777777" w:rsidR="00044D5B" w:rsidRPr="00392E88" w:rsidRDefault="00044D5B">
            <w:pPr>
              <w:spacing w:before="0" w:after="0"/>
              <w:ind w:firstLineChars="100" w:firstLine="160"/>
              <w:jc w:val="left"/>
              <w:rPr>
                <w:color w:val="000000"/>
                <w:sz w:val="16"/>
                <w:szCs w:val="16"/>
              </w:rPr>
            </w:pPr>
            <w:r w:rsidRPr="00392E88">
              <w:rPr>
                <w:color w:val="000000"/>
                <w:sz w:val="16"/>
              </w:rPr>
              <w:t>01 01 01 01</w:t>
            </w:r>
            <w:r w:rsidRPr="00392E88">
              <w:rPr>
                <w:color w:val="000000"/>
              </w:rPr>
              <w:t xml:space="preserve"> </w:t>
            </w:r>
            <w:r w:rsidRPr="00392E88">
              <w:rPr>
                <w:color w:val="000000"/>
                <w:sz w:val="16"/>
              </w:rPr>
              <w:t>(pośrednie badania naukowe)</w:t>
            </w:r>
          </w:p>
        </w:tc>
        <w:tc>
          <w:tcPr>
            <w:tcW w:w="522" w:type="pct"/>
            <w:tcBorders>
              <w:top w:val="nil"/>
              <w:left w:val="nil"/>
              <w:bottom w:val="single" w:sz="8" w:space="0" w:color="auto"/>
              <w:right w:val="single" w:sz="8" w:space="0" w:color="auto"/>
            </w:tcBorders>
            <w:shd w:val="clear" w:color="000000" w:fill="D9D9D9"/>
            <w:vAlign w:val="center"/>
            <w:hideMark/>
          </w:tcPr>
          <w:p w14:paraId="29C31177" w14:textId="77777777" w:rsidR="00044D5B" w:rsidRPr="00392E88" w:rsidRDefault="00044D5B">
            <w:pPr>
              <w:spacing w:before="0" w:after="0"/>
              <w:jc w:val="center"/>
              <w:rPr>
                <w:color w:val="000000"/>
                <w:sz w:val="16"/>
                <w:szCs w:val="16"/>
              </w:rPr>
            </w:pPr>
            <w:r w:rsidRPr="00392E88">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3B81BCFA" w14:textId="77777777" w:rsidR="00044D5B" w:rsidRPr="00392E88" w:rsidRDefault="00044D5B">
            <w:pPr>
              <w:spacing w:before="0" w:after="0"/>
              <w:jc w:val="center"/>
              <w:rPr>
                <w:color w:val="000000"/>
                <w:sz w:val="16"/>
                <w:szCs w:val="16"/>
              </w:rPr>
            </w:pPr>
            <w:r w:rsidRPr="00392E88">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7B3B85E1" w14:textId="77777777" w:rsidR="00044D5B" w:rsidRPr="00392E88" w:rsidRDefault="00044D5B">
            <w:pPr>
              <w:spacing w:before="0" w:after="0"/>
              <w:jc w:val="center"/>
              <w:rPr>
                <w:color w:val="000000"/>
                <w:sz w:val="16"/>
                <w:szCs w:val="16"/>
              </w:rPr>
            </w:pPr>
            <w:r w:rsidRPr="00392E88">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358BF862" w14:textId="77777777" w:rsidR="00044D5B" w:rsidRPr="00392E88" w:rsidRDefault="00044D5B">
            <w:pPr>
              <w:spacing w:before="0" w:after="0"/>
              <w:jc w:val="center"/>
              <w:rPr>
                <w:color w:val="000000"/>
                <w:sz w:val="16"/>
                <w:szCs w:val="16"/>
              </w:rPr>
            </w:pPr>
            <w:r w:rsidRPr="00392E88">
              <w:rPr>
                <w:color w:val="000000"/>
                <w:sz w:val="16"/>
              </w:rPr>
              <w:t>0</w:t>
            </w:r>
          </w:p>
        </w:tc>
      </w:tr>
      <w:tr w:rsidR="00E6355E" w:rsidRPr="00392E88" w14:paraId="21E33A93" w14:textId="77777777">
        <w:trPr>
          <w:trHeight w:val="300"/>
        </w:trPr>
        <w:tc>
          <w:tcPr>
            <w:tcW w:w="2913" w:type="pct"/>
            <w:gridSpan w:val="2"/>
            <w:tcBorders>
              <w:top w:val="single" w:sz="8" w:space="0" w:color="auto"/>
              <w:left w:val="single" w:sz="8" w:space="0" w:color="auto"/>
              <w:bottom w:val="single" w:sz="8" w:space="0" w:color="auto"/>
              <w:right w:val="single" w:sz="8" w:space="0" w:color="auto"/>
            </w:tcBorders>
            <w:vAlign w:val="center"/>
            <w:hideMark/>
          </w:tcPr>
          <w:p w14:paraId="716CD500" w14:textId="77777777" w:rsidR="00044D5B" w:rsidRPr="00392E88" w:rsidRDefault="00044D5B">
            <w:pPr>
              <w:spacing w:before="0" w:after="0"/>
              <w:ind w:firstLineChars="100" w:firstLine="160"/>
              <w:jc w:val="left"/>
              <w:rPr>
                <w:color w:val="000000"/>
                <w:sz w:val="16"/>
                <w:szCs w:val="16"/>
              </w:rPr>
            </w:pPr>
            <w:r w:rsidRPr="00392E88">
              <w:rPr>
                <w:color w:val="000000"/>
                <w:sz w:val="16"/>
              </w:rPr>
              <w:t>01 01 01 11 (bezpośrednie badania naukowe)</w:t>
            </w:r>
          </w:p>
        </w:tc>
        <w:tc>
          <w:tcPr>
            <w:tcW w:w="522" w:type="pct"/>
            <w:tcBorders>
              <w:top w:val="nil"/>
              <w:left w:val="nil"/>
              <w:bottom w:val="single" w:sz="8" w:space="0" w:color="auto"/>
              <w:right w:val="single" w:sz="8" w:space="0" w:color="auto"/>
            </w:tcBorders>
            <w:shd w:val="clear" w:color="000000" w:fill="D9D9D9"/>
            <w:vAlign w:val="center"/>
            <w:hideMark/>
          </w:tcPr>
          <w:p w14:paraId="77344746" w14:textId="77777777" w:rsidR="00044D5B" w:rsidRPr="00392E88" w:rsidRDefault="00044D5B">
            <w:pPr>
              <w:spacing w:before="0" w:after="0"/>
              <w:jc w:val="center"/>
              <w:rPr>
                <w:color w:val="000000"/>
                <w:sz w:val="16"/>
                <w:szCs w:val="16"/>
              </w:rPr>
            </w:pPr>
            <w:r w:rsidRPr="00392E88">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2B9F4663" w14:textId="77777777" w:rsidR="00044D5B" w:rsidRPr="00392E88" w:rsidRDefault="00044D5B">
            <w:pPr>
              <w:spacing w:before="0" w:after="0"/>
              <w:jc w:val="center"/>
              <w:rPr>
                <w:color w:val="000000"/>
                <w:sz w:val="16"/>
                <w:szCs w:val="16"/>
              </w:rPr>
            </w:pPr>
            <w:r w:rsidRPr="00392E88">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185C047B" w14:textId="77777777" w:rsidR="00044D5B" w:rsidRPr="00392E88" w:rsidRDefault="00044D5B">
            <w:pPr>
              <w:spacing w:before="0" w:after="0"/>
              <w:jc w:val="center"/>
              <w:rPr>
                <w:color w:val="000000"/>
                <w:sz w:val="16"/>
                <w:szCs w:val="16"/>
              </w:rPr>
            </w:pPr>
            <w:r w:rsidRPr="00392E88">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1D24A539" w14:textId="77777777" w:rsidR="00044D5B" w:rsidRPr="00392E88" w:rsidRDefault="00044D5B">
            <w:pPr>
              <w:spacing w:before="0" w:after="0"/>
              <w:jc w:val="center"/>
              <w:rPr>
                <w:color w:val="000000"/>
                <w:sz w:val="16"/>
                <w:szCs w:val="16"/>
              </w:rPr>
            </w:pPr>
            <w:r w:rsidRPr="00392E88">
              <w:rPr>
                <w:color w:val="000000"/>
                <w:sz w:val="16"/>
              </w:rPr>
              <w:t>0</w:t>
            </w:r>
          </w:p>
        </w:tc>
      </w:tr>
      <w:tr w:rsidR="00E6355E" w:rsidRPr="00392E88" w14:paraId="1D15EB51" w14:textId="77777777">
        <w:trPr>
          <w:trHeight w:val="300"/>
        </w:trPr>
        <w:tc>
          <w:tcPr>
            <w:tcW w:w="2913" w:type="pct"/>
            <w:gridSpan w:val="2"/>
            <w:tcBorders>
              <w:top w:val="single" w:sz="8" w:space="0" w:color="auto"/>
              <w:left w:val="single" w:sz="8" w:space="0" w:color="auto"/>
              <w:bottom w:val="single" w:sz="8" w:space="0" w:color="auto"/>
              <w:right w:val="single" w:sz="8" w:space="0" w:color="auto"/>
            </w:tcBorders>
            <w:vAlign w:val="center"/>
            <w:hideMark/>
          </w:tcPr>
          <w:p w14:paraId="254ADC17" w14:textId="77777777" w:rsidR="00044D5B" w:rsidRPr="00392E88" w:rsidRDefault="00044D5B">
            <w:pPr>
              <w:spacing w:before="0" w:after="0"/>
              <w:ind w:firstLineChars="100" w:firstLine="160"/>
              <w:jc w:val="left"/>
              <w:rPr>
                <w:color w:val="000000"/>
                <w:sz w:val="16"/>
                <w:szCs w:val="16"/>
              </w:rPr>
            </w:pPr>
            <w:r w:rsidRPr="00392E88">
              <w:rPr>
                <w:color w:val="000000"/>
                <w:sz w:val="16"/>
              </w:rPr>
              <w:t>Inna linia budżetowa (określić)</w:t>
            </w:r>
          </w:p>
        </w:tc>
        <w:tc>
          <w:tcPr>
            <w:tcW w:w="522" w:type="pct"/>
            <w:tcBorders>
              <w:top w:val="nil"/>
              <w:left w:val="nil"/>
              <w:bottom w:val="single" w:sz="8" w:space="0" w:color="auto"/>
              <w:right w:val="single" w:sz="8" w:space="0" w:color="auto"/>
            </w:tcBorders>
            <w:shd w:val="clear" w:color="000000" w:fill="D9D9D9"/>
            <w:vAlign w:val="center"/>
            <w:hideMark/>
          </w:tcPr>
          <w:p w14:paraId="43EA2B28" w14:textId="77777777" w:rsidR="00044D5B" w:rsidRPr="00392E88" w:rsidRDefault="00044D5B">
            <w:pPr>
              <w:spacing w:before="0" w:after="0"/>
              <w:jc w:val="center"/>
              <w:rPr>
                <w:color w:val="000000"/>
                <w:sz w:val="16"/>
                <w:szCs w:val="16"/>
              </w:rPr>
            </w:pPr>
            <w:r w:rsidRPr="00392E88">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09867E58" w14:textId="77777777" w:rsidR="00044D5B" w:rsidRPr="00392E88" w:rsidRDefault="00044D5B">
            <w:pPr>
              <w:spacing w:before="0" w:after="0"/>
              <w:jc w:val="center"/>
              <w:rPr>
                <w:color w:val="000000"/>
                <w:sz w:val="16"/>
                <w:szCs w:val="16"/>
              </w:rPr>
            </w:pPr>
            <w:r w:rsidRPr="00392E88">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07A99D29" w14:textId="77777777" w:rsidR="00044D5B" w:rsidRPr="00392E88" w:rsidRDefault="00044D5B">
            <w:pPr>
              <w:spacing w:before="0" w:after="0"/>
              <w:jc w:val="center"/>
              <w:rPr>
                <w:color w:val="000000"/>
                <w:sz w:val="16"/>
                <w:szCs w:val="16"/>
              </w:rPr>
            </w:pPr>
            <w:r w:rsidRPr="00392E88">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10FEE14C" w14:textId="77777777" w:rsidR="00044D5B" w:rsidRPr="00392E88" w:rsidRDefault="00044D5B">
            <w:pPr>
              <w:spacing w:before="0" w:after="0"/>
              <w:jc w:val="center"/>
              <w:rPr>
                <w:color w:val="000000"/>
                <w:sz w:val="16"/>
                <w:szCs w:val="16"/>
              </w:rPr>
            </w:pPr>
            <w:r w:rsidRPr="00392E88">
              <w:rPr>
                <w:color w:val="000000"/>
                <w:sz w:val="16"/>
              </w:rPr>
              <w:t>0</w:t>
            </w:r>
          </w:p>
        </w:tc>
      </w:tr>
      <w:tr w:rsidR="00C45E62" w:rsidRPr="00392E88" w14:paraId="7D3A8A40" w14:textId="77777777">
        <w:trPr>
          <w:trHeight w:val="300"/>
        </w:trPr>
        <w:tc>
          <w:tcPr>
            <w:tcW w:w="5000" w:type="pct"/>
            <w:gridSpan w:val="6"/>
            <w:tcBorders>
              <w:top w:val="single" w:sz="8" w:space="0" w:color="auto"/>
              <w:left w:val="single" w:sz="8" w:space="0" w:color="auto"/>
              <w:bottom w:val="single" w:sz="8" w:space="0" w:color="auto"/>
              <w:right w:val="single" w:sz="4" w:space="0" w:color="auto"/>
            </w:tcBorders>
            <w:vAlign w:val="center"/>
            <w:hideMark/>
          </w:tcPr>
          <w:p w14:paraId="6CF13992" w14:textId="77777777" w:rsidR="00044D5B" w:rsidRPr="00392E88" w:rsidRDefault="00044D5B">
            <w:pPr>
              <w:spacing w:before="0" w:after="0"/>
              <w:jc w:val="left"/>
              <w:rPr>
                <w:rFonts w:ascii="Wingdings" w:hAnsi="Wingdings" w:cs="Calibri"/>
                <w:b/>
                <w:bCs/>
                <w:color w:val="000000"/>
                <w:sz w:val="16"/>
                <w:szCs w:val="16"/>
              </w:rPr>
            </w:pPr>
            <w:r w:rsidRPr="00392E88">
              <w:rPr>
                <w:rFonts w:ascii="Calibri" w:hAnsi="Calibri"/>
                <w:b/>
                <w:color w:val="000000"/>
                <w:sz w:val="16"/>
              </w:rPr>
              <w:t>•</w:t>
            </w:r>
            <w:r w:rsidRPr="00392E88">
              <w:rPr>
                <w:b/>
                <w:color w:val="000000"/>
                <w:sz w:val="16"/>
              </w:rPr>
              <w:t xml:space="preserve"> Personel zewnętrzny (w EPC)</w:t>
            </w:r>
          </w:p>
        </w:tc>
      </w:tr>
      <w:tr w:rsidR="00E6355E" w:rsidRPr="00392E88" w14:paraId="58E315DD" w14:textId="77777777">
        <w:trPr>
          <w:trHeight w:val="300"/>
        </w:trPr>
        <w:tc>
          <w:tcPr>
            <w:tcW w:w="2913" w:type="pct"/>
            <w:gridSpan w:val="2"/>
            <w:tcBorders>
              <w:top w:val="single" w:sz="8" w:space="0" w:color="auto"/>
              <w:left w:val="single" w:sz="8" w:space="0" w:color="auto"/>
              <w:bottom w:val="single" w:sz="8" w:space="0" w:color="auto"/>
              <w:right w:val="single" w:sz="8" w:space="0" w:color="auto"/>
            </w:tcBorders>
            <w:vAlign w:val="center"/>
            <w:hideMark/>
          </w:tcPr>
          <w:p w14:paraId="49D6AEF6" w14:textId="3C87A1B4" w:rsidR="00044D5B" w:rsidRPr="00392E88" w:rsidRDefault="00044D5B">
            <w:pPr>
              <w:spacing w:before="0" w:after="0"/>
              <w:ind w:firstLineChars="100" w:firstLine="160"/>
              <w:jc w:val="left"/>
              <w:rPr>
                <w:color w:val="000000"/>
                <w:sz w:val="16"/>
                <w:szCs w:val="16"/>
              </w:rPr>
            </w:pPr>
            <w:r w:rsidRPr="00392E88">
              <w:rPr>
                <w:color w:val="000000"/>
                <w:sz w:val="16"/>
              </w:rPr>
              <w:t>20 02 01</w:t>
            </w:r>
            <w:r w:rsidRPr="00392E88">
              <w:rPr>
                <w:rFonts w:ascii="Arial Narrow" w:hAnsi="Arial Narrow"/>
                <w:color w:val="000000"/>
                <w:sz w:val="20"/>
              </w:rPr>
              <w:t xml:space="preserve"> </w:t>
            </w:r>
            <w:r w:rsidRPr="00392E88">
              <w:rPr>
                <w:color w:val="000000"/>
                <w:sz w:val="16"/>
              </w:rPr>
              <w:t>(CA, SNE</w:t>
            </w:r>
            <w:r w:rsidR="006E6446" w:rsidRPr="00392E88">
              <w:rPr>
                <w:color w:val="000000"/>
                <w:sz w:val="16"/>
              </w:rPr>
              <w:t xml:space="preserve"> z</w:t>
            </w:r>
            <w:r w:rsidR="006E6446">
              <w:rPr>
                <w:color w:val="000000"/>
                <w:sz w:val="16"/>
              </w:rPr>
              <w:t> </w:t>
            </w:r>
            <w:r w:rsidR="006E6446" w:rsidRPr="00392E88">
              <w:rPr>
                <w:color w:val="000000"/>
                <w:sz w:val="16"/>
              </w:rPr>
              <w:t>glo</w:t>
            </w:r>
            <w:r w:rsidRPr="00392E88">
              <w:rPr>
                <w:color w:val="000000"/>
                <w:sz w:val="16"/>
              </w:rPr>
              <w:t>balnej koperty finansowej)</w:t>
            </w:r>
          </w:p>
        </w:tc>
        <w:tc>
          <w:tcPr>
            <w:tcW w:w="522" w:type="pct"/>
            <w:tcBorders>
              <w:top w:val="nil"/>
              <w:left w:val="nil"/>
              <w:bottom w:val="single" w:sz="8" w:space="0" w:color="auto"/>
              <w:right w:val="single" w:sz="8" w:space="0" w:color="auto"/>
            </w:tcBorders>
            <w:shd w:val="clear" w:color="000000" w:fill="D9D9D9"/>
            <w:vAlign w:val="center"/>
            <w:hideMark/>
          </w:tcPr>
          <w:p w14:paraId="4C02FAFE" w14:textId="77777777" w:rsidR="00044D5B" w:rsidRPr="00392E88" w:rsidRDefault="00044D5B">
            <w:pPr>
              <w:spacing w:before="0" w:after="0"/>
              <w:jc w:val="center"/>
              <w:rPr>
                <w:color w:val="000000"/>
                <w:sz w:val="16"/>
                <w:szCs w:val="16"/>
              </w:rPr>
            </w:pPr>
            <w:r w:rsidRPr="00392E88">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2963C422" w14:textId="77777777" w:rsidR="00044D5B" w:rsidRPr="00392E88" w:rsidRDefault="00044D5B">
            <w:pPr>
              <w:spacing w:before="0" w:after="0"/>
              <w:jc w:val="center"/>
              <w:rPr>
                <w:color w:val="000000"/>
                <w:sz w:val="16"/>
                <w:szCs w:val="16"/>
              </w:rPr>
            </w:pPr>
            <w:r w:rsidRPr="00392E88">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7368085E" w14:textId="77777777" w:rsidR="00044D5B" w:rsidRPr="00392E88" w:rsidRDefault="00044D5B">
            <w:pPr>
              <w:spacing w:before="0" w:after="0"/>
              <w:jc w:val="center"/>
              <w:rPr>
                <w:color w:val="000000"/>
                <w:sz w:val="16"/>
                <w:szCs w:val="16"/>
              </w:rPr>
            </w:pPr>
            <w:r w:rsidRPr="00392E88">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7915EAF1" w14:textId="77777777" w:rsidR="00044D5B" w:rsidRPr="00392E88" w:rsidRDefault="00044D5B">
            <w:pPr>
              <w:spacing w:before="0" w:after="0"/>
              <w:jc w:val="center"/>
              <w:rPr>
                <w:color w:val="000000"/>
                <w:sz w:val="16"/>
                <w:szCs w:val="16"/>
              </w:rPr>
            </w:pPr>
            <w:r w:rsidRPr="00392E88">
              <w:rPr>
                <w:color w:val="000000"/>
                <w:sz w:val="16"/>
              </w:rPr>
              <w:t>0</w:t>
            </w:r>
          </w:p>
        </w:tc>
      </w:tr>
      <w:tr w:rsidR="00E6355E" w:rsidRPr="00392E88" w14:paraId="00C6209E" w14:textId="77777777">
        <w:trPr>
          <w:trHeight w:val="300"/>
        </w:trPr>
        <w:tc>
          <w:tcPr>
            <w:tcW w:w="2913" w:type="pct"/>
            <w:gridSpan w:val="2"/>
            <w:tcBorders>
              <w:top w:val="single" w:sz="8" w:space="0" w:color="auto"/>
              <w:left w:val="single" w:sz="8" w:space="0" w:color="auto"/>
              <w:bottom w:val="single" w:sz="8" w:space="0" w:color="auto"/>
              <w:right w:val="single" w:sz="8" w:space="0" w:color="auto"/>
            </w:tcBorders>
            <w:vAlign w:val="center"/>
            <w:hideMark/>
          </w:tcPr>
          <w:p w14:paraId="1ACA91EF" w14:textId="6E8DA72F" w:rsidR="00044D5B" w:rsidRPr="00392E88" w:rsidRDefault="00044D5B">
            <w:pPr>
              <w:spacing w:before="0" w:after="0"/>
              <w:ind w:firstLineChars="100" w:firstLine="160"/>
              <w:jc w:val="left"/>
              <w:rPr>
                <w:color w:val="000000"/>
                <w:sz w:val="16"/>
                <w:szCs w:val="16"/>
              </w:rPr>
            </w:pPr>
            <w:r w:rsidRPr="00392E88">
              <w:rPr>
                <w:color w:val="000000"/>
                <w:sz w:val="16"/>
              </w:rPr>
              <w:t>20 02 03 (CA, LA, SNE i JPD</w:t>
            </w:r>
            <w:r w:rsidR="006E6446" w:rsidRPr="00392E88">
              <w:rPr>
                <w:color w:val="000000"/>
                <w:sz w:val="16"/>
              </w:rPr>
              <w:t xml:space="preserve"> w</w:t>
            </w:r>
            <w:r w:rsidR="006E6446">
              <w:rPr>
                <w:color w:val="000000"/>
                <w:sz w:val="16"/>
              </w:rPr>
              <w:t> </w:t>
            </w:r>
            <w:r w:rsidR="006E6446" w:rsidRPr="00392E88">
              <w:rPr>
                <w:color w:val="000000"/>
                <w:sz w:val="16"/>
              </w:rPr>
              <w:t>del</w:t>
            </w:r>
            <w:r w:rsidRPr="00392E88">
              <w:rPr>
                <w:color w:val="000000"/>
                <w:sz w:val="16"/>
              </w:rPr>
              <w:t>egaturach UE)</w:t>
            </w:r>
          </w:p>
        </w:tc>
        <w:tc>
          <w:tcPr>
            <w:tcW w:w="522" w:type="pct"/>
            <w:tcBorders>
              <w:top w:val="nil"/>
              <w:left w:val="nil"/>
              <w:bottom w:val="single" w:sz="8" w:space="0" w:color="auto"/>
              <w:right w:val="single" w:sz="8" w:space="0" w:color="auto"/>
            </w:tcBorders>
            <w:shd w:val="clear" w:color="000000" w:fill="D9D9D9"/>
            <w:vAlign w:val="center"/>
            <w:hideMark/>
          </w:tcPr>
          <w:p w14:paraId="684D3EB6" w14:textId="77777777" w:rsidR="00044D5B" w:rsidRPr="00392E88" w:rsidRDefault="00044D5B">
            <w:pPr>
              <w:spacing w:before="0" w:after="0"/>
              <w:jc w:val="center"/>
              <w:rPr>
                <w:color w:val="000000"/>
                <w:sz w:val="16"/>
                <w:szCs w:val="16"/>
              </w:rPr>
            </w:pPr>
            <w:r w:rsidRPr="00392E88">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766BB17E" w14:textId="77777777" w:rsidR="00044D5B" w:rsidRPr="00392E88" w:rsidRDefault="00044D5B">
            <w:pPr>
              <w:spacing w:before="0" w:after="0"/>
              <w:jc w:val="center"/>
              <w:rPr>
                <w:color w:val="000000"/>
                <w:sz w:val="16"/>
                <w:szCs w:val="16"/>
              </w:rPr>
            </w:pPr>
            <w:r w:rsidRPr="00392E88">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1C8525C3" w14:textId="77777777" w:rsidR="00044D5B" w:rsidRPr="00392E88" w:rsidRDefault="00044D5B">
            <w:pPr>
              <w:spacing w:before="0" w:after="0"/>
              <w:jc w:val="center"/>
              <w:rPr>
                <w:color w:val="000000"/>
                <w:sz w:val="16"/>
                <w:szCs w:val="16"/>
              </w:rPr>
            </w:pPr>
            <w:r w:rsidRPr="00392E88">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3B066E66" w14:textId="77777777" w:rsidR="00044D5B" w:rsidRPr="00392E88" w:rsidRDefault="00044D5B">
            <w:pPr>
              <w:spacing w:before="0" w:after="0"/>
              <w:jc w:val="center"/>
              <w:rPr>
                <w:color w:val="000000"/>
                <w:sz w:val="16"/>
                <w:szCs w:val="16"/>
              </w:rPr>
            </w:pPr>
            <w:r w:rsidRPr="00392E88">
              <w:rPr>
                <w:color w:val="000000"/>
                <w:sz w:val="16"/>
              </w:rPr>
              <w:t>0</w:t>
            </w:r>
          </w:p>
        </w:tc>
      </w:tr>
      <w:tr w:rsidR="00E62D64" w:rsidRPr="00392E88" w14:paraId="54CE2DBA" w14:textId="77777777">
        <w:trPr>
          <w:trHeight w:val="300"/>
        </w:trPr>
        <w:tc>
          <w:tcPr>
            <w:tcW w:w="815" w:type="pct"/>
            <w:vMerge w:val="restart"/>
            <w:tcBorders>
              <w:top w:val="nil"/>
              <w:left w:val="single" w:sz="8" w:space="0" w:color="auto"/>
              <w:bottom w:val="single" w:sz="8" w:space="0" w:color="auto"/>
              <w:right w:val="single" w:sz="8" w:space="0" w:color="auto"/>
            </w:tcBorders>
            <w:vAlign w:val="center"/>
            <w:hideMark/>
          </w:tcPr>
          <w:p w14:paraId="4BDDED8B" w14:textId="77777777" w:rsidR="00044D5B" w:rsidRPr="00392E88" w:rsidRDefault="00044D5B">
            <w:pPr>
              <w:spacing w:before="0" w:after="0"/>
              <w:jc w:val="center"/>
              <w:rPr>
                <w:color w:val="000000"/>
                <w:sz w:val="16"/>
                <w:szCs w:val="16"/>
              </w:rPr>
            </w:pPr>
            <w:r w:rsidRPr="00392E88">
              <w:rPr>
                <w:color w:val="000000"/>
                <w:sz w:val="16"/>
              </w:rPr>
              <w:t>Linia budżetowa na wsparcie adm.</w:t>
            </w:r>
            <w:r w:rsidRPr="00392E88">
              <w:t xml:space="preserve"> </w:t>
            </w:r>
            <w:r w:rsidRPr="00392E88">
              <w:br/>
            </w:r>
            <w:r w:rsidRPr="00392E88">
              <w:rPr>
                <w:color w:val="000000"/>
                <w:sz w:val="16"/>
              </w:rPr>
              <w:t>[XX.01.YY.YY]</w:t>
            </w:r>
          </w:p>
        </w:tc>
        <w:tc>
          <w:tcPr>
            <w:tcW w:w="2098" w:type="pct"/>
            <w:tcBorders>
              <w:top w:val="nil"/>
              <w:left w:val="nil"/>
              <w:bottom w:val="single" w:sz="8" w:space="0" w:color="auto"/>
              <w:right w:val="single" w:sz="8" w:space="0" w:color="auto"/>
            </w:tcBorders>
            <w:vAlign w:val="center"/>
            <w:hideMark/>
          </w:tcPr>
          <w:p w14:paraId="1BEEC46B" w14:textId="35952264" w:rsidR="00044D5B" w:rsidRPr="00392E88" w:rsidRDefault="00044D5B">
            <w:pPr>
              <w:spacing w:before="0" w:after="0"/>
              <w:ind w:firstLineChars="100" w:firstLine="160"/>
              <w:jc w:val="left"/>
              <w:rPr>
                <w:color w:val="000000"/>
                <w:sz w:val="16"/>
                <w:szCs w:val="16"/>
              </w:rPr>
            </w:pPr>
            <w:r w:rsidRPr="00392E88">
              <w:rPr>
                <w:color w:val="000000"/>
                <w:sz w:val="16"/>
              </w:rPr>
              <w:t>-</w:t>
            </w:r>
            <w:r w:rsidR="006E6446" w:rsidRPr="00392E88">
              <w:rPr>
                <w:color w:val="000000"/>
                <w:sz w:val="16"/>
              </w:rPr>
              <w:t xml:space="preserve"> w</w:t>
            </w:r>
            <w:r w:rsidR="006E6446">
              <w:rPr>
                <w:color w:val="000000"/>
                <w:sz w:val="16"/>
              </w:rPr>
              <w:t> </w:t>
            </w:r>
            <w:r w:rsidR="006E6446" w:rsidRPr="00392E88">
              <w:rPr>
                <w:color w:val="000000"/>
                <w:sz w:val="16"/>
              </w:rPr>
              <w:t>cen</w:t>
            </w:r>
            <w:r w:rsidRPr="00392E88">
              <w:rPr>
                <w:color w:val="000000"/>
                <w:sz w:val="16"/>
              </w:rPr>
              <w:t>trali</w:t>
            </w:r>
          </w:p>
        </w:tc>
        <w:tc>
          <w:tcPr>
            <w:tcW w:w="522" w:type="pct"/>
            <w:tcBorders>
              <w:top w:val="nil"/>
              <w:left w:val="nil"/>
              <w:bottom w:val="single" w:sz="8" w:space="0" w:color="auto"/>
              <w:right w:val="single" w:sz="8" w:space="0" w:color="auto"/>
            </w:tcBorders>
            <w:shd w:val="clear" w:color="000000" w:fill="D9D9D9"/>
            <w:vAlign w:val="center"/>
            <w:hideMark/>
          </w:tcPr>
          <w:p w14:paraId="31F1F06C" w14:textId="77777777" w:rsidR="00044D5B" w:rsidRPr="00392E88" w:rsidRDefault="00044D5B">
            <w:pPr>
              <w:spacing w:before="0" w:after="0"/>
              <w:jc w:val="center"/>
              <w:rPr>
                <w:color w:val="000000"/>
                <w:sz w:val="16"/>
                <w:szCs w:val="16"/>
              </w:rPr>
            </w:pPr>
            <w:r w:rsidRPr="00392E88">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29A137E0" w14:textId="77777777" w:rsidR="00044D5B" w:rsidRPr="00392E88" w:rsidRDefault="00044D5B">
            <w:pPr>
              <w:spacing w:before="0" w:after="0"/>
              <w:jc w:val="center"/>
              <w:rPr>
                <w:color w:val="000000"/>
                <w:sz w:val="16"/>
                <w:szCs w:val="16"/>
              </w:rPr>
            </w:pPr>
            <w:r w:rsidRPr="00392E88">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28E961A5" w14:textId="77777777" w:rsidR="00044D5B" w:rsidRPr="00392E88" w:rsidRDefault="00044D5B">
            <w:pPr>
              <w:spacing w:before="0" w:after="0"/>
              <w:jc w:val="center"/>
              <w:rPr>
                <w:color w:val="000000"/>
                <w:sz w:val="16"/>
                <w:szCs w:val="16"/>
              </w:rPr>
            </w:pPr>
            <w:r w:rsidRPr="00392E88">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1C53C58B" w14:textId="77777777" w:rsidR="00044D5B" w:rsidRPr="00392E88" w:rsidRDefault="00044D5B">
            <w:pPr>
              <w:spacing w:before="0" w:after="0"/>
              <w:jc w:val="center"/>
              <w:rPr>
                <w:color w:val="000000"/>
                <w:sz w:val="16"/>
                <w:szCs w:val="16"/>
              </w:rPr>
            </w:pPr>
            <w:r w:rsidRPr="00392E88">
              <w:rPr>
                <w:color w:val="000000"/>
                <w:sz w:val="16"/>
              </w:rPr>
              <w:t>0</w:t>
            </w:r>
          </w:p>
        </w:tc>
      </w:tr>
      <w:tr w:rsidR="00E62D64" w:rsidRPr="00392E88" w14:paraId="7E032C87" w14:textId="77777777">
        <w:trPr>
          <w:trHeight w:val="300"/>
        </w:trPr>
        <w:tc>
          <w:tcPr>
            <w:tcW w:w="815" w:type="pct"/>
            <w:vMerge/>
            <w:tcBorders>
              <w:top w:val="nil"/>
              <w:left w:val="single" w:sz="8" w:space="0" w:color="auto"/>
              <w:bottom w:val="single" w:sz="8" w:space="0" w:color="auto"/>
              <w:right w:val="single" w:sz="8" w:space="0" w:color="auto"/>
            </w:tcBorders>
            <w:vAlign w:val="center"/>
            <w:hideMark/>
          </w:tcPr>
          <w:p w14:paraId="04BD164F" w14:textId="77777777" w:rsidR="00044D5B" w:rsidRPr="00392E88" w:rsidRDefault="00044D5B">
            <w:pPr>
              <w:spacing w:before="0" w:after="0"/>
              <w:jc w:val="left"/>
              <w:rPr>
                <w:color w:val="000000"/>
                <w:sz w:val="16"/>
                <w:szCs w:val="16"/>
                <w:lang w:eastAsia="en-IE"/>
              </w:rPr>
            </w:pPr>
          </w:p>
        </w:tc>
        <w:tc>
          <w:tcPr>
            <w:tcW w:w="2098" w:type="pct"/>
            <w:tcBorders>
              <w:top w:val="nil"/>
              <w:left w:val="nil"/>
              <w:bottom w:val="single" w:sz="8" w:space="0" w:color="auto"/>
              <w:right w:val="single" w:sz="8" w:space="0" w:color="auto"/>
            </w:tcBorders>
            <w:vAlign w:val="center"/>
            <w:hideMark/>
          </w:tcPr>
          <w:p w14:paraId="650D9117" w14:textId="37BD75BE" w:rsidR="00044D5B" w:rsidRPr="00392E88" w:rsidRDefault="00044D5B">
            <w:pPr>
              <w:spacing w:before="0" w:after="0"/>
              <w:ind w:firstLineChars="100" w:firstLine="160"/>
              <w:jc w:val="left"/>
              <w:rPr>
                <w:color w:val="000000"/>
                <w:sz w:val="16"/>
                <w:szCs w:val="16"/>
              </w:rPr>
            </w:pPr>
            <w:r w:rsidRPr="00392E88">
              <w:rPr>
                <w:color w:val="000000"/>
                <w:sz w:val="16"/>
              </w:rPr>
              <w:t>-</w:t>
            </w:r>
            <w:r w:rsidR="006E6446" w:rsidRPr="00392E88">
              <w:rPr>
                <w:color w:val="000000"/>
                <w:sz w:val="16"/>
              </w:rPr>
              <w:t xml:space="preserve"> w</w:t>
            </w:r>
            <w:r w:rsidR="006E6446">
              <w:rPr>
                <w:color w:val="000000"/>
                <w:sz w:val="16"/>
              </w:rPr>
              <w:t> </w:t>
            </w:r>
            <w:r w:rsidR="006E6446" w:rsidRPr="00392E88">
              <w:rPr>
                <w:color w:val="000000"/>
                <w:sz w:val="16"/>
              </w:rPr>
              <w:t>del</w:t>
            </w:r>
            <w:r w:rsidRPr="00392E88">
              <w:rPr>
                <w:color w:val="000000"/>
                <w:sz w:val="16"/>
              </w:rPr>
              <w:t xml:space="preserve">egaturach UE </w:t>
            </w:r>
          </w:p>
        </w:tc>
        <w:tc>
          <w:tcPr>
            <w:tcW w:w="522" w:type="pct"/>
            <w:tcBorders>
              <w:top w:val="nil"/>
              <w:left w:val="nil"/>
              <w:bottom w:val="single" w:sz="8" w:space="0" w:color="auto"/>
              <w:right w:val="single" w:sz="8" w:space="0" w:color="auto"/>
            </w:tcBorders>
            <w:shd w:val="clear" w:color="000000" w:fill="D9D9D9"/>
            <w:vAlign w:val="center"/>
            <w:hideMark/>
          </w:tcPr>
          <w:p w14:paraId="548408A1" w14:textId="77777777" w:rsidR="00044D5B" w:rsidRPr="00392E88" w:rsidRDefault="00044D5B">
            <w:pPr>
              <w:spacing w:before="0" w:after="0"/>
              <w:jc w:val="center"/>
              <w:rPr>
                <w:color w:val="000000"/>
                <w:sz w:val="16"/>
                <w:szCs w:val="16"/>
              </w:rPr>
            </w:pPr>
            <w:r w:rsidRPr="00392E88">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684BEA31" w14:textId="77777777" w:rsidR="00044D5B" w:rsidRPr="00392E88" w:rsidRDefault="00044D5B">
            <w:pPr>
              <w:spacing w:before="0" w:after="0"/>
              <w:jc w:val="center"/>
              <w:rPr>
                <w:color w:val="000000"/>
                <w:sz w:val="16"/>
                <w:szCs w:val="16"/>
              </w:rPr>
            </w:pPr>
            <w:r w:rsidRPr="00392E88">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4364549C" w14:textId="77777777" w:rsidR="00044D5B" w:rsidRPr="00392E88" w:rsidRDefault="00044D5B">
            <w:pPr>
              <w:spacing w:before="0" w:after="0"/>
              <w:jc w:val="center"/>
              <w:rPr>
                <w:color w:val="000000"/>
                <w:sz w:val="16"/>
                <w:szCs w:val="16"/>
              </w:rPr>
            </w:pPr>
            <w:r w:rsidRPr="00392E88">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7B0EB358" w14:textId="77777777" w:rsidR="00044D5B" w:rsidRPr="00392E88" w:rsidRDefault="00044D5B">
            <w:pPr>
              <w:spacing w:before="0" w:after="0"/>
              <w:jc w:val="center"/>
              <w:rPr>
                <w:color w:val="000000"/>
                <w:sz w:val="16"/>
                <w:szCs w:val="16"/>
              </w:rPr>
            </w:pPr>
            <w:r w:rsidRPr="00392E88">
              <w:rPr>
                <w:color w:val="000000"/>
                <w:sz w:val="16"/>
              </w:rPr>
              <w:t>0</w:t>
            </w:r>
          </w:p>
        </w:tc>
      </w:tr>
      <w:tr w:rsidR="00E6355E" w:rsidRPr="00392E88" w14:paraId="5C153BD7" w14:textId="77777777">
        <w:trPr>
          <w:trHeight w:val="300"/>
        </w:trPr>
        <w:tc>
          <w:tcPr>
            <w:tcW w:w="2913" w:type="pct"/>
            <w:gridSpan w:val="2"/>
            <w:tcBorders>
              <w:top w:val="single" w:sz="8" w:space="0" w:color="auto"/>
              <w:left w:val="single" w:sz="8" w:space="0" w:color="auto"/>
              <w:bottom w:val="single" w:sz="8" w:space="0" w:color="auto"/>
              <w:right w:val="single" w:sz="8" w:space="0" w:color="auto"/>
            </w:tcBorders>
            <w:vAlign w:val="center"/>
            <w:hideMark/>
          </w:tcPr>
          <w:p w14:paraId="5AD03718" w14:textId="77777777" w:rsidR="00044D5B" w:rsidRPr="00392E88" w:rsidRDefault="00044D5B">
            <w:pPr>
              <w:spacing w:before="0" w:after="0"/>
              <w:ind w:firstLineChars="100" w:firstLine="160"/>
              <w:jc w:val="left"/>
              <w:rPr>
                <w:color w:val="000000"/>
                <w:sz w:val="16"/>
                <w:szCs w:val="16"/>
              </w:rPr>
            </w:pPr>
            <w:r w:rsidRPr="00392E88">
              <w:rPr>
                <w:color w:val="000000"/>
                <w:sz w:val="16"/>
              </w:rPr>
              <w:t>01 01 01 02</w:t>
            </w:r>
            <w:r w:rsidRPr="00392E88">
              <w:rPr>
                <w:rFonts w:ascii="Arial Narrow" w:hAnsi="Arial Narrow"/>
                <w:color w:val="000000"/>
                <w:sz w:val="20"/>
              </w:rPr>
              <w:t xml:space="preserve"> </w:t>
            </w:r>
            <w:r w:rsidRPr="00392E88">
              <w:rPr>
                <w:color w:val="000000"/>
                <w:sz w:val="16"/>
              </w:rPr>
              <w:t>(CA, SNE – pośrednie badania naukowe)</w:t>
            </w:r>
          </w:p>
        </w:tc>
        <w:tc>
          <w:tcPr>
            <w:tcW w:w="522" w:type="pct"/>
            <w:tcBorders>
              <w:top w:val="nil"/>
              <w:left w:val="nil"/>
              <w:bottom w:val="single" w:sz="8" w:space="0" w:color="auto"/>
              <w:right w:val="single" w:sz="8" w:space="0" w:color="auto"/>
            </w:tcBorders>
            <w:shd w:val="clear" w:color="000000" w:fill="D9D9D9"/>
            <w:vAlign w:val="center"/>
            <w:hideMark/>
          </w:tcPr>
          <w:p w14:paraId="00DE7DE5" w14:textId="77777777" w:rsidR="00044D5B" w:rsidRPr="00392E88" w:rsidRDefault="00044D5B">
            <w:pPr>
              <w:spacing w:before="0" w:after="0"/>
              <w:jc w:val="center"/>
              <w:rPr>
                <w:color w:val="000000"/>
                <w:sz w:val="16"/>
                <w:szCs w:val="16"/>
              </w:rPr>
            </w:pPr>
            <w:r w:rsidRPr="00392E88">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72907C6D" w14:textId="77777777" w:rsidR="00044D5B" w:rsidRPr="00392E88" w:rsidRDefault="00044D5B">
            <w:pPr>
              <w:spacing w:before="0" w:after="0"/>
              <w:jc w:val="center"/>
              <w:rPr>
                <w:color w:val="000000"/>
                <w:sz w:val="16"/>
                <w:szCs w:val="16"/>
              </w:rPr>
            </w:pPr>
            <w:r w:rsidRPr="00392E88">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2C025152" w14:textId="77777777" w:rsidR="00044D5B" w:rsidRPr="00392E88" w:rsidRDefault="00044D5B">
            <w:pPr>
              <w:spacing w:before="0" w:after="0"/>
              <w:jc w:val="center"/>
              <w:rPr>
                <w:color w:val="000000"/>
                <w:sz w:val="16"/>
                <w:szCs w:val="16"/>
              </w:rPr>
            </w:pPr>
            <w:r w:rsidRPr="00392E88">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6FF66F35" w14:textId="77777777" w:rsidR="00044D5B" w:rsidRPr="00392E88" w:rsidRDefault="00044D5B">
            <w:pPr>
              <w:spacing w:before="0" w:after="0"/>
              <w:jc w:val="center"/>
              <w:rPr>
                <w:color w:val="000000"/>
                <w:sz w:val="16"/>
                <w:szCs w:val="16"/>
              </w:rPr>
            </w:pPr>
            <w:r w:rsidRPr="00392E88">
              <w:rPr>
                <w:color w:val="000000"/>
                <w:sz w:val="16"/>
              </w:rPr>
              <w:t>0</w:t>
            </w:r>
          </w:p>
        </w:tc>
      </w:tr>
      <w:tr w:rsidR="00E6355E" w:rsidRPr="00392E88" w14:paraId="73FC75E8" w14:textId="77777777">
        <w:trPr>
          <w:trHeight w:val="300"/>
        </w:trPr>
        <w:tc>
          <w:tcPr>
            <w:tcW w:w="2913" w:type="pct"/>
            <w:gridSpan w:val="2"/>
            <w:tcBorders>
              <w:top w:val="single" w:sz="8" w:space="0" w:color="auto"/>
              <w:left w:val="single" w:sz="8" w:space="0" w:color="auto"/>
              <w:bottom w:val="single" w:sz="8" w:space="0" w:color="auto"/>
              <w:right w:val="single" w:sz="8" w:space="0" w:color="auto"/>
            </w:tcBorders>
            <w:vAlign w:val="center"/>
            <w:hideMark/>
          </w:tcPr>
          <w:p w14:paraId="35A57D0D" w14:textId="77777777" w:rsidR="00044D5B" w:rsidRPr="00392E88" w:rsidRDefault="00044D5B">
            <w:pPr>
              <w:spacing w:before="0" w:after="0"/>
              <w:ind w:firstLineChars="100" w:firstLine="160"/>
              <w:jc w:val="left"/>
              <w:rPr>
                <w:color w:val="000000"/>
                <w:sz w:val="16"/>
                <w:szCs w:val="16"/>
              </w:rPr>
            </w:pPr>
            <w:r w:rsidRPr="00392E88">
              <w:rPr>
                <w:color w:val="000000"/>
                <w:sz w:val="16"/>
              </w:rPr>
              <w:t xml:space="preserve"> 01 01 01 12 (CA, SNE – bezpośrednie badania naukowe)</w:t>
            </w:r>
          </w:p>
        </w:tc>
        <w:tc>
          <w:tcPr>
            <w:tcW w:w="522" w:type="pct"/>
            <w:tcBorders>
              <w:top w:val="nil"/>
              <w:left w:val="nil"/>
              <w:bottom w:val="single" w:sz="8" w:space="0" w:color="auto"/>
              <w:right w:val="single" w:sz="8" w:space="0" w:color="auto"/>
            </w:tcBorders>
            <w:shd w:val="clear" w:color="000000" w:fill="D9D9D9"/>
            <w:vAlign w:val="center"/>
            <w:hideMark/>
          </w:tcPr>
          <w:p w14:paraId="28BB1C50" w14:textId="77777777" w:rsidR="00044D5B" w:rsidRPr="00392E88" w:rsidRDefault="00044D5B">
            <w:pPr>
              <w:spacing w:before="0" w:after="0"/>
              <w:jc w:val="center"/>
              <w:rPr>
                <w:color w:val="000000"/>
                <w:sz w:val="16"/>
                <w:szCs w:val="16"/>
              </w:rPr>
            </w:pPr>
            <w:r w:rsidRPr="00392E88">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2D39F292" w14:textId="77777777" w:rsidR="00044D5B" w:rsidRPr="00392E88" w:rsidRDefault="00044D5B">
            <w:pPr>
              <w:spacing w:before="0" w:after="0"/>
              <w:jc w:val="center"/>
              <w:rPr>
                <w:color w:val="000000"/>
                <w:sz w:val="16"/>
                <w:szCs w:val="16"/>
              </w:rPr>
            </w:pPr>
            <w:r w:rsidRPr="00392E88">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231B85C9" w14:textId="77777777" w:rsidR="00044D5B" w:rsidRPr="00392E88" w:rsidRDefault="00044D5B">
            <w:pPr>
              <w:spacing w:before="0" w:after="0"/>
              <w:jc w:val="center"/>
              <w:rPr>
                <w:color w:val="000000"/>
                <w:sz w:val="16"/>
                <w:szCs w:val="16"/>
              </w:rPr>
            </w:pPr>
            <w:r w:rsidRPr="00392E88">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71E83314" w14:textId="77777777" w:rsidR="00044D5B" w:rsidRPr="00392E88" w:rsidRDefault="00044D5B">
            <w:pPr>
              <w:spacing w:before="0" w:after="0"/>
              <w:jc w:val="center"/>
              <w:rPr>
                <w:color w:val="000000"/>
                <w:sz w:val="16"/>
                <w:szCs w:val="16"/>
              </w:rPr>
            </w:pPr>
            <w:r w:rsidRPr="00392E88">
              <w:rPr>
                <w:color w:val="000000"/>
                <w:sz w:val="16"/>
              </w:rPr>
              <w:t>0</w:t>
            </w:r>
          </w:p>
        </w:tc>
      </w:tr>
      <w:tr w:rsidR="00E6355E" w:rsidRPr="00392E88" w14:paraId="7F992502" w14:textId="77777777">
        <w:trPr>
          <w:trHeight w:val="300"/>
        </w:trPr>
        <w:tc>
          <w:tcPr>
            <w:tcW w:w="2913" w:type="pct"/>
            <w:gridSpan w:val="2"/>
            <w:tcBorders>
              <w:top w:val="single" w:sz="8" w:space="0" w:color="auto"/>
              <w:left w:val="single" w:sz="8" w:space="0" w:color="auto"/>
              <w:bottom w:val="single" w:sz="8" w:space="0" w:color="auto"/>
              <w:right w:val="single" w:sz="8" w:space="0" w:color="auto"/>
            </w:tcBorders>
            <w:vAlign w:val="center"/>
            <w:hideMark/>
          </w:tcPr>
          <w:p w14:paraId="374437FF" w14:textId="77777777" w:rsidR="00044D5B" w:rsidRPr="00392E88" w:rsidRDefault="00044D5B">
            <w:pPr>
              <w:spacing w:before="0" w:after="0"/>
              <w:ind w:firstLineChars="100" w:firstLine="160"/>
              <w:jc w:val="left"/>
              <w:rPr>
                <w:color w:val="000000"/>
                <w:sz w:val="16"/>
                <w:szCs w:val="16"/>
              </w:rPr>
            </w:pPr>
            <w:r w:rsidRPr="00392E88">
              <w:rPr>
                <w:color w:val="000000"/>
                <w:sz w:val="16"/>
              </w:rPr>
              <w:t>Inna linia budżetowa (określić) – dział 7</w:t>
            </w:r>
          </w:p>
        </w:tc>
        <w:tc>
          <w:tcPr>
            <w:tcW w:w="522" w:type="pct"/>
            <w:tcBorders>
              <w:top w:val="nil"/>
              <w:left w:val="nil"/>
              <w:bottom w:val="single" w:sz="8" w:space="0" w:color="auto"/>
              <w:right w:val="single" w:sz="8" w:space="0" w:color="auto"/>
            </w:tcBorders>
            <w:shd w:val="clear" w:color="000000" w:fill="D9D9D9"/>
            <w:vAlign w:val="center"/>
            <w:hideMark/>
          </w:tcPr>
          <w:p w14:paraId="4F250F12" w14:textId="77777777" w:rsidR="00044D5B" w:rsidRPr="00392E88" w:rsidRDefault="00044D5B">
            <w:pPr>
              <w:spacing w:before="0" w:after="0"/>
              <w:jc w:val="center"/>
              <w:rPr>
                <w:color w:val="000000"/>
                <w:sz w:val="16"/>
                <w:szCs w:val="16"/>
              </w:rPr>
            </w:pPr>
            <w:r w:rsidRPr="00392E88">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5BC012C8" w14:textId="77777777" w:rsidR="00044D5B" w:rsidRPr="00392E88" w:rsidRDefault="00044D5B">
            <w:pPr>
              <w:spacing w:before="0" w:after="0"/>
              <w:jc w:val="center"/>
              <w:rPr>
                <w:color w:val="000000"/>
                <w:sz w:val="16"/>
                <w:szCs w:val="16"/>
              </w:rPr>
            </w:pPr>
            <w:r w:rsidRPr="00392E88">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729D7C69" w14:textId="77777777" w:rsidR="00044D5B" w:rsidRPr="00392E88" w:rsidRDefault="00044D5B">
            <w:pPr>
              <w:spacing w:before="0" w:after="0"/>
              <w:jc w:val="center"/>
              <w:rPr>
                <w:color w:val="000000"/>
                <w:sz w:val="16"/>
                <w:szCs w:val="16"/>
              </w:rPr>
            </w:pPr>
            <w:r w:rsidRPr="00392E88">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1EBACEB8" w14:textId="77777777" w:rsidR="00044D5B" w:rsidRPr="00392E88" w:rsidRDefault="00044D5B">
            <w:pPr>
              <w:spacing w:before="0" w:after="0"/>
              <w:jc w:val="center"/>
              <w:rPr>
                <w:color w:val="000000"/>
                <w:sz w:val="16"/>
                <w:szCs w:val="16"/>
              </w:rPr>
            </w:pPr>
            <w:r w:rsidRPr="00392E88">
              <w:rPr>
                <w:color w:val="000000"/>
                <w:sz w:val="16"/>
              </w:rPr>
              <w:t>0</w:t>
            </w:r>
          </w:p>
        </w:tc>
      </w:tr>
      <w:tr w:rsidR="00E6355E" w:rsidRPr="00392E88" w14:paraId="6A0C2CE8" w14:textId="77777777">
        <w:trPr>
          <w:trHeight w:val="300"/>
        </w:trPr>
        <w:tc>
          <w:tcPr>
            <w:tcW w:w="2913" w:type="pct"/>
            <w:gridSpan w:val="2"/>
            <w:tcBorders>
              <w:top w:val="single" w:sz="8" w:space="0" w:color="auto"/>
              <w:left w:val="single" w:sz="8" w:space="0" w:color="auto"/>
              <w:bottom w:val="single" w:sz="8" w:space="0" w:color="auto"/>
              <w:right w:val="single" w:sz="8" w:space="0" w:color="auto"/>
            </w:tcBorders>
            <w:vAlign w:val="center"/>
            <w:hideMark/>
          </w:tcPr>
          <w:p w14:paraId="312DB876" w14:textId="77777777" w:rsidR="00044D5B" w:rsidRPr="00392E88" w:rsidRDefault="00044D5B">
            <w:pPr>
              <w:spacing w:before="0" w:after="0"/>
              <w:ind w:firstLineChars="100" w:firstLine="160"/>
              <w:jc w:val="left"/>
              <w:rPr>
                <w:color w:val="000000"/>
                <w:sz w:val="16"/>
                <w:szCs w:val="16"/>
              </w:rPr>
            </w:pPr>
            <w:r w:rsidRPr="00392E88">
              <w:rPr>
                <w:color w:val="000000"/>
                <w:sz w:val="16"/>
              </w:rPr>
              <w:t>Inna linia budżetowa (określić) – poza działem 7</w:t>
            </w:r>
          </w:p>
        </w:tc>
        <w:tc>
          <w:tcPr>
            <w:tcW w:w="522" w:type="pct"/>
            <w:tcBorders>
              <w:top w:val="nil"/>
              <w:left w:val="nil"/>
              <w:bottom w:val="single" w:sz="8" w:space="0" w:color="auto"/>
              <w:right w:val="single" w:sz="8" w:space="0" w:color="auto"/>
            </w:tcBorders>
            <w:shd w:val="clear" w:color="000000" w:fill="D9D9D9"/>
            <w:vAlign w:val="center"/>
            <w:hideMark/>
          </w:tcPr>
          <w:p w14:paraId="420A4EB9" w14:textId="77777777" w:rsidR="00044D5B" w:rsidRPr="00392E88" w:rsidRDefault="00044D5B">
            <w:pPr>
              <w:spacing w:before="0" w:after="0"/>
              <w:jc w:val="center"/>
              <w:rPr>
                <w:color w:val="000000"/>
                <w:sz w:val="16"/>
                <w:szCs w:val="16"/>
              </w:rPr>
            </w:pPr>
            <w:r w:rsidRPr="00392E88">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207AF077" w14:textId="77777777" w:rsidR="00044D5B" w:rsidRPr="00392E88" w:rsidRDefault="00044D5B">
            <w:pPr>
              <w:spacing w:before="0" w:after="0"/>
              <w:jc w:val="center"/>
              <w:rPr>
                <w:color w:val="000000"/>
                <w:sz w:val="16"/>
                <w:szCs w:val="16"/>
              </w:rPr>
            </w:pPr>
            <w:r w:rsidRPr="00392E88">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2767D63B" w14:textId="77777777" w:rsidR="00044D5B" w:rsidRPr="00392E88" w:rsidRDefault="00044D5B">
            <w:pPr>
              <w:spacing w:before="0" w:after="0"/>
              <w:jc w:val="center"/>
              <w:rPr>
                <w:color w:val="000000"/>
                <w:sz w:val="16"/>
                <w:szCs w:val="16"/>
              </w:rPr>
            </w:pPr>
            <w:r w:rsidRPr="00392E88">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55925678" w14:textId="77777777" w:rsidR="00044D5B" w:rsidRPr="00392E88" w:rsidRDefault="00044D5B">
            <w:pPr>
              <w:spacing w:before="0" w:after="0"/>
              <w:jc w:val="center"/>
              <w:rPr>
                <w:color w:val="000000"/>
                <w:sz w:val="16"/>
                <w:szCs w:val="16"/>
              </w:rPr>
            </w:pPr>
            <w:r w:rsidRPr="00392E88">
              <w:rPr>
                <w:color w:val="000000"/>
                <w:sz w:val="16"/>
              </w:rPr>
              <w:t>0</w:t>
            </w:r>
          </w:p>
        </w:tc>
      </w:tr>
      <w:tr w:rsidR="00E6355E" w:rsidRPr="00392E88" w14:paraId="5E51A2E1" w14:textId="77777777">
        <w:trPr>
          <w:trHeight w:val="300"/>
        </w:trPr>
        <w:tc>
          <w:tcPr>
            <w:tcW w:w="2913" w:type="pct"/>
            <w:gridSpan w:val="2"/>
            <w:tcBorders>
              <w:top w:val="single" w:sz="8" w:space="0" w:color="auto"/>
              <w:left w:val="single" w:sz="8" w:space="0" w:color="auto"/>
              <w:bottom w:val="single" w:sz="8" w:space="0" w:color="auto"/>
              <w:right w:val="single" w:sz="8" w:space="0" w:color="auto"/>
            </w:tcBorders>
            <w:vAlign w:val="center"/>
            <w:hideMark/>
          </w:tcPr>
          <w:p w14:paraId="7023AF06" w14:textId="77777777" w:rsidR="00044D5B" w:rsidRPr="00392E88" w:rsidRDefault="00044D5B">
            <w:pPr>
              <w:spacing w:before="0" w:after="0"/>
              <w:ind w:firstLineChars="100" w:firstLine="161"/>
              <w:jc w:val="left"/>
              <w:rPr>
                <w:b/>
                <w:bCs/>
                <w:color w:val="000000"/>
                <w:sz w:val="16"/>
                <w:szCs w:val="16"/>
              </w:rPr>
            </w:pPr>
            <w:r w:rsidRPr="00392E88">
              <w:rPr>
                <w:b/>
                <w:color w:val="000000"/>
                <w:sz w:val="16"/>
              </w:rPr>
              <w:t>OGÓŁEM</w:t>
            </w:r>
          </w:p>
        </w:tc>
        <w:tc>
          <w:tcPr>
            <w:tcW w:w="522" w:type="pct"/>
            <w:tcBorders>
              <w:top w:val="nil"/>
              <w:left w:val="nil"/>
              <w:bottom w:val="single" w:sz="8" w:space="0" w:color="auto"/>
              <w:right w:val="single" w:sz="8" w:space="0" w:color="auto"/>
            </w:tcBorders>
            <w:shd w:val="clear" w:color="000000" w:fill="D9D9D9"/>
            <w:vAlign w:val="center"/>
            <w:hideMark/>
          </w:tcPr>
          <w:p w14:paraId="23FE64DB" w14:textId="77777777" w:rsidR="00044D5B" w:rsidRPr="00392E88" w:rsidRDefault="00044D5B">
            <w:pPr>
              <w:spacing w:before="0" w:after="0"/>
              <w:jc w:val="center"/>
              <w:rPr>
                <w:b/>
                <w:bCs/>
                <w:color w:val="000000"/>
                <w:sz w:val="16"/>
                <w:szCs w:val="16"/>
              </w:rPr>
            </w:pPr>
            <w:r w:rsidRPr="00392E88">
              <w:rPr>
                <w:b/>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716FD9C8" w14:textId="77777777" w:rsidR="00044D5B" w:rsidRPr="00392E88" w:rsidRDefault="00044D5B">
            <w:pPr>
              <w:spacing w:before="0" w:after="0"/>
              <w:jc w:val="center"/>
              <w:rPr>
                <w:b/>
                <w:bCs/>
                <w:color w:val="000000"/>
                <w:sz w:val="16"/>
                <w:szCs w:val="16"/>
              </w:rPr>
            </w:pPr>
            <w:r w:rsidRPr="00392E88">
              <w:rPr>
                <w:b/>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6B02BEA5" w14:textId="77777777" w:rsidR="00044D5B" w:rsidRPr="00392E88" w:rsidRDefault="00044D5B">
            <w:pPr>
              <w:spacing w:before="0" w:after="0"/>
              <w:jc w:val="center"/>
              <w:rPr>
                <w:b/>
                <w:bCs/>
                <w:color w:val="000000"/>
                <w:sz w:val="16"/>
                <w:szCs w:val="16"/>
              </w:rPr>
            </w:pPr>
            <w:r w:rsidRPr="00392E88">
              <w:rPr>
                <w:b/>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6358BCD8" w14:textId="77777777" w:rsidR="00044D5B" w:rsidRPr="00392E88" w:rsidRDefault="00044D5B">
            <w:pPr>
              <w:spacing w:before="0" w:after="0"/>
              <w:jc w:val="center"/>
              <w:rPr>
                <w:b/>
                <w:bCs/>
                <w:color w:val="000000"/>
                <w:sz w:val="16"/>
                <w:szCs w:val="16"/>
              </w:rPr>
            </w:pPr>
            <w:r w:rsidRPr="00392E88">
              <w:rPr>
                <w:b/>
                <w:color w:val="000000"/>
                <w:sz w:val="16"/>
              </w:rPr>
              <w:t>0</w:t>
            </w:r>
          </w:p>
        </w:tc>
      </w:tr>
    </w:tbl>
    <w:p w14:paraId="7CE2679A" w14:textId="1333B231" w:rsidR="00044D5B" w:rsidRPr="00392E88" w:rsidRDefault="00044D5B" w:rsidP="00044D5B">
      <w:pPr>
        <w:pStyle w:val="ManualHeading3"/>
      </w:pPr>
      <w:r w:rsidRPr="00392E88">
        <w:t>3.2.4.2.</w:t>
      </w:r>
      <w:r w:rsidRPr="00392E88">
        <w:tab/>
        <w:t>Finansowane</w:t>
      </w:r>
      <w:r w:rsidR="006E6446" w:rsidRPr="00392E88">
        <w:t xml:space="preserve"> z</w:t>
      </w:r>
      <w:r w:rsidR="006E6446">
        <w:t> </w:t>
      </w:r>
      <w:r w:rsidR="006E6446" w:rsidRPr="00392E88">
        <w:t>zew</w:t>
      </w:r>
      <w:r w:rsidRPr="00392E88">
        <w:t>nętrznych dochodów przeznaczonych na określony cel</w:t>
      </w:r>
    </w:p>
    <w:tbl>
      <w:tblPr>
        <w:tblW w:w="5000" w:type="pct"/>
        <w:tblInd w:w="-118" w:type="dxa"/>
        <w:tblCellMar>
          <w:left w:w="0" w:type="dxa"/>
          <w:right w:w="0" w:type="dxa"/>
        </w:tblCellMar>
        <w:tblLook w:val="04A0" w:firstRow="1" w:lastRow="0" w:firstColumn="1" w:lastColumn="0" w:noHBand="0" w:noVBand="1"/>
      </w:tblPr>
      <w:tblGrid>
        <w:gridCol w:w="1483"/>
        <w:gridCol w:w="3816"/>
        <w:gridCol w:w="949"/>
        <w:gridCol w:w="949"/>
        <w:gridCol w:w="949"/>
        <w:gridCol w:w="947"/>
      </w:tblGrid>
      <w:tr w:rsidR="00E6355E" w:rsidRPr="00392E88" w14:paraId="3490D8E2" w14:textId="77777777">
        <w:trPr>
          <w:trHeight w:val="300"/>
        </w:trPr>
        <w:tc>
          <w:tcPr>
            <w:tcW w:w="2913" w:type="pct"/>
            <w:gridSpan w:val="2"/>
            <w:vMerge w:val="restart"/>
            <w:tcBorders>
              <w:top w:val="single" w:sz="8" w:space="0" w:color="auto"/>
              <w:left w:val="single" w:sz="8" w:space="0" w:color="auto"/>
              <w:bottom w:val="single" w:sz="8" w:space="0" w:color="000000"/>
              <w:right w:val="single" w:sz="8" w:space="0" w:color="000000"/>
            </w:tcBorders>
            <w:vAlign w:val="center"/>
            <w:hideMark/>
          </w:tcPr>
          <w:p w14:paraId="14AD854B" w14:textId="77777777" w:rsidR="00044D5B" w:rsidRPr="00392E88" w:rsidRDefault="00044D5B">
            <w:pPr>
              <w:spacing w:before="0" w:after="0"/>
              <w:jc w:val="center"/>
              <w:rPr>
                <w:b/>
                <w:bCs/>
                <w:color w:val="000000"/>
                <w:sz w:val="18"/>
                <w:szCs w:val="18"/>
              </w:rPr>
            </w:pPr>
            <w:r w:rsidRPr="00392E88">
              <w:rPr>
                <w:b/>
                <w:color w:val="000000"/>
                <w:sz w:val="18"/>
              </w:rPr>
              <w:t>ZEWNĘTRZNE DOCHODY PRZEZNACZONE NA OKREŚLONY CEL</w:t>
            </w:r>
          </w:p>
        </w:tc>
        <w:tc>
          <w:tcPr>
            <w:tcW w:w="522" w:type="pct"/>
            <w:tcBorders>
              <w:top w:val="single" w:sz="8" w:space="0" w:color="auto"/>
              <w:left w:val="nil"/>
              <w:bottom w:val="nil"/>
              <w:right w:val="single" w:sz="8" w:space="0" w:color="auto"/>
            </w:tcBorders>
            <w:vAlign w:val="center"/>
            <w:hideMark/>
          </w:tcPr>
          <w:p w14:paraId="5FDF5BF2" w14:textId="77777777" w:rsidR="00044D5B" w:rsidRPr="00392E88" w:rsidRDefault="00044D5B">
            <w:pPr>
              <w:spacing w:before="0" w:after="0"/>
              <w:jc w:val="center"/>
              <w:rPr>
                <w:color w:val="000000"/>
                <w:sz w:val="20"/>
                <w:szCs w:val="20"/>
              </w:rPr>
            </w:pPr>
            <w:r w:rsidRPr="00392E88">
              <w:rPr>
                <w:color w:val="000000"/>
                <w:sz w:val="20"/>
              </w:rPr>
              <w:t>Rok</w:t>
            </w:r>
          </w:p>
        </w:tc>
        <w:tc>
          <w:tcPr>
            <w:tcW w:w="522" w:type="pct"/>
            <w:tcBorders>
              <w:top w:val="single" w:sz="8" w:space="0" w:color="auto"/>
              <w:left w:val="nil"/>
              <w:bottom w:val="nil"/>
              <w:right w:val="single" w:sz="8" w:space="0" w:color="auto"/>
            </w:tcBorders>
            <w:vAlign w:val="center"/>
            <w:hideMark/>
          </w:tcPr>
          <w:p w14:paraId="16D73A9E" w14:textId="77777777" w:rsidR="00044D5B" w:rsidRPr="00392E88" w:rsidRDefault="00044D5B">
            <w:pPr>
              <w:spacing w:before="0" w:after="0"/>
              <w:jc w:val="center"/>
              <w:rPr>
                <w:color w:val="000000"/>
                <w:sz w:val="20"/>
                <w:szCs w:val="20"/>
              </w:rPr>
            </w:pPr>
            <w:r w:rsidRPr="00392E88">
              <w:rPr>
                <w:color w:val="000000"/>
                <w:sz w:val="20"/>
              </w:rPr>
              <w:t>Rok</w:t>
            </w:r>
          </w:p>
        </w:tc>
        <w:tc>
          <w:tcPr>
            <w:tcW w:w="522" w:type="pct"/>
            <w:tcBorders>
              <w:top w:val="single" w:sz="8" w:space="0" w:color="auto"/>
              <w:left w:val="nil"/>
              <w:bottom w:val="nil"/>
              <w:right w:val="single" w:sz="8" w:space="0" w:color="auto"/>
            </w:tcBorders>
            <w:vAlign w:val="center"/>
            <w:hideMark/>
          </w:tcPr>
          <w:p w14:paraId="59F081DC" w14:textId="77777777" w:rsidR="00044D5B" w:rsidRPr="00392E88" w:rsidRDefault="00044D5B">
            <w:pPr>
              <w:spacing w:before="0" w:after="0"/>
              <w:jc w:val="center"/>
              <w:rPr>
                <w:color w:val="000000"/>
                <w:sz w:val="20"/>
                <w:szCs w:val="20"/>
              </w:rPr>
            </w:pPr>
            <w:r w:rsidRPr="00392E88">
              <w:rPr>
                <w:color w:val="000000"/>
                <w:sz w:val="20"/>
              </w:rPr>
              <w:t>Rok</w:t>
            </w:r>
          </w:p>
        </w:tc>
        <w:tc>
          <w:tcPr>
            <w:tcW w:w="522" w:type="pct"/>
            <w:tcBorders>
              <w:top w:val="single" w:sz="8" w:space="0" w:color="auto"/>
              <w:left w:val="nil"/>
              <w:bottom w:val="nil"/>
              <w:right w:val="single" w:sz="8" w:space="0" w:color="auto"/>
            </w:tcBorders>
            <w:vAlign w:val="center"/>
            <w:hideMark/>
          </w:tcPr>
          <w:p w14:paraId="7AB2B32E" w14:textId="77777777" w:rsidR="00044D5B" w:rsidRPr="00392E88" w:rsidRDefault="00044D5B">
            <w:pPr>
              <w:spacing w:before="0" w:after="0"/>
              <w:jc w:val="center"/>
              <w:rPr>
                <w:color w:val="000000"/>
                <w:sz w:val="20"/>
                <w:szCs w:val="20"/>
              </w:rPr>
            </w:pPr>
            <w:r w:rsidRPr="00392E88">
              <w:rPr>
                <w:color w:val="000000"/>
                <w:sz w:val="20"/>
              </w:rPr>
              <w:t>Rok</w:t>
            </w:r>
          </w:p>
        </w:tc>
      </w:tr>
      <w:tr w:rsidR="00E6355E" w:rsidRPr="00392E88" w14:paraId="4009CDC6" w14:textId="77777777">
        <w:trPr>
          <w:trHeight w:val="300"/>
        </w:trPr>
        <w:tc>
          <w:tcPr>
            <w:tcW w:w="2913" w:type="pct"/>
            <w:gridSpan w:val="2"/>
            <w:vMerge/>
            <w:tcBorders>
              <w:top w:val="single" w:sz="8" w:space="0" w:color="auto"/>
              <w:left w:val="single" w:sz="8" w:space="0" w:color="auto"/>
              <w:bottom w:val="single" w:sz="8" w:space="0" w:color="auto"/>
              <w:right w:val="single" w:sz="8" w:space="0" w:color="000000"/>
            </w:tcBorders>
            <w:vAlign w:val="center"/>
            <w:hideMark/>
          </w:tcPr>
          <w:p w14:paraId="33DD229B" w14:textId="77777777" w:rsidR="00044D5B" w:rsidRPr="00392E88" w:rsidRDefault="00044D5B">
            <w:pPr>
              <w:spacing w:before="0" w:after="0"/>
              <w:jc w:val="left"/>
              <w:rPr>
                <w:b/>
                <w:bCs/>
                <w:color w:val="000000"/>
                <w:sz w:val="18"/>
                <w:szCs w:val="18"/>
                <w:lang w:eastAsia="en-IE"/>
              </w:rPr>
            </w:pPr>
          </w:p>
        </w:tc>
        <w:tc>
          <w:tcPr>
            <w:tcW w:w="522" w:type="pct"/>
            <w:tcBorders>
              <w:top w:val="nil"/>
              <w:left w:val="nil"/>
              <w:bottom w:val="single" w:sz="8" w:space="0" w:color="auto"/>
              <w:right w:val="single" w:sz="8" w:space="0" w:color="auto"/>
            </w:tcBorders>
            <w:vAlign w:val="center"/>
            <w:hideMark/>
          </w:tcPr>
          <w:p w14:paraId="4585593E" w14:textId="77777777" w:rsidR="00044D5B" w:rsidRPr="00392E88" w:rsidRDefault="00044D5B">
            <w:pPr>
              <w:spacing w:before="0" w:after="0"/>
              <w:jc w:val="center"/>
              <w:rPr>
                <w:b/>
                <w:bCs/>
                <w:color w:val="000000"/>
                <w:sz w:val="20"/>
                <w:szCs w:val="20"/>
              </w:rPr>
            </w:pPr>
            <w:r w:rsidRPr="00392E88">
              <w:rPr>
                <w:b/>
                <w:color w:val="000000"/>
                <w:sz w:val="20"/>
              </w:rPr>
              <w:t>2024</w:t>
            </w:r>
          </w:p>
        </w:tc>
        <w:tc>
          <w:tcPr>
            <w:tcW w:w="522" w:type="pct"/>
            <w:tcBorders>
              <w:top w:val="nil"/>
              <w:left w:val="nil"/>
              <w:bottom w:val="single" w:sz="8" w:space="0" w:color="auto"/>
              <w:right w:val="single" w:sz="8" w:space="0" w:color="auto"/>
            </w:tcBorders>
            <w:vAlign w:val="center"/>
            <w:hideMark/>
          </w:tcPr>
          <w:p w14:paraId="27BD7D8F" w14:textId="77777777" w:rsidR="00044D5B" w:rsidRPr="00392E88" w:rsidRDefault="00044D5B">
            <w:pPr>
              <w:spacing w:before="0" w:after="0"/>
              <w:jc w:val="center"/>
              <w:rPr>
                <w:b/>
                <w:bCs/>
                <w:color w:val="000000"/>
                <w:sz w:val="20"/>
                <w:szCs w:val="20"/>
              </w:rPr>
            </w:pPr>
            <w:r w:rsidRPr="00392E88">
              <w:rPr>
                <w:b/>
                <w:color w:val="000000"/>
                <w:sz w:val="20"/>
              </w:rPr>
              <w:t>2025</w:t>
            </w:r>
          </w:p>
        </w:tc>
        <w:tc>
          <w:tcPr>
            <w:tcW w:w="522" w:type="pct"/>
            <w:tcBorders>
              <w:top w:val="nil"/>
              <w:left w:val="nil"/>
              <w:bottom w:val="single" w:sz="8" w:space="0" w:color="auto"/>
              <w:right w:val="single" w:sz="8" w:space="0" w:color="auto"/>
            </w:tcBorders>
            <w:vAlign w:val="center"/>
            <w:hideMark/>
          </w:tcPr>
          <w:p w14:paraId="2B86AF37" w14:textId="77777777" w:rsidR="00044D5B" w:rsidRPr="00392E88" w:rsidRDefault="00044D5B">
            <w:pPr>
              <w:spacing w:before="0" w:after="0"/>
              <w:jc w:val="center"/>
              <w:rPr>
                <w:b/>
                <w:bCs/>
                <w:color w:val="000000"/>
                <w:sz w:val="20"/>
                <w:szCs w:val="20"/>
              </w:rPr>
            </w:pPr>
            <w:r w:rsidRPr="00392E88">
              <w:rPr>
                <w:b/>
                <w:color w:val="000000"/>
                <w:sz w:val="20"/>
              </w:rPr>
              <w:t>2026</w:t>
            </w:r>
          </w:p>
        </w:tc>
        <w:tc>
          <w:tcPr>
            <w:tcW w:w="522" w:type="pct"/>
            <w:tcBorders>
              <w:top w:val="nil"/>
              <w:left w:val="nil"/>
              <w:bottom w:val="single" w:sz="8" w:space="0" w:color="auto"/>
              <w:right w:val="single" w:sz="8" w:space="0" w:color="auto"/>
            </w:tcBorders>
            <w:vAlign w:val="center"/>
            <w:hideMark/>
          </w:tcPr>
          <w:p w14:paraId="68FCA9C5" w14:textId="77777777" w:rsidR="00044D5B" w:rsidRPr="00392E88" w:rsidRDefault="00044D5B">
            <w:pPr>
              <w:spacing w:before="0" w:after="0"/>
              <w:jc w:val="center"/>
              <w:rPr>
                <w:b/>
                <w:bCs/>
                <w:color w:val="000000"/>
                <w:sz w:val="20"/>
                <w:szCs w:val="20"/>
              </w:rPr>
            </w:pPr>
            <w:r w:rsidRPr="00392E88">
              <w:rPr>
                <w:b/>
                <w:color w:val="000000"/>
                <w:sz w:val="20"/>
              </w:rPr>
              <w:t>2027</w:t>
            </w:r>
          </w:p>
        </w:tc>
      </w:tr>
      <w:tr w:rsidR="00C45E62" w:rsidRPr="00392E88" w14:paraId="3D7A3EDD" w14:textId="77777777">
        <w:trPr>
          <w:trHeight w:val="300"/>
        </w:trPr>
        <w:tc>
          <w:tcPr>
            <w:tcW w:w="5000" w:type="pct"/>
            <w:gridSpan w:val="6"/>
            <w:tcBorders>
              <w:top w:val="single" w:sz="8" w:space="0" w:color="auto"/>
              <w:left w:val="single" w:sz="8" w:space="0" w:color="auto"/>
              <w:bottom w:val="single" w:sz="8" w:space="0" w:color="auto"/>
              <w:right w:val="single" w:sz="4" w:space="0" w:color="auto"/>
            </w:tcBorders>
            <w:vAlign w:val="center"/>
            <w:hideMark/>
          </w:tcPr>
          <w:p w14:paraId="5327EB49" w14:textId="0DFC057F" w:rsidR="00044D5B" w:rsidRPr="00392E88" w:rsidRDefault="00044D5B">
            <w:pPr>
              <w:spacing w:before="0" w:after="0"/>
              <w:jc w:val="left"/>
              <w:rPr>
                <w:rFonts w:ascii="Wingdings" w:hAnsi="Wingdings" w:cs="Calibri"/>
                <w:b/>
                <w:bCs/>
                <w:color w:val="000000"/>
                <w:sz w:val="16"/>
                <w:szCs w:val="16"/>
              </w:rPr>
            </w:pPr>
            <w:r w:rsidRPr="00392E88">
              <w:rPr>
                <w:rFonts w:ascii="Wingdings" w:hAnsi="Wingdings"/>
                <w:b/>
                <w:color w:val="000000"/>
                <w:sz w:val="16"/>
              </w:rPr>
              <w:t>Ÿ</w:t>
            </w:r>
            <w:r w:rsidRPr="00392E88">
              <w:rPr>
                <w:b/>
                <w:color w:val="000000"/>
                <w:sz w:val="16"/>
              </w:rPr>
              <w:t xml:space="preserve"> Stanowiska przewidziane</w:t>
            </w:r>
            <w:r w:rsidR="006E6446" w:rsidRPr="00392E88">
              <w:rPr>
                <w:b/>
                <w:color w:val="000000"/>
                <w:sz w:val="16"/>
              </w:rPr>
              <w:t xml:space="preserve"> w</w:t>
            </w:r>
            <w:r w:rsidR="006E6446">
              <w:rPr>
                <w:b/>
                <w:color w:val="000000"/>
                <w:sz w:val="16"/>
              </w:rPr>
              <w:t> </w:t>
            </w:r>
            <w:r w:rsidR="006E6446" w:rsidRPr="00392E88">
              <w:rPr>
                <w:b/>
                <w:color w:val="000000"/>
                <w:sz w:val="16"/>
              </w:rPr>
              <w:t>pla</w:t>
            </w:r>
            <w:r w:rsidRPr="00392E88">
              <w:rPr>
                <w:b/>
                <w:color w:val="000000"/>
                <w:sz w:val="16"/>
              </w:rPr>
              <w:t>nie zatrudnienia (stanowiska urzędników</w:t>
            </w:r>
            <w:r w:rsidR="006E6446" w:rsidRPr="00392E88">
              <w:rPr>
                <w:b/>
                <w:color w:val="000000"/>
                <w:sz w:val="16"/>
              </w:rPr>
              <w:t xml:space="preserve"> i</w:t>
            </w:r>
            <w:r w:rsidR="006E6446">
              <w:rPr>
                <w:b/>
                <w:color w:val="000000"/>
                <w:sz w:val="16"/>
              </w:rPr>
              <w:t> </w:t>
            </w:r>
            <w:r w:rsidR="006E6446" w:rsidRPr="00392E88">
              <w:rPr>
                <w:b/>
                <w:color w:val="000000"/>
                <w:sz w:val="16"/>
              </w:rPr>
              <w:t>pra</w:t>
            </w:r>
            <w:r w:rsidRPr="00392E88">
              <w:rPr>
                <w:b/>
                <w:color w:val="000000"/>
                <w:sz w:val="16"/>
              </w:rPr>
              <w:t>cowników zatrudnionych na czas określony)</w:t>
            </w:r>
          </w:p>
        </w:tc>
      </w:tr>
      <w:tr w:rsidR="00E6355E" w:rsidRPr="00392E88" w14:paraId="376B3E8F" w14:textId="77777777">
        <w:trPr>
          <w:trHeight w:val="300"/>
        </w:trPr>
        <w:tc>
          <w:tcPr>
            <w:tcW w:w="2913" w:type="pct"/>
            <w:gridSpan w:val="2"/>
            <w:tcBorders>
              <w:top w:val="single" w:sz="8" w:space="0" w:color="auto"/>
              <w:left w:val="single" w:sz="8" w:space="0" w:color="auto"/>
              <w:bottom w:val="single" w:sz="8" w:space="0" w:color="auto"/>
              <w:right w:val="single" w:sz="8" w:space="0" w:color="auto"/>
            </w:tcBorders>
            <w:vAlign w:val="center"/>
            <w:hideMark/>
          </w:tcPr>
          <w:p w14:paraId="15CA7AFB" w14:textId="10B9FB23" w:rsidR="00044D5B" w:rsidRPr="00392E88" w:rsidRDefault="00044D5B">
            <w:pPr>
              <w:spacing w:before="0" w:after="0"/>
              <w:ind w:firstLineChars="100" w:firstLine="240"/>
              <w:jc w:val="left"/>
              <w:rPr>
                <w:color w:val="000000"/>
                <w:sz w:val="16"/>
                <w:szCs w:val="16"/>
              </w:rPr>
            </w:pPr>
            <w:r w:rsidRPr="00392E88">
              <w:rPr>
                <w:color w:val="000000"/>
              </w:rPr>
              <w:t>20 01 02 01 (w centrali</w:t>
            </w:r>
            <w:r w:rsidR="006E6446" w:rsidRPr="00392E88">
              <w:rPr>
                <w:color w:val="000000"/>
              </w:rPr>
              <w:t xml:space="preserve"> i</w:t>
            </w:r>
            <w:r w:rsidR="006E6446">
              <w:rPr>
                <w:color w:val="000000"/>
              </w:rPr>
              <w:t> </w:t>
            </w:r>
            <w:r w:rsidR="006E6446" w:rsidRPr="00392E88">
              <w:rPr>
                <w:color w:val="000000"/>
              </w:rPr>
              <w:t>w</w:t>
            </w:r>
            <w:r w:rsidR="006E6446">
              <w:rPr>
                <w:color w:val="000000"/>
              </w:rPr>
              <w:t> </w:t>
            </w:r>
            <w:r w:rsidR="006E6446" w:rsidRPr="00392E88">
              <w:rPr>
                <w:color w:val="000000"/>
              </w:rPr>
              <w:t>biu</w:t>
            </w:r>
            <w:r w:rsidRPr="00392E88">
              <w:rPr>
                <w:color w:val="000000"/>
              </w:rPr>
              <w:t>rach przedstawicielstw Komisji)</w:t>
            </w:r>
          </w:p>
        </w:tc>
        <w:tc>
          <w:tcPr>
            <w:tcW w:w="522" w:type="pct"/>
            <w:tcBorders>
              <w:top w:val="nil"/>
              <w:left w:val="nil"/>
              <w:bottom w:val="single" w:sz="8" w:space="0" w:color="auto"/>
              <w:right w:val="single" w:sz="8" w:space="0" w:color="auto"/>
            </w:tcBorders>
            <w:shd w:val="clear" w:color="000000" w:fill="D9D9D9"/>
            <w:vAlign w:val="center"/>
            <w:hideMark/>
          </w:tcPr>
          <w:p w14:paraId="13DCA8BB" w14:textId="77777777" w:rsidR="00044D5B" w:rsidRPr="00392E88" w:rsidRDefault="00044D5B">
            <w:pPr>
              <w:spacing w:before="0" w:after="0"/>
              <w:jc w:val="center"/>
              <w:rPr>
                <w:color w:val="000000"/>
                <w:sz w:val="16"/>
                <w:szCs w:val="16"/>
              </w:rPr>
            </w:pPr>
            <w:r w:rsidRPr="00392E88">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1341D498" w14:textId="77777777" w:rsidR="00044D5B" w:rsidRPr="00392E88" w:rsidRDefault="00044D5B">
            <w:pPr>
              <w:spacing w:before="0" w:after="0"/>
              <w:jc w:val="center"/>
              <w:rPr>
                <w:color w:val="000000"/>
                <w:sz w:val="16"/>
                <w:szCs w:val="16"/>
              </w:rPr>
            </w:pPr>
            <w:r w:rsidRPr="00392E88">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5F8589B5" w14:textId="77777777" w:rsidR="00044D5B" w:rsidRPr="00392E88" w:rsidRDefault="00044D5B">
            <w:pPr>
              <w:spacing w:before="0" w:after="0"/>
              <w:jc w:val="center"/>
              <w:rPr>
                <w:color w:val="000000"/>
                <w:sz w:val="16"/>
                <w:szCs w:val="16"/>
              </w:rPr>
            </w:pPr>
            <w:r w:rsidRPr="00392E88">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2100D154" w14:textId="77777777" w:rsidR="00044D5B" w:rsidRPr="00392E88" w:rsidRDefault="00044D5B">
            <w:pPr>
              <w:spacing w:before="0" w:after="0"/>
              <w:jc w:val="center"/>
              <w:rPr>
                <w:color w:val="000000"/>
                <w:sz w:val="16"/>
                <w:szCs w:val="16"/>
              </w:rPr>
            </w:pPr>
            <w:r w:rsidRPr="00392E88">
              <w:rPr>
                <w:color w:val="000000"/>
                <w:sz w:val="16"/>
              </w:rPr>
              <w:t>0</w:t>
            </w:r>
          </w:p>
        </w:tc>
      </w:tr>
      <w:tr w:rsidR="00E6355E" w:rsidRPr="00392E88" w14:paraId="2966008B" w14:textId="77777777">
        <w:trPr>
          <w:trHeight w:val="300"/>
        </w:trPr>
        <w:tc>
          <w:tcPr>
            <w:tcW w:w="2913" w:type="pct"/>
            <w:gridSpan w:val="2"/>
            <w:tcBorders>
              <w:top w:val="single" w:sz="8" w:space="0" w:color="auto"/>
              <w:left w:val="single" w:sz="8" w:space="0" w:color="auto"/>
              <w:bottom w:val="single" w:sz="8" w:space="0" w:color="auto"/>
              <w:right w:val="single" w:sz="8" w:space="0" w:color="auto"/>
            </w:tcBorders>
            <w:vAlign w:val="center"/>
            <w:hideMark/>
          </w:tcPr>
          <w:p w14:paraId="284BD2E3" w14:textId="77777777" w:rsidR="00044D5B" w:rsidRPr="00392E88" w:rsidRDefault="00044D5B">
            <w:pPr>
              <w:spacing w:before="0" w:after="0"/>
              <w:ind w:firstLineChars="100" w:firstLine="160"/>
              <w:jc w:val="left"/>
              <w:rPr>
                <w:color w:val="000000"/>
                <w:sz w:val="16"/>
                <w:szCs w:val="16"/>
              </w:rPr>
            </w:pPr>
            <w:r w:rsidRPr="00392E88">
              <w:rPr>
                <w:color w:val="000000"/>
                <w:sz w:val="16"/>
              </w:rPr>
              <w:t>20 01 02 03 (w delegaturach UE)</w:t>
            </w:r>
          </w:p>
        </w:tc>
        <w:tc>
          <w:tcPr>
            <w:tcW w:w="522" w:type="pct"/>
            <w:tcBorders>
              <w:top w:val="nil"/>
              <w:left w:val="nil"/>
              <w:bottom w:val="single" w:sz="8" w:space="0" w:color="auto"/>
              <w:right w:val="single" w:sz="8" w:space="0" w:color="auto"/>
            </w:tcBorders>
            <w:shd w:val="clear" w:color="000000" w:fill="D9D9D9"/>
            <w:vAlign w:val="center"/>
            <w:hideMark/>
          </w:tcPr>
          <w:p w14:paraId="7FE60742" w14:textId="77777777" w:rsidR="00044D5B" w:rsidRPr="00392E88" w:rsidRDefault="00044D5B">
            <w:pPr>
              <w:spacing w:before="0" w:after="0"/>
              <w:jc w:val="center"/>
              <w:rPr>
                <w:color w:val="000000"/>
                <w:sz w:val="16"/>
                <w:szCs w:val="16"/>
              </w:rPr>
            </w:pPr>
            <w:r w:rsidRPr="00392E88">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36B1630B" w14:textId="77777777" w:rsidR="00044D5B" w:rsidRPr="00392E88" w:rsidRDefault="00044D5B">
            <w:pPr>
              <w:spacing w:before="0" w:after="0"/>
              <w:jc w:val="center"/>
              <w:rPr>
                <w:color w:val="000000"/>
                <w:sz w:val="16"/>
                <w:szCs w:val="16"/>
              </w:rPr>
            </w:pPr>
            <w:r w:rsidRPr="00392E88">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4E315E68" w14:textId="77777777" w:rsidR="00044D5B" w:rsidRPr="00392E88" w:rsidRDefault="00044D5B">
            <w:pPr>
              <w:spacing w:before="0" w:after="0"/>
              <w:jc w:val="center"/>
              <w:rPr>
                <w:color w:val="000000"/>
                <w:sz w:val="16"/>
                <w:szCs w:val="16"/>
              </w:rPr>
            </w:pPr>
            <w:r w:rsidRPr="00392E88">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56FFAB93" w14:textId="77777777" w:rsidR="00044D5B" w:rsidRPr="00392E88" w:rsidRDefault="00044D5B">
            <w:pPr>
              <w:spacing w:before="0" w:after="0"/>
              <w:jc w:val="center"/>
              <w:rPr>
                <w:color w:val="000000"/>
                <w:sz w:val="16"/>
                <w:szCs w:val="16"/>
              </w:rPr>
            </w:pPr>
            <w:r w:rsidRPr="00392E88">
              <w:rPr>
                <w:color w:val="000000"/>
                <w:sz w:val="16"/>
              </w:rPr>
              <w:t>0</w:t>
            </w:r>
          </w:p>
        </w:tc>
      </w:tr>
      <w:tr w:rsidR="00E6355E" w:rsidRPr="00392E88" w14:paraId="0B874ECB" w14:textId="77777777">
        <w:trPr>
          <w:trHeight w:val="300"/>
        </w:trPr>
        <w:tc>
          <w:tcPr>
            <w:tcW w:w="2913" w:type="pct"/>
            <w:gridSpan w:val="2"/>
            <w:tcBorders>
              <w:top w:val="single" w:sz="8" w:space="0" w:color="auto"/>
              <w:left w:val="single" w:sz="8" w:space="0" w:color="auto"/>
              <w:bottom w:val="single" w:sz="8" w:space="0" w:color="auto"/>
              <w:right w:val="single" w:sz="8" w:space="0" w:color="auto"/>
            </w:tcBorders>
            <w:vAlign w:val="center"/>
            <w:hideMark/>
          </w:tcPr>
          <w:p w14:paraId="492F9BAE" w14:textId="77777777" w:rsidR="00044D5B" w:rsidRPr="00392E88" w:rsidRDefault="00044D5B">
            <w:pPr>
              <w:spacing w:before="0" w:after="0"/>
              <w:ind w:firstLineChars="100" w:firstLine="160"/>
              <w:jc w:val="left"/>
              <w:rPr>
                <w:color w:val="000000"/>
                <w:sz w:val="16"/>
                <w:szCs w:val="16"/>
              </w:rPr>
            </w:pPr>
            <w:r w:rsidRPr="00392E88">
              <w:rPr>
                <w:color w:val="000000"/>
                <w:sz w:val="16"/>
              </w:rPr>
              <w:t>01 01 01 01 (pośrednie badania naukowe)</w:t>
            </w:r>
          </w:p>
        </w:tc>
        <w:tc>
          <w:tcPr>
            <w:tcW w:w="522" w:type="pct"/>
            <w:tcBorders>
              <w:top w:val="nil"/>
              <w:left w:val="nil"/>
              <w:bottom w:val="single" w:sz="8" w:space="0" w:color="auto"/>
              <w:right w:val="single" w:sz="8" w:space="0" w:color="auto"/>
            </w:tcBorders>
            <w:shd w:val="clear" w:color="000000" w:fill="D9D9D9"/>
            <w:vAlign w:val="center"/>
            <w:hideMark/>
          </w:tcPr>
          <w:p w14:paraId="42742B1E" w14:textId="77777777" w:rsidR="00044D5B" w:rsidRPr="00392E88" w:rsidRDefault="00044D5B">
            <w:pPr>
              <w:spacing w:before="0" w:after="0"/>
              <w:jc w:val="center"/>
              <w:rPr>
                <w:color w:val="000000"/>
                <w:sz w:val="16"/>
                <w:szCs w:val="16"/>
              </w:rPr>
            </w:pPr>
            <w:r w:rsidRPr="00392E88">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7DA6ED9E" w14:textId="77777777" w:rsidR="00044D5B" w:rsidRPr="00392E88" w:rsidRDefault="00044D5B">
            <w:pPr>
              <w:spacing w:before="0" w:after="0"/>
              <w:jc w:val="center"/>
              <w:rPr>
                <w:color w:val="000000"/>
                <w:sz w:val="16"/>
                <w:szCs w:val="16"/>
              </w:rPr>
            </w:pPr>
            <w:r w:rsidRPr="00392E88">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07F6D0CB" w14:textId="77777777" w:rsidR="00044D5B" w:rsidRPr="00392E88" w:rsidRDefault="00044D5B">
            <w:pPr>
              <w:spacing w:before="0" w:after="0"/>
              <w:jc w:val="center"/>
              <w:rPr>
                <w:color w:val="000000"/>
                <w:sz w:val="16"/>
                <w:szCs w:val="16"/>
              </w:rPr>
            </w:pPr>
            <w:r w:rsidRPr="00392E88">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22B4C21B" w14:textId="77777777" w:rsidR="00044D5B" w:rsidRPr="00392E88" w:rsidRDefault="00044D5B">
            <w:pPr>
              <w:spacing w:before="0" w:after="0"/>
              <w:jc w:val="center"/>
              <w:rPr>
                <w:color w:val="000000"/>
                <w:sz w:val="16"/>
                <w:szCs w:val="16"/>
              </w:rPr>
            </w:pPr>
            <w:r w:rsidRPr="00392E88">
              <w:rPr>
                <w:color w:val="000000"/>
                <w:sz w:val="16"/>
              </w:rPr>
              <w:t>0</w:t>
            </w:r>
          </w:p>
        </w:tc>
      </w:tr>
      <w:tr w:rsidR="00E6355E" w:rsidRPr="00392E88" w14:paraId="15C35CB5" w14:textId="77777777">
        <w:trPr>
          <w:trHeight w:val="300"/>
        </w:trPr>
        <w:tc>
          <w:tcPr>
            <w:tcW w:w="2913" w:type="pct"/>
            <w:gridSpan w:val="2"/>
            <w:tcBorders>
              <w:top w:val="single" w:sz="8" w:space="0" w:color="auto"/>
              <w:left w:val="single" w:sz="8" w:space="0" w:color="auto"/>
              <w:bottom w:val="single" w:sz="8" w:space="0" w:color="auto"/>
              <w:right w:val="single" w:sz="8" w:space="0" w:color="auto"/>
            </w:tcBorders>
            <w:vAlign w:val="center"/>
            <w:hideMark/>
          </w:tcPr>
          <w:p w14:paraId="60E67213" w14:textId="77777777" w:rsidR="00044D5B" w:rsidRPr="00392E88" w:rsidRDefault="00044D5B">
            <w:pPr>
              <w:spacing w:before="0" w:after="0"/>
              <w:ind w:firstLineChars="100" w:firstLine="160"/>
              <w:jc w:val="left"/>
              <w:rPr>
                <w:color w:val="000000"/>
                <w:sz w:val="16"/>
                <w:szCs w:val="16"/>
              </w:rPr>
            </w:pPr>
            <w:r w:rsidRPr="00392E88">
              <w:rPr>
                <w:color w:val="000000"/>
                <w:sz w:val="16"/>
              </w:rPr>
              <w:t>01 01 01 11 (bezpośrednie badania naukowe)</w:t>
            </w:r>
          </w:p>
        </w:tc>
        <w:tc>
          <w:tcPr>
            <w:tcW w:w="522" w:type="pct"/>
            <w:tcBorders>
              <w:top w:val="nil"/>
              <w:left w:val="nil"/>
              <w:bottom w:val="single" w:sz="8" w:space="0" w:color="auto"/>
              <w:right w:val="single" w:sz="8" w:space="0" w:color="auto"/>
            </w:tcBorders>
            <w:shd w:val="clear" w:color="000000" w:fill="D9D9D9"/>
            <w:vAlign w:val="center"/>
            <w:hideMark/>
          </w:tcPr>
          <w:p w14:paraId="03B322D1" w14:textId="77777777" w:rsidR="00044D5B" w:rsidRPr="00392E88" w:rsidRDefault="00044D5B">
            <w:pPr>
              <w:spacing w:before="0" w:after="0"/>
              <w:jc w:val="center"/>
              <w:rPr>
                <w:color w:val="000000"/>
                <w:sz w:val="16"/>
                <w:szCs w:val="16"/>
              </w:rPr>
            </w:pPr>
            <w:r w:rsidRPr="00392E88">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0A4B4C39" w14:textId="77777777" w:rsidR="00044D5B" w:rsidRPr="00392E88" w:rsidRDefault="00044D5B">
            <w:pPr>
              <w:spacing w:before="0" w:after="0"/>
              <w:jc w:val="center"/>
              <w:rPr>
                <w:color w:val="000000"/>
                <w:sz w:val="16"/>
                <w:szCs w:val="16"/>
              </w:rPr>
            </w:pPr>
            <w:r w:rsidRPr="00392E88">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05B7E533" w14:textId="77777777" w:rsidR="00044D5B" w:rsidRPr="00392E88" w:rsidRDefault="00044D5B">
            <w:pPr>
              <w:spacing w:before="0" w:after="0"/>
              <w:jc w:val="center"/>
              <w:rPr>
                <w:color w:val="000000"/>
                <w:sz w:val="16"/>
                <w:szCs w:val="16"/>
              </w:rPr>
            </w:pPr>
            <w:r w:rsidRPr="00392E88">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7AE09BBB" w14:textId="77777777" w:rsidR="00044D5B" w:rsidRPr="00392E88" w:rsidRDefault="00044D5B">
            <w:pPr>
              <w:spacing w:before="0" w:after="0"/>
              <w:jc w:val="center"/>
              <w:rPr>
                <w:color w:val="000000"/>
                <w:sz w:val="16"/>
                <w:szCs w:val="16"/>
              </w:rPr>
            </w:pPr>
            <w:r w:rsidRPr="00392E88">
              <w:rPr>
                <w:color w:val="000000"/>
                <w:sz w:val="16"/>
              </w:rPr>
              <w:t>0</w:t>
            </w:r>
          </w:p>
        </w:tc>
      </w:tr>
      <w:tr w:rsidR="00E6355E" w:rsidRPr="00392E88" w14:paraId="6DE57491" w14:textId="77777777">
        <w:trPr>
          <w:trHeight w:val="300"/>
        </w:trPr>
        <w:tc>
          <w:tcPr>
            <w:tcW w:w="2913" w:type="pct"/>
            <w:gridSpan w:val="2"/>
            <w:tcBorders>
              <w:top w:val="single" w:sz="8" w:space="0" w:color="auto"/>
              <w:left w:val="single" w:sz="8" w:space="0" w:color="auto"/>
              <w:bottom w:val="single" w:sz="8" w:space="0" w:color="auto"/>
              <w:right w:val="single" w:sz="8" w:space="0" w:color="auto"/>
            </w:tcBorders>
            <w:vAlign w:val="center"/>
            <w:hideMark/>
          </w:tcPr>
          <w:p w14:paraId="02C84454" w14:textId="77777777" w:rsidR="00044D5B" w:rsidRPr="00392E88" w:rsidRDefault="00044D5B">
            <w:pPr>
              <w:spacing w:before="0" w:after="0"/>
              <w:ind w:firstLineChars="100" w:firstLine="160"/>
              <w:jc w:val="left"/>
              <w:rPr>
                <w:color w:val="000000"/>
                <w:sz w:val="16"/>
                <w:szCs w:val="16"/>
              </w:rPr>
            </w:pPr>
            <w:r w:rsidRPr="00392E88">
              <w:rPr>
                <w:color w:val="000000"/>
                <w:sz w:val="16"/>
              </w:rPr>
              <w:t>Inna linia budżetowa (określić)</w:t>
            </w:r>
          </w:p>
        </w:tc>
        <w:tc>
          <w:tcPr>
            <w:tcW w:w="522" w:type="pct"/>
            <w:tcBorders>
              <w:top w:val="nil"/>
              <w:left w:val="nil"/>
              <w:bottom w:val="single" w:sz="8" w:space="0" w:color="auto"/>
              <w:right w:val="single" w:sz="8" w:space="0" w:color="auto"/>
            </w:tcBorders>
            <w:shd w:val="clear" w:color="000000" w:fill="D9D9D9"/>
            <w:vAlign w:val="center"/>
            <w:hideMark/>
          </w:tcPr>
          <w:p w14:paraId="57F2034F" w14:textId="77777777" w:rsidR="00044D5B" w:rsidRPr="00392E88" w:rsidRDefault="00044D5B">
            <w:pPr>
              <w:spacing w:before="0" w:after="0"/>
              <w:jc w:val="center"/>
              <w:rPr>
                <w:color w:val="000000"/>
                <w:sz w:val="16"/>
                <w:szCs w:val="16"/>
              </w:rPr>
            </w:pPr>
            <w:r w:rsidRPr="00392E88">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7A75E1C3" w14:textId="77777777" w:rsidR="00044D5B" w:rsidRPr="00392E88" w:rsidRDefault="00044D5B">
            <w:pPr>
              <w:spacing w:before="0" w:after="0"/>
              <w:jc w:val="center"/>
              <w:rPr>
                <w:color w:val="000000"/>
                <w:sz w:val="16"/>
                <w:szCs w:val="16"/>
              </w:rPr>
            </w:pPr>
            <w:r w:rsidRPr="00392E88">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1762F48C" w14:textId="77777777" w:rsidR="00044D5B" w:rsidRPr="00392E88" w:rsidRDefault="00044D5B">
            <w:pPr>
              <w:spacing w:before="0" w:after="0"/>
              <w:jc w:val="center"/>
              <w:rPr>
                <w:color w:val="000000"/>
                <w:sz w:val="16"/>
                <w:szCs w:val="16"/>
              </w:rPr>
            </w:pPr>
            <w:r w:rsidRPr="00392E88">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4A4C5854" w14:textId="77777777" w:rsidR="00044D5B" w:rsidRPr="00392E88" w:rsidRDefault="00044D5B">
            <w:pPr>
              <w:spacing w:before="0" w:after="0"/>
              <w:jc w:val="center"/>
              <w:rPr>
                <w:color w:val="000000"/>
                <w:sz w:val="16"/>
                <w:szCs w:val="16"/>
              </w:rPr>
            </w:pPr>
            <w:r w:rsidRPr="00392E88">
              <w:rPr>
                <w:color w:val="000000"/>
                <w:sz w:val="16"/>
              </w:rPr>
              <w:t>0</w:t>
            </w:r>
          </w:p>
        </w:tc>
      </w:tr>
      <w:tr w:rsidR="00C45E62" w:rsidRPr="00392E88" w14:paraId="56B91793" w14:textId="77777777">
        <w:trPr>
          <w:trHeight w:val="300"/>
        </w:trPr>
        <w:tc>
          <w:tcPr>
            <w:tcW w:w="5000" w:type="pct"/>
            <w:gridSpan w:val="6"/>
            <w:tcBorders>
              <w:top w:val="single" w:sz="8" w:space="0" w:color="auto"/>
              <w:left w:val="single" w:sz="8" w:space="0" w:color="auto"/>
              <w:bottom w:val="single" w:sz="8" w:space="0" w:color="auto"/>
              <w:right w:val="single" w:sz="4" w:space="0" w:color="auto"/>
            </w:tcBorders>
            <w:vAlign w:val="center"/>
            <w:hideMark/>
          </w:tcPr>
          <w:p w14:paraId="16B5C7A7" w14:textId="77777777" w:rsidR="00044D5B" w:rsidRPr="00392E88" w:rsidRDefault="00044D5B">
            <w:pPr>
              <w:spacing w:before="0" w:after="0"/>
              <w:jc w:val="left"/>
              <w:rPr>
                <w:rFonts w:ascii="Wingdings" w:hAnsi="Wingdings" w:cs="Calibri"/>
                <w:b/>
                <w:bCs/>
                <w:color w:val="000000"/>
                <w:sz w:val="16"/>
                <w:szCs w:val="16"/>
              </w:rPr>
            </w:pPr>
            <w:r w:rsidRPr="00392E88">
              <w:rPr>
                <w:rFonts w:ascii="Calibri" w:hAnsi="Calibri"/>
                <w:b/>
                <w:color w:val="000000"/>
                <w:sz w:val="16"/>
              </w:rPr>
              <w:t>•</w:t>
            </w:r>
            <w:r w:rsidRPr="00392E88">
              <w:rPr>
                <w:b/>
                <w:color w:val="000000"/>
                <w:sz w:val="16"/>
              </w:rPr>
              <w:t xml:space="preserve"> Personel zewnętrzny (w EPC)</w:t>
            </w:r>
          </w:p>
        </w:tc>
      </w:tr>
      <w:tr w:rsidR="00E6355E" w:rsidRPr="00392E88" w14:paraId="663C3EDA" w14:textId="77777777">
        <w:trPr>
          <w:trHeight w:val="300"/>
        </w:trPr>
        <w:tc>
          <w:tcPr>
            <w:tcW w:w="2913" w:type="pct"/>
            <w:gridSpan w:val="2"/>
            <w:tcBorders>
              <w:top w:val="single" w:sz="8" w:space="0" w:color="auto"/>
              <w:left w:val="single" w:sz="8" w:space="0" w:color="auto"/>
              <w:bottom w:val="single" w:sz="8" w:space="0" w:color="auto"/>
              <w:right w:val="single" w:sz="8" w:space="0" w:color="auto"/>
            </w:tcBorders>
            <w:vAlign w:val="center"/>
            <w:hideMark/>
          </w:tcPr>
          <w:p w14:paraId="15CA4E4D" w14:textId="6BDCB708" w:rsidR="00044D5B" w:rsidRPr="00392E88" w:rsidRDefault="00044D5B">
            <w:pPr>
              <w:spacing w:before="0" w:after="0"/>
              <w:ind w:firstLineChars="100" w:firstLine="160"/>
              <w:jc w:val="left"/>
              <w:rPr>
                <w:color w:val="000000"/>
                <w:sz w:val="16"/>
                <w:szCs w:val="16"/>
              </w:rPr>
            </w:pPr>
            <w:r w:rsidRPr="00392E88">
              <w:rPr>
                <w:color w:val="000000"/>
                <w:sz w:val="16"/>
              </w:rPr>
              <w:t>20 02 01</w:t>
            </w:r>
            <w:r w:rsidRPr="00392E88">
              <w:rPr>
                <w:rFonts w:ascii="Arial Narrow" w:hAnsi="Arial Narrow"/>
                <w:color w:val="000000"/>
                <w:sz w:val="20"/>
              </w:rPr>
              <w:t xml:space="preserve"> </w:t>
            </w:r>
            <w:r w:rsidRPr="00392E88">
              <w:rPr>
                <w:color w:val="000000"/>
                <w:sz w:val="16"/>
              </w:rPr>
              <w:t>(CA, SNE</w:t>
            </w:r>
            <w:r w:rsidR="006E6446" w:rsidRPr="00392E88">
              <w:rPr>
                <w:color w:val="000000"/>
                <w:sz w:val="16"/>
              </w:rPr>
              <w:t xml:space="preserve"> z</w:t>
            </w:r>
            <w:r w:rsidR="006E6446">
              <w:rPr>
                <w:color w:val="000000"/>
                <w:sz w:val="16"/>
              </w:rPr>
              <w:t> </w:t>
            </w:r>
            <w:r w:rsidR="006E6446" w:rsidRPr="00392E88">
              <w:rPr>
                <w:color w:val="000000"/>
                <w:sz w:val="16"/>
              </w:rPr>
              <w:t>glo</w:t>
            </w:r>
            <w:r w:rsidRPr="00392E88">
              <w:rPr>
                <w:color w:val="000000"/>
                <w:sz w:val="16"/>
              </w:rPr>
              <w:t>balnej koperty finansowej)</w:t>
            </w:r>
          </w:p>
        </w:tc>
        <w:tc>
          <w:tcPr>
            <w:tcW w:w="522" w:type="pct"/>
            <w:tcBorders>
              <w:top w:val="nil"/>
              <w:left w:val="nil"/>
              <w:bottom w:val="single" w:sz="8" w:space="0" w:color="auto"/>
              <w:right w:val="single" w:sz="8" w:space="0" w:color="auto"/>
            </w:tcBorders>
            <w:shd w:val="clear" w:color="000000" w:fill="D9D9D9"/>
            <w:vAlign w:val="center"/>
            <w:hideMark/>
          </w:tcPr>
          <w:p w14:paraId="0D2AA908" w14:textId="77777777" w:rsidR="00044D5B" w:rsidRPr="00392E88" w:rsidRDefault="00044D5B">
            <w:pPr>
              <w:spacing w:before="0" w:after="0"/>
              <w:jc w:val="center"/>
              <w:rPr>
                <w:color w:val="000000"/>
                <w:sz w:val="16"/>
                <w:szCs w:val="16"/>
              </w:rPr>
            </w:pPr>
            <w:r w:rsidRPr="00392E88">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38A34F34" w14:textId="77777777" w:rsidR="00044D5B" w:rsidRPr="00392E88" w:rsidRDefault="00044D5B">
            <w:pPr>
              <w:spacing w:before="0" w:after="0"/>
              <w:jc w:val="center"/>
              <w:rPr>
                <w:color w:val="000000"/>
                <w:sz w:val="16"/>
                <w:szCs w:val="16"/>
              </w:rPr>
            </w:pPr>
            <w:r w:rsidRPr="00392E88">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6C2259AD" w14:textId="77777777" w:rsidR="00044D5B" w:rsidRPr="00392E88" w:rsidRDefault="00044D5B">
            <w:pPr>
              <w:spacing w:before="0" w:after="0"/>
              <w:jc w:val="center"/>
              <w:rPr>
                <w:color w:val="000000"/>
                <w:sz w:val="16"/>
                <w:szCs w:val="16"/>
              </w:rPr>
            </w:pPr>
            <w:r w:rsidRPr="00392E88">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7CD72F3D" w14:textId="77777777" w:rsidR="00044D5B" w:rsidRPr="00392E88" w:rsidRDefault="00044D5B">
            <w:pPr>
              <w:spacing w:before="0" w:after="0"/>
              <w:jc w:val="center"/>
              <w:rPr>
                <w:color w:val="000000"/>
                <w:sz w:val="16"/>
                <w:szCs w:val="16"/>
              </w:rPr>
            </w:pPr>
            <w:r w:rsidRPr="00392E88">
              <w:rPr>
                <w:color w:val="000000"/>
                <w:sz w:val="16"/>
              </w:rPr>
              <w:t>0</w:t>
            </w:r>
          </w:p>
        </w:tc>
      </w:tr>
      <w:tr w:rsidR="00E6355E" w:rsidRPr="00392E88" w14:paraId="508252AE" w14:textId="77777777">
        <w:trPr>
          <w:trHeight w:val="300"/>
        </w:trPr>
        <w:tc>
          <w:tcPr>
            <w:tcW w:w="2913" w:type="pct"/>
            <w:gridSpan w:val="2"/>
            <w:tcBorders>
              <w:top w:val="single" w:sz="8" w:space="0" w:color="auto"/>
              <w:left w:val="single" w:sz="8" w:space="0" w:color="auto"/>
              <w:bottom w:val="single" w:sz="8" w:space="0" w:color="auto"/>
              <w:right w:val="single" w:sz="8" w:space="0" w:color="auto"/>
            </w:tcBorders>
            <w:vAlign w:val="center"/>
            <w:hideMark/>
          </w:tcPr>
          <w:p w14:paraId="30442F9A" w14:textId="7397A0DF" w:rsidR="00044D5B" w:rsidRPr="00392E88" w:rsidRDefault="00044D5B">
            <w:pPr>
              <w:spacing w:before="0" w:after="0"/>
              <w:ind w:firstLineChars="100" w:firstLine="160"/>
              <w:jc w:val="left"/>
              <w:rPr>
                <w:color w:val="000000"/>
                <w:sz w:val="16"/>
                <w:szCs w:val="16"/>
              </w:rPr>
            </w:pPr>
            <w:r w:rsidRPr="00392E88">
              <w:rPr>
                <w:color w:val="000000"/>
                <w:sz w:val="16"/>
              </w:rPr>
              <w:t>20 02 03 (CA, LA, SNE i JPD</w:t>
            </w:r>
            <w:r w:rsidR="006E6446" w:rsidRPr="00392E88">
              <w:rPr>
                <w:color w:val="000000"/>
                <w:sz w:val="16"/>
              </w:rPr>
              <w:t xml:space="preserve"> w</w:t>
            </w:r>
            <w:r w:rsidR="006E6446">
              <w:rPr>
                <w:color w:val="000000"/>
                <w:sz w:val="16"/>
              </w:rPr>
              <w:t> </w:t>
            </w:r>
            <w:r w:rsidR="006E6446" w:rsidRPr="00392E88">
              <w:rPr>
                <w:color w:val="000000"/>
                <w:sz w:val="16"/>
              </w:rPr>
              <w:t>del</w:t>
            </w:r>
            <w:r w:rsidRPr="00392E88">
              <w:rPr>
                <w:color w:val="000000"/>
                <w:sz w:val="16"/>
              </w:rPr>
              <w:t>egaturach UE)</w:t>
            </w:r>
          </w:p>
        </w:tc>
        <w:tc>
          <w:tcPr>
            <w:tcW w:w="522" w:type="pct"/>
            <w:tcBorders>
              <w:top w:val="nil"/>
              <w:left w:val="nil"/>
              <w:bottom w:val="single" w:sz="8" w:space="0" w:color="auto"/>
              <w:right w:val="single" w:sz="8" w:space="0" w:color="auto"/>
            </w:tcBorders>
            <w:shd w:val="clear" w:color="000000" w:fill="D9D9D9"/>
            <w:vAlign w:val="center"/>
            <w:hideMark/>
          </w:tcPr>
          <w:p w14:paraId="42E2EAD5" w14:textId="77777777" w:rsidR="00044D5B" w:rsidRPr="00392E88" w:rsidRDefault="00044D5B">
            <w:pPr>
              <w:spacing w:before="0" w:after="0"/>
              <w:jc w:val="center"/>
              <w:rPr>
                <w:color w:val="000000"/>
                <w:sz w:val="16"/>
                <w:szCs w:val="16"/>
              </w:rPr>
            </w:pPr>
            <w:r w:rsidRPr="00392E88">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1657B696" w14:textId="77777777" w:rsidR="00044D5B" w:rsidRPr="00392E88" w:rsidRDefault="00044D5B">
            <w:pPr>
              <w:spacing w:before="0" w:after="0"/>
              <w:jc w:val="center"/>
              <w:rPr>
                <w:color w:val="000000"/>
                <w:sz w:val="16"/>
                <w:szCs w:val="16"/>
              </w:rPr>
            </w:pPr>
            <w:r w:rsidRPr="00392E88">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3E045DBA" w14:textId="77777777" w:rsidR="00044D5B" w:rsidRPr="00392E88" w:rsidRDefault="00044D5B">
            <w:pPr>
              <w:spacing w:before="0" w:after="0"/>
              <w:jc w:val="center"/>
              <w:rPr>
                <w:color w:val="000000"/>
                <w:sz w:val="16"/>
                <w:szCs w:val="16"/>
              </w:rPr>
            </w:pPr>
            <w:r w:rsidRPr="00392E88">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488C7C1D" w14:textId="77777777" w:rsidR="00044D5B" w:rsidRPr="00392E88" w:rsidRDefault="00044D5B">
            <w:pPr>
              <w:spacing w:before="0" w:after="0"/>
              <w:jc w:val="center"/>
              <w:rPr>
                <w:color w:val="000000"/>
                <w:sz w:val="16"/>
                <w:szCs w:val="16"/>
              </w:rPr>
            </w:pPr>
            <w:r w:rsidRPr="00392E88">
              <w:rPr>
                <w:color w:val="000000"/>
                <w:sz w:val="16"/>
              </w:rPr>
              <w:t>0</w:t>
            </w:r>
          </w:p>
        </w:tc>
      </w:tr>
      <w:tr w:rsidR="00E62D64" w:rsidRPr="00392E88" w14:paraId="2B76F972" w14:textId="77777777">
        <w:trPr>
          <w:trHeight w:val="300"/>
        </w:trPr>
        <w:tc>
          <w:tcPr>
            <w:tcW w:w="815" w:type="pct"/>
            <w:vMerge w:val="restart"/>
            <w:tcBorders>
              <w:top w:val="nil"/>
              <w:left w:val="single" w:sz="8" w:space="0" w:color="auto"/>
              <w:bottom w:val="single" w:sz="8" w:space="0" w:color="auto"/>
              <w:right w:val="single" w:sz="8" w:space="0" w:color="auto"/>
            </w:tcBorders>
            <w:vAlign w:val="center"/>
            <w:hideMark/>
          </w:tcPr>
          <w:p w14:paraId="32AAB780" w14:textId="0214DD50" w:rsidR="00044D5B" w:rsidRPr="00392E88" w:rsidRDefault="00044D5B">
            <w:pPr>
              <w:spacing w:before="0" w:after="0"/>
              <w:jc w:val="center"/>
              <w:rPr>
                <w:color w:val="000000"/>
                <w:sz w:val="16"/>
                <w:szCs w:val="16"/>
              </w:rPr>
            </w:pPr>
            <w:r w:rsidRPr="00392E88">
              <w:rPr>
                <w:color w:val="000000"/>
                <w:sz w:val="16"/>
              </w:rPr>
              <w:t>Linia budżetowa na wsparcie adm</w:t>
            </w:r>
            <w:r w:rsidRPr="006E6446">
              <w:rPr>
                <w:color w:val="000000"/>
                <w:sz w:val="16"/>
              </w:rPr>
              <w:t>.</w:t>
            </w:r>
            <w:r w:rsidR="006E6446" w:rsidRPr="006E6446">
              <w:rPr>
                <w:color w:val="000000"/>
                <w:sz w:val="16"/>
              </w:rPr>
              <w:t xml:space="preserve"> </w:t>
            </w:r>
            <w:r w:rsidRPr="006E6446">
              <w:br/>
            </w:r>
            <w:r w:rsidRPr="00392E88">
              <w:rPr>
                <w:color w:val="000000"/>
                <w:sz w:val="16"/>
              </w:rPr>
              <w:t>[XX.01.YY.YY]</w:t>
            </w:r>
          </w:p>
        </w:tc>
        <w:tc>
          <w:tcPr>
            <w:tcW w:w="2098" w:type="pct"/>
            <w:tcBorders>
              <w:top w:val="nil"/>
              <w:left w:val="nil"/>
              <w:bottom w:val="single" w:sz="8" w:space="0" w:color="auto"/>
              <w:right w:val="single" w:sz="8" w:space="0" w:color="auto"/>
            </w:tcBorders>
            <w:vAlign w:val="center"/>
            <w:hideMark/>
          </w:tcPr>
          <w:p w14:paraId="5A4E7E9E" w14:textId="4016FAA7" w:rsidR="00044D5B" w:rsidRPr="00392E88" w:rsidRDefault="00044D5B">
            <w:pPr>
              <w:spacing w:before="0" w:after="0"/>
              <w:ind w:firstLineChars="100" w:firstLine="160"/>
              <w:jc w:val="left"/>
              <w:rPr>
                <w:color w:val="000000"/>
                <w:sz w:val="16"/>
                <w:szCs w:val="16"/>
              </w:rPr>
            </w:pPr>
            <w:r w:rsidRPr="00392E88">
              <w:rPr>
                <w:color w:val="000000"/>
                <w:sz w:val="16"/>
              </w:rPr>
              <w:t>-</w:t>
            </w:r>
            <w:r w:rsidR="006E6446" w:rsidRPr="00392E88">
              <w:rPr>
                <w:color w:val="000000"/>
                <w:sz w:val="16"/>
              </w:rPr>
              <w:t xml:space="preserve"> w</w:t>
            </w:r>
            <w:r w:rsidR="006E6446">
              <w:rPr>
                <w:color w:val="000000"/>
                <w:sz w:val="16"/>
              </w:rPr>
              <w:t> </w:t>
            </w:r>
            <w:r w:rsidR="006E6446" w:rsidRPr="00392E88">
              <w:rPr>
                <w:color w:val="000000"/>
                <w:sz w:val="16"/>
              </w:rPr>
              <w:t>cen</w:t>
            </w:r>
            <w:r w:rsidRPr="00392E88">
              <w:rPr>
                <w:color w:val="000000"/>
                <w:sz w:val="16"/>
              </w:rPr>
              <w:t>trali</w:t>
            </w:r>
          </w:p>
        </w:tc>
        <w:tc>
          <w:tcPr>
            <w:tcW w:w="522" w:type="pct"/>
            <w:tcBorders>
              <w:top w:val="nil"/>
              <w:left w:val="nil"/>
              <w:bottom w:val="single" w:sz="8" w:space="0" w:color="auto"/>
              <w:right w:val="single" w:sz="8" w:space="0" w:color="auto"/>
            </w:tcBorders>
            <w:shd w:val="clear" w:color="000000" w:fill="D9D9D9"/>
            <w:vAlign w:val="center"/>
            <w:hideMark/>
          </w:tcPr>
          <w:p w14:paraId="105C5A6E" w14:textId="77777777" w:rsidR="00044D5B" w:rsidRPr="00392E88" w:rsidRDefault="00044D5B">
            <w:pPr>
              <w:spacing w:before="0" w:after="0"/>
              <w:jc w:val="center"/>
              <w:rPr>
                <w:color w:val="000000"/>
                <w:sz w:val="16"/>
                <w:szCs w:val="16"/>
              </w:rPr>
            </w:pPr>
            <w:r w:rsidRPr="00392E88">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4205D812" w14:textId="77777777" w:rsidR="00044D5B" w:rsidRPr="00392E88" w:rsidRDefault="00044D5B">
            <w:pPr>
              <w:spacing w:before="0" w:after="0"/>
              <w:jc w:val="center"/>
              <w:rPr>
                <w:color w:val="000000"/>
                <w:sz w:val="16"/>
                <w:szCs w:val="16"/>
              </w:rPr>
            </w:pPr>
            <w:r w:rsidRPr="00392E88">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753F0786" w14:textId="77777777" w:rsidR="00044D5B" w:rsidRPr="00392E88" w:rsidRDefault="00044D5B">
            <w:pPr>
              <w:spacing w:before="0" w:after="0"/>
              <w:jc w:val="center"/>
              <w:rPr>
                <w:color w:val="000000"/>
                <w:sz w:val="16"/>
                <w:szCs w:val="16"/>
              </w:rPr>
            </w:pPr>
            <w:r w:rsidRPr="00392E88">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0E10897B" w14:textId="77777777" w:rsidR="00044D5B" w:rsidRPr="00392E88" w:rsidRDefault="00044D5B">
            <w:pPr>
              <w:spacing w:before="0" w:after="0"/>
              <w:jc w:val="center"/>
              <w:rPr>
                <w:color w:val="000000"/>
                <w:sz w:val="16"/>
                <w:szCs w:val="16"/>
              </w:rPr>
            </w:pPr>
            <w:r w:rsidRPr="00392E88">
              <w:rPr>
                <w:color w:val="000000"/>
                <w:sz w:val="16"/>
              </w:rPr>
              <w:t>0</w:t>
            </w:r>
          </w:p>
        </w:tc>
      </w:tr>
      <w:tr w:rsidR="00E62D64" w:rsidRPr="00392E88" w14:paraId="4C779C15" w14:textId="77777777">
        <w:trPr>
          <w:trHeight w:val="300"/>
        </w:trPr>
        <w:tc>
          <w:tcPr>
            <w:tcW w:w="815" w:type="pct"/>
            <w:vMerge/>
            <w:tcBorders>
              <w:top w:val="nil"/>
              <w:left w:val="single" w:sz="8" w:space="0" w:color="auto"/>
              <w:bottom w:val="single" w:sz="8" w:space="0" w:color="auto"/>
              <w:right w:val="single" w:sz="8" w:space="0" w:color="auto"/>
            </w:tcBorders>
            <w:vAlign w:val="center"/>
            <w:hideMark/>
          </w:tcPr>
          <w:p w14:paraId="0E4C4204" w14:textId="77777777" w:rsidR="00044D5B" w:rsidRPr="00392E88" w:rsidRDefault="00044D5B">
            <w:pPr>
              <w:spacing w:before="0" w:after="0"/>
              <w:jc w:val="left"/>
              <w:rPr>
                <w:color w:val="000000"/>
                <w:sz w:val="16"/>
                <w:szCs w:val="16"/>
                <w:lang w:eastAsia="en-IE"/>
              </w:rPr>
            </w:pPr>
          </w:p>
        </w:tc>
        <w:tc>
          <w:tcPr>
            <w:tcW w:w="2098" w:type="pct"/>
            <w:tcBorders>
              <w:top w:val="nil"/>
              <w:left w:val="nil"/>
              <w:bottom w:val="single" w:sz="8" w:space="0" w:color="auto"/>
              <w:right w:val="single" w:sz="8" w:space="0" w:color="auto"/>
            </w:tcBorders>
            <w:vAlign w:val="center"/>
            <w:hideMark/>
          </w:tcPr>
          <w:p w14:paraId="1E8D3E64" w14:textId="540B89A1" w:rsidR="00044D5B" w:rsidRPr="00392E88" w:rsidRDefault="00044D5B">
            <w:pPr>
              <w:spacing w:before="0" w:after="0"/>
              <w:ind w:firstLineChars="100" w:firstLine="160"/>
              <w:jc w:val="left"/>
              <w:rPr>
                <w:color w:val="000000"/>
                <w:sz w:val="16"/>
                <w:szCs w:val="16"/>
              </w:rPr>
            </w:pPr>
            <w:r w:rsidRPr="00392E88">
              <w:rPr>
                <w:color w:val="000000"/>
                <w:sz w:val="16"/>
              </w:rPr>
              <w:t>-</w:t>
            </w:r>
            <w:r w:rsidR="006E6446" w:rsidRPr="00392E88">
              <w:rPr>
                <w:color w:val="000000"/>
                <w:sz w:val="16"/>
              </w:rPr>
              <w:t xml:space="preserve"> w</w:t>
            </w:r>
            <w:r w:rsidR="006E6446">
              <w:rPr>
                <w:color w:val="000000"/>
                <w:sz w:val="16"/>
              </w:rPr>
              <w:t> </w:t>
            </w:r>
            <w:r w:rsidR="006E6446" w:rsidRPr="00392E88">
              <w:rPr>
                <w:color w:val="000000"/>
                <w:sz w:val="16"/>
              </w:rPr>
              <w:t>del</w:t>
            </w:r>
            <w:r w:rsidRPr="00392E88">
              <w:rPr>
                <w:color w:val="000000"/>
                <w:sz w:val="16"/>
              </w:rPr>
              <w:t xml:space="preserve">egaturach UE </w:t>
            </w:r>
          </w:p>
        </w:tc>
        <w:tc>
          <w:tcPr>
            <w:tcW w:w="522" w:type="pct"/>
            <w:tcBorders>
              <w:top w:val="nil"/>
              <w:left w:val="nil"/>
              <w:bottom w:val="single" w:sz="8" w:space="0" w:color="auto"/>
              <w:right w:val="single" w:sz="8" w:space="0" w:color="auto"/>
            </w:tcBorders>
            <w:shd w:val="clear" w:color="000000" w:fill="D9D9D9"/>
            <w:vAlign w:val="center"/>
            <w:hideMark/>
          </w:tcPr>
          <w:p w14:paraId="2B9F38E1" w14:textId="77777777" w:rsidR="00044D5B" w:rsidRPr="00392E88" w:rsidRDefault="00044D5B">
            <w:pPr>
              <w:spacing w:before="0" w:after="0"/>
              <w:jc w:val="center"/>
              <w:rPr>
                <w:color w:val="000000"/>
                <w:sz w:val="16"/>
                <w:szCs w:val="16"/>
              </w:rPr>
            </w:pPr>
            <w:r w:rsidRPr="00392E88">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1655CC35" w14:textId="77777777" w:rsidR="00044D5B" w:rsidRPr="00392E88" w:rsidRDefault="00044D5B">
            <w:pPr>
              <w:spacing w:before="0" w:after="0"/>
              <w:jc w:val="center"/>
              <w:rPr>
                <w:color w:val="000000"/>
                <w:sz w:val="16"/>
                <w:szCs w:val="16"/>
              </w:rPr>
            </w:pPr>
            <w:r w:rsidRPr="00392E88">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7487D721" w14:textId="77777777" w:rsidR="00044D5B" w:rsidRPr="00392E88" w:rsidRDefault="00044D5B">
            <w:pPr>
              <w:spacing w:before="0" w:after="0"/>
              <w:jc w:val="center"/>
              <w:rPr>
                <w:color w:val="000000"/>
                <w:sz w:val="16"/>
                <w:szCs w:val="16"/>
              </w:rPr>
            </w:pPr>
            <w:r w:rsidRPr="00392E88">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1A5510F1" w14:textId="77777777" w:rsidR="00044D5B" w:rsidRPr="00392E88" w:rsidRDefault="00044D5B">
            <w:pPr>
              <w:spacing w:before="0" w:after="0"/>
              <w:jc w:val="center"/>
              <w:rPr>
                <w:color w:val="000000"/>
                <w:sz w:val="16"/>
                <w:szCs w:val="16"/>
              </w:rPr>
            </w:pPr>
            <w:r w:rsidRPr="00392E88">
              <w:rPr>
                <w:color w:val="000000"/>
                <w:sz w:val="16"/>
              </w:rPr>
              <w:t>0</w:t>
            </w:r>
          </w:p>
        </w:tc>
      </w:tr>
      <w:tr w:rsidR="00E6355E" w:rsidRPr="00392E88" w14:paraId="57A3C79B" w14:textId="77777777">
        <w:trPr>
          <w:trHeight w:val="300"/>
        </w:trPr>
        <w:tc>
          <w:tcPr>
            <w:tcW w:w="2913" w:type="pct"/>
            <w:gridSpan w:val="2"/>
            <w:tcBorders>
              <w:top w:val="single" w:sz="8" w:space="0" w:color="auto"/>
              <w:left w:val="single" w:sz="8" w:space="0" w:color="auto"/>
              <w:bottom w:val="single" w:sz="8" w:space="0" w:color="auto"/>
              <w:right w:val="single" w:sz="8" w:space="0" w:color="auto"/>
            </w:tcBorders>
            <w:vAlign w:val="center"/>
            <w:hideMark/>
          </w:tcPr>
          <w:p w14:paraId="23ABA3C1" w14:textId="77777777" w:rsidR="00044D5B" w:rsidRPr="00392E88" w:rsidRDefault="00044D5B">
            <w:pPr>
              <w:spacing w:before="0" w:after="0"/>
              <w:ind w:firstLineChars="100" w:firstLine="160"/>
              <w:jc w:val="left"/>
              <w:rPr>
                <w:color w:val="000000"/>
                <w:sz w:val="16"/>
                <w:szCs w:val="16"/>
              </w:rPr>
            </w:pPr>
            <w:r w:rsidRPr="00392E88">
              <w:rPr>
                <w:color w:val="000000"/>
                <w:sz w:val="16"/>
              </w:rPr>
              <w:t>01 01 01 02</w:t>
            </w:r>
            <w:r w:rsidRPr="00392E88">
              <w:rPr>
                <w:rFonts w:ascii="Arial Narrow" w:hAnsi="Arial Narrow"/>
                <w:color w:val="000000"/>
                <w:sz w:val="20"/>
              </w:rPr>
              <w:t xml:space="preserve"> </w:t>
            </w:r>
            <w:r w:rsidRPr="00392E88">
              <w:rPr>
                <w:color w:val="000000"/>
                <w:sz w:val="16"/>
              </w:rPr>
              <w:t>(CA, SNE – pośrednie badania naukowe)</w:t>
            </w:r>
          </w:p>
        </w:tc>
        <w:tc>
          <w:tcPr>
            <w:tcW w:w="522" w:type="pct"/>
            <w:tcBorders>
              <w:top w:val="nil"/>
              <w:left w:val="nil"/>
              <w:bottom w:val="single" w:sz="8" w:space="0" w:color="auto"/>
              <w:right w:val="single" w:sz="8" w:space="0" w:color="auto"/>
            </w:tcBorders>
            <w:shd w:val="clear" w:color="000000" w:fill="D9D9D9"/>
            <w:vAlign w:val="center"/>
            <w:hideMark/>
          </w:tcPr>
          <w:p w14:paraId="0AB5D997" w14:textId="77777777" w:rsidR="00044D5B" w:rsidRPr="00392E88" w:rsidRDefault="00044D5B">
            <w:pPr>
              <w:spacing w:before="0" w:after="0"/>
              <w:jc w:val="center"/>
              <w:rPr>
                <w:color w:val="000000"/>
                <w:sz w:val="16"/>
                <w:szCs w:val="16"/>
              </w:rPr>
            </w:pPr>
            <w:r w:rsidRPr="00392E88">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7D692B5A" w14:textId="77777777" w:rsidR="00044D5B" w:rsidRPr="00392E88" w:rsidRDefault="00044D5B">
            <w:pPr>
              <w:spacing w:before="0" w:after="0"/>
              <w:jc w:val="center"/>
              <w:rPr>
                <w:color w:val="000000"/>
                <w:sz w:val="16"/>
                <w:szCs w:val="16"/>
              </w:rPr>
            </w:pPr>
            <w:r w:rsidRPr="00392E88">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46B1100F" w14:textId="77777777" w:rsidR="00044D5B" w:rsidRPr="00392E88" w:rsidRDefault="00044D5B">
            <w:pPr>
              <w:spacing w:before="0" w:after="0"/>
              <w:jc w:val="center"/>
              <w:rPr>
                <w:color w:val="000000"/>
                <w:sz w:val="16"/>
                <w:szCs w:val="16"/>
              </w:rPr>
            </w:pPr>
            <w:r w:rsidRPr="00392E88">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11C1ECBD" w14:textId="77777777" w:rsidR="00044D5B" w:rsidRPr="00392E88" w:rsidRDefault="00044D5B">
            <w:pPr>
              <w:spacing w:before="0" w:after="0"/>
              <w:jc w:val="center"/>
              <w:rPr>
                <w:color w:val="000000"/>
                <w:sz w:val="16"/>
                <w:szCs w:val="16"/>
              </w:rPr>
            </w:pPr>
            <w:r w:rsidRPr="00392E88">
              <w:rPr>
                <w:color w:val="000000"/>
                <w:sz w:val="16"/>
              </w:rPr>
              <w:t>0</w:t>
            </w:r>
          </w:p>
        </w:tc>
      </w:tr>
      <w:tr w:rsidR="00E6355E" w:rsidRPr="00392E88" w14:paraId="21A738F1" w14:textId="77777777">
        <w:trPr>
          <w:trHeight w:val="300"/>
        </w:trPr>
        <w:tc>
          <w:tcPr>
            <w:tcW w:w="2913" w:type="pct"/>
            <w:gridSpan w:val="2"/>
            <w:tcBorders>
              <w:top w:val="single" w:sz="8" w:space="0" w:color="auto"/>
              <w:left w:val="single" w:sz="8" w:space="0" w:color="auto"/>
              <w:bottom w:val="single" w:sz="8" w:space="0" w:color="auto"/>
              <w:right w:val="single" w:sz="8" w:space="0" w:color="auto"/>
            </w:tcBorders>
            <w:vAlign w:val="center"/>
            <w:hideMark/>
          </w:tcPr>
          <w:p w14:paraId="412D60F2" w14:textId="77777777" w:rsidR="00044D5B" w:rsidRPr="00392E88" w:rsidRDefault="00044D5B">
            <w:pPr>
              <w:spacing w:before="0" w:after="0"/>
              <w:ind w:firstLineChars="100" w:firstLine="160"/>
              <w:jc w:val="left"/>
              <w:rPr>
                <w:color w:val="000000"/>
                <w:sz w:val="16"/>
                <w:szCs w:val="16"/>
              </w:rPr>
            </w:pPr>
            <w:r w:rsidRPr="00392E88">
              <w:rPr>
                <w:color w:val="000000"/>
                <w:sz w:val="16"/>
              </w:rPr>
              <w:t xml:space="preserve"> 01 01 01 12 (CA, SNE – bezpośrednie badania naukowe)</w:t>
            </w:r>
          </w:p>
        </w:tc>
        <w:tc>
          <w:tcPr>
            <w:tcW w:w="522" w:type="pct"/>
            <w:tcBorders>
              <w:top w:val="nil"/>
              <w:left w:val="nil"/>
              <w:bottom w:val="single" w:sz="8" w:space="0" w:color="auto"/>
              <w:right w:val="single" w:sz="8" w:space="0" w:color="auto"/>
            </w:tcBorders>
            <w:shd w:val="clear" w:color="000000" w:fill="D9D9D9"/>
            <w:vAlign w:val="center"/>
            <w:hideMark/>
          </w:tcPr>
          <w:p w14:paraId="04ED0360" w14:textId="77777777" w:rsidR="00044D5B" w:rsidRPr="00392E88" w:rsidRDefault="00044D5B">
            <w:pPr>
              <w:spacing w:before="0" w:after="0"/>
              <w:jc w:val="center"/>
              <w:rPr>
                <w:color w:val="000000"/>
                <w:sz w:val="16"/>
                <w:szCs w:val="16"/>
              </w:rPr>
            </w:pPr>
            <w:r w:rsidRPr="00392E88">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13A73D17" w14:textId="77777777" w:rsidR="00044D5B" w:rsidRPr="00392E88" w:rsidRDefault="00044D5B">
            <w:pPr>
              <w:spacing w:before="0" w:after="0"/>
              <w:jc w:val="center"/>
              <w:rPr>
                <w:color w:val="000000"/>
                <w:sz w:val="16"/>
                <w:szCs w:val="16"/>
              </w:rPr>
            </w:pPr>
            <w:r w:rsidRPr="00392E88">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11DF4C36" w14:textId="77777777" w:rsidR="00044D5B" w:rsidRPr="00392E88" w:rsidRDefault="00044D5B">
            <w:pPr>
              <w:spacing w:before="0" w:after="0"/>
              <w:jc w:val="center"/>
              <w:rPr>
                <w:color w:val="000000"/>
                <w:sz w:val="16"/>
                <w:szCs w:val="16"/>
              </w:rPr>
            </w:pPr>
            <w:r w:rsidRPr="00392E88">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3E7B7794" w14:textId="77777777" w:rsidR="00044D5B" w:rsidRPr="00392E88" w:rsidRDefault="00044D5B">
            <w:pPr>
              <w:spacing w:before="0" w:after="0"/>
              <w:jc w:val="center"/>
              <w:rPr>
                <w:color w:val="000000"/>
                <w:sz w:val="16"/>
                <w:szCs w:val="16"/>
              </w:rPr>
            </w:pPr>
            <w:r w:rsidRPr="00392E88">
              <w:rPr>
                <w:color w:val="000000"/>
                <w:sz w:val="16"/>
              </w:rPr>
              <w:t>0</w:t>
            </w:r>
          </w:p>
        </w:tc>
      </w:tr>
      <w:tr w:rsidR="00E6355E" w:rsidRPr="00392E88" w14:paraId="7458A574" w14:textId="77777777">
        <w:trPr>
          <w:trHeight w:val="300"/>
        </w:trPr>
        <w:tc>
          <w:tcPr>
            <w:tcW w:w="2913" w:type="pct"/>
            <w:gridSpan w:val="2"/>
            <w:tcBorders>
              <w:top w:val="single" w:sz="8" w:space="0" w:color="auto"/>
              <w:left w:val="single" w:sz="8" w:space="0" w:color="auto"/>
              <w:bottom w:val="single" w:sz="8" w:space="0" w:color="auto"/>
              <w:right w:val="single" w:sz="8" w:space="0" w:color="auto"/>
            </w:tcBorders>
            <w:vAlign w:val="center"/>
            <w:hideMark/>
          </w:tcPr>
          <w:p w14:paraId="274036AA" w14:textId="77777777" w:rsidR="00044D5B" w:rsidRPr="00392E88" w:rsidRDefault="00044D5B">
            <w:pPr>
              <w:spacing w:before="0" w:after="0"/>
              <w:ind w:firstLineChars="100" w:firstLine="160"/>
              <w:jc w:val="left"/>
              <w:rPr>
                <w:color w:val="000000"/>
                <w:sz w:val="16"/>
                <w:szCs w:val="16"/>
              </w:rPr>
            </w:pPr>
            <w:r w:rsidRPr="00392E88">
              <w:rPr>
                <w:color w:val="000000"/>
                <w:sz w:val="16"/>
              </w:rPr>
              <w:t>Inna linia budżetowa (określić) – dział 7</w:t>
            </w:r>
          </w:p>
        </w:tc>
        <w:tc>
          <w:tcPr>
            <w:tcW w:w="522" w:type="pct"/>
            <w:tcBorders>
              <w:top w:val="nil"/>
              <w:left w:val="nil"/>
              <w:bottom w:val="single" w:sz="8" w:space="0" w:color="auto"/>
              <w:right w:val="single" w:sz="8" w:space="0" w:color="auto"/>
            </w:tcBorders>
            <w:shd w:val="clear" w:color="000000" w:fill="D9D9D9"/>
            <w:vAlign w:val="center"/>
            <w:hideMark/>
          </w:tcPr>
          <w:p w14:paraId="657DEBAD" w14:textId="77777777" w:rsidR="00044D5B" w:rsidRPr="00392E88" w:rsidRDefault="00044D5B">
            <w:pPr>
              <w:spacing w:before="0" w:after="0"/>
              <w:jc w:val="center"/>
              <w:rPr>
                <w:color w:val="000000"/>
                <w:sz w:val="16"/>
                <w:szCs w:val="16"/>
              </w:rPr>
            </w:pPr>
            <w:r w:rsidRPr="00392E88">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2AC73679" w14:textId="77777777" w:rsidR="00044D5B" w:rsidRPr="00392E88" w:rsidRDefault="00044D5B">
            <w:pPr>
              <w:spacing w:before="0" w:after="0"/>
              <w:jc w:val="center"/>
              <w:rPr>
                <w:color w:val="000000"/>
                <w:sz w:val="16"/>
                <w:szCs w:val="16"/>
              </w:rPr>
            </w:pPr>
            <w:r w:rsidRPr="00392E88">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378185A4" w14:textId="77777777" w:rsidR="00044D5B" w:rsidRPr="00392E88" w:rsidRDefault="00044D5B">
            <w:pPr>
              <w:spacing w:before="0" w:after="0"/>
              <w:jc w:val="center"/>
              <w:rPr>
                <w:color w:val="000000"/>
                <w:sz w:val="16"/>
                <w:szCs w:val="16"/>
              </w:rPr>
            </w:pPr>
            <w:r w:rsidRPr="00392E88">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7EF0BB91" w14:textId="77777777" w:rsidR="00044D5B" w:rsidRPr="00392E88" w:rsidRDefault="00044D5B">
            <w:pPr>
              <w:spacing w:before="0" w:after="0"/>
              <w:jc w:val="center"/>
              <w:rPr>
                <w:color w:val="000000"/>
                <w:sz w:val="16"/>
                <w:szCs w:val="16"/>
              </w:rPr>
            </w:pPr>
            <w:r w:rsidRPr="00392E88">
              <w:rPr>
                <w:color w:val="000000"/>
                <w:sz w:val="16"/>
              </w:rPr>
              <w:t>0</w:t>
            </w:r>
          </w:p>
        </w:tc>
      </w:tr>
      <w:tr w:rsidR="00E6355E" w:rsidRPr="00392E88" w14:paraId="493FFD79" w14:textId="77777777">
        <w:trPr>
          <w:trHeight w:val="300"/>
        </w:trPr>
        <w:tc>
          <w:tcPr>
            <w:tcW w:w="2913" w:type="pct"/>
            <w:gridSpan w:val="2"/>
            <w:tcBorders>
              <w:top w:val="single" w:sz="8" w:space="0" w:color="auto"/>
              <w:left w:val="single" w:sz="8" w:space="0" w:color="auto"/>
              <w:bottom w:val="single" w:sz="8" w:space="0" w:color="auto"/>
              <w:right w:val="single" w:sz="8" w:space="0" w:color="auto"/>
            </w:tcBorders>
            <w:vAlign w:val="center"/>
            <w:hideMark/>
          </w:tcPr>
          <w:p w14:paraId="07D0560B" w14:textId="77777777" w:rsidR="00044D5B" w:rsidRPr="00392E88" w:rsidRDefault="00044D5B">
            <w:pPr>
              <w:spacing w:before="0" w:after="0"/>
              <w:ind w:firstLineChars="100" w:firstLine="160"/>
              <w:jc w:val="left"/>
              <w:rPr>
                <w:color w:val="000000"/>
                <w:sz w:val="16"/>
                <w:szCs w:val="16"/>
              </w:rPr>
            </w:pPr>
            <w:r w:rsidRPr="00392E88">
              <w:rPr>
                <w:color w:val="000000"/>
                <w:sz w:val="16"/>
              </w:rPr>
              <w:t>Inna linia budżetowa (określić) – poza działem 7</w:t>
            </w:r>
          </w:p>
        </w:tc>
        <w:tc>
          <w:tcPr>
            <w:tcW w:w="522" w:type="pct"/>
            <w:tcBorders>
              <w:top w:val="nil"/>
              <w:left w:val="nil"/>
              <w:bottom w:val="single" w:sz="8" w:space="0" w:color="auto"/>
              <w:right w:val="single" w:sz="8" w:space="0" w:color="auto"/>
            </w:tcBorders>
            <w:shd w:val="clear" w:color="000000" w:fill="D9D9D9"/>
            <w:vAlign w:val="center"/>
            <w:hideMark/>
          </w:tcPr>
          <w:p w14:paraId="5E81A40F" w14:textId="77777777" w:rsidR="00044D5B" w:rsidRPr="00392E88" w:rsidRDefault="00044D5B">
            <w:pPr>
              <w:spacing w:before="0" w:after="0"/>
              <w:jc w:val="center"/>
              <w:rPr>
                <w:color w:val="000000"/>
                <w:sz w:val="16"/>
                <w:szCs w:val="16"/>
              </w:rPr>
            </w:pPr>
            <w:r w:rsidRPr="00392E88">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2E7FB8E7" w14:textId="77777777" w:rsidR="00044D5B" w:rsidRPr="00392E88" w:rsidRDefault="00044D5B">
            <w:pPr>
              <w:spacing w:before="0" w:after="0"/>
              <w:jc w:val="center"/>
              <w:rPr>
                <w:color w:val="000000"/>
                <w:sz w:val="16"/>
                <w:szCs w:val="16"/>
              </w:rPr>
            </w:pPr>
            <w:r w:rsidRPr="00392E88">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74E54D82" w14:textId="77777777" w:rsidR="00044D5B" w:rsidRPr="00392E88" w:rsidRDefault="00044D5B">
            <w:pPr>
              <w:spacing w:before="0" w:after="0"/>
              <w:jc w:val="center"/>
              <w:rPr>
                <w:color w:val="000000"/>
                <w:sz w:val="16"/>
                <w:szCs w:val="16"/>
              </w:rPr>
            </w:pPr>
            <w:r w:rsidRPr="00392E88">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1BDB5B08" w14:textId="77777777" w:rsidR="00044D5B" w:rsidRPr="00392E88" w:rsidRDefault="00044D5B">
            <w:pPr>
              <w:spacing w:before="0" w:after="0"/>
              <w:jc w:val="center"/>
              <w:rPr>
                <w:color w:val="000000"/>
                <w:sz w:val="16"/>
                <w:szCs w:val="16"/>
              </w:rPr>
            </w:pPr>
            <w:r w:rsidRPr="00392E88">
              <w:rPr>
                <w:color w:val="000000"/>
                <w:sz w:val="16"/>
              </w:rPr>
              <w:t>0</w:t>
            </w:r>
          </w:p>
        </w:tc>
      </w:tr>
      <w:tr w:rsidR="00E6355E" w:rsidRPr="00392E88" w14:paraId="4B1F8F5F" w14:textId="77777777">
        <w:trPr>
          <w:trHeight w:val="300"/>
        </w:trPr>
        <w:tc>
          <w:tcPr>
            <w:tcW w:w="2913" w:type="pct"/>
            <w:gridSpan w:val="2"/>
            <w:tcBorders>
              <w:top w:val="single" w:sz="8" w:space="0" w:color="auto"/>
              <w:left w:val="single" w:sz="8" w:space="0" w:color="auto"/>
              <w:bottom w:val="single" w:sz="8" w:space="0" w:color="auto"/>
              <w:right w:val="single" w:sz="8" w:space="0" w:color="auto"/>
            </w:tcBorders>
            <w:vAlign w:val="center"/>
            <w:hideMark/>
          </w:tcPr>
          <w:p w14:paraId="36EBF44F" w14:textId="77777777" w:rsidR="00044D5B" w:rsidRPr="00392E88" w:rsidRDefault="00044D5B">
            <w:pPr>
              <w:spacing w:before="0" w:after="0"/>
              <w:ind w:firstLineChars="100" w:firstLine="161"/>
              <w:jc w:val="left"/>
              <w:rPr>
                <w:b/>
                <w:bCs/>
                <w:color w:val="000000"/>
                <w:sz w:val="16"/>
                <w:szCs w:val="16"/>
              </w:rPr>
            </w:pPr>
            <w:r w:rsidRPr="00392E88">
              <w:rPr>
                <w:b/>
                <w:color w:val="000000"/>
                <w:sz w:val="16"/>
              </w:rPr>
              <w:t>OGÓŁEM</w:t>
            </w:r>
          </w:p>
        </w:tc>
        <w:tc>
          <w:tcPr>
            <w:tcW w:w="522" w:type="pct"/>
            <w:tcBorders>
              <w:top w:val="nil"/>
              <w:left w:val="nil"/>
              <w:bottom w:val="single" w:sz="8" w:space="0" w:color="auto"/>
              <w:right w:val="single" w:sz="8" w:space="0" w:color="auto"/>
            </w:tcBorders>
            <w:shd w:val="clear" w:color="000000" w:fill="D9D9D9"/>
            <w:vAlign w:val="center"/>
            <w:hideMark/>
          </w:tcPr>
          <w:p w14:paraId="15083D04" w14:textId="77777777" w:rsidR="00044D5B" w:rsidRPr="00392E88" w:rsidRDefault="00044D5B">
            <w:pPr>
              <w:spacing w:before="0" w:after="0"/>
              <w:jc w:val="center"/>
              <w:rPr>
                <w:b/>
                <w:bCs/>
                <w:color w:val="000000"/>
                <w:sz w:val="16"/>
                <w:szCs w:val="16"/>
              </w:rPr>
            </w:pPr>
            <w:r w:rsidRPr="00392E88">
              <w:rPr>
                <w:b/>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78196C69" w14:textId="77777777" w:rsidR="00044D5B" w:rsidRPr="00392E88" w:rsidRDefault="00044D5B">
            <w:pPr>
              <w:spacing w:before="0" w:after="0"/>
              <w:jc w:val="center"/>
              <w:rPr>
                <w:b/>
                <w:bCs/>
                <w:color w:val="000000"/>
                <w:sz w:val="16"/>
                <w:szCs w:val="16"/>
              </w:rPr>
            </w:pPr>
            <w:r w:rsidRPr="00392E88">
              <w:rPr>
                <w:b/>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0260ED90" w14:textId="77777777" w:rsidR="00044D5B" w:rsidRPr="00392E88" w:rsidRDefault="00044D5B">
            <w:pPr>
              <w:spacing w:before="0" w:after="0"/>
              <w:jc w:val="center"/>
              <w:rPr>
                <w:b/>
                <w:bCs/>
                <w:color w:val="000000"/>
                <w:sz w:val="16"/>
                <w:szCs w:val="16"/>
              </w:rPr>
            </w:pPr>
            <w:r w:rsidRPr="00392E88">
              <w:rPr>
                <w:b/>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5B8652B3" w14:textId="77777777" w:rsidR="00044D5B" w:rsidRPr="00392E88" w:rsidRDefault="00044D5B">
            <w:pPr>
              <w:spacing w:before="0" w:after="0"/>
              <w:jc w:val="center"/>
              <w:rPr>
                <w:b/>
                <w:bCs/>
                <w:color w:val="000000"/>
                <w:sz w:val="16"/>
                <w:szCs w:val="16"/>
              </w:rPr>
            </w:pPr>
            <w:r w:rsidRPr="00392E88">
              <w:rPr>
                <w:b/>
                <w:color w:val="000000"/>
                <w:sz w:val="16"/>
              </w:rPr>
              <w:t>0</w:t>
            </w:r>
          </w:p>
        </w:tc>
      </w:tr>
    </w:tbl>
    <w:p w14:paraId="14CC0109" w14:textId="77777777" w:rsidR="00044D5B" w:rsidRPr="00392E88" w:rsidRDefault="00044D5B" w:rsidP="00044D5B">
      <w:pPr>
        <w:pStyle w:val="ManualHeading3"/>
      </w:pPr>
      <w:r w:rsidRPr="00392E88">
        <w:t>3.2.4.3.</w:t>
      </w:r>
      <w:r w:rsidRPr="00392E88">
        <w:tab/>
        <w:t>Zapotrzebowanie na zasoby ludzkie ogółem</w:t>
      </w:r>
    </w:p>
    <w:tbl>
      <w:tblPr>
        <w:tblW w:w="9200" w:type="dxa"/>
        <w:tblInd w:w="-118" w:type="dxa"/>
        <w:tblCellMar>
          <w:left w:w="0" w:type="dxa"/>
          <w:right w:w="0" w:type="dxa"/>
        </w:tblCellMar>
        <w:tblLook w:val="04A0" w:firstRow="1" w:lastRow="0" w:firstColumn="1" w:lastColumn="0" w:noHBand="0" w:noVBand="1"/>
      </w:tblPr>
      <w:tblGrid>
        <w:gridCol w:w="1500"/>
        <w:gridCol w:w="3860"/>
        <w:gridCol w:w="960"/>
        <w:gridCol w:w="960"/>
        <w:gridCol w:w="960"/>
        <w:gridCol w:w="960"/>
      </w:tblGrid>
      <w:tr w:rsidR="00E6355E" w:rsidRPr="00392E88" w14:paraId="37B4614C" w14:textId="77777777">
        <w:trPr>
          <w:trHeight w:val="492"/>
        </w:trPr>
        <w:tc>
          <w:tcPr>
            <w:tcW w:w="5360" w:type="dxa"/>
            <w:gridSpan w:val="2"/>
            <w:vMerge w:val="restart"/>
            <w:tcBorders>
              <w:top w:val="single" w:sz="8" w:space="0" w:color="auto"/>
              <w:left w:val="single" w:sz="8" w:space="0" w:color="auto"/>
              <w:bottom w:val="single" w:sz="8" w:space="0" w:color="000000"/>
              <w:right w:val="single" w:sz="8" w:space="0" w:color="000000"/>
            </w:tcBorders>
            <w:vAlign w:val="center"/>
            <w:hideMark/>
          </w:tcPr>
          <w:p w14:paraId="715081B8" w14:textId="77777777" w:rsidR="00044D5B" w:rsidRPr="00392E88" w:rsidRDefault="00044D5B">
            <w:pPr>
              <w:spacing w:before="0" w:after="0"/>
              <w:jc w:val="center"/>
              <w:rPr>
                <w:b/>
                <w:bCs/>
                <w:color w:val="000000"/>
                <w:sz w:val="18"/>
                <w:szCs w:val="18"/>
              </w:rPr>
            </w:pPr>
            <w:r w:rsidRPr="00392E88">
              <w:rPr>
                <w:b/>
                <w:color w:val="000000"/>
                <w:sz w:val="18"/>
              </w:rPr>
              <w:t>OGÓŁEM ZATWIERDZONE ŚRODKI + ZEWNĘTRZNE DOCHODY PRZEZNACZONE NA OKREŚLONY CEL</w:t>
            </w:r>
          </w:p>
        </w:tc>
        <w:tc>
          <w:tcPr>
            <w:tcW w:w="960" w:type="dxa"/>
            <w:tcBorders>
              <w:top w:val="single" w:sz="8" w:space="0" w:color="auto"/>
              <w:left w:val="nil"/>
              <w:bottom w:val="nil"/>
              <w:right w:val="single" w:sz="8" w:space="0" w:color="auto"/>
            </w:tcBorders>
            <w:vAlign w:val="center"/>
            <w:hideMark/>
          </w:tcPr>
          <w:p w14:paraId="388D6CAD" w14:textId="77777777" w:rsidR="00044D5B" w:rsidRPr="00392E88" w:rsidRDefault="00044D5B">
            <w:pPr>
              <w:spacing w:before="0" w:after="0"/>
              <w:jc w:val="center"/>
              <w:rPr>
                <w:color w:val="000000"/>
                <w:sz w:val="20"/>
                <w:szCs w:val="20"/>
              </w:rPr>
            </w:pPr>
            <w:r w:rsidRPr="00392E88">
              <w:rPr>
                <w:color w:val="000000"/>
                <w:sz w:val="20"/>
              </w:rPr>
              <w:t>Rok</w:t>
            </w:r>
          </w:p>
        </w:tc>
        <w:tc>
          <w:tcPr>
            <w:tcW w:w="960" w:type="dxa"/>
            <w:tcBorders>
              <w:top w:val="single" w:sz="8" w:space="0" w:color="auto"/>
              <w:left w:val="nil"/>
              <w:bottom w:val="nil"/>
              <w:right w:val="single" w:sz="8" w:space="0" w:color="auto"/>
            </w:tcBorders>
            <w:vAlign w:val="center"/>
            <w:hideMark/>
          </w:tcPr>
          <w:p w14:paraId="248EF401" w14:textId="77777777" w:rsidR="00044D5B" w:rsidRPr="00392E88" w:rsidRDefault="00044D5B">
            <w:pPr>
              <w:spacing w:before="0" w:after="0"/>
              <w:jc w:val="center"/>
              <w:rPr>
                <w:color w:val="000000"/>
                <w:sz w:val="20"/>
                <w:szCs w:val="20"/>
              </w:rPr>
            </w:pPr>
            <w:r w:rsidRPr="00392E88">
              <w:rPr>
                <w:color w:val="000000"/>
                <w:sz w:val="20"/>
              </w:rPr>
              <w:t>Rok</w:t>
            </w:r>
          </w:p>
        </w:tc>
        <w:tc>
          <w:tcPr>
            <w:tcW w:w="960" w:type="dxa"/>
            <w:tcBorders>
              <w:top w:val="single" w:sz="8" w:space="0" w:color="auto"/>
              <w:left w:val="nil"/>
              <w:bottom w:val="nil"/>
              <w:right w:val="single" w:sz="8" w:space="0" w:color="auto"/>
            </w:tcBorders>
            <w:vAlign w:val="center"/>
            <w:hideMark/>
          </w:tcPr>
          <w:p w14:paraId="1B3384F6" w14:textId="77777777" w:rsidR="00044D5B" w:rsidRPr="00392E88" w:rsidRDefault="00044D5B">
            <w:pPr>
              <w:spacing w:before="0" w:after="0"/>
              <w:jc w:val="center"/>
              <w:rPr>
                <w:color w:val="000000"/>
                <w:sz w:val="20"/>
                <w:szCs w:val="20"/>
              </w:rPr>
            </w:pPr>
            <w:r w:rsidRPr="00392E88">
              <w:rPr>
                <w:color w:val="000000"/>
                <w:sz w:val="20"/>
              </w:rPr>
              <w:t>Rok</w:t>
            </w:r>
          </w:p>
        </w:tc>
        <w:tc>
          <w:tcPr>
            <w:tcW w:w="960" w:type="dxa"/>
            <w:tcBorders>
              <w:top w:val="single" w:sz="8" w:space="0" w:color="auto"/>
              <w:left w:val="nil"/>
              <w:bottom w:val="nil"/>
              <w:right w:val="single" w:sz="8" w:space="0" w:color="auto"/>
            </w:tcBorders>
            <w:vAlign w:val="center"/>
            <w:hideMark/>
          </w:tcPr>
          <w:p w14:paraId="2280867E" w14:textId="77777777" w:rsidR="00044D5B" w:rsidRPr="00392E88" w:rsidRDefault="00044D5B">
            <w:pPr>
              <w:spacing w:before="0" w:after="0"/>
              <w:jc w:val="center"/>
              <w:rPr>
                <w:color w:val="000000"/>
                <w:sz w:val="20"/>
                <w:szCs w:val="20"/>
              </w:rPr>
            </w:pPr>
            <w:r w:rsidRPr="00392E88">
              <w:rPr>
                <w:color w:val="000000"/>
                <w:sz w:val="20"/>
              </w:rPr>
              <w:t>Rok</w:t>
            </w:r>
          </w:p>
        </w:tc>
      </w:tr>
      <w:tr w:rsidR="00E6355E" w:rsidRPr="00392E88" w14:paraId="4ED2976F" w14:textId="77777777">
        <w:trPr>
          <w:trHeight w:val="492"/>
        </w:trPr>
        <w:tc>
          <w:tcPr>
            <w:tcW w:w="5360" w:type="dxa"/>
            <w:gridSpan w:val="2"/>
            <w:vMerge/>
            <w:tcBorders>
              <w:top w:val="single" w:sz="8" w:space="0" w:color="auto"/>
              <w:left w:val="single" w:sz="8" w:space="0" w:color="auto"/>
              <w:bottom w:val="single" w:sz="8" w:space="0" w:color="auto"/>
              <w:right w:val="single" w:sz="8" w:space="0" w:color="000000"/>
            </w:tcBorders>
            <w:vAlign w:val="center"/>
            <w:hideMark/>
          </w:tcPr>
          <w:p w14:paraId="1E056C11" w14:textId="77777777" w:rsidR="00044D5B" w:rsidRPr="00392E88" w:rsidRDefault="00044D5B">
            <w:pPr>
              <w:spacing w:before="0" w:after="0"/>
              <w:jc w:val="left"/>
              <w:rPr>
                <w:b/>
                <w:bCs/>
                <w:color w:val="000000"/>
                <w:sz w:val="18"/>
                <w:szCs w:val="18"/>
                <w:lang w:eastAsia="en-IE"/>
              </w:rPr>
            </w:pPr>
          </w:p>
        </w:tc>
        <w:tc>
          <w:tcPr>
            <w:tcW w:w="960" w:type="dxa"/>
            <w:tcBorders>
              <w:top w:val="nil"/>
              <w:left w:val="nil"/>
              <w:bottom w:val="single" w:sz="8" w:space="0" w:color="auto"/>
              <w:right w:val="single" w:sz="8" w:space="0" w:color="auto"/>
            </w:tcBorders>
            <w:vAlign w:val="center"/>
            <w:hideMark/>
          </w:tcPr>
          <w:p w14:paraId="510F7847" w14:textId="77777777" w:rsidR="00044D5B" w:rsidRPr="00392E88" w:rsidRDefault="00044D5B">
            <w:pPr>
              <w:spacing w:before="0" w:after="0"/>
              <w:jc w:val="center"/>
              <w:rPr>
                <w:b/>
                <w:bCs/>
                <w:color w:val="000000"/>
                <w:sz w:val="20"/>
                <w:szCs w:val="20"/>
              </w:rPr>
            </w:pPr>
            <w:r w:rsidRPr="00392E88">
              <w:rPr>
                <w:b/>
                <w:color w:val="000000"/>
                <w:sz w:val="20"/>
              </w:rPr>
              <w:t>2024</w:t>
            </w:r>
          </w:p>
        </w:tc>
        <w:tc>
          <w:tcPr>
            <w:tcW w:w="960" w:type="dxa"/>
            <w:tcBorders>
              <w:top w:val="nil"/>
              <w:left w:val="nil"/>
              <w:bottom w:val="single" w:sz="8" w:space="0" w:color="auto"/>
              <w:right w:val="single" w:sz="8" w:space="0" w:color="auto"/>
            </w:tcBorders>
            <w:vAlign w:val="center"/>
            <w:hideMark/>
          </w:tcPr>
          <w:p w14:paraId="59862D29" w14:textId="77777777" w:rsidR="00044D5B" w:rsidRPr="00392E88" w:rsidRDefault="00044D5B">
            <w:pPr>
              <w:spacing w:before="0" w:after="0"/>
              <w:jc w:val="center"/>
              <w:rPr>
                <w:b/>
                <w:bCs/>
                <w:color w:val="000000"/>
                <w:sz w:val="20"/>
                <w:szCs w:val="20"/>
              </w:rPr>
            </w:pPr>
            <w:r w:rsidRPr="00392E88">
              <w:rPr>
                <w:b/>
                <w:color w:val="000000"/>
                <w:sz w:val="20"/>
              </w:rPr>
              <w:t>2025</w:t>
            </w:r>
          </w:p>
        </w:tc>
        <w:tc>
          <w:tcPr>
            <w:tcW w:w="960" w:type="dxa"/>
            <w:tcBorders>
              <w:top w:val="nil"/>
              <w:left w:val="nil"/>
              <w:bottom w:val="single" w:sz="8" w:space="0" w:color="auto"/>
              <w:right w:val="single" w:sz="8" w:space="0" w:color="auto"/>
            </w:tcBorders>
            <w:vAlign w:val="center"/>
            <w:hideMark/>
          </w:tcPr>
          <w:p w14:paraId="0B7F50EB" w14:textId="77777777" w:rsidR="00044D5B" w:rsidRPr="00392E88" w:rsidRDefault="00044D5B">
            <w:pPr>
              <w:spacing w:before="0" w:after="0"/>
              <w:jc w:val="center"/>
              <w:rPr>
                <w:b/>
                <w:bCs/>
                <w:color w:val="000000"/>
                <w:sz w:val="20"/>
                <w:szCs w:val="20"/>
              </w:rPr>
            </w:pPr>
            <w:r w:rsidRPr="00392E88">
              <w:rPr>
                <w:b/>
                <w:color w:val="000000"/>
                <w:sz w:val="20"/>
              </w:rPr>
              <w:t>2026</w:t>
            </w:r>
          </w:p>
        </w:tc>
        <w:tc>
          <w:tcPr>
            <w:tcW w:w="960" w:type="dxa"/>
            <w:tcBorders>
              <w:top w:val="nil"/>
              <w:left w:val="nil"/>
              <w:bottom w:val="single" w:sz="8" w:space="0" w:color="auto"/>
              <w:right w:val="single" w:sz="8" w:space="0" w:color="auto"/>
            </w:tcBorders>
            <w:vAlign w:val="center"/>
            <w:hideMark/>
          </w:tcPr>
          <w:p w14:paraId="2E5004BD" w14:textId="77777777" w:rsidR="00044D5B" w:rsidRPr="00392E88" w:rsidRDefault="00044D5B">
            <w:pPr>
              <w:spacing w:before="0" w:after="0"/>
              <w:jc w:val="center"/>
              <w:rPr>
                <w:b/>
                <w:bCs/>
                <w:color w:val="000000"/>
                <w:sz w:val="20"/>
                <w:szCs w:val="20"/>
              </w:rPr>
            </w:pPr>
            <w:r w:rsidRPr="00392E88">
              <w:rPr>
                <w:b/>
                <w:color w:val="000000"/>
                <w:sz w:val="20"/>
              </w:rPr>
              <w:t>2027</w:t>
            </w:r>
          </w:p>
        </w:tc>
      </w:tr>
      <w:tr w:rsidR="00C45E62" w:rsidRPr="00392E88" w14:paraId="59EB049A" w14:textId="77777777">
        <w:trPr>
          <w:trHeight w:val="300"/>
        </w:trPr>
        <w:tc>
          <w:tcPr>
            <w:tcW w:w="9200" w:type="dxa"/>
            <w:gridSpan w:val="6"/>
            <w:tcBorders>
              <w:top w:val="single" w:sz="8" w:space="0" w:color="auto"/>
              <w:left w:val="single" w:sz="8" w:space="0" w:color="auto"/>
              <w:bottom w:val="single" w:sz="8" w:space="0" w:color="auto"/>
              <w:right w:val="single" w:sz="4" w:space="0" w:color="auto"/>
            </w:tcBorders>
            <w:vAlign w:val="center"/>
            <w:hideMark/>
          </w:tcPr>
          <w:p w14:paraId="00084FD3" w14:textId="1F446697" w:rsidR="00044D5B" w:rsidRPr="00392E88" w:rsidRDefault="00044D5B">
            <w:pPr>
              <w:spacing w:before="0" w:after="0"/>
              <w:jc w:val="left"/>
              <w:rPr>
                <w:rFonts w:ascii="Wingdings" w:hAnsi="Wingdings" w:cs="Calibri"/>
                <w:b/>
                <w:bCs/>
                <w:color w:val="000000"/>
                <w:sz w:val="16"/>
                <w:szCs w:val="16"/>
              </w:rPr>
            </w:pPr>
            <w:r w:rsidRPr="00392E88">
              <w:rPr>
                <w:rFonts w:ascii="Wingdings" w:hAnsi="Wingdings"/>
                <w:b/>
                <w:color w:val="000000"/>
                <w:sz w:val="16"/>
              </w:rPr>
              <w:t>Ÿ</w:t>
            </w:r>
            <w:r w:rsidRPr="00392E88">
              <w:rPr>
                <w:b/>
                <w:color w:val="000000"/>
                <w:sz w:val="16"/>
              </w:rPr>
              <w:t xml:space="preserve"> Stanowiska przewidziane</w:t>
            </w:r>
            <w:r w:rsidR="006E6446" w:rsidRPr="00392E88">
              <w:rPr>
                <w:b/>
                <w:color w:val="000000"/>
                <w:sz w:val="16"/>
              </w:rPr>
              <w:t xml:space="preserve"> w</w:t>
            </w:r>
            <w:r w:rsidR="006E6446">
              <w:rPr>
                <w:b/>
                <w:color w:val="000000"/>
                <w:sz w:val="16"/>
              </w:rPr>
              <w:t> </w:t>
            </w:r>
            <w:r w:rsidR="006E6446" w:rsidRPr="00392E88">
              <w:rPr>
                <w:b/>
                <w:color w:val="000000"/>
                <w:sz w:val="16"/>
              </w:rPr>
              <w:t>pla</w:t>
            </w:r>
            <w:r w:rsidRPr="00392E88">
              <w:rPr>
                <w:b/>
                <w:color w:val="000000"/>
                <w:sz w:val="16"/>
              </w:rPr>
              <w:t>nie zatrudnienia (stanowiska urzędników</w:t>
            </w:r>
            <w:r w:rsidR="006E6446" w:rsidRPr="00392E88">
              <w:rPr>
                <w:b/>
                <w:color w:val="000000"/>
                <w:sz w:val="16"/>
              </w:rPr>
              <w:t xml:space="preserve"> i</w:t>
            </w:r>
            <w:r w:rsidR="006E6446">
              <w:rPr>
                <w:b/>
                <w:color w:val="000000"/>
                <w:sz w:val="16"/>
              </w:rPr>
              <w:t> </w:t>
            </w:r>
            <w:r w:rsidR="006E6446" w:rsidRPr="00392E88">
              <w:rPr>
                <w:b/>
                <w:color w:val="000000"/>
                <w:sz w:val="16"/>
              </w:rPr>
              <w:t>pra</w:t>
            </w:r>
            <w:r w:rsidRPr="00392E88">
              <w:rPr>
                <w:b/>
                <w:color w:val="000000"/>
                <w:sz w:val="16"/>
              </w:rPr>
              <w:t>cowników zatrudnionych na czas określony)</w:t>
            </w:r>
          </w:p>
        </w:tc>
      </w:tr>
      <w:tr w:rsidR="00E6355E" w:rsidRPr="00392E88" w14:paraId="36DE348C" w14:textId="77777777">
        <w:trPr>
          <w:trHeight w:val="300"/>
        </w:trPr>
        <w:tc>
          <w:tcPr>
            <w:tcW w:w="5360" w:type="dxa"/>
            <w:gridSpan w:val="2"/>
            <w:tcBorders>
              <w:top w:val="single" w:sz="8" w:space="0" w:color="auto"/>
              <w:left w:val="single" w:sz="8" w:space="0" w:color="auto"/>
              <w:bottom w:val="single" w:sz="8" w:space="0" w:color="auto"/>
              <w:right w:val="single" w:sz="8" w:space="0" w:color="auto"/>
            </w:tcBorders>
            <w:vAlign w:val="center"/>
            <w:hideMark/>
          </w:tcPr>
          <w:p w14:paraId="281C7592" w14:textId="52BDE3C7" w:rsidR="00044D5B" w:rsidRPr="00392E88" w:rsidRDefault="00044D5B">
            <w:pPr>
              <w:spacing w:before="0" w:after="0"/>
              <w:ind w:firstLineChars="100" w:firstLine="240"/>
              <w:jc w:val="left"/>
              <w:rPr>
                <w:color w:val="000000"/>
                <w:sz w:val="16"/>
                <w:szCs w:val="16"/>
              </w:rPr>
            </w:pPr>
            <w:r w:rsidRPr="00392E88">
              <w:rPr>
                <w:color w:val="000000"/>
              </w:rPr>
              <w:t>20 01 02 01 (w centrali</w:t>
            </w:r>
            <w:r w:rsidR="006E6446" w:rsidRPr="00392E88">
              <w:rPr>
                <w:color w:val="000000"/>
              </w:rPr>
              <w:t xml:space="preserve"> i</w:t>
            </w:r>
            <w:r w:rsidR="006E6446">
              <w:rPr>
                <w:color w:val="000000"/>
              </w:rPr>
              <w:t> </w:t>
            </w:r>
            <w:r w:rsidR="006E6446" w:rsidRPr="00392E88">
              <w:rPr>
                <w:color w:val="000000"/>
              </w:rPr>
              <w:t>w</w:t>
            </w:r>
            <w:r w:rsidR="006E6446">
              <w:rPr>
                <w:color w:val="000000"/>
              </w:rPr>
              <w:t> </w:t>
            </w:r>
            <w:r w:rsidR="006E6446" w:rsidRPr="00392E88">
              <w:rPr>
                <w:color w:val="000000"/>
              </w:rPr>
              <w:t>biu</w:t>
            </w:r>
            <w:r w:rsidRPr="00392E88">
              <w:rPr>
                <w:color w:val="000000"/>
              </w:rPr>
              <w:t>rach przedstawicielstw Komisji)</w:t>
            </w:r>
          </w:p>
        </w:tc>
        <w:tc>
          <w:tcPr>
            <w:tcW w:w="960" w:type="dxa"/>
            <w:tcBorders>
              <w:top w:val="nil"/>
              <w:left w:val="nil"/>
              <w:bottom w:val="single" w:sz="8" w:space="0" w:color="auto"/>
              <w:right w:val="single" w:sz="8" w:space="0" w:color="auto"/>
            </w:tcBorders>
            <w:shd w:val="clear" w:color="000000" w:fill="D9D9D9"/>
            <w:vAlign w:val="center"/>
            <w:hideMark/>
          </w:tcPr>
          <w:p w14:paraId="66D7192F" w14:textId="77777777" w:rsidR="00044D5B" w:rsidRPr="00392E88" w:rsidRDefault="00044D5B">
            <w:pPr>
              <w:spacing w:before="0" w:after="0"/>
              <w:jc w:val="center"/>
              <w:rPr>
                <w:color w:val="000000"/>
                <w:sz w:val="16"/>
                <w:szCs w:val="16"/>
              </w:rPr>
            </w:pPr>
            <w:r w:rsidRPr="00392E88">
              <w:rPr>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64EE1449" w14:textId="77777777" w:rsidR="00044D5B" w:rsidRPr="00392E88" w:rsidRDefault="00044D5B">
            <w:pPr>
              <w:spacing w:before="0" w:after="0"/>
              <w:jc w:val="center"/>
              <w:rPr>
                <w:color w:val="000000"/>
                <w:sz w:val="16"/>
                <w:szCs w:val="16"/>
              </w:rPr>
            </w:pPr>
            <w:r w:rsidRPr="00392E88">
              <w:rPr>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1C8D2A29" w14:textId="77777777" w:rsidR="00044D5B" w:rsidRPr="00392E88" w:rsidRDefault="00044D5B">
            <w:pPr>
              <w:spacing w:before="0" w:after="0"/>
              <w:jc w:val="center"/>
              <w:rPr>
                <w:color w:val="000000"/>
                <w:sz w:val="16"/>
                <w:szCs w:val="16"/>
              </w:rPr>
            </w:pPr>
            <w:r w:rsidRPr="00392E88">
              <w:rPr>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6E97211C" w14:textId="77777777" w:rsidR="00044D5B" w:rsidRPr="00392E88" w:rsidRDefault="00044D5B">
            <w:pPr>
              <w:spacing w:before="0" w:after="0"/>
              <w:jc w:val="center"/>
              <w:rPr>
                <w:color w:val="000000"/>
                <w:sz w:val="16"/>
                <w:szCs w:val="16"/>
              </w:rPr>
            </w:pPr>
            <w:r w:rsidRPr="00392E88">
              <w:rPr>
                <w:color w:val="000000"/>
                <w:sz w:val="16"/>
              </w:rPr>
              <w:t>0</w:t>
            </w:r>
          </w:p>
        </w:tc>
      </w:tr>
      <w:tr w:rsidR="00E6355E" w:rsidRPr="00392E88" w14:paraId="577B7347" w14:textId="77777777">
        <w:trPr>
          <w:trHeight w:val="300"/>
        </w:trPr>
        <w:tc>
          <w:tcPr>
            <w:tcW w:w="5360" w:type="dxa"/>
            <w:gridSpan w:val="2"/>
            <w:tcBorders>
              <w:top w:val="single" w:sz="8" w:space="0" w:color="auto"/>
              <w:left w:val="single" w:sz="8" w:space="0" w:color="auto"/>
              <w:bottom w:val="single" w:sz="8" w:space="0" w:color="auto"/>
              <w:right w:val="single" w:sz="8" w:space="0" w:color="auto"/>
            </w:tcBorders>
            <w:vAlign w:val="center"/>
            <w:hideMark/>
          </w:tcPr>
          <w:p w14:paraId="05929EA1" w14:textId="77777777" w:rsidR="00044D5B" w:rsidRPr="00392E88" w:rsidRDefault="00044D5B">
            <w:pPr>
              <w:spacing w:before="0" w:after="0"/>
              <w:ind w:firstLineChars="100" w:firstLine="160"/>
              <w:jc w:val="left"/>
              <w:rPr>
                <w:color w:val="000000"/>
                <w:sz w:val="16"/>
                <w:szCs w:val="16"/>
              </w:rPr>
            </w:pPr>
            <w:r w:rsidRPr="00392E88">
              <w:rPr>
                <w:color w:val="000000"/>
                <w:sz w:val="16"/>
              </w:rPr>
              <w:t>20 01 02 03 (w delegaturach UE)</w:t>
            </w:r>
          </w:p>
        </w:tc>
        <w:tc>
          <w:tcPr>
            <w:tcW w:w="960" w:type="dxa"/>
            <w:tcBorders>
              <w:top w:val="nil"/>
              <w:left w:val="nil"/>
              <w:bottom w:val="single" w:sz="8" w:space="0" w:color="auto"/>
              <w:right w:val="single" w:sz="8" w:space="0" w:color="auto"/>
            </w:tcBorders>
            <w:shd w:val="clear" w:color="000000" w:fill="D9D9D9"/>
            <w:vAlign w:val="center"/>
            <w:hideMark/>
          </w:tcPr>
          <w:p w14:paraId="64DC29B4" w14:textId="77777777" w:rsidR="00044D5B" w:rsidRPr="00392E88" w:rsidRDefault="00044D5B">
            <w:pPr>
              <w:spacing w:before="0" w:after="0"/>
              <w:jc w:val="center"/>
              <w:rPr>
                <w:color w:val="000000"/>
                <w:sz w:val="16"/>
                <w:szCs w:val="16"/>
              </w:rPr>
            </w:pPr>
            <w:r w:rsidRPr="00392E88">
              <w:rPr>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6D38C677" w14:textId="77777777" w:rsidR="00044D5B" w:rsidRPr="00392E88" w:rsidRDefault="00044D5B">
            <w:pPr>
              <w:spacing w:before="0" w:after="0"/>
              <w:jc w:val="center"/>
              <w:rPr>
                <w:color w:val="000000"/>
                <w:sz w:val="16"/>
                <w:szCs w:val="16"/>
              </w:rPr>
            </w:pPr>
            <w:r w:rsidRPr="00392E88">
              <w:rPr>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3622A889" w14:textId="77777777" w:rsidR="00044D5B" w:rsidRPr="00392E88" w:rsidRDefault="00044D5B">
            <w:pPr>
              <w:spacing w:before="0" w:after="0"/>
              <w:jc w:val="center"/>
              <w:rPr>
                <w:color w:val="000000"/>
                <w:sz w:val="16"/>
                <w:szCs w:val="16"/>
              </w:rPr>
            </w:pPr>
            <w:r w:rsidRPr="00392E88">
              <w:rPr>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6AA8596C" w14:textId="77777777" w:rsidR="00044D5B" w:rsidRPr="00392E88" w:rsidRDefault="00044D5B">
            <w:pPr>
              <w:spacing w:before="0" w:after="0"/>
              <w:jc w:val="center"/>
              <w:rPr>
                <w:color w:val="000000"/>
                <w:sz w:val="16"/>
                <w:szCs w:val="16"/>
              </w:rPr>
            </w:pPr>
            <w:r w:rsidRPr="00392E88">
              <w:rPr>
                <w:color w:val="000000"/>
                <w:sz w:val="16"/>
              </w:rPr>
              <w:t>0</w:t>
            </w:r>
          </w:p>
        </w:tc>
      </w:tr>
      <w:tr w:rsidR="00E6355E" w:rsidRPr="00392E88" w14:paraId="071E222F" w14:textId="77777777">
        <w:trPr>
          <w:trHeight w:val="300"/>
        </w:trPr>
        <w:tc>
          <w:tcPr>
            <w:tcW w:w="5360" w:type="dxa"/>
            <w:gridSpan w:val="2"/>
            <w:tcBorders>
              <w:top w:val="single" w:sz="8" w:space="0" w:color="auto"/>
              <w:left w:val="single" w:sz="8" w:space="0" w:color="auto"/>
              <w:bottom w:val="single" w:sz="8" w:space="0" w:color="auto"/>
              <w:right w:val="single" w:sz="8" w:space="0" w:color="auto"/>
            </w:tcBorders>
            <w:vAlign w:val="center"/>
            <w:hideMark/>
          </w:tcPr>
          <w:p w14:paraId="36024BFA" w14:textId="77777777" w:rsidR="00044D5B" w:rsidRPr="00392E88" w:rsidRDefault="00044D5B">
            <w:pPr>
              <w:spacing w:before="0" w:after="0"/>
              <w:ind w:firstLineChars="100" w:firstLine="160"/>
              <w:jc w:val="left"/>
              <w:rPr>
                <w:color w:val="000000"/>
                <w:sz w:val="16"/>
                <w:szCs w:val="16"/>
              </w:rPr>
            </w:pPr>
            <w:r w:rsidRPr="00392E88">
              <w:rPr>
                <w:color w:val="000000"/>
                <w:sz w:val="16"/>
              </w:rPr>
              <w:t>01 01 01 01</w:t>
            </w:r>
            <w:r w:rsidRPr="00392E88">
              <w:rPr>
                <w:color w:val="000000"/>
              </w:rPr>
              <w:t xml:space="preserve"> </w:t>
            </w:r>
            <w:r w:rsidRPr="00392E88">
              <w:rPr>
                <w:color w:val="000000"/>
                <w:sz w:val="16"/>
              </w:rPr>
              <w:t>(pośrednie badania naukowe)</w:t>
            </w:r>
          </w:p>
        </w:tc>
        <w:tc>
          <w:tcPr>
            <w:tcW w:w="960" w:type="dxa"/>
            <w:tcBorders>
              <w:top w:val="nil"/>
              <w:left w:val="nil"/>
              <w:bottom w:val="single" w:sz="8" w:space="0" w:color="auto"/>
              <w:right w:val="single" w:sz="8" w:space="0" w:color="auto"/>
            </w:tcBorders>
            <w:shd w:val="clear" w:color="000000" w:fill="D9D9D9"/>
            <w:vAlign w:val="center"/>
            <w:hideMark/>
          </w:tcPr>
          <w:p w14:paraId="11297FDA" w14:textId="77777777" w:rsidR="00044D5B" w:rsidRPr="00392E88" w:rsidRDefault="00044D5B">
            <w:pPr>
              <w:spacing w:before="0" w:after="0"/>
              <w:jc w:val="center"/>
              <w:rPr>
                <w:color w:val="000000"/>
                <w:sz w:val="16"/>
                <w:szCs w:val="16"/>
              </w:rPr>
            </w:pPr>
            <w:r w:rsidRPr="00392E88">
              <w:rPr>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001A935C" w14:textId="77777777" w:rsidR="00044D5B" w:rsidRPr="00392E88" w:rsidRDefault="00044D5B">
            <w:pPr>
              <w:spacing w:before="0" w:after="0"/>
              <w:jc w:val="center"/>
              <w:rPr>
                <w:color w:val="000000"/>
                <w:sz w:val="16"/>
                <w:szCs w:val="16"/>
              </w:rPr>
            </w:pPr>
            <w:r w:rsidRPr="00392E88">
              <w:rPr>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1693D6A3" w14:textId="77777777" w:rsidR="00044D5B" w:rsidRPr="00392E88" w:rsidRDefault="00044D5B">
            <w:pPr>
              <w:spacing w:before="0" w:after="0"/>
              <w:jc w:val="center"/>
              <w:rPr>
                <w:color w:val="000000"/>
                <w:sz w:val="16"/>
                <w:szCs w:val="16"/>
              </w:rPr>
            </w:pPr>
            <w:r w:rsidRPr="00392E88">
              <w:rPr>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409DF71E" w14:textId="77777777" w:rsidR="00044D5B" w:rsidRPr="00392E88" w:rsidRDefault="00044D5B">
            <w:pPr>
              <w:spacing w:before="0" w:after="0"/>
              <w:jc w:val="center"/>
              <w:rPr>
                <w:color w:val="000000"/>
                <w:sz w:val="16"/>
                <w:szCs w:val="16"/>
              </w:rPr>
            </w:pPr>
            <w:r w:rsidRPr="00392E88">
              <w:rPr>
                <w:color w:val="000000"/>
                <w:sz w:val="16"/>
              </w:rPr>
              <w:t>0</w:t>
            </w:r>
          </w:p>
        </w:tc>
      </w:tr>
      <w:tr w:rsidR="00E6355E" w:rsidRPr="00392E88" w14:paraId="28F6C434" w14:textId="77777777">
        <w:trPr>
          <w:trHeight w:val="300"/>
        </w:trPr>
        <w:tc>
          <w:tcPr>
            <w:tcW w:w="5360" w:type="dxa"/>
            <w:gridSpan w:val="2"/>
            <w:tcBorders>
              <w:top w:val="single" w:sz="8" w:space="0" w:color="auto"/>
              <w:left w:val="single" w:sz="8" w:space="0" w:color="auto"/>
              <w:bottom w:val="single" w:sz="8" w:space="0" w:color="auto"/>
              <w:right w:val="single" w:sz="8" w:space="0" w:color="auto"/>
            </w:tcBorders>
            <w:vAlign w:val="center"/>
            <w:hideMark/>
          </w:tcPr>
          <w:p w14:paraId="2A121A6D" w14:textId="77777777" w:rsidR="00044D5B" w:rsidRPr="00392E88" w:rsidRDefault="00044D5B">
            <w:pPr>
              <w:spacing w:before="0" w:after="0"/>
              <w:ind w:firstLineChars="100" w:firstLine="160"/>
              <w:jc w:val="left"/>
              <w:rPr>
                <w:color w:val="000000"/>
                <w:sz w:val="16"/>
                <w:szCs w:val="16"/>
              </w:rPr>
            </w:pPr>
            <w:r w:rsidRPr="00392E88">
              <w:rPr>
                <w:color w:val="000000"/>
                <w:sz w:val="16"/>
              </w:rPr>
              <w:t>01 01 01 11 (bezpośrednie badania naukowe)</w:t>
            </w:r>
          </w:p>
        </w:tc>
        <w:tc>
          <w:tcPr>
            <w:tcW w:w="960" w:type="dxa"/>
            <w:tcBorders>
              <w:top w:val="nil"/>
              <w:left w:val="nil"/>
              <w:bottom w:val="single" w:sz="8" w:space="0" w:color="auto"/>
              <w:right w:val="single" w:sz="8" w:space="0" w:color="auto"/>
            </w:tcBorders>
            <w:shd w:val="clear" w:color="000000" w:fill="D9D9D9"/>
            <w:vAlign w:val="center"/>
            <w:hideMark/>
          </w:tcPr>
          <w:p w14:paraId="138C87AA" w14:textId="77777777" w:rsidR="00044D5B" w:rsidRPr="00392E88" w:rsidRDefault="00044D5B">
            <w:pPr>
              <w:spacing w:before="0" w:after="0"/>
              <w:jc w:val="center"/>
              <w:rPr>
                <w:color w:val="000000"/>
                <w:sz w:val="16"/>
                <w:szCs w:val="16"/>
              </w:rPr>
            </w:pPr>
            <w:r w:rsidRPr="00392E88">
              <w:rPr>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113D43DA" w14:textId="77777777" w:rsidR="00044D5B" w:rsidRPr="00392E88" w:rsidRDefault="00044D5B">
            <w:pPr>
              <w:spacing w:before="0" w:after="0"/>
              <w:jc w:val="center"/>
              <w:rPr>
                <w:color w:val="000000"/>
                <w:sz w:val="16"/>
                <w:szCs w:val="16"/>
              </w:rPr>
            </w:pPr>
            <w:r w:rsidRPr="00392E88">
              <w:rPr>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7660B36C" w14:textId="77777777" w:rsidR="00044D5B" w:rsidRPr="00392E88" w:rsidRDefault="00044D5B">
            <w:pPr>
              <w:spacing w:before="0" w:after="0"/>
              <w:jc w:val="center"/>
              <w:rPr>
                <w:color w:val="000000"/>
                <w:sz w:val="16"/>
                <w:szCs w:val="16"/>
              </w:rPr>
            </w:pPr>
            <w:r w:rsidRPr="00392E88">
              <w:rPr>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76D01D08" w14:textId="77777777" w:rsidR="00044D5B" w:rsidRPr="00392E88" w:rsidRDefault="00044D5B">
            <w:pPr>
              <w:spacing w:before="0" w:after="0"/>
              <w:jc w:val="center"/>
              <w:rPr>
                <w:color w:val="000000"/>
                <w:sz w:val="16"/>
                <w:szCs w:val="16"/>
              </w:rPr>
            </w:pPr>
            <w:r w:rsidRPr="00392E88">
              <w:rPr>
                <w:color w:val="000000"/>
                <w:sz w:val="16"/>
              </w:rPr>
              <w:t>0</w:t>
            </w:r>
          </w:p>
        </w:tc>
      </w:tr>
      <w:tr w:rsidR="00E6355E" w:rsidRPr="00392E88" w14:paraId="64757A91" w14:textId="77777777">
        <w:trPr>
          <w:trHeight w:val="300"/>
        </w:trPr>
        <w:tc>
          <w:tcPr>
            <w:tcW w:w="5360" w:type="dxa"/>
            <w:gridSpan w:val="2"/>
            <w:tcBorders>
              <w:top w:val="single" w:sz="8" w:space="0" w:color="auto"/>
              <w:left w:val="single" w:sz="8" w:space="0" w:color="auto"/>
              <w:bottom w:val="single" w:sz="8" w:space="0" w:color="auto"/>
              <w:right w:val="single" w:sz="8" w:space="0" w:color="auto"/>
            </w:tcBorders>
            <w:vAlign w:val="center"/>
            <w:hideMark/>
          </w:tcPr>
          <w:p w14:paraId="1DD1C1F4" w14:textId="77777777" w:rsidR="00044D5B" w:rsidRPr="00392E88" w:rsidRDefault="00044D5B">
            <w:pPr>
              <w:spacing w:before="0" w:after="0"/>
              <w:ind w:firstLineChars="100" w:firstLine="160"/>
              <w:jc w:val="left"/>
              <w:rPr>
                <w:color w:val="000000"/>
                <w:sz w:val="16"/>
                <w:szCs w:val="16"/>
              </w:rPr>
            </w:pPr>
            <w:r w:rsidRPr="00392E88">
              <w:rPr>
                <w:color w:val="000000"/>
                <w:sz w:val="16"/>
              </w:rPr>
              <w:t>Inna linia budżetowa (określić)</w:t>
            </w:r>
          </w:p>
        </w:tc>
        <w:tc>
          <w:tcPr>
            <w:tcW w:w="960" w:type="dxa"/>
            <w:tcBorders>
              <w:top w:val="nil"/>
              <w:left w:val="nil"/>
              <w:bottom w:val="single" w:sz="8" w:space="0" w:color="auto"/>
              <w:right w:val="single" w:sz="8" w:space="0" w:color="auto"/>
            </w:tcBorders>
            <w:shd w:val="clear" w:color="000000" w:fill="D9D9D9"/>
            <w:vAlign w:val="center"/>
            <w:hideMark/>
          </w:tcPr>
          <w:p w14:paraId="130A76EC" w14:textId="77777777" w:rsidR="00044D5B" w:rsidRPr="00392E88" w:rsidRDefault="00044D5B">
            <w:pPr>
              <w:spacing w:before="0" w:after="0"/>
              <w:jc w:val="center"/>
              <w:rPr>
                <w:color w:val="000000"/>
                <w:sz w:val="16"/>
                <w:szCs w:val="16"/>
              </w:rPr>
            </w:pPr>
            <w:r w:rsidRPr="00392E88">
              <w:rPr>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138107F1" w14:textId="77777777" w:rsidR="00044D5B" w:rsidRPr="00392E88" w:rsidRDefault="00044D5B">
            <w:pPr>
              <w:spacing w:before="0" w:after="0"/>
              <w:jc w:val="center"/>
              <w:rPr>
                <w:color w:val="000000"/>
                <w:sz w:val="16"/>
                <w:szCs w:val="16"/>
              </w:rPr>
            </w:pPr>
            <w:r w:rsidRPr="00392E88">
              <w:rPr>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581A519C" w14:textId="77777777" w:rsidR="00044D5B" w:rsidRPr="00392E88" w:rsidRDefault="00044D5B">
            <w:pPr>
              <w:spacing w:before="0" w:after="0"/>
              <w:jc w:val="center"/>
              <w:rPr>
                <w:color w:val="000000"/>
                <w:sz w:val="16"/>
                <w:szCs w:val="16"/>
              </w:rPr>
            </w:pPr>
            <w:r w:rsidRPr="00392E88">
              <w:rPr>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04B9BC32" w14:textId="77777777" w:rsidR="00044D5B" w:rsidRPr="00392E88" w:rsidRDefault="00044D5B">
            <w:pPr>
              <w:spacing w:before="0" w:after="0"/>
              <w:jc w:val="center"/>
              <w:rPr>
                <w:color w:val="000000"/>
                <w:sz w:val="16"/>
                <w:szCs w:val="16"/>
              </w:rPr>
            </w:pPr>
            <w:r w:rsidRPr="00392E88">
              <w:rPr>
                <w:color w:val="000000"/>
                <w:sz w:val="16"/>
              </w:rPr>
              <w:t>0</w:t>
            </w:r>
          </w:p>
        </w:tc>
      </w:tr>
      <w:tr w:rsidR="00C45E62" w:rsidRPr="00392E88" w14:paraId="3BEB511F" w14:textId="77777777">
        <w:trPr>
          <w:trHeight w:val="300"/>
        </w:trPr>
        <w:tc>
          <w:tcPr>
            <w:tcW w:w="9200" w:type="dxa"/>
            <w:gridSpan w:val="6"/>
            <w:tcBorders>
              <w:top w:val="single" w:sz="8" w:space="0" w:color="auto"/>
              <w:left w:val="single" w:sz="8" w:space="0" w:color="auto"/>
              <w:bottom w:val="single" w:sz="8" w:space="0" w:color="auto"/>
              <w:right w:val="single" w:sz="4" w:space="0" w:color="auto"/>
            </w:tcBorders>
            <w:vAlign w:val="center"/>
            <w:hideMark/>
          </w:tcPr>
          <w:p w14:paraId="09EBF38E" w14:textId="77777777" w:rsidR="00044D5B" w:rsidRPr="00392E88" w:rsidRDefault="00044D5B">
            <w:pPr>
              <w:spacing w:before="0" w:after="0"/>
              <w:jc w:val="left"/>
              <w:rPr>
                <w:rFonts w:ascii="Wingdings" w:hAnsi="Wingdings" w:cs="Calibri"/>
                <w:b/>
                <w:bCs/>
                <w:color w:val="000000"/>
                <w:sz w:val="16"/>
                <w:szCs w:val="16"/>
              </w:rPr>
            </w:pPr>
            <w:r w:rsidRPr="00392E88">
              <w:rPr>
                <w:rFonts w:ascii="Calibri" w:hAnsi="Calibri"/>
                <w:b/>
                <w:color w:val="000000"/>
                <w:sz w:val="16"/>
              </w:rPr>
              <w:t>•</w:t>
            </w:r>
            <w:r w:rsidRPr="00392E88">
              <w:rPr>
                <w:b/>
                <w:color w:val="000000"/>
                <w:sz w:val="16"/>
              </w:rPr>
              <w:t xml:space="preserve"> Personel zewnętrzny (w EPC)</w:t>
            </w:r>
          </w:p>
        </w:tc>
      </w:tr>
      <w:tr w:rsidR="00E6355E" w:rsidRPr="00392E88" w14:paraId="61145ADA" w14:textId="77777777">
        <w:trPr>
          <w:trHeight w:val="300"/>
        </w:trPr>
        <w:tc>
          <w:tcPr>
            <w:tcW w:w="5360" w:type="dxa"/>
            <w:gridSpan w:val="2"/>
            <w:tcBorders>
              <w:top w:val="single" w:sz="8" w:space="0" w:color="auto"/>
              <w:left w:val="single" w:sz="8" w:space="0" w:color="auto"/>
              <w:bottom w:val="single" w:sz="8" w:space="0" w:color="auto"/>
              <w:right w:val="single" w:sz="8" w:space="0" w:color="auto"/>
            </w:tcBorders>
            <w:vAlign w:val="center"/>
            <w:hideMark/>
          </w:tcPr>
          <w:p w14:paraId="4D93F77D" w14:textId="12FDB85C" w:rsidR="00044D5B" w:rsidRPr="00392E88" w:rsidRDefault="00044D5B">
            <w:pPr>
              <w:spacing w:before="0" w:after="0"/>
              <w:ind w:firstLineChars="100" w:firstLine="160"/>
              <w:jc w:val="left"/>
              <w:rPr>
                <w:color w:val="000000"/>
                <w:sz w:val="16"/>
                <w:szCs w:val="16"/>
              </w:rPr>
            </w:pPr>
            <w:r w:rsidRPr="00392E88">
              <w:rPr>
                <w:color w:val="000000"/>
                <w:sz w:val="16"/>
              </w:rPr>
              <w:t>20 02 01</w:t>
            </w:r>
            <w:r w:rsidRPr="00392E88">
              <w:rPr>
                <w:rFonts w:ascii="Arial Narrow" w:hAnsi="Arial Narrow"/>
                <w:color w:val="000000"/>
                <w:sz w:val="20"/>
              </w:rPr>
              <w:t xml:space="preserve"> </w:t>
            </w:r>
            <w:r w:rsidRPr="00392E88">
              <w:rPr>
                <w:color w:val="000000"/>
                <w:sz w:val="16"/>
              </w:rPr>
              <w:t>(CA, SNE</w:t>
            </w:r>
            <w:r w:rsidR="006E6446" w:rsidRPr="00392E88">
              <w:rPr>
                <w:color w:val="000000"/>
                <w:sz w:val="16"/>
              </w:rPr>
              <w:t xml:space="preserve"> z</w:t>
            </w:r>
            <w:r w:rsidR="006E6446">
              <w:rPr>
                <w:color w:val="000000"/>
                <w:sz w:val="16"/>
              </w:rPr>
              <w:t> </w:t>
            </w:r>
            <w:r w:rsidR="006E6446" w:rsidRPr="00392E88">
              <w:rPr>
                <w:color w:val="000000"/>
                <w:sz w:val="16"/>
              </w:rPr>
              <w:t>glo</w:t>
            </w:r>
            <w:r w:rsidRPr="00392E88">
              <w:rPr>
                <w:color w:val="000000"/>
                <w:sz w:val="16"/>
              </w:rPr>
              <w:t>balnej koperty finansowej)</w:t>
            </w:r>
          </w:p>
        </w:tc>
        <w:tc>
          <w:tcPr>
            <w:tcW w:w="960" w:type="dxa"/>
            <w:tcBorders>
              <w:top w:val="nil"/>
              <w:left w:val="nil"/>
              <w:bottom w:val="single" w:sz="8" w:space="0" w:color="auto"/>
              <w:right w:val="single" w:sz="8" w:space="0" w:color="auto"/>
            </w:tcBorders>
            <w:shd w:val="clear" w:color="000000" w:fill="D9D9D9"/>
            <w:vAlign w:val="center"/>
            <w:hideMark/>
          </w:tcPr>
          <w:p w14:paraId="408A5F76" w14:textId="77777777" w:rsidR="00044D5B" w:rsidRPr="00392E88" w:rsidRDefault="00044D5B">
            <w:pPr>
              <w:spacing w:before="0" w:after="0"/>
              <w:jc w:val="center"/>
              <w:rPr>
                <w:color w:val="000000"/>
                <w:sz w:val="16"/>
                <w:szCs w:val="16"/>
              </w:rPr>
            </w:pPr>
            <w:r w:rsidRPr="00392E88">
              <w:rPr>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177CFEAC" w14:textId="77777777" w:rsidR="00044D5B" w:rsidRPr="00392E88" w:rsidRDefault="00044D5B">
            <w:pPr>
              <w:spacing w:before="0" w:after="0"/>
              <w:jc w:val="center"/>
              <w:rPr>
                <w:color w:val="000000"/>
                <w:sz w:val="16"/>
                <w:szCs w:val="16"/>
              </w:rPr>
            </w:pPr>
            <w:r w:rsidRPr="00392E88">
              <w:rPr>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3142C6EE" w14:textId="77777777" w:rsidR="00044D5B" w:rsidRPr="00392E88" w:rsidRDefault="00044D5B">
            <w:pPr>
              <w:spacing w:before="0" w:after="0"/>
              <w:jc w:val="center"/>
              <w:rPr>
                <w:color w:val="000000"/>
                <w:sz w:val="16"/>
                <w:szCs w:val="16"/>
              </w:rPr>
            </w:pPr>
            <w:r w:rsidRPr="00392E88">
              <w:rPr>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69D66602" w14:textId="77777777" w:rsidR="00044D5B" w:rsidRPr="00392E88" w:rsidRDefault="00044D5B">
            <w:pPr>
              <w:spacing w:before="0" w:after="0"/>
              <w:jc w:val="center"/>
              <w:rPr>
                <w:color w:val="000000"/>
                <w:sz w:val="16"/>
                <w:szCs w:val="16"/>
              </w:rPr>
            </w:pPr>
            <w:r w:rsidRPr="00392E88">
              <w:rPr>
                <w:color w:val="000000"/>
                <w:sz w:val="16"/>
              </w:rPr>
              <w:t>0</w:t>
            </w:r>
          </w:p>
        </w:tc>
      </w:tr>
      <w:tr w:rsidR="00E6355E" w:rsidRPr="00392E88" w14:paraId="1B428956" w14:textId="77777777">
        <w:trPr>
          <w:trHeight w:val="300"/>
        </w:trPr>
        <w:tc>
          <w:tcPr>
            <w:tcW w:w="5360" w:type="dxa"/>
            <w:gridSpan w:val="2"/>
            <w:tcBorders>
              <w:top w:val="single" w:sz="8" w:space="0" w:color="auto"/>
              <w:left w:val="single" w:sz="8" w:space="0" w:color="auto"/>
              <w:bottom w:val="single" w:sz="8" w:space="0" w:color="auto"/>
              <w:right w:val="single" w:sz="8" w:space="0" w:color="auto"/>
            </w:tcBorders>
            <w:vAlign w:val="center"/>
            <w:hideMark/>
          </w:tcPr>
          <w:p w14:paraId="64EE4E43" w14:textId="62ADECB9" w:rsidR="00044D5B" w:rsidRPr="00392E88" w:rsidRDefault="00044D5B">
            <w:pPr>
              <w:spacing w:before="0" w:after="0"/>
              <w:ind w:firstLineChars="100" w:firstLine="160"/>
              <w:jc w:val="left"/>
              <w:rPr>
                <w:color w:val="000000"/>
                <w:sz w:val="16"/>
                <w:szCs w:val="16"/>
              </w:rPr>
            </w:pPr>
            <w:r w:rsidRPr="00392E88">
              <w:rPr>
                <w:color w:val="000000"/>
                <w:sz w:val="16"/>
              </w:rPr>
              <w:t>20 02 03 (CA, LA, SNE i JPD</w:t>
            </w:r>
            <w:r w:rsidR="006E6446" w:rsidRPr="00392E88">
              <w:rPr>
                <w:color w:val="000000"/>
                <w:sz w:val="16"/>
              </w:rPr>
              <w:t xml:space="preserve"> w</w:t>
            </w:r>
            <w:r w:rsidR="006E6446">
              <w:rPr>
                <w:color w:val="000000"/>
                <w:sz w:val="16"/>
              </w:rPr>
              <w:t> </w:t>
            </w:r>
            <w:r w:rsidR="006E6446" w:rsidRPr="00392E88">
              <w:rPr>
                <w:color w:val="000000"/>
                <w:sz w:val="16"/>
              </w:rPr>
              <w:t>del</w:t>
            </w:r>
            <w:r w:rsidRPr="00392E88">
              <w:rPr>
                <w:color w:val="000000"/>
                <w:sz w:val="16"/>
              </w:rPr>
              <w:t>egaturach UE)</w:t>
            </w:r>
          </w:p>
        </w:tc>
        <w:tc>
          <w:tcPr>
            <w:tcW w:w="960" w:type="dxa"/>
            <w:tcBorders>
              <w:top w:val="nil"/>
              <w:left w:val="nil"/>
              <w:bottom w:val="single" w:sz="8" w:space="0" w:color="auto"/>
              <w:right w:val="single" w:sz="8" w:space="0" w:color="auto"/>
            </w:tcBorders>
            <w:shd w:val="clear" w:color="000000" w:fill="D9D9D9"/>
            <w:vAlign w:val="center"/>
            <w:hideMark/>
          </w:tcPr>
          <w:p w14:paraId="253D3DDA" w14:textId="77777777" w:rsidR="00044D5B" w:rsidRPr="00392E88" w:rsidRDefault="00044D5B">
            <w:pPr>
              <w:spacing w:before="0" w:after="0"/>
              <w:jc w:val="center"/>
              <w:rPr>
                <w:color w:val="000000"/>
                <w:sz w:val="16"/>
                <w:szCs w:val="16"/>
              </w:rPr>
            </w:pPr>
            <w:r w:rsidRPr="00392E88">
              <w:rPr>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397AA20C" w14:textId="77777777" w:rsidR="00044D5B" w:rsidRPr="00392E88" w:rsidRDefault="00044D5B">
            <w:pPr>
              <w:spacing w:before="0" w:after="0"/>
              <w:jc w:val="center"/>
              <w:rPr>
                <w:color w:val="000000"/>
                <w:sz w:val="16"/>
                <w:szCs w:val="16"/>
              </w:rPr>
            </w:pPr>
            <w:r w:rsidRPr="00392E88">
              <w:rPr>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30A775A3" w14:textId="77777777" w:rsidR="00044D5B" w:rsidRPr="00392E88" w:rsidRDefault="00044D5B">
            <w:pPr>
              <w:spacing w:before="0" w:after="0"/>
              <w:jc w:val="center"/>
              <w:rPr>
                <w:color w:val="000000"/>
                <w:sz w:val="16"/>
                <w:szCs w:val="16"/>
              </w:rPr>
            </w:pPr>
            <w:r w:rsidRPr="00392E88">
              <w:rPr>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2358A870" w14:textId="77777777" w:rsidR="00044D5B" w:rsidRPr="00392E88" w:rsidRDefault="00044D5B">
            <w:pPr>
              <w:spacing w:before="0" w:after="0"/>
              <w:jc w:val="center"/>
              <w:rPr>
                <w:color w:val="000000"/>
                <w:sz w:val="16"/>
                <w:szCs w:val="16"/>
              </w:rPr>
            </w:pPr>
            <w:r w:rsidRPr="00392E88">
              <w:rPr>
                <w:color w:val="000000"/>
                <w:sz w:val="16"/>
              </w:rPr>
              <w:t>0</w:t>
            </w:r>
          </w:p>
        </w:tc>
      </w:tr>
      <w:tr w:rsidR="00E62D64" w:rsidRPr="00392E88" w14:paraId="2AB3E6D3" w14:textId="77777777">
        <w:trPr>
          <w:trHeight w:val="300"/>
        </w:trPr>
        <w:tc>
          <w:tcPr>
            <w:tcW w:w="1500" w:type="dxa"/>
            <w:vMerge w:val="restart"/>
            <w:tcBorders>
              <w:top w:val="nil"/>
              <w:left w:val="single" w:sz="8" w:space="0" w:color="auto"/>
              <w:bottom w:val="single" w:sz="8" w:space="0" w:color="auto"/>
              <w:right w:val="single" w:sz="8" w:space="0" w:color="auto"/>
            </w:tcBorders>
            <w:vAlign w:val="center"/>
            <w:hideMark/>
          </w:tcPr>
          <w:p w14:paraId="629B6801" w14:textId="07BE8C17" w:rsidR="00044D5B" w:rsidRPr="00392E88" w:rsidRDefault="00044D5B">
            <w:pPr>
              <w:spacing w:before="0" w:after="0"/>
              <w:jc w:val="center"/>
              <w:rPr>
                <w:color w:val="000000"/>
                <w:sz w:val="16"/>
                <w:szCs w:val="16"/>
              </w:rPr>
            </w:pPr>
            <w:r w:rsidRPr="00392E88">
              <w:rPr>
                <w:color w:val="000000"/>
                <w:sz w:val="16"/>
              </w:rPr>
              <w:t>Linia budżetowa na wsparcie adm</w:t>
            </w:r>
            <w:r w:rsidRPr="006E6446">
              <w:rPr>
                <w:color w:val="000000"/>
                <w:sz w:val="16"/>
              </w:rPr>
              <w:t>.</w:t>
            </w:r>
            <w:r w:rsidR="006E6446" w:rsidRPr="006E6446">
              <w:rPr>
                <w:color w:val="000000"/>
                <w:sz w:val="16"/>
              </w:rPr>
              <w:t xml:space="preserve"> </w:t>
            </w:r>
            <w:r w:rsidRPr="006E6446">
              <w:br/>
            </w:r>
            <w:r w:rsidRPr="00392E88">
              <w:rPr>
                <w:color w:val="000000"/>
                <w:sz w:val="16"/>
              </w:rPr>
              <w:t>[XX.01.YY.YY]</w:t>
            </w:r>
          </w:p>
        </w:tc>
        <w:tc>
          <w:tcPr>
            <w:tcW w:w="3860" w:type="dxa"/>
            <w:tcBorders>
              <w:top w:val="nil"/>
              <w:left w:val="nil"/>
              <w:bottom w:val="single" w:sz="8" w:space="0" w:color="auto"/>
              <w:right w:val="single" w:sz="8" w:space="0" w:color="auto"/>
            </w:tcBorders>
            <w:vAlign w:val="center"/>
            <w:hideMark/>
          </w:tcPr>
          <w:p w14:paraId="7EF1DE4D" w14:textId="3F23F5BB" w:rsidR="00044D5B" w:rsidRPr="00392E88" w:rsidRDefault="00044D5B">
            <w:pPr>
              <w:spacing w:before="0" w:after="0"/>
              <w:ind w:firstLineChars="100" w:firstLine="160"/>
              <w:jc w:val="left"/>
              <w:rPr>
                <w:color w:val="000000"/>
                <w:sz w:val="16"/>
                <w:szCs w:val="16"/>
              </w:rPr>
            </w:pPr>
            <w:r w:rsidRPr="00392E88">
              <w:rPr>
                <w:color w:val="000000"/>
                <w:sz w:val="16"/>
              </w:rPr>
              <w:t>-</w:t>
            </w:r>
            <w:r w:rsidR="006E6446" w:rsidRPr="00392E88">
              <w:rPr>
                <w:color w:val="000000"/>
                <w:sz w:val="16"/>
              </w:rPr>
              <w:t xml:space="preserve"> w</w:t>
            </w:r>
            <w:r w:rsidR="006E6446">
              <w:rPr>
                <w:color w:val="000000"/>
                <w:sz w:val="16"/>
              </w:rPr>
              <w:t> </w:t>
            </w:r>
            <w:r w:rsidR="006E6446" w:rsidRPr="00392E88">
              <w:rPr>
                <w:color w:val="000000"/>
                <w:sz w:val="16"/>
              </w:rPr>
              <w:t>cen</w:t>
            </w:r>
            <w:r w:rsidRPr="00392E88">
              <w:rPr>
                <w:color w:val="000000"/>
                <w:sz w:val="16"/>
              </w:rPr>
              <w:t>trali</w:t>
            </w:r>
          </w:p>
        </w:tc>
        <w:tc>
          <w:tcPr>
            <w:tcW w:w="960" w:type="dxa"/>
            <w:tcBorders>
              <w:top w:val="nil"/>
              <w:left w:val="nil"/>
              <w:bottom w:val="single" w:sz="8" w:space="0" w:color="auto"/>
              <w:right w:val="single" w:sz="8" w:space="0" w:color="auto"/>
            </w:tcBorders>
            <w:shd w:val="clear" w:color="000000" w:fill="D9D9D9"/>
            <w:vAlign w:val="center"/>
            <w:hideMark/>
          </w:tcPr>
          <w:p w14:paraId="1FEA3E6A" w14:textId="77777777" w:rsidR="00044D5B" w:rsidRPr="00392E88" w:rsidRDefault="00044D5B">
            <w:pPr>
              <w:spacing w:before="0" w:after="0"/>
              <w:jc w:val="center"/>
              <w:rPr>
                <w:color w:val="000000"/>
                <w:sz w:val="16"/>
                <w:szCs w:val="16"/>
              </w:rPr>
            </w:pPr>
            <w:r w:rsidRPr="00392E88">
              <w:rPr>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78692785" w14:textId="77777777" w:rsidR="00044D5B" w:rsidRPr="00392E88" w:rsidRDefault="00044D5B">
            <w:pPr>
              <w:spacing w:before="0" w:after="0"/>
              <w:jc w:val="center"/>
              <w:rPr>
                <w:color w:val="000000"/>
                <w:sz w:val="16"/>
                <w:szCs w:val="16"/>
              </w:rPr>
            </w:pPr>
            <w:r w:rsidRPr="00392E88">
              <w:rPr>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751E104D" w14:textId="77777777" w:rsidR="00044D5B" w:rsidRPr="00392E88" w:rsidRDefault="00044D5B">
            <w:pPr>
              <w:spacing w:before="0" w:after="0"/>
              <w:jc w:val="center"/>
              <w:rPr>
                <w:color w:val="000000"/>
                <w:sz w:val="16"/>
                <w:szCs w:val="16"/>
              </w:rPr>
            </w:pPr>
            <w:r w:rsidRPr="00392E88">
              <w:rPr>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1D6444E6" w14:textId="77777777" w:rsidR="00044D5B" w:rsidRPr="00392E88" w:rsidRDefault="00044D5B">
            <w:pPr>
              <w:spacing w:before="0" w:after="0"/>
              <w:jc w:val="center"/>
              <w:rPr>
                <w:color w:val="000000"/>
                <w:sz w:val="16"/>
                <w:szCs w:val="16"/>
              </w:rPr>
            </w:pPr>
            <w:r w:rsidRPr="00392E88">
              <w:rPr>
                <w:color w:val="000000"/>
                <w:sz w:val="16"/>
              </w:rPr>
              <w:t>0</w:t>
            </w:r>
          </w:p>
        </w:tc>
      </w:tr>
      <w:tr w:rsidR="00E62D64" w:rsidRPr="00392E88" w14:paraId="26E33111" w14:textId="77777777">
        <w:trPr>
          <w:trHeight w:val="300"/>
        </w:trPr>
        <w:tc>
          <w:tcPr>
            <w:tcW w:w="1500" w:type="dxa"/>
            <w:vMerge/>
            <w:tcBorders>
              <w:top w:val="nil"/>
              <w:left w:val="single" w:sz="8" w:space="0" w:color="auto"/>
              <w:bottom w:val="single" w:sz="8" w:space="0" w:color="auto"/>
              <w:right w:val="single" w:sz="8" w:space="0" w:color="auto"/>
            </w:tcBorders>
            <w:vAlign w:val="center"/>
            <w:hideMark/>
          </w:tcPr>
          <w:p w14:paraId="52AAFA21" w14:textId="77777777" w:rsidR="00044D5B" w:rsidRPr="00392E88" w:rsidRDefault="00044D5B">
            <w:pPr>
              <w:spacing w:before="0" w:after="0"/>
              <w:jc w:val="left"/>
              <w:rPr>
                <w:color w:val="000000"/>
                <w:sz w:val="16"/>
                <w:szCs w:val="16"/>
                <w:lang w:eastAsia="en-IE"/>
              </w:rPr>
            </w:pPr>
          </w:p>
        </w:tc>
        <w:tc>
          <w:tcPr>
            <w:tcW w:w="3860" w:type="dxa"/>
            <w:tcBorders>
              <w:top w:val="nil"/>
              <w:left w:val="nil"/>
              <w:bottom w:val="single" w:sz="8" w:space="0" w:color="auto"/>
              <w:right w:val="single" w:sz="8" w:space="0" w:color="auto"/>
            </w:tcBorders>
            <w:vAlign w:val="center"/>
            <w:hideMark/>
          </w:tcPr>
          <w:p w14:paraId="044A96CA" w14:textId="07C3F659" w:rsidR="00044D5B" w:rsidRPr="00392E88" w:rsidRDefault="00044D5B">
            <w:pPr>
              <w:spacing w:before="0" w:after="0"/>
              <w:ind w:firstLineChars="100" w:firstLine="160"/>
              <w:jc w:val="left"/>
              <w:rPr>
                <w:color w:val="000000"/>
                <w:sz w:val="16"/>
                <w:szCs w:val="16"/>
              </w:rPr>
            </w:pPr>
            <w:r w:rsidRPr="00392E88">
              <w:rPr>
                <w:color w:val="000000"/>
                <w:sz w:val="16"/>
              </w:rPr>
              <w:t>-</w:t>
            </w:r>
            <w:r w:rsidR="006E6446" w:rsidRPr="00392E88">
              <w:rPr>
                <w:color w:val="000000"/>
                <w:sz w:val="16"/>
              </w:rPr>
              <w:t xml:space="preserve"> w</w:t>
            </w:r>
            <w:r w:rsidR="006E6446">
              <w:rPr>
                <w:color w:val="000000"/>
                <w:sz w:val="16"/>
              </w:rPr>
              <w:t> </w:t>
            </w:r>
            <w:r w:rsidR="006E6446" w:rsidRPr="00392E88">
              <w:rPr>
                <w:color w:val="000000"/>
                <w:sz w:val="16"/>
              </w:rPr>
              <w:t>del</w:t>
            </w:r>
            <w:r w:rsidRPr="00392E88">
              <w:rPr>
                <w:color w:val="000000"/>
                <w:sz w:val="16"/>
              </w:rPr>
              <w:t xml:space="preserve">egaturach UE </w:t>
            </w:r>
          </w:p>
        </w:tc>
        <w:tc>
          <w:tcPr>
            <w:tcW w:w="960" w:type="dxa"/>
            <w:tcBorders>
              <w:top w:val="nil"/>
              <w:left w:val="nil"/>
              <w:bottom w:val="single" w:sz="8" w:space="0" w:color="auto"/>
              <w:right w:val="single" w:sz="8" w:space="0" w:color="auto"/>
            </w:tcBorders>
            <w:shd w:val="clear" w:color="000000" w:fill="D9D9D9"/>
            <w:vAlign w:val="center"/>
            <w:hideMark/>
          </w:tcPr>
          <w:p w14:paraId="3C876BD8" w14:textId="77777777" w:rsidR="00044D5B" w:rsidRPr="00392E88" w:rsidRDefault="00044D5B">
            <w:pPr>
              <w:spacing w:before="0" w:after="0"/>
              <w:jc w:val="center"/>
              <w:rPr>
                <w:color w:val="000000"/>
                <w:sz w:val="16"/>
                <w:szCs w:val="16"/>
              </w:rPr>
            </w:pPr>
            <w:r w:rsidRPr="00392E88">
              <w:rPr>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32411A9B" w14:textId="77777777" w:rsidR="00044D5B" w:rsidRPr="00392E88" w:rsidRDefault="00044D5B">
            <w:pPr>
              <w:spacing w:before="0" w:after="0"/>
              <w:jc w:val="center"/>
              <w:rPr>
                <w:color w:val="000000"/>
                <w:sz w:val="16"/>
                <w:szCs w:val="16"/>
              </w:rPr>
            </w:pPr>
            <w:r w:rsidRPr="00392E88">
              <w:rPr>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06A67DAF" w14:textId="77777777" w:rsidR="00044D5B" w:rsidRPr="00392E88" w:rsidRDefault="00044D5B">
            <w:pPr>
              <w:spacing w:before="0" w:after="0"/>
              <w:jc w:val="center"/>
              <w:rPr>
                <w:color w:val="000000"/>
                <w:sz w:val="16"/>
                <w:szCs w:val="16"/>
              </w:rPr>
            </w:pPr>
            <w:r w:rsidRPr="00392E88">
              <w:rPr>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3C306017" w14:textId="77777777" w:rsidR="00044D5B" w:rsidRPr="00392E88" w:rsidRDefault="00044D5B">
            <w:pPr>
              <w:spacing w:before="0" w:after="0"/>
              <w:jc w:val="center"/>
              <w:rPr>
                <w:color w:val="000000"/>
                <w:sz w:val="16"/>
                <w:szCs w:val="16"/>
              </w:rPr>
            </w:pPr>
            <w:r w:rsidRPr="00392E88">
              <w:rPr>
                <w:color w:val="000000"/>
                <w:sz w:val="16"/>
              </w:rPr>
              <w:t>0</w:t>
            </w:r>
          </w:p>
        </w:tc>
      </w:tr>
      <w:tr w:rsidR="00E6355E" w:rsidRPr="00392E88" w14:paraId="20C26393" w14:textId="77777777">
        <w:trPr>
          <w:trHeight w:val="300"/>
        </w:trPr>
        <w:tc>
          <w:tcPr>
            <w:tcW w:w="5360" w:type="dxa"/>
            <w:gridSpan w:val="2"/>
            <w:tcBorders>
              <w:top w:val="single" w:sz="8" w:space="0" w:color="auto"/>
              <w:left w:val="single" w:sz="8" w:space="0" w:color="auto"/>
              <w:bottom w:val="single" w:sz="8" w:space="0" w:color="auto"/>
              <w:right w:val="single" w:sz="8" w:space="0" w:color="auto"/>
            </w:tcBorders>
            <w:vAlign w:val="center"/>
            <w:hideMark/>
          </w:tcPr>
          <w:p w14:paraId="74DE236D" w14:textId="77777777" w:rsidR="00044D5B" w:rsidRPr="00392E88" w:rsidRDefault="00044D5B">
            <w:pPr>
              <w:spacing w:before="0" w:after="0"/>
              <w:ind w:firstLineChars="100" w:firstLine="160"/>
              <w:jc w:val="left"/>
              <w:rPr>
                <w:color w:val="000000"/>
                <w:sz w:val="16"/>
                <w:szCs w:val="16"/>
              </w:rPr>
            </w:pPr>
            <w:r w:rsidRPr="00392E88">
              <w:rPr>
                <w:color w:val="000000"/>
                <w:sz w:val="16"/>
              </w:rPr>
              <w:t>01 01 01 02</w:t>
            </w:r>
            <w:r w:rsidRPr="00392E88">
              <w:rPr>
                <w:rFonts w:ascii="Arial Narrow" w:hAnsi="Arial Narrow"/>
                <w:color w:val="000000"/>
                <w:sz w:val="20"/>
              </w:rPr>
              <w:t xml:space="preserve"> </w:t>
            </w:r>
            <w:r w:rsidRPr="00392E88">
              <w:rPr>
                <w:color w:val="000000"/>
                <w:sz w:val="16"/>
              </w:rPr>
              <w:t>(CA, SNE – pośrednie badania naukowe)</w:t>
            </w:r>
          </w:p>
        </w:tc>
        <w:tc>
          <w:tcPr>
            <w:tcW w:w="960" w:type="dxa"/>
            <w:tcBorders>
              <w:top w:val="nil"/>
              <w:left w:val="nil"/>
              <w:bottom w:val="single" w:sz="8" w:space="0" w:color="auto"/>
              <w:right w:val="single" w:sz="8" w:space="0" w:color="auto"/>
            </w:tcBorders>
            <w:shd w:val="clear" w:color="000000" w:fill="D9D9D9"/>
            <w:vAlign w:val="center"/>
            <w:hideMark/>
          </w:tcPr>
          <w:p w14:paraId="09020D07" w14:textId="77777777" w:rsidR="00044D5B" w:rsidRPr="00392E88" w:rsidRDefault="00044D5B">
            <w:pPr>
              <w:spacing w:before="0" w:after="0"/>
              <w:jc w:val="center"/>
              <w:rPr>
                <w:color w:val="000000"/>
                <w:sz w:val="16"/>
                <w:szCs w:val="16"/>
              </w:rPr>
            </w:pPr>
            <w:r w:rsidRPr="00392E88">
              <w:rPr>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2EBA85E8" w14:textId="77777777" w:rsidR="00044D5B" w:rsidRPr="00392E88" w:rsidRDefault="00044D5B">
            <w:pPr>
              <w:spacing w:before="0" w:after="0"/>
              <w:jc w:val="center"/>
              <w:rPr>
                <w:color w:val="000000"/>
                <w:sz w:val="16"/>
                <w:szCs w:val="16"/>
              </w:rPr>
            </w:pPr>
            <w:r w:rsidRPr="00392E88">
              <w:rPr>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44AFF03F" w14:textId="77777777" w:rsidR="00044D5B" w:rsidRPr="00392E88" w:rsidRDefault="00044D5B">
            <w:pPr>
              <w:spacing w:before="0" w:after="0"/>
              <w:jc w:val="center"/>
              <w:rPr>
                <w:color w:val="000000"/>
                <w:sz w:val="16"/>
                <w:szCs w:val="16"/>
              </w:rPr>
            </w:pPr>
            <w:r w:rsidRPr="00392E88">
              <w:rPr>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2CA067FF" w14:textId="77777777" w:rsidR="00044D5B" w:rsidRPr="00392E88" w:rsidRDefault="00044D5B">
            <w:pPr>
              <w:spacing w:before="0" w:after="0"/>
              <w:jc w:val="center"/>
              <w:rPr>
                <w:color w:val="000000"/>
                <w:sz w:val="16"/>
                <w:szCs w:val="16"/>
              </w:rPr>
            </w:pPr>
            <w:r w:rsidRPr="00392E88">
              <w:rPr>
                <w:color w:val="000000"/>
                <w:sz w:val="16"/>
              </w:rPr>
              <w:t>0</w:t>
            </w:r>
          </w:p>
        </w:tc>
      </w:tr>
      <w:tr w:rsidR="00E6355E" w:rsidRPr="00392E88" w14:paraId="62AAC5F6" w14:textId="77777777">
        <w:trPr>
          <w:trHeight w:val="300"/>
        </w:trPr>
        <w:tc>
          <w:tcPr>
            <w:tcW w:w="5360" w:type="dxa"/>
            <w:gridSpan w:val="2"/>
            <w:tcBorders>
              <w:top w:val="single" w:sz="8" w:space="0" w:color="auto"/>
              <w:left w:val="single" w:sz="8" w:space="0" w:color="auto"/>
              <w:bottom w:val="single" w:sz="8" w:space="0" w:color="auto"/>
              <w:right w:val="single" w:sz="8" w:space="0" w:color="auto"/>
            </w:tcBorders>
            <w:vAlign w:val="center"/>
            <w:hideMark/>
          </w:tcPr>
          <w:p w14:paraId="5C72D23F" w14:textId="77777777" w:rsidR="00044D5B" w:rsidRPr="00392E88" w:rsidRDefault="00044D5B">
            <w:pPr>
              <w:spacing w:before="0" w:after="0"/>
              <w:ind w:firstLineChars="100" w:firstLine="160"/>
              <w:jc w:val="left"/>
              <w:rPr>
                <w:color w:val="000000"/>
                <w:sz w:val="16"/>
                <w:szCs w:val="16"/>
              </w:rPr>
            </w:pPr>
            <w:r w:rsidRPr="00392E88">
              <w:rPr>
                <w:color w:val="000000"/>
                <w:sz w:val="16"/>
              </w:rPr>
              <w:t xml:space="preserve"> 01 01 01 12 (CA, SNE – bezpośrednie badania naukowe)</w:t>
            </w:r>
          </w:p>
        </w:tc>
        <w:tc>
          <w:tcPr>
            <w:tcW w:w="960" w:type="dxa"/>
            <w:tcBorders>
              <w:top w:val="nil"/>
              <w:left w:val="nil"/>
              <w:bottom w:val="single" w:sz="8" w:space="0" w:color="auto"/>
              <w:right w:val="single" w:sz="8" w:space="0" w:color="auto"/>
            </w:tcBorders>
            <w:shd w:val="clear" w:color="000000" w:fill="D9D9D9"/>
            <w:vAlign w:val="center"/>
            <w:hideMark/>
          </w:tcPr>
          <w:p w14:paraId="3BF89E8B" w14:textId="77777777" w:rsidR="00044D5B" w:rsidRPr="00392E88" w:rsidRDefault="00044D5B">
            <w:pPr>
              <w:spacing w:before="0" w:after="0"/>
              <w:jc w:val="center"/>
              <w:rPr>
                <w:color w:val="000000"/>
                <w:sz w:val="16"/>
                <w:szCs w:val="16"/>
              </w:rPr>
            </w:pPr>
            <w:r w:rsidRPr="00392E88">
              <w:rPr>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4BE7044D" w14:textId="77777777" w:rsidR="00044D5B" w:rsidRPr="00392E88" w:rsidRDefault="00044D5B">
            <w:pPr>
              <w:spacing w:before="0" w:after="0"/>
              <w:jc w:val="center"/>
              <w:rPr>
                <w:color w:val="000000"/>
                <w:sz w:val="16"/>
                <w:szCs w:val="16"/>
              </w:rPr>
            </w:pPr>
            <w:r w:rsidRPr="00392E88">
              <w:rPr>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789CD496" w14:textId="77777777" w:rsidR="00044D5B" w:rsidRPr="00392E88" w:rsidRDefault="00044D5B">
            <w:pPr>
              <w:spacing w:before="0" w:after="0"/>
              <w:jc w:val="center"/>
              <w:rPr>
                <w:color w:val="000000"/>
                <w:sz w:val="16"/>
                <w:szCs w:val="16"/>
              </w:rPr>
            </w:pPr>
            <w:r w:rsidRPr="00392E88">
              <w:rPr>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33947DCC" w14:textId="77777777" w:rsidR="00044D5B" w:rsidRPr="00392E88" w:rsidRDefault="00044D5B">
            <w:pPr>
              <w:spacing w:before="0" w:after="0"/>
              <w:jc w:val="center"/>
              <w:rPr>
                <w:color w:val="000000"/>
                <w:sz w:val="16"/>
                <w:szCs w:val="16"/>
              </w:rPr>
            </w:pPr>
            <w:r w:rsidRPr="00392E88">
              <w:rPr>
                <w:color w:val="000000"/>
                <w:sz w:val="16"/>
              </w:rPr>
              <w:t>0</w:t>
            </w:r>
          </w:p>
        </w:tc>
      </w:tr>
      <w:tr w:rsidR="00E6355E" w:rsidRPr="00392E88" w14:paraId="39902516" w14:textId="77777777">
        <w:trPr>
          <w:trHeight w:val="300"/>
        </w:trPr>
        <w:tc>
          <w:tcPr>
            <w:tcW w:w="5360" w:type="dxa"/>
            <w:gridSpan w:val="2"/>
            <w:tcBorders>
              <w:top w:val="single" w:sz="8" w:space="0" w:color="auto"/>
              <w:left w:val="single" w:sz="8" w:space="0" w:color="auto"/>
              <w:bottom w:val="single" w:sz="8" w:space="0" w:color="auto"/>
              <w:right w:val="single" w:sz="8" w:space="0" w:color="auto"/>
            </w:tcBorders>
            <w:vAlign w:val="center"/>
            <w:hideMark/>
          </w:tcPr>
          <w:p w14:paraId="4C7959D0" w14:textId="77777777" w:rsidR="00044D5B" w:rsidRPr="00392E88" w:rsidRDefault="00044D5B">
            <w:pPr>
              <w:spacing w:before="0" w:after="0"/>
              <w:ind w:firstLineChars="100" w:firstLine="160"/>
              <w:jc w:val="left"/>
              <w:rPr>
                <w:color w:val="000000"/>
                <w:sz w:val="16"/>
                <w:szCs w:val="16"/>
              </w:rPr>
            </w:pPr>
            <w:r w:rsidRPr="00392E88">
              <w:rPr>
                <w:color w:val="000000"/>
                <w:sz w:val="16"/>
              </w:rPr>
              <w:t>Inna linia budżetowa (określić) – dział 7</w:t>
            </w:r>
          </w:p>
        </w:tc>
        <w:tc>
          <w:tcPr>
            <w:tcW w:w="960" w:type="dxa"/>
            <w:tcBorders>
              <w:top w:val="nil"/>
              <w:left w:val="nil"/>
              <w:bottom w:val="single" w:sz="8" w:space="0" w:color="auto"/>
              <w:right w:val="single" w:sz="8" w:space="0" w:color="auto"/>
            </w:tcBorders>
            <w:shd w:val="clear" w:color="000000" w:fill="D9D9D9"/>
            <w:vAlign w:val="center"/>
            <w:hideMark/>
          </w:tcPr>
          <w:p w14:paraId="66776C88" w14:textId="77777777" w:rsidR="00044D5B" w:rsidRPr="00392E88" w:rsidRDefault="00044D5B">
            <w:pPr>
              <w:spacing w:before="0" w:after="0"/>
              <w:jc w:val="center"/>
              <w:rPr>
                <w:color w:val="000000"/>
                <w:sz w:val="16"/>
                <w:szCs w:val="16"/>
              </w:rPr>
            </w:pPr>
            <w:r w:rsidRPr="00392E88">
              <w:rPr>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0E8B93CC" w14:textId="77777777" w:rsidR="00044D5B" w:rsidRPr="00392E88" w:rsidRDefault="00044D5B">
            <w:pPr>
              <w:spacing w:before="0" w:after="0"/>
              <w:jc w:val="center"/>
              <w:rPr>
                <w:color w:val="000000"/>
                <w:sz w:val="16"/>
                <w:szCs w:val="16"/>
              </w:rPr>
            </w:pPr>
            <w:r w:rsidRPr="00392E88">
              <w:rPr>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1BB1AC4A" w14:textId="77777777" w:rsidR="00044D5B" w:rsidRPr="00392E88" w:rsidRDefault="00044D5B">
            <w:pPr>
              <w:spacing w:before="0" w:after="0"/>
              <w:jc w:val="center"/>
              <w:rPr>
                <w:color w:val="000000"/>
                <w:sz w:val="16"/>
                <w:szCs w:val="16"/>
              </w:rPr>
            </w:pPr>
            <w:r w:rsidRPr="00392E88">
              <w:rPr>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0A2B48AF" w14:textId="77777777" w:rsidR="00044D5B" w:rsidRPr="00392E88" w:rsidRDefault="00044D5B">
            <w:pPr>
              <w:spacing w:before="0" w:after="0"/>
              <w:jc w:val="center"/>
              <w:rPr>
                <w:color w:val="000000"/>
                <w:sz w:val="16"/>
                <w:szCs w:val="16"/>
              </w:rPr>
            </w:pPr>
            <w:r w:rsidRPr="00392E88">
              <w:rPr>
                <w:color w:val="000000"/>
                <w:sz w:val="16"/>
              </w:rPr>
              <w:t>0</w:t>
            </w:r>
          </w:p>
        </w:tc>
      </w:tr>
      <w:tr w:rsidR="00E6355E" w:rsidRPr="00392E88" w14:paraId="0B194793" w14:textId="77777777">
        <w:trPr>
          <w:trHeight w:val="300"/>
        </w:trPr>
        <w:tc>
          <w:tcPr>
            <w:tcW w:w="5360" w:type="dxa"/>
            <w:gridSpan w:val="2"/>
            <w:tcBorders>
              <w:top w:val="single" w:sz="8" w:space="0" w:color="auto"/>
              <w:left w:val="single" w:sz="8" w:space="0" w:color="auto"/>
              <w:bottom w:val="single" w:sz="8" w:space="0" w:color="auto"/>
              <w:right w:val="single" w:sz="8" w:space="0" w:color="auto"/>
            </w:tcBorders>
            <w:vAlign w:val="center"/>
            <w:hideMark/>
          </w:tcPr>
          <w:p w14:paraId="69EB89B7" w14:textId="77777777" w:rsidR="00044D5B" w:rsidRPr="00392E88" w:rsidRDefault="00044D5B">
            <w:pPr>
              <w:spacing w:before="0" w:after="0"/>
              <w:ind w:firstLineChars="100" w:firstLine="160"/>
              <w:jc w:val="left"/>
              <w:rPr>
                <w:color w:val="000000"/>
                <w:sz w:val="16"/>
                <w:szCs w:val="16"/>
              </w:rPr>
            </w:pPr>
            <w:r w:rsidRPr="00392E88">
              <w:rPr>
                <w:color w:val="000000"/>
                <w:sz w:val="16"/>
              </w:rPr>
              <w:t>Inna linia budżetowa (określić) – poza działem 7</w:t>
            </w:r>
          </w:p>
        </w:tc>
        <w:tc>
          <w:tcPr>
            <w:tcW w:w="960" w:type="dxa"/>
            <w:tcBorders>
              <w:top w:val="nil"/>
              <w:left w:val="nil"/>
              <w:bottom w:val="single" w:sz="8" w:space="0" w:color="auto"/>
              <w:right w:val="single" w:sz="8" w:space="0" w:color="auto"/>
            </w:tcBorders>
            <w:shd w:val="clear" w:color="000000" w:fill="D9D9D9"/>
            <w:vAlign w:val="center"/>
            <w:hideMark/>
          </w:tcPr>
          <w:p w14:paraId="0C0F31B0" w14:textId="77777777" w:rsidR="00044D5B" w:rsidRPr="00392E88" w:rsidRDefault="00044D5B">
            <w:pPr>
              <w:spacing w:before="0" w:after="0"/>
              <w:jc w:val="center"/>
              <w:rPr>
                <w:color w:val="000000"/>
                <w:sz w:val="16"/>
                <w:szCs w:val="16"/>
              </w:rPr>
            </w:pPr>
            <w:r w:rsidRPr="00392E88">
              <w:rPr>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3DF1D83F" w14:textId="77777777" w:rsidR="00044D5B" w:rsidRPr="00392E88" w:rsidRDefault="00044D5B">
            <w:pPr>
              <w:spacing w:before="0" w:after="0"/>
              <w:jc w:val="center"/>
              <w:rPr>
                <w:color w:val="000000"/>
                <w:sz w:val="16"/>
                <w:szCs w:val="16"/>
              </w:rPr>
            </w:pPr>
            <w:r w:rsidRPr="00392E88">
              <w:rPr>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0201C248" w14:textId="77777777" w:rsidR="00044D5B" w:rsidRPr="00392E88" w:rsidRDefault="00044D5B">
            <w:pPr>
              <w:spacing w:before="0" w:after="0"/>
              <w:jc w:val="center"/>
              <w:rPr>
                <w:color w:val="000000"/>
                <w:sz w:val="16"/>
                <w:szCs w:val="16"/>
              </w:rPr>
            </w:pPr>
            <w:r w:rsidRPr="00392E88">
              <w:rPr>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1886EC05" w14:textId="77777777" w:rsidR="00044D5B" w:rsidRPr="00392E88" w:rsidRDefault="00044D5B">
            <w:pPr>
              <w:spacing w:before="0" w:after="0"/>
              <w:jc w:val="center"/>
              <w:rPr>
                <w:color w:val="000000"/>
                <w:sz w:val="16"/>
                <w:szCs w:val="16"/>
              </w:rPr>
            </w:pPr>
            <w:r w:rsidRPr="00392E88">
              <w:rPr>
                <w:color w:val="000000"/>
                <w:sz w:val="16"/>
              </w:rPr>
              <w:t>0</w:t>
            </w:r>
          </w:p>
        </w:tc>
      </w:tr>
      <w:tr w:rsidR="00E6355E" w:rsidRPr="00392E88" w14:paraId="14D86EC9" w14:textId="77777777">
        <w:trPr>
          <w:trHeight w:val="300"/>
        </w:trPr>
        <w:tc>
          <w:tcPr>
            <w:tcW w:w="5360" w:type="dxa"/>
            <w:gridSpan w:val="2"/>
            <w:tcBorders>
              <w:top w:val="single" w:sz="8" w:space="0" w:color="auto"/>
              <w:left w:val="single" w:sz="8" w:space="0" w:color="auto"/>
              <w:bottom w:val="single" w:sz="8" w:space="0" w:color="auto"/>
              <w:right w:val="single" w:sz="8" w:space="0" w:color="auto"/>
            </w:tcBorders>
            <w:vAlign w:val="center"/>
            <w:hideMark/>
          </w:tcPr>
          <w:p w14:paraId="63DB8F04" w14:textId="77777777" w:rsidR="00044D5B" w:rsidRPr="00392E88" w:rsidRDefault="00044D5B">
            <w:pPr>
              <w:spacing w:before="0" w:after="0"/>
              <w:ind w:firstLineChars="100" w:firstLine="161"/>
              <w:jc w:val="left"/>
              <w:rPr>
                <w:b/>
                <w:bCs/>
                <w:color w:val="000000"/>
                <w:sz w:val="16"/>
                <w:szCs w:val="16"/>
              </w:rPr>
            </w:pPr>
            <w:r w:rsidRPr="00392E88">
              <w:rPr>
                <w:b/>
                <w:color w:val="000000"/>
                <w:sz w:val="16"/>
              </w:rPr>
              <w:t>OGÓŁEM</w:t>
            </w:r>
          </w:p>
        </w:tc>
        <w:tc>
          <w:tcPr>
            <w:tcW w:w="960" w:type="dxa"/>
            <w:tcBorders>
              <w:top w:val="nil"/>
              <w:left w:val="nil"/>
              <w:bottom w:val="single" w:sz="8" w:space="0" w:color="auto"/>
              <w:right w:val="single" w:sz="8" w:space="0" w:color="auto"/>
            </w:tcBorders>
            <w:shd w:val="clear" w:color="000000" w:fill="D9D9D9"/>
            <w:vAlign w:val="center"/>
            <w:hideMark/>
          </w:tcPr>
          <w:p w14:paraId="790A8AA1" w14:textId="77777777" w:rsidR="00044D5B" w:rsidRPr="00392E88" w:rsidRDefault="00044D5B">
            <w:pPr>
              <w:spacing w:before="0" w:after="0"/>
              <w:jc w:val="center"/>
              <w:rPr>
                <w:b/>
                <w:bCs/>
                <w:color w:val="000000"/>
                <w:sz w:val="16"/>
                <w:szCs w:val="16"/>
              </w:rPr>
            </w:pPr>
            <w:r w:rsidRPr="00392E88">
              <w:rPr>
                <w:b/>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24753E32" w14:textId="77777777" w:rsidR="00044D5B" w:rsidRPr="00392E88" w:rsidRDefault="00044D5B">
            <w:pPr>
              <w:spacing w:before="0" w:after="0"/>
              <w:jc w:val="center"/>
              <w:rPr>
                <w:b/>
                <w:bCs/>
                <w:color w:val="000000"/>
                <w:sz w:val="16"/>
                <w:szCs w:val="16"/>
              </w:rPr>
            </w:pPr>
            <w:r w:rsidRPr="00392E88">
              <w:rPr>
                <w:b/>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40DFD9CF" w14:textId="77777777" w:rsidR="00044D5B" w:rsidRPr="00392E88" w:rsidRDefault="00044D5B">
            <w:pPr>
              <w:spacing w:before="0" w:after="0"/>
              <w:jc w:val="center"/>
              <w:rPr>
                <w:b/>
                <w:bCs/>
                <w:color w:val="000000"/>
                <w:sz w:val="16"/>
                <w:szCs w:val="16"/>
              </w:rPr>
            </w:pPr>
            <w:r w:rsidRPr="00392E88">
              <w:rPr>
                <w:b/>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66B3A546" w14:textId="77777777" w:rsidR="00044D5B" w:rsidRPr="00392E88" w:rsidRDefault="00044D5B">
            <w:pPr>
              <w:spacing w:before="0" w:after="0"/>
              <w:jc w:val="center"/>
              <w:rPr>
                <w:b/>
                <w:bCs/>
                <w:color w:val="000000"/>
                <w:sz w:val="16"/>
                <w:szCs w:val="16"/>
              </w:rPr>
            </w:pPr>
            <w:r w:rsidRPr="00392E88">
              <w:rPr>
                <w:b/>
                <w:color w:val="000000"/>
                <w:sz w:val="16"/>
              </w:rPr>
              <w:t>0</w:t>
            </w:r>
          </w:p>
        </w:tc>
      </w:tr>
    </w:tbl>
    <w:p w14:paraId="4E1ECE44" w14:textId="77777777" w:rsidR="00044D5B" w:rsidRPr="00392E88" w:rsidRDefault="00044D5B" w:rsidP="00044D5B">
      <w:pPr>
        <w:pStyle w:val="Text1"/>
        <w:ind w:left="0"/>
        <w:rPr>
          <w:noProof/>
          <w:color w:val="000000" w:themeColor="text1"/>
        </w:rPr>
      </w:pPr>
      <w:r w:rsidRPr="00392E88">
        <w:rPr>
          <w:color w:val="000000" w:themeColor="text1"/>
        </w:rPr>
        <w:t xml:space="preserve">Personel niezbędny do wdrożenia wniosku (w EPC): </w:t>
      </w:r>
    </w:p>
    <w:tbl>
      <w:tblPr>
        <w:tblW w:w="9487" w:type="dxa"/>
        <w:tblInd w:w="-426" w:type="dxa"/>
        <w:tblCellMar>
          <w:left w:w="0" w:type="dxa"/>
          <w:right w:w="0" w:type="dxa"/>
        </w:tblCellMar>
        <w:tblLook w:val="04A0" w:firstRow="1" w:lastRow="0" w:firstColumn="1" w:lastColumn="0" w:noHBand="0" w:noVBand="1"/>
      </w:tblPr>
      <w:tblGrid>
        <w:gridCol w:w="1845"/>
        <w:gridCol w:w="2031"/>
        <w:gridCol w:w="1925"/>
        <w:gridCol w:w="1938"/>
        <w:gridCol w:w="1748"/>
      </w:tblGrid>
      <w:tr w:rsidR="00044D5B" w:rsidRPr="00392E88" w14:paraId="7FE1DECA" w14:textId="77777777">
        <w:trPr>
          <w:trHeight w:val="300"/>
        </w:trPr>
        <w:tc>
          <w:tcPr>
            <w:tcW w:w="1845" w:type="dxa"/>
          </w:tcPr>
          <w:p w14:paraId="0EDBD7DB" w14:textId="77777777" w:rsidR="00044D5B" w:rsidRPr="00392E88" w:rsidRDefault="00044D5B">
            <w:pPr>
              <w:pStyle w:val="Text1"/>
              <w:ind w:left="0"/>
              <w:jc w:val="center"/>
              <w:rPr>
                <w:b/>
                <w:bCs/>
                <w:noProof/>
                <w:sz w:val="22"/>
                <w:szCs w:val="28"/>
              </w:rPr>
            </w:pPr>
          </w:p>
        </w:tc>
        <w:tc>
          <w:tcPr>
            <w:tcW w:w="2031" w:type="dxa"/>
          </w:tcPr>
          <w:p w14:paraId="22F4952C" w14:textId="4EE5B62B" w:rsidR="00044D5B" w:rsidRPr="00392E88" w:rsidRDefault="00044D5B">
            <w:pPr>
              <w:pStyle w:val="Text1"/>
              <w:ind w:left="0"/>
              <w:jc w:val="center"/>
              <w:rPr>
                <w:b/>
                <w:bCs/>
                <w:noProof/>
                <w:sz w:val="22"/>
              </w:rPr>
            </w:pPr>
            <w:r w:rsidRPr="00392E88">
              <w:rPr>
                <w:b/>
                <w:sz w:val="22"/>
              </w:rPr>
              <w:t>Personel już pracujący</w:t>
            </w:r>
            <w:r w:rsidR="006E6446" w:rsidRPr="00392E88">
              <w:rPr>
                <w:b/>
                <w:sz w:val="22"/>
              </w:rPr>
              <w:t xml:space="preserve"> w</w:t>
            </w:r>
            <w:r w:rsidR="006E6446">
              <w:rPr>
                <w:b/>
                <w:sz w:val="22"/>
              </w:rPr>
              <w:t> </w:t>
            </w:r>
            <w:r w:rsidR="006E6446" w:rsidRPr="00392E88">
              <w:rPr>
                <w:b/>
                <w:sz w:val="22"/>
              </w:rPr>
              <w:t>słu</w:t>
            </w:r>
            <w:r w:rsidRPr="00392E88">
              <w:rPr>
                <w:b/>
                <w:sz w:val="22"/>
              </w:rPr>
              <w:t xml:space="preserve">żbach Komisji </w:t>
            </w:r>
          </w:p>
        </w:tc>
        <w:tc>
          <w:tcPr>
            <w:tcW w:w="5611" w:type="dxa"/>
            <w:gridSpan w:val="3"/>
          </w:tcPr>
          <w:p w14:paraId="1C0B7DB2" w14:textId="77777777" w:rsidR="00044D5B" w:rsidRPr="00392E88" w:rsidRDefault="00044D5B">
            <w:pPr>
              <w:pStyle w:val="Text1"/>
              <w:ind w:left="0"/>
              <w:jc w:val="center"/>
              <w:rPr>
                <w:b/>
                <w:bCs/>
                <w:noProof/>
                <w:sz w:val="22"/>
              </w:rPr>
            </w:pPr>
            <w:r w:rsidRPr="00392E88">
              <w:rPr>
                <w:b/>
                <w:sz w:val="22"/>
              </w:rPr>
              <w:t>Personel dodatkowy*</w:t>
            </w:r>
          </w:p>
        </w:tc>
      </w:tr>
      <w:tr w:rsidR="00044D5B" w:rsidRPr="00392E88" w14:paraId="451190A4" w14:textId="77777777">
        <w:trPr>
          <w:trHeight w:val="300"/>
        </w:trPr>
        <w:tc>
          <w:tcPr>
            <w:tcW w:w="1845" w:type="dxa"/>
          </w:tcPr>
          <w:p w14:paraId="172CF661" w14:textId="77777777" w:rsidR="00044D5B" w:rsidRPr="00392E88" w:rsidRDefault="00044D5B">
            <w:pPr>
              <w:pStyle w:val="Text1"/>
              <w:ind w:left="0"/>
              <w:jc w:val="center"/>
              <w:rPr>
                <w:b/>
                <w:bCs/>
                <w:noProof/>
                <w:sz w:val="22"/>
                <w:szCs w:val="28"/>
              </w:rPr>
            </w:pPr>
          </w:p>
        </w:tc>
        <w:tc>
          <w:tcPr>
            <w:tcW w:w="2031" w:type="dxa"/>
          </w:tcPr>
          <w:p w14:paraId="32F4989E" w14:textId="77777777" w:rsidR="00044D5B" w:rsidRPr="00392E88" w:rsidRDefault="00044D5B">
            <w:pPr>
              <w:pStyle w:val="Text1"/>
              <w:ind w:left="0"/>
              <w:jc w:val="center"/>
              <w:rPr>
                <w:b/>
                <w:bCs/>
                <w:noProof/>
                <w:sz w:val="22"/>
                <w:szCs w:val="28"/>
              </w:rPr>
            </w:pPr>
          </w:p>
        </w:tc>
        <w:tc>
          <w:tcPr>
            <w:tcW w:w="1925" w:type="dxa"/>
          </w:tcPr>
          <w:p w14:paraId="6C8FB3C5" w14:textId="5C16FEF4" w:rsidR="00044D5B" w:rsidRPr="00392E88" w:rsidRDefault="00044D5B">
            <w:pPr>
              <w:pStyle w:val="Text1"/>
              <w:ind w:left="0"/>
              <w:jc w:val="center"/>
              <w:rPr>
                <w:b/>
                <w:bCs/>
                <w:noProof/>
                <w:sz w:val="22"/>
              </w:rPr>
            </w:pPr>
            <w:r w:rsidRPr="00392E88">
              <w:rPr>
                <w:b/>
                <w:sz w:val="22"/>
              </w:rPr>
              <w:t>Finansowany</w:t>
            </w:r>
            <w:r w:rsidR="006E6446" w:rsidRPr="00392E88">
              <w:rPr>
                <w:b/>
                <w:sz w:val="22"/>
              </w:rPr>
              <w:t xml:space="preserve"> z</w:t>
            </w:r>
            <w:r w:rsidR="006E6446">
              <w:rPr>
                <w:b/>
                <w:sz w:val="22"/>
              </w:rPr>
              <w:t> </w:t>
            </w:r>
            <w:r w:rsidR="006E6446" w:rsidRPr="00392E88">
              <w:rPr>
                <w:b/>
                <w:sz w:val="22"/>
              </w:rPr>
              <w:t>dzi</w:t>
            </w:r>
            <w:r w:rsidRPr="00392E88">
              <w:rPr>
                <w:b/>
                <w:sz w:val="22"/>
              </w:rPr>
              <w:t>ału 7 lub ze środków „Badania naukowe”</w:t>
            </w:r>
          </w:p>
        </w:tc>
        <w:tc>
          <w:tcPr>
            <w:tcW w:w="1938" w:type="dxa"/>
          </w:tcPr>
          <w:p w14:paraId="5FF08C9E" w14:textId="5C6BABB4" w:rsidR="00044D5B" w:rsidRPr="00392E88" w:rsidRDefault="00044D5B">
            <w:pPr>
              <w:pStyle w:val="Text1"/>
              <w:ind w:left="0"/>
              <w:jc w:val="center"/>
              <w:rPr>
                <w:b/>
                <w:bCs/>
                <w:noProof/>
                <w:sz w:val="22"/>
                <w:szCs w:val="28"/>
              </w:rPr>
            </w:pPr>
            <w:r w:rsidRPr="00392E88">
              <w:rPr>
                <w:b/>
                <w:sz w:val="22"/>
              </w:rPr>
              <w:t>Finansowany</w:t>
            </w:r>
            <w:r w:rsidR="006E6446" w:rsidRPr="00392E88">
              <w:rPr>
                <w:b/>
                <w:sz w:val="22"/>
              </w:rPr>
              <w:t xml:space="preserve"> z</w:t>
            </w:r>
            <w:r w:rsidR="006E6446">
              <w:rPr>
                <w:b/>
                <w:sz w:val="22"/>
              </w:rPr>
              <w:t> </w:t>
            </w:r>
            <w:r w:rsidR="006E6446" w:rsidRPr="00392E88">
              <w:rPr>
                <w:b/>
                <w:sz w:val="22"/>
              </w:rPr>
              <w:t>lin</w:t>
            </w:r>
            <w:r w:rsidRPr="00392E88">
              <w:rPr>
                <w:b/>
                <w:sz w:val="22"/>
              </w:rPr>
              <w:t>ii BA</w:t>
            </w:r>
          </w:p>
        </w:tc>
        <w:tc>
          <w:tcPr>
            <w:tcW w:w="1748" w:type="dxa"/>
          </w:tcPr>
          <w:p w14:paraId="2A4F7393" w14:textId="29BF547F" w:rsidR="00044D5B" w:rsidRPr="00392E88" w:rsidRDefault="00044D5B">
            <w:pPr>
              <w:pStyle w:val="Text1"/>
              <w:ind w:left="0"/>
              <w:jc w:val="center"/>
              <w:rPr>
                <w:b/>
                <w:bCs/>
                <w:noProof/>
                <w:sz w:val="22"/>
                <w:szCs w:val="28"/>
              </w:rPr>
            </w:pPr>
            <w:r w:rsidRPr="00392E88">
              <w:rPr>
                <w:b/>
                <w:sz w:val="22"/>
              </w:rPr>
              <w:t>Finansowany</w:t>
            </w:r>
            <w:r w:rsidR="006E6446" w:rsidRPr="00392E88">
              <w:rPr>
                <w:b/>
                <w:sz w:val="22"/>
              </w:rPr>
              <w:t xml:space="preserve"> z</w:t>
            </w:r>
            <w:r w:rsidR="006E6446">
              <w:rPr>
                <w:b/>
                <w:sz w:val="22"/>
              </w:rPr>
              <w:t> </w:t>
            </w:r>
            <w:r w:rsidR="006E6446" w:rsidRPr="00392E88">
              <w:rPr>
                <w:b/>
                <w:sz w:val="22"/>
              </w:rPr>
              <w:t>opł</w:t>
            </w:r>
            <w:r w:rsidRPr="00392E88">
              <w:rPr>
                <w:b/>
                <w:sz w:val="22"/>
              </w:rPr>
              <w:t>at</w:t>
            </w:r>
          </w:p>
        </w:tc>
      </w:tr>
      <w:tr w:rsidR="00044D5B" w:rsidRPr="00392E88" w14:paraId="20EC65B9" w14:textId="77777777">
        <w:trPr>
          <w:trHeight w:val="300"/>
        </w:trPr>
        <w:tc>
          <w:tcPr>
            <w:tcW w:w="1845" w:type="dxa"/>
          </w:tcPr>
          <w:p w14:paraId="4DE6ACEF" w14:textId="1B7724F7" w:rsidR="00044D5B" w:rsidRPr="00392E88" w:rsidRDefault="00044D5B">
            <w:pPr>
              <w:pStyle w:val="Text1"/>
              <w:ind w:left="0"/>
              <w:rPr>
                <w:noProof/>
                <w:sz w:val="22"/>
                <w:szCs w:val="28"/>
              </w:rPr>
            </w:pPr>
            <w:r w:rsidRPr="00392E88">
              <w:rPr>
                <w:sz w:val="22"/>
              </w:rPr>
              <w:t>Stanowiska</w:t>
            </w:r>
            <w:r w:rsidR="006E6446" w:rsidRPr="00392E88">
              <w:rPr>
                <w:sz w:val="22"/>
              </w:rPr>
              <w:t xml:space="preserve"> w</w:t>
            </w:r>
            <w:r w:rsidR="006E6446">
              <w:rPr>
                <w:sz w:val="22"/>
              </w:rPr>
              <w:t> </w:t>
            </w:r>
            <w:r w:rsidR="006E6446" w:rsidRPr="00392E88">
              <w:rPr>
                <w:sz w:val="22"/>
              </w:rPr>
              <w:t>pla</w:t>
            </w:r>
            <w:r w:rsidRPr="00392E88">
              <w:rPr>
                <w:sz w:val="22"/>
              </w:rPr>
              <w:t>nie zatrudnienia</w:t>
            </w:r>
          </w:p>
        </w:tc>
        <w:tc>
          <w:tcPr>
            <w:tcW w:w="2031" w:type="dxa"/>
          </w:tcPr>
          <w:p w14:paraId="25851FFF" w14:textId="77777777" w:rsidR="00044D5B" w:rsidRPr="00392E88" w:rsidRDefault="00044D5B">
            <w:pPr>
              <w:pStyle w:val="Text1"/>
              <w:ind w:left="0"/>
              <w:rPr>
                <w:noProof/>
                <w:sz w:val="22"/>
                <w:szCs w:val="28"/>
              </w:rPr>
            </w:pPr>
          </w:p>
        </w:tc>
        <w:tc>
          <w:tcPr>
            <w:tcW w:w="1925" w:type="dxa"/>
          </w:tcPr>
          <w:p w14:paraId="7F2944F0" w14:textId="77777777" w:rsidR="00044D5B" w:rsidRPr="00392E88" w:rsidRDefault="00044D5B">
            <w:pPr>
              <w:pStyle w:val="Text1"/>
              <w:ind w:left="0"/>
              <w:rPr>
                <w:noProof/>
                <w:sz w:val="22"/>
                <w:szCs w:val="28"/>
              </w:rPr>
            </w:pPr>
          </w:p>
        </w:tc>
        <w:tc>
          <w:tcPr>
            <w:tcW w:w="1938" w:type="dxa"/>
          </w:tcPr>
          <w:p w14:paraId="6D469A14" w14:textId="77777777" w:rsidR="00044D5B" w:rsidRPr="00392E88" w:rsidRDefault="00044D5B">
            <w:pPr>
              <w:pStyle w:val="Text1"/>
              <w:ind w:left="0"/>
              <w:rPr>
                <w:noProof/>
                <w:sz w:val="22"/>
                <w:szCs w:val="28"/>
              </w:rPr>
            </w:pPr>
            <w:r w:rsidRPr="00392E88">
              <w:rPr>
                <w:sz w:val="22"/>
              </w:rPr>
              <w:t>Nie dotyczy</w:t>
            </w:r>
          </w:p>
        </w:tc>
        <w:tc>
          <w:tcPr>
            <w:tcW w:w="1748" w:type="dxa"/>
          </w:tcPr>
          <w:p w14:paraId="4891EAE0" w14:textId="77777777" w:rsidR="00044D5B" w:rsidRPr="00392E88" w:rsidRDefault="00044D5B">
            <w:pPr>
              <w:pStyle w:val="Text1"/>
              <w:ind w:left="0"/>
              <w:rPr>
                <w:noProof/>
                <w:sz w:val="22"/>
                <w:szCs w:val="28"/>
              </w:rPr>
            </w:pPr>
          </w:p>
        </w:tc>
      </w:tr>
      <w:tr w:rsidR="00044D5B" w:rsidRPr="00392E88" w14:paraId="7921331D" w14:textId="77777777">
        <w:trPr>
          <w:trHeight w:val="300"/>
        </w:trPr>
        <w:tc>
          <w:tcPr>
            <w:tcW w:w="1845" w:type="dxa"/>
          </w:tcPr>
          <w:p w14:paraId="28073596" w14:textId="77777777" w:rsidR="00044D5B" w:rsidRPr="00392E88" w:rsidRDefault="00044D5B">
            <w:pPr>
              <w:pStyle w:val="Text1"/>
              <w:ind w:left="0"/>
              <w:rPr>
                <w:noProof/>
                <w:sz w:val="22"/>
                <w:szCs w:val="28"/>
              </w:rPr>
            </w:pPr>
            <w:r w:rsidRPr="00392E88">
              <w:rPr>
                <w:sz w:val="22"/>
              </w:rPr>
              <w:t>Personel zewnętrzny (CA, SNE, INT)</w:t>
            </w:r>
          </w:p>
        </w:tc>
        <w:tc>
          <w:tcPr>
            <w:tcW w:w="2031" w:type="dxa"/>
          </w:tcPr>
          <w:p w14:paraId="379F8AFE" w14:textId="77777777" w:rsidR="00044D5B" w:rsidRPr="00392E88" w:rsidRDefault="00044D5B">
            <w:pPr>
              <w:pStyle w:val="Text1"/>
              <w:ind w:left="0"/>
              <w:rPr>
                <w:noProof/>
                <w:sz w:val="22"/>
                <w:szCs w:val="28"/>
              </w:rPr>
            </w:pPr>
          </w:p>
        </w:tc>
        <w:tc>
          <w:tcPr>
            <w:tcW w:w="1925" w:type="dxa"/>
          </w:tcPr>
          <w:p w14:paraId="7EA40165" w14:textId="77777777" w:rsidR="00044D5B" w:rsidRPr="00392E88" w:rsidRDefault="00044D5B">
            <w:pPr>
              <w:pStyle w:val="Text1"/>
              <w:ind w:left="0"/>
              <w:rPr>
                <w:noProof/>
                <w:sz w:val="22"/>
                <w:szCs w:val="28"/>
              </w:rPr>
            </w:pPr>
          </w:p>
        </w:tc>
        <w:tc>
          <w:tcPr>
            <w:tcW w:w="1938" w:type="dxa"/>
          </w:tcPr>
          <w:p w14:paraId="74D678B3" w14:textId="77777777" w:rsidR="00044D5B" w:rsidRPr="00392E88" w:rsidRDefault="00044D5B">
            <w:pPr>
              <w:pStyle w:val="Text1"/>
              <w:ind w:left="0"/>
              <w:rPr>
                <w:noProof/>
                <w:sz w:val="22"/>
                <w:szCs w:val="28"/>
              </w:rPr>
            </w:pPr>
          </w:p>
        </w:tc>
        <w:tc>
          <w:tcPr>
            <w:tcW w:w="1748" w:type="dxa"/>
          </w:tcPr>
          <w:p w14:paraId="62E1525A" w14:textId="77777777" w:rsidR="00044D5B" w:rsidRPr="00392E88" w:rsidRDefault="00044D5B">
            <w:pPr>
              <w:pStyle w:val="Text1"/>
              <w:ind w:left="0"/>
              <w:rPr>
                <w:noProof/>
                <w:sz w:val="22"/>
                <w:szCs w:val="28"/>
              </w:rPr>
            </w:pPr>
          </w:p>
        </w:tc>
      </w:tr>
    </w:tbl>
    <w:p w14:paraId="09B2D95F" w14:textId="77777777" w:rsidR="00044D5B" w:rsidRPr="00392E88" w:rsidRDefault="00044D5B" w:rsidP="00044D5B">
      <w:pPr>
        <w:pStyle w:val="Text1"/>
        <w:ind w:left="-426" w:right="-427"/>
        <w:rPr>
          <w:noProof/>
        </w:rPr>
      </w:pPr>
      <w:r w:rsidRPr="00392E88">
        <w:t>Opis zadań do wykonania:</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1E0" w:firstRow="1" w:lastRow="1" w:firstColumn="1" w:lastColumn="1" w:noHBand="0" w:noVBand="0"/>
      </w:tblPr>
      <w:tblGrid>
        <w:gridCol w:w="3240"/>
        <w:gridCol w:w="7200"/>
      </w:tblGrid>
      <w:tr w:rsidR="00983E98" w:rsidRPr="00392E88" w14:paraId="4E7474D6" w14:textId="77777777">
        <w:tc>
          <w:tcPr>
            <w:tcW w:w="3240" w:type="dxa"/>
          </w:tcPr>
          <w:p w14:paraId="2D49D27A" w14:textId="47728409" w:rsidR="00044D5B" w:rsidRPr="00392E88" w:rsidRDefault="00044D5B">
            <w:pPr>
              <w:rPr>
                <w:noProof/>
                <w:sz w:val="20"/>
              </w:rPr>
            </w:pPr>
            <w:r w:rsidRPr="00392E88">
              <w:rPr>
                <w:sz w:val="20"/>
              </w:rPr>
              <w:t>Urzędnicy</w:t>
            </w:r>
            <w:r w:rsidR="006E6446" w:rsidRPr="00392E88">
              <w:rPr>
                <w:sz w:val="20"/>
              </w:rPr>
              <w:t xml:space="preserve"> i</w:t>
            </w:r>
            <w:r w:rsidR="006E6446">
              <w:rPr>
                <w:sz w:val="20"/>
              </w:rPr>
              <w:t> </w:t>
            </w:r>
            <w:r w:rsidR="006E6446" w:rsidRPr="00392E88">
              <w:rPr>
                <w:sz w:val="20"/>
              </w:rPr>
              <w:t>pra</w:t>
            </w:r>
            <w:r w:rsidRPr="00392E88">
              <w:rPr>
                <w:sz w:val="20"/>
              </w:rPr>
              <w:t>cownicy zatrudnieni na czas określony</w:t>
            </w:r>
          </w:p>
        </w:tc>
        <w:tc>
          <w:tcPr>
            <w:tcW w:w="7200" w:type="dxa"/>
          </w:tcPr>
          <w:p w14:paraId="041C584F" w14:textId="77777777" w:rsidR="00044D5B" w:rsidRPr="00392E88" w:rsidRDefault="00044D5B">
            <w:pPr>
              <w:rPr>
                <w:noProof/>
                <w:sz w:val="20"/>
              </w:rPr>
            </w:pPr>
          </w:p>
        </w:tc>
      </w:tr>
      <w:tr w:rsidR="00983E98" w:rsidRPr="00392E88" w14:paraId="002E2A64" w14:textId="77777777">
        <w:tc>
          <w:tcPr>
            <w:tcW w:w="3240" w:type="dxa"/>
          </w:tcPr>
          <w:p w14:paraId="64B3210A" w14:textId="77777777" w:rsidR="00044D5B" w:rsidRPr="00392E88" w:rsidRDefault="00044D5B">
            <w:pPr>
              <w:spacing w:before="60" w:after="60"/>
              <w:rPr>
                <w:noProof/>
                <w:sz w:val="20"/>
              </w:rPr>
            </w:pPr>
            <w:r w:rsidRPr="00392E88">
              <w:rPr>
                <w:sz w:val="20"/>
              </w:rPr>
              <w:t>Personel zewnętrzny</w:t>
            </w:r>
          </w:p>
        </w:tc>
        <w:tc>
          <w:tcPr>
            <w:tcW w:w="7200" w:type="dxa"/>
          </w:tcPr>
          <w:p w14:paraId="47075AAB" w14:textId="77777777" w:rsidR="00044D5B" w:rsidRPr="00392E88" w:rsidRDefault="00044D5B">
            <w:pPr>
              <w:rPr>
                <w:noProof/>
                <w:sz w:val="20"/>
              </w:rPr>
            </w:pPr>
          </w:p>
        </w:tc>
      </w:tr>
    </w:tbl>
    <w:p w14:paraId="061CF0C2" w14:textId="31DBE559" w:rsidR="00044D5B" w:rsidRPr="00392E88" w:rsidRDefault="00044D5B" w:rsidP="00044D5B">
      <w:pPr>
        <w:pStyle w:val="ManualHeading3"/>
      </w:pPr>
      <w:r w:rsidRPr="00392E88">
        <w:t>3.2.5.</w:t>
      </w:r>
      <w:r w:rsidRPr="00392E88">
        <w:tab/>
        <w:t>Przegląd szacowanego wpływu na inwestycje związane</w:t>
      </w:r>
      <w:r w:rsidR="006E6446" w:rsidRPr="00392E88">
        <w:t xml:space="preserve"> z</w:t>
      </w:r>
      <w:r w:rsidR="006E6446">
        <w:t> </w:t>
      </w:r>
      <w:r w:rsidR="006E6446" w:rsidRPr="00392E88">
        <w:t>tec</w:t>
      </w:r>
      <w:r w:rsidRPr="00392E88">
        <w:t>hnologiami cyfrowymi</w:t>
      </w:r>
    </w:p>
    <w:p w14:paraId="1F4CFF52" w14:textId="13D9B03D" w:rsidR="00044D5B" w:rsidRPr="00392E88" w:rsidRDefault="00044D5B" w:rsidP="00044D5B">
      <w:pPr>
        <w:pStyle w:val="Text1"/>
        <w:spacing w:line="259" w:lineRule="auto"/>
      </w:pPr>
      <w:r w:rsidRPr="00392E88">
        <w:t>Obowiązkowo</w:t>
      </w:r>
      <w:r w:rsidR="006E6446" w:rsidRPr="00392E88">
        <w:t xml:space="preserve"> w</w:t>
      </w:r>
      <w:r w:rsidR="006E6446">
        <w:t> </w:t>
      </w:r>
      <w:r w:rsidR="006E6446" w:rsidRPr="00392E88">
        <w:t>tab</w:t>
      </w:r>
      <w:r w:rsidRPr="00392E88">
        <w:t>eli poniżej: szacowany wpływ wniosku/inicjatywy na inwestycje związane</w:t>
      </w:r>
      <w:r w:rsidR="006E6446" w:rsidRPr="00392E88">
        <w:t xml:space="preserve"> z</w:t>
      </w:r>
      <w:r w:rsidR="006E6446">
        <w:t> </w:t>
      </w:r>
      <w:r w:rsidR="006E6446" w:rsidRPr="00392E88">
        <w:t>tec</w:t>
      </w:r>
      <w:r w:rsidRPr="00392E88">
        <w:t xml:space="preserve">hnologiami cyfrowymi. </w:t>
      </w:r>
    </w:p>
    <w:p w14:paraId="67EBC184" w14:textId="60A9CEAB" w:rsidR="00044D5B" w:rsidRPr="00392E88" w:rsidRDefault="00044D5B" w:rsidP="00044D5B">
      <w:pPr>
        <w:pStyle w:val="Text1"/>
        <w:spacing w:line="259" w:lineRule="auto"/>
      </w:pPr>
      <w:r w:rsidRPr="00392E88">
        <w:t>W wyjątkowych przypadkach, jeżeli wymaga tego realizacja wniosku/inicjatywy, we wskazanym wierszu należy podać środki</w:t>
      </w:r>
      <w:r w:rsidR="006E6446" w:rsidRPr="00392E88">
        <w:t xml:space="preserve"> z</w:t>
      </w:r>
      <w:r w:rsidR="006E6446">
        <w:t> </w:t>
      </w:r>
      <w:r w:rsidR="006E6446" w:rsidRPr="00392E88">
        <w:t>dzi</w:t>
      </w:r>
      <w:r w:rsidRPr="00392E88">
        <w:t xml:space="preserve">ału 7. </w:t>
      </w:r>
    </w:p>
    <w:p w14:paraId="5A6BDEF9" w14:textId="52D1CEB9" w:rsidR="00044D5B" w:rsidRPr="00392E88" w:rsidRDefault="00044D5B" w:rsidP="00044D5B">
      <w:pPr>
        <w:pStyle w:val="Text1"/>
        <w:spacing w:line="259" w:lineRule="auto"/>
      </w:pPr>
      <w:r w:rsidRPr="00392E88">
        <w:t>Środki</w:t>
      </w:r>
      <w:r w:rsidR="006E6446" w:rsidRPr="00392E88">
        <w:t xml:space="preserve"> z</w:t>
      </w:r>
      <w:r w:rsidR="006E6446">
        <w:t> </w:t>
      </w:r>
      <w:r w:rsidR="006E6446" w:rsidRPr="00392E88">
        <w:t>dzi</w:t>
      </w:r>
      <w:r w:rsidRPr="00392E88">
        <w:t>ałów 1–6 należy podać</w:t>
      </w:r>
      <w:r w:rsidR="006E6446" w:rsidRPr="00392E88">
        <w:t xml:space="preserve"> w</w:t>
      </w:r>
      <w:r w:rsidR="006E6446">
        <w:t> </w:t>
      </w:r>
      <w:r w:rsidR="006E6446" w:rsidRPr="00392E88">
        <w:t>wie</w:t>
      </w:r>
      <w:r w:rsidRPr="00392E88">
        <w:t>rszu „Wydatki na IT wynikające</w:t>
      </w:r>
      <w:r w:rsidR="006E6446" w:rsidRPr="00392E88">
        <w:t xml:space="preserve"> z</w:t>
      </w:r>
      <w:r w:rsidR="006E6446">
        <w:t> </w:t>
      </w:r>
      <w:r w:rsidR="006E6446" w:rsidRPr="00392E88">
        <w:t>rea</w:t>
      </w:r>
      <w:r w:rsidRPr="00392E88">
        <w:t>lizacji polityki tytułem programów operacyjnych”. Wydatki te odnoszą się do budżetu operacyjnego na ponowne wykorzystanie / zakup / rozwój platform / narzędzi informatycznych bezpośrednio związanych</w:t>
      </w:r>
      <w:r w:rsidR="006E6446" w:rsidRPr="00392E88">
        <w:t xml:space="preserve"> z</w:t>
      </w:r>
      <w:r w:rsidR="006E6446">
        <w:t> </w:t>
      </w:r>
      <w:r w:rsidR="006E6446" w:rsidRPr="00392E88">
        <w:t>rea</w:t>
      </w:r>
      <w:r w:rsidRPr="00392E88">
        <w:t>lizacją inicjatywy oraz powiązanych</w:t>
      </w:r>
      <w:r w:rsidR="006E6446" w:rsidRPr="00392E88">
        <w:t xml:space="preserve"> z</w:t>
      </w:r>
      <w:r w:rsidR="006E6446">
        <w:t> </w:t>
      </w:r>
      <w:r w:rsidR="006E6446" w:rsidRPr="00392E88">
        <w:t>nim</w:t>
      </w:r>
      <w:r w:rsidRPr="00392E88">
        <w:t>i inwestycji (np. licencje, badania, przechowywanie danych)</w:t>
      </w:r>
      <w:r w:rsidRPr="006E6446">
        <w:t>.</w:t>
      </w:r>
      <w:r w:rsidR="006E6446" w:rsidRPr="006E6446">
        <w:t xml:space="preserve"> </w:t>
      </w:r>
      <w:r w:rsidRPr="006E6446">
        <w:t>I</w:t>
      </w:r>
      <w:r w:rsidRPr="00392E88">
        <w:t>nformacje podane</w:t>
      </w:r>
      <w:r w:rsidR="006E6446" w:rsidRPr="00392E88">
        <w:t xml:space="preserve"> w</w:t>
      </w:r>
      <w:r w:rsidR="006E6446">
        <w:t> </w:t>
      </w:r>
      <w:r w:rsidR="006E6446" w:rsidRPr="00392E88">
        <w:t>tej</w:t>
      </w:r>
      <w:r w:rsidRPr="00392E88">
        <w:t xml:space="preserve"> tabeli powinny zgadzać się</w:t>
      </w:r>
      <w:r w:rsidR="006E6446" w:rsidRPr="00392E88">
        <w:t xml:space="preserve"> z</w:t>
      </w:r>
      <w:r w:rsidR="006E6446">
        <w:t> </w:t>
      </w:r>
      <w:r w:rsidR="006E6446" w:rsidRPr="00392E88">
        <w:t>inf</w:t>
      </w:r>
      <w:r w:rsidRPr="00392E88">
        <w:t>ormacjami przedstawionymi</w:t>
      </w:r>
      <w:r w:rsidR="006E6446" w:rsidRPr="00392E88">
        <w:t xml:space="preserve"> w</w:t>
      </w:r>
      <w:r w:rsidR="006E6446">
        <w:t> </w:t>
      </w:r>
      <w:r w:rsidR="006E6446" w:rsidRPr="00392E88">
        <w:t>sek</w:t>
      </w:r>
      <w:r w:rsidRPr="00392E88">
        <w:t>cji 4 „Wymiar cyfrowy”.</w:t>
      </w:r>
    </w:p>
    <w:tbl>
      <w:tblPr>
        <w:tblW w:w="0" w:type="auto"/>
        <w:tblInd w:w="-113" w:type="dxa"/>
        <w:tblLayout w:type="fixed"/>
        <w:tblCellMar>
          <w:left w:w="0" w:type="dxa"/>
          <w:right w:w="0" w:type="dxa"/>
        </w:tblCellMar>
        <w:tblLook w:val="04A0" w:firstRow="1" w:lastRow="0" w:firstColumn="1" w:lastColumn="0" w:noHBand="0" w:noVBand="1"/>
      </w:tblPr>
      <w:tblGrid>
        <w:gridCol w:w="3214"/>
        <w:gridCol w:w="835"/>
        <w:gridCol w:w="835"/>
        <w:gridCol w:w="835"/>
        <w:gridCol w:w="835"/>
        <w:gridCol w:w="981"/>
      </w:tblGrid>
      <w:tr w:rsidR="00983E98" w:rsidRPr="00392E88" w14:paraId="60222ED9" w14:textId="77777777">
        <w:trPr>
          <w:trHeight w:val="525"/>
        </w:trPr>
        <w:tc>
          <w:tcPr>
            <w:tcW w:w="3214" w:type="dxa"/>
            <w:vMerge w:val="restart"/>
            <w:tcBorders>
              <w:top w:val="single" w:sz="8" w:space="0" w:color="auto"/>
              <w:left w:val="single" w:sz="4" w:space="0" w:color="auto"/>
              <w:right w:val="single" w:sz="4" w:space="0" w:color="auto"/>
            </w:tcBorders>
            <w:tcMar>
              <w:left w:w="108" w:type="dxa"/>
              <w:right w:w="108" w:type="dxa"/>
            </w:tcMar>
            <w:vAlign w:val="center"/>
          </w:tcPr>
          <w:p w14:paraId="7755DBE8" w14:textId="7B6AA48F" w:rsidR="00044D5B" w:rsidRPr="00392E88" w:rsidRDefault="00044D5B">
            <w:pPr>
              <w:spacing w:before="0" w:after="0"/>
              <w:jc w:val="center"/>
              <w:rPr>
                <w:b/>
                <w:bCs/>
                <w:color w:val="000000" w:themeColor="text1"/>
                <w:sz w:val="18"/>
                <w:szCs w:val="18"/>
              </w:rPr>
            </w:pPr>
            <w:r w:rsidRPr="00392E88">
              <w:rPr>
                <w:b/>
                <w:color w:val="000000" w:themeColor="text1"/>
                <w:sz w:val="18"/>
              </w:rPr>
              <w:t>OGÓŁEM środki na IT</w:t>
            </w:r>
            <w:r w:rsidR="006E6446" w:rsidRPr="00392E88">
              <w:rPr>
                <w:b/>
                <w:color w:val="000000" w:themeColor="text1"/>
                <w:sz w:val="18"/>
              </w:rPr>
              <w:t xml:space="preserve"> i</w:t>
            </w:r>
            <w:r w:rsidR="006E6446">
              <w:rPr>
                <w:b/>
                <w:color w:val="000000" w:themeColor="text1"/>
                <w:sz w:val="18"/>
              </w:rPr>
              <w:t> </w:t>
            </w:r>
            <w:r w:rsidR="006E6446" w:rsidRPr="00392E88">
              <w:rPr>
                <w:b/>
                <w:color w:val="000000" w:themeColor="text1"/>
                <w:sz w:val="18"/>
              </w:rPr>
              <w:t>tec</w:t>
            </w:r>
            <w:r w:rsidRPr="00392E88">
              <w:rPr>
                <w:b/>
                <w:color w:val="000000" w:themeColor="text1"/>
                <w:sz w:val="18"/>
              </w:rPr>
              <w:t>hnologie cyfrowe</w:t>
            </w:r>
          </w:p>
        </w:tc>
        <w:tc>
          <w:tcPr>
            <w:tcW w:w="835" w:type="dxa"/>
            <w:tcBorders>
              <w:top w:val="single" w:sz="8" w:space="0" w:color="auto"/>
              <w:left w:val="single" w:sz="4" w:space="0" w:color="auto"/>
              <w:bottom w:val="nil"/>
              <w:right w:val="single" w:sz="8" w:space="0" w:color="auto"/>
            </w:tcBorders>
            <w:tcMar>
              <w:left w:w="108" w:type="dxa"/>
              <w:right w:w="108" w:type="dxa"/>
            </w:tcMar>
            <w:vAlign w:val="center"/>
          </w:tcPr>
          <w:p w14:paraId="33E2513D" w14:textId="77777777" w:rsidR="00044D5B" w:rsidRPr="00392E88" w:rsidRDefault="00044D5B">
            <w:pPr>
              <w:spacing w:before="0" w:after="0"/>
              <w:jc w:val="center"/>
              <w:rPr>
                <w:color w:val="000000" w:themeColor="text1"/>
                <w:sz w:val="18"/>
                <w:szCs w:val="18"/>
              </w:rPr>
            </w:pPr>
            <w:r w:rsidRPr="00392E88">
              <w:rPr>
                <w:color w:val="000000" w:themeColor="text1"/>
                <w:sz w:val="18"/>
              </w:rPr>
              <w:t>Rok</w:t>
            </w:r>
          </w:p>
        </w:tc>
        <w:tc>
          <w:tcPr>
            <w:tcW w:w="835" w:type="dxa"/>
            <w:tcBorders>
              <w:top w:val="single" w:sz="8" w:space="0" w:color="auto"/>
              <w:left w:val="single" w:sz="8" w:space="0" w:color="auto"/>
              <w:bottom w:val="nil"/>
              <w:right w:val="single" w:sz="8" w:space="0" w:color="auto"/>
            </w:tcBorders>
            <w:tcMar>
              <w:left w:w="108" w:type="dxa"/>
              <w:right w:w="108" w:type="dxa"/>
            </w:tcMar>
            <w:vAlign w:val="center"/>
          </w:tcPr>
          <w:p w14:paraId="0C5351AD" w14:textId="77777777" w:rsidR="00044D5B" w:rsidRPr="00392E88" w:rsidRDefault="00044D5B">
            <w:pPr>
              <w:spacing w:before="0" w:after="0"/>
              <w:jc w:val="center"/>
              <w:rPr>
                <w:color w:val="000000" w:themeColor="text1"/>
                <w:sz w:val="18"/>
                <w:szCs w:val="18"/>
              </w:rPr>
            </w:pPr>
            <w:r w:rsidRPr="00392E88">
              <w:rPr>
                <w:color w:val="000000" w:themeColor="text1"/>
                <w:sz w:val="18"/>
              </w:rPr>
              <w:t>Rok</w:t>
            </w:r>
          </w:p>
        </w:tc>
        <w:tc>
          <w:tcPr>
            <w:tcW w:w="835" w:type="dxa"/>
            <w:tcBorders>
              <w:top w:val="single" w:sz="8" w:space="0" w:color="auto"/>
              <w:left w:val="single" w:sz="8" w:space="0" w:color="auto"/>
              <w:bottom w:val="nil"/>
              <w:right w:val="single" w:sz="8" w:space="0" w:color="auto"/>
            </w:tcBorders>
            <w:tcMar>
              <w:left w:w="108" w:type="dxa"/>
              <w:right w:w="108" w:type="dxa"/>
            </w:tcMar>
            <w:vAlign w:val="center"/>
          </w:tcPr>
          <w:p w14:paraId="73711C62" w14:textId="77777777" w:rsidR="00044D5B" w:rsidRPr="00392E88" w:rsidRDefault="00044D5B">
            <w:pPr>
              <w:spacing w:before="0" w:after="0"/>
              <w:jc w:val="center"/>
              <w:rPr>
                <w:color w:val="000000" w:themeColor="text1"/>
                <w:sz w:val="18"/>
                <w:szCs w:val="18"/>
              </w:rPr>
            </w:pPr>
            <w:r w:rsidRPr="00392E88">
              <w:rPr>
                <w:color w:val="000000" w:themeColor="text1"/>
                <w:sz w:val="18"/>
              </w:rPr>
              <w:t>Rok</w:t>
            </w:r>
          </w:p>
        </w:tc>
        <w:tc>
          <w:tcPr>
            <w:tcW w:w="835" w:type="dxa"/>
            <w:tcBorders>
              <w:top w:val="single" w:sz="8" w:space="0" w:color="auto"/>
              <w:left w:val="single" w:sz="8" w:space="0" w:color="auto"/>
              <w:bottom w:val="nil"/>
              <w:right w:val="single" w:sz="8" w:space="0" w:color="auto"/>
            </w:tcBorders>
            <w:tcMar>
              <w:left w:w="108" w:type="dxa"/>
              <w:right w:w="108" w:type="dxa"/>
            </w:tcMar>
            <w:vAlign w:val="center"/>
          </w:tcPr>
          <w:p w14:paraId="555AC0D4" w14:textId="77777777" w:rsidR="00044D5B" w:rsidRPr="00392E88" w:rsidRDefault="00044D5B">
            <w:pPr>
              <w:spacing w:before="0" w:after="0"/>
              <w:jc w:val="center"/>
              <w:rPr>
                <w:color w:val="000000" w:themeColor="text1"/>
                <w:sz w:val="18"/>
                <w:szCs w:val="18"/>
              </w:rPr>
            </w:pPr>
            <w:r w:rsidRPr="00392E88">
              <w:rPr>
                <w:color w:val="000000" w:themeColor="text1"/>
                <w:sz w:val="18"/>
              </w:rPr>
              <w:t>Rok</w:t>
            </w:r>
          </w:p>
        </w:tc>
        <w:tc>
          <w:tcPr>
            <w:tcW w:w="981" w:type="dxa"/>
            <w:vMerge w:val="restart"/>
            <w:tcBorders>
              <w:top w:val="single" w:sz="8" w:space="0" w:color="auto"/>
              <w:left w:val="single" w:sz="8" w:space="0" w:color="auto"/>
              <w:bottom w:val="single" w:sz="8" w:space="0" w:color="auto"/>
              <w:right w:val="single" w:sz="4" w:space="0" w:color="auto"/>
            </w:tcBorders>
            <w:tcMar>
              <w:left w:w="108" w:type="dxa"/>
              <w:right w:w="108" w:type="dxa"/>
            </w:tcMar>
            <w:vAlign w:val="center"/>
          </w:tcPr>
          <w:p w14:paraId="15A46E25" w14:textId="77777777" w:rsidR="00044D5B" w:rsidRPr="00392E88" w:rsidRDefault="00044D5B">
            <w:pPr>
              <w:spacing w:before="0" w:after="0"/>
              <w:jc w:val="center"/>
              <w:rPr>
                <w:b/>
                <w:bCs/>
                <w:color w:val="000000" w:themeColor="text1"/>
                <w:sz w:val="18"/>
                <w:szCs w:val="18"/>
              </w:rPr>
            </w:pPr>
            <w:r w:rsidRPr="00392E88">
              <w:rPr>
                <w:b/>
                <w:color w:val="000000" w:themeColor="text1"/>
                <w:sz w:val="18"/>
              </w:rPr>
              <w:t>OGÓŁEM WRF 2021–2027</w:t>
            </w:r>
          </w:p>
        </w:tc>
      </w:tr>
      <w:tr w:rsidR="00983E98" w:rsidRPr="00392E88" w14:paraId="239D52EA" w14:textId="77777777">
        <w:trPr>
          <w:trHeight w:val="525"/>
        </w:trPr>
        <w:tc>
          <w:tcPr>
            <w:tcW w:w="3214" w:type="dxa"/>
            <w:vMerge/>
            <w:tcBorders>
              <w:top w:val="single" w:sz="8" w:space="0" w:color="auto"/>
              <w:left w:val="single" w:sz="4" w:space="0" w:color="auto"/>
              <w:right w:val="single" w:sz="4" w:space="0" w:color="auto"/>
            </w:tcBorders>
            <w:vAlign w:val="center"/>
          </w:tcPr>
          <w:p w14:paraId="1A6C1785" w14:textId="77777777" w:rsidR="00044D5B" w:rsidRPr="00392E88" w:rsidRDefault="00044D5B"/>
        </w:tc>
        <w:tc>
          <w:tcPr>
            <w:tcW w:w="835" w:type="dxa"/>
            <w:tcBorders>
              <w:top w:val="nil"/>
              <w:left w:val="single" w:sz="4" w:space="0" w:color="auto"/>
              <w:bottom w:val="single" w:sz="8" w:space="0" w:color="auto"/>
              <w:right w:val="single" w:sz="8" w:space="0" w:color="auto"/>
            </w:tcBorders>
            <w:tcMar>
              <w:left w:w="108" w:type="dxa"/>
              <w:right w:w="108" w:type="dxa"/>
            </w:tcMar>
            <w:vAlign w:val="center"/>
          </w:tcPr>
          <w:p w14:paraId="3FCF173E" w14:textId="77777777" w:rsidR="00044D5B" w:rsidRPr="00392E88" w:rsidRDefault="00044D5B">
            <w:pPr>
              <w:spacing w:before="0" w:after="0"/>
              <w:jc w:val="center"/>
              <w:rPr>
                <w:b/>
                <w:bCs/>
                <w:color w:val="000000" w:themeColor="text1"/>
                <w:sz w:val="18"/>
                <w:szCs w:val="18"/>
              </w:rPr>
            </w:pPr>
            <w:r w:rsidRPr="00392E88">
              <w:rPr>
                <w:b/>
                <w:color w:val="000000" w:themeColor="text1"/>
                <w:sz w:val="18"/>
              </w:rPr>
              <w:t>2024</w:t>
            </w:r>
          </w:p>
        </w:tc>
        <w:tc>
          <w:tcPr>
            <w:tcW w:w="835" w:type="dxa"/>
            <w:tcBorders>
              <w:top w:val="nil"/>
              <w:left w:val="single" w:sz="8" w:space="0" w:color="auto"/>
              <w:bottom w:val="single" w:sz="8" w:space="0" w:color="auto"/>
              <w:right w:val="single" w:sz="8" w:space="0" w:color="auto"/>
            </w:tcBorders>
            <w:tcMar>
              <w:left w:w="108" w:type="dxa"/>
              <w:right w:w="108" w:type="dxa"/>
            </w:tcMar>
            <w:vAlign w:val="center"/>
          </w:tcPr>
          <w:p w14:paraId="06BB7BC5" w14:textId="77777777" w:rsidR="00044D5B" w:rsidRPr="00392E88" w:rsidRDefault="00044D5B">
            <w:pPr>
              <w:spacing w:before="0" w:after="0"/>
              <w:jc w:val="center"/>
              <w:rPr>
                <w:b/>
                <w:bCs/>
                <w:color w:val="000000" w:themeColor="text1"/>
                <w:sz w:val="18"/>
                <w:szCs w:val="18"/>
              </w:rPr>
            </w:pPr>
            <w:r w:rsidRPr="00392E88">
              <w:rPr>
                <w:b/>
                <w:color w:val="000000" w:themeColor="text1"/>
                <w:sz w:val="18"/>
              </w:rPr>
              <w:t>2025</w:t>
            </w:r>
          </w:p>
        </w:tc>
        <w:tc>
          <w:tcPr>
            <w:tcW w:w="835" w:type="dxa"/>
            <w:tcBorders>
              <w:top w:val="nil"/>
              <w:left w:val="single" w:sz="8" w:space="0" w:color="auto"/>
              <w:bottom w:val="single" w:sz="8" w:space="0" w:color="auto"/>
              <w:right w:val="single" w:sz="8" w:space="0" w:color="auto"/>
            </w:tcBorders>
            <w:tcMar>
              <w:left w:w="108" w:type="dxa"/>
              <w:right w:w="108" w:type="dxa"/>
            </w:tcMar>
            <w:vAlign w:val="center"/>
          </w:tcPr>
          <w:p w14:paraId="6187EAAA" w14:textId="77777777" w:rsidR="00044D5B" w:rsidRPr="00392E88" w:rsidRDefault="00044D5B">
            <w:pPr>
              <w:spacing w:before="0" w:after="0"/>
              <w:jc w:val="center"/>
              <w:rPr>
                <w:b/>
                <w:bCs/>
                <w:color w:val="000000" w:themeColor="text1"/>
                <w:sz w:val="18"/>
                <w:szCs w:val="18"/>
              </w:rPr>
            </w:pPr>
            <w:r w:rsidRPr="00392E88">
              <w:rPr>
                <w:b/>
                <w:color w:val="000000" w:themeColor="text1"/>
                <w:sz w:val="18"/>
              </w:rPr>
              <w:t>2026</w:t>
            </w:r>
          </w:p>
        </w:tc>
        <w:tc>
          <w:tcPr>
            <w:tcW w:w="835" w:type="dxa"/>
            <w:tcBorders>
              <w:top w:val="nil"/>
              <w:left w:val="single" w:sz="8" w:space="0" w:color="auto"/>
              <w:bottom w:val="single" w:sz="8" w:space="0" w:color="auto"/>
              <w:right w:val="single" w:sz="8" w:space="0" w:color="auto"/>
            </w:tcBorders>
            <w:tcMar>
              <w:left w:w="108" w:type="dxa"/>
              <w:right w:w="108" w:type="dxa"/>
            </w:tcMar>
            <w:vAlign w:val="center"/>
          </w:tcPr>
          <w:p w14:paraId="36425B24" w14:textId="77777777" w:rsidR="00044D5B" w:rsidRPr="00392E88" w:rsidRDefault="00044D5B">
            <w:pPr>
              <w:spacing w:before="0" w:after="0"/>
              <w:jc w:val="center"/>
              <w:rPr>
                <w:b/>
                <w:bCs/>
                <w:color w:val="000000" w:themeColor="text1"/>
                <w:sz w:val="18"/>
                <w:szCs w:val="18"/>
              </w:rPr>
            </w:pPr>
            <w:r w:rsidRPr="00392E88">
              <w:rPr>
                <w:b/>
                <w:color w:val="000000" w:themeColor="text1"/>
                <w:sz w:val="18"/>
              </w:rPr>
              <w:t>2027</w:t>
            </w:r>
          </w:p>
        </w:tc>
        <w:tc>
          <w:tcPr>
            <w:tcW w:w="981" w:type="dxa"/>
            <w:vMerge/>
            <w:tcBorders>
              <w:bottom w:val="single" w:sz="4" w:space="0" w:color="auto"/>
              <w:right w:val="single" w:sz="4" w:space="0" w:color="auto"/>
            </w:tcBorders>
            <w:vAlign w:val="center"/>
          </w:tcPr>
          <w:p w14:paraId="2AAF56AF" w14:textId="77777777" w:rsidR="00044D5B" w:rsidRPr="00392E88" w:rsidRDefault="00044D5B"/>
        </w:tc>
      </w:tr>
      <w:tr w:rsidR="00E62D64" w:rsidRPr="00392E88" w14:paraId="5F0B00E9" w14:textId="77777777">
        <w:trPr>
          <w:trHeight w:val="300"/>
        </w:trPr>
        <w:tc>
          <w:tcPr>
            <w:tcW w:w="7535" w:type="dxa"/>
            <w:gridSpan w:val="6"/>
            <w:tcBorders>
              <w:top w:val="nil"/>
              <w:left w:val="single" w:sz="8" w:space="0" w:color="auto"/>
              <w:bottom w:val="single" w:sz="8" w:space="0" w:color="auto"/>
              <w:right w:val="single" w:sz="8" w:space="0" w:color="auto"/>
            </w:tcBorders>
            <w:tcMar>
              <w:left w:w="108" w:type="dxa"/>
              <w:right w:w="108" w:type="dxa"/>
            </w:tcMar>
            <w:vAlign w:val="center"/>
          </w:tcPr>
          <w:p w14:paraId="65829E97" w14:textId="77777777" w:rsidR="00044D5B" w:rsidRPr="00392E88" w:rsidRDefault="00044D5B">
            <w:pPr>
              <w:spacing w:before="0" w:after="0"/>
              <w:jc w:val="left"/>
              <w:rPr>
                <w:b/>
                <w:bCs/>
                <w:sz w:val="16"/>
                <w:szCs w:val="16"/>
              </w:rPr>
            </w:pPr>
            <w:r w:rsidRPr="00392E88">
              <w:rPr>
                <w:b/>
                <w:sz w:val="16"/>
              </w:rPr>
              <w:t>DZIAŁ 7</w:t>
            </w:r>
          </w:p>
        </w:tc>
      </w:tr>
      <w:tr w:rsidR="00504273" w:rsidRPr="00392E88" w14:paraId="707FFEF0" w14:textId="77777777">
        <w:trPr>
          <w:trHeight w:val="300"/>
        </w:trPr>
        <w:tc>
          <w:tcPr>
            <w:tcW w:w="321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42EE6BA" w14:textId="77777777" w:rsidR="00044D5B" w:rsidRPr="00392E88" w:rsidRDefault="00044D5B">
            <w:pPr>
              <w:spacing w:before="0" w:after="0"/>
              <w:jc w:val="left"/>
              <w:rPr>
                <w:color w:val="000000" w:themeColor="text1"/>
                <w:sz w:val="16"/>
                <w:szCs w:val="16"/>
              </w:rPr>
            </w:pPr>
            <w:r w:rsidRPr="00392E88">
              <w:rPr>
                <w:rFonts w:ascii="Arial Narrow" w:hAnsi="Arial Narrow"/>
                <w:color w:val="000000" w:themeColor="text1"/>
                <w:sz w:val="20"/>
              </w:rPr>
              <w:t>Wydatki na IT (ponoszone przez organizację)</w:t>
            </w:r>
            <w:r w:rsidRPr="00392E88">
              <w:rPr>
                <w:color w:val="000000" w:themeColor="text1"/>
                <w:sz w:val="16"/>
              </w:rPr>
              <w:t xml:space="preserve"> </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6563F9E" w14:textId="77777777" w:rsidR="00044D5B" w:rsidRPr="00392E88" w:rsidRDefault="00044D5B">
            <w:pPr>
              <w:spacing w:before="0" w:after="0"/>
              <w:jc w:val="right"/>
              <w:rPr>
                <w:color w:val="000000" w:themeColor="text1"/>
                <w:sz w:val="16"/>
                <w:szCs w:val="16"/>
              </w:rPr>
            </w:pPr>
            <w:r w:rsidRPr="00392E88">
              <w:rPr>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5D36644" w14:textId="77777777" w:rsidR="00044D5B" w:rsidRPr="00392E88" w:rsidRDefault="00044D5B">
            <w:pPr>
              <w:spacing w:before="0" w:after="0"/>
              <w:jc w:val="right"/>
              <w:rPr>
                <w:color w:val="000000" w:themeColor="text1"/>
                <w:sz w:val="16"/>
                <w:szCs w:val="16"/>
              </w:rPr>
            </w:pPr>
            <w:r w:rsidRPr="00392E88">
              <w:rPr>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A071EAF" w14:textId="77777777" w:rsidR="00044D5B" w:rsidRPr="00392E88" w:rsidRDefault="00044D5B">
            <w:pPr>
              <w:spacing w:before="0" w:after="0"/>
              <w:jc w:val="right"/>
              <w:rPr>
                <w:color w:val="000000" w:themeColor="text1"/>
                <w:sz w:val="16"/>
                <w:szCs w:val="16"/>
              </w:rPr>
            </w:pPr>
            <w:r w:rsidRPr="00392E88">
              <w:rPr>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E311390" w14:textId="77777777" w:rsidR="00044D5B" w:rsidRPr="00392E88" w:rsidRDefault="00044D5B">
            <w:pPr>
              <w:spacing w:before="0" w:after="0"/>
              <w:jc w:val="right"/>
              <w:rPr>
                <w:color w:val="000000" w:themeColor="text1"/>
                <w:sz w:val="16"/>
                <w:szCs w:val="16"/>
              </w:rPr>
            </w:pPr>
            <w:r w:rsidRPr="00392E88">
              <w:rPr>
                <w:color w:val="000000" w:themeColor="text1"/>
                <w:sz w:val="16"/>
              </w:rPr>
              <w:t>0,000</w:t>
            </w:r>
          </w:p>
        </w:tc>
        <w:tc>
          <w:tcPr>
            <w:tcW w:w="981"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BC85C0C" w14:textId="77777777" w:rsidR="00044D5B" w:rsidRPr="00392E88" w:rsidRDefault="00044D5B">
            <w:pPr>
              <w:spacing w:before="0" w:after="0"/>
              <w:jc w:val="right"/>
              <w:rPr>
                <w:b/>
                <w:bCs/>
                <w:color w:val="000000" w:themeColor="text1"/>
                <w:sz w:val="16"/>
                <w:szCs w:val="16"/>
              </w:rPr>
            </w:pPr>
            <w:r w:rsidRPr="00392E88">
              <w:rPr>
                <w:b/>
                <w:color w:val="000000" w:themeColor="text1"/>
                <w:sz w:val="16"/>
              </w:rPr>
              <w:t>0,000</w:t>
            </w:r>
          </w:p>
        </w:tc>
      </w:tr>
      <w:tr w:rsidR="00983E98" w:rsidRPr="00392E88" w14:paraId="52DCC97F" w14:textId="77777777">
        <w:trPr>
          <w:trHeight w:val="300"/>
        </w:trPr>
        <w:tc>
          <w:tcPr>
            <w:tcW w:w="3214"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vAlign w:val="center"/>
          </w:tcPr>
          <w:p w14:paraId="7964416F" w14:textId="77777777" w:rsidR="00044D5B" w:rsidRPr="00392E88" w:rsidRDefault="00044D5B">
            <w:pPr>
              <w:spacing w:before="0" w:after="0"/>
              <w:jc w:val="center"/>
              <w:rPr>
                <w:b/>
                <w:bCs/>
                <w:color w:val="000000" w:themeColor="text1"/>
                <w:sz w:val="16"/>
                <w:szCs w:val="16"/>
              </w:rPr>
            </w:pPr>
            <w:r w:rsidRPr="00392E88">
              <w:rPr>
                <w:b/>
                <w:color w:val="000000" w:themeColor="text1"/>
                <w:sz w:val="16"/>
              </w:rPr>
              <w:t>Suma cząstkowa DZIAŁ 7</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62F3018" w14:textId="77777777" w:rsidR="00044D5B" w:rsidRPr="00392E88" w:rsidRDefault="00044D5B">
            <w:pPr>
              <w:spacing w:before="0" w:after="0"/>
              <w:jc w:val="right"/>
              <w:rPr>
                <w:b/>
                <w:bCs/>
                <w:color w:val="000000" w:themeColor="text1"/>
                <w:sz w:val="16"/>
                <w:szCs w:val="16"/>
              </w:rPr>
            </w:pPr>
            <w:r w:rsidRPr="00392E88">
              <w:rPr>
                <w:b/>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B54CA6F" w14:textId="77777777" w:rsidR="00044D5B" w:rsidRPr="00392E88" w:rsidRDefault="00044D5B">
            <w:pPr>
              <w:spacing w:before="0" w:after="0"/>
              <w:jc w:val="right"/>
              <w:rPr>
                <w:b/>
                <w:bCs/>
                <w:color w:val="000000" w:themeColor="text1"/>
                <w:sz w:val="16"/>
                <w:szCs w:val="16"/>
              </w:rPr>
            </w:pPr>
            <w:r w:rsidRPr="00392E88">
              <w:rPr>
                <w:b/>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EE6C343" w14:textId="77777777" w:rsidR="00044D5B" w:rsidRPr="00392E88" w:rsidRDefault="00044D5B">
            <w:pPr>
              <w:spacing w:before="0" w:after="0"/>
              <w:jc w:val="right"/>
              <w:rPr>
                <w:b/>
                <w:bCs/>
                <w:color w:val="000000" w:themeColor="text1"/>
                <w:sz w:val="16"/>
                <w:szCs w:val="16"/>
              </w:rPr>
            </w:pPr>
            <w:r w:rsidRPr="00392E88">
              <w:rPr>
                <w:b/>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5DDD15C" w14:textId="77777777" w:rsidR="00044D5B" w:rsidRPr="00392E88" w:rsidRDefault="00044D5B">
            <w:pPr>
              <w:spacing w:before="0" w:after="0"/>
              <w:jc w:val="right"/>
              <w:rPr>
                <w:b/>
                <w:bCs/>
                <w:color w:val="000000" w:themeColor="text1"/>
                <w:sz w:val="16"/>
                <w:szCs w:val="16"/>
              </w:rPr>
            </w:pPr>
            <w:r w:rsidRPr="00392E88">
              <w:rPr>
                <w:b/>
                <w:color w:val="000000" w:themeColor="text1"/>
                <w:sz w:val="16"/>
              </w:rPr>
              <w:t>0,000</w:t>
            </w:r>
          </w:p>
        </w:tc>
        <w:tc>
          <w:tcPr>
            <w:tcW w:w="98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9B57F2D" w14:textId="77777777" w:rsidR="00044D5B" w:rsidRPr="00392E88" w:rsidRDefault="00044D5B">
            <w:pPr>
              <w:spacing w:before="0" w:after="0"/>
              <w:jc w:val="right"/>
              <w:rPr>
                <w:b/>
                <w:bCs/>
                <w:color w:val="000000" w:themeColor="text1"/>
                <w:sz w:val="16"/>
                <w:szCs w:val="16"/>
              </w:rPr>
            </w:pPr>
            <w:r w:rsidRPr="00392E88">
              <w:rPr>
                <w:b/>
                <w:color w:val="000000" w:themeColor="text1"/>
                <w:sz w:val="16"/>
              </w:rPr>
              <w:t>0,000</w:t>
            </w:r>
          </w:p>
        </w:tc>
      </w:tr>
      <w:tr w:rsidR="00A9194D" w:rsidRPr="00392E88" w14:paraId="3AAEF6AE" w14:textId="77777777">
        <w:trPr>
          <w:trHeight w:val="300"/>
        </w:trPr>
        <w:tc>
          <w:tcPr>
            <w:tcW w:w="7535" w:type="dxa"/>
            <w:gridSpan w:val="6"/>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B2AF968" w14:textId="77777777" w:rsidR="00044D5B" w:rsidRPr="00392E88" w:rsidRDefault="00044D5B">
            <w:pPr>
              <w:spacing w:before="0" w:after="0"/>
              <w:jc w:val="left"/>
              <w:rPr>
                <w:b/>
                <w:bCs/>
                <w:sz w:val="16"/>
                <w:szCs w:val="16"/>
              </w:rPr>
            </w:pPr>
            <w:r w:rsidRPr="00392E88">
              <w:rPr>
                <w:b/>
                <w:sz w:val="16"/>
              </w:rPr>
              <w:t>Poza DZIAŁEM 7</w:t>
            </w:r>
          </w:p>
        </w:tc>
      </w:tr>
      <w:tr w:rsidR="00504273" w:rsidRPr="00392E88" w14:paraId="131AA9CA" w14:textId="77777777">
        <w:trPr>
          <w:trHeight w:val="300"/>
        </w:trPr>
        <w:tc>
          <w:tcPr>
            <w:tcW w:w="321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53A3A44" w14:textId="79867821" w:rsidR="00044D5B" w:rsidRPr="00392E88" w:rsidRDefault="00044D5B">
            <w:pPr>
              <w:spacing w:before="0" w:after="0"/>
              <w:jc w:val="left"/>
              <w:rPr>
                <w:rFonts w:ascii="Arial Narrow" w:eastAsia="Arial Narrow" w:hAnsi="Arial Narrow" w:cs="Arial Narrow"/>
                <w:color w:val="000000" w:themeColor="text1"/>
                <w:sz w:val="20"/>
                <w:szCs w:val="20"/>
              </w:rPr>
            </w:pPr>
            <w:r w:rsidRPr="00392E88">
              <w:rPr>
                <w:rFonts w:ascii="Arial Narrow" w:hAnsi="Arial Narrow"/>
                <w:color w:val="000000" w:themeColor="text1"/>
                <w:sz w:val="20"/>
              </w:rPr>
              <w:t>Wydatki na IT wynikające</w:t>
            </w:r>
            <w:r w:rsidR="006E6446" w:rsidRPr="00392E88">
              <w:rPr>
                <w:rFonts w:ascii="Arial Narrow" w:hAnsi="Arial Narrow"/>
                <w:color w:val="000000" w:themeColor="text1"/>
                <w:sz w:val="20"/>
              </w:rPr>
              <w:t xml:space="preserve"> z</w:t>
            </w:r>
            <w:r w:rsidR="006E6446">
              <w:rPr>
                <w:rFonts w:ascii="Arial Narrow" w:hAnsi="Arial Narrow"/>
                <w:color w:val="000000" w:themeColor="text1"/>
                <w:sz w:val="20"/>
              </w:rPr>
              <w:t> </w:t>
            </w:r>
            <w:r w:rsidR="006E6446" w:rsidRPr="00392E88">
              <w:rPr>
                <w:rFonts w:ascii="Arial Narrow" w:hAnsi="Arial Narrow"/>
                <w:color w:val="000000" w:themeColor="text1"/>
                <w:sz w:val="20"/>
              </w:rPr>
              <w:t>rea</w:t>
            </w:r>
            <w:r w:rsidRPr="00392E88">
              <w:rPr>
                <w:rFonts w:ascii="Arial Narrow" w:hAnsi="Arial Narrow"/>
                <w:color w:val="000000" w:themeColor="text1"/>
                <w:sz w:val="20"/>
              </w:rPr>
              <w:t>lizacji polityki tytułem programów operacyjnych</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5DA205E" w14:textId="77777777" w:rsidR="00044D5B" w:rsidRPr="00392E88" w:rsidRDefault="00044D5B">
            <w:pPr>
              <w:spacing w:before="0" w:after="0"/>
              <w:jc w:val="right"/>
              <w:rPr>
                <w:color w:val="000000" w:themeColor="text1"/>
                <w:sz w:val="16"/>
                <w:szCs w:val="16"/>
              </w:rPr>
            </w:pPr>
            <w:r w:rsidRPr="00392E88">
              <w:rPr>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C186B93" w14:textId="77777777" w:rsidR="00044D5B" w:rsidRPr="00392E88" w:rsidRDefault="00044D5B">
            <w:pPr>
              <w:spacing w:before="0" w:after="0"/>
              <w:jc w:val="right"/>
              <w:rPr>
                <w:color w:val="000000" w:themeColor="text1"/>
                <w:sz w:val="16"/>
                <w:szCs w:val="16"/>
              </w:rPr>
            </w:pPr>
            <w:r w:rsidRPr="00392E88">
              <w:rPr>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FE3AD6F" w14:textId="77777777" w:rsidR="00044D5B" w:rsidRPr="00392E88" w:rsidRDefault="00044D5B">
            <w:pPr>
              <w:spacing w:before="0" w:after="0"/>
              <w:jc w:val="right"/>
              <w:rPr>
                <w:color w:val="000000" w:themeColor="text1"/>
                <w:sz w:val="16"/>
                <w:szCs w:val="16"/>
              </w:rPr>
            </w:pPr>
            <w:r w:rsidRPr="00392E88">
              <w:rPr>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C815CA9" w14:textId="77777777" w:rsidR="00044D5B" w:rsidRPr="00392E88" w:rsidRDefault="00044D5B">
            <w:pPr>
              <w:spacing w:before="0" w:after="0"/>
              <w:jc w:val="right"/>
              <w:rPr>
                <w:color w:val="000000" w:themeColor="text1"/>
                <w:sz w:val="16"/>
                <w:szCs w:val="16"/>
              </w:rPr>
            </w:pPr>
            <w:r w:rsidRPr="00392E88">
              <w:rPr>
                <w:color w:val="000000" w:themeColor="text1"/>
                <w:sz w:val="16"/>
              </w:rPr>
              <w:t>0,000</w:t>
            </w:r>
          </w:p>
        </w:tc>
        <w:tc>
          <w:tcPr>
            <w:tcW w:w="981"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9CC7112" w14:textId="77777777" w:rsidR="00044D5B" w:rsidRPr="00392E88" w:rsidRDefault="00044D5B">
            <w:pPr>
              <w:spacing w:before="0" w:after="0"/>
              <w:jc w:val="right"/>
              <w:rPr>
                <w:b/>
                <w:bCs/>
                <w:color w:val="000000" w:themeColor="text1"/>
                <w:sz w:val="16"/>
                <w:szCs w:val="16"/>
              </w:rPr>
            </w:pPr>
            <w:r w:rsidRPr="00392E88">
              <w:rPr>
                <w:b/>
                <w:color w:val="000000" w:themeColor="text1"/>
                <w:sz w:val="16"/>
              </w:rPr>
              <w:t>0,000</w:t>
            </w:r>
          </w:p>
        </w:tc>
      </w:tr>
      <w:tr w:rsidR="00983E98" w:rsidRPr="00392E88" w14:paraId="137B81B4" w14:textId="77777777">
        <w:trPr>
          <w:trHeight w:val="300"/>
        </w:trPr>
        <w:tc>
          <w:tcPr>
            <w:tcW w:w="3214"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vAlign w:val="center"/>
          </w:tcPr>
          <w:p w14:paraId="00F07398" w14:textId="77777777" w:rsidR="00044D5B" w:rsidRPr="00392E88" w:rsidRDefault="00044D5B">
            <w:pPr>
              <w:spacing w:before="0" w:after="0"/>
              <w:jc w:val="center"/>
              <w:rPr>
                <w:b/>
                <w:bCs/>
                <w:color w:val="000000" w:themeColor="text1"/>
                <w:sz w:val="16"/>
                <w:szCs w:val="16"/>
              </w:rPr>
            </w:pPr>
            <w:r w:rsidRPr="00392E88">
              <w:rPr>
                <w:b/>
                <w:color w:val="000000" w:themeColor="text1"/>
                <w:sz w:val="16"/>
              </w:rPr>
              <w:t>Suma cząstkowa poza DZIAŁEM 7</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38F2D17" w14:textId="77777777" w:rsidR="00044D5B" w:rsidRPr="00392E88" w:rsidRDefault="00044D5B">
            <w:pPr>
              <w:spacing w:before="0" w:after="0"/>
              <w:jc w:val="right"/>
              <w:rPr>
                <w:b/>
                <w:bCs/>
                <w:color w:val="000000" w:themeColor="text1"/>
                <w:sz w:val="16"/>
                <w:szCs w:val="16"/>
              </w:rPr>
            </w:pPr>
            <w:r w:rsidRPr="00392E88">
              <w:rPr>
                <w:b/>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6C19EE7" w14:textId="77777777" w:rsidR="00044D5B" w:rsidRPr="00392E88" w:rsidRDefault="00044D5B">
            <w:pPr>
              <w:spacing w:before="0" w:after="0"/>
              <w:jc w:val="right"/>
              <w:rPr>
                <w:b/>
                <w:bCs/>
                <w:color w:val="000000" w:themeColor="text1"/>
                <w:sz w:val="16"/>
                <w:szCs w:val="16"/>
              </w:rPr>
            </w:pPr>
            <w:r w:rsidRPr="00392E88">
              <w:rPr>
                <w:b/>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CF9D734" w14:textId="77777777" w:rsidR="00044D5B" w:rsidRPr="00392E88" w:rsidRDefault="00044D5B">
            <w:pPr>
              <w:spacing w:before="0" w:after="0"/>
              <w:jc w:val="right"/>
              <w:rPr>
                <w:b/>
                <w:bCs/>
                <w:color w:val="000000" w:themeColor="text1"/>
                <w:sz w:val="16"/>
                <w:szCs w:val="16"/>
              </w:rPr>
            </w:pPr>
            <w:r w:rsidRPr="00392E88">
              <w:rPr>
                <w:b/>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7C1A86D" w14:textId="77777777" w:rsidR="00044D5B" w:rsidRPr="00392E88" w:rsidRDefault="00044D5B">
            <w:pPr>
              <w:spacing w:before="0" w:after="0"/>
              <w:jc w:val="right"/>
              <w:rPr>
                <w:b/>
                <w:bCs/>
                <w:color w:val="000000" w:themeColor="text1"/>
                <w:sz w:val="16"/>
                <w:szCs w:val="16"/>
              </w:rPr>
            </w:pPr>
            <w:r w:rsidRPr="00392E88">
              <w:rPr>
                <w:b/>
                <w:color w:val="000000" w:themeColor="text1"/>
                <w:sz w:val="16"/>
              </w:rPr>
              <w:t>0,000</w:t>
            </w:r>
          </w:p>
        </w:tc>
        <w:tc>
          <w:tcPr>
            <w:tcW w:w="98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B6742D4" w14:textId="77777777" w:rsidR="00044D5B" w:rsidRPr="00392E88" w:rsidRDefault="00044D5B">
            <w:pPr>
              <w:spacing w:before="0" w:after="0"/>
              <w:jc w:val="right"/>
              <w:rPr>
                <w:b/>
                <w:bCs/>
                <w:color w:val="000000" w:themeColor="text1"/>
                <w:sz w:val="16"/>
                <w:szCs w:val="16"/>
              </w:rPr>
            </w:pPr>
            <w:r w:rsidRPr="00392E88">
              <w:rPr>
                <w:b/>
                <w:color w:val="000000" w:themeColor="text1"/>
                <w:sz w:val="16"/>
              </w:rPr>
              <w:t>0,000</w:t>
            </w:r>
          </w:p>
        </w:tc>
      </w:tr>
      <w:tr w:rsidR="00A9194D" w:rsidRPr="00392E88" w14:paraId="19206F9C" w14:textId="77777777">
        <w:trPr>
          <w:trHeight w:val="300"/>
        </w:trPr>
        <w:tc>
          <w:tcPr>
            <w:tcW w:w="7535" w:type="dxa"/>
            <w:gridSpan w:val="6"/>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2BA332" w14:textId="77777777" w:rsidR="00044D5B" w:rsidRPr="00392E88" w:rsidRDefault="00044D5B">
            <w:pPr>
              <w:spacing w:before="0" w:after="0"/>
              <w:jc w:val="center"/>
              <w:rPr>
                <w:color w:val="000000" w:themeColor="text1"/>
                <w:sz w:val="16"/>
                <w:szCs w:val="16"/>
              </w:rPr>
            </w:pPr>
            <w:r w:rsidRPr="00392E88">
              <w:rPr>
                <w:color w:val="000000" w:themeColor="text1"/>
                <w:sz w:val="16"/>
              </w:rPr>
              <w:t xml:space="preserve"> </w:t>
            </w:r>
          </w:p>
        </w:tc>
      </w:tr>
      <w:tr w:rsidR="00E62D64" w:rsidRPr="00392E88" w14:paraId="449530DC" w14:textId="77777777">
        <w:trPr>
          <w:trHeight w:val="315"/>
        </w:trPr>
        <w:tc>
          <w:tcPr>
            <w:tcW w:w="3214" w:type="dxa"/>
            <w:tcBorders>
              <w:top w:val="single" w:sz="8" w:space="0" w:color="auto"/>
              <w:left w:val="single" w:sz="12" w:space="0" w:color="auto"/>
              <w:bottom w:val="single" w:sz="12" w:space="0" w:color="auto"/>
              <w:right w:val="single" w:sz="8" w:space="0" w:color="auto"/>
            </w:tcBorders>
            <w:tcMar>
              <w:left w:w="108" w:type="dxa"/>
              <w:right w:w="108" w:type="dxa"/>
            </w:tcMar>
            <w:vAlign w:val="center"/>
          </w:tcPr>
          <w:p w14:paraId="0C66813A" w14:textId="77777777" w:rsidR="00044D5B" w:rsidRPr="00392E88" w:rsidRDefault="00044D5B">
            <w:pPr>
              <w:spacing w:before="0" w:after="0"/>
              <w:jc w:val="center"/>
              <w:rPr>
                <w:b/>
                <w:bCs/>
                <w:color w:val="000000" w:themeColor="text1"/>
                <w:sz w:val="16"/>
                <w:szCs w:val="16"/>
              </w:rPr>
            </w:pPr>
            <w:r w:rsidRPr="00392E88">
              <w:rPr>
                <w:b/>
                <w:color w:val="000000" w:themeColor="text1"/>
                <w:sz w:val="16"/>
              </w:rPr>
              <w:t>OGÓŁEM</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14:paraId="53784178" w14:textId="77777777" w:rsidR="00044D5B" w:rsidRPr="00392E88" w:rsidRDefault="00044D5B">
            <w:pPr>
              <w:spacing w:before="0" w:after="0"/>
              <w:jc w:val="right"/>
              <w:rPr>
                <w:b/>
                <w:bCs/>
                <w:color w:val="000000" w:themeColor="text1"/>
                <w:sz w:val="16"/>
                <w:szCs w:val="16"/>
              </w:rPr>
            </w:pPr>
            <w:r w:rsidRPr="00392E88">
              <w:rPr>
                <w:b/>
                <w:color w:val="000000" w:themeColor="text1"/>
                <w:sz w:val="16"/>
              </w:rPr>
              <w:t>0,000</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14:paraId="477489A9" w14:textId="77777777" w:rsidR="00044D5B" w:rsidRPr="00392E88" w:rsidRDefault="00044D5B">
            <w:pPr>
              <w:spacing w:before="0" w:after="0"/>
              <w:jc w:val="right"/>
              <w:rPr>
                <w:b/>
                <w:bCs/>
                <w:color w:val="000000" w:themeColor="text1"/>
                <w:sz w:val="16"/>
                <w:szCs w:val="16"/>
              </w:rPr>
            </w:pPr>
            <w:r w:rsidRPr="00392E88">
              <w:rPr>
                <w:b/>
                <w:color w:val="000000" w:themeColor="text1"/>
                <w:sz w:val="16"/>
              </w:rPr>
              <w:t>0,000</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14:paraId="5CD1F5E7" w14:textId="77777777" w:rsidR="00044D5B" w:rsidRPr="00392E88" w:rsidRDefault="00044D5B">
            <w:pPr>
              <w:spacing w:before="0" w:after="0"/>
              <w:jc w:val="right"/>
              <w:rPr>
                <w:b/>
                <w:bCs/>
                <w:color w:val="000000" w:themeColor="text1"/>
                <w:sz w:val="16"/>
                <w:szCs w:val="16"/>
              </w:rPr>
            </w:pPr>
            <w:r w:rsidRPr="00392E88">
              <w:rPr>
                <w:b/>
                <w:color w:val="000000" w:themeColor="text1"/>
                <w:sz w:val="16"/>
              </w:rPr>
              <w:t>0,000</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14:paraId="7DD39321" w14:textId="77777777" w:rsidR="00044D5B" w:rsidRPr="00392E88" w:rsidRDefault="00044D5B">
            <w:pPr>
              <w:spacing w:before="0" w:after="0"/>
              <w:jc w:val="right"/>
              <w:rPr>
                <w:b/>
                <w:bCs/>
                <w:color w:val="000000" w:themeColor="text1"/>
                <w:sz w:val="16"/>
                <w:szCs w:val="16"/>
              </w:rPr>
            </w:pPr>
            <w:r w:rsidRPr="00392E88">
              <w:rPr>
                <w:b/>
                <w:color w:val="000000" w:themeColor="text1"/>
                <w:sz w:val="16"/>
              </w:rPr>
              <w:t>0,000</w:t>
            </w:r>
          </w:p>
        </w:tc>
        <w:tc>
          <w:tcPr>
            <w:tcW w:w="981"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14:paraId="38C04EA0" w14:textId="77777777" w:rsidR="00044D5B" w:rsidRPr="00392E88" w:rsidRDefault="00044D5B">
            <w:pPr>
              <w:spacing w:before="0" w:after="0"/>
              <w:jc w:val="right"/>
              <w:rPr>
                <w:b/>
                <w:bCs/>
                <w:color w:val="000000" w:themeColor="text1"/>
                <w:sz w:val="16"/>
                <w:szCs w:val="16"/>
              </w:rPr>
            </w:pPr>
            <w:r w:rsidRPr="00392E88">
              <w:rPr>
                <w:b/>
                <w:color w:val="000000" w:themeColor="text1"/>
                <w:sz w:val="16"/>
              </w:rPr>
              <w:t>0,000</w:t>
            </w:r>
          </w:p>
        </w:tc>
      </w:tr>
    </w:tbl>
    <w:p w14:paraId="2A802E82" w14:textId="027C2C4F" w:rsidR="00044D5B" w:rsidRPr="00392E88" w:rsidRDefault="00044D5B" w:rsidP="00044D5B">
      <w:pPr>
        <w:pStyle w:val="ManualHeading3"/>
        <w:rPr>
          <w:noProof/>
        </w:rPr>
      </w:pPr>
      <w:r w:rsidRPr="00392E88">
        <w:t>3.2.6.</w:t>
      </w:r>
      <w:r w:rsidRPr="00392E88">
        <w:tab/>
        <w:t>Zgodność</w:t>
      </w:r>
      <w:r w:rsidR="006E6446" w:rsidRPr="00392E88">
        <w:t xml:space="preserve"> z</w:t>
      </w:r>
      <w:r w:rsidR="006E6446">
        <w:t> </w:t>
      </w:r>
      <w:r w:rsidR="006E6446" w:rsidRPr="00392E88">
        <w:t>obo</w:t>
      </w:r>
      <w:r w:rsidRPr="00392E88">
        <w:t xml:space="preserve">wiązującymi wieloletnimi ramami finansowymi </w:t>
      </w:r>
    </w:p>
    <w:p w14:paraId="1284E8C0" w14:textId="77777777" w:rsidR="00044D5B" w:rsidRPr="00392E88" w:rsidRDefault="00044D5B" w:rsidP="00044D5B">
      <w:pPr>
        <w:pStyle w:val="Text1"/>
        <w:rPr>
          <w:noProof/>
        </w:rPr>
      </w:pPr>
      <w:r w:rsidRPr="00392E88">
        <w:t>Wniosek/inicjatywa:</w:t>
      </w:r>
    </w:p>
    <w:p w14:paraId="0FE1D815" w14:textId="0C55B0D0" w:rsidR="00044D5B" w:rsidRPr="00392E88" w:rsidRDefault="00044D5B" w:rsidP="00044D5B">
      <w:pPr>
        <w:pStyle w:val="ListDash1"/>
        <w:rPr>
          <w:noProof/>
        </w:rPr>
      </w:pPr>
      <w:r w:rsidRPr="00392E88">
        <w:rPr>
          <w:rFonts w:ascii="Wingdings" w:hAnsi="Wingdings"/>
        </w:rPr>
        <w:t>¨</w:t>
      </w:r>
      <w:r w:rsidRPr="00392E88">
        <w:tab/>
        <w:t>może zostać</w:t>
      </w:r>
      <w:r w:rsidR="006E6446" w:rsidRPr="00392E88">
        <w:t xml:space="preserve"> w</w:t>
      </w:r>
      <w:r w:rsidR="006E6446">
        <w:t> </w:t>
      </w:r>
      <w:r w:rsidR="006E6446" w:rsidRPr="00392E88">
        <w:t>peł</w:t>
      </w:r>
      <w:r w:rsidRPr="00392E88">
        <w:t>ni sfinansowany(-a) przez przegrupowanie środków</w:t>
      </w:r>
      <w:r w:rsidR="006E6446" w:rsidRPr="00392E88">
        <w:t xml:space="preserve"> w</w:t>
      </w:r>
      <w:r w:rsidR="006E6446">
        <w:t> </w:t>
      </w:r>
      <w:r w:rsidR="006E6446" w:rsidRPr="00392E88">
        <w:t>ram</w:t>
      </w:r>
      <w:r w:rsidRPr="00392E88">
        <w:t>ach odpowiedniego działu wieloletnich ram finansowych (WRF)</w:t>
      </w:r>
    </w:p>
    <w:p w14:paraId="662B584C" w14:textId="1E4D8225" w:rsidR="00044D5B" w:rsidRPr="00392E88" w:rsidRDefault="00044D5B" w:rsidP="00044D5B">
      <w:pPr>
        <w:pStyle w:val="ListDash1"/>
        <w:rPr>
          <w:noProof/>
        </w:rPr>
      </w:pPr>
      <w:r w:rsidRPr="00392E88">
        <w:rPr>
          <w:rFonts w:ascii="Wingdings" w:hAnsi="Wingdings"/>
        </w:rPr>
        <w:t>¨</w:t>
      </w:r>
      <w:r w:rsidRPr="00392E88">
        <w:tab/>
        <w:t>wymaga zastosowania nieprzydzielonego marginesu środków</w:t>
      </w:r>
      <w:r w:rsidR="006E6446" w:rsidRPr="00392E88">
        <w:t xml:space="preserve"> w</w:t>
      </w:r>
      <w:r w:rsidR="006E6446">
        <w:t> </w:t>
      </w:r>
      <w:r w:rsidR="006E6446" w:rsidRPr="00392E88">
        <w:t>ram</w:t>
      </w:r>
      <w:r w:rsidRPr="00392E88">
        <w:t>ach odpowiedniego działu WRF lub zastosowania specjalnych instrumentów zdefiniowanych</w:t>
      </w:r>
      <w:r w:rsidR="006E6446" w:rsidRPr="00392E88">
        <w:t xml:space="preserve"> w</w:t>
      </w:r>
      <w:r w:rsidR="006E6446">
        <w:t> </w:t>
      </w:r>
      <w:r w:rsidR="006E6446" w:rsidRPr="00392E88">
        <w:t>roz</w:t>
      </w:r>
      <w:r w:rsidRPr="00392E88">
        <w:t>porządzeniu</w:t>
      </w:r>
      <w:r w:rsidR="006E6446" w:rsidRPr="00392E88">
        <w:t xml:space="preserve"> w</w:t>
      </w:r>
      <w:r w:rsidR="006E6446">
        <w:t> </w:t>
      </w:r>
      <w:r w:rsidR="006E6446" w:rsidRPr="00392E88">
        <w:t>spr</w:t>
      </w:r>
      <w:r w:rsidRPr="00392E88">
        <w:t>awie WRF</w:t>
      </w:r>
    </w:p>
    <w:p w14:paraId="27E73E11" w14:textId="77777777" w:rsidR="00044D5B" w:rsidRPr="00392E88" w:rsidRDefault="00044D5B" w:rsidP="00044D5B">
      <w:pPr>
        <w:pStyle w:val="ListDash1"/>
        <w:rPr>
          <w:noProof/>
        </w:rPr>
      </w:pPr>
      <w:r w:rsidRPr="00392E88">
        <w:rPr>
          <w:rFonts w:ascii="Wingdings" w:hAnsi="Wingdings"/>
        </w:rPr>
        <w:t>¨</w:t>
      </w:r>
      <w:r w:rsidRPr="00392E88">
        <w:tab/>
        <w:t>wymaga rewizji WRF</w:t>
      </w:r>
    </w:p>
    <w:p w14:paraId="6D44DF93" w14:textId="795E6628" w:rsidR="00044D5B" w:rsidRPr="00392E88" w:rsidRDefault="00044D5B" w:rsidP="00044D5B">
      <w:pPr>
        <w:pStyle w:val="ManualHeading3"/>
      </w:pPr>
      <w:r w:rsidRPr="00392E88">
        <w:t>3.2.7.</w:t>
      </w:r>
      <w:r w:rsidRPr="00392E88">
        <w:tab/>
        <w:t>Udział osób trzecich</w:t>
      </w:r>
      <w:r w:rsidR="006E6446" w:rsidRPr="00392E88">
        <w:t xml:space="preserve"> w</w:t>
      </w:r>
      <w:r w:rsidR="006E6446">
        <w:t> </w:t>
      </w:r>
      <w:r w:rsidR="006E6446" w:rsidRPr="00392E88">
        <w:t>fin</w:t>
      </w:r>
      <w:r w:rsidRPr="00392E88">
        <w:t xml:space="preserve">ansowaniu </w:t>
      </w:r>
    </w:p>
    <w:p w14:paraId="0641FC99" w14:textId="77777777" w:rsidR="00044D5B" w:rsidRPr="00392E88" w:rsidRDefault="00044D5B" w:rsidP="00044D5B">
      <w:pPr>
        <w:pStyle w:val="Text1"/>
        <w:rPr>
          <w:noProof/>
        </w:rPr>
      </w:pPr>
      <w:r w:rsidRPr="00392E88">
        <w:t>Wniosek/inicjatywa:</w:t>
      </w:r>
    </w:p>
    <w:p w14:paraId="2C84262A" w14:textId="77777777" w:rsidR="00044D5B" w:rsidRPr="00392E88" w:rsidRDefault="00044D5B" w:rsidP="00044D5B">
      <w:pPr>
        <w:pStyle w:val="ListDash1"/>
        <w:rPr>
          <w:noProof/>
        </w:rPr>
      </w:pPr>
      <w:r w:rsidRPr="00392E88">
        <w:rPr>
          <w:rFonts w:ascii="Wingdings" w:hAnsi="Wingdings"/>
        </w:rPr>
        <w:t>¨</w:t>
      </w:r>
      <w:r w:rsidRPr="00392E88">
        <w:tab/>
        <w:t>nie przewiduje współfinansowania ze strony osób trzecich</w:t>
      </w:r>
    </w:p>
    <w:p w14:paraId="64B8F604" w14:textId="22B6A914" w:rsidR="00044D5B" w:rsidRPr="00392E88" w:rsidRDefault="00044D5B" w:rsidP="00044D5B">
      <w:pPr>
        <w:pStyle w:val="ListDash1"/>
        <w:rPr>
          <w:noProof/>
        </w:rPr>
      </w:pPr>
      <w:r w:rsidRPr="00392E88">
        <w:rPr>
          <w:rFonts w:ascii="Wingdings" w:hAnsi="Wingdings"/>
        </w:rPr>
        <w:t>¨</w:t>
      </w:r>
      <w:r w:rsidRPr="00392E88">
        <w:tab/>
        <w:t>przewiduje współfinansowanie ze strony osób trzecich zgodnie</w:t>
      </w:r>
      <w:r w:rsidR="006E6446" w:rsidRPr="00392E88">
        <w:t xml:space="preserve"> z</w:t>
      </w:r>
      <w:r w:rsidR="006E6446">
        <w:t> </w:t>
      </w:r>
      <w:r w:rsidR="006E6446" w:rsidRPr="00392E88">
        <w:t>pon</w:t>
      </w:r>
      <w:r w:rsidRPr="00392E88">
        <w:t>iższymi szacunkami:</w:t>
      </w:r>
    </w:p>
    <w:p w14:paraId="26C2F2B6" w14:textId="73164F30" w:rsidR="00044D5B" w:rsidRPr="00392E88" w:rsidRDefault="00044D5B" w:rsidP="00044D5B">
      <w:pPr>
        <w:jc w:val="right"/>
        <w:rPr>
          <w:noProof/>
          <w:sz w:val="20"/>
        </w:rPr>
      </w:pPr>
      <w:r w:rsidRPr="00392E88">
        <w:rPr>
          <w:sz w:val="20"/>
        </w:rPr>
        <w:t>środki</w:t>
      </w:r>
      <w:r w:rsidR="006E6446" w:rsidRPr="00392E88">
        <w:rPr>
          <w:sz w:val="20"/>
        </w:rPr>
        <w:t xml:space="preserve"> w</w:t>
      </w:r>
      <w:r w:rsidR="006E6446">
        <w:rPr>
          <w:sz w:val="20"/>
        </w:rPr>
        <w:t> </w:t>
      </w:r>
      <w:r w:rsidR="006E6446" w:rsidRPr="00392E88">
        <w:rPr>
          <w:sz w:val="20"/>
        </w:rPr>
        <w:t>mln</w:t>
      </w:r>
      <w:r w:rsidRPr="00392E88">
        <w:rPr>
          <w:sz w:val="20"/>
        </w:rPr>
        <w:t xml:space="preserve"> EUR (do trzech miejsc po przecinku)</w:t>
      </w:r>
    </w:p>
    <w:tbl>
      <w:tblPr>
        <w:tblW w:w="5000" w:type="pct"/>
        <w:tblInd w:w="-1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2894"/>
        <w:gridCol w:w="1191"/>
        <w:gridCol w:w="1191"/>
        <w:gridCol w:w="1191"/>
        <w:gridCol w:w="1191"/>
        <w:gridCol w:w="1431"/>
      </w:tblGrid>
      <w:tr w:rsidR="00754415" w:rsidRPr="00392E88" w14:paraId="1450C144" w14:textId="77777777">
        <w:trPr>
          <w:cantSplit/>
        </w:trPr>
        <w:tc>
          <w:tcPr>
            <w:tcW w:w="1591" w:type="pct"/>
          </w:tcPr>
          <w:p w14:paraId="1FE6023E" w14:textId="77777777" w:rsidR="00044D5B" w:rsidRPr="00392E88" w:rsidRDefault="00044D5B">
            <w:pPr>
              <w:spacing w:before="60" w:after="60"/>
              <w:rPr>
                <w:noProof/>
                <w:sz w:val="20"/>
              </w:rPr>
            </w:pPr>
          </w:p>
        </w:tc>
        <w:tc>
          <w:tcPr>
            <w:tcW w:w="655" w:type="pct"/>
            <w:vAlign w:val="center"/>
          </w:tcPr>
          <w:p w14:paraId="55F0BAFF" w14:textId="252BC50F" w:rsidR="00044D5B" w:rsidRPr="00392E88" w:rsidRDefault="00044D5B">
            <w:pPr>
              <w:jc w:val="center"/>
              <w:rPr>
                <w:noProof/>
                <w:sz w:val="20"/>
              </w:rPr>
            </w:pPr>
            <w:r w:rsidRPr="00392E88">
              <w:rPr>
                <w:sz w:val="20"/>
              </w:rPr>
              <w:t>Ro</w:t>
            </w:r>
            <w:r w:rsidRPr="006E6446">
              <w:rPr>
                <w:sz w:val="20"/>
              </w:rPr>
              <w:t>k</w:t>
            </w:r>
            <w:r w:rsidR="006E6446" w:rsidRPr="006E6446">
              <w:rPr>
                <w:sz w:val="20"/>
              </w:rPr>
              <w:t xml:space="preserve"> </w:t>
            </w:r>
            <w:r w:rsidRPr="006E6446">
              <w:br/>
            </w:r>
            <w:r w:rsidRPr="00392E88">
              <w:rPr>
                <w:b/>
                <w:sz w:val="20"/>
              </w:rPr>
              <w:t>2024</w:t>
            </w:r>
          </w:p>
        </w:tc>
        <w:tc>
          <w:tcPr>
            <w:tcW w:w="655" w:type="pct"/>
            <w:vAlign w:val="center"/>
          </w:tcPr>
          <w:p w14:paraId="0F42A481" w14:textId="2310E47F" w:rsidR="00044D5B" w:rsidRPr="00392E88" w:rsidRDefault="00044D5B">
            <w:pPr>
              <w:jc w:val="center"/>
              <w:rPr>
                <w:noProof/>
                <w:sz w:val="20"/>
              </w:rPr>
            </w:pPr>
            <w:r w:rsidRPr="00392E88">
              <w:rPr>
                <w:sz w:val="20"/>
              </w:rPr>
              <w:t>Ro</w:t>
            </w:r>
            <w:r w:rsidRPr="006E6446">
              <w:rPr>
                <w:sz w:val="20"/>
              </w:rPr>
              <w:t>k</w:t>
            </w:r>
            <w:r w:rsidR="006E6446" w:rsidRPr="006E6446">
              <w:rPr>
                <w:sz w:val="20"/>
              </w:rPr>
              <w:t xml:space="preserve"> </w:t>
            </w:r>
            <w:r w:rsidRPr="006E6446">
              <w:br/>
            </w:r>
            <w:r w:rsidRPr="00392E88">
              <w:rPr>
                <w:b/>
                <w:sz w:val="20"/>
              </w:rPr>
              <w:t>2025</w:t>
            </w:r>
          </w:p>
        </w:tc>
        <w:tc>
          <w:tcPr>
            <w:tcW w:w="655" w:type="pct"/>
            <w:vAlign w:val="center"/>
          </w:tcPr>
          <w:p w14:paraId="0AAD9081" w14:textId="48AB0435" w:rsidR="00044D5B" w:rsidRPr="00392E88" w:rsidRDefault="00044D5B">
            <w:pPr>
              <w:jc w:val="center"/>
              <w:rPr>
                <w:noProof/>
                <w:sz w:val="20"/>
              </w:rPr>
            </w:pPr>
            <w:r w:rsidRPr="00392E88">
              <w:rPr>
                <w:sz w:val="20"/>
              </w:rPr>
              <w:t>Ro</w:t>
            </w:r>
            <w:r w:rsidRPr="006E6446">
              <w:rPr>
                <w:sz w:val="20"/>
              </w:rPr>
              <w:t>k</w:t>
            </w:r>
            <w:r w:rsidR="006E6446" w:rsidRPr="006E6446">
              <w:rPr>
                <w:sz w:val="20"/>
              </w:rPr>
              <w:t xml:space="preserve"> </w:t>
            </w:r>
            <w:r w:rsidRPr="006E6446">
              <w:br/>
            </w:r>
            <w:r w:rsidRPr="00392E88">
              <w:rPr>
                <w:b/>
                <w:sz w:val="20"/>
              </w:rPr>
              <w:t>2026</w:t>
            </w:r>
          </w:p>
        </w:tc>
        <w:tc>
          <w:tcPr>
            <w:tcW w:w="655" w:type="pct"/>
            <w:vAlign w:val="center"/>
          </w:tcPr>
          <w:p w14:paraId="3F8D5BB6" w14:textId="5295DD6D" w:rsidR="00044D5B" w:rsidRPr="00392E88" w:rsidRDefault="00044D5B">
            <w:pPr>
              <w:jc w:val="center"/>
              <w:rPr>
                <w:noProof/>
                <w:sz w:val="20"/>
              </w:rPr>
            </w:pPr>
            <w:r w:rsidRPr="00392E88">
              <w:rPr>
                <w:sz w:val="20"/>
              </w:rPr>
              <w:t>Ro</w:t>
            </w:r>
            <w:r w:rsidRPr="006E6446">
              <w:rPr>
                <w:sz w:val="20"/>
              </w:rPr>
              <w:t>k</w:t>
            </w:r>
            <w:r w:rsidR="006E6446" w:rsidRPr="006E6446">
              <w:rPr>
                <w:sz w:val="20"/>
              </w:rPr>
              <w:t xml:space="preserve"> </w:t>
            </w:r>
            <w:r w:rsidRPr="006E6446">
              <w:br/>
            </w:r>
            <w:r w:rsidRPr="00392E88">
              <w:rPr>
                <w:b/>
                <w:sz w:val="20"/>
              </w:rPr>
              <w:t>2027</w:t>
            </w:r>
          </w:p>
        </w:tc>
        <w:tc>
          <w:tcPr>
            <w:tcW w:w="787" w:type="pct"/>
            <w:vAlign w:val="center"/>
          </w:tcPr>
          <w:p w14:paraId="2D042D76" w14:textId="77777777" w:rsidR="00044D5B" w:rsidRPr="00392E88" w:rsidRDefault="00044D5B">
            <w:pPr>
              <w:spacing w:before="60" w:after="60"/>
              <w:jc w:val="center"/>
              <w:rPr>
                <w:noProof/>
                <w:sz w:val="20"/>
              </w:rPr>
            </w:pPr>
            <w:r w:rsidRPr="00392E88">
              <w:rPr>
                <w:sz w:val="20"/>
              </w:rPr>
              <w:t>Ogółem</w:t>
            </w:r>
          </w:p>
        </w:tc>
      </w:tr>
      <w:tr w:rsidR="00754415" w:rsidRPr="00392E88" w14:paraId="5C36108C" w14:textId="77777777">
        <w:trPr>
          <w:cantSplit/>
        </w:trPr>
        <w:tc>
          <w:tcPr>
            <w:tcW w:w="1591" w:type="pct"/>
          </w:tcPr>
          <w:p w14:paraId="7913066C" w14:textId="77777777" w:rsidR="00044D5B" w:rsidRPr="00392E88" w:rsidRDefault="00044D5B">
            <w:pPr>
              <w:rPr>
                <w:noProof/>
              </w:rPr>
            </w:pPr>
            <w:r w:rsidRPr="00392E88">
              <w:rPr>
                <w:sz w:val="20"/>
              </w:rPr>
              <w:t>Określić organ współfinansujący</w:t>
            </w:r>
            <w:r w:rsidRPr="00392E88">
              <w:rPr>
                <w:i/>
                <w:sz w:val="20"/>
              </w:rPr>
              <w:t xml:space="preserve"> </w:t>
            </w:r>
          </w:p>
        </w:tc>
        <w:tc>
          <w:tcPr>
            <w:tcW w:w="655" w:type="pct"/>
            <w:vAlign w:val="center"/>
          </w:tcPr>
          <w:p w14:paraId="69EA4A54" w14:textId="77777777" w:rsidR="00044D5B" w:rsidRPr="00392E88" w:rsidRDefault="00044D5B">
            <w:pPr>
              <w:spacing w:before="60" w:after="60"/>
              <w:jc w:val="center"/>
              <w:rPr>
                <w:noProof/>
                <w:sz w:val="20"/>
              </w:rPr>
            </w:pPr>
          </w:p>
        </w:tc>
        <w:tc>
          <w:tcPr>
            <w:tcW w:w="655" w:type="pct"/>
            <w:vAlign w:val="center"/>
          </w:tcPr>
          <w:p w14:paraId="5C326456" w14:textId="77777777" w:rsidR="00044D5B" w:rsidRPr="00392E88" w:rsidRDefault="00044D5B">
            <w:pPr>
              <w:spacing w:before="60" w:after="60"/>
              <w:jc w:val="center"/>
              <w:rPr>
                <w:noProof/>
                <w:sz w:val="20"/>
              </w:rPr>
            </w:pPr>
          </w:p>
        </w:tc>
        <w:tc>
          <w:tcPr>
            <w:tcW w:w="655" w:type="pct"/>
            <w:vAlign w:val="center"/>
          </w:tcPr>
          <w:p w14:paraId="14401FB2" w14:textId="77777777" w:rsidR="00044D5B" w:rsidRPr="00392E88" w:rsidRDefault="00044D5B">
            <w:pPr>
              <w:spacing w:before="60" w:after="60"/>
              <w:jc w:val="center"/>
              <w:rPr>
                <w:noProof/>
                <w:sz w:val="20"/>
              </w:rPr>
            </w:pPr>
          </w:p>
        </w:tc>
        <w:tc>
          <w:tcPr>
            <w:tcW w:w="655" w:type="pct"/>
            <w:vAlign w:val="center"/>
          </w:tcPr>
          <w:p w14:paraId="7B0CAB14" w14:textId="77777777" w:rsidR="00044D5B" w:rsidRPr="00392E88" w:rsidRDefault="00044D5B">
            <w:pPr>
              <w:spacing w:before="60" w:after="60"/>
              <w:jc w:val="center"/>
              <w:rPr>
                <w:noProof/>
                <w:sz w:val="20"/>
              </w:rPr>
            </w:pPr>
          </w:p>
        </w:tc>
        <w:tc>
          <w:tcPr>
            <w:tcW w:w="787" w:type="pct"/>
            <w:vAlign w:val="center"/>
          </w:tcPr>
          <w:p w14:paraId="300C200B" w14:textId="77777777" w:rsidR="00044D5B" w:rsidRPr="00392E88" w:rsidRDefault="00044D5B">
            <w:pPr>
              <w:spacing w:before="60" w:after="60"/>
              <w:jc w:val="center"/>
              <w:rPr>
                <w:noProof/>
                <w:sz w:val="20"/>
              </w:rPr>
            </w:pPr>
          </w:p>
        </w:tc>
      </w:tr>
      <w:tr w:rsidR="00754415" w:rsidRPr="00392E88" w14:paraId="7EB607A5" w14:textId="77777777">
        <w:trPr>
          <w:cantSplit/>
        </w:trPr>
        <w:tc>
          <w:tcPr>
            <w:tcW w:w="1591" w:type="pct"/>
          </w:tcPr>
          <w:p w14:paraId="2125C0CC" w14:textId="77777777" w:rsidR="00044D5B" w:rsidRPr="00392E88" w:rsidRDefault="00044D5B">
            <w:pPr>
              <w:spacing w:before="60" w:after="60"/>
              <w:jc w:val="left"/>
              <w:rPr>
                <w:noProof/>
                <w:sz w:val="20"/>
              </w:rPr>
            </w:pPr>
            <w:r w:rsidRPr="00392E88">
              <w:rPr>
                <w:sz w:val="20"/>
              </w:rPr>
              <w:t xml:space="preserve">OGÓŁEM środki objęte współfinansowaniem </w:t>
            </w:r>
          </w:p>
        </w:tc>
        <w:tc>
          <w:tcPr>
            <w:tcW w:w="655" w:type="pct"/>
            <w:vAlign w:val="center"/>
          </w:tcPr>
          <w:p w14:paraId="40622834" w14:textId="77777777" w:rsidR="00044D5B" w:rsidRPr="00392E88" w:rsidRDefault="00044D5B">
            <w:pPr>
              <w:spacing w:before="60" w:after="60"/>
              <w:jc w:val="center"/>
              <w:rPr>
                <w:noProof/>
                <w:sz w:val="20"/>
              </w:rPr>
            </w:pPr>
          </w:p>
        </w:tc>
        <w:tc>
          <w:tcPr>
            <w:tcW w:w="655" w:type="pct"/>
            <w:vAlign w:val="center"/>
          </w:tcPr>
          <w:p w14:paraId="10AD216B" w14:textId="77777777" w:rsidR="00044D5B" w:rsidRPr="00392E88" w:rsidRDefault="00044D5B">
            <w:pPr>
              <w:spacing w:before="60" w:after="60"/>
              <w:jc w:val="center"/>
              <w:rPr>
                <w:noProof/>
                <w:sz w:val="20"/>
              </w:rPr>
            </w:pPr>
          </w:p>
        </w:tc>
        <w:tc>
          <w:tcPr>
            <w:tcW w:w="655" w:type="pct"/>
            <w:vAlign w:val="center"/>
          </w:tcPr>
          <w:p w14:paraId="5CE7C722" w14:textId="77777777" w:rsidR="00044D5B" w:rsidRPr="00392E88" w:rsidRDefault="00044D5B">
            <w:pPr>
              <w:spacing w:before="60" w:after="60"/>
              <w:jc w:val="center"/>
              <w:rPr>
                <w:noProof/>
                <w:sz w:val="20"/>
              </w:rPr>
            </w:pPr>
          </w:p>
        </w:tc>
        <w:tc>
          <w:tcPr>
            <w:tcW w:w="655" w:type="pct"/>
            <w:vAlign w:val="center"/>
          </w:tcPr>
          <w:p w14:paraId="42CF4535" w14:textId="77777777" w:rsidR="00044D5B" w:rsidRPr="00392E88" w:rsidRDefault="00044D5B">
            <w:pPr>
              <w:spacing w:before="60" w:after="60"/>
              <w:jc w:val="center"/>
              <w:rPr>
                <w:noProof/>
                <w:sz w:val="20"/>
              </w:rPr>
            </w:pPr>
          </w:p>
        </w:tc>
        <w:tc>
          <w:tcPr>
            <w:tcW w:w="787" w:type="pct"/>
            <w:vAlign w:val="center"/>
          </w:tcPr>
          <w:p w14:paraId="249EE4A3" w14:textId="77777777" w:rsidR="00044D5B" w:rsidRPr="00392E88" w:rsidRDefault="00044D5B">
            <w:pPr>
              <w:spacing w:before="60" w:after="60"/>
              <w:jc w:val="center"/>
              <w:rPr>
                <w:noProof/>
                <w:sz w:val="20"/>
              </w:rPr>
            </w:pPr>
          </w:p>
        </w:tc>
      </w:tr>
    </w:tbl>
    <w:p w14:paraId="28503B41" w14:textId="77777777" w:rsidR="00044D5B" w:rsidRPr="00392E88" w:rsidRDefault="00044D5B" w:rsidP="00044D5B">
      <w:pPr>
        <w:outlineLvl w:val="1"/>
        <w:rPr>
          <w:noProof/>
          <w:szCs w:val="24"/>
        </w:rPr>
      </w:pPr>
      <w:r w:rsidRPr="00392E88">
        <w:t xml:space="preserve"> </w:t>
      </w:r>
      <w:r w:rsidRPr="00392E88">
        <w:br/>
        <w:t>3.3.</w:t>
      </w:r>
      <w:r w:rsidRPr="00392E88">
        <w:tab/>
        <w:t xml:space="preserve">Szacunkowy wpływ na dochody </w:t>
      </w:r>
    </w:p>
    <w:p w14:paraId="28FDFF43" w14:textId="77777777" w:rsidR="00044D5B" w:rsidRPr="00392E88" w:rsidRDefault="00044D5B" w:rsidP="00044D5B">
      <w:pPr>
        <w:pStyle w:val="ListDash1"/>
        <w:rPr>
          <w:noProof/>
        </w:rPr>
      </w:pPr>
      <w:r w:rsidRPr="00392E88">
        <w:rPr>
          <w:rFonts w:ascii="Wingdings" w:hAnsi="Wingdings"/>
        </w:rPr>
        <w:t>¨</w:t>
      </w:r>
      <w:r w:rsidRPr="00392E88">
        <w:tab/>
        <w:t>Wniosek/inicjatywa nie ma wpływu finansowego na dochody</w:t>
      </w:r>
    </w:p>
    <w:p w14:paraId="33366E3B" w14:textId="77777777" w:rsidR="00044D5B" w:rsidRPr="00392E88" w:rsidRDefault="00044D5B" w:rsidP="00044D5B">
      <w:pPr>
        <w:pStyle w:val="ListDash1"/>
        <w:rPr>
          <w:noProof/>
        </w:rPr>
      </w:pPr>
      <w:r w:rsidRPr="00392E88">
        <w:rPr>
          <w:rFonts w:ascii="Wingdings" w:hAnsi="Wingdings"/>
        </w:rPr>
        <w:t>¨</w:t>
      </w:r>
      <w:r w:rsidRPr="00392E88">
        <w:tab/>
        <w:t>Wniosek/inicjatywa ma wpływ finansowy określony poniżej:</w:t>
      </w:r>
    </w:p>
    <w:p w14:paraId="4A2F8C73" w14:textId="77777777" w:rsidR="00044D5B" w:rsidRPr="00392E88" w:rsidRDefault="00044D5B" w:rsidP="00044D5B">
      <w:pPr>
        <w:pStyle w:val="ListNumberLevel3"/>
        <w:rPr>
          <w:noProof/>
        </w:rPr>
      </w:pPr>
      <w:r w:rsidRPr="00392E88">
        <w:rPr>
          <w:rFonts w:ascii="Wingdings" w:hAnsi="Wingdings"/>
        </w:rPr>
        <w:t>¨</w:t>
      </w:r>
      <w:r w:rsidRPr="00392E88">
        <w:tab/>
        <w:t xml:space="preserve">wpływ na zasoby własne </w:t>
      </w:r>
    </w:p>
    <w:p w14:paraId="1D2BE867" w14:textId="77777777" w:rsidR="00044D5B" w:rsidRPr="00392E88" w:rsidRDefault="00044D5B" w:rsidP="00044D5B">
      <w:pPr>
        <w:pStyle w:val="ListNumberLevel3"/>
        <w:rPr>
          <w:noProof/>
        </w:rPr>
      </w:pPr>
      <w:r w:rsidRPr="00392E88">
        <w:rPr>
          <w:rFonts w:ascii="Wingdings" w:hAnsi="Wingdings"/>
        </w:rPr>
        <w:t>¨</w:t>
      </w:r>
      <w:r w:rsidRPr="00392E88">
        <w:tab/>
        <w:t>wpływ na dochody inne</w:t>
      </w:r>
    </w:p>
    <w:p w14:paraId="387F7BFA" w14:textId="77777777" w:rsidR="00044D5B" w:rsidRPr="006E6446" w:rsidRDefault="00044D5B" w:rsidP="00044D5B">
      <w:pPr>
        <w:pStyle w:val="ListNumberLevel3"/>
        <w:rPr>
          <w:noProof/>
        </w:rPr>
      </w:pPr>
      <w:r w:rsidRPr="00392E88">
        <w:rPr>
          <w:rFonts w:ascii="Wingdings" w:hAnsi="Wingdings"/>
        </w:rPr>
        <w:t>¨</w:t>
      </w:r>
      <w:r w:rsidRPr="00392E88">
        <w:tab/>
        <w:t>Wskazać, czy dochody są przypisane do linii budżetowej po stronie wydatków</w:t>
      </w:r>
    </w:p>
    <w:p w14:paraId="0DC40761" w14:textId="74FFBAFA" w:rsidR="00044D5B" w:rsidRPr="00392E88" w:rsidRDefault="00353161" w:rsidP="00044D5B">
      <w:pPr>
        <w:jc w:val="right"/>
        <w:rPr>
          <w:noProof/>
          <w:sz w:val="20"/>
        </w:rPr>
      </w:pPr>
      <w:r w:rsidRPr="006E6446">
        <w:rPr>
          <w:sz w:val="20"/>
        </w:rPr>
        <w:t>w</w:t>
      </w:r>
      <w:r w:rsidRPr="00392E88">
        <w:rPr>
          <w:sz w:val="20"/>
        </w:rPr>
        <w:t xml:space="preserve"> mln EUR (do trzech miejsc po przecinku)</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584"/>
        <w:gridCol w:w="1579"/>
        <w:gridCol w:w="1655"/>
        <w:gridCol w:w="1021"/>
        <w:gridCol w:w="1012"/>
        <w:gridCol w:w="1232"/>
      </w:tblGrid>
      <w:tr w:rsidR="008B3C27" w:rsidRPr="00392E88" w14:paraId="058BADAE" w14:textId="77777777">
        <w:trPr>
          <w:trHeight w:val="388"/>
        </w:trPr>
        <w:tc>
          <w:tcPr>
            <w:tcW w:w="1423" w:type="pct"/>
            <w:vMerge w:val="restart"/>
            <w:vAlign w:val="center"/>
          </w:tcPr>
          <w:p w14:paraId="345BDABF" w14:textId="77777777" w:rsidR="00044D5B" w:rsidRPr="00392E88" w:rsidRDefault="00044D5B">
            <w:pPr>
              <w:spacing w:before="40" w:after="40"/>
              <w:rPr>
                <w:noProof/>
                <w:sz w:val="18"/>
              </w:rPr>
            </w:pPr>
            <w:r w:rsidRPr="00392E88">
              <w:rPr>
                <w:sz w:val="18"/>
              </w:rPr>
              <w:t>Linia budżetowa po stronie dochodów</w:t>
            </w:r>
          </w:p>
        </w:tc>
        <w:tc>
          <w:tcPr>
            <w:tcW w:w="869" w:type="pct"/>
            <w:vMerge w:val="restart"/>
            <w:vAlign w:val="center"/>
          </w:tcPr>
          <w:p w14:paraId="42E3A84E" w14:textId="468AD7BB" w:rsidR="00044D5B" w:rsidRPr="00392E88" w:rsidRDefault="00044D5B">
            <w:pPr>
              <w:jc w:val="center"/>
              <w:rPr>
                <w:noProof/>
                <w:sz w:val="18"/>
              </w:rPr>
            </w:pPr>
            <w:r w:rsidRPr="00392E88">
              <w:rPr>
                <w:sz w:val="18"/>
              </w:rPr>
              <w:t>Środki zapisane</w:t>
            </w:r>
            <w:r w:rsidR="006E6446" w:rsidRPr="00392E88">
              <w:rPr>
                <w:sz w:val="18"/>
              </w:rPr>
              <w:t xml:space="preserve"> w</w:t>
            </w:r>
            <w:r w:rsidR="006E6446">
              <w:rPr>
                <w:sz w:val="18"/>
              </w:rPr>
              <w:t> </w:t>
            </w:r>
            <w:r w:rsidR="006E6446" w:rsidRPr="00392E88">
              <w:rPr>
                <w:sz w:val="18"/>
              </w:rPr>
              <w:t>bud</w:t>
            </w:r>
            <w:r w:rsidRPr="00392E88">
              <w:rPr>
                <w:sz w:val="18"/>
              </w:rPr>
              <w:t>żecie na bieżący rok budżetowy</w:t>
            </w:r>
          </w:p>
        </w:tc>
        <w:tc>
          <w:tcPr>
            <w:tcW w:w="2709" w:type="pct"/>
            <w:gridSpan w:val="4"/>
            <w:vAlign w:val="center"/>
          </w:tcPr>
          <w:p w14:paraId="32BC86C9" w14:textId="77777777" w:rsidR="00044D5B" w:rsidRPr="00392E88" w:rsidRDefault="00044D5B">
            <w:pPr>
              <w:jc w:val="center"/>
              <w:rPr>
                <w:noProof/>
                <w:sz w:val="18"/>
              </w:rPr>
            </w:pPr>
            <w:r w:rsidRPr="00392E88">
              <w:rPr>
                <w:sz w:val="18"/>
              </w:rPr>
              <w:t>Wpływ wniosku/inicjatywy</w:t>
            </w:r>
            <w:r w:rsidRPr="00392E88">
              <w:rPr>
                <w:rStyle w:val="FootnoteReference"/>
                <w:noProof/>
                <w:sz w:val="18"/>
                <w:szCs w:val="18"/>
              </w:rPr>
              <w:footnoteReference w:id="45"/>
            </w:r>
          </w:p>
        </w:tc>
      </w:tr>
      <w:tr w:rsidR="008B3C27" w:rsidRPr="00392E88" w14:paraId="3F753975" w14:textId="77777777">
        <w:trPr>
          <w:trHeight w:val="388"/>
        </w:trPr>
        <w:tc>
          <w:tcPr>
            <w:tcW w:w="1423" w:type="pct"/>
            <w:vMerge/>
          </w:tcPr>
          <w:p w14:paraId="5A92ABD3" w14:textId="77777777" w:rsidR="00044D5B" w:rsidRPr="00392E88" w:rsidRDefault="00044D5B">
            <w:pPr>
              <w:spacing w:before="40" w:after="40"/>
              <w:rPr>
                <w:noProof/>
                <w:sz w:val="18"/>
              </w:rPr>
            </w:pPr>
          </w:p>
        </w:tc>
        <w:tc>
          <w:tcPr>
            <w:tcW w:w="869" w:type="pct"/>
            <w:vMerge/>
          </w:tcPr>
          <w:p w14:paraId="47D69FA9" w14:textId="77777777" w:rsidR="00044D5B" w:rsidRPr="00392E88" w:rsidRDefault="00044D5B">
            <w:pPr>
              <w:spacing w:beforeLines="40" w:before="96" w:afterLines="40" w:after="96"/>
              <w:rPr>
                <w:i/>
                <w:noProof/>
                <w:sz w:val="18"/>
              </w:rPr>
            </w:pPr>
          </w:p>
        </w:tc>
        <w:tc>
          <w:tcPr>
            <w:tcW w:w="911" w:type="pct"/>
            <w:vAlign w:val="center"/>
          </w:tcPr>
          <w:p w14:paraId="0FB7E05A" w14:textId="77777777" w:rsidR="00044D5B" w:rsidRPr="00392E88" w:rsidRDefault="00044D5B">
            <w:pPr>
              <w:jc w:val="center"/>
              <w:rPr>
                <w:noProof/>
                <w:sz w:val="18"/>
              </w:rPr>
            </w:pPr>
            <w:r w:rsidRPr="00392E88">
              <w:rPr>
                <w:sz w:val="18"/>
              </w:rPr>
              <w:t xml:space="preserve">Rok </w:t>
            </w:r>
            <w:r w:rsidRPr="00392E88">
              <w:rPr>
                <w:b/>
                <w:sz w:val="18"/>
              </w:rPr>
              <w:t>2024</w:t>
            </w:r>
          </w:p>
        </w:tc>
        <w:tc>
          <w:tcPr>
            <w:tcW w:w="562" w:type="pct"/>
            <w:vAlign w:val="center"/>
          </w:tcPr>
          <w:p w14:paraId="1C269AE3" w14:textId="77777777" w:rsidR="00044D5B" w:rsidRPr="00392E88" w:rsidRDefault="00044D5B">
            <w:pPr>
              <w:jc w:val="center"/>
              <w:rPr>
                <w:noProof/>
                <w:sz w:val="18"/>
              </w:rPr>
            </w:pPr>
            <w:r w:rsidRPr="00392E88">
              <w:rPr>
                <w:sz w:val="18"/>
              </w:rPr>
              <w:t xml:space="preserve">Rok </w:t>
            </w:r>
            <w:r w:rsidRPr="00392E88">
              <w:rPr>
                <w:b/>
                <w:sz w:val="18"/>
              </w:rPr>
              <w:t>2025</w:t>
            </w:r>
          </w:p>
        </w:tc>
        <w:tc>
          <w:tcPr>
            <w:tcW w:w="557" w:type="pct"/>
            <w:vAlign w:val="center"/>
          </w:tcPr>
          <w:p w14:paraId="1010C72A" w14:textId="77777777" w:rsidR="00044D5B" w:rsidRPr="00392E88" w:rsidRDefault="00044D5B">
            <w:pPr>
              <w:jc w:val="center"/>
              <w:rPr>
                <w:noProof/>
                <w:sz w:val="18"/>
              </w:rPr>
            </w:pPr>
            <w:r w:rsidRPr="00392E88">
              <w:rPr>
                <w:sz w:val="18"/>
              </w:rPr>
              <w:t xml:space="preserve">Rok </w:t>
            </w:r>
            <w:r w:rsidRPr="00392E88">
              <w:rPr>
                <w:b/>
                <w:sz w:val="18"/>
              </w:rPr>
              <w:t>2026</w:t>
            </w:r>
          </w:p>
        </w:tc>
        <w:tc>
          <w:tcPr>
            <w:tcW w:w="679" w:type="pct"/>
            <w:vAlign w:val="center"/>
          </w:tcPr>
          <w:p w14:paraId="6EB561C8" w14:textId="77777777" w:rsidR="00044D5B" w:rsidRPr="00392E88" w:rsidRDefault="00044D5B">
            <w:pPr>
              <w:jc w:val="center"/>
              <w:rPr>
                <w:noProof/>
                <w:sz w:val="18"/>
              </w:rPr>
            </w:pPr>
            <w:r w:rsidRPr="00392E88">
              <w:rPr>
                <w:sz w:val="18"/>
              </w:rPr>
              <w:t xml:space="preserve">Rok </w:t>
            </w:r>
            <w:r w:rsidRPr="00392E88">
              <w:rPr>
                <w:b/>
                <w:sz w:val="18"/>
              </w:rPr>
              <w:t>2027</w:t>
            </w:r>
          </w:p>
        </w:tc>
      </w:tr>
      <w:tr w:rsidR="00983E98" w:rsidRPr="00392E88" w14:paraId="7231A8EA" w14:textId="77777777">
        <w:trPr>
          <w:trHeight w:val="388"/>
        </w:trPr>
        <w:tc>
          <w:tcPr>
            <w:tcW w:w="1423" w:type="pct"/>
            <w:vAlign w:val="center"/>
          </w:tcPr>
          <w:p w14:paraId="0F2A0477" w14:textId="77777777" w:rsidR="00044D5B" w:rsidRPr="00392E88" w:rsidRDefault="00044D5B">
            <w:pPr>
              <w:spacing w:before="40" w:after="40"/>
              <w:rPr>
                <w:noProof/>
                <w:sz w:val="18"/>
              </w:rPr>
            </w:pPr>
            <w:r w:rsidRPr="00392E88">
              <w:rPr>
                <w:sz w:val="18"/>
              </w:rPr>
              <w:t>Artykuł …</w:t>
            </w:r>
          </w:p>
        </w:tc>
        <w:tc>
          <w:tcPr>
            <w:tcW w:w="869" w:type="pct"/>
          </w:tcPr>
          <w:p w14:paraId="59F9FD3B" w14:textId="77777777" w:rsidR="00044D5B" w:rsidRPr="00392E88" w:rsidRDefault="00044D5B">
            <w:pPr>
              <w:spacing w:beforeLines="40" w:before="96" w:afterLines="40" w:after="96"/>
              <w:jc w:val="center"/>
              <w:rPr>
                <w:i/>
                <w:noProof/>
                <w:sz w:val="18"/>
              </w:rPr>
            </w:pPr>
          </w:p>
        </w:tc>
        <w:tc>
          <w:tcPr>
            <w:tcW w:w="911" w:type="pct"/>
          </w:tcPr>
          <w:p w14:paraId="66749C85" w14:textId="77777777" w:rsidR="00044D5B" w:rsidRPr="00392E88" w:rsidRDefault="00044D5B">
            <w:pPr>
              <w:spacing w:beforeLines="40" w:before="96" w:afterLines="40" w:after="96"/>
              <w:jc w:val="center"/>
              <w:rPr>
                <w:noProof/>
                <w:sz w:val="18"/>
              </w:rPr>
            </w:pPr>
          </w:p>
        </w:tc>
        <w:tc>
          <w:tcPr>
            <w:tcW w:w="562" w:type="pct"/>
          </w:tcPr>
          <w:p w14:paraId="22A57D39" w14:textId="77777777" w:rsidR="00044D5B" w:rsidRPr="00392E88" w:rsidRDefault="00044D5B">
            <w:pPr>
              <w:spacing w:beforeLines="40" w:before="96" w:afterLines="40" w:after="96"/>
              <w:jc w:val="center"/>
              <w:rPr>
                <w:noProof/>
                <w:sz w:val="18"/>
              </w:rPr>
            </w:pPr>
          </w:p>
        </w:tc>
        <w:tc>
          <w:tcPr>
            <w:tcW w:w="557" w:type="pct"/>
          </w:tcPr>
          <w:p w14:paraId="41C1C48E" w14:textId="77777777" w:rsidR="00044D5B" w:rsidRPr="00392E88" w:rsidRDefault="00044D5B">
            <w:pPr>
              <w:spacing w:beforeLines="40" w:before="96" w:afterLines="40" w:after="96"/>
              <w:jc w:val="center"/>
              <w:rPr>
                <w:noProof/>
                <w:sz w:val="18"/>
              </w:rPr>
            </w:pPr>
          </w:p>
        </w:tc>
        <w:tc>
          <w:tcPr>
            <w:tcW w:w="679" w:type="pct"/>
          </w:tcPr>
          <w:p w14:paraId="419E550D" w14:textId="77777777" w:rsidR="00044D5B" w:rsidRPr="00392E88" w:rsidRDefault="00044D5B">
            <w:pPr>
              <w:spacing w:beforeLines="40" w:before="96" w:afterLines="40" w:after="96"/>
              <w:jc w:val="center"/>
              <w:rPr>
                <w:noProof/>
                <w:sz w:val="18"/>
              </w:rPr>
            </w:pPr>
          </w:p>
        </w:tc>
      </w:tr>
    </w:tbl>
    <w:p w14:paraId="762A0700" w14:textId="77777777" w:rsidR="00044D5B" w:rsidRPr="00392E88" w:rsidRDefault="00044D5B" w:rsidP="00044D5B">
      <w:pPr>
        <w:pStyle w:val="Text1"/>
        <w:rPr>
          <w:noProof/>
          <w:szCs w:val="24"/>
        </w:rPr>
      </w:pPr>
      <w:r w:rsidRPr="00392E88">
        <w:t>W przypadku wpływu na dochody przeznaczone na określony cel należy wskazać linie budżetowe po stronie wydatków, które ten wpływ obejmie.</w:t>
      </w:r>
    </w:p>
    <w:p w14:paraId="455B7DB7" w14:textId="77777777" w:rsidR="00044D5B" w:rsidRPr="00392E88" w:rsidRDefault="0078257E" w:rsidP="00044D5B">
      <w:pPr>
        <w:pStyle w:val="Text1"/>
        <w:pBdr>
          <w:top w:val="single" w:sz="4" w:space="1" w:color="auto"/>
          <w:left w:val="single" w:sz="4" w:space="4" w:color="auto"/>
          <w:bottom w:val="single" w:sz="4" w:space="1" w:color="auto"/>
          <w:right w:val="single" w:sz="4" w:space="4" w:color="auto"/>
        </w:pBdr>
        <w:rPr>
          <w:noProof/>
        </w:rPr>
      </w:pPr>
      <w:r w:rsidRPr="00392E88">
        <w:t>Nie dotyczy</w:t>
      </w:r>
    </w:p>
    <w:p w14:paraId="61F2B2EA" w14:textId="77777777" w:rsidR="00044D5B" w:rsidRPr="00392E88" w:rsidRDefault="00044D5B" w:rsidP="00044D5B">
      <w:pPr>
        <w:pStyle w:val="Text1"/>
        <w:rPr>
          <w:noProof/>
          <w:szCs w:val="24"/>
        </w:rPr>
      </w:pPr>
      <w:r w:rsidRPr="00392E88">
        <w:t>Pozostałe uwagi (np. metoda/wzór użyte do obliczenia wpływu na dochody albo inne informacje).</w:t>
      </w:r>
    </w:p>
    <w:p w14:paraId="36C6A841" w14:textId="77777777" w:rsidR="00BF5578" w:rsidRPr="00392E88" w:rsidRDefault="00044D5B" w:rsidP="005D0C3B">
      <w:pPr>
        <w:pStyle w:val="TOC3"/>
        <w:ind w:left="0"/>
      </w:pPr>
      <w:r w:rsidRPr="00392E88">
        <w:br w:type="page"/>
      </w:r>
    </w:p>
    <w:bookmarkEnd w:id="108"/>
    <w:bookmarkEnd w:id="109"/>
    <w:bookmarkEnd w:id="110"/>
    <w:bookmarkEnd w:id="111"/>
    <w:bookmarkEnd w:id="112"/>
    <w:p w14:paraId="7E319901" w14:textId="77777777" w:rsidR="00AC2BE5" w:rsidRPr="00392E88" w:rsidRDefault="00AC2BE5" w:rsidP="005D0C3B">
      <w:pPr>
        <w:pStyle w:val="ManualNumPar1"/>
        <w:rPr>
          <w:noProof/>
        </w:rPr>
      </w:pPr>
    </w:p>
    <w:p w14:paraId="4FC7C1EF" w14:textId="77777777" w:rsidR="00AC2BE5" w:rsidRPr="00392E88" w:rsidRDefault="00AC2BE5">
      <w:pPr>
        <w:pStyle w:val="ManualHeading1"/>
        <w:rPr>
          <w:caps/>
        </w:rPr>
      </w:pPr>
      <w:bookmarkStart w:id="113" w:name="_Toc167220301"/>
      <w:bookmarkStart w:id="114" w:name="_Toc177549035"/>
      <w:r w:rsidRPr="00392E88">
        <w:t>4.</w:t>
      </w:r>
      <w:r w:rsidRPr="00392E88">
        <w:tab/>
      </w:r>
      <w:bookmarkStart w:id="115" w:name="_Hlk167692977"/>
      <w:r w:rsidRPr="00392E88">
        <w:rPr>
          <w:caps/>
        </w:rPr>
        <w:t>Wymiar cyfrowy</w:t>
      </w:r>
      <w:bookmarkEnd w:id="113"/>
      <w:bookmarkEnd w:id="114"/>
    </w:p>
    <w:p w14:paraId="3D67D05B" w14:textId="77777777" w:rsidR="00AC2BE5" w:rsidRPr="00392E88" w:rsidRDefault="00AC2BE5">
      <w:pPr>
        <w:pStyle w:val="ManualHeading2"/>
      </w:pPr>
      <w:bookmarkStart w:id="116" w:name="_Toc167220302"/>
      <w:bookmarkStart w:id="117" w:name="_Toc177549037"/>
      <w:r w:rsidRPr="00392E88">
        <w:t>4.1.</w:t>
      </w:r>
      <w:r w:rsidRPr="00392E88">
        <w:tab/>
        <w:t>Wymogi cyfrowe</w:t>
      </w:r>
      <w:bookmarkEnd w:id="116"/>
      <w:bookmarkEnd w:id="117"/>
    </w:p>
    <w:tbl>
      <w:tblPr>
        <w:tblW w:w="9072" w:type="dxa"/>
        <w:tblInd w:w="-5" w:type="dxa"/>
        <w:tblLayout w:type="fixed"/>
        <w:tblCellMar>
          <w:left w:w="0" w:type="dxa"/>
          <w:right w:w="0" w:type="dxa"/>
        </w:tblCellMar>
        <w:tblLook w:val="06A0" w:firstRow="1" w:lastRow="0" w:firstColumn="1" w:lastColumn="0" w:noHBand="1" w:noVBand="1"/>
      </w:tblPr>
      <w:tblGrid>
        <w:gridCol w:w="9072"/>
      </w:tblGrid>
      <w:tr w:rsidR="00783C00" w:rsidRPr="00392E88" w14:paraId="25F7A620" w14:textId="77777777">
        <w:trPr>
          <w:trHeight w:val="300"/>
        </w:trPr>
        <w:tc>
          <w:tcPr>
            <w:tcW w:w="9072" w:type="dxa"/>
          </w:tcPr>
          <w:p w14:paraId="52B1076D" w14:textId="77777777" w:rsidR="007F6C20" w:rsidRPr="00392E88" w:rsidRDefault="007F6C20">
            <w:r w:rsidRPr="00392E88">
              <w:t>Wykaz wymogów cyfrowych</w:t>
            </w:r>
          </w:p>
          <w:tbl>
            <w:tblPr>
              <w:tblStyle w:val="TableGrid"/>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111"/>
              <w:gridCol w:w="1276"/>
              <w:gridCol w:w="1275"/>
              <w:gridCol w:w="1134"/>
            </w:tblGrid>
            <w:tr w:rsidR="00910864" w:rsidRPr="00392E88" w14:paraId="7C2B5F6E" w14:textId="77777777" w:rsidTr="00B2116D">
              <w:tc>
                <w:tcPr>
                  <w:tcW w:w="1276" w:type="dxa"/>
                </w:tcPr>
                <w:p w14:paraId="6C76CEAA" w14:textId="77777777" w:rsidR="00910864" w:rsidRPr="00392E88" w:rsidRDefault="00303317" w:rsidP="005D0C3B">
                  <w:pPr>
                    <w:jc w:val="center"/>
                    <w:rPr>
                      <w:rFonts w:eastAsiaTheme="minorHAnsi"/>
                    </w:rPr>
                  </w:pPr>
                  <w:r w:rsidRPr="00392E88">
                    <w:t>Odniesienie do wymogu</w:t>
                  </w:r>
                </w:p>
              </w:tc>
              <w:tc>
                <w:tcPr>
                  <w:tcW w:w="4111" w:type="dxa"/>
                </w:tcPr>
                <w:p w14:paraId="24E34971" w14:textId="77777777" w:rsidR="00910864" w:rsidRPr="00392E88" w:rsidRDefault="009F5830" w:rsidP="005D0C3B">
                  <w:pPr>
                    <w:jc w:val="center"/>
                    <w:rPr>
                      <w:rFonts w:eastAsiaTheme="minorHAnsi"/>
                    </w:rPr>
                  </w:pPr>
                  <w:r w:rsidRPr="00392E88">
                    <w:t>Opis wymogu</w:t>
                  </w:r>
                </w:p>
              </w:tc>
              <w:tc>
                <w:tcPr>
                  <w:tcW w:w="1276" w:type="dxa"/>
                </w:tcPr>
                <w:p w14:paraId="3E854D4A" w14:textId="77777777" w:rsidR="00910864" w:rsidRPr="00392E88" w:rsidRDefault="009F5830" w:rsidP="005D0C3B">
                  <w:pPr>
                    <w:jc w:val="center"/>
                    <w:rPr>
                      <w:rFonts w:eastAsiaTheme="minorHAnsi"/>
                    </w:rPr>
                  </w:pPr>
                  <w:r w:rsidRPr="00392E88">
                    <w:t>Podmioty, których dotyczy wymóg lub na które wymóg ten ma wpływ</w:t>
                  </w:r>
                </w:p>
              </w:tc>
              <w:tc>
                <w:tcPr>
                  <w:tcW w:w="1275" w:type="dxa"/>
                </w:tcPr>
                <w:p w14:paraId="1AF2F68A" w14:textId="77777777" w:rsidR="00910864" w:rsidRPr="00392E88" w:rsidRDefault="00A21DED" w:rsidP="005D0C3B">
                  <w:pPr>
                    <w:jc w:val="center"/>
                    <w:rPr>
                      <w:rFonts w:eastAsiaTheme="minorHAnsi"/>
                    </w:rPr>
                  </w:pPr>
                  <w:r w:rsidRPr="00392E88">
                    <w:t>Procesy ogólne</w:t>
                  </w:r>
                </w:p>
              </w:tc>
              <w:tc>
                <w:tcPr>
                  <w:tcW w:w="1134" w:type="dxa"/>
                </w:tcPr>
                <w:p w14:paraId="75E8B9C3" w14:textId="77777777" w:rsidR="00910864" w:rsidRPr="00392E88" w:rsidRDefault="00916316" w:rsidP="005D0C3B">
                  <w:pPr>
                    <w:jc w:val="center"/>
                    <w:rPr>
                      <w:rFonts w:eastAsiaTheme="minorHAnsi"/>
                    </w:rPr>
                  </w:pPr>
                  <w:r w:rsidRPr="00392E88">
                    <w:t>Kategoria</w:t>
                  </w:r>
                </w:p>
              </w:tc>
            </w:tr>
            <w:tr w:rsidR="00910864" w:rsidRPr="00392E88" w14:paraId="546B2435" w14:textId="77777777" w:rsidTr="00B2116D">
              <w:tc>
                <w:tcPr>
                  <w:tcW w:w="1276" w:type="dxa"/>
                </w:tcPr>
                <w:p w14:paraId="26F8E6E3" w14:textId="77777777" w:rsidR="00910864" w:rsidRPr="00392E88" w:rsidRDefault="00141D9D" w:rsidP="005D0C3B">
                  <w:pPr>
                    <w:jc w:val="left"/>
                    <w:rPr>
                      <w:rFonts w:eastAsiaTheme="minorHAnsi"/>
                      <w:szCs w:val="22"/>
                    </w:rPr>
                  </w:pPr>
                  <w:r w:rsidRPr="00392E88">
                    <w:t>Art. 11</w:t>
                  </w:r>
                </w:p>
              </w:tc>
              <w:tc>
                <w:tcPr>
                  <w:tcW w:w="4111" w:type="dxa"/>
                </w:tcPr>
                <w:p w14:paraId="35BE69E8" w14:textId="34B16F6D" w:rsidR="00910864" w:rsidRPr="00392E88" w:rsidRDefault="00141D9D" w:rsidP="005D0C3B">
                  <w:pPr>
                    <w:jc w:val="left"/>
                    <w:rPr>
                      <w:rFonts w:eastAsiaTheme="minorHAnsi"/>
                      <w:szCs w:val="22"/>
                    </w:rPr>
                  </w:pPr>
                  <w:r w:rsidRPr="00392E88">
                    <w:t>Należy przyspieszyć wymianę informacji między właściwymi organami rodzimego państwa</w:t>
                  </w:r>
                  <w:r w:rsidR="006E6446" w:rsidRPr="00392E88">
                    <w:t xml:space="preserve"> i</w:t>
                  </w:r>
                  <w:r w:rsidR="006E6446">
                    <w:t> </w:t>
                  </w:r>
                  <w:r w:rsidR="006E6446" w:rsidRPr="00392E88">
                    <w:t>pań</w:t>
                  </w:r>
                  <w:r w:rsidRPr="00392E88">
                    <w:t>stwa przyjmującego, co umożliwi ściślejszą koordynację,</w:t>
                  </w:r>
                  <w:r w:rsidR="006E6446" w:rsidRPr="00392E88">
                    <w:t xml:space="preserve"> w</w:t>
                  </w:r>
                  <w:r w:rsidR="006E6446">
                    <w:t> </w:t>
                  </w:r>
                  <w:r w:rsidR="006E6446" w:rsidRPr="00392E88">
                    <w:t>tym</w:t>
                  </w:r>
                  <w:r w:rsidRPr="00392E88">
                    <w:t>,</w:t>
                  </w:r>
                  <w:r w:rsidR="006E6446" w:rsidRPr="00392E88">
                    <w:t xml:space="preserve"> w</w:t>
                  </w:r>
                  <w:r w:rsidR="006E6446">
                    <w:t> </w:t>
                  </w:r>
                  <w:r w:rsidR="006E6446" w:rsidRPr="00392E88">
                    <w:t>sto</w:t>
                  </w:r>
                  <w:r w:rsidRPr="00392E88">
                    <w:t>sownych przypadkach, przez zaangażowanie Europejskiego Urzędu Nadzoru Ubezpieczeń</w:t>
                  </w:r>
                  <w:r w:rsidR="006E6446" w:rsidRPr="00392E88">
                    <w:t xml:space="preserve"> i</w:t>
                  </w:r>
                  <w:r w:rsidR="006E6446">
                    <w:t> </w:t>
                  </w:r>
                  <w:r w:rsidR="006E6446" w:rsidRPr="00392E88">
                    <w:t>Pra</w:t>
                  </w:r>
                  <w:r w:rsidRPr="00392E88">
                    <w:t>cowniczych Programów Emerytalnych („EIOPA”). Państwa członkowskie zapewniają, aby wszystkie procedury</w:t>
                  </w:r>
                  <w:r w:rsidR="006E6446" w:rsidRPr="00392E88">
                    <w:t xml:space="preserve"> i</w:t>
                  </w:r>
                  <w:r w:rsidR="006E6446">
                    <w:t> </w:t>
                  </w:r>
                  <w:r w:rsidR="006E6446" w:rsidRPr="00392E88">
                    <w:t>for</w:t>
                  </w:r>
                  <w:r w:rsidRPr="00392E88">
                    <w:t>malności związane</w:t>
                  </w:r>
                  <w:r w:rsidR="006E6446" w:rsidRPr="00392E88">
                    <w:t xml:space="preserve"> z</w:t>
                  </w:r>
                  <w:r w:rsidR="006E6446">
                    <w:t> </w:t>
                  </w:r>
                  <w:r w:rsidR="006E6446" w:rsidRPr="00392E88">
                    <w:t>dzi</w:t>
                  </w:r>
                  <w:r w:rsidRPr="00392E88">
                    <w:t>ałalnością</w:t>
                  </w:r>
                  <w:r w:rsidR="006E6446" w:rsidRPr="00392E88">
                    <w:t xml:space="preserve"> i</w:t>
                  </w:r>
                  <w:r w:rsidR="006E6446">
                    <w:t> </w:t>
                  </w:r>
                  <w:r w:rsidR="006E6446" w:rsidRPr="00392E88">
                    <w:t>pro</w:t>
                  </w:r>
                  <w:r w:rsidRPr="00392E88">
                    <w:t>cedurami transgranicznymi można było łatwo dopełnić drogą elektroniczną.</w:t>
                  </w:r>
                </w:p>
              </w:tc>
              <w:tc>
                <w:tcPr>
                  <w:tcW w:w="1276" w:type="dxa"/>
                </w:tcPr>
                <w:p w14:paraId="64F1C225" w14:textId="77777777" w:rsidR="00910864" w:rsidRPr="00392E88" w:rsidRDefault="000D2513" w:rsidP="005D0C3B">
                  <w:pPr>
                    <w:jc w:val="left"/>
                    <w:rPr>
                      <w:rFonts w:eastAsiaTheme="minorHAnsi"/>
                      <w:szCs w:val="22"/>
                    </w:rPr>
                  </w:pPr>
                  <w:r w:rsidRPr="00392E88">
                    <w:t>Właściwe organy krajowe, EIOPA</w:t>
                  </w:r>
                </w:p>
              </w:tc>
              <w:tc>
                <w:tcPr>
                  <w:tcW w:w="1275" w:type="dxa"/>
                </w:tcPr>
                <w:p w14:paraId="29B1EF9E" w14:textId="77777777" w:rsidR="00910864" w:rsidRPr="00392E88" w:rsidRDefault="000D2513" w:rsidP="005D0C3B">
                  <w:pPr>
                    <w:jc w:val="left"/>
                    <w:rPr>
                      <w:rFonts w:eastAsiaTheme="minorHAnsi"/>
                      <w:szCs w:val="22"/>
                    </w:rPr>
                  </w:pPr>
                  <w:r w:rsidRPr="00392E88">
                    <w:t>Wymiana informacji</w:t>
                  </w:r>
                </w:p>
              </w:tc>
              <w:tc>
                <w:tcPr>
                  <w:tcW w:w="1134" w:type="dxa"/>
                </w:tcPr>
                <w:p w14:paraId="2A4242A3" w14:textId="77777777" w:rsidR="00910864" w:rsidRPr="00392E88" w:rsidRDefault="000D2513" w:rsidP="005D0C3B">
                  <w:pPr>
                    <w:jc w:val="left"/>
                    <w:rPr>
                      <w:rFonts w:eastAsiaTheme="minorHAnsi"/>
                    </w:rPr>
                  </w:pPr>
                  <w:r w:rsidRPr="00392E88">
                    <w:t>Dane; automatyzacja procesów; rozwiązanie cyfrowe;</w:t>
                  </w:r>
                </w:p>
                <w:p w14:paraId="4B033092" w14:textId="77777777" w:rsidR="00910864" w:rsidRPr="00392E88" w:rsidRDefault="00D2626A" w:rsidP="005D0C3B">
                  <w:pPr>
                    <w:jc w:val="left"/>
                    <w:rPr>
                      <w:rFonts w:eastAsiaTheme="minorHAnsi"/>
                      <w:szCs w:val="22"/>
                    </w:rPr>
                  </w:pPr>
                  <w:r w:rsidRPr="00392E88">
                    <w:t>cyfrowa usługa publiczna</w:t>
                  </w:r>
                </w:p>
              </w:tc>
            </w:tr>
            <w:tr w:rsidR="00910864" w:rsidRPr="00392E88" w14:paraId="168FD67E" w14:textId="77777777" w:rsidTr="00B2116D">
              <w:tc>
                <w:tcPr>
                  <w:tcW w:w="1276" w:type="dxa"/>
                </w:tcPr>
                <w:p w14:paraId="2D58F6EC" w14:textId="77777777" w:rsidR="00910864" w:rsidRPr="00392E88" w:rsidRDefault="00BF32A6" w:rsidP="005D0C3B">
                  <w:pPr>
                    <w:jc w:val="left"/>
                    <w:rPr>
                      <w:rFonts w:eastAsiaTheme="minorHAnsi"/>
                      <w:szCs w:val="22"/>
                    </w:rPr>
                  </w:pPr>
                  <w:r w:rsidRPr="00392E88">
                    <w:t>Art. 22a</w:t>
                  </w:r>
                </w:p>
              </w:tc>
              <w:tc>
                <w:tcPr>
                  <w:tcW w:w="4111" w:type="dxa"/>
                </w:tcPr>
                <w:p w14:paraId="49058444" w14:textId="17139590" w:rsidR="00910864" w:rsidRPr="00392E88" w:rsidRDefault="00FF502E" w:rsidP="005D0C3B">
                  <w:pPr>
                    <w:jc w:val="left"/>
                    <w:rPr>
                      <w:rFonts w:eastAsiaTheme="minorHAnsi"/>
                      <w:szCs w:val="22"/>
                    </w:rPr>
                  </w:pPr>
                  <w:r w:rsidRPr="00392E88">
                    <w:t>W przypadku gdy istnieją systemy monitorowania uprawnień emerytalnych, państwa członkowskie zapewniają, aby zakłady ubezpieczeń</w:t>
                  </w:r>
                  <w:r w:rsidR="006E6446" w:rsidRPr="00392E88">
                    <w:t xml:space="preserve"> i</w:t>
                  </w:r>
                  <w:r w:rsidR="006E6446">
                    <w:t> </w:t>
                  </w:r>
                  <w:r w:rsidR="006E6446" w:rsidRPr="00392E88">
                    <w:t>poś</w:t>
                  </w:r>
                  <w:r w:rsidRPr="00392E88">
                    <w:t>rednicy ubezpieczeniowi przekazywali do systemów monitorowania uprawnień emerytalnych,</w:t>
                  </w:r>
                  <w:r w:rsidR="006E6446" w:rsidRPr="00392E88">
                    <w:t xml:space="preserve"> o</w:t>
                  </w:r>
                  <w:r w:rsidR="006E6446">
                    <w:t> </w:t>
                  </w:r>
                  <w:r w:rsidR="006E6446" w:rsidRPr="00392E88">
                    <w:t>ile</w:t>
                  </w:r>
                  <w:r w:rsidRPr="00392E88">
                    <w:t xml:space="preserve"> takie systemy zostały ustanowione, wszystkie informacje niezbędne do zapewnienia klientom kompleksowego, wiarygodnego</w:t>
                  </w:r>
                  <w:r w:rsidR="006E6446" w:rsidRPr="00392E88">
                    <w:t xml:space="preserve"> i</w:t>
                  </w:r>
                  <w:r w:rsidR="006E6446">
                    <w:t> </w:t>
                  </w:r>
                  <w:r w:rsidR="006E6446" w:rsidRPr="00392E88">
                    <w:t>akt</w:t>
                  </w:r>
                  <w:r w:rsidRPr="00392E88">
                    <w:t>ualnego przeglądu ich pracowniczych</w:t>
                  </w:r>
                  <w:r w:rsidR="006E6446" w:rsidRPr="00392E88">
                    <w:t xml:space="preserve"> i</w:t>
                  </w:r>
                  <w:r w:rsidR="006E6446">
                    <w:t> </w:t>
                  </w:r>
                  <w:r w:rsidR="006E6446" w:rsidRPr="00392E88">
                    <w:t>ind</w:t>
                  </w:r>
                  <w:r w:rsidRPr="00392E88">
                    <w:t>ywidualnych uprawnień emerytalnych.</w:t>
                  </w:r>
                </w:p>
              </w:tc>
              <w:tc>
                <w:tcPr>
                  <w:tcW w:w="1276" w:type="dxa"/>
                </w:tcPr>
                <w:p w14:paraId="73AFF7F2" w14:textId="24590A7E" w:rsidR="00910864" w:rsidRPr="00392E88" w:rsidRDefault="00254B96" w:rsidP="005D0C3B">
                  <w:pPr>
                    <w:jc w:val="left"/>
                    <w:rPr>
                      <w:rFonts w:eastAsiaTheme="minorHAnsi"/>
                      <w:szCs w:val="22"/>
                    </w:rPr>
                  </w:pPr>
                  <w:r w:rsidRPr="00392E88">
                    <w:t>Państwa członkowskie; zakłady ubezpieczeń</w:t>
                  </w:r>
                  <w:r w:rsidR="006E6446" w:rsidRPr="00392E88">
                    <w:t xml:space="preserve"> i</w:t>
                  </w:r>
                  <w:r w:rsidR="006E6446">
                    <w:t> </w:t>
                  </w:r>
                  <w:r w:rsidR="006E6446" w:rsidRPr="00392E88">
                    <w:t>poś</w:t>
                  </w:r>
                  <w:r w:rsidRPr="00392E88">
                    <w:t>rednicy ubezpieczeniowi</w:t>
                  </w:r>
                </w:p>
              </w:tc>
              <w:tc>
                <w:tcPr>
                  <w:tcW w:w="1275" w:type="dxa"/>
                </w:tcPr>
                <w:p w14:paraId="40C7F78D" w14:textId="77777777" w:rsidR="00910864" w:rsidRPr="00392E88" w:rsidRDefault="00481056" w:rsidP="005D0C3B">
                  <w:pPr>
                    <w:jc w:val="left"/>
                    <w:rPr>
                      <w:rFonts w:eastAsiaTheme="minorHAnsi"/>
                      <w:szCs w:val="22"/>
                    </w:rPr>
                  </w:pPr>
                  <w:r w:rsidRPr="00392E88">
                    <w:t>Przekazywanie informacji</w:t>
                  </w:r>
                </w:p>
              </w:tc>
              <w:tc>
                <w:tcPr>
                  <w:tcW w:w="1134" w:type="dxa"/>
                </w:tcPr>
                <w:p w14:paraId="5270A0C8" w14:textId="77777777" w:rsidR="00254B96" w:rsidRPr="00392E88" w:rsidRDefault="00254B96" w:rsidP="005D0C3B">
                  <w:pPr>
                    <w:jc w:val="left"/>
                    <w:rPr>
                      <w:rFonts w:eastAsiaTheme="minorHAnsi"/>
                    </w:rPr>
                  </w:pPr>
                  <w:r w:rsidRPr="00392E88">
                    <w:t>Dane; rozwiązanie cyfrowe;</w:t>
                  </w:r>
                </w:p>
                <w:p w14:paraId="45D4FA36" w14:textId="77777777" w:rsidR="00910864" w:rsidRPr="00392E88" w:rsidRDefault="00254B96" w:rsidP="005D0C3B">
                  <w:pPr>
                    <w:jc w:val="left"/>
                    <w:rPr>
                      <w:rFonts w:eastAsiaTheme="minorHAnsi"/>
                      <w:szCs w:val="22"/>
                    </w:rPr>
                  </w:pPr>
                  <w:r w:rsidRPr="00392E88">
                    <w:t>cyfrowa usługa publiczna</w:t>
                  </w:r>
                </w:p>
              </w:tc>
            </w:tr>
            <w:tr w:rsidR="00910864" w:rsidRPr="00392E88" w14:paraId="70604D5C" w14:textId="77777777" w:rsidTr="00B2116D">
              <w:tc>
                <w:tcPr>
                  <w:tcW w:w="1276" w:type="dxa"/>
                </w:tcPr>
                <w:p w14:paraId="27245054" w14:textId="77777777" w:rsidR="00910864" w:rsidRPr="00392E88" w:rsidRDefault="007B0F29" w:rsidP="005D0C3B">
                  <w:pPr>
                    <w:jc w:val="left"/>
                    <w:rPr>
                      <w:rFonts w:eastAsiaTheme="minorHAnsi"/>
                      <w:szCs w:val="22"/>
                    </w:rPr>
                  </w:pPr>
                  <w:r w:rsidRPr="00392E88">
                    <w:t>Art. 37a</w:t>
                  </w:r>
                </w:p>
              </w:tc>
              <w:tc>
                <w:tcPr>
                  <w:tcW w:w="4111" w:type="dxa"/>
                </w:tcPr>
                <w:p w14:paraId="372A74F7" w14:textId="506BBEB0" w:rsidR="00910864" w:rsidRPr="00392E88" w:rsidRDefault="007B0F29" w:rsidP="005D0C3B">
                  <w:pPr>
                    <w:jc w:val="left"/>
                    <w:rPr>
                      <w:rFonts w:eastAsiaTheme="minorHAnsi"/>
                      <w:szCs w:val="22"/>
                    </w:rPr>
                  </w:pPr>
                  <w:r w:rsidRPr="00392E88">
                    <w:t>Państwa członkowskie zapewniają, aby IORP przekazywały do systemów monitorowania uprawnień emerytalnych,</w:t>
                  </w:r>
                  <w:r w:rsidR="006E6446" w:rsidRPr="00392E88">
                    <w:t xml:space="preserve"> o</w:t>
                  </w:r>
                  <w:r w:rsidR="006E6446">
                    <w:t> </w:t>
                  </w:r>
                  <w:r w:rsidR="006E6446" w:rsidRPr="00392E88">
                    <w:t>ile</w:t>
                  </w:r>
                  <w:r w:rsidRPr="00392E88">
                    <w:t xml:space="preserve"> takie systemy zostały ustanowione, wszystkie informacje niezbędne do zapewnienia uczestnikom</w:t>
                  </w:r>
                  <w:r w:rsidR="006E6446" w:rsidRPr="00392E88">
                    <w:t xml:space="preserve"> i</w:t>
                  </w:r>
                  <w:r w:rsidR="006E6446">
                    <w:t> </w:t>
                  </w:r>
                  <w:r w:rsidR="006E6446" w:rsidRPr="00392E88">
                    <w:t>ben</w:t>
                  </w:r>
                  <w:r w:rsidRPr="00392E88">
                    <w:t>eficjentom kompleksowego, wiarygodnego</w:t>
                  </w:r>
                  <w:r w:rsidR="006E6446" w:rsidRPr="00392E88">
                    <w:t xml:space="preserve"> i</w:t>
                  </w:r>
                  <w:r w:rsidR="006E6446">
                    <w:t> </w:t>
                  </w:r>
                  <w:r w:rsidR="006E6446" w:rsidRPr="00392E88">
                    <w:t>akt</w:t>
                  </w:r>
                  <w:r w:rsidRPr="00392E88">
                    <w:t>ualnego przeglądu ich pracowniczych</w:t>
                  </w:r>
                  <w:r w:rsidR="006E6446" w:rsidRPr="00392E88">
                    <w:t xml:space="preserve"> i</w:t>
                  </w:r>
                  <w:r w:rsidR="006E6446">
                    <w:t> </w:t>
                  </w:r>
                  <w:r w:rsidR="006E6446" w:rsidRPr="00392E88">
                    <w:t>ind</w:t>
                  </w:r>
                  <w:r w:rsidRPr="00392E88">
                    <w:t>ywidualnych uprawnień emerytalnych. IORP pozostają</w:t>
                  </w:r>
                  <w:r w:rsidR="006E6446" w:rsidRPr="00392E88">
                    <w:t xml:space="preserve"> w</w:t>
                  </w:r>
                  <w:r w:rsidR="006E6446">
                    <w:t> </w:t>
                  </w:r>
                  <w:r w:rsidR="006E6446" w:rsidRPr="00392E88">
                    <w:t>peł</w:t>
                  </w:r>
                  <w:r w:rsidRPr="00392E88">
                    <w:t>ni odpowiedzialne za kompletność</w:t>
                  </w:r>
                  <w:r w:rsidR="006E6446" w:rsidRPr="00392E88">
                    <w:t xml:space="preserve"> i</w:t>
                  </w:r>
                  <w:r w:rsidR="006E6446">
                    <w:t> </w:t>
                  </w:r>
                  <w:r w:rsidR="006E6446" w:rsidRPr="00392E88">
                    <w:t>dok</w:t>
                  </w:r>
                  <w:r w:rsidRPr="00392E88">
                    <w:t>ładność przekazywanych danych oraz za wypełnienie wszystkich obowiązków dotyczących przekazywania informacji. Format</w:t>
                  </w:r>
                  <w:r w:rsidR="006E6446" w:rsidRPr="00392E88">
                    <w:t xml:space="preserve"> i</w:t>
                  </w:r>
                  <w:r w:rsidR="006E6446">
                    <w:t> </w:t>
                  </w:r>
                  <w:r w:rsidR="006E6446" w:rsidRPr="00392E88">
                    <w:t>str</w:t>
                  </w:r>
                  <w:r w:rsidRPr="00392E88">
                    <w:t>uktura informacji, które mają być przekazywane do systemów monitorowania uprawnień emerytalnych, muszą</w:t>
                  </w:r>
                  <w:r w:rsidR="006E6446" w:rsidRPr="00392E88">
                    <w:t xml:space="preserve"> w</w:t>
                  </w:r>
                  <w:r w:rsidR="006E6446">
                    <w:t> </w:t>
                  </w:r>
                  <w:r w:rsidR="006E6446" w:rsidRPr="00392E88">
                    <w:t>jak</w:t>
                  </w:r>
                  <w:r w:rsidRPr="00392E88">
                    <w:t xml:space="preserve"> największym stopniu zapewniać zgodność</w:t>
                  </w:r>
                  <w:r w:rsidR="006E6446" w:rsidRPr="00392E88">
                    <w:t xml:space="preserve"> z</w:t>
                  </w:r>
                  <w:r w:rsidR="006E6446">
                    <w:t> </w:t>
                  </w:r>
                  <w:r w:rsidR="006E6446" w:rsidRPr="00392E88">
                    <w:t>roz</w:t>
                  </w:r>
                  <w:r w:rsidRPr="00392E88">
                    <w:t>porządzeniem delegowanym Komisji (UE) 2021/473.</w:t>
                  </w:r>
                </w:p>
              </w:tc>
              <w:tc>
                <w:tcPr>
                  <w:tcW w:w="1276" w:type="dxa"/>
                </w:tcPr>
                <w:p w14:paraId="72D60863" w14:textId="77777777" w:rsidR="00910864" w:rsidRPr="00392E88" w:rsidRDefault="00B64FCB" w:rsidP="005D0C3B">
                  <w:pPr>
                    <w:jc w:val="left"/>
                    <w:rPr>
                      <w:rFonts w:eastAsiaTheme="minorHAnsi"/>
                      <w:szCs w:val="22"/>
                    </w:rPr>
                  </w:pPr>
                  <w:r w:rsidRPr="00392E88">
                    <w:t>Państwa członkowskie; IORP</w:t>
                  </w:r>
                </w:p>
              </w:tc>
              <w:tc>
                <w:tcPr>
                  <w:tcW w:w="1275" w:type="dxa"/>
                </w:tcPr>
                <w:p w14:paraId="180CA3F2" w14:textId="77777777" w:rsidR="00910864" w:rsidRPr="00392E88" w:rsidRDefault="009B7A0E" w:rsidP="005D0C3B">
                  <w:pPr>
                    <w:jc w:val="left"/>
                    <w:rPr>
                      <w:rFonts w:eastAsiaTheme="minorHAnsi"/>
                      <w:szCs w:val="22"/>
                    </w:rPr>
                  </w:pPr>
                  <w:r w:rsidRPr="00392E88">
                    <w:t>Przekazywanie informacji</w:t>
                  </w:r>
                </w:p>
              </w:tc>
              <w:tc>
                <w:tcPr>
                  <w:tcW w:w="1134" w:type="dxa"/>
                </w:tcPr>
                <w:p w14:paraId="37FA36A2" w14:textId="77777777" w:rsidR="009B7A0E" w:rsidRPr="00392E88" w:rsidRDefault="009B7A0E" w:rsidP="005D0C3B">
                  <w:pPr>
                    <w:jc w:val="left"/>
                    <w:rPr>
                      <w:rFonts w:eastAsiaTheme="minorHAnsi"/>
                    </w:rPr>
                  </w:pPr>
                  <w:r w:rsidRPr="00392E88">
                    <w:t>Dane; rozwiązanie cyfrowe;</w:t>
                  </w:r>
                </w:p>
                <w:p w14:paraId="150EB5C7" w14:textId="77777777" w:rsidR="00910864" w:rsidRPr="00392E88" w:rsidRDefault="009B7A0E" w:rsidP="005D0C3B">
                  <w:pPr>
                    <w:jc w:val="left"/>
                    <w:rPr>
                      <w:rFonts w:eastAsiaTheme="minorHAnsi"/>
                      <w:szCs w:val="22"/>
                    </w:rPr>
                  </w:pPr>
                  <w:r w:rsidRPr="00392E88">
                    <w:t>cyfrowa usługa publiczna</w:t>
                  </w:r>
                </w:p>
              </w:tc>
            </w:tr>
            <w:tr w:rsidR="00910864" w:rsidRPr="00392E88" w14:paraId="7B799DC2" w14:textId="77777777" w:rsidTr="00B2116D">
              <w:tc>
                <w:tcPr>
                  <w:tcW w:w="1276" w:type="dxa"/>
                </w:tcPr>
                <w:p w14:paraId="3984B9DC" w14:textId="77777777" w:rsidR="00910864" w:rsidRPr="00392E88" w:rsidRDefault="009B7A0E" w:rsidP="005D0C3B">
                  <w:pPr>
                    <w:jc w:val="left"/>
                    <w:rPr>
                      <w:rFonts w:eastAsiaTheme="minorHAnsi"/>
                      <w:szCs w:val="22"/>
                    </w:rPr>
                  </w:pPr>
                  <w:r w:rsidRPr="00392E88">
                    <w:t>Art. 55a</w:t>
                  </w:r>
                </w:p>
              </w:tc>
              <w:tc>
                <w:tcPr>
                  <w:tcW w:w="4111" w:type="dxa"/>
                </w:tcPr>
                <w:p w14:paraId="33DAF514" w14:textId="027A74ED" w:rsidR="00910864" w:rsidRPr="00392E88" w:rsidRDefault="00EE3642" w:rsidP="005D0C3B">
                  <w:pPr>
                    <w:jc w:val="left"/>
                    <w:rPr>
                      <w:rFonts w:eastAsiaTheme="minorHAnsi"/>
                      <w:szCs w:val="22"/>
                    </w:rPr>
                  </w:pPr>
                  <w:r w:rsidRPr="00392E88">
                    <w:t>EIOPA może,</w:t>
                  </w:r>
                  <w:r w:rsidR="006E6446" w:rsidRPr="00392E88">
                    <w:t xml:space="preserve"> z</w:t>
                  </w:r>
                  <w:r w:rsidR="006E6446">
                    <w:t> </w:t>
                  </w:r>
                  <w:r w:rsidR="006E6446" w:rsidRPr="00392E88">
                    <w:t>wła</w:t>
                  </w:r>
                  <w:r w:rsidRPr="00392E88">
                    <w:t>snej inicjatywy lub na wniosek jednego właściwego organu lub większej ich liczby, utworzyć</w:t>
                  </w:r>
                  <w:r w:rsidR="006E6446" w:rsidRPr="00392E88">
                    <w:t xml:space="preserve"> i</w:t>
                  </w:r>
                  <w:r w:rsidR="006E6446">
                    <w:t> </w:t>
                  </w:r>
                  <w:r w:rsidR="006E6446" w:rsidRPr="00392E88">
                    <w:t>koo</w:t>
                  </w:r>
                  <w:r w:rsidRPr="00392E88">
                    <w:t>rdynować platformę współpracy celem zintensyfikowania wymiany informacji</w:t>
                  </w:r>
                  <w:r w:rsidR="006E6446" w:rsidRPr="00392E88">
                    <w:t xml:space="preserve"> i</w:t>
                  </w:r>
                  <w:r w:rsidR="006E6446">
                    <w:t> </w:t>
                  </w:r>
                  <w:r w:rsidR="006E6446" w:rsidRPr="00392E88">
                    <w:t>zac</w:t>
                  </w:r>
                  <w:r w:rsidRPr="00392E88">
                    <w:t>ieśnienia współpracy między odpowiednimi właściwymi organami, jeżeli IORP prowadzi lub zamierza prowadzić działalność transgraniczną. Odpowiednie właściwe organy przekazują</w:t>
                  </w:r>
                  <w:r w:rsidR="006E6446" w:rsidRPr="00392E88">
                    <w:t xml:space="preserve"> w</w:t>
                  </w:r>
                  <w:r w:rsidR="006E6446">
                    <w:t> </w:t>
                  </w:r>
                  <w:r w:rsidR="006E6446" w:rsidRPr="00392E88">
                    <w:t>odp</w:t>
                  </w:r>
                  <w:r w:rsidRPr="00392E88">
                    <w:t>owiednim czasie wszystkie niezbędne informacje.</w:t>
                  </w:r>
                </w:p>
              </w:tc>
              <w:tc>
                <w:tcPr>
                  <w:tcW w:w="1276" w:type="dxa"/>
                </w:tcPr>
                <w:p w14:paraId="71F8D708" w14:textId="77777777" w:rsidR="00910864" w:rsidRPr="00392E88" w:rsidRDefault="00695436" w:rsidP="005D0C3B">
                  <w:pPr>
                    <w:jc w:val="left"/>
                    <w:rPr>
                      <w:rFonts w:eastAsiaTheme="minorHAnsi"/>
                      <w:szCs w:val="22"/>
                    </w:rPr>
                  </w:pPr>
                  <w:r w:rsidRPr="00392E88">
                    <w:t>Właściwe organy krajowe, EIOPA</w:t>
                  </w:r>
                </w:p>
              </w:tc>
              <w:tc>
                <w:tcPr>
                  <w:tcW w:w="1275" w:type="dxa"/>
                </w:tcPr>
                <w:p w14:paraId="725E34C8" w14:textId="77777777" w:rsidR="00910864" w:rsidRPr="00392E88" w:rsidRDefault="00695436" w:rsidP="005D0C3B">
                  <w:pPr>
                    <w:jc w:val="left"/>
                    <w:rPr>
                      <w:rFonts w:eastAsiaTheme="minorHAnsi"/>
                      <w:szCs w:val="22"/>
                    </w:rPr>
                  </w:pPr>
                  <w:r w:rsidRPr="00392E88">
                    <w:t>Publikowanie; monitorowanie; zarządzanie rejestrem</w:t>
                  </w:r>
                </w:p>
              </w:tc>
              <w:tc>
                <w:tcPr>
                  <w:tcW w:w="1134" w:type="dxa"/>
                </w:tcPr>
                <w:p w14:paraId="231BC5A2" w14:textId="77777777" w:rsidR="00910864" w:rsidRPr="00392E88" w:rsidRDefault="00695436" w:rsidP="005D0C3B">
                  <w:pPr>
                    <w:jc w:val="left"/>
                    <w:rPr>
                      <w:rFonts w:eastAsiaTheme="minorHAnsi"/>
                      <w:szCs w:val="22"/>
                    </w:rPr>
                  </w:pPr>
                  <w:r w:rsidRPr="00392E88">
                    <w:t>Dane, cyfrowe usługi publiczne</w:t>
                  </w:r>
                </w:p>
              </w:tc>
            </w:tr>
          </w:tbl>
          <w:p w14:paraId="03A60761" w14:textId="77777777" w:rsidR="00726E67" w:rsidRPr="00392E88" w:rsidRDefault="00726E67"/>
          <w:p w14:paraId="1375B6EF" w14:textId="77777777" w:rsidR="00AC2BE5" w:rsidRPr="00392E88" w:rsidRDefault="00AC2BE5" w:rsidP="005D0C3B">
            <w:pPr>
              <w:pStyle w:val="ListParagraph"/>
            </w:pPr>
          </w:p>
        </w:tc>
      </w:tr>
      <w:tr w:rsidR="006B115F" w:rsidRPr="00392E88" w14:paraId="088FECC2" w14:textId="77777777">
        <w:trPr>
          <w:trHeight w:val="300"/>
        </w:trPr>
        <w:tc>
          <w:tcPr>
            <w:tcW w:w="9072" w:type="dxa"/>
          </w:tcPr>
          <w:p w14:paraId="0B53326C" w14:textId="77777777" w:rsidR="0042520F" w:rsidRDefault="0042520F">
            <w:pPr>
              <w:spacing w:before="0" w:after="0"/>
              <w:jc w:val="left"/>
              <w:rPr>
                <w:rFonts w:asciiTheme="minorHAnsi" w:hAnsiTheme="minorHAnsi" w:cstheme="minorBidi"/>
                <w:sz w:val="22"/>
                <w:lang w:val="en-US"/>
              </w:rPr>
            </w:pPr>
          </w:p>
        </w:tc>
      </w:tr>
    </w:tbl>
    <w:p w14:paraId="147A8973" w14:textId="77777777" w:rsidR="00AC2BE5" w:rsidRPr="00392E88" w:rsidRDefault="00AC2BE5">
      <w:pPr>
        <w:pStyle w:val="ManualHeading2"/>
      </w:pPr>
      <w:bookmarkStart w:id="118" w:name="_Toc167220303"/>
      <w:bookmarkStart w:id="119" w:name="_Toc177549038"/>
      <w:r w:rsidRPr="00392E88">
        <w:t>4.2.</w:t>
      </w:r>
      <w:r w:rsidRPr="00392E88">
        <w:tab/>
        <w:t>Dane</w:t>
      </w:r>
      <w:bookmarkEnd w:id="118"/>
      <w:bookmarkEnd w:id="119"/>
    </w:p>
    <w:tbl>
      <w:tblPr>
        <w:tblW w:w="0" w:type="auto"/>
        <w:tblInd w:w="-108" w:type="dxa"/>
        <w:tblCellMar>
          <w:left w:w="0" w:type="dxa"/>
          <w:right w:w="0" w:type="dxa"/>
        </w:tblCellMar>
        <w:tblLook w:val="04A0" w:firstRow="1" w:lastRow="0" w:firstColumn="1" w:lastColumn="0" w:noHBand="0" w:noVBand="1"/>
      </w:tblPr>
      <w:tblGrid>
        <w:gridCol w:w="9181"/>
      </w:tblGrid>
      <w:tr w:rsidR="00AC2BE5" w:rsidRPr="00392E88" w14:paraId="672F3A5E" w14:textId="77777777">
        <w:tc>
          <w:tcPr>
            <w:tcW w:w="9063" w:type="dxa"/>
          </w:tcPr>
          <w:p w14:paraId="3BF7B261" w14:textId="77777777" w:rsidR="006F5FA4" w:rsidRPr="00392E88" w:rsidRDefault="006F5FA4" w:rsidP="006F5FA4">
            <w:r w:rsidRPr="00392E88">
              <w:t>Ogólny opis danych objętych zakresem inicjatywy oraz wszelkie powiązane normy/specyfikacje;</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6"/>
              <w:gridCol w:w="2126"/>
              <w:gridCol w:w="2571"/>
            </w:tblGrid>
            <w:tr w:rsidR="006F5FA4" w:rsidRPr="00392E88" w14:paraId="59FF968A" w14:textId="77777777" w:rsidTr="005D0C3B">
              <w:tc>
                <w:tcPr>
                  <w:tcW w:w="4356" w:type="dxa"/>
                </w:tcPr>
                <w:p w14:paraId="28831685" w14:textId="77777777" w:rsidR="006F5FA4" w:rsidRPr="00392E88" w:rsidRDefault="00BD664B" w:rsidP="005D0C3B">
                  <w:pPr>
                    <w:jc w:val="center"/>
                  </w:pPr>
                  <w:r w:rsidRPr="00392E88">
                    <w:t>Rodzaj danych</w:t>
                  </w:r>
                </w:p>
              </w:tc>
              <w:tc>
                <w:tcPr>
                  <w:tcW w:w="2126" w:type="dxa"/>
                </w:tcPr>
                <w:p w14:paraId="4803B9A4" w14:textId="77777777" w:rsidR="006F5FA4" w:rsidRPr="00392E88" w:rsidRDefault="000655BC" w:rsidP="005D0C3B">
                  <w:pPr>
                    <w:jc w:val="center"/>
                  </w:pPr>
                  <w:r w:rsidRPr="00392E88">
                    <w:t>Odniesienie do wymogu</w:t>
                  </w:r>
                </w:p>
              </w:tc>
              <w:tc>
                <w:tcPr>
                  <w:tcW w:w="2571" w:type="dxa"/>
                </w:tcPr>
                <w:p w14:paraId="51F5B3CD" w14:textId="77777777" w:rsidR="006F5FA4" w:rsidRPr="00392E88" w:rsidRDefault="00250A9F" w:rsidP="005D0C3B">
                  <w:pPr>
                    <w:jc w:val="center"/>
                  </w:pPr>
                  <w:r w:rsidRPr="00392E88">
                    <w:t>Normy lub specyfikacje (stosownie do przypadku)</w:t>
                  </w:r>
                </w:p>
              </w:tc>
            </w:tr>
            <w:tr w:rsidR="006F5FA4" w:rsidRPr="00392E88" w14:paraId="4D70885B" w14:textId="77777777" w:rsidTr="005D0C3B">
              <w:tc>
                <w:tcPr>
                  <w:tcW w:w="4356" w:type="dxa"/>
                </w:tcPr>
                <w:p w14:paraId="3D3F0885" w14:textId="07403505" w:rsidR="006F5FA4" w:rsidRPr="00392E88" w:rsidRDefault="00C5019B" w:rsidP="005D0C3B">
                  <w:pPr>
                    <w:jc w:val="left"/>
                  </w:pPr>
                  <w:r w:rsidRPr="00392E88">
                    <w:t>Informacje niezbędne do zapewnienia uczestnikom</w:t>
                  </w:r>
                  <w:r w:rsidR="006E6446" w:rsidRPr="00392E88">
                    <w:t xml:space="preserve"> i</w:t>
                  </w:r>
                  <w:r w:rsidR="006E6446">
                    <w:t> </w:t>
                  </w:r>
                  <w:r w:rsidR="006E6446" w:rsidRPr="00392E88">
                    <w:t>ben</w:t>
                  </w:r>
                  <w:r w:rsidRPr="00392E88">
                    <w:t>eficjentom kompleksowego, wiarygodnego</w:t>
                  </w:r>
                  <w:r w:rsidR="006E6446" w:rsidRPr="00392E88">
                    <w:t xml:space="preserve"> i</w:t>
                  </w:r>
                  <w:r w:rsidR="006E6446">
                    <w:t> </w:t>
                  </w:r>
                  <w:r w:rsidR="006E6446" w:rsidRPr="00392E88">
                    <w:t>akt</w:t>
                  </w:r>
                  <w:r w:rsidRPr="00392E88">
                    <w:t>ualnego przeglądu ich pracowniczych</w:t>
                  </w:r>
                  <w:r w:rsidR="006E6446" w:rsidRPr="00392E88">
                    <w:t xml:space="preserve"> i</w:t>
                  </w:r>
                  <w:r w:rsidR="006E6446">
                    <w:t> </w:t>
                  </w:r>
                  <w:r w:rsidR="006E6446" w:rsidRPr="00392E88">
                    <w:t>ind</w:t>
                  </w:r>
                  <w:r w:rsidRPr="00392E88">
                    <w:t>ywidualnych uprawnień emerytalnych</w:t>
                  </w:r>
                </w:p>
              </w:tc>
              <w:tc>
                <w:tcPr>
                  <w:tcW w:w="2126" w:type="dxa"/>
                </w:tcPr>
                <w:p w14:paraId="3636AEBC" w14:textId="676D7CD3" w:rsidR="006F5FA4" w:rsidRPr="00392E88" w:rsidRDefault="001B5AF9" w:rsidP="005D0C3B">
                  <w:pPr>
                    <w:jc w:val="left"/>
                  </w:pPr>
                  <w:r w:rsidRPr="00392E88">
                    <w:t xml:space="preserve">Art. 22a; </w:t>
                  </w:r>
                  <w:r w:rsidRPr="006E6446">
                    <w:t>art.</w:t>
                  </w:r>
                  <w:r w:rsidR="006E6446" w:rsidRPr="006E6446">
                    <w:t> </w:t>
                  </w:r>
                  <w:r w:rsidRPr="006E6446">
                    <w:t>3</w:t>
                  </w:r>
                  <w:r w:rsidRPr="00392E88">
                    <w:t>7a</w:t>
                  </w:r>
                </w:p>
              </w:tc>
              <w:tc>
                <w:tcPr>
                  <w:tcW w:w="2571" w:type="dxa"/>
                </w:tcPr>
                <w:p w14:paraId="6ADA22A8" w14:textId="77777777" w:rsidR="006F5FA4" w:rsidRPr="00392E88" w:rsidRDefault="00710B1F" w:rsidP="005D0C3B">
                  <w:pPr>
                    <w:jc w:val="left"/>
                  </w:pPr>
                  <w:r w:rsidRPr="00392E88">
                    <w:t>Do określenia przez właściwe organy krajowe</w:t>
                  </w:r>
                </w:p>
              </w:tc>
            </w:tr>
            <w:tr w:rsidR="006F5FA4" w:rsidRPr="00392E88" w14:paraId="2F26D95E" w14:textId="77777777" w:rsidTr="005D0C3B">
              <w:tc>
                <w:tcPr>
                  <w:tcW w:w="4356" w:type="dxa"/>
                </w:tcPr>
                <w:p w14:paraId="712BF8AD" w14:textId="7210D5CC" w:rsidR="006F5FA4" w:rsidRPr="00392E88" w:rsidRDefault="00BD664B" w:rsidP="005D0C3B">
                  <w:pPr>
                    <w:jc w:val="left"/>
                  </w:pPr>
                  <w:r w:rsidRPr="00392E88">
                    <w:t>Informacje dotyczące działalności</w:t>
                  </w:r>
                  <w:r w:rsidR="006E6446" w:rsidRPr="00392E88">
                    <w:t xml:space="preserve"> i</w:t>
                  </w:r>
                  <w:r w:rsidR="006E6446">
                    <w:t> </w:t>
                  </w:r>
                  <w:r w:rsidR="006E6446" w:rsidRPr="00392E88">
                    <w:t>pro</w:t>
                  </w:r>
                  <w:r w:rsidRPr="00392E88">
                    <w:t>cedur transgranicznych; Platformy współpracy</w:t>
                  </w:r>
                </w:p>
              </w:tc>
              <w:tc>
                <w:tcPr>
                  <w:tcW w:w="2126" w:type="dxa"/>
                </w:tcPr>
                <w:p w14:paraId="3EEFFB16" w14:textId="222F20B9" w:rsidR="006F5FA4" w:rsidRPr="00392E88" w:rsidRDefault="00710B1F" w:rsidP="005D0C3B">
                  <w:pPr>
                    <w:jc w:val="left"/>
                  </w:pPr>
                  <w:r w:rsidRPr="00392E88">
                    <w:t xml:space="preserve">Art. 11; </w:t>
                  </w:r>
                  <w:r w:rsidRPr="006E6446">
                    <w:t>art.</w:t>
                  </w:r>
                  <w:r w:rsidR="006E6446" w:rsidRPr="006E6446">
                    <w:t> </w:t>
                  </w:r>
                  <w:r w:rsidRPr="006E6446">
                    <w:t>5</w:t>
                  </w:r>
                  <w:r w:rsidRPr="00392E88">
                    <w:t>5a</w:t>
                  </w:r>
                </w:p>
              </w:tc>
              <w:tc>
                <w:tcPr>
                  <w:tcW w:w="2571" w:type="dxa"/>
                </w:tcPr>
                <w:p w14:paraId="178046BF" w14:textId="77777777" w:rsidR="006F5FA4" w:rsidRPr="00392E88" w:rsidRDefault="00710B1F" w:rsidP="005D0C3B">
                  <w:pPr>
                    <w:jc w:val="left"/>
                  </w:pPr>
                  <w:r w:rsidRPr="00392E88">
                    <w:t>Do określenia przez EIOPA</w:t>
                  </w:r>
                </w:p>
              </w:tc>
            </w:tr>
          </w:tbl>
          <w:p w14:paraId="006DA5AC" w14:textId="77777777" w:rsidR="006F5FA4" w:rsidRPr="00392E88" w:rsidRDefault="006F5FA4" w:rsidP="006F5FA4"/>
          <w:p w14:paraId="097965A5" w14:textId="77777777" w:rsidR="006F5FA4" w:rsidRPr="00392E88" w:rsidRDefault="007F6C20" w:rsidP="006F5FA4">
            <w:r w:rsidRPr="00392E88">
              <w:t>Przepływy danych</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4"/>
              <w:gridCol w:w="1257"/>
              <w:gridCol w:w="1679"/>
              <w:gridCol w:w="1535"/>
              <w:gridCol w:w="1498"/>
              <w:gridCol w:w="1438"/>
            </w:tblGrid>
            <w:tr w:rsidR="0083119D" w:rsidRPr="00392E88" w14:paraId="56D27E7D" w14:textId="77777777" w:rsidTr="005D0C3B">
              <w:tc>
                <w:tcPr>
                  <w:tcW w:w="2230" w:type="dxa"/>
                </w:tcPr>
                <w:p w14:paraId="113D1A3A" w14:textId="77777777" w:rsidR="00C2298E" w:rsidRPr="00392E88" w:rsidRDefault="00DA3EBF" w:rsidP="005D0C3B">
                  <w:pPr>
                    <w:jc w:val="center"/>
                  </w:pPr>
                  <w:r w:rsidRPr="00392E88">
                    <w:t>Rodzaj danych</w:t>
                  </w:r>
                </w:p>
              </w:tc>
              <w:tc>
                <w:tcPr>
                  <w:tcW w:w="1417" w:type="dxa"/>
                </w:tcPr>
                <w:p w14:paraId="7023D349" w14:textId="77777777" w:rsidR="00C2298E" w:rsidRPr="00392E88" w:rsidRDefault="00DA3EBF" w:rsidP="005D0C3B">
                  <w:pPr>
                    <w:jc w:val="center"/>
                  </w:pPr>
                  <w:r w:rsidRPr="00392E88">
                    <w:t>Odniesienie do wymogu</w:t>
                  </w:r>
                </w:p>
              </w:tc>
              <w:tc>
                <w:tcPr>
                  <w:tcW w:w="1418" w:type="dxa"/>
                </w:tcPr>
                <w:p w14:paraId="296D8029" w14:textId="77777777" w:rsidR="00C2298E" w:rsidRPr="00392E88" w:rsidRDefault="00DA3EBF" w:rsidP="005D0C3B">
                  <w:pPr>
                    <w:jc w:val="center"/>
                  </w:pPr>
                  <w:r w:rsidRPr="00392E88">
                    <w:t>Podmiot dostarczający dane</w:t>
                  </w:r>
                </w:p>
              </w:tc>
              <w:tc>
                <w:tcPr>
                  <w:tcW w:w="1559" w:type="dxa"/>
                </w:tcPr>
                <w:p w14:paraId="68DA5EA9" w14:textId="77777777" w:rsidR="00C2298E" w:rsidRPr="00392E88" w:rsidRDefault="00A44521" w:rsidP="005D0C3B">
                  <w:pPr>
                    <w:jc w:val="center"/>
                  </w:pPr>
                  <w:r w:rsidRPr="00392E88">
                    <w:t>Podmiot otrzymujący dane</w:t>
                  </w:r>
                </w:p>
              </w:tc>
              <w:tc>
                <w:tcPr>
                  <w:tcW w:w="1276" w:type="dxa"/>
                </w:tcPr>
                <w:p w14:paraId="1C6E7B53" w14:textId="77777777" w:rsidR="00C2298E" w:rsidRPr="00392E88" w:rsidRDefault="00A44521" w:rsidP="005D0C3B">
                  <w:pPr>
                    <w:jc w:val="center"/>
                  </w:pPr>
                  <w:r w:rsidRPr="00392E88">
                    <w:t>Czynnik uruchamiający wymianę danych</w:t>
                  </w:r>
                </w:p>
              </w:tc>
              <w:tc>
                <w:tcPr>
                  <w:tcW w:w="1153" w:type="dxa"/>
                </w:tcPr>
                <w:p w14:paraId="557DD147" w14:textId="77777777" w:rsidR="00C2298E" w:rsidRPr="00392E88" w:rsidRDefault="00A44521" w:rsidP="005D0C3B">
                  <w:pPr>
                    <w:jc w:val="center"/>
                  </w:pPr>
                  <w:r w:rsidRPr="00392E88">
                    <w:t>Częstotliwość (jeżeli dotyczy)</w:t>
                  </w:r>
                </w:p>
              </w:tc>
            </w:tr>
            <w:tr w:rsidR="0083119D" w:rsidRPr="00392E88" w14:paraId="5E54EB51" w14:textId="77777777" w:rsidTr="005D0C3B">
              <w:tc>
                <w:tcPr>
                  <w:tcW w:w="2230" w:type="dxa"/>
                </w:tcPr>
                <w:p w14:paraId="644B5840" w14:textId="7BB4A8E6" w:rsidR="00C2298E" w:rsidRPr="00392E88" w:rsidRDefault="00DA3EBF" w:rsidP="005D0C3B">
                  <w:pPr>
                    <w:jc w:val="left"/>
                  </w:pPr>
                  <w:r w:rsidRPr="00392E88">
                    <w:t>Informacje niezbędne do zapewnienia uczestnikom</w:t>
                  </w:r>
                  <w:r w:rsidR="006E6446" w:rsidRPr="00392E88">
                    <w:t xml:space="preserve"> i</w:t>
                  </w:r>
                  <w:r w:rsidR="006E6446">
                    <w:t> </w:t>
                  </w:r>
                  <w:r w:rsidR="006E6446" w:rsidRPr="00392E88">
                    <w:t>ben</w:t>
                  </w:r>
                  <w:r w:rsidRPr="00392E88">
                    <w:t>eficjentom kompleksowego, wiarygodnego</w:t>
                  </w:r>
                  <w:r w:rsidR="006E6446" w:rsidRPr="00392E88">
                    <w:t xml:space="preserve"> i</w:t>
                  </w:r>
                  <w:r w:rsidR="006E6446">
                    <w:t> </w:t>
                  </w:r>
                  <w:r w:rsidR="006E6446" w:rsidRPr="00392E88">
                    <w:t>akt</w:t>
                  </w:r>
                  <w:r w:rsidRPr="00392E88">
                    <w:t>ualnego przeglądu ich pracowniczych</w:t>
                  </w:r>
                  <w:r w:rsidR="006E6446" w:rsidRPr="00392E88">
                    <w:t xml:space="preserve"> i</w:t>
                  </w:r>
                  <w:r w:rsidR="006E6446">
                    <w:t> </w:t>
                  </w:r>
                  <w:r w:rsidR="006E6446" w:rsidRPr="00392E88">
                    <w:t>ind</w:t>
                  </w:r>
                  <w:r w:rsidRPr="00392E88">
                    <w:t>ywidualnych uprawnień emerytalnych</w:t>
                  </w:r>
                </w:p>
              </w:tc>
              <w:tc>
                <w:tcPr>
                  <w:tcW w:w="1417" w:type="dxa"/>
                </w:tcPr>
                <w:p w14:paraId="39857D18" w14:textId="7CD44C58" w:rsidR="00C2298E" w:rsidRPr="00392E88" w:rsidRDefault="00DA3EBF" w:rsidP="005D0C3B">
                  <w:pPr>
                    <w:jc w:val="left"/>
                  </w:pPr>
                  <w:r w:rsidRPr="00392E88">
                    <w:t xml:space="preserve">Art. 22a; </w:t>
                  </w:r>
                  <w:r w:rsidRPr="006E6446">
                    <w:t>art.</w:t>
                  </w:r>
                  <w:r w:rsidR="006E6446" w:rsidRPr="006E6446">
                    <w:t> </w:t>
                  </w:r>
                  <w:r w:rsidRPr="006E6446">
                    <w:t>3</w:t>
                  </w:r>
                  <w:r w:rsidRPr="00392E88">
                    <w:t>7a</w:t>
                  </w:r>
                </w:p>
              </w:tc>
              <w:tc>
                <w:tcPr>
                  <w:tcW w:w="1418" w:type="dxa"/>
                </w:tcPr>
                <w:p w14:paraId="511CE67F" w14:textId="3B29D132" w:rsidR="00C2298E" w:rsidRPr="00392E88" w:rsidRDefault="00DA3EBF" w:rsidP="005D0C3B">
                  <w:pPr>
                    <w:jc w:val="left"/>
                  </w:pPr>
                  <w:r w:rsidRPr="00392E88">
                    <w:t>IORP, zakłady ubezpieczeń</w:t>
                  </w:r>
                  <w:r w:rsidR="006E6446" w:rsidRPr="00392E88">
                    <w:t xml:space="preserve"> i</w:t>
                  </w:r>
                  <w:r w:rsidR="006E6446">
                    <w:t> </w:t>
                  </w:r>
                  <w:r w:rsidR="006E6446" w:rsidRPr="00392E88">
                    <w:t>poś</w:t>
                  </w:r>
                  <w:r w:rsidRPr="00392E88">
                    <w:t>rednicy ubezpieczeniowi</w:t>
                  </w:r>
                </w:p>
              </w:tc>
              <w:tc>
                <w:tcPr>
                  <w:tcW w:w="1559" w:type="dxa"/>
                </w:tcPr>
                <w:p w14:paraId="5CC37BBD" w14:textId="77777777" w:rsidR="00C2298E" w:rsidRPr="00392E88" w:rsidRDefault="00A44521" w:rsidP="005D0C3B">
                  <w:pPr>
                    <w:jc w:val="left"/>
                  </w:pPr>
                  <w:r w:rsidRPr="00392E88">
                    <w:t>Dostawca systemu monitorowania uprawnień emerytalnych</w:t>
                  </w:r>
                </w:p>
              </w:tc>
              <w:tc>
                <w:tcPr>
                  <w:tcW w:w="1276" w:type="dxa"/>
                </w:tcPr>
                <w:p w14:paraId="526EE730" w14:textId="77777777" w:rsidR="00C2298E" w:rsidRPr="00392E88" w:rsidRDefault="003C2E2D" w:rsidP="005D0C3B">
                  <w:pPr>
                    <w:jc w:val="left"/>
                  </w:pPr>
                  <w:r w:rsidRPr="00392E88">
                    <w:t>//</w:t>
                  </w:r>
                </w:p>
              </w:tc>
              <w:tc>
                <w:tcPr>
                  <w:tcW w:w="1153" w:type="dxa"/>
                </w:tcPr>
                <w:p w14:paraId="03A7FB00" w14:textId="77777777" w:rsidR="00C2298E" w:rsidRPr="00392E88" w:rsidRDefault="003C2E2D" w:rsidP="005D0C3B">
                  <w:pPr>
                    <w:jc w:val="left"/>
                  </w:pPr>
                  <w:r w:rsidRPr="00392E88">
                    <w:t>//</w:t>
                  </w:r>
                </w:p>
              </w:tc>
            </w:tr>
            <w:tr w:rsidR="0083119D" w:rsidRPr="00392E88" w14:paraId="2FA4F3B6" w14:textId="77777777" w:rsidTr="005D0C3B">
              <w:tc>
                <w:tcPr>
                  <w:tcW w:w="2230" w:type="dxa"/>
                </w:tcPr>
                <w:p w14:paraId="7AD464BA" w14:textId="4D58810B" w:rsidR="00C2298E" w:rsidRPr="00392E88" w:rsidRDefault="00DA3EBF" w:rsidP="005D0C3B">
                  <w:pPr>
                    <w:jc w:val="left"/>
                  </w:pPr>
                  <w:r w:rsidRPr="00392E88">
                    <w:t>Informacje dotyczące działalności</w:t>
                  </w:r>
                  <w:r w:rsidR="006E6446" w:rsidRPr="00392E88">
                    <w:t xml:space="preserve"> i</w:t>
                  </w:r>
                  <w:r w:rsidR="006E6446">
                    <w:t> </w:t>
                  </w:r>
                  <w:r w:rsidR="006E6446" w:rsidRPr="00392E88">
                    <w:t>pro</w:t>
                  </w:r>
                  <w:r w:rsidRPr="00392E88">
                    <w:t>cedur transgranicznych; Platformy współpracy</w:t>
                  </w:r>
                </w:p>
              </w:tc>
              <w:tc>
                <w:tcPr>
                  <w:tcW w:w="1417" w:type="dxa"/>
                </w:tcPr>
                <w:p w14:paraId="41293FC3" w14:textId="47775D45" w:rsidR="00C2298E" w:rsidRPr="00392E88" w:rsidRDefault="00DA3EBF" w:rsidP="005D0C3B">
                  <w:pPr>
                    <w:jc w:val="left"/>
                  </w:pPr>
                  <w:r w:rsidRPr="00392E88">
                    <w:t xml:space="preserve">Art. 11; </w:t>
                  </w:r>
                  <w:r w:rsidRPr="006E6446">
                    <w:t>art.</w:t>
                  </w:r>
                  <w:r w:rsidR="006E6446" w:rsidRPr="006E6446">
                    <w:t> </w:t>
                  </w:r>
                  <w:r w:rsidRPr="006E6446">
                    <w:t>5</w:t>
                  </w:r>
                  <w:r w:rsidRPr="00392E88">
                    <w:t>5a</w:t>
                  </w:r>
                </w:p>
              </w:tc>
              <w:tc>
                <w:tcPr>
                  <w:tcW w:w="1418" w:type="dxa"/>
                </w:tcPr>
                <w:p w14:paraId="667FEFFB" w14:textId="77777777" w:rsidR="00C2298E" w:rsidRPr="00392E88" w:rsidRDefault="00313D4E" w:rsidP="005D0C3B">
                  <w:pPr>
                    <w:jc w:val="left"/>
                  </w:pPr>
                  <w:r w:rsidRPr="00392E88">
                    <w:t>Właściwe organy krajowe</w:t>
                  </w:r>
                </w:p>
              </w:tc>
              <w:tc>
                <w:tcPr>
                  <w:tcW w:w="1559" w:type="dxa"/>
                </w:tcPr>
                <w:p w14:paraId="55266FB6" w14:textId="77777777" w:rsidR="00C2298E" w:rsidRPr="00392E88" w:rsidRDefault="003C2E2D" w:rsidP="005D0C3B">
                  <w:pPr>
                    <w:jc w:val="left"/>
                  </w:pPr>
                  <w:r w:rsidRPr="00392E88">
                    <w:t>Właściwe organy krajowe, EIOPA</w:t>
                  </w:r>
                </w:p>
              </w:tc>
              <w:tc>
                <w:tcPr>
                  <w:tcW w:w="1276" w:type="dxa"/>
                </w:tcPr>
                <w:p w14:paraId="3E9878CD" w14:textId="77777777" w:rsidR="00C2298E" w:rsidRPr="00392E88" w:rsidRDefault="003C2E2D" w:rsidP="005D0C3B">
                  <w:pPr>
                    <w:jc w:val="left"/>
                  </w:pPr>
                  <w:r w:rsidRPr="00392E88">
                    <w:t>//</w:t>
                  </w:r>
                </w:p>
              </w:tc>
              <w:tc>
                <w:tcPr>
                  <w:tcW w:w="1153" w:type="dxa"/>
                </w:tcPr>
                <w:p w14:paraId="7A5F2896" w14:textId="77777777" w:rsidR="00C2298E" w:rsidRPr="00392E88" w:rsidRDefault="003C2E2D" w:rsidP="005D0C3B">
                  <w:pPr>
                    <w:jc w:val="left"/>
                  </w:pPr>
                  <w:r w:rsidRPr="00392E88">
                    <w:t>//</w:t>
                  </w:r>
                </w:p>
              </w:tc>
            </w:tr>
          </w:tbl>
          <w:p w14:paraId="66265246" w14:textId="77777777" w:rsidR="00AC2BE5" w:rsidRPr="00392E88" w:rsidRDefault="00AC2BE5" w:rsidP="005D0C3B"/>
        </w:tc>
      </w:tr>
    </w:tbl>
    <w:p w14:paraId="19DF1A6B" w14:textId="77777777" w:rsidR="00AC2BE5" w:rsidRPr="00392E88" w:rsidRDefault="00AC2BE5">
      <w:pPr>
        <w:pStyle w:val="ManualHeading2"/>
      </w:pPr>
      <w:bookmarkStart w:id="120" w:name="_Toc167220305"/>
      <w:bookmarkStart w:id="121" w:name="_Toc177549039"/>
      <w:r w:rsidRPr="00392E88">
        <w:t>4.3.</w:t>
      </w:r>
      <w:r w:rsidRPr="00392E88">
        <w:tab/>
        <w:t>Rozwiązania cyfrowe</w:t>
      </w:r>
      <w:bookmarkEnd w:id="120"/>
      <w:bookmarkEnd w:id="121"/>
    </w:p>
    <w:tbl>
      <w:tblPr>
        <w:tblpPr w:leftFromText="141" w:rightFromText="141" w:vertAnchor="text" w:horzAnchor="margin" w:tblpY="2"/>
        <w:tblW w:w="9067" w:type="dxa"/>
        <w:tblLayout w:type="fixed"/>
        <w:tblCellMar>
          <w:left w:w="0" w:type="dxa"/>
          <w:right w:w="0" w:type="dxa"/>
        </w:tblCellMar>
        <w:tblLook w:val="04A0" w:firstRow="1" w:lastRow="0" w:firstColumn="1" w:lastColumn="0" w:noHBand="0" w:noVBand="1"/>
      </w:tblPr>
      <w:tblGrid>
        <w:gridCol w:w="9067"/>
      </w:tblGrid>
      <w:tr w:rsidR="00AC2BE5" w:rsidRPr="00392E88" w14:paraId="6F747A61" w14:textId="77777777" w:rsidTr="005D0C3B">
        <w:tc>
          <w:tcPr>
            <w:tcW w:w="9067" w:type="dxa"/>
          </w:tcPr>
          <w:p w14:paraId="1F052E6D" w14:textId="77777777" w:rsidR="006B5A5C" w:rsidRPr="00392E88" w:rsidRDefault="00F62EF3">
            <w:r w:rsidRPr="00392E88">
              <w:t xml:space="preserve">Zob. sekcja powyżej </w:t>
            </w:r>
          </w:p>
          <w:tbl>
            <w:tblPr>
              <w:tblStyle w:val="TableGrid"/>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461"/>
              <w:gridCol w:w="2225"/>
              <w:gridCol w:w="1134"/>
              <w:gridCol w:w="992"/>
              <w:gridCol w:w="1134"/>
              <w:gridCol w:w="992"/>
            </w:tblGrid>
            <w:tr w:rsidR="001A1FE9" w:rsidRPr="00392E88" w14:paraId="4BB5E832" w14:textId="77777777" w:rsidTr="005D0C3B">
              <w:tc>
                <w:tcPr>
                  <w:tcW w:w="1129" w:type="dxa"/>
                </w:tcPr>
                <w:p w14:paraId="24D2BDE0" w14:textId="77777777" w:rsidR="001A1FE9" w:rsidRPr="00392E88" w:rsidRDefault="005F1F4E" w:rsidP="0042520F">
                  <w:pPr>
                    <w:framePr w:hSpace="141" w:wrap="around" w:vAnchor="text" w:hAnchor="margin" w:y="2"/>
                    <w:jc w:val="center"/>
                    <w:rPr>
                      <w:rFonts w:eastAsiaTheme="minorHAnsi"/>
                      <w:szCs w:val="22"/>
                    </w:rPr>
                  </w:pPr>
                  <w:r w:rsidRPr="00392E88">
                    <w:t>Rozwiązanie cyfrowe</w:t>
                  </w:r>
                </w:p>
              </w:tc>
              <w:tc>
                <w:tcPr>
                  <w:tcW w:w="1461" w:type="dxa"/>
                </w:tcPr>
                <w:p w14:paraId="43CB0FA5" w14:textId="77777777" w:rsidR="001A1FE9" w:rsidRPr="00392E88" w:rsidRDefault="005F1F4E" w:rsidP="0042520F">
                  <w:pPr>
                    <w:framePr w:hSpace="141" w:wrap="around" w:vAnchor="text" w:hAnchor="margin" w:y="2"/>
                    <w:jc w:val="center"/>
                    <w:rPr>
                      <w:rFonts w:eastAsiaTheme="minorHAnsi"/>
                      <w:szCs w:val="22"/>
                    </w:rPr>
                  </w:pPr>
                  <w:r w:rsidRPr="00392E88">
                    <w:t>Odniesienia do wymogów</w:t>
                  </w:r>
                </w:p>
              </w:tc>
              <w:tc>
                <w:tcPr>
                  <w:tcW w:w="2225" w:type="dxa"/>
                </w:tcPr>
                <w:p w14:paraId="6023FB8A" w14:textId="77777777" w:rsidR="001A1FE9" w:rsidRPr="00392E88" w:rsidRDefault="005F1F4E" w:rsidP="0042520F">
                  <w:pPr>
                    <w:framePr w:hSpace="141" w:wrap="around" w:vAnchor="text" w:hAnchor="margin" w:y="2"/>
                    <w:jc w:val="center"/>
                    <w:rPr>
                      <w:rFonts w:eastAsiaTheme="minorHAnsi"/>
                      <w:szCs w:val="22"/>
                    </w:rPr>
                  </w:pPr>
                  <w:r w:rsidRPr="00392E88">
                    <w:t>Podstawowa wymagana funkcjonalność</w:t>
                  </w:r>
                </w:p>
              </w:tc>
              <w:tc>
                <w:tcPr>
                  <w:tcW w:w="1134" w:type="dxa"/>
                </w:tcPr>
                <w:p w14:paraId="5F75CBBA" w14:textId="77777777" w:rsidR="001A1FE9" w:rsidRPr="00392E88" w:rsidRDefault="005F1F4E" w:rsidP="0042520F">
                  <w:pPr>
                    <w:framePr w:hSpace="141" w:wrap="around" w:vAnchor="text" w:hAnchor="margin" w:y="2"/>
                    <w:jc w:val="center"/>
                    <w:rPr>
                      <w:rFonts w:eastAsiaTheme="minorHAnsi"/>
                      <w:szCs w:val="22"/>
                    </w:rPr>
                  </w:pPr>
                  <w:r w:rsidRPr="00392E88">
                    <w:t>Organ odpowiedzialny</w:t>
                  </w:r>
                </w:p>
              </w:tc>
              <w:tc>
                <w:tcPr>
                  <w:tcW w:w="992" w:type="dxa"/>
                </w:tcPr>
                <w:p w14:paraId="45157C4E" w14:textId="77777777" w:rsidR="001A1FE9" w:rsidRPr="00392E88" w:rsidRDefault="005F1F4E" w:rsidP="0042520F">
                  <w:pPr>
                    <w:framePr w:hSpace="141" w:wrap="around" w:vAnchor="text" w:hAnchor="margin" w:y="2"/>
                    <w:jc w:val="center"/>
                    <w:rPr>
                      <w:rFonts w:eastAsiaTheme="minorHAnsi"/>
                      <w:szCs w:val="22"/>
                    </w:rPr>
                  </w:pPr>
                  <w:r w:rsidRPr="00392E88">
                    <w:t>W jaki sposób zapewniania jest dostępność?</w:t>
                  </w:r>
                </w:p>
              </w:tc>
              <w:tc>
                <w:tcPr>
                  <w:tcW w:w="1134" w:type="dxa"/>
                </w:tcPr>
                <w:p w14:paraId="644E9F17" w14:textId="77777777" w:rsidR="001A1FE9" w:rsidRPr="00392E88" w:rsidRDefault="005F1F4E" w:rsidP="0042520F">
                  <w:pPr>
                    <w:framePr w:hSpace="141" w:wrap="around" w:vAnchor="text" w:hAnchor="margin" w:y="2"/>
                    <w:jc w:val="center"/>
                    <w:rPr>
                      <w:rFonts w:eastAsiaTheme="minorHAnsi"/>
                      <w:szCs w:val="22"/>
                    </w:rPr>
                  </w:pPr>
                  <w:r w:rsidRPr="00392E88">
                    <w:t>W jaki sposób uwzględniono wymóg ponownego wykorzystania?</w:t>
                  </w:r>
                </w:p>
              </w:tc>
              <w:tc>
                <w:tcPr>
                  <w:tcW w:w="992" w:type="dxa"/>
                </w:tcPr>
                <w:p w14:paraId="373A1EA1" w14:textId="77777777" w:rsidR="001A1FE9" w:rsidRPr="00392E88" w:rsidRDefault="005F1F4E" w:rsidP="0042520F">
                  <w:pPr>
                    <w:framePr w:hSpace="141" w:wrap="around" w:vAnchor="text" w:hAnchor="margin" w:y="2"/>
                    <w:jc w:val="center"/>
                    <w:rPr>
                      <w:rFonts w:eastAsiaTheme="minorHAnsi"/>
                      <w:szCs w:val="22"/>
                    </w:rPr>
                  </w:pPr>
                  <w:r w:rsidRPr="00392E88">
                    <w:t>Wykorzystanie technologii sztucznej inteligencji (stosownie do przypadku)</w:t>
                  </w:r>
                </w:p>
              </w:tc>
            </w:tr>
            <w:tr w:rsidR="001A1FE9" w:rsidRPr="00392E88" w14:paraId="2801FA07" w14:textId="77777777" w:rsidTr="005D0C3B">
              <w:tc>
                <w:tcPr>
                  <w:tcW w:w="1129" w:type="dxa"/>
                </w:tcPr>
                <w:p w14:paraId="1C999A9C" w14:textId="77777777" w:rsidR="001A1FE9" w:rsidRPr="00392E88" w:rsidRDefault="007F501C" w:rsidP="0042520F">
                  <w:pPr>
                    <w:framePr w:hSpace="141" w:wrap="around" w:vAnchor="text" w:hAnchor="margin" w:y="2"/>
                    <w:jc w:val="left"/>
                    <w:rPr>
                      <w:rFonts w:eastAsiaTheme="minorHAnsi"/>
                      <w:szCs w:val="22"/>
                    </w:rPr>
                  </w:pPr>
                  <w:r w:rsidRPr="00392E88">
                    <w:t>Aktualizacja istniejących systemów monitorowania uprawnień emerytalnych</w:t>
                  </w:r>
                </w:p>
              </w:tc>
              <w:tc>
                <w:tcPr>
                  <w:tcW w:w="1461" w:type="dxa"/>
                </w:tcPr>
                <w:p w14:paraId="4BCD2159" w14:textId="0184DD52" w:rsidR="001A1FE9" w:rsidRPr="00392E88" w:rsidRDefault="007F501C" w:rsidP="0042520F">
                  <w:pPr>
                    <w:framePr w:hSpace="141" w:wrap="around" w:vAnchor="text" w:hAnchor="margin" w:y="2"/>
                    <w:jc w:val="left"/>
                    <w:rPr>
                      <w:rFonts w:eastAsiaTheme="minorHAnsi"/>
                      <w:szCs w:val="22"/>
                    </w:rPr>
                  </w:pPr>
                  <w:r w:rsidRPr="00392E88">
                    <w:t xml:space="preserve">Art. 22a; </w:t>
                  </w:r>
                  <w:r w:rsidRPr="006E6446">
                    <w:t>art.</w:t>
                  </w:r>
                  <w:r w:rsidR="006E6446" w:rsidRPr="006E6446">
                    <w:t> </w:t>
                  </w:r>
                  <w:r w:rsidRPr="006E6446">
                    <w:t>3</w:t>
                  </w:r>
                  <w:r w:rsidRPr="00392E88">
                    <w:t>7a</w:t>
                  </w:r>
                </w:p>
              </w:tc>
              <w:tc>
                <w:tcPr>
                  <w:tcW w:w="2225" w:type="dxa"/>
                </w:tcPr>
                <w:p w14:paraId="17852289" w14:textId="74B19C28" w:rsidR="001A1FE9" w:rsidRPr="00392E88" w:rsidRDefault="007F501C" w:rsidP="0042520F">
                  <w:pPr>
                    <w:framePr w:hSpace="141" w:wrap="around" w:vAnchor="text" w:hAnchor="margin" w:y="2"/>
                    <w:jc w:val="left"/>
                    <w:rPr>
                      <w:rFonts w:eastAsiaTheme="minorHAnsi"/>
                      <w:szCs w:val="22"/>
                    </w:rPr>
                  </w:pPr>
                  <w:r w:rsidRPr="00392E88">
                    <w:t>IORP, zakłady ubezpieczeń oraz pośrednicy ubezpieczeniowi</w:t>
                  </w:r>
                  <w:r w:rsidR="006E6446" w:rsidRPr="00392E88">
                    <w:t xml:space="preserve"> i</w:t>
                  </w:r>
                  <w:r w:rsidR="006E6446">
                    <w:t> </w:t>
                  </w:r>
                  <w:r w:rsidR="006E6446" w:rsidRPr="00392E88">
                    <w:t>dys</w:t>
                  </w:r>
                  <w:r w:rsidRPr="00392E88">
                    <w:t>trybutorzy mogliby przekazywać do systemów monitorowania uprawnień emerytalnych,</w:t>
                  </w:r>
                  <w:r w:rsidR="006E6446" w:rsidRPr="00392E88">
                    <w:t xml:space="preserve"> o</w:t>
                  </w:r>
                  <w:r w:rsidR="006E6446">
                    <w:t> </w:t>
                  </w:r>
                  <w:r w:rsidR="006E6446" w:rsidRPr="00392E88">
                    <w:t>ile</w:t>
                  </w:r>
                  <w:r w:rsidRPr="00392E88">
                    <w:t xml:space="preserve"> takie systemy istnieją, wszystkie informacje niezbędne do zapewnienia klientom kompleksowego, wiarygodnego</w:t>
                  </w:r>
                  <w:r w:rsidR="006E6446" w:rsidRPr="00392E88">
                    <w:t xml:space="preserve"> i</w:t>
                  </w:r>
                  <w:r w:rsidR="006E6446">
                    <w:t> </w:t>
                  </w:r>
                  <w:r w:rsidR="006E6446" w:rsidRPr="00392E88">
                    <w:t>akt</w:t>
                  </w:r>
                  <w:r w:rsidRPr="00392E88">
                    <w:t>ualnego przeglądu ich pracowniczych</w:t>
                  </w:r>
                  <w:r w:rsidR="006E6446" w:rsidRPr="00392E88">
                    <w:t xml:space="preserve"> i</w:t>
                  </w:r>
                  <w:r w:rsidR="006E6446">
                    <w:t> </w:t>
                  </w:r>
                  <w:r w:rsidR="006E6446" w:rsidRPr="00392E88">
                    <w:t>ind</w:t>
                  </w:r>
                  <w:r w:rsidRPr="00392E88">
                    <w:t xml:space="preserve">ywidualnych uprawnień emerytalnych </w:t>
                  </w:r>
                </w:p>
              </w:tc>
              <w:tc>
                <w:tcPr>
                  <w:tcW w:w="1134" w:type="dxa"/>
                </w:tcPr>
                <w:p w14:paraId="698A9505" w14:textId="77777777" w:rsidR="001A1FE9" w:rsidRPr="00392E88" w:rsidRDefault="00C248BD" w:rsidP="0042520F">
                  <w:pPr>
                    <w:framePr w:hSpace="141" w:wrap="around" w:vAnchor="text" w:hAnchor="margin" w:y="2"/>
                    <w:jc w:val="left"/>
                    <w:rPr>
                      <w:rFonts w:eastAsiaTheme="minorHAnsi"/>
                      <w:szCs w:val="22"/>
                    </w:rPr>
                  </w:pPr>
                  <w:r w:rsidRPr="00392E88">
                    <w:t>Dostawca systemu monitorowania uprawnień emerytalnych, właściwe organy krajowe</w:t>
                  </w:r>
                </w:p>
              </w:tc>
              <w:tc>
                <w:tcPr>
                  <w:tcW w:w="992" w:type="dxa"/>
                </w:tcPr>
                <w:p w14:paraId="0483C3F3" w14:textId="77777777" w:rsidR="001A1FE9" w:rsidRPr="00392E88" w:rsidRDefault="007F501C" w:rsidP="0042520F">
                  <w:pPr>
                    <w:framePr w:hSpace="141" w:wrap="around" w:vAnchor="text" w:hAnchor="margin" w:y="2"/>
                    <w:jc w:val="left"/>
                    <w:rPr>
                      <w:rFonts w:eastAsiaTheme="minorHAnsi"/>
                      <w:szCs w:val="22"/>
                    </w:rPr>
                  </w:pPr>
                  <w:r w:rsidRPr="00392E88">
                    <w:t>Do określenia przez właściwe organy krajowe</w:t>
                  </w:r>
                </w:p>
              </w:tc>
              <w:tc>
                <w:tcPr>
                  <w:tcW w:w="1134" w:type="dxa"/>
                </w:tcPr>
                <w:p w14:paraId="4E0100AB" w14:textId="77777777" w:rsidR="001A1FE9" w:rsidRPr="00392E88" w:rsidRDefault="007F501C" w:rsidP="0042520F">
                  <w:pPr>
                    <w:framePr w:hSpace="141" w:wrap="around" w:vAnchor="text" w:hAnchor="margin" w:y="2"/>
                    <w:jc w:val="left"/>
                    <w:rPr>
                      <w:rFonts w:eastAsiaTheme="minorHAnsi"/>
                      <w:szCs w:val="22"/>
                    </w:rPr>
                  </w:pPr>
                  <w:r w:rsidRPr="00392E88">
                    <w:t>Do określenia przez właściwe organy krajowe</w:t>
                  </w:r>
                </w:p>
              </w:tc>
              <w:tc>
                <w:tcPr>
                  <w:tcW w:w="992" w:type="dxa"/>
                </w:tcPr>
                <w:p w14:paraId="17836D3A" w14:textId="77777777" w:rsidR="001A1FE9" w:rsidRPr="00392E88" w:rsidRDefault="007F501C" w:rsidP="0042520F">
                  <w:pPr>
                    <w:framePr w:hSpace="141" w:wrap="around" w:vAnchor="text" w:hAnchor="margin" w:y="2"/>
                    <w:jc w:val="left"/>
                    <w:rPr>
                      <w:rFonts w:eastAsiaTheme="minorHAnsi"/>
                      <w:szCs w:val="22"/>
                    </w:rPr>
                  </w:pPr>
                  <w:r w:rsidRPr="00392E88">
                    <w:t>Liczba</w:t>
                  </w:r>
                </w:p>
              </w:tc>
            </w:tr>
            <w:tr w:rsidR="001A1FE9" w:rsidRPr="00392E88" w14:paraId="64EA18AD" w14:textId="77777777" w:rsidTr="005D0C3B">
              <w:tc>
                <w:tcPr>
                  <w:tcW w:w="1129" w:type="dxa"/>
                </w:tcPr>
                <w:p w14:paraId="6EE19B9B" w14:textId="77777777" w:rsidR="001A1FE9" w:rsidRPr="00392E88" w:rsidRDefault="00C248BD" w:rsidP="0042520F">
                  <w:pPr>
                    <w:framePr w:hSpace="141" w:wrap="around" w:vAnchor="text" w:hAnchor="margin" w:y="2"/>
                    <w:jc w:val="left"/>
                    <w:rPr>
                      <w:rFonts w:eastAsiaTheme="minorHAnsi"/>
                      <w:szCs w:val="22"/>
                    </w:rPr>
                  </w:pPr>
                  <w:r w:rsidRPr="00392E88">
                    <w:t>Platformy współpracy</w:t>
                  </w:r>
                </w:p>
              </w:tc>
              <w:tc>
                <w:tcPr>
                  <w:tcW w:w="1461" w:type="dxa"/>
                </w:tcPr>
                <w:p w14:paraId="601B8AEF" w14:textId="5597E057" w:rsidR="001A1FE9" w:rsidRPr="00392E88" w:rsidRDefault="00C248BD" w:rsidP="0042520F">
                  <w:pPr>
                    <w:framePr w:hSpace="141" w:wrap="around" w:vAnchor="text" w:hAnchor="margin" w:y="2"/>
                    <w:jc w:val="left"/>
                    <w:rPr>
                      <w:rFonts w:eastAsiaTheme="minorHAnsi"/>
                      <w:szCs w:val="22"/>
                    </w:rPr>
                  </w:pPr>
                  <w:r w:rsidRPr="00392E88">
                    <w:t xml:space="preserve">Art. 11; </w:t>
                  </w:r>
                  <w:r w:rsidRPr="006E6446">
                    <w:t>art.</w:t>
                  </w:r>
                  <w:r w:rsidR="006E6446" w:rsidRPr="006E6446">
                    <w:t> </w:t>
                  </w:r>
                  <w:r w:rsidRPr="006E6446">
                    <w:t>5</w:t>
                  </w:r>
                  <w:r w:rsidRPr="00392E88">
                    <w:t>5</w:t>
                  </w:r>
                </w:p>
              </w:tc>
              <w:tc>
                <w:tcPr>
                  <w:tcW w:w="2225" w:type="dxa"/>
                </w:tcPr>
                <w:p w14:paraId="1BADD5F5" w14:textId="41420658" w:rsidR="001A1FE9" w:rsidRPr="00392E88" w:rsidRDefault="00C248BD" w:rsidP="0042520F">
                  <w:pPr>
                    <w:framePr w:hSpace="141" w:wrap="around" w:vAnchor="text" w:hAnchor="margin" w:y="2"/>
                    <w:jc w:val="left"/>
                    <w:rPr>
                      <w:rFonts w:eastAsiaTheme="minorHAnsi"/>
                      <w:szCs w:val="22"/>
                    </w:rPr>
                  </w:pPr>
                  <w:r w:rsidRPr="00392E88">
                    <w:t>Dostarczanie informacji dotyczących działalności</w:t>
                  </w:r>
                  <w:r w:rsidR="006E6446" w:rsidRPr="00392E88">
                    <w:t xml:space="preserve"> i</w:t>
                  </w:r>
                  <w:r w:rsidR="006E6446">
                    <w:t> </w:t>
                  </w:r>
                  <w:r w:rsidR="006E6446" w:rsidRPr="00392E88">
                    <w:t>pro</w:t>
                  </w:r>
                  <w:r w:rsidRPr="00392E88">
                    <w:t>cedur transgranicznych</w:t>
                  </w:r>
                </w:p>
              </w:tc>
              <w:tc>
                <w:tcPr>
                  <w:tcW w:w="1134" w:type="dxa"/>
                </w:tcPr>
                <w:p w14:paraId="76F5D764" w14:textId="77777777" w:rsidR="001A1FE9" w:rsidRPr="00392E88" w:rsidRDefault="00025303" w:rsidP="0042520F">
                  <w:pPr>
                    <w:framePr w:hSpace="141" w:wrap="around" w:vAnchor="text" w:hAnchor="margin" w:y="2"/>
                    <w:jc w:val="left"/>
                    <w:rPr>
                      <w:rFonts w:eastAsiaTheme="minorHAnsi"/>
                      <w:szCs w:val="22"/>
                    </w:rPr>
                  </w:pPr>
                  <w:r w:rsidRPr="00392E88">
                    <w:t>Właściwe organy krajowe</w:t>
                  </w:r>
                </w:p>
              </w:tc>
              <w:tc>
                <w:tcPr>
                  <w:tcW w:w="992" w:type="dxa"/>
                </w:tcPr>
                <w:p w14:paraId="50550ACB" w14:textId="77777777" w:rsidR="001A1FE9" w:rsidRPr="00392E88" w:rsidRDefault="00BD3820" w:rsidP="0042520F">
                  <w:pPr>
                    <w:framePr w:hSpace="141" w:wrap="around" w:vAnchor="text" w:hAnchor="margin" w:y="2"/>
                    <w:jc w:val="left"/>
                    <w:rPr>
                      <w:rFonts w:eastAsiaTheme="minorHAnsi"/>
                      <w:szCs w:val="22"/>
                    </w:rPr>
                  </w:pPr>
                  <w:r w:rsidRPr="00392E88">
                    <w:t>Do określenia przez EIOPA</w:t>
                  </w:r>
                </w:p>
              </w:tc>
              <w:tc>
                <w:tcPr>
                  <w:tcW w:w="1134" w:type="dxa"/>
                </w:tcPr>
                <w:p w14:paraId="698BE423" w14:textId="77777777" w:rsidR="001A1FE9" w:rsidRPr="00392E88" w:rsidRDefault="00BD3820" w:rsidP="0042520F">
                  <w:pPr>
                    <w:framePr w:hSpace="141" w:wrap="around" w:vAnchor="text" w:hAnchor="margin" w:y="2"/>
                    <w:jc w:val="left"/>
                    <w:rPr>
                      <w:rFonts w:eastAsiaTheme="minorHAnsi"/>
                      <w:szCs w:val="22"/>
                    </w:rPr>
                  </w:pPr>
                  <w:r w:rsidRPr="00392E88">
                    <w:t>Do określenia przez EIOPA</w:t>
                  </w:r>
                </w:p>
              </w:tc>
              <w:tc>
                <w:tcPr>
                  <w:tcW w:w="992" w:type="dxa"/>
                </w:tcPr>
                <w:p w14:paraId="36BBFD1D" w14:textId="77777777" w:rsidR="001A1FE9" w:rsidRPr="00392E88" w:rsidRDefault="00BD3820" w:rsidP="0042520F">
                  <w:pPr>
                    <w:framePr w:hSpace="141" w:wrap="around" w:vAnchor="text" w:hAnchor="margin" w:y="2"/>
                    <w:jc w:val="left"/>
                    <w:rPr>
                      <w:rFonts w:eastAsiaTheme="minorHAnsi"/>
                      <w:szCs w:val="22"/>
                    </w:rPr>
                  </w:pPr>
                  <w:r w:rsidRPr="00392E88">
                    <w:t>Liczba</w:t>
                  </w:r>
                </w:p>
              </w:tc>
            </w:tr>
          </w:tbl>
          <w:p w14:paraId="03C18835" w14:textId="77777777" w:rsidR="006B5A5C" w:rsidRPr="00392E88" w:rsidRDefault="006B5A5C"/>
          <w:p w14:paraId="32930730" w14:textId="77777777" w:rsidR="00BD3820" w:rsidRPr="00392E88" w:rsidRDefault="00BD3820">
            <w:r w:rsidRPr="00392E88">
              <w:t>Systemy monitorowania uprawnień emerytalnych</w:t>
            </w:r>
          </w:p>
          <w:tbl>
            <w:tblPr>
              <w:tblStyle w:val="TableGrid"/>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3"/>
              <w:gridCol w:w="4534"/>
            </w:tblGrid>
            <w:tr w:rsidR="0002726C" w:rsidRPr="00392E88" w14:paraId="03106440" w14:textId="77777777" w:rsidTr="005D0C3B">
              <w:tc>
                <w:tcPr>
                  <w:tcW w:w="4533" w:type="dxa"/>
                </w:tcPr>
                <w:p w14:paraId="4D877D2D" w14:textId="77777777" w:rsidR="0002726C" w:rsidRPr="00392E88" w:rsidRDefault="0002726C" w:rsidP="0042520F">
                  <w:pPr>
                    <w:framePr w:hSpace="141" w:wrap="around" w:vAnchor="text" w:hAnchor="margin" w:y="2"/>
                    <w:jc w:val="left"/>
                    <w:rPr>
                      <w:rFonts w:eastAsiaTheme="minorHAnsi"/>
                      <w:szCs w:val="22"/>
                    </w:rPr>
                  </w:pPr>
                  <w:r w:rsidRPr="00392E88">
                    <w:t>Polityka cyfrowa lub sektorowa (jeżeli mają zastosowanie)</w:t>
                  </w:r>
                </w:p>
              </w:tc>
              <w:tc>
                <w:tcPr>
                  <w:tcW w:w="4534" w:type="dxa"/>
                </w:tcPr>
                <w:p w14:paraId="61D9FECA" w14:textId="68D754E0" w:rsidR="0002726C" w:rsidRPr="00392E88" w:rsidRDefault="0002726C" w:rsidP="0042520F">
                  <w:pPr>
                    <w:framePr w:hSpace="141" w:wrap="around" w:vAnchor="text" w:hAnchor="margin" w:y="2"/>
                    <w:jc w:val="left"/>
                    <w:rPr>
                      <w:rFonts w:eastAsiaTheme="minorHAnsi"/>
                      <w:szCs w:val="22"/>
                    </w:rPr>
                  </w:pPr>
                  <w:r w:rsidRPr="00392E88">
                    <w:t>Wyjaśnienie,</w:t>
                  </w:r>
                  <w:r w:rsidR="006E6446" w:rsidRPr="00392E88">
                    <w:t xml:space="preserve"> w</w:t>
                  </w:r>
                  <w:r w:rsidR="006E6446">
                    <w:t> </w:t>
                  </w:r>
                  <w:r w:rsidR="006E6446" w:rsidRPr="00392E88">
                    <w:t>jak</w:t>
                  </w:r>
                  <w:r w:rsidRPr="00392E88">
                    <w:t>i sposób te polityki są zgodne</w:t>
                  </w:r>
                </w:p>
              </w:tc>
            </w:tr>
            <w:tr w:rsidR="0002726C" w:rsidRPr="00392E88" w14:paraId="23AEC215" w14:textId="77777777" w:rsidTr="005D0C3B">
              <w:tc>
                <w:tcPr>
                  <w:tcW w:w="4533" w:type="dxa"/>
                </w:tcPr>
                <w:p w14:paraId="26E2AF10" w14:textId="02106E9B" w:rsidR="0002726C" w:rsidRPr="00392E88" w:rsidRDefault="0002726C" w:rsidP="0042520F">
                  <w:pPr>
                    <w:framePr w:hSpace="141" w:wrap="around" w:vAnchor="text" w:hAnchor="margin" w:y="2"/>
                    <w:jc w:val="left"/>
                    <w:rPr>
                      <w:rFonts w:eastAsiaTheme="minorHAnsi"/>
                      <w:szCs w:val="22"/>
                    </w:rPr>
                  </w:pPr>
                  <w:r w:rsidRPr="00392E88">
                    <w:t>Akt</w:t>
                  </w:r>
                  <w:r w:rsidR="006E6446" w:rsidRPr="00392E88">
                    <w:t xml:space="preserve"> w</w:t>
                  </w:r>
                  <w:r w:rsidR="006E6446">
                    <w:t> </w:t>
                  </w:r>
                  <w:r w:rsidR="006E6446" w:rsidRPr="00392E88">
                    <w:t>spr</w:t>
                  </w:r>
                  <w:r w:rsidRPr="00392E88">
                    <w:t>awie sztucznej inteligencji</w:t>
                  </w:r>
                </w:p>
              </w:tc>
              <w:tc>
                <w:tcPr>
                  <w:tcW w:w="4534" w:type="dxa"/>
                </w:tcPr>
                <w:p w14:paraId="6162BB0D" w14:textId="77777777" w:rsidR="0002726C" w:rsidRPr="00392E88" w:rsidRDefault="0002726C" w:rsidP="0042520F">
                  <w:pPr>
                    <w:framePr w:hSpace="141" w:wrap="around" w:vAnchor="text" w:hAnchor="margin" w:y="2"/>
                    <w:jc w:val="left"/>
                    <w:rPr>
                      <w:rFonts w:eastAsiaTheme="minorHAnsi"/>
                      <w:szCs w:val="22"/>
                    </w:rPr>
                  </w:pPr>
                  <w:r w:rsidRPr="00392E88">
                    <w:t>Nie dotyczy</w:t>
                  </w:r>
                </w:p>
              </w:tc>
            </w:tr>
            <w:tr w:rsidR="0002726C" w:rsidRPr="00392E88" w14:paraId="0A1BA75F" w14:textId="77777777" w:rsidTr="005D0C3B">
              <w:tc>
                <w:tcPr>
                  <w:tcW w:w="4533" w:type="dxa"/>
                </w:tcPr>
                <w:p w14:paraId="025869BD" w14:textId="77777777" w:rsidR="0002726C" w:rsidRPr="00392E88" w:rsidRDefault="0002726C" w:rsidP="0042520F">
                  <w:pPr>
                    <w:framePr w:hSpace="141" w:wrap="around" w:vAnchor="text" w:hAnchor="margin" w:y="2"/>
                    <w:jc w:val="left"/>
                    <w:rPr>
                      <w:rFonts w:eastAsiaTheme="minorHAnsi"/>
                      <w:szCs w:val="22"/>
                    </w:rPr>
                  </w:pPr>
                  <w:r w:rsidRPr="00392E88">
                    <w:t>Ramy UE dotyczące cyberbezpieczeństwa</w:t>
                  </w:r>
                </w:p>
              </w:tc>
              <w:tc>
                <w:tcPr>
                  <w:tcW w:w="4534" w:type="dxa"/>
                </w:tcPr>
                <w:p w14:paraId="14DD1D6D" w14:textId="59ACE5B6" w:rsidR="0002726C" w:rsidRPr="00392E88" w:rsidRDefault="0002726C" w:rsidP="0042520F">
                  <w:pPr>
                    <w:framePr w:hSpace="141" w:wrap="around" w:vAnchor="text" w:hAnchor="margin" w:y="2"/>
                    <w:jc w:val="left"/>
                  </w:pPr>
                  <w:r w:rsidRPr="00392E88">
                    <w:t>Bez uszczerbku dla rozporządzenia (UE) 2016/679 państwa członkowskie zapewniają bezpieczeństwo, integralność, autentyczność</w:t>
                  </w:r>
                  <w:r w:rsidR="006E6446" w:rsidRPr="00392E88">
                    <w:t xml:space="preserve"> i</w:t>
                  </w:r>
                  <w:r w:rsidR="006E6446">
                    <w:t> </w:t>
                  </w:r>
                  <w:r w:rsidR="006E6446" w:rsidRPr="00392E88">
                    <w:t>pou</w:t>
                  </w:r>
                  <w:r w:rsidRPr="00392E88">
                    <w:t>fność danych gromadzonych</w:t>
                  </w:r>
                  <w:r w:rsidR="006E6446" w:rsidRPr="00392E88">
                    <w:t xml:space="preserve"> i</w:t>
                  </w:r>
                  <w:r w:rsidR="006E6446">
                    <w:t> </w:t>
                  </w:r>
                  <w:r w:rsidR="006E6446" w:rsidRPr="00392E88">
                    <w:t>prz</w:t>
                  </w:r>
                  <w:r w:rsidRPr="00392E88">
                    <w:t xml:space="preserve">echowywanych do celów niniejszej dyrektywy. </w:t>
                  </w:r>
                </w:p>
                <w:p w14:paraId="01BEA70F" w14:textId="77777777" w:rsidR="0002726C" w:rsidRPr="00392E88" w:rsidRDefault="004F0F55" w:rsidP="0042520F">
                  <w:pPr>
                    <w:framePr w:hSpace="141" w:wrap="around" w:vAnchor="text" w:hAnchor="margin" w:y="2"/>
                    <w:jc w:val="left"/>
                    <w:rPr>
                      <w:rFonts w:eastAsiaTheme="minorHAnsi"/>
                      <w:szCs w:val="22"/>
                    </w:rPr>
                  </w:pPr>
                  <w:r w:rsidRPr="00392E88">
                    <w:t>Do uszczegółowienia przez właściwe organy krajowe</w:t>
                  </w:r>
                </w:p>
              </w:tc>
            </w:tr>
            <w:tr w:rsidR="0002726C" w:rsidRPr="00392E88" w14:paraId="05710F11" w14:textId="77777777" w:rsidTr="005D0C3B">
              <w:tc>
                <w:tcPr>
                  <w:tcW w:w="4533" w:type="dxa"/>
                </w:tcPr>
                <w:p w14:paraId="61F08E7A" w14:textId="77777777" w:rsidR="0002726C" w:rsidRPr="00392E88" w:rsidRDefault="0002726C" w:rsidP="0042520F">
                  <w:pPr>
                    <w:framePr w:hSpace="141" w:wrap="around" w:vAnchor="text" w:hAnchor="margin" w:y="2"/>
                    <w:jc w:val="left"/>
                    <w:rPr>
                      <w:rFonts w:eastAsiaTheme="minorHAnsi"/>
                      <w:szCs w:val="22"/>
                    </w:rPr>
                  </w:pPr>
                  <w:r w:rsidRPr="00392E88">
                    <w:t>eIDAS</w:t>
                  </w:r>
                </w:p>
              </w:tc>
              <w:tc>
                <w:tcPr>
                  <w:tcW w:w="4534" w:type="dxa"/>
                </w:tcPr>
                <w:p w14:paraId="6496BA2C" w14:textId="77777777" w:rsidR="0002726C" w:rsidRPr="00392E88" w:rsidRDefault="00CC3494" w:rsidP="0042520F">
                  <w:pPr>
                    <w:framePr w:hSpace="141" w:wrap="around" w:vAnchor="text" w:hAnchor="margin" w:y="2"/>
                    <w:jc w:val="left"/>
                    <w:rPr>
                      <w:rFonts w:eastAsiaTheme="minorHAnsi"/>
                      <w:szCs w:val="22"/>
                    </w:rPr>
                  </w:pPr>
                  <w:r w:rsidRPr="00392E88">
                    <w:t>Nie dotyczy</w:t>
                  </w:r>
                </w:p>
              </w:tc>
            </w:tr>
            <w:tr w:rsidR="0002726C" w:rsidRPr="00392E88" w14:paraId="35FF2523" w14:textId="77777777" w:rsidTr="005D0C3B">
              <w:tc>
                <w:tcPr>
                  <w:tcW w:w="4533" w:type="dxa"/>
                </w:tcPr>
                <w:p w14:paraId="5D5BB3ED" w14:textId="77777777" w:rsidR="0002726C" w:rsidRPr="00392E88" w:rsidRDefault="0002726C" w:rsidP="0042520F">
                  <w:pPr>
                    <w:framePr w:hSpace="141" w:wrap="around" w:vAnchor="text" w:hAnchor="margin" w:y="2"/>
                    <w:jc w:val="left"/>
                    <w:rPr>
                      <w:rFonts w:eastAsiaTheme="minorHAnsi"/>
                      <w:szCs w:val="22"/>
                    </w:rPr>
                  </w:pPr>
                  <w:r w:rsidRPr="00392E88">
                    <w:t>Inne</w:t>
                  </w:r>
                </w:p>
              </w:tc>
              <w:tc>
                <w:tcPr>
                  <w:tcW w:w="4534" w:type="dxa"/>
                </w:tcPr>
                <w:p w14:paraId="22126025" w14:textId="77777777" w:rsidR="0002726C" w:rsidRPr="00392E88" w:rsidRDefault="004F0F55" w:rsidP="0042520F">
                  <w:pPr>
                    <w:framePr w:hSpace="141" w:wrap="around" w:vAnchor="text" w:hAnchor="margin" w:y="2"/>
                    <w:jc w:val="left"/>
                    <w:rPr>
                      <w:rFonts w:eastAsiaTheme="minorHAnsi"/>
                      <w:szCs w:val="22"/>
                    </w:rPr>
                  </w:pPr>
                  <w:r w:rsidRPr="00392E88">
                    <w:t>//</w:t>
                  </w:r>
                </w:p>
              </w:tc>
            </w:tr>
          </w:tbl>
          <w:p w14:paraId="18408450" w14:textId="77777777" w:rsidR="00BD3820" w:rsidRPr="00392E88" w:rsidRDefault="00BD3820"/>
          <w:p w14:paraId="7E20A74F" w14:textId="77777777" w:rsidR="00BD3820" w:rsidRPr="00392E88" w:rsidRDefault="00BD3820"/>
          <w:p w14:paraId="45BF6F05" w14:textId="77777777" w:rsidR="00BD3820" w:rsidRPr="00392E88" w:rsidRDefault="00BD3820">
            <w:r w:rsidRPr="00392E88">
              <w:t>Platformy współpracy</w:t>
            </w:r>
          </w:p>
          <w:tbl>
            <w:tblPr>
              <w:tblStyle w:val="TableGrid"/>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3"/>
              <w:gridCol w:w="4534"/>
            </w:tblGrid>
            <w:tr w:rsidR="006F7A07" w:rsidRPr="00392E88" w14:paraId="64F3B3E7" w14:textId="77777777">
              <w:tc>
                <w:tcPr>
                  <w:tcW w:w="4533" w:type="dxa"/>
                </w:tcPr>
                <w:p w14:paraId="5C12ED41" w14:textId="77777777" w:rsidR="006F7A07" w:rsidRPr="00392E88" w:rsidRDefault="006F7A07" w:rsidP="0042520F">
                  <w:pPr>
                    <w:framePr w:hSpace="141" w:wrap="around" w:vAnchor="text" w:hAnchor="margin" w:y="2"/>
                    <w:jc w:val="left"/>
                    <w:rPr>
                      <w:noProof/>
                    </w:rPr>
                  </w:pPr>
                  <w:r w:rsidRPr="00392E88">
                    <w:t>Polityka cyfrowa lub sektorowa (jeżeli mają zastosowanie)</w:t>
                  </w:r>
                </w:p>
              </w:tc>
              <w:tc>
                <w:tcPr>
                  <w:tcW w:w="4534" w:type="dxa"/>
                </w:tcPr>
                <w:p w14:paraId="5D24B9AB" w14:textId="55B358EF" w:rsidR="006F7A07" w:rsidRPr="00392E88" w:rsidRDefault="006F7A07" w:rsidP="0042520F">
                  <w:pPr>
                    <w:framePr w:hSpace="141" w:wrap="around" w:vAnchor="text" w:hAnchor="margin" w:y="2"/>
                    <w:jc w:val="left"/>
                    <w:rPr>
                      <w:noProof/>
                    </w:rPr>
                  </w:pPr>
                  <w:r w:rsidRPr="00392E88">
                    <w:t>Wyjaśnienie,</w:t>
                  </w:r>
                  <w:r w:rsidR="006E6446" w:rsidRPr="00392E88">
                    <w:t xml:space="preserve"> w</w:t>
                  </w:r>
                  <w:r w:rsidR="006E6446">
                    <w:t> </w:t>
                  </w:r>
                  <w:r w:rsidR="006E6446" w:rsidRPr="00392E88">
                    <w:t>jak</w:t>
                  </w:r>
                  <w:r w:rsidRPr="00392E88">
                    <w:t>i sposób te polityki są zgodne</w:t>
                  </w:r>
                </w:p>
              </w:tc>
            </w:tr>
            <w:tr w:rsidR="006F7A07" w:rsidRPr="00392E88" w14:paraId="460E83DD" w14:textId="77777777">
              <w:tc>
                <w:tcPr>
                  <w:tcW w:w="4533" w:type="dxa"/>
                </w:tcPr>
                <w:p w14:paraId="74499C80" w14:textId="21756428" w:rsidR="006F7A07" w:rsidRPr="00392E88" w:rsidRDefault="006F7A07" w:rsidP="0042520F">
                  <w:pPr>
                    <w:framePr w:hSpace="141" w:wrap="around" w:vAnchor="text" w:hAnchor="margin" w:y="2"/>
                    <w:jc w:val="left"/>
                    <w:rPr>
                      <w:noProof/>
                    </w:rPr>
                  </w:pPr>
                  <w:r w:rsidRPr="00392E88">
                    <w:t>Akt</w:t>
                  </w:r>
                  <w:r w:rsidR="006E6446" w:rsidRPr="00392E88">
                    <w:t xml:space="preserve"> w</w:t>
                  </w:r>
                  <w:r w:rsidR="006E6446">
                    <w:t> </w:t>
                  </w:r>
                  <w:r w:rsidR="006E6446" w:rsidRPr="00392E88">
                    <w:t>spr</w:t>
                  </w:r>
                  <w:r w:rsidRPr="00392E88">
                    <w:t>awie sztucznej inteligencji</w:t>
                  </w:r>
                </w:p>
              </w:tc>
              <w:tc>
                <w:tcPr>
                  <w:tcW w:w="4534" w:type="dxa"/>
                </w:tcPr>
                <w:p w14:paraId="4705D6CE" w14:textId="77777777" w:rsidR="006F7A07" w:rsidRPr="00392E88" w:rsidRDefault="006F7A07" w:rsidP="0042520F">
                  <w:pPr>
                    <w:framePr w:hSpace="141" w:wrap="around" w:vAnchor="text" w:hAnchor="margin" w:y="2"/>
                    <w:jc w:val="left"/>
                    <w:rPr>
                      <w:noProof/>
                    </w:rPr>
                  </w:pPr>
                  <w:r w:rsidRPr="00392E88">
                    <w:t>Nie dotyczy</w:t>
                  </w:r>
                </w:p>
              </w:tc>
            </w:tr>
            <w:tr w:rsidR="006F7A07" w:rsidRPr="00392E88" w14:paraId="1696DDE2" w14:textId="77777777">
              <w:tc>
                <w:tcPr>
                  <w:tcW w:w="4533" w:type="dxa"/>
                </w:tcPr>
                <w:p w14:paraId="35E585C2" w14:textId="77777777" w:rsidR="006F7A07" w:rsidRPr="00392E88" w:rsidRDefault="006F7A07" w:rsidP="0042520F">
                  <w:pPr>
                    <w:framePr w:hSpace="141" w:wrap="around" w:vAnchor="text" w:hAnchor="margin" w:y="2"/>
                    <w:jc w:val="left"/>
                    <w:rPr>
                      <w:noProof/>
                    </w:rPr>
                  </w:pPr>
                  <w:r w:rsidRPr="00392E88">
                    <w:t>Ramy UE dotyczące cyberbezpieczeństwa</w:t>
                  </w:r>
                </w:p>
              </w:tc>
              <w:tc>
                <w:tcPr>
                  <w:tcW w:w="4534" w:type="dxa"/>
                </w:tcPr>
                <w:p w14:paraId="41494076" w14:textId="56DF75B0" w:rsidR="006F7A07" w:rsidRPr="00392E88" w:rsidRDefault="006F7A07" w:rsidP="0042520F">
                  <w:pPr>
                    <w:framePr w:hSpace="141" w:wrap="around" w:vAnchor="text" w:hAnchor="margin" w:y="2"/>
                    <w:jc w:val="left"/>
                  </w:pPr>
                  <w:r w:rsidRPr="00392E88">
                    <w:t>Bez uszczerbku dla rozporządzenia (UE) 2016/679 państwa członkowskie zapewniają bezpieczeństwo, integralność, autentyczność</w:t>
                  </w:r>
                  <w:r w:rsidR="006E6446" w:rsidRPr="00392E88">
                    <w:t xml:space="preserve"> i</w:t>
                  </w:r>
                  <w:r w:rsidR="006E6446">
                    <w:t> </w:t>
                  </w:r>
                  <w:r w:rsidR="006E6446" w:rsidRPr="00392E88">
                    <w:t>pou</w:t>
                  </w:r>
                  <w:r w:rsidRPr="00392E88">
                    <w:t>fność danych gromadzonych</w:t>
                  </w:r>
                  <w:r w:rsidR="006E6446" w:rsidRPr="00392E88">
                    <w:t xml:space="preserve"> i</w:t>
                  </w:r>
                  <w:r w:rsidR="006E6446">
                    <w:t> </w:t>
                  </w:r>
                  <w:r w:rsidR="006E6446" w:rsidRPr="00392E88">
                    <w:t>prz</w:t>
                  </w:r>
                  <w:r w:rsidRPr="00392E88">
                    <w:t xml:space="preserve">echowywanych do celów niniejszej dyrektywy. </w:t>
                  </w:r>
                </w:p>
                <w:p w14:paraId="323AD8AB" w14:textId="77777777" w:rsidR="006F7A07" w:rsidRPr="00392E88" w:rsidRDefault="006F7A07" w:rsidP="0042520F">
                  <w:pPr>
                    <w:framePr w:hSpace="141" w:wrap="around" w:vAnchor="text" w:hAnchor="margin" w:y="2"/>
                    <w:jc w:val="left"/>
                    <w:rPr>
                      <w:noProof/>
                    </w:rPr>
                  </w:pPr>
                  <w:r w:rsidRPr="00392E88">
                    <w:t>Do uszczegółowienia przez EIOPA</w:t>
                  </w:r>
                </w:p>
              </w:tc>
            </w:tr>
            <w:tr w:rsidR="006F7A07" w:rsidRPr="00392E88" w14:paraId="36062F10" w14:textId="77777777">
              <w:tc>
                <w:tcPr>
                  <w:tcW w:w="4533" w:type="dxa"/>
                </w:tcPr>
                <w:p w14:paraId="34CADEB3" w14:textId="77777777" w:rsidR="006F7A07" w:rsidRPr="00392E88" w:rsidRDefault="006F7A07" w:rsidP="0042520F">
                  <w:pPr>
                    <w:framePr w:hSpace="141" w:wrap="around" w:vAnchor="text" w:hAnchor="margin" w:y="2"/>
                    <w:jc w:val="left"/>
                    <w:rPr>
                      <w:noProof/>
                    </w:rPr>
                  </w:pPr>
                  <w:r w:rsidRPr="00392E88">
                    <w:t>eIDAS</w:t>
                  </w:r>
                </w:p>
              </w:tc>
              <w:tc>
                <w:tcPr>
                  <w:tcW w:w="4534" w:type="dxa"/>
                </w:tcPr>
                <w:p w14:paraId="65CE4A53" w14:textId="77777777" w:rsidR="006F7A07" w:rsidRPr="00392E88" w:rsidRDefault="006F7A07" w:rsidP="0042520F">
                  <w:pPr>
                    <w:framePr w:hSpace="141" w:wrap="around" w:vAnchor="text" w:hAnchor="margin" w:y="2"/>
                    <w:jc w:val="left"/>
                    <w:rPr>
                      <w:noProof/>
                    </w:rPr>
                  </w:pPr>
                  <w:r w:rsidRPr="00392E88">
                    <w:t>Do uszczegółowienia przez EIOPA</w:t>
                  </w:r>
                </w:p>
              </w:tc>
            </w:tr>
            <w:tr w:rsidR="006F7A07" w:rsidRPr="00392E88" w14:paraId="683D5FDF" w14:textId="77777777">
              <w:tc>
                <w:tcPr>
                  <w:tcW w:w="4533" w:type="dxa"/>
                </w:tcPr>
                <w:p w14:paraId="26485BA5" w14:textId="77777777" w:rsidR="006F7A07" w:rsidRPr="00392E88" w:rsidRDefault="006F7A07" w:rsidP="0042520F">
                  <w:pPr>
                    <w:framePr w:hSpace="141" w:wrap="around" w:vAnchor="text" w:hAnchor="margin" w:y="2"/>
                    <w:jc w:val="left"/>
                    <w:rPr>
                      <w:noProof/>
                    </w:rPr>
                  </w:pPr>
                  <w:r w:rsidRPr="00392E88">
                    <w:t>Inne</w:t>
                  </w:r>
                </w:p>
              </w:tc>
              <w:tc>
                <w:tcPr>
                  <w:tcW w:w="4534" w:type="dxa"/>
                </w:tcPr>
                <w:p w14:paraId="40F092D2" w14:textId="77777777" w:rsidR="006F7A07" w:rsidRPr="00392E88" w:rsidRDefault="006F7A07" w:rsidP="0042520F">
                  <w:pPr>
                    <w:framePr w:hSpace="141" w:wrap="around" w:vAnchor="text" w:hAnchor="margin" w:y="2"/>
                    <w:jc w:val="left"/>
                    <w:rPr>
                      <w:noProof/>
                    </w:rPr>
                  </w:pPr>
                  <w:r w:rsidRPr="00392E88">
                    <w:t>//</w:t>
                  </w:r>
                </w:p>
              </w:tc>
            </w:tr>
          </w:tbl>
          <w:p w14:paraId="1593E932" w14:textId="77777777" w:rsidR="00BD3820" w:rsidRPr="00392E88" w:rsidRDefault="00BD3820"/>
          <w:p w14:paraId="7066FA20" w14:textId="269DA85C" w:rsidR="00AC2BE5" w:rsidRPr="00392E88" w:rsidRDefault="00AC2BE5"/>
          <w:p w14:paraId="6665EE51" w14:textId="77777777" w:rsidR="006844E4" w:rsidRPr="00392E88" w:rsidRDefault="006844E4"/>
        </w:tc>
      </w:tr>
    </w:tbl>
    <w:p w14:paraId="6287DD16" w14:textId="77777777" w:rsidR="00AC2BE5" w:rsidRPr="00392E88" w:rsidRDefault="00AC2BE5">
      <w:pPr>
        <w:pStyle w:val="ManualHeading2"/>
        <w:rPr>
          <w:rStyle w:val="Emphasis"/>
          <w:bCs/>
          <w:i w:val="0"/>
          <w:iCs w:val="0"/>
        </w:rPr>
      </w:pPr>
      <w:bookmarkStart w:id="122" w:name="_Toc167220304"/>
      <w:bookmarkStart w:id="123" w:name="_Toc177549040"/>
      <w:r w:rsidRPr="00392E88">
        <w:rPr>
          <w:rStyle w:val="Emphasis"/>
          <w:i w:val="0"/>
        </w:rPr>
        <w:t>4.4.</w:t>
      </w:r>
      <w:r w:rsidRPr="00392E88">
        <w:tab/>
      </w:r>
      <w:r w:rsidRPr="00392E88">
        <w:rPr>
          <w:rStyle w:val="Emphasis"/>
          <w:i w:val="0"/>
        </w:rPr>
        <w:t>Ocena interoperacyjności</w:t>
      </w:r>
      <w:bookmarkEnd w:id="122"/>
      <w:bookmarkEnd w:id="123"/>
    </w:p>
    <w:tbl>
      <w:tblPr>
        <w:tblpPr w:leftFromText="141" w:rightFromText="141" w:vertAnchor="text" w:horzAnchor="margin" w:tblpY="36"/>
        <w:tblW w:w="9067" w:type="dxa"/>
        <w:tblLayout w:type="fixed"/>
        <w:tblCellMar>
          <w:left w:w="0" w:type="dxa"/>
          <w:right w:w="0" w:type="dxa"/>
        </w:tblCellMar>
        <w:tblLook w:val="06A0" w:firstRow="1" w:lastRow="0" w:firstColumn="1" w:lastColumn="0" w:noHBand="1" w:noVBand="1"/>
      </w:tblPr>
      <w:tblGrid>
        <w:gridCol w:w="9067"/>
      </w:tblGrid>
      <w:tr w:rsidR="00AC2BE5" w:rsidRPr="00392E88" w14:paraId="5E2BA78C" w14:textId="77777777">
        <w:trPr>
          <w:trHeight w:val="300"/>
        </w:trPr>
        <w:tc>
          <w:tcPr>
            <w:tcW w:w="9067" w:type="dxa"/>
          </w:tcPr>
          <w:p w14:paraId="11398CF5" w14:textId="77777777" w:rsidR="005D7C11" w:rsidRPr="00392E88" w:rsidRDefault="005D7C11">
            <w:pPr>
              <w:rPr>
                <w:noProof/>
              </w:rPr>
            </w:pPr>
          </w:p>
          <w:tbl>
            <w:tblPr>
              <w:tblStyle w:val="TableGrid"/>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6"/>
              <w:gridCol w:w="2267"/>
              <w:gridCol w:w="2267"/>
              <w:gridCol w:w="2267"/>
            </w:tblGrid>
            <w:tr w:rsidR="003143F5" w:rsidRPr="00392E88" w14:paraId="17470C97" w14:textId="77777777" w:rsidTr="005D0C3B">
              <w:tc>
                <w:tcPr>
                  <w:tcW w:w="2266" w:type="dxa"/>
                </w:tcPr>
                <w:p w14:paraId="67E13F0F" w14:textId="77777777" w:rsidR="003143F5" w:rsidRPr="00392E88" w:rsidRDefault="003143F5" w:rsidP="0042520F">
                  <w:pPr>
                    <w:framePr w:hSpace="141" w:wrap="around" w:vAnchor="text" w:hAnchor="margin" w:y="36"/>
                    <w:jc w:val="center"/>
                    <w:rPr>
                      <w:rFonts w:eastAsiaTheme="minorHAnsi"/>
                      <w:szCs w:val="22"/>
                    </w:rPr>
                  </w:pPr>
                  <w:r w:rsidRPr="00392E88">
                    <w:t>Cyfrowa usługa publiczna lub kategoria cyfrowych usług publicznych</w:t>
                  </w:r>
                </w:p>
              </w:tc>
              <w:tc>
                <w:tcPr>
                  <w:tcW w:w="2267" w:type="dxa"/>
                </w:tcPr>
                <w:p w14:paraId="473D1B29" w14:textId="77777777" w:rsidR="003143F5" w:rsidRPr="00392E88" w:rsidRDefault="003143F5" w:rsidP="0042520F">
                  <w:pPr>
                    <w:framePr w:hSpace="141" w:wrap="around" w:vAnchor="text" w:hAnchor="margin" w:y="36"/>
                    <w:jc w:val="center"/>
                    <w:rPr>
                      <w:rFonts w:eastAsiaTheme="minorHAnsi"/>
                      <w:szCs w:val="22"/>
                    </w:rPr>
                  </w:pPr>
                  <w:r w:rsidRPr="00392E88">
                    <w:t>Opis</w:t>
                  </w:r>
                </w:p>
              </w:tc>
              <w:tc>
                <w:tcPr>
                  <w:tcW w:w="2267" w:type="dxa"/>
                </w:tcPr>
                <w:p w14:paraId="0E47BF47" w14:textId="77777777" w:rsidR="003143F5" w:rsidRPr="00392E88" w:rsidRDefault="003143F5" w:rsidP="0042520F">
                  <w:pPr>
                    <w:framePr w:hSpace="141" w:wrap="around" w:vAnchor="text" w:hAnchor="margin" w:y="36"/>
                    <w:jc w:val="center"/>
                    <w:rPr>
                      <w:rFonts w:eastAsiaTheme="minorHAnsi"/>
                      <w:szCs w:val="22"/>
                    </w:rPr>
                  </w:pPr>
                  <w:r w:rsidRPr="00392E88">
                    <w:t>Odniesienie do wymogu</w:t>
                  </w:r>
                </w:p>
              </w:tc>
              <w:tc>
                <w:tcPr>
                  <w:tcW w:w="2267" w:type="dxa"/>
                </w:tcPr>
                <w:p w14:paraId="7181AFED" w14:textId="6FFAE5E5" w:rsidR="003143F5" w:rsidRPr="00392E88" w:rsidRDefault="003143F5" w:rsidP="0042520F">
                  <w:pPr>
                    <w:framePr w:hSpace="141" w:wrap="around" w:vAnchor="text" w:hAnchor="margin" w:y="36"/>
                    <w:jc w:val="center"/>
                    <w:rPr>
                      <w:rFonts w:eastAsiaTheme="minorHAnsi"/>
                      <w:szCs w:val="22"/>
                    </w:rPr>
                  </w:pPr>
                  <w:r w:rsidRPr="00392E88">
                    <w:t>Inne rozwiązanie</w:t>
                  </w:r>
                  <w:r w:rsidR="006E6446" w:rsidRPr="00392E88">
                    <w:t xml:space="preserve"> w</w:t>
                  </w:r>
                  <w:r w:rsidR="006E6446">
                    <w:t> </w:t>
                  </w:r>
                  <w:r w:rsidR="006E6446" w:rsidRPr="00392E88">
                    <w:t>zak</w:t>
                  </w:r>
                  <w:r w:rsidRPr="00392E88">
                    <w:t>resie interoperacyjności</w:t>
                  </w:r>
                </w:p>
              </w:tc>
            </w:tr>
            <w:tr w:rsidR="003143F5" w:rsidRPr="00392E88" w14:paraId="117FB3AC" w14:textId="77777777" w:rsidTr="005D0C3B">
              <w:tc>
                <w:tcPr>
                  <w:tcW w:w="2266" w:type="dxa"/>
                </w:tcPr>
                <w:p w14:paraId="1BBAA924" w14:textId="77777777" w:rsidR="003143F5" w:rsidRPr="00392E88" w:rsidRDefault="003143F5" w:rsidP="0042520F">
                  <w:pPr>
                    <w:framePr w:hSpace="141" w:wrap="around" w:vAnchor="text" w:hAnchor="margin" w:y="36"/>
                    <w:jc w:val="left"/>
                    <w:rPr>
                      <w:rFonts w:eastAsiaTheme="minorHAnsi"/>
                      <w:szCs w:val="22"/>
                    </w:rPr>
                  </w:pPr>
                  <w:r w:rsidRPr="00392E88">
                    <w:t>Platforma współpracy</w:t>
                  </w:r>
                </w:p>
              </w:tc>
              <w:tc>
                <w:tcPr>
                  <w:tcW w:w="2267" w:type="dxa"/>
                </w:tcPr>
                <w:p w14:paraId="62F78AF7" w14:textId="3C16FBC1" w:rsidR="003143F5" w:rsidRPr="00392E88" w:rsidRDefault="003143F5" w:rsidP="0042520F">
                  <w:pPr>
                    <w:framePr w:hSpace="141" w:wrap="around" w:vAnchor="text" w:hAnchor="margin" w:y="36"/>
                    <w:jc w:val="left"/>
                    <w:rPr>
                      <w:rFonts w:eastAsiaTheme="minorHAnsi"/>
                      <w:szCs w:val="22"/>
                    </w:rPr>
                  </w:pPr>
                  <w:r w:rsidRPr="00392E88">
                    <w:t>Informacje dotyczące działalności transgranicznej; wymiana informacji</w:t>
                  </w:r>
                  <w:r w:rsidR="006E6446" w:rsidRPr="00392E88">
                    <w:t xml:space="preserve"> i</w:t>
                  </w:r>
                  <w:r w:rsidR="006E6446">
                    <w:t> </w:t>
                  </w:r>
                  <w:r w:rsidR="006E6446" w:rsidRPr="00392E88">
                    <w:t>zac</w:t>
                  </w:r>
                  <w:r w:rsidRPr="00392E88">
                    <w:t>ieśnienie współpracy między odpowiednimi właściwymi organami, jeżeli IORP prowadzi lub zamierza prowadzić działalność transgraniczną</w:t>
                  </w:r>
                </w:p>
              </w:tc>
              <w:tc>
                <w:tcPr>
                  <w:tcW w:w="2267" w:type="dxa"/>
                </w:tcPr>
                <w:p w14:paraId="4D9B0B1C" w14:textId="3FA56049" w:rsidR="003143F5" w:rsidRPr="00392E88" w:rsidRDefault="003143F5" w:rsidP="0042520F">
                  <w:pPr>
                    <w:framePr w:hSpace="141" w:wrap="around" w:vAnchor="text" w:hAnchor="margin" w:y="36"/>
                    <w:jc w:val="left"/>
                    <w:rPr>
                      <w:rFonts w:eastAsiaTheme="minorHAnsi"/>
                      <w:szCs w:val="22"/>
                    </w:rPr>
                  </w:pPr>
                  <w:r w:rsidRPr="00392E88">
                    <w:t xml:space="preserve">Art. 11; </w:t>
                  </w:r>
                  <w:r w:rsidRPr="006E6446">
                    <w:t>art.</w:t>
                  </w:r>
                  <w:r w:rsidR="006E6446" w:rsidRPr="006E6446">
                    <w:t> </w:t>
                  </w:r>
                  <w:r w:rsidRPr="006E6446">
                    <w:t>5</w:t>
                  </w:r>
                  <w:r w:rsidRPr="00392E88">
                    <w:t>5a</w:t>
                  </w:r>
                </w:p>
              </w:tc>
              <w:tc>
                <w:tcPr>
                  <w:tcW w:w="2267" w:type="dxa"/>
                </w:tcPr>
                <w:p w14:paraId="500601CB" w14:textId="77777777" w:rsidR="003143F5" w:rsidRPr="00392E88" w:rsidRDefault="003143F5" w:rsidP="0042520F">
                  <w:pPr>
                    <w:framePr w:hSpace="141" w:wrap="around" w:vAnchor="text" w:hAnchor="margin" w:y="36"/>
                    <w:rPr>
                      <w:noProof/>
                    </w:rPr>
                  </w:pPr>
                  <w:r w:rsidRPr="00392E88">
                    <w:t>//</w:t>
                  </w:r>
                </w:p>
              </w:tc>
            </w:tr>
            <w:tr w:rsidR="003143F5" w:rsidRPr="00392E88" w14:paraId="4D39A26E" w14:textId="77777777" w:rsidTr="005D0C3B">
              <w:tc>
                <w:tcPr>
                  <w:tcW w:w="2266" w:type="dxa"/>
                </w:tcPr>
                <w:p w14:paraId="6B1C88AD" w14:textId="77777777" w:rsidR="003143F5" w:rsidRPr="00392E88" w:rsidRDefault="003143F5" w:rsidP="0042520F">
                  <w:pPr>
                    <w:framePr w:hSpace="141" w:wrap="around" w:vAnchor="text" w:hAnchor="margin" w:y="36"/>
                    <w:jc w:val="left"/>
                    <w:rPr>
                      <w:rFonts w:eastAsiaTheme="minorHAnsi"/>
                      <w:szCs w:val="22"/>
                    </w:rPr>
                  </w:pPr>
                  <w:r w:rsidRPr="00392E88">
                    <w:t>Systemy monitorowania uprawnień emerytalnych</w:t>
                  </w:r>
                </w:p>
              </w:tc>
              <w:tc>
                <w:tcPr>
                  <w:tcW w:w="2267" w:type="dxa"/>
                </w:tcPr>
                <w:p w14:paraId="40B441B8" w14:textId="3E8EAD74" w:rsidR="003143F5" w:rsidRPr="00392E88" w:rsidRDefault="003143F5" w:rsidP="0042520F">
                  <w:pPr>
                    <w:framePr w:hSpace="141" w:wrap="around" w:vAnchor="text" w:hAnchor="margin" w:y="36"/>
                    <w:jc w:val="left"/>
                    <w:rPr>
                      <w:rFonts w:eastAsiaTheme="minorHAnsi"/>
                      <w:szCs w:val="22"/>
                    </w:rPr>
                  </w:pPr>
                  <w:r w:rsidRPr="00392E88">
                    <w:t>Aktualne informacje na temat uprawnień uczestników</w:t>
                  </w:r>
                  <w:r w:rsidR="006E6446" w:rsidRPr="00392E88">
                    <w:t xml:space="preserve"> i</w:t>
                  </w:r>
                  <w:r w:rsidR="006E6446">
                    <w:t> </w:t>
                  </w:r>
                  <w:r w:rsidR="006E6446" w:rsidRPr="00392E88">
                    <w:t>ben</w:t>
                  </w:r>
                  <w:r w:rsidRPr="00392E88">
                    <w:t>eficjentów</w:t>
                  </w:r>
                </w:p>
              </w:tc>
              <w:tc>
                <w:tcPr>
                  <w:tcW w:w="2267" w:type="dxa"/>
                </w:tcPr>
                <w:p w14:paraId="5E4A06D5" w14:textId="2A624962" w:rsidR="003143F5" w:rsidRPr="00392E88" w:rsidRDefault="003143F5" w:rsidP="0042520F">
                  <w:pPr>
                    <w:framePr w:hSpace="141" w:wrap="around" w:vAnchor="text" w:hAnchor="margin" w:y="36"/>
                    <w:jc w:val="left"/>
                    <w:rPr>
                      <w:rFonts w:eastAsiaTheme="minorHAnsi"/>
                      <w:szCs w:val="22"/>
                    </w:rPr>
                  </w:pPr>
                  <w:r w:rsidRPr="00392E88">
                    <w:t xml:space="preserve">Art. 22a; </w:t>
                  </w:r>
                  <w:r w:rsidRPr="006E6446">
                    <w:t>art.</w:t>
                  </w:r>
                  <w:r w:rsidR="006E6446" w:rsidRPr="006E6446">
                    <w:t> </w:t>
                  </w:r>
                  <w:r w:rsidRPr="006E6446">
                    <w:t>3</w:t>
                  </w:r>
                  <w:r w:rsidRPr="00392E88">
                    <w:t>7a</w:t>
                  </w:r>
                </w:p>
              </w:tc>
              <w:tc>
                <w:tcPr>
                  <w:tcW w:w="2267" w:type="dxa"/>
                </w:tcPr>
                <w:p w14:paraId="58F51529" w14:textId="77777777" w:rsidR="003143F5" w:rsidRPr="00392E88" w:rsidRDefault="003143F5" w:rsidP="0042520F">
                  <w:pPr>
                    <w:framePr w:hSpace="141" w:wrap="around" w:vAnchor="text" w:hAnchor="margin" w:y="36"/>
                    <w:rPr>
                      <w:noProof/>
                    </w:rPr>
                  </w:pPr>
                  <w:r w:rsidRPr="00392E88">
                    <w:t>//</w:t>
                  </w:r>
                </w:p>
              </w:tc>
            </w:tr>
          </w:tbl>
          <w:p w14:paraId="37193C50" w14:textId="77777777" w:rsidR="00AC2BE5" w:rsidRPr="00392E88" w:rsidRDefault="00AC2BE5">
            <w:pPr>
              <w:rPr>
                <w:i/>
                <w:iCs/>
                <w:color w:val="215868" w:themeColor="accent5" w:themeShade="80"/>
              </w:rPr>
            </w:pPr>
          </w:p>
        </w:tc>
      </w:tr>
      <w:bookmarkEnd w:id="115"/>
    </w:tbl>
    <w:p w14:paraId="5AF9B3ED" w14:textId="77777777" w:rsidR="006844E4" w:rsidRPr="00392E88" w:rsidRDefault="006844E4" w:rsidP="006844E4">
      <w:pPr>
        <w:pStyle w:val="ManualHeading2"/>
        <w:rPr>
          <w:rStyle w:val="Emphasis"/>
          <w:bCs/>
          <w:i w:val="0"/>
          <w:iCs w:val="0"/>
        </w:rPr>
      </w:pPr>
    </w:p>
    <w:p w14:paraId="6CBF9206" w14:textId="66E78582" w:rsidR="006844E4" w:rsidRPr="00392E88" w:rsidRDefault="006844E4" w:rsidP="006844E4">
      <w:pPr>
        <w:pStyle w:val="ManualHeading2"/>
        <w:rPr>
          <w:rStyle w:val="Emphasis"/>
          <w:bCs/>
          <w:i w:val="0"/>
          <w:iCs w:val="0"/>
        </w:rPr>
      </w:pPr>
      <w:r w:rsidRPr="00392E88">
        <w:rPr>
          <w:rStyle w:val="Emphasis"/>
          <w:i w:val="0"/>
        </w:rPr>
        <w:t>4.5.</w:t>
      </w:r>
      <w:r w:rsidRPr="00392E88">
        <w:tab/>
      </w:r>
      <w:r w:rsidRPr="00392E88">
        <w:rPr>
          <w:rStyle w:val="Emphasis"/>
          <w:i w:val="0"/>
        </w:rPr>
        <w:t>Środki wspierające cyfrowe wdrażanie</w:t>
      </w:r>
    </w:p>
    <w:p w14:paraId="0C51E36C" w14:textId="77777777" w:rsidR="006844E4" w:rsidRPr="00392E88" w:rsidRDefault="006844E4" w:rsidP="006844E4">
      <w:r w:rsidRPr="00392E88">
        <w:t>Nie dotyczy</w:t>
      </w:r>
    </w:p>
    <w:p w14:paraId="4BC78192" w14:textId="77777777" w:rsidR="00AC2BE5" w:rsidRPr="00392E88" w:rsidRDefault="00AC2BE5">
      <w:pPr>
        <w:rPr>
          <w:color w:val="008000"/>
        </w:rPr>
      </w:pPr>
    </w:p>
    <w:sectPr w:rsidR="00AC2BE5" w:rsidRPr="00392E88" w:rsidSect="00682C29">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F148E" w14:textId="77777777" w:rsidR="00CE2E3C" w:rsidRDefault="00CE2E3C" w:rsidP="00AC2BE5">
      <w:pPr>
        <w:spacing w:before="0" w:after="0"/>
      </w:pPr>
      <w:r>
        <w:separator/>
      </w:r>
    </w:p>
  </w:endnote>
  <w:endnote w:type="continuationSeparator" w:id="0">
    <w:p w14:paraId="747D97E5" w14:textId="77777777" w:rsidR="00CE2E3C" w:rsidRDefault="00CE2E3C" w:rsidP="00AC2BE5">
      <w:pPr>
        <w:spacing w:before="0" w:after="0"/>
      </w:pPr>
      <w:r>
        <w:continuationSeparator/>
      </w:r>
    </w:p>
  </w:endnote>
  <w:endnote w:type="continuationNotice" w:id="1">
    <w:p w14:paraId="587D3B0B" w14:textId="77777777" w:rsidR="00CE2E3C" w:rsidRDefault="00CE2E3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EUAlbertina">
    <w:altName w:val="Cambria"/>
    <w:charset w:val="00"/>
    <w:family w:val="auto"/>
    <w:pitch w:val="variable"/>
    <w:sig w:usb0="800002EF" w:usb1="1000E0FB" w:usb2="00000000" w:usb3="00000000" w:csb0="0000009F" w:csb1="00000000"/>
  </w:font>
  <w:font w:name="Arial Narrow">
    <w:altName w:val="Arial"/>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2536A" w14:textId="77777777" w:rsidR="0042520F" w:rsidRDefault="004252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7995B" w14:textId="5B24EF70" w:rsidR="0042520F" w:rsidRDefault="0042520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2E2B4" w14:textId="77777777" w:rsidR="0042520F" w:rsidRDefault="0042520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BBDC8" w14:textId="77777777" w:rsidR="0042520F" w:rsidRDefault="0042520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12EE5" w14:textId="77777777" w:rsidR="0042520F" w:rsidRDefault="0042520F">
    <w:r>
      <w:cr/>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73523" w14:textId="77777777" w:rsidR="0042520F" w:rsidRDefault="004252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78101" w14:textId="77777777" w:rsidR="00CE2E3C" w:rsidRDefault="00CE2E3C" w:rsidP="00AC2BE5">
      <w:pPr>
        <w:spacing w:before="0" w:after="0"/>
      </w:pPr>
      <w:r>
        <w:separator/>
      </w:r>
    </w:p>
  </w:footnote>
  <w:footnote w:type="continuationSeparator" w:id="0">
    <w:p w14:paraId="3ACFACBC" w14:textId="77777777" w:rsidR="00CE2E3C" w:rsidRDefault="00CE2E3C" w:rsidP="00AC2BE5">
      <w:pPr>
        <w:spacing w:before="0" w:after="0"/>
      </w:pPr>
      <w:r>
        <w:continuationSeparator/>
      </w:r>
    </w:p>
  </w:footnote>
  <w:footnote w:type="continuationNotice" w:id="1">
    <w:p w14:paraId="625D5098" w14:textId="77777777" w:rsidR="00CE2E3C" w:rsidRDefault="00CE2E3C">
      <w:pPr>
        <w:spacing w:before="0" w:after="0"/>
      </w:pPr>
    </w:p>
  </w:footnote>
  <w:footnote w:id="2">
    <w:p w14:paraId="0DEFFC1A" w14:textId="77777777" w:rsidR="00974875" w:rsidRPr="00392E88" w:rsidRDefault="00974875">
      <w:pPr>
        <w:pStyle w:val="FootnoteText"/>
      </w:pPr>
      <w:r>
        <w:rPr>
          <w:rStyle w:val="FootnoteReference"/>
        </w:rPr>
        <w:footnoteRef/>
      </w:r>
      <w:r w:rsidRPr="00392E88">
        <w:tab/>
      </w:r>
      <w:hyperlink r:id="rId1" w:history="1">
        <w:r w:rsidRPr="00392E88">
          <w:rPr>
            <w:rStyle w:val="Hyperlink"/>
          </w:rPr>
          <w:t>Europejski filar praw socjalnych</w:t>
        </w:r>
      </w:hyperlink>
      <w:r w:rsidRPr="00392E88">
        <w:t xml:space="preserve">. </w:t>
      </w:r>
    </w:p>
  </w:footnote>
  <w:footnote w:id="3">
    <w:p w14:paraId="4AA72D50" w14:textId="77777777" w:rsidR="00ED0F3A" w:rsidRPr="00392E88" w:rsidRDefault="00ED0F3A">
      <w:pPr>
        <w:pStyle w:val="FootnoteText"/>
      </w:pPr>
      <w:r>
        <w:rPr>
          <w:rStyle w:val="FootnoteReference"/>
        </w:rPr>
        <w:footnoteRef/>
      </w:r>
      <w:r w:rsidRPr="00392E88">
        <w:tab/>
        <w:t xml:space="preserve">M. Draghi (2024), </w:t>
      </w:r>
      <w:hyperlink r:id="rId2" w:history="1">
        <w:r w:rsidRPr="00392E88">
          <w:rPr>
            <w:rStyle w:val="Hyperlink"/>
            <w:i/>
            <w:iCs/>
          </w:rPr>
          <w:t>The future of European competitiveness</w:t>
        </w:r>
      </w:hyperlink>
      <w:r w:rsidRPr="00392E88">
        <w:t xml:space="preserve"> [Przyszłość europejskiej konkurencyjności].</w:t>
      </w:r>
    </w:p>
  </w:footnote>
  <w:footnote w:id="4">
    <w:p w14:paraId="0A8234ED" w14:textId="20309B01" w:rsidR="00381AE2" w:rsidRPr="00392E88" w:rsidRDefault="00381AE2">
      <w:pPr>
        <w:pStyle w:val="FootnoteText"/>
      </w:pPr>
      <w:r>
        <w:rPr>
          <w:rStyle w:val="FootnoteReference"/>
        </w:rPr>
        <w:footnoteRef/>
      </w:r>
      <w:r w:rsidRPr="00392E88">
        <w:tab/>
        <w:t xml:space="preserve">Letta, E. (2024), </w:t>
      </w:r>
      <w:hyperlink r:id="rId3" w:history="1">
        <w:r w:rsidRPr="00392E88">
          <w:rPr>
            <w:rStyle w:val="Hyperlink"/>
            <w:i/>
            <w:iCs/>
          </w:rPr>
          <w:t>Much More Than</w:t>
        </w:r>
        <w:r w:rsidR="006E6446" w:rsidRPr="00392E88">
          <w:rPr>
            <w:rStyle w:val="Hyperlink"/>
            <w:i/>
            <w:iCs/>
          </w:rPr>
          <w:t xml:space="preserve"> a</w:t>
        </w:r>
        <w:r w:rsidR="006E6446">
          <w:rPr>
            <w:rStyle w:val="Hyperlink"/>
            <w:i/>
            <w:iCs/>
          </w:rPr>
          <w:t> </w:t>
        </w:r>
        <w:r w:rsidR="006E6446" w:rsidRPr="00392E88">
          <w:rPr>
            <w:rStyle w:val="Hyperlink"/>
            <w:i/>
            <w:iCs/>
          </w:rPr>
          <w:t>Mar</w:t>
        </w:r>
        <w:r w:rsidRPr="00392E88">
          <w:rPr>
            <w:rStyle w:val="Hyperlink"/>
            <w:i/>
            <w:iCs/>
          </w:rPr>
          <w:t>ket</w:t>
        </w:r>
      </w:hyperlink>
      <w:r w:rsidRPr="00392E88">
        <w:t xml:space="preserve"> [Znacznie więcej niż rynek].</w:t>
      </w:r>
    </w:p>
  </w:footnote>
  <w:footnote w:id="5">
    <w:p w14:paraId="403519ED" w14:textId="75B3AC02" w:rsidR="000959D4" w:rsidRPr="00392E88" w:rsidRDefault="000959D4" w:rsidP="000959D4">
      <w:pPr>
        <w:pStyle w:val="FootnoteText"/>
      </w:pPr>
      <w:r>
        <w:rPr>
          <w:rStyle w:val="FootnoteReference"/>
        </w:rPr>
        <w:footnoteRef/>
      </w:r>
      <w:r w:rsidRPr="00392E88">
        <w:tab/>
      </w:r>
      <w:hyperlink r:id="rId4" w:history="1">
        <w:r w:rsidRPr="00392E88">
          <w:rPr>
            <w:rStyle w:val="Hyperlink"/>
          </w:rPr>
          <w:t>Konkluzje</w:t>
        </w:r>
      </w:hyperlink>
      <w:r w:rsidRPr="00392E88">
        <w:t xml:space="preserve"> Rady Europejskiej</w:t>
      </w:r>
      <w:r w:rsidR="006E6446" w:rsidRPr="00392E88">
        <w:t xml:space="preserve"> z</w:t>
      </w:r>
      <w:r w:rsidR="006E6446">
        <w:t> </w:t>
      </w:r>
      <w:r w:rsidR="006E6446" w:rsidRPr="00392E88">
        <w:t>dni</w:t>
      </w:r>
      <w:r w:rsidRPr="00392E88">
        <w:t>a 17–18 kwietnia 20</w:t>
      </w:r>
      <w:r w:rsidRPr="006E6446">
        <w:t>24</w:t>
      </w:r>
      <w:r w:rsidR="006E6446" w:rsidRPr="006E6446">
        <w:t> </w:t>
      </w:r>
      <w:r w:rsidRPr="006E6446">
        <w:t>r.</w:t>
      </w:r>
    </w:p>
  </w:footnote>
  <w:footnote w:id="6">
    <w:p w14:paraId="50306AEB" w14:textId="21E6B032" w:rsidR="00DD6F8B" w:rsidRPr="00392E88" w:rsidRDefault="00DD6F8B">
      <w:pPr>
        <w:pStyle w:val="FootnoteText"/>
      </w:pPr>
      <w:r>
        <w:rPr>
          <w:rStyle w:val="FootnoteReference"/>
        </w:rPr>
        <w:footnoteRef/>
      </w:r>
      <w:r w:rsidRPr="00392E88">
        <w:tab/>
      </w:r>
      <w:hyperlink r:id="rId5" w:history="1">
        <w:r w:rsidRPr="00392E88">
          <w:rPr>
            <w:rStyle w:val="Hyperlink"/>
          </w:rPr>
          <w:t>Konkluzje</w:t>
        </w:r>
      </w:hyperlink>
      <w:r w:rsidRPr="00392E88">
        <w:t xml:space="preserve"> Rady Europejskiej</w:t>
      </w:r>
      <w:r w:rsidR="006E6446" w:rsidRPr="00392E88">
        <w:t xml:space="preserve"> z</w:t>
      </w:r>
      <w:r w:rsidR="006E6446">
        <w:t> </w:t>
      </w:r>
      <w:r w:rsidR="006E6446" w:rsidRPr="00392E88">
        <w:t>dni</w:t>
      </w:r>
      <w:r w:rsidRPr="00392E88">
        <w:t>a 20 marca 20</w:t>
      </w:r>
      <w:r w:rsidRPr="006E6446">
        <w:t>25</w:t>
      </w:r>
      <w:r w:rsidR="006E6446" w:rsidRPr="006E6446">
        <w:t> </w:t>
      </w:r>
      <w:r w:rsidRPr="006E6446">
        <w:t>r.</w:t>
      </w:r>
    </w:p>
  </w:footnote>
  <w:footnote w:id="7">
    <w:p w14:paraId="6C82A0B2" w14:textId="62A79D39" w:rsidR="00EA2335" w:rsidRPr="00392E88" w:rsidRDefault="00EA2335">
      <w:pPr>
        <w:pStyle w:val="FootnoteText"/>
      </w:pPr>
      <w:r>
        <w:rPr>
          <w:rStyle w:val="FootnoteReference"/>
        </w:rPr>
        <w:footnoteRef/>
      </w:r>
      <w:r w:rsidRPr="00392E88">
        <w:tab/>
      </w:r>
      <w:hyperlink r:id="rId6" w:history="1">
        <w:r w:rsidRPr="00392E88">
          <w:rPr>
            <w:rStyle w:val="Hyperlink"/>
          </w:rPr>
          <w:t>Sprawozdanie końcowe Grupy Ekspertów Wysokiego Szczebla ds. Emerytur</w:t>
        </w:r>
      </w:hyperlink>
      <w:r w:rsidRPr="00392E88">
        <w:t xml:space="preserve"> – grudzień 20</w:t>
      </w:r>
      <w:r w:rsidRPr="006E6446">
        <w:t>19</w:t>
      </w:r>
      <w:r w:rsidR="006E6446" w:rsidRPr="006E6446">
        <w:t> </w:t>
      </w:r>
      <w:r w:rsidRPr="006E6446">
        <w:t>r.</w:t>
      </w:r>
      <w:r w:rsidRPr="00392E88">
        <w:t xml:space="preserve"> </w:t>
      </w:r>
    </w:p>
  </w:footnote>
  <w:footnote w:id="8">
    <w:p w14:paraId="6A5BB902" w14:textId="77777777" w:rsidR="008D224C" w:rsidRPr="00392E88" w:rsidRDefault="008D224C">
      <w:pPr>
        <w:pStyle w:val="FootnoteText"/>
      </w:pPr>
      <w:r>
        <w:rPr>
          <w:rStyle w:val="FootnoteReference"/>
        </w:rPr>
        <w:footnoteRef/>
      </w:r>
      <w:r w:rsidRPr="00392E88">
        <w:tab/>
        <w:t xml:space="preserve">Europejski Trybunał Obrachunkowy, „Upowszechnienie dodatkowych programów emerytalnych w UE”, </w:t>
      </w:r>
      <w:hyperlink r:id="rId7" w:history="1">
        <w:r w:rsidRPr="00392E88">
          <w:rPr>
            <w:rStyle w:val="Hyperlink"/>
          </w:rPr>
          <w:t>sprawozdanie specjalne 14/2025</w:t>
        </w:r>
      </w:hyperlink>
      <w:r w:rsidRPr="00392E88">
        <w:t>.</w:t>
      </w:r>
    </w:p>
  </w:footnote>
  <w:footnote w:id="9">
    <w:p w14:paraId="5BD574BD" w14:textId="77777777" w:rsidR="00E95DC0" w:rsidRPr="00392E88" w:rsidRDefault="00E95DC0">
      <w:pPr>
        <w:pStyle w:val="FootnoteText"/>
      </w:pPr>
      <w:r>
        <w:rPr>
          <w:rStyle w:val="FootnoteReference"/>
        </w:rPr>
        <w:footnoteRef/>
      </w:r>
      <w:r w:rsidRPr="00392E88">
        <w:tab/>
      </w:r>
      <w:hyperlink r:id="rId8" w:history="1">
        <w:r w:rsidRPr="00392E88">
          <w:rPr>
            <w:rStyle w:val="Hyperlink"/>
          </w:rPr>
          <w:t>Wytyczne polityczne</w:t>
        </w:r>
      </w:hyperlink>
      <w:r w:rsidRPr="00392E88">
        <w:t xml:space="preserve"> na następną kadencję Komisji Europejskiej (2024–2029).</w:t>
      </w:r>
    </w:p>
  </w:footnote>
  <w:footnote w:id="10">
    <w:p w14:paraId="26EC6FE5" w14:textId="77777777" w:rsidR="00CA54F1" w:rsidRPr="00392E88" w:rsidRDefault="00CA54F1" w:rsidP="00CA54F1">
      <w:pPr>
        <w:pStyle w:val="FootnoteText"/>
      </w:pPr>
      <w:r>
        <w:rPr>
          <w:rStyle w:val="FootnoteReference"/>
        </w:rPr>
        <w:footnoteRef/>
      </w:r>
      <w:r w:rsidRPr="00392E88">
        <w:tab/>
      </w:r>
      <w:hyperlink r:id="rId9" w:history="1">
        <w:r w:rsidRPr="00392E88">
          <w:rPr>
            <w:rStyle w:val="Hyperlink"/>
          </w:rPr>
          <w:t>Pismo określające zadania</w:t>
        </w:r>
      </w:hyperlink>
      <w:r w:rsidRPr="00392E88">
        <w:t>.</w:t>
      </w:r>
    </w:p>
  </w:footnote>
  <w:footnote w:id="11">
    <w:p w14:paraId="578D79FC" w14:textId="3DAF8978" w:rsidR="003A12CD" w:rsidRPr="00392E88" w:rsidRDefault="003A12CD">
      <w:pPr>
        <w:pStyle w:val="FootnoteText"/>
      </w:pPr>
      <w:r>
        <w:rPr>
          <w:rStyle w:val="FootnoteReference"/>
        </w:rPr>
        <w:footnoteRef/>
      </w:r>
      <w:r w:rsidRPr="00392E88">
        <w:tab/>
        <w:t>Dyrektywa Parlamentu Europejskiego</w:t>
      </w:r>
      <w:r w:rsidR="006E6446" w:rsidRPr="00392E88">
        <w:t xml:space="preserve"> i</w:t>
      </w:r>
      <w:r w:rsidR="006E6446">
        <w:t> </w:t>
      </w:r>
      <w:r w:rsidR="006E6446" w:rsidRPr="00392E88">
        <w:t>Rad</w:t>
      </w:r>
      <w:r w:rsidRPr="00392E88">
        <w:t>y 2008/94/WE</w:t>
      </w:r>
      <w:r w:rsidR="006E6446" w:rsidRPr="00392E88">
        <w:t xml:space="preserve"> z</w:t>
      </w:r>
      <w:r w:rsidR="006E6446">
        <w:t> </w:t>
      </w:r>
      <w:r w:rsidR="006E6446" w:rsidRPr="00392E88">
        <w:t>dni</w:t>
      </w:r>
      <w:r w:rsidRPr="00392E88">
        <w:t>a 22 października 20</w:t>
      </w:r>
      <w:r w:rsidRPr="006E6446">
        <w:t>08</w:t>
      </w:r>
      <w:r w:rsidR="006E6446" w:rsidRPr="006E6446">
        <w:t> </w:t>
      </w:r>
      <w:r w:rsidRPr="006E6446">
        <w:t>r.</w:t>
      </w:r>
      <w:r w:rsidR="006E6446" w:rsidRPr="00392E88">
        <w:t xml:space="preserve"> w</w:t>
      </w:r>
      <w:r w:rsidR="006E6446">
        <w:t> </w:t>
      </w:r>
      <w:r w:rsidR="006E6446" w:rsidRPr="00392E88">
        <w:t>spr</w:t>
      </w:r>
      <w:r w:rsidRPr="00392E88">
        <w:t>awie ochrony pracowników na wypadek niewypłacalności pracodawcy (</w:t>
      </w:r>
      <w:hyperlink r:id="rId10" w:history="1">
        <w:r w:rsidRPr="00392E88">
          <w:rPr>
            <w:rStyle w:val="Hyperlink"/>
          </w:rPr>
          <w:t>Dz.U. L 283</w:t>
        </w:r>
        <w:r w:rsidR="006E6446" w:rsidRPr="00392E88">
          <w:rPr>
            <w:rStyle w:val="Hyperlink"/>
          </w:rPr>
          <w:t xml:space="preserve"> z</w:t>
        </w:r>
        <w:r w:rsidR="006E6446">
          <w:rPr>
            <w:rStyle w:val="Hyperlink"/>
          </w:rPr>
          <w:t> </w:t>
        </w:r>
        <w:r w:rsidR="006E6446" w:rsidRPr="00392E88">
          <w:rPr>
            <w:rStyle w:val="Hyperlink"/>
          </w:rPr>
          <w:t>2</w:t>
        </w:r>
        <w:r w:rsidRPr="00392E88">
          <w:rPr>
            <w:rStyle w:val="Hyperlink"/>
          </w:rPr>
          <w:t>8.10.2008, s. 36</w:t>
        </w:r>
      </w:hyperlink>
      <w:r w:rsidRPr="00392E88">
        <w:t>).</w:t>
      </w:r>
    </w:p>
  </w:footnote>
  <w:footnote w:id="12">
    <w:p w14:paraId="698D918F" w14:textId="68E11172" w:rsidR="00277194" w:rsidRPr="00392E88" w:rsidRDefault="00277194">
      <w:pPr>
        <w:pStyle w:val="FootnoteText"/>
      </w:pPr>
      <w:r>
        <w:rPr>
          <w:rStyle w:val="FootnoteReference"/>
        </w:rPr>
        <w:footnoteRef/>
      </w:r>
      <w:r w:rsidRPr="00392E88">
        <w:tab/>
        <w:t>Dyrektywa 2003/41/WE Parlamentu Europejskiego</w:t>
      </w:r>
      <w:r w:rsidR="006E6446" w:rsidRPr="00392E88">
        <w:t xml:space="preserve"> i</w:t>
      </w:r>
      <w:r w:rsidR="006E6446">
        <w:t> </w:t>
      </w:r>
      <w:r w:rsidR="006E6446" w:rsidRPr="00392E88">
        <w:t>Rad</w:t>
      </w:r>
      <w:r w:rsidRPr="00392E88">
        <w:t>y</w:t>
      </w:r>
      <w:r w:rsidR="006E6446" w:rsidRPr="00392E88">
        <w:t xml:space="preserve"> z</w:t>
      </w:r>
      <w:r w:rsidR="006E6446">
        <w:t> </w:t>
      </w:r>
      <w:r w:rsidR="006E6446" w:rsidRPr="00392E88">
        <w:t>dni</w:t>
      </w:r>
      <w:r w:rsidRPr="00392E88">
        <w:t>a 3 czerwca 20</w:t>
      </w:r>
      <w:r w:rsidRPr="006E6446">
        <w:t>03</w:t>
      </w:r>
      <w:r w:rsidR="006E6446" w:rsidRPr="006E6446">
        <w:t> </w:t>
      </w:r>
      <w:r w:rsidRPr="006E6446">
        <w:t>r.</w:t>
      </w:r>
      <w:r w:rsidR="006E6446" w:rsidRPr="00392E88">
        <w:t xml:space="preserve"> w</w:t>
      </w:r>
      <w:r w:rsidR="006E6446">
        <w:t> </w:t>
      </w:r>
      <w:r w:rsidR="006E6446" w:rsidRPr="00392E88">
        <w:t>spr</w:t>
      </w:r>
      <w:r w:rsidRPr="00392E88">
        <w:t>awie działalności instytucji pracowniczych programów emerytalnych oraz nadzoru nad takimi instytucjami (</w:t>
      </w:r>
      <w:hyperlink r:id="rId11" w:history="1">
        <w:r w:rsidRPr="00392E88">
          <w:rPr>
            <w:rStyle w:val="Hyperlink"/>
          </w:rPr>
          <w:t>Dz.U. L 235</w:t>
        </w:r>
        <w:r w:rsidR="006E6446" w:rsidRPr="00392E88">
          <w:rPr>
            <w:rStyle w:val="Hyperlink"/>
          </w:rPr>
          <w:t xml:space="preserve"> z</w:t>
        </w:r>
        <w:r w:rsidR="006E6446">
          <w:rPr>
            <w:rStyle w:val="Hyperlink"/>
          </w:rPr>
          <w:t> </w:t>
        </w:r>
        <w:r w:rsidR="006E6446" w:rsidRPr="00392E88">
          <w:rPr>
            <w:rStyle w:val="Hyperlink"/>
          </w:rPr>
          <w:t>2</w:t>
        </w:r>
        <w:r w:rsidRPr="00392E88">
          <w:rPr>
            <w:rStyle w:val="Hyperlink"/>
          </w:rPr>
          <w:t>3.9.2003, s. 10</w:t>
        </w:r>
      </w:hyperlink>
      <w:hyperlink r:id="rId12" w:history="1">
        <w:r w:rsidRPr="00392E88">
          <w:rPr>
            <w:rStyle w:val="Hyperlink"/>
          </w:rPr>
          <w:t>https://eur-lex.europa.eu/legal-content/PL/TXT/PDF/?uri=CELEX:32003L0041</w:t>
        </w:r>
      </w:hyperlink>
      <w:r w:rsidRPr="00392E88">
        <w:t>).</w:t>
      </w:r>
    </w:p>
  </w:footnote>
  <w:footnote w:id="13">
    <w:p w14:paraId="7716130E" w14:textId="4E8521C8" w:rsidR="005B09C7" w:rsidRPr="00392E88" w:rsidRDefault="005B09C7">
      <w:pPr>
        <w:pStyle w:val="FootnoteText"/>
      </w:pPr>
      <w:r>
        <w:rPr>
          <w:rStyle w:val="FootnoteReference"/>
        </w:rPr>
        <w:footnoteRef/>
      </w:r>
      <w:r w:rsidRPr="00392E88">
        <w:tab/>
        <w:t>Dyrektywa Parlamentu Europejskiego</w:t>
      </w:r>
      <w:r w:rsidR="006E6446" w:rsidRPr="00392E88">
        <w:t xml:space="preserve"> i</w:t>
      </w:r>
      <w:r w:rsidR="006E6446">
        <w:t> </w:t>
      </w:r>
      <w:r w:rsidR="006E6446" w:rsidRPr="00392E88">
        <w:t>Rad</w:t>
      </w:r>
      <w:r w:rsidRPr="00392E88">
        <w:t>y (UE) 2016/2341</w:t>
      </w:r>
      <w:r w:rsidR="006E6446" w:rsidRPr="00392E88">
        <w:t xml:space="preserve"> z</w:t>
      </w:r>
      <w:r w:rsidR="006E6446">
        <w:t> </w:t>
      </w:r>
      <w:r w:rsidR="006E6446" w:rsidRPr="00392E88">
        <w:t>dni</w:t>
      </w:r>
      <w:r w:rsidRPr="00392E88">
        <w:t>a 14 grudnia 20</w:t>
      </w:r>
      <w:r w:rsidRPr="006E6446">
        <w:t>16</w:t>
      </w:r>
      <w:r w:rsidR="006E6446" w:rsidRPr="006E6446">
        <w:t> </w:t>
      </w:r>
      <w:r w:rsidRPr="006E6446">
        <w:t>r.</w:t>
      </w:r>
      <w:r w:rsidR="006E6446" w:rsidRPr="00392E88">
        <w:t xml:space="preserve"> w</w:t>
      </w:r>
      <w:r w:rsidR="006E6446">
        <w:t> </w:t>
      </w:r>
      <w:r w:rsidR="006E6446" w:rsidRPr="00392E88">
        <w:t>spr</w:t>
      </w:r>
      <w:r w:rsidRPr="00392E88">
        <w:t>awie działalności instytucji pracowniczych programów emerytalnych oraz nadzoru nad takimi instytucjami (IORP) (przekształcenie) (</w:t>
      </w:r>
      <w:hyperlink r:id="rId13" w:history="1">
        <w:r w:rsidRPr="00392E88">
          <w:rPr>
            <w:rStyle w:val="Hyperlink"/>
          </w:rPr>
          <w:t>Dz.U. L 354</w:t>
        </w:r>
        <w:r w:rsidR="006E6446" w:rsidRPr="00392E88">
          <w:rPr>
            <w:rStyle w:val="Hyperlink"/>
          </w:rPr>
          <w:t xml:space="preserve"> z</w:t>
        </w:r>
        <w:r w:rsidR="006E6446">
          <w:rPr>
            <w:rStyle w:val="Hyperlink"/>
          </w:rPr>
          <w:t> </w:t>
        </w:r>
        <w:r w:rsidR="006E6446" w:rsidRPr="00392E88">
          <w:rPr>
            <w:rStyle w:val="Hyperlink"/>
          </w:rPr>
          <w:t>2</w:t>
        </w:r>
        <w:r w:rsidRPr="00392E88">
          <w:rPr>
            <w:rStyle w:val="Hyperlink"/>
          </w:rPr>
          <w:t>3.12.2016, s. 37</w:t>
        </w:r>
      </w:hyperlink>
      <w:r w:rsidRPr="00392E88">
        <w:t>).</w:t>
      </w:r>
    </w:p>
  </w:footnote>
  <w:footnote w:id="14">
    <w:p w14:paraId="24E606CF" w14:textId="0C9659A9" w:rsidR="00FE6BB1" w:rsidRPr="00392E88" w:rsidRDefault="00FE6BB1">
      <w:pPr>
        <w:pStyle w:val="FootnoteText"/>
      </w:pPr>
      <w:r>
        <w:rPr>
          <w:rStyle w:val="FootnoteReference"/>
        </w:rPr>
        <w:footnoteRef/>
      </w:r>
      <w:r w:rsidRPr="00392E88">
        <w:tab/>
        <w:t>Dyrektywa Parlamentu Europejskiego</w:t>
      </w:r>
      <w:r w:rsidR="006E6446" w:rsidRPr="00392E88">
        <w:t xml:space="preserve"> i</w:t>
      </w:r>
      <w:r w:rsidR="006E6446">
        <w:t> </w:t>
      </w:r>
      <w:r w:rsidR="006E6446" w:rsidRPr="00392E88">
        <w:t>Rad</w:t>
      </w:r>
      <w:r w:rsidRPr="00392E88">
        <w:t>y 98/49/WE</w:t>
      </w:r>
      <w:r w:rsidR="006E6446" w:rsidRPr="00392E88">
        <w:t xml:space="preserve"> w</w:t>
      </w:r>
      <w:r w:rsidR="006E6446">
        <w:t> </w:t>
      </w:r>
      <w:r w:rsidR="006E6446" w:rsidRPr="00392E88">
        <w:t>spr</w:t>
      </w:r>
      <w:r w:rsidRPr="00392E88">
        <w:t>awie ochrony uprawnień do dodatkowych świadczeń emerytalnych lub rentowych pracowników</w:t>
      </w:r>
      <w:r w:rsidR="006E6446" w:rsidRPr="00392E88">
        <w:t xml:space="preserve"> i</w:t>
      </w:r>
      <w:r w:rsidR="006E6446">
        <w:t> </w:t>
      </w:r>
      <w:r w:rsidR="006E6446" w:rsidRPr="00392E88">
        <w:t>osó</w:t>
      </w:r>
      <w:r w:rsidRPr="00392E88">
        <w:t>b prowadzących działalność na własny rachunek przemieszczających się we Wspólnocie (</w:t>
      </w:r>
      <w:hyperlink r:id="rId14" w:history="1">
        <w:r w:rsidRPr="00392E88">
          <w:rPr>
            <w:rStyle w:val="Hyperlink"/>
          </w:rPr>
          <w:t>Dz.U. L 209</w:t>
        </w:r>
        <w:r w:rsidR="006E6446" w:rsidRPr="00392E88">
          <w:rPr>
            <w:rStyle w:val="Hyperlink"/>
          </w:rPr>
          <w:t xml:space="preserve"> z</w:t>
        </w:r>
        <w:r w:rsidR="006E6446">
          <w:rPr>
            <w:rStyle w:val="Hyperlink"/>
          </w:rPr>
          <w:t> </w:t>
        </w:r>
        <w:r w:rsidR="006E6446" w:rsidRPr="00392E88">
          <w:rPr>
            <w:rStyle w:val="Hyperlink"/>
          </w:rPr>
          <w:t>2</w:t>
        </w:r>
        <w:r w:rsidRPr="00392E88">
          <w:rPr>
            <w:rStyle w:val="Hyperlink"/>
          </w:rPr>
          <w:t>5.7.1998, s. 46</w:t>
        </w:r>
      </w:hyperlink>
      <w:r w:rsidRPr="00392E88">
        <w:t>).</w:t>
      </w:r>
    </w:p>
  </w:footnote>
  <w:footnote w:id="15">
    <w:p w14:paraId="279FFD74" w14:textId="106EB0A5" w:rsidR="00FE6BB1" w:rsidRPr="00392E88" w:rsidRDefault="00FE6BB1">
      <w:pPr>
        <w:pStyle w:val="FootnoteText"/>
      </w:pPr>
      <w:r>
        <w:rPr>
          <w:rStyle w:val="FootnoteReference"/>
        </w:rPr>
        <w:footnoteRef/>
      </w:r>
      <w:r w:rsidRPr="00392E88">
        <w:tab/>
        <w:t>Dyrektywa Parlamentu Europejskiego</w:t>
      </w:r>
      <w:r w:rsidR="006E6446" w:rsidRPr="00392E88">
        <w:t xml:space="preserve"> i</w:t>
      </w:r>
      <w:r w:rsidR="006E6446">
        <w:t> </w:t>
      </w:r>
      <w:r w:rsidR="006E6446" w:rsidRPr="00392E88">
        <w:t>Rad</w:t>
      </w:r>
      <w:r w:rsidRPr="00392E88">
        <w:t>y 2014/50/UE</w:t>
      </w:r>
      <w:r w:rsidR="006E6446" w:rsidRPr="00392E88">
        <w:t xml:space="preserve"> w</w:t>
      </w:r>
      <w:r w:rsidR="006E6446">
        <w:t> </w:t>
      </w:r>
      <w:r w:rsidR="006E6446" w:rsidRPr="00392E88">
        <w:t>spr</w:t>
      </w:r>
      <w:r w:rsidRPr="00392E88">
        <w:t>awie minimalnych wymogów służących zwiększeniu mobilności pracowników między państwami członkowskimi dzięki łatwiejszemu nabywaniu</w:t>
      </w:r>
      <w:r w:rsidR="006E6446" w:rsidRPr="00392E88">
        <w:t xml:space="preserve"> i</w:t>
      </w:r>
      <w:r w:rsidR="006E6446">
        <w:t> </w:t>
      </w:r>
      <w:r w:rsidR="006E6446" w:rsidRPr="00392E88">
        <w:t>zac</w:t>
      </w:r>
      <w:r w:rsidRPr="00392E88">
        <w:t>howywaniu uprawnień do dodatkowych emerytur (</w:t>
      </w:r>
      <w:hyperlink r:id="rId15" w:history="1">
        <w:r w:rsidRPr="00392E88">
          <w:rPr>
            <w:rStyle w:val="Hyperlink"/>
          </w:rPr>
          <w:t>Dz.U. L 128</w:t>
        </w:r>
        <w:r w:rsidR="006E6446" w:rsidRPr="00392E88">
          <w:rPr>
            <w:rStyle w:val="Hyperlink"/>
          </w:rPr>
          <w:t xml:space="preserve"> z</w:t>
        </w:r>
        <w:r w:rsidR="006E6446">
          <w:rPr>
            <w:rStyle w:val="Hyperlink"/>
          </w:rPr>
          <w:t> </w:t>
        </w:r>
        <w:r w:rsidR="006E6446" w:rsidRPr="00392E88">
          <w:rPr>
            <w:rStyle w:val="Hyperlink"/>
          </w:rPr>
          <w:t>3</w:t>
        </w:r>
        <w:r w:rsidRPr="00392E88">
          <w:rPr>
            <w:rStyle w:val="Hyperlink"/>
          </w:rPr>
          <w:t>0.4.2014, s. 1</w:t>
        </w:r>
      </w:hyperlink>
      <w:r w:rsidRPr="00392E88">
        <w:t>).</w:t>
      </w:r>
    </w:p>
  </w:footnote>
  <w:footnote w:id="16">
    <w:p w14:paraId="3FCB2534" w14:textId="213333E8" w:rsidR="00FE6BB1" w:rsidRPr="00392E88" w:rsidRDefault="00FE6BB1">
      <w:pPr>
        <w:pStyle w:val="FootnoteText"/>
      </w:pPr>
      <w:r>
        <w:rPr>
          <w:rStyle w:val="FootnoteReference"/>
        </w:rPr>
        <w:footnoteRef/>
      </w:r>
      <w:r w:rsidRPr="00392E88">
        <w:tab/>
        <w:t>Dyrektywa Parlamentu Europejskiego</w:t>
      </w:r>
      <w:r w:rsidR="006E6446" w:rsidRPr="00392E88">
        <w:t xml:space="preserve"> i</w:t>
      </w:r>
      <w:r w:rsidR="006E6446">
        <w:t> </w:t>
      </w:r>
      <w:r w:rsidR="006E6446" w:rsidRPr="00392E88">
        <w:t>Rad</w:t>
      </w:r>
      <w:r w:rsidRPr="00392E88">
        <w:t>y (UE) 2016/2341</w:t>
      </w:r>
      <w:r w:rsidR="006E6446" w:rsidRPr="00392E88">
        <w:t xml:space="preserve"> w</w:t>
      </w:r>
      <w:r w:rsidR="006E6446">
        <w:t> </w:t>
      </w:r>
      <w:r w:rsidR="006E6446" w:rsidRPr="00392E88">
        <w:t>spr</w:t>
      </w:r>
      <w:r w:rsidRPr="00392E88">
        <w:t>awie działalności instytucji pracowniczych programów emerytalnych oraz nadzoru nad takimi instytucjami (IORP) (</w:t>
      </w:r>
      <w:hyperlink r:id="rId16" w:history="1">
        <w:r w:rsidRPr="00392E88">
          <w:rPr>
            <w:rStyle w:val="Hyperlink"/>
          </w:rPr>
          <w:t>Dz.U. L 354</w:t>
        </w:r>
        <w:r w:rsidR="006E6446" w:rsidRPr="00392E88">
          <w:rPr>
            <w:rStyle w:val="Hyperlink"/>
          </w:rPr>
          <w:t xml:space="preserve"> z</w:t>
        </w:r>
        <w:r w:rsidR="006E6446">
          <w:rPr>
            <w:rStyle w:val="Hyperlink"/>
          </w:rPr>
          <w:t> </w:t>
        </w:r>
        <w:r w:rsidR="006E6446" w:rsidRPr="00392E88">
          <w:rPr>
            <w:rStyle w:val="Hyperlink"/>
          </w:rPr>
          <w:t>2</w:t>
        </w:r>
        <w:r w:rsidRPr="00392E88">
          <w:rPr>
            <w:rStyle w:val="Hyperlink"/>
          </w:rPr>
          <w:t>3.12.2016, s. 37</w:t>
        </w:r>
      </w:hyperlink>
      <w:r w:rsidRPr="00392E88">
        <w:t>).</w:t>
      </w:r>
    </w:p>
  </w:footnote>
  <w:footnote w:id="17">
    <w:p w14:paraId="6F5F2277" w14:textId="49FF31A7" w:rsidR="00FE6BB1" w:rsidRPr="00392E88" w:rsidRDefault="00FE6BB1">
      <w:pPr>
        <w:pStyle w:val="FootnoteText"/>
      </w:pPr>
      <w:r>
        <w:rPr>
          <w:rStyle w:val="FootnoteReference"/>
        </w:rPr>
        <w:footnoteRef/>
      </w:r>
      <w:r w:rsidRPr="00392E88">
        <w:tab/>
        <w:t>Rozporządzenie Parlamentu Europejskiego</w:t>
      </w:r>
      <w:r w:rsidR="006E6446" w:rsidRPr="00392E88">
        <w:t xml:space="preserve"> i</w:t>
      </w:r>
      <w:r w:rsidR="006E6446">
        <w:t> </w:t>
      </w:r>
      <w:r w:rsidR="006E6446" w:rsidRPr="00392E88">
        <w:t>Rad</w:t>
      </w:r>
      <w:r w:rsidRPr="00392E88">
        <w:t>y (UE) 2019/1238</w:t>
      </w:r>
      <w:r w:rsidR="006E6446" w:rsidRPr="00392E88">
        <w:t xml:space="preserve"> w</w:t>
      </w:r>
      <w:r w:rsidR="006E6446">
        <w:t> </w:t>
      </w:r>
      <w:r w:rsidR="006E6446" w:rsidRPr="00392E88">
        <w:t>spr</w:t>
      </w:r>
      <w:r w:rsidRPr="00392E88">
        <w:t>awie ogólnoeuropejskiego indywidualnego produktu emerytalnego (OIPE), ustanawiające dobrowolne, znormalizowane ramy emerytur indywidualnych</w:t>
      </w:r>
      <w:r w:rsidR="006E6446" w:rsidRPr="00392E88">
        <w:t xml:space="preserve"> w</w:t>
      </w:r>
      <w:r w:rsidR="006E6446">
        <w:t> </w:t>
      </w:r>
      <w:r w:rsidR="006E6446" w:rsidRPr="00392E88">
        <w:t>cał</w:t>
      </w:r>
      <w:r w:rsidRPr="00392E88">
        <w:t>ej UE (</w:t>
      </w:r>
      <w:hyperlink r:id="rId17" w:history="1">
        <w:r w:rsidRPr="00392E88">
          <w:rPr>
            <w:rStyle w:val="Hyperlink"/>
          </w:rPr>
          <w:t>Dz.U. L 198</w:t>
        </w:r>
        <w:r w:rsidR="006E6446" w:rsidRPr="00392E88">
          <w:rPr>
            <w:rStyle w:val="Hyperlink"/>
          </w:rPr>
          <w:t xml:space="preserve"> z</w:t>
        </w:r>
        <w:r w:rsidR="006E6446">
          <w:rPr>
            <w:rStyle w:val="Hyperlink"/>
          </w:rPr>
          <w:t> </w:t>
        </w:r>
        <w:r w:rsidR="006E6446" w:rsidRPr="00392E88">
          <w:rPr>
            <w:rStyle w:val="Hyperlink"/>
          </w:rPr>
          <w:t>2</w:t>
        </w:r>
        <w:r w:rsidRPr="00392E88">
          <w:rPr>
            <w:rStyle w:val="Hyperlink"/>
          </w:rPr>
          <w:t>5.7.2019, s. 1</w:t>
        </w:r>
      </w:hyperlink>
      <w:r w:rsidRPr="00392E88">
        <w:t>).</w:t>
      </w:r>
    </w:p>
  </w:footnote>
  <w:footnote w:id="18">
    <w:p w14:paraId="2FBA229F" w14:textId="77777777" w:rsidR="00573388" w:rsidRPr="00392E88" w:rsidRDefault="00573388">
      <w:pPr>
        <w:pStyle w:val="FootnoteText"/>
      </w:pPr>
      <w:r>
        <w:rPr>
          <w:rStyle w:val="FootnoteReference"/>
        </w:rPr>
        <w:footnoteRef/>
      </w:r>
      <w:r w:rsidRPr="00392E88">
        <w:tab/>
      </w:r>
      <w:hyperlink r:id="rId18" w:history="1">
        <w:r w:rsidRPr="00392E88">
          <w:rPr>
            <w:rStyle w:val="Hyperlink"/>
          </w:rPr>
          <w:t>Kompas konkurencyjności</w:t>
        </w:r>
      </w:hyperlink>
      <w:r w:rsidRPr="00392E88">
        <w:t xml:space="preserve"> – Komisja Europejska.</w:t>
      </w:r>
    </w:p>
  </w:footnote>
  <w:footnote w:id="19">
    <w:p w14:paraId="12CEFD1D" w14:textId="77777777" w:rsidR="00226C97" w:rsidRPr="00392E88" w:rsidRDefault="00226C97">
      <w:pPr>
        <w:pStyle w:val="FootnoteText"/>
      </w:pPr>
      <w:r>
        <w:rPr>
          <w:rStyle w:val="FootnoteReference"/>
        </w:rPr>
        <w:footnoteRef/>
      </w:r>
      <w:r w:rsidRPr="00392E88">
        <w:tab/>
      </w:r>
      <w:hyperlink r:id="rId19" w:history="1">
        <w:r w:rsidRPr="00392E88">
          <w:rPr>
            <w:rStyle w:val="Hyperlink"/>
          </w:rPr>
          <w:t>Opinia techniczna na potrzeby przeglądu dyrektywy IORP II</w:t>
        </w:r>
      </w:hyperlink>
      <w:r w:rsidRPr="00392E88">
        <w:t>, EIOPA.</w:t>
      </w:r>
    </w:p>
  </w:footnote>
  <w:footnote w:id="20">
    <w:p w14:paraId="29D102B9" w14:textId="3449AEB0" w:rsidR="00DB2707" w:rsidRPr="00392E88" w:rsidRDefault="00DB2707">
      <w:pPr>
        <w:pStyle w:val="FootnoteText"/>
      </w:pPr>
      <w:r>
        <w:rPr>
          <w:rStyle w:val="FootnoteReference"/>
        </w:rPr>
        <w:footnoteRef/>
      </w:r>
      <w:r w:rsidRPr="00392E88">
        <w:tab/>
      </w:r>
      <w:hyperlink r:id="rId20" w:history="1">
        <w:r w:rsidRPr="00392E88">
          <w:rPr>
            <w:rStyle w:val="Hyperlink"/>
          </w:rPr>
          <w:t>Forum zainteresowanych stron</w:t>
        </w:r>
        <w:r w:rsidR="006E6446" w:rsidRPr="00392E88">
          <w:rPr>
            <w:rStyle w:val="Hyperlink"/>
          </w:rPr>
          <w:t xml:space="preserve"> i</w:t>
        </w:r>
        <w:r w:rsidR="006E6446">
          <w:rPr>
            <w:rStyle w:val="Hyperlink"/>
          </w:rPr>
          <w:t> </w:t>
        </w:r>
        <w:r w:rsidR="006E6446" w:rsidRPr="00392E88">
          <w:rPr>
            <w:rStyle w:val="Hyperlink"/>
          </w:rPr>
          <w:t>spo</w:t>
        </w:r>
        <w:r w:rsidRPr="00392E88">
          <w:rPr>
            <w:rStyle w:val="Hyperlink"/>
          </w:rPr>
          <w:t>tkanie na temat stosowania przepisów</w:t>
        </w:r>
        <w:r w:rsidR="006E6446" w:rsidRPr="00392E88">
          <w:rPr>
            <w:rStyle w:val="Hyperlink"/>
          </w:rPr>
          <w:t xml:space="preserve"> w</w:t>
        </w:r>
        <w:r w:rsidR="006E6446">
          <w:rPr>
            <w:rStyle w:val="Hyperlink"/>
          </w:rPr>
          <w:t> </w:t>
        </w:r>
        <w:r w:rsidR="006E6446" w:rsidRPr="00392E88">
          <w:rPr>
            <w:rStyle w:val="Hyperlink"/>
          </w:rPr>
          <w:t>pra</w:t>
        </w:r>
        <w:r w:rsidRPr="00392E88">
          <w:rPr>
            <w:rStyle w:val="Hyperlink"/>
          </w:rPr>
          <w:t>ktyce</w:t>
        </w:r>
        <w:r w:rsidR="006E6446" w:rsidRPr="00392E88">
          <w:rPr>
            <w:rStyle w:val="Hyperlink"/>
          </w:rPr>
          <w:t xml:space="preserve"> w</w:t>
        </w:r>
        <w:r w:rsidR="006E6446">
          <w:rPr>
            <w:rStyle w:val="Hyperlink"/>
          </w:rPr>
          <w:t> </w:t>
        </w:r>
        <w:r w:rsidR="006E6446" w:rsidRPr="00392E88">
          <w:rPr>
            <w:rStyle w:val="Hyperlink"/>
          </w:rPr>
          <w:t>obs</w:t>
        </w:r>
        <w:r w:rsidRPr="00392E88">
          <w:rPr>
            <w:rStyle w:val="Hyperlink"/>
          </w:rPr>
          <w:t>zarze oszczędności emerytalnych</w:t>
        </w:r>
      </w:hyperlink>
      <w:r w:rsidRPr="00392E88">
        <w:t>.</w:t>
      </w:r>
    </w:p>
  </w:footnote>
  <w:footnote w:id="21">
    <w:p w14:paraId="52624E18" w14:textId="5B6D0B62" w:rsidR="000265D8" w:rsidRPr="00392E88" w:rsidRDefault="000265D8" w:rsidP="004A2CED">
      <w:pPr>
        <w:pStyle w:val="FootnoteText"/>
      </w:pPr>
      <w:r>
        <w:rPr>
          <w:rStyle w:val="FootnoteReference"/>
        </w:rPr>
        <w:footnoteRef/>
      </w:r>
      <w:r w:rsidRPr="00392E88">
        <w:tab/>
      </w:r>
      <w:hyperlink r:id="rId21" w:history="1">
        <w:r w:rsidRPr="00392E88">
          <w:rPr>
            <w:rStyle w:val="Hyperlink"/>
          </w:rPr>
          <w:t>Uwagi techniczne na potrzeby przeglądów dyrektywy IORP II</w:t>
        </w:r>
        <w:r w:rsidR="006E6446" w:rsidRPr="00392E88">
          <w:rPr>
            <w:rStyle w:val="Hyperlink"/>
          </w:rPr>
          <w:t xml:space="preserve"> i</w:t>
        </w:r>
        <w:r w:rsidR="006E6446">
          <w:rPr>
            <w:rStyle w:val="Hyperlink"/>
          </w:rPr>
          <w:t> </w:t>
        </w:r>
        <w:r w:rsidR="006E6446" w:rsidRPr="00392E88">
          <w:rPr>
            <w:rStyle w:val="Hyperlink"/>
          </w:rPr>
          <w:t>roz</w:t>
        </w:r>
        <w:r w:rsidRPr="00392E88">
          <w:rPr>
            <w:rStyle w:val="Hyperlink"/>
          </w:rPr>
          <w:t>porządzenia</w:t>
        </w:r>
        <w:r w:rsidR="006E6446" w:rsidRPr="00392E88">
          <w:rPr>
            <w:rStyle w:val="Hyperlink"/>
          </w:rPr>
          <w:t xml:space="preserve"> w</w:t>
        </w:r>
        <w:r w:rsidR="006E6446">
          <w:rPr>
            <w:rStyle w:val="Hyperlink"/>
          </w:rPr>
          <w:t> </w:t>
        </w:r>
        <w:r w:rsidR="006E6446" w:rsidRPr="00392E88">
          <w:rPr>
            <w:rStyle w:val="Hyperlink"/>
          </w:rPr>
          <w:t>spr</w:t>
        </w:r>
        <w:r w:rsidRPr="00392E88">
          <w:rPr>
            <w:rStyle w:val="Hyperlink"/>
          </w:rPr>
          <w:t>awie OIPE</w:t>
        </w:r>
        <w:r w:rsidR="006E6446" w:rsidRPr="00392E88">
          <w:rPr>
            <w:rStyle w:val="Hyperlink"/>
          </w:rPr>
          <w:t xml:space="preserve"> w</w:t>
        </w:r>
        <w:r w:rsidR="006E6446">
          <w:rPr>
            <w:rStyle w:val="Hyperlink"/>
          </w:rPr>
          <w:t> </w:t>
        </w:r>
        <w:r w:rsidR="006E6446" w:rsidRPr="00392E88">
          <w:rPr>
            <w:rStyle w:val="Hyperlink"/>
          </w:rPr>
          <w:t>kon</w:t>
        </w:r>
        <w:r w:rsidRPr="00392E88">
          <w:rPr>
            <w:rStyle w:val="Hyperlink"/>
          </w:rPr>
          <w:t>tekście unii oszczędności</w:t>
        </w:r>
        <w:r w:rsidR="006E6446" w:rsidRPr="00392E88">
          <w:rPr>
            <w:rStyle w:val="Hyperlink"/>
          </w:rPr>
          <w:t xml:space="preserve"> i</w:t>
        </w:r>
        <w:r w:rsidR="006E6446">
          <w:rPr>
            <w:rStyle w:val="Hyperlink"/>
          </w:rPr>
          <w:t> </w:t>
        </w:r>
        <w:r w:rsidR="006E6446" w:rsidRPr="00392E88">
          <w:rPr>
            <w:rStyle w:val="Hyperlink"/>
          </w:rPr>
          <w:t>inw</w:t>
        </w:r>
        <w:r w:rsidRPr="00392E88">
          <w:rPr>
            <w:rStyle w:val="Hyperlink"/>
          </w:rPr>
          <w:t>estycji</w:t>
        </w:r>
      </w:hyperlink>
      <w:r w:rsidRPr="00392E88">
        <w:t>, EIOPA.</w:t>
      </w:r>
    </w:p>
  </w:footnote>
  <w:footnote w:id="22">
    <w:p w14:paraId="205AD539" w14:textId="77777777" w:rsidR="004A2CED" w:rsidRPr="00392E88" w:rsidRDefault="004A2CED" w:rsidP="004A2CED">
      <w:pPr>
        <w:pStyle w:val="FootnoteText"/>
      </w:pPr>
      <w:r>
        <w:rPr>
          <w:rStyle w:val="FootnoteReference"/>
        </w:rPr>
        <w:footnoteRef/>
      </w:r>
      <w:r w:rsidRPr="00392E88">
        <w:tab/>
        <w:t>Nawet gdyby takie podejście „odgórne” było możliwe, obowiązkowa konsolidacja mogłaby nadal podlegać zatwierdzeniu przez krajowy organ ochrony konkurencji, którego decyzja nie byłaby związana przepisami niniejszego wniosku.</w:t>
      </w:r>
    </w:p>
  </w:footnote>
  <w:footnote w:id="23">
    <w:p w14:paraId="4751EB69" w14:textId="77777777" w:rsidR="00E91AB1" w:rsidRPr="00392E88" w:rsidRDefault="00E91AB1" w:rsidP="00E91AB1">
      <w:pPr>
        <w:pStyle w:val="FootnoteText"/>
      </w:pPr>
      <w:r>
        <w:rPr>
          <w:rStyle w:val="FootnoteReference"/>
        </w:rPr>
        <w:footnoteRef/>
      </w:r>
      <w:r w:rsidRPr="00392E88">
        <w:tab/>
        <w:t>Dz.U. C , , s. .</w:t>
      </w:r>
    </w:p>
  </w:footnote>
  <w:footnote w:id="24">
    <w:p w14:paraId="01972352" w14:textId="74C3F1C2" w:rsidR="006A32E4" w:rsidRPr="00392E88" w:rsidRDefault="006A32E4" w:rsidP="006A32E4">
      <w:pPr>
        <w:pStyle w:val="FootnoteText"/>
      </w:pPr>
      <w:r>
        <w:rPr>
          <w:rStyle w:val="FootnoteReference"/>
        </w:rPr>
        <w:footnoteRef/>
      </w:r>
      <w:r w:rsidRPr="00392E88">
        <w:tab/>
        <w:t>Stanowisko Parlamentu Europejskiego</w:t>
      </w:r>
      <w:r w:rsidR="006E6446" w:rsidRPr="00392E88">
        <w:t xml:space="preserve"> z</w:t>
      </w:r>
      <w:r w:rsidR="006E6446">
        <w:t> </w:t>
      </w:r>
      <w:r w:rsidR="006E6446" w:rsidRPr="00392E88">
        <w:t>dni</w:t>
      </w:r>
      <w:r w:rsidRPr="00392E88">
        <w:t>a … r.</w:t>
      </w:r>
      <w:r w:rsidR="006E6446" w:rsidRPr="00392E88">
        <w:t xml:space="preserve"> i</w:t>
      </w:r>
      <w:r w:rsidR="006E6446">
        <w:t> </w:t>
      </w:r>
      <w:r w:rsidR="006E6446" w:rsidRPr="00392E88">
        <w:t>dec</w:t>
      </w:r>
      <w:r w:rsidRPr="00392E88">
        <w:t>yzja Rady</w:t>
      </w:r>
      <w:r w:rsidR="006E6446" w:rsidRPr="00392E88">
        <w:t xml:space="preserve"> z</w:t>
      </w:r>
      <w:r w:rsidR="006E6446">
        <w:t> </w:t>
      </w:r>
      <w:r w:rsidR="006E6446" w:rsidRPr="00392E88">
        <w:t>dni</w:t>
      </w:r>
      <w:r w:rsidRPr="00392E88">
        <w:t>a</w:t>
      </w:r>
      <w:r w:rsidR="006E6446">
        <w:t>.</w:t>
      </w:r>
      <w:r w:rsidRPr="00392E88">
        <w:t>.. r.</w:t>
      </w:r>
    </w:p>
  </w:footnote>
  <w:footnote w:id="25">
    <w:p w14:paraId="13E0D0AA" w14:textId="0C24CB5F" w:rsidR="0039002F" w:rsidRPr="00392E88" w:rsidRDefault="0039002F" w:rsidP="0039002F">
      <w:pPr>
        <w:pStyle w:val="FootnoteText"/>
      </w:pPr>
      <w:r>
        <w:rPr>
          <w:rStyle w:val="FootnoteReference"/>
        </w:rPr>
        <w:footnoteRef/>
      </w:r>
      <w:r w:rsidRPr="00392E88">
        <w:tab/>
        <w:t>Dyrektywa Parlamentu Europejskiego</w:t>
      </w:r>
      <w:r w:rsidR="006E6446" w:rsidRPr="00392E88">
        <w:t xml:space="preserve"> i</w:t>
      </w:r>
      <w:r w:rsidR="006E6446">
        <w:t> </w:t>
      </w:r>
      <w:r w:rsidR="006E6446" w:rsidRPr="00392E88">
        <w:t>Rad</w:t>
      </w:r>
      <w:r w:rsidRPr="00392E88">
        <w:t>y (UE) 2016/2341</w:t>
      </w:r>
      <w:r w:rsidR="006E6446" w:rsidRPr="00392E88">
        <w:t xml:space="preserve"> z</w:t>
      </w:r>
      <w:r w:rsidR="006E6446">
        <w:t> </w:t>
      </w:r>
      <w:r w:rsidR="006E6446" w:rsidRPr="00392E88">
        <w:t>dni</w:t>
      </w:r>
      <w:r w:rsidRPr="00392E88">
        <w:t>a 14 grudnia 20</w:t>
      </w:r>
      <w:r w:rsidRPr="006E6446">
        <w:t>16</w:t>
      </w:r>
      <w:r w:rsidR="006E6446" w:rsidRPr="006E6446">
        <w:t> </w:t>
      </w:r>
      <w:r w:rsidRPr="006E6446">
        <w:t>r.</w:t>
      </w:r>
      <w:r w:rsidR="006E6446" w:rsidRPr="00392E88">
        <w:t xml:space="preserve"> w</w:t>
      </w:r>
      <w:r w:rsidR="006E6446">
        <w:t> </w:t>
      </w:r>
      <w:r w:rsidR="006E6446" w:rsidRPr="00392E88">
        <w:t>spr</w:t>
      </w:r>
      <w:r w:rsidRPr="00392E88">
        <w:t>awie działalności instytucji pracowniczych programów emerytalnych oraz nadzoru nad takimi instytucjami (IORP) (przekształcenie) (Dz.U. L 354</w:t>
      </w:r>
      <w:r w:rsidR="006E6446" w:rsidRPr="00392E88">
        <w:t xml:space="preserve"> z</w:t>
      </w:r>
      <w:r w:rsidR="006E6446">
        <w:t> </w:t>
      </w:r>
      <w:r w:rsidR="006E6446" w:rsidRPr="00392E88">
        <w:t>2</w:t>
      </w:r>
      <w:r w:rsidRPr="00392E88">
        <w:t xml:space="preserve">3.12.2016, s. 37, ELI: </w:t>
      </w:r>
      <w:hyperlink r:id="rId22" w:history="1">
        <w:r w:rsidRPr="00392E88">
          <w:rPr>
            <w:rStyle w:val="Hyperlink"/>
          </w:rPr>
          <w:t>http://data.europa.eu/eli/dir/2016/2341/oj</w:t>
        </w:r>
      </w:hyperlink>
      <w:r w:rsidRPr="00392E88">
        <w:t>).</w:t>
      </w:r>
    </w:p>
  </w:footnote>
  <w:footnote w:id="26">
    <w:p w14:paraId="32B1C1E1" w14:textId="662C8F12" w:rsidR="00995C21" w:rsidRPr="00392E88" w:rsidRDefault="00995C21" w:rsidP="00995C21">
      <w:pPr>
        <w:pStyle w:val="FootnoteText"/>
      </w:pPr>
      <w:r>
        <w:rPr>
          <w:rStyle w:val="FootnoteReference"/>
        </w:rPr>
        <w:footnoteRef/>
      </w:r>
      <w:r w:rsidRPr="00392E88">
        <w:tab/>
        <w:t>Komunikat Komisji do Parlamentu Europejskiego, Rady Europejskiej, Rady, Europejskiego Banku Centralnego, Europejskiego Komitetu Ekonomiczno-Społecznego</w:t>
      </w:r>
      <w:r w:rsidR="006E6446" w:rsidRPr="00392E88">
        <w:t xml:space="preserve"> i</w:t>
      </w:r>
      <w:r w:rsidR="006E6446">
        <w:t> </w:t>
      </w:r>
      <w:r w:rsidR="006E6446" w:rsidRPr="00392E88">
        <w:t>Kom</w:t>
      </w:r>
      <w:r w:rsidRPr="00392E88">
        <w:t>itetu Regionów</w:t>
      </w:r>
      <w:r w:rsidR="006E6446" w:rsidRPr="00392E88">
        <w:t xml:space="preserve"> z</w:t>
      </w:r>
      <w:r w:rsidR="006E6446">
        <w:t> </w:t>
      </w:r>
      <w:r w:rsidR="006E6446" w:rsidRPr="00392E88">
        <w:t>dni</w:t>
      </w:r>
      <w:r w:rsidRPr="00392E88">
        <w:t>a 19 marca 20</w:t>
      </w:r>
      <w:r w:rsidRPr="006E6446">
        <w:t>25</w:t>
      </w:r>
      <w:r w:rsidR="006E6446" w:rsidRPr="006E6446">
        <w:t> </w:t>
      </w:r>
      <w:r w:rsidRPr="006E6446">
        <w:t>r.</w:t>
      </w:r>
      <w:r w:rsidRPr="00392E88">
        <w:t xml:space="preserve">, </w:t>
      </w:r>
      <w:hyperlink r:id="rId23" w:history="1">
        <w:r w:rsidRPr="00392E88">
          <w:rPr>
            <w:rStyle w:val="Hyperlink"/>
          </w:rPr>
          <w:t>COM(2025) 124 final</w:t>
        </w:r>
      </w:hyperlink>
      <w:r w:rsidRPr="00392E88">
        <w:t>.</w:t>
      </w:r>
    </w:p>
  </w:footnote>
  <w:footnote w:id="27">
    <w:p w14:paraId="6867B073" w14:textId="77777777" w:rsidR="005F7BF4" w:rsidRPr="00392E88" w:rsidRDefault="005F7BF4">
      <w:pPr>
        <w:pStyle w:val="FootnoteText"/>
      </w:pPr>
      <w:r>
        <w:rPr>
          <w:rStyle w:val="FootnoteReference"/>
        </w:rPr>
        <w:footnoteRef/>
      </w:r>
      <w:r w:rsidRPr="00392E88">
        <w:tab/>
        <w:t xml:space="preserve">Zob. </w:t>
      </w:r>
      <w:hyperlink r:id="rId24" w:history="1">
        <w:r w:rsidRPr="00392E88">
          <w:rPr>
            <w:rStyle w:val="Hyperlink"/>
          </w:rPr>
          <w:t>opinia techniczna EIOPA na potrzeby przeglądu dyrektywy IORP II.</w:t>
        </w:r>
      </w:hyperlink>
    </w:p>
  </w:footnote>
  <w:footnote w:id="28">
    <w:p w14:paraId="6CE91234" w14:textId="593DC60D" w:rsidR="005F7BF4" w:rsidRPr="00392E88" w:rsidRDefault="005F7BF4">
      <w:pPr>
        <w:pStyle w:val="FootnoteText"/>
      </w:pPr>
      <w:r>
        <w:rPr>
          <w:rStyle w:val="FootnoteReference"/>
        </w:rPr>
        <w:footnoteRef/>
      </w:r>
      <w:r w:rsidRPr="00392E88">
        <w:tab/>
        <w:t xml:space="preserve">Zob. </w:t>
      </w:r>
      <w:hyperlink r:id="rId25" w:history="1">
        <w:r w:rsidRPr="00392E88">
          <w:rPr>
            <w:rStyle w:val="Hyperlink"/>
          </w:rPr>
          <w:t>uwagi techniczne EIOPA na potrzeby przeglądów dyrektywy IORP II</w:t>
        </w:r>
        <w:r w:rsidR="006E6446" w:rsidRPr="00392E88">
          <w:rPr>
            <w:rStyle w:val="Hyperlink"/>
          </w:rPr>
          <w:t xml:space="preserve"> i</w:t>
        </w:r>
        <w:r w:rsidR="006E6446">
          <w:rPr>
            <w:rStyle w:val="Hyperlink"/>
          </w:rPr>
          <w:t> </w:t>
        </w:r>
        <w:r w:rsidR="006E6446" w:rsidRPr="00392E88">
          <w:rPr>
            <w:rStyle w:val="Hyperlink"/>
          </w:rPr>
          <w:t>roz</w:t>
        </w:r>
        <w:r w:rsidRPr="00392E88">
          <w:rPr>
            <w:rStyle w:val="Hyperlink"/>
          </w:rPr>
          <w:t>porządzenia</w:t>
        </w:r>
        <w:r w:rsidR="006E6446" w:rsidRPr="00392E88">
          <w:rPr>
            <w:rStyle w:val="Hyperlink"/>
          </w:rPr>
          <w:t xml:space="preserve"> w</w:t>
        </w:r>
        <w:r w:rsidR="006E6446">
          <w:rPr>
            <w:rStyle w:val="Hyperlink"/>
          </w:rPr>
          <w:t> </w:t>
        </w:r>
        <w:r w:rsidR="006E6446" w:rsidRPr="00392E88">
          <w:rPr>
            <w:rStyle w:val="Hyperlink"/>
          </w:rPr>
          <w:t>spr</w:t>
        </w:r>
        <w:r w:rsidRPr="00392E88">
          <w:rPr>
            <w:rStyle w:val="Hyperlink"/>
          </w:rPr>
          <w:t>awie OIPE</w:t>
        </w:r>
        <w:r w:rsidR="006E6446" w:rsidRPr="00392E88">
          <w:rPr>
            <w:rStyle w:val="Hyperlink"/>
          </w:rPr>
          <w:t xml:space="preserve"> w</w:t>
        </w:r>
        <w:r w:rsidR="006E6446">
          <w:rPr>
            <w:rStyle w:val="Hyperlink"/>
          </w:rPr>
          <w:t> </w:t>
        </w:r>
        <w:r w:rsidR="006E6446" w:rsidRPr="00392E88">
          <w:rPr>
            <w:rStyle w:val="Hyperlink"/>
          </w:rPr>
          <w:t>kon</w:t>
        </w:r>
        <w:r w:rsidRPr="00392E88">
          <w:rPr>
            <w:rStyle w:val="Hyperlink"/>
          </w:rPr>
          <w:t>tekście unii oszczędności</w:t>
        </w:r>
        <w:r w:rsidR="006E6446" w:rsidRPr="00392E88">
          <w:rPr>
            <w:rStyle w:val="Hyperlink"/>
          </w:rPr>
          <w:t xml:space="preserve"> i</w:t>
        </w:r>
        <w:r w:rsidR="006E6446">
          <w:rPr>
            <w:rStyle w:val="Hyperlink"/>
          </w:rPr>
          <w:t> </w:t>
        </w:r>
        <w:r w:rsidR="006E6446" w:rsidRPr="00392E88">
          <w:rPr>
            <w:rStyle w:val="Hyperlink"/>
          </w:rPr>
          <w:t>inw</w:t>
        </w:r>
        <w:r w:rsidRPr="00392E88">
          <w:rPr>
            <w:rStyle w:val="Hyperlink"/>
          </w:rPr>
          <w:t>estycji</w:t>
        </w:r>
      </w:hyperlink>
      <w:r w:rsidRPr="00392E88">
        <w:t>.</w:t>
      </w:r>
    </w:p>
  </w:footnote>
  <w:footnote w:id="29">
    <w:p w14:paraId="446C3A58" w14:textId="77777777" w:rsidR="00A514B8" w:rsidRPr="00392E88" w:rsidRDefault="00A514B8">
      <w:pPr>
        <w:pStyle w:val="FootnoteText"/>
      </w:pPr>
      <w:r>
        <w:rPr>
          <w:rStyle w:val="FootnoteReference"/>
        </w:rPr>
        <w:footnoteRef/>
      </w:r>
      <w:r w:rsidRPr="00392E88">
        <w:tab/>
        <w:t xml:space="preserve">Zob. </w:t>
      </w:r>
      <w:hyperlink r:id="rId26" w:history="1">
        <w:r w:rsidRPr="00392E88">
          <w:rPr>
            <w:rStyle w:val="Hyperlink"/>
          </w:rPr>
          <w:t>sprawozdanie specjalne 14/2025</w:t>
        </w:r>
      </w:hyperlink>
      <w:r w:rsidRPr="00392E88">
        <w:t xml:space="preserve"> Europejskiego Trybunału Obrachunkowego. </w:t>
      </w:r>
    </w:p>
  </w:footnote>
  <w:footnote w:id="30">
    <w:p w14:paraId="070719B7" w14:textId="77777777" w:rsidR="006C6D3C" w:rsidRPr="00392E88" w:rsidRDefault="006C6D3C">
      <w:pPr>
        <w:pStyle w:val="FootnoteText"/>
      </w:pPr>
      <w:r>
        <w:rPr>
          <w:rStyle w:val="FootnoteReference"/>
        </w:rPr>
        <w:footnoteRef/>
      </w:r>
      <w:r w:rsidRPr="00392E88">
        <w:tab/>
        <w:t xml:space="preserve">Zob. </w:t>
      </w:r>
      <w:hyperlink r:id="rId27" w:history="1">
        <w:r w:rsidRPr="00392E88">
          <w:rPr>
            <w:rStyle w:val="Hyperlink"/>
          </w:rPr>
          <w:t>podstawowe zasady OECD dotyczące regulacji emerytur prywatnych</w:t>
        </w:r>
      </w:hyperlink>
      <w:r w:rsidRPr="00392E88">
        <w:t>.</w:t>
      </w:r>
    </w:p>
  </w:footnote>
  <w:footnote w:id="31">
    <w:p w14:paraId="3672297E" w14:textId="3079EB92" w:rsidR="002C6958" w:rsidRPr="00392E88" w:rsidRDefault="002C6958" w:rsidP="002C6958">
      <w:pPr>
        <w:pStyle w:val="FootnoteText"/>
      </w:pPr>
      <w:r>
        <w:rPr>
          <w:rStyle w:val="FootnoteReference"/>
        </w:rPr>
        <w:footnoteRef/>
      </w:r>
      <w:r w:rsidRPr="00392E88">
        <w:tab/>
        <w:t>Rozporządzenie Europejskiego Banku Centralnego (UE) 2018/231</w:t>
      </w:r>
      <w:r w:rsidR="006E6446" w:rsidRPr="00392E88">
        <w:t xml:space="preserve"> z</w:t>
      </w:r>
      <w:r w:rsidR="006E6446">
        <w:t> </w:t>
      </w:r>
      <w:r w:rsidR="006E6446" w:rsidRPr="00392E88">
        <w:t>dni</w:t>
      </w:r>
      <w:r w:rsidRPr="00392E88">
        <w:t>a 26 stycznia 20</w:t>
      </w:r>
      <w:r w:rsidRPr="006E6446">
        <w:t>18</w:t>
      </w:r>
      <w:r w:rsidR="006E6446" w:rsidRPr="006E6446">
        <w:t> </w:t>
      </w:r>
      <w:r w:rsidRPr="006E6446">
        <w:t>r.</w:t>
      </w:r>
      <w:r w:rsidR="006E6446" w:rsidRPr="00392E88">
        <w:t xml:space="preserve"> w</w:t>
      </w:r>
      <w:r w:rsidR="006E6446">
        <w:t> </w:t>
      </w:r>
      <w:r w:rsidR="006E6446" w:rsidRPr="00392E88">
        <w:t>spr</w:t>
      </w:r>
      <w:r w:rsidRPr="00392E88">
        <w:t>awie wymogów sprawozdawczości statystycznej</w:t>
      </w:r>
      <w:r w:rsidR="006E6446" w:rsidRPr="00392E88">
        <w:t xml:space="preserve"> w</w:t>
      </w:r>
      <w:r w:rsidR="006E6446">
        <w:t> </w:t>
      </w:r>
      <w:r w:rsidR="006E6446" w:rsidRPr="00392E88">
        <w:t>odn</w:t>
      </w:r>
      <w:r w:rsidRPr="00392E88">
        <w:t>iesieniu do funduszy emerytalno-rentowych (EBC/2018/2) (Dz.U. L 45</w:t>
      </w:r>
      <w:r w:rsidR="006E6446" w:rsidRPr="00392E88">
        <w:t xml:space="preserve"> z</w:t>
      </w:r>
      <w:r w:rsidR="006E6446">
        <w:t> </w:t>
      </w:r>
      <w:r w:rsidR="006E6446" w:rsidRPr="00392E88">
        <w:t>1</w:t>
      </w:r>
      <w:r w:rsidRPr="00392E88">
        <w:t>7.2.2018, s. 3, ELI: </w:t>
      </w:r>
      <w:hyperlink r:id="rId28" w:tooltip="Dostęp do dokumentu poprzez identyfikator URI w systemie ELI." w:history="1">
        <w:r w:rsidRPr="00392E88">
          <w:rPr>
            <w:rStyle w:val="Hyperlink"/>
          </w:rPr>
          <w:t>http://data.europa.eu/eli/reg/2018/231/oj</w:t>
        </w:r>
      </w:hyperlink>
      <w:r w:rsidRPr="00392E88">
        <w:t>).</w:t>
      </w:r>
    </w:p>
  </w:footnote>
  <w:footnote w:id="32">
    <w:p w14:paraId="54AEA076" w14:textId="5D14CBEA" w:rsidR="00A5243C" w:rsidRPr="00392E88" w:rsidRDefault="00A5243C" w:rsidP="00F8535C">
      <w:pPr>
        <w:pStyle w:val="FootnoteText"/>
      </w:pPr>
      <w:r>
        <w:rPr>
          <w:rStyle w:val="FootnoteReference"/>
        </w:rPr>
        <w:footnoteRef/>
      </w:r>
      <w:r w:rsidRPr="00392E88">
        <w:tab/>
        <w:t>Rozporządzenie Parlamentu Europejskiego</w:t>
      </w:r>
      <w:r w:rsidR="006E6446" w:rsidRPr="00392E88">
        <w:t xml:space="preserve"> i</w:t>
      </w:r>
      <w:r w:rsidR="006E6446">
        <w:t> </w:t>
      </w:r>
      <w:r w:rsidR="006E6446" w:rsidRPr="00392E88">
        <w:t>Rad</w:t>
      </w:r>
      <w:r w:rsidRPr="00392E88">
        <w:t>y (UE) 2019/1238</w:t>
      </w:r>
      <w:r w:rsidR="006E6446" w:rsidRPr="00392E88">
        <w:t xml:space="preserve"> z</w:t>
      </w:r>
      <w:r w:rsidR="006E6446">
        <w:t> </w:t>
      </w:r>
      <w:r w:rsidR="006E6446" w:rsidRPr="00392E88">
        <w:t>dni</w:t>
      </w:r>
      <w:r w:rsidRPr="00392E88">
        <w:t>a 20 czerwca 20</w:t>
      </w:r>
      <w:r w:rsidRPr="006E6446">
        <w:t>19</w:t>
      </w:r>
      <w:r w:rsidR="006E6446" w:rsidRPr="006E6446">
        <w:t> </w:t>
      </w:r>
      <w:r w:rsidRPr="006E6446">
        <w:t>r.</w:t>
      </w:r>
      <w:r w:rsidR="006E6446" w:rsidRPr="00392E88">
        <w:t xml:space="preserve"> w</w:t>
      </w:r>
      <w:r w:rsidR="006E6446">
        <w:t> </w:t>
      </w:r>
      <w:r w:rsidR="006E6446" w:rsidRPr="00392E88">
        <w:t>spr</w:t>
      </w:r>
      <w:r w:rsidRPr="00392E88">
        <w:t>awie ogólnoeuropejskiego indywidualnego produktu emerytalnego (OIPE) (Dz.U. L 198</w:t>
      </w:r>
      <w:r w:rsidR="006E6446" w:rsidRPr="00392E88">
        <w:t xml:space="preserve"> z</w:t>
      </w:r>
      <w:r w:rsidR="006E6446">
        <w:t> </w:t>
      </w:r>
      <w:r w:rsidR="006E6446" w:rsidRPr="00392E88">
        <w:t>2</w:t>
      </w:r>
      <w:r w:rsidRPr="00392E88">
        <w:t xml:space="preserve">5.7.2019, s. 1, ELI: </w:t>
      </w:r>
      <w:hyperlink r:id="rId29" w:tooltip="Dostęp do dokumentu poprzez identyfikator URI w systemie ELI." w:history="1">
        <w:r w:rsidRPr="00392E88">
          <w:rPr>
            <w:rStyle w:val="Hyperlink"/>
          </w:rPr>
          <w:t>http://data.europa.eu/eli/reg/2019/1238/oj</w:t>
        </w:r>
      </w:hyperlink>
      <w:r w:rsidRPr="00392E88">
        <w:t>).</w:t>
      </w:r>
    </w:p>
  </w:footnote>
  <w:footnote w:id="33">
    <w:p w14:paraId="4A4EB8F7" w14:textId="01C35222" w:rsidR="00973182" w:rsidRPr="00392E88" w:rsidRDefault="00973182">
      <w:pPr>
        <w:pStyle w:val="FootnoteText"/>
      </w:pPr>
      <w:r>
        <w:rPr>
          <w:rStyle w:val="FootnoteReference"/>
        </w:rPr>
        <w:footnoteRef/>
      </w:r>
      <w:r w:rsidRPr="00392E88">
        <w:tab/>
        <w:t>Pierwsza dyrektywa Rady 79/267/EWG</w:t>
      </w:r>
      <w:r w:rsidR="006E6446" w:rsidRPr="00392E88">
        <w:t xml:space="preserve"> z</w:t>
      </w:r>
      <w:r w:rsidR="006E6446">
        <w:t> </w:t>
      </w:r>
      <w:r w:rsidR="006E6446" w:rsidRPr="00392E88">
        <w:t>dni</w:t>
      </w:r>
      <w:r w:rsidRPr="00392E88">
        <w:t>a 5 marca 19</w:t>
      </w:r>
      <w:r w:rsidRPr="006E6446">
        <w:t>79</w:t>
      </w:r>
      <w:r w:rsidR="006E6446" w:rsidRPr="006E6446">
        <w:t> </w:t>
      </w:r>
      <w:r w:rsidRPr="006E6446">
        <w:t>r.</w:t>
      </w:r>
      <w:r w:rsidR="006E6446" w:rsidRPr="00392E88">
        <w:t xml:space="preserve"> w</w:t>
      </w:r>
      <w:r w:rsidR="006E6446">
        <w:t> </w:t>
      </w:r>
      <w:r w:rsidR="006E6446" w:rsidRPr="00392E88">
        <w:t>spr</w:t>
      </w:r>
      <w:r w:rsidRPr="00392E88">
        <w:t>awie koordynacji przepisów ustawowych, wykonawczych</w:t>
      </w:r>
      <w:r w:rsidR="006E6446" w:rsidRPr="00392E88">
        <w:t xml:space="preserve"> i</w:t>
      </w:r>
      <w:r w:rsidR="006E6446">
        <w:t> </w:t>
      </w:r>
      <w:r w:rsidR="006E6446" w:rsidRPr="00392E88">
        <w:t>adm</w:t>
      </w:r>
      <w:r w:rsidRPr="00392E88">
        <w:t>inistracyjnych dotyczących podejmowania</w:t>
      </w:r>
      <w:r w:rsidR="006E6446" w:rsidRPr="00392E88">
        <w:t xml:space="preserve"> i</w:t>
      </w:r>
      <w:r w:rsidR="006E6446">
        <w:t> </w:t>
      </w:r>
      <w:r w:rsidR="006E6446" w:rsidRPr="00392E88">
        <w:t>pro</w:t>
      </w:r>
      <w:r w:rsidRPr="00392E88">
        <w:t>wadzenia działalności</w:t>
      </w:r>
      <w:r w:rsidR="006E6446" w:rsidRPr="00392E88">
        <w:t xml:space="preserve"> w</w:t>
      </w:r>
      <w:r w:rsidR="006E6446">
        <w:t> </w:t>
      </w:r>
      <w:r w:rsidR="006E6446" w:rsidRPr="00392E88">
        <w:t>zak</w:t>
      </w:r>
      <w:r w:rsidRPr="00392E88">
        <w:t>resie bezpośrednich ubezpieczeń na życie (Dz.U. L 63</w:t>
      </w:r>
      <w:r w:rsidR="006E6446" w:rsidRPr="00392E88">
        <w:t xml:space="preserve"> z</w:t>
      </w:r>
      <w:r w:rsidR="006E6446">
        <w:t> </w:t>
      </w:r>
      <w:r w:rsidR="006E6446" w:rsidRPr="00392E88">
        <w:t>1</w:t>
      </w:r>
      <w:r w:rsidRPr="00392E88">
        <w:t>3.3.1979, s. 1, ELI: </w:t>
      </w:r>
      <w:hyperlink r:id="rId30" w:tooltip="Dostęp do dokumentu poprzez identyfikator URI w systemie ELI." w:history="1">
        <w:r w:rsidRPr="00392E88">
          <w:rPr>
            <w:rStyle w:val="Hyperlink"/>
          </w:rPr>
          <w:t>http://data.europa.eu/eli/dir/1979/267/oj</w:t>
        </w:r>
      </w:hyperlink>
      <w:r w:rsidRPr="00392E88">
        <w:t>)</w:t>
      </w:r>
      <w:r w:rsidR="006E6446">
        <w:t>.</w:t>
      </w:r>
    </w:p>
  </w:footnote>
  <w:footnote w:id="34">
    <w:p w14:paraId="491ABD5D" w14:textId="0A83D9AE" w:rsidR="00E95D0B" w:rsidRPr="00392E88" w:rsidRDefault="00E95D0B" w:rsidP="006C055C">
      <w:pPr>
        <w:pStyle w:val="FootnoteText"/>
      </w:pPr>
      <w:r>
        <w:rPr>
          <w:rStyle w:val="FootnoteReference"/>
        </w:rPr>
        <w:footnoteRef/>
      </w:r>
      <w:r w:rsidRPr="00392E88">
        <w:tab/>
        <w:t>Komunikat Komisji do Parlamentu Europejskiego, Rady Europejskiej, Rady, Europejskiego Banku Centralnego, Europejskiego Komitetu Ekonomiczno-Społecznego</w:t>
      </w:r>
      <w:r w:rsidR="006E6446" w:rsidRPr="00392E88">
        <w:t xml:space="preserve"> i</w:t>
      </w:r>
      <w:r w:rsidR="006E6446">
        <w:t> </w:t>
      </w:r>
      <w:r w:rsidR="006E6446" w:rsidRPr="00392E88">
        <w:t>Kom</w:t>
      </w:r>
      <w:r w:rsidRPr="00392E88">
        <w:t>itetu Regionów – Zwiększenie zdolności unijnego sektora emerytur dodatkowych</w:t>
      </w:r>
      <w:r w:rsidR="006E6446" w:rsidRPr="00392E88">
        <w:t xml:space="preserve"> w</w:t>
      </w:r>
      <w:r w:rsidR="006E6446">
        <w:t> </w:t>
      </w:r>
      <w:r w:rsidR="006E6446" w:rsidRPr="00392E88">
        <w:t>cel</w:t>
      </w:r>
      <w:r w:rsidRPr="00392E88">
        <w:t>u poprawy dochodów emerytalnych</w:t>
      </w:r>
      <w:r w:rsidR="006E6446" w:rsidRPr="00392E88">
        <w:t xml:space="preserve"> i</w:t>
      </w:r>
      <w:r w:rsidR="006E6446">
        <w:t> </w:t>
      </w:r>
      <w:r w:rsidR="006E6446" w:rsidRPr="00392E88">
        <w:t>dos</w:t>
      </w:r>
      <w:r w:rsidRPr="00392E88">
        <w:t>tarczenia długoterminowego kapitału gospodarce UE. [Urząd Publikacji = proszę podać numer dokumentu</w:t>
      </w:r>
      <w:r w:rsidR="006E6446" w:rsidRPr="00392E88">
        <w:t xml:space="preserve"> i</w:t>
      </w:r>
      <w:r w:rsidR="006E6446">
        <w:t> </w:t>
      </w:r>
      <w:r w:rsidR="006E6446" w:rsidRPr="00392E88">
        <w:t>lin</w:t>
      </w:r>
      <w:r w:rsidRPr="00392E88">
        <w:t>k internetowy].</w:t>
      </w:r>
    </w:p>
  </w:footnote>
  <w:footnote w:id="35">
    <w:p w14:paraId="21DF6643" w14:textId="20332B48" w:rsidR="003F4022" w:rsidRPr="00392E88" w:rsidRDefault="00647CD2" w:rsidP="00CF00EA">
      <w:pPr>
        <w:pStyle w:val="FootnoteText"/>
      </w:pPr>
      <w:r>
        <w:rPr>
          <w:rStyle w:val="FootnoteReference"/>
        </w:rPr>
        <w:footnoteRef/>
      </w:r>
      <w:r w:rsidRPr="00392E88">
        <w:tab/>
        <w:t>Dyrektywa Parlamentu Europejskiego</w:t>
      </w:r>
      <w:r w:rsidR="006E6446" w:rsidRPr="00392E88">
        <w:t xml:space="preserve"> i</w:t>
      </w:r>
      <w:r w:rsidR="006E6446">
        <w:t> </w:t>
      </w:r>
      <w:r w:rsidR="006E6446" w:rsidRPr="00392E88">
        <w:t>Rad</w:t>
      </w:r>
      <w:r w:rsidRPr="00392E88">
        <w:t>y 2009/65/WE</w:t>
      </w:r>
      <w:r w:rsidR="006E6446" w:rsidRPr="00392E88">
        <w:t xml:space="preserve"> z</w:t>
      </w:r>
      <w:r w:rsidR="006E6446">
        <w:t> </w:t>
      </w:r>
      <w:r w:rsidR="006E6446" w:rsidRPr="00392E88">
        <w:t>dni</w:t>
      </w:r>
      <w:r w:rsidRPr="00392E88">
        <w:t>a 13 lipca 20</w:t>
      </w:r>
      <w:r w:rsidRPr="006E6446">
        <w:t>09</w:t>
      </w:r>
      <w:r w:rsidR="006E6446" w:rsidRPr="006E6446">
        <w:t> </w:t>
      </w:r>
      <w:r w:rsidRPr="006E6446">
        <w:t>r.</w:t>
      </w:r>
      <w:r w:rsidR="006E6446" w:rsidRPr="00392E88">
        <w:t xml:space="preserve"> w</w:t>
      </w:r>
      <w:r w:rsidR="006E6446">
        <w:t> </w:t>
      </w:r>
      <w:r w:rsidR="006E6446" w:rsidRPr="00392E88">
        <w:t>spr</w:t>
      </w:r>
      <w:r w:rsidRPr="00392E88">
        <w:t>awie koordynacji przepisów ustawowych, wykonawczych</w:t>
      </w:r>
      <w:r w:rsidR="006E6446" w:rsidRPr="00392E88">
        <w:t xml:space="preserve"> i</w:t>
      </w:r>
      <w:r w:rsidR="006E6446">
        <w:t> </w:t>
      </w:r>
      <w:r w:rsidR="006E6446" w:rsidRPr="00392E88">
        <w:t>adm</w:t>
      </w:r>
      <w:r w:rsidRPr="00392E88">
        <w:t>inistracyjnych odnoszących się do przedsiębiorstw zbiorowego inwestowania</w:t>
      </w:r>
      <w:r w:rsidR="006E6446" w:rsidRPr="00392E88">
        <w:t xml:space="preserve"> w</w:t>
      </w:r>
      <w:r w:rsidR="006E6446">
        <w:t> </w:t>
      </w:r>
      <w:r w:rsidR="006E6446" w:rsidRPr="00392E88">
        <w:t>zby</w:t>
      </w:r>
      <w:r w:rsidRPr="00392E88">
        <w:t>walne papiery wartościowe (UCITS) (Dz.U. L 302</w:t>
      </w:r>
      <w:r w:rsidR="006E6446" w:rsidRPr="00392E88">
        <w:t xml:space="preserve"> z</w:t>
      </w:r>
      <w:r w:rsidR="006E6446">
        <w:t> </w:t>
      </w:r>
      <w:r w:rsidR="006E6446" w:rsidRPr="00392E88">
        <w:t>1</w:t>
      </w:r>
      <w:r w:rsidRPr="00392E88">
        <w:t>7.11.2009, s. 32, ELI: </w:t>
      </w:r>
      <w:hyperlink r:id="rId31" w:tooltip="Dostęp do dokumentu poprzez identyfikator URI w systemie ELI." w:history="1">
        <w:r w:rsidRPr="00392E88">
          <w:rPr>
            <w:rStyle w:val="Hyperlink"/>
          </w:rPr>
          <w:t>http://data.europa.eu/eli/dir/2009/65/oj</w:t>
        </w:r>
      </w:hyperlink>
      <w:r w:rsidRPr="00392E88">
        <w:t>)</w:t>
      </w:r>
      <w:r w:rsidR="006E6446">
        <w:t>.</w:t>
      </w:r>
    </w:p>
  </w:footnote>
  <w:footnote w:id="36">
    <w:p w14:paraId="1262EB24" w14:textId="6601F6B5" w:rsidR="009D30F7" w:rsidRPr="00392E88" w:rsidRDefault="009D30F7">
      <w:pPr>
        <w:pStyle w:val="FootnoteText"/>
      </w:pPr>
      <w:r>
        <w:rPr>
          <w:rStyle w:val="FootnoteReference"/>
        </w:rPr>
        <w:footnoteRef/>
      </w:r>
      <w:r w:rsidRPr="00392E88">
        <w:tab/>
        <w:t>Dyrektywa Parlamentu Europejskiego</w:t>
      </w:r>
      <w:r w:rsidR="006E6446" w:rsidRPr="00392E88">
        <w:t xml:space="preserve"> i</w:t>
      </w:r>
      <w:r w:rsidR="006E6446">
        <w:t> </w:t>
      </w:r>
      <w:r w:rsidR="006E6446" w:rsidRPr="00392E88">
        <w:t>Rad</w:t>
      </w:r>
      <w:r w:rsidRPr="00392E88">
        <w:t>y 2009/138/WE</w:t>
      </w:r>
      <w:r w:rsidR="006E6446" w:rsidRPr="00392E88">
        <w:t xml:space="preserve"> z</w:t>
      </w:r>
      <w:r w:rsidR="006E6446">
        <w:t> </w:t>
      </w:r>
      <w:r w:rsidR="006E6446" w:rsidRPr="00392E88">
        <w:t>dni</w:t>
      </w:r>
      <w:r w:rsidRPr="00392E88">
        <w:t>a 25 listopada 2009 r.</w:t>
      </w:r>
      <w:r w:rsidR="006E6446" w:rsidRPr="00392E88">
        <w:t xml:space="preserve"> w</w:t>
      </w:r>
      <w:r w:rsidR="006E6446">
        <w:t> </w:t>
      </w:r>
      <w:r w:rsidR="006E6446" w:rsidRPr="00392E88">
        <w:t>spr</w:t>
      </w:r>
      <w:r w:rsidRPr="00392E88">
        <w:t>awie podejmowania</w:t>
      </w:r>
      <w:r w:rsidR="006E6446" w:rsidRPr="00392E88">
        <w:t xml:space="preserve"> i</w:t>
      </w:r>
      <w:r w:rsidR="006E6446">
        <w:t> </w:t>
      </w:r>
      <w:r w:rsidR="006E6446" w:rsidRPr="00392E88">
        <w:t>pro</w:t>
      </w:r>
      <w:r w:rsidRPr="00392E88">
        <w:t>wadzenia działalności ubezpieczeniowej</w:t>
      </w:r>
      <w:r w:rsidR="006E6446" w:rsidRPr="00392E88">
        <w:t xml:space="preserve"> i</w:t>
      </w:r>
      <w:r w:rsidR="006E6446">
        <w:t> </w:t>
      </w:r>
      <w:r w:rsidR="006E6446" w:rsidRPr="00392E88">
        <w:t>rea</w:t>
      </w:r>
      <w:r w:rsidRPr="00392E88">
        <w:t>sekuracyjnej (Wypłacalność II) (Dz.U. L 335</w:t>
      </w:r>
      <w:r w:rsidR="006E6446" w:rsidRPr="00392E88">
        <w:t xml:space="preserve"> z</w:t>
      </w:r>
      <w:r w:rsidR="006E6446">
        <w:t> </w:t>
      </w:r>
      <w:r w:rsidR="006E6446" w:rsidRPr="00392E88">
        <w:t>1</w:t>
      </w:r>
      <w:r w:rsidRPr="00392E88">
        <w:t>7.12.2009, s. 1, ELI: </w:t>
      </w:r>
      <w:hyperlink r:id="rId32" w:tooltip="Dostęp do dokumentu poprzez identyfikator URI w systemie ELI." w:history="1">
        <w:r w:rsidRPr="00392E88">
          <w:rPr>
            <w:rStyle w:val="Hyperlink"/>
          </w:rPr>
          <w:t>http://data.europa.eu/eli/dir/2009/138/oj</w:t>
        </w:r>
      </w:hyperlink>
      <w:r w:rsidRPr="00392E88">
        <w:t>).</w:t>
      </w:r>
    </w:p>
  </w:footnote>
  <w:footnote w:id="37">
    <w:p w14:paraId="77E36C89" w14:textId="18A69779" w:rsidR="00F562E0" w:rsidRPr="00392E88" w:rsidRDefault="00F562E0" w:rsidP="00F562E0">
      <w:pPr>
        <w:pStyle w:val="FootnoteText"/>
      </w:pPr>
      <w:r>
        <w:rPr>
          <w:rStyle w:val="FootnoteReference"/>
        </w:rPr>
        <w:footnoteRef/>
      </w:r>
      <w:r w:rsidRPr="00392E88">
        <w:tab/>
        <w:t>Rozporządzenie Parlamentu Europejskiego</w:t>
      </w:r>
      <w:r w:rsidR="006E6446" w:rsidRPr="00392E88">
        <w:t xml:space="preserve"> i</w:t>
      </w:r>
      <w:r w:rsidR="006E6446">
        <w:t> </w:t>
      </w:r>
      <w:r w:rsidR="006E6446" w:rsidRPr="00392E88">
        <w:t>Rad</w:t>
      </w:r>
      <w:r w:rsidRPr="00392E88">
        <w:t xml:space="preserve">y (UE) </w:t>
      </w:r>
      <w:r w:rsidRPr="006E6446">
        <w:t>nr</w:t>
      </w:r>
      <w:r w:rsidR="006E6446" w:rsidRPr="006E6446">
        <w:t> </w:t>
      </w:r>
      <w:r w:rsidRPr="006E6446">
        <w:t>1</w:t>
      </w:r>
      <w:r w:rsidRPr="00392E88">
        <w:t>82/2011</w:t>
      </w:r>
      <w:r w:rsidR="006E6446" w:rsidRPr="00392E88">
        <w:t xml:space="preserve"> z</w:t>
      </w:r>
      <w:r w:rsidR="006E6446">
        <w:t> </w:t>
      </w:r>
      <w:r w:rsidR="006E6446" w:rsidRPr="00392E88">
        <w:t>dni</w:t>
      </w:r>
      <w:r w:rsidRPr="00392E88">
        <w:t>a 16 lutego 20</w:t>
      </w:r>
      <w:r w:rsidRPr="006E6446">
        <w:t>11</w:t>
      </w:r>
      <w:r w:rsidR="006E6446" w:rsidRPr="006E6446">
        <w:t> </w:t>
      </w:r>
      <w:r w:rsidRPr="006E6446">
        <w:t>r.</w:t>
      </w:r>
      <w:r w:rsidRPr="00392E88">
        <w:t xml:space="preserve"> ustanawiające przepisy</w:t>
      </w:r>
      <w:r w:rsidR="006E6446" w:rsidRPr="00392E88">
        <w:t xml:space="preserve"> i</w:t>
      </w:r>
      <w:r w:rsidR="006E6446">
        <w:t> </w:t>
      </w:r>
      <w:r w:rsidR="006E6446" w:rsidRPr="00392E88">
        <w:t>zas</w:t>
      </w:r>
      <w:r w:rsidRPr="00392E88">
        <w:t>ady ogólne dotyczące trybu kontroli przez państwa członkowskie wykonywania uprawnień wykonawczych przez Komisję (Dz.U. L 55</w:t>
      </w:r>
      <w:r w:rsidR="006E6446" w:rsidRPr="00392E88">
        <w:t xml:space="preserve"> z</w:t>
      </w:r>
      <w:r w:rsidR="006E6446">
        <w:t> </w:t>
      </w:r>
      <w:r w:rsidR="006E6446" w:rsidRPr="00392E88">
        <w:t>2</w:t>
      </w:r>
      <w:r w:rsidRPr="00392E88">
        <w:t>8.2.2011, s. 13, ELI: </w:t>
      </w:r>
      <w:hyperlink r:id="rId33" w:tooltip="Dostęp do dokumentu poprzez identyfikator URI w systemie ELI." w:history="1">
        <w:r w:rsidRPr="00392E88">
          <w:rPr>
            <w:rStyle w:val="Hyperlink"/>
          </w:rPr>
          <w:t>http://data.europa.eu/eli/reg/2011/182/oj</w:t>
        </w:r>
      </w:hyperlink>
      <w:r w:rsidRPr="00392E88">
        <w:t>).</w:t>
      </w:r>
    </w:p>
  </w:footnote>
  <w:footnote w:id="38">
    <w:p w14:paraId="6AC7C744" w14:textId="5F4638B4" w:rsidR="00B64657" w:rsidRPr="00392E88" w:rsidRDefault="00B64657" w:rsidP="00B64657">
      <w:pPr>
        <w:pStyle w:val="FootnoteText"/>
      </w:pPr>
      <w:r>
        <w:rPr>
          <w:rStyle w:val="FootnoteReference"/>
        </w:rPr>
        <w:footnoteRef/>
      </w:r>
      <w:r w:rsidRPr="00392E88">
        <w:tab/>
        <w:t>Dyrektywa 2002/58/WE Parlamentu Europejskiego</w:t>
      </w:r>
      <w:r w:rsidR="006E6446" w:rsidRPr="00392E88">
        <w:t xml:space="preserve"> i</w:t>
      </w:r>
      <w:r w:rsidR="006E6446">
        <w:t> </w:t>
      </w:r>
      <w:r w:rsidR="006E6446" w:rsidRPr="00392E88">
        <w:t>Rad</w:t>
      </w:r>
      <w:r w:rsidRPr="00392E88">
        <w:t>y</w:t>
      </w:r>
      <w:r w:rsidR="006E6446" w:rsidRPr="00392E88">
        <w:t xml:space="preserve"> z</w:t>
      </w:r>
      <w:r w:rsidR="006E6446">
        <w:t> </w:t>
      </w:r>
      <w:r w:rsidR="006E6446" w:rsidRPr="00392E88">
        <w:t>dni</w:t>
      </w:r>
      <w:r w:rsidRPr="00392E88">
        <w:t>a 12 lipca 20</w:t>
      </w:r>
      <w:r w:rsidRPr="006E6446">
        <w:t>02</w:t>
      </w:r>
      <w:r w:rsidR="006E6446" w:rsidRPr="006E6446">
        <w:t> </w:t>
      </w:r>
      <w:r w:rsidRPr="006E6446">
        <w:t>r.</w:t>
      </w:r>
      <w:r w:rsidRPr="00392E88">
        <w:t xml:space="preserve"> dotycząca przetwarzania danych osobowych</w:t>
      </w:r>
      <w:r w:rsidR="006E6446" w:rsidRPr="00392E88">
        <w:t xml:space="preserve"> i</w:t>
      </w:r>
      <w:r w:rsidR="006E6446">
        <w:t> </w:t>
      </w:r>
      <w:r w:rsidR="006E6446" w:rsidRPr="00392E88">
        <w:t>och</w:t>
      </w:r>
      <w:r w:rsidRPr="00392E88">
        <w:t>rony prywatności</w:t>
      </w:r>
      <w:r w:rsidR="006E6446" w:rsidRPr="00392E88">
        <w:t xml:space="preserve"> w</w:t>
      </w:r>
      <w:r w:rsidR="006E6446">
        <w:t> </w:t>
      </w:r>
      <w:r w:rsidR="006E6446" w:rsidRPr="00392E88">
        <w:t>sek</w:t>
      </w:r>
      <w:r w:rsidRPr="00392E88">
        <w:t>torze łączności elektronicznej (dyrektywa</w:t>
      </w:r>
      <w:r w:rsidR="006E6446" w:rsidRPr="00392E88">
        <w:t xml:space="preserve"> o</w:t>
      </w:r>
      <w:r w:rsidR="006E6446">
        <w:t> </w:t>
      </w:r>
      <w:r w:rsidR="006E6446" w:rsidRPr="00392E88">
        <w:t>pry</w:t>
      </w:r>
      <w:r w:rsidRPr="00392E88">
        <w:t>watności</w:t>
      </w:r>
      <w:r w:rsidR="006E6446" w:rsidRPr="00392E88">
        <w:t xml:space="preserve"> i</w:t>
      </w:r>
      <w:r w:rsidR="006E6446">
        <w:t> </w:t>
      </w:r>
      <w:r w:rsidR="006E6446" w:rsidRPr="00392E88">
        <w:t>łąc</w:t>
      </w:r>
      <w:r w:rsidRPr="00392E88">
        <w:t>zności elektronicznej) (Dz.U. L 201</w:t>
      </w:r>
      <w:r w:rsidR="006E6446" w:rsidRPr="00392E88">
        <w:t xml:space="preserve"> z</w:t>
      </w:r>
      <w:r w:rsidR="006E6446">
        <w:t> </w:t>
      </w:r>
      <w:r w:rsidR="006E6446" w:rsidRPr="00392E88">
        <w:t>3</w:t>
      </w:r>
      <w:r w:rsidRPr="00392E88">
        <w:t>1.7.2002, s. 37, ELI: </w:t>
      </w:r>
      <w:hyperlink r:id="rId34" w:tooltip="Dostęp do dokumentu poprzez identyfikator URI w systemie ELI." w:history="1">
        <w:r w:rsidRPr="00392E88">
          <w:rPr>
            <w:rStyle w:val="Hyperlink"/>
          </w:rPr>
          <w:t>http://data.europa.eu/eli/dir/2002/58/oj</w:t>
        </w:r>
      </w:hyperlink>
      <w:r w:rsidRPr="00392E88">
        <w:t>)</w:t>
      </w:r>
      <w:r w:rsidR="006E6446">
        <w:t>.</w:t>
      </w:r>
    </w:p>
  </w:footnote>
  <w:footnote w:id="39">
    <w:p w14:paraId="0D347384" w14:textId="606654AD" w:rsidR="00AC2BE5" w:rsidRPr="00392E88" w:rsidRDefault="00AC2BE5">
      <w:pPr>
        <w:pStyle w:val="FootnoteText"/>
      </w:pPr>
      <w:r>
        <w:rPr>
          <w:rStyle w:val="FootnoteReference"/>
        </w:rPr>
        <w:footnoteRef/>
      </w:r>
      <w:r w:rsidRPr="00392E88">
        <w:tab/>
        <w:t>O którym mowa</w:t>
      </w:r>
      <w:r w:rsidR="006E6446" w:rsidRPr="00392E88">
        <w:t xml:space="preserve"> w</w:t>
      </w:r>
      <w:r w:rsidR="006E6446">
        <w:t> </w:t>
      </w:r>
      <w:r w:rsidR="006E6446" w:rsidRPr="006E6446">
        <w:t>art</w:t>
      </w:r>
      <w:r w:rsidRPr="006E6446">
        <w:t>.</w:t>
      </w:r>
      <w:r w:rsidR="006E6446" w:rsidRPr="006E6446">
        <w:t> </w:t>
      </w:r>
      <w:r w:rsidRPr="006E6446">
        <w:t>5</w:t>
      </w:r>
      <w:r w:rsidRPr="00392E88">
        <w:t xml:space="preserve">8 </w:t>
      </w:r>
      <w:r w:rsidRPr="006E6446">
        <w:t>ust.</w:t>
      </w:r>
      <w:r w:rsidR="006E6446" w:rsidRPr="006E6446">
        <w:t> </w:t>
      </w:r>
      <w:r w:rsidRPr="006E6446">
        <w:t>2</w:t>
      </w:r>
      <w:r w:rsidRPr="00392E88">
        <w:t xml:space="preserve"> </w:t>
      </w:r>
      <w:r w:rsidRPr="006E6446">
        <w:t>lit.</w:t>
      </w:r>
      <w:r w:rsidR="006E6446" w:rsidRPr="006E6446">
        <w:t> </w:t>
      </w:r>
      <w:r w:rsidRPr="006E6446">
        <w:t>a)</w:t>
      </w:r>
      <w:r w:rsidRPr="00392E88">
        <w:t xml:space="preserve"> lub b) rozporządzenia finansowego.</w:t>
      </w:r>
    </w:p>
  </w:footnote>
  <w:footnote w:id="40">
    <w:p w14:paraId="30405384" w14:textId="77777777" w:rsidR="00044D5B" w:rsidRPr="00392E88" w:rsidRDefault="00044D5B" w:rsidP="00044D5B">
      <w:pPr>
        <w:pStyle w:val="FootnoteText"/>
        <w:rPr>
          <w:szCs w:val="24"/>
        </w:rPr>
      </w:pPr>
      <w:r>
        <w:rPr>
          <w:rStyle w:val="FootnoteReference"/>
        </w:rPr>
        <w:footnoteRef/>
      </w:r>
      <w:r w:rsidRPr="00392E88">
        <w:tab/>
        <w:t>Środki zróżnicowane/środki niezróżnicowane.</w:t>
      </w:r>
    </w:p>
  </w:footnote>
  <w:footnote w:id="41">
    <w:p w14:paraId="2ED0AA26" w14:textId="77777777" w:rsidR="00044D5B" w:rsidRPr="00392E88" w:rsidRDefault="00044D5B" w:rsidP="00044D5B">
      <w:pPr>
        <w:pStyle w:val="FootnoteText"/>
        <w:rPr>
          <w:szCs w:val="24"/>
        </w:rPr>
      </w:pPr>
      <w:r>
        <w:rPr>
          <w:rStyle w:val="FootnoteReference"/>
        </w:rPr>
        <w:footnoteRef/>
      </w:r>
      <w:r w:rsidRPr="00392E88">
        <w:tab/>
        <w:t xml:space="preserve">EFTA: Europejskie Stowarzyszenie Wolnego Handlu. </w:t>
      </w:r>
    </w:p>
  </w:footnote>
  <w:footnote w:id="42">
    <w:p w14:paraId="161C3A51" w14:textId="5BCA769D" w:rsidR="00044D5B" w:rsidRPr="00392E88" w:rsidRDefault="00044D5B" w:rsidP="00044D5B">
      <w:pPr>
        <w:pStyle w:val="FootnoteText"/>
        <w:rPr>
          <w:szCs w:val="24"/>
        </w:rPr>
      </w:pPr>
      <w:r>
        <w:rPr>
          <w:rStyle w:val="FootnoteReference"/>
        </w:rPr>
        <w:footnoteRef/>
      </w:r>
      <w:r w:rsidRPr="00392E88">
        <w:tab/>
        <w:t>Kraje kandydujące oraz,</w:t>
      </w:r>
      <w:r w:rsidR="006E6446" w:rsidRPr="00392E88">
        <w:t xml:space="preserve"> w</w:t>
      </w:r>
      <w:r w:rsidR="006E6446">
        <w:t> </w:t>
      </w:r>
      <w:r w:rsidR="006E6446" w:rsidRPr="00392E88">
        <w:t>sto</w:t>
      </w:r>
      <w:r w:rsidRPr="00392E88">
        <w:t>sownych przypadkach, potencjalni kandydaci</w:t>
      </w:r>
      <w:r w:rsidR="006E6446" w:rsidRPr="00392E88">
        <w:t xml:space="preserve"> z</w:t>
      </w:r>
      <w:r w:rsidR="006E6446">
        <w:t> </w:t>
      </w:r>
      <w:r w:rsidR="006E6446" w:rsidRPr="00392E88">
        <w:t>Bał</w:t>
      </w:r>
      <w:r w:rsidRPr="00392E88">
        <w:t>kanów Zachodnich.</w:t>
      </w:r>
    </w:p>
  </w:footnote>
  <w:footnote w:id="43">
    <w:p w14:paraId="53F5E5FA" w14:textId="34058F07" w:rsidR="00044D5B" w:rsidRPr="00392E88" w:rsidRDefault="00044D5B" w:rsidP="00044D5B">
      <w:pPr>
        <w:pStyle w:val="FootnoteText"/>
        <w:rPr>
          <w:szCs w:val="24"/>
        </w:rPr>
      </w:pPr>
      <w:r>
        <w:rPr>
          <w:rStyle w:val="FootnoteReference"/>
        </w:rPr>
        <w:footnoteRef/>
      </w:r>
      <w:r w:rsidRPr="00392E88">
        <w:tab/>
        <w:t>Produkty odnoszą się do produktów</w:t>
      </w:r>
      <w:r w:rsidR="006E6446" w:rsidRPr="00392E88">
        <w:t xml:space="preserve"> i</w:t>
      </w:r>
      <w:r w:rsidR="006E6446">
        <w:t> </w:t>
      </w:r>
      <w:r w:rsidR="006E6446" w:rsidRPr="00392E88">
        <w:t>usł</w:t>
      </w:r>
      <w:r w:rsidRPr="00392E88">
        <w:t>ug, które mają zostać zapewnione (np. liczba sfinansowanych wymian studentów, liczba kilometrów zbudowanych dróg itp.).</w:t>
      </w:r>
    </w:p>
  </w:footnote>
  <w:footnote w:id="44">
    <w:p w14:paraId="1B849CA3" w14:textId="00B37C67" w:rsidR="00044D5B" w:rsidRPr="00392E88" w:rsidRDefault="00044D5B" w:rsidP="00044D5B">
      <w:pPr>
        <w:pStyle w:val="FootnoteText"/>
        <w:rPr>
          <w:szCs w:val="24"/>
        </w:rPr>
      </w:pPr>
      <w:r>
        <w:rPr>
          <w:rStyle w:val="FootnoteReference"/>
        </w:rPr>
        <w:footnoteRef/>
      </w:r>
      <w:r w:rsidRPr="00392E88">
        <w:tab/>
        <w:t>Zgodnie</w:t>
      </w:r>
      <w:r w:rsidR="006E6446" w:rsidRPr="00392E88">
        <w:t xml:space="preserve"> z</w:t>
      </w:r>
      <w:r w:rsidR="006E6446">
        <w:t> </w:t>
      </w:r>
      <w:r w:rsidR="006E6446" w:rsidRPr="00392E88">
        <w:t>opi</w:t>
      </w:r>
      <w:r w:rsidRPr="00392E88">
        <w:t>sem</w:t>
      </w:r>
      <w:r w:rsidR="006E6446" w:rsidRPr="00392E88">
        <w:t xml:space="preserve"> w</w:t>
      </w:r>
      <w:r w:rsidR="006E6446">
        <w:t> </w:t>
      </w:r>
      <w:r w:rsidR="006E6446" w:rsidRPr="00392E88">
        <w:t>sek</w:t>
      </w:r>
      <w:r w:rsidRPr="00392E88">
        <w:t xml:space="preserve">cji 1.3.2. „Cel(e) szczegółowy(-e)”. </w:t>
      </w:r>
    </w:p>
  </w:footnote>
  <w:footnote w:id="45">
    <w:p w14:paraId="4979D382" w14:textId="77777777" w:rsidR="00044D5B" w:rsidRPr="00392E88" w:rsidRDefault="00044D5B" w:rsidP="00044D5B">
      <w:pPr>
        <w:pStyle w:val="FootnoteText"/>
        <w:rPr>
          <w:szCs w:val="24"/>
        </w:rPr>
      </w:pPr>
      <w:r>
        <w:rPr>
          <w:rStyle w:val="FootnoteReference"/>
        </w:rPr>
        <w:footnoteRef/>
      </w:r>
      <w:r w:rsidRPr="00392E88">
        <w:tab/>
        <w:t>W przypadku tradycyjnych zasobów własnych (opłaty celne, opłaty wyrównawcze od cukru) należy wskazać kwoty netto, tzn. kwoty brutto po odliczeniu 20 % na poczet kosztów poboru.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C1AB2" w14:textId="77777777" w:rsidR="0042520F" w:rsidRDefault="004252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1C4CC" w14:textId="4A3E8298" w:rsidR="0042520F" w:rsidRDefault="0042520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8EBBB" w14:textId="77777777" w:rsidR="0042520F" w:rsidRDefault="0042520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2B26E" w14:textId="77777777" w:rsidR="0042520F" w:rsidRDefault="0042520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1035B" w14:textId="77777777" w:rsidR="0042520F" w:rsidRDefault="0042520F">
    <w:r>
      <w:cr/>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F177F" w14:textId="77777777" w:rsidR="0042520F" w:rsidRDefault="004252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6"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7"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
      <w:lvlText w:val="%2."/>
      <w:lvlJc w:val="left"/>
      <w:pPr>
        <w:ind w:left="953" w:hanging="477"/>
      </w:pPr>
      <w:rPr>
        <w:rFonts w:hint="default"/>
      </w:rPr>
    </w:lvl>
    <w:lvl w:ilvl="2">
      <w:start w:val="1"/>
      <w:numFmt w:val="lowerRoman"/>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9"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1"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7"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8"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15:restartNumberingAfterBreak="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1"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2"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4"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5"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7" w15:restartNumberingAfterBreak="0">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29" w15:restartNumberingAfterBreak="0">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30"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591401468">
    <w:abstractNumId w:val="0"/>
  </w:num>
  <w:num w:numId="2" w16cid:durableId="1525636558">
    <w:abstractNumId w:val="20"/>
  </w:num>
  <w:num w:numId="3" w16cid:durableId="719669486">
    <w:abstractNumId w:val="8"/>
  </w:num>
  <w:num w:numId="4" w16cid:durableId="1788547964">
    <w:abstractNumId w:val="17"/>
  </w:num>
  <w:num w:numId="5" w16cid:durableId="667053552">
    <w:abstractNumId w:val="16"/>
  </w:num>
  <w:num w:numId="6" w16cid:durableId="1632008470">
    <w:abstractNumId w:val="27"/>
  </w:num>
  <w:num w:numId="7" w16cid:durableId="469250507">
    <w:abstractNumId w:val="24"/>
  </w:num>
  <w:num w:numId="8" w16cid:durableId="428239973">
    <w:abstractNumId w:val="28"/>
  </w:num>
  <w:num w:numId="9" w16cid:durableId="1232157170">
    <w:abstractNumId w:val="29"/>
  </w:num>
  <w:num w:numId="10" w16cid:durableId="2004308667">
    <w:abstractNumId w:val="1"/>
  </w:num>
  <w:num w:numId="11" w16cid:durableId="1953591815">
    <w:abstractNumId w:val="10"/>
  </w:num>
  <w:num w:numId="12" w16cid:durableId="1081219775">
    <w:abstractNumId w:val="2"/>
  </w:num>
  <w:num w:numId="13" w16cid:durableId="716317055">
    <w:abstractNumId w:val="11"/>
  </w:num>
  <w:num w:numId="14" w16cid:durableId="901906901">
    <w:abstractNumId w:val="9"/>
  </w:num>
  <w:num w:numId="15" w16cid:durableId="1219901640">
    <w:abstractNumId w:val="18"/>
  </w:num>
  <w:num w:numId="16" w16cid:durableId="359861386">
    <w:abstractNumId w:val="7"/>
  </w:num>
  <w:num w:numId="17" w16cid:durableId="1355233409">
    <w:abstractNumId w:val="30"/>
    <w:lvlOverride w:ilvl="0">
      <w:startOverride w:val="1"/>
    </w:lvlOverride>
  </w:num>
  <w:num w:numId="18" w16cid:durableId="2089693441">
    <w:abstractNumId w:val="23"/>
  </w:num>
  <w:num w:numId="19" w16cid:durableId="1693998065">
    <w:abstractNumId w:val="12"/>
  </w:num>
  <w:num w:numId="20" w16cid:durableId="788817884">
    <w:abstractNumId w:val="26"/>
  </w:num>
  <w:num w:numId="21" w16cid:durableId="1535464848">
    <w:abstractNumId w:val="6"/>
  </w:num>
  <w:num w:numId="22" w16cid:durableId="639657071">
    <w:abstractNumId w:val="13"/>
  </w:num>
  <w:num w:numId="23" w16cid:durableId="361050661">
    <w:abstractNumId w:val="14"/>
  </w:num>
  <w:num w:numId="24" w16cid:durableId="472790552">
    <w:abstractNumId w:val="4"/>
  </w:num>
  <w:num w:numId="25" w16cid:durableId="384646725">
    <w:abstractNumId w:val="25"/>
  </w:num>
  <w:num w:numId="26" w16cid:durableId="2031682509">
    <w:abstractNumId w:val="3"/>
  </w:num>
  <w:num w:numId="27" w16cid:durableId="150604668">
    <w:abstractNumId w:val="15"/>
  </w:num>
  <w:num w:numId="28" w16cid:durableId="472332852">
    <w:abstractNumId w:val="21"/>
  </w:num>
  <w:num w:numId="29" w16cid:durableId="1298296966">
    <w:abstractNumId w:val="22"/>
  </w:num>
  <w:num w:numId="30" w16cid:durableId="1306230484">
    <w:abstractNumId w:val="5"/>
  </w:num>
  <w:num w:numId="31" w16cid:durableId="24066917">
    <w:abstractNumId w:val="19"/>
  </w:num>
  <w:num w:numId="32" w16cid:durableId="485436588">
    <w:abstractNumId w:val="3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attachedTemplate r:id="rId1"/>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CR_RefLast" w:val="0"/>
    <w:docVar w:name="DQCDateTime" w:val="2026-02-06 09:26:03"/>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Yellow"/>
    <w:docVar w:name="DQCVersion" w:val="3"/>
    <w:docVar w:name="DQCWithWarnings" w:val="0"/>
    <w:docVar w:name="EPKit_DocumentHasBeenSaved" w:val="true"/>
    <w:docVar w:name="LW_CORRIGENDUM" w:val="&lt;UNUSED&gt;"/>
    <w:docVar w:name="LW_COVERPAGE_EXISTS" w:val="True"/>
    <w:docVar w:name="LW_COVERPAGE_GUID" w:val="412773E9-8A06-44DD-BCBE-39CC4B9ABFB0"/>
    <w:docVar w:name="LW_COVERPAGE_TYPE" w:val="1"/>
    <w:docVar w:name="LW_CreatedUtc" w:val="2025-10-06T08:29:47.0336955Z"/>
    <w:docVar w:name="LW_CROSSREFERENCE" w:val="&lt;UNUSED&gt;"/>
    <w:docVar w:name="LW_DocType" w:val="COM"/>
    <w:docVar w:name="LW_EMISSION" w:val="20.11.2025"/>
    <w:docVar w:name="LW_EMISSION_ISODATE" w:val="2025-11-20"/>
    <w:docVar w:name="LW_EMISSION_LOCATION" w:val="BRX"/>
    <w:docVar w:name="LW_EMISSION_PREFIX" w:val="Bruksela, dnia "/>
    <w:docVar w:name="LW_EMISSION_SUFFIX" w:val=" r."/>
    <w:docVar w:name="LW_ID_DOCMODEL" w:val="SJ-024"/>
    <w:docVar w:name="LW_ID_DOCSIGNATURE" w:val="SJ-024"/>
    <w:docVar w:name="LW_ID_DOCSTRUCTURE" w:val="COM/PL/ORG"/>
    <w:docVar w:name="LW_ID_DOCTYPE" w:val="SJ-024"/>
    <w:docVar w:name="LW_ID_STATUT" w:val="SJ-024"/>
    <w:docVar w:name="LW_INSERT_EXP.MOTIFS.NEW" w:val="1"/>
    <w:docVar w:name="LW_INTERETEEE.CP" w:val="(Tekst maj\u261?cy znaczenie dla EOG)"/>
    <w:docVar w:name="LW_LANGUE" w:val="PL"/>
    <w:docVar w:name="LW_LEVEL_OF_SENSITIVITY" w:val="Standard treatment"/>
    <w:docVar w:name="LW_NOM.INST" w:val="KOMISJA EUROPEJSKA"/>
    <w:docVar w:name="LW_NOM.INST_JOINTDOC" w:val="&lt;EMPTY&gt;"/>
    <w:docVar w:name="LW_PART_NBR" w:val="1"/>
    <w:docVar w:name="LW_PART_NBR_TOTAL" w:val="1"/>
    <w:docVar w:name="LW_REF.II.NEW.CP" w:val="COD"/>
    <w:docVar w:name="LW_REF.II.NEW.CP_NUMBER" w:val="0362"/>
    <w:docVar w:name="LW_REF.II.NEW.CP_YEAR" w:val="2025"/>
    <w:docVar w:name="LW_REF.INST.NEW" w:val="COM"/>
    <w:docVar w:name="LW_REF.INST.NEW_ADOPTED" w:val="final"/>
    <w:docVar w:name="LW_REF.INST.NEW_TEXT" w:val="(2025) 84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Wniosek"/>
    <w:docVar w:name="LW_SUPERTITRE" w:val="&lt;UNUSED&gt;"/>
    <w:docVar w:name="LW_TITRE.OBJ.CP" w:val="zmieniaj\u261?ca dyrektywy (UE) 2016/2341 i 2016/97 w odniesieniu do wzmocnienia ram pracowniczych programów emerytalnych"/>
    <w:docVar w:name="LW_TYPE.DOC.CP" w:val="DYREKTYWA PARLAMENTU EUROPEJSKIEGO I RADY"/>
    <w:docVar w:name="LwApiVersions" w:val="LW4CoDe 1.24.5.0; LW 9.2, Build 20251112"/>
  </w:docVars>
  <w:rsids>
    <w:rsidRoot w:val="00AC2BE5"/>
    <w:rsid w:val="0000013E"/>
    <w:rsid w:val="0000015B"/>
    <w:rsid w:val="00000185"/>
    <w:rsid w:val="00000274"/>
    <w:rsid w:val="000002A6"/>
    <w:rsid w:val="0000040C"/>
    <w:rsid w:val="00000446"/>
    <w:rsid w:val="000004EF"/>
    <w:rsid w:val="00000533"/>
    <w:rsid w:val="0000060E"/>
    <w:rsid w:val="00000625"/>
    <w:rsid w:val="0000093F"/>
    <w:rsid w:val="00000A5D"/>
    <w:rsid w:val="00000B70"/>
    <w:rsid w:val="00000C29"/>
    <w:rsid w:val="00000D1A"/>
    <w:rsid w:val="00000D6D"/>
    <w:rsid w:val="00000D75"/>
    <w:rsid w:val="00000E7A"/>
    <w:rsid w:val="00001135"/>
    <w:rsid w:val="00001205"/>
    <w:rsid w:val="000012EA"/>
    <w:rsid w:val="00001335"/>
    <w:rsid w:val="00001374"/>
    <w:rsid w:val="0000143D"/>
    <w:rsid w:val="000014AE"/>
    <w:rsid w:val="0000169C"/>
    <w:rsid w:val="000017D8"/>
    <w:rsid w:val="00001816"/>
    <w:rsid w:val="0000187F"/>
    <w:rsid w:val="00001A83"/>
    <w:rsid w:val="00001B4C"/>
    <w:rsid w:val="00001BBF"/>
    <w:rsid w:val="00001BD0"/>
    <w:rsid w:val="00001D86"/>
    <w:rsid w:val="00001DEC"/>
    <w:rsid w:val="00001FBB"/>
    <w:rsid w:val="00002087"/>
    <w:rsid w:val="000020E4"/>
    <w:rsid w:val="00002141"/>
    <w:rsid w:val="0000219B"/>
    <w:rsid w:val="00002222"/>
    <w:rsid w:val="0000222F"/>
    <w:rsid w:val="00002292"/>
    <w:rsid w:val="0000247D"/>
    <w:rsid w:val="000024ED"/>
    <w:rsid w:val="00002578"/>
    <w:rsid w:val="00002596"/>
    <w:rsid w:val="000025F3"/>
    <w:rsid w:val="00002717"/>
    <w:rsid w:val="00002763"/>
    <w:rsid w:val="000027E5"/>
    <w:rsid w:val="0000285B"/>
    <w:rsid w:val="0000286B"/>
    <w:rsid w:val="00002958"/>
    <w:rsid w:val="00002A06"/>
    <w:rsid w:val="00002AE9"/>
    <w:rsid w:val="00002AF3"/>
    <w:rsid w:val="00002C22"/>
    <w:rsid w:val="00002F26"/>
    <w:rsid w:val="00002F51"/>
    <w:rsid w:val="00002F65"/>
    <w:rsid w:val="00002FE0"/>
    <w:rsid w:val="00002FEA"/>
    <w:rsid w:val="00003266"/>
    <w:rsid w:val="0000326D"/>
    <w:rsid w:val="00003274"/>
    <w:rsid w:val="000032E0"/>
    <w:rsid w:val="00003332"/>
    <w:rsid w:val="00003340"/>
    <w:rsid w:val="00003360"/>
    <w:rsid w:val="00003391"/>
    <w:rsid w:val="00003563"/>
    <w:rsid w:val="0000366E"/>
    <w:rsid w:val="00003763"/>
    <w:rsid w:val="00003878"/>
    <w:rsid w:val="00003A79"/>
    <w:rsid w:val="00003D2E"/>
    <w:rsid w:val="00003E30"/>
    <w:rsid w:val="00003E55"/>
    <w:rsid w:val="00003E73"/>
    <w:rsid w:val="00003F5D"/>
    <w:rsid w:val="000040C4"/>
    <w:rsid w:val="00004210"/>
    <w:rsid w:val="00004300"/>
    <w:rsid w:val="0000434D"/>
    <w:rsid w:val="00004356"/>
    <w:rsid w:val="0000438F"/>
    <w:rsid w:val="000043B7"/>
    <w:rsid w:val="00004469"/>
    <w:rsid w:val="000044A2"/>
    <w:rsid w:val="000045CC"/>
    <w:rsid w:val="000046F5"/>
    <w:rsid w:val="00004720"/>
    <w:rsid w:val="0000477E"/>
    <w:rsid w:val="000047B5"/>
    <w:rsid w:val="000047FA"/>
    <w:rsid w:val="00004822"/>
    <w:rsid w:val="0000487E"/>
    <w:rsid w:val="00004996"/>
    <w:rsid w:val="000049B3"/>
    <w:rsid w:val="00004AA9"/>
    <w:rsid w:val="00004AF0"/>
    <w:rsid w:val="00004AF5"/>
    <w:rsid w:val="00004B07"/>
    <w:rsid w:val="00004B7A"/>
    <w:rsid w:val="00004B9C"/>
    <w:rsid w:val="00004C0A"/>
    <w:rsid w:val="00004D4A"/>
    <w:rsid w:val="00004E2F"/>
    <w:rsid w:val="00004E54"/>
    <w:rsid w:val="00004E61"/>
    <w:rsid w:val="00004FBB"/>
    <w:rsid w:val="000050A3"/>
    <w:rsid w:val="00005242"/>
    <w:rsid w:val="00005248"/>
    <w:rsid w:val="00005346"/>
    <w:rsid w:val="00005397"/>
    <w:rsid w:val="000053AA"/>
    <w:rsid w:val="00005432"/>
    <w:rsid w:val="000054F1"/>
    <w:rsid w:val="000055A9"/>
    <w:rsid w:val="000056AA"/>
    <w:rsid w:val="000056CE"/>
    <w:rsid w:val="00005829"/>
    <w:rsid w:val="000058EA"/>
    <w:rsid w:val="000058FB"/>
    <w:rsid w:val="00005906"/>
    <w:rsid w:val="0000598D"/>
    <w:rsid w:val="00005ED2"/>
    <w:rsid w:val="00006004"/>
    <w:rsid w:val="00006014"/>
    <w:rsid w:val="0000605C"/>
    <w:rsid w:val="0000625F"/>
    <w:rsid w:val="00006275"/>
    <w:rsid w:val="00006380"/>
    <w:rsid w:val="000063B5"/>
    <w:rsid w:val="00006569"/>
    <w:rsid w:val="000065BB"/>
    <w:rsid w:val="00006663"/>
    <w:rsid w:val="00006682"/>
    <w:rsid w:val="000066BD"/>
    <w:rsid w:val="000066EA"/>
    <w:rsid w:val="000066ED"/>
    <w:rsid w:val="0000683E"/>
    <w:rsid w:val="00006A85"/>
    <w:rsid w:val="00006B59"/>
    <w:rsid w:val="00006CB9"/>
    <w:rsid w:val="0000701A"/>
    <w:rsid w:val="00007120"/>
    <w:rsid w:val="000071A0"/>
    <w:rsid w:val="000071CA"/>
    <w:rsid w:val="00007264"/>
    <w:rsid w:val="00007370"/>
    <w:rsid w:val="00007400"/>
    <w:rsid w:val="000074AD"/>
    <w:rsid w:val="0000782C"/>
    <w:rsid w:val="0000783A"/>
    <w:rsid w:val="0000788A"/>
    <w:rsid w:val="0000793D"/>
    <w:rsid w:val="00007973"/>
    <w:rsid w:val="000079C8"/>
    <w:rsid w:val="00007ABB"/>
    <w:rsid w:val="00007B0B"/>
    <w:rsid w:val="00007BDF"/>
    <w:rsid w:val="00007C77"/>
    <w:rsid w:val="00007DB9"/>
    <w:rsid w:val="00007DD6"/>
    <w:rsid w:val="00007E4A"/>
    <w:rsid w:val="00007EE7"/>
    <w:rsid w:val="0001009A"/>
    <w:rsid w:val="00010119"/>
    <w:rsid w:val="000102E1"/>
    <w:rsid w:val="000102E5"/>
    <w:rsid w:val="000103DE"/>
    <w:rsid w:val="000103E0"/>
    <w:rsid w:val="00010659"/>
    <w:rsid w:val="00010796"/>
    <w:rsid w:val="00010808"/>
    <w:rsid w:val="0001080F"/>
    <w:rsid w:val="0001095E"/>
    <w:rsid w:val="00010999"/>
    <w:rsid w:val="000109B9"/>
    <w:rsid w:val="00010A10"/>
    <w:rsid w:val="00010A6C"/>
    <w:rsid w:val="00010B31"/>
    <w:rsid w:val="00010CDB"/>
    <w:rsid w:val="00010CDC"/>
    <w:rsid w:val="00010D71"/>
    <w:rsid w:val="00010D7A"/>
    <w:rsid w:val="00010D88"/>
    <w:rsid w:val="00010EA1"/>
    <w:rsid w:val="00011000"/>
    <w:rsid w:val="0001103A"/>
    <w:rsid w:val="000111CE"/>
    <w:rsid w:val="000111F1"/>
    <w:rsid w:val="00011206"/>
    <w:rsid w:val="000112E2"/>
    <w:rsid w:val="00011397"/>
    <w:rsid w:val="000113A2"/>
    <w:rsid w:val="000114ED"/>
    <w:rsid w:val="000115A1"/>
    <w:rsid w:val="000115F3"/>
    <w:rsid w:val="00011617"/>
    <w:rsid w:val="000119E0"/>
    <w:rsid w:val="00011AB4"/>
    <w:rsid w:val="00011AC0"/>
    <w:rsid w:val="00011BDC"/>
    <w:rsid w:val="00011C4B"/>
    <w:rsid w:val="00011D7A"/>
    <w:rsid w:val="00011E05"/>
    <w:rsid w:val="00011EAB"/>
    <w:rsid w:val="00011EE9"/>
    <w:rsid w:val="00011F1C"/>
    <w:rsid w:val="00011F43"/>
    <w:rsid w:val="00011F59"/>
    <w:rsid w:val="00011FC8"/>
    <w:rsid w:val="000120D8"/>
    <w:rsid w:val="0001216D"/>
    <w:rsid w:val="000123A0"/>
    <w:rsid w:val="000125B3"/>
    <w:rsid w:val="000125C6"/>
    <w:rsid w:val="000125C8"/>
    <w:rsid w:val="00012626"/>
    <w:rsid w:val="0001270C"/>
    <w:rsid w:val="00012A1E"/>
    <w:rsid w:val="00012B31"/>
    <w:rsid w:val="00012D14"/>
    <w:rsid w:val="00012E65"/>
    <w:rsid w:val="00012E9E"/>
    <w:rsid w:val="00012F6F"/>
    <w:rsid w:val="00013014"/>
    <w:rsid w:val="0001306D"/>
    <w:rsid w:val="000130E1"/>
    <w:rsid w:val="0001316F"/>
    <w:rsid w:val="0001317E"/>
    <w:rsid w:val="000131F7"/>
    <w:rsid w:val="00013423"/>
    <w:rsid w:val="00013671"/>
    <w:rsid w:val="0001368B"/>
    <w:rsid w:val="0001374E"/>
    <w:rsid w:val="00013788"/>
    <w:rsid w:val="000137AA"/>
    <w:rsid w:val="000137E3"/>
    <w:rsid w:val="0001381F"/>
    <w:rsid w:val="0001393D"/>
    <w:rsid w:val="00013A50"/>
    <w:rsid w:val="00013DAD"/>
    <w:rsid w:val="00013E78"/>
    <w:rsid w:val="00013EEA"/>
    <w:rsid w:val="00013F21"/>
    <w:rsid w:val="00013F54"/>
    <w:rsid w:val="00013FE3"/>
    <w:rsid w:val="0001400A"/>
    <w:rsid w:val="00014051"/>
    <w:rsid w:val="00014098"/>
    <w:rsid w:val="00014102"/>
    <w:rsid w:val="0001411A"/>
    <w:rsid w:val="00014196"/>
    <w:rsid w:val="000141D7"/>
    <w:rsid w:val="00014400"/>
    <w:rsid w:val="0001443D"/>
    <w:rsid w:val="00014522"/>
    <w:rsid w:val="0001454F"/>
    <w:rsid w:val="00014570"/>
    <w:rsid w:val="000146EC"/>
    <w:rsid w:val="0001476C"/>
    <w:rsid w:val="000147F0"/>
    <w:rsid w:val="0001486C"/>
    <w:rsid w:val="0001491D"/>
    <w:rsid w:val="000149DE"/>
    <w:rsid w:val="00014B42"/>
    <w:rsid w:val="00014B4F"/>
    <w:rsid w:val="00014CDC"/>
    <w:rsid w:val="00014D36"/>
    <w:rsid w:val="00014DCC"/>
    <w:rsid w:val="00014F01"/>
    <w:rsid w:val="00014F69"/>
    <w:rsid w:val="00014F77"/>
    <w:rsid w:val="00014FA2"/>
    <w:rsid w:val="00015047"/>
    <w:rsid w:val="000150E1"/>
    <w:rsid w:val="0001525D"/>
    <w:rsid w:val="0001554E"/>
    <w:rsid w:val="00015571"/>
    <w:rsid w:val="00015630"/>
    <w:rsid w:val="000156FE"/>
    <w:rsid w:val="0001570B"/>
    <w:rsid w:val="00015803"/>
    <w:rsid w:val="00015868"/>
    <w:rsid w:val="000158E2"/>
    <w:rsid w:val="00015988"/>
    <w:rsid w:val="000159E7"/>
    <w:rsid w:val="00015A76"/>
    <w:rsid w:val="00015A81"/>
    <w:rsid w:val="00015AD6"/>
    <w:rsid w:val="00015B23"/>
    <w:rsid w:val="00015BCA"/>
    <w:rsid w:val="00015C8C"/>
    <w:rsid w:val="00015CC8"/>
    <w:rsid w:val="00015D03"/>
    <w:rsid w:val="00015D6C"/>
    <w:rsid w:val="00015E5D"/>
    <w:rsid w:val="00015F02"/>
    <w:rsid w:val="00015F24"/>
    <w:rsid w:val="000160D9"/>
    <w:rsid w:val="000160E7"/>
    <w:rsid w:val="00016191"/>
    <w:rsid w:val="0001635F"/>
    <w:rsid w:val="0001638C"/>
    <w:rsid w:val="0001642E"/>
    <w:rsid w:val="000164B0"/>
    <w:rsid w:val="0001657D"/>
    <w:rsid w:val="000165B8"/>
    <w:rsid w:val="00016747"/>
    <w:rsid w:val="000167E6"/>
    <w:rsid w:val="0001680C"/>
    <w:rsid w:val="00016838"/>
    <w:rsid w:val="0001688C"/>
    <w:rsid w:val="00016B81"/>
    <w:rsid w:val="00016CD2"/>
    <w:rsid w:val="00016D93"/>
    <w:rsid w:val="00016DDE"/>
    <w:rsid w:val="00016E96"/>
    <w:rsid w:val="00016EBB"/>
    <w:rsid w:val="000170B2"/>
    <w:rsid w:val="00017190"/>
    <w:rsid w:val="000171D3"/>
    <w:rsid w:val="0001735E"/>
    <w:rsid w:val="0001739B"/>
    <w:rsid w:val="000173DE"/>
    <w:rsid w:val="00017537"/>
    <w:rsid w:val="00017645"/>
    <w:rsid w:val="00017714"/>
    <w:rsid w:val="0001775A"/>
    <w:rsid w:val="000177F8"/>
    <w:rsid w:val="0001786D"/>
    <w:rsid w:val="000179EA"/>
    <w:rsid w:val="00017B05"/>
    <w:rsid w:val="00017B4F"/>
    <w:rsid w:val="00017B8E"/>
    <w:rsid w:val="00017C3D"/>
    <w:rsid w:val="00017C66"/>
    <w:rsid w:val="00017C90"/>
    <w:rsid w:val="00017D1E"/>
    <w:rsid w:val="00017E2E"/>
    <w:rsid w:val="00017E7A"/>
    <w:rsid w:val="000200AB"/>
    <w:rsid w:val="000201B2"/>
    <w:rsid w:val="000203EE"/>
    <w:rsid w:val="0002041F"/>
    <w:rsid w:val="00020495"/>
    <w:rsid w:val="000205C3"/>
    <w:rsid w:val="00020701"/>
    <w:rsid w:val="00020725"/>
    <w:rsid w:val="0002074F"/>
    <w:rsid w:val="00020770"/>
    <w:rsid w:val="00020A01"/>
    <w:rsid w:val="00020A8F"/>
    <w:rsid w:val="00020AA7"/>
    <w:rsid w:val="00020AB4"/>
    <w:rsid w:val="00020B62"/>
    <w:rsid w:val="00020C27"/>
    <w:rsid w:val="00020C9F"/>
    <w:rsid w:val="00020DB8"/>
    <w:rsid w:val="00020E06"/>
    <w:rsid w:val="00020E7F"/>
    <w:rsid w:val="00020EDD"/>
    <w:rsid w:val="00020F84"/>
    <w:rsid w:val="0002103D"/>
    <w:rsid w:val="000210AE"/>
    <w:rsid w:val="0002116A"/>
    <w:rsid w:val="000211F2"/>
    <w:rsid w:val="00021227"/>
    <w:rsid w:val="000212E3"/>
    <w:rsid w:val="000212F8"/>
    <w:rsid w:val="00021469"/>
    <w:rsid w:val="00021470"/>
    <w:rsid w:val="000214E6"/>
    <w:rsid w:val="0002157E"/>
    <w:rsid w:val="00021627"/>
    <w:rsid w:val="0002169F"/>
    <w:rsid w:val="000217E4"/>
    <w:rsid w:val="00021916"/>
    <w:rsid w:val="0002192E"/>
    <w:rsid w:val="0002196F"/>
    <w:rsid w:val="00021A2E"/>
    <w:rsid w:val="00021A34"/>
    <w:rsid w:val="00021BF7"/>
    <w:rsid w:val="00021BFB"/>
    <w:rsid w:val="00021C77"/>
    <w:rsid w:val="00021C92"/>
    <w:rsid w:val="00021D99"/>
    <w:rsid w:val="00021EB6"/>
    <w:rsid w:val="00021EE4"/>
    <w:rsid w:val="00021F15"/>
    <w:rsid w:val="00021F6D"/>
    <w:rsid w:val="00022084"/>
    <w:rsid w:val="00022108"/>
    <w:rsid w:val="000221F2"/>
    <w:rsid w:val="00022241"/>
    <w:rsid w:val="00022339"/>
    <w:rsid w:val="0002234B"/>
    <w:rsid w:val="000223C0"/>
    <w:rsid w:val="000224BC"/>
    <w:rsid w:val="00022572"/>
    <w:rsid w:val="0002277B"/>
    <w:rsid w:val="0002289D"/>
    <w:rsid w:val="0002293F"/>
    <w:rsid w:val="0002294D"/>
    <w:rsid w:val="00022953"/>
    <w:rsid w:val="00022986"/>
    <w:rsid w:val="00022C07"/>
    <w:rsid w:val="00022CC1"/>
    <w:rsid w:val="00022E34"/>
    <w:rsid w:val="00022E5E"/>
    <w:rsid w:val="00022EFB"/>
    <w:rsid w:val="00022F01"/>
    <w:rsid w:val="00022F1A"/>
    <w:rsid w:val="00022FE3"/>
    <w:rsid w:val="000230FB"/>
    <w:rsid w:val="000231D7"/>
    <w:rsid w:val="00023218"/>
    <w:rsid w:val="0002322D"/>
    <w:rsid w:val="000234BE"/>
    <w:rsid w:val="00023596"/>
    <w:rsid w:val="00023600"/>
    <w:rsid w:val="00023625"/>
    <w:rsid w:val="00023633"/>
    <w:rsid w:val="00023740"/>
    <w:rsid w:val="000237E7"/>
    <w:rsid w:val="000239B8"/>
    <w:rsid w:val="00023B78"/>
    <w:rsid w:val="00023B9C"/>
    <w:rsid w:val="00023BE3"/>
    <w:rsid w:val="00023C4C"/>
    <w:rsid w:val="00023C76"/>
    <w:rsid w:val="00023CD7"/>
    <w:rsid w:val="00023D4E"/>
    <w:rsid w:val="00023EAF"/>
    <w:rsid w:val="00023F66"/>
    <w:rsid w:val="0002406A"/>
    <w:rsid w:val="000240EC"/>
    <w:rsid w:val="000240F9"/>
    <w:rsid w:val="000243B5"/>
    <w:rsid w:val="0002465D"/>
    <w:rsid w:val="00024663"/>
    <w:rsid w:val="00024679"/>
    <w:rsid w:val="000246D2"/>
    <w:rsid w:val="0002470D"/>
    <w:rsid w:val="0002470E"/>
    <w:rsid w:val="00024981"/>
    <w:rsid w:val="000249D4"/>
    <w:rsid w:val="00024B38"/>
    <w:rsid w:val="00024C02"/>
    <w:rsid w:val="00024C3D"/>
    <w:rsid w:val="00024C4A"/>
    <w:rsid w:val="00024CEB"/>
    <w:rsid w:val="00024D0D"/>
    <w:rsid w:val="00024D16"/>
    <w:rsid w:val="00024E03"/>
    <w:rsid w:val="00024F3D"/>
    <w:rsid w:val="00025216"/>
    <w:rsid w:val="00025271"/>
    <w:rsid w:val="00025303"/>
    <w:rsid w:val="0002539D"/>
    <w:rsid w:val="0002541C"/>
    <w:rsid w:val="0002542E"/>
    <w:rsid w:val="00025564"/>
    <w:rsid w:val="00025620"/>
    <w:rsid w:val="000256DE"/>
    <w:rsid w:val="0002595D"/>
    <w:rsid w:val="00025C16"/>
    <w:rsid w:val="00025DD1"/>
    <w:rsid w:val="00025E9A"/>
    <w:rsid w:val="00025F04"/>
    <w:rsid w:val="00025F48"/>
    <w:rsid w:val="00025F4F"/>
    <w:rsid w:val="00025F61"/>
    <w:rsid w:val="000260AA"/>
    <w:rsid w:val="000260E5"/>
    <w:rsid w:val="00026155"/>
    <w:rsid w:val="00026578"/>
    <w:rsid w:val="000265A2"/>
    <w:rsid w:val="000265AC"/>
    <w:rsid w:val="000265D8"/>
    <w:rsid w:val="00026620"/>
    <w:rsid w:val="000266DF"/>
    <w:rsid w:val="00026713"/>
    <w:rsid w:val="000269A0"/>
    <w:rsid w:val="000269AB"/>
    <w:rsid w:val="00026A17"/>
    <w:rsid w:val="00026AE3"/>
    <w:rsid w:val="00026C05"/>
    <w:rsid w:val="00026D42"/>
    <w:rsid w:val="00026E13"/>
    <w:rsid w:val="00026E92"/>
    <w:rsid w:val="00026EED"/>
    <w:rsid w:val="00026F73"/>
    <w:rsid w:val="00026F95"/>
    <w:rsid w:val="00027015"/>
    <w:rsid w:val="0002704D"/>
    <w:rsid w:val="00027050"/>
    <w:rsid w:val="0002709D"/>
    <w:rsid w:val="00027197"/>
    <w:rsid w:val="0002726C"/>
    <w:rsid w:val="000275C1"/>
    <w:rsid w:val="0002761B"/>
    <w:rsid w:val="00027622"/>
    <w:rsid w:val="00027686"/>
    <w:rsid w:val="0002769A"/>
    <w:rsid w:val="000276E4"/>
    <w:rsid w:val="000277F1"/>
    <w:rsid w:val="00027962"/>
    <w:rsid w:val="00027984"/>
    <w:rsid w:val="000279B1"/>
    <w:rsid w:val="00027A42"/>
    <w:rsid w:val="00027A59"/>
    <w:rsid w:val="00027A8D"/>
    <w:rsid w:val="00027D51"/>
    <w:rsid w:val="00027D66"/>
    <w:rsid w:val="00027DB6"/>
    <w:rsid w:val="00030016"/>
    <w:rsid w:val="000300C3"/>
    <w:rsid w:val="000300D6"/>
    <w:rsid w:val="000301F1"/>
    <w:rsid w:val="00030388"/>
    <w:rsid w:val="00030494"/>
    <w:rsid w:val="000305A7"/>
    <w:rsid w:val="0003077A"/>
    <w:rsid w:val="00030914"/>
    <w:rsid w:val="00030ABB"/>
    <w:rsid w:val="00030AD6"/>
    <w:rsid w:val="00030B3A"/>
    <w:rsid w:val="00030B59"/>
    <w:rsid w:val="00030B79"/>
    <w:rsid w:val="00030BE4"/>
    <w:rsid w:val="00030D32"/>
    <w:rsid w:val="00030E0D"/>
    <w:rsid w:val="00030E8A"/>
    <w:rsid w:val="00030FA3"/>
    <w:rsid w:val="00031034"/>
    <w:rsid w:val="000310C0"/>
    <w:rsid w:val="000311AE"/>
    <w:rsid w:val="0003130B"/>
    <w:rsid w:val="0003130D"/>
    <w:rsid w:val="000313B4"/>
    <w:rsid w:val="00031403"/>
    <w:rsid w:val="000314C0"/>
    <w:rsid w:val="00031536"/>
    <w:rsid w:val="00031752"/>
    <w:rsid w:val="0003187D"/>
    <w:rsid w:val="000318C5"/>
    <w:rsid w:val="00031937"/>
    <w:rsid w:val="00031ADF"/>
    <w:rsid w:val="00031B17"/>
    <w:rsid w:val="00031D6D"/>
    <w:rsid w:val="00031D72"/>
    <w:rsid w:val="00032059"/>
    <w:rsid w:val="000320A5"/>
    <w:rsid w:val="0003212A"/>
    <w:rsid w:val="000321EB"/>
    <w:rsid w:val="000327C2"/>
    <w:rsid w:val="000327C8"/>
    <w:rsid w:val="0003281A"/>
    <w:rsid w:val="00032847"/>
    <w:rsid w:val="0003284C"/>
    <w:rsid w:val="000328BB"/>
    <w:rsid w:val="000328D1"/>
    <w:rsid w:val="00032984"/>
    <w:rsid w:val="00032AB9"/>
    <w:rsid w:val="00032B4D"/>
    <w:rsid w:val="00032C59"/>
    <w:rsid w:val="00032DED"/>
    <w:rsid w:val="00032E16"/>
    <w:rsid w:val="00032E45"/>
    <w:rsid w:val="00032F2D"/>
    <w:rsid w:val="00032FEF"/>
    <w:rsid w:val="000330B5"/>
    <w:rsid w:val="000330E0"/>
    <w:rsid w:val="000330EE"/>
    <w:rsid w:val="000330F8"/>
    <w:rsid w:val="000332B7"/>
    <w:rsid w:val="000332EE"/>
    <w:rsid w:val="00033457"/>
    <w:rsid w:val="0003347A"/>
    <w:rsid w:val="0003350B"/>
    <w:rsid w:val="000336C5"/>
    <w:rsid w:val="00033769"/>
    <w:rsid w:val="000337BF"/>
    <w:rsid w:val="000338D2"/>
    <w:rsid w:val="000338DF"/>
    <w:rsid w:val="00033C77"/>
    <w:rsid w:val="00033CA7"/>
    <w:rsid w:val="00033DA8"/>
    <w:rsid w:val="00033DA9"/>
    <w:rsid w:val="00034057"/>
    <w:rsid w:val="0003420C"/>
    <w:rsid w:val="000343E2"/>
    <w:rsid w:val="00034537"/>
    <w:rsid w:val="000345D3"/>
    <w:rsid w:val="0003470F"/>
    <w:rsid w:val="00034742"/>
    <w:rsid w:val="000348D3"/>
    <w:rsid w:val="0003498D"/>
    <w:rsid w:val="000349A9"/>
    <w:rsid w:val="00034AAF"/>
    <w:rsid w:val="00034B8C"/>
    <w:rsid w:val="00034B96"/>
    <w:rsid w:val="00034BBA"/>
    <w:rsid w:val="00034BD0"/>
    <w:rsid w:val="00034D4D"/>
    <w:rsid w:val="00034EEE"/>
    <w:rsid w:val="00034FF8"/>
    <w:rsid w:val="00035030"/>
    <w:rsid w:val="0003509B"/>
    <w:rsid w:val="000353AB"/>
    <w:rsid w:val="00035488"/>
    <w:rsid w:val="00035530"/>
    <w:rsid w:val="000356DE"/>
    <w:rsid w:val="00035754"/>
    <w:rsid w:val="000357EC"/>
    <w:rsid w:val="00035825"/>
    <w:rsid w:val="00035850"/>
    <w:rsid w:val="00035851"/>
    <w:rsid w:val="000359A6"/>
    <w:rsid w:val="000359C2"/>
    <w:rsid w:val="000359C4"/>
    <w:rsid w:val="00035A13"/>
    <w:rsid w:val="00035A85"/>
    <w:rsid w:val="00035AF4"/>
    <w:rsid w:val="00035BDE"/>
    <w:rsid w:val="00035C04"/>
    <w:rsid w:val="00035DCA"/>
    <w:rsid w:val="00035E04"/>
    <w:rsid w:val="00035EE4"/>
    <w:rsid w:val="00035F6B"/>
    <w:rsid w:val="00035F89"/>
    <w:rsid w:val="00035FA4"/>
    <w:rsid w:val="00035FA8"/>
    <w:rsid w:val="00035FBC"/>
    <w:rsid w:val="0003619C"/>
    <w:rsid w:val="0003625D"/>
    <w:rsid w:val="00036286"/>
    <w:rsid w:val="00036382"/>
    <w:rsid w:val="0003645F"/>
    <w:rsid w:val="000364C8"/>
    <w:rsid w:val="0003651C"/>
    <w:rsid w:val="000365EC"/>
    <w:rsid w:val="00036702"/>
    <w:rsid w:val="00036780"/>
    <w:rsid w:val="000367E4"/>
    <w:rsid w:val="000368EA"/>
    <w:rsid w:val="000368F2"/>
    <w:rsid w:val="00036916"/>
    <w:rsid w:val="00036937"/>
    <w:rsid w:val="0003697B"/>
    <w:rsid w:val="00036980"/>
    <w:rsid w:val="000369E1"/>
    <w:rsid w:val="00036A3B"/>
    <w:rsid w:val="00036A95"/>
    <w:rsid w:val="00036AAC"/>
    <w:rsid w:val="00036AAE"/>
    <w:rsid w:val="00036B46"/>
    <w:rsid w:val="00036BFE"/>
    <w:rsid w:val="00036C9C"/>
    <w:rsid w:val="00036C9D"/>
    <w:rsid w:val="00036CCD"/>
    <w:rsid w:val="00036DA6"/>
    <w:rsid w:val="00036E72"/>
    <w:rsid w:val="00036ED3"/>
    <w:rsid w:val="00036F1B"/>
    <w:rsid w:val="00036F1E"/>
    <w:rsid w:val="00036F29"/>
    <w:rsid w:val="00036F9C"/>
    <w:rsid w:val="00036FEA"/>
    <w:rsid w:val="000371F8"/>
    <w:rsid w:val="0003732F"/>
    <w:rsid w:val="000373D6"/>
    <w:rsid w:val="00037454"/>
    <w:rsid w:val="000374D7"/>
    <w:rsid w:val="000375FD"/>
    <w:rsid w:val="0003773A"/>
    <w:rsid w:val="00037975"/>
    <w:rsid w:val="000379C7"/>
    <w:rsid w:val="000379D4"/>
    <w:rsid w:val="000379EF"/>
    <w:rsid w:val="00037AC7"/>
    <w:rsid w:val="00037D1E"/>
    <w:rsid w:val="00037D73"/>
    <w:rsid w:val="00037DA0"/>
    <w:rsid w:val="00037E37"/>
    <w:rsid w:val="00037F77"/>
    <w:rsid w:val="00037FCC"/>
    <w:rsid w:val="00040000"/>
    <w:rsid w:val="000401A5"/>
    <w:rsid w:val="000401C9"/>
    <w:rsid w:val="000401D6"/>
    <w:rsid w:val="000401E3"/>
    <w:rsid w:val="00040335"/>
    <w:rsid w:val="000403D1"/>
    <w:rsid w:val="00040469"/>
    <w:rsid w:val="00040474"/>
    <w:rsid w:val="000404AB"/>
    <w:rsid w:val="000405E6"/>
    <w:rsid w:val="00040662"/>
    <w:rsid w:val="00040810"/>
    <w:rsid w:val="000409FD"/>
    <w:rsid w:val="00040A54"/>
    <w:rsid w:val="00040A58"/>
    <w:rsid w:val="00040A6A"/>
    <w:rsid w:val="00040B17"/>
    <w:rsid w:val="00040B43"/>
    <w:rsid w:val="00040C3D"/>
    <w:rsid w:val="00040D92"/>
    <w:rsid w:val="00040DA8"/>
    <w:rsid w:val="00040E60"/>
    <w:rsid w:val="00040EF1"/>
    <w:rsid w:val="00040F5B"/>
    <w:rsid w:val="000410BD"/>
    <w:rsid w:val="000410C7"/>
    <w:rsid w:val="0004113C"/>
    <w:rsid w:val="000411A7"/>
    <w:rsid w:val="0004123E"/>
    <w:rsid w:val="000412BE"/>
    <w:rsid w:val="00041424"/>
    <w:rsid w:val="0004146C"/>
    <w:rsid w:val="000414BB"/>
    <w:rsid w:val="00041643"/>
    <w:rsid w:val="00041749"/>
    <w:rsid w:val="00041769"/>
    <w:rsid w:val="000417C4"/>
    <w:rsid w:val="00041805"/>
    <w:rsid w:val="000418BE"/>
    <w:rsid w:val="00041AC9"/>
    <w:rsid w:val="00041BBC"/>
    <w:rsid w:val="00041C0C"/>
    <w:rsid w:val="00041CAC"/>
    <w:rsid w:val="00041D28"/>
    <w:rsid w:val="00041D42"/>
    <w:rsid w:val="00041D73"/>
    <w:rsid w:val="00041E01"/>
    <w:rsid w:val="00041EE3"/>
    <w:rsid w:val="00041F51"/>
    <w:rsid w:val="00042041"/>
    <w:rsid w:val="00042058"/>
    <w:rsid w:val="0004207E"/>
    <w:rsid w:val="000420FB"/>
    <w:rsid w:val="00042118"/>
    <w:rsid w:val="00042167"/>
    <w:rsid w:val="00042202"/>
    <w:rsid w:val="000423C6"/>
    <w:rsid w:val="00042532"/>
    <w:rsid w:val="0004253F"/>
    <w:rsid w:val="0004255B"/>
    <w:rsid w:val="00042627"/>
    <w:rsid w:val="0004267C"/>
    <w:rsid w:val="0004270E"/>
    <w:rsid w:val="0004276A"/>
    <w:rsid w:val="00042822"/>
    <w:rsid w:val="00042830"/>
    <w:rsid w:val="0004285A"/>
    <w:rsid w:val="0004286E"/>
    <w:rsid w:val="000428B2"/>
    <w:rsid w:val="00042922"/>
    <w:rsid w:val="0004292C"/>
    <w:rsid w:val="0004298C"/>
    <w:rsid w:val="00042A09"/>
    <w:rsid w:val="00042A29"/>
    <w:rsid w:val="00042AC4"/>
    <w:rsid w:val="00042AE8"/>
    <w:rsid w:val="00042B89"/>
    <w:rsid w:val="00042CD1"/>
    <w:rsid w:val="00042D7C"/>
    <w:rsid w:val="00043062"/>
    <w:rsid w:val="000430EF"/>
    <w:rsid w:val="00043256"/>
    <w:rsid w:val="00043359"/>
    <w:rsid w:val="0004340C"/>
    <w:rsid w:val="00043417"/>
    <w:rsid w:val="00043423"/>
    <w:rsid w:val="000434F1"/>
    <w:rsid w:val="00043517"/>
    <w:rsid w:val="00043536"/>
    <w:rsid w:val="00043589"/>
    <w:rsid w:val="000435D9"/>
    <w:rsid w:val="000437CA"/>
    <w:rsid w:val="00043837"/>
    <w:rsid w:val="0004393F"/>
    <w:rsid w:val="00043968"/>
    <w:rsid w:val="000439D7"/>
    <w:rsid w:val="00043B1A"/>
    <w:rsid w:val="00043B4B"/>
    <w:rsid w:val="00043BAF"/>
    <w:rsid w:val="00043C89"/>
    <w:rsid w:val="00043D49"/>
    <w:rsid w:val="00043F9D"/>
    <w:rsid w:val="00043FEA"/>
    <w:rsid w:val="0004401A"/>
    <w:rsid w:val="000440AD"/>
    <w:rsid w:val="0004413A"/>
    <w:rsid w:val="000441EC"/>
    <w:rsid w:val="000441FB"/>
    <w:rsid w:val="000442B8"/>
    <w:rsid w:val="000442EE"/>
    <w:rsid w:val="00044352"/>
    <w:rsid w:val="00044443"/>
    <w:rsid w:val="000444BA"/>
    <w:rsid w:val="000445C4"/>
    <w:rsid w:val="0004468E"/>
    <w:rsid w:val="000446F8"/>
    <w:rsid w:val="0004470B"/>
    <w:rsid w:val="00044728"/>
    <w:rsid w:val="0004479A"/>
    <w:rsid w:val="00044809"/>
    <w:rsid w:val="00044913"/>
    <w:rsid w:val="00044923"/>
    <w:rsid w:val="00044AD5"/>
    <w:rsid w:val="00044BB6"/>
    <w:rsid w:val="00044BF8"/>
    <w:rsid w:val="00044D1F"/>
    <w:rsid w:val="00044D5B"/>
    <w:rsid w:val="00044D88"/>
    <w:rsid w:val="00044E39"/>
    <w:rsid w:val="00044ECE"/>
    <w:rsid w:val="00044FAF"/>
    <w:rsid w:val="00045033"/>
    <w:rsid w:val="000450A5"/>
    <w:rsid w:val="00045155"/>
    <w:rsid w:val="000451FD"/>
    <w:rsid w:val="00045204"/>
    <w:rsid w:val="00045240"/>
    <w:rsid w:val="00045254"/>
    <w:rsid w:val="000453BE"/>
    <w:rsid w:val="000455E8"/>
    <w:rsid w:val="000455EF"/>
    <w:rsid w:val="000456F0"/>
    <w:rsid w:val="00045779"/>
    <w:rsid w:val="000459B2"/>
    <w:rsid w:val="000459E3"/>
    <w:rsid w:val="00045A20"/>
    <w:rsid w:val="00045C7C"/>
    <w:rsid w:val="00045DE7"/>
    <w:rsid w:val="00045E87"/>
    <w:rsid w:val="00045F09"/>
    <w:rsid w:val="0004608D"/>
    <w:rsid w:val="000460DF"/>
    <w:rsid w:val="000461BC"/>
    <w:rsid w:val="000461FD"/>
    <w:rsid w:val="00046256"/>
    <w:rsid w:val="000462E0"/>
    <w:rsid w:val="000463C1"/>
    <w:rsid w:val="000463E0"/>
    <w:rsid w:val="0004647E"/>
    <w:rsid w:val="000465BD"/>
    <w:rsid w:val="000465C3"/>
    <w:rsid w:val="0004661A"/>
    <w:rsid w:val="0004674B"/>
    <w:rsid w:val="00046922"/>
    <w:rsid w:val="0004694D"/>
    <w:rsid w:val="000469F5"/>
    <w:rsid w:val="00046A7F"/>
    <w:rsid w:val="00046B1E"/>
    <w:rsid w:val="00046CBD"/>
    <w:rsid w:val="00046CC4"/>
    <w:rsid w:val="00046CD1"/>
    <w:rsid w:val="00046CE3"/>
    <w:rsid w:val="00046D3B"/>
    <w:rsid w:val="00046DFF"/>
    <w:rsid w:val="00046F84"/>
    <w:rsid w:val="00046FAD"/>
    <w:rsid w:val="0004711F"/>
    <w:rsid w:val="00047200"/>
    <w:rsid w:val="000472D6"/>
    <w:rsid w:val="000472F1"/>
    <w:rsid w:val="000473A6"/>
    <w:rsid w:val="000473CF"/>
    <w:rsid w:val="0004758F"/>
    <w:rsid w:val="000475E2"/>
    <w:rsid w:val="000475EC"/>
    <w:rsid w:val="0004764F"/>
    <w:rsid w:val="00047658"/>
    <w:rsid w:val="0004778A"/>
    <w:rsid w:val="00047800"/>
    <w:rsid w:val="00047913"/>
    <w:rsid w:val="00047A27"/>
    <w:rsid w:val="00047A4A"/>
    <w:rsid w:val="00047B7B"/>
    <w:rsid w:val="00047DD6"/>
    <w:rsid w:val="00047DE9"/>
    <w:rsid w:val="00047EDC"/>
    <w:rsid w:val="00047F16"/>
    <w:rsid w:val="00047FA5"/>
    <w:rsid w:val="00047FF4"/>
    <w:rsid w:val="0005003C"/>
    <w:rsid w:val="000500A9"/>
    <w:rsid w:val="0005015C"/>
    <w:rsid w:val="000501B4"/>
    <w:rsid w:val="00050302"/>
    <w:rsid w:val="000503A1"/>
    <w:rsid w:val="000503CC"/>
    <w:rsid w:val="0005048D"/>
    <w:rsid w:val="000504BF"/>
    <w:rsid w:val="000504D6"/>
    <w:rsid w:val="0005052D"/>
    <w:rsid w:val="0005058C"/>
    <w:rsid w:val="0005061F"/>
    <w:rsid w:val="0005074A"/>
    <w:rsid w:val="0005075B"/>
    <w:rsid w:val="00050792"/>
    <w:rsid w:val="000508C7"/>
    <w:rsid w:val="00050A2F"/>
    <w:rsid w:val="00050B24"/>
    <w:rsid w:val="00050B65"/>
    <w:rsid w:val="00050BAB"/>
    <w:rsid w:val="00050D13"/>
    <w:rsid w:val="00050EDF"/>
    <w:rsid w:val="00050FA3"/>
    <w:rsid w:val="00051011"/>
    <w:rsid w:val="00051113"/>
    <w:rsid w:val="00051177"/>
    <w:rsid w:val="0005129E"/>
    <w:rsid w:val="00051502"/>
    <w:rsid w:val="00051648"/>
    <w:rsid w:val="0005171B"/>
    <w:rsid w:val="000517B2"/>
    <w:rsid w:val="000517D8"/>
    <w:rsid w:val="000518E6"/>
    <w:rsid w:val="000518F7"/>
    <w:rsid w:val="000519EB"/>
    <w:rsid w:val="00051A09"/>
    <w:rsid w:val="00051A4B"/>
    <w:rsid w:val="00051B1E"/>
    <w:rsid w:val="00051CE6"/>
    <w:rsid w:val="00051CFA"/>
    <w:rsid w:val="00051D88"/>
    <w:rsid w:val="00051E22"/>
    <w:rsid w:val="00051EA4"/>
    <w:rsid w:val="00051F57"/>
    <w:rsid w:val="00051F6F"/>
    <w:rsid w:val="00052030"/>
    <w:rsid w:val="00052173"/>
    <w:rsid w:val="000521C0"/>
    <w:rsid w:val="00052228"/>
    <w:rsid w:val="0005225A"/>
    <w:rsid w:val="00052356"/>
    <w:rsid w:val="000523DF"/>
    <w:rsid w:val="000523E0"/>
    <w:rsid w:val="00052463"/>
    <w:rsid w:val="00052487"/>
    <w:rsid w:val="00052750"/>
    <w:rsid w:val="0005276C"/>
    <w:rsid w:val="000528E3"/>
    <w:rsid w:val="0005291D"/>
    <w:rsid w:val="00052A22"/>
    <w:rsid w:val="00052AE5"/>
    <w:rsid w:val="00052B54"/>
    <w:rsid w:val="00052F56"/>
    <w:rsid w:val="00052F5E"/>
    <w:rsid w:val="0005300E"/>
    <w:rsid w:val="000530CE"/>
    <w:rsid w:val="0005317C"/>
    <w:rsid w:val="00053262"/>
    <w:rsid w:val="0005330D"/>
    <w:rsid w:val="00053355"/>
    <w:rsid w:val="00053455"/>
    <w:rsid w:val="000535B9"/>
    <w:rsid w:val="0005360F"/>
    <w:rsid w:val="00053715"/>
    <w:rsid w:val="00053773"/>
    <w:rsid w:val="000537B8"/>
    <w:rsid w:val="00053899"/>
    <w:rsid w:val="00053C04"/>
    <w:rsid w:val="00053CDC"/>
    <w:rsid w:val="00053CFF"/>
    <w:rsid w:val="00053E12"/>
    <w:rsid w:val="00053E52"/>
    <w:rsid w:val="00053EF2"/>
    <w:rsid w:val="00053F5C"/>
    <w:rsid w:val="00053F88"/>
    <w:rsid w:val="000540B5"/>
    <w:rsid w:val="0005411A"/>
    <w:rsid w:val="00054267"/>
    <w:rsid w:val="00054281"/>
    <w:rsid w:val="00054300"/>
    <w:rsid w:val="00054351"/>
    <w:rsid w:val="00054426"/>
    <w:rsid w:val="0005450A"/>
    <w:rsid w:val="000545C2"/>
    <w:rsid w:val="000546F8"/>
    <w:rsid w:val="00054747"/>
    <w:rsid w:val="00054788"/>
    <w:rsid w:val="00054843"/>
    <w:rsid w:val="00054868"/>
    <w:rsid w:val="000548C2"/>
    <w:rsid w:val="00054A44"/>
    <w:rsid w:val="00054A63"/>
    <w:rsid w:val="00054ABF"/>
    <w:rsid w:val="00054BF3"/>
    <w:rsid w:val="00054C18"/>
    <w:rsid w:val="00054C52"/>
    <w:rsid w:val="00054C9B"/>
    <w:rsid w:val="00054D6B"/>
    <w:rsid w:val="00054D8B"/>
    <w:rsid w:val="00054D97"/>
    <w:rsid w:val="00054FA9"/>
    <w:rsid w:val="00054FE2"/>
    <w:rsid w:val="0005514F"/>
    <w:rsid w:val="00055201"/>
    <w:rsid w:val="00055212"/>
    <w:rsid w:val="0005522B"/>
    <w:rsid w:val="000552D9"/>
    <w:rsid w:val="0005536C"/>
    <w:rsid w:val="00055385"/>
    <w:rsid w:val="00055461"/>
    <w:rsid w:val="0005547B"/>
    <w:rsid w:val="0005557F"/>
    <w:rsid w:val="00055770"/>
    <w:rsid w:val="00055794"/>
    <w:rsid w:val="00055834"/>
    <w:rsid w:val="00055A64"/>
    <w:rsid w:val="00055AC4"/>
    <w:rsid w:val="00055B36"/>
    <w:rsid w:val="00055C76"/>
    <w:rsid w:val="00055DE2"/>
    <w:rsid w:val="00055FF9"/>
    <w:rsid w:val="00056011"/>
    <w:rsid w:val="00056158"/>
    <w:rsid w:val="00056183"/>
    <w:rsid w:val="0005619D"/>
    <w:rsid w:val="000561F7"/>
    <w:rsid w:val="00056245"/>
    <w:rsid w:val="0005639B"/>
    <w:rsid w:val="00056419"/>
    <w:rsid w:val="00056450"/>
    <w:rsid w:val="00056531"/>
    <w:rsid w:val="000565C8"/>
    <w:rsid w:val="00056722"/>
    <w:rsid w:val="00056765"/>
    <w:rsid w:val="0005678C"/>
    <w:rsid w:val="000567D6"/>
    <w:rsid w:val="00056849"/>
    <w:rsid w:val="00056A15"/>
    <w:rsid w:val="00056A57"/>
    <w:rsid w:val="00056B60"/>
    <w:rsid w:val="00056B7E"/>
    <w:rsid w:val="00056BA1"/>
    <w:rsid w:val="00056BB9"/>
    <w:rsid w:val="00056C29"/>
    <w:rsid w:val="00056C90"/>
    <w:rsid w:val="00056D22"/>
    <w:rsid w:val="00056D35"/>
    <w:rsid w:val="00056D7E"/>
    <w:rsid w:val="00056DE3"/>
    <w:rsid w:val="00056E7F"/>
    <w:rsid w:val="00056E9D"/>
    <w:rsid w:val="00056F12"/>
    <w:rsid w:val="00056F64"/>
    <w:rsid w:val="0005700E"/>
    <w:rsid w:val="0005719E"/>
    <w:rsid w:val="00057237"/>
    <w:rsid w:val="00057247"/>
    <w:rsid w:val="00057256"/>
    <w:rsid w:val="00057258"/>
    <w:rsid w:val="00057266"/>
    <w:rsid w:val="000572D6"/>
    <w:rsid w:val="00057371"/>
    <w:rsid w:val="00057403"/>
    <w:rsid w:val="00057582"/>
    <w:rsid w:val="0005774E"/>
    <w:rsid w:val="000577FC"/>
    <w:rsid w:val="000578B9"/>
    <w:rsid w:val="000579B9"/>
    <w:rsid w:val="000579DA"/>
    <w:rsid w:val="000579E0"/>
    <w:rsid w:val="00057ADC"/>
    <w:rsid w:val="00057AE4"/>
    <w:rsid w:val="00057C14"/>
    <w:rsid w:val="00057D55"/>
    <w:rsid w:val="00057DD4"/>
    <w:rsid w:val="00057EC6"/>
    <w:rsid w:val="00057F40"/>
    <w:rsid w:val="00057FDC"/>
    <w:rsid w:val="00057FE1"/>
    <w:rsid w:val="0005E3E0"/>
    <w:rsid w:val="00060063"/>
    <w:rsid w:val="00060195"/>
    <w:rsid w:val="000601AA"/>
    <w:rsid w:val="000601BA"/>
    <w:rsid w:val="000601D8"/>
    <w:rsid w:val="000601F8"/>
    <w:rsid w:val="0006029C"/>
    <w:rsid w:val="0006029D"/>
    <w:rsid w:val="000602F1"/>
    <w:rsid w:val="0006034B"/>
    <w:rsid w:val="000604E6"/>
    <w:rsid w:val="000606BC"/>
    <w:rsid w:val="00060706"/>
    <w:rsid w:val="00060843"/>
    <w:rsid w:val="000609EE"/>
    <w:rsid w:val="00060A32"/>
    <w:rsid w:val="00060A39"/>
    <w:rsid w:val="00060AA4"/>
    <w:rsid w:val="00060AB8"/>
    <w:rsid w:val="00060BDB"/>
    <w:rsid w:val="00060C9D"/>
    <w:rsid w:val="00060CC1"/>
    <w:rsid w:val="00060D54"/>
    <w:rsid w:val="00060D6C"/>
    <w:rsid w:val="00060DBB"/>
    <w:rsid w:val="00060E77"/>
    <w:rsid w:val="00060FD0"/>
    <w:rsid w:val="00061057"/>
    <w:rsid w:val="00061077"/>
    <w:rsid w:val="0006112E"/>
    <w:rsid w:val="00061168"/>
    <w:rsid w:val="00061185"/>
    <w:rsid w:val="00061289"/>
    <w:rsid w:val="000613D7"/>
    <w:rsid w:val="00061535"/>
    <w:rsid w:val="00061561"/>
    <w:rsid w:val="00061709"/>
    <w:rsid w:val="000617E6"/>
    <w:rsid w:val="0006188D"/>
    <w:rsid w:val="000618F6"/>
    <w:rsid w:val="00061963"/>
    <w:rsid w:val="00061B33"/>
    <w:rsid w:val="00061D08"/>
    <w:rsid w:val="00061D7A"/>
    <w:rsid w:val="00061DC5"/>
    <w:rsid w:val="00061E91"/>
    <w:rsid w:val="00061F56"/>
    <w:rsid w:val="000620E6"/>
    <w:rsid w:val="000621F5"/>
    <w:rsid w:val="0006226E"/>
    <w:rsid w:val="000624D7"/>
    <w:rsid w:val="00062552"/>
    <w:rsid w:val="00062586"/>
    <w:rsid w:val="000625E8"/>
    <w:rsid w:val="0006265F"/>
    <w:rsid w:val="000627EF"/>
    <w:rsid w:val="000628A8"/>
    <w:rsid w:val="00062A02"/>
    <w:rsid w:val="00062A25"/>
    <w:rsid w:val="00062BE0"/>
    <w:rsid w:val="00062C02"/>
    <w:rsid w:val="00062D76"/>
    <w:rsid w:val="00062E8E"/>
    <w:rsid w:val="00062F35"/>
    <w:rsid w:val="0006302D"/>
    <w:rsid w:val="00063077"/>
    <w:rsid w:val="00063141"/>
    <w:rsid w:val="00063178"/>
    <w:rsid w:val="000631D1"/>
    <w:rsid w:val="000631EE"/>
    <w:rsid w:val="00063446"/>
    <w:rsid w:val="00063451"/>
    <w:rsid w:val="00063462"/>
    <w:rsid w:val="0006350C"/>
    <w:rsid w:val="00063534"/>
    <w:rsid w:val="000638F7"/>
    <w:rsid w:val="00063A69"/>
    <w:rsid w:val="00063B3E"/>
    <w:rsid w:val="00063C2C"/>
    <w:rsid w:val="00063C71"/>
    <w:rsid w:val="00063C96"/>
    <w:rsid w:val="00063DD2"/>
    <w:rsid w:val="00063DD5"/>
    <w:rsid w:val="00063F2A"/>
    <w:rsid w:val="000640FB"/>
    <w:rsid w:val="00064143"/>
    <w:rsid w:val="00064156"/>
    <w:rsid w:val="00064249"/>
    <w:rsid w:val="00064279"/>
    <w:rsid w:val="0006439F"/>
    <w:rsid w:val="00064567"/>
    <w:rsid w:val="000645C3"/>
    <w:rsid w:val="00064604"/>
    <w:rsid w:val="000646EC"/>
    <w:rsid w:val="000646F6"/>
    <w:rsid w:val="0006474C"/>
    <w:rsid w:val="000647EA"/>
    <w:rsid w:val="000648A0"/>
    <w:rsid w:val="000648DE"/>
    <w:rsid w:val="00064A7F"/>
    <w:rsid w:val="00064ACB"/>
    <w:rsid w:val="00064C0F"/>
    <w:rsid w:val="00064DA5"/>
    <w:rsid w:val="00064E49"/>
    <w:rsid w:val="00064E76"/>
    <w:rsid w:val="00064F93"/>
    <w:rsid w:val="0006515B"/>
    <w:rsid w:val="000653E7"/>
    <w:rsid w:val="00065445"/>
    <w:rsid w:val="00065538"/>
    <w:rsid w:val="00065544"/>
    <w:rsid w:val="00065579"/>
    <w:rsid w:val="000655BC"/>
    <w:rsid w:val="00065605"/>
    <w:rsid w:val="00065664"/>
    <w:rsid w:val="000657E2"/>
    <w:rsid w:val="00065819"/>
    <w:rsid w:val="00065992"/>
    <w:rsid w:val="000659B4"/>
    <w:rsid w:val="00065AE1"/>
    <w:rsid w:val="00065BBE"/>
    <w:rsid w:val="00065EA4"/>
    <w:rsid w:val="00065F32"/>
    <w:rsid w:val="00065FCD"/>
    <w:rsid w:val="000660BE"/>
    <w:rsid w:val="00066189"/>
    <w:rsid w:val="000661B9"/>
    <w:rsid w:val="00066205"/>
    <w:rsid w:val="000662F5"/>
    <w:rsid w:val="00066579"/>
    <w:rsid w:val="00066618"/>
    <w:rsid w:val="00066726"/>
    <w:rsid w:val="000667D4"/>
    <w:rsid w:val="0006691C"/>
    <w:rsid w:val="000669F8"/>
    <w:rsid w:val="00066A5D"/>
    <w:rsid w:val="00066B84"/>
    <w:rsid w:val="00066BB2"/>
    <w:rsid w:val="00066BC5"/>
    <w:rsid w:val="00066BF9"/>
    <w:rsid w:val="00066CB4"/>
    <w:rsid w:val="00066CED"/>
    <w:rsid w:val="00066D5E"/>
    <w:rsid w:val="00066E78"/>
    <w:rsid w:val="00066E9D"/>
    <w:rsid w:val="00066F06"/>
    <w:rsid w:val="00067096"/>
    <w:rsid w:val="00067282"/>
    <w:rsid w:val="00067649"/>
    <w:rsid w:val="00067715"/>
    <w:rsid w:val="0006771A"/>
    <w:rsid w:val="000677A0"/>
    <w:rsid w:val="000678F2"/>
    <w:rsid w:val="00067913"/>
    <w:rsid w:val="000679C8"/>
    <w:rsid w:val="00067C11"/>
    <w:rsid w:val="00067C31"/>
    <w:rsid w:val="00067C80"/>
    <w:rsid w:val="00067DD0"/>
    <w:rsid w:val="00067E6C"/>
    <w:rsid w:val="000700AF"/>
    <w:rsid w:val="000701B0"/>
    <w:rsid w:val="0007020A"/>
    <w:rsid w:val="00070299"/>
    <w:rsid w:val="00070316"/>
    <w:rsid w:val="0007064A"/>
    <w:rsid w:val="000707CE"/>
    <w:rsid w:val="0007081B"/>
    <w:rsid w:val="00070854"/>
    <w:rsid w:val="000709A3"/>
    <w:rsid w:val="000709FB"/>
    <w:rsid w:val="00070A27"/>
    <w:rsid w:val="00070AE3"/>
    <w:rsid w:val="00070B65"/>
    <w:rsid w:val="00070C98"/>
    <w:rsid w:val="00070CDF"/>
    <w:rsid w:val="00070CE3"/>
    <w:rsid w:val="00070D5B"/>
    <w:rsid w:val="00070D88"/>
    <w:rsid w:val="00070DB9"/>
    <w:rsid w:val="00070DDD"/>
    <w:rsid w:val="00070E46"/>
    <w:rsid w:val="00070EF1"/>
    <w:rsid w:val="00070EFE"/>
    <w:rsid w:val="00070F33"/>
    <w:rsid w:val="00071084"/>
    <w:rsid w:val="00071121"/>
    <w:rsid w:val="00071239"/>
    <w:rsid w:val="000712B4"/>
    <w:rsid w:val="00071362"/>
    <w:rsid w:val="00071378"/>
    <w:rsid w:val="000713E1"/>
    <w:rsid w:val="00071421"/>
    <w:rsid w:val="0007149E"/>
    <w:rsid w:val="000714A4"/>
    <w:rsid w:val="000714C3"/>
    <w:rsid w:val="000714C9"/>
    <w:rsid w:val="00071533"/>
    <w:rsid w:val="0007154C"/>
    <w:rsid w:val="000715AA"/>
    <w:rsid w:val="000716C2"/>
    <w:rsid w:val="00071730"/>
    <w:rsid w:val="000717C3"/>
    <w:rsid w:val="0007194D"/>
    <w:rsid w:val="00071B10"/>
    <w:rsid w:val="00071B5F"/>
    <w:rsid w:val="00071B8D"/>
    <w:rsid w:val="00071BEC"/>
    <w:rsid w:val="00071C44"/>
    <w:rsid w:val="00071E70"/>
    <w:rsid w:val="00071F14"/>
    <w:rsid w:val="00071F2A"/>
    <w:rsid w:val="00071F35"/>
    <w:rsid w:val="00071F5C"/>
    <w:rsid w:val="0007202F"/>
    <w:rsid w:val="00072096"/>
    <w:rsid w:val="0007214D"/>
    <w:rsid w:val="0007215B"/>
    <w:rsid w:val="000721E1"/>
    <w:rsid w:val="0007229A"/>
    <w:rsid w:val="0007241F"/>
    <w:rsid w:val="0007250A"/>
    <w:rsid w:val="0007252B"/>
    <w:rsid w:val="000726A9"/>
    <w:rsid w:val="00072768"/>
    <w:rsid w:val="000727BB"/>
    <w:rsid w:val="0007281D"/>
    <w:rsid w:val="00072865"/>
    <w:rsid w:val="000728AA"/>
    <w:rsid w:val="0007291A"/>
    <w:rsid w:val="0007294B"/>
    <w:rsid w:val="000729F7"/>
    <w:rsid w:val="00072BCB"/>
    <w:rsid w:val="00072C3A"/>
    <w:rsid w:val="00072C9F"/>
    <w:rsid w:val="00072CB3"/>
    <w:rsid w:val="00072D40"/>
    <w:rsid w:val="00072DBD"/>
    <w:rsid w:val="00073001"/>
    <w:rsid w:val="00073369"/>
    <w:rsid w:val="000734A0"/>
    <w:rsid w:val="000734F4"/>
    <w:rsid w:val="00073576"/>
    <w:rsid w:val="000735E0"/>
    <w:rsid w:val="00073649"/>
    <w:rsid w:val="00073704"/>
    <w:rsid w:val="000737B2"/>
    <w:rsid w:val="0007381C"/>
    <w:rsid w:val="00073887"/>
    <w:rsid w:val="000738FF"/>
    <w:rsid w:val="00073977"/>
    <w:rsid w:val="000739F6"/>
    <w:rsid w:val="00073C3E"/>
    <w:rsid w:val="00073DBE"/>
    <w:rsid w:val="00073E6F"/>
    <w:rsid w:val="00073E8A"/>
    <w:rsid w:val="00073F5C"/>
    <w:rsid w:val="00073FD0"/>
    <w:rsid w:val="00073FD5"/>
    <w:rsid w:val="00074169"/>
    <w:rsid w:val="000741F3"/>
    <w:rsid w:val="000743BD"/>
    <w:rsid w:val="000743E5"/>
    <w:rsid w:val="00074407"/>
    <w:rsid w:val="00074453"/>
    <w:rsid w:val="00074674"/>
    <w:rsid w:val="00074696"/>
    <w:rsid w:val="000746CA"/>
    <w:rsid w:val="0007476C"/>
    <w:rsid w:val="00074772"/>
    <w:rsid w:val="00074809"/>
    <w:rsid w:val="0007490F"/>
    <w:rsid w:val="00074930"/>
    <w:rsid w:val="0007495C"/>
    <w:rsid w:val="000749B1"/>
    <w:rsid w:val="00074A11"/>
    <w:rsid w:val="00074AEF"/>
    <w:rsid w:val="00074B10"/>
    <w:rsid w:val="00074B6F"/>
    <w:rsid w:val="00074FB7"/>
    <w:rsid w:val="00075024"/>
    <w:rsid w:val="00075032"/>
    <w:rsid w:val="0007506C"/>
    <w:rsid w:val="0007508E"/>
    <w:rsid w:val="000750DD"/>
    <w:rsid w:val="00075104"/>
    <w:rsid w:val="00075171"/>
    <w:rsid w:val="00075224"/>
    <w:rsid w:val="00075356"/>
    <w:rsid w:val="00075476"/>
    <w:rsid w:val="000754BA"/>
    <w:rsid w:val="0007552E"/>
    <w:rsid w:val="0007579F"/>
    <w:rsid w:val="000757C5"/>
    <w:rsid w:val="00075895"/>
    <w:rsid w:val="000758B1"/>
    <w:rsid w:val="00075958"/>
    <w:rsid w:val="00075A16"/>
    <w:rsid w:val="00075A2D"/>
    <w:rsid w:val="00075AAD"/>
    <w:rsid w:val="00075AF7"/>
    <w:rsid w:val="00075D65"/>
    <w:rsid w:val="00075D99"/>
    <w:rsid w:val="00075DB2"/>
    <w:rsid w:val="00075FBF"/>
    <w:rsid w:val="00075FDB"/>
    <w:rsid w:val="0007600A"/>
    <w:rsid w:val="00076023"/>
    <w:rsid w:val="00076123"/>
    <w:rsid w:val="0007632D"/>
    <w:rsid w:val="000763EF"/>
    <w:rsid w:val="0007656A"/>
    <w:rsid w:val="0007656C"/>
    <w:rsid w:val="0007657C"/>
    <w:rsid w:val="0007658C"/>
    <w:rsid w:val="000766C9"/>
    <w:rsid w:val="00076711"/>
    <w:rsid w:val="0007673E"/>
    <w:rsid w:val="00076845"/>
    <w:rsid w:val="00076A99"/>
    <w:rsid w:val="00076B46"/>
    <w:rsid w:val="00076B8F"/>
    <w:rsid w:val="00076C82"/>
    <w:rsid w:val="00076CC4"/>
    <w:rsid w:val="00076D44"/>
    <w:rsid w:val="00076DC6"/>
    <w:rsid w:val="00076E57"/>
    <w:rsid w:val="00076EB4"/>
    <w:rsid w:val="00076EC4"/>
    <w:rsid w:val="00076EDF"/>
    <w:rsid w:val="00076F26"/>
    <w:rsid w:val="00076F94"/>
    <w:rsid w:val="00076FD9"/>
    <w:rsid w:val="00077038"/>
    <w:rsid w:val="00077098"/>
    <w:rsid w:val="000770A9"/>
    <w:rsid w:val="000770DF"/>
    <w:rsid w:val="000770F6"/>
    <w:rsid w:val="000771D1"/>
    <w:rsid w:val="00077220"/>
    <w:rsid w:val="000773DF"/>
    <w:rsid w:val="0007745C"/>
    <w:rsid w:val="0007752F"/>
    <w:rsid w:val="00077778"/>
    <w:rsid w:val="000777FC"/>
    <w:rsid w:val="00077864"/>
    <w:rsid w:val="0007786F"/>
    <w:rsid w:val="0007787A"/>
    <w:rsid w:val="0007789E"/>
    <w:rsid w:val="0007799C"/>
    <w:rsid w:val="000779FB"/>
    <w:rsid w:val="00077C01"/>
    <w:rsid w:val="00077E9A"/>
    <w:rsid w:val="00077F8C"/>
    <w:rsid w:val="00080218"/>
    <w:rsid w:val="00080283"/>
    <w:rsid w:val="00080449"/>
    <w:rsid w:val="0008044C"/>
    <w:rsid w:val="0008052A"/>
    <w:rsid w:val="000805AA"/>
    <w:rsid w:val="000805DF"/>
    <w:rsid w:val="00080727"/>
    <w:rsid w:val="00080923"/>
    <w:rsid w:val="000809A0"/>
    <w:rsid w:val="000809C3"/>
    <w:rsid w:val="00080A09"/>
    <w:rsid w:val="00080A32"/>
    <w:rsid w:val="00080A96"/>
    <w:rsid w:val="00080AEF"/>
    <w:rsid w:val="00080BA4"/>
    <w:rsid w:val="00080C28"/>
    <w:rsid w:val="00080D43"/>
    <w:rsid w:val="00080D8E"/>
    <w:rsid w:val="00080DAD"/>
    <w:rsid w:val="00080DFB"/>
    <w:rsid w:val="00080F58"/>
    <w:rsid w:val="000810EB"/>
    <w:rsid w:val="0008116D"/>
    <w:rsid w:val="00081313"/>
    <w:rsid w:val="00081373"/>
    <w:rsid w:val="0008146A"/>
    <w:rsid w:val="000814F1"/>
    <w:rsid w:val="00081500"/>
    <w:rsid w:val="00081535"/>
    <w:rsid w:val="0008173C"/>
    <w:rsid w:val="000817B1"/>
    <w:rsid w:val="00081979"/>
    <w:rsid w:val="00081AB3"/>
    <w:rsid w:val="00081AB7"/>
    <w:rsid w:val="00081B38"/>
    <w:rsid w:val="00081C4E"/>
    <w:rsid w:val="00081CD7"/>
    <w:rsid w:val="00081D57"/>
    <w:rsid w:val="00081DA4"/>
    <w:rsid w:val="00081E13"/>
    <w:rsid w:val="00081E3F"/>
    <w:rsid w:val="00081E74"/>
    <w:rsid w:val="00081E88"/>
    <w:rsid w:val="00081EAC"/>
    <w:rsid w:val="00081FD0"/>
    <w:rsid w:val="000823F2"/>
    <w:rsid w:val="00082479"/>
    <w:rsid w:val="0008255F"/>
    <w:rsid w:val="00082610"/>
    <w:rsid w:val="00082830"/>
    <w:rsid w:val="00082A20"/>
    <w:rsid w:val="00082AC0"/>
    <w:rsid w:val="00082AFE"/>
    <w:rsid w:val="00082B52"/>
    <w:rsid w:val="00082C5B"/>
    <w:rsid w:val="00082D5F"/>
    <w:rsid w:val="000831A3"/>
    <w:rsid w:val="00083417"/>
    <w:rsid w:val="00083482"/>
    <w:rsid w:val="00083531"/>
    <w:rsid w:val="00083549"/>
    <w:rsid w:val="00083554"/>
    <w:rsid w:val="0008355A"/>
    <w:rsid w:val="00083632"/>
    <w:rsid w:val="000836E4"/>
    <w:rsid w:val="000837DE"/>
    <w:rsid w:val="00083931"/>
    <w:rsid w:val="00083994"/>
    <w:rsid w:val="0008399F"/>
    <w:rsid w:val="00083A8C"/>
    <w:rsid w:val="00083B17"/>
    <w:rsid w:val="00083B34"/>
    <w:rsid w:val="00083B5B"/>
    <w:rsid w:val="00083D08"/>
    <w:rsid w:val="00083D53"/>
    <w:rsid w:val="00083E4D"/>
    <w:rsid w:val="00083E6C"/>
    <w:rsid w:val="00083F96"/>
    <w:rsid w:val="0008415F"/>
    <w:rsid w:val="00084306"/>
    <w:rsid w:val="0008430A"/>
    <w:rsid w:val="0008436A"/>
    <w:rsid w:val="00084450"/>
    <w:rsid w:val="0008458C"/>
    <w:rsid w:val="000845CF"/>
    <w:rsid w:val="000846CE"/>
    <w:rsid w:val="00084763"/>
    <w:rsid w:val="00084958"/>
    <w:rsid w:val="0008495C"/>
    <w:rsid w:val="00084AA9"/>
    <w:rsid w:val="00084B5E"/>
    <w:rsid w:val="00084BA7"/>
    <w:rsid w:val="00084BBA"/>
    <w:rsid w:val="000850DD"/>
    <w:rsid w:val="00085193"/>
    <w:rsid w:val="00085383"/>
    <w:rsid w:val="0008538D"/>
    <w:rsid w:val="000853AC"/>
    <w:rsid w:val="000853E2"/>
    <w:rsid w:val="00085404"/>
    <w:rsid w:val="00085510"/>
    <w:rsid w:val="000855AC"/>
    <w:rsid w:val="0008561C"/>
    <w:rsid w:val="000856B8"/>
    <w:rsid w:val="00085737"/>
    <w:rsid w:val="000857BA"/>
    <w:rsid w:val="0008599B"/>
    <w:rsid w:val="00085A9D"/>
    <w:rsid w:val="00085BC5"/>
    <w:rsid w:val="00085BCF"/>
    <w:rsid w:val="00085C24"/>
    <w:rsid w:val="00085C2C"/>
    <w:rsid w:val="00085C77"/>
    <w:rsid w:val="00085CB2"/>
    <w:rsid w:val="00085EF8"/>
    <w:rsid w:val="00085F48"/>
    <w:rsid w:val="00086034"/>
    <w:rsid w:val="00086074"/>
    <w:rsid w:val="0008607D"/>
    <w:rsid w:val="000860B5"/>
    <w:rsid w:val="00086141"/>
    <w:rsid w:val="00086192"/>
    <w:rsid w:val="00086237"/>
    <w:rsid w:val="000862A0"/>
    <w:rsid w:val="00086318"/>
    <w:rsid w:val="00086348"/>
    <w:rsid w:val="00086383"/>
    <w:rsid w:val="000863A4"/>
    <w:rsid w:val="000863B2"/>
    <w:rsid w:val="000863FC"/>
    <w:rsid w:val="00086662"/>
    <w:rsid w:val="0008668D"/>
    <w:rsid w:val="00086693"/>
    <w:rsid w:val="000866AC"/>
    <w:rsid w:val="00086743"/>
    <w:rsid w:val="000867C6"/>
    <w:rsid w:val="0008688B"/>
    <w:rsid w:val="000868F6"/>
    <w:rsid w:val="00086908"/>
    <w:rsid w:val="0008693D"/>
    <w:rsid w:val="00086B43"/>
    <w:rsid w:val="00086B59"/>
    <w:rsid w:val="00086BF1"/>
    <w:rsid w:val="00086C5B"/>
    <w:rsid w:val="00086F2D"/>
    <w:rsid w:val="00087019"/>
    <w:rsid w:val="0008712A"/>
    <w:rsid w:val="000871F4"/>
    <w:rsid w:val="00087270"/>
    <w:rsid w:val="000872B4"/>
    <w:rsid w:val="00087312"/>
    <w:rsid w:val="00087388"/>
    <w:rsid w:val="000873C2"/>
    <w:rsid w:val="000873EE"/>
    <w:rsid w:val="0008748B"/>
    <w:rsid w:val="000876D4"/>
    <w:rsid w:val="00087844"/>
    <w:rsid w:val="000878DA"/>
    <w:rsid w:val="00087989"/>
    <w:rsid w:val="00087B3A"/>
    <w:rsid w:val="00087BF1"/>
    <w:rsid w:val="00087C02"/>
    <w:rsid w:val="00087D09"/>
    <w:rsid w:val="00087D23"/>
    <w:rsid w:val="00087D5A"/>
    <w:rsid w:val="00087DCB"/>
    <w:rsid w:val="00087E60"/>
    <w:rsid w:val="00087EB2"/>
    <w:rsid w:val="00087F59"/>
    <w:rsid w:val="00087FA8"/>
    <w:rsid w:val="00090005"/>
    <w:rsid w:val="00090021"/>
    <w:rsid w:val="00090071"/>
    <w:rsid w:val="000902BB"/>
    <w:rsid w:val="000903EC"/>
    <w:rsid w:val="00090529"/>
    <w:rsid w:val="000905C4"/>
    <w:rsid w:val="00090664"/>
    <w:rsid w:val="000906FE"/>
    <w:rsid w:val="00090902"/>
    <w:rsid w:val="000909CF"/>
    <w:rsid w:val="00090A55"/>
    <w:rsid w:val="00090ACA"/>
    <w:rsid w:val="00090B29"/>
    <w:rsid w:val="00090C13"/>
    <w:rsid w:val="00090D1B"/>
    <w:rsid w:val="00090DA4"/>
    <w:rsid w:val="00090DD6"/>
    <w:rsid w:val="00090E1C"/>
    <w:rsid w:val="00090F56"/>
    <w:rsid w:val="00090F74"/>
    <w:rsid w:val="00090F9F"/>
    <w:rsid w:val="00090FAF"/>
    <w:rsid w:val="00091001"/>
    <w:rsid w:val="0009100A"/>
    <w:rsid w:val="00091065"/>
    <w:rsid w:val="000910A1"/>
    <w:rsid w:val="00091179"/>
    <w:rsid w:val="000911AD"/>
    <w:rsid w:val="000911AF"/>
    <w:rsid w:val="000911B5"/>
    <w:rsid w:val="000911F2"/>
    <w:rsid w:val="00091364"/>
    <w:rsid w:val="00091549"/>
    <w:rsid w:val="000915A3"/>
    <w:rsid w:val="0009160E"/>
    <w:rsid w:val="000916AE"/>
    <w:rsid w:val="00091725"/>
    <w:rsid w:val="00091752"/>
    <w:rsid w:val="0009175C"/>
    <w:rsid w:val="000917C2"/>
    <w:rsid w:val="00091831"/>
    <w:rsid w:val="00091967"/>
    <w:rsid w:val="000919A1"/>
    <w:rsid w:val="000919DD"/>
    <w:rsid w:val="00091A60"/>
    <w:rsid w:val="00091AA9"/>
    <w:rsid w:val="00091AAE"/>
    <w:rsid w:val="00091C1D"/>
    <w:rsid w:val="00091C52"/>
    <w:rsid w:val="00091CD0"/>
    <w:rsid w:val="00091D37"/>
    <w:rsid w:val="00091E22"/>
    <w:rsid w:val="00091E94"/>
    <w:rsid w:val="000920F3"/>
    <w:rsid w:val="00092116"/>
    <w:rsid w:val="000921FE"/>
    <w:rsid w:val="00092449"/>
    <w:rsid w:val="00092499"/>
    <w:rsid w:val="000924A8"/>
    <w:rsid w:val="000924B2"/>
    <w:rsid w:val="000925C9"/>
    <w:rsid w:val="00092837"/>
    <w:rsid w:val="0009287B"/>
    <w:rsid w:val="00092975"/>
    <w:rsid w:val="0009298B"/>
    <w:rsid w:val="000929B6"/>
    <w:rsid w:val="00092A21"/>
    <w:rsid w:val="00092A23"/>
    <w:rsid w:val="00092CB4"/>
    <w:rsid w:val="00092CFC"/>
    <w:rsid w:val="00092D0E"/>
    <w:rsid w:val="00092DA5"/>
    <w:rsid w:val="00092DB6"/>
    <w:rsid w:val="00093002"/>
    <w:rsid w:val="0009308C"/>
    <w:rsid w:val="00093091"/>
    <w:rsid w:val="0009311D"/>
    <w:rsid w:val="000931A6"/>
    <w:rsid w:val="000931C0"/>
    <w:rsid w:val="00093248"/>
    <w:rsid w:val="00093276"/>
    <w:rsid w:val="00093324"/>
    <w:rsid w:val="0009332D"/>
    <w:rsid w:val="00093330"/>
    <w:rsid w:val="0009344F"/>
    <w:rsid w:val="00093457"/>
    <w:rsid w:val="000934C6"/>
    <w:rsid w:val="00093645"/>
    <w:rsid w:val="0009367A"/>
    <w:rsid w:val="00093685"/>
    <w:rsid w:val="00093750"/>
    <w:rsid w:val="0009376B"/>
    <w:rsid w:val="0009381E"/>
    <w:rsid w:val="00093860"/>
    <w:rsid w:val="000938B0"/>
    <w:rsid w:val="00093A01"/>
    <w:rsid w:val="00093AC4"/>
    <w:rsid w:val="00093B7C"/>
    <w:rsid w:val="00093BF2"/>
    <w:rsid w:val="00093CC1"/>
    <w:rsid w:val="00093CCE"/>
    <w:rsid w:val="00093CD3"/>
    <w:rsid w:val="00093F9E"/>
    <w:rsid w:val="00094103"/>
    <w:rsid w:val="00094108"/>
    <w:rsid w:val="0009425F"/>
    <w:rsid w:val="00094262"/>
    <w:rsid w:val="00094622"/>
    <w:rsid w:val="0009464F"/>
    <w:rsid w:val="00094717"/>
    <w:rsid w:val="0009482B"/>
    <w:rsid w:val="00094BA1"/>
    <w:rsid w:val="00094C71"/>
    <w:rsid w:val="00094C7E"/>
    <w:rsid w:val="00094CAD"/>
    <w:rsid w:val="00094CBD"/>
    <w:rsid w:val="00094E76"/>
    <w:rsid w:val="00094E99"/>
    <w:rsid w:val="00094EC2"/>
    <w:rsid w:val="00094EC5"/>
    <w:rsid w:val="00094F3C"/>
    <w:rsid w:val="00095070"/>
    <w:rsid w:val="000950CD"/>
    <w:rsid w:val="00095244"/>
    <w:rsid w:val="0009528E"/>
    <w:rsid w:val="000952CA"/>
    <w:rsid w:val="0009532A"/>
    <w:rsid w:val="0009532D"/>
    <w:rsid w:val="00095384"/>
    <w:rsid w:val="000953DC"/>
    <w:rsid w:val="0009541A"/>
    <w:rsid w:val="0009544C"/>
    <w:rsid w:val="00095510"/>
    <w:rsid w:val="0009551A"/>
    <w:rsid w:val="00095528"/>
    <w:rsid w:val="0009564B"/>
    <w:rsid w:val="00095778"/>
    <w:rsid w:val="00095850"/>
    <w:rsid w:val="000959D4"/>
    <w:rsid w:val="00095A57"/>
    <w:rsid w:val="00095BA9"/>
    <w:rsid w:val="00095DC4"/>
    <w:rsid w:val="00095DCF"/>
    <w:rsid w:val="00095DE6"/>
    <w:rsid w:val="00095E03"/>
    <w:rsid w:val="00095F08"/>
    <w:rsid w:val="00095F96"/>
    <w:rsid w:val="00095F9A"/>
    <w:rsid w:val="00095FF6"/>
    <w:rsid w:val="0009603C"/>
    <w:rsid w:val="000961BB"/>
    <w:rsid w:val="0009645D"/>
    <w:rsid w:val="0009646F"/>
    <w:rsid w:val="0009653D"/>
    <w:rsid w:val="00096541"/>
    <w:rsid w:val="000965AC"/>
    <w:rsid w:val="000966A1"/>
    <w:rsid w:val="000966E8"/>
    <w:rsid w:val="00096737"/>
    <w:rsid w:val="00096744"/>
    <w:rsid w:val="00096780"/>
    <w:rsid w:val="00096911"/>
    <w:rsid w:val="00096985"/>
    <w:rsid w:val="0009698B"/>
    <w:rsid w:val="00096B27"/>
    <w:rsid w:val="00096B5B"/>
    <w:rsid w:val="00096B79"/>
    <w:rsid w:val="00096BDE"/>
    <w:rsid w:val="00096BF7"/>
    <w:rsid w:val="00096CEB"/>
    <w:rsid w:val="00096D86"/>
    <w:rsid w:val="00096D90"/>
    <w:rsid w:val="00096D9A"/>
    <w:rsid w:val="00096E16"/>
    <w:rsid w:val="00096F43"/>
    <w:rsid w:val="00097074"/>
    <w:rsid w:val="00097218"/>
    <w:rsid w:val="0009722E"/>
    <w:rsid w:val="00097265"/>
    <w:rsid w:val="00097442"/>
    <w:rsid w:val="000974C5"/>
    <w:rsid w:val="000977ED"/>
    <w:rsid w:val="000978E0"/>
    <w:rsid w:val="00097985"/>
    <w:rsid w:val="00097988"/>
    <w:rsid w:val="000979DF"/>
    <w:rsid w:val="00097AEC"/>
    <w:rsid w:val="00097DE2"/>
    <w:rsid w:val="00097DEB"/>
    <w:rsid w:val="00097E49"/>
    <w:rsid w:val="00097E79"/>
    <w:rsid w:val="00097EDC"/>
    <w:rsid w:val="00097FEC"/>
    <w:rsid w:val="000A001B"/>
    <w:rsid w:val="000A0044"/>
    <w:rsid w:val="000A016A"/>
    <w:rsid w:val="000A01E0"/>
    <w:rsid w:val="000A05A2"/>
    <w:rsid w:val="000A062C"/>
    <w:rsid w:val="000A071E"/>
    <w:rsid w:val="000A0787"/>
    <w:rsid w:val="000A08AC"/>
    <w:rsid w:val="000A09C3"/>
    <w:rsid w:val="000A09EB"/>
    <w:rsid w:val="000A0A04"/>
    <w:rsid w:val="000A0AF7"/>
    <w:rsid w:val="000A0BA2"/>
    <w:rsid w:val="000A0DC5"/>
    <w:rsid w:val="000A0E82"/>
    <w:rsid w:val="000A0ED8"/>
    <w:rsid w:val="000A0F92"/>
    <w:rsid w:val="000A1001"/>
    <w:rsid w:val="000A1072"/>
    <w:rsid w:val="000A10FC"/>
    <w:rsid w:val="000A10FF"/>
    <w:rsid w:val="000A1114"/>
    <w:rsid w:val="000A1126"/>
    <w:rsid w:val="000A1138"/>
    <w:rsid w:val="000A114D"/>
    <w:rsid w:val="000A1216"/>
    <w:rsid w:val="000A122F"/>
    <w:rsid w:val="000A1321"/>
    <w:rsid w:val="000A13B7"/>
    <w:rsid w:val="000A14E2"/>
    <w:rsid w:val="000A14F4"/>
    <w:rsid w:val="000A1525"/>
    <w:rsid w:val="000A161C"/>
    <w:rsid w:val="000A1748"/>
    <w:rsid w:val="000A1774"/>
    <w:rsid w:val="000A1830"/>
    <w:rsid w:val="000A1850"/>
    <w:rsid w:val="000A195C"/>
    <w:rsid w:val="000A1BC5"/>
    <w:rsid w:val="000A1C4D"/>
    <w:rsid w:val="000A1CEC"/>
    <w:rsid w:val="000A1D7C"/>
    <w:rsid w:val="000A1D88"/>
    <w:rsid w:val="000A1E77"/>
    <w:rsid w:val="000A1F3E"/>
    <w:rsid w:val="000A1F55"/>
    <w:rsid w:val="000A22A2"/>
    <w:rsid w:val="000A23B7"/>
    <w:rsid w:val="000A23E0"/>
    <w:rsid w:val="000A2443"/>
    <w:rsid w:val="000A24A1"/>
    <w:rsid w:val="000A25E2"/>
    <w:rsid w:val="000A261C"/>
    <w:rsid w:val="000A2625"/>
    <w:rsid w:val="000A272A"/>
    <w:rsid w:val="000A273C"/>
    <w:rsid w:val="000A274E"/>
    <w:rsid w:val="000A27AB"/>
    <w:rsid w:val="000A27DB"/>
    <w:rsid w:val="000A286D"/>
    <w:rsid w:val="000A28EC"/>
    <w:rsid w:val="000A29E0"/>
    <w:rsid w:val="000A2A03"/>
    <w:rsid w:val="000A2BE2"/>
    <w:rsid w:val="000A2D32"/>
    <w:rsid w:val="000A2D56"/>
    <w:rsid w:val="000A2D9A"/>
    <w:rsid w:val="000A2DAA"/>
    <w:rsid w:val="000A2E20"/>
    <w:rsid w:val="000A2ED0"/>
    <w:rsid w:val="000A2F54"/>
    <w:rsid w:val="000A3017"/>
    <w:rsid w:val="000A3104"/>
    <w:rsid w:val="000A3127"/>
    <w:rsid w:val="000A313D"/>
    <w:rsid w:val="000A3225"/>
    <w:rsid w:val="000A3437"/>
    <w:rsid w:val="000A34A2"/>
    <w:rsid w:val="000A35D6"/>
    <w:rsid w:val="000A367B"/>
    <w:rsid w:val="000A36FA"/>
    <w:rsid w:val="000A3798"/>
    <w:rsid w:val="000A391A"/>
    <w:rsid w:val="000A39BF"/>
    <w:rsid w:val="000A3BC7"/>
    <w:rsid w:val="000A3C70"/>
    <w:rsid w:val="000A3C7C"/>
    <w:rsid w:val="000A3E65"/>
    <w:rsid w:val="000A3EF1"/>
    <w:rsid w:val="000A3F8D"/>
    <w:rsid w:val="000A400D"/>
    <w:rsid w:val="000A407E"/>
    <w:rsid w:val="000A40BF"/>
    <w:rsid w:val="000A4133"/>
    <w:rsid w:val="000A421E"/>
    <w:rsid w:val="000A4253"/>
    <w:rsid w:val="000A4306"/>
    <w:rsid w:val="000A4549"/>
    <w:rsid w:val="000A45E6"/>
    <w:rsid w:val="000A465D"/>
    <w:rsid w:val="000A46B3"/>
    <w:rsid w:val="000A4754"/>
    <w:rsid w:val="000A4855"/>
    <w:rsid w:val="000A485D"/>
    <w:rsid w:val="000A48E2"/>
    <w:rsid w:val="000A490C"/>
    <w:rsid w:val="000A4938"/>
    <w:rsid w:val="000A4A96"/>
    <w:rsid w:val="000A4B0A"/>
    <w:rsid w:val="000A4C4F"/>
    <w:rsid w:val="000A4C53"/>
    <w:rsid w:val="000A4CF4"/>
    <w:rsid w:val="000A4E52"/>
    <w:rsid w:val="000A5157"/>
    <w:rsid w:val="000A5191"/>
    <w:rsid w:val="000A51DA"/>
    <w:rsid w:val="000A52C5"/>
    <w:rsid w:val="000A5316"/>
    <w:rsid w:val="000A538B"/>
    <w:rsid w:val="000A547B"/>
    <w:rsid w:val="000A551E"/>
    <w:rsid w:val="000A55DD"/>
    <w:rsid w:val="000A5694"/>
    <w:rsid w:val="000A56F2"/>
    <w:rsid w:val="000A5891"/>
    <w:rsid w:val="000A5935"/>
    <w:rsid w:val="000A5A2A"/>
    <w:rsid w:val="000A5A60"/>
    <w:rsid w:val="000A5BC5"/>
    <w:rsid w:val="000A5EC0"/>
    <w:rsid w:val="000A5F02"/>
    <w:rsid w:val="000A5F3B"/>
    <w:rsid w:val="000A5FD5"/>
    <w:rsid w:val="000A61D3"/>
    <w:rsid w:val="000A6202"/>
    <w:rsid w:val="000A627C"/>
    <w:rsid w:val="000A628A"/>
    <w:rsid w:val="000A647D"/>
    <w:rsid w:val="000A649D"/>
    <w:rsid w:val="000A64BC"/>
    <w:rsid w:val="000A6515"/>
    <w:rsid w:val="000A65C8"/>
    <w:rsid w:val="000A65D5"/>
    <w:rsid w:val="000A662D"/>
    <w:rsid w:val="000A6776"/>
    <w:rsid w:val="000A6900"/>
    <w:rsid w:val="000A6925"/>
    <w:rsid w:val="000A6A5E"/>
    <w:rsid w:val="000A6A76"/>
    <w:rsid w:val="000A6A86"/>
    <w:rsid w:val="000A6B2C"/>
    <w:rsid w:val="000A6B5F"/>
    <w:rsid w:val="000A6C13"/>
    <w:rsid w:val="000A6D74"/>
    <w:rsid w:val="000A6DCF"/>
    <w:rsid w:val="000A6DF3"/>
    <w:rsid w:val="000A6E86"/>
    <w:rsid w:val="000A6F29"/>
    <w:rsid w:val="000A6FF9"/>
    <w:rsid w:val="000A7112"/>
    <w:rsid w:val="000A736C"/>
    <w:rsid w:val="000A74CF"/>
    <w:rsid w:val="000A7538"/>
    <w:rsid w:val="000A7563"/>
    <w:rsid w:val="000A759B"/>
    <w:rsid w:val="000A75B1"/>
    <w:rsid w:val="000A7665"/>
    <w:rsid w:val="000A7894"/>
    <w:rsid w:val="000A7CC7"/>
    <w:rsid w:val="000A7D40"/>
    <w:rsid w:val="000A7E75"/>
    <w:rsid w:val="000A7F1D"/>
    <w:rsid w:val="000A7FEB"/>
    <w:rsid w:val="000B00FA"/>
    <w:rsid w:val="000B0221"/>
    <w:rsid w:val="000B026A"/>
    <w:rsid w:val="000B0466"/>
    <w:rsid w:val="000B0594"/>
    <w:rsid w:val="000B0611"/>
    <w:rsid w:val="000B0668"/>
    <w:rsid w:val="000B099C"/>
    <w:rsid w:val="000B0A6F"/>
    <w:rsid w:val="000B0AE7"/>
    <w:rsid w:val="000B0BDA"/>
    <w:rsid w:val="000B0C26"/>
    <w:rsid w:val="000B0CC6"/>
    <w:rsid w:val="000B0D2E"/>
    <w:rsid w:val="000B0E77"/>
    <w:rsid w:val="000B0E83"/>
    <w:rsid w:val="000B0F8D"/>
    <w:rsid w:val="000B1149"/>
    <w:rsid w:val="000B11AE"/>
    <w:rsid w:val="000B11C8"/>
    <w:rsid w:val="000B122B"/>
    <w:rsid w:val="000B123E"/>
    <w:rsid w:val="000B128A"/>
    <w:rsid w:val="000B13FB"/>
    <w:rsid w:val="000B155B"/>
    <w:rsid w:val="000B1685"/>
    <w:rsid w:val="000B1756"/>
    <w:rsid w:val="000B17C7"/>
    <w:rsid w:val="000B1876"/>
    <w:rsid w:val="000B1A7E"/>
    <w:rsid w:val="000B1AAB"/>
    <w:rsid w:val="000B1C4E"/>
    <w:rsid w:val="000B1C5B"/>
    <w:rsid w:val="000B1E18"/>
    <w:rsid w:val="000B1F00"/>
    <w:rsid w:val="000B1F30"/>
    <w:rsid w:val="000B1F7A"/>
    <w:rsid w:val="000B2121"/>
    <w:rsid w:val="000B2161"/>
    <w:rsid w:val="000B2296"/>
    <w:rsid w:val="000B23C1"/>
    <w:rsid w:val="000B25A6"/>
    <w:rsid w:val="000B2752"/>
    <w:rsid w:val="000B2933"/>
    <w:rsid w:val="000B2939"/>
    <w:rsid w:val="000B294E"/>
    <w:rsid w:val="000B2977"/>
    <w:rsid w:val="000B2B16"/>
    <w:rsid w:val="000B2CC0"/>
    <w:rsid w:val="000B2CCC"/>
    <w:rsid w:val="000B2D9C"/>
    <w:rsid w:val="000B2E85"/>
    <w:rsid w:val="000B2F60"/>
    <w:rsid w:val="000B30BA"/>
    <w:rsid w:val="000B3546"/>
    <w:rsid w:val="000B3618"/>
    <w:rsid w:val="000B3658"/>
    <w:rsid w:val="000B3682"/>
    <w:rsid w:val="000B3818"/>
    <w:rsid w:val="000B3848"/>
    <w:rsid w:val="000B38D3"/>
    <w:rsid w:val="000B3989"/>
    <w:rsid w:val="000B39F1"/>
    <w:rsid w:val="000B3BC5"/>
    <w:rsid w:val="000B3C57"/>
    <w:rsid w:val="000B3C7C"/>
    <w:rsid w:val="000B3D28"/>
    <w:rsid w:val="000B3E2A"/>
    <w:rsid w:val="000B3EE7"/>
    <w:rsid w:val="000B3F68"/>
    <w:rsid w:val="000B40EF"/>
    <w:rsid w:val="000B41F0"/>
    <w:rsid w:val="000B4299"/>
    <w:rsid w:val="000B42A9"/>
    <w:rsid w:val="000B42C2"/>
    <w:rsid w:val="000B4306"/>
    <w:rsid w:val="000B43E6"/>
    <w:rsid w:val="000B4491"/>
    <w:rsid w:val="000B44FC"/>
    <w:rsid w:val="000B4546"/>
    <w:rsid w:val="000B458E"/>
    <w:rsid w:val="000B4627"/>
    <w:rsid w:val="000B48A3"/>
    <w:rsid w:val="000B48F4"/>
    <w:rsid w:val="000B48F5"/>
    <w:rsid w:val="000B4959"/>
    <w:rsid w:val="000B4A5B"/>
    <w:rsid w:val="000B4A8A"/>
    <w:rsid w:val="000B4B3B"/>
    <w:rsid w:val="000B4C10"/>
    <w:rsid w:val="000B4CAB"/>
    <w:rsid w:val="000B4CF0"/>
    <w:rsid w:val="000B4D98"/>
    <w:rsid w:val="000B4DBC"/>
    <w:rsid w:val="000B4E44"/>
    <w:rsid w:val="000B4EB9"/>
    <w:rsid w:val="000B4EE6"/>
    <w:rsid w:val="000B4FE6"/>
    <w:rsid w:val="000B50D3"/>
    <w:rsid w:val="000B514B"/>
    <w:rsid w:val="000B5151"/>
    <w:rsid w:val="000B519D"/>
    <w:rsid w:val="000B51D1"/>
    <w:rsid w:val="000B5215"/>
    <w:rsid w:val="000B5251"/>
    <w:rsid w:val="000B52DB"/>
    <w:rsid w:val="000B5438"/>
    <w:rsid w:val="000B54BD"/>
    <w:rsid w:val="000B55ED"/>
    <w:rsid w:val="000B563C"/>
    <w:rsid w:val="000B571E"/>
    <w:rsid w:val="000B5761"/>
    <w:rsid w:val="000B579B"/>
    <w:rsid w:val="000B57B5"/>
    <w:rsid w:val="000B57F6"/>
    <w:rsid w:val="000B5849"/>
    <w:rsid w:val="000B591B"/>
    <w:rsid w:val="000B5A6C"/>
    <w:rsid w:val="000B5C18"/>
    <w:rsid w:val="000B5C26"/>
    <w:rsid w:val="000B5C37"/>
    <w:rsid w:val="000B5C54"/>
    <w:rsid w:val="000B5DDE"/>
    <w:rsid w:val="000B5DDF"/>
    <w:rsid w:val="000B5E68"/>
    <w:rsid w:val="000B5E97"/>
    <w:rsid w:val="000B5F46"/>
    <w:rsid w:val="000B610F"/>
    <w:rsid w:val="000B619C"/>
    <w:rsid w:val="000B646E"/>
    <w:rsid w:val="000B652D"/>
    <w:rsid w:val="000B672E"/>
    <w:rsid w:val="000B6874"/>
    <w:rsid w:val="000B68F5"/>
    <w:rsid w:val="000B6933"/>
    <w:rsid w:val="000B69FE"/>
    <w:rsid w:val="000B6A83"/>
    <w:rsid w:val="000B6A88"/>
    <w:rsid w:val="000B6AAB"/>
    <w:rsid w:val="000B6AC0"/>
    <w:rsid w:val="000B6B3F"/>
    <w:rsid w:val="000B6B50"/>
    <w:rsid w:val="000B6BE8"/>
    <w:rsid w:val="000B6C67"/>
    <w:rsid w:val="000B6D49"/>
    <w:rsid w:val="000B6DE4"/>
    <w:rsid w:val="000B6E48"/>
    <w:rsid w:val="000B6E72"/>
    <w:rsid w:val="000B70EF"/>
    <w:rsid w:val="000B727F"/>
    <w:rsid w:val="000B730F"/>
    <w:rsid w:val="000B7434"/>
    <w:rsid w:val="000B7493"/>
    <w:rsid w:val="000B74E6"/>
    <w:rsid w:val="000B751C"/>
    <w:rsid w:val="000B758B"/>
    <w:rsid w:val="000B76FE"/>
    <w:rsid w:val="000B773E"/>
    <w:rsid w:val="000B779B"/>
    <w:rsid w:val="000B785E"/>
    <w:rsid w:val="000B788A"/>
    <w:rsid w:val="000B78DC"/>
    <w:rsid w:val="000B7948"/>
    <w:rsid w:val="000B795E"/>
    <w:rsid w:val="000B7A6F"/>
    <w:rsid w:val="000B7A7D"/>
    <w:rsid w:val="000B7B0E"/>
    <w:rsid w:val="000B7B46"/>
    <w:rsid w:val="000B7B67"/>
    <w:rsid w:val="000B7BEB"/>
    <w:rsid w:val="000B7CA9"/>
    <w:rsid w:val="000B7CBB"/>
    <w:rsid w:val="000B7D8D"/>
    <w:rsid w:val="000B7E1A"/>
    <w:rsid w:val="000B7EB6"/>
    <w:rsid w:val="000B7F38"/>
    <w:rsid w:val="000C0065"/>
    <w:rsid w:val="000C00BB"/>
    <w:rsid w:val="000C01D9"/>
    <w:rsid w:val="000C02F3"/>
    <w:rsid w:val="000C031F"/>
    <w:rsid w:val="000C033C"/>
    <w:rsid w:val="000C039B"/>
    <w:rsid w:val="000C03A0"/>
    <w:rsid w:val="000C078B"/>
    <w:rsid w:val="000C0963"/>
    <w:rsid w:val="000C09F3"/>
    <w:rsid w:val="000C0ACA"/>
    <w:rsid w:val="000C0ACF"/>
    <w:rsid w:val="000C0AEF"/>
    <w:rsid w:val="000C0B57"/>
    <w:rsid w:val="000C0C66"/>
    <w:rsid w:val="000C0DA5"/>
    <w:rsid w:val="000C0DB4"/>
    <w:rsid w:val="000C101B"/>
    <w:rsid w:val="000C10A4"/>
    <w:rsid w:val="000C122E"/>
    <w:rsid w:val="000C1235"/>
    <w:rsid w:val="000C1270"/>
    <w:rsid w:val="000C1303"/>
    <w:rsid w:val="000C1318"/>
    <w:rsid w:val="000C14FD"/>
    <w:rsid w:val="000C153E"/>
    <w:rsid w:val="000C1AE6"/>
    <w:rsid w:val="000C1B43"/>
    <w:rsid w:val="000C1C00"/>
    <w:rsid w:val="000C1C2D"/>
    <w:rsid w:val="000C1C50"/>
    <w:rsid w:val="000C1CE1"/>
    <w:rsid w:val="000C1EDF"/>
    <w:rsid w:val="000C1F8D"/>
    <w:rsid w:val="000C1FF8"/>
    <w:rsid w:val="000C2013"/>
    <w:rsid w:val="000C2039"/>
    <w:rsid w:val="000C20E3"/>
    <w:rsid w:val="000C22EE"/>
    <w:rsid w:val="000C22F1"/>
    <w:rsid w:val="000C23C3"/>
    <w:rsid w:val="000C2469"/>
    <w:rsid w:val="000C2476"/>
    <w:rsid w:val="000C2522"/>
    <w:rsid w:val="000C25AB"/>
    <w:rsid w:val="000C25B6"/>
    <w:rsid w:val="000C2668"/>
    <w:rsid w:val="000C274A"/>
    <w:rsid w:val="000C2786"/>
    <w:rsid w:val="000C281F"/>
    <w:rsid w:val="000C29EB"/>
    <w:rsid w:val="000C2A64"/>
    <w:rsid w:val="000C2A88"/>
    <w:rsid w:val="000C2AE5"/>
    <w:rsid w:val="000C2AFE"/>
    <w:rsid w:val="000C2B13"/>
    <w:rsid w:val="000C2D22"/>
    <w:rsid w:val="000C2D80"/>
    <w:rsid w:val="000C2E6A"/>
    <w:rsid w:val="000C2EF3"/>
    <w:rsid w:val="000C2F79"/>
    <w:rsid w:val="000C2FD4"/>
    <w:rsid w:val="000C3041"/>
    <w:rsid w:val="000C317D"/>
    <w:rsid w:val="000C329B"/>
    <w:rsid w:val="000C32E9"/>
    <w:rsid w:val="000C32FC"/>
    <w:rsid w:val="000C334D"/>
    <w:rsid w:val="000C3459"/>
    <w:rsid w:val="000C3485"/>
    <w:rsid w:val="000C34BA"/>
    <w:rsid w:val="000C3680"/>
    <w:rsid w:val="000C3760"/>
    <w:rsid w:val="000C37A4"/>
    <w:rsid w:val="000C381D"/>
    <w:rsid w:val="000C3831"/>
    <w:rsid w:val="000C3873"/>
    <w:rsid w:val="000C391B"/>
    <w:rsid w:val="000C3A20"/>
    <w:rsid w:val="000C3A48"/>
    <w:rsid w:val="000C3B21"/>
    <w:rsid w:val="000C3B4D"/>
    <w:rsid w:val="000C3BC4"/>
    <w:rsid w:val="000C3C4E"/>
    <w:rsid w:val="000C3CD9"/>
    <w:rsid w:val="000C3DF8"/>
    <w:rsid w:val="000C3E19"/>
    <w:rsid w:val="000C3E7A"/>
    <w:rsid w:val="000C3EC8"/>
    <w:rsid w:val="000C3F9C"/>
    <w:rsid w:val="000C4012"/>
    <w:rsid w:val="000C41AA"/>
    <w:rsid w:val="000C42D3"/>
    <w:rsid w:val="000C42E9"/>
    <w:rsid w:val="000C44C0"/>
    <w:rsid w:val="000C45D9"/>
    <w:rsid w:val="000C470E"/>
    <w:rsid w:val="000C4795"/>
    <w:rsid w:val="000C47CC"/>
    <w:rsid w:val="000C47F6"/>
    <w:rsid w:val="000C4A3D"/>
    <w:rsid w:val="000C4B73"/>
    <w:rsid w:val="000C4B86"/>
    <w:rsid w:val="000C4BF6"/>
    <w:rsid w:val="000C4C95"/>
    <w:rsid w:val="000C4CB2"/>
    <w:rsid w:val="000C4D58"/>
    <w:rsid w:val="000C4DC7"/>
    <w:rsid w:val="000C4E24"/>
    <w:rsid w:val="000C4F0B"/>
    <w:rsid w:val="000C5172"/>
    <w:rsid w:val="000C52F7"/>
    <w:rsid w:val="000C5343"/>
    <w:rsid w:val="000C5441"/>
    <w:rsid w:val="000C5445"/>
    <w:rsid w:val="000C54AC"/>
    <w:rsid w:val="000C54F9"/>
    <w:rsid w:val="000C55E2"/>
    <w:rsid w:val="000C5606"/>
    <w:rsid w:val="000C5696"/>
    <w:rsid w:val="000C56ED"/>
    <w:rsid w:val="000C5745"/>
    <w:rsid w:val="000C5754"/>
    <w:rsid w:val="000C57E3"/>
    <w:rsid w:val="000C5A16"/>
    <w:rsid w:val="000C5A24"/>
    <w:rsid w:val="000C5BC5"/>
    <w:rsid w:val="000C5BF8"/>
    <w:rsid w:val="000C5C82"/>
    <w:rsid w:val="000C5D37"/>
    <w:rsid w:val="000C5D76"/>
    <w:rsid w:val="000C5DF4"/>
    <w:rsid w:val="000C5E90"/>
    <w:rsid w:val="000C5F1C"/>
    <w:rsid w:val="000C5F55"/>
    <w:rsid w:val="000C5F90"/>
    <w:rsid w:val="000C5FE6"/>
    <w:rsid w:val="000C6043"/>
    <w:rsid w:val="000C604F"/>
    <w:rsid w:val="000C6139"/>
    <w:rsid w:val="000C617F"/>
    <w:rsid w:val="000C61E8"/>
    <w:rsid w:val="000C6277"/>
    <w:rsid w:val="000C633B"/>
    <w:rsid w:val="000C63F0"/>
    <w:rsid w:val="000C646F"/>
    <w:rsid w:val="000C6616"/>
    <w:rsid w:val="000C66D0"/>
    <w:rsid w:val="000C66EE"/>
    <w:rsid w:val="000C67E3"/>
    <w:rsid w:val="000C6889"/>
    <w:rsid w:val="000C6A41"/>
    <w:rsid w:val="000C6D3F"/>
    <w:rsid w:val="000C6D78"/>
    <w:rsid w:val="000C7051"/>
    <w:rsid w:val="000C70B7"/>
    <w:rsid w:val="000C70D1"/>
    <w:rsid w:val="000C70F1"/>
    <w:rsid w:val="000C7242"/>
    <w:rsid w:val="000C7252"/>
    <w:rsid w:val="000C72EB"/>
    <w:rsid w:val="000C7460"/>
    <w:rsid w:val="000C7536"/>
    <w:rsid w:val="000C7586"/>
    <w:rsid w:val="000C75E0"/>
    <w:rsid w:val="000C780C"/>
    <w:rsid w:val="000C7859"/>
    <w:rsid w:val="000C7975"/>
    <w:rsid w:val="000C799D"/>
    <w:rsid w:val="000C79DE"/>
    <w:rsid w:val="000C7B19"/>
    <w:rsid w:val="000C7B60"/>
    <w:rsid w:val="000C7BD5"/>
    <w:rsid w:val="000C7BE2"/>
    <w:rsid w:val="000C7CFA"/>
    <w:rsid w:val="000C7D0C"/>
    <w:rsid w:val="000C7DEF"/>
    <w:rsid w:val="000C7EB4"/>
    <w:rsid w:val="000C7F75"/>
    <w:rsid w:val="000D013B"/>
    <w:rsid w:val="000D01E8"/>
    <w:rsid w:val="000D026F"/>
    <w:rsid w:val="000D03DA"/>
    <w:rsid w:val="000D0446"/>
    <w:rsid w:val="000D04A5"/>
    <w:rsid w:val="000D0601"/>
    <w:rsid w:val="000D063E"/>
    <w:rsid w:val="000D06CF"/>
    <w:rsid w:val="000D06F1"/>
    <w:rsid w:val="000D0779"/>
    <w:rsid w:val="000D0860"/>
    <w:rsid w:val="000D08DD"/>
    <w:rsid w:val="000D09AB"/>
    <w:rsid w:val="000D0B58"/>
    <w:rsid w:val="000D0C27"/>
    <w:rsid w:val="000D0DDE"/>
    <w:rsid w:val="000D0E16"/>
    <w:rsid w:val="000D0EB5"/>
    <w:rsid w:val="000D0F5B"/>
    <w:rsid w:val="000D10D7"/>
    <w:rsid w:val="000D1109"/>
    <w:rsid w:val="000D120D"/>
    <w:rsid w:val="000D1396"/>
    <w:rsid w:val="000D13AB"/>
    <w:rsid w:val="000D13ED"/>
    <w:rsid w:val="000D14BD"/>
    <w:rsid w:val="000D151F"/>
    <w:rsid w:val="000D16CB"/>
    <w:rsid w:val="000D16F1"/>
    <w:rsid w:val="000D1736"/>
    <w:rsid w:val="000D1804"/>
    <w:rsid w:val="000D195E"/>
    <w:rsid w:val="000D1981"/>
    <w:rsid w:val="000D19DF"/>
    <w:rsid w:val="000D1A22"/>
    <w:rsid w:val="000D1A36"/>
    <w:rsid w:val="000D1A65"/>
    <w:rsid w:val="000D1DAC"/>
    <w:rsid w:val="000D1DE0"/>
    <w:rsid w:val="000D1EE4"/>
    <w:rsid w:val="000D212B"/>
    <w:rsid w:val="000D21B9"/>
    <w:rsid w:val="000D2266"/>
    <w:rsid w:val="000D227B"/>
    <w:rsid w:val="000D22F9"/>
    <w:rsid w:val="000D231E"/>
    <w:rsid w:val="000D2427"/>
    <w:rsid w:val="000D2428"/>
    <w:rsid w:val="000D2495"/>
    <w:rsid w:val="000D2513"/>
    <w:rsid w:val="000D2569"/>
    <w:rsid w:val="000D27A8"/>
    <w:rsid w:val="000D27DF"/>
    <w:rsid w:val="000D284A"/>
    <w:rsid w:val="000D293D"/>
    <w:rsid w:val="000D29DD"/>
    <w:rsid w:val="000D2B03"/>
    <w:rsid w:val="000D2B47"/>
    <w:rsid w:val="000D2C2D"/>
    <w:rsid w:val="000D2C6D"/>
    <w:rsid w:val="000D2CBD"/>
    <w:rsid w:val="000D2DBC"/>
    <w:rsid w:val="000D2DD1"/>
    <w:rsid w:val="000D2E10"/>
    <w:rsid w:val="000D2E3D"/>
    <w:rsid w:val="000D2EB2"/>
    <w:rsid w:val="000D2F9D"/>
    <w:rsid w:val="000D31A3"/>
    <w:rsid w:val="000D3213"/>
    <w:rsid w:val="000D3246"/>
    <w:rsid w:val="000D32D4"/>
    <w:rsid w:val="000D32FE"/>
    <w:rsid w:val="000D3330"/>
    <w:rsid w:val="000D33A0"/>
    <w:rsid w:val="000D33EC"/>
    <w:rsid w:val="000D34DA"/>
    <w:rsid w:val="000D3505"/>
    <w:rsid w:val="000D376F"/>
    <w:rsid w:val="000D3773"/>
    <w:rsid w:val="000D38DA"/>
    <w:rsid w:val="000D39C7"/>
    <w:rsid w:val="000D3C05"/>
    <w:rsid w:val="000D3D59"/>
    <w:rsid w:val="000D40AF"/>
    <w:rsid w:val="000D40E0"/>
    <w:rsid w:val="000D41AD"/>
    <w:rsid w:val="000D41CE"/>
    <w:rsid w:val="000D4249"/>
    <w:rsid w:val="000D42D1"/>
    <w:rsid w:val="000D4393"/>
    <w:rsid w:val="000D43AF"/>
    <w:rsid w:val="000D43E9"/>
    <w:rsid w:val="000D4460"/>
    <w:rsid w:val="000D4541"/>
    <w:rsid w:val="000D4563"/>
    <w:rsid w:val="000D4614"/>
    <w:rsid w:val="000D4767"/>
    <w:rsid w:val="000D48C2"/>
    <w:rsid w:val="000D49BD"/>
    <w:rsid w:val="000D4AD9"/>
    <w:rsid w:val="000D4B7B"/>
    <w:rsid w:val="000D4D05"/>
    <w:rsid w:val="000D4D17"/>
    <w:rsid w:val="000D4DE9"/>
    <w:rsid w:val="000D4F88"/>
    <w:rsid w:val="000D51D5"/>
    <w:rsid w:val="000D52FE"/>
    <w:rsid w:val="000D5460"/>
    <w:rsid w:val="000D56A8"/>
    <w:rsid w:val="000D5752"/>
    <w:rsid w:val="000D5984"/>
    <w:rsid w:val="000D5A07"/>
    <w:rsid w:val="000D5A09"/>
    <w:rsid w:val="000D5A42"/>
    <w:rsid w:val="000D5AE0"/>
    <w:rsid w:val="000D5AE2"/>
    <w:rsid w:val="000D5B85"/>
    <w:rsid w:val="000D5FFD"/>
    <w:rsid w:val="000D60D1"/>
    <w:rsid w:val="000D623C"/>
    <w:rsid w:val="000D67FE"/>
    <w:rsid w:val="000D6863"/>
    <w:rsid w:val="000D68FE"/>
    <w:rsid w:val="000D69E2"/>
    <w:rsid w:val="000D69F9"/>
    <w:rsid w:val="000D6B45"/>
    <w:rsid w:val="000D6BA3"/>
    <w:rsid w:val="000D6C55"/>
    <w:rsid w:val="000D6D2F"/>
    <w:rsid w:val="000D6DB7"/>
    <w:rsid w:val="000D6E19"/>
    <w:rsid w:val="000D6F2B"/>
    <w:rsid w:val="000D6F3E"/>
    <w:rsid w:val="000D7061"/>
    <w:rsid w:val="000D70C1"/>
    <w:rsid w:val="000D7157"/>
    <w:rsid w:val="000D7206"/>
    <w:rsid w:val="000D7321"/>
    <w:rsid w:val="000D735E"/>
    <w:rsid w:val="000D7449"/>
    <w:rsid w:val="000D7473"/>
    <w:rsid w:val="000D74D9"/>
    <w:rsid w:val="000D75AE"/>
    <w:rsid w:val="000D7618"/>
    <w:rsid w:val="000D76D2"/>
    <w:rsid w:val="000D7770"/>
    <w:rsid w:val="000D780E"/>
    <w:rsid w:val="000D78EA"/>
    <w:rsid w:val="000D79C3"/>
    <w:rsid w:val="000D7A42"/>
    <w:rsid w:val="000D7AA2"/>
    <w:rsid w:val="000D7BDB"/>
    <w:rsid w:val="000D7BF9"/>
    <w:rsid w:val="000D7CEE"/>
    <w:rsid w:val="000D7D36"/>
    <w:rsid w:val="000D7D3D"/>
    <w:rsid w:val="000D7E1C"/>
    <w:rsid w:val="000D7FA2"/>
    <w:rsid w:val="000D7FB6"/>
    <w:rsid w:val="000D7FC7"/>
    <w:rsid w:val="000E0009"/>
    <w:rsid w:val="000E008D"/>
    <w:rsid w:val="000E01D1"/>
    <w:rsid w:val="000E02C9"/>
    <w:rsid w:val="000E0390"/>
    <w:rsid w:val="000E0401"/>
    <w:rsid w:val="000E049D"/>
    <w:rsid w:val="000E052F"/>
    <w:rsid w:val="000E0665"/>
    <w:rsid w:val="000E0759"/>
    <w:rsid w:val="000E07BD"/>
    <w:rsid w:val="000E0878"/>
    <w:rsid w:val="000E0883"/>
    <w:rsid w:val="000E0957"/>
    <w:rsid w:val="000E0984"/>
    <w:rsid w:val="000E0BA2"/>
    <w:rsid w:val="000E0CB4"/>
    <w:rsid w:val="000E0FEC"/>
    <w:rsid w:val="000E118E"/>
    <w:rsid w:val="000E1237"/>
    <w:rsid w:val="000E12E3"/>
    <w:rsid w:val="000E1355"/>
    <w:rsid w:val="000E14C4"/>
    <w:rsid w:val="000E1590"/>
    <w:rsid w:val="000E166A"/>
    <w:rsid w:val="000E16A5"/>
    <w:rsid w:val="000E16CB"/>
    <w:rsid w:val="000E1730"/>
    <w:rsid w:val="000E18C9"/>
    <w:rsid w:val="000E1910"/>
    <w:rsid w:val="000E1913"/>
    <w:rsid w:val="000E1AC3"/>
    <w:rsid w:val="000E1B9B"/>
    <w:rsid w:val="000E1BEF"/>
    <w:rsid w:val="000E1C3D"/>
    <w:rsid w:val="000E1C71"/>
    <w:rsid w:val="000E1D15"/>
    <w:rsid w:val="000E1D4E"/>
    <w:rsid w:val="000E1D52"/>
    <w:rsid w:val="000E1DA5"/>
    <w:rsid w:val="000E1E1B"/>
    <w:rsid w:val="000E1ED1"/>
    <w:rsid w:val="000E1F0E"/>
    <w:rsid w:val="000E1FD1"/>
    <w:rsid w:val="000E208B"/>
    <w:rsid w:val="000E2131"/>
    <w:rsid w:val="000E2185"/>
    <w:rsid w:val="000E21CD"/>
    <w:rsid w:val="000E21F7"/>
    <w:rsid w:val="000E2284"/>
    <w:rsid w:val="000E231A"/>
    <w:rsid w:val="000E232A"/>
    <w:rsid w:val="000E2354"/>
    <w:rsid w:val="000E2426"/>
    <w:rsid w:val="000E245C"/>
    <w:rsid w:val="000E247E"/>
    <w:rsid w:val="000E24A2"/>
    <w:rsid w:val="000E2727"/>
    <w:rsid w:val="000E27AC"/>
    <w:rsid w:val="000E27D9"/>
    <w:rsid w:val="000E2868"/>
    <w:rsid w:val="000E28CA"/>
    <w:rsid w:val="000E292B"/>
    <w:rsid w:val="000E29CA"/>
    <w:rsid w:val="000E2A71"/>
    <w:rsid w:val="000E2B8A"/>
    <w:rsid w:val="000E2BA0"/>
    <w:rsid w:val="000E2BD6"/>
    <w:rsid w:val="000E2C0B"/>
    <w:rsid w:val="000E2D6D"/>
    <w:rsid w:val="000E2F4D"/>
    <w:rsid w:val="000E301B"/>
    <w:rsid w:val="000E30E8"/>
    <w:rsid w:val="000E3101"/>
    <w:rsid w:val="000E3119"/>
    <w:rsid w:val="000E319C"/>
    <w:rsid w:val="000E3297"/>
    <w:rsid w:val="000E3370"/>
    <w:rsid w:val="000E342C"/>
    <w:rsid w:val="000E344E"/>
    <w:rsid w:val="000E358E"/>
    <w:rsid w:val="000E366F"/>
    <w:rsid w:val="000E36D5"/>
    <w:rsid w:val="000E37D0"/>
    <w:rsid w:val="000E38A0"/>
    <w:rsid w:val="000E38FB"/>
    <w:rsid w:val="000E3A1F"/>
    <w:rsid w:val="000E3B3C"/>
    <w:rsid w:val="000E3BCC"/>
    <w:rsid w:val="000E3BD1"/>
    <w:rsid w:val="000E3DFB"/>
    <w:rsid w:val="000E3E65"/>
    <w:rsid w:val="000E3EEF"/>
    <w:rsid w:val="000E3F8E"/>
    <w:rsid w:val="000E4047"/>
    <w:rsid w:val="000E4090"/>
    <w:rsid w:val="000E410E"/>
    <w:rsid w:val="000E4277"/>
    <w:rsid w:val="000E4286"/>
    <w:rsid w:val="000E44B0"/>
    <w:rsid w:val="000E4588"/>
    <w:rsid w:val="000E4605"/>
    <w:rsid w:val="000E46BE"/>
    <w:rsid w:val="000E4782"/>
    <w:rsid w:val="000E4828"/>
    <w:rsid w:val="000E48E8"/>
    <w:rsid w:val="000E48F7"/>
    <w:rsid w:val="000E4980"/>
    <w:rsid w:val="000E4982"/>
    <w:rsid w:val="000E49F7"/>
    <w:rsid w:val="000E4A12"/>
    <w:rsid w:val="000E4A1C"/>
    <w:rsid w:val="000E4B50"/>
    <w:rsid w:val="000E4B74"/>
    <w:rsid w:val="000E4BB1"/>
    <w:rsid w:val="000E4C14"/>
    <w:rsid w:val="000E4C5C"/>
    <w:rsid w:val="000E4CAB"/>
    <w:rsid w:val="000E4CC2"/>
    <w:rsid w:val="000E4D02"/>
    <w:rsid w:val="000E4E64"/>
    <w:rsid w:val="000E4F4C"/>
    <w:rsid w:val="000E4F87"/>
    <w:rsid w:val="000E4FC2"/>
    <w:rsid w:val="000E5001"/>
    <w:rsid w:val="000E51C8"/>
    <w:rsid w:val="000E524E"/>
    <w:rsid w:val="000E5299"/>
    <w:rsid w:val="000E52DE"/>
    <w:rsid w:val="000E540F"/>
    <w:rsid w:val="000E592B"/>
    <w:rsid w:val="000E5C91"/>
    <w:rsid w:val="000E5CDD"/>
    <w:rsid w:val="000E5D34"/>
    <w:rsid w:val="000E5D71"/>
    <w:rsid w:val="000E5DDB"/>
    <w:rsid w:val="000E5E8F"/>
    <w:rsid w:val="000E5F7D"/>
    <w:rsid w:val="000E5F80"/>
    <w:rsid w:val="000E600A"/>
    <w:rsid w:val="000E60E9"/>
    <w:rsid w:val="000E60FB"/>
    <w:rsid w:val="000E6175"/>
    <w:rsid w:val="000E61DF"/>
    <w:rsid w:val="000E61E6"/>
    <w:rsid w:val="000E63D6"/>
    <w:rsid w:val="000E6541"/>
    <w:rsid w:val="000E6570"/>
    <w:rsid w:val="000E664E"/>
    <w:rsid w:val="000E66CB"/>
    <w:rsid w:val="000E66F4"/>
    <w:rsid w:val="000E676E"/>
    <w:rsid w:val="000E6800"/>
    <w:rsid w:val="000E6803"/>
    <w:rsid w:val="000E6B12"/>
    <w:rsid w:val="000E6BA4"/>
    <w:rsid w:val="000E6BD8"/>
    <w:rsid w:val="000E6C1E"/>
    <w:rsid w:val="000E6DFC"/>
    <w:rsid w:val="000E6F8D"/>
    <w:rsid w:val="000E6FC2"/>
    <w:rsid w:val="000E7189"/>
    <w:rsid w:val="000E72FA"/>
    <w:rsid w:val="000E72FF"/>
    <w:rsid w:val="000E73D1"/>
    <w:rsid w:val="000E7488"/>
    <w:rsid w:val="000E7596"/>
    <w:rsid w:val="000E7632"/>
    <w:rsid w:val="000E768B"/>
    <w:rsid w:val="000E76D4"/>
    <w:rsid w:val="000E7778"/>
    <w:rsid w:val="000E77A0"/>
    <w:rsid w:val="000E77C5"/>
    <w:rsid w:val="000E77D8"/>
    <w:rsid w:val="000E783F"/>
    <w:rsid w:val="000E792D"/>
    <w:rsid w:val="000E799E"/>
    <w:rsid w:val="000E79BD"/>
    <w:rsid w:val="000E7A1A"/>
    <w:rsid w:val="000E7B44"/>
    <w:rsid w:val="000E7B58"/>
    <w:rsid w:val="000E7BBF"/>
    <w:rsid w:val="000E7C23"/>
    <w:rsid w:val="000E7D09"/>
    <w:rsid w:val="000E7D7F"/>
    <w:rsid w:val="000E7E4F"/>
    <w:rsid w:val="000E7F55"/>
    <w:rsid w:val="000E7F67"/>
    <w:rsid w:val="000E7F7A"/>
    <w:rsid w:val="000F0083"/>
    <w:rsid w:val="000F0097"/>
    <w:rsid w:val="000F00B1"/>
    <w:rsid w:val="000F0190"/>
    <w:rsid w:val="000F025C"/>
    <w:rsid w:val="000F04D8"/>
    <w:rsid w:val="000F0570"/>
    <w:rsid w:val="000F05AD"/>
    <w:rsid w:val="000F06A6"/>
    <w:rsid w:val="000F06F8"/>
    <w:rsid w:val="000F086D"/>
    <w:rsid w:val="000F092F"/>
    <w:rsid w:val="000F0A9D"/>
    <w:rsid w:val="000F0B8B"/>
    <w:rsid w:val="000F0BBA"/>
    <w:rsid w:val="000F0C95"/>
    <w:rsid w:val="000F0CB3"/>
    <w:rsid w:val="000F0EAE"/>
    <w:rsid w:val="000F0EC4"/>
    <w:rsid w:val="000F0F2C"/>
    <w:rsid w:val="000F0FAD"/>
    <w:rsid w:val="000F0FE9"/>
    <w:rsid w:val="000F106F"/>
    <w:rsid w:val="000F1077"/>
    <w:rsid w:val="000F10DA"/>
    <w:rsid w:val="000F122A"/>
    <w:rsid w:val="000F1296"/>
    <w:rsid w:val="000F12F8"/>
    <w:rsid w:val="000F14EF"/>
    <w:rsid w:val="000F156A"/>
    <w:rsid w:val="000F15D1"/>
    <w:rsid w:val="000F1786"/>
    <w:rsid w:val="000F17D2"/>
    <w:rsid w:val="000F17E8"/>
    <w:rsid w:val="000F184E"/>
    <w:rsid w:val="000F1966"/>
    <w:rsid w:val="000F19BE"/>
    <w:rsid w:val="000F1A78"/>
    <w:rsid w:val="000F1B00"/>
    <w:rsid w:val="000F1B3E"/>
    <w:rsid w:val="000F1BE4"/>
    <w:rsid w:val="000F1CB3"/>
    <w:rsid w:val="000F1CCA"/>
    <w:rsid w:val="000F1CFA"/>
    <w:rsid w:val="000F1DF8"/>
    <w:rsid w:val="000F1E0D"/>
    <w:rsid w:val="000F1F0F"/>
    <w:rsid w:val="000F1F40"/>
    <w:rsid w:val="000F1FC9"/>
    <w:rsid w:val="000F20C1"/>
    <w:rsid w:val="000F214C"/>
    <w:rsid w:val="000F21F1"/>
    <w:rsid w:val="000F2229"/>
    <w:rsid w:val="000F23A5"/>
    <w:rsid w:val="000F23D3"/>
    <w:rsid w:val="000F23EF"/>
    <w:rsid w:val="000F2572"/>
    <w:rsid w:val="000F2609"/>
    <w:rsid w:val="000F263F"/>
    <w:rsid w:val="000F2656"/>
    <w:rsid w:val="000F2757"/>
    <w:rsid w:val="000F27D2"/>
    <w:rsid w:val="000F27F3"/>
    <w:rsid w:val="000F2944"/>
    <w:rsid w:val="000F2A44"/>
    <w:rsid w:val="000F2A63"/>
    <w:rsid w:val="000F2A80"/>
    <w:rsid w:val="000F2B62"/>
    <w:rsid w:val="000F2BAC"/>
    <w:rsid w:val="000F2CDE"/>
    <w:rsid w:val="000F2D19"/>
    <w:rsid w:val="000F2E14"/>
    <w:rsid w:val="000F2E86"/>
    <w:rsid w:val="000F2FD0"/>
    <w:rsid w:val="000F3052"/>
    <w:rsid w:val="000F313B"/>
    <w:rsid w:val="000F31D9"/>
    <w:rsid w:val="000F3292"/>
    <w:rsid w:val="000F32DF"/>
    <w:rsid w:val="000F334F"/>
    <w:rsid w:val="000F3389"/>
    <w:rsid w:val="000F343B"/>
    <w:rsid w:val="000F3452"/>
    <w:rsid w:val="000F34F3"/>
    <w:rsid w:val="000F3566"/>
    <w:rsid w:val="000F377E"/>
    <w:rsid w:val="000F37AE"/>
    <w:rsid w:val="000F38F0"/>
    <w:rsid w:val="000F3922"/>
    <w:rsid w:val="000F3961"/>
    <w:rsid w:val="000F39DE"/>
    <w:rsid w:val="000F3AC6"/>
    <w:rsid w:val="000F3AD2"/>
    <w:rsid w:val="000F3BA5"/>
    <w:rsid w:val="000F3CDB"/>
    <w:rsid w:val="000F3CE7"/>
    <w:rsid w:val="000F3CFD"/>
    <w:rsid w:val="000F3D27"/>
    <w:rsid w:val="000F4062"/>
    <w:rsid w:val="000F419C"/>
    <w:rsid w:val="000F41AF"/>
    <w:rsid w:val="000F42B9"/>
    <w:rsid w:val="000F42E5"/>
    <w:rsid w:val="000F435F"/>
    <w:rsid w:val="000F43BE"/>
    <w:rsid w:val="000F4621"/>
    <w:rsid w:val="000F4724"/>
    <w:rsid w:val="000F4747"/>
    <w:rsid w:val="000F4753"/>
    <w:rsid w:val="000F476B"/>
    <w:rsid w:val="000F4843"/>
    <w:rsid w:val="000F4870"/>
    <w:rsid w:val="000F494A"/>
    <w:rsid w:val="000F498F"/>
    <w:rsid w:val="000F49A1"/>
    <w:rsid w:val="000F4A73"/>
    <w:rsid w:val="000F4B7D"/>
    <w:rsid w:val="000F4CF8"/>
    <w:rsid w:val="000F4E6D"/>
    <w:rsid w:val="000F4E9A"/>
    <w:rsid w:val="000F4EDE"/>
    <w:rsid w:val="000F5012"/>
    <w:rsid w:val="000F50A7"/>
    <w:rsid w:val="000F5189"/>
    <w:rsid w:val="000F5280"/>
    <w:rsid w:val="000F5288"/>
    <w:rsid w:val="000F5369"/>
    <w:rsid w:val="000F5376"/>
    <w:rsid w:val="000F5390"/>
    <w:rsid w:val="000F5477"/>
    <w:rsid w:val="000F54C3"/>
    <w:rsid w:val="000F5582"/>
    <w:rsid w:val="000F563A"/>
    <w:rsid w:val="000F5648"/>
    <w:rsid w:val="000F565B"/>
    <w:rsid w:val="000F5832"/>
    <w:rsid w:val="000F5A24"/>
    <w:rsid w:val="000F5A4A"/>
    <w:rsid w:val="000F5B44"/>
    <w:rsid w:val="000F5B68"/>
    <w:rsid w:val="000F5D90"/>
    <w:rsid w:val="000F5E1A"/>
    <w:rsid w:val="000F5FD8"/>
    <w:rsid w:val="000F60FB"/>
    <w:rsid w:val="000F6173"/>
    <w:rsid w:val="000F618B"/>
    <w:rsid w:val="000F62CB"/>
    <w:rsid w:val="000F63E7"/>
    <w:rsid w:val="000F640D"/>
    <w:rsid w:val="000F641F"/>
    <w:rsid w:val="000F6483"/>
    <w:rsid w:val="000F6551"/>
    <w:rsid w:val="000F656B"/>
    <w:rsid w:val="000F6581"/>
    <w:rsid w:val="000F6593"/>
    <w:rsid w:val="000F65E5"/>
    <w:rsid w:val="000F663A"/>
    <w:rsid w:val="000F6752"/>
    <w:rsid w:val="000F6879"/>
    <w:rsid w:val="000F68A4"/>
    <w:rsid w:val="000F68CA"/>
    <w:rsid w:val="000F68FC"/>
    <w:rsid w:val="000F6948"/>
    <w:rsid w:val="000F6B22"/>
    <w:rsid w:val="000F6B5B"/>
    <w:rsid w:val="000F6B76"/>
    <w:rsid w:val="000F6BD3"/>
    <w:rsid w:val="000F6C16"/>
    <w:rsid w:val="000F6CAC"/>
    <w:rsid w:val="000F6CC1"/>
    <w:rsid w:val="000F6D52"/>
    <w:rsid w:val="000F6DC1"/>
    <w:rsid w:val="000F6DC8"/>
    <w:rsid w:val="000F6EB3"/>
    <w:rsid w:val="000F6EEE"/>
    <w:rsid w:val="000F709D"/>
    <w:rsid w:val="000F70C8"/>
    <w:rsid w:val="000F7293"/>
    <w:rsid w:val="000F72E9"/>
    <w:rsid w:val="000F745D"/>
    <w:rsid w:val="000F766B"/>
    <w:rsid w:val="000F769F"/>
    <w:rsid w:val="000F77AD"/>
    <w:rsid w:val="000F791F"/>
    <w:rsid w:val="000F7A97"/>
    <w:rsid w:val="000F7DAF"/>
    <w:rsid w:val="000F7DB0"/>
    <w:rsid w:val="000F7E66"/>
    <w:rsid w:val="000F7E7E"/>
    <w:rsid w:val="000F7FB0"/>
    <w:rsid w:val="0010002E"/>
    <w:rsid w:val="0010010E"/>
    <w:rsid w:val="0010011C"/>
    <w:rsid w:val="0010011F"/>
    <w:rsid w:val="00100293"/>
    <w:rsid w:val="001002F4"/>
    <w:rsid w:val="00100486"/>
    <w:rsid w:val="0010048A"/>
    <w:rsid w:val="001007BA"/>
    <w:rsid w:val="0010082F"/>
    <w:rsid w:val="0010098E"/>
    <w:rsid w:val="001009DA"/>
    <w:rsid w:val="001009F7"/>
    <w:rsid w:val="00100B72"/>
    <w:rsid w:val="00100D03"/>
    <w:rsid w:val="00100D1F"/>
    <w:rsid w:val="00100DB3"/>
    <w:rsid w:val="00100F24"/>
    <w:rsid w:val="00100FCE"/>
    <w:rsid w:val="00101002"/>
    <w:rsid w:val="001010B1"/>
    <w:rsid w:val="00101106"/>
    <w:rsid w:val="001011F9"/>
    <w:rsid w:val="001012D7"/>
    <w:rsid w:val="001013CD"/>
    <w:rsid w:val="0010146A"/>
    <w:rsid w:val="00101685"/>
    <w:rsid w:val="00101938"/>
    <w:rsid w:val="001019E7"/>
    <w:rsid w:val="001019F2"/>
    <w:rsid w:val="00101B20"/>
    <w:rsid w:val="00101D0C"/>
    <w:rsid w:val="00101DF2"/>
    <w:rsid w:val="00101F1B"/>
    <w:rsid w:val="00101F71"/>
    <w:rsid w:val="00101F7B"/>
    <w:rsid w:val="00101F9D"/>
    <w:rsid w:val="0010204D"/>
    <w:rsid w:val="001020A4"/>
    <w:rsid w:val="0010212A"/>
    <w:rsid w:val="0010233D"/>
    <w:rsid w:val="00102410"/>
    <w:rsid w:val="001025F4"/>
    <w:rsid w:val="00102606"/>
    <w:rsid w:val="001026DB"/>
    <w:rsid w:val="0010275D"/>
    <w:rsid w:val="001027C8"/>
    <w:rsid w:val="001029DC"/>
    <w:rsid w:val="00102A88"/>
    <w:rsid w:val="00102B71"/>
    <w:rsid w:val="00102CBA"/>
    <w:rsid w:val="00102CE1"/>
    <w:rsid w:val="00102DA7"/>
    <w:rsid w:val="00102EC5"/>
    <w:rsid w:val="00102F44"/>
    <w:rsid w:val="00102FC7"/>
    <w:rsid w:val="001030A3"/>
    <w:rsid w:val="001031B5"/>
    <w:rsid w:val="00103348"/>
    <w:rsid w:val="0010352D"/>
    <w:rsid w:val="0010358F"/>
    <w:rsid w:val="00103899"/>
    <w:rsid w:val="00103A21"/>
    <w:rsid w:val="00103BB9"/>
    <w:rsid w:val="00103CE7"/>
    <w:rsid w:val="00103D9A"/>
    <w:rsid w:val="00103E8F"/>
    <w:rsid w:val="00104169"/>
    <w:rsid w:val="001041E0"/>
    <w:rsid w:val="0010434E"/>
    <w:rsid w:val="001043AC"/>
    <w:rsid w:val="001045F9"/>
    <w:rsid w:val="001047D8"/>
    <w:rsid w:val="001048F9"/>
    <w:rsid w:val="0010494E"/>
    <w:rsid w:val="00104AEA"/>
    <w:rsid w:val="00104BD1"/>
    <w:rsid w:val="00104CCD"/>
    <w:rsid w:val="00104D87"/>
    <w:rsid w:val="00104D9C"/>
    <w:rsid w:val="00104DC0"/>
    <w:rsid w:val="00104E11"/>
    <w:rsid w:val="00104EED"/>
    <w:rsid w:val="00104F3E"/>
    <w:rsid w:val="00105066"/>
    <w:rsid w:val="0010508B"/>
    <w:rsid w:val="001050BF"/>
    <w:rsid w:val="00105131"/>
    <w:rsid w:val="00105299"/>
    <w:rsid w:val="001052ED"/>
    <w:rsid w:val="001053B4"/>
    <w:rsid w:val="001053BE"/>
    <w:rsid w:val="001053F4"/>
    <w:rsid w:val="00105435"/>
    <w:rsid w:val="001054D3"/>
    <w:rsid w:val="001054DA"/>
    <w:rsid w:val="0010552E"/>
    <w:rsid w:val="00105650"/>
    <w:rsid w:val="001057A4"/>
    <w:rsid w:val="0010584D"/>
    <w:rsid w:val="00105884"/>
    <w:rsid w:val="00105889"/>
    <w:rsid w:val="00105908"/>
    <w:rsid w:val="0010591C"/>
    <w:rsid w:val="00105962"/>
    <w:rsid w:val="001059AC"/>
    <w:rsid w:val="00105A0E"/>
    <w:rsid w:val="00105A8F"/>
    <w:rsid w:val="00105B3F"/>
    <w:rsid w:val="00105BE4"/>
    <w:rsid w:val="00105C04"/>
    <w:rsid w:val="00105CDC"/>
    <w:rsid w:val="00105DB3"/>
    <w:rsid w:val="00105DCE"/>
    <w:rsid w:val="00105E2D"/>
    <w:rsid w:val="00105F4D"/>
    <w:rsid w:val="0010629D"/>
    <w:rsid w:val="0010634F"/>
    <w:rsid w:val="00106444"/>
    <w:rsid w:val="00106453"/>
    <w:rsid w:val="001064CC"/>
    <w:rsid w:val="0010655B"/>
    <w:rsid w:val="001065F5"/>
    <w:rsid w:val="001067A2"/>
    <w:rsid w:val="001067E8"/>
    <w:rsid w:val="0010685C"/>
    <w:rsid w:val="001068D8"/>
    <w:rsid w:val="001068FF"/>
    <w:rsid w:val="00106950"/>
    <w:rsid w:val="00106977"/>
    <w:rsid w:val="00106A63"/>
    <w:rsid w:val="00106A65"/>
    <w:rsid w:val="00106AB2"/>
    <w:rsid w:val="00106B69"/>
    <w:rsid w:val="00106B79"/>
    <w:rsid w:val="00106BF8"/>
    <w:rsid w:val="00106C28"/>
    <w:rsid w:val="00106CA3"/>
    <w:rsid w:val="00106CED"/>
    <w:rsid w:val="00106E00"/>
    <w:rsid w:val="00106ECB"/>
    <w:rsid w:val="00106F42"/>
    <w:rsid w:val="00106F56"/>
    <w:rsid w:val="00106F7E"/>
    <w:rsid w:val="001070AA"/>
    <w:rsid w:val="001070F6"/>
    <w:rsid w:val="001071BA"/>
    <w:rsid w:val="001071DC"/>
    <w:rsid w:val="00107239"/>
    <w:rsid w:val="00107433"/>
    <w:rsid w:val="00107481"/>
    <w:rsid w:val="00107650"/>
    <w:rsid w:val="00107663"/>
    <w:rsid w:val="0010770F"/>
    <w:rsid w:val="0010776C"/>
    <w:rsid w:val="001077D0"/>
    <w:rsid w:val="0010792D"/>
    <w:rsid w:val="00107986"/>
    <w:rsid w:val="001079EC"/>
    <w:rsid w:val="00107A39"/>
    <w:rsid w:val="00107BD8"/>
    <w:rsid w:val="00107C56"/>
    <w:rsid w:val="00107CCD"/>
    <w:rsid w:val="00107CD7"/>
    <w:rsid w:val="00107D57"/>
    <w:rsid w:val="00107E7B"/>
    <w:rsid w:val="00107F0B"/>
    <w:rsid w:val="001100E9"/>
    <w:rsid w:val="001101AB"/>
    <w:rsid w:val="001102E2"/>
    <w:rsid w:val="001103E3"/>
    <w:rsid w:val="00110484"/>
    <w:rsid w:val="001104A4"/>
    <w:rsid w:val="0011050E"/>
    <w:rsid w:val="001105C4"/>
    <w:rsid w:val="00110674"/>
    <w:rsid w:val="00110681"/>
    <w:rsid w:val="0011081E"/>
    <w:rsid w:val="0011088C"/>
    <w:rsid w:val="0011089C"/>
    <w:rsid w:val="0011098D"/>
    <w:rsid w:val="00110AEC"/>
    <w:rsid w:val="00110B52"/>
    <w:rsid w:val="00110B5A"/>
    <w:rsid w:val="00110B9F"/>
    <w:rsid w:val="00110BB7"/>
    <w:rsid w:val="00110C40"/>
    <w:rsid w:val="00110C5C"/>
    <w:rsid w:val="00110D17"/>
    <w:rsid w:val="00110D5F"/>
    <w:rsid w:val="00110DC3"/>
    <w:rsid w:val="00110FED"/>
    <w:rsid w:val="00111146"/>
    <w:rsid w:val="001111BB"/>
    <w:rsid w:val="001111D7"/>
    <w:rsid w:val="00111276"/>
    <w:rsid w:val="001112F1"/>
    <w:rsid w:val="00111369"/>
    <w:rsid w:val="00111378"/>
    <w:rsid w:val="00111419"/>
    <w:rsid w:val="001114AC"/>
    <w:rsid w:val="001114F6"/>
    <w:rsid w:val="00111502"/>
    <w:rsid w:val="0011150C"/>
    <w:rsid w:val="0011153F"/>
    <w:rsid w:val="001116A5"/>
    <w:rsid w:val="00111740"/>
    <w:rsid w:val="00111924"/>
    <w:rsid w:val="0011195F"/>
    <w:rsid w:val="0011199F"/>
    <w:rsid w:val="00111A57"/>
    <w:rsid w:val="00111A60"/>
    <w:rsid w:val="00111C03"/>
    <w:rsid w:val="00111CAF"/>
    <w:rsid w:val="00111CB0"/>
    <w:rsid w:val="00111D29"/>
    <w:rsid w:val="00111E65"/>
    <w:rsid w:val="0011207A"/>
    <w:rsid w:val="00112098"/>
    <w:rsid w:val="00112158"/>
    <w:rsid w:val="0011223B"/>
    <w:rsid w:val="00112395"/>
    <w:rsid w:val="00112432"/>
    <w:rsid w:val="00112476"/>
    <w:rsid w:val="0011249C"/>
    <w:rsid w:val="001124E3"/>
    <w:rsid w:val="00112507"/>
    <w:rsid w:val="00112618"/>
    <w:rsid w:val="00112847"/>
    <w:rsid w:val="0011297B"/>
    <w:rsid w:val="00112A0F"/>
    <w:rsid w:val="00112A98"/>
    <w:rsid w:val="00112D9F"/>
    <w:rsid w:val="00113018"/>
    <w:rsid w:val="00113176"/>
    <w:rsid w:val="001131A7"/>
    <w:rsid w:val="001132C5"/>
    <w:rsid w:val="001132FF"/>
    <w:rsid w:val="00113318"/>
    <w:rsid w:val="00113367"/>
    <w:rsid w:val="0011336C"/>
    <w:rsid w:val="00113440"/>
    <w:rsid w:val="00113462"/>
    <w:rsid w:val="00113586"/>
    <w:rsid w:val="0011359A"/>
    <w:rsid w:val="00113661"/>
    <w:rsid w:val="00113804"/>
    <w:rsid w:val="0011384E"/>
    <w:rsid w:val="0011387B"/>
    <w:rsid w:val="001138C4"/>
    <w:rsid w:val="00113901"/>
    <w:rsid w:val="00113986"/>
    <w:rsid w:val="00113A94"/>
    <w:rsid w:val="00113C2F"/>
    <w:rsid w:val="00113C50"/>
    <w:rsid w:val="00113C6A"/>
    <w:rsid w:val="00113CF8"/>
    <w:rsid w:val="00113DED"/>
    <w:rsid w:val="00113E1E"/>
    <w:rsid w:val="00113E45"/>
    <w:rsid w:val="00113E5E"/>
    <w:rsid w:val="00113E66"/>
    <w:rsid w:val="00114054"/>
    <w:rsid w:val="00114091"/>
    <w:rsid w:val="001140E9"/>
    <w:rsid w:val="001140F3"/>
    <w:rsid w:val="00114119"/>
    <w:rsid w:val="00114193"/>
    <w:rsid w:val="001141F8"/>
    <w:rsid w:val="001142AC"/>
    <w:rsid w:val="001142E1"/>
    <w:rsid w:val="001143C3"/>
    <w:rsid w:val="00114402"/>
    <w:rsid w:val="00114470"/>
    <w:rsid w:val="00114474"/>
    <w:rsid w:val="001144F5"/>
    <w:rsid w:val="001145AF"/>
    <w:rsid w:val="001145DF"/>
    <w:rsid w:val="00114754"/>
    <w:rsid w:val="001147A9"/>
    <w:rsid w:val="001147BA"/>
    <w:rsid w:val="0011484B"/>
    <w:rsid w:val="001148C6"/>
    <w:rsid w:val="00114986"/>
    <w:rsid w:val="0011498F"/>
    <w:rsid w:val="00114C64"/>
    <w:rsid w:val="00114D1D"/>
    <w:rsid w:val="00114DB1"/>
    <w:rsid w:val="00114EAA"/>
    <w:rsid w:val="00114FB2"/>
    <w:rsid w:val="00115074"/>
    <w:rsid w:val="001150D2"/>
    <w:rsid w:val="00115121"/>
    <w:rsid w:val="00115154"/>
    <w:rsid w:val="001151D5"/>
    <w:rsid w:val="00115252"/>
    <w:rsid w:val="0011525B"/>
    <w:rsid w:val="0011539C"/>
    <w:rsid w:val="0011556A"/>
    <w:rsid w:val="00115603"/>
    <w:rsid w:val="001156D5"/>
    <w:rsid w:val="00115877"/>
    <w:rsid w:val="00115891"/>
    <w:rsid w:val="0011593B"/>
    <w:rsid w:val="00115AD1"/>
    <w:rsid w:val="00115B3F"/>
    <w:rsid w:val="00115BDD"/>
    <w:rsid w:val="00115CA7"/>
    <w:rsid w:val="00115D1A"/>
    <w:rsid w:val="00115DA1"/>
    <w:rsid w:val="00115DB9"/>
    <w:rsid w:val="00115DD5"/>
    <w:rsid w:val="00115E50"/>
    <w:rsid w:val="00115F1F"/>
    <w:rsid w:val="00115FCC"/>
    <w:rsid w:val="00116077"/>
    <w:rsid w:val="00116267"/>
    <w:rsid w:val="001163D2"/>
    <w:rsid w:val="001163EB"/>
    <w:rsid w:val="001164C7"/>
    <w:rsid w:val="0011687D"/>
    <w:rsid w:val="0011687E"/>
    <w:rsid w:val="00116990"/>
    <w:rsid w:val="001169A8"/>
    <w:rsid w:val="00116BC3"/>
    <w:rsid w:val="00116CF3"/>
    <w:rsid w:val="00116E1C"/>
    <w:rsid w:val="00116E48"/>
    <w:rsid w:val="00116E84"/>
    <w:rsid w:val="00116F0E"/>
    <w:rsid w:val="00116F36"/>
    <w:rsid w:val="00116FC6"/>
    <w:rsid w:val="0011718F"/>
    <w:rsid w:val="00117212"/>
    <w:rsid w:val="00117357"/>
    <w:rsid w:val="00117541"/>
    <w:rsid w:val="001175B3"/>
    <w:rsid w:val="00117721"/>
    <w:rsid w:val="00117788"/>
    <w:rsid w:val="00117832"/>
    <w:rsid w:val="0011783B"/>
    <w:rsid w:val="0011795D"/>
    <w:rsid w:val="001179D2"/>
    <w:rsid w:val="001179DE"/>
    <w:rsid w:val="00117A57"/>
    <w:rsid w:val="00117AC6"/>
    <w:rsid w:val="00117B82"/>
    <w:rsid w:val="00117BB2"/>
    <w:rsid w:val="00117BCB"/>
    <w:rsid w:val="00117CD7"/>
    <w:rsid w:val="00117D51"/>
    <w:rsid w:val="00117DA9"/>
    <w:rsid w:val="00117DE9"/>
    <w:rsid w:val="00117EAC"/>
    <w:rsid w:val="00117F09"/>
    <w:rsid w:val="00117F99"/>
    <w:rsid w:val="00120096"/>
    <w:rsid w:val="001200EF"/>
    <w:rsid w:val="001201DD"/>
    <w:rsid w:val="001202F2"/>
    <w:rsid w:val="0012030E"/>
    <w:rsid w:val="00120325"/>
    <w:rsid w:val="00120414"/>
    <w:rsid w:val="00120444"/>
    <w:rsid w:val="0012071B"/>
    <w:rsid w:val="0012071D"/>
    <w:rsid w:val="0012078F"/>
    <w:rsid w:val="001208C7"/>
    <w:rsid w:val="001208F5"/>
    <w:rsid w:val="00120904"/>
    <w:rsid w:val="0012094A"/>
    <w:rsid w:val="00120A38"/>
    <w:rsid w:val="00120A59"/>
    <w:rsid w:val="00120A9E"/>
    <w:rsid w:val="00120AF8"/>
    <w:rsid w:val="00120B74"/>
    <w:rsid w:val="00120B7A"/>
    <w:rsid w:val="00120BA3"/>
    <w:rsid w:val="00120C73"/>
    <w:rsid w:val="00120CBD"/>
    <w:rsid w:val="00120DF9"/>
    <w:rsid w:val="00120EB8"/>
    <w:rsid w:val="00120FD8"/>
    <w:rsid w:val="00121007"/>
    <w:rsid w:val="00121280"/>
    <w:rsid w:val="001212A8"/>
    <w:rsid w:val="00121391"/>
    <w:rsid w:val="00121432"/>
    <w:rsid w:val="00121469"/>
    <w:rsid w:val="0012149D"/>
    <w:rsid w:val="001214AF"/>
    <w:rsid w:val="00121564"/>
    <w:rsid w:val="001215C7"/>
    <w:rsid w:val="00121690"/>
    <w:rsid w:val="00121744"/>
    <w:rsid w:val="0012175E"/>
    <w:rsid w:val="001217D8"/>
    <w:rsid w:val="00121B51"/>
    <w:rsid w:val="00121C0B"/>
    <w:rsid w:val="00121CAE"/>
    <w:rsid w:val="00121CD2"/>
    <w:rsid w:val="00121D70"/>
    <w:rsid w:val="00121E10"/>
    <w:rsid w:val="00121E11"/>
    <w:rsid w:val="00121E72"/>
    <w:rsid w:val="00121ED1"/>
    <w:rsid w:val="00121F0D"/>
    <w:rsid w:val="00121FAB"/>
    <w:rsid w:val="0012202A"/>
    <w:rsid w:val="00122160"/>
    <w:rsid w:val="00122569"/>
    <w:rsid w:val="0012266E"/>
    <w:rsid w:val="00122710"/>
    <w:rsid w:val="001227CF"/>
    <w:rsid w:val="00122831"/>
    <w:rsid w:val="001229BB"/>
    <w:rsid w:val="001229FD"/>
    <w:rsid w:val="00122A7F"/>
    <w:rsid w:val="00122B70"/>
    <w:rsid w:val="00122B76"/>
    <w:rsid w:val="00122BBA"/>
    <w:rsid w:val="00122C69"/>
    <w:rsid w:val="00122C7B"/>
    <w:rsid w:val="00122E0C"/>
    <w:rsid w:val="00122E45"/>
    <w:rsid w:val="00122F29"/>
    <w:rsid w:val="00123132"/>
    <w:rsid w:val="001231FA"/>
    <w:rsid w:val="00123278"/>
    <w:rsid w:val="001232DC"/>
    <w:rsid w:val="001233A8"/>
    <w:rsid w:val="001234DF"/>
    <w:rsid w:val="00123506"/>
    <w:rsid w:val="00123540"/>
    <w:rsid w:val="00123590"/>
    <w:rsid w:val="001235ED"/>
    <w:rsid w:val="001236FE"/>
    <w:rsid w:val="0012370E"/>
    <w:rsid w:val="0012373B"/>
    <w:rsid w:val="00123797"/>
    <w:rsid w:val="001237A4"/>
    <w:rsid w:val="001237E2"/>
    <w:rsid w:val="00123847"/>
    <w:rsid w:val="0012388E"/>
    <w:rsid w:val="001238B4"/>
    <w:rsid w:val="001238EF"/>
    <w:rsid w:val="001239B1"/>
    <w:rsid w:val="00123A6A"/>
    <w:rsid w:val="00123AA3"/>
    <w:rsid w:val="00123AF4"/>
    <w:rsid w:val="00123B45"/>
    <w:rsid w:val="00123B85"/>
    <w:rsid w:val="00123DB5"/>
    <w:rsid w:val="00123DC5"/>
    <w:rsid w:val="00123FEF"/>
    <w:rsid w:val="00124041"/>
    <w:rsid w:val="00124168"/>
    <w:rsid w:val="00124466"/>
    <w:rsid w:val="0012450D"/>
    <w:rsid w:val="0012457F"/>
    <w:rsid w:val="001245B0"/>
    <w:rsid w:val="00124659"/>
    <w:rsid w:val="00124690"/>
    <w:rsid w:val="00124697"/>
    <w:rsid w:val="00124737"/>
    <w:rsid w:val="00124846"/>
    <w:rsid w:val="001249CD"/>
    <w:rsid w:val="001249F3"/>
    <w:rsid w:val="00124A34"/>
    <w:rsid w:val="00124A86"/>
    <w:rsid w:val="00124B3C"/>
    <w:rsid w:val="00124B78"/>
    <w:rsid w:val="00124C24"/>
    <w:rsid w:val="00124C81"/>
    <w:rsid w:val="00124CFE"/>
    <w:rsid w:val="00124DF5"/>
    <w:rsid w:val="00124E21"/>
    <w:rsid w:val="00124EF4"/>
    <w:rsid w:val="00124F44"/>
    <w:rsid w:val="00124F8C"/>
    <w:rsid w:val="00125049"/>
    <w:rsid w:val="0012511C"/>
    <w:rsid w:val="00125177"/>
    <w:rsid w:val="001251E8"/>
    <w:rsid w:val="001252FA"/>
    <w:rsid w:val="001254DD"/>
    <w:rsid w:val="0012555E"/>
    <w:rsid w:val="001256AC"/>
    <w:rsid w:val="00125873"/>
    <w:rsid w:val="001259DB"/>
    <w:rsid w:val="00125B33"/>
    <w:rsid w:val="00125B6A"/>
    <w:rsid w:val="00125B90"/>
    <w:rsid w:val="00125C58"/>
    <w:rsid w:val="00125C62"/>
    <w:rsid w:val="00125D1A"/>
    <w:rsid w:val="00125E2F"/>
    <w:rsid w:val="00125E81"/>
    <w:rsid w:val="00125E8F"/>
    <w:rsid w:val="00125EC8"/>
    <w:rsid w:val="00125FB5"/>
    <w:rsid w:val="00125FF1"/>
    <w:rsid w:val="00126073"/>
    <w:rsid w:val="001260B9"/>
    <w:rsid w:val="001260DB"/>
    <w:rsid w:val="001260FF"/>
    <w:rsid w:val="001261B1"/>
    <w:rsid w:val="00126248"/>
    <w:rsid w:val="001263F0"/>
    <w:rsid w:val="00126428"/>
    <w:rsid w:val="00126647"/>
    <w:rsid w:val="00126715"/>
    <w:rsid w:val="001267C8"/>
    <w:rsid w:val="00126926"/>
    <w:rsid w:val="0012694E"/>
    <w:rsid w:val="00126963"/>
    <w:rsid w:val="00126A5E"/>
    <w:rsid w:val="00126AEC"/>
    <w:rsid w:val="00126BBD"/>
    <w:rsid w:val="00126D67"/>
    <w:rsid w:val="00126DBD"/>
    <w:rsid w:val="00126DFD"/>
    <w:rsid w:val="00127013"/>
    <w:rsid w:val="00127122"/>
    <w:rsid w:val="00127231"/>
    <w:rsid w:val="00127372"/>
    <w:rsid w:val="001273C3"/>
    <w:rsid w:val="00127448"/>
    <w:rsid w:val="001274C0"/>
    <w:rsid w:val="00127529"/>
    <w:rsid w:val="0012768A"/>
    <w:rsid w:val="00127749"/>
    <w:rsid w:val="00127751"/>
    <w:rsid w:val="0012779C"/>
    <w:rsid w:val="00127807"/>
    <w:rsid w:val="0012792A"/>
    <w:rsid w:val="0012794E"/>
    <w:rsid w:val="0012795D"/>
    <w:rsid w:val="00127985"/>
    <w:rsid w:val="0012799D"/>
    <w:rsid w:val="00127A2F"/>
    <w:rsid w:val="00127A52"/>
    <w:rsid w:val="00127B38"/>
    <w:rsid w:val="00127B61"/>
    <w:rsid w:val="00127C23"/>
    <w:rsid w:val="00127D71"/>
    <w:rsid w:val="00127E15"/>
    <w:rsid w:val="00127F27"/>
    <w:rsid w:val="00127F4C"/>
    <w:rsid w:val="0013002C"/>
    <w:rsid w:val="00130045"/>
    <w:rsid w:val="0013012B"/>
    <w:rsid w:val="00130144"/>
    <w:rsid w:val="0013015A"/>
    <w:rsid w:val="0013029D"/>
    <w:rsid w:val="0013033F"/>
    <w:rsid w:val="00130367"/>
    <w:rsid w:val="00130452"/>
    <w:rsid w:val="001304A9"/>
    <w:rsid w:val="001304CE"/>
    <w:rsid w:val="00130500"/>
    <w:rsid w:val="001307DA"/>
    <w:rsid w:val="001308E8"/>
    <w:rsid w:val="001309C7"/>
    <w:rsid w:val="00130B03"/>
    <w:rsid w:val="00130B72"/>
    <w:rsid w:val="00130CA9"/>
    <w:rsid w:val="00130CE1"/>
    <w:rsid w:val="00130E8D"/>
    <w:rsid w:val="00130EC3"/>
    <w:rsid w:val="00130F96"/>
    <w:rsid w:val="001310B3"/>
    <w:rsid w:val="001312C3"/>
    <w:rsid w:val="0013130F"/>
    <w:rsid w:val="0013139C"/>
    <w:rsid w:val="001313EE"/>
    <w:rsid w:val="0013145F"/>
    <w:rsid w:val="001314A8"/>
    <w:rsid w:val="0013157D"/>
    <w:rsid w:val="001315C3"/>
    <w:rsid w:val="001315EA"/>
    <w:rsid w:val="00131760"/>
    <w:rsid w:val="001317C8"/>
    <w:rsid w:val="001317E0"/>
    <w:rsid w:val="001317EB"/>
    <w:rsid w:val="001318CF"/>
    <w:rsid w:val="0013195C"/>
    <w:rsid w:val="0013195D"/>
    <w:rsid w:val="00131A34"/>
    <w:rsid w:val="00131B9F"/>
    <w:rsid w:val="00131C15"/>
    <w:rsid w:val="00131CDD"/>
    <w:rsid w:val="00131E97"/>
    <w:rsid w:val="001320D6"/>
    <w:rsid w:val="00132140"/>
    <w:rsid w:val="001321C8"/>
    <w:rsid w:val="001321F2"/>
    <w:rsid w:val="0013221C"/>
    <w:rsid w:val="00132220"/>
    <w:rsid w:val="001324E1"/>
    <w:rsid w:val="001325FA"/>
    <w:rsid w:val="0013269B"/>
    <w:rsid w:val="001327F5"/>
    <w:rsid w:val="0013298E"/>
    <w:rsid w:val="00132B9C"/>
    <w:rsid w:val="00132BB0"/>
    <w:rsid w:val="00132BE7"/>
    <w:rsid w:val="00132E76"/>
    <w:rsid w:val="00132E99"/>
    <w:rsid w:val="00132EDE"/>
    <w:rsid w:val="00132EF0"/>
    <w:rsid w:val="001331C7"/>
    <w:rsid w:val="001331D5"/>
    <w:rsid w:val="001331E7"/>
    <w:rsid w:val="0013321E"/>
    <w:rsid w:val="0013323D"/>
    <w:rsid w:val="0013331D"/>
    <w:rsid w:val="00133322"/>
    <w:rsid w:val="00133393"/>
    <w:rsid w:val="001333A8"/>
    <w:rsid w:val="0013342D"/>
    <w:rsid w:val="00133593"/>
    <w:rsid w:val="001335F4"/>
    <w:rsid w:val="00133754"/>
    <w:rsid w:val="00133794"/>
    <w:rsid w:val="001337AA"/>
    <w:rsid w:val="001338AB"/>
    <w:rsid w:val="001338D7"/>
    <w:rsid w:val="001338FE"/>
    <w:rsid w:val="001339C1"/>
    <w:rsid w:val="00133A5D"/>
    <w:rsid w:val="00133A9C"/>
    <w:rsid w:val="00133AE4"/>
    <w:rsid w:val="00133B07"/>
    <w:rsid w:val="00133B9C"/>
    <w:rsid w:val="00133DC3"/>
    <w:rsid w:val="001341BF"/>
    <w:rsid w:val="00134291"/>
    <w:rsid w:val="001342E6"/>
    <w:rsid w:val="001343C2"/>
    <w:rsid w:val="001343D1"/>
    <w:rsid w:val="00134403"/>
    <w:rsid w:val="00134413"/>
    <w:rsid w:val="001344B9"/>
    <w:rsid w:val="00134531"/>
    <w:rsid w:val="001345C0"/>
    <w:rsid w:val="00134614"/>
    <w:rsid w:val="00134626"/>
    <w:rsid w:val="00134630"/>
    <w:rsid w:val="0013469A"/>
    <w:rsid w:val="001346CA"/>
    <w:rsid w:val="00134744"/>
    <w:rsid w:val="0013476B"/>
    <w:rsid w:val="0013476C"/>
    <w:rsid w:val="00134850"/>
    <w:rsid w:val="0013489C"/>
    <w:rsid w:val="001348B1"/>
    <w:rsid w:val="00134957"/>
    <w:rsid w:val="0013496A"/>
    <w:rsid w:val="00134A0F"/>
    <w:rsid w:val="00134AA9"/>
    <w:rsid w:val="00134ADA"/>
    <w:rsid w:val="00134B61"/>
    <w:rsid w:val="00134E1E"/>
    <w:rsid w:val="00134F28"/>
    <w:rsid w:val="00134FE4"/>
    <w:rsid w:val="0013505B"/>
    <w:rsid w:val="00135068"/>
    <w:rsid w:val="001350F4"/>
    <w:rsid w:val="0013510E"/>
    <w:rsid w:val="0013520E"/>
    <w:rsid w:val="0013521E"/>
    <w:rsid w:val="00135225"/>
    <w:rsid w:val="0013526D"/>
    <w:rsid w:val="001353A1"/>
    <w:rsid w:val="001353FE"/>
    <w:rsid w:val="00135440"/>
    <w:rsid w:val="0013544D"/>
    <w:rsid w:val="00135528"/>
    <w:rsid w:val="00135565"/>
    <w:rsid w:val="00135581"/>
    <w:rsid w:val="00135B0A"/>
    <w:rsid w:val="00135D16"/>
    <w:rsid w:val="00135D49"/>
    <w:rsid w:val="00135D52"/>
    <w:rsid w:val="00135DAD"/>
    <w:rsid w:val="00135DCD"/>
    <w:rsid w:val="00135FBB"/>
    <w:rsid w:val="00136036"/>
    <w:rsid w:val="00136084"/>
    <w:rsid w:val="00136167"/>
    <w:rsid w:val="0013618B"/>
    <w:rsid w:val="001361E5"/>
    <w:rsid w:val="00136211"/>
    <w:rsid w:val="0013625B"/>
    <w:rsid w:val="0013626E"/>
    <w:rsid w:val="0013628D"/>
    <w:rsid w:val="0013630E"/>
    <w:rsid w:val="00136312"/>
    <w:rsid w:val="00136389"/>
    <w:rsid w:val="001363EC"/>
    <w:rsid w:val="0013642C"/>
    <w:rsid w:val="001365E5"/>
    <w:rsid w:val="001365ED"/>
    <w:rsid w:val="0013686C"/>
    <w:rsid w:val="00136A70"/>
    <w:rsid w:val="00136B9B"/>
    <w:rsid w:val="00136BE1"/>
    <w:rsid w:val="00136D0A"/>
    <w:rsid w:val="00136D1B"/>
    <w:rsid w:val="00136DA5"/>
    <w:rsid w:val="00136EDF"/>
    <w:rsid w:val="00136EE7"/>
    <w:rsid w:val="00137089"/>
    <w:rsid w:val="001370F0"/>
    <w:rsid w:val="001370F8"/>
    <w:rsid w:val="001371B2"/>
    <w:rsid w:val="001372BA"/>
    <w:rsid w:val="0013737A"/>
    <w:rsid w:val="001373D3"/>
    <w:rsid w:val="001375D6"/>
    <w:rsid w:val="001376E4"/>
    <w:rsid w:val="0013779A"/>
    <w:rsid w:val="0013779B"/>
    <w:rsid w:val="001377A6"/>
    <w:rsid w:val="00137B95"/>
    <w:rsid w:val="00137BA7"/>
    <w:rsid w:val="00137C2F"/>
    <w:rsid w:val="00137C66"/>
    <w:rsid w:val="00137CA9"/>
    <w:rsid w:val="00137D56"/>
    <w:rsid w:val="00137D70"/>
    <w:rsid w:val="00137DD1"/>
    <w:rsid w:val="001401E1"/>
    <w:rsid w:val="0014022D"/>
    <w:rsid w:val="00140238"/>
    <w:rsid w:val="001402DF"/>
    <w:rsid w:val="00140347"/>
    <w:rsid w:val="00140468"/>
    <w:rsid w:val="001404FE"/>
    <w:rsid w:val="00140571"/>
    <w:rsid w:val="001405AF"/>
    <w:rsid w:val="00140626"/>
    <w:rsid w:val="00140660"/>
    <w:rsid w:val="00140723"/>
    <w:rsid w:val="00140754"/>
    <w:rsid w:val="0014095D"/>
    <w:rsid w:val="001409CD"/>
    <w:rsid w:val="001409E5"/>
    <w:rsid w:val="00140A0B"/>
    <w:rsid w:val="00140C81"/>
    <w:rsid w:val="00140C98"/>
    <w:rsid w:val="00140CBD"/>
    <w:rsid w:val="00140D23"/>
    <w:rsid w:val="00140D44"/>
    <w:rsid w:val="00140D58"/>
    <w:rsid w:val="00140DAE"/>
    <w:rsid w:val="00140E23"/>
    <w:rsid w:val="00140ED1"/>
    <w:rsid w:val="00140FFA"/>
    <w:rsid w:val="00141070"/>
    <w:rsid w:val="0014114D"/>
    <w:rsid w:val="00141192"/>
    <w:rsid w:val="001411B6"/>
    <w:rsid w:val="001411DC"/>
    <w:rsid w:val="001411EF"/>
    <w:rsid w:val="00141224"/>
    <w:rsid w:val="00141248"/>
    <w:rsid w:val="0014128E"/>
    <w:rsid w:val="001412D4"/>
    <w:rsid w:val="0014132A"/>
    <w:rsid w:val="00141393"/>
    <w:rsid w:val="001413E0"/>
    <w:rsid w:val="00141431"/>
    <w:rsid w:val="0014143A"/>
    <w:rsid w:val="001414B6"/>
    <w:rsid w:val="00141505"/>
    <w:rsid w:val="0014152C"/>
    <w:rsid w:val="0014155B"/>
    <w:rsid w:val="001415BE"/>
    <w:rsid w:val="001415D4"/>
    <w:rsid w:val="00141612"/>
    <w:rsid w:val="001416C0"/>
    <w:rsid w:val="00141708"/>
    <w:rsid w:val="0014183E"/>
    <w:rsid w:val="00141978"/>
    <w:rsid w:val="00141A0F"/>
    <w:rsid w:val="00141BFD"/>
    <w:rsid w:val="00141C84"/>
    <w:rsid w:val="00141D9D"/>
    <w:rsid w:val="00141EA9"/>
    <w:rsid w:val="00141F3F"/>
    <w:rsid w:val="00141FB7"/>
    <w:rsid w:val="001420A0"/>
    <w:rsid w:val="001420B6"/>
    <w:rsid w:val="001420BA"/>
    <w:rsid w:val="00142230"/>
    <w:rsid w:val="00142266"/>
    <w:rsid w:val="00142280"/>
    <w:rsid w:val="001422DF"/>
    <w:rsid w:val="0014239C"/>
    <w:rsid w:val="0014242E"/>
    <w:rsid w:val="001424A4"/>
    <w:rsid w:val="001424E5"/>
    <w:rsid w:val="00142524"/>
    <w:rsid w:val="00142771"/>
    <w:rsid w:val="001427D0"/>
    <w:rsid w:val="001428E0"/>
    <w:rsid w:val="001428F4"/>
    <w:rsid w:val="00142A5C"/>
    <w:rsid w:val="00142B9B"/>
    <w:rsid w:val="00142CC0"/>
    <w:rsid w:val="00142CE4"/>
    <w:rsid w:val="00142D08"/>
    <w:rsid w:val="00142DA0"/>
    <w:rsid w:val="00142DC4"/>
    <w:rsid w:val="00142E80"/>
    <w:rsid w:val="00142F27"/>
    <w:rsid w:val="00142F2B"/>
    <w:rsid w:val="00142FF0"/>
    <w:rsid w:val="00142FFA"/>
    <w:rsid w:val="00143030"/>
    <w:rsid w:val="00143036"/>
    <w:rsid w:val="00143099"/>
    <w:rsid w:val="00143252"/>
    <w:rsid w:val="00143323"/>
    <w:rsid w:val="00143331"/>
    <w:rsid w:val="001433BF"/>
    <w:rsid w:val="001435F8"/>
    <w:rsid w:val="0014361D"/>
    <w:rsid w:val="00143622"/>
    <w:rsid w:val="0014363B"/>
    <w:rsid w:val="00143700"/>
    <w:rsid w:val="001437AA"/>
    <w:rsid w:val="001437F4"/>
    <w:rsid w:val="00143826"/>
    <w:rsid w:val="00143845"/>
    <w:rsid w:val="001438B1"/>
    <w:rsid w:val="0014390B"/>
    <w:rsid w:val="0014394C"/>
    <w:rsid w:val="0014394E"/>
    <w:rsid w:val="00143ACC"/>
    <w:rsid w:val="00143B82"/>
    <w:rsid w:val="00143BBF"/>
    <w:rsid w:val="00143D9D"/>
    <w:rsid w:val="00144043"/>
    <w:rsid w:val="00144118"/>
    <w:rsid w:val="0014413B"/>
    <w:rsid w:val="0014418A"/>
    <w:rsid w:val="0014422A"/>
    <w:rsid w:val="0014428F"/>
    <w:rsid w:val="001444FB"/>
    <w:rsid w:val="00144649"/>
    <w:rsid w:val="00144713"/>
    <w:rsid w:val="00144718"/>
    <w:rsid w:val="00144730"/>
    <w:rsid w:val="0014474E"/>
    <w:rsid w:val="001448C5"/>
    <w:rsid w:val="00144906"/>
    <w:rsid w:val="001449B4"/>
    <w:rsid w:val="00144BB8"/>
    <w:rsid w:val="00144C84"/>
    <w:rsid w:val="00144D96"/>
    <w:rsid w:val="00144DC5"/>
    <w:rsid w:val="00144EB2"/>
    <w:rsid w:val="00144FC5"/>
    <w:rsid w:val="00144FFC"/>
    <w:rsid w:val="0014503B"/>
    <w:rsid w:val="00145093"/>
    <w:rsid w:val="00145173"/>
    <w:rsid w:val="001451A6"/>
    <w:rsid w:val="00145203"/>
    <w:rsid w:val="0014528E"/>
    <w:rsid w:val="001452CA"/>
    <w:rsid w:val="00145320"/>
    <w:rsid w:val="0014538B"/>
    <w:rsid w:val="001453D0"/>
    <w:rsid w:val="001454BA"/>
    <w:rsid w:val="001456C9"/>
    <w:rsid w:val="0014570F"/>
    <w:rsid w:val="0014587D"/>
    <w:rsid w:val="001458C7"/>
    <w:rsid w:val="00145BB7"/>
    <w:rsid w:val="00145C58"/>
    <w:rsid w:val="00145C7E"/>
    <w:rsid w:val="00145C8B"/>
    <w:rsid w:val="00145DD6"/>
    <w:rsid w:val="00145E4A"/>
    <w:rsid w:val="00145F5B"/>
    <w:rsid w:val="0014611A"/>
    <w:rsid w:val="001461A6"/>
    <w:rsid w:val="001462ED"/>
    <w:rsid w:val="00146355"/>
    <w:rsid w:val="00146593"/>
    <w:rsid w:val="001465C3"/>
    <w:rsid w:val="00146651"/>
    <w:rsid w:val="00146656"/>
    <w:rsid w:val="0014671E"/>
    <w:rsid w:val="00146A68"/>
    <w:rsid w:val="00146B19"/>
    <w:rsid w:val="00146D0F"/>
    <w:rsid w:val="00146EC1"/>
    <w:rsid w:val="00146F5C"/>
    <w:rsid w:val="00146FC2"/>
    <w:rsid w:val="00146FC6"/>
    <w:rsid w:val="001470C0"/>
    <w:rsid w:val="001470D3"/>
    <w:rsid w:val="001470DE"/>
    <w:rsid w:val="001472F1"/>
    <w:rsid w:val="00147322"/>
    <w:rsid w:val="001473DC"/>
    <w:rsid w:val="001473ED"/>
    <w:rsid w:val="0014747A"/>
    <w:rsid w:val="00147490"/>
    <w:rsid w:val="001474C4"/>
    <w:rsid w:val="001476CE"/>
    <w:rsid w:val="00147770"/>
    <w:rsid w:val="00147862"/>
    <w:rsid w:val="0014789C"/>
    <w:rsid w:val="001478D2"/>
    <w:rsid w:val="001478D7"/>
    <w:rsid w:val="001479F5"/>
    <w:rsid w:val="00147AD0"/>
    <w:rsid w:val="00147B24"/>
    <w:rsid w:val="00147B46"/>
    <w:rsid w:val="00147B6E"/>
    <w:rsid w:val="00147BB0"/>
    <w:rsid w:val="00147C29"/>
    <w:rsid w:val="00147CF7"/>
    <w:rsid w:val="00147D57"/>
    <w:rsid w:val="00147DED"/>
    <w:rsid w:val="00147E35"/>
    <w:rsid w:val="00147E4E"/>
    <w:rsid w:val="00147EDA"/>
    <w:rsid w:val="00147F08"/>
    <w:rsid w:val="00147FBC"/>
    <w:rsid w:val="001500DE"/>
    <w:rsid w:val="001501E0"/>
    <w:rsid w:val="001501EB"/>
    <w:rsid w:val="00150224"/>
    <w:rsid w:val="001502DD"/>
    <w:rsid w:val="00150337"/>
    <w:rsid w:val="00150392"/>
    <w:rsid w:val="00150497"/>
    <w:rsid w:val="001504C3"/>
    <w:rsid w:val="00150518"/>
    <w:rsid w:val="0015067F"/>
    <w:rsid w:val="00150682"/>
    <w:rsid w:val="00150693"/>
    <w:rsid w:val="00150714"/>
    <w:rsid w:val="00150756"/>
    <w:rsid w:val="0015075B"/>
    <w:rsid w:val="001507E1"/>
    <w:rsid w:val="00150815"/>
    <w:rsid w:val="001508AD"/>
    <w:rsid w:val="00150937"/>
    <w:rsid w:val="001509A9"/>
    <w:rsid w:val="00150A7A"/>
    <w:rsid w:val="00150B20"/>
    <w:rsid w:val="00150D13"/>
    <w:rsid w:val="00150DD5"/>
    <w:rsid w:val="00150E33"/>
    <w:rsid w:val="00150EA5"/>
    <w:rsid w:val="00150EB1"/>
    <w:rsid w:val="00151118"/>
    <w:rsid w:val="00151284"/>
    <w:rsid w:val="00151361"/>
    <w:rsid w:val="00151373"/>
    <w:rsid w:val="001513C8"/>
    <w:rsid w:val="001513D6"/>
    <w:rsid w:val="00151489"/>
    <w:rsid w:val="001514FC"/>
    <w:rsid w:val="00151542"/>
    <w:rsid w:val="001515FA"/>
    <w:rsid w:val="00151639"/>
    <w:rsid w:val="00151658"/>
    <w:rsid w:val="001516E7"/>
    <w:rsid w:val="001517C4"/>
    <w:rsid w:val="00151848"/>
    <w:rsid w:val="0015184D"/>
    <w:rsid w:val="00151AB1"/>
    <w:rsid w:val="00151B80"/>
    <w:rsid w:val="00151BCB"/>
    <w:rsid w:val="00151BE4"/>
    <w:rsid w:val="00151C44"/>
    <w:rsid w:val="00151D61"/>
    <w:rsid w:val="00151D67"/>
    <w:rsid w:val="00151D95"/>
    <w:rsid w:val="00151DAB"/>
    <w:rsid w:val="00151DAE"/>
    <w:rsid w:val="00151DC4"/>
    <w:rsid w:val="00151DF5"/>
    <w:rsid w:val="00151E89"/>
    <w:rsid w:val="00151EDA"/>
    <w:rsid w:val="00151F1E"/>
    <w:rsid w:val="001520D4"/>
    <w:rsid w:val="00152135"/>
    <w:rsid w:val="0015213A"/>
    <w:rsid w:val="0015213D"/>
    <w:rsid w:val="0015216D"/>
    <w:rsid w:val="001522D7"/>
    <w:rsid w:val="001522E5"/>
    <w:rsid w:val="00152457"/>
    <w:rsid w:val="0015247A"/>
    <w:rsid w:val="00152535"/>
    <w:rsid w:val="001525C4"/>
    <w:rsid w:val="001525D5"/>
    <w:rsid w:val="0015261C"/>
    <w:rsid w:val="00152638"/>
    <w:rsid w:val="001526AA"/>
    <w:rsid w:val="00152791"/>
    <w:rsid w:val="00152793"/>
    <w:rsid w:val="00152AB1"/>
    <w:rsid w:val="00152CF6"/>
    <w:rsid w:val="00152CFB"/>
    <w:rsid w:val="00152D04"/>
    <w:rsid w:val="00152E1D"/>
    <w:rsid w:val="00152F1B"/>
    <w:rsid w:val="001530C3"/>
    <w:rsid w:val="001530E4"/>
    <w:rsid w:val="001532F6"/>
    <w:rsid w:val="001535AD"/>
    <w:rsid w:val="00153685"/>
    <w:rsid w:val="001536A8"/>
    <w:rsid w:val="001536D9"/>
    <w:rsid w:val="0015371A"/>
    <w:rsid w:val="0015376E"/>
    <w:rsid w:val="0015376F"/>
    <w:rsid w:val="00153798"/>
    <w:rsid w:val="001537BB"/>
    <w:rsid w:val="00153816"/>
    <w:rsid w:val="00153835"/>
    <w:rsid w:val="00153977"/>
    <w:rsid w:val="0015398E"/>
    <w:rsid w:val="00153A60"/>
    <w:rsid w:val="00153B55"/>
    <w:rsid w:val="00153C89"/>
    <w:rsid w:val="00153C9B"/>
    <w:rsid w:val="00153CF3"/>
    <w:rsid w:val="00153DC0"/>
    <w:rsid w:val="00153DDE"/>
    <w:rsid w:val="00153DFF"/>
    <w:rsid w:val="00153E0E"/>
    <w:rsid w:val="00153F93"/>
    <w:rsid w:val="00153FE0"/>
    <w:rsid w:val="00153FF5"/>
    <w:rsid w:val="00154053"/>
    <w:rsid w:val="00154092"/>
    <w:rsid w:val="001541B1"/>
    <w:rsid w:val="001543BC"/>
    <w:rsid w:val="00154462"/>
    <w:rsid w:val="001545A4"/>
    <w:rsid w:val="0015462E"/>
    <w:rsid w:val="001546E3"/>
    <w:rsid w:val="00154701"/>
    <w:rsid w:val="00154891"/>
    <w:rsid w:val="001548FA"/>
    <w:rsid w:val="00154971"/>
    <w:rsid w:val="00154A0B"/>
    <w:rsid w:val="00154A51"/>
    <w:rsid w:val="00154B60"/>
    <w:rsid w:val="00154BA1"/>
    <w:rsid w:val="00154D03"/>
    <w:rsid w:val="00154D4D"/>
    <w:rsid w:val="00154E29"/>
    <w:rsid w:val="00154E96"/>
    <w:rsid w:val="00155011"/>
    <w:rsid w:val="00155056"/>
    <w:rsid w:val="0015507A"/>
    <w:rsid w:val="0015510E"/>
    <w:rsid w:val="001551AA"/>
    <w:rsid w:val="001552D7"/>
    <w:rsid w:val="001552DA"/>
    <w:rsid w:val="00155362"/>
    <w:rsid w:val="00155489"/>
    <w:rsid w:val="001554AA"/>
    <w:rsid w:val="001554C6"/>
    <w:rsid w:val="00155636"/>
    <w:rsid w:val="00155728"/>
    <w:rsid w:val="00155823"/>
    <w:rsid w:val="00155865"/>
    <w:rsid w:val="001558ED"/>
    <w:rsid w:val="0015591B"/>
    <w:rsid w:val="00155C07"/>
    <w:rsid w:val="00155D37"/>
    <w:rsid w:val="00155D51"/>
    <w:rsid w:val="00155FA7"/>
    <w:rsid w:val="00155FB9"/>
    <w:rsid w:val="0015613D"/>
    <w:rsid w:val="00156173"/>
    <w:rsid w:val="00156249"/>
    <w:rsid w:val="001562DC"/>
    <w:rsid w:val="00156338"/>
    <w:rsid w:val="00156425"/>
    <w:rsid w:val="00156485"/>
    <w:rsid w:val="001564D4"/>
    <w:rsid w:val="0015656A"/>
    <w:rsid w:val="0015663B"/>
    <w:rsid w:val="001566A9"/>
    <w:rsid w:val="001566E2"/>
    <w:rsid w:val="001567CF"/>
    <w:rsid w:val="001567DE"/>
    <w:rsid w:val="00156806"/>
    <w:rsid w:val="0015688E"/>
    <w:rsid w:val="001568F9"/>
    <w:rsid w:val="0015691A"/>
    <w:rsid w:val="0015695C"/>
    <w:rsid w:val="001569BF"/>
    <w:rsid w:val="00156A91"/>
    <w:rsid w:val="00156B83"/>
    <w:rsid w:val="00156C0D"/>
    <w:rsid w:val="00156C1B"/>
    <w:rsid w:val="00156C4F"/>
    <w:rsid w:val="00156C69"/>
    <w:rsid w:val="00156CAC"/>
    <w:rsid w:val="00156F26"/>
    <w:rsid w:val="00156FB8"/>
    <w:rsid w:val="0015704F"/>
    <w:rsid w:val="001570D4"/>
    <w:rsid w:val="0015720A"/>
    <w:rsid w:val="0015723D"/>
    <w:rsid w:val="0015729F"/>
    <w:rsid w:val="0015734B"/>
    <w:rsid w:val="00157417"/>
    <w:rsid w:val="00157541"/>
    <w:rsid w:val="00157583"/>
    <w:rsid w:val="00157596"/>
    <w:rsid w:val="00157694"/>
    <w:rsid w:val="0015769B"/>
    <w:rsid w:val="001576B0"/>
    <w:rsid w:val="00157703"/>
    <w:rsid w:val="00157729"/>
    <w:rsid w:val="0015774F"/>
    <w:rsid w:val="001578AE"/>
    <w:rsid w:val="001578D0"/>
    <w:rsid w:val="001579E1"/>
    <w:rsid w:val="00157ACF"/>
    <w:rsid w:val="00157B69"/>
    <w:rsid w:val="00157BF0"/>
    <w:rsid w:val="00157DE3"/>
    <w:rsid w:val="00157E2A"/>
    <w:rsid w:val="00157E65"/>
    <w:rsid w:val="00157EE1"/>
    <w:rsid w:val="001601C5"/>
    <w:rsid w:val="001601FB"/>
    <w:rsid w:val="00160228"/>
    <w:rsid w:val="0016024C"/>
    <w:rsid w:val="00160329"/>
    <w:rsid w:val="00160391"/>
    <w:rsid w:val="00160397"/>
    <w:rsid w:val="00160399"/>
    <w:rsid w:val="001604A7"/>
    <w:rsid w:val="00160659"/>
    <w:rsid w:val="00160755"/>
    <w:rsid w:val="00160787"/>
    <w:rsid w:val="0016088F"/>
    <w:rsid w:val="00160C14"/>
    <w:rsid w:val="00160CAB"/>
    <w:rsid w:val="00160CC5"/>
    <w:rsid w:val="00160E6B"/>
    <w:rsid w:val="00160EEE"/>
    <w:rsid w:val="00160F3C"/>
    <w:rsid w:val="00160F81"/>
    <w:rsid w:val="00161161"/>
    <w:rsid w:val="00161173"/>
    <w:rsid w:val="001613D5"/>
    <w:rsid w:val="00161492"/>
    <w:rsid w:val="00161495"/>
    <w:rsid w:val="00161A56"/>
    <w:rsid w:val="00161B13"/>
    <w:rsid w:val="00161B7C"/>
    <w:rsid w:val="00161BA0"/>
    <w:rsid w:val="00161D26"/>
    <w:rsid w:val="00161E7A"/>
    <w:rsid w:val="00161FF3"/>
    <w:rsid w:val="00162034"/>
    <w:rsid w:val="00162163"/>
    <w:rsid w:val="0016220D"/>
    <w:rsid w:val="00162221"/>
    <w:rsid w:val="001623FF"/>
    <w:rsid w:val="00162633"/>
    <w:rsid w:val="00162666"/>
    <w:rsid w:val="001627DC"/>
    <w:rsid w:val="00162809"/>
    <w:rsid w:val="001628EC"/>
    <w:rsid w:val="00162AAD"/>
    <w:rsid w:val="00162C1B"/>
    <w:rsid w:val="00162C33"/>
    <w:rsid w:val="00162CB8"/>
    <w:rsid w:val="00162E47"/>
    <w:rsid w:val="00162E6D"/>
    <w:rsid w:val="00162FEF"/>
    <w:rsid w:val="00163046"/>
    <w:rsid w:val="00163062"/>
    <w:rsid w:val="001630ED"/>
    <w:rsid w:val="00163123"/>
    <w:rsid w:val="00163194"/>
    <w:rsid w:val="001631A2"/>
    <w:rsid w:val="001631EB"/>
    <w:rsid w:val="00163248"/>
    <w:rsid w:val="0016324F"/>
    <w:rsid w:val="0016342A"/>
    <w:rsid w:val="001634D6"/>
    <w:rsid w:val="00163550"/>
    <w:rsid w:val="0016367F"/>
    <w:rsid w:val="00163807"/>
    <w:rsid w:val="0016383A"/>
    <w:rsid w:val="0016384F"/>
    <w:rsid w:val="001638CD"/>
    <w:rsid w:val="001638F9"/>
    <w:rsid w:val="00163956"/>
    <w:rsid w:val="001639A4"/>
    <w:rsid w:val="00163A57"/>
    <w:rsid w:val="00163AE8"/>
    <w:rsid w:val="00163D17"/>
    <w:rsid w:val="00163D32"/>
    <w:rsid w:val="00163D6A"/>
    <w:rsid w:val="00163F49"/>
    <w:rsid w:val="00163F59"/>
    <w:rsid w:val="0016403D"/>
    <w:rsid w:val="001640FA"/>
    <w:rsid w:val="00164164"/>
    <w:rsid w:val="001641C3"/>
    <w:rsid w:val="001641E6"/>
    <w:rsid w:val="001641EA"/>
    <w:rsid w:val="00164204"/>
    <w:rsid w:val="0016439D"/>
    <w:rsid w:val="0016445C"/>
    <w:rsid w:val="00164628"/>
    <w:rsid w:val="00164703"/>
    <w:rsid w:val="0016481A"/>
    <w:rsid w:val="0016486E"/>
    <w:rsid w:val="0016496C"/>
    <w:rsid w:val="00164989"/>
    <w:rsid w:val="001649EB"/>
    <w:rsid w:val="00164A03"/>
    <w:rsid w:val="00164A92"/>
    <w:rsid w:val="00164B44"/>
    <w:rsid w:val="00164C26"/>
    <w:rsid w:val="00164E2A"/>
    <w:rsid w:val="00164E39"/>
    <w:rsid w:val="00164F86"/>
    <w:rsid w:val="00164FFB"/>
    <w:rsid w:val="001650EF"/>
    <w:rsid w:val="00165233"/>
    <w:rsid w:val="00165306"/>
    <w:rsid w:val="00165380"/>
    <w:rsid w:val="001653DD"/>
    <w:rsid w:val="00165469"/>
    <w:rsid w:val="00165480"/>
    <w:rsid w:val="001654E8"/>
    <w:rsid w:val="001655A6"/>
    <w:rsid w:val="001655E9"/>
    <w:rsid w:val="00165662"/>
    <w:rsid w:val="0016567E"/>
    <w:rsid w:val="001656B7"/>
    <w:rsid w:val="00165739"/>
    <w:rsid w:val="001657AC"/>
    <w:rsid w:val="001657F2"/>
    <w:rsid w:val="00165811"/>
    <w:rsid w:val="001658A7"/>
    <w:rsid w:val="001658DC"/>
    <w:rsid w:val="0016596A"/>
    <w:rsid w:val="0016597C"/>
    <w:rsid w:val="00165B5A"/>
    <w:rsid w:val="00165BB6"/>
    <w:rsid w:val="00165CA0"/>
    <w:rsid w:val="00165E5F"/>
    <w:rsid w:val="00165E70"/>
    <w:rsid w:val="00165F7F"/>
    <w:rsid w:val="00165FC7"/>
    <w:rsid w:val="00165FF8"/>
    <w:rsid w:val="001662E7"/>
    <w:rsid w:val="00166348"/>
    <w:rsid w:val="00166365"/>
    <w:rsid w:val="0016640E"/>
    <w:rsid w:val="00166493"/>
    <w:rsid w:val="0016649F"/>
    <w:rsid w:val="001664E3"/>
    <w:rsid w:val="00166603"/>
    <w:rsid w:val="00166644"/>
    <w:rsid w:val="00166646"/>
    <w:rsid w:val="00166839"/>
    <w:rsid w:val="00166871"/>
    <w:rsid w:val="00166910"/>
    <w:rsid w:val="00166A33"/>
    <w:rsid w:val="00166A72"/>
    <w:rsid w:val="00166ABC"/>
    <w:rsid w:val="00166B51"/>
    <w:rsid w:val="00166BE5"/>
    <w:rsid w:val="00166D2F"/>
    <w:rsid w:val="00166E20"/>
    <w:rsid w:val="00166E24"/>
    <w:rsid w:val="00166E27"/>
    <w:rsid w:val="00166E33"/>
    <w:rsid w:val="00166F55"/>
    <w:rsid w:val="00166F89"/>
    <w:rsid w:val="00166FFA"/>
    <w:rsid w:val="00167088"/>
    <w:rsid w:val="001671C1"/>
    <w:rsid w:val="0016732A"/>
    <w:rsid w:val="001673ED"/>
    <w:rsid w:val="0016749B"/>
    <w:rsid w:val="00167516"/>
    <w:rsid w:val="00167555"/>
    <w:rsid w:val="00167590"/>
    <w:rsid w:val="00167634"/>
    <w:rsid w:val="0016763E"/>
    <w:rsid w:val="00167684"/>
    <w:rsid w:val="00167758"/>
    <w:rsid w:val="001678EC"/>
    <w:rsid w:val="00167928"/>
    <w:rsid w:val="0016794E"/>
    <w:rsid w:val="0016799F"/>
    <w:rsid w:val="00167A1F"/>
    <w:rsid w:val="00167B1A"/>
    <w:rsid w:val="00167B1E"/>
    <w:rsid w:val="00167BCC"/>
    <w:rsid w:val="00167D27"/>
    <w:rsid w:val="00167D61"/>
    <w:rsid w:val="0017003E"/>
    <w:rsid w:val="00170086"/>
    <w:rsid w:val="00170163"/>
    <w:rsid w:val="001701E3"/>
    <w:rsid w:val="0017022C"/>
    <w:rsid w:val="0017030F"/>
    <w:rsid w:val="001703B0"/>
    <w:rsid w:val="001703D1"/>
    <w:rsid w:val="001703DB"/>
    <w:rsid w:val="00170472"/>
    <w:rsid w:val="0017050F"/>
    <w:rsid w:val="001707FB"/>
    <w:rsid w:val="00170868"/>
    <w:rsid w:val="0017086C"/>
    <w:rsid w:val="00170916"/>
    <w:rsid w:val="0017092B"/>
    <w:rsid w:val="00170994"/>
    <w:rsid w:val="0017099B"/>
    <w:rsid w:val="001709A9"/>
    <w:rsid w:val="00170A18"/>
    <w:rsid w:val="00170A51"/>
    <w:rsid w:val="00170AE4"/>
    <w:rsid w:val="00170B1C"/>
    <w:rsid w:val="00170C65"/>
    <w:rsid w:val="00170C72"/>
    <w:rsid w:val="00170CF4"/>
    <w:rsid w:val="00170F01"/>
    <w:rsid w:val="00170F2C"/>
    <w:rsid w:val="00170FF6"/>
    <w:rsid w:val="00170FFD"/>
    <w:rsid w:val="00171035"/>
    <w:rsid w:val="00171087"/>
    <w:rsid w:val="001710D3"/>
    <w:rsid w:val="00171176"/>
    <w:rsid w:val="001711C1"/>
    <w:rsid w:val="001711E3"/>
    <w:rsid w:val="00171216"/>
    <w:rsid w:val="00171417"/>
    <w:rsid w:val="0017172C"/>
    <w:rsid w:val="00171765"/>
    <w:rsid w:val="00171876"/>
    <w:rsid w:val="0017187E"/>
    <w:rsid w:val="00171943"/>
    <w:rsid w:val="001719A2"/>
    <w:rsid w:val="001719C0"/>
    <w:rsid w:val="00171B8E"/>
    <w:rsid w:val="00171B94"/>
    <w:rsid w:val="00171C00"/>
    <w:rsid w:val="00171C0A"/>
    <w:rsid w:val="00171C41"/>
    <w:rsid w:val="00171CAB"/>
    <w:rsid w:val="00171CB5"/>
    <w:rsid w:val="00171DBD"/>
    <w:rsid w:val="00171E5A"/>
    <w:rsid w:val="00171F45"/>
    <w:rsid w:val="00172130"/>
    <w:rsid w:val="00172229"/>
    <w:rsid w:val="00172234"/>
    <w:rsid w:val="00172415"/>
    <w:rsid w:val="001724D2"/>
    <w:rsid w:val="00172578"/>
    <w:rsid w:val="00172629"/>
    <w:rsid w:val="00172696"/>
    <w:rsid w:val="001726AD"/>
    <w:rsid w:val="00172743"/>
    <w:rsid w:val="001727C4"/>
    <w:rsid w:val="0017281E"/>
    <w:rsid w:val="0017287F"/>
    <w:rsid w:val="001728F2"/>
    <w:rsid w:val="00172997"/>
    <w:rsid w:val="00172ABC"/>
    <w:rsid w:val="00172B82"/>
    <w:rsid w:val="00172BEC"/>
    <w:rsid w:val="00172C9B"/>
    <w:rsid w:val="00172DBF"/>
    <w:rsid w:val="00172FBA"/>
    <w:rsid w:val="00173082"/>
    <w:rsid w:val="00173096"/>
    <w:rsid w:val="001730BE"/>
    <w:rsid w:val="00173151"/>
    <w:rsid w:val="001731CA"/>
    <w:rsid w:val="00173311"/>
    <w:rsid w:val="0017333D"/>
    <w:rsid w:val="0017343A"/>
    <w:rsid w:val="0017358E"/>
    <w:rsid w:val="0017363D"/>
    <w:rsid w:val="001736F0"/>
    <w:rsid w:val="001738A7"/>
    <w:rsid w:val="00173A04"/>
    <w:rsid w:val="00173B34"/>
    <w:rsid w:val="00173D4B"/>
    <w:rsid w:val="00173E6E"/>
    <w:rsid w:val="00173EB6"/>
    <w:rsid w:val="00173FC3"/>
    <w:rsid w:val="0017404A"/>
    <w:rsid w:val="00174135"/>
    <w:rsid w:val="0017418E"/>
    <w:rsid w:val="001742CC"/>
    <w:rsid w:val="0017439E"/>
    <w:rsid w:val="0017441D"/>
    <w:rsid w:val="0017444A"/>
    <w:rsid w:val="001744A0"/>
    <w:rsid w:val="001744A7"/>
    <w:rsid w:val="001746BA"/>
    <w:rsid w:val="001747D8"/>
    <w:rsid w:val="001748AA"/>
    <w:rsid w:val="001748AC"/>
    <w:rsid w:val="001748E4"/>
    <w:rsid w:val="00174905"/>
    <w:rsid w:val="00174936"/>
    <w:rsid w:val="00174A92"/>
    <w:rsid w:val="00174AA1"/>
    <w:rsid w:val="00174B35"/>
    <w:rsid w:val="00174B8F"/>
    <w:rsid w:val="00174BCA"/>
    <w:rsid w:val="00174C2B"/>
    <w:rsid w:val="00174C92"/>
    <w:rsid w:val="00174D61"/>
    <w:rsid w:val="00174EAE"/>
    <w:rsid w:val="00174F92"/>
    <w:rsid w:val="00174FCA"/>
    <w:rsid w:val="0017501A"/>
    <w:rsid w:val="0017507B"/>
    <w:rsid w:val="0017529F"/>
    <w:rsid w:val="001753E3"/>
    <w:rsid w:val="00175458"/>
    <w:rsid w:val="001755D2"/>
    <w:rsid w:val="00175736"/>
    <w:rsid w:val="001757CB"/>
    <w:rsid w:val="001757FF"/>
    <w:rsid w:val="00175814"/>
    <w:rsid w:val="00175A23"/>
    <w:rsid w:val="00175AD4"/>
    <w:rsid w:val="00175CA9"/>
    <w:rsid w:val="00175CF7"/>
    <w:rsid w:val="00175D37"/>
    <w:rsid w:val="0017604B"/>
    <w:rsid w:val="00176066"/>
    <w:rsid w:val="00176111"/>
    <w:rsid w:val="00176200"/>
    <w:rsid w:val="00176457"/>
    <w:rsid w:val="00176471"/>
    <w:rsid w:val="0017649E"/>
    <w:rsid w:val="00176510"/>
    <w:rsid w:val="0017651E"/>
    <w:rsid w:val="001765A7"/>
    <w:rsid w:val="00176638"/>
    <w:rsid w:val="0017676A"/>
    <w:rsid w:val="0017680C"/>
    <w:rsid w:val="001768C1"/>
    <w:rsid w:val="001768E5"/>
    <w:rsid w:val="00176992"/>
    <w:rsid w:val="00176A62"/>
    <w:rsid w:val="00176ADE"/>
    <w:rsid w:val="00176BBE"/>
    <w:rsid w:val="00176C64"/>
    <w:rsid w:val="00176CE2"/>
    <w:rsid w:val="00176D13"/>
    <w:rsid w:val="00176D1B"/>
    <w:rsid w:val="00176D88"/>
    <w:rsid w:val="00176DF9"/>
    <w:rsid w:val="00176F25"/>
    <w:rsid w:val="0017701D"/>
    <w:rsid w:val="00177099"/>
    <w:rsid w:val="00177271"/>
    <w:rsid w:val="001772A2"/>
    <w:rsid w:val="001772FA"/>
    <w:rsid w:val="00177310"/>
    <w:rsid w:val="00177347"/>
    <w:rsid w:val="0017735C"/>
    <w:rsid w:val="001773BF"/>
    <w:rsid w:val="0017745E"/>
    <w:rsid w:val="0017754E"/>
    <w:rsid w:val="00177691"/>
    <w:rsid w:val="00177744"/>
    <w:rsid w:val="0017776F"/>
    <w:rsid w:val="001777D4"/>
    <w:rsid w:val="00177B87"/>
    <w:rsid w:val="00177BFB"/>
    <w:rsid w:val="00177D23"/>
    <w:rsid w:val="00177E1D"/>
    <w:rsid w:val="00177E8A"/>
    <w:rsid w:val="00177F1C"/>
    <w:rsid w:val="00177F36"/>
    <w:rsid w:val="0018000C"/>
    <w:rsid w:val="001802B3"/>
    <w:rsid w:val="00180465"/>
    <w:rsid w:val="00180481"/>
    <w:rsid w:val="00180750"/>
    <w:rsid w:val="00180790"/>
    <w:rsid w:val="001807FD"/>
    <w:rsid w:val="00180836"/>
    <w:rsid w:val="0018083B"/>
    <w:rsid w:val="00180949"/>
    <w:rsid w:val="001809EB"/>
    <w:rsid w:val="00180A1C"/>
    <w:rsid w:val="00180B09"/>
    <w:rsid w:val="00180C0D"/>
    <w:rsid w:val="00180C5E"/>
    <w:rsid w:val="00180CC3"/>
    <w:rsid w:val="00180CD5"/>
    <w:rsid w:val="00180D4A"/>
    <w:rsid w:val="00180EBA"/>
    <w:rsid w:val="00180F6B"/>
    <w:rsid w:val="00180FA0"/>
    <w:rsid w:val="0018110F"/>
    <w:rsid w:val="001811A8"/>
    <w:rsid w:val="001811D9"/>
    <w:rsid w:val="0018122A"/>
    <w:rsid w:val="00181344"/>
    <w:rsid w:val="001813F0"/>
    <w:rsid w:val="00181444"/>
    <w:rsid w:val="001814AC"/>
    <w:rsid w:val="00181663"/>
    <w:rsid w:val="00181BEB"/>
    <w:rsid w:val="00181BF6"/>
    <w:rsid w:val="00181D5D"/>
    <w:rsid w:val="00181E5C"/>
    <w:rsid w:val="00181EFE"/>
    <w:rsid w:val="00181F36"/>
    <w:rsid w:val="0018204F"/>
    <w:rsid w:val="00182148"/>
    <w:rsid w:val="001821F2"/>
    <w:rsid w:val="0018228D"/>
    <w:rsid w:val="001822B7"/>
    <w:rsid w:val="0018244E"/>
    <w:rsid w:val="001824C8"/>
    <w:rsid w:val="0018251A"/>
    <w:rsid w:val="001825F9"/>
    <w:rsid w:val="0018267C"/>
    <w:rsid w:val="0018268D"/>
    <w:rsid w:val="00182769"/>
    <w:rsid w:val="00182866"/>
    <w:rsid w:val="00182B12"/>
    <w:rsid w:val="00182B96"/>
    <w:rsid w:val="00182B98"/>
    <w:rsid w:val="00182C63"/>
    <w:rsid w:val="00182DA9"/>
    <w:rsid w:val="00182DCC"/>
    <w:rsid w:val="00182E53"/>
    <w:rsid w:val="00182EBF"/>
    <w:rsid w:val="00182F0A"/>
    <w:rsid w:val="00182F31"/>
    <w:rsid w:val="00182F85"/>
    <w:rsid w:val="00182FA8"/>
    <w:rsid w:val="00182FC3"/>
    <w:rsid w:val="0018306F"/>
    <w:rsid w:val="001830D1"/>
    <w:rsid w:val="001831F4"/>
    <w:rsid w:val="00183248"/>
    <w:rsid w:val="00183256"/>
    <w:rsid w:val="00183329"/>
    <w:rsid w:val="00183345"/>
    <w:rsid w:val="00183518"/>
    <w:rsid w:val="00183577"/>
    <w:rsid w:val="001835CF"/>
    <w:rsid w:val="00183673"/>
    <w:rsid w:val="00183759"/>
    <w:rsid w:val="001837C3"/>
    <w:rsid w:val="001838BE"/>
    <w:rsid w:val="001839DB"/>
    <w:rsid w:val="00183B2E"/>
    <w:rsid w:val="00183B59"/>
    <w:rsid w:val="00183C95"/>
    <w:rsid w:val="00183CCC"/>
    <w:rsid w:val="00183EEF"/>
    <w:rsid w:val="00183EF0"/>
    <w:rsid w:val="00184094"/>
    <w:rsid w:val="00184103"/>
    <w:rsid w:val="0018424C"/>
    <w:rsid w:val="00184277"/>
    <w:rsid w:val="001843B0"/>
    <w:rsid w:val="001844D4"/>
    <w:rsid w:val="001846F2"/>
    <w:rsid w:val="0018472D"/>
    <w:rsid w:val="00184796"/>
    <w:rsid w:val="0018483B"/>
    <w:rsid w:val="001848B5"/>
    <w:rsid w:val="00184B44"/>
    <w:rsid w:val="00184B7F"/>
    <w:rsid w:val="00184C42"/>
    <w:rsid w:val="00184CEA"/>
    <w:rsid w:val="00184D72"/>
    <w:rsid w:val="00184D8A"/>
    <w:rsid w:val="00184DCD"/>
    <w:rsid w:val="00184FF0"/>
    <w:rsid w:val="0018517D"/>
    <w:rsid w:val="00185265"/>
    <w:rsid w:val="00185267"/>
    <w:rsid w:val="001855FD"/>
    <w:rsid w:val="0018567A"/>
    <w:rsid w:val="001857C1"/>
    <w:rsid w:val="00185875"/>
    <w:rsid w:val="001858ED"/>
    <w:rsid w:val="001858F7"/>
    <w:rsid w:val="00185972"/>
    <w:rsid w:val="001859B0"/>
    <w:rsid w:val="001859B2"/>
    <w:rsid w:val="001859F4"/>
    <w:rsid w:val="00185B33"/>
    <w:rsid w:val="00185B71"/>
    <w:rsid w:val="00185B8A"/>
    <w:rsid w:val="00185C2F"/>
    <w:rsid w:val="00185CC7"/>
    <w:rsid w:val="00185DA8"/>
    <w:rsid w:val="00185F86"/>
    <w:rsid w:val="00186018"/>
    <w:rsid w:val="00186140"/>
    <w:rsid w:val="001861BE"/>
    <w:rsid w:val="00186256"/>
    <w:rsid w:val="001862C5"/>
    <w:rsid w:val="00186364"/>
    <w:rsid w:val="001863BA"/>
    <w:rsid w:val="00186635"/>
    <w:rsid w:val="001866E9"/>
    <w:rsid w:val="0018689B"/>
    <w:rsid w:val="00186906"/>
    <w:rsid w:val="00186A27"/>
    <w:rsid w:val="00186A56"/>
    <w:rsid w:val="00186AB2"/>
    <w:rsid w:val="00186CA1"/>
    <w:rsid w:val="00186CF7"/>
    <w:rsid w:val="00186DCD"/>
    <w:rsid w:val="00186DD9"/>
    <w:rsid w:val="00186E39"/>
    <w:rsid w:val="00186E87"/>
    <w:rsid w:val="00186ED6"/>
    <w:rsid w:val="00186EE7"/>
    <w:rsid w:val="001870C7"/>
    <w:rsid w:val="00187245"/>
    <w:rsid w:val="0018747D"/>
    <w:rsid w:val="00187606"/>
    <w:rsid w:val="0018762B"/>
    <w:rsid w:val="00187697"/>
    <w:rsid w:val="00187762"/>
    <w:rsid w:val="001877C9"/>
    <w:rsid w:val="00187925"/>
    <w:rsid w:val="00187980"/>
    <w:rsid w:val="00187AC8"/>
    <w:rsid w:val="00187B3C"/>
    <w:rsid w:val="00187CB3"/>
    <w:rsid w:val="00187E1C"/>
    <w:rsid w:val="00187EA3"/>
    <w:rsid w:val="00187EB9"/>
    <w:rsid w:val="0019002B"/>
    <w:rsid w:val="0019014B"/>
    <w:rsid w:val="0019029B"/>
    <w:rsid w:val="0019039B"/>
    <w:rsid w:val="001903E7"/>
    <w:rsid w:val="00190510"/>
    <w:rsid w:val="00190607"/>
    <w:rsid w:val="001906F3"/>
    <w:rsid w:val="0019072C"/>
    <w:rsid w:val="001907F9"/>
    <w:rsid w:val="00190870"/>
    <w:rsid w:val="001909D5"/>
    <w:rsid w:val="00190A27"/>
    <w:rsid w:val="00190A44"/>
    <w:rsid w:val="00190AF0"/>
    <w:rsid w:val="00190B2A"/>
    <w:rsid w:val="00190B67"/>
    <w:rsid w:val="00190C13"/>
    <w:rsid w:val="00190C36"/>
    <w:rsid w:val="00190C3B"/>
    <w:rsid w:val="00190D11"/>
    <w:rsid w:val="00190D5F"/>
    <w:rsid w:val="00190DF2"/>
    <w:rsid w:val="00190E5B"/>
    <w:rsid w:val="00191039"/>
    <w:rsid w:val="001910A3"/>
    <w:rsid w:val="001910E6"/>
    <w:rsid w:val="00191120"/>
    <w:rsid w:val="00191154"/>
    <w:rsid w:val="00191170"/>
    <w:rsid w:val="0019135B"/>
    <w:rsid w:val="00191421"/>
    <w:rsid w:val="001915AE"/>
    <w:rsid w:val="0019178C"/>
    <w:rsid w:val="00191867"/>
    <w:rsid w:val="001918BF"/>
    <w:rsid w:val="001918C3"/>
    <w:rsid w:val="00191B38"/>
    <w:rsid w:val="00191B53"/>
    <w:rsid w:val="00191C31"/>
    <w:rsid w:val="00191E19"/>
    <w:rsid w:val="00191E29"/>
    <w:rsid w:val="00192089"/>
    <w:rsid w:val="00192147"/>
    <w:rsid w:val="00192260"/>
    <w:rsid w:val="001922B5"/>
    <w:rsid w:val="001922C8"/>
    <w:rsid w:val="00192344"/>
    <w:rsid w:val="001923C8"/>
    <w:rsid w:val="00192429"/>
    <w:rsid w:val="0019255C"/>
    <w:rsid w:val="00192600"/>
    <w:rsid w:val="001926E8"/>
    <w:rsid w:val="00192783"/>
    <w:rsid w:val="001927CD"/>
    <w:rsid w:val="00192845"/>
    <w:rsid w:val="00192A98"/>
    <w:rsid w:val="00192A9E"/>
    <w:rsid w:val="00192B78"/>
    <w:rsid w:val="00192D98"/>
    <w:rsid w:val="00192DA6"/>
    <w:rsid w:val="00192DC6"/>
    <w:rsid w:val="00193012"/>
    <w:rsid w:val="0019308F"/>
    <w:rsid w:val="0019319A"/>
    <w:rsid w:val="001931C2"/>
    <w:rsid w:val="0019324A"/>
    <w:rsid w:val="001932D4"/>
    <w:rsid w:val="00193392"/>
    <w:rsid w:val="001933CE"/>
    <w:rsid w:val="0019347B"/>
    <w:rsid w:val="001934EF"/>
    <w:rsid w:val="001935CD"/>
    <w:rsid w:val="001936BA"/>
    <w:rsid w:val="0019373A"/>
    <w:rsid w:val="0019373D"/>
    <w:rsid w:val="001937E2"/>
    <w:rsid w:val="00193921"/>
    <w:rsid w:val="00193A08"/>
    <w:rsid w:val="00193A1F"/>
    <w:rsid w:val="00193B72"/>
    <w:rsid w:val="00193BB3"/>
    <w:rsid w:val="00193C5D"/>
    <w:rsid w:val="00193D32"/>
    <w:rsid w:val="00193E84"/>
    <w:rsid w:val="00193F0C"/>
    <w:rsid w:val="00193F8B"/>
    <w:rsid w:val="00194021"/>
    <w:rsid w:val="00194113"/>
    <w:rsid w:val="00194264"/>
    <w:rsid w:val="00194350"/>
    <w:rsid w:val="00194401"/>
    <w:rsid w:val="00194425"/>
    <w:rsid w:val="001944A6"/>
    <w:rsid w:val="001944BF"/>
    <w:rsid w:val="001944D0"/>
    <w:rsid w:val="001945A0"/>
    <w:rsid w:val="001945AC"/>
    <w:rsid w:val="001945EB"/>
    <w:rsid w:val="00194740"/>
    <w:rsid w:val="0019479F"/>
    <w:rsid w:val="001947E8"/>
    <w:rsid w:val="00194857"/>
    <w:rsid w:val="00194998"/>
    <w:rsid w:val="00194A81"/>
    <w:rsid w:val="00194AB5"/>
    <w:rsid w:val="00194B1F"/>
    <w:rsid w:val="00194C35"/>
    <w:rsid w:val="00194D0A"/>
    <w:rsid w:val="00194D35"/>
    <w:rsid w:val="00194D7F"/>
    <w:rsid w:val="00194DFD"/>
    <w:rsid w:val="00194E0E"/>
    <w:rsid w:val="00194E1C"/>
    <w:rsid w:val="00195001"/>
    <w:rsid w:val="00195245"/>
    <w:rsid w:val="001952ED"/>
    <w:rsid w:val="0019533E"/>
    <w:rsid w:val="0019538B"/>
    <w:rsid w:val="00195544"/>
    <w:rsid w:val="00195736"/>
    <w:rsid w:val="0019573C"/>
    <w:rsid w:val="00195767"/>
    <w:rsid w:val="001957C5"/>
    <w:rsid w:val="00195878"/>
    <w:rsid w:val="00195A09"/>
    <w:rsid w:val="00195AC4"/>
    <w:rsid w:val="00195BE2"/>
    <w:rsid w:val="00195BFA"/>
    <w:rsid w:val="00195C9D"/>
    <w:rsid w:val="00195D2F"/>
    <w:rsid w:val="00195D71"/>
    <w:rsid w:val="00195D73"/>
    <w:rsid w:val="00195D8A"/>
    <w:rsid w:val="00195DD4"/>
    <w:rsid w:val="00195E84"/>
    <w:rsid w:val="001960AF"/>
    <w:rsid w:val="0019612D"/>
    <w:rsid w:val="0019623E"/>
    <w:rsid w:val="001962D1"/>
    <w:rsid w:val="0019640B"/>
    <w:rsid w:val="00196437"/>
    <w:rsid w:val="001964D8"/>
    <w:rsid w:val="0019674F"/>
    <w:rsid w:val="00196775"/>
    <w:rsid w:val="00196801"/>
    <w:rsid w:val="0019684C"/>
    <w:rsid w:val="00196B2C"/>
    <w:rsid w:val="00196B5A"/>
    <w:rsid w:val="00196B83"/>
    <w:rsid w:val="00196BF4"/>
    <w:rsid w:val="00196D1F"/>
    <w:rsid w:val="00196D3A"/>
    <w:rsid w:val="00196DAF"/>
    <w:rsid w:val="00196DC5"/>
    <w:rsid w:val="00196DCC"/>
    <w:rsid w:val="00196DF0"/>
    <w:rsid w:val="00196E89"/>
    <w:rsid w:val="00197105"/>
    <w:rsid w:val="0019714B"/>
    <w:rsid w:val="00197171"/>
    <w:rsid w:val="00197172"/>
    <w:rsid w:val="00197224"/>
    <w:rsid w:val="001975E2"/>
    <w:rsid w:val="001975FD"/>
    <w:rsid w:val="00197613"/>
    <w:rsid w:val="0019763D"/>
    <w:rsid w:val="001976FE"/>
    <w:rsid w:val="00197761"/>
    <w:rsid w:val="001977C6"/>
    <w:rsid w:val="00197822"/>
    <w:rsid w:val="001978B8"/>
    <w:rsid w:val="0019794E"/>
    <w:rsid w:val="00197ABB"/>
    <w:rsid w:val="00197B88"/>
    <w:rsid w:val="00197BA5"/>
    <w:rsid w:val="00197C0F"/>
    <w:rsid w:val="00197C1A"/>
    <w:rsid w:val="00197CBE"/>
    <w:rsid w:val="00197CD2"/>
    <w:rsid w:val="00197E67"/>
    <w:rsid w:val="00197EF1"/>
    <w:rsid w:val="001A00C7"/>
    <w:rsid w:val="001A00D2"/>
    <w:rsid w:val="001A00DA"/>
    <w:rsid w:val="001A0124"/>
    <w:rsid w:val="001A017E"/>
    <w:rsid w:val="001A01F3"/>
    <w:rsid w:val="001A0271"/>
    <w:rsid w:val="001A02C8"/>
    <w:rsid w:val="001A037B"/>
    <w:rsid w:val="001A03DB"/>
    <w:rsid w:val="001A0578"/>
    <w:rsid w:val="001A06AD"/>
    <w:rsid w:val="001A07BC"/>
    <w:rsid w:val="001A07EA"/>
    <w:rsid w:val="001A081F"/>
    <w:rsid w:val="001A085E"/>
    <w:rsid w:val="001A0863"/>
    <w:rsid w:val="001A0A25"/>
    <w:rsid w:val="001A0A8F"/>
    <w:rsid w:val="001A0ACE"/>
    <w:rsid w:val="001A0ADE"/>
    <w:rsid w:val="001A0B19"/>
    <w:rsid w:val="001A0C19"/>
    <w:rsid w:val="001A0C97"/>
    <w:rsid w:val="001A0CD3"/>
    <w:rsid w:val="001A0DFA"/>
    <w:rsid w:val="001A0EB4"/>
    <w:rsid w:val="001A0EBC"/>
    <w:rsid w:val="001A0F71"/>
    <w:rsid w:val="001A100E"/>
    <w:rsid w:val="001A1035"/>
    <w:rsid w:val="001A109F"/>
    <w:rsid w:val="001A10A0"/>
    <w:rsid w:val="001A10A1"/>
    <w:rsid w:val="001A114F"/>
    <w:rsid w:val="001A11FC"/>
    <w:rsid w:val="001A125E"/>
    <w:rsid w:val="001A13C1"/>
    <w:rsid w:val="001A14F1"/>
    <w:rsid w:val="001A1510"/>
    <w:rsid w:val="001A1554"/>
    <w:rsid w:val="001A1594"/>
    <w:rsid w:val="001A15DF"/>
    <w:rsid w:val="001A1702"/>
    <w:rsid w:val="001A19F4"/>
    <w:rsid w:val="001A1A12"/>
    <w:rsid w:val="001A1BA8"/>
    <w:rsid w:val="001A1D57"/>
    <w:rsid w:val="001A1DD7"/>
    <w:rsid w:val="001A1E8D"/>
    <w:rsid w:val="001A1EBD"/>
    <w:rsid w:val="001A1EE5"/>
    <w:rsid w:val="001A1FE9"/>
    <w:rsid w:val="001A211A"/>
    <w:rsid w:val="001A22D0"/>
    <w:rsid w:val="001A231D"/>
    <w:rsid w:val="001A2415"/>
    <w:rsid w:val="001A2570"/>
    <w:rsid w:val="001A25E0"/>
    <w:rsid w:val="001A2617"/>
    <w:rsid w:val="001A268D"/>
    <w:rsid w:val="001A26C5"/>
    <w:rsid w:val="001A283C"/>
    <w:rsid w:val="001A2887"/>
    <w:rsid w:val="001A28B8"/>
    <w:rsid w:val="001A28D8"/>
    <w:rsid w:val="001A2968"/>
    <w:rsid w:val="001A29C1"/>
    <w:rsid w:val="001A2A50"/>
    <w:rsid w:val="001A2C19"/>
    <w:rsid w:val="001A2C28"/>
    <w:rsid w:val="001A2C2C"/>
    <w:rsid w:val="001A2C95"/>
    <w:rsid w:val="001A2CBE"/>
    <w:rsid w:val="001A2CEE"/>
    <w:rsid w:val="001A2D55"/>
    <w:rsid w:val="001A300E"/>
    <w:rsid w:val="001A30DA"/>
    <w:rsid w:val="001A30E0"/>
    <w:rsid w:val="001A3238"/>
    <w:rsid w:val="001A3335"/>
    <w:rsid w:val="001A336E"/>
    <w:rsid w:val="001A33A4"/>
    <w:rsid w:val="001A33C3"/>
    <w:rsid w:val="001A3419"/>
    <w:rsid w:val="001A344D"/>
    <w:rsid w:val="001A3526"/>
    <w:rsid w:val="001A35A2"/>
    <w:rsid w:val="001A37BA"/>
    <w:rsid w:val="001A37F4"/>
    <w:rsid w:val="001A3896"/>
    <w:rsid w:val="001A3960"/>
    <w:rsid w:val="001A39BC"/>
    <w:rsid w:val="001A3A1D"/>
    <w:rsid w:val="001A3A79"/>
    <w:rsid w:val="001A3CD1"/>
    <w:rsid w:val="001A3CEB"/>
    <w:rsid w:val="001A3D89"/>
    <w:rsid w:val="001A3DC5"/>
    <w:rsid w:val="001A3DD8"/>
    <w:rsid w:val="001A3E91"/>
    <w:rsid w:val="001A3F79"/>
    <w:rsid w:val="001A3FD8"/>
    <w:rsid w:val="001A40A9"/>
    <w:rsid w:val="001A40E6"/>
    <w:rsid w:val="001A40EC"/>
    <w:rsid w:val="001A41A3"/>
    <w:rsid w:val="001A426D"/>
    <w:rsid w:val="001A43B1"/>
    <w:rsid w:val="001A43C8"/>
    <w:rsid w:val="001A43D1"/>
    <w:rsid w:val="001A4483"/>
    <w:rsid w:val="001A44C5"/>
    <w:rsid w:val="001A44D1"/>
    <w:rsid w:val="001A4508"/>
    <w:rsid w:val="001A4516"/>
    <w:rsid w:val="001A4538"/>
    <w:rsid w:val="001A45B8"/>
    <w:rsid w:val="001A466B"/>
    <w:rsid w:val="001A466D"/>
    <w:rsid w:val="001A469A"/>
    <w:rsid w:val="001A47E5"/>
    <w:rsid w:val="001A47EA"/>
    <w:rsid w:val="001A4838"/>
    <w:rsid w:val="001A4963"/>
    <w:rsid w:val="001A49D3"/>
    <w:rsid w:val="001A4A66"/>
    <w:rsid w:val="001A4A74"/>
    <w:rsid w:val="001A4A8F"/>
    <w:rsid w:val="001A4B74"/>
    <w:rsid w:val="001A4CEB"/>
    <w:rsid w:val="001A4D3A"/>
    <w:rsid w:val="001A4D70"/>
    <w:rsid w:val="001A4D76"/>
    <w:rsid w:val="001A4E2D"/>
    <w:rsid w:val="001A4E66"/>
    <w:rsid w:val="001A4F1A"/>
    <w:rsid w:val="001A500B"/>
    <w:rsid w:val="001A502D"/>
    <w:rsid w:val="001A5051"/>
    <w:rsid w:val="001A50C4"/>
    <w:rsid w:val="001A5298"/>
    <w:rsid w:val="001A5432"/>
    <w:rsid w:val="001A5477"/>
    <w:rsid w:val="001A54AA"/>
    <w:rsid w:val="001A5525"/>
    <w:rsid w:val="001A55AC"/>
    <w:rsid w:val="001A55AD"/>
    <w:rsid w:val="001A55E3"/>
    <w:rsid w:val="001A560A"/>
    <w:rsid w:val="001A5614"/>
    <w:rsid w:val="001A5678"/>
    <w:rsid w:val="001A56C3"/>
    <w:rsid w:val="001A5700"/>
    <w:rsid w:val="001A574F"/>
    <w:rsid w:val="001A5750"/>
    <w:rsid w:val="001A57DA"/>
    <w:rsid w:val="001A59B5"/>
    <w:rsid w:val="001A5B23"/>
    <w:rsid w:val="001A5B9B"/>
    <w:rsid w:val="001A5D54"/>
    <w:rsid w:val="001A5F84"/>
    <w:rsid w:val="001A6061"/>
    <w:rsid w:val="001A61C3"/>
    <w:rsid w:val="001A6215"/>
    <w:rsid w:val="001A6274"/>
    <w:rsid w:val="001A62CF"/>
    <w:rsid w:val="001A63AA"/>
    <w:rsid w:val="001A63F7"/>
    <w:rsid w:val="001A649C"/>
    <w:rsid w:val="001A64EB"/>
    <w:rsid w:val="001A666C"/>
    <w:rsid w:val="001A673D"/>
    <w:rsid w:val="001A675F"/>
    <w:rsid w:val="001A6ABF"/>
    <w:rsid w:val="001A6B0D"/>
    <w:rsid w:val="001A6B5B"/>
    <w:rsid w:val="001A6C54"/>
    <w:rsid w:val="001A6D69"/>
    <w:rsid w:val="001A6D7D"/>
    <w:rsid w:val="001A6DE1"/>
    <w:rsid w:val="001A6E84"/>
    <w:rsid w:val="001A6EDE"/>
    <w:rsid w:val="001A6F71"/>
    <w:rsid w:val="001A7050"/>
    <w:rsid w:val="001A7187"/>
    <w:rsid w:val="001A71C9"/>
    <w:rsid w:val="001A71E4"/>
    <w:rsid w:val="001A74F6"/>
    <w:rsid w:val="001A7521"/>
    <w:rsid w:val="001A783D"/>
    <w:rsid w:val="001A785E"/>
    <w:rsid w:val="001A7872"/>
    <w:rsid w:val="001A788F"/>
    <w:rsid w:val="001A78C6"/>
    <w:rsid w:val="001A7BDA"/>
    <w:rsid w:val="001A7C17"/>
    <w:rsid w:val="001A7D91"/>
    <w:rsid w:val="001A7E81"/>
    <w:rsid w:val="001A7F36"/>
    <w:rsid w:val="001A7F4A"/>
    <w:rsid w:val="001A7FB6"/>
    <w:rsid w:val="001B0023"/>
    <w:rsid w:val="001B0033"/>
    <w:rsid w:val="001B006E"/>
    <w:rsid w:val="001B009B"/>
    <w:rsid w:val="001B03A8"/>
    <w:rsid w:val="001B03B0"/>
    <w:rsid w:val="001B0584"/>
    <w:rsid w:val="001B05CA"/>
    <w:rsid w:val="001B06E6"/>
    <w:rsid w:val="001B0758"/>
    <w:rsid w:val="001B0A2D"/>
    <w:rsid w:val="001B0A92"/>
    <w:rsid w:val="001B0B40"/>
    <w:rsid w:val="001B0BBF"/>
    <w:rsid w:val="001B0BD7"/>
    <w:rsid w:val="001B0CCF"/>
    <w:rsid w:val="001B0D62"/>
    <w:rsid w:val="001B0ED9"/>
    <w:rsid w:val="001B0EE0"/>
    <w:rsid w:val="001B1018"/>
    <w:rsid w:val="001B1029"/>
    <w:rsid w:val="001B123F"/>
    <w:rsid w:val="001B131D"/>
    <w:rsid w:val="001B1470"/>
    <w:rsid w:val="001B1584"/>
    <w:rsid w:val="001B16B3"/>
    <w:rsid w:val="001B16B7"/>
    <w:rsid w:val="001B17C4"/>
    <w:rsid w:val="001B1882"/>
    <w:rsid w:val="001B1884"/>
    <w:rsid w:val="001B18A5"/>
    <w:rsid w:val="001B1938"/>
    <w:rsid w:val="001B1A8A"/>
    <w:rsid w:val="001B1AE1"/>
    <w:rsid w:val="001B1BF3"/>
    <w:rsid w:val="001B1C94"/>
    <w:rsid w:val="001B1ECF"/>
    <w:rsid w:val="001B211D"/>
    <w:rsid w:val="001B21E4"/>
    <w:rsid w:val="001B2251"/>
    <w:rsid w:val="001B23B4"/>
    <w:rsid w:val="001B24E9"/>
    <w:rsid w:val="001B2544"/>
    <w:rsid w:val="001B254D"/>
    <w:rsid w:val="001B263C"/>
    <w:rsid w:val="001B26B5"/>
    <w:rsid w:val="001B2753"/>
    <w:rsid w:val="001B2784"/>
    <w:rsid w:val="001B2809"/>
    <w:rsid w:val="001B28AD"/>
    <w:rsid w:val="001B28E8"/>
    <w:rsid w:val="001B29B6"/>
    <w:rsid w:val="001B2B94"/>
    <w:rsid w:val="001B2BE6"/>
    <w:rsid w:val="001B2C7D"/>
    <w:rsid w:val="001B2CB7"/>
    <w:rsid w:val="001B2EC2"/>
    <w:rsid w:val="001B2ED5"/>
    <w:rsid w:val="001B3021"/>
    <w:rsid w:val="001B302C"/>
    <w:rsid w:val="001B305D"/>
    <w:rsid w:val="001B3094"/>
    <w:rsid w:val="001B30F9"/>
    <w:rsid w:val="001B3144"/>
    <w:rsid w:val="001B3300"/>
    <w:rsid w:val="001B337D"/>
    <w:rsid w:val="001B36B3"/>
    <w:rsid w:val="001B36BD"/>
    <w:rsid w:val="001B3733"/>
    <w:rsid w:val="001B3773"/>
    <w:rsid w:val="001B38BC"/>
    <w:rsid w:val="001B39B0"/>
    <w:rsid w:val="001B3BD8"/>
    <w:rsid w:val="001B3CB0"/>
    <w:rsid w:val="001B3DCD"/>
    <w:rsid w:val="001B3E52"/>
    <w:rsid w:val="001B3F45"/>
    <w:rsid w:val="001B3F62"/>
    <w:rsid w:val="001B3FDA"/>
    <w:rsid w:val="001B4041"/>
    <w:rsid w:val="001B40C0"/>
    <w:rsid w:val="001B4111"/>
    <w:rsid w:val="001B4183"/>
    <w:rsid w:val="001B42FB"/>
    <w:rsid w:val="001B4352"/>
    <w:rsid w:val="001B43D7"/>
    <w:rsid w:val="001B4453"/>
    <w:rsid w:val="001B4490"/>
    <w:rsid w:val="001B44C0"/>
    <w:rsid w:val="001B4566"/>
    <w:rsid w:val="001B4680"/>
    <w:rsid w:val="001B47CB"/>
    <w:rsid w:val="001B486C"/>
    <w:rsid w:val="001B4A37"/>
    <w:rsid w:val="001B4C7A"/>
    <w:rsid w:val="001B4C84"/>
    <w:rsid w:val="001B4C98"/>
    <w:rsid w:val="001B4D67"/>
    <w:rsid w:val="001B4DA2"/>
    <w:rsid w:val="001B5048"/>
    <w:rsid w:val="001B51F3"/>
    <w:rsid w:val="001B5284"/>
    <w:rsid w:val="001B528C"/>
    <w:rsid w:val="001B52EC"/>
    <w:rsid w:val="001B5311"/>
    <w:rsid w:val="001B5371"/>
    <w:rsid w:val="001B53D4"/>
    <w:rsid w:val="001B5406"/>
    <w:rsid w:val="001B542A"/>
    <w:rsid w:val="001B5664"/>
    <w:rsid w:val="001B57C4"/>
    <w:rsid w:val="001B58A0"/>
    <w:rsid w:val="001B5903"/>
    <w:rsid w:val="001B5922"/>
    <w:rsid w:val="001B5983"/>
    <w:rsid w:val="001B5A03"/>
    <w:rsid w:val="001B5A40"/>
    <w:rsid w:val="001B5AF9"/>
    <w:rsid w:val="001B5B10"/>
    <w:rsid w:val="001B5B16"/>
    <w:rsid w:val="001B5BB0"/>
    <w:rsid w:val="001B5D32"/>
    <w:rsid w:val="001B5D3D"/>
    <w:rsid w:val="001B5DA9"/>
    <w:rsid w:val="001B6058"/>
    <w:rsid w:val="001B62B3"/>
    <w:rsid w:val="001B62BA"/>
    <w:rsid w:val="001B62FC"/>
    <w:rsid w:val="001B6312"/>
    <w:rsid w:val="001B64D0"/>
    <w:rsid w:val="001B650B"/>
    <w:rsid w:val="001B6685"/>
    <w:rsid w:val="001B67EB"/>
    <w:rsid w:val="001B686E"/>
    <w:rsid w:val="001B6957"/>
    <w:rsid w:val="001B6A9C"/>
    <w:rsid w:val="001B6AB5"/>
    <w:rsid w:val="001B6AD8"/>
    <w:rsid w:val="001B6C6F"/>
    <w:rsid w:val="001B6C89"/>
    <w:rsid w:val="001B6DD6"/>
    <w:rsid w:val="001B7243"/>
    <w:rsid w:val="001B73AA"/>
    <w:rsid w:val="001B73E0"/>
    <w:rsid w:val="001B7410"/>
    <w:rsid w:val="001B7447"/>
    <w:rsid w:val="001B74CF"/>
    <w:rsid w:val="001B751E"/>
    <w:rsid w:val="001B75AB"/>
    <w:rsid w:val="001B7629"/>
    <w:rsid w:val="001B76E0"/>
    <w:rsid w:val="001B792E"/>
    <w:rsid w:val="001B796B"/>
    <w:rsid w:val="001B79B5"/>
    <w:rsid w:val="001B7A67"/>
    <w:rsid w:val="001B7AF6"/>
    <w:rsid w:val="001B7B3D"/>
    <w:rsid w:val="001B7B4E"/>
    <w:rsid w:val="001B7B85"/>
    <w:rsid w:val="001B7B97"/>
    <w:rsid w:val="001B7F49"/>
    <w:rsid w:val="001C0090"/>
    <w:rsid w:val="001C0120"/>
    <w:rsid w:val="001C0139"/>
    <w:rsid w:val="001C03BD"/>
    <w:rsid w:val="001C03CB"/>
    <w:rsid w:val="001C0449"/>
    <w:rsid w:val="001C07AE"/>
    <w:rsid w:val="001C084E"/>
    <w:rsid w:val="001C08D5"/>
    <w:rsid w:val="001C0920"/>
    <w:rsid w:val="001C0941"/>
    <w:rsid w:val="001C0A12"/>
    <w:rsid w:val="001C0A39"/>
    <w:rsid w:val="001C0ABA"/>
    <w:rsid w:val="001C0F62"/>
    <w:rsid w:val="001C0FA6"/>
    <w:rsid w:val="001C1070"/>
    <w:rsid w:val="001C10D8"/>
    <w:rsid w:val="001C10D9"/>
    <w:rsid w:val="001C1107"/>
    <w:rsid w:val="001C116E"/>
    <w:rsid w:val="001C122A"/>
    <w:rsid w:val="001C1244"/>
    <w:rsid w:val="001C1287"/>
    <w:rsid w:val="001C1577"/>
    <w:rsid w:val="001C159D"/>
    <w:rsid w:val="001C15C9"/>
    <w:rsid w:val="001C1616"/>
    <w:rsid w:val="001C182A"/>
    <w:rsid w:val="001C18AC"/>
    <w:rsid w:val="001C18CB"/>
    <w:rsid w:val="001C19C7"/>
    <w:rsid w:val="001C19D4"/>
    <w:rsid w:val="001C1AB9"/>
    <w:rsid w:val="001C1ACA"/>
    <w:rsid w:val="001C1AF9"/>
    <w:rsid w:val="001C1B36"/>
    <w:rsid w:val="001C1BA1"/>
    <w:rsid w:val="001C1C58"/>
    <w:rsid w:val="001C1CFE"/>
    <w:rsid w:val="001C1E26"/>
    <w:rsid w:val="001C1E2E"/>
    <w:rsid w:val="001C1E69"/>
    <w:rsid w:val="001C1F2E"/>
    <w:rsid w:val="001C2031"/>
    <w:rsid w:val="001C212B"/>
    <w:rsid w:val="001C2166"/>
    <w:rsid w:val="001C21D5"/>
    <w:rsid w:val="001C2213"/>
    <w:rsid w:val="001C2259"/>
    <w:rsid w:val="001C2267"/>
    <w:rsid w:val="001C2391"/>
    <w:rsid w:val="001C24F6"/>
    <w:rsid w:val="001C2637"/>
    <w:rsid w:val="001C265E"/>
    <w:rsid w:val="001C2809"/>
    <w:rsid w:val="001C29F1"/>
    <w:rsid w:val="001C2A36"/>
    <w:rsid w:val="001C2A3B"/>
    <w:rsid w:val="001C2B23"/>
    <w:rsid w:val="001C2B85"/>
    <w:rsid w:val="001C2BA7"/>
    <w:rsid w:val="001C2EFB"/>
    <w:rsid w:val="001C2F58"/>
    <w:rsid w:val="001C30A8"/>
    <w:rsid w:val="001C312D"/>
    <w:rsid w:val="001C3296"/>
    <w:rsid w:val="001C32D6"/>
    <w:rsid w:val="001C3359"/>
    <w:rsid w:val="001C33E4"/>
    <w:rsid w:val="001C3458"/>
    <w:rsid w:val="001C3507"/>
    <w:rsid w:val="001C3717"/>
    <w:rsid w:val="001C3774"/>
    <w:rsid w:val="001C37AF"/>
    <w:rsid w:val="001C3829"/>
    <w:rsid w:val="001C38D8"/>
    <w:rsid w:val="001C3943"/>
    <w:rsid w:val="001C3945"/>
    <w:rsid w:val="001C397A"/>
    <w:rsid w:val="001C3A59"/>
    <w:rsid w:val="001C3C29"/>
    <w:rsid w:val="001C3D16"/>
    <w:rsid w:val="001C3DE1"/>
    <w:rsid w:val="001C3F18"/>
    <w:rsid w:val="001C4016"/>
    <w:rsid w:val="001C403B"/>
    <w:rsid w:val="001C41B8"/>
    <w:rsid w:val="001C41B9"/>
    <w:rsid w:val="001C4246"/>
    <w:rsid w:val="001C426E"/>
    <w:rsid w:val="001C426F"/>
    <w:rsid w:val="001C4339"/>
    <w:rsid w:val="001C4350"/>
    <w:rsid w:val="001C4430"/>
    <w:rsid w:val="001C4581"/>
    <w:rsid w:val="001C4598"/>
    <w:rsid w:val="001C465D"/>
    <w:rsid w:val="001C4688"/>
    <w:rsid w:val="001C46BA"/>
    <w:rsid w:val="001C479C"/>
    <w:rsid w:val="001C4803"/>
    <w:rsid w:val="001C48BD"/>
    <w:rsid w:val="001C48F9"/>
    <w:rsid w:val="001C48FF"/>
    <w:rsid w:val="001C4961"/>
    <w:rsid w:val="001C4A9C"/>
    <w:rsid w:val="001C4B16"/>
    <w:rsid w:val="001C4C85"/>
    <w:rsid w:val="001C4CD0"/>
    <w:rsid w:val="001C4E3C"/>
    <w:rsid w:val="001C4F27"/>
    <w:rsid w:val="001C500A"/>
    <w:rsid w:val="001C50E1"/>
    <w:rsid w:val="001C5104"/>
    <w:rsid w:val="001C51C8"/>
    <w:rsid w:val="001C5258"/>
    <w:rsid w:val="001C529C"/>
    <w:rsid w:val="001C52A9"/>
    <w:rsid w:val="001C52F4"/>
    <w:rsid w:val="001C53ED"/>
    <w:rsid w:val="001C541E"/>
    <w:rsid w:val="001C54B2"/>
    <w:rsid w:val="001C54C6"/>
    <w:rsid w:val="001C5667"/>
    <w:rsid w:val="001C56C9"/>
    <w:rsid w:val="001C56E8"/>
    <w:rsid w:val="001C5702"/>
    <w:rsid w:val="001C5796"/>
    <w:rsid w:val="001C5950"/>
    <w:rsid w:val="001C5A22"/>
    <w:rsid w:val="001C5A52"/>
    <w:rsid w:val="001C5B59"/>
    <w:rsid w:val="001C5BDF"/>
    <w:rsid w:val="001C5CCB"/>
    <w:rsid w:val="001C5CF2"/>
    <w:rsid w:val="001C5E04"/>
    <w:rsid w:val="001C5F20"/>
    <w:rsid w:val="001C6063"/>
    <w:rsid w:val="001C60D3"/>
    <w:rsid w:val="001C614A"/>
    <w:rsid w:val="001C61D2"/>
    <w:rsid w:val="001C62A6"/>
    <w:rsid w:val="001C6433"/>
    <w:rsid w:val="001C6505"/>
    <w:rsid w:val="001C671A"/>
    <w:rsid w:val="001C67BF"/>
    <w:rsid w:val="001C6810"/>
    <w:rsid w:val="001C6885"/>
    <w:rsid w:val="001C68F6"/>
    <w:rsid w:val="001C6947"/>
    <w:rsid w:val="001C6984"/>
    <w:rsid w:val="001C6986"/>
    <w:rsid w:val="001C6A83"/>
    <w:rsid w:val="001C6AD9"/>
    <w:rsid w:val="001C6AE2"/>
    <w:rsid w:val="001C6B75"/>
    <w:rsid w:val="001C6BAC"/>
    <w:rsid w:val="001C6C52"/>
    <w:rsid w:val="001C6E8D"/>
    <w:rsid w:val="001C6F44"/>
    <w:rsid w:val="001C6FA8"/>
    <w:rsid w:val="001C7060"/>
    <w:rsid w:val="001C70A7"/>
    <w:rsid w:val="001C712A"/>
    <w:rsid w:val="001C7172"/>
    <w:rsid w:val="001C7251"/>
    <w:rsid w:val="001C72AD"/>
    <w:rsid w:val="001C72D6"/>
    <w:rsid w:val="001C7324"/>
    <w:rsid w:val="001C7344"/>
    <w:rsid w:val="001C7371"/>
    <w:rsid w:val="001C73AB"/>
    <w:rsid w:val="001C740A"/>
    <w:rsid w:val="001C7480"/>
    <w:rsid w:val="001C74AE"/>
    <w:rsid w:val="001C74F6"/>
    <w:rsid w:val="001C75AB"/>
    <w:rsid w:val="001C767B"/>
    <w:rsid w:val="001C784D"/>
    <w:rsid w:val="001C7874"/>
    <w:rsid w:val="001C7895"/>
    <w:rsid w:val="001C7B7E"/>
    <w:rsid w:val="001C7D4A"/>
    <w:rsid w:val="001C7D89"/>
    <w:rsid w:val="001C7E17"/>
    <w:rsid w:val="001C7E37"/>
    <w:rsid w:val="001C7E3B"/>
    <w:rsid w:val="001C7EFA"/>
    <w:rsid w:val="001C7F38"/>
    <w:rsid w:val="001C7F95"/>
    <w:rsid w:val="001D02AD"/>
    <w:rsid w:val="001D02E7"/>
    <w:rsid w:val="001D0315"/>
    <w:rsid w:val="001D032C"/>
    <w:rsid w:val="001D03AA"/>
    <w:rsid w:val="001D03EC"/>
    <w:rsid w:val="001D0452"/>
    <w:rsid w:val="001D0490"/>
    <w:rsid w:val="001D0496"/>
    <w:rsid w:val="001D049A"/>
    <w:rsid w:val="001D0581"/>
    <w:rsid w:val="001D0602"/>
    <w:rsid w:val="001D0607"/>
    <w:rsid w:val="001D06AB"/>
    <w:rsid w:val="001D075E"/>
    <w:rsid w:val="001D09AA"/>
    <w:rsid w:val="001D09B2"/>
    <w:rsid w:val="001D09F1"/>
    <w:rsid w:val="001D0A1B"/>
    <w:rsid w:val="001D0B0E"/>
    <w:rsid w:val="001D0B11"/>
    <w:rsid w:val="001D0B50"/>
    <w:rsid w:val="001D0D27"/>
    <w:rsid w:val="001D0E33"/>
    <w:rsid w:val="001D0EEE"/>
    <w:rsid w:val="001D0F1D"/>
    <w:rsid w:val="001D0F35"/>
    <w:rsid w:val="001D104A"/>
    <w:rsid w:val="001D10CA"/>
    <w:rsid w:val="001D1163"/>
    <w:rsid w:val="001D1210"/>
    <w:rsid w:val="001D1257"/>
    <w:rsid w:val="001D1335"/>
    <w:rsid w:val="001D14C3"/>
    <w:rsid w:val="001D1719"/>
    <w:rsid w:val="001D173B"/>
    <w:rsid w:val="001D17F1"/>
    <w:rsid w:val="001D1868"/>
    <w:rsid w:val="001D1894"/>
    <w:rsid w:val="001D1D57"/>
    <w:rsid w:val="001D1D6B"/>
    <w:rsid w:val="001D1E54"/>
    <w:rsid w:val="001D1F67"/>
    <w:rsid w:val="001D1F6B"/>
    <w:rsid w:val="001D2185"/>
    <w:rsid w:val="001D22D6"/>
    <w:rsid w:val="001D23D4"/>
    <w:rsid w:val="001D25A1"/>
    <w:rsid w:val="001D25BF"/>
    <w:rsid w:val="001D25CD"/>
    <w:rsid w:val="001D262D"/>
    <w:rsid w:val="001D2654"/>
    <w:rsid w:val="001D26EB"/>
    <w:rsid w:val="001D2875"/>
    <w:rsid w:val="001D287D"/>
    <w:rsid w:val="001D28E8"/>
    <w:rsid w:val="001D290A"/>
    <w:rsid w:val="001D2945"/>
    <w:rsid w:val="001D2975"/>
    <w:rsid w:val="001D2C04"/>
    <w:rsid w:val="001D2CE7"/>
    <w:rsid w:val="001D2CFC"/>
    <w:rsid w:val="001D2DB7"/>
    <w:rsid w:val="001D2E90"/>
    <w:rsid w:val="001D2EB9"/>
    <w:rsid w:val="001D2F7D"/>
    <w:rsid w:val="001D2F95"/>
    <w:rsid w:val="001D2FB5"/>
    <w:rsid w:val="001D3060"/>
    <w:rsid w:val="001D3081"/>
    <w:rsid w:val="001D3088"/>
    <w:rsid w:val="001D30D4"/>
    <w:rsid w:val="001D30D6"/>
    <w:rsid w:val="001D3281"/>
    <w:rsid w:val="001D3368"/>
    <w:rsid w:val="001D33C1"/>
    <w:rsid w:val="001D349D"/>
    <w:rsid w:val="001D355C"/>
    <w:rsid w:val="001D358F"/>
    <w:rsid w:val="001D35F3"/>
    <w:rsid w:val="001D384E"/>
    <w:rsid w:val="001D38BE"/>
    <w:rsid w:val="001D38CE"/>
    <w:rsid w:val="001D391C"/>
    <w:rsid w:val="001D39F5"/>
    <w:rsid w:val="001D3A74"/>
    <w:rsid w:val="001D3C43"/>
    <w:rsid w:val="001D3C86"/>
    <w:rsid w:val="001D3CBF"/>
    <w:rsid w:val="001D3D3E"/>
    <w:rsid w:val="001D3D78"/>
    <w:rsid w:val="001D3DD6"/>
    <w:rsid w:val="001D3E5B"/>
    <w:rsid w:val="001D3F5A"/>
    <w:rsid w:val="001D3FBD"/>
    <w:rsid w:val="001D3FE8"/>
    <w:rsid w:val="001D3FFC"/>
    <w:rsid w:val="001D4015"/>
    <w:rsid w:val="001D40B0"/>
    <w:rsid w:val="001D416C"/>
    <w:rsid w:val="001D419E"/>
    <w:rsid w:val="001D41DA"/>
    <w:rsid w:val="001D420F"/>
    <w:rsid w:val="001D4233"/>
    <w:rsid w:val="001D4297"/>
    <w:rsid w:val="001D4363"/>
    <w:rsid w:val="001D43B8"/>
    <w:rsid w:val="001D43F7"/>
    <w:rsid w:val="001D4484"/>
    <w:rsid w:val="001D44AA"/>
    <w:rsid w:val="001D4566"/>
    <w:rsid w:val="001D469B"/>
    <w:rsid w:val="001D46B0"/>
    <w:rsid w:val="001D46E7"/>
    <w:rsid w:val="001D4824"/>
    <w:rsid w:val="001D486F"/>
    <w:rsid w:val="001D4AA2"/>
    <w:rsid w:val="001D4AB5"/>
    <w:rsid w:val="001D4C1A"/>
    <w:rsid w:val="001D4D2A"/>
    <w:rsid w:val="001D4E31"/>
    <w:rsid w:val="001D4EDE"/>
    <w:rsid w:val="001D4FF7"/>
    <w:rsid w:val="001D53B5"/>
    <w:rsid w:val="001D54C4"/>
    <w:rsid w:val="001D55F5"/>
    <w:rsid w:val="001D56D7"/>
    <w:rsid w:val="001D5AE3"/>
    <w:rsid w:val="001D5AED"/>
    <w:rsid w:val="001D5C55"/>
    <w:rsid w:val="001D5C60"/>
    <w:rsid w:val="001D5E37"/>
    <w:rsid w:val="001D5F71"/>
    <w:rsid w:val="001D5F99"/>
    <w:rsid w:val="001D5FBA"/>
    <w:rsid w:val="001D604E"/>
    <w:rsid w:val="001D60C5"/>
    <w:rsid w:val="001D610B"/>
    <w:rsid w:val="001D614D"/>
    <w:rsid w:val="001D6185"/>
    <w:rsid w:val="001D62E7"/>
    <w:rsid w:val="001D6377"/>
    <w:rsid w:val="001D6494"/>
    <w:rsid w:val="001D6495"/>
    <w:rsid w:val="001D65AA"/>
    <w:rsid w:val="001D677A"/>
    <w:rsid w:val="001D6787"/>
    <w:rsid w:val="001D6921"/>
    <w:rsid w:val="001D6961"/>
    <w:rsid w:val="001D6AD6"/>
    <w:rsid w:val="001D6AEC"/>
    <w:rsid w:val="001D6C95"/>
    <w:rsid w:val="001D6CF6"/>
    <w:rsid w:val="001D6DA3"/>
    <w:rsid w:val="001D6DBE"/>
    <w:rsid w:val="001D6DC6"/>
    <w:rsid w:val="001D6DFC"/>
    <w:rsid w:val="001D6EBE"/>
    <w:rsid w:val="001D6F30"/>
    <w:rsid w:val="001D6F92"/>
    <w:rsid w:val="001D6FBE"/>
    <w:rsid w:val="001D708B"/>
    <w:rsid w:val="001D7138"/>
    <w:rsid w:val="001D7144"/>
    <w:rsid w:val="001D7298"/>
    <w:rsid w:val="001D72F4"/>
    <w:rsid w:val="001D741C"/>
    <w:rsid w:val="001D765C"/>
    <w:rsid w:val="001D76C1"/>
    <w:rsid w:val="001D7732"/>
    <w:rsid w:val="001D7761"/>
    <w:rsid w:val="001D7794"/>
    <w:rsid w:val="001D79AC"/>
    <w:rsid w:val="001D79B0"/>
    <w:rsid w:val="001D7B02"/>
    <w:rsid w:val="001D7B66"/>
    <w:rsid w:val="001D7B91"/>
    <w:rsid w:val="001D7CAA"/>
    <w:rsid w:val="001D7F9F"/>
    <w:rsid w:val="001E006A"/>
    <w:rsid w:val="001E013E"/>
    <w:rsid w:val="001E0185"/>
    <w:rsid w:val="001E01AA"/>
    <w:rsid w:val="001E0319"/>
    <w:rsid w:val="001E03AA"/>
    <w:rsid w:val="001E05DB"/>
    <w:rsid w:val="001E06DD"/>
    <w:rsid w:val="001E07CD"/>
    <w:rsid w:val="001E082B"/>
    <w:rsid w:val="001E0879"/>
    <w:rsid w:val="001E08A2"/>
    <w:rsid w:val="001E09CC"/>
    <w:rsid w:val="001E0AB0"/>
    <w:rsid w:val="001E0B69"/>
    <w:rsid w:val="001E0B8B"/>
    <w:rsid w:val="001E0DAE"/>
    <w:rsid w:val="001E0E34"/>
    <w:rsid w:val="001E0EE0"/>
    <w:rsid w:val="001E10F8"/>
    <w:rsid w:val="001E158E"/>
    <w:rsid w:val="001E158F"/>
    <w:rsid w:val="001E15E8"/>
    <w:rsid w:val="001E15F1"/>
    <w:rsid w:val="001E1642"/>
    <w:rsid w:val="001E1780"/>
    <w:rsid w:val="001E1856"/>
    <w:rsid w:val="001E1B3F"/>
    <w:rsid w:val="001E1B4C"/>
    <w:rsid w:val="001E1BED"/>
    <w:rsid w:val="001E1D25"/>
    <w:rsid w:val="001E1D77"/>
    <w:rsid w:val="001E1DB7"/>
    <w:rsid w:val="001E1E02"/>
    <w:rsid w:val="001E1E1D"/>
    <w:rsid w:val="001E1F6B"/>
    <w:rsid w:val="001E204F"/>
    <w:rsid w:val="001E205D"/>
    <w:rsid w:val="001E2127"/>
    <w:rsid w:val="001E2182"/>
    <w:rsid w:val="001E220C"/>
    <w:rsid w:val="001E25E0"/>
    <w:rsid w:val="001E26DE"/>
    <w:rsid w:val="001E270D"/>
    <w:rsid w:val="001E272D"/>
    <w:rsid w:val="001E2845"/>
    <w:rsid w:val="001E2867"/>
    <w:rsid w:val="001E28B0"/>
    <w:rsid w:val="001E29AD"/>
    <w:rsid w:val="001E2BCD"/>
    <w:rsid w:val="001E2CB0"/>
    <w:rsid w:val="001E2CC3"/>
    <w:rsid w:val="001E2D1F"/>
    <w:rsid w:val="001E2D2F"/>
    <w:rsid w:val="001E2DA1"/>
    <w:rsid w:val="001E2DB5"/>
    <w:rsid w:val="001E2E4C"/>
    <w:rsid w:val="001E2EC9"/>
    <w:rsid w:val="001E2EDD"/>
    <w:rsid w:val="001E3058"/>
    <w:rsid w:val="001E3064"/>
    <w:rsid w:val="001E30EA"/>
    <w:rsid w:val="001E317D"/>
    <w:rsid w:val="001E3184"/>
    <w:rsid w:val="001E3220"/>
    <w:rsid w:val="001E32B1"/>
    <w:rsid w:val="001E33A7"/>
    <w:rsid w:val="001E34AB"/>
    <w:rsid w:val="001E34C1"/>
    <w:rsid w:val="001E356F"/>
    <w:rsid w:val="001E35EF"/>
    <w:rsid w:val="001E3612"/>
    <w:rsid w:val="001E3622"/>
    <w:rsid w:val="001E3977"/>
    <w:rsid w:val="001E3993"/>
    <w:rsid w:val="001E39A9"/>
    <w:rsid w:val="001E39BC"/>
    <w:rsid w:val="001E39F6"/>
    <w:rsid w:val="001E3A86"/>
    <w:rsid w:val="001E3AAB"/>
    <w:rsid w:val="001E3B8F"/>
    <w:rsid w:val="001E3BCE"/>
    <w:rsid w:val="001E3BDA"/>
    <w:rsid w:val="001E3C1F"/>
    <w:rsid w:val="001E3C8A"/>
    <w:rsid w:val="001E3CA8"/>
    <w:rsid w:val="001E3CC1"/>
    <w:rsid w:val="001E3D14"/>
    <w:rsid w:val="001E3E03"/>
    <w:rsid w:val="001E3F00"/>
    <w:rsid w:val="001E3F4B"/>
    <w:rsid w:val="001E4024"/>
    <w:rsid w:val="001E41FF"/>
    <w:rsid w:val="001E4204"/>
    <w:rsid w:val="001E42CE"/>
    <w:rsid w:val="001E42DF"/>
    <w:rsid w:val="001E43D1"/>
    <w:rsid w:val="001E4419"/>
    <w:rsid w:val="001E446D"/>
    <w:rsid w:val="001E4734"/>
    <w:rsid w:val="001E476F"/>
    <w:rsid w:val="001E4773"/>
    <w:rsid w:val="001E482B"/>
    <w:rsid w:val="001E48E5"/>
    <w:rsid w:val="001E4947"/>
    <w:rsid w:val="001E497E"/>
    <w:rsid w:val="001E49A2"/>
    <w:rsid w:val="001E4B9B"/>
    <w:rsid w:val="001E4BF1"/>
    <w:rsid w:val="001E4C3A"/>
    <w:rsid w:val="001E4C7F"/>
    <w:rsid w:val="001E4CE1"/>
    <w:rsid w:val="001E4D70"/>
    <w:rsid w:val="001E4D88"/>
    <w:rsid w:val="001E4E7E"/>
    <w:rsid w:val="001E4E9B"/>
    <w:rsid w:val="001E4ECD"/>
    <w:rsid w:val="001E50B4"/>
    <w:rsid w:val="001E52E8"/>
    <w:rsid w:val="001E5496"/>
    <w:rsid w:val="001E54EE"/>
    <w:rsid w:val="001E54EF"/>
    <w:rsid w:val="001E55FF"/>
    <w:rsid w:val="001E564F"/>
    <w:rsid w:val="001E583B"/>
    <w:rsid w:val="001E5894"/>
    <w:rsid w:val="001E597B"/>
    <w:rsid w:val="001E5AFE"/>
    <w:rsid w:val="001E5B23"/>
    <w:rsid w:val="001E5CD3"/>
    <w:rsid w:val="001E5FA3"/>
    <w:rsid w:val="001E604C"/>
    <w:rsid w:val="001E6055"/>
    <w:rsid w:val="001E606C"/>
    <w:rsid w:val="001E6111"/>
    <w:rsid w:val="001E61E8"/>
    <w:rsid w:val="001E63AB"/>
    <w:rsid w:val="001E645D"/>
    <w:rsid w:val="001E654E"/>
    <w:rsid w:val="001E66DC"/>
    <w:rsid w:val="001E6969"/>
    <w:rsid w:val="001E6A3C"/>
    <w:rsid w:val="001E6AA5"/>
    <w:rsid w:val="001E6DB8"/>
    <w:rsid w:val="001E6DBA"/>
    <w:rsid w:val="001E7086"/>
    <w:rsid w:val="001E708A"/>
    <w:rsid w:val="001E7091"/>
    <w:rsid w:val="001E7100"/>
    <w:rsid w:val="001E7118"/>
    <w:rsid w:val="001E717F"/>
    <w:rsid w:val="001E719C"/>
    <w:rsid w:val="001E7207"/>
    <w:rsid w:val="001E722A"/>
    <w:rsid w:val="001E72DE"/>
    <w:rsid w:val="001E7369"/>
    <w:rsid w:val="001E73CF"/>
    <w:rsid w:val="001E747F"/>
    <w:rsid w:val="001E7570"/>
    <w:rsid w:val="001E776C"/>
    <w:rsid w:val="001E7864"/>
    <w:rsid w:val="001E7939"/>
    <w:rsid w:val="001E795E"/>
    <w:rsid w:val="001E79AB"/>
    <w:rsid w:val="001E7A14"/>
    <w:rsid w:val="001E7A60"/>
    <w:rsid w:val="001E7B5B"/>
    <w:rsid w:val="001E7DD4"/>
    <w:rsid w:val="001E7E55"/>
    <w:rsid w:val="001E7EE2"/>
    <w:rsid w:val="001E7FAF"/>
    <w:rsid w:val="001E7FF7"/>
    <w:rsid w:val="001F0175"/>
    <w:rsid w:val="001F024D"/>
    <w:rsid w:val="001F0448"/>
    <w:rsid w:val="001F0594"/>
    <w:rsid w:val="001F05D4"/>
    <w:rsid w:val="001F067E"/>
    <w:rsid w:val="001F06A6"/>
    <w:rsid w:val="001F07E9"/>
    <w:rsid w:val="001F0816"/>
    <w:rsid w:val="001F0824"/>
    <w:rsid w:val="001F09BC"/>
    <w:rsid w:val="001F0A22"/>
    <w:rsid w:val="001F0A8F"/>
    <w:rsid w:val="001F0AC0"/>
    <w:rsid w:val="001F0C5B"/>
    <w:rsid w:val="001F0EFF"/>
    <w:rsid w:val="001F0F9D"/>
    <w:rsid w:val="001F0FDC"/>
    <w:rsid w:val="001F11BC"/>
    <w:rsid w:val="001F152A"/>
    <w:rsid w:val="001F1536"/>
    <w:rsid w:val="001F156A"/>
    <w:rsid w:val="001F17F5"/>
    <w:rsid w:val="001F1834"/>
    <w:rsid w:val="001F186D"/>
    <w:rsid w:val="001F1986"/>
    <w:rsid w:val="001F1A59"/>
    <w:rsid w:val="001F1AB0"/>
    <w:rsid w:val="001F1AE4"/>
    <w:rsid w:val="001F1B99"/>
    <w:rsid w:val="001F1D9F"/>
    <w:rsid w:val="001F1DB2"/>
    <w:rsid w:val="001F1DD6"/>
    <w:rsid w:val="001F1F28"/>
    <w:rsid w:val="001F1FB7"/>
    <w:rsid w:val="001F227B"/>
    <w:rsid w:val="001F2331"/>
    <w:rsid w:val="001F23FA"/>
    <w:rsid w:val="001F243B"/>
    <w:rsid w:val="001F2541"/>
    <w:rsid w:val="001F2697"/>
    <w:rsid w:val="001F27DC"/>
    <w:rsid w:val="001F27F8"/>
    <w:rsid w:val="001F28C9"/>
    <w:rsid w:val="001F2BFD"/>
    <w:rsid w:val="001F2CDC"/>
    <w:rsid w:val="001F2CE9"/>
    <w:rsid w:val="001F2D18"/>
    <w:rsid w:val="001F2D48"/>
    <w:rsid w:val="001F2F5D"/>
    <w:rsid w:val="001F3090"/>
    <w:rsid w:val="001F30A0"/>
    <w:rsid w:val="001F3197"/>
    <w:rsid w:val="001F31F5"/>
    <w:rsid w:val="001F3231"/>
    <w:rsid w:val="001F3262"/>
    <w:rsid w:val="001F32AB"/>
    <w:rsid w:val="001F3335"/>
    <w:rsid w:val="001F357D"/>
    <w:rsid w:val="001F36B7"/>
    <w:rsid w:val="001F3727"/>
    <w:rsid w:val="001F378C"/>
    <w:rsid w:val="001F3855"/>
    <w:rsid w:val="001F3873"/>
    <w:rsid w:val="001F3891"/>
    <w:rsid w:val="001F390E"/>
    <w:rsid w:val="001F3993"/>
    <w:rsid w:val="001F3ABB"/>
    <w:rsid w:val="001F3B23"/>
    <w:rsid w:val="001F3B36"/>
    <w:rsid w:val="001F3B8A"/>
    <w:rsid w:val="001F3C14"/>
    <w:rsid w:val="001F3CF8"/>
    <w:rsid w:val="001F3DB5"/>
    <w:rsid w:val="001F3F2C"/>
    <w:rsid w:val="001F3FBB"/>
    <w:rsid w:val="001F3FF7"/>
    <w:rsid w:val="001F4024"/>
    <w:rsid w:val="001F4027"/>
    <w:rsid w:val="001F409D"/>
    <w:rsid w:val="001F416C"/>
    <w:rsid w:val="001F41C6"/>
    <w:rsid w:val="001F41FB"/>
    <w:rsid w:val="001F425B"/>
    <w:rsid w:val="001F42CB"/>
    <w:rsid w:val="001F4397"/>
    <w:rsid w:val="001F4489"/>
    <w:rsid w:val="001F44E8"/>
    <w:rsid w:val="001F452A"/>
    <w:rsid w:val="001F4553"/>
    <w:rsid w:val="001F45BC"/>
    <w:rsid w:val="001F464B"/>
    <w:rsid w:val="001F4961"/>
    <w:rsid w:val="001F4A8A"/>
    <w:rsid w:val="001F4A99"/>
    <w:rsid w:val="001F4AFE"/>
    <w:rsid w:val="001F4C37"/>
    <w:rsid w:val="001F4D00"/>
    <w:rsid w:val="001F4DEF"/>
    <w:rsid w:val="001F4E5A"/>
    <w:rsid w:val="001F4ED9"/>
    <w:rsid w:val="001F4FA1"/>
    <w:rsid w:val="001F51F6"/>
    <w:rsid w:val="001F5229"/>
    <w:rsid w:val="001F5247"/>
    <w:rsid w:val="001F524B"/>
    <w:rsid w:val="001F52B0"/>
    <w:rsid w:val="001F52DB"/>
    <w:rsid w:val="001F53C4"/>
    <w:rsid w:val="001F55BA"/>
    <w:rsid w:val="001F561E"/>
    <w:rsid w:val="001F5642"/>
    <w:rsid w:val="001F57D8"/>
    <w:rsid w:val="001F5835"/>
    <w:rsid w:val="001F5864"/>
    <w:rsid w:val="001F58D1"/>
    <w:rsid w:val="001F5968"/>
    <w:rsid w:val="001F5AC7"/>
    <w:rsid w:val="001F5C9C"/>
    <w:rsid w:val="001F5D1F"/>
    <w:rsid w:val="001F5D7F"/>
    <w:rsid w:val="001F5ED7"/>
    <w:rsid w:val="001F5F94"/>
    <w:rsid w:val="001F6092"/>
    <w:rsid w:val="001F60FA"/>
    <w:rsid w:val="001F6153"/>
    <w:rsid w:val="001F615C"/>
    <w:rsid w:val="001F6196"/>
    <w:rsid w:val="001F619E"/>
    <w:rsid w:val="001F6243"/>
    <w:rsid w:val="001F62C8"/>
    <w:rsid w:val="001F6457"/>
    <w:rsid w:val="001F649E"/>
    <w:rsid w:val="001F64AE"/>
    <w:rsid w:val="001F64CA"/>
    <w:rsid w:val="001F65F6"/>
    <w:rsid w:val="001F665D"/>
    <w:rsid w:val="001F66BE"/>
    <w:rsid w:val="001F66D6"/>
    <w:rsid w:val="001F67C8"/>
    <w:rsid w:val="001F67D6"/>
    <w:rsid w:val="001F6856"/>
    <w:rsid w:val="001F6895"/>
    <w:rsid w:val="001F6897"/>
    <w:rsid w:val="001F69B3"/>
    <w:rsid w:val="001F6B5C"/>
    <w:rsid w:val="001F6CAA"/>
    <w:rsid w:val="001F6E62"/>
    <w:rsid w:val="001F6EAD"/>
    <w:rsid w:val="001F6EF1"/>
    <w:rsid w:val="001F6FDD"/>
    <w:rsid w:val="001F7067"/>
    <w:rsid w:val="001F711A"/>
    <w:rsid w:val="001F7240"/>
    <w:rsid w:val="001F728A"/>
    <w:rsid w:val="001F72AC"/>
    <w:rsid w:val="001F7384"/>
    <w:rsid w:val="001F7435"/>
    <w:rsid w:val="001F7548"/>
    <w:rsid w:val="001F762E"/>
    <w:rsid w:val="001F76A7"/>
    <w:rsid w:val="001F7784"/>
    <w:rsid w:val="001F7796"/>
    <w:rsid w:val="001F78FB"/>
    <w:rsid w:val="001F79AD"/>
    <w:rsid w:val="001F79B6"/>
    <w:rsid w:val="001F7A26"/>
    <w:rsid w:val="001F7A49"/>
    <w:rsid w:val="001F7A57"/>
    <w:rsid w:val="001F7A74"/>
    <w:rsid w:val="001F7BC7"/>
    <w:rsid w:val="001F7BCF"/>
    <w:rsid w:val="001F7C59"/>
    <w:rsid w:val="001F7CA9"/>
    <w:rsid w:val="001F7D43"/>
    <w:rsid w:val="001F7D8F"/>
    <w:rsid w:val="001F7D9D"/>
    <w:rsid w:val="001F7E90"/>
    <w:rsid w:val="00200065"/>
    <w:rsid w:val="002001B0"/>
    <w:rsid w:val="00200325"/>
    <w:rsid w:val="002003C2"/>
    <w:rsid w:val="00200411"/>
    <w:rsid w:val="002006FF"/>
    <w:rsid w:val="00200719"/>
    <w:rsid w:val="0020076C"/>
    <w:rsid w:val="00200776"/>
    <w:rsid w:val="0020085E"/>
    <w:rsid w:val="00200887"/>
    <w:rsid w:val="002008D6"/>
    <w:rsid w:val="00200986"/>
    <w:rsid w:val="002009E3"/>
    <w:rsid w:val="00200A20"/>
    <w:rsid w:val="00200BF4"/>
    <w:rsid w:val="00200D75"/>
    <w:rsid w:val="00200DFC"/>
    <w:rsid w:val="00200F41"/>
    <w:rsid w:val="00200FF0"/>
    <w:rsid w:val="002010E0"/>
    <w:rsid w:val="002011D5"/>
    <w:rsid w:val="00201271"/>
    <w:rsid w:val="00201311"/>
    <w:rsid w:val="00201330"/>
    <w:rsid w:val="00201486"/>
    <w:rsid w:val="002014CB"/>
    <w:rsid w:val="002016C5"/>
    <w:rsid w:val="00201773"/>
    <w:rsid w:val="00201846"/>
    <w:rsid w:val="002018BA"/>
    <w:rsid w:val="002018E1"/>
    <w:rsid w:val="00201A80"/>
    <w:rsid w:val="00201C3F"/>
    <w:rsid w:val="00201C52"/>
    <w:rsid w:val="00201DB1"/>
    <w:rsid w:val="00201EA8"/>
    <w:rsid w:val="00201FC2"/>
    <w:rsid w:val="00201FFA"/>
    <w:rsid w:val="002020B1"/>
    <w:rsid w:val="00202122"/>
    <w:rsid w:val="002021B0"/>
    <w:rsid w:val="00202243"/>
    <w:rsid w:val="00202291"/>
    <w:rsid w:val="002025F7"/>
    <w:rsid w:val="0020261F"/>
    <w:rsid w:val="00202672"/>
    <w:rsid w:val="00202791"/>
    <w:rsid w:val="002027FD"/>
    <w:rsid w:val="002028CB"/>
    <w:rsid w:val="00202911"/>
    <w:rsid w:val="00202A20"/>
    <w:rsid w:val="00202A30"/>
    <w:rsid w:val="00202B02"/>
    <w:rsid w:val="00202B06"/>
    <w:rsid w:val="00202B72"/>
    <w:rsid w:val="00202BF7"/>
    <w:rsid w:val="00202C4A"/>
    <w:rsid w:val="00202D65"/>
    <w:rsid w:val="00202D9F"/>
    <w:rsid w:val="00202F1E"/>
    <w:rsid w:val="00202FF1"/>
    <w:rsid w:val="002030BE"/>
    <w:rsid w:val="00203143"/>
    <w:rsid w:val="00203270"/>
    <w:rsid w:val="00203369"/>
    <w:rsid w:val="002035A4"/>
    <w:rsid w:val="002035B9"/>
    <w:rsid w:val="002036E0"/>
    <w:rsid w:val="00203721"/>
    <w:rsid w:val="00203775"/>
    <w:rsid w:val="002037F2"/>
    <w:rsid w:val="002037F3"/>
    <w:rsid w:val="00203974"/>
    <w:rsid w:val="002039A2"/>
    <w:rsid w:val="002039D9"/>
    <w:rsid w:val="00203B15"/>
    <w:rsid w:val="00203B4D"/>
    <w:rsid w:val="00203B50"/>
    <w:rsid w:val="00203BFF"/>
    <w:rsid w:val="00203CA8"/>
    <w:rsid w:val="00203CB7"/>
    <w:rsid w:val="00203CCC"/>
    <w:rsid w:val="00203D44"/>
    <w:rsid w:val="00203D4F"/>
    <w:rsid w:val="00203DDE"/>
    <w:rsid w:val="00203E28"/>
    <w:rsid w:val="002040AE"/>
    <w:rsid w:val="00204122"/>
    <w:rsid w:val="00204145"/>
    <w:rsid w:val="00204197"/>
    <w:rsid w:val="002042A1"/>
    <w:rsid w:val="002042D8"/>
    <w:rsid w:val="00204545"/>
    <w:rsid w:val="00204573"/>
    <w:rsid w:val="00204621"/>
    <w:rsid w:val="00204681"/>
    <w:rsid w:val="002049B3"/>
    <w:rsid w:val="00204ADA"/>
    <w:rsid w:val="00204B36"/>
    <w:rsid w:val="00204C57"/>
    <w:rsid w:val="00204EAB"/>
    <w:rsid w:val="00204EC6"/>
    <w:rsid w:val="00204F46"/>
    <w:rsid w:val="00204F7A"/>
    <w:rsid w:val="00204F85"/>
    <w:rsid w:val="0020507F"/>
    <w:rsid w:val="002052EB"/>
    <w:rsid w:val="0020530C"/>
    <w:rsid w:val="002054C4"/>
    <w:rsid w:val="0020550F"/>
    <w:rsid w:val="002055A6"/>
    <w:rsid w:val="002056A8"/>
    <w:rsid w:val="002057F2"/>
    <w:rsid w:val="00205913"/>
    <w:rsid w:val="00205C3A"/>
    <w:rsid w:val="00205C5B"/>
    <w:rsid w:val="00205D7E"/>
    <w:rsid w:val="00205EE9"/>
    <w:rsid w:val="00205EF4"/>
    <w:rsid w:val="00205F15"/>
    <w:rsid w:val="00206002"/>
    <w:rsid w:val="0020610D"/>
    <w:rsid w:val="00206140"/>
    <w:rsid w:val="0020618B"/>
    <w:rsid w:val="002061FC"/>
    <w:rsid w:val="0020624F"/>
    <w:rsid w:val="0020644E"/>
    <w:rsid w:val="002064A6"/>
    <w:rsid w:val="002064AA"/>
    <w:rsid w:val="0020659D"/>
    <w:rsid w:val="0020662E"/>
    <w:rsid w:val="0020669B"/>
    <w:rsid w:val="00206714"/>
    <w:rsid w:val="0020687C"/>
    <w:rsid w:val="00206955"/>
    <w:rsid w:val="00206982"/>
    <w:rsid w:val="00206999"/>
    <w:rsid w:val="00206AE6"/>
    <w:rsid w:val="00206BBA"/>
    <w:rsid w:val="00206BD5"/>
    <w:rsid w:val="00206C44"/>
    <w:rsid w:val="00206CD3"/>
    <w:rsid w:val="0020706C"/>
    <w:rsid w:val="002070B8"/>
    <w:rsid w:val="002070D4"/>
    <w:rsid w:val="0020716D"/>
    <w:rsid w:val="00207227"/>
    <w:rsid w:val="002073AD"/>
    <w:rsid w:val="00207417"/>
    <w:rsid w:val="0020745F"/>
    <w:rsid w:val="0020754D"/>
    <w:rsid w:val="00207650"/>
    <w:rsid w:val="00207807"/>
    <w:rsid w:val="002078AD"/>
    <w:rsid w:val="00207942"/>
    <w:rsid w:val="0020795C"/>
    <w:rsid w:val="002079CD"/>
    <w:rsid w:val="00207B43"/>
    <w:rsid w:val="00207B6E"/>
    <w:rsid w:val="00207B8B"/>
    <w:rsid w:val="00207BA2"/>
    <w:rsid w:val="00207D0C"/>
    <w:rsid w:val="00207D60"/>
    <w:rsid w:val="00207DB2"/>
    <w:rsid w:val="00207E48"/>
    <w:rsid w:val="00207FAF"/>
    <w:rsid w:val="002101E3"/>
    <w:rsid w:val="002101E4"/>
    <w:rsid w:val="00210249"/>
    <w:rsid w:val="0021026B"/>
    <w:rsid w:val="002103C0"/>
    <w:rsid w:val="0021046F"/>
    <w:rsid w:val="002104F1"/>
    <w:rsid w:val="00210588"/>
    <w:rsid w:val="0021060E"/>
    <w:rsid w:val="002106F7"/>
    <w:rsid w:val="002107D5"/>
    <w:rsid w:val="002108B3"/>
    <w:rsid w:val="00210A61"/>
    <w:rsid w:val="00210B1B"/>
    <w:rsid w:val="00210B23"/>
    <w:rsid w:val="00210B34"/>
    <w:rsid w:val="00210B51"/>
    <w:rsid w:val="00210B9D"/>
    <w:rsid w:val="00210D12"/>
    <w:rsid w:val="00210E36"/>
    <w:rsid w:val="00210EF4"/>
    <w:rsid w:val="00210F23"/>
    <w:rsid w:val="00210FCA"/>
    <w:rsid w:val="0021131C"/>
    <w:rsid w:val="0021132C"/>
    <w:rsid w:val="00211379"/>
    <w:rsid w:val="00211433"/>
    <w:rsid w:val="0021196D"/>
    <w:rsid w:val="00211AC2"/>
    <w:rsid w:val="00211BD0"/>
    <w:rsid w:val="00211C76"/>
    <w:rsid w:val="00211CB9"/>
    <w:rsid w:val="00211CEF"/>
    <w:rsid w:val="00211D5F"/>
    <w:rsid w:val="00211E5B"/>
    <w:rsid w:val="00211E87"/>
    <w:rsid w:val="00211EA8"/>
    <w:rsid w:val="00212086"/>
    <w:rsid w:val="00212159"/>
    <w:rsid w:val="0021219C"/>
    <w:rsid w:val="0021243A"/>
    <w:rsid w:val="002124F4"/>
    <w:rsid w:val="00212537"/>
    <w:rsid w:val="00212629"/>
    <w:rsid w:val="0021273D"/>
    <w:rsid w:val="0021277A"/>
    <w:rsid w:val="002127C0"/>
    <w:rsid w:val="0021283B"/>
    <w:rsid w:val="002129EB"/>
    <w:rsid w:val="00212A7D"/>
    <w:rsid w:val="00212B73"/>
    <w:rsid w:val="00212BEE"/>
    <w:rsid w:val="00212C7B"/>
    <w:rsid w:val="00212C94"/>
    <w:rsid w:val="00212D80"/>
    <w:rsid w:val="00212DC3"/>
    <w:rsid w:val="00212F21"/>
    <w:rsid w:val="00212F93"/>
    <w:rsid w:val="00213036"/>
    <w:rsid w:val="00213138"/>
    <w:rsid w:val="0021314E"/>
    <w:rsid w:val="0021325E"/>
    <w:rsid w:val="00213271"/>
    <w:rsid w:val="0021339B"/>
    <w:rsid w:val="002133F7"/>
    <w:rsid w:val="00213522"/>
    <w:rsid w:val="00213586"/>
    <w:rsid w:val="00213633"/>
    <w:rsid w:val="00213655"/>
    <w:rsid w:val="0021368C"/>
    <w:rsid w:val="00213756"/>
    <w:rsid w:val="002137EE"/>
    <w:rsid w:val="002139A1"/>
    <w:rsid w:val="00213B0C"/>
    <w:rsid w:val="00213B5D"/>
    <w:rsid w:val="00213C42"/>
    <w:rsid w:val="00213D0C"/>
    <w:rsid w:val="00213D2E"/>
    <w:rsid w:val="00213F64"/>
    <w:rsid w:val="002140E8"/>
    <w:rsid w:val="00214146"/>
    <w:rsid w:val="002141D1"/>
    <w:rsid w:val="0021424E"/>
    <w:rsid w:val="0021429F"/>
    <w:rsid w:val="0021430A"/>
    <w:rsid w:val="002145A4"/>
    <w:rsid w:val="002145FF"/>
    <w:rsid w:val="00214689"/>
    <w:rsid w:val="0021471C"/>
    <w:rsid w:val="00214788"/>
    <w:rsid w:val="002147CC"/>
    <w:rsid w:val="00214822"/>
    <w:rsid w:val="002148EB"/>
    <w:rsid w:val="00214925"/>
    <w:rsid w:val="002149A4"/>
    <w:rsid w:val="00214A82"/>
    <w:rsid w:val="00214BBE"/>
    <w:rsid w:val="00214CA2"/>
    <w:rsid w:val="00214CD3"/>
    <w:rsid w:val="00214DBF"/>
    <w:rsid w:val="00214F6F"/>
    <w:rsid w:val="00214FB6"/>
    <w:rsid w:val="002150FD"/>
    <w:rsid w:val="00215105"/>
    <w:rsid w:val="0021518A"/>
    <w:rsid w:val="002151AF"/>
    <w:rsid w:val="00215255"/>
    <w:rsid w:val="00215335"/>
    <w:rsid w:val="0021558E"/>
    <w:rsid w:val="002155F0"/>
    <w:rsid w:val="002155F8"/>
    <w:rsid w:val="00215616"/>
    <w:rsid w:val="002156D2"/>
    <w:rsid w:val="002157C0"/>
    <w:rsid w:val="0021587E"/>
    <w:rsid w:val="00215934"/>
    <w:rsid w:val="0021593F"/>
    <w:rsid w:val="00215979"/>
    <w:rsid w:val="00215991"/>
    <w:rsid w:val="002159A2"/>
    <w:rsid w:val="00215AA6"/>
    <w:rsid w:val="00215B7D"/>
    <w:rsid w:val="00215CB3"/>
    <w:rsid w:val="00215E33"/>
    <w:rsid w:val="00215E76"/>
    <w:rsid w:val="00215E77"/>
    <w:rsid w:val="00215F25"/>
    <w:rsid w:val="00215F33"/>
    <w:rsid w:val="00216106"/>
    <w:rsid w:val="0021612E"/>
    <w:rsid w:val="00216130"/>
    <w:rsid w:val="00216176"/>
    <w:rsid w:val="00216246"/>
    <w:rsid w:val="0021624E"/>
    <w:rsid w:val="0021634C"/>
    <w:rsid w:val="00216527"/>
    <w:rsid w:val="00216528"/>
    <w:rsid w:val="002165F6"/>
    <w:rsid w:val="00216615"/>
    <w:rsid w:val="002166A9"/>
    <w:rsid w:val="002167BF"/>
    <w:rsid w:val="002167D7"/>
    <w:rsid w:val="002167E6"/>
    <w:rsid w:val="0021683C"/>
    <w:rsid w:val="002169F0"/>
    <w:rsid w:val="00216B76"/>
    <w:rsid w:val="00216BC0"/>
    <w:rsid w:val="00216CB5"/>
    <w:rsid w:val="00216E9C"/>
    <w:rsid w:val="00216F00"/>
    <w:rsid w:val="00216FAD"/>
    <w:rsid w:val="00217020"/>
    <w:rsid w:val="002170A8"/>
    <w:rsid w:val="002172D8"/>
    <w:rsid w:val="0021730C"/>
    <w:rsid w:val="00217342"/>
    <w:rsid w:val="00217345"/>
    <w:rsid w:val="0021737B"/>
    <w:rsid w:val="0021750E"/>
    <w:rsid w:val="0021755A"/>
    <w:rsid w:val="0021765C"/>
    <w:rsid w:val="002178BD"/>
    <w:rsid w:val="0021790E"/>
    <w:rsid w:val="002179BA"/>
    <w:rsid w:val="002179C5"/>
    <w:rsid w:val="00217A1E"/>
    <w:rsid w:val="00217A71"/>
    <w:rsid w:val="00217BFB"/>
    <w:rsid w:val="00217D0A"/>
    <w:rsid w:val="00217D81"/>
    <w:rsid w:val="00217E88"/>
    <w:rsid w:val="00217EB8"/>
    <w:rsid w:val="0022004C"/>
    <w:rsid w:val="00220096"/>
    <w:rsid w:val="0022013F"/>
    <w:rsid w:val="002201DC"/>
    <w:rsid w:val="00220239"/>
    <w:rsid w:val="0022025F"/>
    <w:rsid w:val="0022034C"/>
    <w:rsid w:val="0022039E"/>
    <w:rsid w:val="002203B1"/>
    <w:rsid w:val="0022051F"/>
    <w:rsid w:val="0022054D"/>
    <w:rsid w:val="00220572"/>
    <w:rsid w:val="00220619"/>
    <w:rsid w:val="00220734"/>
    <w:rsid w:val="002207DC"/>
    <w:rsid w:val="002208C0"/>
    <w:rsid w:val="002209BD"/>
    <w:rsid w:val="00220B57"/>
    <w:rsid w:val="00220C5E"/>
    <w:rsid w:val="00220C64"/>
    <w:rsid w:val="00220C8D"/>
    <w:rsid w:val="00220CE0"/>
    <w:rsid w:val="00220CE8"/>
    <w:rsid w:val="00220F3B"/>
    <w:rsid w:val="0022105D"/>
    <w:rsid w:val="002210BE"/>
    <w:rsid w:val="00221294"/>
    <w:rsid w:val="002212E5"/>
    <w:rsid w:val="002212E9"/>
    <w:rsid w:val="002212FA"/>
    <w:rsid w:val="0022130D"/>
    <w:rsid w:val="002214AE"/>
    <w:rsid w:val="00221504"/>
    <w:rsid w:val="0022168B"/>
    <w:rsid w:val="002216DB"/>
    <w:rsid w:val="002218B7"/>
    <w:rsid w:val="002218C6"/>
    <w:rsid w:val="002219B8"/>
    <w:rsid w:val="00221A14"/>
    <w:rsid w:val="00221A6F"/>
    <w:rsid w:val="00221AB1"/>
    <w:rsid w:val="00221B89"/>
    <w:rsid w:val="00221B9B"/>
    <w:rsid w:val="00221C53"/>
    <w:rsid w:val="00221E19"/>
    <w:rsid w:val="00221E36"/>
    <w:rsid w:val="00221E85"/>
    <w:rsid w:val="00221F1C"/>
    <w:rsid w:val="00221F6A"/>
    <w:rsid w:val="00221FAF"/>
    <w:rsid w:val="00221FB8"/>
    <w:rsid w:val="00222189"/>
    <w:rsid w:val="00222315"/>
    <w:rsid w:val="0022233E"/>
    <w:rsid w:val="00222472"/>
    <w:rsid w:val="00222554"/>
    <w:rsid w:val="002227F5"/>
    <w:rsid w:val="002228CA"/>
    <w:rsid w:val="00222A24"/>
    <w:rsid w:val="00222A6F"/>
    <w:rsid w:val="00222A81"/>
    <w:rsid w:val="00222AFE"/>
    <w:rsid w:val="00222C2A"/>
    <w:rsid w:val="00222D2A"/>
    <w:rsid w:val="00222D59"/>
    <w:rsid w:val="00222DA4"/>
    <w:rsid w:val="00222E0A"/>
    <w:rsid w:val="00222FAD"/>
    <w:rsid w:val="00223000"/>
    <w:rsid w:val="00223066"/>
    <w:rsid w:val="0022323B"/>
    <w:rsid w:val="0022326D"/>
    <w:rsid w:val="00223397"/>
    <w:rsid w:val="0022349C"/>
    <w:rsid w:val="0022353C"/>
    <w:rsid w:val="002235E2"/>
    <w:rsid w:val="0022361F"/>
    <w:rsid w:val="002236BB"/>
    <w:rsid w:val="002236C9"/>
    <w:rsid w:val="002236D1"/>
    <w:rsid w:val="00223739"/>
    <w:rsid w:val="00223899"/>
    <w:rsid w:val="00223A24"/>
    <w:rsid w:val="00223B70"/>
    <w:rsid w:val="00223C48"/>
    <w:rsid w:val="00223D74"/>
    <w:rsid w:val="00223D92"/>
    <w:rsid w:val="00223E14"/>
    <w:rsid w:val="00223EDD"/>
    <w:rsid w:val="00223EE0"/>
    <w:rsid w:val="00223FA1"/>
    <w:rsid w:val="002240FF"/>
    <w:rsid w:val="00224131"/>
    <w:rsid w:val="0022424A"/>
    <w:rsid w:val="00224439"/>
    <w:rsid w:val="002244E0"/>
    <w:rsid w:val="0022459A"/>
    <w:rsid w:val="0022463C"/>
    <w:rsid w:val="00224689"/>
    <w:rsid w:val="002246EF"/>
    <w:rsid w:val="00224756"/>
    <w:rsid w:val="00224802"/>
    <w:rsid w:val="00224838"/>
    <w:rsid w:val="002248E6"/>
    <w:rsid w:val="00224953"/>
    <w:rsid w:val="002249E6"/>
    <w:rsid w:val="00224AA5"/>
    <w:rsid w:val="00224B60"/>
    <w:rsid w:val="00224BA6"/>
    <w:rsid w:val="00224C05"/>
    <w:rsid w:val="00224C33"/>
    <w:rsid w:val="00224F46"/>
    <w:rsid w:val="00224F5C"/>
    <w:rsid w:val="00225018"/>
    <w:rsid w:val="00225070"/>
    <w:rsid w:val="00225342"/>
    <w:rsid w:val="00225375"/>
    <w:rsid w:val="0022550A"/>
    <w:rsid w:val="0022555E"/>
    <w:rsid w:val="002255A1"/>
    <w:rsid w:val="002255B6"/>
    <w:rsid w:val="00225899"/>
    <w:rsid w:val="00225AAB"/>
    <w:rsid w:val="00225B46"/>
    <w:rsid w:val="00225DEE"/>
    <w:rsid w:val="00225E53"/>
    <w:rsid w:val="002260A6"/>
    <w:rsid w:val="002260CF"/>
    <w:rsid w:val="002261A2"/>
    <w:rsid w:val="002261D4"/>
    <w:rsid w:val="002261E4"/>
    <w:rsid w:val="0022624A"/>
    <w:rsid w:val="00226263"/>
    <w:rsid w:val="002262DA"/>
    <w:rsid w:val="002263B5"/>
    <w:rsid w:val="002263C4"/>
    <w:rsid w:val="00226459"/>
    <w:rsid w:val="002264BD"/>
    <w:rsid w:val="002264F6"/>
    <w:rsid w:val="002265C7"/>
    <w:rsid w:val="002267F9"/>
    <w:rsid w:val="0022686A"/>
    <w:rsid w:val="002268DF"/>
    <w:rsid w:val="002269CC"/>
    <w:rsid w:val="00226A30"/>
    <w:rsid w:val="00226A98"/>
    <w:rsid w:val="00226B0B"/>
    <w:rsid w:val="00226B4A"/>
    <w:rsid w:val="00226BB1"/>
    <w:rsid w:val="00226C97"/>
    <w:rsid w:val="00226CF6"/>
    <w:rsid w:val="00226EE2"/>
    <w:rsid w:val="0022706A"/>
    <w:rsid w:val="002270CC"/>
    <w:rsid w:val="00227173"/>
    <w:rsid w:val="00227187"/>
    <w:rsid w:val="002271BA"/>
    <w:rsid w:val="002271C9"/>
    <w:rsid w:val="0022724A"/>
    <w:rsid w:val="00227321"/>
    <w:rsid w:val="002273CB"/>
    <w:rsid w:val="00227401"/>
    <w:rsid w:val="002274CF"/>
    <w:rsid w:val="002275C7"/>
    <w:rsid w:val="00227688"/>
    <w:rsid w:val="002276AE"/>
    <w:rsid w:val="00227700"/>
    <w:rsid w:val="00227701"/>
    <w:rsid w:val="00227783"/>
    <w:rsid w:val="00227942"/>
    <w:rsid w:val="002279BC"/>
    <w:rsid w:val="00227A0D"/>
    <w:rsid w:val="00227A31"/>
    <w:rsid w:val="00227A6A"/>
    <w:rsid w:val="00227A83"/>
    <w:rsid w:val="00227AF0"/>
    <w:rsid w:val="00227B5B"/>
    <w:rsid w:val="00227C8B"/>
    <w:rsid w:val="00227D0C"/>
    <w:rsid w:val="00227E9A"/>
    <w:rsid w:val="00227F16"/>
    <w:rsid w:val="00230063"/>
    <w:rsid w:val="002300BC"/>
    <w:rsid w:val="002300C8"/>
    <w:rsid w:val="00230170"/>
    <w:rsid w:val="00230336"/>
    <w:rsid w:val="00230378"/>
    <w:rsid w:val="002305C8"/>
    <w:rsid w:val="00230780"/>
    <w:rsid w:val="002307D5"/>
    <w:rsid w:val="002307F2"/>
    <w:rsid w:val="00230807"/>
    <w:rsid w:val="00230A72"/>
    <w:rsid w:val="00230ACA"/>
    <w:rsid w:val="00230ACF"/>
    <w:rsid w:val="00230BEF"/>
    <w:rsid w:val="00230C47"/>
    <w:rsid w:val="00230C4A"/>
    <w:rsid w:val="00230CB5"/>
    <w:rsid w:val="00231074"/>
    <w:rsid w:val="00231085"/>
    <w:rsid w:val="00231099"/>
    <w:rsid w:val="002310CD"/>
    <w:rsid w:val="00231162"/>
    <w:rsid w:val="00231223"/>
    <w:rsid w:val="00231403"/>
    <w:rsid w:val="002314BD"/>
    <w:rsid w:val="002314C4"/>
    <w:rsid w:val="00231616"/>
    <w:rsid w:val="0023161D"/>
    <w:rsid w:val="0023172B"/>
    <w:rsid w:val="0023183D"/>
    <w:rsid w:val="002318F7"/>
    <w:rsid w:val="00231908"/>
    <w:rsid w:val="002319CE"/>
    <w:rsid w:val="002319E2"/>
    <w:rsid w:val="00231ACD"/>
    <w:rsid w:val="00231B61"/>
    <w:rsid w:val="00231D45"/>
    <w:rsid w:val="00231D95"/>
    <w:rsid w:val="00231D9E"/>
    <w:rsid w:val="00231DF2"/>
    <w:rsid w:val="00231EE5"/>
    <w:rsid w:val="00231F74"/>
    <w:rsid w:val="00231F83"/>
    <w:rsid w:val="00231FCD"/>
    <w:rsid w:val="00231FDD"/>
    <w:rsid w:val="0023208A"/>
    <w:rsid w:val="002320FE"/>
    <w:rsid w:val="00232117"/>
    <w:rsid w:val="00232126"/>
    <w:rsid w:val="00232168"/>
    <w:rsid w:val="00232195"/>
    <w:rsid w:val="002321E7"/>
    <w:rsid w:val="0023221C"/>
    <w:rsid w:val="0023228A"/>
    <w:rsid w:val="00232541"/>
    <w:rsid w:val="00232591"/>
    <w:rsid w:val="002326C2"/>
    <w:rsid w:val="002326F2"/>
    <w:rsid w:val="0023281E"/>
    <w:rsid w:val="00232945"/>
    <w:rsid w:val="002329B0"/>
    <w:rsid w:val="002329E7"/>
    <w:rsid w:val="00232BBC"/>
    <w:rsid w:val="00232C05"/>
    <w:rsid w:val="00232DD6"/>
    <w:rsid w:val="00232E1F"/>
    <w:rsid w:val="00232FDB"/>
    <w:rsid w:val="00233036"/>
    <w:rsid w:val="0023324C"/>
    <w:rsid w:val="0023328C"/>
    <w:rsid w:val="002332A2"/>
    <w:rsid w:val="002333AA"/>
    <w:rsid w:val="00233445"/>
    <w:rsid w:val="002334CF"/>
    <w:rsid w:val="002334E8"/>
    <w:rsid w:val="00233537"/>
    <w:rsid w:val="002335DB"/>
    <w:rsid w:val="00233682"/>
    <w:rsid w:val="002338E1"/>
    <w:rsid w:val="00233958"/>
    <w:rsid w:val="00233A12"/>
    <w:rsid w:val="00233A72"/>
    <w:rsid w:val="00233AC5"/>
    <w:rsid w:val="00233B74"/>
    <w:rsid w:val="00233BBA"/>
    <w:rsid w:val="00233C0A"/>
    <w:rsid w:val="00233CE1"/>
    <w:rsid w:val="00233DC7"/>
    <w:rsid w:val="00233F25"/>
    <w:rsid w:val="00234052"/>
    <w:rsid w:val="002340FA"/>
    <w:rsid w:val="00234198"/>
    <w:rsid w:val="002342AD"/>
    <w:rsid w:val="0023436F"/>
    <w:rsid w:val="002343FC"/>
    <w:rsid w:val="002345BF"/>
    <w:rsid w:val="00234716"/>
    <w:rsid w:val="0023490A"/>
    <w:rsid w:val="002349CB"/>
    <w:rsid w:val="002349E1"/>
    <w:rsid w:val="002349E5"/>
    <w:rsid w:val="002349EE"/>
    <w:rsid w:val="00234A74"/>
    <w:rsid w:val="00234ACF"/>
    <w:rsid w:val="00234D9E"/>
    <w:rsid w:val="00234E4E"/>
    <w:rsid w:val="00234E71"/>
    <w:rsid w:val="00234E90"/>
    <w:rsid w:val="00234F90"/>
    <w:rsid w:val="00235019"/>
    <w:rsid w:val="002350ED"/>
    <w:rsid w:val="0023519B"/>
    <w:rsid w:val="002352C6"/>
    <w:rsid w:val="0023535B"/>
    <w:rsid w:val="00235616"/>
    <w:rsid w:val="002356D8"/>
    <w:rsid w:val="00235880"/>
    <w:rsid w:val="002358CA"/>
    <w:rsid w:val="00235942"/>
    <w:rsid w:val="002359BF"/>
    <w:rsid w:val="00235A06"/>
    <w:rsid w:val="00235ACC"/>
    <w:rsid w:val="00235B73"/>
    <w:rsid w:val="00235C2A"/>
    <w:rsid w:val="00235C63"/>
    <w:rsid w:val="00235DC0"/>
    <w:rsid w:val="00235F0A"/>
    <w:rsid w:val="0023612A"/>
    <w:rsid w:val="00236131"/>
    <w:rsid w:val="00236195"/>
    <w:rsid w:val="002361F1"/>
    <w:rsid w:val="002361FD"/>
    <w:rsid w:val="002365E4"/>
    <w:rsid w:val="00236624"/>
    <w:rsid w:val="002367B3"/>
    <w:rsid w:val="002367C4"/>
    <w:rsid w:val="002367CE"/>
    <w:rsid w:val="002367E6"/>
    <w:rsid w:val="002368BC"/>
    <w:rsid w:val="002368E9"/>
    <w:rsid w:val="00236913"/>
    <w:rsid w:val="0023699E"/>
    <w:rsid w:val="002369B5"/>
    <w:rsid w:val="00236B49"/>
    <w:rsid w:val="00236B99"/>
    <w:rsid w:val="00236BAA"/>
    <w:rsid w:val="00236C6E"/>
    <w:rsid w:val="00236D2B"/>
    <w:rsid w:val="00236D62"/>
    <w:rsid w:val="00236E7A"/>
    <w:rsid w:val="00236EBD"/>
    <w:rsid w:val="00236F12"/>
    <w:rsid w:val="00236F1C"/>
    <w:rsid w:val="00237037"/>
    <w:rsid w:val="00237248"/>
    <w:rsid w:val="0023738C"/>
    <w:rsid w:val="0023738E"/>
    <w:rsid w:val="0023739C"/>
    <w:rsid w:val="002373C1"/>
    <w:rsid w:val="002374A2"/>
    <w:rsid w:val="002374D9"/>
    <w:rsid w:val="002377F3"/>
    <w:rsid w:val="00237A7A"/>
    <w:rsid w:val="00237AEF"/>
    <w:rsid w:val="00237C4A"/>
    <w:rsid w:val="00237C86"/>
    <w:rsid w:val="00237D5C"/>
    <w:rsid w:val="00237D6F"/>
    <w:rsid w:val="00237DF7"/>
    <w:rsid w:val="00237EA1"/>
    <w:rsid w:val="00237F81"/>
    <w:rsid w:val="00237FEA"/>
    <w:rsid w:val="00240033"/>
    <w:rsid w:val="00240104"/>
    <w:rsid w:val="00240160"/>
    <w:rsid w:val="00240285"/>
    <w:rsid w:val="002402F6"/>
    <w:rsid w:val="00240438"/>
    <w:rsid w:val="00240492"/>
    <w:rsid w:val="002404A4"/>
    <w:rsid w:val="00240508"/>
    <w:rsid w:val="0024058C"/>
    <w:rsid w:val="002408F0"/>
    <w:rsid w:val="00240906"/>
    <w:rsid w:val="00240A82"/>
    <w:rsid w:val="00240A83"/>
    <w:rsid w:val="00240B13"/>
    <w:rsid w:val="00240B6E"/>
    <w:rsid w:val="00240B8A"/>
    <w:rsid w:val="00240C94"/>
    <w:rsid w:val="00240CA4"/>
    <w:rsid w:val="00240EE2"/>
    <w:rsid w:val="002413A2"/>
    <w:rsid w:val="002414AE"/>
    <w:rsid w:val="002414E0"/>
    <w:rsid w:val="002415B5"/>
    <w:rsid w:val="002415C7"/>
    <w:rsid w:val="002416CF"/>
    <w:rsid w:val="002416F5"/>
    <w:rsid w:val="0024170D"/>
    <w:rsid w:val="0024181E"/>
    <w:rsid w:val="0024198B"/>
    <w:rsid w:val="0024199A"/>
    <w:rsid w:val="00241A92"/>
    <w:rsid w:val="00241B0C"/>
    <w:rsid w:val="00241B41"/>
    <w:rsid w:val="00241C52"/>
    <w:rsid w:val="00241D49"/>
    <w:rsid w:val="00241D8F"/>
    <w:rsid w:val="00241DC6"/>
    <w:rsid w:val="00241EF6"/>
    <w:rsid w:val="00241F1F"/>
    <w:rsid w:val="002420C1"/>
    <w:rsid w:val="002422C8"/>
    <w:rsid w:val="002422D8"/>
    <w:rsid w:val="0024237F"/>
    <w:rsid w:val="002424C3"/>
    <w:rsid w:val="002424F3"/>
    <w:rsid w:val="0024262C"/>
    <w:rsid w:val="00242637"/>
    <w:rsid w:val="00242759"/>
    <w:rsid w:val="0024276B"/>
    <w:rsid w:val="0024282B"/>
    <w:rsid w:val="00242957"/>
    <w:rsid w:val="0024298B"/>
    <w:rsid w:val="00242C98"/>
    <w:rsid w:val="00242CC3"/>
    <w:rsid w:val="00242D4F"/>
    <w:rsid w:val="00242E5C"/>
    <w:rsid w:val="002431EA"/>
    <w:rsid w:val="002431FC"/>
    <w:rsid w:val="00243340"/>
    <w:rsid w:val="002433B2"/>
    <w:rsid w:val="00243431"/>
    <w:rsid w:val="002434A9"/>
    <w:rsid w:val="00243569"/>
    <w:rsid w:val="00243856"/>
    <w:rsid w:val="002438BE"/>
    <w:rsid w:val="002439E6"/>
    <w:rsid w:val="00243A05"/>
    <w:rsid w:val="00243A55"/>
    <w:rsid w:val="00243AEB"/>
    <w:rsid w:val="00243BB1"/>
    <w:rsid w:val="00243CC2"/>
    <w:rsid w:val="00243D0E"/>
    <w:rsid w:val="00243E7A"/>
    <w:rsid w:val="00243E9B"/>
    <w:rsid w:val="00244061"/>
    <w:rsid w:val="00244096"/>
    <w:rsid w:val="0024420A"/>
    <w:rsid w:val="00244231"/>
    <w:rsid w:val="00244385"/>
    <w:rsid w:val="002443F5"/>
    <w:rsid w:val="0024447A"/>
    <w:rsid w:val="0024457C"/>
    <w:rsid w:val="002445B8"/>
    <w:rsid w:val="002445C0"/>
    <w:rsid w:val="002445D9"/>
    <w:rsid w:val="00244646"/>
    <w:rsid w:val="002446FB"/>
    <w:rsid w:val="00244845"/>
    <w:rsid w:val="0024493A"/>
    <w:rsid w:val="00244987"/>
    <w:rsid w:val="00244A08"/>
    <w:rsid w:val="00244ADF"/>
    <w:rsid w:val="00244B52"/>
    <w:rsid w:val="00244B7A"/>
    <w:rsid w:val="00244BAC"/>
    <w:rsid w:val="00244C97"/>
    <w:rsid w:val="00244F0B"/>
    <w:rsid w:val="00244FC0"/>
    <w:rsid w:val="00245073"/>
    <w:rsid w:val="002451C5"/>
    <w:rsid w:val="0024547B"/>
    <w:rsid w:val="00245484"/>
    <w:rsid w:val="00245542"/>
    <w:rsid w:val="002455FC"/>
    <w:rsid w:val="0024567A"/>
    <w:rsid w:val="0024574B"/>
    <w:rsid w:val="00245774"/>
    <w:rsid w:val="0024587B"/>
    <w:rsid w:val="002458AF"/>
    <w:rsid w:val="00245932"/>
    <w:rsid w:val="00245A0D"/>
    <w:rsid w:val="00245A32"/>
    <w:rsid w:val="00245C0A"/>
    <w:rsid w:val="00245D3F"/>
    <w:rsid w:val="00245DE1"/>
    <w:rsid w:val="00245E48"/>
    <w:rsid w:val="00245FB0"/>
    <w:rsid w:val="00245FC0"/>
    <w:rsid w:val="002460DF"/>
    <w:rsid w:val="002461C6"/>
    <w:rsid w:val="00246222"/>
    <w:rsid w:val="002462E0"/>
    <w:rsid w:val="00246303"/>
    <w:rsid w:val="0024640A"/>
    <w:rsid w:val="00246491"/>
    <w:rsid w:val="002464D6"/>
    <w:rsid w:val="002464D7"/>
    <w:rsid w:val="00246638"/>
    <w:rsid w:val="0024672F"/>
    <w:rsid w:val="0024681F"/>
    <w:rsid w:val="00246821"/>
    <w:rsid w:val="00246963"/>
    <w:rsid w:val="00246964"/>
    <w:rsid w:val="002469CE"/>
    <w:rsid w:val="00246A4D"/>
    <w:rsid w:val="00246A8B"/>
    <w:rsid w:val="00246AC3"/>
    <w:rsid w:val="00246AF3"/>
    <w:rsid w:val="00246BA9"/>
    <w:rsid w:val="00246C02"/>
    <w:rsid w:val="00246C10"/>
    <w:rsid w:val="00246CE4"/>
    <w:rsid w:val="00246DB5"/>
    <w:rsid w:val="00246E09"/>
    <w:rsid w:val="00246E48"/>
    <w:rsid w:val="00246F99"/>
    <w:rsid w:val="002470CB"/>
    <w:rsid w:val="002471C2"/>
    <w:rsid w:val="00247241"/>
    <w:rsid w:val="0024729A"/>
    <w:rsid w:val="0024733D"/>
    <w:rsid w:val="002475D2"/>
    <w:rsid w:val="002475F5"/>
    <w:rsid w:val="00247641"/>
    <w:rsid w:val="0024765B"/>
    <w:rsid w:val="002476B0"/>
    <w:rsid w:val="00247779"/>
    <w:rsid w:val="0024795D"/>
    <w:rsid w:val="0024797C"/>
    <w:rsid w:val="0024799C"/>
    <w:rsid w:val="00247A7A"/>
    <w:rsid w:val="00247BFB"/>
    <w:rsid w:val="00247C6E"/>
    <w:rsid w:val="00247C77"/>
    <w:rsid w:val="00247CEC"/>
    <w:rsid w:val="00247CFC"/>
    <w:rsid w:val="00247F78"/>
    <w:rsid w:val="00250018"/>
    <w:rsid w:val="00250113"/>
    <w:rsid w:val="00250145"/>
    <w:rsid w:val="002501AC"/>
    <w:rsid w:val="0025021A"/>
    <w:rsid w:val="002502DD"/>
    <w:rsid w:val="002503C1"/>
    <w:rsid w:val="00250409"/>
    <w:rsid w:val="00250475"/>
    <w:rsid w:val="00250818"/>
    <w:rsid w:val="002509E5"/>
    <w:rsid w:val="002509F8"/>
    <w:rsid w:val="00250A9F"/>
    <w:rsid w:val="00250AB3"/>
    <w:rsid w:val="00250ABD"/>
    <w:rsid w:val="00250CEA"/>
    <w:rsid w:val="00250CF7"/>
    <w:rsid w:val="00250CFA"/>
    <w:rsid w:val="00250D32"/>
    <w:rsid w:val="00250E23"/>
    <w:rsid w:val="00250ED1"/>
    <w:rsid w:val="00250FF4"/>
    <w:rsid w:val="00251120"/>
    <w:rsid w:val="00251129"/>
    <w:rsid w:val="00251199"/>
    <w:rsid w:val="0025125C"/>
    <w:rsid w:val="00251312"/>
    <w:rsid w:val="00251384"/>
    <w:rsid w:val="002513A5"/>
    <w:rsid w:val="002513A8"/>
    <w:rsid w:val="00251464"/>
    <w:rsid w:val="002514C3"/>
    <w:rsid w:val="002515D6"/>
    <w:rsid w:val="002515E6"/>
    <w:rsid w:val="00251690"/>
    <w:rsid w:val="002516CB"/>
    <w:rsid w:val="002516DB"/>
    <w:rsid w:val="002516DF"/>
    <w:rsid w:val="00251721"/>
    <w:rsid w:val="00251750"/>
    <w:rsid w:val="0025176C"/>
    <w:rsid w:val="0025187A"/>
    <w:rsid w:val="00251886"/>
    <w:rsid w:val="002518D9"/>
    <w:rsid w:val="00251942"/>
    <w:rsid w:val="00251994"/>
    <w:rsid w:val="002519C4"/>
    <w:rsid w:val="00251AE9"/>
    <w:rsid w:val="00251B76"/>
    <w:rsid w:val="00251BA4"/>
    <w:rsid w:val="00251F2F"/>
    <w:rsid w:val="00251F86"/>
    <w:rsid w:val="00251FA3"/>
    <w:rsid w:val="0025210B"/>
    <w:rsid w:val="0025212F"/>
    <w:rsid w:val="002521D7"/>
    <w:rsid w:val="0025245B"/>
    <w:rsid w:val="00252479"/>
    <w:rsid w:val="00252490"/>
    <w:rsid w:val="002524A1"/>
    <w:rsid w:val="0025252C"/>
    <w:rsid w:val="00252554"/>
    <w:rsid w:val="002526CA"/>
    <w:rsid w:val="002526CD"/>
    <w:rsid w:val="00252711"/>
    <w:rsid w:val="0025292B"/>
    <w:rsid w:val="0025299C"/>
    <w:rsid w:val="00252A0F"/>
    <w:rsid w:val="00252A34"/>
    <w:rsid w:val="00252A6C"/>
    <w:rsid w:val="00252D08"/>
    <w:rsid w:val="00252D9F"/>
    <w:rsid w:val="00252F77"/>
    <w:rsid w:val="002530CB"/>
    <w:rsid w:val="002530EE"/>
    <w:rsid w:val="002532A2"/>
    <w:rsid w:val="002533D1"/>
    <w:rsid w:val="00253598"/>
    <w:rsid w:val="002535A6"/>
    <w:rsid w:val="002535B6"/>
    <w:rsid w:val="00253667"/>
    <w:rsid w:val="002536C3"/>
    <w:rsid w:val="002538FE"/>
    <w:rsid w:val="00253950"/>
    <w:rsid w:val="00253990"/>
    <w:rsid w:val="00253A1C"/>
    <w:rsid w:val="00253ADD"/>
    <w:rsid w:val="00253B17"/>
    <w:rsid w:val="00253BB5"/>
    <w:rsid w:val="00253EFC"/>
    <w:rsid w:val="00253FF4"/>
    <w:rsid w:val="002540C2"/>
    <w:rsid w:val="002540D3"/>
    <w:rsid w:val="00254188"/>
    <w:rsid w:val="00254296"/>
    <w:rsid w:val="00254348"/>
    <w:rsid w:val="0025437F"/>
    <w:rsid w:val="00254398"/>
    <w:rsid w:val="002543EB"/>
    <w:rsid w:val="002544CE"/>
    <w:rsid w:val="00254566"/>
    <w:rsid w:val="00254589"/>
    <w:rsid w:val="002546E6"/>
    <w:rsid w:val="002547FD"/>
    <w:rsid w:val="00254822"/>
    <w:rsid w:val="00254B00"/>
    <w:rsid w:val="00254B96"/>
    <w:rsid w:val="00254DBB"/>
    <w:rsid w:val="00254E61"/>
    <w:rsid w:val="00254EB8"/>
    <w:rsid w:val="00254EE3"/>
    <w:rsid w:val="00254FEB"/>
    <w:rsid w:val="0025501C"/>
    <w:rsid w:val="002550BB"/>
    <w:rsid w:val="0025512D"/>
    <w:rsid w:val="002552C1"/>
    <w:rsid w:val="002554D6"/>
    <w:rsid w:val="00255510"/>
    <w:rsid w:val="0025561D"/>
    <w:rsid w:val="002557D9"/>
    <w:rsid w:val="002558C2"/>
    <w:rsid w:val="00255914"/>
    <w:rsid w:val="00255942"/>
    <w:rsid w:val="0025599A"/>
    <w:rsid w:val="002559B8"/>
    <w:rsid w:val="00255A22"/>
    <w:rsid w:val="00255BAE"/>
    <w:rsid w:val="00255BFC"/>
    <w:rsid w:val="00255BFE"/>
    <w:rsid w:val="00255C5D"/>
    <w:rsid w:val="00255CB5"/>
    <w:rsid w:val="00255D14"/>
    <w:rsid w:val="00255EC4"/>
    <w:rsid w:val="00255F2D"/>
    <w:rsid w:val="0025612D"/>
    <w:rsid w:val="00256137"/>
    <w:rsid w:val="002561C6"/>
    <w:rsid w:val="002561D9"/>
    <w:rsid w:val="002561DD"/>
    <w:rsid w:val="002561F5"/>
    <w:rsid w:val="00256211"/>
    <w:rsid w:val="00256278"/>
    <w:rsid w:val="002562AA"/>
    <w:rsid w:val="00256387"/>
    <w:rsid w:val="0025640E"/>
    <w:rsid w:val="00256435"/>
    <w:rsid w:val="00256492"/>
    <w:rsid w:val="002565A3"/>
    <w:rsid w:val="0025668A"/>
    <w:rsid w:val="002566AD"/>
    <w:rsid w:val="00256782"/>
    <w:rsid w:val="002567BA"/>
    <w:rsid w:val="002567D8"/>
    <w:rsid w:val="00256916"/>
    <w:rsid w:val="00256958"/>
    <w:rsid w:val="00256AFC"/>
    <w:rsid w:val="00256C8F"/>
    <w:rsid w:val="00256C93"/>
    <w:rsid w:val="00256D4E"/>
    <w:rsid w:val="00256D7C"/>
    <w:rsid w:val="00256E5F"/>
    <w:rsid w:val="00256E62"/>
    <w:rsid w:val="00256EEA"/>
    <w:rsid w:val="0025707C"/>
    <w:rsid w:val="002570BF"/>
    <w:rsid w:val="002570F8"/>
    <w:rsid w:val="002571FA"/>
    <w:rsid w:val="002573BD"/>
    <w:rsid w:val="002573BE"/>
    <w:rsid w:val="002575B5"/>
    <w:rsid w:val="002576DA"/>
    <w:rsid w:val="002576E9"/>
    <w:rsid w:val="00257C01"/>
    <w:rsid w:val="00257C0A"/>
    <w:rsid w:val="00257D38"/>
    <w:rsid w:val="00257E8B"/>
    <w:rsid w:val="00257FB4"/>
    <w:rsid w:val="00257FDF"/>
    <w:rsid w:val="00260062"/>
    <w:rsid w:val="002600BD"/>
    <w:rsid w:val="0026021D"/>
    <w:rsid w:val="00260235"/>
    <w:rsid w:val="002603A1"/>
    <w:rsid w:val="00260438"/>
    <w:rsid w:val="00260598"/>
    <w:rsid w:val="002605B7"/>
    <w:rsid w:val="0026063A"/>
    <w:rsid w:val="00260745"/>
    <w:rsid w:val="00260748"/>
    <w:rsid w:val="0026083A"/>
    <w:rsid w:val="00260A18"/>
    <w:rsid w:val="00260A35"/>
    <w:rsid w:val="00260A6F"/>
    <w:rsid w:val="00260C3B"/>
    <w:rsid w:val="00260CEC"/>
    <w:rsid w:val="00260E22"/>
    <w:rsid w:val="00260E44"/>
    <w:rsid w:val="00260EE5"/>
    <w:rsid w:val="00260F39"/>
    <w:rsid w:val="00260FC2"/>
    <w:rsid w:val="002610DD"/>
    <w:rsid w:val="002611A2"/>
    <w:rsid w:val="00261478"/>
    <w:rsid w:val="002614D1"/>
    <w:rsid w:val="0026151E"/>
    <w:rsid w:val="00261577"/>
    <w:rsid w:val="0026159F"/>
    <w:rsid w:val="002615C8"/>
    <w:rsid w:val="00261821"/>
    <w:rsid w:val="0026191B"/>
    <w:rsid w:val="00261951"/>
    <w:rsid w:val="00261ABE"/>
    <w:rsid w:val="00261C56"/>
    <w:rsid w:val="00261C81"/>
    <w:rsid w:val="00261F52"/>
    <w:rsid w:val="00261FB1"/>
    <w:rsid w:val="00261FBA"/>
    <w:rsid w:val="00261FEF"/>
    <w:rsid w:val="00262007"/>
    <w:rsid w:val="00262012"/>
    <w:rsid w:val="00262065"/>
    <w:rsid w:val="00262107"/>
    <w:rsid w:val="00262121"/>
    <w:rsid w:val="002621C3"/>
    <w:rsid w:val="002621D4"/>
    <w:rsid w:val="00262366"/>
    <w:rsid w:val="002624DF"/>
    <w:rsid w:val="0026258A"/>
    <w:rsid w:val="002625D1"/>
    <w:rsid w:val="00262743"/>
    <w:rsid w:val="0026291A"/>
    <w:rsid w:val="00262B57"/>
    <w:rsid w:val="00262B5D"/>
    <w:rsid w:val="00262B8E"/>
    <w:rsid w:val="00262C4A"/>
    <w:rsid w:val="00262CBB"/>
    <w:rsid w:val="00262CFF"/>
    <w:rsid w:val="00262DAC"/>
    <w:rsid w:val="00262E6C"/>
    <w:rsid w:val="00262ED7"/>
    <w:rsid w:val="00262F02"/>
    <w:rsid w:val="00263204"/>
    <w:rsid w:val="00263211"/>
    <w:rsid w:val="0026327F"/>
    <w:rsid w:val="002632CE"/>
    <w:rsid w:val="0026338F"/>
    <w:rsid w:val="002634F0"/>
    <w:rsid w:val="002635CD"/>
    <w:rsid w:val="002635D0"/>
    <w:rsid w:val="0026364C"/>
    <w:rsid w:val="0026373E"/>
    <w:rsid w:val="00263902"/>
    <w:rsid w:val="0026396F"/>
    <w:rsid w:val="00263AA7"/>
    <w:rsid w:val="00263B64"/>
    <w:rsid w:val="00263BC2"/>
    <w:rsid w:val="00263D5B"/>
    <w:rsid w:val="00263D6D"/>
    <w:rsid w:val="00263E79"/>
    <w:rsid w:val="00263EFC"/>
    <w:rsid w:val="00263FEC"/>
    <w:rsid w:val="00264049"/>
    <w:rsid w:val="002641D2"/>
    <w:rsid w:val="002641F9"/>
    <w:rsid w:val="0026434E"/>
    <w:rsid w:val="002643E0"/>
    <w:rsid w:val="00264439"/>
    <w:rsid w:val="00264474"/>
    <w:rsid w:val="0026449D"/>
    <w:rsid w:val="00264703"/>
    <w:rsid w:val="00264861"/>
    <w:rsid w:val="00264968"/>
    <w:rsid w:val="00264993"/>
    <w:rsid w:val="00264A42"/>
    <w:rsid w:val="00264AAC"/>
    <w:rsid w:val="00264AE1"/>
    <w:rsid w:val="00264C76"/>
    <w:rsid w:val="00264CE4"/>
    <w:rsid w:val="00264D90"/>
    <w:rsid w:val="00264E5F"/>
    <w:rsid w:val="00264EFC"/>
    <w:rsid w:val="00264F67"/>
    <w:rsid w:val="00264F95"/>
    <w:rsid w:val="0026505C"/>
    <w:rsid w:val="002650BA"/>
    <w:rsid w:val="0026510E"/>
    <w:rsid w:val="00265117"/>
    <w:rsid w:val="00265308"/>
    <w:rsid w:val="0026530C"/>
    <w:rsid w:val="00265507"/>
    <w:rsid w:val="00265700"/>
    <w:rsid w:val="0026577B"/>
    <w:rsid w:val="002657EE"/>
    <w:rsid w:val="00265B37"/>
    <w:rsid w:val="00265F82"/>
    <w:rsid w:val="00265FDC"/>
    <w:rsid w:val="002660C9"/>
    <w:rsid w:val="0026621B"/>
    <w:rsid w:val="00266376"/>
    <w:rsid w:val="002663A3"/>
    <w:rsid w:val="002664F2"/>
    <w:rsid w:val="00266572"/>
    <w:rsid w:val="00266591"/>
    <w:rsid w:val="002665AF"/>
    <w:rsid w:val="0026666E"/>
    <w:rsid w:val="00266C05"/>
    <w:rsid w:val="00266C1D"/>
    <w:rsid w:val="00266CB7"/>
    <w:rsid w:val="00266CDF"/>
    <w:rsid w:val="00266D2C"/>
    <w:rsid w:val="00266D6E"/>
    <w:rsid w:val="00266DA9"/>
    <w:rsid w:val="00266DDB"/>
    <w:rsid w:val="00266DF3"/>
    <w:rsid w:val="00266E88"/>
    <w:rsid w:val="00266FD2"/>
    <w:rsid w:val="002670E2"/>
    <w:rsid w:val="002671A0"/>
    <w:rsid w:val="002671C8"/>
    <w:rsid w:val="002671D5"/>
    <w:rsid w:val="00267205"/>
    <w:rsid w:val="00267231"/>
    <w:rsid w:val="00267245"/>
    <w:rsid w:val="002672B0"/>
    <w:rsid w:val="002674E0"/>
    <w:rsid w:val="00267602"/>
    <w:rsid w:val="0026760C"/>
    <w:rsid w:val="00267631"/>
    <w:rsid w:val="002676A5"/>
    <w:rsid w:val="0026780F"/>
    <w:rsid w:val="00267836"/>
    <w:rsid w:val="0026786B"/>
    <w:rsid w:val="002679B3"/>
    <w:rsid w:val="002679EF"/>
    <w:rsid w:val="00267A0E"/>
    <w:rsid w:val="00267A73"/>
    <w:rsid w:val="00267E32"/>
    <w:rsid w:val="00267EAF"/>
    <w:rsid w:val="00267EDB"/>
    <w:rsid w:val="00267F66"/>
    <w:rsid w:val="00270061"/>
    <w:rsid w:val="0027017F"/>
    <w:rsid w:val="002701B0"/>
    <w:rsid w:val="002702BF"/>
    <w:rsid w:val="00270348"/>
    <w:rsid w:val="0027036F"/>
    <w:rsid w:val="002704EE"/>
    <w:rsid w:val="00270546"/>
    <w:rsid w:val="00270609"/>
    <w:rsid w:val="00270648"/>
    <w:rsid w:val="002707FF"/>
    <w:rsid w:val="0027095B"/>
    <w:rsid w:val="00270994"/>
    <w:rsid w:val="00270A12"/>
    <w:rsid w:val="00270B8F"/>
    <w:rsid w:val="00270BC1"/>
    <w:rsid w:val="00270C02"/>
    <w:rsid w:val="00270CB2"/>
    <w:rsid w:val="00270E25"/>
    <w:rsid w:val="00270EE3"/>
    <w:rsid w:val="00270F46"/>
    <w:rsid w:val="00270FB8"/>
    <w:rsid w:val="00270FE6"/>
    <w:rsid w:val="002711C2"/>
    <w:rsid w:val="002712BB"/>
    <w:rsid w:val="00271398"/>
    <w:rsid w:val="002713DB"/>
    <w:rsid w:val="002713EA"/>
    <w:rsid w:val="0027150C"/>
    <w:rsid w:val="00271528"/>
    <w:rsid w:val="00271562"/>
    <w:rsid w:val="00271607"/>
    <w:rsid w:val="0027169D"/>
    <w:rsid w:val="0027169E"/>
    <w:rsid w:val="002717E2"/>
    <w:rsid w:val="002718B6"/>
    <w:rsid w:val="002718EC"/>
    <w:rsid w:val="00271AD5"/>
    <w:rsid w:val="00271B76"/>
    <w:rsid w:val="00271B8C"/>
    <w:rsid w:val="00271BE9"/>
    <w:rsid w:val="00271CA5"/>
    <w:rsid w:val="00271CE1"/>
    <w:rsid w:val="00271D59"/>
    <w:rsid w:val="00271D70"/>
    <w:rsid w:val="00271ED6"/>
    <w:rsid w:val="00271F2B"/>
    <w:rsid w:val="00271F5F"/>
    <w:rsid w:val="00271FBC"/>
    <w:rsid w:val="00271FFE"/>
    <w:rsid w:val="00272016"/>
    <w:rsid w:val="0027203C"/>
    <w:rsid w:val="00272066"/>
    <w:rsid w:val="0027219B"/>
    <w:rsid w:val="002722C9"/>
    <w:rsid w:val="00272385"/>
    <w:rsid w:val="00272456"/>
    <w:rsid w:val="0027246C"/>
    <w:rsid w:val="00272476"/>
    <w:rsid w:val="0027251A"/>
    <w:rsid w:val="00272534"/>
    <w:rsid w:val="002726F5"/>
    <w:rsid w:val="00272779"/>
    <w:rsid w:val="00272956"/>
    <w:rsid w:val="00272994"/>
    <w:rsid w:val="002729A7"/>
    <w:rsid w:val="002729D7"/>
    <w:rsid w:val="002729E2"/>
    <w:rsid w:val="00272BD2"/>
    <w:rsid w:val="00272E45"/>
    <w:rsid w:val="00272E63"/>
    <w:rsid w:val="00272E6F"/>
    <w:rsid w:val="00272FD4"/>
    <w:rsid w:val="00272FE0"/>
    <w:rsid w:val="00273037"/>
    <w:rsid w:val="00273089"/>
    <w:rsid w:val="002731BB"/>
    <w:rsid w:val="002731FA"/>
    <w:rsid w:val="00273272"/>
    <w:rsid w:val="002732A9"/>
    <w:rsid w:val="0027334F"/>
    <w:rsid w:val="00273381"/>
    <w:rsid w:val="002733BA"/>
    <w:rsid w:val="002733C4"/>
    <w:rsid w:val="002735E5"/>
    <w:rsid w:val="00273734"/>
    <w:rsid w:val="00273867"/>
    <w:rsid w:val="002738CD"/>
    <w:rsid w:val="002739AA"/>
    <w:rsid w:val="00273A35"/>
    <w:rsid w:val="00273A9C"/>
    <w:rsid w:val="00273B85"/>
    <w:rsid w:val="00273BA5"/>
    <w:rsid w:val="00273C29"/>
    <w:rsid w:val="00273C8F"/>
    <w:rsid w:val="00273CE5"/>
    <w:rsid w:val="00273D7E"/>
    <w:rsid w:val="00273DC3"/>
    <w:rsid w:val="00273DC6"/>
    <w:rsid w:val="00273DDA"/>
    <w:rsid w:val="00273E40"/>
    <w:rsid w:val="00273E8F"/>
    <w:rsid w:val="00273EC9"/>
    <w:rsid w:val="00273F40"/>
    <w:rsid w:val="00273FE6"/>
    <w:rsid w:val="00274068"/>
    <w:rsid w:val="00274138"/>
    <w:rsid w:val="002741CD"/>
    <w:rsid w:val="0027428D"/>
    <w:rsid w:val="0027441B"/>
    <w:rsid w:val="00274425"/>
    <w:rsid w:val="00274483"/>
    <w:rsid w:val="002744FF"/>
    <w:rsid w:val="0027468F"/>
    <w:rsid w:val="002746A8"/>
    <w:rsid w:val="002747A2"/>
    <w:rsid w:val="002747B3"/>
    <w:rsid w:val="002747D0"/>
    <w:rsid w:val="00274824"/>
    <w:rsid w:val="002749DF"/>
    <w:rsid w:val="00274BFB"/>
    <w:rsid w:val="00274DB0"/>
    <w:rsid w:val="00274E05"/>
    <w:rsid w:val="00274E0A"/>
    <w:rsid w:val="00274E2F"/>
    <w:rsid w:val="00274EA0"/>
    <w:rsid w:val="00275113"/>
    <w:rsid w:val="0027518B"/>
    <w:rsid w:val="002751D1"/>
    <w:rsid w:val="002751E8"/>
    <w:rsid w:val="00275204"/>
    <w:rsid w:val="0027538F"/>
    <w:rsid w:val="0027544B"/>
    <w:rsid w:val="002754A5"/>
    <w:rsid w:val="002754C3"/>
    <w:rsid w:val="002754CB"/>
    <w:rsid w:val="00275743"/>
    <w:rsid w:val="00275796"/>
    <w:rsid w:val="00275845"/>
    <w:rsid w:val="00275946"/>
    <w:rsid w:val="00275B79"/>
    <w:rsid w:val="00275B8A"/>
    <w:rsid w:val="00275CAF"/>
    <w:rsid w:val="00275DAC"/>
    <w:rsid w:val="00275DED"/>
    <w:rsid w:val="00275F18"/>
    <w:rsid w:val="00275F5E"/>
    <w:rsid w:val="00275FF5"/>
    <w:rsid w:val="00276131"/>
    <w:rsid w:val="002761A2"/>
    <w:rsid w:val="002761EB"/>
    <w:rsid w:val="0027620E"/>
    <w:rsid w:val="0027625C"/>
    <w:rsid w:val="00276358"/>
    <w:rsid w:val="0027643B"/>
    <w:rsid w:val="00276543"/>
    <w:rsid w:val="00276582"/>
    <w:rsid w:val="0027668E"/>
    <w:rsid w:val="002766F3"/>
    <w:rsid w:val="0027673C"/>
    <w:rsid w:val="0027680A"/>
    <w:rsid w:val="00276969"/>
    <w:rsid w:val="002769E5"/>
    <w:rsid w:val="00276AE0"/>
    <w:rsid w:val="00276B0C"/>
    <w:rsid w:val="00276CD6"/>
    <w:rsid w:val="00276D6B"/>
    <w:rsid w:val="00276DD3"/>
    <w:rsid w:val="00276DF1"/>
    <w:rsid w:val="00276E77"/>
    <w:rsid w:val="00276EE7"/>
    <w:rsid w:val="00276F76"/>
    <w:rsid w:val="00276FA8"/>
    <w:rsid w:val="00277126"/>
    <w:rsid w:val="0027718B"/>
    <w:rsid w:val="00277194"/>
    <w:rsid w:val="0027719E"/>
    <w:rsid w:val="00277219"/>
    <w:rsid w:val="00277284"/>
    <w:rsid w:val="0027730D"/>
    <w:rsid w:val="00277323"/>
    <w:rsid w:val="0027747E"/>
    <w:rsid w:val="002774B7"/>
    <w:rsid w:val="002775DE"/>
    <w:rsid w:val="002777FF"/>
    <w:rsid w:val="002778BB"/>
    <w:rsid w:val="00277AB6"/>
    <w:rsid w:val="00277C3B"/>
    <w:rsid w:val="00277D2A"/>
    <w:rsid w:val="00277D65"/>
    <w:rsid w:val="00277DA1"/>
    <w:rsid w:val="00277DB9"/>
    <w:rsid w:val="00277DE4"/>
    <w:rsid w:val="00277F82"/>
    <w:rsid w:val="00277FDA"/>
    <w:rsid w:val="00277FF6"/>
    <w:rsid w:val="002800BA"/>
    <w:rsid w:val="00280126"/>
    <w:rsid w:val="0028012D"/>
    <w:rsid w:val="0028015B"/>
    <w:rsid w:val="002801B0"/>
    <w:rsid w:val="00280412"/>
    <w:rsid w:val="00280607"/>
    <w:rsid w:val="002806F5"/>
    <w:rsid w:val="00280785"/>
    <w:rsid w:val="00280920"/>
    <w:rsid w:val="002809FB"/>
    <w:rsid w:val="00280A1D"/>
    <w:rsid w:val="00280A4B"/>
    <w:rsid w:val="00280A5B"/>
    <w:rsid w:val="00280ACB"/>
    <w:rsid w:val="00280AFE"/>
    <w:rsid w:val="00280B42"/>
    <w:rsid w:val="00280C47"/>
    <w:rsid w:val="00280CC2"/>
    <w:rsid w:val="00280CD8"/>
    <w:rsid w:val="00280D07"/>
    <w:rsid w:val="00280D5A"/>
    <w:rsid w:val="00280DC5"/>
    <w:rsid w:val="00280E01"/>
    <w:rsid w:val="00280FD3"/>
    <w:rsid w:val="00281014"/>
    <w:rsid w:val="00281059"/>
    <w:rsid w:val="002810F7"/>
    <w:rsid w:val="002811F5"/>
    <w:rsid w:val="0028120C"/>
    <w:rsid w:val="0028121F"/>
    <w:rsid w:val="0028129F"/>
    <w:rsid w:val="002813CE"/>
    <w:rsid w:val="00281549"/>
    <w:rsid w:val="0028159B"/>
    <w:rsid w:val="00281625"/>
    <w:rsid w:val="00281946"/>
    <w:rsid w:val="00281A27"/>
    <w:rsid w:val="00281B06"/>
    <w:rsid w:val="00281BA4"/>
    <w:rsid w:val="00281E66"/>
    <w:rsid w:val="00281F8E"/>
    <w:rsid w:val="00281FDE"/>
    <w:rsid w:val="0028205F"/>
    <w:rsid w:val="0028207A"/>
    <w:rsid w:val="002820E9"/>
    <w:rsid w:val="00282135"/>
    <w:rsid w:val="00282327"/>
    <w:rsid w:val="0028236C"/>
    <w:rsid w:val="002823FB"/>
    <w:rsid w:val="00282575"/>
    <w:rsid w:val="00282639"/>
    <w:rsid w:val="00282748"/>
    <w:rsid w:val="002827EE"/>
    <w:rsid w:val="0028283E"/>
    <w:rsid w:val="00282878"/>
    <w:rsid w:val="00282936"/>
    <w:rsid w:val="0028294D"/>
    <w:rsid w:val="00282960"/>
    <w:rsid w:val="002829C3"/>
    <w:rsid w:val="00282A27"/>
    <w:rsid w:val="00282ADA"/>
    <w:rsid w:val="00282B33"/>
    <w:rsid w:val="00282C2F"/>
    <w:rsid w:val="00282E28"/>
    <w:rsid w:val="00282EA6"/>
    <w:rsid w:val="00282EBA"/>
    <w:rsid w:val="00282F27"/>
    <w:rsid w:val="00282FF2"/>
    <w:rsid w:val="00283114"/>
    <w:rsid w:val="00283180"/>
    <w:rsid w:val="00283193"/>
    <w:rsid w:val="002831BE"/>
    <w:rsid w:val="002831EC"/>
    <w:rsid w:val="002832A7"/>
    <w:rsid w:val="00283376"/>
    <w:rsid w:val="002833EC"/>
    <w:rsid w:val="00283440"/>
    <w:rsid w:val="0028344A"/>
    <w:rsid w:val="002834A5"/>
    <w:rsid w:val="00283508"/>
    <w:rsid w:val="00283571"/>
    <w:rsid w:val="002835CD"/>
    <w:rsid w:val="002836F7"/>
    <w:rsid w:val="002837BF"/>
    <w:rsid w:val="00283869"/>
    <w:rsid w:val="00283924"/>
    <w:rsid w:val="0028393A"/>
    <w:rsid w:val="00283984"/>
    <w:rsid w:val="00283987"/>
    <w:rsid w:val="00283B34"/>
    <w:rsid w:val="00283D94"/>
    <w:rsid w:val="00283E14"/>
    <w:rsid w:val="00283E55"/>
    <w:rsid w:val="00283FCF"/>
    <w:rsid w:val="0028409C"/>
    <w:rsid w:val="002840E1"/>
    <w:rsid w:val="00284102"/>
    <w:rsid w:val="0028434B"/>
    <w:rsid w:val="00284385"/>
    <w:rsid w:val="002843EE"/>
    <w:rsid w:val="002844D4"/>
    <w:rsid w:val="00284649"/>
    <w:rsid w:val="002846D1"/>
    <w:rsid w:val="0028472B"/>
    <w:rsid w:val="002848AC"/>
    <w:rsid w:val="002848B2"/>
    <w:rsid w:val="002849CE"/>
    <w:rsid w:val="002849E1"/>
    <w:rsid w:val="00284A34"/>
    <w:rsid w:val="00284B70"/>
    <w:rsid w:val="00284BCF"/>
    <w:rsid w:val="00284BFB"/>
    <w:rsid w:val="00284C26"/>
    <w:rsid w:val="00284C6F"/>
    <w:rsid w:val="00284C9B"/>
    <w:rsid w:val="00284D27"/>
    <w:rsid w:val="00284EE1"/>
    <w:rsid w:val="00284FAE"/>
    <w:rsid w:val="00284FDD"/>
    <w:rsid w:val="00284FE8"/>
    <w:rsid w:val="0028528D"/>
    <w:rsid w:val="0028544E"/>
    <w:rsid w:val="00285539"/>
    <w:rsid w:val="00285615"/>
    <w:rsid w:val="00285726"/>
    <w:rsid w:val="0028578F"/>
    <w:rsid w:val="002858A1"/>
    <w:rsid w:val="00285909"/>
    <w:rsid w:val="00285926"/>
    <w:rsid w:val="00285BC6"/>
    <w:rsid w:val="00285BD8"/>
    <w:rsid w:val="00285BEE"/>
    <w:rsid w:val="00285BFA"/>
    <w:rsid w:val="00285EC8"/>
    <w:rsid w:val="00285F07"/>
    <w:rsid w:val="00285F53"/>
    <w:rsid w:val="00285F76"/>
    <w:rsid w:val="0028609D"/>
    <w:rsid w:val="002860E8"/>
    <w:rsid w:val="00286107"/>
    <w:rsid w:val="00286233"/>
    <w:rsid w:val="002862D5"/>
    <w:rsid w:val="0028632A"/>
    <w:rsid w:val="002863F6"/>
    <w:rsid w:val="00286478"/>
    <w:rsid w:val="002864AA"/>
    <w:rsid w:val="002864EC"/>
    <w:rsid w:val="002865F1"/>
    <w:rsid w:val="002867D0"/>
    <w:rsid w:val="002867E8"/>
    <w:rsid w:val="002867EA"/>
    <w:rsid w:val="0028694B"/>
    <w:rsid w:val="0028699B"/>
    <w:rsid w:val="00286BB2"/>
    <w:rsid w:val="00286BBE"/>
    <w:rsid w:val="00286C17"/>
    <w:rsid w:val="00286CED"/>
    <w:rsid w:val="00286D98"/>
    <w:rsid w:val="00286DEC"/>
    <w:rsid w:val="00286E20"/>
    <w:rsid w:val="00286EAF"/>
    <w:rsid w:val="00286FA6"/>
    <w:rsid w:val="00287078"/>
    <w:rsid w:val="002870C3"/>
    <w:rsid w:val="00287126"/>
    <w:rsid w:val="002871FB"/>
    <w:rsid w:val="00287501"/>
    <w:rsid w:val="002875B2"/>
    <w:rsid w:val="002875F9"/>
    <w:rsid w:val="00287632"/>
    <w:rsid w:val="002876F0"/>
    <w:rsid w:val="002877A0"/>
    <w:rsid w:val="00287879"/>
    <w:rsid w:val="00287A0A"/>
    <w:rsid w:val="00287C97"/>
    <w:rsid w:val="00287D24"/>
    <w:rsid w:val="00287E3C"/>
    <w:rsid w:val="00287ED2"/>
    <w:rsid w:val="00290005"/>
    <w:rsid w:val="00290127"/>
    <w:rsid w:val="002901EE"/>
    <w:rsid w:val="00290238"/>
    <w:rsid w:val="0029024E"/>
    <w:rsid w:val="00290289"/>
    <w:rsid w:val="002904CB"/>
    <w:rsid w:val="00290575"/>
    <w:rsid w:val="00290608"/>
    <w:rsid w:val="00290673"/>
    <w:rsid w:val="00290795"/>
    <w:rsid w:val="0029079C"/>
    <w:rsid w:val="00290876"/>
    <w:rsid w:val="00290973"/>
    <w:rsid w:val="002909E9"/>
    <w:rsid w:val="002909EB"/>
    <w:rsid w:val="00290B40"/>
    <w:rsid w:val="00290C16"/>
    <w:rsid w:val="00290C27"/>
    <w:rsid w:val="00290CFF"/>
    <w:rsid w:val="00290D05"/>
    <w:rsid w:val="00290D22"/>
    <w:rsid w:val="00290D66"/>
    <w:rsid w:val="00290E0D"/>
    <w:rsid w:val="00290E93"/>
    <w:rsid w:val="00290EC2"/>
    <w:rsid w:val="00290F70"/>
    <w:rsid w:val="00290FE3"/>
    <w:rsid w:val="00291031"/>
    <w:rsid w:val="0029103C"/>
    <w:rsid w:val="002910A1"/>
    <w:rsid w:val="00291236"/>
    <w:rsid w:val="00291338"/>
    <w:rsid w:val="00291372"/>
    <w:rsid w:val="0029143F"/>
    <w:rsid w:val="0029144E"/>
    <w:rsid w:val="002914CE"/>
    <w:rsid w:val="002914FF"/>
    <w:rsid w:val="002916F1"/>
    <w:rsid w:val="002917EB"/>
    <w:rsid w:val="002917EC"/>
    <w:rsid w:val="00291A95"/>
    <w:rsid w:val="00291AB8"/>
    <w:rsid w:val="00291ABD"/>
    <w:rsid w:val="00291ABF"/>
    <w:rsid w:val="00291CE4"/>
    <w:rsid w:val="00291CE9"/>
    <w:rsid w:val="00291E42"/>
    <w:rsid w:val="00291E72"/>
    <w:rsid w:val="002920D8"/>
    <w:rsid w:val="002922CE"/>
    <w:rsid w:val="00292357"/>
    <w:rsid w:val="00292474"/>
    <w:rsid w:val="00292516"/>
    <w:rsid w:val="002926D6"/>
    <w:rsid w:val="002926F5"/>
    <w:rsid w:val="002927E9"/>
    <w:rsid w:val="00292882"/>
    <w:rsid w:val="002929A3"/>
    <w:rsid w:val="00292A30"/>
    <w:rsid w:val="00292AE7"/>
    <w:rsid w:val="00292B5E"/>
    <w:rsid w:val="00292E06"/>
    <w:rsid w:val="00292E9B"/>
    <w:rsid w:val="00292F04"/>
    <w:rsid w:val="00292F22"/>
    <w:rsid w:val="00292F4E"/>
    <w:rsid w:val="002932FD"/>
    <w:rsid w:val="00293380"/>
    <w:rsid w:val="00293394"/>
    <w:rsid w:val="002933E9"/>
    <w:rsid w:val="00293438"/>
    <w:rsid w:val="0029351E"/>
    <w:rsid w:val="002935AA"/>
    <w:rsid w:val="00293602"/>
    <w:rsid w:val="002937A6"/>
    <w:rsid w:val="002937B5"/>
    <w:rsid w:val="00293875"/>
    <w:rsid w:val="00293AEE"/>
    <w:rsid w:val="00293AFD"/>
    <w:rsid w:val="00293B69"/>
    <w:rsid w:val="00293B9A"/>
    <w:rsid w:val="00293CED"/>
    <w:rsid w:val="00293E42"/>
    <w:rsid w:val="00293E88"/>
    <w:rsid w:val="00294381"/>
    <w:rsid w:val="002945D4"/>
    <w:rsid w:val="0029470D"/>
    <w:rsid w:val="002947FB"/>
    <w:rsid w:val="002949A9"/>
    <w:rsid w:val="00294A00"/>
    <w:rsid w:val="00294A4D"/>
    <w:rsid w:val="00294B22"/>
    <w:rsid w:val="00294B4C"/>
    <w:rsid w:val="00294BCC"/>
    <w:rsid w:val="00294E5D"/>
    <w:rsid w:val="00294E82"/>
    <w:rsid w:val="00294ECA"/>
    <w:rsid w:val="00294ECC"/>
    <w:rsid w:val="00294F22"/>
    <w:rsid w:val="00294FB7"/>
    <w:rsid w:val="0029517D"/>
    <w:rsid w:val="0029519B"/>
    <w:rsid w:val="002951FD"/>
    <w:rsid w:val="00295201"/>
    <w:rsid w:val="00295224"/>
    <w:rsid w:val="00295268"/>
    <w:rsid w:val="002952FE"/>
    <w:rsid w:val="0029533F"/>
    <w:rsid w:val="002953D1"/>
    <w:rsid w:val="002953DC"/>
    <w:rsid w:val="002954C6"/>
    <w:rsid w:val="00295660"/>
    <w:rsid w:val="0029578E"/>
    <w:rsid w:val="0029580B"/>
    <w:rsid w:val="002958B7"/>
    <w:rsid w:val="002958FE"/>
    <w:rsid w:val="00295901"/>
    <w:rsid w:val="0029591D"/>
    <w:rsid w:val="00295AFB"/>
    <w:rsid w:val="00295B99"/>
    <w:rsid w:val="00295D27"/>
    <w:rsid w:val="00295F63"/>
    <w:rsid w:val="00295FB8"/>
    <w:rsid w:val="00296102"/>
    <w:rsid w:val="0029613C"/>
    <w:rsid w:val="002961D1"/>
    <w:rsid w:val="00296205"/>
    <w:rsid w:val="00296258"/>
    <w:rsid w:val="0029636D"/>
    <w:rsid w:val="002963D5"/>
    <w:rsid w:val="0029642C"/>
    <w:rsid w:val="002964D7"/>
    <w:rsid w:val="002965AE"/>
    <w:rsid w:val="002965B4"/>
    <w:rsid w:val="00296917"/>
    <w:rsid w:val="00296967"/>
    <w:rsid w:val="00296C3B"/>
    <w:rsid w:val="00296F11"/>
    <w:rsid w:val="00296F5C"/>
    <w:rsid w:val="00296F63"/>
    <w:rsid w:val="00296F6D"/>
    <w:rsid w:val="00296FA3"/>
    <w:rsid w:val="00296FA9"/>
    <w:rsid w:val="00297074"/>
    <w:rsid w:val="002970C4"/>
    <w:rsid w:val="002971BD"/>
    <w:rsid w:val="00297226"/>
    <w:rsid w:val="00297291"/>
    <w:rsid w:val="002972AB"/>
    <w:rsid w:val="0029732B"/>
    <w:rsid w:val="002978F9"/>
    <w:rsid w:val="00297A29"/>
    <w:rsid w:val="00297C15"/>
    <w:rsid w:val="00297CB1"/>
    <w:rsid w:val="00297D5C"/>
    <w:rsid w:val="00297E34"/>
    <w:rsid w:val="00297F79"/>
    <w:rsid w:val="00297FAC"/>
    <w:rsid w:val="002A0170"/>
    <w:rsid w:val="002A01E8"/>
    <w:rsid w:val="002A01F7"/>
    <w:rsid w:val="002A0221"/>
    <w:rsid w:val="002A02BC"/>
    <w:rsid w:val="002A0315"/>
    <w:rsid w:val="002A04B8"/>
    <w:rsid w:val="002A04E9"/>
    <w:rsid w:val="002A053E"/>
    <w:rsid w:val="002A0545"/>
    <w:rsid w:val="002A06AD"/>
    <w:rsid w:val="002A081E"/>
    <w:rsid w:val="002A092E"/>
    <w:rsid w:val="002A09FC"/>
    <w:rsid w:val="002A0A26"/>
    <w:rsid w:val="002A0B7B"/>
    <w:rsid w:val="002A0D52"/>
    <w:rsid w:val="002A0D60"/>
    <w:rsid w:val="002A0DE9"/>
    <w:rsid w:val="002A0E17"/>
    <w:rsid w:val="002A0F64"/>
    <w:rsid w:val="002A0FB8"/>
    <w:rsid w:val="002A100F"/>
    <w:rsid w:val="002A109E"/>
    <w:rsid w:val="002A10F5"/>
    <w:rsid w:val="002A1147"/>
    <w:rsid w:val="002A128F"/>
    <w:rsid w:val="002A1427"/>
    <w:rsid w:val="002A15AC"/>
    <w:rsid w:val="002A15E8"/>
    <w:rsid w:val="002A16F0"/>
    <w:rsid w:val="002A170C"/>
    <w:rsid w:val="002A1754"/>
    <w:rsid w:val="002A1792"/>
    <w:rsid w:val="002A17C4"/>
    <w:rsid w:val="002A18B6"/>
    <w:rsid w:val="002A18BE"/>
    <w:rsid w:val="002A18FC"/>
    <w:rsid w:val="002A1923"/>
    <w:rsid w:val="002A1BD6"/>
    <w:rsid w:val="002A1DA4"/>
    <w:rsid w:val="002A1DE2"/>
    <w:rsid w:val="002A1E93"/>
    <w:rsid w:val="002A1EB8"/>
    <w:rsid w:val="002A1F4A"/>
    <w:rsid w:val="002A1F9A"/>
    <w:rsid w:val="002A202B"/>
    <w:rsid w:val="002A21BE"/>
    <w:rsid w:val="002A2227"/>
    <w:rsid w:val="002A23EC"/>
    <w:rsid w:val="002A2488"/>
    <w:rsid w:val="002A2516"/>
    <w:rsid w:val="002A2797"/>
    <w:rsid w:val="002A27BD"/>
    <w:rsid w:val="002A283A"/>
    <w:rsid w:val="002A2962"/>
    <w:rsid w:val="002A2DC4"/>
    <w:rsid w:val="002A2F40"/>
    <w:rsid w:val="002A2F45"/>
    <w:rsid w:val="002A2FB6"/>
    <w:rsid w:val="002A303B"/>
    <w:rsid w:val="002A309E"/>
    <w:rsid w:val="002A3142"/>
    <w:rsid w:val="002A3168"/>
    <w:rsid w:val="002A319D"/>
    <w:rsid w:val="002A31C9"/>
    <w:rsid w:val="002A31E1"/>
    <w:rsid w:val="002A322B"/>
    <w:rsid w:val="002A32BD"/>
    <w:rsid w:val="002A339A"/>
    <w:rsid w:val="002A33A2"/>
    <w:rsid w:val="002A33EB"/>
    <w:rsid w:val="002A349F"/>
    <w:rsid w:val="002A350D"/>
    <w:rsid w:val="002A360D"/>
    <w:rsid w:val="002A365E"/>
    <w:rsid w:val="002A3803"/>
    <w:rsid w:val="002A383A"/>
    <w:rsid w:val="002A394C"/>
    <w:rsid w:val="002A3A23"/>
    <w:rsid w:val="002A3AE2"/>
    <w:rsid w:val="002A3B23"/>
    <w:rsid w:val="002A3C59"/>
    <w:rsid w:val="002A3C71"/>
    <w:rsid w:val="002A3CF6"/>
    <w:rsid w:val="002A3E04"/>
    <w:rsid w:val="002A3E77"/>
    <w:rsid w:val="002A3E8E"/>
    <w:rsid w:val="002A3EEB"/>
    <w:rsid w:val="002A3F1C"/>
    <w:rsid w:val="002A3F8A"/>
    <w:rsid w:val="002A3FD7"/>
    <w:rsid w:val="002A40B0"/>
    <w:rsid w:val="002A415E"/>
    <w:rsid w:val="002A4201"/>
    <w:rsid w:val="002A43A7"/>
    <w:rsid w:val="002A4411"/>
    <w:rsid w:val="002A4442"/>
    <w:rsid w:val="002A4508"/>
    <w:rsid w:val="002A4576"/>
    <w:rsid w:val="002A4592"/>
    <w:rsid w:val="002A465F"/>
    <w:rsid w:val="002A4660"/>
    <w:rsid w:val="002A4818"/>
    <w:rsid w:val="002A486F"/>
    <w:rsid w:val="002A497B"/>
    <w:rsid w:val="002A49C7"/>
    <w:rsid w:val="002A4A55"/>
    <w:rsid w:val="002A4AF2"/>
    <w:rsid w:val="002A4B41"/>
    <w:rsid w:val="002A4B76"/>
    <w:rsid w:val="002A4B94"/>
    <w:rsid w:val="002A4BB2"/>
    <w:rsid w:val="002A4BC8"/>
    <w:rsid w:val="002A4D2F"/>
    <w:rsid w:val="002A4E47"/>
    <w:rsid w:val="002A4F50"/>
    <w:rsid w:val="002A4FE5"/>
    <w:rsid w:val="002A523F"/>
    <w:rsid w:val="002A5273"/>
    <w:rsid w:val="002A536E"/>
    <w:rsid w:val="002A5406"/>
    <w:rsid w:val="002A5493"/>
    <w:rsid w:val="002A54C6"/>
    <w:rsid w:val="002A5562"/>
    <w:rsid w:val="002A5591"/>
    <w:rsid w:val="002A57D1"/>
    <w:rsid w:val="002A5965"/>
    <w:rsid w:val="002A5972"/>
    <w:rsid w:val="002A597D"/>
    <w:rsid w:val="002A5A20"/>
    <w:rsid w:val="002A5A6D"/>
    <w:rsid w:val="002A5A92"/>
    <w:rsid w:val="002A5C33"/>
    <w:rsid w:val="002A5C6A"/>
    <w:rsid w:val="002A5D35"/>
    <w:rsid w:val="002A5D81"/>
    <w:rsid w:val="002A5E1A"/>
    <w:rsid w:val="002A5E85"/>
    <w:rsid w:val="002A5EF6"/>
    <w:rsid w:val="002A5FDB"/>
    <w:rsid w:val="002A6220"/>
    <w:rsid w:val="002A6293"/>
    <w:rsid w:val="002A62CD"/>
    <w:rsid w:val="002A6423"/>
    <w:rsid w:val="002A65A2"/>
    <w:rsid w:val="002A65B4"/>
    <w:rsid w:val="002A6751"/>
    <w:rsid w:val="002A689A"/>
    <w:rsid w:val="002A6933"/>
    <w:rsid w:val="002A6958"/>
    <w:rsid w:val="002A6AED"/>
    <w:rsid w:val="002A6AFD"/>
    <w:rsid w:val="002A6BFF"/>
    <w:rsid w:val="002A6C30"/>
    <w:rsid w:val="002A6D70"/>
    <w:rsid w:val="002A6E1D"/>
    <w:rsid w:val="002A6EBB"/>
    <w:rsid w:val="002A6EBE"/>
    <w:rsid w:val="002A6ED3"/>
    <w:rsid w:val="002A6F6D"/>
    <w:rsid w:val="002A71B1"/>
    <w:rsid w:val="002A732B"/>
    <w:rsid w:val="002A754E"/>
    <w:rsid w:val="002A7564"/>
    <w:rsid w:val="002A7583"/>
    <w:rsid w:val="002A7673"/>
    <w:rsid w:val="002A76FA"/>
    <w:rsid w:val="002A77F8"/>
    <w:rsid w:val="002A7968"/>
    <w:rsid w:val="002A7AAD"/>
    <w:rsid w:val="002A7B4B"/>
    <w:rsid w:val="002A7BD0"/>
    <w:rsid w:val="002A7C59"/>
    <w:rsid w:val="002A7CF7"/>
    <w:rsid w:val="002A7E05"/>
    <w:rsid w:val="002A7ECE"/>
    <w:rsid w:val="002A7EE5"/>
    <w:rsid w:val="002A7FD1"/>
    <w:rsid w:val="002B0296"/>
    <w:rsid w:val="002B02AD"/>
    <w:rsid w:val="002B030F"/>
    <w:rsid w:val="002B0355"/>
    <w:rsid w:val="002B048D"/>
    <w:rsid w:val="002B056C"/>
    <w:rsid w:val="002B06CA"/>
    <w:rsid w:val="002B0717"/>
    <w:rsid w:val="002B078C"/>
    <w:rsid w:val="002B0856"/>
    <w:rsid w:val="002B09A6"/>
    <w:rsid w:val="002B09B1"/>
    <w:rsid w:val="002B09CB"/>
    <w:rsid w:val="002B0A2A"/>
    <w:rsid w:val="002B0A2D"/>
    <w:rsid w:val="002B0B06"/>
    <w:rsid w:val="002B0C12"/>
    <w:rsid w:val="002B0C78"/>
    <w:rsid w:val="002B0DF5"/>
    <w:rsid w:val="002B0E4A"/>
    <w:rsid w:val="002B0F73"/>
    <w:rsid w:val="002B0F80"/>
    <w:rsid w:val="002B10F3"/>
    <w:rsid w:val="002B1124"/>
    <w:rsid w:val="002B11B4"/>
    <w:rsid w:val="002B12C0"/>
    <w:rsid w:val="002B12FE"/>
    <w:rsid w:val="002B144E"/>
    <w:rsid w:val="002B1455"/>
    <w:rsid w:val="002B15F8"/>
    <w:rsid w:val="002B161F"/>
    <w:rsid w:val="002B166A"/>
    <w:rsid w:val="002B16B5"/>
    <w:rsid w:val="002B1886"/>
    <w:rsid w:val="002B19CD"/>
    <w:rsid w:val="002B19DE"/>
    <w:rsid w:val="002B1A62"/>
    <w:rsid w:val="002B1B25"/>
    <w:rsid w:val="002B1C54"/>
    <w:rsid w:val="002B1DB5"/>
    <w:rsid w:val="002B1DC2"/>
    <w:rsid w:val="002B1E72"/>
    <w:rsid w:val="002B1FC5"/>
    <w:rsid w:val="002B20CA"/>
    <w:rsid w:val="002B20D3"/>
    <w:rsid w:val="002B210D"/>
    <w:rsid w:val="002B2162"/>
    <w:rsid w:val="002B21A1"/>
    <w:rsid w:val="002B247C"/>
    <w:rsid w:val="002B252D"/>
    <w:rsid w:val="002B253E"/>
    <w:rsid w:val="002B25B8"/>
    <w:rsid w:val="002B2A36"/>
    <w:rsid w:val="002B2B31"/>
    <w:rsid w:val="002B2C8A"/>
    <w:rsid w:val="002B2CA0"/>
    <w:rsid w:val="002B2CB0"/>
    <w:rsid w:val="002B2CCC"/>
    <w:rsid w:val="002B2D67"/>
    <w:rsid w:val="002B2F14"/>
    <w:rsid w:val="002B2F21"/>
    <w:rsid w:val="002B2FEC"/>
    <w:rsid w:val="002B3048"/>
    <w:rsid w:val="002B30AF"/>
    <w:rsid w:val="002B310E"/>
    <w:rsid w:val="002B316E"/>
    <w:rsid w:val="002B31A8"/>
    <w:rsid w:val="002B31F7"/>
    <w:rsid w:val="002B3247"/>
    <w:rsid w:val="002B34BF"/>
    <w:rsid w:val="002B3629"/>
    <w:rsid w:val="002B36C9"/>
    <w:rsid w:val="002B3701"/>
    <w:rsid w:val="002B37A9"/>
    <w:rsid w:val="002B37C3"/>
    <w:rsid w:val="002B3895"/>
    <w:rsid w:val="002B3937"/>
    <w:rsid w:val="002B3942"/>
    <w:rsid w:val="002B3ABF"/>
    <w:rsid w:val="002B3AE2"/>
    <w:rsid w:val="002B3B6C"/>
    <w:rsid w:val="002B3B8C"/>
    <w:rsid w:val="002B3C2E"/>
    <w:rsid w:val="002B3CF5"/>
    <w:rsid w:val="002B3D1A"/>
    <w:rsid w:val="002B3E94"/>
    <w:rsid w:val="002B3EB9"/>
    <w:rsid w:val="002B3EFF"/>
    <w:rsid w:val="002B3F48"/>
    <w:rsid w:val="002B405F"/>
    <w:rsid w:val="002B40DF"/>
    <w:rsid w:val="002B4157"/>
    <w:rsid w:val="002B423B"/>
    <w:rsid w:val="002B42E2"/>
    <w:rsid w:val="002B4341"/>
    <w:rsid w:val="002B4418"/>
    <w:rsid w:val="002B444C"/>
    <w:rsid w:val="002B44F9"/>
    <w:rsid w:val="002B475E"/>
    <w:rsid w:val="002B47E4"/>
    <w:rsid w:val="002B4973"/>
    <w:rsid w:val="002B4A02"/>
    <w:rsid w:val="002B4ADE"/>
    <w:rsid w:val="002B4B11"/>
    <w:rsid w:val="002B4C02"/>
    <w:rsid w:val="002B4C3C"/>
    <w:rsid w:val="002B4D65"/>
    <w:rsid w:val="002B4E2C"/>
    <w:rsid w:val="002B4F44"/>
    <w:rsid w:val="002B4FB1"/>
    <w:rsid w:val="002B5054"/>
    <w:rsid w:val="002B50B4"/>
    <w:rsid w:val="002B51C4"/>
    <w:rsid w:val="002B5389"/>
    <w:rsid w:val="002B53B9"/>
    <w:rsid w:val="002B5486"/>
    <w:rsid w:val="002B5638"/>
    <w:rsid w:val="002B5936"/>
    <w:rsid w:val="002B5A48"/>
    <w:rsid w:val="002B5B1B"/>
    <w:rsid w:val="002B5D41"/>
    <w:rsid w:val="002B5DAB"/>
    <w:rsid w:val="002B5DB7"/>
    <w:rsid w:val="002B5E27"/>
    <w:rsid w:val="002B5E74"/>
    <w:rsid w:val="002B5EAE"/>
    <w:rsid w:val="002B5EC4"/>
    <w:rsid w:val="002B5F37"/>
    <w:rsid w:val="002B5F7F"/>
    <w:rsid w:val="002B6027"/>
    <w:rsid w:val="002B61D6"/>
    <w:rsid w:val="002B626C"/>
    <w:rsid w:val="002B626F"/>
    <w:rsid w:val="002B6299"/>
    <w:rsid w:val="002B63D0"/>
    <w:rsid w:val="002B6472"/>
    <w:rsid w:val="002B6576"/>
    <w:rsid w:val="002B668A"/>
    <w:rsid w:val="002B66F0"/>
    <w:rsid w:val="002B6740"/>
    <w:rsid w:val="002B696D"/>
    <w:rsid w:val="002B6982"/>
    <w:rsid w:val="002B6BEB"/>
    <w:rsid w:val="002B6BF2"/>
    <w:rsid w:val="002B6C35"/>
    <w:rsid w:val="002B6C78"/>
    <w:rsid w:val="002B6C8C"/>
    <w:rsid w:val="002B6D08"/>
    <w:rsid w:val="002B6DA8"/>
    <w:rsid w:val="002B6DDB"/>
    <w:rsid w:val="002B6DE1"/>
    <w:rsid w:val="002B6EE1"/>
    <w:rsid w:val="002B6F8A"/>
    <w:rsid w:val="002B7031"/>
    <w:rsid w:val="002B7060"/>
    <w:rsid w:val="002B70FD"/>
    <w:rsid w:val="002B7195"/>
    <w:rsid w:val="002B72D3"/>
    <w:rsid w:val="002B72DB"/>
    <w:rsid w:val="002B73AF"/>
    <w:rsid w:val="002B73E5"/>
    <w:rsid w:val="002B75C6"/>
    <w:rsid w:val="002B75F8"/>
    <w:rsid w:val="002B7684"/>
    <w:rsid w:val="002B7689"/>
    <w:rsid w:val="002B7698"/>
    <w:rsid w:val="002B7763"/>
    <w:rsid w:val="002B7822"/>
    <w:rsid w:val="002B789F"/>
    <w:rsid w:val="002B79DD"/>
    <w:rsid w:val="002B79DE"/>
    <w:rsid w:val="002B7A6D"/>
    <w:rsid w:val="002B7A87"/>
    <w:rsid w:val="002B7B2E"/>
    <w:rsid w:val="002B7B59"/>
    <w:rsid w:val="002B7C98"/>
    <w:rsid w:val="002B7CA0"/>
    <w:rsid w:val="002B7CA8"/>
    <w:rsid w:val="002B7CBB"/>
    <w:rsid w:val="002B7DC7"/>
    <w:rsid w:val="002B7E4B"/>
    <w:rsid w:val="002B7E8E"/>
    <w:rsid w:val="002B7ED9"/>
    <w:rsid w:val="002B7F00"/>
    <w:rsid w:val="002C0082"/>
    <w:rsid w:val="002C00BF"/>
    <w:rsid w:val="002C036E"/>
    <w:rsid w:val="002C03FD"/>
    <w:rsid w:val="002C0475"/>
    <w:rsid w:val="002C067A"/>
    <w:rsid w:val="002C0798"/>
    <w:rsid w:val="002C089D"/>
    <w:rsid w:val="002C08C8"/>
    <w:rsid w:val="002C0990"/>
    <w:rsid w:val="002C09C9"/>
    <w:rsid w:val="002C0A19"/>
    <w:rsid w:val="002C0AEA"/>
    <w:rsid w:val="002C0B2A"/>
    <w:rsid w:val="002C0CB7"/>
    <w:rsid w:val="002C0D05"/>
    <w:rsid w:val="002C0D20"/>
    <w:rsid w:val="002C0DA2"/>
    <w:rsid w:val="002C1041"/>
    <w:rsid w:val="002C104C"/>
    <w:rsid w:val="002C106A"/>
    <w:rsid w:val="002C1191"/>
    <w:rsid w:val="002C12A9"/>
    <w:rsid w:val="002C12FB"/>
    <w:rsid w:val="002C145A"/>
    <w:rsid w:val="002C163B"/>
    <w:rsid w:val="002C166E"/>
    <w:rsid w:val="002C167B"/>
    <w:rsid w:val="002C189E"/>
    <w:rsid w:val="002C18B2"/>
    <w:rsid w:val="002C18F3"/>
    <w:rsid w:val="002C1945"/>
    <w:rsid w:val="002C1948"/>
    <w:rsid w:val="002C19E9"/>
    <w:rsid w:val="002C1A64"/>
    <w:rsid w:val="002C1AC5"/>
    <w:rsid w:val="002C1C16"/>
    <w:rsid w:val="002C1E06"/>
    <w:rsid w:val="002C1E0E"/>
    <w:rsid w:val="002C1F73"/>
    <w:rsid w:val="002C20B8"/>
    <w:rsid w:val="002C20DB"/>
    <w:rsid w:val="002C20DC"/>
    <w:rsid w:val="002C2212"/>
    <w:rsid w:val="002C234B"/>
    <w:rsid w:val="002C239F"/>
    <w:rsid w:val="002C24F2"/>
    <w:rsid w:val="002C25D8"/>
    <w:rsid w:val="002C261D"/>
    <w:rsid w:val="002C2621"/>
    <w:rsid w:val="002C28B7"/>
    <w:rsid w:val="002C2C08"/>
    <w:rsid w:val="002C2C25"/>
    <w:rsid w:val="002C2C56"/>
    <w:rsid w:val="002C2C61"/>
    <w:rsid w:val="002C2C91"/>
    <w:rsid w:val="002C2C94"/>
    <w:rsid w:val="002C2D04"/>
    <w:rsid w:val="002C2DAC"/>
    <w:rsid w:val="002C2DB9"/>
    <w:rsid w:val="002C2FC5"/>
    <w:rsid w:val="002C2FDD"/>
    <w:rsid w:val="002C3045"/>
    <w:rsid w:val="002C3096"/>
    <w:rsid w:val="002C3175"/>
    <w:rsid w:val="002C31A3"/>
    <w:rsid w:val="002C31E0"/>
    <w:rsid w:val="002C349F"/>
    <w:rsid w:val="002C34D5"/>
    <w:rsid w:val="002C351C"/>
    <w:rsid w:val="002C36BA"/>
    <w:rsid w:val="002C3769"/>
    <w:rsid w:val="002C3804"/>
    <w:rsid w:val="002C396B"/>
    <w:rsid w:val="002C3A2A"/>
    <w:rsid w:val="002C3A3D"/>
    <w:rsid w:val="002C3AC5"/>
    <w:rsid w:val="002C3BAA"/>
    <w:rsid w:val="002C3BAF"/>
    <w:rsid w:val="002C3C45"/>
    <w:rsid w:val="002C3CBD"/>
    <w:rsid w:val="002C3D6E"/>
    <w:rsid w:val="002C3D81"/>
    <w:rsid w:val="002C3E33"/>
    <w:rsid w:val="002C3E39"/>
    <w:rsid w:val="002C3F12"/>
    <w:rsid w:val="002C40A8"/>
    <w:rsid w:val="002C40EC"/>
    <w:rsid w:val="002C4144"/>
    <w:rsid w:val="002C4244"/>
    <w:rsid w:val="002C427E"/>
    <w:rsid w:val="002C4320"/>
    <w:rsid w:val="002C43A0"/>
    <w:rsid w:val="002C4429"/>
    <w:rsid w:val="002C44B9"/>
    <w:rsid w:val="002C4567"/>
    <w:rsid w:val="002C4577"/>
    <w:rsid w:val="002C458E"/>
    <w:rsid w:val="002C45C8"/>
    <w:rsid w:val="002C4622"/>
    <w:rsid w:val="002C4668"/>
    <w:rsid w:val="002C46C6"/>
    <w:rsid w:val="002C4740"/>
    <w:rsid w:val="002C4791"/>
    <w:rsid w:val="002C4A40"/>
    <w:rsid w:val="002C4A59"/>
    <w:rsid w:val="002C4ADB"/>
    <w:rsid w:val="002C4AF3"/>
    <w:rsid w:val="002C4B83"/>
    <w:rsid w:val="002C4BB5"/>
    <w:rsid w:val="002C4BB9"/>
    <w:rsid w:val="002C4CA5"/>
    <w:rsid w:val="002C4CB1"/>
    <w:rsid w:val="002C4E2D"/>
    <w:rsid w:val="002C4E42"/>
    <w:rsid w:val="002C4ED6"/>
    <w:rsid w:val="002C4F44"/>
    <w:rsid w:val="002C4FCB"/>
    <w:rsid w:val="002C4FD7"/>
    <w:rsid w:val="002C4FEA"/>
    <w:rsid w:val="002C5204"/>
    <w:rsid w:val="002C52D8"/>
    <w:rsid w:val="002C5556"/>
    <w:rsid w:val="002C57D9"/>
    <w:rsid w:val="002C589C"/>
    <w:rsid w:val="002C593D"/>
    <w:rsid w:val="002C5976"/>
    <w:rsid w:val="002C5A2D"/>
    <w:rsid w:val="002C5A63"/>
    <w:rsid w:val="002C5A9A"/>
    <w:rsid w:val="002C5C13"/>
    <w:rsid w:val="002C5F6F"/>
    <w:rsid w:val="002C6091"/>
    <w:rsid w:val="002C6107"/>
    <w:rsid w:val="002C6139"/>
    <w:rsid w:val="002C6143"/>
    <w:rsid w:val="002C6348"/>
    <w:rsid w:val="002C6523"/>
    <w:rsid w:val="002C6753"/>
    <w:rsid w:val="002C68BE"/>
    <w:rsid w:val="002C6958"/>
    <w:rsid w:val="002C6996"/>
    <w:rsid w:val="002C6A0C"/>
    <w:rsid w:val="002C6B87"/>
    <w:rsid w:val="002C6C9E"/>
    <w:rsid w:val="002C6C9F"/>
    <w:rsid w:val="002C6D44"/>
    <w:rsid w:val="002C6D46"/>
    <w:rsid w:val="002C6DB7"/>
    <w:rsid w:val="002C6E84"/>
    <w:rsid w:val="002C6FD8"/>
    <w:rsid w:val="002C7024"/>
    <w:rsid w:val="002C7110"/>
    <w:rsid w:val="002C711F"/>
    <w:rsid w:val="002C7149"/>
    <w:rsid w:val="002C71D9"/>
    <w:rsid w:val="002C72CA"/>
    <w:rsid w:val="002C73FC"/>
    <w:rsid w:val="002C7409"/>
    <w:rsid w:val="002C75DB"/>
    <w:rsid w:val="002C75ED"/>
    <w:rsid w:val="002C76B8"/>
    <w:rsid w:val="002C77BF"/>
    <w:rsid w:val="002C7844"/>
    <w:rsid w:val="002C79FA"/>
    <w:rsid w:val="002C7ABC"/>
    <w:rsid w:val="002C7AD8"/>
    <w:rsid w:val="002C7BAA"/>
    <w:rsid w:val="002C7CB1"/>
    <w:rsid w:val="002C7D22"/>
    <w:rsid w:val="002C7D56"/>
    <w:rsid w:val="002C7D73"/>
    <w:rsid w:val="002C7F0E"/>
    <w:rsid w:val="002C7F5B"/>
    <w:rsid w:val="002C7FD0"/>
    <w:rsid w:val="002D003E"/>
    <w:rsid w:val="002D00E9"/>
    <w:rsid w:val="002D0111"/>
    <w:rsid w:val="002D0175"/>
    <w:rsid w:val="002D01C8"/>
    <w:rsid w:val="002D0275"/>
    <w:rsid w:val="002D0327"/>
    <w:rsid w:val="002D0456"/>
    <w:rsid w:val="002D04E7"/>
    <w:rsid w:val="002D050D"/>
    <w:rsid w:val="002D05FD"/>
    <w:rsid w:val="002D06F8"/>
    <w:rsid w:val="002D0773"/>
    <w:rsid w:val="002D07AA"/>
    <w:rsid w:val="002D08DA"/>
    <w:rsid w:val="002D0B28"/>
    <w:rsid w:val="002D0B56"/>
    <w:rsid w:val="002D0B7D"/>
    <w:rsid w:val="002D0BA8"/>
    <w:rsid w:val="002D0C78"/>
    <w:rsid w:val="002D0CCB"/>
    <w:rsid w:val="002D0D8D"/>
    <w:rsid w:val="002D1444"/>
    <w:rsid w:val="002D147C"/>
    <w:rsid w:val="002D1576"/>
    <w:rsid w:val="002D1793"/>
    <w:rsid w:val="002D17D1"/>
    <w:rsid w:val="002D1833"/>
    <w:rsid w:val="002D186E"/>
    <w:rsid w:val="002D1903"/>
    <w:rsid w:val="002D192C"/>
    <w:rsid w:val="002D1982"/>
    <w:rsid w:val="002D19FD"/>
    <w:rsid w:val="002D1AAA"/>
    <w:rsid w:val="002D1B4E"/>
    <w:rsid w:val="002D1D3E"/>
    <w:rsid w:val="002D1D40"/>
    <w:rsid w:val="002D1EF8"/>
    <w:rsid w:val="002D1F83"/>
    <w:rsid w:val="002D209A"/>
    <w:rsid w:val="002D21A6"/>
    <w:rsid w:val="002D229C"/>
    <w:rsid w:val="002D22CA"/>
    <w:rsid w:val="002D22F4"/>
    <w:rsid w:val="002D2461"/>
    <w:rsid w:val="002D24D8"/>
    <w:rsid w:val="002D24FE"/>
    <w:rsid w:val="002D2552"/>
    <w:rsid w:val="002D2561"/>
    <w:rsid w:val="002D2591"/>
    <w:rsid w:val="002D26A5"/>
    <w:rsid w:val="002D2737"/>
    <w:rsid w:val="002D2742"/>
    <w:rsid w:val="002D2781"/>
    <w:rsid w:val="002D2833"/>
    <w:rsid w:val="002D289E"/>
    <w:rsid w:val="002D28BB"/>
    <w:rsid w:val="002D2A03"/>
    <w:rsid w:val="002D2A28"/>
    <w:rsid w:val="002D2BF0"/>
    <w:rsid w:val="002D2C22"/>
    <w:rsid w:val="002D2C2D"/>
    <w:rsid w:val="002D2CA9"/>
    <w:rsid w:val="002D2D1F"/>
    <w:rsid w:val="002D2DA2"/>
    <w:rsid w:val="002D2DE9"/>
    <w:rsid w:val="002D2ED8"/>
    <w:rsid w:val="002D2F89"/>
    <w:rsid w:val="002D2FA3"/>
    <w:rsid w:val="002D30F7"/>
    <w:rsid w:val="002D3133"/>
    <w:rsid w:val="002D3195"/>
    <w:rsid w:val="002D3267"/>
    <w:rsid w:val="002D32C5"/>
    <w:rsid w:val="002D33FF"/>
    <w:rsid w:val="002D3553"/>
    <w:rsid w:val="002D35CD"/>
    <w:rsid w:val="002D3600"/>
    <w:rsid w:val="002D36CF"/>
    <w:rsid w:val="002D36D3"/>
    <w:rsid w:val="002D3773"/>
    <w:rsid w:val="002D3797"/>
    <w:rsid w:val="002D37AE"/>
    <w:rsid w:val="002D37F9"/>
    <w:rsid w:val="002D38FF"/>
    <w:rsid w:val="002D39F3"/>
    <w:rsid w:val="002D3A01"/>
    <w:rsid w:val="002D3A8B"/>
    <w:rsid w:val="002D3B1A"/>
    <w:rsid w:val="002D3C97"/>
    <w:rsid w:val="002D3D14"/>
    <w:rsid w:val="002D3DE9"/>
    <w:rsid w:val="002D3E8F"/>
    <w:rsid w:val="002D3EBD"/>
    <w:rsid w:val="002D3FBA"/>
    <w:rsid w:val="002D3FCD"/>
    <w:rsid w:val="002D3FF3"/>
    <w:rsid w:val="002D410D"/>
    <w:rsid w:val="002D4152"/>
    <w:rsid w:val="002D41A9"/>
    <w:rsid w:val="002D41C8"/>
    <w:rsid w:val="002D4307"/>
    <w:rsid w:val="002D4409"/>
    <w:rsid w:val="002D4675"/>
    <w:rsid w:val="002D4745"/>
    <w:rsid w:val="002D4898"/>
    <w:rsid w:val="002D48C1"/>
    <w:rsid w:val="002D4A19"/>
    <w:rsid w:val="002D4A6B"/>
    <w:rsid w:val="002D4BE6"/>
    <w:rsid w:val="002D4BF0"/>
    <w:rsid w:val="002D4BF7"/>
    <w:rsid w:val="002D4E61"/>
    <w:rsid w:val="002D4F97"/>
    <w:rsid w:val="002D4FD3"/>
    <w:rsid w:val="002D5061"/>
    <w:rsid w:val="002D5159"/>
    <w:rsid w:val="002D51E1"/>
    <w:rsid w:val="002D5208"/>
    <w:rsid w:val="002D5366"/>
    <w:rsid w:val="002D53D2"/>
    <w:rsid w:val="002D545A"/>
    <w:rsid w:val="002D54BC"/>
    <w:rsid w:val="002D54E0"/>
    <w:rsid w:val="002D5501"/>
    <w:rsid w:val="002D55A3"/>
    <w:rsid w:val="002D55E3"/>
    <w:rsid w:val="002D56C2"/>
    <w:rsid w:val="002D579D"/>
    <w:rsid w:val="002D592A"/>
    <w:rsid w:val="002D5948"/>
    <w:rsid w:val="002D5A26"/>
    <w:rsid w:val="002D5A64"/>
    <w:rsid w:val="002D5B55"/>
    <w:rsid w:val="002D5C0D"/>
    <w:rsid w:val="002D5DCB"/>
    <w:rsid w:val="002D5E6D"/>
    <w:rsid w:val="002D5F72"/>
    <w:rsid w:val="002D60E9"/>
    <w:rsid w:val="002D6151"/>
    <w:rsid w:val="002D617B"/>
    <w:rsid w:val="002D6244"/>
    <w:rsid w:val="002D62FA"/>
    <w:rsid w:val="002D63EE"/>
    <w:rsid w:val="002D666E"/>
    <w:rsid w:val="002D66AA"/>
    <w:rsid w:val="002D676F"/>
    <w:rsid w:val="002D6820"/>
    <w:rsid w:val="002D6891"/>
    <w:rsid w:val="002D693E"/>
    <w:rsid w:val="002D69C0"/>
    <w:rsid w:val="002D6A6E"/>
    <w:rsid w:val="002D6E90"/>
    <w:rsid w:val="002D6EBB"/>
    <w:rsid w:val="002D6F25"/>
    <w:rsid w:val="002D6F67"/>
    <w:rsid w:val="002D6FCE"/>
    <w:rsid w:val="002D7271"/>
    <w:rsid w:val="002D73BA"/>
    <w:rsid w:val="002D7492"/>
    <w:rsid w:val="002D75B8"/>
    <w:rsid w:val="002D767A"/>
    <w:rsid w:val="002D7702"/>
    <w:rsid w:val="002D77E9"/>
    <w:rsid w:val="002D783E"/>
    <w:rsid w:val="002D7861"/>
    <w:rsid w:val="002D7873"/>
    <w:rsid w:val="002D7922"/>
    <w:rsid w:val="002D79B2"/>
    <w:rsid w:val="002D79D9"/>
    <w:rsid w:val="002D7AC6"/>
    <w:rsid w:val="002D7ADE"/>
    <w:rsid w:val="002D7C60"/>
    <w:rsid w:val="002D7CA3"/>
    <w:rsid w:val="002D7DB3"/>
    <w:rsid w:val="002D7F50"/>
    <w:rsid w:val="002E0000"/>
    <w:rsid w:val="002E00E1"/>
    <w:rsid w:val="002E00E7"/>
    <w:rsid w:val="002E00E9"/>
    <w:rsid w:val="002E0204"/>
    <w:rsid w:val="002E0254"/>
    <w:rsid w:val="002E0453"/>
    <w:rsid w:val="002E0513"/>
    <w:rsid w:val="002E0517"/>
    <w:rsid w:val="002E0546"/>
    <w:rsid w:val="002E0611"/>
    <w:rsid w:val="002E0636"/>
    <w:rsid w:val="002E0664"/>
    <w:rsid w:val="002E0671"/>
    <w:rsid w:val="002E08FF"/>
    <w:rsid w:val="002E097F"/>
    <w:rsid w:val="002E0B4A"/>
    <w:rsid w:val="002E0B4B"/>
    <w:rsid w:val="002E0BCF"/>
    <w:rsid w:val="002E0C13"/>
    <w:rsid w:val="002E0C98"/>
    <w:rsid w:val="002E0CAF"/>
    <w:rsid w:val="002E0CCF"/>
    <w:rsid w:val="002E0FB5"/>
    <w:rsid w:val="002E10A5"/>
    <w:rsid w:val="002E10D5"/>
    <w:rsid w:val="002E1169"/>
    <w:rsid w:val="002E11B7"/>
    <w:rsid w:val="002E1278"/>
    <w:rsid w:val="002E12E7"/>
    <w:rsid w:val="002E1300"/>
    <w:rsid w:val="002E1328"/>
    <w:rsid w:val="002E133D"/>
    <w:rsid w:val="002E138A"/>
    <w:rsid w:val="002E1398"/>
    <w:rsid w:val="002E143E"/>
    <w:rsid w:val="002E146D"/>
    <w:rsid w:val="002E152D"/>
    <w:rsid w:val="002E1575"/>
    <w:rsid w:val="002E15B7"/>
    <w:rsid w:val="002E1708"/>
    <w:rsid w:val="002E17D8"/>
    <w:rsid w:val="002E192F"/>
    <w:rsid w:val="002E1943"/>
    <w:rsid w:val="002E1A8F"/>
    <w:rsid w:val="002E1B25"/>
    <w:rsid w:val="002E1DC7"/>
    <w:rsid w:val="002E1EBC"/>
    <w:rsid w:val="002E1EC6"/>
    <w:rsid w:val="002E1F11"/>
    <w:rsid w:val="002E2081"/>
    <w:rsid w:val="002E2086"/>
    <w:rsid w:val="002E21D2"/>
    <w:rsid w:val="002E2296"/>
    <w:rsid w:val="002E2310"/>
    <w:rsid w:val="002E258D"/>
    <w:rsid w:val="002E259C"/>
    <w:rsid w:val="002E25A1"/>
    <w:rsid w:val="002E2601"/>
    <w:rsid w:val="002E2863"/>
    <w:rsid w:val="002E28B2"/>
    <w:rsid w:val="002E299A"/>
    <w:rsid w:val="002E2A7F"/>
    <w:rsid w:val="002E2AA4"/>
    <w:rsid w:val="002E2ADE"/>
    <w:rsid w:val="002E2B9A"/>
    <w:rsid w:val="002E2BCF"/>
    <w:rsid w:val="002E2CAB"/>
    <w:rsid w:val="002E2D71"/>
    <w:rsid w:val="002E2DEA"/>
    <w:rsid w:val="002E2E4D"/>
    <w:rsid w:val="002E2E71"/>
    <w:rsid w:val="002E2FC8"/>
    <w:rsid w:val="002E3145"/>
    <w:rsid w:val="002E31C9"/>
    <w:rsid w:val="002E3357"/>
    <w:rsid w:val="002E336D"/>
    <w:rsid w:val="002E3381"/>
    <w:rsid w:val="002E3431"/>
    <w:rsid w:val="002E34AC"/>
    <w:rsid w:val="002E3727"/>
    <w:rsid w:val="002E3802"/>
    <w:rsid w:val="002E3B30"/>
    <w:rsid w:val="002E3BA1"/>
    <w:rsid w:val="002E3BBD"/>
    <w:rsid w:val="002E3BE5"/>
    <w:rsid w:val="002E3C07"/>
    <w:rsid w:val="002E3D75"/>
    <w:rsid w:val="002E4247"/>
    <w:rsid w:val="002E425A"/>
    <w:rsid w:val="002E425E"/>
    <w:rsid w:val="002E42AC"/>
    <w:rsid w:val="002E42B2"/>
    <w:rsid w:val="002E4328"/>
    <w:rsid w:val="002E43BB"/>
    <w:rsid w:val="002E449D"/>
    <w:rsid w:val="002E44B2"/>
    <w:rsid w:val="002E4658"/>
    <w:rsid w:val="002E465F"/>
    <w:rsid w:val="002E4665"/>
    <w:rsid w:val="002E4719"/>
    <w:rsid w:val="002E482C"/>
    <w:rsid w:val="002E4853"/>
    <w:rsid w:val="002E4BEB"/>
    <w:rsid w:val="002E4C41"/>
    <w:rsid w:val="002E4CE9"/>
    <w:rsid w:val="002E4E64"/>
    <w:rsid w:val="002E4E7E"/>
    <w:rsid w:val="002E514E"/>
    <w:rsid w:val="002E51D0"/>
    <w:rsid w:val="002E51E0"/>
    <w:rsid w:val="002E53AE"/>
    <w:rsid w:val="002E54C6"/>
    <w:rsid w:val="002E54E1"/>
    <w:rsid w:val="002E54F6"/>
    <w:rsid w:val="002E5557"/>
    <w:rsid w:val="002E55BC"/>
    <w:rsid w:val="002E55D6"/>
    <w:rsid w:val="002E5650"/>
    <w:rsid w:val="002E570F"/>
    <w:rsid w:val="002E57E2"/>
    <w:rsid w:val="002E5818"/>
    <w:rsid w:val="002E5825"/>
    <w:rsid w:val="002E5840"/>
    <w:rsid w:val="002E59F7"/>
    <w:rsid w:val="002E5AD0"/>
    <w:rsid w:val="002E5AF4"/>
    <w:rsid w:val="002E5AFA"/>
    <w:rsid w:val="002E5DD7"/>
    <w:rsid w:val="002E5E06"/>
    <w:rsid w:val="002E5E51"/>
    <w:rsid w:val="002E5F13"/>
    <w:rsid w:val="002E5F3F"/>
    <w:rsid w:val="002E5FCD"/>
    <w:rsid w:val="002E61DD"/>
    <w:rsid w:val="002E6290"/>
    <w:rsid w:val="002E62A2"/>
    <w:rsid w:val="002E62B8"/>
    <w:rsid w:val="002E62E5"/>
    <w:rsid w:val="002E64DF"/>
    <w:rsid w:val="002E6607"/>
    <w:rsid w:val="002E6687"/>
    <w:rsid w:val="002E68B0"/>
    <w:rsid w:val="002E68BD"/>
    <w:rsid w:val="002E69B2"/>
    <w:rsid w:val="002E6A54"/>
    <w:rsid w:val="002E6CF1"/>
    <w:rsid w:val="002E6D67"/>
    <w:rsid w:val="002E6DAE"/>
    <w:rsid w:val="002E6DEC"/>
    <w:rsid w:val="002E7055"/>
    <w:rsid w:val="002E71AC"/>
    <w:rsid w:val="002E72DA"/>
    <w:rsid w:val="002E754B"/>
    <w:rsid w:val="002E76FB"/>
    <w:rsid w:val="002E770C"/>
    <w:rsid w:val="002E793A"/>
    <w:rsid w:val="002E7A3E"/>
    <w:rsid w:val="002E7AF8"/>
    <w:rsid w:val="002E7C19"/>
    <w:rsid w:val="002E7CB0"/>
    <w:rsid w:val="002E7DC1"/>
    <w:rsid w:val="002E7F22"/>
    <w:rsid w:val="002E7F58"/>
    <w:rsid w:val="002E7F8F"/>
    <w:rsid w:val="002E7FF3"/>
    <w:rsid w:val="002F0022"/>
    <w:rsid w:val="002F0082"/>
    <w:rsid w:val="002F00A3"/>
    <w:rsid w:val="002F01C9"/>
    <w:rsid w:val="002F020C"/>
    <w:rsid w:val="002F026A"/>
    <w:rsid w:val="002F044D"/>
    <w:rsid w:val="002F0471"/>
    <w:rsid w:val="002F04A2"/>
    <w:rsid w:val="002F05D8"/>
    <w:rsid w:val="002F0637"/>
    <w:rsid w:val="002F06AC"/>
    <w:rsid w:val="002F084E"/>
    <w:rsid w:val="002F0A07"/>
    <w:rsid w:val="002F0A38"/>
    <w:rsid w:val="002F0B14"/>
    <w:rsid w:val="002F0C87"/>
    <w:rsid w:val="002F0DA9"/>
    <w:rsid w:val="002F0DC2"/>
    <w:rsid w:val="002F0E5C"/>
    <w:rsid w:val="002F0E9C"/>
    <w:rsid w:val="002F0EB3"/>
    <w:rsid w:val="002F1043"/>
    <w:rsid w:val="002F109A"/>
    <w:rsid w:val="002F11AE"/>
    <w:rsid w:val="002F11CC"/>
    <w:rsid w:val="002F1245"/>
    <w:rsid w:val="002F131B"/>
    <w:rsid w:val="002F1389"/>
    <w:rsid w:val="002F13A7"/>
    <w:rsid w:val="002F13D1"/>
    <w:rsid w:val="002F13E2"/>
    <w:rsid w:val="002F141F"/>
    <w:rsid w:val="002F1428"/>
    <w:rsid w:val="002F142B"/>
    <w:rsid w:val="002F145A"/>
    <w:rsid w:val="002F147F"/>
    <w:rsid w:val="002F14B8"/>
    <w:rsid w:val="002F14CE"/>
    <w:rsid w:val="002F1521"/>
    <w:rsid w:val="002F156C"/>
    <w:rsid w:val="002F15CB"/>
    <w:rsid w:val="002F16C4"/>
    <w:rsid w:val="002F16C6"/>
    <w:rsid w:val="002F16EE"/>
    <w:rsid w:val="002F170E"/>
    <w:rsid w:val="002F19A1"/>
    <w:rsid w:val="002F1B81"/>
    <w:rsid w:val="002F1C44"/>
    <w:rsid w:val="002F1CEF"/>
    <w:rsid w:val="002F1D4C"/>
    <w:rsid w:val="002F1E23"/>
    <w:rsid w:val="002F1FC0"/>
    <w:rsid w:val="002F1FF2"/>
    <w:rsid w:val="002F218C"/>
    <w:rsid w:val="002F22E3"/>
    <w:rsid w:val="002F2324"/>
    <w:rsid w:val="002F23C7"/>
    <w:rsid w:val="002F23D7"/>
    <w:rsid w:val="002F2547"/>
    <w:rsid w:val="002F2559"/>
    <w:rsid w:val="002F259B"/>
    <w:rsid w:val="002F25A8"/>
    <w:rsid w:val="002F26B2"/>
    <w:rsid w:val="002F27DB"/>
    <w:rsid w:val="002F2809"/>
    <w:rsid w:val="002F2938"/>
    <w:rsid w:val="002F29C6"/>
    <w:rsid w:val="002F2C60"/>
    <w:rsid w:val="002F2CDC"/>
    <w:rsid w:val="002F2D2C"/>
    <w:rsid w:val="002F3002"/>
    <w:rsid w:val="002F30BE"/>
    <w:rsid w:val="002F317C"/>
    <w:rsid w:val="002F31AE"/>
    <w:rsid w:val="002F326A"/>
    <w:rsid w:val="002F3278"/>
    <w:rsid w:val="002F335A"/>
    <w:rsid w:val="002F3367"/>
    <w:rsid w:val="002F3473"/>
    <w:rsid w:val="002F34DB"/>
    <w:rsid w:val="002F35B0"/>
    <w:rsid w:val="002F3636"/>
    <w:rsid w:val="002F3855"/>
    <w:rsid w:val="002F3960"/>
    <w:rsid w:val="002F3B24"/>
    <w:rsid w:val="002F3B8F"/>
    <w:rsid w:val="002F3B95"/>
    <w:rsid w:val="002F3C35"/>
    <w:rsid w:val="002F3D39"/>
    <w:rsid w:val="002F3DAA"/>
    <w:rsid w:val="002F3F21"/>
    <w:rsid w:val="002F3F8A"/>
    <w:rsid w:val="002F3FC2"/>
    <w:rsid w:val="002F40F9"/>
    <w:rsid w:val="002F41AA"/>
    <w:rsid w:val="002F4347"/>
    <w:rsid w:val="002F46E9"/>
    <w:rsid w:val="002F4705"/>
    <w:rsid w:val="002F4843"/>
    <w:rsid w:val="002F48DE"/>
    <w:rsid w:val="002F4B98"/>
    <w:rsid w:val="002F4C2F"/>
    <w:rsid w:val="002F4CF0"/>
    <w:rsid w:val="002F4CF3"/>
    <w:rsid w:val="002F4DB4"/>
    <w:rsid w:val="002F50F2"/>
    <w:rsid w:val="002F52CC"/>
    <w:rsid w:val="002F5355"/>
    <w:rsid w:val="002F53C1"/>
    <w:rsid w:val="002F53C4"/>
    <w:rsid w:val="002F540E"/>
    <w:rsid w:val="002F5551"/>
    <w:rsid w:val="002F55AA"/>
    <w:rsid w:val="002F564F"/>
    <w:rsid w:val="002F56F6"/>
    <w:rsid w:val="002F582F"/>
    <w:rsid w:val="002F5A56"/>
    <w:rsid w:val="002F5A89"/>
    <w:rsid w:val="002F5A9C"/>
    <w:rsid w:val="002F5B31"/>
    <w:rsid w:val="002F5C0F"/>
    <w:rsid w:val="002F5C16"/>
    <w:rsid w:val="002F5CCC"/>
    <w:rsid w:val="002F5D2F"/>
    <w:rsid w:val="002F5DCB"/>
    <w:rsid w:val="002F5E13"/>
    <w:rsid w:val="002F5E3B"/>
    <w:rsid w:val="002F5EC5"/>
    <w:rsid w:val="002F5EE3"/>
    <w:rsid w:val="002F5FF3"/>
    <w:rsid w:val="002F6095"/>
    <w:rsid w:val="002F60B4"/>
    <w:rsid w:val="002F61F1"/>
    <w:rsid w:val="002F61F2"/>
    <w:rsid w:val="002F6250"/>
    <w:rsid w:val="002F6261"/>
    <w:rsid w:val="002F64BB"/>
    <w:rsid w:val="002F665A"/>
    <w:rsid w:val="002F673F"/>
    <w:rsid w:val="002F67D7"/>
    <w:rsid w:val="002F6921"/>
    <w:rsid w:val="002F6A28"/>
    <w:rsid w:val="002F6AA1"/>
    <w:rsid w:val="002F6B41"/>
    <w:rsid w:val="002F6BA7"/>
    <w:rsid w:val="002F6BB3"/>
    <w:rsid w:val="002F6C35"/>
    <w:rsid w:val="002F6C70"/>
    <w:rsid w:val="002F6D94"/>
    <w:rsid w:val="002F6DE2"/>
    <w:rsid w:val="002F6EB5"/>
    <w:rsid w:val="002F6EDE"/>
    <w:rsid w:val="002F6F52"/>
    <w:rsid w:val="002F6FAC"/>
    <w:rsid w:val="002F7045"/>
    <w:rsid w:val="002F7092"/>
    <w:rsid w:val="002F7098"/>
    <w:rsid w:val="002F711A"/>
    <w:rsid w:val="002F71EF"/>
    <w:rsid w:val="002F7207"/>
    <w:rsid w:val="002F721F"/>
    <w:rsid w:val="002F7250"/>
    <w:rsid w:val="002F7262"/>
    <w:rsid w:val="002F726E"/>
    <w:rsid w:val="002F734C"/>
    <w:rsid w:val="002F7485"/>
    <w:rsid w:val="002F7656"/>
    <w:rsid w:val="002F76C1"/>
    <w:rsid w:val="002F77EC"/>
    <w:rsid w:val="002F780D"/>
    <w:rsid w:val="002F790A"/>
    <w:rsid w:val="002F793A"/>
    <w:rsid w:val="002F796B"/>
    <w:rsid w:val="002F7A09"/>
    <w:rsid w:val="002F7A11"/>
    <w:rsid w:val="002F7AC7"/>
    <w:rsid w:val="002F7AFA"/>
    <w:rsid w:val="002F7BA9"/>
    <w:rsid w:val="002F7BC9"/>
    <w:rsid w:val="002F7C11"/>
    <w:rsid w:val="002F7CA9"/>
    <w:rsid w:val="0030003A"/>
    <w:rsid w:val="00300104"/>
    <w:rsid w:val="0030016C"/>
    <w:rsid w:val="00300190"/>
    <w:rsid w:val="00300212"/>
    <w:rsid w:val="0030028F"/>
    <w:rsid w:val="00300370"/>
    <w:rsid w:val="003003E5"/>
    <w:rsid w:val="00300455"/>
    <w:rsid w:val="0030051D"/>
    <w:rsid w:val="003005D7"/>
    <w:rsid w:val="00300794"/>
    <w:rsid w:val="003007E5"/>
    <w:rsid w:val="00300822"/>
    <w:rsid w:val="00300910"/>
    <w:rsid w:val="00300934"/>
    <w:rsid w:val="00300A2D"/>
    <w:rsid w:val="00300AB0"/>
    <w:rsid w:val="00300ACF"/>
    <w:rsid w:val="00300F8F"/>
    <w:rsid w:val="00300FAE"/>
    <w:rsid w:val="00300FC8"/>
    <w:rsid w:val="003010AD"/>
    <w:rsid w:val="003010CE"/>
    <w:rsid w:val="0030112F"/>
    <w:rsid w:val="0030115F"/>
    <w:rsid w:val="00301229"/>
    <w:rsid w:val="00301359"/>
    <w:rsid w:val="003013F7"/>
    <w:rsid w:val="0030145A"/>
    <w:rsid w:val="00301551"/>
    <w:rsid w:val="0030155A"/>
    <w:rsid w:val="0030168A"/>
    <w:rsid w:val="00301692"/>
    <w:rsid w:val="0030178E"/>
    <w:rsid w:val="003017A4"/>
    <w:rsid w:val="00301810"/>
    <w:rsid w:val="00301B72"/>
    <w:rsid w:val="00301DD3"/>
    <w:rsid w:val="00301DF1"/>
    <w:rsid w:val="00301E47"/>
    <w:rsid w:val="00301EEA"/>
    <w:rsid w:val="00301F30"/>
    <w:rsid w:val="00301F52"/>
    <w:rsid w:val="00301F57"/>
    <w:rsid w:val="00301F91"/>
    <w:rsid w:val="00301FD7"/>
    <w:rsid w:val="0030203F"/>
    <w:rsid w:val="0030204D"/>
    <w:rsid w:val="00302125"/>
    <w:rsid w:val="003021EB"/>
    <w:rsid w:val="00302203"/>
    <w:rsid w:val="003023D5"/>
    <w:rsid w:val="00302436"/>
    <w:rsid w:val="003025F6"/>
    <w:rsid w:val="0030278B"/>
    <w:rsid w:val="003027DD"/>
    <w:rsid w:val="00302801"/>
    <w:rsid w:val="0030282C"/>
    <w:rsid w:val="0030284C"/>
    <w:rsid w:val="00302A45"/>
    <w:rsid w:val="00302A4A"/>
    <w:rsid w:val="00302B68"/>
    <w:rsid w:val="00302BA6"/>
    <w:rsid w:val="00302C2E"/>
    <w:rsid w:val="00302CB1"/>
    <w:rsid w:val="00302D83"/>
    <w:rsid w:val="00302DE8"/>
    <w:rsid w:val="00303174"/>
    <w:rsid w:val="003031DE"/>
    <w:rsid w:val="003032C0"/>
    <w:rsid w:val="00303317"/>
    <w:rsid w:val="00303321"/>
    <w:rsid w:val="00303336"/>
    <w:rsid w:val="003033C5"/>
    <w:rsid w:val="003033D2"/>
    <w:rsid w:val="003034D2"/>
    <w:rsid w:val="003034D4"/>
    <w:rsid w:val="00303711"/>
    <w:rsid w:val="0030374B"/>
    <w:rsid w:val="003037CC"/>
    <w:rsid w:val="003038D5"/>
    <w:rsid w:val="003038FA"/>
    <w:rsid w:val="00303907"/>
    <w:rsid w:val="0030393A"/>
    <w:rsid w:val="00303979"/>
    <w:rsid w:val="00303A5D"/>
    <w:rsid w:val="00303A7B"/>
    <w:rsid w:val="00303ABE"/>
    <w:rsid w:val="00303B31"/>
    <w:rsid w:val="00303B6C"/>
    <w:rsid w:val="00303C1B"/>
    <w:rsid w:val="00303CED"/>
    <w:rsid w:val="00303DF1"/>
    <w:rsid w:val="00303EA8"/>
    <w:rsid w:val="00303EF6"/>
    <w:rsid w:val="00303F6A"/>
    <w:rsid w:val="00303F81"/>
    <w:rsid w:val="00303FB9"/>
    <w:rsid w:val="00303FF5"/>
    <w:rsid w:val="00304084"/>
    <w:rsid w:val="00304240"/>
    <w:rsid w:val="0030462B"/>
    <w:rsid w:val="0030469A"/>
    <w:rsid w:val="00304767"/>
    <w:rsid w:val="00304796"/>
    <w:rsid w:val="003048A1"/>
    <w:rsid w:val="003048B5"/>
    <w:rsid w:val="003048C6"/>
    <w:rsid w:val="00304937"/>
    <w:rsid w:val="00304986"/>
    <w:rsid w:val="003049A0"/>
    <w:rsid w:val="00304C06"/>
    <w:rsid w:val="00304E76"/>
    <w:rsid w:val="00304EC6"/>
    <w:rsid w:val="00304F3F"/>
    <w:rsid w:val="00304F55"/>
    <w:rsid w:val="00304F6F"/>
    <w:rsid w:val="00304F74"/>
    <w:rsid w:val="003050E8"/>
    <w:rsid w:val="003052E2"/>
    <w:rsid w:val="00305410"/>
    <w:rsid w:val="00305459"/>
    <w:rsid w:val="003054BE"/>
    <w:rsid w:val="003054FF"/>
    <w:rsid w:val="003057AC"/>
    <w:rsid w:val="00305936"/>
    <w:rsid w:val="0030598E"/>
    <w:rsid w:val="003059CC"/>
    <w:rsid w:val="00305A6B"/>
    <w:rsid w:val="00305B0C"/>
    <w:rsid w:val="00305C04"/>
    <w:rsid w:val="00305CC0"/>
    <w:rsid w:val="00305CCD"/>
    <w:rsid w:val="00305D47"/>
    <w:rsid w:val="00305ED7"/>
    <w:rsid w:val="00305F8D"/>
    <w:rsid w:val="00306029"/>
    <w:rsid w:val="0030605A"/>
    <w:rsid w:val="00306127"/>
    <w:rsid w:val="00306206"/>
    <w:rsid w:val="003062FC"/>
    <w:rsid w:val="00306367"/>
    <w:rsid w:val="0030649D"/>
    <w:rsid w:val="003064C7"/>
    <w:rsid w:val="00306543"/>
    <w:rsid w:val="0030659E"/>
    <w:rsid w:val="003065CE"/>
    <w:rsid w:val="00306612"/>
    <w:rsid w:val="0030666F"/>
    <w:rsid w:val="003066B3"/>
    <w:rsid w:val="00306740"/>
    <w:rsid w:val="00306765"/>
    <w:rsid w:val="0030676C"/>
    <w:rsid w:val="003067A8"/>
    <w:rsid w:val="00306828"/>
    <w:rsid w:val="0030685F"/>
    <w:rsid w:val="003068C0"/>
    <w:rsid w:val="0030698C"/>
    <w:rsid w:val="00306AAB"/>
    <w:rsid w:val="00306C94"/>
    <w:rsid w:val="00306D0B"/>
    <w:rsid w:val="00306DC3"/>
    <w:rsid w:val="00306DCC"/>
    <w:rsid w:val="00306DF0"/>
    <w:rsid w:val="00306FCE"/>
    <w:rsid w:val="00306FE7"/>
    <w:rsid w:val="00307032"/>
    <w:rsid w:val="003070A2"/>
    <w:rsid w:val="003071A2"/>
    <w:rsid w:val="003072F8"/>
    <w:rsid w:val="0030738E"/>
    <w:rsid w:val="003073F7"/>
    <w:rsid w:val="00307477"/>
    <w:rsid w:val="00307532"/>
    <w:rsid w:val="00307552"/>
    <w:rsid w:val="00307663"/>
    <w:rsid w:val="003076C0"/>
    <w:rsid w:val="00307755"/>
    <w:rsid w:val="003077D6"/>
    <w:rsid w:val="003078FF"/>
    <w:rsid w:val="00307919"/>
    <w:rsid w:val="0030791A"/>
    <w:rsid w:val="00307B7B"/>
    <w:rsid w:val="00307D62"/>
    <w:rsid w:val="00307DCA"/>
    <w:rsid w:val="00307E1C"/>
    <w:rsid w:val="00307E47"/>
    <w:rsid w:val="00307E7E"/>
    <w:rsid w:val="00307F5A"/>
    <w:rsid w:val="00307F98"/>
    <w:rsid w:val="00307FAA"/>
    <w:rsid w:val="0031002A"/>
    <w:rsid w:val="003100C0"/>
    <w:rsid w:val="00310156"/>
    <w:rsid w:val="00310179"/>
    <w:rsid w:val="003101A4"/>
    <w:rsid w:val="0031021E"/>
    <w:rsid w:val="0031040C"/>
    <w:rsid w:val="00310500"/>
    <w:rsid w:val="0031056E"/>
    <w:rsid w:val="00310599"/>
    <w:rsid w:val="003105BF"/>
    <w:rsid w:val="003105D8"/>
    <w:rsid w:val="00310608"/>
    <w:rsid w:val="00310770"/>
    <w:rsid w:val="00310930"/>
    <w:rsid w:val="0031093D"/>
    <w:rsid w:val="0031098F"/>
    <w:rsid w:val="00310B7C"/>
    <w:rsid w:val="00310D84"/>
    <w:rsid w:val="00310DE5"/>
    <w:rsid w:val="00310E09"/>
    <w:rsid w:val="00310E61"/>
    <w:rsid w:val="00310F17"/>
    <w:rsid w:val="00310F84"/>
    <w:rsid w:val="0031100D"/>
    <w:rsid w:val="003111FF"/>
    <w:rsid w:val="0031126A"/>
    <w:rsid w:val="003112CF"/>
    <w:rsid w:val="00311311"/>
    <w:rsid w:val="00311394"/>
    <w:rsid w:val="00311395"/>
    <w:rsid w:val="003113D8"/>
    <w:rsid w:val="00311421"/>
    <w:rsid w:val="00311458"/>
    <w:rsid w:val="0031164D"/>
    <w:rsid w:val="003116EF"/>
    <w:rsid w:val="00311721"/>
    <w:rsid w:val="00311869"/>
    <w:rsid w:val="003118AA"/>
    <w:rsid w:val="003118B6"/>
    <w:rsid w:val="00311983"/>
    <w:rsid w:val="00311AED"/>
    <w:rsid w:val="00311B38"/>
    <w:rsid w:val="00311BBB"/>
    <w:rsid w:val="00311C78"/>
    <w:rsid w:val="00311C9B"/>
    <w:rsid w:val="00311DB1"/>
    <w:rsid w:val="00311E21"/>
    <w:rsid w:val="00311FED"/>
    <w:rsid w:val="00312111"/>
    <w:rsid w:val="0031211E"/>
    <w:rsid w:val="00312226"/>
    <w:rsid w:val="00312299"/>
    <w:rsid w:val="003122DA"/>
    <w:rsid w:val="003122F4"/>
    <w:rsid w:val="0031230F"/>
    <w:rsid w:val="0031248E"/>
    <w:rsid w:val="00312536"/>
    <w:rsid w:val="0031256D"/>
    <w:rsid w:val="003125BB"/>
    <w:rsid w:val="00312754"/>
    <w:rsid w:val="0031294E"/>
    <w:rsid w:val="00312997"/>
    <w:rsid w:val="003129F8"/>
    <w:rsid w:val="00312CE6"/>
    <w:rsid w:val="00312E46"/>
    <w:rsid w:val="0031303E"/>
    <w:rsid w:val="00313061"/>
    <w:rsid w:val="00313218"/>
    <w:rsid w:val="00313245"/>
    <w:rsid w:val="0031326B"/>
    <w:rsid w:val="003132D8"/>
    <w:rsid w:val="0031331E"/>
    <w:rsid w:val="0031335F"/>
    <w:rsid w:val="003133FB"/>
    <w:rsid w:val="0031349F"/>
    <w:rsid w:val="003134C7"/>
    <w:rsid w:val="00313530"/>
    <w:rsid w:val="003135B2"/>
    <w:rsid w:val="00313744"/>
    <w:rsid w:val="00313787"/>
    <w:rsid w:val="00313789"/>
    <w:rsid w:val="0031379A"/>
    <w:rsid w:val="003137C2"/>
    <w:rsid w:val="00313902"/>
    <w:rsid w:val="00313961"/>
    <w:rsid w:val="00313973"/>
    <w:rsid w:val="0031399B"/>
    <w:rsid w:val="00313A42"/>
    <w:rsid w:val="00313B71"/>
    <w:rsid w:val="00313BEF"/>
    <w:rsid w:val="00313D4E"/>
    <w:rsid w:val="00313EAC"/>
    <w:rsid w:val="00313FF1"/>
    <w:rsid w:val="0031408C"/>
    <w:rsid w:val="00314092"/>
    <w:rsid w:val="003140B9"/>
    <w:rsid w:val="00314208"/>
    <w:rsid w:val="00314390"/>
    <w:rsid w:val="003143F5"/>
    <w:rsid w:val="00314420"/>
    <w:rsid w:val="00314496"/>
    <w:rsid w:val="003144F5"/>
    <w:rsid w:val="003146C7"/>
    <w:rsid w:val="003147DF"/>
    <w:rsid w:val="00314861"/>
    <w:rsid w:val="003148D7"/>
    <w:rsid w:val="003149A8"/>
    <w:rsid w:val="003149EE"/>
    <w:rsid w:val="00314A66"/>
    <w:rsid w:val="00314B20"/>
    <w:rsid w:val="00314B8B"/>
    <w:rsid w:val="00314BF1"/>
    <w:rsid w:val="00314C1F"/>
    <w:rsid w:val="00314CF3"/>
    <w:rsid w:val="00314CFF"/>
    <w:rsid w:val="00314D23"/>
    <w:rsid w:val="00314DB8"/>
    <w:rsid w:val="00314E5C"/>
    <w:rsid w:val="00314E97"/>
    <w:rsid w:val="00314EDC"/>
    <w:rsid w:val="00314F9D"/>
    <w:rsid w:val="00314FB7"/>
    <w:rsid w:val="00315097"/>
    <w:rsid w:val="003150D8"/>
    <w:rsid w:val="00315273"/>
    <w:rsid w:val="00315359"/>
    <w:rsid w:val="003153E0"/>
    <w:rsid w:val="003155C3"/>
    <w:rsid w:val="003155DB"/>
    <w:rsid w:val="003155E0"/>
    <w:rsid w:val="003156A3"/>
    <w:rsid w:val="00315744"/>
    <w:rsid w:val="0031577F"/>
    <w:rsid w:val="003157BA"/>
    <w:rsid w:val="00315A13"/>
    <w:rsid w:val="00315BDA"/>
    <w:rsid w:val="00315BE1"/>
    <w:rsid w:val="00315E13"/>
    <w:rsid w:val="00315E37"/>
    <w:rsid w:val="00315F22"/>
    <w:rsid w:val="00316013"/>
    <w:rsid w:val="00316014"/>
    <w:rsid w:val="00316089"/>
    <w:rsid w:val="003160B8"/>
    <w:rsid w:val="003160EB"/>
    <w:rsid w:val="003160F1"/>
    <w:rsid w:val="003161BC"/>
    <w:rsid w:val="003162CA"/>
    <w:rsid w:val="003163BD"/>
    <w:rsid w:val="003164FA"/>
    <w:rsid w:val="0031651B"/>
    <w:rsid w:val="003166B1"/>
    <w:rsid w:val="003168FF"/>
    <w:rsid w:val="003169D1"/>
    <w:rsid w:val="003169F2"/>
    <w:rsid w:val="00316D1A"/>
    <w:rsid w:val="00316DEA"/>
    <w:rsid w:val="00316E7C"/>
    <w:rsid w:val="00316F1D"/>
    <w:rsid w:val="00316F3A"/>
    <w:rsid w:val="00316F9E"/>
    <w:rsid w:val="0031705E"/>
    <w:rsid w:val="00317090"/>
    <w:rsid w:val="0031712F"/>
    <w:rsid w:val="0031729B"/>
    <w:rsid w:val="003173AB"/>
    <w:rsid w:val="003173B1"/>
    <w:rsid w:val="003173BC"/>
    <w:rsid w:val="003173F7"/>
    <w:rsid w:val="003173FC"/>
    <w:rsid w:val="0031745F"/>
    <w:rsid w:val="003176E1"/>
    <w:rsid w:val="00317751"/>
    <w:rsid w:val="0031777D"/>
    <w:rsid w:val="003178B3"/>
    <w:rsid w:val="00317902"/>
    <w:rsid w:val="0031793A"/>
    <w:rsid w:val="00317979"/>
    <w:rsid w:val="00317983"/>
    <w:rsid w:val="00317B0A"/>
    <w:rsid w:val="00317B36"/>
    <w:rsid w:val="00317B8D"/>
    <w:rsid w:val="00317C96"/>
    <w:rsid w:val="00317CB9"/>
    <w:rsid w:val="00317D8B"/>
    <w:rsid w:val="00317DE0"/>
    <w:rsid w:val="00317E84"/>
    <w:rsid w:val="00317EAF"/>
    <w:rsid w:val="00317EEC"/>
    <w:rsid w:val="00317EFC"/>
    <w:rsid w:val="00317F31"/>
    <w:rsid w:val="00317F4D"/>
    <w:rsid w:val="00320029"/>
    <w:rsid w:val="0032006E"/>
    <w:rsid w:val="00320112"/>
    <w:rsid w:val="00320121"/>
    <w:rsid w:val="00320288"/>
    <w:rsid w:val="003202BC"/>
    <w:rsid w:val="00320357"/>
    <w:rsid w:val="0032049F"/>
    <w:rsid w:val="003205BE"/>
    <w:rsid w:val="003205C8"/>
    <w:rsid w:val="00320647"/>
    <w:rsid w:val="00320686"/>
    <w:rsid w:val="0032068D"/>
    <w:rsid w:val="00320707"/>
    <w:rsid w:val="0032070C"/>
    <w:rsid w:val="00320725"/>
    <w:rsid w:val="00320726"/>
    <w:rsid w:val="0032087D"/>
    <w:rsid w:val="003208D6"/>
    <w:rsid w:val="00320A5F"/>
    <w:rsid w:val="00320AEE"/>
    <w:rsid w:val="00320B1C"/>
    <w:rsid w:val="00320C20"/>
    <w:rsid w:val="00320C85"/>
    <w:rsid w:val="00320C8B"/>
    <w:rsid w:val="00320C8E"/>
    <w:rsid w:val="00320D32"/>
    <w:rsid w:val="00320D6B"/>
    <w:rsid w:val="00320ED5"/>
    <w:rsid w:val="00320F23"/>
    <w:rsid w:val="00321073"/>
    <w:rsid w:val="0032126C"/>
    <w:rsid w:val="00321350"/>
    <w:rsid w:val="00321465"/>
    <w:rsid w:val="00321490"/>
    <w:rsid w:val="00321496"/>
    <w:rsid w:val="003217B8"/>
    <w:rsid w:val="003217DB"/>
    <w:rsid w:val="0032192F"/>
    <w:rsid w:val="003219E7"/>
    <w:rsid w:val="00321AAB"/>
    <w:rsid w:val="00321B4B"/>
    <w:rsid w:val="00321B62"/>
    <w:rsid w:val="00321C3E"/>
    <w:rsid w:val="00321CC1"/>
    <w:rsid w:val="00321D97"/>
    <w:rsid w:val="00321E0E"/>
    <w:rsid w:val="0032204A"/>
    <w:rsid w:val="003220B0"/>
    <w:rsid w:val="00322113"/>
    <w:rsid w:val="003221C7"/>
    <w:rsid w:val="00322220"/>
    <w:rsid w:val="0032224B"/>
    <w:rsid w:val="003222D8"/>
    <w:rsid w:val="003222EF"/>
    <w:rsid w:val="00322324"/>
    <w:rsid w:val="0032238D"/>
    <w:rsid w:val="003223E2"/>
    <w:rsid w:val="00322410"/>
    <w:rsid w:val="0032242A"/>
    <w:rsid w:val="003224ED"/>
    <w:rsid w:val="00322531"/>
    <w:rsid w:val="0032257F"/>
    <w:rsid w:val="0032258B"/>
    <w:rsid w:val="003227B4"/>
    <w:rsid w:val="0032288D"/>
    <w:rsid w:val="00322902"/>
    <w:rsid w:val="0032294C"/>
    <w:rsid w:val="003229C1"/>
    <w:rsid w:val="003229FD"/>
    <w:rsid w:val="00322A7F"/>
    <w:rsid w:val="00322A84"/>
    <w:rsid w:val="00322C58"/>
    <w:rsid w:val="00322C9F"/>
    <w:rsid w:val="00322D1A"/>
    <w:rsid w:val="00322E92"/>
    <w:rsid w:val="00323024"/>
    <w:rsid w:val="00323038"/>
    <w:rsid w:val="003231DA"/>
    <w:rsid w:val="00323345"/>
    <w:rsid w:val="00323400"/>
    <w:rsid w:val="003234BF"/>
    <w:rsid w:val="003234D2"/>
    <w:rsid w:val="003235DD"/>
    <w:rsid w:val="003238FC"/>
    <w:rsid w:val="003239AC"/>
    <w:rsid w:val="00323A79"/>
    <w:rsid w:val="00323ABC"/>
    <w:rsid w:val="00323AE9"/>
    <w:rsid w:val="00323B03"/>
    <w:rsid w:val="00323CF0"/>
    <w:rsid w:val="00323E0D"/>
    <w:rsid w:val="00323EB5"/>
    <w:rsid w:val="00323F0A"/>
    <w:rsid w:val="00323F8A"/>
    <w:rsid w:val="00324110"/>
    <w:rsid w:val="0032412C"/>
    <w:rsid w:val="00324198"/>
    <w:rsid w:val="00324228"/>
    <w:rsid w:val="00324245"/>
    <w:rsid w:val="00324278"/>
    <w:rsid w:val="003243A7"/>
    <w:rsid w:val="003243D5"/>
    <w:rsid w:val="0032459E"/>
    <w:rsid w:val="00324648"/>
    <w:rsid w:val="00324681"/>
    <w:rsid w:val="00324697"/>
    <w:rsid w:val="0032482A"/>
    <w:rsid w:val="003248B1"/>
    <w:rsid w:val="00324911"/>
    <w:rsid w:val="00324A83"/>
    <w:rsid w:val="00324BCA"/>
    <w:rsid w:val="00324C33"/>
    <w:rsid w:val="00324C9D"/>
    <w:rsid w:val="00324CD2"/>
    <w:rsid w:val="00324D00"/>
    <w:rsid w:val="00324D58"/>
    <w:rsid w:val="00324D7F"/>
    <w:rsid w:val="00324E53"/>
    <w:rsid w:val="00324F9A"/>
    <w:rsid w:val="00325011"/>
    <w:rsid w:val="003250BA"/>
    <w:rsid w:val="003250C5"/>
    <w:rsid w:val="00325130"/>
    <w:rsid w:val="00325204"/>
    <w:rsid w:val="0032533D"/>
    <w:rsid w:val="00325418"/>
    <w:rsid w:val="0032559B"/>
    <w:rsid w:val="00325610"/>
    <w:rsid w:val="00325641"/>
    <w:rsid w:val="003256B6"/>
    <w:rsid w:val="003257F8"/>
    <w:rsid w:val="00325830"/>
    <w:rsid w:val="0032585B"/>
    <w:rsid w:val="003258A6"/>
    <w:rsid w:val="003258E4"/>
    <w:rsid w:val="003259A8"/>
    <w:rsid w:val="003259FF"/>
    <w:rsid w:val="00325A60"/>
    <w:rsid w:val="00325A8B"/>
    <w:rsid w:val="00325B03"/>
    <w:rsid w:val="00325C79"/>
    <w:rsid w:val="00325C81"/>
    <w:rsid w:val="00325DA2"/>
    <w:rsid w:val="00325E0A"/>
    <w:rsid w:val="00325F7D"/>
    <w:rsid w:val="0032601B"/>
    <w:rsid w:val="0032602F"/>
    <w:rsid w:val="003260AE"/>
    <w:rsid w:val="003261B7"/>
    <w:rsid w:val="00326202"/>
    <w:rsid w:val="00326284"/>
    <w:rsid w:val="003262E6"/>
    <w:rsid w:val="003263C6"/>
    <w:rsid w:val="003263E1"/>
    <w:rsid w:val="0032641A"/>
    <w:rsid w:val="003266FE"/>
    <w:rsid w:val="0032686E"/>
    <w:rsid w:val="00326941"/>
    <w:rsid w:val="0032699F"/>
    <w:rsid w:val="00326C7E"/>
    <w:rsid w:val="00326DD0"/>
    <w:rsid w:val="00326E3F"/>
    <w:rsid w:val="00326EB8"/>
    <w:rsid w:val="00326EC7"/>
    <w:rsid w:val="00326F83"/>
    <w:rsid w:val="00326F89"/>
    <w:rsid w:val="00326F9B"/>
    <w:rsid w:val="00326F9C"/>
    <w:rsid w:val="00326FD0"/>
    <w:rsid w:val="0032705B"/>
    <w:rsid w:val="0032705D"/>
    <w:rsid w:val="003270A7"/>
    <w:rsid w:val="003270BD"/>
    <w:rsid w:val="00327121"/>
    <w:rsid w:val="00327262"/>
    <w:rsid w:val="00327368"/>
    <w:rsid w:val="003273C4"/>
    <w:rsid w:val="00327477"/>
    <w:rsid w:val="00327683"/>
    <w:rsid w:val="003276C2"/>
    <w:rsid w:val="003276DB"/>
    <w:rsid w:val="00327727"/>
    <w:rsid w:val="0032773B"/>
    <w:rsid w:val="00327842"/>
    <w:rsid w:val="00327AD8"/>
    <w:rsid w:val="00327C01"/>
    <w:rsid w:val="00327CD2"/>
    <w:rsid w:val="00327D33"/>
    <w:rsid w:val="00327E0E"/>
    <w:rsid w:val="00327E52"/>
    <w:rsid w:val="00327F09"/>
    <w:rsid w:val="00327F4A"/>
    <w:rsid w:val="00327F65"/>
    <w:rsid w:val="00330073"/>
    <w:rsid w:val="00330208"/>
    <w:rsid w:val="003302D5"/>
    <w:rsid w:val="003303D9"/>
    <w:rsid w:val="00330435"/>
    <w:rsid w:val="0033051C"/>
    <w:rsid w:val="00330626"/>
    <w:rsid w:val="00330633"/>
    <w:rsid w:val="00330677"/>
    <w:rsid w:val="003306A5"/>
    <w:rsid w:val="003306B9"/>
    <w:rsid w:val="00330811"/>
    <w:rsid w:val="0033088B"/>
    <w:rsid w:val="00330896"/>
    <w:rsid w:val="00330A3D"/>
    <w:rsid w:val="00330C4C"/>
    <w:rsid w:val="00330CF2"/>
    <w:rsid w:val="00330D72"/>
    <w:rsid w:val="00330F5C"/>
    <w:rsid w:val="00330FB0"/>
    <w:rsid w:val="00330FE0"/>
    <w:rsid w:val="003310F4"/>
    <w:rsid w:val="003310FE"/>
    <w:rsid w:val="00331251"/>
    <w:rsid w:val="00331285"/>
    <w:rsid w:val="003312B9"/>
    <w:rsid w:val="003312BE"/>
    <w:rsid w:val="003312E4"/>
    <w:rsid w:val="00331321"/>
    <w:rsid w:val="003313E7"/>
    <w:rsid w:val="003314AF"/>
    <w:rsid w:val="00331542"/>
    <w:rsid w:val="00331562"/>
    <w:rsid w:val="003315BB"/>
    <w:rsid w:val="0033169F"/>
    <w:rsid w:val="00331714"/>
    <w:rsid w:val="00331819"/>
    <w:rsid w:val="00331877"/>
    <w:rsid w:val="00331887"/>
    <w:rsid w:val="0033190B"/>
    <w:rsid w:val="003319E8"/>
    <w:rsid w:val="00331A02"/>
    <w:rsid w:val="00331AA9"/>
    <w:rsid w:val="00331B51"/>
    <w:rsid w:val="00331B5D"/>
    <w:rsid w:val="00331BAF"/>
    <w:rsid w:val="00331BC5"/>
    <w:rsid w:val="00331C28"/>
    <w:rsid w:val="00331D4D"/>
    <w:rsid w:val="00331D95"/>
    <w:rsid w:val="00331DF0"/>
    <w:rsid w:val="00331E4D"/>
    <w:rsid w:val="00331E4E"/>
    <w:rsid w:val="00331EF3"/>
    <w:rsid w:val="00331F41"/>
    <w:rsid w:val="00331FBB"/>
    <w:rsid w:val="0033205D"/>
    <w:rsid w:val="00332071"/>
    <w:rsid w:val="003320FE"/>
    <w:rsid w:val="003321D7"/>
    <w:rsid w:val="003322DA"/>
    <w:rsid w:val="003323DF"/>
    <w:rsid w:val="00332440"/>
    <w:rsid w:val="003324A1"/>
    <w:rsid w:val="00332654"/>
    <w:rsid w:val="0033268C"/>
    <w:rsid w:val="00332760"/>
    <w:rsid w:val="003327EF"/>
    <w:rsid w:val="003328B5"/>
    <w:rsid w:val="0033294D"/>
    <w:rsid w:val="00332988"/>
    <w:rsid w:val="00332B69"/>
    <w:rsid w:val="00332C47"/>
    <w:rsid w:val="00332C89"/>
    <w:rsid w:val="00332DA6"/>
    <w:rsid w:val="00332EAF"/>
    <w:rsid w:val="00332EEC"/>
    <w:rsid w:val="00333012"/>
    <w:rsid w:val="0033310C"/>
    <w:rsid w:val="003332DD"/>
    <w:rsid w:val="003333E8"/>
    <w:rsid w:val="0033344A"/>
    <w:rsid w:val="0033356B"/>
    <w:rsid w:val="00333580"/>
    <w:rsid w:val="003335E5"/>
    <w:rsid w:val="003336E8"/>
    <w:rsid w:val="0033375C"/>
    <w:rsid w:val="00333881"/>
    <w:rsid w:val="0033388F"/>
    <w:rsid w:val="0033392B"/>
    <w:rsid w:val="00333959"/>
    <w:rsid w:val="0033395E"/>
    <w:rsid w:val="003339E4"/>
    <w:rsid w:val="00333CDE"/>
    <w:rsid w:val="00333D1C"/>
    <w:rsid w:val="00333EEA"/>
    <w:rsid w:val="00333F8B"/>
    <w:rsid w:val="003340ED"/>
    <w:rsid w:val="003341DE"/>
    <w:rsid w:val="00334245"/>
    <w:rsid w:val="0033428E"/>
    <w:rsid w:val="0033435E"/>
    <w:rsid w:val="003343B1"/>
    <w:rsid w:val="003343BB"/>
    <w:rsid w:val="0033445C"/>
    <w:rsid w:val="003344AD"/>
    <w:rsid w:val="003344C0"/>
    <w:rsid w:val="003348A5"/>
    <w:rsid w:val="00334930"/>
    <w:rsid w:val="00334955"/>
    <w:rsid w:val="003349A0"/>
    <w:rsid w:val="00334A3E"/>
    <w:rsid w:val="00334AE3"/>
    <w:rsid w:val="00334B7B"/>
    <w:rsid w:val="00334C3C"/>
    <w:rsid w:val="00334D8D"/>
    <w:rsid w:val="00334DA4"/>
    <w:rsid w:val="00334DC9"/>
    <w:rsid w:val="00334E4A"/>
    <w:rsid w:val="00334E5F"/>
    <w:rsid w:val="00334E75"/>
    <w:rsid w:val="00334E7E"/>
    <w:rsid w:val="00334EDC"/>
    <w:rsid w:val="00334FBB"/>
    <w:rsid w:val="00335050"/>
    <w:rsid w:val="0033506D"/>
    <w:rsid w:val="003350D2"/>
    <w:rsid w:val="003351D5"/>
    <w:rsid w:val="00335200"/>
    <w:rsid w:val="0033552A"/>
    <w:rsid w:val="00335631"/>
    <w:rsid w:val="0033579C"/>
    <w:rsid w:val="0033582F"/>
    <w:rsid w:val="00335866"/>
    <w:rsid w:val="00335870"/>
    <w:rsid w:val="0033588C"/>
    <w:rsid w:val="003358C4"/>
    <w:rsid w:val="003358ED"/>
    <w:rsid w:val="003359EA"/>
    <w:rsid w:val="00335B16"/>
    <w:rsid w:val="00335B83"/>
    <w:rsid w:val="00335CC0"/>
    <w:rsid w:val="00335CDD"/>
    <w:rsid w:val="00335D19"/>
    <w:rsid w:val="00335D2D"/>
    <w:rsid w:val="00335DD8"/>
    <w:rsid w:val="00335E02"/>
    <w:rsid w:val="00335EAC"/>
    <w:rsid w:val="00335EB3"/>
    <w:rsid w:val="00335EE4"/>
    <w:rsid w:val="00335F83"/>
    <w:rsid w:val="00335F9A"/>
    <w:rsid w:val="003360A2"/>
    <w:rsid w:val="003360C7"/>
    <w:rsid w:val="003362B1"/>
    <w:rsid w:val="003362C6"/>
    <w:rsid w:val="00336305"/>
    <w:rsid w:val="003363DE"/>
    <w:rsid w:val="003364DD"/>
    <w:rsid w:val="003365EE"/>
    <w:rsid w:val="003365F4"/>
    <w:rsid w:val="0033663A"/>
    <w:rsid w:val="00336663"/>
    <w:rsid w:val="00336762"/>
    <w:rsid w:val="003367E4"/>
    <w:rsid w:val="003368A3"/>
    <w:rsid w:val="003369A7"/>
    <w:rsid w:val="003369AB"/>
    <w:rsid w:val="00336A09"/>
    <w:rsid w:val="00336A38"/>
    <w:rsid w:val="00336B38"/>
    <w:rsid w:val="00336BC9"/>
    <w:rsid w:val="00336C2C"/>
    <w:rsid w:val="00336C80"/>
    <w:rsid w:val="00336CE9"/>
    <w:rsid w:val="00336CF4"/>
    <w:rsid w:val="00336F08"/>
    <w:rsid w:val="00337043"/>
    <w:rsid w:val="00337077"/>
    <w:rsid w:val="00337112"/>
    <w:rsid w:val="0033716B"/>
    <w:rsid w:val="003371CD"/>
    <w:rsid w:val="00337300"/>
    <w:rsid w:val="003373C1"/>
    <w:rsid w:val="00337408"/>
    <w:rsid w:val="003374B5"/>
    <w:rsid w:val="00337646"/>
    <w:rsid w:val="003376F3"/>
    <w:rsid w:val="003379E6"/>
    <w:rsid w:val="00337B4C"/>
    <w:rsid w:val="00337BA1"/>
    <w:rsid w:val="00337CED"/>
    <w:rsid w:val="00337F6C"/>
    <w:rsid w:val="00337F72"/>
    <w:rsid w:val="0034007A"/>
    <w:rsid w:val="00340147"/>
    <w:rsid w:val="003401E3"/>
    <w:rsid w:val="003402EB"/>
    <w:rsid w:val="00340360"/>
    <w:rsid w:val="0034045B"/>
    <w:rsid w:val="00340524"/>
    <w:rsid w:val="00340546"/>
    <w:rsid w:val="00340586"/>
    <w:rsid w:val="003405BF"/>
    <w:rsid w:val="00340629"/>
    <w:rsid w:val="00340682"/>
    <w:rsid w:val="00340689"/>
    <w:rsid w:val="00340867"/>
    <w:rsid w:val="0034089A"/>
    <w:rsid w:val="00340A28"/>
    <w:rsid w:val="00340A30"/>
    <w:rsid w:val="00340AA2"/>
    <w:rsid w:val="00340CE4"/>
    <w:rsid w:val="00340D19"/>
    <w:rsid w:val="00340D1F"/>
    <w:rsid w:val="00340E66"/>
    <w:rsid w:val="00340E9A"/>
    <w:rsid w:val="00340ECD"/>
    <w:rsid w:val="00340F4E"/>
    <w:rsid w:val="00340F50"/>
    <w:rsid w:val="00341035"/>
    <w:rsid w:val="00341191"/>
    <w:rsid w:val="0034129F"/>
    <w:rsid w:val="003412A6"/>
    <w:rsid w:val="00341552"/>
    <w:rsid w:val="00341576"/>
    <w:rsid w:val="003415CE"/>
    <w:rsid w:val="00341726"/>
    <w:rsid w:val="0034182F"/>
    <w:rsid w:val="0034192C"/>
    <w:rsid w:val="00341B49"/>
    <w:rsid w:val="00341B6A"/>
    <w:rsid w:val="00341C04"/>
    <w:rsid w:val="00341C96"/>
    <w:rsid w:val="00341D31"/>
    <w:rsid w:val="00341D7A"/>
    <w:rsid w:val="00341E07"/>
    <w:rsid w:val="00341E25"/>
    <w:rsid w:val="00341EAD"/>
    <w:rsid w:val="00341EE4"/>
    <w:rsid w:val="00341F37"/>
    <w:rsid w:val="003420AE"/>
    <w:rsid w:val="003421C0"/>
    <w:rsid w:val="00342236"/>
    <w:rsid w:val="00342288"/>
    <w:rsid w:val="003423A2"/>
    <w:rsid w:val="003423FC"/>
    <w:rsid w:val="0034243F"/>
    <w:rsid w:val="00342698"/>
    <w:rsid w:val="00342718"/>
    <w:rsid w:val="003427DA"/>
    <w:rsid w:val="00342984"/>
    <w:rsid w:val="003429FE"/>
    <w:rsid w:val="00342A14"/>
    <w:rsid w:val="00342A35"/>
    <w:rsid w:val="00342A4C"/>
    <w:rsid w:val="00342A9C"/>
    <w:rsid w:val="00342B41"/>
    <w:rsid w:val="00342BB0"/>
    <w:rsid w:val="00342BC7"/>
    <w:rsid w:val="00342C3A"/>
    <w:rsid w:val="00342C52"/>
    <w:rsid w:val="00342D4C"/>
    <w:rsid w:val="00342FCE"/>
    <w:rsid w:val="00343284"/>
    <w:rsid w:val="003432AF"/>
    <w:rsid w:val="003432D8"/>
    <w:rsid w:val="0034337D"/>
    <w:rsid w:val="00343550"/>
    <w:rsid w:val="003436B1"/>
    <w:rsid w:val="0034376E"/>
    <w:rsid w:val="00343842"/>
    <w:rsid w:val="00343866"/>
    <w:rsid w:val="0034396D"/>
    <w:rsid w:val="0034399F"/>
    <w:rsid w:val="003439AE"/>
    <w:rsid w:val="00343AD9"/>
    <w:rsid w:val="00343B79"/>
    <w:rsid w:val="00343BA2"/>
    <w:rsid w:val="00343C10"/>
    <w:rsid w:val="00343C50"/>
    <w:rsid w:val="00343C8C"/>
    <w:rsid w:val="00343D3B"/>
    <w:rsid w:val="00343D8D"/>
    <w:rsid w:val="00343E0C"/>
    <w:rsid w:val="00343E63"/>
    <w:rsid w:val="00343EAC"/>
    <w:rsid w:val="00343EC6"/>
    <w:rsid w:val="00343F06"/>
    <w:rsid w:val="00343F3F"/>
    <w:rsid w:val="0034405C"/>
    <w:rsid w:val="003440ED"/>
    <w:rsid w:val="00344123"/>
    <w:rsid w:val="0034415C"/>
    <w:rsid w:val="003441A9"/>
    <w:rsid w:val="00344206"/>
    <w:rsid w:val="003443F0"/>
    <w:rsid w:val="0034443E"/>
    <w:rsid w:val="00344446"/>
    <w:rsid w:val="00344453"/>
    <w:rsid w:val="0034451C"/>
    <w:rsid w:val="00344546"/>
    <w:rsid w:val="003447F7"/>
    <w:rsid w:val="00344816"/>
    <w:rsid w:val="00344BA2"/>
    <w:rsid w:val="00344C07"/>
    <w:rsid w:val="00344F1B"/>
    <w:rsid w:val="00344FE9"/>
    <w:rsid w:val="00344FFC"/>
    <w:rsid w:val="00345033"/>
    <w:rsid w:val="003450EA"/>
    <w:rsid w:val="00345276"/>
    <w:rsid w:val="003453BE"/>
    <w:rsid w:val="003454C3"/>
    <w:rsid w:val="003454FA"/>
    <w:rsid w:val="00345777"/>
    <w:rsid w:val="003459E6"/>
    <w:rsid w:val="00345BF2"/>
    <w:rsid w:val="00345C55"/>
    <w:rsid w:val="00345C71"/>
    <w:rsid w:val="00345CD2"/>
    <w:rsid w:val="00345CF6"/>
    <w:rsid w:val="00345D46"/>
    <w:rsid w:val="00345DB7"/>
    <w:rsid w:val="00345E04"/>
    <w:rsid w:val="0034608F"/>
    <w:rsid w:val="00346105"/>
    <w:rsid w:val="00346121"/>
    <w:rsid w:val="00346131"/>
    <w:rsid w:val="0034618B"/>
    <w:rsid w:val="00346236"/>
    <w:rsid w:val="00346269"/>
    <w:rsid w:val="00346284"/>
    <w:rsid w:val="00346293"/>
    <w:rsid w:val="00346391"/>
    <w:rsid w:val="00346462"/>
    <w:rsid w:val="0034649D"/>
    <w:rsid w:val="003464FA"/>
    <w:rsid w:val="003465D6"/>
    <w:rsid w:val="003467D8"/>
    <w:rsid w:val="00346981"/>
    <w:rsid w:val="00346A04"/>
    <w:rsid w:val="00346A0D"/>
    <w:rsid w:val="00346C61"/>
    <w:rsid w:val="00346E00"/>
    <w:rsid w:val="00346FAA"/>
    <w:rsid w:val="003471BC"/>
    <w:rsid w:val="00347244"/>
    <w:rsid w:val="003472CC"/>
    <w:rsid w:val="0034734F"/>
    <w:rsid w:val="003473DE"/>
    <w:rsid w:val="0034769A"/>
    <w:rsid w:val="00347752"/>
    <w:rsid w:val="00347C10"/>
    <w:rsid w:val="00347CD6"/>
    <w:rsid w:val="00347D27"/>
    <w:rsid w:val="00347E75"/>
    <w:rsid w:val="00347EEC"/>
    <w:rsid w:val="00347F83"/>
    <w:rsid w:val="00347FB9"/>
    <w:rsid w:val="00350211"/>
    <w:rsid w:val="003502BD"/>
    <w:rsid w:val="00350413"/>
    <w:rsid w:val="0035050E"/>
    <w:rsid w:val="003506A3"/>
    <w:rsid w:val="003507CA"/>
    <w:rsid w:val="003507ED"/>
    <w:rsid w:val="0035095D"/>
    <w:rsid w:val="0035095E"/>
    <w:rsid w:val="003509A8"/>
    <w:rsid w:val="00350A61"/>
    <w:rsid w:val="00350B02"/>
    <w:rsid w:val="00350B12"/>
    <w:rsid w:val="00350B70"/>
    <w:rsid w:val="00350C5C"/>
    <w:rsid w:val="00350CAF"/>
    <w:rsid w:val="00350D81"/>
    <w:rsid w:val="00350DA5"/>
    <w:rsid w:val="00350FA4"/>
    <w:rsid w:val="00351004"/>
    <w:rsid w:val="00351029"/>
    <w:rsid w:val="00351201"/>
    <w:rsid w:val="0035121A"/>
    <w:rsid w:val="00351314"/>
    <w:rsid w:val="00351442"/>
    <w:rsid w:val="00351498"/>
    <w:rsid w:val="003514DA"/>
    <w:rsid w:val="003514E0"/>
    <w:rsid w:val="00351525"/>
    <w:rsid w:val="0035156E"/>
    <w:rsid w:val="0035157B"/>
    <w:rsid w:val="003515A0"/>
    <w:rsid w:val="003516DC"/>
    <w:rsid w:val="0035178D"/>
    <w:rsid w:val="00351791"/>
    <w:rsid w:val="0035186F"/>
    <w:rsid w:val="003518F1"/>
    <w:rsid w:val="0035199F"/>
    <w:rsid w:val="00351A7A"/>
    <w:rsid w:val="00351B51"/>
    <w:rsid w:val="00351BF3"/>
    <w:rsid w:val="00351BFF"/>
    <w:rsid w:val="00351CC4"/>
    <w:rsid w:val="00351D06"/>
    <w:rsid w:val="00351D5B"/>
    <w:rsid w:val="00351D99"/>
    <w:rsid w:val="00351DEE"/>
    <w:rsid w:val="00351E83"/>
    <w:rsid w:val="00351EE3"/>
    <w:rsid w:val="00351F85"/>
    <w:rsid w:val="0035202B"/>
    <w:rsid w:val="0035202E"/>
    <w:rsid w:val="003520F7"/>
    <w:rsid w:val="00352114"/>
    <w:rsid w:val="00352184"/>
    <w:rsid w:val="00352186"/>
    <w:rsid w:val="00352236"/>
    <w:rsid w:val="00352242"/>
    <w:rsid w:val="00352249"/>
    <w:rsid w:val="00352349"/>
    <w:rsid w:val="0035241E"/>
    <w:rsid w:val="00352496"/>
    <w:rsid w:val="003526E4"/>
    <w:rsid w:val="003527ED"/>
    <w:rsid w:val="00352815"/>
    <w:rsid w:val="00352826"/>
    <w:rsid w:val="00352951"/>
    <w:rsid w:val="00352965"/>
    <w:rsid w:val="00352A25"/>
    <w:rsid w:val="00352ACB"/>
    <w:rsid w:val="00352B2C"/>
    <w:rsid w:val="00352B7A"/>
    <w:rsid w:val="00352BB7"/>
    <w:rsid w:val="00352CDA"/>
    <w:rsid w:val="00352DCF"/>
    <w:rsid w:val="00352DEE"/>
    <w:rsid w:val="00352DF8"/>
    <w:rsid w:val="00352E15"/>
    <w:rsid w:val="0035303F"/>
    <w:rsid w:val="003530A8"/>
    <w:rsid w:val="00353161"/>
    <w:rsid w:val="0035326B"/>
    <w:rsid w:val="00353276"/>
    <w:rsid w:val="00353369"/>
    <w:rsid w:val="003533FC"/>
    <w:rsid w:val="0035340A"/>
    <w:rsid w:val="003534F7"/>
    <w:rsid w:val="003536F7"/>
    <w:rsid w:val="00353707"/>
    <w:rsid w:val="0035382D"/>
    <w:rsid w:val="003538D1"/>
    <w:rsid w:val="003538D9"/>
    <w:rsid w:val="003538F7"/>
    <w:rsid w:val="00353AC1"/>
    <w:rsid w:val="00353D86"/>
    <w:rsid w:val="00353DA9"/>
    <w:rsid w:val="00353DEE"/>
    <w:rsid w:val="00353E98"/>
    <w:rsid w:val="00353E99"/>
    <w:rsid w:val="00353ECD"/>
    <w:rsid w:val="00353EEB"/>
    <w:rsid w:val="00353EEC"/>
    <w:rsid w:val="00353F31"/>
    <w:rsid w:val="00354027"/>
    <w:rsid w:val="00354047"/>
    <w:rsid w:val="00354197"/>
    <w:rsid w:val="0035427D"/>
    <w:rsid w:val="00354324"/>
    <w:rsid w:val="003543E4"/>
    <w:rsid w:val="00354617"/>
    <w:rsid w:val="00354768"/>
    <w:rsid w:val="0035488F"/>
    <w:rsid w:val="003548E2"/>
    <w:rsid w:val="00354A79"/>
    <w:rsid w:val="00354AC3"/>
    <w:rsid w:val="00354B47"/>
    <w:rsid w:val="00354B65"/>
    <w:rsid w:val="00354BA2"/>
    <w:rsid w:val="00354BCE"/>
    <w:rsid w:val="00354BFF"/>
    <w:rsid w:val="00354DB1"/>
    <w:rsid w:val="00354DFA"/>
    <w:rsid w:val="0035500E"/>
    <w:rsid w:val="0035508D"/>
    <w:rsid w:val="0035527F"/>
    <w:rsid w:val="003552E5"/>
    <w:rsid w:val="00355479"/>
    <w:rsid w:val="003555D9"/>
    <w:rsid w:val="003556CF"/>
    <w:rsid w:val="00355706"/>
    <w:rsid w:val="00355716"/>
    <w:rsid w:val="0035574F"/>
    <w:rsid w:val="003557AC"/>
    <w:rsid w:val="00355813"/>
    <w:rsid w:val="00355A0E"/>
    <w:rsid w:val="00355A0F"/>
    <w:rsid w:val="00355ACF"/>
    <w:rsid w:val="00355B31"/>
    <w:rsid w:val="00355B36"/>
    <w:rsid w:val="00355B56"/>
    <w:rsid w:val="00355BC9"/>
    <w:rsid w:val="00355C0A"/>
    <w:rsid w:val="00355CC9"/>
    <w:rsid w:val="00355CE5"/>
    <w:rsid w:val="00355D33"/>
    <w:rsid w:val="00355E92"/>
    <w:rsid w:val="00355E93"/>
    <w:rsid w:val="00355FFE"/>
    <w:rsid w:val="0035613E"/>
    <w:rsid w:val="003561FF"/>
    <w:rsid w:val="0035625F"/>
    <w:rsid w:val="0035631E"/>
    <w:rsid w:val="003563C4"/>
    <w:rsid w:val="003564D0"/>
    <w:rsid w:val="00356536"/>
    <w:rsid w:val="0035675A"/>
    <w:rsid w:val="00356835"/>
    <w:rsid w:val="00356A0E"/>
    <w:rsid w:val="00356A58"/>
    <w:rsid w:val="00356CA1"/>
    <w:rsid w:val="00356CF6"/>
    <w:rsid w:val="00356D88"/>
    <w:rsid w:val="00356E48"/>
    <w:rsid w:val="00356EB0"/>
    <w:rsid w:val="0035702D"/>
    <w:rsid w:val="00357141"/>
    <w:rsid w:val="00357157"/>
    <w:rsid w:val="00357183"/>
    <w:rsid w:val="0035720A"/>
    <w:rsid w:val="0035721B"/>
    <w:rsid w:val="00357290"/>
    <w:rsid w:val="0035738B"/>
    <w:rsid w:val="00357467"/>
    <w:rsid w:val="00357502"/>
    <w:rsid w:val="00357560"/>
    <w:rsid w:val="003575D4"/>
    <w:rsid w:val="00357664"/>
    <w:rsid w:val="00357721"/>
    <w:rsid w:val="003577D9"/>
    <w:rsid w:val="00357821"/>
    <w:rsid w:val="00357830"/>
    <w:rsid w:val="00357C1F"/>
    <w:rsid w:val="00357D4C"/>
    <w:rsid w:val="00357DB3"/>
    <w:rsid w:val="00357E53"/>
    <w:rsid w:val="00357E86"/>
    <w:rsid w:val="00357F3F"/>
    <w:rsid w:val="00357FE5"/>
    <w:rsid w:val="003600A4"/>
    <w:rsid w:val="00360150"/>
    <w:rsid w:val="00360173"/>
    <w:rsid w:val="00360335"/>
    <w:rsid w:val="00360373"/>
    <w:rsid w:val="00360535"/>
    <w:rsid w:val="0036058D"/>
    <w:rsid w:val="00360797"/>
    <w:rsid w:val="00360860"/>
    <w:rsid w:val="00360866"/>
    <w:rsid w:val="00360A54"/>
    <w:rsid w:val="00360BF4"/>
    <w:rsid w:val="00360CAB"/>
    <w:rsid w:val="00360CD3"/>
    <w:rsid w:val="00360CDE"/>
    <w:rsid w:val="00360D1D"/>
    <w:rsid w:val="00360D20"/>
    <w:rsid w:val="00360E04"/>
    <w:rsid w:val="00360EA7"/>
    <w:rsid w:val="003610AE"/>
    <w:rsid w:val="0036127E"/>
    <w:rsid w:val="0036144F"/>
    <w:rsid w:val="00361541"/>
    <w:rsid w:val="003615C3"/>
    <w:rsid w:val="0036168B"/>
    <w:rsid w:val="003616B5"/>
    <w:rsid w:val="0036181F"/>
    <w:rsid w:val="0036185C"/>
    <w:rsid w:val="0036187E"/>
    <w:rsid w:val="00361884"/>
    <w:rsid w:val="0036189B"/>
    <w:rsid w:val="0036192B"/>
    <w:rsid w:val="00361947"/>
    <w:rsid w:val="003619C7"/>
    <w:rsid w:val="00361A32"/>
    <w:rsid w:val="00361B20"/>
    <w:rsid w:val="00361C51"/>
    <w:rsid w:val="00361C70"/>
    <w:rsid w:val="00361D52"/>
    <w:rsid w:val="00361D56"/>
    <w:rsid w:val="00361EE8"/>
    <w:rsid w:val="00361F15"/>
    <w:rsid w:val="00361F22"/>
    <w:rsid w:val="00361F73"/>
    <w:rsid w:val="00362096"/>
    <w:rsid w:val="003621F7"/>
    <w:rsid w:val="00362512"/>
    <w:rsid w:val="0036253C"/>
    <w:rsid w:val="003625BB"/>
    <w:rsid w:val="00362618"/>
    <w:rsid w:val="0036262C"/>
    <w:rsid w:val="00362706"/>
    <w:rsid w:val="003628AD"/>
    <w:rsid w:val="0036295E"/>
    <w:rsid w:val="00362A3A"/>
    <w:rsid w:val="00362A72"/>
    <w:rsid w:val="00362A8D"/>
    <w:rsid w:val="00362A9B"/>
    <w:rsid w:val="00362ACE"/>
    <w:rsid w:val="00362BC9"/>
    <w:rsid w:val="00362BFD"/>
    <w:rsid w:val="00362E70"/>
    <w:rsid w:val="00363017"/>
    <w:rsid w:val="0036301A"/>
    <w:rsid w:val="0036301D"/>
    <w:rsid w:val="0036310A"/>
    <w:rsid w:val="00363198"/>
    <w:rsid w:val="003631BE"/>
    <w:rsid w:val="003631C5"/>
    <w:rsid w:val="003631EF"/>
    <w:rsid w:val="0036325B"/>
    <w:rsid w:val="0036327E"/>
    <w:rsid w:val="0036329B"/>
    <w:rsid w:val="003632EF"/>
    <w:rsid w:val="00363541"/>
    <w:rsid w:val="003635C3"/>
    <w:rsid w:val="0036361C"/>
    <w:rsid w:val="00363645"/>
    <w:rsid w:val="0036364E"/>
    <w:rsid w:val="003636AF"/>
    <w:rsid w:val="00363910"/>
    <w:rsid w:val="0036392B"/>
    <w:rsid w:val="0036396E"/>
    <w:rsid w:val="00363A14"/>
    <w:rsid w:val="00363AE2"/>
    <w:rsid w:val="00363AF0"/>
    <w:rsid w:val="00363BC9"/>
    <w:rsid w:val="00363C89"/>
    <w:rsid w:val="00363D08"/>
    <w:rsid w:val="00363E1C"/>
    <w:rsid w:val="00363ECC"/>
    <w:rsid w:val="00363F2D"/>
    <w:rsid w:val="003640F3"/>
    <w:rsid w:val="003643E4"/>
    <w:rsid w:val="0036457C"/>
    <w:rsid w:val="0036460E"/>
    <w:rsid w:val="0036467E"/>
    <w:rsid w:val="00364739"/>
    <w:rsid w:val="0036477D"/>
    <w:rsid w:val="003648B3"/>
    <w:rsid w:val="00364910"/>
    <w:rsid w:val="0036497D"/>
    <w:rsid w:val="0036499E"/>
    <w:rsid w:val="003649BA"/>
    <w:rsid w:val="003649CF"/>
    <w:rsid w:val="00364A46"/>
    <w:rsid w:val="00364CDB"/>
    <w:rsid w:val="00364CEB"/>
    <w:rsid w:val="00364E9F"/>
    <w:rsid w:val="00364F4B"/>
    <w:rsid w:val="00364F4F"/>
    <w:rsid w:val="00364FED"/>
    <w:rsid w:val="00365042"/>
    <w:rsid w:val="003650B4"/>
    <w:rsid w:val="00365193"/>
    <w:rsid w:val="00365230"/>
    <w:rsid w:val="00365258"/>
    <w:rsid w:val="00365394"/>
    <w:rsid w:val="003653F7"/>
    <w:rsid w:val="0036547C"/>
    <w:rsid w:val="003654A6"/>
    <w:rsid w:val="003654BD"/>
    <w:rsid w:val="003654FC"/>
    <w:rsid w:val="003655CA"/>
    <w:rsid w:val="003655F9"/>
    <w:rsid w:val="00365617"/>
    <w:rsid w:val="00365802"/>
    <w:rsid w:val="0036580B"/>
    <w:rsid w:val="0036585D"/>
    <w:rsid w:val="003658F8"/>
    <w:rsid w:val="00365911"/>
    <w:rsid w:val="00365B33"/>
    <w:rsid w:val="00365BEA"/>
    <w:rsid w:val="00365CB8"/>
    <w:rsid w:val="00365DA0"/>
    <w:rsid w:val="00365EAE"/>
    <w:rsid w:val="00365F6B"/>
    <w:rsid w:val="00366179"/>
    <w:rsid w:val="00366265"/>
    <w:rsid w:val="0036630B"/>
    <w:rsid w:val="003666CD"/>
    <w:rsid w:val="00366746"/>
    <w:rsid w:val="00366773"/>
    <w:rsid w:val="003667EF"/>
    <w:rsid w:val="00366842"/>
    <w:rsid w:val="0036688B"/>
    <w:rsid w:val="003669A0"/>
    <w:rsid w:val="00366B39"/>
    <w:rsid w:val="00366B7E"/>
    <w:rsid w:val="00366BBF"/>
    <w:rsid w:val="00366C96"/>
    <w:rsid w:val="00366CBA"/>
    <w:rsid w:val="00366D42"/>
    <w:rsid w:val="00366DCC"/>
    <w:rsid w:val="00366E78"/>
    <w:rsid w:val="00366E94"/>
    <w:rsid w:val="00366EA1"/>
    <w:rsid w:val="00366EBA"/>
    <w:rsid w:val="00366EF1"/>
    <w:rsid w:val="00367108"/>
    <w:rsid w:val="00367175"/>
    <w:rsid w:val="00367199"/>
    <w:rsid w:val="0036719F"/>
    <w:rsid w:val="003672F7"/>
    <w:rsid w:val="00367671"/>
    <w:rsid w:val="003676EB"/>
    <w:rsid w:val="00367704"/>
    <w:rsid w:val="003677AC"/>
    <w:rsid w:val="003677BD"/>
    <w:rsid w:val="003678A5"/>
    <w:rsid w:val="003678EE"/>
    <w:rsid w:val="00367925"/>
    <w:rsid w:val="0036795D"/>
    <w:rsid w:val="003679BA"/>
    <w:rsid w:val="00367A98"/>
    <w:rsid w:val="00367B31"/>
    <w:rsid w:val="00367C5A"/>
    <w:rsid w:val="00367C87"/>
    <w:rsid w:val="00367C9D"/>
    <w:rsid w:val="00367CD7"/>
    <w:rsid w:val="00367D2B"/>
    <w:rsid w:val="00367DC0"/>
    <w:rsid w:val="00367DF0"/>
    <w:rsid w:val="00367E6E"/>
    <w:rsid w:val="00367F8D"/>
    <w:rsid w:val="003700B2"/>
    <w:rsid w:val="003700D5"/>
    <w:rsid w:val="00370150"/>
    <w:rsid w:val="0037015A"/>
    <w:rsid w:val="00370229"/>
    <w:rsid w:val="003703D4"/>
    <w:rsid w:val="0037042B"/>
    <w:rsid w:val="00370490"/>
    <w:rsid w:val="00370548"/>
    <w:rsid w:val="003708C1"/>
    <w:rsid w:val="003709A4"/>
    <w:rsid w:val="00370A14"/>
    <w:rsid w:val="00370A96"/>
    <w:rsid w:val="00370ABF"/>
    <w:rsid w:val="00370B09"/>
    <w:rsid w:val="00370D4F"/>
    <w:rsid w:val="00370DBE"/>
    <w:rsid w:val="00370DD5"/>
    <w:rsid w:val="00370ECD"/>
    <w:rsid w:val="00370EF8"/>
    <w:rsid w:val="00370FAE"/>
    <w:rsid w:val="00370FFB"/>
    <w:rsid w:val="0037101E"/>
    <w:rsid w:val="003711DC"/>
    <w:rsid w:val="00371286"/>
    <w:rsid w:val="003712AC"/>
    <w:rsid w:val="00371356"/>
    <w:rsid w:val="00371378"/>
    <w:rsid w:val="003714D3"/>
    <w:rsid w:val="00371550"/>
    <w:rsid w:val="003715A0"/>
    <w:rsid w:val="003715D1"/>
    <w:rsid w:val="003715DA"/>
    <w:rsid w:val="00371639"/>
    <w:rsid w:val="00371659"/>
    <w:rsid w:val="0037174C"/>
    <w:rsid w:val="00371853"/>
    <w:rsid w:val="003718F8"/>
    <w:rsid w:val="0037190D"/>
    <w:rsid w:val="0037193B"/>
    <w:rsid w:val="00371B1E"/>
    <w:rsid w:val="00371C40"/>
    <w:rsid w:val="00371CDC"/>
    <w:rsid w:val="00371E4F"/>
    <w:rsid w:val="00371E58"/>
    <w:rsid w:val="00371FEC"/>
    <w:rsid w:val="00372078"/>
    <w:rsid w:val="003720D7"/>
    <w:rsid w:val="00372343"/>
    <w:rsid w:val="00372355"/>
    <w:rsid w:val="003723B4"/>
    <w:rsid w:val="003723FE"/>
    <w:rsid w:val="0037245B"/>
    <w:rsid w:val="00372591"/>
    <w:rsid w:val="003726D1"/>
    <w:rsid w:val="003727C6"/>
    <w:rsid w:val="003727F1"/>
    <w:rsid w:val="00372812"/>
    <w:rsid w:val="00372881"/>
    <w:rsid w:val="003728A6"/>
    <w:rsid w:val="003728E9"/>
    <w:rsid w:val="0037292E"/>
    <w:rsid w:val="003729A9"/>
    <w:rsid w:val="00372AE6"/>
    <w:rsid w:val="00372AEA"/>
    <w:rsid w:val="00372AFF"/>
    <w:rsid w:val="00372BA5"/>
    <w:rsid w:val="00372C93"/>
    <w:rsid w:val="00372D60"/>
    <w:rsid w:val="00372E4B"/>
    <w:rsid w:val="00372E8C"/>
    <w:rsid w:val="00372FF6"/>
    <w:rsid w:val="00373157"/>
    <w:rsid w:val="0037315E"/>
    <w:rsid w:val="00373188"/>
    <w:rsid w:val="003731AD"/>
    <w:rsid w:val="003732C9"/>
    <w:rsid w:val="003732CA"/>
    <w:rsid w:val="0037331F"/>
    <w:rsid w:val="0037332F"/>
    <w:rsid w:val="00373351"/>
    <w:rsid w:val="00373381"/>
    <w:rsid w:val="0037338C"/>
    <w:rsid w:val="003733F5"/>
    <w:rsid w:val="0037355E"/>
    <w:rsid w:val="0037360A"/>
    <w:rsid w:val="00373717"/>
    <w:rsid w:val="00373718"/>
    <w:rsid w:val="00373791"/>
    <w:rsid w:val="0037380C"/>
    <w:rsid w:val="00373850"/>
    <w:rsid w:val="0037395F"/>
    <w:rsid w:val="003739A9"/>
    <w:rsid w:val="00373A2B"/>
    <w:rsid w:val="00373A5F"/>
    <w:rsid w:val="00373D40"/>
    <w:rsid w:val="00373E3D"/>
    <w:rsid w:val="00373E41"/>
    <w:rsid w:val="00373E4A"/>
    <w:rsid w:val="00373E64"/>
    <w:rsid w:val="00373ED7"/>
    <w:rsid w:val="00373F09"/>
    <w:rsid w:val="00373FF3"/>
    <w:rsid w:val="00374011"/>
    <w:rsid w:val="003740EA"/>
    <w:rsid w:val="00374180"/>
    <w:rsid w:val="00374242"/>
    <w:rsid w:val="003742AF"/>
    <w:rsid w:val="003742EE"/>
    <w:rsid w:val="0037439B"/>
    <w:rsid w:val="003743D3"/>
    <w:rsid w:val="003743DC"/>
    <w:rsid w:val="0037442A"/>
    <w:rsid w:val="0037447E"/>
    <w:rsid w:val="003744EC"/>
    <w:rsid w:val="003746CB"/>
    <w:rsid w:val="003747FC"/>
    <w:rsid w:val="003749D6"/>
    <w:rsid w:val="00374A1C"/>
    <w:rsid w:val="00374A4F"/>
    <w:rsid w:val="00374A87"/>
    <w:rsid w:val="00374A88"/>
    <w:rsid w:val="00374BAC"/>
    <w:rsid w:val="00374C36"/>
    <w:rsid w:val="00374C42"/>
    <w:rsid w:val="00374D55"/>
    <w:rsid w:val="00374D5D"/>
    <w:rsid w:val="00374E01"/>
    <w:rsid w:val="00374E97"/>
    <w:rsid w:val="00374EA3"/>
    <w:rsid w:val="00375014"/>
    <w:rsid w:val="003750B7"/>
    <w:rsid w:val="003750D7"/>
    <w:rsid w:val="003751BD"/>
    <w:rsid w:val="003751FB"/>
    <w:rsid w:val="003752A9"/>
    <w:rsid w:val="003753DF"/>
    <w:rsid w:val="0037547C"/>
    <w:rsid w:val="0037572D"/>
    <w:rsid w:val="0037576B"/>
    <w:rsid w:val="00375854"/>
    <w:rsid w:val="0037588A"/>
    <w:rsid w:val="003759A6"/>
    <w:rsid w:val="003759D1"/>
    <w:rsid w:val="00375A1C"/>
    <w:rsid w:val="00375A69"/>
    <w:rsid w:val="00375A84"/>
    <w:rsid w:val="00375E75"/>
    <w:rsid w:val="00375E99"/>
    <w:rsid w:val="00375ECA"/>
    <w:rsid w:val="00375F6E"/>
    <w:rsid w:val="00375FF9"/>
    <w:rsid w:val="00376300"/>
    <w:rsid w:val="003763ED"/>
    <w:rsid w:val="0037646A"/>
    <w:rsid w:val="003764DC"/>
    <w:rsid w:val="003765B4"/>
    <w:rsid w:val="003765ED"/>
    <w:rsid w:val="0037677A"/>
    <w:rsid w:val="00376781"/>
    <w:rsid w:val="003767BC"/>
    <w:rsid w:val="0037689F"/>
    <w:rsid w:val="003769DF"/>
    <w:rsid w:val="00376A85"/>
    <w:rsid w:val="00376B30"/>
    <w:rsid w:val="00376B8A"/>
    <w:rsid w:val="00376BAE"/>
    <w:rsid w:val="00376C12"/>
    <w:rsid w:val="00376CFA"/>
    <w:rsid w:val="00376FB0"/>
    <w:rsid w:val="0037703A"/>
    <w:rsid w:val="00377141"/>
    <w:rsid w:val="003772ED"/>
    <w:rsid w:val="00377351"/>
    <w:rsid w:val="003773BE"/>
    <w:rsid w:val="003773BF"/>
    <w:rsid w:val="0037755F"/>
    <w:rsid w:val="0037761D"/>
    <w:rsid w:val="003776A3"/>
    <w:rsid w:val="00377703"/>
    <w:rsid w:val="00377898"/>
    <w:rsid w:val="003778A2"/>
    <w:rsid w:val="003779A4"/>
    <w:rsid w:val="00377AC6"/>
    <w:rsid w:val="00377BFA"/>
    <w:rsid w:val="00377C14"/>
    <w:rsid w:val="00377DE6"/>
    <w:rsid w:val="00377F8D"/>
    <w:rsid w:val="00380057"/>
    <w:rsid w:val="003800B6"/>
    <w:rsid w:val="0038014E"/>
    <w:rsid w:val="00380183"/>
    <w:rsid w:val="003801FC"/>
    <w:rsid w:val="003802C1"/>
    <w:rsid w:val="003803D1"/>
    <w:rsid w:val="00380424"/>
    <w:rsid w:val="0038045F"/>
    <w:rsid w:val="003805A0"/>
    <w:rsid w:val="00380641"/>
    <w:rsid w:val="00380856"/>
    <w:rsid w:val="00380866"/>
    <w:rsid w:val="00380913"/>
    <w:rsid w:val="0038091D"/>
    <w:rsid w:val="0038094D"/>
    <w:rsid w:val="00380991"/>
    <w:rsid w:val="003809AA"/>
    <w:rsid w:val="003809C3"/>
    <w:rsid w:val="00380A0E"/>
    <w:rsid w:val="00380A80"/>
    <w:rsid w:val="00380B8C"/>
    <w:rsid w:val="00380CE7"/>
    <w:rsid w:val="00380E4A"/>
    <w:rsid w:val="00380E5C"/>
    <w:rsid w:val="00380E69"/>
    <w:rsid w:val="00380F80"/>
    <w:rsid w:val="00381000"/>
    <w:rsid w:val="00381104"/>
    <w:rsid w:val="00381115"/>
    <w:rsid w:val="0038116E"/>
    <w:rsid w:val="00381178"/>
    <w:rsid w:val="003811BC"/>
    <w:rsid w:val="0038123C"/>
    <w:rsid w:val="003812DD"/>
    <w:rsid w:val="003812DF"/>
    <w:rsid w:val="00381498"/>
    <w:rsid w:val="003814A1"/>
    <w:rsid w:val="003814F4"/>
    <w:rsid w:val="00381519"/>
    <w:rsid w:val="003815A4"/>
    <w:rsid w:val="00381683"/>
    <w:rsid w:val="00381692"/>
    <w:rsid w:val="003817CA"/>
    <w:rsid w:val="00381801"/>
    <w:rsid w:val="0038184C"/>
    <w:rsid w:val="0038198F"/>
    <w:rsid w:val="003819F0"/>
    <w:rsid w:val="003819F7"/>
    <w:rsid w:val="00381A1C"/>
    <w:rsid w:val="00381A3B"/>
    <w:rsid w:val="00381A6B"/>
    <w:rsid w:val="00381AC0"/>
    <w:rsid w:val="00381AE2"/>
    <w:rsid w:val="00381C14"/>
    <w:rsid w:val="00381C1A"/>
    <w:rsid w:val="00381D41"/>
    <w:rsid w:val="00381E4F"/>
    <w:rsid w:val="00381E5F"/>
    <w:rsid w:val="00381F14"/>
    <w:rsid w:val="00381F83"/>
    <w:rsid w:val="00382389"/>
    <w:rsid w:val="00382423"/>
    <w:rsid w:val="003824CA"/>
    <w:rsid w:val="0038264A"/>
    <w:rsid w:val="003826C0"/>
    <w:rsid w:val="003826F8"/>
    <w:rsid w:val="003827FA"/>
    <w:rsid w:val="0038284A"/>
    <w:rsid w:val="003828B5"/>
    <w:rsid w:val="0038292A"/>
    <w:rsid w:val="003829F7"/>
    <w:rsid w:val="00382A1A"/>
    <w:rsid w:val="00382ABE"/>
    <w:rsid w:val="00382BCB"/>
    <w:rsid w:val="00382C7D"/>
    <w:rsid w:val="00382C7F"/>
    <w:rsid w:val="00382CB0"/>
    <w:rsid w:val="00382CB8"/>
    <w:rsid w:val="00382E46"/>
    <w:rsid w:val="00382EF1"/>
    <w:rsid w:val="0038301A"/>
    <w:rsid w:val="003830B4"/>
    <w:rsid w:val="00383163"/>
    <w:rsid w:val="00383306"/>
    <w:rsid w:val="0038337D"/>
    <w:rsid w:val="003833B2"/>
    <w:rsid w:val="00383466"/>
    <w:rsid w:val="003834BC"/>
    <w:rsid w:val="00383538"/>
    <w:rsid w:val="003835F7"/>
    <w:rsid w:val="0038361B"/>
    <w:rsid w:val="00383637"/>
    <w:rsid w:val="00383681"/>
    <w:rsid w:val="003836DB"/>
    <w:rsid w:val="00383701"/>
    <w:rsid w:val="0038371B"/>
    <w:rsid w:val="0038386E"/>
    <w:rsid w:val="00383990"/>
    <w:rsid w:val="0038399C"/>
    <w:rsid w:val="00383C47"/>
    <w:rsid w:val="00383C50"/>
    <w:rsid w:val="00383C7C"/>
    <w:rsid w:val="00383D79"/>
    <w:rsid w:val="00383E83"/>
    <w:rsid w:val="00383F08"/>
    <w:rsid w:val="00383F16"/>
    <w:rsid w:val="00383FF7"/>
    <w:rsid w:val="00384022"/>
    <w:rsid w:val="00384187"/>
    <w:rsid w:val="00384382"/>
    <w:rsid w:val="00384409"/>
    <w:rsid w:val="0038441D"/>
    <w:rsid w:val="003844AB"/>
    <w:rsid w:val="003845FD"/>
    <w:rsid w:val="0038470A"/>
    <w:rsid w:val="0038476E"/>
    <w:rsid w:val="003847A5"/>
    <w:rsid w:val="003847C5"/>
    <w:rsid w:val="00384941"/>
    <w:rsid w:val="00384A8F"/>
    <w:rsid w:val="00384AAD"/>
    <w:rsid w:val="00384BE3"/>
    <w:rsid w:val="00384CB8"/>
    <w:rsid w:val="00384D4C"/>
    <w:rsid w:val="00384E26"/>
    <w:rsid w:val="00384E9A"/>
    <w:rsid w:val="00384F0D"/>
    <w:rsid w:val="00384F62"/>
    <w:rsid w:val="00384FBA"/>
    <w:rsid w:val="00384FF4"/>
    <w:rsid w:val="003850CA"/>
    <w:rsid w:val="0038524A"/>
    <w:rsid w:val="0038538F"/>
    <w:rsid w:val="003853A6"/>
    <w:rsid w:val="0038543A"/>
    <w:rsid w:val="003854C7"/>
    <w:rsid w:val="0038556E"/>
    <w:rsid w:val="003855A9"/>
    <w:rsid w:val="00385617"/>
    <w:rsid w:val="00385653"/>
    <w:rsid w:val="003856A6"/>
    <w:rsid w:val="0038571D"/>
    <w:rsid w:val="0038572D"/>
    <w:rsid w:val="00385803"/>
    <w:rsid w:val="003858AE"/>
    <w:rsid w:val="003858DB"/>
    <w:rsid w:val="00385956"/>
    <w:rsid w:val="00385ACC"/>
    <w:rsid w:val="00385BEF"/>
    <w:rsid w:val="00385C54"/>
    <w:rsid w:val="00385C90"/>
    <w:rsid w:val="00385D62"/>
    <w:rsid w:val="00385DA2"/>
    <w:rsid w:val="00385DDE"/>
    <w:rsid w:val="00385EF6"/>
    <w:rsid w:val="00385F30"/>
    <w:rsid w:val="00385F67"/>
    <w:rsid w:val="00385F78"/>
    <w:rsid w:val="00385FC2"/>
    <w:rsid w:val="0038609D"/>
    <w:rsid w:val="0038636C"/>
    <w:rsid w:val="003863BB"/>
    <w:rsid w:val="00386490"/>
    <w:rsid w:val="003865C8"/>
    <w:rsid w:val="00386644"/>
    <w:rsid w:val="003866AD"/>
    <w:rsid w:val="0038679C"/>
    <w:rsid w:val="003867DE"/>
    <w:rsid w:val="0038681A"/>
    <w:rsid w:val="00386857"/>
    <w:rsid w:val="00386A28"/>
    <w:rsid w:val="00386B1B"/>
    <w:rsid w:val="00386EA6"/>
    <w:rsid w:val="00386F16"/>
    <w:rsid w:val="00386F63"/>
    <w:rsid w:val="00386F6B"/>
    <w:rsid w:val="00387045"/>
    <w:rsid w:val="0038705B"/>
    <w:rsid w:val="00387135"/>
    <w:rsid w:val="00387149"/>
    <w:rsid w:val="00387300"/>
    <w:rsid w:val="003874CD"/>
    <w:rsid w:val="00387503"/>
    <w:rsid w:val="00387518"/>
    <w:rsid w:val="00387538"/>
    <w:rsid w:val="003875D5"/>
    <w:rsid w:val="0038767D"/>
    <w:rsid w:val="003876D2"/>
    <w:rsid w:val="00387815"/>
    <w:rsid w:val="003878AF"/>
    <w:rsid w:val="003879BB"/>
    <w:rsid w:val="00387C52"/>
    <w:rsid w:val="00387C83"/>
    <w:rsid w:val="00387CC9"/>
    <w:rsid w:val="00387D07"/>
    <w:rsid w:val="00387D0B"/>
    <w:rsid w:val="00387D26"/>
    <w:rsid w:val="00387D29"/>
    <w:rsid w:val="00387D44"/>
    <w:rsid w:val="00387E6B"/>
    <w:rsid w:val="00387EA4"/>
    <w:rsid w:val="00387EF3"/>
    <w:rsid w:val="0039002F"/>
    <w:rsid w:val="00390055"/>
    <w:rsid w:val="003900EF"/>
    <w:rsid w:val="0039024A"/>
    <w:rsid w:val="003902F8"/>
    <w:rsid w:val="00390406"/>
    <w:rsid w:val="00390428"/>
    <w:rsid w:val="0039058E"/>
    <w:rsid w:val="003905A1"/>
    <w:rsid w:val="0039063F"/>
    <w:rsid w:val="00390642"/>
    <w:rsid w:val="003906FF"/>
    <w:rsid w:val="00390714"/>
    <w:rsid w:val="0039079D"/>
    <w:rsid w:val="00390835"/>
    <w:rsid w:val="003908EF"/>
    <w:rsid w:val="0039090B"/>
    <w:rsid w:val="00390973"/>
    <w:rsid w:val="00390B0D"/>
    <w:rsid w:val="00390BD6"/>
    <w:rsid w:val="00390C20"/>
    <w:rsid w:val="00390CCD"/>
    <w:rsid w:val="00390CE0"/>
    <w:rsid w:val="00390E4A"/>
    <w:rsid w:val="00390E83"/>
    <w:rsid w:val="00390EC2"/>
    <w:rsid w:val="00390EEA"/>
    <w:rsid w:val="00390F2F"/>
    <w:rsid w:val="0039102B"/>
    <w:rsid w:val="0039114F"/>
    <w:rsid w:val="003911A0"/>
    <w:rsid w:val="003911F9"/>
    <w:rsid w:val="0039120B"/>
    <w:rsid w:val="0039133B"/>
    <w:rsid w:val="003914A6"/>
    <w:rsid w:val="003914EC"/>
    <w:rsid w:val="00391676"/>
    <w:rsid w:val="00391724"/>
    <w:rsid w:val="003917D9"/>
    <w:rsid w:val="003919B7"/>
    <w:rsid w:val="003919F2"/>
    <w:rsid w:val="00391A32"/>
    <w:rsid w:val="00391B00"/>
    <w:rsid w:val="00391C68"/>
    <w:rsid w:val="00391D3A"/>
    <w:rsid w:val="00391DA9"/>
    <w:rsid w:val="00391E6F"/>
    <w:rsid w:val="00391E9A"/>
    <w:rsid w:val="00391F04"/>
    <w:rsid w:val="00391F1D"/>
    <w:rsid w:val="0039220A"/>
    <w:rsid w:val="00392210"/>
    <w:rsid w:val="0039224B"/>
    <w:rsid w:val="00392429"/>
    <w:rsid w:val="00392446"/>
    <w:rsid w:val="003924AF"/>
    <w:rsid w:val="0039256D"/>
    <w:rsid w:val="0039256E"/>
    <w:rsid w:val="00392573"/>
    <w:rsid w:val="003925AC"/>
    <w:rsid w:val="00392769"/>
    <w:rsid w:val="0039281F"/>
    <w:rsid w:val="003928DF"/>
    <w:rsid w:val="0039293A"/>
    <w:rsid w:val="00392A22"/>
    <w:rsid w:val="00392AA4"/>
    <w:rsid w:val="00392ADD"/>
    <w:rsid w:val="00392B17"/>
    <w:rsid w:val="00392BA0"/>
    <w:rsid w:val="00392BF2"/>
    <w:rsid w:val="00392BF6"/>
    <w:rsid w:val="00392CFB"/>
    <w:rsid w:val="00392DA2"/>
    <w:rsid w:val="00392E88"/>
    <w:rsid w:val="00392FCF"/>
    <w:rsid w:val="0039318C"/>
    <w:rsid w:val="003932F5"/>
    <w:rsid w:val="00393463"/>
    <w:rsid w:val="00393561"/>
    <w:rsid w:val="003935A4"/>
    <w:rsid w:val="003935CC"/>
    <w:rsid w:val="00393608"/>
    <w:rsid w:val="0039373D"/>
    <w:rsid w:val="003937C3"/>
    <w:rsid w:val="003938C9"/>
    <w:rsid w:val="003938CB"/>
    <w:rsid w:val="00393916"/>
    <w:rsid w:val="00393919"/>
    <w:rsid w:val="0039399A"/>
    <w:rsid w:val="00393AEE"/>
    <w:rsid w:val="00393BDE"/>
    <w:rsid w:val="00393C9E"/>
    <w:rsid w:val="00393CA1"/>
    <w:rsid w:val="00393CF0"/>
    <w:rsid w:val="00393DB8"/>
    <w:rsid w:val="00393F1E"/>
    <w:rsid w:val="00393FB0"/>
    <w:rsid w:val="00393FD5"/>
    <w:rsid w:val="00394171"/>
    <w:rsid w:val="00394227"/>
    <w:rsid w:val="0039424C"/>
    <w:rsid w:val="0039425C"/>
    <w:rsid w:val="00394297"/>
    <w:rsid w:val="003942CA"/>
    <w:rsid w:val="00394485"/>
    <w:rsid w:val="003944BC"/>
    <w:rsid w:val="00394517"/>
    <w:rsid w:val="00394757"/>
    <w:rsid w:val="003947D8"/>
    <w:rsid w:val="0039483A"/>
    <w:rsid w:val="00394857"/>
    <w:rsid w:val="0039498A"/>
    <w:rsid w:val="003949DD"/>
    <w:rsid w:val="00394B48"/>
    <w:rsid w:val="00394BB3"/>
    <w:rsid w:val="00394BD4"/>
    <w:rsid w:val="00394BF3"/>
    <w:rsid w:val="00394C49"/>
    <w:rsid w:val="00394D5E"/>
    <w:rsid w:val="00394D62"/>
    <w:rsid w:val="00394ED5"/>
    <w:rsid w:val="00394EE1"/>
    <w:rsid w:val="00394F39"/>
    <w:rsid w:val="00394FA4"/>
    <w:rsid w:val="00395040"/>
    <w:rsid w:val="0039504D"/>
    <w:rsid w:val="0039509C"/>
    <w:rsid w:val="003950FE"/>
    <w:rsid w:val="003952EA"/>
    <w:rsid w:val="003952FC"/>
    <w:rsid w:val="0039532A"/>
    <w:rsid w:val="003953D0"/>
    <w:rsid w:val="003953FC"/>
    <w:rsid w:val="00395406"/>
    <w:rsid w:val="00395472"/>
    <w:rsid w:val="00395530"/>
    <w:rsid w:val="0039556D"/>
    <w:rsid w:val="0039565C"/>
    <w:rsid w:val="003956AC"/>
    <w:rsid w:val="0039582E"/>
    <w:rsid w:val="0039593F"/>
    <w:rsid w:val="003959EA"/>
    <w:rsid w:val="00395A57"/>
    <w:rsid w:val="00395BC4"/>
    <w:rsid w:val="00395D69"/>
    <w:rsid w:val="00395EB5"/>
    <w:rsid w:val="00395EC1"/>
    <w:rsid w:val="00396147"/>
    <w:rsid w:val="0039616E"/>
    <w:rsid w:val="003961B8"/>
    <w:rsid w:val="00396201"/>
    <w:rsid w:val="0039625B"/>
    <w:rsid w:val="00396291"/>
    <w:rsid w:val="003962D2"/>
    <w:rsid w:val="0039637D"/>
    <w:rsid w:val="0039638C"/>
    <w:rsid w:val="003963AF"/>
    <w:rsid w:val="003963FF"/>
    <w:rsid w:val="003964C0"/>
    <w:rsid w:val="00396633"/>
    <w:rsid w:val="0039665F"/>
    <w:rsid w:val="00396665"/>
    <w:rsid w:val="0039666D"/>
    <w:rsid w:val="0039669E"/>
    <w:rsid w:val="00396788"/>
    <w:rsid w:val="0039683C"/>
    <w:rsid w:val="003968CE"/>
    <w:rsid w:val="00396925"/>
    <w:rsid w:val="003969B0"/>
    <w:rsid w:val="003969E5"/>
    <w:rsid w:val="00396A9A"/>
    <w:rsid w:val="00396AC2"/>
    <w:rsid w:val="00396D0D"/>
    <w:rsid w:val="00396D7D"/>
    <w:rsid w:val="00396DB1"/>
    <w:rsid w:val="00396FA6"/>
    <w:rsid w:val="00396FF2"/>
    <w:rsid w:val="00397023"/>
    <w:rsid w:val="003970AE"/>
    <w:rsid w:val="003970ED"/>
    <w:rsid w:val="00397360"/>
    <w:rsid w:val="0039745E"/>
    <w:rsid w:val="00397524"/>
    <w:rsid w:val="00397724"/>
    <w:rsid w:val="00397825"/>
    <w:rsid w:val="003978E2"/>
    <w:rsid w:val="00397919"/>
    <w:rsid w:val="0039793C"/>
    <w:rsid w:val="0039797E"/>
    <w:rsid w:val="003979F5"/>
    <w:rsid w:val="00397A34"/>
    <w:rsid w:val="00397AF1"/>
    <w:rsid w:val="00397B5F"/>
    <w:rsid w:val="00397BE9"/>
    <w:rsid w:val="00397CA0"/>
    <w:rsid w:val="00397D7B"/>
    <w:rsid w:val="00397DC2"/>
    <w:rsid w:val="00397E2C"/>
    <w:rsid w:val="00397F1D"/>
    <w:rsid w:val="00397FE8"/>
    <w:rsid w:val="003A0004"/>
    <w:rsid w:val="003A0130"/>
    <w:rsid w:val="003A0159"/>
    <w:rsid w:val="003A01A0"/>
    <w:rsid w:val="003A0207"/>
    <w:rsid w:val="003A03B0"/>
    <w:rsid w:val="003A0429"/>
    <w:rsid w:val="003A0441"/>
    <w:rsid w:val="003A04CF"/>
    <w:rsid w:val="003A0591"/>
    <w:rsid w:val="003A059D"/>
    <w:rsid w:val="003A06EC"/>
    <w:rsid w:val="003A07CA"/>
    <w:rsid w:val="003A0844"/>
    <w:rsid w:val="003A08C7"/>
    <w:rsid w:val="003A08DB"/>
    <w:rsid w:val="003A092F"/>
    <w:rsid w:val="003A0984"/>
    <w:rsid w:val="003A0A0C"/>
    <w:rsid w:val="003A0A74"/>
    <w:rsid w:val="003A0AC8"/>
    <w:rsid w:val="003A0B0A"/>
    <w:rsid w:val="003A0B36"/>
    <w:rsid w:val="003A0BFB"/>
    <w:rsid w:val="003A0C3F"/>
    <w:rsid w:val="003A0D8A"/>
    <w:rsid w:val="003A0F94"/>
    <w:rsid w:val="003A10C9"/>
    <w:rsid w:val="003A110E"/>
    <w:rsid w:val="003A12CD"/>
    <w:rsid w:val="003A12FA"/>
    <w:rsid w:val="003A1319"/>
    <w:rsid w:val="003A155D"/>
    <w:rsid w:val="003A15FB"/>
    <w:rsid w:val="003A1623"/>
    <w:rsid w:val="003A1626"/>
    <w:rsid w:val="003A1743"/>
    <w:rsid w:val="003A1744"/>
    <w:rsid w:val="003A1824"/>
    <w:rsid w:val="003A195D"/>
    <w:rsid w:val="003A19E8"/>
    <w:rsid w:val="003A1AE2"/>
    <w:rsid w:val="003A1C5D"/>
    <w:rsid w:val="003A1D20"/>
    <w:rsid w:val="003A1DC4"/>
    <w:rsid w:val="003A1DDE"/>
    <w:rsid w:val="003A1E11"/>
    <w:rsid w:val="003A1F59"/>
    <w:rsid w:val="003A1F73"/>
    <w:rsid w:val="003A2017"/>
    <w:rsid w:val="003A206A"/>
    <w:rsid w:val="003A209A"/>
    <w:rsid w:val="003A210D"/>
    <w:rsid w:val="003A2168"/>
    <w:rsid w:val="003A21C4"/>
    <w:rsid w:val="003A21DC"/>
    <w:rsid w:val="003A2252"/>
    <w:rsid w:val="003A2254"/>
    <w:rsid w:val="003A2315"/>
    <w:rsid w:val="003A2646"/>
    <w:rsid w:val="003A2783"/>
    <w:rsid w:val="003A2784"/>
    <w:rsid w:val="003A27ED"/>
    <w:rsid w:val="003A27FF"/>
    <w:rsid w:val="003A289A"/>
    <w:rsid w:val="003A2AAA"/>
    <w:rsid w:val="003A2BE9"/>
    <w:rsid w:val="003A2C19"/>
    <w:rsid w:val="003A2CA4"/>
    <w:rsid w:val="003A2CD8"/>
    <w:rsid w:val="003A2D1E"/>
    <w:rsid w:val="003A2DD5"/>
    <w:rsid w:val="003A2F97"/>
    <w:rsid w:val="003A2FB3"/>
    <w:rsid w:val="003A2FF4"/>
    <w:rsid w:val="003A3011"/>
    <w:rsid w:val="003A3045"/>
    <w:rsid w:val="003A30BF"/>
    <w:rsid w:val="003A317B"/>
    <w:rsid w:val="003A32B9"/>
    <w:rsid w:val="003A3363"/>
    <w:rsid w:val="003A3372"/>
    <w:rsid w:val="003A3388"/>
    <w:rsid w:val="003A3466"/>
    <w:rsid w:val="003A3699"/>
    <w:rsid w:val="003A36A1"/>
    <w:rsid w:val="003A3762"/>
    <w:rsid w:val="003A3A2F"/>
    <w:rsid w:val="003A3A99"/>
    <w:rsid w:val="003A3B99"/>
    <w:rsid w:val="003A3BBA"/>
    <w:rsid w:val="003A3C55"/>
    <w:rsid w:val="003A3C9C"/>
    <w:rsid w:val="003A3CF6"/>
    <w:rsid w:val="003A3D59"/>
    <w:rsid w:val="003A3EEC"/>
    <w:rsid w:val="003A3F43"/>
    <w:rsid w:val="003A3F57"/>
    <w:rsid w:val="003A3FF8"/>
    <w:rsid w:val="003A41D7"/>
    <w:rsid w:val="003A4239"/>
    <w:rsid w:val="003A4279"/>
    <w:rsid w:val="003A42FC"/>
    <w:rsid w:val="003A4333"/>
    <w:rsid w:val="003A43CA"/>
    <w:rsid w:val="003A457A"/>
    <w:rsid w:val="003A457E"/>
    <w:rsid w:val="003A4617"/>
    <w:rsid w:val="003A47B1"/>
    <w:rsid w:val="003A47F6"/>
    <w:rsid w:val="003A49C5"/>
    <w:rsid w:val="003A4B1A"/>
    <w:rsid w:val="003A4B61"/>
    <w:rsid w:val="003A4BF6"/>
    <w:rsid w:val="003A4C53"/>
    <w:rsid w:val="003A4D51"/>
    <w:rsid w:val="003A4D6D"/>
    <w:rsid w:val="003A4E99"/>
    <w:rsid w:val="003A4F3F"/>
    <w:rsid w:val="003A4F46"/>
    <w:rsid w:val="003A5093"/>
    <w:rsid w:val="003A50C1"/>
    <w:rsid w:val="003A50DC"/>
    <w:rsid w:val="003A51A4"/>
    <w:rsid w:val="003A5285"/>
    <w:rsid w:val="003A52ED"/>
    <w:rsid w:val="003A545D"/>
    <w:rsid w:val="003A54B6"/>
    <w:rsid w:val="003A57CC"/>
    <w:rsid w:val="003A5BE2"/>
    <w:rsid w:val="003A5C2A"/>
    <w:rsid w:val="003A5CCD"/>
    <w:rsid w:val="003A5D13"/>
    <w:rsid w:val="003A5E0B"/>
    <w:rsid w:val="003A5E36"/>
    <w:rsid w:val="003A5FD3"/>
    <w:rsid w:val="003A605D"/>
    <w:rsid w:val="003A61CB"/>
    <w:rsid w:val="003A6217"/>
    <w:rsid w:val="003A6354"/>
    <w:rsid w:val="003A647C"/>
    <w:rsid w:val="003A648C"/>
    <w:rsid w:val="003A664D"/>
    <w:rsid w:val="003A6653"/>
    <w:rsid w:val="003A666F"/>
    <w:rsid w:val="003A676C"/>
    <w:rsid w:val="003A67BA"/>
    <w:rsid w:val="003A681F"/>
    <w:rsid w:val="003A6AA8"/>
    <w:rsid w:val="003A6AF9"/>
    <w:rsid w:val="003A6C11"/>
    <w:rsid w:val="003A6C5D"/>
    <w:rsid w:val="003A6C6C"/>
    <w:rsid w:val="003A6D67"/>
    <w:rsid w:val="003A6D71"/>
    <w:rsid w:val="003A6E58"/>
    <w:rsid w:val="003A6FCF"/>
    <w:rsid w:val="003A73F6"/>
    <w:rsid w:val="003A754F"/>
    <w:rsid w:val="003A7568"/>
    <w:rsid w:val="003A757F"/>
    <w:rsid w:val="003A7800"/>
    <w:rsid w:val="003A7822"/>
    <w:rsid w:val="003A7A7E"/>
    <w:rsid w:val="003A7A99"/>
    <w:rsid w:val="003A7B01"/>
    <w:rsid w:val="003A7B60"/>
    <w:rsid w:val="003A7BA9"/>
    <w:rsid w:val="003A7BC2"/>
    <w:rsid w:val="003A7E7F"/>
    <w:rsid w:val="003A7F3A"/>
    <w:rsid w:val="003A7FB6"/>
    <w:rsid w:val="003B015E"/>
    <w:rsid w:val="003B01FC"/>
    <w:rsid w:val="003B0255"/>
    <w:rsid w:val="003B03AA"/>
    <w:rsid w:val="003B043F"/>
    <w:rsid w:val="003B0452"/>
    <w:rsid w:val="003B0661"/>
    <w:rsid w:val="003B06B7"/>
    <w:rsid w:val="003B088B"/>
    <w:rsid w:val="003B0996"/>
    <w:rsid w:val="003B0ADB"/>
    <w:rsid w:val="003B0AE4"/>
    <w:rsid w:val="003B0C32"/>
    <w:rsid w:val="003B0C7C"/>
    <w:rsid w:val="003B0D49"/>
    <w:rsid w:val="003B0E99"/>
    <w:rsid w:val="003B0EA2"/>
    <w:rsid w:val="003B0F27"/>
    <w:rsid w:val="003B0FF7"/>
    <w:rsid w:val="003B11C8"/>
    <w:rsid w:val="003B12F6"/>
    <w:rsid w:val="003B1395"/>
    <w:rsid w:val="003B144B"/>
    <w:rsid w:val="003B14A5"/>
    <w:rsid w:val="003B1582"/>
    <w:rsid w:val="003B158A"/>
    <w:rsid w:val="003B159B"/>
    <w:rsid w:val="003B15E0"/>
    <w:rsid w:val="003B16C5"/>
    <w:rsid w:val="003B1703"/>
    <w:rsid w:val="003B174E"/>
    <w:rsid w:val="003B17DB"/>
    <w:rsid w:val="003B18E7"/>
    <w:rsid w:val="003B19CB"/>
    <w:rsid w:val="003B1A9F"/>
    <w:rsid w:val="003B1B88"/>
    <w:rsid w:val="003B1C01"/>
    <w:rsid w:val="003B1C04"/>
    <w:rsid w:val="003B1C1E"/>
    <w:rsid w:val="003B1D00"/>
    <w:rsid w:val="003B1D37"/>
    <w:rsid w:val="003B1D5C"/>
    <w:rsid w:val="003B1D8E"/>
    <w:rsid w:val="003B1DCC"/>
    <w:rsid w:val="003B1DF9"/>
    <w:rsid w:val="003B1F66"/>
    <w:rsid w:val="003B216D"/>
    <w:rsid w:val="003B21E7"/>
    <w:rsid w:val="003B21FC"/>
    <w:rsid w:val="003B22BB"/>
    <w:rsid w:val="003B230A"/>
    <w:rsid w:val="003B23A8"/>
    <w:rsid w:val="003B2405"/>
    <w:rsid w:val="003B251B"/>
    <w:rsid w:val="003B2533"/>
    <w:rsid w:val="003B257D"/>
    <w:rsid w:val="003B2728"/>
    <w:rsid w:val="003B27E4"/>
    <w:rsid w:val="003B2821"/>
    <w:rsid w:val="003B28E5"/>
    <w:rsid w:val="003B291F"/>
    <w:rsid w:val="003B296B"/>
    <w:rsid w:val="003B29B5"/>
    <w:rsid w:val="003B2A71"/>
    <w:rsid w:val="003B2AA0"/>
    <w:rsid w:val="003B2ACC"/>
    <w:rsid w:val="003B2AEC"/>
    <w:rsid w:val="003B2BA9"/>
    <w:rsid w:val="003B2BBB"/>
    <w:rsid w:val="003B2C3C"/>
    <w:rsid w:val="003B2DBC"/>
    <w:rsid w:val="003B2F3E"/>
    <w:rsid w:val="003B2F4B"/>
    <w:rsid w:val="003B2FE5"/>
    <w:rsid w:val="003B30A9"/>
    <w:rsid w:val="003B3298"/>
    <w:rsid w:val="003B3302"/>
    <w:rsid w:val="003B330A"/>
    <w:rsid w:val="003B3335"/>
    <w:rsid w:val="003B335D"/>
    <w:rsid w:val="003B33A4"/>
    <w:rsid w:val="003B3459"/>
    <w:rsid w:val="003B348D"/>
    <w:rsid w:val="003B367D"/>
    <w:rsid w:val="003B399B"/>
    <w:rsid w:val="003B39B2"/>
    <w:rsid w:val="003B39DA"/>
    <w:rsid w:val="003B39F6"/>
    <w:rsid w:val="003B3A49"/>
    <w:rsid w:val="003B3AA3"/>
    <w:rsid w:val="003B3B49"/>
    <w:rsid w:val="003B3B51"/>
    <w:rsid w:val="003B3C0B"/>
    <w:rsid w:val="003B3C56"/>
    <w:rsid w:val="003B3CA4"/>
    <w:rsid w:val="003B3D62"/>
    <w:rsid w:val="003B3E1A"/>
    <w:rsid w:val="003B3EC6"/>
    <w:rsid w:val="003B402E"/>
    <w:rsid w:val="003B4213"/>
    <w:rsid w:val="003B4220"/>
    <w:rsid w:val="003B431A"/>
    <w:rsid w:val="003B4399"/>
    <w:rsid w:val="003B43C5"/>
    <w:rsid w:val="003B43E0"/>
    <w:rsid w:val="003B4469"/>
    <w:rsid w:val="003B44A8"/>
    <w:rsid w:val="003B44FB"/>
    <w:rsid w:val="003B4569"/>
    <w:rsid w:val="003B4600"/>
    <w:rsid w:val="003B4611"/>
    <w:rsid w:val="003B4657"/>
    <w:rsid w:val="003B4839"/>
    <w:rsid w:val="003B4864"/>
    <w:rsid w:val="003B48DB"/>
    <w:rsid w:val="003B4929"/>
    <w:rsid w:val="003B4938"/>
    <w:rsid w:val="003B499A"/>
    <w:rsid w:val="003B49C2"/>
    <w:rsid w:val="003B4A08"/>
    <w:rsid w:val="003B4D02"/>
    <w:rsid w:val="003B4DB1"/>
    <w:rsid w:val="003B4EAA"/>
    <w:rsid w:val="003B4F02"/>
    <w:rsid w:val="003B4F17"/>
    <w:rsid w:val="003B50CA"/>
    <w:rsid w:val="003B50D3"/>
    <w:rsid w:val="003B514F"/>
    <w:rsid w:val="003B51BA"/>
    <w:rsid w:val="003B5259"/>
    <w:rsid w:val="003B52D4"/>
    <w:rsid w:val="003B5301"/>
    <w:rsid w:val="003B53F6"/>
    <w:rsid w:val="003B53FA"/>
    <w:rsid w:val="003B5428"/>
    <w:rsid w:val="003B546E"/>
    <w:rsid w:val="003B54D1"/>
    <w:rsid w:val="003B5584"/>
    <w:rsid w:val="003B55D4"/>
    <w:rsid w:val="003B5673"/>
    <w:rsid w:val="003B56DE"/>
    <w:rsid w:val="003B576E"/>
    <w:rsid w:val="003B57BF"/>
    <w:rsid w:val="003B57FB"/>
    <w:rsid w:val="003B584A"/>
    <w:rsid w:val="003B589D"/>
    <w:rsid w:val="003B58D8"/>
    <w:rsid w:val="003B5970"/>
    <w:rsid w:val="003B59A9"/>
    <w:rsid w:val="003B59B2"/>
    <w:rsid w:val="003B5C02"/>
    <w:rsid w:val="003B5C46"/>
    <w:rsid w:val="003B5C61"/>
    <w:rsid w:val="003B5CFD"/>
    <w:rsid w:val="003B5E48"/>
    <w:rsid w:val="003B5E6D"/>
    <w:rsid w:val="003B5FFA"/>
    <w:rsid w:val="003B6012"/>
    <w:rsid w:val="003B601D"/>
    <w:rsid w:val="003B61D7"/>
    <w:rsid w:val="003B6276"/>
    <w:rsid w:val="003B62A1"/>
    <w:rsid w:val="003B62AF"/>
    <w:rsid w:val="003B63E7"/>
    <w:rsid w:val="003B656A"/>
    <w:rsid w:val="003B65CD"/>
    <w:rsid w:val="003B6658"/>
    <w:rsid w:val="003B6724"/>
    <w:rsid w:val="003B6938"/>
    <w:rsid w:val="003B6998"/>
    <w:rsid w:val="003B69DA"/>
    <w:rsid w:val="003B6A3A"/>
    <w:rsid w:val="003B6B19"/>
    <w:rsid w:val="003B6C55"/>
    <w:rsid w:val="003B6C84"/>
    <w:rsid w:val="003B6CE1"/>
    <w:rsid w:val="003B6D57"/>
    <w:rsid w:val="003B6DF5"/>
    <w:rsid w:val="003B6E22"/>
    <w:rsid w:val="003B6F27"/>
    <w:rsid w:val="003B6F99"/>
    <w:rsid w:val="003B7058"/>
    <w:rsid w:val="003B712D"/>
    <w:rsid w:val="003B7251"/>
    <w:rsid w:val="003B73F4"/>
    <w:rsid w:val="003B7634"/>
    <w:rsid w:val="003B7652"/>
    <w:rsid w:val="003B7655"/>
    <w:rsid w:val="003B76C4"/>
    <w:rsid w:val="003B7705"/>
    <w:rsid w:val="003B799B"/>
    <w:rsid w:val="003B7BB7"/>
    <w:rsid w:val="003B7C99"/>
    <w:rsid w:val="003B7CD6"/>
    <w:rsid w:val="003B7DD0"/>
    <w:rsid w:val="003B7E4D"/>
    <w:rsid w:val="003B7F21"/>
    <w:rsid w:val="003C008E"/>
    <w:rsid w:val="003C0136"/>
    <w:rsid w:val="003C028E"/>
    <w:rsid w:val="003C0295"/>
    <w:rsid w:val="003C02B2"/>
    <w:rsid w:val="003C0665"/>
    <w:rsid w:val="003C0669"/>
    <w:rsid w:val="003C06BB"/>
    <w:rsid w:val="003C06D6"/>
    <w:rsid w:val="003C0815"/>
    <w:rsid w:val="003C0865"/>
    <w:rsid w:val="003C0A7D"/>
    <w:rsid w:val="003C0B77"/>
    <w:rsid w:val="003C0BE2"/>
    <w:rsid w:val="003C0C98"/>
    <w:rsid w:val="003C0D21"/>
    <w:rsid w:val="003C0E22"/>
    <w:rsid w:val="003C0EBF"/>
    <w:rsid w:val="003C0ED6"/>
    <w:rsid w:val="003C0F4D"/>
    <w:rsid w:val="003C10DB"/>
    <w:rsid w:val="003C11E3"/>
    <w:rsid w:val="003C133C"/>
    <w:rsid w:val="003C1634"/>
    <w:rsid w:val="003C16DE"/>
    <w:rsid w:val="003C182C"/>
    <w:rsid w:val="003C1863"/>
    <w:rsid w:val="003C186C"/>
    <w:rsid w:val="003C18FD"/>
    <w:rsid w:val="003C194E"/>
    <w:rsid w:val="003C1953"/>
    <w:rsid w:val="003C1A2A"/>
    <w:rsid w:val="003C1A52"/>
    <w:rsid w:val="003C1BCA"/>
    <w:rsid w:val="003C1BF3"/>
    <w:rsid w:val="003C1CAF"/>
    <w:rsid w:val="003C1E0C"/>
    <w:rsid w:val="003C1E90"/>
    <w:rsid w:val="003C1F4E"/>
    <w:rsid w:val="003C2035"/>
    <w:rsid w:val="003C21F1"/>
    <w:rsid w:val="003C2286"/>
    <w:rsid w:val="003C229D"/>
    <w:rsid w:val="003C2303"/>
    <w:rsid w:val="003C239D"/>
    <w:rsid w:val="003C24E9"/>
    <w:rsid w:val="003C24F5"/>
    <w:rsid w:val="003C257E"/>
    <w:rsid w:val="003C25D4"/>
    <w:rsid w:val="003C28C5"/>
    <w:rsid w:val="003C2A98"/>
    <w:rsid w:val="003C2DD3"/>
    <w:rsid w:val="003C2E2D"/>
    <w:rsid w:val="003C2FD3"/>
    <w:rsid w:val="003C3029"/>
    <w:rsid w:val="003C30E1"/>
    <w:rsid w:val="003C3160"/>
    <w:rsid w:val="003C31A0"/>
    <w:rsid w:val="003C31AC"/>
    <w:rsid w:val="003C31C6"/>
    <w:rsid w:val="003C31DB"/>
    <w:rsid w:val="003C320C"/>
    <w:rsid w:val="003C33B9"/>
    <w:rsid w:val="003C348E"/>
    <w:rsid w:val="003C34E9"/>
    <w:rsid w:val="003C36E1"/>
    <w:rsid w:val="003C36FD"/>
    <w:rsid w:val="003C36FF"/>
    <w:rsid w:val="003C3734"/>
    <w:rsid w:val="003C373A"/>
    <w:rsid w:val="003C39DB"/>
    <w:rsid w:val="003C3A7A"/>
    <w:rsid w:val="003C3B00"/>
    <w:rsid w:val="003C3CEF"/>
    <w:rsid w:val="003C3CFC"/>
    <w:rsid w:val="003C3D06"/>
    <w:rsid w:val="003C3D70"/>
    <w:rsid w:val="003C3E2C"/>
    <w:rsid w:val="003C400C"/>
    <w:rsid w:val="003C40D1"/>
    <w:rsid w:val="003C41B7"/>
    <w:rsid w:val="003C42F4"/>
    <w:rsid w:val="003C43DF"/>
    <w:rsid w:val="003C45FE"/>
    <w:rsid w:val="003C46A3"/>
    <w:rsid w:val="003C46FB"/>
    <w:rsid w:val="003C4791"/>
    <w:rsid w:val="003C4793"/>
    <w:rsid w:val="003C47E9"/>
    <w:rsid w:val="003C480F"/>
    <w:rsid w:val="003C4B17"/>
    <w:rsid w:val="003C4B5C"/>
    <w:rsid w:val="003C4BAC"/>
    <w:rsid w:val="003C4D17"/>
    <w:rsid w:val="003C4E1D"/>
    <w:rsid w:val="003C4F87"/>
    <w:rsid w:val="003C4F8A"/>
    <w:rsid w:val="003C506B"/>
    <w:rsid w:val="003C50B5"/>
    <w:rsid w:val="003C5216"/>
    <w:rsid w:val="003C5250"/>
    <w:rsid w:val="003C52B2"/>
    <w:rsid w:val="003C534B"/>
    <w:rsid w:val="003C540E"/>
    <w:rsid w:val="003C5438"/>
    <w:rsid w:val="003C546A"/>
    <w:rsid w:val="003C5637"/>
    <w:rsid w:val="003C5639"/>
    <w:rsid w:val="003C56EA"/>
    <w:rsid w:val="003C5726"/>
    <w:rsid w:val="003C59FC"/>
    <w:rsid w:val="003C5A20"/>
    <w:rsid w:val="003C5A2F"/>
    <w:rsid w:val="003C5B6D"/>
    <w:rsid w:val="003C5C18"/>
    <w:rsid w:val="003C5CED"/>
    <w:rsid w:val="003C5EBF"/>
    <w:rsid w:val="003C609E"/>
    <w:rsid w:val="003C61B1"/>
    <w:rsid w:val="003C62A6"/>
    <w:rsid w:val="003C62BE"/>
    <w:rsid w:val="003C6410"/>
    <w:rsid w:val="003C64F6"/>
    <w:rsid w:val="003C654D"/>
    <w:rsid w:val="003C6701"/>
    <w:rsid w:val="003C6733"/>
    <w:rsid w:val="003C686E"/>
    <w:rsid w:val="003C68C4"/>
    <w:rsid w:val="003C68FD"/>
    <w:rsid w:val="003C6977"/>
    <w:rsid w:val="003C69BA"/>
    <w:rsid w:val="003C6B98"/>
    <w:rsid w:val="003C6C20"/>
    <w:rsid w:val="003C6C87"/>
    <w:rsid w:val="003C6C8F"/>
    <w:rsid w:val="003C6CDE"/>
    <w:rsid w:val="003C6D21"/>
    <w:rsid w:val="003C6D68"/>
    <w:rsid w:val="003C6F8B"/>
    <w:rsid w:val="003C6FA2"/>
    <w:rsid w:val="003C7065"/>
    <w:rsid w:val="003C7218"/>
    <w:rsid w:val="003C72B8"/>
    <w:rsid w:val="003C73C0"/>
    <w:rsid w:val="003C73D9"/>
    <w:rsid w:val="003C73FA"/>
    <w:rsid w:val="003C7457"/>
    <w:rsid w:val="003C7560"/>
    <w:rsid w:val="003C75A5"/>
    <w:rsid w:val="003C75E9"/>
    <w:rsid w:val="003C7613"/>
    <w:rsid w:val="003C76CA"/>
    <w:rsid w:val="003C7712"/>
    <w:rsid w:val="003C7765"/>
    <w:rsid w:val="003C779E"/>
    <w:rsid w:val="003C77FD"/>
    <w:rsid w:val="003C7D6D"/>
    <w:rsid w:val="003C7D7C"/>
    <w:rsid w:val="003C7E29"/>
    <w:rsid w:val="003C7E8A"/>
    <w:rsid w:val="003C7EA1"/>
    <w:rsid w:val="003C7F5C"/>
    <w:rsid w:val="003C7FEE"/>
    <w:rsid w:val="003D004A"/>
    <w:rsid w:val="003D00B8"/>
    <w:rsid w:val="003D0129"/>
    <w:rsid w:val="003D018B"/>
    <w:rsid w:val="003D0197"/>
    <w:rsid w:val="003D01B2"/>
    <w:rsid w:val="003D02A6"/>
    <w:rsid w:val="003D040E"/>
    <w:rsid w:val="003D061B"/>
    <w:rsid w:val="003D0702"/>
    <w:rsid w:val="003D087E"/>
    <w:rsid w:val="003D089E"/>
    <w:rsid w:val="003D08E1"/>
    <w:rsid w:val="003D0911"/>
    <w:rsid w:val="003D091A"/>
    <w:rsid w:val="003D0941"/>
    <w:rsid w:val="003D0963"/>
    <w:rsid w:val="003D096B"/>
    <w:rsid w:val="003D0AD3"/>
    <w:rsid w:val="003D0B42"/>
    <w:rsid w:val="003D0CBD"/>
    <w:rsid w:val="003D0DD3"/>
    <w:rsid w:val="003D0E0F"/>
    <w:rsid w:val="003D0F5D"/>
    <w:rsid w:val="003D1001"/>
    <w:rsid w:val="003D10E1"/>
    <w:rsid w:val="003D1171"/>
    <w:rsid w:val="003D119D"/>
    <w:rsid w:val="003D154B"/>
    <w:rsid w:val="003D1568"/>
    <w:rsid w:val="003D158A"/>
    <w:rsid w:val="003D168D"/>
    <w:rsid w:val="003D16E4"/>
    <w:rsid w:val="003D178E"/>
    <w:rsid w:val="003D17B6"/>
    <w:rsid w:val="003D184C"/>
    <w:rsid w:val="003D18E8"/>
    <w:rsid w:val="003D1A59"/>
    <w:rsid w:val="003D1A5C"/>
    <w:rsid w:val="003D1BAE"/>
    <w:rsid w:val="003D1C4C"/>
    <w:rsid w:val="003D1CA2"/>
    <w:rsid w:val="003D1DEF"/>
    <w:rsid w:val="003D1DFB"/>
    <w:rsid w:val="003D1E12"/>
    <w:rsid w:val="003D1E2D"/>
    <w:rsid w:val="003D1E48"/>
    <w:rsid w:val="003D1FB1"/>
    <w:rsid w:val="003D2018"/>
    <w:rsid w:val="003D2158"/>
    <w:rsid w:val="003D21B8"/>
    <w:rsid w:val="003D21D1"/>
    <w:rsid w:val="003D2389"/>
    <w:rsid w:val="003D2536"/>
    <w:rsid w:val="003D2541"/>
    <w:rsid w:val="003D25E4"/>
    <w:rsid w:val="003D2732"/>
    <w:rsid w:val="003D2733"/>
    <w:rsid w:val="003D27CA"/>
    <w:rsid w:val="003D2968"/>
    <w:rsid w:val="003D2B52"/>
    <w:rsid w:val="003D2BA2"/>
    <w:rsid w:val="003D2BE3"/>
    <w:rsid w:val="003D2D51"/>
    <w:rsid w:val="003D2DB1"/>
    <w:rsid w:val="003D2E0A"/>
    <w:rsid w:val="003D2F79"/>
    <w:rsid w:val="003D2FE9"/>
    <w:rsid w:val="003D3077"/>
    <w:rsid w:val="003D313A"/>
    <w:rsid w:val="003D3375"/>
    <w:rsid w:val="003D351B"/>
    <w:rsid w:val="003D3528"/>
    <w:rsid w:val="003D35E2"/>
    <w:rsid w:val="003D36E2"/>
    <w:rsid w:val="003D3724"/>
    <w:rsid w:val="003D379E"/>
    <w:rsid w:val="003D37C7"/>
    <w:rsid w:val="003D380A"/>
    <w:rsid w:val="003D3848"/>
    <w:rsid w:val="003D3851"/>
    <w:rsid w:val="003D39CB"/>
    <w:rsid w:val="003D3AD0"/>
    <w:rsid w:val="003D3ADC"/>
    <w:rsid w:val="003D3C16"/>
    <w:rsid w:val="003D3C85"/>
    <w:rsid w:val="003D3D94"/>
    <w:rsid w:val="003D3E8E"/>
    <w:rsid w:val="003D4002"/>
    <w:rsid w:val="003D406D"/>
    <w:rsid w:val="003D4107"/>
    <w:rsid w:val="003D41E8"/>
    <w:rsid w:val="003D428F"/>
    <w:rsid w:val="003D4853"/>
    <w:rsid w:val="003D4902"/>
    <w:rsid w:val="003D49B0"/>
    <w:rsid w:val="003D49E8"/>
    <w:rsid w:val="003D4A91"/>
    <w:rsid w:val="003D4B0D"/>
    <w:rsid w:val="003D4B8A"/>
    <w:rsid w:val="003D4CCF"/>
    <w:rsid w:val="003D4CEA"/>
    <w:rsid w:val="003D4D4E"/>
    <w:rsid w:val="003D4E18"/>
    <w:rsid w:val="003D4EC3"/>
    <w:rsid w:val="003D4EFD"/>
    <w:rsid w:val="003D5009"/>
    <w:rsid w:val="003D5159"/>
    <w:rsid w:val="003D51E4"/>
    <w:rsid w:val="003D523A"/>
    <w:rsid w:val="003D539F"/>
    <w:rsid w:val="003D5449"/>
    <w:rsid w:val="003D5511"/>
    <w:rsid w:val="003D5539"/>
    <w:rsid w:val="003D56D7"/>
    <w:rsid w:val="003D5784"/>
    <w:rsid w:val="003D578D"/>
    <w:rsid w:val="003D5907"/>
    <w:rsid w:val="003D5939"/>
    <w:rsid w:val="003D5A18"/>
    <w:rsid w:val="003D5AE5"/>
    <w:rsid w:val="003D5C7A"/>
    <w:rsid w:val="003D5C9D"/>
    <w:rsid w:val="003D5D33"/>
    <w:rsid w:val="003D5E21"/>
    <w:rsid w:val="003D5E8E"/>
    <w:rsid w:val="003D6119"/>
    <w:rsid w:val="003D6174"/>
    <w:rsid w:val="003D61B6"/>
    <w:rsid w:val="003D61CA"/>
    <w:rsid w:val="003D629F"/>
    <w:rsid w:val="003D6463"/>
    <w:rsid w:val="003D646D"/>
    <w:rsid w:val="003D648F"/>
    <w:rsid w:val="003D64E6"/>
    <w:rsid w:val="003D6563"/>
    <w:rsid w:val="003D6592"/>
    <w:rsid w:val="003D65D8"/>
    <w:rsid w:val="003D661B"/>
    <w:rsid w:val="003D665B"/>
    <w:rsid w:val="003D6661"/>
    <w:rsid w:val="003D67A3"/>
    <w:rsid w:val="003D67C0"/>
    <w:rsid w:val="003D67E9"/>
    <w:rsid w:val="003D6917"/>
    <w:rsid w:val="003D6943"/>
    <w:rsid w:val="003D69B8"/>
    <w:rsid w:val="003D6C9D"/>
    <w:rsid w:val="003D6CD9"/>
    <w:rsid w:val="003D6CE9"/>
    <w:rsid w:val="003D6E73"/>
    <w:rsid w:val="003D6EA7"/>
    <w:rsid w:val="003D7069"/>
    <w:rsid w:val="003D7095"/>
    <w:rsid w:val="003D7327"/>
    <w:rsid w:val="003D732B"/>
    <w:rsid w:val="003D74FE"/>
    <w:rsid w:val="003D765A"/>
    <w:rsid w:val="003D76EA"/>
    <w:rsid w:val="003D77E7"/>
    <w:rsid w:val="003D77F4"/>
    <w:rsid w:val="003D7817"/>
    <w:rsid w:val="003D7932"/>
    <w:rsid w:val="003D7999"/>
    <w:rsid w:val="003D799F"/>
    <w:rsid w:val="003D7A05"/>
    <w:rsid w:val="003D7ADE"/>
    <w:rsid w:val="003D7B48"/>
    <w:rsid w:val="003D7B9C"/>
    <w:rsid w:val="003D7BF4"/>
    <w:rsid w:val="003D7C1A"/>
    <w:rsid w:val="003D7D16"/>
    <w:rsid w:val="003D7DD0"/>
    <w:rsid w:val="003D7F4E"/>
    <w:rsid w:val="003E0020"/>
    <w:rsid w:val="003E00CB"/>
    <w:rsid w:val="003E0150"/>
    <w:rsid w:val="003E02F4"/>
    <w:rsid w:val="003E04CC"/>
    <w:rsid w:val="003E0579"/>
    <w:rsid w:val="003E066F"/>
    <w:rsid w:val="003E06E6"/>
    <w:rsid w:val="003E06E8"/>
    <w:rsid w:val="003E07E9"/>
    <w:rsid w:val="003E0A01"/>
    <w:rsid w:val="003E0A29"/>
    <w:rsid w:val="003E0A71"/>
    <w:rsid w:val="003E0B6E"/>
    <w:rsid w:val="003E0BD2"/>
    <w:rsid w:val="003E0CEA"/>
    <w:rsid w:val="003E0E2C"/>
    <w:rsid w:val="003E0E3A"/>
    <w:rsid w:val="003E0F3D"/>
    <w:rsid w:val="003E1124"/>
    <w:rsid w:val="003E1296"/>
    <w:rsid w:val="003E12B7"/>
    <w:rsid w:val="003E1316"/>
    <w:rsid w:val="003E13EF"/>
    <w:rsid w:val="003E14FC"/>
    <w:rsid w:val="003E15D6"/>
    <w:rsid w:val="003E160C"/>
    <w:rsid w:val="003E1770"/>
    <w:rsid w:val="003E195C"/>
    <w:rsid w:val="003E198A"/>
    <w:rsid w:val="003E1A47"/>
    <w:rsid w:val="003E1ADD"/>
    <w:rsid w:val="003E1BE4"/>
    <w:rsid w:val="003E1C95"/>
    <w:rsid w:val="003E201D"/>
    <w:rsid w:val="003E20A1"/>
    <w:rsid w:val="003E2224"/>
    <w:rsid w:val="003E2248"/>
    <w:rsid w:val="003E22FA"/>
    <w:rsid w:val="003E2343"/>
    <w:rsid w:val="003E23A3"/>
    <w:rsid w:val="003E23E6"/>
    <w:rsid w:val="003E23E7"/>
    <w:rsid w:val="003E2668"/>
    <w:rsid w:val="003E2670"/>
    <w:rsid w:val="003E277F"/>
    <w:rsid w:val="003E27A0"/>
    <w:rsid w:val="003E27D2"/>
    <w:rsid w:val="003E2815"/>
    <w:rsid w:val="003E293C"/>
    <w:rsid w:val="003E2946"/>
    <w:rsid w:val="003E29E4"/>
    <w:rsid w:val="003E2A51"/>
    <w:rsid w:val="003E2A52"/>
    <w:rsid w:val="003E2CF7"/>
    <w:rsid w:val="003E2D34"/>
    <w:rsid w:val="003E3182"/>
    <w:rsid w:val="003E3232"/>
    <w:rsid w:val="003E3242"/>
    <w:rsid w:val="003E3583"/>
    <w:rsid w:val="003E3692"/>
    <w:rsid w:val="003E378A"/>
    <w:rsid w:val="003E399B"/>
    <w:rsid w:val="003E3A42"/>
    <w:rsid w:val="003E3A50"/>
    <w:rsid w:val="003E3CAB"/>
    <w:rsid w:val="003E3D2C"/>
    <w:rsid w:val="003E3D9D"/>
    <w:rsid w:val="003E3E91"/>
    <w:rsid w:val="003E3E9A"/>
    <w:rsid w:val="003E3FA5"/>
    <w:rsid w:val="003E4337"/>
    <w:rsid w:val="003E43D1"/>
    <w:rsid w:val="003E4486"/>
    <w:rsid w:val="003E4517"/>
    <w:rsid w:val="003E451C"/>
    <w:rsid w:val="003E470A"/>
    <w:rsid w:val="003E4793"/>
    <w:rsid w:val="003E48B4"/>
    <w:rsid w:val="003E48FE"/>
    <w:rsid w:val="003E4943"/>
    <w:rsid w:val="003E4945"/>
    <w:rsid w:val="003E4986"/>
    <w:rsid w:val="003E4A0F"/>
    <w:rsid w:val="003E4A3F"/>
    <w:rsid w:val="003E4C11"/>
    <w:rsid w:val="003E4CC4"/>
    <w:rsid w:val="003E4CD7"/>
    <w:rsid w:val="003E4D70"/>
    <w:rsid w:val="003E4DD1"/>
    <w:rsid w:val="003E4E6A"/>
    <w:rsid w:val="003E4ED3"/>
    <w:rsid w:val="003E4FA7"/>
    <w:rsid w:val="003E5103"/>
    <w:rsid w:val="003E5134"/>
    <w:rsid w:val="003E51BE"/>
    <w:rsid w:val="003E521E"/>
    <w:rsid w:val="003E528C"/>
    <w:rsid w:val="003E52AB"/>
    <w:rsid w:val="003E52B2"/>
    <w:rsid w:val="003E52DB"/>
    <w:rsid w:val="003E534D"/>
    <w:rsid w:val="003E54A6"/>
    <w:rsid w:val="003E55B3"/>
    <w:rsid w:val="003E5650"/>
    <w:rsid w:val="003E57D5"/>
    <w:rsid w:val="003E58C9"/>
    <w:rsid w:val="003E5925"/>
    <w:rsid w:val="003E59A4"/>
    <w:rsid w:val="003E59CE"/>
    <w:rsid w:val="003E5A9E"/>
    <w:rsid w:val="003E5AC1"/>
    <w:rsid w:val="003E5B2A"/>
    <w:rsid w:val="003E5BEA"/>
    <w:rsid w:val="003E5CDD"/>
    <w:rsid w:val="003E5E6F"/>
    <w:rsid w:val="003E5EA7"/>
    <w:rsid w:val="003E5F93"/>
    <w:rsid w:val="003E5FB3"/>
    <w:rsid w:val="003E5FE0"/>
    <w:rsid w:val="003E60EE"/>
    <w:rsid w:val="003E63BC"/>
    <w:rsid w:val="003E64E6"/>
    <w:rsid w:val="003E6723"/>
    <w:rsid w:val="003E68A7"/>
    <w:rsid w:val="003E69D4"/>
    <w:rsid w:val="003E6A3A"/>
    <w:rsid w:val="003E6D2C"/>
    <w:rsid w:val="003E6D35"/>
    <w:rsid w:val="003E6D5B"/>
    <w:rsid w:val="003E6D88"/>
    <w:rsid w:val="003E6DE1"/>
    <w:rsid w:val="003E6E1C"/>
    <w:rsid w:val="003E6ED0"/>
    <w:rsid w:val="003E6F1B"/>
    <w:rsid w:val="003E6F3A"/>
    <w:rsid w:val="003E7085"/>
    <w:rsid w:val="003E7086"/>
    <w:rsid w:val="003E70A8"/>
    <w:rsid w:val="003E7304"/>
    <w:rsid w:val="003E76BC"/>
    <w:rsid w:val="003E76C7"/>
    <w:rsid w:val="003E7739"/>
    <w:rsid w:val="003E7831"/>
    <w:rsid w:val="003E79C3"/>
    <w:rsid w:val="003E7A53"/>
    <w:rsid w:val="003E7AD5"/>
    <w:rsid w:val="003E7B07"/>
    <w:rsid w:val="003E7B48"/>
    <w:rsid w:val="003E7C8B"/>
    <w:rsid w:val="003E7CA0"/>
    <w:rsid w:val="003E7CEF"/>
    <w:rsid w:val="003E7DA4"/>
    <w:rsid w:val="003E7EBF"/>
    <w:rsid w:val="003E7EE1"/>
    <w:rsid w:val="003E7F05"/>
    <w:rsid w:val="003E7F7F"/>
    <w:rsid w:val="003F00C7"/>
    <w:rsid w:val="003F00F8"/>
    <w:rsid w:val="003F01A5"/>
    <w:rsid w:val="003F0461"/>
    <w:rsid w:val="003F055F"/>
    <w:rsid w:val="003F059A"/>
    <w:rsid w:val="003F0644"/>
    <w:rsid w:val="003F06F0"/>
    <w:rsid w:val="003F06F7"/>
    <w:rsid w:val="003F0753"/>
    <w:rsid w:val="003F0767"/>
    <w:rsid w:val="003F08FA"/>
    <w:rsid w:val="003F0928"/>
    <w:rsid w:val="003F0A01"/>
    <w:rsid w:val="003F0A70"/>
    <w:rsid w:val="003F0BA8"/>
    <w:rsid w:val="003F0C07"/>
    <w:rsid w:val="003F0C5A"/>
    <w:rsid w:val="003F0D80"/>
    <w:rsid w:val="003F0E2F"/>
    <w:rsid w:val="003F0EC8"/>
    <w:rsid w:val="003F0FDF"/>
    <w:rsid w:val="003F1078"/>
    <w:rsid w:val="003F10D6"/>
    <w:rsid w:val="003F10F8"/>
    <w:rsid w:val="003F140C"/>
    <w:rsid w:val="003F141A"/>
    <w:rsid w:val="003F14AD"/>
    <w:rsid w:val="003F1566"/>
    <w:rsid w:val="003F15C5"/>
    <w:rsid w:val="003F165F"/>
    <w:rsid w:val="003F16B7"/>
    <w:rsid w:val="003F1752"/>
    <w:rsid w:val="003F1762"/>
    <w:rsid w:val="003F1786"/>
    <w:rsid w:val="003F17A1"/>
    <w:rsid w:val="003F181A"/>
    <w:rsid w:val="003F18DB"/>
    <w:rsid w:val="003F1B56"/>
    <w:rsid w:val="003F1B9E"/>
    <w:rsid w:val="003F1CC6"/>
    <w:rsid w:val="003F1D0D"/>
    <w:rsid w:val="003F2050"/>
    <w:rsid w:val="003F23B8"/>
    <w:rsid w:val="003F24B3"/>
    <w:rsid w:val="003F24FE"/>
    <w:rsid w:val="003F2507"/>
    <w:rsid w:val="003F254D"/>
    <w:rsid w:val="003F2584"/>
    <w:rsid w:val="003F25A8"/>
    <w:rsid w:val="003F2655"/>
    <w:rsid w:val="003F26D6"/>
    <w:rsid w:val="003F271E"/>
    <w:rsid w:val="003F29F6"/>
    <w:rsid w:val="003F2B86"/>
    <w:rsid w:val="003F2BBD"/>
    <w:rsid w:val="003F2D32"/>
    <w:rsid w:val="003F2DAA"/>
    <w:rsid w:val="003F2DB4"/>
    <w:rsid w:val="003F2DC0"/>
    <w:rsid w:val="003F301A"/>
    <w:rsid w:val="003F30EA"/>
    <w:rsid w:val="003F313C"/>
    <w:rsid w:val="003F326C"/>
    <w:rsid w:val="003F32BD"/>
    <w:rsid w:val="003F32CE"/>
    <w:rsid w:val="003F3350"/>
    <w:rsid w:val="003F33B5"/>
    <w:rsid w:val="003F33DB"/>
    <w:rsid w:val="003F3530"/>
    <w:rsid w:val="003F36D0"/>
    <w:rsid w:val="003F3787"/>
    <w:rsid w:val="003F3789"/>
    <w:rsid w:val="003F38F3"/>
    <w:rsid w:val="003F3945"/>
    <w:rsid w:val="003F396B"/>
    <w:rsid w:val="003F3991"/>
    <w:rsid w:val="003F39E0"/>
    <w:rsid w:val="003F3A7F"/>
    <w:rsid w:val="003F3B43"/>
    <w:rsid w:val="003F3B66"/>
    <w:rsid w:val="003F3BC3"/>
    <w:rsid w:val="003F3C82"/>
    <w:rsid w:val="003F3C89"/>
    <w:rsid w:val="003F3CFC"/>
    <w:rsid w:val="003F3ED7"/>
    <w:rsid w:val="003F3FA8"/>
    <w:rsid w:val="003F4022"/>
    <w:rsid w:val="003F4031"/>
    <w:rsid w:val="003F4189"/>
    <w:rsid w:val="003F41E9"/>
    <w:rsid w:val="003F4205"/>
    <w:rsid w:val="003F429E"/>
    <w:rsid w:val="003F42EB"/>
    <w:rsid w:val="003F4439"/>
    <w:rsid w:val="003F4506"/>
    <w:rsid w:val="003F4562"/>
    <w:rsid w:val="003F45D4"/>
    <w:rsid w:val="003F45FE"/>
    <w:rsid w:val="003F46FE"/>
    <w:rsid w:val="003F47AB"/>
    <w:rsid w:val="003F4945"/>
    <w:rsid w:val="003F4AE4"/>
    <w:rsid w:val="003F4B5D"/>
    <w:rsid w:val="003F4BE9"/>
    <w:rsid w:val="003F4BFB"/>
    <w:rsid w:val="003F4C63"/>
    <w:rsid w:val="003F4C7F"/>
    <w:rsid w:val="003F4C92"/>
    <w:rsid w:val="003F4CDA"/>
    <w:rsid w:val="003F4CF0"/>
    <w:rsid w:val="003F4DA1"/>
    <w:rsid w:val="003F4EDC"/>
    <w:rsid w:val="003F4EF2"/>
    <w:rsid w:val="003F50E3"/>
    <w:rsid w:val="003F5259"/>
    <w:rsid w:val="003F52DD"/>
    <w:rsid w:val="003F54C2"/>
    <w:rsid w:val="003F550C"/>
    <w:rsid w:val="003F5576"/>
    <w:rsid w:val="003F571C"/>
    <w:rsid w:val="003F574A"/>
    <w:rsid w:val="003F5785"/>
    <w:rsid w:val="003F586B"/>
    <w:rsid w:val="003F5950"/>
    <w:rsid w:val="003F5BBB"/>
    <w:rsid w:val="003F5C95"/>
    <w:rsid w:val="003F5D89"/>
    <w:rsid w:val="003F5E69"/>
    <w:rsid w:val="003F5F07"/>
    <w:rsid w:val="003F5FFA"/>
    <w:rsid w:val="003F611D"/>
    <w:rsid w:val="003F61B8"/>
    <w:rsid w:val="003F61D3"/>
    <w:rsid w:val="003F61D4"/>
    <w:rsid w:val="003F641F"/>
    <w:rsid w:val="003F647A"/>
    <w:rsid w:val="003F64FA"/>
    <w:rsid w:val="003F650E"/>
    <w:rsid w:val="003F678C"/>
    <w:rsid w:val="003F68A2"/>
    <w:rsid w:val="003F6AC5"/>
    <w:rsid w:val="003F6BB6"/>
    <w:rsid w:val="003F6CA6"/>
    <w:rsid w:val="003F6D34"/>
    <w:rsid w:val="003F6DFA"/>
    <w:rsid w:val="003F6E9B"/>
    <w:rsid w:val="003F6EF5"/>
    <w:rsid w:val="003F6F0E"/>
    <w:rsid w:val="003F6F24"/>
    <w:rsid w:val="003F6F7E"/>
    <w:rsid w:val="003F6F9C"/>
    <w:rsid w:val="003F7028"/>
    <w:rsid w:val="003F70E3"/>
    <w:rsid w:val="003F714E"/>
    <w:rsid w:val="003F729D"/>
    <w:rsid w:val="003F7361"/>
    <w:rsid w:val="003F7374"/>
    <w:rsid w:val="003F7407"/>
    <w:rsid w:val="003F74D4"/>
    <w:rsid w:val="003F7599"/>
    <w:rsid w:val="003F76A7"/>
    <w:rsid w:val="003F77A8"/>
    <w:rsid w:val="003F7808"/>
    <w:rsid w:val="003F781E"/>
    <w:rsid w:val="003F7912"/>
    <w:rsid w:val="003F79FF"/>
    <w:rsid w:val="003F7A43"/>
    <w:rsid w:val="003F7A9F"/>
    <w:rsid w:val="003F7AE8"/>
    <w:rsid w:val="003F7B0E"/>
    <w:rsid w:val="003F7B21"/>
    <w:rsid w:val="003F7B23"/>
    <w:rsid w:val="003F7BFD"/>
    <w:rsid w:val="003F7D45"/>
    <w:rsid w:val="003F7E91"/>
    <w:rsid w:val="003F7F1B"/>
    <w:rsid w:val="003F7F5A"/>
    <w:rsid w:val="00400235"/>
    <w:rsid w:val="00400279"/>
    <w:rsid w:val="004003D2"/>
    <w:rsid w:val="00400401"/>
    <w:rsid w:val="00400578"/>
    <w:rsid w:val="0040058C"/>
    <w:rsid w:val="0040058F"/>
    <w:rsid w:val="004005E7"/>
    <w:rsid w:val="00400723"/>
    <w:rsid w:val="00400777"/>
    <w:rsid w:val="004007FA"/>
    <w:rsid w:val="00400926"/>
    <w:rsid w:val="00400A09"/>
    <w:rsid w:val="00400A82"/>
    <w:rsid w:val="00400AAC"/>
    <w:rsid w:val="00400B44"/>
    <w:rsid w:val="00400C14"/>
    <w:rsid w:val="00400C96"/>
    <w:rsid w:val="00400C99"/>
    <w:rsid w:val="00400D74"/>
    <w:rsid w:val="00400DAB"/>
    <w:rsid w:val="00400FCF"/>
    <w:rsid w:val="0040107C"/>
    <w:rsid w:val="004010A9"/>
    <w:rsid w:val="0040110A"/>
    <w:rsid w:val="0040114C"/>
    <w:rsid w:val="00401150"/>
    <w:rsid w:val="00401215"/>
    <w:rsid w:val="00401314"/>
    <w:rsid w:val="0040155C"/>
    <w:rsid w:val="004015B8"/>
    <w:rsid w:val="004015EF"/>
    <w:rsid w:val="00401619"/>
    <w:rsid w:val="0040171F"/>
    <w:rsid w:val="00401727"/>
    <w:rsid w:val="00401942"/>
    <w:rsid w:val="004019F9"/>
    <w:rsid w:val="00401B69"/>
    <w:rsid w:val="00401B86"/>
    <w:rsid w:val="00401C13"/>
    <w:rsid w:val="00401ED0"/>
    <w:rsid w:val="00401F15"/>
    <w:rsid w:val="00401F90"/>
    <w:rsid w:val="0040217C"/>
    <w:rsid w:val="00402184"/>
    <w:rsid w:val="00402223"/>
    <w:rsid w:val="00402361"/>
    <w:rsid w:val="00402380"/>
    <w:rsid w:val="004023F6"/>
    <w:rsid w:val="00402418"/>
    <w:rsid w:val="004024A3"/>
    <w:rsid w:val="0040252A"/>
    <w:rsid w:val="004025D2"/>
    <w:rsid w:val="004025FB"/>
    <w:rsid w:val="004026FF"/>
    <w:rsid w:val="004027C5"/>
    <w:rsid w:val="0040281B"/>
    <w:rsid w:val="0040282F"/>
    <w:rsid w:val="0040291E"/>
    <w:rsid w:val="004029BA"/>
    <w:rsid w:val="00402A3A"/>
    <w:rsid w:val="00402CAC"/>
    <w:rsid w:val="00402CE6"/>
    <w:rsid w:val="00402D19"/>
    <w:rsid w:val="00402D1E"/>
    <w:rsid w:val="00402D6B"/>
    <w:rsid w:val="00402D7B"/>
    <w:rsid w:val="00402E22"/>
    <w:rsid w:val="00402E52"/>
    <w:rsid w:val="00402FB5"/>
    <w:rsid w:val="00403059"/>
    <w:rsid w:val="004030B8"/>
    <w:rsid w:val="004030E1"/>
    <w:rsid w:val="004032A6"/>
    <w:rsid w:val="004032C1"/>
    <w:rsid w:val="004033A5"/>
    <w:rsid w:val="00403415"/>
    <w:rsid w:val="00403501"/>
    <w:rsid w:val="004035E3"/>
    <w:rsid w:val="00403607"/>
    <w:rsid w:val="00403612"/>
    <w:rsid w:val="00403622"/>
    <w:rsid w:val="004036BE"/>
    <w:rsid w:val="004037CC"/>
    <w:rsid w:val="0040387D"/>
    <w:rsid w:val="004038D5"/>
    <w:rsid w:val="00403AFB"/>
    <w:rsid w:val="00403B0D"/>
    <w:rsid w:val="00403B11"/>
    <w:rsid w:val="00403CEC"/>
    <w:rsid w:val="00403D40"/>
    <w:rsid w:val="00403E56"/>
    <w:rsid w:val="00403EAA"/>
    <w:rsid w:val="00403EED"/>
    <w:rsid w:val="00403F63"/>
    <w:rsid w:val="00403F90"/>
    <w:rsid w:val="00403FAE"/>
    <w:rsid w:val="00403FE9"/>
    <w:rsid w:val="00404253"/>
    <w:rsid w:val="0040425F"/>
    <w:rsid w:val="0040427B"/>
    <w:rsid w:val="004042AA"/>
    <w:rsid w:val="00404330"/>
    <w:rsid w:val="00404372"/>
    <w:rsid w:val="004043C8"/>
    <w:rsid w:val="00404557"/>
    <w:rsid w:val="004045B8"/>
    <w:rsid w:val="0040462D"/>
    <w:rsid w:val="0040466F"/>
    <w:rsid w:val="00404769"/>
    <w:rsid w:val="0040490E"/>
    <w:rsid w:val="0040494A"/>
    <w:rsid w:val="004049A8"/>
    <w:rsid w:val="004049C7"/>
    <w:rsid w:val="004049FB"/>
    <w:rsid w:val="00404A68"/>
    <w:rsid w:val="00404C38"/>
    <w:rsid w:val="00404D6E"/>
    <w:rsid w:val="00404DD3"/>
    <w:rsid w:val="00404DD8"/>
    <w:rsid w:val="00404EAF"/>
    <w:rsid w:val="00404F89"/>
    <w:rsid w:val="004050B9"/>
    <w:rsid w:val="004050CF"/>
    <w:rsid w:val="004050E7"/>
    <w:rsid w:val="0040518D"/>
    <w:rsid w:val="00405209"/>
    <w:rsid w:val="0040528A"/>
    <w:rsid w:val="00405322"/>
    <w:rsid w:val="00405661"/>
    <w:rsid w:val="00405668"/>
    <w:rsid w:val="004056A1"/>
    <w:rsid w:val="0040576B"/>
    <w:rsid w:val="0040578C"/>
    <w:rsid w:val="004057E3"/>
    <w:rsid w:val="0040582D"/>
    <w:rsid w:val="00405848"/>
    <w:rsid w:val="00405875"/>
    <w:rsid w:val="004059F8"/>
    <w:rsid w:val="00405C54"/>
    <w:rsid w:val="00406054"/>
    <w:rsid w:val="004060D6"/>
    <w:rsid w:val="0040615F"/>
    <w:rsid w:val="00406201"/>
    <w:rsid w:val="0040630B"/>
    <w:rsid w:val="00406372"/>
    <w:rsid w:val="0040640A"/>
    <w:rsid w:val="0040649C"/>
    <w:rsid w:val="004065CD"/>
    <w:rsid w:val="004066B1"/>
    <w:rsid w:val="004066F9"/>
    <w:rsid w:val="0040684C"/>
    <w:rsid w:val="00406891"/>
    <w:rsid w:val="0040690B"/>
    <w:rsid w:val="00406A2A"/>
    <w:rsid w:val="00406BAF"/>
    <w:rsid w:val="00406C06"/>
    <w:rsid w:val="00406D0D"/>
    <w:rsid w:val="00406DAF"/>
    <w:rsid w:val="00406E3D"/>
    <w:rsid w:val="00406E81"/>
    <w:rsid w:val="00406E86"/>
    <w:rsid w:val="00406F0C"/>
    <w:rsid w:val="00406F28"/>
    <w:rsid w:val="0040710B"/>
    <w:rsid w:val="00407142"/>
    <w:rsid w:val="00407195"/>
    <w:rsid w:val="004071FC"/>
    <w:rsid w:val="004072B6"/>
    <w:rsid w:val="00407360"/>
    <w:rsid w:val="00407390"/>
    <w:rsid w:val="004073F1"/>
    <w:rsid w:val="00407400"/>
    <w:rsid w:val="0040747F"/>
    <w:rsid w:val="004076FD"/>
    <w:rsid w:val="00407703"/>
    <w:rsid w:val="00407742"/>
    <w:rsid w:val="0040779C"/>
    <w:rsid w:val="004078A7"/>
    <w:rsid w:val="004078B5"/>
    <w:rsid w:val="004078BC"/>
    <w:rsid w:val="00407A27"/>
    <w:rsid w:val="00407B35"/>
    <w:rsid w:val="00407B8C"/>
    <w:rsid w:val="00407C26"/>
    <w:rsid w:val="00407C75"/>
    <w:rsid w:val="00407D30"/>
    <w:rsid w:val="00407DE7"/>
    <w:rsid w:val="00407FF5"/>
    <w:rsid w:val="0041005D"/>
    <w:rsid w:val="0041009D"/>
    <w:rsid w:val="004100E2"/>
    <w:rsid w:val="0041020C"/>
    <w:rsid w:val="0041037B"/>
    <w:rsid w:val="0041051A"/>
    <w:rsid w:val="004105D5"/>
    <w:rsid w:val="004105FA"/>
    <w:rsid w:val="00410646"/>
    <w:rsid w:val="00410760"/>
    <w:rsid w:val="004107DA"/>
    <w:rsid w:val="00410935"/>
    <w:rsid w:val="004109FB"/>
    <w:rsid w:val="00410C13"/>
    <w:rsid w:val="00410C29"/>
    <w:rsid w:val="00410CB3"/>
    <w:rsid w:val="00410DDC"/>
    <w:rsid w:val="00410DE2"/>
    <w:rsid w:val="00410F8A"/>
    <w:rsid w:val="00410F9C"/>
    <w:rsid w:val="00411062"/>
    <w:rsid w:val="00411072"/>
    <w:rsid w:val="00411117"/>
    <w:rsid w:val="00411159"/>
    <w:rsid w:val="00411224"/>
    <w:rsid w:val="00411448"/>
    <w:rsid w:val="0041147F"/>
    <w:rsid w:val="0041148D"/>
    <w:rsid w:val="00411564"/>
    <w:rsid w:val="004115BA"/>
    <w:rsid w:val="00411662"/>
    <w:rsid w:val="00411C49"/>
    <w:rsid w:val="00411D16"/>
    <w:rsid w:val="00411DE2"/>
    <w:rsid w:val="004120A9"/>
    <w:rsid w:val="0041224D"/>
    <w:rsid w:val="0041233A"/>
    <w:rsid w:val="00412344"/>
    <w:rsid w:val="00412358"/>
    <w:rsid w:val="00412427"/>
    <w:rsid w:val="004124FC"/>
    <w:rsid w:val="00412584"/>
    <w:rsid w:val="004125C1"/>
    <w:rsid w:val="00412681"/>
    <w:rsid w:val="0041269F"/>
    <w:rsid w:val="00412711"/>
    <w:rsid w:val="0041271B"/>
    <w:rsid w:val="00412724"/>
    <w:rsid w:val="00412773"/>
    <w:rsid w:val="00412863"/>
    <w:rsid w:val="00412A79"/>
    <w:rsid w:val="00412ADC"/>
    <w:rsid w:val="00412AED"/>
    <w:rsid w:val="00412AF7"/>
    <w:rsid w:val="00412BDF"/>
    <w:rsid w:val="00412C3A"/>
    <w:rsid w:val="00412D65"/>
    <w:rsid w:val="00412E28"/>
    <w:rsid w:val="00412F11"/>
    <w:rsid w:val="00412F8C"/>
    <w:rsid w:val="00412FCB"/>
    <w:rsid w:val="00412FDD"/>
    <w:rsid w:val="004130C2"/>
    <w:rsid w:val="0041317F"/>
    <w:rsid w:val="004131A1"/>
    <w:rsid w:val="004132D1"/>
    <w:rsid w:val="00413321"/>
    <w:rsid w:val="0041333A"/>
    <w:rsid w:val="004133BD"/>
    <w:rsid w:val="004133F8"/>
    <w:rsid w:val="00413457"/>
    <w:rsid w:val="004134BB"/>
    <w:rsid w:val="00413557"/>
    <w:rsid w:val="00413620"/>
    <w:rsid w:val="00413656"/>
    <w:rsid w:val="004136A8"/>
    <w:rsid w:val="00413711"/>
    <w:rsid w:val="004137F9"/>
    <w:rsid w:val="004138BF"/>
    <w:rsid w:val="004138E8"/>
    <w:rsid w:val="004138EB"/>
    <w:rsid w:val="00413A06"/>
    <w:rsid w:val="00413B56"/>
    <w:rsid w:val="00413BB6"/>
    <w:rsid w:val="00413BD4"/>
    <w:rsid w:val="00413BE8"/>
    <w:rsid w:val="00413C47"/>
    <w:rsid w:val="00413C86"/>
    <w:rsid w:val="00413D3F"/>
    <w:rsid w:val="00413D7D"/>
    <w:rsid w:val="00413DDB"/>
    <w:rsid w:val="00413ED6"/>
    <w:rsid w:val="00413ED7"/>
    <w:rsid w:val="00413EF8"/>
    <w:rsid w:val="00413FF4"/>
    <w:rsid w:val="00414036"/>
    <w:rsid w:val="0041409E"/>
    <w:rsid w:val="00414159"/>
    <w:rsid w:val="00414170"/>
    <w:rsid w:val="004141EC"/>
    <w:rsid w:val="00414318"/>
    <w:rsid w:val="00414699"/>
    <w:rsid w:val="00414707"/>
    <w:rsid w:val="004147F0"/>
    <w:rsid w:val="004147F5"/>
    <w:rsid w:val="00414862"/>
    <w:rsid w:val="00414939"/>
    <w:rsid w:val="00414B30"/>
    <w:rsid w:val="00414BC8"/>
    <w:rsid w:val="00414BD9"/>
    <w:rsid w:val="00414C27"/>
    <w:rsid w:val="00414C87"/>
    <w:rsid w:val="00414E97"/>
    <w:rsid w:val="00414F5F"/>
    <w:rsid w:val="00414FC8"/>
    <w:rsid w:val="00415006"/>
    <w:rsid w:val="0041500C"/>
    <w:rsid w:val="004150E4"/>
    <w:rsid w:val="004151CC"/>
    <w:rsid w:val="00415273"/>
    <w:rsid w:val="004152B1"/>
    <w:rsid w:val="004152C1"/>
    <w:rsid w:val="004152D3"/>
    <w:rsid w:val="004153B4"/>
    <w:rsid w:val="004154AC"/>
    <w:rsid w:val="00415501"/>
    <w:rsid w:val="00415846"/>
    <w:rsid w:val="0041586A"/>
    <w:rsid w:val="0041589D"/>
    <w:rsid w:val="004158A9"/>
    <w:rsid w:val="004158D0"/>
    <w:rsid w:val="00415910"/>
    <w:rsid w:val="00415985"/>
    <w:rsid w:val="004159EC"/>
    <w:rsid w:val="00415BBE"/>
    <w:rsid w:val="00415CCE"/>
    <w:rsid w:val="00415CE7"/>
    <w:rsid w:val="004160AA"/>
    <w:rsid w:val="00416252"/>
    <w:rsid w:val="004162F4"/>
    <w:rsid w:val="00416328"/>
    <w:rsid w:val="004163B0"/>
    <w:rsid w:val="00416469"/>
    <w:rsid w:val="00416476"/>
    <w:rsid w:val="0041658B"/>
    <w:rsid w:val="00416789"/>
    <w:rsid w:val="004167AE"/>
    <w:rsid w:val="004169FE"/>
    <w:rsid w:val="00416A95"/>
    <w:rsid w:val="00416ACE"/>
    <w:rsid w:val="00416B30"/>
    <w:rsid w:val="00416B96"/>
    <w:rsid w:val="00416BE9"/>
    <w:rsid w:val="00416BFB"/>
    <w:rsid w:val="00416C0E"/>
    <w:rsid w:val="00416C20"/>
    <w:rsid w:val="00416CE2"/>
    <w:rsid w:val="00416D6D"/>
    <w:rsid w:val="00416DD0"/>
    <w:rsid w:val="0041703B"/>
    <w:rsid w:val="00417172"/>
    <w:rsid w:val="004173C4"/>
    <w:rsid w:val="00417453"/>
    <w:rsid w:val="00417462"/>
    <w:rsid w:val="004174C5"/>
    <w:rsid w:val="004175A7"/>
    <w:rsid w:val="00417622"/>
    <w:rsid w:val="00417668"/>
    <w:rsid w:val="004178DB"/>
    <w:rsid w:val="00417962"/>
    <w:rsid w:val="00417966"/>
    <w:rsid w:val="00417BB4"/>
    <w:rsid w:val="00417C25"/>
    <w:rsid w:val="00417C4F"/>
    <w:rsid w:val="00417C6C"/>
    <w:rsid w:val="00417CD8"/>
    <w:rsid w:val="00417D1E"/>
    <w:rsid w:val="00417E1D"/>
    <w:rsid w:val="00417E40"/>
    <w:rsid w:val="00417E77"/>
    <w:rsid w:val="00417F01"/>
    <w:rsid w:val="00417F07"/>
    <w:rsid w:val="00417F75"/>
    <w:rsid w:val="00420018"/>
    <w:rsid w:val="004200F7"/>
    <w:rsid w:val="0042010E"/>
    <w:rsid w:val="0042014F"/>
    <w:rsid w:val="00420205"/>
    <w:rsid w:val="00420261"/>
    <w:rsid w:val="004202B7"/>
    <w:rsid w:val="0042042F"/>
    <w:rsid w:val="00420551"/>
    <w:rsid w:val="00420818"/>
    <w:rsid w:val="00420879"/>
    <w:rsid w:val="004208E4"/>
    <w:rsid w:val="004208F3"/>
    <w:rsid w:val="0042093A"/>
    <w:rsid w:val="00420A0F"/>
    <w:rsid w:val="00420A60"/>
    <w:rsid w:val="00420AAA"/>
    <w:rsid w:val="00420B6C"/>
    <w:rsid w:val="00420C4A"/>
    <w:rsid w:val="00420C61"/>
    <w:rsid w:val="00420F56"/>
    <w:rsid w:val="00420F8B"/>
    <w:rsid w:val="0042111D"/>
    <w:rsid w:val="00421254"/>
    <w:rsid w:val="004212FB"/>
    <w:rsid w:val="00421326"/>
    <w:rsid w:val="00421337"/>
    <w:rsid w:val="0042143A"/>
    <w:rsid w:val="00421464"/>
    <w:rsid w:val="004216BD"/>
    <w:rsid w:val="004216C3"/>
    <w:rsid w:val="00421721"/>
    <w:rsid w:val="0042173C"/>
    <w:rsid w:val="00421763"/>
    <w:rsid w:val="00421821"/>
    <w:rsid w:val="00421923"/>
    <w:rsid w:val="00421936"/>
    <w:rsid w:val="0042198C"/>
    <w:rsid w:val="00421AEA"/>
    <w:rsid w:val="00421CA8"/>
    <w:rsid w:val="00421F7E"/>
    <w:rsid w:val="00421F8C"/>
    <w:rsid w:val="00422116"/>
    <w:rsid w:val="0042214B"/>
    <w:rsid w:val="00422261"/>
    <w:rsid w:val="00422278"/>
    <w:rsid w:val="004222DB"/>
    <w:rsid w:val="004223A3"/>
    <w:rsid w:val="004223AC"/>
    <w:rsid w:val="0042250C"/>
    <w:rsid w:val="00422599"/>
    <w:rsid w:val="00422694"/>
    <w:rsid w:val="004226C2"/>
    <w:rsid w:val="0042277F"/>
    <w:rsid w:val="0042278C"/>
    <w:rsid w:val="004227A9"/>
    <w:rsid w:val="004227AE"/>
    <w:rsid w:val="0042287D"/>
    <w:rsid w:val="00422985"/>
    <w:rsid w:val="0042298E"/>
    <w:rsid w:val="00422BA3"/>
    <w:rsid w:val="00422C43"/>
    <w:rsid w:val="00422CAE"/>
    <w:rsid w:val="00422E7D"/>
    <w:rsid w:val="00422F8E"/>
    <w:rsid w:val="00422FC6"/>
    <w:rsid w:val="0042306E"/>
    <w:rsid w:val="004230A0"/>
    <w:rsid w:val="004230D3"/>
    <w:rsid w:val="004230DA"/>
    <w:rsid w:val="004232FD"/>
    <w:rsid w:val="00423388"/>
    <w:rsid w:val="004233BF"/>
    <w:rsid w:val="004234DB"/>
    <w:rsid w:val="004234EA"/>
    <w:rsid w:val="0042376F"/>
    <w:rsid w:val="004238D5"/>
    <w:rsid w:val="00423957"/>
    <w:rsid w:val="0042395F"/>
    <w:rsid w:val="00423A2D"/>
    <w:rsid w:val="00423AD0"/>
    <w:rsid w:val="00423B32"/>
    <w:rsid w:val="00423B7F"/>
    <w:rsid w:val="00423CD0"/>
    <w:rsid w:val="00424090"/>
    <w:rsid w:val="004240A5"/>
    <w:rsid w:val="00424114"/>
    <w:rsid w:val="0042416E"/>
    <w:rsid w:val="00424242"/>
    <w:rsid w:val="00424314"/>
    <w:rsid w:val="0042437D"/>
    <w:rsid w:val="004243B7"/>
    <w:rsid w:val="004243EC"/>
    <w:rsid w:val="004243F0"/>
    <w:rsid w:val="004244B9"/>
    <w:rsid w:val="00424502"/>
    <w:rsid w:val="0042452D"/>
    <w:rsid w:val="004245DC"/>
    <w:rsid w:val="004245E3"/>
    <w:rsid w:val="004245EA"/>
    <w:rsid w:val="004245F4"/>
    <w:rsid w:val="00424698"/>
    <w:rsid w:val="004246B0"/>
    <w:rsid w:val="004248C5"/>
    <w:rsid w:val="0042496C"/>
    <w:rsid w:val="004249F6"/>
    <w:rsid w:val="00424A4A"/>
    <w:rsid w:val="00424A80"/>
    <w:rsid w:val="00424BDA"/>
    <w:rsid w:val="00424CB2"/>
    <w:rsid w:val="00424E05"/>
    <w:rsid w:val="00424E3E"/>
    <w:rsid w:val="00424E8B"/>
    <w:rsid w:val="00424EE4"/>
    <w:rsid w:val="00424EED"/>
    <w:rsid w:val="00424F9C"/>
    <w:rsid w:val="004250BE"/>
    <w:rsid w:val="0042520F"/>
    <w:rsid w:val="004252A7"/>
    <w:rsid w:val="004252B4"/>
    <w:rsid w:val="0042530A"/>
    <w:rsid w:val="004255CD"/>
    <w:rsid w:val="0042560E"/>
    <w:rsid w:val="00425663"/>
    <w:rsid w:val="004256B2"/>
    <w:rsid w:val="0042574C"/>
    <w:rsid w:val="0042586E"/>
    <w:rsid w:val="004258AB"/>
    <w:rsid w:val="00425AF1"/>
    <w:rsid w:val="00425B12"/>
    <w:rsid w:val="00425B19"/>
    <w:rsid w:val="00425BD4"/>
    <w:rsid w:val="00425C2A"/>
    <w:rsid w:val="00425DF9"/>
    <w:rsid w:val="00425E0C"/>
    <w:rsid w:val="00425E5B"/>
    <w:rsid w:val="00425E94"/>
    <w:rsid w:val="00425F3F"/>
    <w:rsid w:val="00425F46"/>
    <w:rsid w:val="00425FB1"/>
    <w:rsid w:val="00426087"/>
    <w:rsid w:val="004260A6"/>
    <w:rsid w:val="0042612D"/>
    <w:rsid w:val="00426331"/>
    <w:rsid w:val="00426396"/>
    <w:rsid w:val="00426450"/>
    <w:rsid w:val="0042648E"/>
    <w:rsid w:val="004264EF"/>
    <w:rsid w:val="004265AF"/>
    <w:rsid w:val="004266FD"/>
    <w:rsid w:val="00426731"/>
    <w:rsid w:val="004267B1"/>
    <w:rsid w:val="004267CE"/>
    <w:rsid w:val="0042681E"/>
    <w:rsid w:val="00426882"/>
    <w:rsid w:val="004269C2"/>
    <w:rsid w:val="00426B02"/>
    <w:rsid w:val="00426BFB"/>
    <w:rsid w:val="00426BFD"/>
    <w:rsid w:val="00426C61"/>
    <w:rsid w:val="00426E05"/>
    <w:rsid w:val="00426E4A"/>
    <w:rsid w:val="00426F08"/>
    <w:rsid w:val="00426F8F"/>
    <w:rsid w:val="00426FA6"/>
    <w:rsid w:val="00426FD6"/>
    <w:rsid w:val="0042700A"/>
    <w:rsid w:val="0042703F"/>
    <w:rsid w:val="00427299"/>
    <w:rsid w:val="004272BC"/>
    <w:rsid w:val="004272C7"/>
    <w:rsid w:val="004273C3"/>
    <w:rsid w:val="00427565"/>
    <w:rsid w:val="00427920"/>
    <w:rsid w:val="00427997"/>
    <w:rsid w:val="00427A27"/>
    <w:rsid w:val="00427AF8"/>
    <w:rsid w:val="00427BCD"/>
    <w:rsid w:val="00427C1E"/>
    <w:rsid w:val="00427C8E"/>
    <w:rsid w:val="00427D4E"/>
    <w:rsid w:val="00427DD1"/>
    <w:rsid w:val="00427E5F"/>
    <w:rsid w:val="00427F5A"/>
    <w:rsid w:val="0043007D"/>
    <w:rsid w:val="004300C1"/>
    <w:rsid w:val="0043011B"/>
    <w:rsid w:val="00430144"/>
    <w:rsid w:val="004302D9"/>
    <w:rsid w:val="00430337"/>
    <w:rsid w:val="00430384"/>
    <w:rsid w:val="004303D3"/>
    <w:rsid w:val="00430470"/>
    <w:rsid w:val="004304D4"/>
    <w:rsid w:val="004305BB"/>
    <w:rsid w:val="004306B1"/>
    <w:rsid w:val="004306EC"/>
    <w:rsid w:val="0043082E"/>
    <w:rsid w:val="00430838"/>
    <w:rsid w:val="00430955"/>
    <w:rsid w:val="00430985"/>
    <w:rsid w:val="004309AF"/>
    <w:rsid w:val="004309D8"/>
    <w:rsid w:val="00430A46"/>
    <w:rsid w:val="00430A92"/>
    <w:rsid w:val="00430AF6"/>
    <w:rsid w:val="00430B1C"/>
    <w:rsid w:val="00430C4C"/>
    <w:rsid w:val="00430C64"/>
    <w:rsid w:val="00430CE3"/>
    <w:rsid w:val="00430CF7"/>
    <w:rsid w:val="00430D3D"/>
    <w:rsid w:val="00430E30"/>
    <w:rsid w:val="00430E8A"/>
    <w:rsid w:val="00430EA7"/>
    <w:rsid w:val="00430F62"/>
    <w:rsid w:val="00431166"/>
    <w:rsid w:val="004311CC"/>
    <w:rsid w:val="004311EF"/>
    <w:rsid w:val="00431256"/>
    <w:rsid w:val="0043131B"/>
    <w:rsid w:val="00431325"/>
    <w:rsid w:val="0043141B"/>
    <w:rsid w:val="004314FE"/>
    <w:rsid w:val="00431592"/>
    <w:rsid w:val="004315DF"/>
    <w:rsid w:val="0043162C"/>
    <w:rsid w:val="004316B4"/>
    <w:rsid w:val="00431783"/>
    <w:rsid w:val="004317EA"/>
    <w:rsid w:val="00431801"/>
    <w:rsid w:val="004318B6"/>
    <w:rsid w:val="0043191C"/>
    <w:rsid w:val="00431A1A"/>
    <w:rsid w:val="00431AE3"/>
    <w:rsid w:val="00431AFD"/>
    <w:rsid w:val="00431B5A"/>
    <w:rsid w:val="00431CEA"/>
    <w:rsid w:val="00431D09"/>
    <w:rsid w:val="00431D57"/>
    <w:rsid w:val="00431D98"/>
    <w:rsid w:val="00431DF2"/>
    <w:rsid w:val="00431E20"/>
    <w:rsid w:val="00431E21"/>
    <w:rsid w:val="00431E5F"/>
    <w:rsid w:val="00431F3E"/>
    <w:rsid w:val="00431F66"/>
    <w:rsid w:val="0043201C"/>
    <w:rsid w:val="00432074"/>
    <w:rsid w:val="0043208C"/>
    <w:rsid w:val="00432093"/>
    <w:rsid w:val="004320D9"/>
    <w:rsid w:val="004322B2"/>
    <w:rsid w:val="004323C2"/>
    <w:rsid w:val="004324D4"/>
    <w:rsid w:val="00432540"/>
    <w:rsid w:val="0043258B"/>
    <w:rsid w:val="00432677"/>
    <w:rsid w:val="00432699"/>
    <w:rsid w:val="00432709"/>
    <w:rsid w:val="00432717"/>
    <w:rsid w:val="004328B6"/>
    <w:rsid w:val="004328CA"/>
    <w:rsid w:val="00432A60"/>
    <w:rsid w:val="00432A9A"/>
    <w:rsid w:val="00432B09"/>
    <w:rsid w:val="00432BC4"/>
    <w:rsid w:val="00432E14"/>
    <w:rsid w:val="00432E39"/>
    <w:rsid w:val="00432FAC"/>
    <w:rsid w:val="0043301A"/>
    <w:rsid w:val="0043301E"/>
    <w:rsid w:val="00433102"/>
    <w:rsid w:val="00433178"/>
    <w:rsid w:val="00433212"/>
    <w:rsid w:val="004332E8"/>
    <w:rsid w:val="00433375"/>
    <w:rsid w:val="00433406"/>
    <w:rsid w:val="00433437"/>
    <w:rsid w:val="004335E3"/>
    <w:rsid w:val="00433700"/>
    <w:rsid w:val="00433D73"/>
    <w:rsid w:val="00433F56"/>
    <w:rsid w:val="0043405E"/>
    <w:rsid w:val="004340E4"/>
    <w:rsid w:val="004341C3"/>
    <w:rsid w:val="00434227"/>
    <w:rsid w:val="00434433"/>
    <w:rsid w:val="0043458B"/>
    <w:rsid w:val="00434678"/>
    <w:rsid w:val="00434690"/>
    <w:rsid w:val="00434746"/>
    <w:rsid w:val="004347AF"/>
    <w:rsid w:val="0043484D"/>
    <w:rsid w:val="0043491B"/>
    <w:rsid w:val="00434932"/>
    <w:rsid w:val="004349AC"/>
    <w:rsid w:val="00434A5A"/>
    <w:rsid w:val="00434A86"/>
    <w:rsid w:val="00434A9B"/>
    <w:rsid w:val="00434AAB"/>
    <w:rsid w:val="00434B81"/>
    <w:rsid w:val="00434BC8"/>
    <w:rsid w:val="00434BE6"/>
    <w:rsid w:val="00434C30"/>
    <w:rsid w:val="00434D96"/>
    <w:rsid w:val="00434D9E"/>
    <w:rsid w:val="00434E4D"/>
    <w:rsid w:val="00435186"/>
    <w:rsid w:val="004353B8"/>
    <w:rsid w:val="004353B9"/>
    <w:rsid w:val="00435419"/>
    <w:rsid w:val="004355BB"/>
    <w:rsid w:val="0043567D"/>
    <w:rsid w:val="004356D5"/>
    <w:rsid w:val="0043578F"/>
    <w:rsid w:val="00435795"/>
    <w:rsid w:val="0043579C"/>
    <w:rsid w:val="004358A4"/>
    <w:rsid w:val="00435C47"/>
    <w:rsid w:val="00435C6D"/>
    <w:rsid w:val="00435C8A"/>
    <w:rsid w:val="00435DF7"/>
    <w:rsid w:val="00435FA3"/>
    <w:rsid w:val="004361F6"/>
    <w:rsid w:val="004362B4"/>
    <w:rsid w:val="00436317"/>
    <w:rsid w:val="0043633D"/>
    <w:rsid w:val="0043635C"/>
    <w:rsid w:val="00436724"/>
    <w:rsid w:val="0043681E"/>
    <w:rsid w:val="00436959"/>
    <w:rsid w:val="00436976"/>
    <w:rsid w:val="004369D2"/>
    <w:rsid w:val="00436A01"/>
    <w:rsid w:val="00436AA9"/>
    <w:rsid w:val="00436B00"/>
    <w:rsid w:val="00436BB7"/>
    <w:rsid w:val="00436BD1"/>
    <w:rsid w:val="00436C2C"/>
    <w:rsid w:val="00436CF1"/>
    <w:rsid w:val="00436D0D"/>
    <w:rsid w:val="00436D34"/>
    <w:rsid w:val="00436D8A"/>
    <w:rsid w:val="00436F41"/>
    <w:rsid w:val="00436F7D"/>
    <w:rsid w:val="00437031"/>
    <w:rsid w:val="0043714B"/>
    <w:rsid w:val="0043715C"/>
    <w:rsid w:val="00437165"/>
    <w:rsid w:val="00437189"/>
    <w:rsid w:val="0043728E"/>
    <w:rsid w:val="004372AD"/>
    <w:rsid w:val="004372E9"/>
    <w:rsid w:val="00437418"/>
    <w:rsid w:val="00437632"/>
    <w:rsid w:val="00437698"/>
    <w:rsid w:val="00437705"/>
    <w:rsid w:val="00437857"/>
    <w:rsid w:val="00437929"/>
    <w:rsid w:val="004379CA"/>
    <w:rsid w:val="00437A7B"/>
    <w:rsid w:val="00437D98"/>
    <w:rsid w:val="00437DF9"/>
    <w:rsid w:val="00437F88"/>
    <w:rsid w:val="00440000"/>
    <w:rsid w:val="004401C9"/>
    <w:rsid w:val="00440204"/>
    <w:rsid w:val="004402E6"/>
    <w:rsid w:val="0044030F"/>
    <w:rsid w:val="00440392"/>
    <w:rsid w:val="0044039F"/>
    <w:rsid w:val="004403F5"/>
    <w:rsid w:val="00440AAE"/>
    <w:rsid w:val="00440AC9"/>
    <w:rsid w:val="00440B03"/>
    <w:rsid w:val="00440B27"/>
    <w:rsid w:val="00440B6C"/>
    <w:rsid w:val="00440BCC"/>
    <w:rsid w:val="00440D4A"/>
    <w:rsid w:val="00440E27"/>
    <w:rsid w:val="00440E82"/>
    <w:rsid w:val="0044104F"/>
    <w:rsid w:val="004411AC"/>
    <w:rsid w:val="00441215"/>
    <w:rsid w:val="004414E9"/>
    <w:rsid w:val="004414EC"/>
    <w:rsid w:val="00441523"/>
    <w:rsid w:val="0044164A"/>
    <w:rsid w:val="00441669"/>
    <w:rsid w:val="004416A1"/>
    <w:rsid w:val="004416EA"/>
    <w:rsid w:val="00441803"/>
    <w:rsid w:val="00441860"/>
    <w:rsid w:val="004418CF"/>
    <w:rsid w:val="004418E3"/>
    <w:rsid w:val="00441ADB"/>
    <w:rsid w:val="00441BCA"/>
    <w:rsid w:val="00441CE2"/>
    <w:rsid w:val="00441CE5"/>
    <w:rsid w:val="00441D9B"/>
    <w:rsid w:val="00441EF2"/>
    <w:rsid w:val="00441F36"/>
    <w:rsid w:val="00441FC0"/>
    <w:rsid w:val="004420F9"/>
    <w:rsid w:val="004421D1"/>
    <w:rsid w:val="004422E6"/>
    <w:rsid w:val="00442408"/>
    <w:rsid w:val="0044248E"/>
    <w:rsid w:val="004424A8"/>
    <w:rsid w:val="004424B7"/>
    <w:rsid w:val="00442559"/>
    <w:rsid w:val="00442592"/>
    <w:rsid w:val="00442659"/>
    <w:rsid w:val="00442677"/>
    <w:rsid w:val="004426FD"/>
    <w:rsid w:val="00442736"/>
    <w:rsid w:val="004427A8"/>
    <w:rsid w:val="004427FF"/>
    <w:rsid w:val="00442848"/>
    <w:rsid w:val="00442880"/>
    <w:rsid w:val="004428CD"/>
    <w:rsid w:val="0044296F"/>
    <w:rsid w:val="00442973"/>
    <w:rsid w:val="00442996"/>
    <w:rsid w:val="004429E6"/>
    <w:rsid w:val="00442A00"/>
    <w:rsid w:val="00442A2D"/>
    <w:rsid w:val="00442AE6"/>
    <w:rsid w:val="00442B7C"/>
    <w:rsid w:val="00442B91"/>
    <w:rsid w:val="00442D7F"/>
    <w:rsid w:val="00442F09"/>
    <w:rsid w:val="00442FC8"/>
    <w:rsid w:val="00442FE2"/>
    <w:rsid w:val="00442FEA"/>
    <w:rsid w:val="00443003"/>
    <w:rsid w:val="00443080"/>
    <w:rsid w:val="00443093"/>
    <w:rsid w:val="00443155"/>
    <w:rsid w:val="00443186"/>
    <w:rsid w:val="00443288"/>
    <w:rsid w:val="0044339C"/>
    <w:rsid w:val="004435D8"/>
    <w:rsid w:val="004436D2"/>
    <w:rsid w:val="004437FB"/>
    <w:rsid w:val="00443921"/>
    <w:rsid w:val="00443A86"/>
    <w:rsid w:val="00443B9D"/>
    <w:rsid w:val="00443B9E"/>
    <w:rsid w:val="00443BC2"/>
    <w:rsid w:val="00443C0D"/>
    <w:rsid w:val="00443CD1"/>
    <w:rsid w:val="00443D62"/>
    <w:rsid w:val="00443DAC"/>
    <w:rsid w:val="00443EC3"/>
    <w:rsid w:val="00443FE8"/>
    <w:rsid w:val="00444066"/>
    <w:rsid w:val="004440D8"/>
    <w:rsid w:val="004441A8"/>
    <w:rsid w:val="0044428C"/>
    <w:rsid w:val="00444302"/>
    <w:rsid w:val="00444402"/>
    <w:rsid w:val="0044444C"/>
    <w:rsid w:val="004445B7"/>
    <w:rsid w:val="004445B8"/>
    <w:rsid w:val="00444726"/>
    <w:rsid w:val="004447B1"/>
    <w:rsid w:val="00444850"/>
    <w:rsid w:val="004448CC"/>
    <w:rsid w:val="004448FD"/>
    <w:rsid w:val="00444A39"/>
    <w:rsid w:val="00444B1F"/>
    <w:rsid w:val="00444C38"/>
    <w:rsid w:val="00444D6A"/>
    <w:rsid w:val="00444EFC"/>
    <w:rsid w:val="00444F2E"/>
    <w:rsid w:val="00444FD3"/>
    <w:rsid w:val="004451EE"/>
    <w:rsid w:val="00445482"/>
    <w:rsid w:val="004454C8"/>
    <w:rsid w:val="004455CE"/>
    <w:rsid w:val="0044564C"/>
    <w:rsid w:val="0044565F"/>
    <w:rsid w:val="0044568F"/>
    <w:rsid w:val="0044573A"/>
    <w:rsid w:val="004457E1"/>
    <w:rsid w:val="004457EF"/>
    <w:rsid w:val="00445822"/>
    <w:rsid w:val="004458FD"/>
    <w:rsid w:val="004459F2"/>
    <w:rsid w:val="00445AF1"/>
    <w:rsid w:val="00445B3A"/>
    <w:rsid w:val="00445B76"/>
    <w:rsid w:val="00445C8A"/>
    <w:rsid w:val="00445CA2"/>
    <w:rsid w:val="00445CBA"/>
    <w:rsid w:val="00445D1A"/>
    <w:rsid w:val="00445EA5"/>
    <w:rsid w:val="00445F9C"/>
    <w:rsid w:val="00445FB4"/>
    <w:rsid w:val="00445FD4"/>
    <w:rsid w:val="004460DC"/>
    <w:rsid w:val="00446233"/>
    <w:rsid w:val="0044629D"/>
    <w:rsid w:val="004463E5"/>
    <w:rsid w:val="00446453"/>
    <w:rsid w:val="00446538"/>
    <w:rsid w:val="0044655D"/>
    <w:rsid w:val="0044656B"/>
    <w:rsid w:val="00446610"/>
    <w:rsid w:val="004466E4"/>
    <w:rsid w:val="00446755"/>
    <w:rsid w:val="00446761"/>
    <w:rsid w:val="00446784"/>
    <w:rsid w:val="00446797"/>
    <w:rsid w:val="004468A2"/>
    <w:rsid w:val="0044697A"/>
    <w:rsid w:val="00446998"/>
    <w:rsid w:val="004469C4"/>
    <w:rsid w:val="00446A34"/>
    <w:rsid w:val="00446B25"/>
    <w:rsid w:val="00446B49"/>
    <w:rsid w:val="00446BB8"/>
    <w:rsid w:val="00446C87"/>
    <w:rsid w:val="00446D0D"/>
    <w:rsid w:val="00446DAC"/>
    <w:rsid w:val="00446E1D"/>
    <w:rsid w:val="00446E21"/>
    <w:rsid w:val="00446E34"/>
    <w:rsid w:val="00446F19"/>
    <w:rsid w:val="00446F8A"/>
    <w:rsid w:val="00447007"/>
    <w:rsid w:val="004470E5"/>
    <w:rsid w:val="00447139"/>
    <w:rsid w:val="0044727E"/>
    <w:rsid w:val="004472A1"/>
    <w:rsid w:val="00447314"/>
    <w:rsid w:val="0044732C"/>
    <w:rsid w:val="00447377"/>
    <w:rsid w:val="0044745F"/>
    <w:rsid w:val="004476B9"/>
    <w:rsid w:val="0044770F"/>
    <w:rsid w:val="00447779"/>
    <w:rsid w:val="0044785F"/>
    <w:rsid w:val="004478CC"/>
    <w:rsid w:val="0044797B"/>
    <w:rsid w:val="00447A94"/>
    <w:rsid w:val="00447A98"/>
    <w:rsid w:val="00447ACE"/>
    <w:rsid w:val="00447BF4"/>
    <w:rsid w:val="00447D22"/>
    <w:rsid w:val="00447D54"/>
    <w:rsid w:val="00447D6C"/>
    <w:rsid w:val="00447E56"/>
    <w:rsid w:val="00447F0E"/>
    <w:rsid w:val="00447F2E"/>
    <w:rsid w:val="00447FCC"/>
    <w:rsid w:val="004501D5"/>
    <w:rsid w:val="00450288"/>
    <w:rsid w:val="00450511"/>
    <w:rsid w:val="00450528"/>
    <w:rsid w:val="00450592"/>
    <w:rsid w:val="004505BC"/>
    <w:rsid w:val="004507BF"/>
    <w:rsid w:val="00450843"/>
    <w:rsid w:val="00450846"/>
    <w:rsid w:val="004508F4"/>
    <w:rsid w:val="00450A7A"/>
    <w:rsid w:val="00450A95"/>
    <w:rsid w:val="00450AA6"/>
    <w:rsid w:val="00450ACC"/>
    <w:rsid w:val="00450DCC"/>
    <w:rsid w:val="00450E15"/>
    <w:rsid w:val="00450FBB"/>
    <w:rsid w:val="0045106F"/>
    <w:rsid w:val="004510DB"/>
    <w:rsid w:val="00451157"/>
    <w:rsid w:val="00451161"/>
    <w:rsid w:val="004511AE"/>
    <w:rsid w:val="00451277"/>
    <w:rsid w:val="00451284"/>
    <w:rsid w:val="00451415"/>
    <w:rsid w:val="00451433"/>
    <w:rsid w:val="00451452"/>
    <w:rsid w:val="004514ED"/>
    <w:rsid w:val="004515A7"/>
    <w:rsid w:val="0045166A"/>
    <w:rsid w:val="0045166E"/>
    <w:rsid w:val="00451779"/>
    <w:rsid w:val="00451A53"/>
    <w:rsid w:val="00451AC3"/>
    <w:rsid w:val="00451B2C"/>
    <w:rsid w:val="00451B5C"/>
    <w:rsid w:val="00451B74"/>
    <w:rsid w:val="00451BD9"/>
    <w:rsid w:val="00451C21"/>
    <w:rsid w:val="00451CF3"/>
    <w:rsid w:val="00451D09"/>
    <w:rsid w:val="00451D13"/>
    <w:rsid w:val="00451D19"/>
    <w:rsid w:val="00451D22"/>
    <w:rsid w:val="00451D42"/>
    <w:rsid w:val="00451D5F"/>
    <w:rsid w:val="00451D78"/>
    <w:rsid w:val="00451DE3"/>
    <w:rsid w:val="00451E18"/>
    <w:rsid w:val="00451E5C"/>
    <w:rsid w:val="00451FB8"/>
    <w:rsid w:val="00451FD2"/>
    <w:rsid w:val="00452153"/>
    <w:rsid w:val="004523B5"/>
    <w:rsid w:val="004524A0"/>
    <w:rsid w:val="00452651"/>
    <w:rsid w:val="0045266D"/>
    <w:rsid w:val="004526D7"/>
    <w:rsid w:val="00452724"/>
    <w:rsid w:val="004527A2"/>
    <w:rsid w:val="00452844"/>
    <w:rsid w:val="00452886"/>
    <w:rsid w:val="00452994"/>
    <w:rsid w:val="00452A7D"/>
    <w:rsid w:val="00452AE8"/>
    <w:rsid w:val="00452B04"/>
    <w:rsid w:val="00452C96"/>
    <w:rsid w:val="00452DBB"/>
    <w:rsid w:val="00452E51"/>
    <w:rsid w:val="00452EAC"/>
    <w:rsid w:val="00453001"/>
    <w:rsid w:val="0045307F"/>
    <w:rsid w:val="004530CF"/>
    <w:rsid w:val="0045312E"/>
    <w:rsid w:val="004531A6"/>
    <w:rsid w:val="004531AC"/>
    <w:rsid w:val="004531BD"/>
    <w:rsid w:val="00453282"/>
    <w:rsid w:val="004532F6"/>
    <w:rsid w:val="00453324"/>
    <w:rsid w:val="0045342A"/>
    <w:rsid w:val="00453444"/>
    <w:rsid w:val="00453468"/>
    <w:rsid w:val="004534EE"/>
    <w:rsid w:val="00453556"/>
    <w:rsid w:val="00453600"/>
    <w:rsid w:val="004536C2"/>
    <w:rsid w:val="004536DF"/>
    <w:rsid w:val="0045391B"/>
    <w:rsid w:val="0045395A"/>
    <w:rsid w:val="00453AF5"/>
    <w:rsid w:val="00453CAC"/>
    <w:rsid w:val="00453DAC"/>
    <w:rsid w:val="00453DB6"/>
    <w:rsid w:val="00453DC8"/>
    <w:rsid w:val="00453ED2"/>
    <w:rsid w:val="00453F5F"/>
    <w:rsid w:val="0045412E"/>
    <w:rsid w:val="0045419D"/>
    <w:rsid w:val="00454206"/>
    <w:rsid w:val="004542D7"/>
    <w:rsid w:val="00454363"/>
    <w:rsid w:val="00454740"/>
    <w:rsid w:val="004547E8"/>
    <w:rsid w:val="004548F9"/>
    <w:rsid w:val="00454A64"/>
    <w:rsid w:val="00454BB3"/>
    <w:rsid w:val="00454CDE"/>
    <w:rsid w:val="00454DC2"/>
    <w:rsid w:val="00454E79"/>
    <w:rsid w:val="00454EAA"/>
    <w:rsid w:val="00454F7C"/>
    <w:rsid w:val="00454FAC"/>
    <w:rsid w:val="00455064"/>
    <w:rsid w:val="004550B0"/>
    <w:rsid w:val="00455118"/>
    <w:rsid w:val="004551EF"/>
    <w:rsid w:val="0045522A"/>
    <w:rsid w:val="004552CB"/>
    <w:rsid w:val="00455353"/>
    <w:rsid w:val="0045538E"/>
    <w:rsid w:val="00455452"/>
    <w:rsid w:val="004555F1"/>
    <w:rsid w:val="004556AE"/>
    <w:rsid w:val="0045575B"/>
    <w:rsid w:val="004557D4"/>
    <w:rsid w:val="004559EE"/>
    <w:rsid w:val="00455A4E"/>
    <w:rsid w:val="00455BE0"/>
    <w:rsid w:val="00455C01"/>
    <w:rsid w:val="00455C13"/>
    <w:rsid w:val="00455CDD"/>
    <w:rsid w:val="00455D1C"/>
    <w:rsid w:val="00455F02"/>
    <w:rsid w:val="00455F66"/>
    <w:rsid w:val="00455FB7"/>
    <w:rsid w:val="004560D6"/>
    <w:rsid w:val="004560E2"/>
    <w:rsid w:val="004561F8"/>
    <w:rsid w:val="0045628C"/>
    <w:rsid w:val="004562FC"/>
    <w:rsid w:val="00456365"/>
    <w:rsid w:val="0045636A"/>
    <w:rsid w:val="004564F9"/>
    <w:rsid w:val="00456541"/>
    <w:rsid w:val="0045656A"/>
    <w:rsid w:val="00456570"/>
    <w:rsid w:val="004565AF"/>
    <w:rsid w:val="00456607"/>
    <w:rsid w:val="004566E9"/>
    <w:rsid w:val="004567C6"/>
    <w:rsid w:val="0045686B"/>
    <w:rsid w:val="0045694A"/>
    <w:rsid w:val="004569D0"/>
    <w:rsid w:val="00456A27"/>
    <w:rsid w:val="00456ABD"/>
    <w:rsid w:val="00456B96"/>
    <w:rsid w:val="00456CDA"/>
    <w:rsid w:val="00456E27"/>
    <w:rsid w:val="00457086"/>
    <w:rsid w:val="004570C5"/>
    <w:rsid w:val="004572BE"/>
    <w:rsid w:val="00457318"/>
    <w:rsid w:val="004573BC"/>
    <w:rsid w:val="0045753D"/>
    <w:rsid w:val="0045758A"/>
    <w:rsid w:val="00457776"/>
    <w:rsid w:val="0045777C"/>
    <w:rsid w:val="0045791D"/>
    <w:rsid w:val="00457AFC"/>
    <w:rsid w:val="00457B45"/>
    <w:rsid w:val="00457C0D"/>
    <w:rsid w:val="00457C4C"/>
    <w:rsid w:val="00457C5B"/>
    <w:rsid w:val="00457DA3"/>
    <w:rsid w:val="00457DC2"/>
    <w:rsid w:val="00457DD4"/>
    <w:rsid w:val="00457DF1"/>
    <w:rsid w:val="0046004E"/>
    <w:rsid w:val="0046009E"/>
    <w:rsid w:val="004601B3"/>
    <w:rsid w:val="004601BC"/>
    <w:rsid w:val="00460247"/>
    <w:rsid w:val="0046027F"/>
    <w:rsid w:val="00460355"/>
    <w:rsid w:val="00460371"/>
    <w:rsid w:val="004603DD"/>
    <w:rsid w:val="0046041B"/>
    <w:rsid w:val="0046058A"/>
    <w:rsid w:val="0046067A"/>
    <w:rsid w:val="004606CC"/>
    <w:rsid w:val="00460719"/>
    <w:rsid w:val="00460743"/>
    <w:rsid w:val="0046077E"/>
    <w:rsid w:val="00460827"/>
    <w:rsid w:val="004608C1"/>
    <w:rsid w:val="00460920"/>
    <w:rsid w:val="00460921"/>
    <w:rsid w:val="00460933"/>
    <w:rsid w:val="00460AB1"/>
    <w:rsid w:val="00460AF3"/>
    <w:rsid w:val="00460BC3"/>
    <w:rsid w:val="00460D09"/>
    <w:rsid w:val="00460D1F"/>
    <w:rsid w:val="00460D9D"/>
    <w:rsid w:val="00460DCF"/>
    <w:rsid w:val="00460E04"/>
    <w:rsid w:val="00460E3F"/>
    <w:rsid w:val="00460E50"/>
    <w:rsid w:val="00460EB5"/>
    <w:rsid w:val="00460F2F"/>
    <w:rsid w:val="00461113"/>
    <w:rsid w:val="00461144"/>
    <w:rsid w:val="00461335"/>
    <w:rsid w:val="00461415"/>
    <w:rsid w:val="004614B2"/>
    <w:rsid w:val="004614F2"/>
    <w:rsid w:val="0046162F"/>
    <w:rsid w:val="004616A2"/>
    <w:rsid w:val="004616AD"/>
    <w:rsid w:val="00461899"/>
    <w:rsid w:val="00461940"/>
    <w:rsid w:val="00461B0A"/>
    <w:rsid w:val="00461B44"/>
    <w:rsid w:val="00461B5B"/>
    <w:rsid w:val="00461BC4"/>
    <w:rsid w:val="00461C03"/>
    <w:rsid w:val="00461D71"/>
    <w:rsid w:val="00461E0A"/>
    <w:rsid w:val="004621D9"/>
    <w:rsid w:val="004621FD"/>
    <w:rsid w:val="004622EE"/>
    <w:rsid w:val="0046232B"/>
    <w:rsid w:val="004623DE"/>
    <w:rsid w:val="0046274D"/>
    <w:rsid w:val="004627AC"/>
    <w:rsid w:val="004628AC"/>
    <w:rsid w:val="00462945"/>
    <w:rsid w:val="00462A3D"/>
    <w:rsid w:val="00462A53"/>
    <w:rsid w:val="00462B95"/>
    <w:rsid w:val="00462CFC"/>
    <w:rsid w:val="00462E19"/>
    <w:rsid w:val="00462E42"/>
    <w:rsid w:val="00462E55"/>
    <w:rsid w:val="00462E5A"/>
    <w:rsid w:val="00462F61"/>
    <w:rsid w:val="00462FB0"/>
    <w:rsid w:val="00462FE0"/>
    <w:rsid w:val="0046327D"/>
    <w:rsid w:val="004632A5"/>
    <w:rsid w:val="004632AD"/>
    <w:rsid w:val="00463474"/>
    <w:rsid w:val="004635C3"/>
    <w:rsid w:val="004635E0"/>
    <w:rsid w:val="00463701"/>
    <w:rsid w:val="00463740"/>
    <w:rsid w:val="0046374F"/>
    <w:rsid w:val="00463764"/>
    <w:rsid w:val="004638F5"/>
    <w:rsid w:val="00463964"/>
    <w:rsid w:val="004639ED"/>
    <w:rsid w:val="00463C0A"/>
    <w:rsid w:val="00463D30"/>
    <w:rsid w:val="00463DCB"/>
    <w:rsid w:val="00463DFC"/>
    <w:rsid w:val="00463F02"/>
    <w:rsid w:val="00463FE1"/>
    <w:rsid w:val="00463FF1"/>
    <w:rsid w:val="004640B6"/>
    <w:rsid w:val="004642E5"/>
    <w:rsid w:val="0046431D"/>
    <w:rsid w:val="00464335"/>
    <w:rsid w:val="004643E2"/>
    <w:rsid w:val="00464401"/>
    <w:rsid w:val="004644C4"/>
    <w:rsid w:val="00464717"/>
    <w:rsid w:val="00464858"/>
    <w:rsid w:val="00464880"/>
    <w:rsid w:val="0046490F"/>
    <w:rsid w:val="0046493B"/>
    <w:rsid w:val="00464A2D"/>
    <w:rsid w:val="00464AD6"/>
    <w:rsid w:val="00464CCA"/>
    <w:rsid w:val="00464F0B"/>
    <w:rsid w:val="004650A0"/>
    <w:rsid w:val="00465144"/>
    <w:rsid w:val="00465184"/>
    <w:rsid w:val="004653E8"/>
    <w:rsid w:val="0046540F"/>
    <w:rsid w:val="004654E7"/>
    <w:rsid w:val="004655CC"/>
    <w:rsid w:val="00465643"/>
    <w:rsid w:val="004656BF"/>
    <w:rsid w:val="00465793"/>
    <w:rsid w:val="004657BF"/>
    <w:rsid w:val="004657E5"/>
    <w:rsid w:val="004657F4"/>
    <w:rsid w:val="0046580A"/>
    <w:rsid w:val="00465876"/>
    <w:rsid w:val="0046593C"/>
    <w:rsid w:val="00465983"/>
    <w:rsid w:val="00465BAA"/>
    <w:rsid w:val="00465C9D"/>
    <w:rsid w:val="00465CB2"/>
    <w:rsid w:val="00465DBB"/>
    <w:rsid w:val="00465DDE"/>
    <w:rsid w:val="00465DFB"/>
    <w:rsid w:val="00465E95"/>
    <w:rsid w:val="00465ED7"/>
    <w:rsid w:val="00465F3C"/>
    <w:rsid w:val="00465F50"/>
    <w:rsid w:val="00465F80"/>
    <w:rsid w:val="00466137"/>
    <w:rsid w:val="004661A3"/>
    <w:rsid w:val="004663AE"/>
    <w:rsid w:val="004663F8"/>
    <w:rsid w:val="0046654B"/>
    <w:rsid w:val="0046657A"/>
    <w:rsid w:val="00466608"/>
    <w:rsid w:val="0046661B"/>
    <w:rsid w:val="0046674A"/>
    <w:rsid w:val="004667C5"/>
    <w:rsid w:val="0046680F"/>
    <w:rsid w:val="0046683B"/>
    <w:rsid w:val="0046694A"/>
    <w:rsid w:val="0046699A"/>
    <w:rsid w:val="00466A01"/>
    <w:rsid w:val="00466B26"/>
    <w:rsid w:val="00466B56"/>
    <w:rsid w:val="00466B63"/>
    <w:rsid w:val="00466B79"/>
    <w:rsid w:val="00466C5D"/>
    <w:rsid w:val="00466D9D"/>
    <w:rsid w:val="00466DAC"/>
    <w:rsid w:val="00466ED9"/>
    <w:rsid w:val="004671BC"/>
    <w:rsid w:val="004671DB"/>
    <w:rsid w:val="0046729D"/>
    <w:rsid w:val="004673BB"/>
    <w:rsid w:val="004675DF"/>
    <w:rsid w:val="004676BE"/>
    <w:rsid w:val="004676DA"/>
    <w:rsid w:val="0046782D"/>
    <w:rsid w:val="00467838"/>
    <w:rsid w:val="004678DC"/>
    <w:rsid w:val="004679C6"/>
    <w:rsid w:val="004679E5"/>
    <w:rsid w:val="00467A35"/>
    <w:rsid w:val="00467AA5"/>
    <w:rsid w:val="00467AD1"/>
    <w:rsid w:val="00467B3E"/>
    <w:rsid w:val="00467B7B"/>
    <w:rsid w:val="00467B87"/>
    <w:rsid w:val="00467BAA"/>
    <w:rsid w:val="00467BDF"/>
    <w:rsid w:val="00467C4D"/>
    <w:rsid w:val="00467C6A"/>
    <w:rsid w:val="00467C6B"/>
    <w:rsid w:val="00467CB7"/>
    <w:rsid w:val="00467D84"/>
    <w:rsid w:val="00467DBA"/>
    <w:rsid w:val="00467DDB"/>
    <w:rsid w:val="00467E3F"/>
    <w:rsid w:val="00467EFA"/>
    <w:rsid w:val="00467F9D"/>
    <w:rsid w:val="004700F6"/>
    <w:rsid w:val="004701C1"/>
    <w:rsid w:val="00470240"/>
    <w:rsid w:val="004702D0"/>
    <w:rsid w:val="0047039D"/>
    <w:rsid w:val="00470504"/>
    <w:rsid w:val="004705DF"/>
    <w:rsid w:val="00470614"/>
    <w:rsid w:val="004707E9"/>
    <w:rsid w:val="004707F4"/>
    <w:rsid w:val="00470802"/>
    <w:rsid w:val="004708AA"/>
    <w:rsid w:val="00470938"/>
    <w:rsid w:val="004709CD"/>
    <w:rsid w:val="00470A36"/>
    <w:rsid w:val="00470A9A"/>
    <w:rsid w:val="00470B5A"/>
    <w:rsid w:val="00470B69"/>
    <w:rsid w:val="00470D1D"/>
    <w:rsid w:val="00470D31"/>
    <w:rsid w:val="00470D4F"/>
    <w:rsid w:val="00470DA0"/>
    <w:rsid w:val="00470DAF"/>
    <w:rsid w:val="00470DE3"/>
    <w:rsid w:val="00470F34"/>
    <w:rsid w:val="00470F7E"/>
    <w:rsid w:val="00471032"/>
    <w:rsid w:val="004710C1"/>
    <w:rsid w:val="004713C8"/>
    <w:rsid w:val="00471493"/>
    <w:rsid w:val="00471572"/>
    <w:rsid w:val="004715BF"/>
    <w:rsid w:val="004718C7"/>
    <w:rsid w:val="00471965"/>
    <w:rsid w:val="00471A01"/>
    <w:rsid w:val="00471ACC"/>
    <w:rsid w:val="00471ADC"/>
    <w:rsid w:val="00471B32"/>
    <w:rsid w:val="00471B33"/>
    <w:rsid w:val="00471B86"/>
    <w:rsid w:val="00471BCB"/>
    <w:rsid w:val="00471C97"/>
    <w:rsid w:val="00471CA1"/>
    <w:rsid w:val="00471CC6"/>
    <w:rsid w:val="00471D34"/>
    <w:rsid w:val="00471E80"/>
    <w:rsid w:val="004720AE"/>
    <w:rsid w:val="004720C3"/>
    <w:rsid w:val="004720FA"/>
    <w:rsid w:val="004721DF"/>
    <w:rsid w:val="00472211"/>
    <w:rsid w:val="0047248F"/>
    <w:rsid w:val="004725BD"/>
    <w:rsid w:val="004726A0"/>
    <w:rsid w:val="004726BF"/>
    <w:rsid w:val="00472774"/>
    <w:rsid w:val="0047278F"/>
    <w:rsid w:val="00472804"/>
    <w:rsid w:val="00472967"/>
    <w:rsid w:val="004729C2"/>
    <w:rsid w:val="00472A47"/>
    <w:rsid w:val="00472BBC"/>
    <w:rsid w:val="00472C21"/>
    <w:rsid w:val="00472CE5"/>
    <w:rsid w:val="00472D6C"/>
    <w:rsid w:val="00472DF5"/>
    <w:rsid w:val="00472EC6"/>
    <w:rsid w:val="00472ED6"/>
    <w:rsid w:val="00473067"/>
    <w:rsid w:val="0047312C"/>
    <w:rsid w:val="004731F7"/>
    <w:rsid w:val="004732AB"/>
    <w:rsid w:val="00473637"/>
    <w:rsid w:val="0047363B"/>
    <w:rsid w:val="004736A1"/>
    <w:rsid w:val="004736AF"/>
    <w:rsid w:val="00473707"/>
    <w:rsid w:val="00473745"/>
    <w:rsid w:val="00473751"/>
    <w:rsid w:val="0047378F"/>
    <w:rsid w:val="004738B6"/>
    <w:rsid w:val="00473919"/>
    <w:rsid w:val="00473982"/>
    <w:rsid w:val="004739BB"/>
    <w:rsid w:val="00473B6E"/>
    <w:rsid w:val="00473C87"/>
    <w:rsid w:val="00473D3D"/>
    <w:rsid w:val="00473DA3"/>
    <w:rsid w:val="00473DA7"/>
    <w:rsid w:val="00473EAC"/>
    <w:rsid w:val="004740F0"/>
    <w:rsid w:val="004740FA"/>
    <w:rsid w:val="00474125"/>
    <w:rsid w:val="0047420F"/>
    <w:rsid w:val="0047423B"/>
    <w:rsid w:val="00474288"/>
    <w:rsid w:val="004743ED"/>
    <w:rsid w:val="004744C9"/>
    <w:rsid w:val="0047458F"/>
    <w:rsid w:val="004745DA"/>
    <w:rsid w:val="004745E9"/>
    <w:rsid w:val="0047468A"/>
    <w:rsid w:val="004746E3"/>
    <w:rsid w:val="004746FC"/>
    <w:rsid w:val="0047478F"/>
    <w:rsid w:val="004747B9"/>
    <w:rsid w:val="004747CF"/>
    <w:rsid w:val="00474885"/>
    <w:rsid w:val="004749E4"/>
    <w:rsid w:val="00474AC0"/>
    <w:rsid w:val="00474B1E"/>
    <w:rsid w:val="00474B84"/>
    <w:rsid w:val="00474D1F"/>
    <w:rsid w:val="00474D3F"/>
    <w:rsid w:val="00474E65"/>
    <w:rsid w:val="00474ECC"/>
    <w:rsid w:val="00474F29"/>
    <w:rsid w:val="00474FBB"/>
    <w:rsid w:val="004750C5"/>
    <w:rsid w:val="0047519B"/>
    <w:rsid w:val="004754B8"/>
    <w:rsid w:val="00475520"/>
    <w:rsid w:val="00475650"/>
    <w:rsid w:val="004756B2"/>
    <w:rsid w:val="00475742"/>
    <w:rsid w:val="00475752"/>
    <w:rsid w:val="00475931"/>
    <w:rsid w:val="00475AD5"/>
    <w:rsid w:val="00475C34"/>
    <w:rsid w:val="00475C38"/>
    <w:rsid w:val="00475C7B"/>
    <w:rsid w:val="00475CE6"/>
    <w:rsid w:val="00475CEF"/>
    <w:rsid w:val="00475D7B"/>
    <w:rsid w:val="00475F6E"/>
    <w:rsid w:val="0047604E"/>
    <w:rsid w:val="00476198"/>
    <w:rsid w:val="0047619C"/>
    <w:rsid w:val="0047620F"/>
    <w:rsid w:val="0047623C"/>
    <w:rsid w:val="00476298"/>
    <w:rsid w:val="0047636A"/>
    <w:rsid w:val="0047636C"/>
    <w:rsid w:val="0047640F"/>
    <w:rsid w:val="00476430"/>
    <w:rsid w:val="00476489"/>
    <w:rsid w:val="004764D9"/>
    <w:rsid w:val="0047658B"/>
    <w:rsid w:val="004765AE"/>
    <w:rsid w:val="004766A7"/>
    <w:rsid w:val="0047671D"/>
    <w:rsid w:val="004767F4"/>
    <w:rsid w:val="00476870"/>
    <w:rsid w:val="00476A54"/>
    <w:rsid w:val="00476B00"/>
    <w:rsid w:val="00476BF6"/>
    <w:rsid w:val="00476C96"/>
    <w:rsid w:val="00476CD9"/>
    <w:rsid w:val="00476E11"/>
    <w:rsid w:val="00476F31"/>
    <w:rsid w:val="0047703C"/>
    <w:rsid w:val="004771CD"/>
    <w:rsid w:val="004772A8"/>
    <w:rsid w:val="00477351"/>
    <w:rsid w:val="004773CB"/>
    <w:rsid w:val="00477526"/>
    <w:rsid w:val="00477581"/>
    <w:rsid w:val="004775D0"/>
    <w:rsid w:val="00477627"/>
    <w:rsid w:val="004776C2"/>
    <w:rsid w:val="0047797A"/>
    <w:rsid w:val="0047799D"/>
    <w:rsid w:val="00477D1A"/>
    <w:rsid w:val="00477E8D"/>
    <w:rsid w:val="00477EBB"/>
    <w:rsid w:val="00477F09"/>
    <w:rsid w:val="00477F9E"/>
    <w:rsid w:val="0048002E"/>
    <w:rsid w:val="00480207"/>
    <w:rsid w:val="004802E5"/>
    <w:rsid w:val="00480315"/>
    <w:rsid w:val="0048043D"/>
    <w:rsid w:val="00480477"/>
    <w:rsid w:val="004804D0"/>
    <w:rsid w:val="0048072F"/>
    <w:rsid w:val="004807B7"/>
    <w:rsid w:val="004807E6"/>
    <w:rsid w:val="004807ED"/>
    <w:rsid w:val="0048086D"/>
    <w:rsid w:val="0048093A"/>
    <w:rsid w:val="0048096B"/>
    <w:rsid w:val="00480970"/>
    <w:rsid w:val="004809A1"/>
    <w:rsid w:val="00480AD3"/>
    <w:rsid w:val="00480B9D"/>
    <w:rsid w:val="00480BDF"/>
    <w:rsid w:val="00480C9A"/>
    <w:rsid w:val="00480ECD"/>
    <w:rsid w:val="00480F04"/>
    <w:rsid w:val="00480F08"/>
    <w:rsid w:val="00480F50"/>
    <w:rsid w:val="00481056"/>
    <w:rsid w:val="00481213"/>
    <w:rsid w:val="00481263"/>
    <w:rsid w:val="0048130A"/>
    <w:rsid w:val="004813B4"/>
    <w:rsid w:val="0048141D"/>
    <w:rsid w:val="00481507"/>
    <w:rsid w:val="0048157E"/>
    <w:rsid w:val="0048159D"/>
    <w:rsid w:val="00481666"/>
    <w:rsid w:val="004816A0"/>
    <w:rsid w:val="004816D3"/>
    <w:rsid w:val="004816F6"/>
    <w:rsid w:val="0048183C"/>
    <w:rsid w:val="00481879"/>
    <w:rsid w:val="0048194A"/>
    <w:rsid w:val="004819E2"/>
    <w:rsid w:val="00481A0B"/>
    <w:rsid w:val="00481A66"/>
    <w:rsid w:val="00481A9F"/>
    <w:rsid w:val="00481B0C"/>
    <w:rsid w:val="00481BDD"/>
    <w:rsid w:val="00481C37"/>
    <w:rsid w:val="00481C56"/>
    <w:rsid w:val="00481D2A"/>
    <w:rsid w:val="00481D39"/>
    <w:rsid w:val="00481F37"/>
    <w:rsid w:val="00481F8C"/>
    <w:rsid w:val="004821B7"/>
    <w:rsid w:val="004822A3"/>
    <w:rsid w:val="004822B5"/>
    <w:rsid w:val="00482481"/>
    <w:rsid w:val="004824F5"/>
    <w:rsid w:val="0048259C"/>
    <w:rsid w:val="004825E6"/>
    <w:rsid w:val="00482842"/>
    <w:rsid w:val="00482845"/>
    <w:rsid w:val="00482881"/>
    <w:rsid w:val="00482887"/>
    <w:rsid w:val="004829D1"/>
    <w:rsid w:val="00482A4D"/>
    <w:rsid w:val="00482B47"/>
    <w:rsid w:val="00482B4C"/>
    <w:rsid w:val="00482B6E"/>
    <w:rsid w:val="00482BFC"/>
    <w:rsid w:val="00482C6C"/>
    <w:rsid w:val="00482C6D"/>
    <w:rsid w:val="00482C9E"/>
    <w:rsid w:val="00482D4D"/>
    <w:rsid w:val="00482D50"/>
    <w:rsid w:val="00482DA1"/>
    <w:rsid w:val="00482DAF"/>
    <w:rsid w:val="00482DC1"/>
    <w:rsid w:val="00482E23"/>
    <w:rsid w:val="00482E3C"/>
    <w:rsid w:val="00482E3E"/>
    <w:rsid w:val="00482E47"/>
    <w:rsid w:val="00482EEC"/>
    <w:rsid w:val="00482F3F"/>
    <w:rsid w:val="00482FFF"/>
    <w:rsid w:val="00483231"/>
    <w:rsid w:val="0048324B"/>
    <w:rsid w:val="0048328E"/>
    <w:rsid w:val="00483341"/>
    <w:rsid w:val="004833A9"/>
    <w:rsid w:val="0048347B"/>
    <w:rsid w:val="00483580"/>
    <w:rsid w:val="0048374E"/>
    <w:rsid w:val="004839FE"/>
    <w:rsid w:val="00483AC3"/>
    <w:rsid w:val="00483B69"/>
    <w:rsid w:val="00483BDC"/>
    <w:rsid w:val="00483BF8"/>
    <w:rsid w:val="00483C6B"/>
    <w:rsid w:val="00483C73"/>
    <w:rsid w:val="00483CFD"/>
    <w:rsid w:val="00483D13"/>
    <w:rsid w:val="00483DD1"/>
    <w:rsid w:val="00483E52"/>
    <w:rsid w:val="00483ED5"/>
    <w:rsid w:val="00483F39"/>
    <w:rsid w:val="00483F83"/>
    <w:rsid w:val="004840CF"/>
    <w:rsid w:val="004840F6"/>
    <w:rsid w:val="0048422E"/>
    <w:rsid w:val="0048425B"/>
    <w:rsid w:val="004842CE"/>
    <w:rsid w:val="004842F9"/>
    <w:rsid w:val="00484703"/>
    <w:rsid w:val="0048471F"/>
    <w:rsid w:val="00484773"/>
    <w:rsid w:val="004847CF"/>
    <w:rsid w:val="004847D8"/>
    <w:rsid w:val="004847DE"/>
    <w:rsid w:val="004849AB"/>
    <w:rsid w:val="00484A24"/>
    <w:rsid w:val="00484A65"/>
    <w:rsid w:val="00484C77"/>
    <w:rsid w:val="00484DDC"/>
    <w:rsid w:val="00484DFC"/>
    <w:rsid w:val="00484E06"/>
    <w:rsid w:val="00484F75"/>
    <w:rsid w:val="00485090"/>
    <w:rsid w:val="00485106"/>
    <w:rsid w:val="00485193"/>
    <w:rsid w:val="004851B7"/>
    <w:rsid w:val="004851EF"/>
    <w:rsid w:val="00485358"/>
    <w:rsid w:val="00485431"/>
    <w:rsid w:val="00485450"/>
    <w:rsid w:val="00485555"/>
    <w:rsid w:val="00485665"/>
    <w:rsid w:val="004856BC"/>
    <w:rsid w:val="004856D5"/>
    <w:rsid w:val="004856E4"/>
    <w:rsid w:val="0048573C"/>
    <w:rsid w:val="00485819"/>
    <w:rsid w:val="004858AB"/>
    <w:rsid w:val="004858DE"/>
    <w:rsid w:val="00485923"/>
    <w:rsid w:val="00485A1A"/>
    <w:rsid w:val="00485B38"/>
    <w:rsid w:val="00485CCD"/>
    <w:rsid w:val="00485DA4"/>
    <w:rsid w:val="00485DEF"/>
    <w:rsid w:val="00485E33"/>
    <w:rsid w:val="00486025"/>
    <w:rsid w:val="00486217"/>
    <w:rsid w:val="00486357"/>
    <w:rsid w:val="004863AD"/>
    <w:rsid w:val="0048651C"/>
    <w:rsid w:val="0048652D"/>
    <w:rsid w:val="00486695"/>
    <w:rsid w:val="004866D9"/>
    <w:rsid w:val="0048674D"/>
    <w:rsid w:val="004867C1"/>
    <w:rsid w:val="004867F6"/>
    <w:rsid w:val="00486974"/>
    <w:rsid w:val="00486A26"/>
    <w:rsid w:val="00486A48"/>
    <w:rsid w:val="00486C9E"/>
    <w:rsid w:val="00486CF9"/>
    <w:rsid w:val="00486D32"/>
    <w:rsid w:val="00486D96"/>
    <w:rsid w:val="00486F0D"/>
    <w:rsid w:val="00486F17"/>
    <w:rsid w:val="00486FC0"/>
    <w:rsid w:val="00487008"/>
    <w:rsid w:val="00487093"/>
    <w:rsid w:val="0048709A"/>
    <w:rsid w:val="00487173"/>
    <w:rsid w:val="0048728A"/>
    <w:rsid w:val="004872E5"/>
    <w:rsid w:val="004872FE"/>
    <w:rsid w:val="00487412"/>
    <w:rsid w:val="0048753B"/>
    <w:rsid w:val="004875A7"/>
    <w:rsid w:val="004875DD"/>
    <w:rsid w:val="00487642"/>
    <w:rsid w:val="004876D6"/>
    <w:rsid w:val="0048770D"/>
    <w:rsid w:val="0048781F"/>
    <w:rsid w:val="004878AC"/>
    <w:rsid w:val="004878C2"/>
    <w:rsid w:val="004878CF"/>
    <w:rsid w:val="00487A20"/>
    <w:rsid w:val="00487A90"/>
    <w:rsid w:val="00487A9C"/>
    <w:rsid w:val="00487CE4"/>
    <w:rsid w:val="00487E0F"/>
    <w:rsid w:val="00487ECF"/>
    <w:rsid w:val="00487F51"/>
    <w:rsid w:val="00487FA7"/>
    <w:rsid w:val="00490031"/>
    <w:rsid w:val="00490043"/>
    <w:rsid w:val="0049004B"/>
    <w:rsid w:val="00490065"/>
    <w:rsid w:val="00490182"/>
    <w:rsid w:val="004902AA"/>
    <w:rsid w:val="00490439"/>
    <w:rsid w:val="0049046F"/>
    <w:rsid w:val="00490520"/>
    <w:rsid w:val="00490550"/>
    <w:rsid w:val="00490785"/>
    <w:rsid w:val="0049085E"/>
    <w:rsid w:val="00490868"/>
    <w:rsid w:val="004908FF"/>
    <w:rsid w:val="00490A35"/>
    <w:rsid w:val="00490AAF"/>
    <w:rsid w:val="00490B3D"/>
    <w:rsid w:val="00490BB1"/>
    <w:rsid w:val="00490BCF"/>
    <w:rsid w:val="00490BD9"/>
    <w:rsid w:val="00490CC9"/>
    <w:rsid w:val="00490DDD"/>
    <w:rsid w:val="00490F47"/>
    <w:rsid w:val="00490F88"/>
    <w:rsid w:val="00491140"/>
    <w:rsid w:val="00491178"/>
    <w:rsid w:val="0049125B"/>
    <w:rsid w:val="004912B2"/>
    <w:rsid w:val="0049143B"/>
    <w:rsid w:val="00491556"/>
    <w:rsid w:val="0049157B"/>
    <w:rsid w:val="004916FC"/>
    <w:rsid w:val="004917A7"/>
    <w:rsid w:val="004917C4"/>
    <w:rsid w:val="00491838"/>
    <w:rsid w:val="00491955"/>
    <w:rsid w:val="004919AD"/>
    <w:rsid w:val="00491A09"/>
    <w:rsid w:val="00491A75"/>
    <w:rsid w:val="00491BC6"/>
    <w:rsid w:val="00491D6A"/>
    <w:rsid w:val="00491D6E"/>
    <w:rsid w:val="00491E12"/>
    <w:rsid w:val="00491E71"/>
    <w:rsid w:val="00491E81"/>
    <w:rsid w:val="00492108"/>
    <w:rsid w:val="0049212F"/>
    <w:rsid w:val="0049213E"/>
    <w:rsid w:val="004924CE"/>
    <w:rsid w:val="0049251C"/>
    <w:rsid w:val="00492621"/>
    <w:rsid w:val="004927AA"/>
    <w:rsid w:val="004927DD"/>
    <w:rsid w:val="00492878"/>
    <w:rsid w:val="00492A63"/>
    <w:rsid w:val="00492ABE"/>
    <w:rsid w:val="00492ADC"/>
    <w:rsid w:val="00492B94"/>
    <w:rsid w:val="00492C21"/>
    <w:rsid w:val="00492C30"/>
    <w:rsid w:val="00492CAD"/>
    <w:rsid w:val="00492DD0"/>
    <w:rsid w:val="004930B2"/>
    <w:rsid w:val="00493105"/>
    <w:rsid w:val="004931AF"/>
    <w:rsid w:val="00493291"/>
    <w:rsid w:val="00493317"/>
    <w:rsid w:val="00493489"/>
    <w:rsid w:val="004934B9"/>
    <w:rsid w:val="004936D0"/>
    <w:rsid w:val="004936D2"/>
    <w:rsid w:val="00493829"/>
    <w:rsid w:val="004938CE"/>
    <w:rsid w:val="004938DB"/>
    <w:rsid w:val="0049393A"/>
    <w:rsid w:val="004939C3"/>
    <w:rsid w:val="00493A93"/>
    <w:rsid w:val="00493CA1"/>
    <w:rsid w:val="00493D08"/>
    <w:rsid w:val="00493D34"/>
    <w:rsid w:val="00493ED5"/>
    <w:rsid w:val="00493F50"/>
    <w:rsid w:val="00493F8B"/>
    <w:rsid w:val="004940E7"/>
    <w:rsid w:val="00494111"/>
    <w:rsid w:val="00494115"/>
    <w:rsid w:val="004941F6"/>
    <w:rsid w:val="00494218"/>
    <w:rsid w:val="0049439B"/>
    <w:rsid w:val="004944A1"/>
    <w:rsid w:val="004944C6"/>
    <w:rsid w:val="00494589"/>
    <w:rsid w:val="004945D9"/>
    <w:rsid w:val="004945EC"/>
    <w:rsid w:val="004946D5"/>
    <w:rsid w:val="00494779"/>
    <w:rsid w:val="00494789"/>
    <w:rsid w:val="0049478B"/>
    <w:rsid w:val="004947A5"/>
    <w:rsid w:val="004947A8"/>
    <w:rsid w:val="004947F4"/>
    <w:rsid w:val="0049482D"/>
    <w:rsid w:val="004949E7"/>
    <w:rsid w:val="00494A38"/>
    <w:rsid w:val="00494C3F"/>
    <w:rsid w:val="00494C56"/>
    <w:rsid w:val="00494C7E"/>
    <w:rsid w:val="00494D51"/>
    <w:rsid w:val="00494E44"/>
    <w:rsid w:val="00494EDF"/>
    <w:rsid w:val="00494EE5"/>
    <w:rsid w:val="00494FEE"/>
    <w:rsid w:val="0049516D"/>
    <w:rsid w:val="004951B1"/>
    <w:rsid w:val="004951F8"/>
    <w:rsid w:val="00495264"/>
    <w:rsid w:val="004952CD"/>
    <w:rsid w:val="004953EF"/>
    <w:rsid w:val="004954AD"/>
    <w:rsid w:val="0049556C"/>
    <w:rsid w:val="00495667"/>
    <w:rsid w:val="0049566B"/>
    <w:rsid w:val="004956A2"/>
    <w:rsid w:val="0049573A"/>
    <w:rsid w:val="00495787"/>
    <w:rsid w:val="0049579E"/>
    <w:rsid w:val="00495884"/>
    <w:rsid w:val="004959AF"/>
    <w:rsid w:val="00495A70"/>
    <w:rsid w:val="00495AAB"/>
    <w:rsid w:val="00495AEE"/>
    <w:rsid w:val="00495BF2"/>
    <w:rsid w:val="00495CB0"/>
    <w:rsid w:val="00495CF5"/>
    <w:rsid w:val="00495E69"/>
    <w:rsid w:val="00495EB6"/>
    <w:rsid w:val="00496164"/>
    <w:rsid w:val="00496250"/>
    <w:rsid w:val="00496263"/>
    <w:rsid w:val="0049626F"/>
    <w:rsid w:val="004962E4"/>
    <w:rsid w:val="00496380"/>
    <w:rsid w:val="00496557"/>
    <w:rsid w:val="0049673B"/>
    <w:rsid w:val="004967B5"/>
    <w:rsid w:val="00496895"/>
    <w:rsid w:val="00496940"/>
    <w:rsid w:val="00496959"/>
    <w:rsid w:val="0049697C"/>
    <w:rsid w:val="00496A12"/>
    <w:rsid w:val="00496A82"/>
    <w:rsid w:val="00496AF3"/>
    <w:rsid w:val="00496C38"/>
    <w:rsid w:val="00496CE4"/>
    <w:rsid w:val="00496D1E"/>
    <w:rsid w:val="00496E85"/>
    <w:rsid w:val="00496F10"/>
    <w:rsid w:val="004970EF"/>
    <w:rsid w:val="0049710C"/>
    <w:rsid w:val="00497120"/>
    <w:rsid w:val="0049714D"/>
    <w:rsid w:val="00497197"/>
    <w:rsid w:val="00497277"/>
    <w:rsid w:val="0049728E"/>
    <w:rsid w:val="004972F6"/>
    <w:rsid w:val="0049730B"/>
    <w:rsid w:val="004976D7"/>
    <w:rsid w:val="0049770C"/>
    <w:rsid w:val="004977E9"/>
    <w:rsid w:val="004977FA"/>
    <w:rsid w:val="004978CC"/>
    <w:rsid w:val="004979BB"/>
    <w:rsid w:val="00497A75"/>
    <w:rsid w:val="00497A93"/>
    <w:rsid w:val="00497B8D"/>
    <w:rsid w:val="00497B95"/>
    <w:rsid w:val="00497B96"/>
    <w:rsid w:val="00497D9A"/>
    <w:rsid w:val="00497E00"/>
    <w:rsid w:val="00497F22"/>
    <w:rsid w:val="00497FF9"/>
    <w:rsid w:val="004A01EA"/>
    <w:rsid w:val="004A02BB"/>
    <w:rsid w:val="004A050B"/>
    <w:rsid w:val="004A05E1"/>
    <w:rsid w:val="004A064F"/>
    <w:rsid w:val="004A0724"/>
    <w:rsid w:val="004A0743"/>
    <w:rsid w:val="004A07E0"/>
    <w:rsid w:val="004A0956"/>
    <w:rsid w:val="004A0AAF"/>
    <w:rsid w:val="004A0B4F"/>
    <w:rsid w:val="004A0BDB"/>
    <w:rsid w:val="004A0C1B"/>
    <w:rsid w:val="004A0C20"/>
    <w:rsid w:val="004A0C2E"/>
    <w:rsid w:val="004A0C5B"/>
    <w:rsid w:val="004A0D3A"/>
    <w:rsid w:val="004A0E1E"/>
    <w:rsid w:val="004A0F5C"/>
    <w:rsid w:val="004A109C"/>
    <w:rsid w:val="004A10C3"/>
    <w:rsid w:val="004A113B"/>
    <w:rsid w:val="004A114D"/>
    <w:rsid w:val="004A12B2"/>
    <w:rsid w:val="004A1324"/>
    <w:rsid w:val="004A1405"/>
    <w:rsid w:val="004A1417"/>
    <w:rsid w:val="004A141A"/>
    <w:rsid w:val="004A144B"/>
    <w:rsid w:val="004A14E8"/>
    <w:rsid w:val="004A1535"/>
    <w:rsid w:val="004A156A"/>
    <w:rsid w:val="004A1631"/>
    <w:rsid w:val="004A165B"/>
    <w:rsid w:val="004A188F"/>
    <w:rsid w:val="004A19B3"/>
    <w:rsid w:val="004A1D43"/>
    <w:rsid w:val="004A1DCC"/>
    <w:rsid w:val="004A1F0D"/>
    <w:rsid w:val="004A1F19"/>
    <w:rsid w:val="004A1F52"/>
    <w:rsid w:val="004A20C9"/>
    <w:rsid w:val="004A20F5"/>
    <w:rsid w:val="004A21C9"/>
    <w:rsid w:val="004A2235"/>
    <w:rsid w:val="004A226F"/>
    <w:rsid w:val="004A22A0"/>
    <w:rsid w:val="004A22F7"/>
    <w:rsid w:val="004A2399"/>
    <w:rsid w:val="004A23B7"/>
    <w:rsid w:val="004A23C4"/>
    <w:rsid w:val="004A262F"/>
    <w:rsid w:val="004A26F2"/>
    <w:rsid w:val="004A26F3"/>
    <w:rsid w:val="004A271E"/>
    <w:rsid w:val="004A27C6"/>
    <w:rsid w:val="004A280E"/>
    <w:rsid w:val="004A28B7"/>
    <w:rsid w:val="004A2918"/>
    <w:rsid w:val="004A2AD2"/>
    <w:rsid w:val="004A2CED"/>
    <w:rsid w:val="004A2D2D"/>
    <w:rsid w:val="004A2DA0"/>
    <w:rsid w:val="004A2DF4"/>
    <w:rsid w:val="004A2EB6"/>
    <w:rsid w:val="004A2EB7"/>
    <w:rsid w:val="004A2FF8"/>
    <w:rsid w:val="004A3055"/>
    <w:rsid w:val="004A30BF"/>
    <w:rsid w:val="004A30E2"/>
    <w:rsid w:val="004A31AD"/>
    <w:rsid w:val="004A32E7"/>
    <w:rsid w:val="004A3369"/>
    <w:rsid w:val="004A33A9"/>
    <w:rsid w:val="004A33C8"/>
    <w:rsid w:val="004A35FC"/>
    <w:rsid w:val="004A369A"/>
    <w:rsid w:val="004A36CC"/>
    <w:rsid w:val="004A36EC"/>
    <w:rsid w:val="004A36FA"/>
    <w:rsid w:val="004A3700"/>
    <w:rsid w:val="004A3736"/>
    <w:rsid w:val="004A3742"/>
    <w:rsid w:val="004A379D"/>
    <w:rsid w:val="004A37C0"/>
    <w:rsid w:val="004A3887"/>
    <w:rsid w:val="004A3959"/>
    <w:rsid w:val="004A395F"/>
    <w:rsid w:val="004A3AC7"/>
    <w:rsid w:val="004A3AD4"/>
    <w:rsid w:val="004A3BB1"/>
    <w:rsid w:val="004A3C8D"/>
    <w:rsid w:val="004A3D35"/>
    <w:rsid w:val="004A3E01"/>
    <w:rsid w:val="004A3E53"/>
    <w:rsid w:val="004A3E8A"/>
    <w:rsid w:val="004A3F7C"/>
    <w:rsid w:val="004A4092"/>
    <w:rsid w:val="004A4127"/>
    <w:rsid w:val="004A428E"/>
    <w:rsid w:val="004A42EA"/>
    <w:rsid w:val="004A43F2"/>
    <w:rsid w:val="004A4490"/>
    <w:rsid w:val="004A457E"/>
    <w:rsid w:val="004A461F"/>
    <w:rsid w:val="004A463B"/>
    <w:rsid w:val="004A497B"/>
    <w:rsid w:val="004A4991"/>
    <w:rsid w:val="004A4A59"/>
    <w:rsid w:val="004A4A5A"/>
    <w:rsid w:val="004A4B38"/>
    <w:rsid w:val="004A4BE3"/>
    <w:rsid w:val="004A4CC5"/>
    <w:rsid w:val="004A4D70"/>
    <w:rsid w:val="004A4D7F"/>
    <w:rsid w:val="004A4FB9"/>
    <w:rsid w:val="004A4FD7"/>
    <w:rsid w:val="004A5016"/>
    <w:rsid w:val="004A5019"/>
    <w:rsid w:val="004A5078"/>
    <w:rsid w:val="004A508D"/>
    <w:rsid w:val="004A50A7"/>
    <w:rsid w:val="004A50E1"/>
    <w:rsid w:val="004A5156"/>
    <w:rsid w:val="004A523D"/>
    <w:rsid w:val="004A52F9"/>
    <w:rsid w:val="004A540C"/>
    <w:rsid w:val="004A543B"/>
    <w:rsid w:val="004A55BF"/>
    <w:rsid w:val="004A5639"/>
    <w:rsid w:val="004A56B9"/>
    <w:rsid w:val="004A57BF"/>
    <w:rsid w:val="004A57FD"/>
    <w:rsid w:val="004A590C"/>
    <w:rsid w:val="004A598A"/>
    <w:rsid w:val="004A59BE"/>
    <w:rsid w:val="004A5A1B"/>
    <w:rsid w:val="004A5A3C"/>
    <w:rsid w:val="004A5B02"/>
    <w:rsid w:val="004A5C1D"/>
    <w:rsid w:val="004A5C51"/>
    <w:rsid w:val="004A5D15"/>
    <w:rsid w:val="004A603D"/>
    <w:rsid w:val="004A604A"/>
    <w:rsid w:val="004A60C2"/>
    <w:rsid w:val="004A61BB"/>
    <w:rsid w:val="004A61F8"/>
    <w:rsid w:val="004A62AC"/>
    <w:rsid w:val="004A62E1"/>
    <w:rsid w:val="004A632A"/>
    <w:rsid w:val="004A63DE"/>
    <w:rsid w:val="004A640C"/>
    <w:rsid w:val="004A64A6"/>
    <w:rsid w:val="004A64B3"/>
    <w:rsid w:val="004A64CB"/>
    <w:rsid w:val="004A65BE"/>
    <w:rsid w:val="004A65C6"/>
    <w:rsid w:val="004A65D2"/>
    <w:rsid w:val="004A6620"/>
    <w:rsid w:val="004A67CF"/>
    <w:rsid w:val="004A681A"/>
    <w:rsid w:val="004A694F"/>
    <w:rsid w:val="004A6C68"/>
    <w:rsid w:val="004A6CC9"/>
    <w:rsid w:val="004A6CD1"/>
    <w:rsid w:val="004A6F0B"/>
    <w:rsid w:val="004A6F5F"/>
    <w:rsid w:val="004A6F83"/>
    <w:rsid w:val="004A6FBE"/>
    <w:rsid w:val="004A70C8"/>
    <w:rsid w:val="004A7129"/>
    <w:rsid w:val="004A716C"/>
    <w:rsid w:val="004A7196"/>
    <w:rsid w:val="004A71AA"/>
    <w:rsid w:val="004A71D3"/>
    <w:rsid w:val="004A7340"/>
    <w:rsid w:val="004A73E3"/>
    <w:rsid w:val="004A74ED"/>
    <w:rsid w:val="004A7518"/>
    <w:rsid w:val="004A7660"/>
    <w:rsid w:val="004A76AD"/>
    <w:rsid w:val="004A771A"/>
    <w:rsid w:val="004A77DB"/>
    <w:rsid w:val="004A77F0"/>
    <w:rsid w:val="004A7840"/>
    <w:rsid w:val="004A7D3C"/>
    <w:rsid w:val="004A7D69"/>
    <w:rsid w:val="004B0070"/>
    <w:rsid w:val="004B0212"/>
    <w:rsid w:val="004B02B2"/>
    <w:rsid w:val="004B02D3"/>
    <w:rsid w:val="004B0319"/>
    <w:rsid w:val="004B0389"/>
    <w:rsid w:val="004B040E"/>
    <w:rsid w:val="004B0466"/>
    <w:rsid w:val="004B0588"/>
    <w:rsid w:val="004B063E"/>
    <w:rsid w:val="004B069E"/>
    <w:rsid w:val="004B06BC"/>
    <w:rsid w:val="004B06D8"/>
    <w:rsid w:val="004B06DE"/>
    <w:rsid w:val="004B0739"/>
    <w:rsid w:val="004B08DE"/>
    <w:rsid w:val="004B090F"/>
    <w:rsid w:val="004B0AA8"/>
    <w:rsid w:val="004B0B80"/>
    <w:rsid w:val="004B0FE4"/>
    <w:rsid w:val="004B1002"/>
    <w:rsid w:val="004B103D"/>
    <w:rsid w:val="004B10B0"/>
    <w:rsid w:val="004B10E8"/>
    <w:rsid w:val="004B1185"/>
    <w:rsid w:val="004B12FF"/>
    <w:rsid w:val="004B1307"/>
    <w:rsid w:val="004B13E8"/>
    <w:rsid w:val="004B15E4"/>
    <w:rsid w:val="004B16A9"/>
    <w:rsid w:val="004B16C3"/>
    <w:rsid w:val="004B17F3"/>
    <w:rsid w:val="004B18FF"/>
    <w:rsid w:val="004B1983"/>
    <w:rsid w:val="004B1984"/>
    <w:rsid w:val="004B19AC"/>
    <w:rsid w:val="004B1A1A"/>
    <w:rsid w:val="004B1AB4"/>
    <w:rsid w:val="004B1B0C"/>
    <w:rsid w:val="004B1B0D"/>
    <w:rsid w:val="004B1B2E"/>
    <w:rsid w:val="004B1B5D"/>
    <w:rsid w:val="004B1CDE"/>
    <w:rsid w:val="004B1DB9"/>
    <w:rsid w:val="004B1F54"/>
    <w:rsid w:val="004B1FAD"/>
    <w:rsid w:val="004B2017"/>
    <w:rsid w:val="004B20F4"/>
    <w:rsid w:val="004B2241"/>
    <w:rsid w:val="004B224E"/>
    <w:rsid w:val="004B246F"/>
    <w:rsid w:val="004B2495"/>
    <w:rsid w:val="004B2593"/>
    <w:rsid w:val="004B26E3"/>
    <w:rsid w:val="004B2704"/>
    <w:rsid w:val="004B28A3"/>
    <w:rsid w:val="004B28A8"/>
    <w:rsid w:val="004B2928"/>
    <w:rsid w:val="004B2988"/>
    <w:rsid w:val="004B2A37"/>
    <w:rsid w:val="004B2A54"/>
    <w:rsid w:val="004B2A8B"/>
    <w:rsid w:val="004B2AF3"/>
    <w:rsid w:val="004B2B59"/>
    <w:rsid w:val="004B2C33"/>
    <w:rsid w:val="004B2DF6"/>
    <w:rsid w:val="004B2E2B"/>
    <w:rsid w:val="004B2F43"/>
    <w:rsid w:val="004B3184"/>
    <w:rsid w:val="004B3187"/>
    <w:rsid w:val="004B3205"/>
    <w:rsid w:val="004B324E"/>
    <w:rsid w:val="004B346F"/>
    <w:rsid w:val="004B34DE"/>
    <w:rsid w:val="004B352C"/>
    <w:rsid w:val="004B369A"/>
    <w:rsid w:val="004B36D6"/>
    <w:rsid w:val="004B36FD"/>
    <w:rsid w:val="004B384D"/>
    <w:rsid w:val="004B38B8"/>
    <w:rsid w:val="004B38E4"/>
    <w:rsid w:val="004B39EB"/>
    <w:rsid w:val="004B39EC"/>
    <w:rsid w:val="004B39F5"/>
    <w:rsid w:val="004B3A34"/>
    <w:rsid w:val="004B3AAE"/>
    <w:rsid w:val="004B3B6D"/>
    <w:rsid w:val="004B3B87"/>
    <w:rsid w:val="004B3C2C"/>
    <w:rsid w:val="004B3C51"/>
    <w:rsid w:val="004B3D50"/>
    <w:rsid w:val="004B4023"/>
    <w:rsid w:val="004B40D4"/>
    <w:rsid w:val="004B4112"/>
    <w:rsid w:val="004B4132"/>
    <w:rsid w:val="004B4184"/>
    <w:rsid w:val="004B42EA"/>
    <w:rsid w:val="004B4370"/>
    <w:rsid w:val="004B4440"/>
    <w:rsid w:val="004B4485"/>
    <w:rsid w:val="004B454C"/>
    <w:rsid w:val="004B457A"/>
    <w:rsid w:val="004B4610"/>
    <w:rsid w:val="004B4682"/>
    <w:rsid w:val="004B46FD"/>
    <w:rsid w:val="004B4817"/>
    <w:rsid w:val="004B4872"/>
    <w:rsid w:val="004B48A5"/>
    <w:rsid w:val="004B48C4"/>
    <w:rsid w:val="004B4B18"/>
    <w:rsid w:val="004B4BD5"/>
    <w:rsid w:val="004B4C45"/>
    <w:rsid w:val="004B4D47"/>
    <w:rsid w:val="004B4F00"/>
    <w:rsid w:val="004B4F06"/>
    <w:rsid w:val="004B4F4A"/>
    <w:rsid w:val="004B4F89"/>
    <w:rsid w:val="004B503C"/>
    <w:rsid w:val="004B504C"/>
    <w:rsid w:val="004B50D7"/>
    <w:rsid w:val="004B50E4"/>
    <w:rsid w:val="004B5352"/>
    <w:rsid w:val="004B540E"/>
    <w:rsid w:val="004B55B3"/>
    <w:rsid w:val="004B56A2"/>
    <w:rsid w:val="004B56C2"/>
    <w:rsid w:val="004B5781"/>
    <w:rsid w:val="004B5830"/>
    <w:rsid w:val="004B591E"/>
    <w:rsid w:val="004B5B82"/>
    <w:rsid w:val="004B5BB5"/>
    <w:rsid w:val="004B5C75"/>
    <w:rsid w:val="004B5D76"/>
    <w:rsid w:val="004B5D7C"/>
    <w:rsid w:val="004B5EB9"/>
    <w:rsid w:val="004B5EC6"/>
    <w:rsid w:val="004B5EF2"/>
    <w:rsid w:val="004B60E5"/>
    <w:rsid w:val="004B60F4"/>
    <w:rsid w:val="004B6143"/>
    <w:rsid w:val="004B6194"/>
    <w:rsid w:val="004B61D2"/>
    <w:rsid w:val="004B61E7"/>
    <w:rsid w:val="004B649A"/>
    <w:rsid w:val="004B64CC"/>
    <w:rsid w:val="004B6568"/>
    <w:rsid w:val="004B68D4"/>
    <w:rsid w:val="004B68F4"/>
    <w:rsid w:val="004B6905"/>
    <w:rsid w:val="004B693E"/>
    <w:rsid w:val="004B6A3A"/>
    <w:rsid w:val="004B6AA5"/>
    <w:rsid w:val="004B6DD6"/>
    <w:rsid w:val="004B6DD7"/>
    <w:rsid w:val="004B6E7F"/>
    <w:rsid w:val="004B6F67"/>
    <w:rsid w:val="004B6F6B"/>
    <w:rsid w:val="004B70C1"/>
    <w:rsid w:val="004B7296"/>
    <w:rsid w:val="004B72F6"/>
    <w:rsid w:val="004B731A"/>
    <w:rsid w:val="004B73C6"/>
    <w:rsid w:val="004B742B"/>
    <w:rsid w:val="004B747F"/>
    <w:rsid w:val="004B754F"/>
    <w:rsid w:val="004B7645"/>
    <w:rsid w:val="004B76D4"/>
    <w:rsid w:val="004B76DF"/>
    <w:rsid w:val="004B788E"/>
    <w:rsid w:val="004B78C0"/>
    <w:rsid w:val="004B78E4"/>
    <w:rsid w:val="004B7ADB"/>
    <w:rsid w:val="004B7B27"/>
    <w:rsid w:val="004B7B5D"/>
    <w:rsid w:val="004B7BA8"/>
    <w:rsid w:val="004B7BCD"/>
    <w:rsid w:val="004B7C66"/>
    <w:rsid w:val="004B7C7C"/>
    <w:rsid w:val="004B7CED"/>
    <w:rsid w:val="004B7D08"/>
    <w:rsid w:val="004C002F"/>
    <w:rsid w:val="004C0228"/>
    <w:rsid w:val="004C023E"/>
    <w:rsid w:val="004C02EA"/>
    <w:rsid w:val="004C0328"/>
    <w:rsid w:val="004C0357"/>
    <w:rsid w:val="004C0408"/>
    <w:rsid w:val="004C04C4"/>
    <w:rsid w:val="004C0741"/>
    <w:rsid w:val="004C077E"/>
    <w:rsid w:val="004C07B6"/>
    <w:rsid w:val="004C082F"/>
    <w:rsid w:val="004C0A03"/>
    <w:rsid w:val="004C0AED"/>
    <w:rsid w:val="004C0B73"/>
    <w:rsid w:val="004C0C0C"/>
    <w:rsid w:val="004C0C15"/>
    <w:rsid w:val="004C0D58"/>
    <w:rsid w:val="004C0EAB"/>
    <w:rsid w:val="004C0F25"/>
    <w:rsid w:val="004C0FB1"/>
    <w:rsid w:val="004C106D"/>
    <w:rsid w:val="004C10F2"/>
    <w:rsid w:val="004C1136"/>
    <w:rsid w:val="004C1170"/>
    <w:rsid w:val="004C122C"/>
    <w:rsid w:val="004C154C"/>
    <w:rsid w:val="004C16B3"/>
    <w:rsid w:val="004C16C5"/>
    <w:rsid w:val="004C17C1"/>
    <w:rsid w:val="004C18D6"/>
    <w:rsid w:val="004C195C"/>
    <w:rsid w:val="004C19CF"/>
    <w:rsid w:val="004C1ABE"/>
    <w:rsid w:val="004C1BBF"/>
    <w:rsid w:val="004C1DB6"/>
    <w:rsid w:val="004C1DBB"/>
    <w:rsid w:val="004C1E7B"/>
    <w:rsid w:val="004C206B"/>
    <w:rsid w:val="004C208D"/>
    <w:rsid w:val="004C226F"/>
    <w:rsid w:val="004C2313"/>
    <w:rsid w:val="004C2575"/>
    <w:rsid w:val="004C2760"/>
    <w:rsid w:val="004C2768"/>
    <w:rsid w:val="004C2980"/>
    <w:rsid w:val="004C2A3E"/>
    <w:rsid w:val="004C2A83"/>
    <w:rsid w:val="004C2B72"/>
    <w:rsid w:val="004C2D22"/>
    <w:rsid w:val="004C2D61"/>
    <w:rsid w:val="004C2DD4"/>
    <w:rsid w:val="004C2DE3"/>
    <w:rsid w:val="004C2DED"/>
    <w:rsid w:val="004C2E4F"/>
    <w:rsid w:val="004C2EB6"/>
    <w:rsid w:val="004C2F6A"/>
    <w:rsid w:val="004C2F72"/>
    <w:rsid w:val="004C2FF7"/>
    <w:rsid w:val="004C303F"/>
    <w:rsid w:val="004C30AF"/>
    <w:rsid w:val="004C30C6"/>
    <w:rsid w:val="004C3119"/>
    <w:rsid w:val="004C311E"/>
    <w:rsid w:val="004C3206"/>
    <w:rsid w:val="004C3364"/>
    <w:rsid w:val="004C337C"/>
    <w:rsid w:val="004C33F3"/>
    <w:rsid w:val="004C35A6"/>
    <w:rsid w:val="004C3658"/>
    <w:rsid w:val="004C3842"/>
    <w:rsid w:val="004C385F"/>
    <w:rsid w:val="004C38C8"/>
    <w:rsid w:val="004C39B9"/>
    <w:rsid w:val="004C3A78"/>
    <w:rsid w:val="004C3A9F"/>
    <w:rsid w:val="004C3AAB"/>
    <w:rsid w:val="004C3AC2"/>
    <w:rsid w:val="004C3B65"/>
    <w:rsid w:val="004C3B82"/>
    <w:rsid w:val="004C3C49"/>
    <w:rsid w:val="004C3C82"/>
    <w:rsid w:val="004C3D64"/>
    <w:rsid w:val="004C3DCF"/>
    <w:rsid w:val="004C3E76"/>
    <w:rsid w:val="004C3ECD"/>
    <w:rsid w:val="004C3F54"/>
    <w:rsid w:val="004C3FE6"/>
    <w:rsid w:val="004C41C4"/>
    <w:rsid w:val="004C425B"/>
    <w:rsid w:val="004C42EE"/>
    <w:rsid w:val="004C435C"/>
    <w:rsid w:val="004C43A4"/>
    <w:rsid w:val="004C44D0"/>
    <w:rsid w:val="004C4504"/>
    <w:rsid w:val="004C450A"/>
    <w:rsid w:val="004C450B"/>
    <w:rsid w:val="004C45BB"/>
    <w:rsid w:val="004C4690"/>
    <w:rsid w:val="004C47C6"/>
    <w:rsid w:val="004C491C"/>
    <w:rsid w:val="004C49DE"/>
    <w:rsid w:val="004C4AA4"/>
    <w:rsid w:val="004C4AF1"/>
    <w:rsid w:val="004C4B3B"/>
    <w:rsid w:val="004C4BC4"/>
    <w:rsid w:val="004C4D6A"/>
    <w:rsid w:val="004C4E60"/>
    <w:rsid w:val="004C4E9F"/>
    <w:rsid w:val="004C4ECA"/>
    <w:rsid w:val="004C500B"/>
    <w:rsid w:val="004C504E"/>
    <w:rsid w:val="004C50DA"/>
    <w:rsid w:val="004C5183"/>
    <w:rsid w:val="004C51E9"/>
    <w:rsid w:val="004C5291"/>
    <w:rsid w:val="004C52D2"/>
    <w:rsid w:val="004C52F3"/>
    <w:rsid w:val="004C5306"/>
    <w:rsid w:val="004C536F"/>
    <w:rsid w:val="004C54A6"/>
    <w:rsid w:val="004C5564"/>
    <w:rsid w:val="004C5618"/>
    <w:rsid w:val="004C5717"/>
    <w:rsid w:val="004C5824"/>
    <w:rsid w:val="004C5910"/>
    <w:rsid w:val="004C59CD"/>
    <w:rsid w:val="004C5A00"/>
    <w:rsid w:val="004C5A2C"/>
    <w:rsid w:val="004C5A58"/>
    <w:rsid w:val="004C5A7E"/>
    <w:rsid w:val="004C5B8C"/>
    <w:rsid w:val="004C5CAF"/>
    <w:rsid w:val="004C5D8B"/>
    <w:rsid w:val="004C5D9B"/>
    <w:rsid w:val="004C5E30"/>
    <w:rsid w:val="004C5F53"/>
    <w:rsid w:val="004C5F91"/>
    <w:rsid w:val="004C5F99"/>
    <w:rsid w:val="004C605E"/>
    <w:rsid w:val="004C60B7"/>
    <w:rsid w:val="004C60BF"/>
    <w:rsid w:val="004C60D8"/>
    <w:rsid w:val="004C611E"/>
    <w:rsid w:val="004C621E"/>
    <w:rsid w:val="004C62C6"/>
    <w:rsid w:val="004C642B"/>
    <w:rsid w:val="004C64AC"/>
    <w:rsid w:val="004C64EE"/>
    <w:rsid w:val="004C65B5"/>
    <w:rsid w:val="004C6659"/>
    <w:rsid w:val="004C66B9"/>
    <w:rsid w:val="004C6799"/>
    <w:rsid w:val="004C6815"/>
    <w:rsid w:val="004C684A"/>
    <w:rsid w:val="004C688E"/>
    <w:rsid w:val="004C694C"/>
    <w:rsid w:val="004C6955"/>
    <w:rsid w:val="004C6B35"/>
    <w:rsid w:val="004C6B39"/>
    <w:rsid w:val="004C6B51"/>
    <w:rsid w:val="004C6CBF"/>
    <w:rsid w:val="004C6DBF"/>
    <w:rsid w:val="004C6E05"/>
    <w:rsid w:val="004C6EAB"/>
    <w:rsid w:val="004C6F50"/>
    <w:rsid w:val="004C6FC2"/>
    <w:rsid w:val="004C70FE"/>
    <w:rsid w:val="004C727E"/>
    <w:rsid w:val="004C728F"/>
    <w:rsid w:val="004C742F"/>
    <w:rsid w:val="004C74A5"/>
    <w:rsid w:val="004C752E"/>
    <w:rsid w:val="004C75B3"/>
    <w:rsid w:val="004C75E0"/>
    <w:rsid w:val="004C76CB"/>
    <w:rsid w:val="004C76CF"/>
    <w:rsid w:val="004C77A1"/>
    <w:rsid w:val="004C783B"/>
    <w:rsid w:val="004C7879"/>
    <w:rsid w:val="004C78FA"/>
    <w:rsid w:val="004C7963"/>
    <w:rsid w:val="004C7A59"/>
    <w:rsid w:val="004C7A9F"/>
    <w:rsid w:val="004C7ADD"/>
    <w:rsid w:val="004C7B1C"/>
    <w:rsid w:val="004C7FA6"/>
    <w:rsid w:val="004D001A"/>
    <w:rsid w:val="004D009D"/>
    <w:rsid w:val="004D0126"/>
    <w:rsid w:val="004D018B"/>
    <w:rsid w:val="004D0255"/>
    <w:rsid w:val="004D02F4"/>
    <w:rsid w:val="004D0339"/>
    <w:rsid w:val="004D038E"/>
    <w:rsid w:val="004D03E3"/>
    <w:rsid w:val="004D03F8"/>
    <w:rsid w:val="004D0777"/>
    <w:rsid w:val="004D093A"/>
    <w:rsid w:val="004D0940"/>
    <w:rsid w:val="004D09D6"/>
    <w:rsid w:val="004D09F1"/>
    <w:rsid w:val="004D0B51"/>
    <w:rsid w:val="004D0BE6"/>
    <w:rsid w:val="004D0BFD"/>
    <w:rsid w:val="004D0C22"/>
    <w:rsid w:val="004D0D7A"/>
    <w:rsid w:val="004D0D8B"/>
    <w:rsid w:val="004D0DDE"/>
    <w:rsid w:val="004D0E42"/>
    <w:rsid w:val="004D0E96"/>
    <w:rsid w:val="004D0EC1"/>
    <w:rsid w:val="004D0EDC"/>
    <w:rsid w:val="004D0F02"/>
    <w:rsid w:val="004D0F9A"/>
    <w:rsid w:val="004D0FA7"/>
    <w:rsid w:val="004D105A"/>
    <w:rsid w:val="004D10A7"/>
    <w:rsid w:val="004D1115"/>
    <w:rsid w:val="004D137D"/>
    <w:rsid w:val="004D14B3"/>
    <w:rsid w:val="004D152B"/>
    <w:rsid w:val="004D153E"/>
    <w:rsid w:val="004D15F3"/>
    <w:rsid w:val="004D15FF"/>
    <w:rsid w:val="004D1621"/>
    <w:rsid w:val="004D163F"/>
    <w:rsid w:val="004D16A4"/>
    <w:rsid w:val="004D173C"/>
    <w:rsid w:val="004D1781"/>
    <w:rsid w:val="004D1787"/>
    <w:rsid w:val="004D17D3"/>
    <w:rsid w:val="004D1848"/>
    <w:rsid w:val="004D19B5"/>
    <w:rsid w:val="004D1ACD"/>
    <w:rsid w:val="004D1B97"/>
    <w:rsid w:val="004D1BE5"/>
    <w:rsid w:val="004D1C4F"/>
    <w:rsid w:val="004D1C52"/>
    <w:rsid w:val="004D1CD7"/>
    <w:rsid w:val="004D1D47"/>
    <w:rsid w:val="004D1D5B"/>
    <w:rsid w:val="004D1D83"/>
    <w:rsid w:val="004D1E0C"/>
    <w:rsid w:val="004D1E84"/>
    <w:rsid w:val="004D1EA7"/>
    <w:rsid w:val="004D1EC3"/>
    <w:rsid w:val="004D1F0D"/>
    <w:rsid w:val="004D1FAC"/>
    <w:rsid w:val="004D2009"/>
    <w:rsid w:val="004D215A"/>
    <w:rsid w:val="004D2251"/>
    <w:rsid w:val="004D225E"/>
    <w:rsid w:val="004D259E"/>
    <w:rsid w:val="004D25B9"/>
    <w:rsid w:val="004D261B"/>
    <w:rsid w:val="004D2631"/>
    <w:rsid w:val="004D2643"/>
    <w:rsid w:val="004D265D"/>
    <w:rsid w:val="004D27A0"/>
    <w:rsid w:val="004D27AF"/>
    <w:rsid w:val="004D2894"/>
    <w:rsid w:val="004D294B"/>
    <w:rsid w:val="004D29BE"/>
    <w:rsid w:val="004D2A22"/>
    <w:rsid w:val="004D2A27"/>
    <w:rsid w:val="004D2A2D"/>
    <w:rsid w:val="004D2B07"/>
    <w:rsid w:val="004D2BD8"/>
    <w:rsid w:val="004D2C84"/>
    <w:rsid w:val="004D2D56"/>
    <w:rsid w:val="004D2D8A"/>
    <w:rsid w:val="004D2DB7"/>
    <w:rsid w:val="004D2E1C"/>
    <w:rsid w:val="004D30CF"/>
    <w:rsid w:val="004D30EC"/>
    <w:rsid w:val="004D314F"/>
    <w:rsid w:val="004D31E9"/>
    <w:rsid w:val="004D320A"/>
    <w:rsid w:val="004D3259"/>
    <w:rsid w:val="004D3363"/>
    <w:rsid w:val="004D3396"/>
    <w:rsid w:val="004D33A9"/>
    <w:rsid w:val="004D3438"/>
    <w:rsid w:val="004D3481"/>
    <w:rsid w:val="004D3482"/>
    <w:rsid w:val="004D3520"/>
    <w:rsid w:val="004D35BD"/>
    <w:rsid w:val="004D3619"/>
    <w:rsid w:val="004D37ED"/>
    <w:rsid w:val="004D3871"/>
    <w:rsid w:val="004D38BB"/>
    <w:rsid w:val="004D38E7"/>
    <w:rsid w:val="004D39AB"/>
    <w:rsid w:val="004D39C8"/>
    <w:rsid w:val="004D39EE"/>
    <w:rsid w:val="004D3B41"/>
    <w:rsid w:val="004D3CB9"/>
    <w:rsid w:val="004D3D12"/>
    <w:rsid w:val="004D3E36"/>
    <w:rsid w:val="004D3E70"/>
    <w:rsid w:val="004D3F57"/>
    <w:rsid w:val="004D3FEC"/>
    <w:rsid w:val="004D4093"/>
    <w:rsid w:val="004D40B3"/>
    <w:rsid w:val="004D4217"/>
    <w:rsid w:val="004D42B9"/>
    <w:rsid w:val="004D42ED"/>
    <w:rsid w:val="004D437A"/>
    <w:rsid w:val="004D4413"/>
    <w:rsid w:val="004D4426"/>
    <w:rsid w:val="004D46DD"/>
    <w:rsid w:val="004D47CB"/>
    <w:rsid w:val="004D48A4"/>
    <w:rsid w:val="004D4AC9"/>
    <w:rsid w:val="004D4B55"/>
    <w:rsid w:val="004D4BCD"/>
    <w:rsid w:val="004D4BE2"/>
    <w:rsid w:val="004D4BF1"/>
    <w:rsid w:val="004D4D44"/>
    <w:rsid w:val="004D4FF8"/>
    <w:rsid w:val="004D50B5"/>
    <w:rsid w:val="004D5175"/>
    <w:rsid w:val="004D543D"/>
    <w:rsid w:val="004D54C2"/>
    <w:rsid w:val="004D5539"/>
    <w:rsid w:val="004D55CE"/>
    <w:rsid w:val="004D55E5"/>
    <w:rsid w:val="004D55F9"/>
    <w:rsid w:val="004D56CF"/>
    <w:rsid w:val="004D56D5"/>
    <w:rsid w:val="004D5760"/>
    <w:rsid w:val="004D57D5"/>
    <w:rsid w:val="004D5A0F"/>
    <w:rsid w:val="004D5A52"/>
    <w:rsid w:val="004D5AAF"/>
    <w:rsid w:val="004D5B6F"/>
    <w:rsid w:val="004D5C3A"/>
    <w:rsid w:val="004D5C48"/>
    <w:rsid w:val="004D5D46"/>
    <w:rsid w:val="004D5EF6"/>
    <w:rsid w:val="004D5F13"/>
    <w:rsid w:val="004D5F53"/>
    <w:rsid w:val="004D5F5B"/>
    <w:rsid w:val="004D5F69"/>
    <w:rsid w:val="004D613B"/>
    <w:rsid w:val="004D63B3"/>
    <w:rsid w:val="004D65C8"/>
    <w:rsid w:val="004D660D"/>
    <w:rsid w:val="004D6743"/>
    <w:rsid w:val="004D67E8"/>
    <w:rsid w:val="004D68F6"/>
    <w:rsid w:val="004D6942"/>
    <w:rsid w:val="004D6960"/>
    <w:rsid w:val="004D6A6E"/>
    <w:rsid w:val="004D6A7F"/>
    <w:rsid w:val="004D6CAA"/>
    <w:rsid w:val="004D6CF1"/>
    <w:rsid w:val="004D6CF5"/>
    <w:rsid w:val="004D6DC1"/>
    <w:rsid w:val="004D6E09"/>
    <w:rsid w:val="004D6E32"/>
    <w:rsid w:val="004D6E8D"/>
    <w:rsid w:val="004D6F0C"/>
    <w:rsid w:val="004D6F19"/>
    <w:rsid w:val="004D6F2E"/>
    <w:rsid w:val="004D7055"/>
    <w:rsid w:val="004D7064"/>
    <w:rsid w:val="004D7144"/>
    <w:rsid w:val="004D72EE"/>
    <w:rsid w:val="004D7305"/>
    <w:rsid w:val="004D7326"/>
    <w:rsid w:val="004D7331"/>
    <w:rsid w:val="004D7358"/>
    <w:rsid w:val="004D7474"/>
    <w:rsid w:val="004D74AD"/>
    <w:rsid w:val="004D75A7"/>
    <w:rsid w:val="004D7667"/>
    <w:rsid w:val="004D76A2"/>
    <w:rsid w:val="004D773B"/>
    <w:rsid w:val="004D782C"/>
    <w:rsid w:val="004D789B"/>
    <w:rsid w:val="004D7910"/>
    <w:rsid w:val="004D79C3"/>
    <w:rsid w:val="004D7A80"/>
    <w:rsid w:val="004D7AF0"/>
    <w:rsid w:val="004D7B01"/>
    <w:rsid w:val="004D7B60"/>
    <w:rsid w:val="004D7D4D"/>
    <w:rsid w:val="004D7D4E"/>
    <w:rsid w:val="004D7D6A"/>
    <w:rsid w:val="004D7DB4"/>
    <w:rsid w:val="004D7DBC"/>
    <w:rsid w:val="004D7DC8"/>
    <w:rsid w:val="004D7E0C"/>
    <w:rsid w:val="004D7E43"/>
    <w:rsid w:val="004D7EA8"/>
    <w:rsid w:val="004D7FB5"/>
    <w:rsid w:val="004D7FB7"/>
    <w:rsid w:val="004E0022"/>
    <w:rsid w:val="004E0051"/>
    <w:rsid w:val="004E00F0"/>
    <w:rsid w:val="004E014B"/>
    <w:rsid w:val="004E0374"/>
    <w:rsid w:val="004E0381"/>
    <w:rsid w:val="004E03A5"/>
    <w:rsid w:val="004E0400"/>
    <w:rsid w:val="004E0437"/>
    <w:rsid w:val="004E04A8"/>
    <w:rsid w:val="004E04DD"/>
    <w:rsid w:val="004E0630"/>
    <w:rsid w:val="004E0834"/>
    <w:rsid w:val="004E091D"/>
    <w:rsid w:val="004E093D"/>
    <w:rsid w:val="004E0AF0"/>
    <w:rsid w:val="004E0BBD"/>
    <w:rsid w:val="004E0C73"/>
    <w:rsid w:val="004E0DC9"/>
    <w:rsid w:val="004E0DF1"/>
    <w:rsid w:val="004E0E46"/>
    <w:rsid w:val="004E0EDB"/>
    <w:rsid w:val="004E0F08"/>
    <w:rsid w:val="004E0F8D"/>
    <w:rsid w:val="004E0FC5"/>
    <w:rsid w:val="004E1019"/>
    <w:rsid w:val="004E108A"/>
    <w:rsid w:val="004E1147"/>
    <w:rsid w:val="004E12CC"/>
    <w:rsid w:val="004E1305"/>
    <w:rsid w:val="004E143C"/>
    <w:rsid w:val="004E148A"/>
    <w:rsid w:val="004E150A"/>
    <w:rsid w:val="004E158B"/>
    <w:rsid w:val="004E15D0"/>
    <w:rsid w:val="004E16B1"/>
    <w:rsid w:val="004E18E1"/>
    <w:rsid w:val="004E1942"/>
    <w:rsid w:val="004E19CD"/>
    <w:rsid w:val="004E1A03"/>
    <w:rsid w:val="004E1B01"/>
    <w:rsid w:val="004E1DF7"/>
    <w:rsid w:val="004E1E44"/>
    <w:rsid w:val="004E1EEA"/>
    <w:rsid w:val="004E1F17"/>
    <w:rsid w:val="004E1FEA"/>
    <w:rsid w:val="004E210C"/>
    <w:rsid w:val="004E2241"/>
    <w:rsid w:val="004E22C8"/>
    <w:rsid w:val="004E2434"/>
    <w:rsid w:val="004E2480"/>
    <w:rsid w:val="004E2595"/>
    <w:rsid w:val="004E2597"/>
    <w:rsid w:val="004E2609"/>
    <w:rsid w:val="004E26D9"/>
    <w:rsid w:val="004E27B7"/>
    <w:rsid w:val="004E2852"/>
    <w:rsid w:val="004E29C4"/>
    <w:rsid w:val="004E2BC3"/>
    <w:rsid w:val="004E2C45"/>
    <w:rsid w:val="004E2C4C"/>
    <w:rsid w:val="004E2DB9"/>
    <w:rsid w:val="004E2E1D"/>
    <w:rsid w:val="004E2E31"/>
    <w:rsid w:val="004E2F95"/>
    <w:rsid w:val="004E3071"/>
    <w:rsid w:val="004E313F"/>
    <w:rsid w:val="004E3218"/>
    <w:rsid w:val="004E321A"/>
    <w:rsid w:val="004E333B"/>
    <w:rsid w:val="004E33E8"/>
    <w:rsid w:val="004E3403"/>
    <w:rsid w:val="004E36A8"/>
    <w:rsid w:val="004E370C"/>
    <w:rsid w:val="004E3732"/>
    <w:rsid w:val="004E377C"/>
    <w:rsid w:val="004E37D8"/>
    <w:rsid w:val="004E37ED"/>
    <w:rsid w:val="004E3912"/>
    <w:rsid w:val="004E398E"/>
    <w:rsid w:val="004E3999"/>
    <w:rsid w:val="004E3A5A"/>
    <w:rsid w:val="004E3A6A"/>
    <w:rsid w:val="004E3D2E"/>
    <w:rsid w:val="004E3D6B"/>
    <w:rsid w:val="004E3E64"/>
    <w:rsid w:val="004E40EE"/>
    <w:rsid w:val="004E41AB"/>
    <w:rsid w:val="004E4221"/>
    <w:rsid w:val="004E429E"/>
    <w:rsid w:val="004E4338"/>
    <w:rsid w:val="004E4353"/>
    <w:rsid w:val="004E4365"/>
    <w:rsid w:val="004E43C5"/>
    <w:rsid w:val="004E445A"/>
    <w:rsid w:val="004E44B4"/>
    <w:rsid w:val="004E4677"/>
    <w:rsid w:val="004E47BE"/>
    <w:rsid w:val="004E47ED"/>
    <w:rsid w:val="004E48D5"/>
    <w:rsid w:val="004E498C"/>
    <w:rsid w:val="004E49D3"/>
    <w:rsid w:val="004E4BED"/>
    <w:rsid w:val="004E4C38"/>
    <w:rsid w:val="004E4CD1"/>
    <w:rsid w:val="004E4CE5"/>
    <w:rsid w:val="004E4E4F"/>
    <w:rsid w:val="004E4E8D"/>
    <w:rsid w:val="004E4F0C"/>
    <w:rsid w:val="004E4FB8"/>
    <w:rsid w:val="004E5042"/>
    <w:rsid w:val="004E511C"/>
    <w:rsid w:val="004E513D"/>
    <w:rsid w:val="004E5151"/>
    <w:rsid w:val="004E5185"/>
    <w:rsid w:val="004E532C"/>
    <w:rsid w:val="004E5416"/>
    <w:rsid w:val="004E5466"/>
    <w:rsid w:val="004E5479"/>
    <w:rsid w:val="004E5646"/>
    <w:rsid w:val="004E5647"/>
    <w:rsid w:val="004E572A"/>
    <w:rsid w:val="004E5868"/>
    <w:rsid w:val="004E594E"/>
    <w:rsid w:val="004E59F2"/>
    <w:rsid w:val="004E5A52"/>
    <w:rsid w:val="004E5B23"/>
    <w:rsid w:val="004E5B46"/>
    <w:rsid w:val="004E5C12"/>
    <w:rsid w:val="004E5CC6"/>
    <w:rsid w:val="004E5D08"/>
    <w:rsid w:val="004E5D6D"/>
    <w:rsid w:val="004E5EEB"/>
    <w:rsid w:val="004E604B"/>
    <w:rsid w:val="004E605D"/>
    <w:rsid w:val="004E61F5"/>
    <w:rsid w:val="004E6201"/>
    <w:rsid w:val="004E6266"/>
    <w:rsid w:val="004E62BC"/>
    <w:rsid w:val="004E6312"/>
    <w:rsid w:val="004E64FE"/>
    <w:rsid w:val="004E6523"/>
    <w:rsid w:val="004E66A0"/>
    <w:rsid w:val="004E66D3"/>
    <w:rsid w:val="004E66E3"/>
    <w:rsid w:val="004E67D7"/>
    <w:rsid w:val="004E67DA"/>
    <w:rsid w:val="004E681E"/>
    <w:rsid w:val="004E684F"/>
    <w:rsid w:val="004E6998"/>
    <w:rsid w:val="004E6AA6"/>
    <w:rsid w:val="004E6AC2"/>
    <w:rsid w:val="004E6CA1"/>
    <w:rsid w:val="004E6D48"/>
    <w:rsid w:val="004E6FC8"/>
    <w:rsid w:val="004E7036"/>
    <w:rsid w:val="004E70F2"/>
    <w:rsid w:val="004E715E"/>
    <w:rsid w:val="004E7161"/>
    <w:rsid w:val="004E717A"/>
    <w:rsid w:val="004E743F"/>
    <w:rsid w:val="004E7479"/>
    <w:rsid w:val="004E74A7"/>
    <w:rsid w:val="004E74B9"/>
    <w:rsid w:val="004E7601"/>
    <w:rsid w:val="004E764E"/>
    <w:rsid w:val="004E76FE"/>
    <w:rsid w:val="004E772B"/>
    <w:rsid w:val="004E783D"/>
    <w:rsid w:val="004E78F2"/>
    <w:rsid w:val="004E7958"/>
    <w:rsid w:val="004E79CF"/>
    <w:rsid w:val="004E79F3"/>
    <w:rsid w:val="004E7A8E"/>
    <w:rsid w:val="004E7B39"/>
    <w:rsid w:val="004E7B54"/>
    <w:rsid w:val="004E7B9C"/>
    <w:rsid w:val="004E7BBE"/>
    <w:rsid w:val="004E7CC8"/>
    <w:rsid w:val="004E7DE4"/>
    <w:rsid w:val="004E7E13"/>
    <w:rsid w:val="004E7EC4"/>
    <w:rsid w:val="004E7FD1"/>
    <w:rsid w:val="004F00EC"/>
    <w:rsid w:val="004F0151"/>
    <w:rsid w:val="004F03E2"/>
    <w:rsid w:val="004F04CD"/>
    <w:rsid w:val="004F0522"/>
    <w:rsid w:val="004F052E"/>
    <w:rsid w:val="004F0544"/>
    <w:rsid w:val="004F054D"/>
    <w:rsid w:val="004F056D"/>
    <w:rsid w:val="004F0605"/>
    <w:rsid w:val="004F09E8"/>
    <w:rsid w:val="004F0BAE"/>
    <w:rsid w:val="004F0C52"/>
    <w:rsid w:val="004F0C63"/>
    <w:rsid w:val="004F0E20"/>
    <w:rsid w:val="004F0E6F"/>
    <w:rsid w:val="004F0F07"/>
    <w:rsid w:val="004F0F55"/>
    <w:rsid w:val="004F0F66"/>
    <w:rsid w:val="004F0F72"/>
    <w:rsid w:val="004F104D"/>
    <w:rsid w:val="004F10F7"/>
    <w:rsid w:val="004F11BB"/>
    <w:rsid w:val="004F120F"/>
    <w:rsid w:val="004F126F"/>
    <w:rsid w:val="004F15BB"/>
    <w:rsid w:val="004F1798"/>
    <w:rsid w:val="004F1871"/>
    <w:rsid w:val="004F1879"/>
    <w:rsid w:val="004F1885"/>
    <w:rsid w:val="004F1A0D"/>
    <w:rsid w:val="004F1BBD"/>
    <w:rsid w:val="004F1CF4"/>
    <w:rsid w:val="004F1F85"/>
    <w:rsid w:val="004F219D"/>
    <w:rsid w:val="004F21AD"/>
    <w:rsid w:val="004F21BF"/>
    <w:rsid w:val="004F2264"/>
    <w:rsid w:val="004F2305"/>
    <w:rsid w:val="004F233E"/>
    <w:rsid w:val="004F247A"/>
    <w:rsid w:val="004F25BF"/>
    <w:rsid w:val="004F2604"/>
    <w:rsid w:val="004F265A"/>
    <w:rsid w:val="004F275F"/>
    <w:rsid w:val="004F278A"/>
    <w:rsid w:val="004F287A"/>
    <w:rsid w:val="004F28F6"/>
    <w:rsid w:val="004F2B12"/>
    <w:rsid w:val="004F2C6E"/>
    <w:rsid w:val="004F2CC4"/>
    <w:rsid w:val="004F2DB0"/>
    <w:rsid w:val="004F2DB8"/>
    <w:rsid w:val="004F2E24"/>
    <w:rsid w:val="004F3244"/>
    <w:rsid w:val="004F33A3"/>
    <w:rsid w:val="004F35EE"/>
    <w:rsid w:val="004F363C"/>
    <w:rsid w:val="004F36DD"/>
    <w:rsid w:val="004F36E6"/>
    <w:rsid w:val="004F3883"/>
    <w:rsid w:val="004F39B9"/>
    <w:rsid w:val="004F3B4D"/>
    <w:rsid w:val="004F3CBD"/>
    <w:rsid w:val="004F3DBD"/>
    <w:rsid w:val="004F3EA0"/>
    <w:rsid w:val="004F3EBF"/>
    <w:rsid w:val="004F4083"/>
    <w:rsid w:val="004F42C3"/>
    <w:rsid w:val="004F4337"/>
    <w:rsid w:val="004F4341"/>
    <w:rsid w:val="004F434D"/>
    <w:rsid w:val="004F4356"/>
    <w:rsid w:val="004F435F"/>
    <w:rsid w:val="004F43F4"/>
    <w:rsid w:val="004F4503"/>
    <w:rsid w:val="004F4555"/>
    <w:rsid w:val="004F46E5"/>
    <w:rsid w:val="004F46EB"/>
    <w:rsid w:val="004F47B2"/>
    <w:rsid w:val="004F48C4"/>
    <w:rsid w:val="004F4A32"/>
    <w:rsid w:val="004F4A6D"/>
    <w:rsid w:val="004F4B10"/>
    <w:rsid w:val="004F4CC9"/>
    <w:rsid w:val="004F4CE7"/>
    <w:rsid w:val="004F4DC0"/>
    <w:rsid w:val="004F4E62"/>
    <w:rsid w:val="004F4EE2"/>
    <w:rsid w:val="004F4F95"/>
    <w:rsid w:val="004F5074"/>
    <w:rsid w:val="004F50F3"/>
    <w:rsid w:val="004F5150"/>
    <w:rsid w:val="004F52A6"/>
    <w:rsid w:val="004F53F7"/>
    <w:rsid w:val="004F5448"/>
    <w:rsid w:val="004F54C4"/>
    <w:rsid w:val="004F55C3"/>
    <w:rsid w:val="004F55E3"/>
    <w:rsid w:val="004F5791"/>
    <w:rsid w:val="004F57A3"/>
    <w:rsid w:val="004F57FC"/>
    <w:rsid w:val="004F58B8"/>
    <w:rsid w:val="004F58D6"/>
    <w:rsid w:val="004F59F4"/>
    <w:rsid w:val="004F5A26"/>
    <w:rsid w:val="004F5A2A"/>
    <w:rsid w:val="004F5B4D"/>
    <w:rsid w:val="004F5B7E"/>
    <w:rsid w:val="004F5B90"/>
    <w:rsid w:val="004F5D7A"/>
    <w:rsid w:val="004F5DF0"/>
    <w:rsid w:val="004F606F"/>
    <w:rsid w:val="004F60F6"/>
    <w:rsid w:val="004F6157"/>
    <w:rsid w:val="004F61F3"/>
    <w:rsid w:val="004F635A"/>
    <w:rsid w:val="004F63BB"/>
    <w:rsid w:val="004F6410"/>
    <w:rsid w:val="004F65AE"/>
    <w:rsid w:val="004F6693"/>
    <w:rsid w:val="004F6764"/>
    <w:rsid w:val="004F68AC"/>
    <w:rsid w:val="004F68D6"/>
    <w:rsid w:val="004F68EE"/>
    <w:rsid w:val="004F68F8"/>
    <w:rsid w:val="004F6A79"/>
    <w:rsid w:val="004F6BB4"/>
    <w:rsid w:val="004F6C8D"/>
    <w:rsid w:val="004F6D3F"/>
    <w:rsid w:val="004F6D6C"/>
    <w:rsid w:val="004F6DF1"/>
    <w:rsid w:val="004F6E3F"/>
    <w:rsid w:val="004F6E51"/>
    <w:rsid w:val="004F6F2E"/>
    <w:rsid w:val="004F71EF"/>
    <w:rsid w:val="004F727F"/>
    <w:rsid w:val="004F7317"/>
    <w:rsid w:val="004F73BF"/>
    <w:rsid w:val="004F7414"/>
    <w:rsid w:val="004F748A"/>
    <w:rsid w:val="004F75B4"/>
    <w:rsid w:val="004F7656"/>
    <w:rsid w:val="004F7769"/>
    <w:rsid w:val="004F7832"/>
    <w:rsid w:val="004F7967"/>
    <w:rsid w:val="004F7A03"/>
    <w:rsid w:val="004F7AF1"/>
    <w:rsid w:val="004F7B5A"/>
    <w:rsid w:val="004F7C57"/>
    <w:rsid w:val="004F7F4A"/>
    <w:rsid w:val="004F7FEE"/>
    <w:rsid w:val="00500023"/>
    <w:rsid w:val="00500059"/>
    <w:rsid w:val="00500065"/>
    <w:rsid w:val="0050016D"/>
    <w:rsid w:val="00500187"/>
    <w:rsid w:val="00500188"/>
    <w:rsid w:val="005004BD"/>
    <w:rsid w:val="005004F0"/>
    <w:rsid w:val="00500515"/>
    <w:rsid w:val="00500560"/>
    <w:rsid w:val="0050067E"/>
    <w:rsid w:val="00500745"/>
    <w:rsid w:val="005007E4"/>
    <w:rsid w:val="0050081B"/>
    <w:rsid w:val="005009C5"/>
    <w:rsid w:val="00500C12"/>
    <w:rsid w:val="00500DF8"/>
    <w:rsid w:val="00500DFE"/>
    <w:rsid w:val="00500E0D"/>
    <w:rsid w:val="00500F15"/>
    <w:rsid w:val="0050108A"/>
    <w:rsid w:val="0050117B"/>
    <w:rsid w:val="00501324"/>
    <w:rsid w:val="0050136B"/>
    <w:rsid w:val="005013B3"/>
    <w:rsid w:val="0050140C"/>
    <w:rsid w:val="005015A4"/>
    <w:rsid w:val="005015C0"/>
    <w:rsid w:val="005015FF"/>
    <w:rsid w:val="005017B6"/>
    <w:rsid w:val="005019AF"/>
    <w:rsid w:val="00501A23"/>
    <w:rsid w:val="00501A3C"/>
    <w:rsid w:val="00501A4D"/>
    <w:rsid w:val="00501B92"/>
    <w:rsid w:val="00501BD1"/>
    <w:rsid w:val="00501C3D"/>
    <w:rsid w:val="00501C87"/>
    <w:rsid w:val="00501CFF"/>
    <w:rsid w:val="00501D2D"/>
    <w:rsid w:val="00501DD2"/>
    <w:rsid w:val="00501DFB"/>
    <w:rsid w:val="00501EFA"/>
    <w:rsid w:val="0050208D"/>
    <w:rsid w:val="005020E3"/>
    <w:rsid w:val="00502208"/>
    <w:rsid w:val="0050229A"/>
    <w:rsid w:val="005022B2"/>
    <w:rsid w:val="0050235B"/>
    <w:rsid w:val="00502452"/>
    <w:rsid w:val="005024F9"/>
    <w:rsid w:val="00502647"/>
    <w:rsid w:val="005027C3"/>
    <w:rsid w:val="005028BC"/>
    <w:rsid w:val="005028E4"/>
    <w:rsid w:val="005028FC"/>
    <w:rsid w:val="0050290E"/>
    <w:rsid w:val="00502A55"/>
    <w:rsid w:val="00502AFE"/>
    <w:rsid w:val="00502B32"/>
    <w:rsid w:val="00502BD7"/>
    <w:rsid w:val="00502C2B"/>
    <w:rsid w:val="00502C41"/>
    <w:rsid w:val="00502CF7"/>
    <w:rsid w:val="00502DA1"/>
    <w:rsid w:val="00502DC1"/>
    <w:rsid w:val="00502E7B"/>
    <w:rsid w:val="00502FF4"/>
    <w:rsid w:val="005030DA"/>
    <w:rsid w:val="0050313D"/>
    <w:rsid w:val="005031A3"/>
    <w:rsid w:val="00503367"/>
    <w:rsid w:val="00503605"/>
    <w:rsid w:val="005036D8"/>
    <w:rsid w:val="00503705"/>
    <w:rsid w:val="0050372D"/>
    <w:rsid w:val="0050377F"/>
    <w:rsid w:val="00503788"/>
    <w:rsid w:val="0050378E"/>
    <w:rsid w:val="005037E7"/>
    <w:rsid w:val="005037EE"/>
    <w:rsid w:val="00503970"/>
    <w:rsid w:val="00503986"/>
    <w:rsid w:val="00503A9D"/>
    <w:rsid w:val="00503ABE"/>
    <w:rsid w:val="00503B6F"/>
    <w:rsid w:val="00503BE1"/>
    <w:rsid w:val="00503C3D"/>
    <w:rsid w:val="00503D21"/>
    <w:rsid w:val="00503D85"/>
    <w:rsid w:val="00503E3C"/>
    <w:rsid w:val="00503F04"/>
    <w:rsid w:val="00503F90"/>
    <w:rsid w:val="00503FE2"/>
    <w:rsid w:val="00504077"/>
    <w:rsid w:val="005040CE"/>
    <w:rsid w:val="00504181"/>
    <w:rsid w:val="00504273"/>
    <w:rsid w:val="00504334"/>
    <w:rsid w:val="00504542"/>
    <w:rsid w:val="005045C0"/>
    <w:rsid w:val="0050467D"/>
    <w:rsid w:val="005046DB"/>
    <w:rsid w:val="00504781"/>
    <w:rsid w:val="005047F1"/>
    <w:rsid w:val="00504837"/>
    <w:rsid w:val="00504865"/>
    <w:rsid w:val="005048B9"/>
    <w:rsid w:val="00504943"/>
    <w:rsid w:val="00504975"/>
    <w:rsid w:val="00504A63"/>
    <w:rsid w:val="00504B62"/>
    <w:rsid w:val="00504B77"/>
    <w:rsid w:val="00504BA0"/>
    <w:rsid w:val="00504C76"/>
    <w:rsid w:val="00504CA5"/>
    <w:rsid w:val="00504CA7"/>
    <w:rsid w:val="00504D84"/>
    <w:rsid w:val="00504DFA"/>
    <w:rsid w:val="00504EBF"/>
    <w:rsid w:val="0050506D"/>
    <w:rsid w:val="0050507A"/>
    <w:rsid w:val="005050C7"/>
    <w:rsid w:val="005050F1"/>
    <w:rsid w:val="005050F6"/>
    <w:rsid w:val="0050515B"/>
    <w:rsid w:val="00505223"/>
    <w:rsid w:val="00505266"/>
    <w:rsid w:val="00505282"/>
    <w:rsid w:val="00505291"/>
    <w:rsid w:val="00505298"/>
    <w:rsid w:val="005052C6"/>
    <w:rsid w:val="0050561B"/>
    <w:rsid w:val="00505652"/>
    <w:rsid w:val="00505658"/>
    <w:rsid w:val="005056F4"/>
    <w:rsid w:val="005057F7"/>
    <w:rsid w:val="00505B10"/>
    <w:rsid w:val="00505BA0"/>
    <w:rsid w:val="00505BC5"/>
    <w:rsid w:val="00505BC7"/>
    <w:rsid w:val="00505CAD"/>
    <w:rsid w:val="00505D55"/>
    <w:rsid w:val="00505DB2"/>
    <w:rsid w:val="00505E05"/>
    <w:rsid w:val="00505E4E"/>
    <w:rsid w:val="00505F29"/>
    <w:rsid w:val="00505FFB"/>
    <w:rsid w:val="0050603F"/>
    <w:rsid w:val="00506085"/>
    <w:rsid w:val="0050608A"/>
    <w:rsid w:val="0050610B"/>
    <w:rsid w:val="005061A6"/>
    <w:rsid w:val="00506244"/>
    <w:rsid w:val="00506274"/>
    <w:rsid w:val="005062F8"/>
    <w:rsid w:val="00506411"/>
    <w:rsid w:val="0050675D"/>
    <w:rsid w:val="005069EF"/>
    <w:rsid w:val="00506A34"/>
    <w:rsid w:val="00506BC1"/>
    <w:rsid w:val="00506DB5"/>
    <w:rsid w:val="00507000"/>
    <w:rsid w:val="00507071"/>
    <w:rsid w:val="0050713F"/>
    <w:rsid w:val="0050723F"/>
    <w:rsid w:val="005072EE"/>
    <w:rsid w:val="00507358"/>
    <w:rsid w:val="005073C0"/>
    <w:rsid w:val="0050750E"/>
    <w:rsid w:val="00507540"/>
    <w:rsid w:val="0050756A"/>
    <w:rsid w:val="005075EB"/>
    <w:rsid w:val="005075F5"/>
    <w:rsid w:val="00507886"/>
    <w:rsid w:val="005079B6"/>
    <w:rsid w:val="00507A4E"/>
    <w:rsid w:val="00507A86"/>
    <w:rsid w:val="00507AC6"/>
    <w:rsid w:val="00507B82"/>
    <w:rsid w:val="00507BDD"/>
    <w:rsid w:val="00507DF0"/>
    <w:rsid w:val="00507EDF"/>
    <w:rsid w:val="00507FD9"/>
    <w:rsid w:val="0051008F"/>
    <w:rsid w:val="005100FC"/>
    <w:rsid w:val="00510161"/>
    <w:rsid w:val="005101D4"/>
    <w:rsid w:val="00510200"/>
    <w:rsid w:val="0051020C"/>
    <w:rsid w:val="0051020E"/>
    <w:rsid w:val="005103AA"/>
    <w:rsid w:val="00510483"/>
    <w:rsid w:val="005104D8"/>
    <w:rsid w:val="00510582"/>
    <w:rsid w:val="00510634"/>
    <w:rsid w:val="0051075E"/>
    <w:rsid w:val="005107EA"/>
    <w:rsid w:val="00510932"/>
    <w:rsid w:val="00510A9D"/>
    <w:rsid w:val="00510B57"/>
    <w:rsid w:val="00510BD1"/>
    <w:rsid w:val="00510C2E"/>
    <w:rsid w:val="00510DEF"/>
    <w:rsid w:val="00510E0E"/>
    <w:rsid w:val="00510E9A"/>
    <w:rsid w:val="00511206"/>
    <w:rsid w:val="005112EF"/>
    <w:rsid w:val="00511354"/>
    <w:rsid w:val="005113ED"/>
    <w:rsid w:val="0051142D"/>
    <w:rsid w:val="0051154B"/>
    <w:rsid w:val="00511563"/>
    <w:rsid w:val="0051168C"/>
    <w:rsid w:val="005116A6"/>
    <w:rsid w:val="005116AD"/>
    <w:rsid w:val="00511736"/>
    <w:rsid w:val="00511771"/>
    <w:rsid w:val="0051178F"/>
    <w:rsid w:val="0051189F"/>
    <w:rsid w:val="005118E9"/>
    <w:rsid w:val="0051190A"/>
    <w:rsid w:val="0051192C"/>
    <w:rsid w:val="00511981"/>
    <w:rsid w:val="00511A44"/>
    <w:rsid w:val="00511B09"/>
    <w:rsid w:val="00511B47"/>
    <w:rsid w:val="00511B8B"/>
    <w:rsid w:val="00511BCA"/>
    <w:rsid w:val="00511BD0"/>
    <w:rsid w:val="00511C1E"/>
    <w:rsid w:val="00511F35"/>
    <w:rsid w:val="00511F80"/>
    <w:rsid w:val="005120E2"/>
    <w:rsid w:val="0051215C"/>
    <w:rsid w:val="00512191"/>
    <w:rsid w:val="005121D0"/>
    <w:rsid w:val="00512369"/>
    <w:rsid w:val="00512464"/>
    <w:rsid w:val="00512476"/>
    <w:rsid w:val="005124FE"/>
    <w:rsid w:val="005125A1"/>
    <w:rsid w:val="0051262A"/>
    <w:rsid w:val="0051276E"/>
    <w:rsid w:val="005128A1"/>
    <w:rsid w:val="005129CE"/>
    <w:rsid w:val="00512A26"/>
    <w:rsid w:val="00512AC8"/>
    <w:rsid w:val="00512B61"/>
    <w:rsid w:val="00512B7D"/>
    <w:rsid w:val="00512BDA"/>
    <w:rsid w:val="00512C4A"/>
    <w:rsid w:val="00512DC4"/>
    <w:rsid w:val="00512FB8"/>
    <w:rsid w:val="00513024"/>
    <w:rsid w:val="0051302F"/>
    <w:rsid w:val="00513165"/>
    <w:rsid w:val="00513263"/>
    <w:rsid w:val="005132C7"/>
    <w:rsid w:val="005134B3"/>
    <w:rsid w:val="005134C3"/>
    <w:rsid w:val="005135E1"/>
    <w:rsid w:val="005136A2"/>
    <w:rsid w:val="005136EB"/>
    <w:rsid w:val="005136F3"/>
    <w:rsid w:val="005137E2"/>
    <w:rsid w:val="00513898"/>
    <w:rsid w:val="005138B9"/>
    <w:rsid w:val="005138CC"/>
    <w:rsid w:val="00513943"/>
    <w:rsid w:val="00513A99"/>
    <w:rsid w:val="00513B40"/>
    <w:rsid w:val="00513C7A"/>
    <w:rsid w:val="00513D27"/>
    <w:rsid w:val="00513E59"/>
    <w:rsid w:val="00514073"/>
    <w:rsid w:val="0051409A"/>
    <w:rsid w:val="005140A4"/>
    <w:rsid w:val="005140BB"/>
    <w:rsid w:val="00514176"/>
    <w:rsid w:val="005142A6"/>
    <w:rsid w:val="0051433E"/>
    <w:rsid w:val="0051439A"/>
    <w:rsid w:val="005143C6"/>
    <w:rsid w:val="005143E3"/>
    <w:rsid w:val="0051440B"/>
    <w:rsid w:val="00514417"/>
    <w:rsid w:val="00514483"/>
    <w:rsid w:val="00514676"/>
    <w:rsid w:val="005146F7"/>
    <w:rsid w:val="0051477E"/>
    <w:rsid w:val="005148DC"/>
    <w:rsid w:val="005148DF"/>
    <w:rsid w:val="0051493E"/>
    <w:rsid w:val="00514940"/>
    <w:rsid w:val="005149F9"/>
    <w:rsid w:val="00514A8D"/>
    <w:rsid w:val="00514B16"/>
    <w:rsid w:val="00514CAC"/>
    <w:rsid w:val="00514CD4"/>
    <w:rsid w:val="00514CEB"/>
    <w:rsid w:val="00514DDA"/>
    <w:rsid w:val="00514EA7"/>
    <w:rsid w:val="00514ECE"/>
    <w:rsid w:val="005150CC"/>
    <w:rsid w:val="005151C4"/>
    <w:rsid w:val="0051523C"/>
    <w:rsid w:val="0051533F"/>
    <w:rsid w:val="00515408"/>
    <w:rsid w:val="00515421"/>
    <w:rsid w:val="005154A6"/>
    <w:rsid w:val="005154C4"/>
    <w:rsid w:val="005155AB"/>
    <w:rsid w:val="005155B1"/>
    <w:rsid w:val="005155E7"/>
    <w:rsid w:val="005156D2"/>
    <w:rsid w:val="005156DA"/>
    <w:rsid w:val="00515787"/>
    <w:rsid w:val="00515817"/>
    <w:rsid w:val="0051583E"/>
    <w:rsid w:val="00515876"/>
    <w:rsid w:val="005159C8"/>
    <w:rsid w:val="00515B6D"/>
    <w:rsid w:val="00515BBA"/>
    <w:rsid w:val="00515C8E"/>
    <w:rsid w:val="00515D53"/>
    <w:rsid w:val="00515D69"/>
    <w:rsid w:val="00515E8C"/>
    <w:rsid w:val="00515FBD"/>
    <w:rsid w:val="005160CF"/>
    <w:rsid w:val="00516122"/>
    <w:rsid w:val="0051617A"/>
    <w:rsid w:val="00516598"/>
    <w:rsid w:val="005165A4"/>
    <w:rsid w:val="005165A5"/>
    <w:rsid w:val="005165B0"/>
    <w:rsid w:val="0051666F"/>
    <w:rsid w:val="00516680"/>
    <w:rsid w:val="0051668B"/>
    <w:rsid w:val="005166B7"/>
    <w:rsid w:val="005168BD"/>
    <w:rsid w:val="005169EE"/>
    <w:rsid w:val="00516AFF"/>
    <w:rsid w:val="00516B50"/>
    <w:rsid w:val="00516C1F"/>
    <w:rsid w:val="00516C41"/>
    <w:rsid w:val="00516C48"/>
    <w:rsid w:val="00516D14"/>
    <w:rsid w:val="00516E0C"/>
    <w:rsid w:val="00516E63"/>
    <w:rsid w:val="00516EC2"/>
    <w:rsid w:val="00516ECB"/>
    <w:rsid w:val="00516EE0"/>
    <w:rsid w:val="00516EE6"/>
    <w:rsid w:val="00516F8A"/>
    <w:rsid w:val="00516FCB"/>
    <w:rsid w:val="005171AA"/>
    <w:rsid w:val="0051724C"/>
    <w:rsid w:val="00517341"/>
    <w:rsid w:val="00517352"/>
    <w:rsid w:val="0051735D"/>
    <w:rsid w:val="00517543"/>
    <w:rsid w:val="0051758F"/>
    <w:rsid w:val="005175F1"/>
    <w:rsid w:val="00517624"/>
    <w:rsid w:val="005176A4"/>
    <w:rsid w:val="0051783E"/>
    <w:rsid w:val="00517848"/>
    <w:rsid w:val="00517926"/>
    <w:rsid w:val="00517CB7"/>
    <w:rsid w:val="00517DBF"/>
    <w:rsid w:val="00517E10"/>
    <w:rsid w:val="00517E12"/>
    <w:rsid w:val="00517E74"/>
    <w:rsid w:val="00517F5C"/>
    <w:rsid w:val="00517FC3"/>
    <w:rsid w:val="0052007C"/>
    <w:rsid w:val="005200C0"/>
    <w:rsid w:val="0052016E"/>
    <w:rsid w:val="0052017C"/>
    <w:rsid w:val="005202AA"/>
    <w:rsid w:val="0052031F"/>
    <w:rsid w:val="0052040A"/>
    <w:rsid w:val="005204B5"/>
    <w:rsid w:val="005204D3"/>
    <w:rsid w:val="00520518"/>
    <w:rsid w:val="00520552"/>
    <w:rsid w:val="00520795"/>
    <w:rsid w:val="0052079D"/>
    <w:rsid w:val="0052084B"/>
    <w:rsid w:val="005208B3"/>
    <w:rsid w:val="005208E6"/>
    <w:rsid w:val="00520A27"/>
    <w:rsid w:val="00520A71"/>
    <w:rsid w:val="00520B12"/>
    <w:rsid w:val="00520B6B"/>
    <w:rsid w:val="00520BC9"/>
    <w:rsid w:val="00520BD4"/>
    <w:rsid w:val="00520D38"/>
    <w:rsid w:val="00520EAF"/>
    <w:rsid w:val="00520FD2"/>
    <w:rsid w:val="005211A1"/>
    <w:rsid w:val="005211E4"/>
    <w:rsid w:val="00521237"/>
    <w:rsid w:val="005212BA"/>
    <w:rsid w:val="00521303"/>
    <w:rsid w:val="0052139C"/>
    <w:rsid w:val="005213A3"/>
    <w:rsid w:val="0052145D"/>
    <w:rsid w:val="005215A6"/>
    <w:rsid w:val="00521650"/>
    <w:rsid w:val="00521715"/>
    <w:rsid w:val="00521863"/>
    <w:rsid w:val="00521926"/>
    <w:rsid w:val="00521A78"/>
    <w:rsid w:val="00521AB9"/>
    <w:rsid w:val="00521BB9"/>
    <w:rsid w:val="00521C76"/>
    <w:rsid w:val="00521C9F"/>
    <w:rsid w:val="00521D2D"/>
    <w:rsid w:val="00521D3D"/>
    <w:rsid w:val="00521D6E"/>
    <w:rsid w:val="00521DC4"/>
    <w:rsid w:val="00521E6F"/>
    <w:rsid w:val="00521EE2"/>
    <w:rsid w:val="0052209C"/>
    <w:rsid w:val="0052213B"/>
    <w:rsid w:val="0052215C"/>
    <w:rsid w:val="00522160"/>
    <w:rsid w:val="005221DC"/>
    <w:rsid w:val="00522253"/>
    <w:rsid w:val="005223F4"/>
    <w:rsid w:val="0052244A"/>
    <w:rsid w:val="00522473"/>
    <w:rsid w:val="005224E5"/>
    <w:rsid w:val="0052268A"/>
    <w:rsid w:val="0052269B"/>
    <w:rsid w:val="005226C5"/>
    <w:rsid w:val="00522727"/>
    <w:rsid w:val="0052282E"/>
    <w:rsid w:val="005229FE"/>
    <w:rsid w:val="00522AC3"/>
    <w:rsid w:val="00522AD4"/>
    <w:rsid w:val="00522C1A"/>
    <w:rsid w:val="00522CD1"/>
    <w:rsid w:val="00522CFC"/>
    <w:rsid w:val="00522E13"/>
    <w:rsid w:val="00522E60"/>
    <w:rsid w:val="00523042"/>
    <w:rsid w:val="0052315A"/>
    <w:rsid w:val="00523282"/>
    <w:rsid w:val="005232A3"/>
    <w:rsid w:val="005232B8"/>
    <w:rsid w:val="0052330A"/>
    <w:rsid w:val="00523341"/>
    <w:rsid w:val="0052362C"/>
    <w:rsid w:val="0052364E"/>
    <w:rsid w:val="00523736"/>
    <w:rsid w:val="00523757"/>
    <w:rsid w:val="00523780"/>
    <w:rsid w:val="005238AB"/>
    <w:rsid w:val="005239D0"/>
    <w:rsid w:val="00523A9A"/>
    <w:rsid w:val="00523B57"/>
    <w:rsid w:val="00523B60"/>
    <w:rsid w:val="00523B94"/>
    <w:rsid w:val="00523C90"/>
    <w:rsid w:val="00523FD8"/>
    <w:rsid w:val="00524004"/>
    <w:rsid w:val="0052403B"/>
    <w:rsid w:val="005240F6"/>
    <w:rsid w:val="0052411C"/>
    <w:rsid w:val="005241AA"/>
    <w:rsid w:val="005242B4"/>
    <w:rsid w:val="005243B1"/>
    <w:rsid w:val="005243EC"/>
    <w:rsid w:val="00524442"/>
    <w:rsid w:val="0052448B"/>
    <w:rsid w:val="00524704"/>
    <w:rsid w:val="00524931"/>
    <w:rsid w:val="005249DF"/>
    <w:rsid w:val="00524A2B"/>
    <w:rsid w:val="00524A8B"/>
    <w:rsid w:val="00524B37"/>
    <w:rsid w:val="00524CCB"/>
    <w:rsid w:val="00524D9B"/>
    <w:rsid w:val="00524DCF"/>
    <w:rsid w:val="00524F4F"/>
    <w:rsid w:val="00524F66"/>
    <w:rsid w:val="005250BF"/>
    <w:rsid w:val="0052510C"/>
    <w:rsid w:val="00525244"/>
    <w:rsid w:val="005252FA"/>
    <w:rsid w:val="005252FD"/>
    <w:rsid w:val="00525384"/>
    <w:rsid w:val="005253D4"/>
    <w:rsid w:val="00525455"/>
    <w:rsid w:val="00525484"/>
    <w:rsid w:val="00525561"/>
    <w:rsid w:val="00525587"/>
    <w:rsid w:val="00525594"/>
    <w:rsid w:val="005255E7"/>
    <w:rsid w:val="005256ED"/>
    <w:rsid w:val="00525712"/>
    <w:rsid w:val="005257CA"/>
    <w:rsid w:val="005257FB"/>
    <w:rsid w:val="00525845"/>
    <w:rsid w:val="005258BE"/>
    <w:rsid w:val="00525971"/>
    <w:rsid w:val="005259AA"/>
    <w:rsid w:val="00525A08"/>
    <w:rsid w:val="00525AE7"/>
    <w:rsid w:val="00525B02"/>
    <w:rsid w:val="00525B37"/>
    <w:rsid w:val="00525BE5"/>
    <w:rsid w:val="00525D77"/>
    <w:rsid w:val="00525E63"/>
    <w:rsid w:val="00525ED2"/>
    <w:rsid w:val="00525FB4"/>
    <w:rsid w:val="00526012"/>
    <w:rsid w:val="00526183"/>
    <w:rsid w:val="0052628A"/>
    <w:rsid w:val="005262A3"/>
    <w:rsid w:val="0052633D"/>
    <w:rsid w:val="005264F8"/>
    <w:rsid w:val="00526519"/>
    <w:rsid w:val="00526521"/>
    <w:rsid w:val="0052653E"/>
    <w:rsid w:val="00526569"/>
    <w:rsid w:val="0052656D"/>
    <w:rsid w:val="00526616"/>
    <w:rsid w:val="005267D3"/>
    <w:rsid w:val="00526862"/>
    <w:rsid w:val="005269FE"/>
    <w:rsid w:val="00526A6A"/>
    <w:rsid w:val="00526ACD"/>
    <w:rsid w:val="00526B64"/>
    <w:rsid w:val="00526DC4"/>
    <w:rsid w:val="00526E35"/>
    <w:rsid w:val="00526E38"/>
    <w:rsid w:val="00526EB3"/>
    <w:rsid w:val="00526ECB"/>
    <w:rsid w:val="00526F39"/>
    <w:rsid w:val="00527009"/>
    <w:rsid w:val="0052701A"/>
    <w:rsid w:val="00527023"/>
    <w:rsid w:val="005271C1"/>
    <w:rsid w:val="00527320"/>
    <w:rsid w:val="00527405"/>
    <w:rsid w:val="00527492"/>
    <w:rsid w:val="00527651"/>
    <w:rsid w:val="005277EC"/>
    <w:rsid w:val="00527889"/>
    <w:rsid w:val="00527901"/>
    <w:rsid w:val="00527935"/>
    <w:rsid w:val="00527AC7"/>
    <w:rsid w:val="00527C28"/>
    <w:rsid w:val="00527C37"/>
    <w:rsid w:val="00527C78"/>
    <w:rsid w:val="00527CC7"/>
    <w:rsid w:val="00527DCD"/>
    <w:rsid w:val="00527E75"/>
    <w:rsid w:val="00527EA1"/>
    <w:rsid w:val="00527F18"/>
    <w:rsid w:val="00527F23"/>
    <w:rsid w:val="00527F50"/>
    <w:rsid w:val="00527FD0"/>
    <w:rsid w:val="005300BF"/>
    <w:rsid w:val="00530106"/>
    <w:rsid w:val="0053011C"/>
    <w:rsid w:val="005301CD"/>
    <w:rsid w:val="0053024E"/>
    <w:rsid w:val="0053033B"/>
    <w:rsid w:val="00530491"/>
    <w:rsid w:val="005304A0"/>
    <w:rsid w:val="00530592"/>
    <w:rsid w:val="0053059A"/>
    <w:rsid w:val="0053060E"/>
    <w:rsid w:val="0053064F"/>
    <w:rsid w:val="00530680"/>
    <w:rsid w:val="005307D8"/>
    <w:rsid w:val="005307EA"/>
    <w:rsid w:val="005307FE"/>
    <w:rsid w:val="005308BC"/>
    <w:rsid w:val="00530D04"/>
    <w:rsid w:val="00530D64"/>
    <w:rsid w:val="00530E38"/>
    <w:rsid w:val="00530F80"/>
    <w:rsid w:val="00531012"/>
    <w:rsid w:val="00531045"/>
    <w:rsid w:val="0053116F"/>
    <w:rsid w:val="005311E1"/>
    <w:rsid w:val="00531261"/>
    <w:rsid w:val="00531278"/>
    <w:rsid w:val="005315F0"/>
    <w:rsid w:val="0053170E"/>
    <w:rsid w:val="0053178A"/>
    <w:rsid w:val="005318F4"/>
    <w:rsid w:val="00531A03"/>
    <w:rsid w:val="00531AE0"/>
    <w:rsid w:val="00531D11"/>
    <w:rsid w:val="00531D9D"/>
    <w:rsid w:val="00531DBD"/>
    <w:rsid w:val="00531E2D"/>
    <w:rsid w:val="00531ECD"/>
    <w:rsid w:val="00531F87"/>
    <w:rsid w:val="00532061"/>
    <w:rsid w:val="005320B0"/>
    <w:rsid w:val="005320F0"/>
    <w:rsid w:val="00532117"/>
    <w:rsid w:val="00532241"/>
    <w:rsid w:val="00532482"/>
    <w:rsid w:val="00532513"/>
    <w:rsid w:val="005325DC"/>
    <w:rsid w:val="00532658"/>
    <w:rsid w:val="00532709"/>
    <w:rsid w:val="0053271D"/>
    <w:rsid w:val="00532726"/>
    <w:rsid w:val="0053272B"/>
    <w:rsid w:val="00532747"/>
    <w:rsid w:val="00532895"/>
    <w:rsid w:val="005328DB"/>
    <w:rsid w:val="005328FD"/>
    <w:rsid w:val="005329B5"/>
    <w:rsid w:val="00532A76"/>
    <w:rsid w:val="00532AEF"/>
    <w:rsid w:val="00532B9D"/>
    <w:rsid w:val="00532C73"/>
    <w:rsid w:val="00532CC1"/>
    <w:rsid w:val="00532CD2"/>
    <w:rsid w:val="00532EC0"/>
    <w:rsid w:val="00532ED4"/>
    <w:rsid w:val="00532F3E"/>
    <w:rsid w:val="00532F51"/>
    <w:rsid w:val="005330A4"/>
    <w:rsid w:val="0053316E"/>
    <w:rsid w:val="0053326B"/>
    <w:rsid w:val="005332B2"/>
    <w:rsid w:val="005333A2"/>
    <w:rsid w:val="005333C1"/>
    <w:rsid w:val="00533454"/>
    <w:rsid w:val="0053345E"/>
    <w:rsid w:val="005334C0"/>
    <w:rsid w:val="0053350D"/>
    <w:rsid w:val="00533536"/>
    <w:rsid w:val="00533637"/>
    <w:rsid w:val="00533686"/>
    <w:rsid w:val="005336F1"/>
    <w:rsid w:val="00533736"/>
    <w:rsid w:val="00533923"/>
    <w:rsid w:val="00533951"/>
    <w:rsid w:val="0053395A"/>
    <w:rsid w:val="005339B4"/>
    <w:rsid w:val="005339CB"/>
    <w:rsid w:val="005339FA"/>
    <w:rsid w:val="00533B14"/>
    <w:rsid w:val="00533DC2"/>
    <w:rsid w:val="00533EC7"/>
    <w:rsid w:val="00533FAF"/>
    <w:rsid w:val="00533FEB"/>
    <w:rsid w:val="00534059"/>
    <w:rsid w:val="00534069"/>
    <w:rsid w:val="0053409A"/>
    <w:rsid w:val="00534180"/>
    <w:rsid w:val="00534232"/>
    <w:rsid w:val="00534345"/>
    <w:rsid w:val="005343B7"/>
    <w:rsid w:val="0053440D"/>
    <w:rsid w:val="00534426"/>
    <w:rsid w:val="00534469"/>
    <w:rsid w:val="005344D4"/>
    <w:rsid w:val="00534515"/>
    <w:rsid w:val="00534559"/>
    <w:rsid w:val="0053461D"/>
    <w:rsid w:val="00534810"/>
    <w:rsid w:val="005348A2"/>
    <w:rsid w:val="00534BAA"/>
    <w:rsid w:val="00534BC3"/>
    <w:rsid w:val="00534C57"/>
    <w:rsid w:val="00534D30"/>
    <w:rsid w:val="00534E7F"/>
    <w:rsid w:val="00534FFF"/>
    <w:rsid w:val="0053508E"/>
    <w:rsid w:val="00535233"/>
    <w:rsid w:val="005352D1"/>
    <w:rsid w:val="005356D5"/>
    <w:rsid w:val="005357A0"/>
    <w:rsid w:val="00535872"/>
    <w:rsid w:val="0053595C"/>
    <w:rsid w:val="005359C8"/>
    <w:rsid w:val="00535AE1"/>
    <w:rsid w:val="00535AEF"/>
    <w:rsid w:val="00535B9E"/>
    <w:rsid w:val="00535BB3"/>
    <w:rsid w:val="00535C99"/>
    <w:rsid w:val="00535D20"/>
    <w:rsid w:val="00535D56"/>
    <w:rsid w:val="00535EB3"/>
    <w:rsid w:val="00535F86"/>
    <w:rsid w:val="00535FAC"/>
    <w:rsid w:val="005360EA"/>
    <w:rsid w:val="005361EE"/>
    <w:rsid w:val="005362C8"/>
    <w:rsid w:val="0053636A"/>
    <w:rsid w:val="00536481"/>
    <w:rsid w:val="00536525"/>
    <w:rsid w:val="005365A8"/>
    <w:rsid w:val="005366EF"/>
    <w:rsid w:val="005367A6"/>
    <w:rsid w:val="00536819"/>
    <w:rsid w:val="00536830"/>
    <w:rsid w:val="00536874"/>
    <w:rsid w:val="00536980"/>
    <w:rsid w:val="005369AC"/>
    <w:rsid w:val="005369B9"/>
    <w:rsid w:val="005369F9"/>
    <w:rsid w:val="00536A1B"/>
    <w:rsid w:val="00536B16"/>
    <w:rsid w:val="00536BC5"/>
    <w:rsid w:val="00536C28"/>
    <w:rsid w:val="00536CE2"/>
    <w:rsid w:val="00536D34"/>
    <w:rsid w:val="00536EA5"/>
    <w:rsid w:val="00536EAE"/>
    <w:rsid w:val="00536EBF"/>
    <w:rsid w:val="00537110"/>
    <w:rsid w:val="0053713F"/>
    <w:rsid w:val="005374CD"/>
    <w:rsid w:val="00537693"/>
    <w:rsid w:val="005376C1"/>
    <w:rsid w:val="0053775B"/>
    <w:rsid w:val="0053776F"/>
    <w:rsid w:val="005377A7"/>
    <w:rsid w:val="00537950"/>
    <w:rsid w:val="00537ADD"/>
    <w:rsid w:val="00537C37"/>
    <w:rsid w:val="00537CB5"/>
    <w:rsid w:val="00537D6D"/>
    <w:rsid w:val="00537DA4"/>
    <w:rsid w:val="00537DF6"/>
    <w:rsid w:val="00537E1E"/>
    <w:rsid w:val="00537E5C"/>
    <w:rsid w:val="00537F5A"/>
    <w:rsid w:val="00540150"/>
    <w:rsid w:val="0054015D"/>
    <w:rsid w:val="005402BF"/>
    <w:rsid w:val="005403F6"/>
    <w:rsid w:val="0054051B"/>
    <w:rsid w:val="005407A1"/>
    <w:rsid w:val="005407B5"/>
    <w:rsid w:val="005407D2"/>
    <w:rsid w:val="00540871"/>
    <w:rsid w:val="005408FB"/>
    <w:rsid w:val="0054093E"/>
    <w:rsid w:val="00540AF1"/>
    <w:rsid w:val="00540B4C"/>
    <w:rsid w:val="00540B6E"/>
    <w:rsid w:val="00540BA5"/>
    <w:rsid w:val="00540BA7"/>
    <w:rsid w:val="00540C80"/>
    <w:rsid w:val="00540C8E"/>
    <w:rsid w:val="00541131"/>
    <w:rsid w:val="00541136"/>
    <w:rsid w:val="0054113C"/>
    <w:rsid w:val="00541215"/>
    <w:rsid w:val="00541452"/>
    <w:rsid w:val="00541525"/>
    <w:rsid w:val="00541599"/>
    <w:rsid w:val="00541868"/>
    <w:rsid w:val="00541913"/>
    <w:rsid w:val="00541B18"/>
    <w:rsid w:val="00541B1B"/>
    <w:rsid w:val="00541C7D"/>
    <w:rsid w:val="00541CD0"/>
    <w:rsid w:val="00541D3C"/>
    <w:rsid w:val="00541DA1"/>
    <w:rsid w:val="00541E8D"/>
    <w:rsid w:val="00541ECC"/>
    <w:rsid w:val="00541F84"/>
    <w:rsid w:val="00542068"/>
    <w:rsid w:val="00542174"/>
    <w:rsid w:val="005421D3"/>
    <w:rsid w:val="005421DF"/>
    <w:rsid w:val="00542256"/>
    <w:rsid w:val="0054249D"/>
    <w:rsid w:val="005424B4"/>
    <w:rsid w:val="0054253A"/>
    <w:rsid w:val="00542618"/>
    <w:rsid w:val="005426D6"/>
    <w:rsid w:val="005426F1"/>
    <w:rsid w:val="00542829"/>
    <w:rsid w:val="00542840"/>
    <w:rsid w:val="005428C1"/>
    <w:rsid w:val="0054291A"/>
    <w:rsid w:val="00542974"/>
    <w:rsid w:val="005429EC"/>
    <w:rsid w:val="00542A87"/>
    <w:rsid w:val="00542C58"/>
    <w:rsid w:val="00542D0C"/>
    <w:rsid w:val="00542EAD"/>
    <w:rsid w:val="00542ED7"/>
    <w:rsid w:val="00542F9E"/>
    <w:rsid w:val="005430EA"/>
    <w:rsid w:val="00543157"/>
    <w:rsid w:val="00543242"/>
    <w:rsid w:val="00543299"/>
    <w:rsid w:val="00543337"/>
    <w:rsid w:val="0054368F"/>
    <w:rsid w:val="00543698"/>
    <w:rsid w:val="00543699"/>
    <w:rsid w:val="005436A5"/>
    <w:rsid w:val="005436D4"/>
    <w:rsid w:val="00543711"/>
    <w:rsid w:val="00543738"/>
    <w:rsid w:val="00543885"/>
    <w:rsid w:val="00543A6A"/>
    <w:rsid w:val="00543B0A"/>
    <w:rsid w:val="00543B40"/>
    <w:rsid w:val="00543C14"/>
    <w:rsid w:val="00543C1F"/>
    <w:rsid w:val="00543D16"/>
    <w:rsid w:val="00543E91"/>
    <w:rsid w:val="00544067"/>
    <w:rsid w:val="0054408E"/>
    <w:rsid w:val="0054430C"/>
    <w:rsid w:val="00544459"/>
    <w:rsid w:val="00544504"/>
    <w:rsid w:val="0054459F"/>
    <w:rsid w:val="00544638"/>
    <w:rsid w:val="00544879"/>
    <w:rsid w:val="00544917"/>
    <w:rsid w:val="0054497F"/>
    <w:rsid w:val="00544995"/>
    <w:rsid w:val="005449D1"/>
    <w:rsid w:val="00544A95"/>
    <w:rsid w:val="00544AE1"/>
    <w:rsid w:val="00544B29"/>
    <w:rsid w:val="00544BA5"/>
    <w:rsid w:val="00544BE8"/>
    <w:rsid w:val="00544C28"/>
    <w:rsid w:val="00544D42"/>
    <w:rsid w:val="00544D64"/>
    <w:rsid w:val="00544DA0"/>
    <w:rsid w:val="00544E74"/>
    <w:rsid w:val="00544E8E"/>
    <w:rsid w:val="00544E94"/>
    <w:rsid w:val="00544EBD"/>
    <w:rsid w:val="00544F57"/>
    <w:rsid w:val="00545070"/>
    <w:rsid w:val="0054526A"/>
    <w:rsid w:val="00545346"/>
    <w:rsid w:val="00545361"/>
    <w:rsid w:val="00545623"/>
    <w:rsid w:val="0054567E"/>
    <w:rsid w:val="00545752"/>
    <w:rsid w:val="00545954"/>
    <w:rsid w:val="005459CE"/>
    <w:rsid w:val="00545A3A"/>
    <w:rsid w:val="00545D48"/>
    <w:rsid w:val="00545DBD"/>
    <w:rsid w:val="00545E0C"/>
    <w:rsid w:val="00545EC4"/>
    <w:rsid w:val="00545EF4"/>
    <w:rsid w:val="00545F10"/>
    <w:rsid w:val="00545F9E"/>
    <w:rsid w:val="0054604B"/>
    <w:rsid w:val="0054613C"/>
    <w:rsid w:val="00546657"/>
    <w:rsid w:val="005466ED"/>
    <w:rsid w:val="005467CA"/>
    <w:rsid w:val="00546875"/>
    <w:rsid w:val="005468F4"/>
    <w:rsid w:val="005468FF"/>
    <w:rsid w:val="00546932"/>
    <w:rsid w:val="005469F8"/>
    <w:rsid w:val="00546AB0"/>
    <w:rsid w:val="00546D52"/>
    <w:rsid w:val="00546E0C"/>
    <w:rsid w:val="00546E25"/>
    <w:rsid w:val="00546EE9"/>
    <w:rsid w:val="00546F51"/>
    <w:rsid w:val="00547049"/>
    <w:rsid w:val="00547103"/>
    <w:rsid w:val="00547126"/>
    <w:rsid w:val="00547224"/>
    <w:rsid w:val="00547268"/>
    <w:rsid w:val="005472C9"/>
    <w:rsid w:val="0054738D"/>
    <w:rsid w:val="005473B6"/>
    <w:rsid w:val="00547439"/>
    <w:rsid w:val="0054747D"/>
    <w:rsid w:val="00547514"/>
    <w:rsid w:val="00547599"/>
    <w:rsid w:val="005475CB"/>
    <w:rsid w:val="00547653"/>
    <w:rsid w:val="005477B1"/>
    <w:rsid w:val="005478FF"/>
    <w:rsid w:val="00547AC8"/>
    <w:rsid w:val="00547B6E"/>
    <w:rsid w:val="00547B7A"/>
    <w:rsid w:val="00547E09"/>
    <w:rsid w:val="00547EF5"/>
    <w:rsid w:val="00547F32"/>
    <w:rsid w:val="00547F63"/>
    <w:rsid w:val="00547FD4"/>
    <w:rsid w:val="00547FF8"/>
    <w:rsid w:val="0055025E"/>
    <w:rsid w:val="005502E4"/>
    <w:rsid w:val="005503D8"/>
    <w:rsid w:val="0055076A"/>
    <w:rsid w:val="0055077B"/>
    <w:rsid w:val="0055084A"/>
    <w:rsid w:val="0055097D"/>
    <w:rsid w:val="00550980"/>
    <w:rsid w:val="005509F7"/>
    <w:rsid w:val="00550B62"/>
    <w:rsid w:val="00550C26"/>
    <w:rsid w:val="00550C69"/>
    <w:rsid w:val="00550EAA"/>
    <w:rsid w:val="00550ED5"/>
    <w:rsid w:val="00550EDB"/>
    <w:rsid w:val="0055118F"/>
    <w:rsid w:val="00551272"/>
    <w:rsid w:val="005512B8"/>
    <w:rsid w:val="00551377"/>
    <w:rsid w:val="0055138C"/>
    <w:rsid w:val="0055139B"/>
    <w:rsid w:val="00551560"/>
    <w:rsid w:val="00551595"/>
    <w:rsid w:val="005515E7"/>
    <w:rsid w:val="005516A6"/>
    <w:rsid w:val="005516BD"/>
    <w:rsid w:val="00551878"/>
    <w:rsid w:val="005518ED"/>
    <w:rsid w:val="0055199C"/>
    <w:rsid w:val="00551A76"/>
    <w:rsid w:val="00551A9B"/>
    <w:rsid w:val="00551AA9"/>
    <w:rsid w:val="00551ABF"/>
    <w:rsid w:val="00551B0A"/>
    <w:rsid w:val="00551B4B"/>
    <w:rsid w:val="00551D43"/>
    <w:rsid w:val="00551DB6"/>
    <w:rsid w:val="00551E2A"/>
    <w:rsid w:val="00551E4B"/>
    <w:rsid w:val="00551F18"/>
    <w:rsid w:val="005520FC"/>
    <w:rsid w:val="0055218A"/>
    <w:rsid w:val="005521AA"/>
    <w:rsid w:val="0055226F"/>
    <w:rsid w:val="00552361"/>
    <w:rsid w:val="005523F0"/>
    <w:rsid w:val="0055250B"/>
    <w:rsid w:val="005525CB"/>
    <w:rsid w:val="0055265E"/>
    <w:rsid w:val="005527C5"/>
    <w:rsid w:val="005528DB"/>
    <w:rsid w:val="00552981"/>
    <w:rsid w:val="005529B4"/>
    <w:rsid w:val="00552A31"/>
    <w:rsid w:val="00552BC7"/>
    <w:rsid w:val="00552C4A"/>
    <w:rsid w:val="00552CAA"/>
    <w:rsid w:val="00552D82"/>
    <w:rsid w:val="00552D92"/>
    <w:rsid w:val="00552D9E"/>
    <w:rsid w:val="00552DCC"/>
    <w:rsid w:val="00553043"/>
    <w:rsid w:val="0055328A"/>
    <w:rsid w:val="0055329A"/>
    <w:rsid w:val="005532E2"/>
    <w:rsid w:val="00553342"/>
    <w:rsid w:val="00553436"/>
    <w:rsid w:val="005535DA"/>
    <w:rsid w:val="005537EB"/>
    <w:rsid w:val="005537F5"/>
    <w:rsid w:val="0055390A"/>
    <w:rsid w:val="0055395A"/>
    <w:rsid w:val="005539B7"/>
    <w:rsid w:val="00553A66"/>
    <w:rsid w:val="00553A7D"/>
    <w:rsid w:val="00553AFA"/>
    <w:rsid w:val="00553B61"/>
    <w:rsid w:val="00553B73"/>
    <w:rsid w:val="00553BB0"/>
    <w:rsid w:val="00553BEA"/>
    <w:rsid w:val="00553D47"/>
    <w:rsid w:val="00553E46"/>
    <w:rsid w:val="00553E6F"/>
    <w:rsid w:val="00553F86"/>
    <w:rsid w:val="00553F8E"/>
    <w:rsid w:val="005540E6"/>
    <w:rsid w:val="00554135"/>
    <w:rsid w:val="00554197"/>
    <w:rsid w:val="00554227"/>
    <w:rsid w:val="00554237"/>
    <w:rsid w:val="00554278"/>
    <w:rsid w:val="00554590"/>
    <w:rsid w:val="005545C8"/>
    <w:rsid w:val="0055472C"/>
    <w:rsid w:val="00554823"/>
    <w:rsid w:val="0055490B"/>
    <w:rsid w:val="005549BD"/>
    <w:rsid w:val="00554A01"/>
    <w:rsid w:val="00554BA0"/>
    <w:rsid w:val="00554C9F"/>
    <w:rsid w:val="00554E59"/>
    <w:rsid w:val="00554FB7"/>
    <w:rsid w:val="00554FFB"/>
    <w:rsid w:val="00555025"/>
    <w:rsid w:val="0055519D"/>
    <w:rsid w:val="005553BF"/>
    <w:rsid w:val="005555EB"/>
    <w:rsid w:val="00555836"/>
    <w:rsid w:val="00555975"/>
    <w:rsid w:val="0055598B"/>
    <w:rsid w:val="00555A8B"/>
    <w:rsid w:val="00555AF0"/>
    <w:rsid w:val="00555B50"/>
    <w:rsid w:val="00555B63"/>
    <w:rsid w:val="00555BB7"/>
    <w:rsid w:val="00555D58"/>
    <w:rsid w:val="00555FD5"/>
    <w:rsid w:val="00556039"/>
    <w:rsid w:val="00556062"/>
    <w:rsid w:val="0055610E"/>
    <w:rsid w:val="00556226"/>
    <w:rsid w:val="005562AB"/>
    <w:rsid w:val="005562CE"/>
    <w:rsid w:val="00556400"/>
    <w:rsid w:val="0055640E"/>
    <w:rsid w:val="005565B7"/>
    <w:rsid w:val="0055660F"/>
    <w:rsid w:val="0055663E"/>
    <w:rsid w:val="00556679"/>
    <w:rsid w:val="005567F4"/>
    <w:rsid w:val="0055698F"/>
    <w:rsid w:val="00556A3E"/>
    <w:rsid w:val="00556B06"/>
    <w:rsid w:val="00556B2D"/>
    <w:rsid w:val="00556C23"/>
    <w:rsid w:val="00556C62"/>
    <w:rsid w:val="00556C63"/>
    <w:rsid w:val="00556DEF"/>
    <w:rsid w:val="00556EA1"/>
    <w:rsid w:val="00556EFD"/>
    <w:rsid w:val="00557005"/>
    <w:rsid w:val="00557006"/>
    <w:rsid w:val="005570C0"/>
    <w:rsid w:val="0055712F"/>
    <w:rsid w:val="00557242"/>
    <w:rsid w:val="005572C0"/>
    <w:rsid w:val="00557358"/>
    <w:rsid w:val="005573AC"/>
    <w:rsid w:val="005573CF"/>
    <w:rsid w:val="0055742F"/>
    <w:rsid w:val="005575E4"/>
    <w:rsid w:val="0055766D"/>
    <w:rsid w:val="0055780C"/>
    <w:rsid w:val="005578D1"/>
    <w:rsid w:val="0055794E"/>
    <w:rsid w:val="00557A16"/>
    <w:rsid w:val="00557A2F"/>
    <w:rsid w:val="00557A69"/>
    <w:rsid w:val="00557AFB"/>
    <w:rsid w:val="00557BFF"/>
    <w:rsid w:val="00557C06"/>
    <w:rsid w:val="00557D33"/>
    <w:rsid w:val="00557DC4"/>
    <w:rsid w:val="00557EE7"/>
    <w:rsid w:val="00557F4D"/>
    <w:rsid w:val="00557F90"/>
    <w:rsid w:val="00557F93"/>
    <w:rsid w:val="0056001B"/>
    <w:rsid w:val="00560035"/>
    <w:rsid w:val="0056008D"/>
    <w:rsid w:val="0056009D"/>
    <w:rsid w:val="005601E1"/>
    <w:rsid w:val="005601F8"/>
    <w:rsid w:val="00560282"/>
    <w:rsid w:val="00560365"/>
    <w:rsid w:val="0056046B"/>
    <w:rsid w:val="00560470"/>
    <w:rsid w:val="005604D4"/>
    <w:rsid w:val="00560518"/>
    <w:rsid w:val="00560553"/>
    <w:rsid w:val="005606B2"/>
    <w:rsid w:val="00560B4F"/>
    <w:rsid w:val="00560C8F"/>
    <w:rsid w:val="00560E10"/>
    <w:rsid w:val="0056116C"/>
    <w:rsid w:val="0056121C"/>
    <w:rsid w:val="00561235"/>
    <w:rsid w:val="0056137E"/>
    <w:rsid w:val="0056152D"/>
    <w:rsid w:val="00561617"/>
    <w:rsid w:val="00561732"/>
    <w:rsid w:val="0056176E"/>
    <w:rsid w:val="005617E1"/>
    <w:rsid w:val="00561964"/>
    <w:rsid w:val="00561995"/>
    <w:rsid w:val="00561A97"/>
    <w:rsid w:val="00561BB6"/>
    <w:rsid w:val="00561C02"/>
    <w:rsid w:val="00561C16"/>
    <w:rsid w:val="00561C88"/>
    <w:rsid w:val="00561C99"/>
    <w:rsid w:val="00561C9B"/>
    <w:rsid w:val="00561D08"/>
    <w:rsid w:val="00561D45"/>
    <w:rsid w:val="00561D99"/>
    <w:rsid w:val="00561DCA"/>
    <w:rsid w:val="00561DF1"/>
    <w:rsid w:val="00561E61"/>
    <w:rsid w:val="00561EC0"/>
    <w:rsid w:val="00561EFA"/>
    <w:rsid w:val="00561F04"/>
    <w:rsid w:val="005620C1"/>
    <w:rsid w:val="0056222A"/>
    <w:rsid w:val="005622C6"/>
    <w:rsid w:val="005622DA"/>
    <w:rsid w:val="00562473"/>
    <w:rsid w:val="0056262A"/>
    <w:rsid w:val="0056291E"/>
    <w:rsid w:val="00562ACA"/>
    <w:rsid w:val="00562B61"/>
    <w:rsid w:val="00562D3E"/>
    <w:rsid w:val="00562E1B"/>
    <w:rsid w:val="00562E50"/>
    <w:rsid w:val="00562E58"/>
    <w:rsid w:val="00563080"/>
    <w:rsid w:val="005632F5"/>
    <w:rsid w:val="0056331F"/>
    <w:rsid w:val="005634E5"/>
    <w:rsid w:val="005634E6"/>
    <w:rsid w:val="005636F5"/>
    <w:rsid w:val="00563792"/>
    <w:rsid w:val="005637AD"/>
    <w:rsid w:val="005638BD"/>
    <w:rsid w:val="00563A86"/>
    <w:rsid w:val="00563A94"/>
    <w:rsid w:val="00563AA8"/>
    <w:rsid w:val="00563C3B"/>
    <w:rsid w:val="00563C5D"/>
    <w:rsid w:val="00563C78"/>
    <w:rsid w:val="00563D73"/>
    <w:rsid w:val="00563E4F"/>
    <w:rsid w:val="00563FDC"/>
    <w:rsid w:val="005640E4"/>
    <w:rsid w:val="0056417D"/>
    <w:rsid w:val="005641A2"/>
    <w:rsid w:val="00564247"/>
    <w:rsid w:val="0056439E"/>
    <w:rsid w:val="00564478"/>
    <w:rsid w:val="005645B7"/>
    <w:rsid w:val="00564769"/>
    <w:rsid w:val="0056488C"/>
    <w:rsid w:val="005648CD"/>
    <w:rsid w:val="00564997"/>
    <w:rsid w:val="005649D7"/>
    <w:rsid w:val="00564A1E"/>
    <w:rsid w:val="00564A87"/>
    <w:rsid w:val="00564B3E"/>
    <w:rsid w:val="00564BBC"/>
    <w:rsid w:val="00564C25"/>
    <w:rsid w:val="00564C6D"/>
    <w:rsid w:val="00564C7B"/>
    <w:rsid w:val="00564CD1"/>
    <w:rsid w:val="00564CE7"/>
    <w:rsid w:val="00564DCC"/>
    <w:rsid w:val="00564E3B"/>
    <w:rsid w:val="00564E9C"/>
    <w:rsid w:val="00564EAF"/>
    <w:rsid w:val="00564EC3"/>
    <w:rsid w:val="005651FF"/>
    <w:rsid w:val="005653D2"/>
    <w:rsid w:val="0056544F"/>
    <w:rsid w:val="00565522"/>
    <w:rsid w:val="0056584F"/>
    <w:rsid w:val="0056588C"/>
    <w:rsid w:val="005659E0"/>
    <w:rsid w:val="00565B02"/>
    <w:rsid w:val="00565B11"/>
    <w:rsid w:val="00565B8F"/>
    <w:rsid w:val="00565CD6"/>
    <w:rsid w:val="00565E53"/>
    <w:rsid w:val="00565E96"/>
    <w:rsid w:val="00565EA4"/>
    <w:rsid w:val="00566045"/>
    <w:rsid w:val="0056604B"/>
    <w:rsid w:val="00566062"/>
    <w:rsid w:val="005661AF"/>
    <w:rsid w:val="005661C8"/>
    <w:rsid w:val="0056642B"/>
    <w:rsid w:val="00566445"/>
    <w:rsid w:val="00566552"/>
    <w:rsid w:val="005666BA"/>
    <w:rsid w:val="005667B0"/>
    <w:rsid w:val="0056693A"/>
    <w:rsid w:val="00566A2B"/>
    <w:rsid w:val="00566A8C"/>
    <w:rsid w:val="00566AA9"/>
    <w:rsid w:val="00566B67"/>
    <w:rsid w:val="00566CBF"/>
    <w:rsid w:val="00566D53"/>
    <w:rsid w:val="00566F3E"/>
    <w:rsid w:val="0056716B"/>
    <w:rsid w:val="0056742E"/>
    <w:rsid w:val="0056743B"/>
    <w:rsid w:val="005674A7"/>
    <w:rsid w:val="00567504"/>
    <w:rsid w:val="0056771B"/>
    <w:rsid w:val="0056777C"/>
    <w:rsid w:val="005677FA"/>
    <w:rsid w:val="00567882"/>
    <w:rsid w:val="00567979"/>
    <w:rsid w:val="005679D7"/>
    <w:rsid w:val="00567A0C"/>
    <w:rsid w:val="00567AC6"/>
    <w:rsid w:val="00567B56"/>
    <w:rsid w:val="00567B57"/>
    <w:rsid w:val="00567C5D"/>
    <w:rsid w:val="00567D09"/>
    <w:rsid w:val="00567D1C"/>
    <w:rsid w:val="00567D92"/>
    <w:rsid w:val="00567DB8"/>
    <w:rsid w:val="00567E10"/>
    <w:rsid w:val="00567F2D"/>
    <w:rsid w:val="0057004F"/>
    <w:rsid w:val="0057016B"/>
    <w:rsid w:val="005701FB"/>
    <w:rsid w:val="00570315"/>
    <w:rsid w:val="00570332"/>
    <w:rsid w:val="00570436"/>
    <w:rsid w:val="0057070F"/>
    <w:rsid w:val="0057071C"/>
    <w:rsid w:val="0057072F"/>
    <w:rsid w:val="0057074E"/>
    <w:rsid w:val="0057087B"/>
    <w:rsid w:val="00570A7A"/>
    <w:rsid w:val="00570AC8"/>
    <w:rsid w:val="00570AFA"/>
    <w:rsid w:val="00570B62"/>
    <w:rsid w:val="00570BA6"/>
    <w:rsid w:val="00570DB5"/>
    <w:rsid w:val="00570DC1"/>
    <w:rsid w:val="00570DD2"/>
    <w:rsid w:val="00570E98"/>
    <w:rsid w:val="00570EF1"/>
    <w:rsid w:val="00570F0B"/>
    <w:rsid w:val="00570FD9"/>
    <w:rsid w:val="00571018"/>
    <w:rsid w:val="00571175"/>
    <w:rsid w:val="00571211"/>
    <w:rsid w:val="005712CE"/>
    <w:rsid w:val="005714AE"/>
    <w:rsid w:val="0057158B"/>
    <w:rsid w:val="005715C2"/>
    <w:rsid w:val="005715F1"/>
    <w:rsid w:val="0057167B"/>
    <w:rsid w:val="005716C1"/>
    <w:rsid w:val="00571882"/>
    <w:rsid w:val="0057196B"/>
    <w:rsid w:val="00571AB5"/>
    <w:rsid w:val="00571B37"/>
    <w:rsid w:val="00571B6E"/>
    <w:rsid w:val="00571C19"/>
    <w:rsid w:val="00571C1A"/>
    <w:rsid w:val="00571C23"/>
    <w:rsid w:val="00571C28"/>
    <w:rsid w:val="00571C71"/>
    <w:rsid w:val="00571CAA"/>
    <w:rsid w:val="00571CE8"/>
    <w:rsid w:val="00571D3D"/>
    <w:rsid w:val="00571D94"/>
    <w:rsid w:val="00571DF6"/>
    <w:rsid w:val="00571E60"/>
    <w:rsid w:val="005721B0"/>
    <w:rsid w:val="005721F4"/>
    <w:rsid w:val="00572223"/>
    <w:rsid w:val="0057238B"/>
    <w:rsid w:val="005724CB"/>
    <w:rsid w:val="005725A9"/>
    <w:rsid w:val="00572642"/>
    <w:rsid w:val="00572754"/>
    <w:rsid w:val="0057278C"/>
    <w:rsid w:val="005728E7"/>
    <w:rsid w:val="0057293C"/>
    <w:rsid w:val="005729CA"/>
    <w:rsid w:val="00572A2B"/>
    <w:rsid w:val="00572A2D"/>
    <w:rsid w:val="00572A53"/>
    <w:rsid w:val="00572CFB"/>
    <w:rsid w:val="00572D0F"/>
    <w:rsid w:val="00572E36"/>
    <w:rsid w:val="00572EA9"/>
    <w:rsid w:val="00572F01"/>
    <w:rsid w:val="00573083"/>
    <w:rsid w:val="005730FB"/>
    <w:rsid w:val="0057312A"/>
    <w:rsid w:val="00573192"/>
    <w:rsid w:val="005731FE"/>
    <w:rsid w:val="005732C2"/>
    <w:rsid w:val="005732F5"/>
    <w:rsid w:val="0057331C"/>
    <w:rsid w:val="00573333"/>
    <w:rsid w:val="00573352"/>
    <w:rsid w:val="00573388"/>
    <w:rsid w:val="005733BD"/>
    <w:rsid w:val="0057354B"/>
    <w:rsid w:val="0057355B"/>
    <w:rsid w:val="00573610"/>
    <w:rsid w:val="0057370B"/>
    <w:rsid w:val="0057380E"/>
    <w:rsid w:val="0057381D"/>
    <w:rsid w:val="00573850"/>
    <w:rsid w:val="00573978"/>
    <w:rsid w:val="005739FE"/>
    <w:rsid w:val="00573A93"/>
    <w:rsid w:val="00573AB1"/>
    <w:rsid w:val="00573AE6"/>
    <w:rsid w:val="00573B0D"/>
    <w:rsid w:val="00573BD8"/>
    <w:rsid w:val="00573C00"/>
    <w:rsid w:val="00573CCF"/>
    <w:rsid w:val="00573D41"/>
    <w:rsid w:val="00573D9F"/>
    <w:rsid w:val="00573E7B"/>
    <w:rsid w:val="00573EA3"/>
    <w:rsid w:val="00573EC3"/>
    <w:rsid w:val="00573F7F"/>
    <w:rsid w:val="00573F9F"/>
    <w:rsid w:val="0057406E"/>
    <w:rsid w:val="0057409A"/>
    <w:rsid w:val="00574139"/>
    <w:rsid w:val="00574289"/>
    <w:rsid w:val="005743FE"/>
    <w:rsid w:val="0057443D"/>
    <w:rsid w:val="00574448"/>
    <w:rsid w:val="005744C5"/>
    <w:rsid w:val="005744DB"/>
    <w:rsid w:val="005744EC"/>
    <w:rsid w:val="00574505"/>
    <w:rsid w:val="005746C3"/>
    <w:rsid w:val="0057476F"/>
    <w:rsid w:val="005747B1"/>
    <w:rsid w:val="005747BE"/>
    <w:rsid w:val="00574898"/>
    <w:rsid w:val="005748E2"/>
    <w:rsid w:val="00574AE6"/>
    <w:rsid w:val="00574AEC"/>
    <w:rsid w:val="00574B53"/>
    <w:rsid w:val="00574C12"/>
    <w:rsid w:val="00574C49"/>
    <w:rsid w:val="00574CE7"/>
    <w:rsid w:val="00574E26"/>
    <w:rsid w:val="00574E65"/>
    <w:rsid w:val="00574F79"/>
    <w:rsid w:val="0057522D"/>
    <w:rsid w:val="005752F9"/>
    <w:rsid w:val="0057531A"/>
    <w:rsid w:val="0057535C"/>
    <w:rsid w:val="005753BF"/>
    <w:rsid w:val="00575414"/>
    <w:rsid w:val="005754F4"/>
    <w:rsid w:val="00575551"/>
    <w:rsid w:val="005755B8"/>
    <w:rsid w:val="00575833"/>
    <w:rsid w:val="0057583D"/>
    <w:rsid w:val="005758E7"/>
    <w:rsid w:val="00575903"/>
    <w:rsid w:val="0057593C"/>
    <w:rsid w:val="00575A5E"/>
    <w:rsid w:val="00575B00"/>
    <w:rsid w:val="00575C3B"/>
    <w:rsid w:val="00575CB7"/>
    <w:rsid w:val="00575DA8"/>
    <w:rsid w:val="00575E04"/>
    <w:rsid w:val="005760E0"/>
    <w:rsid w:val="00576141"/>
    <w:rsid w:val="00576161"/>
    <w:rsid w:val="005762B0"/>
    <w:rsid w:val="00576375"/>
    <w:rsid w:val="005763BD"/>
    <w:rsid w:val="005763FF"/>
    <w:rsid w:val="0057640E"/>
    <w:rsid w:val="0057643E"/>
    <w:rsid w:val="005765EB"/>
    <w:rsid w:val="00576611"/>
    <w:rsid w:val="0057682A"/>
    <w:rsid w:val="00576838"/>
    <w:rsid w:val="00576844"/>
    <w:rsid w:val="00576899"/>
    <w:rsid w:val="005768BD"/>
    <w:rsid w:val="00576A5C"/>
    <w:rsid w:val="00576D60"/>
    <w:rsid w:val="00576EA5"/>
    <w:rsid w:val="00576EB5"/>
    <w:rsid w:val="00577009"/>
    <w:rsid w:val="005770BE"/>
    <w:rsid w:val="0057718F"/>
    <w:rsid w:val="005771B9"/>
    <w:rsid w:val="00577248"/>
    <w:rsid w:val="005773CF"/>
    <w:rsid w:val="0057743F"/>
    <w:rsid w:val="0057749D"/>
    <w:rsid w:val="005774F4"/>
    <w:rsid w:val="00577740"/>
    <w:rsid w:val="005778FE"/>
    <w:rsid w:val="00577923"/>
    <w:rsid w:val="00577A76"/>
    <w:rsid w:val="00577A7A"/>
    <w:rsid w:val="00577AB5"/>
    <w:rsid w:val="00577B68"/>
    <w:rsid w:val="00577B6B"/>
    <w:rsid w:val="00577BAB"/>
    <w:rsid w:val="00577BF6"/>
    <w:rsid w:val="00577BF8"/>
    <w:rsid w:val="00577CD8"/>
    <w:rsid w:val="00577EFB"/>
    <w:rsid w:val="00577F38"/>
    <w:rsid w:val="00577F6D"/>
    <w:rsid w:val="00580049"/>
    <w:rsid w:val="005800DF"/>
    <w:rsid w:val="00580132"/>
    <w:rsid w:val="005801AC"/>
    <w:rsid w:val="005802C7"/>
    <w:rsid w:val="00580316"/>
    <w:rsid w:val="005805AA"/>
    <w:rsid w:val="00580667"/>
    <w:rsid w:val="005806CA"/>
    <w:rsid w:val="00580732"/>
    <w:rsid w:val="00580798"/>
    <w:rsid w:val="00580816"/>
    <w:rsid w:val="005808CA"/>
    <w:rsid w:val="00580A9C"/>
    <w:rsid w:val="00580C02"/>
    <w:rsid w:val="00580F58"/>
    <w:rsid w:val="00580FA2"/>
    <w:rsid w:val="00580FE6"/>
    <w:rsid w:val="00581012"/>
    <w:rsid w:val="00581197"/>
    <w:rsid w:val="005811D6"/>
    <w:rsid w:val="00581302"/>
    <w:rsid w:val="0058130D"/>
    <w:rsid w:val="00581403"/>
    <w:rsid w:val="00581544"/>
    <w:rsid w:val="00581556"/>
    <w:rsid w:val="00581669"/>
    <w:rsid w:val="0058180F"/>
    <w:rsid w:val="005819C2"/>
    <w:rsid w:val="00581B3F"/>
    <w:rsid w:val="00581C17"/>
    <w:rsid w:val="00581DED"/>
    <w:rsid w:val="00581E4D"/>
    <w:rsid w:val="00581F90"/>
    <w:rsid w:val="00581FED"/>
    <w:rsid w:val="005820BF"/>
    <w:rsid w:val="005820DA"/>
    <w:rsid w:val="0058210B"/>
    <w:rsid w:val="005822FC"/>
    <w:rsid w:val="005824BB"/>
    <w:rsid w:val="00582543"/>
    <w:rsid w:val="0058259B"/>
    <w:rsid w:val="005825BF"/>
    <w:rsid w:val="00582694"/>
    <w:rsid w:val="00582706"/>
    <w:rsid w:val="00582730"/>
    <w:rsid w:val="00582732"/>
    <w:rsid w:val="0058279F"/>
    <w:rsid w:val="005829C5"/>
    <w:rsid w:val="005829E8"/>
    <w:rsid w:val="00582A16"/>
    <w:rsid w:val="00582A76"/>
    <w:rsid w:val="00582DC8"/>
    <w:rsid w:val="00582DFA"/>
    <w:rsid w:val="00582EAB"/>
    <w:rsid w:val="00583014"/>
    <w:rsid w:val="00583032"/>
    <w:rsid w:val="00583163"/>
    <w:rsid w:val="0058316D"/>
    <w:rsid w:val="00583183"/>
    <w:rsid w:val="005831D9"/>
    <w:rsid w:val="0058321D"/>
    <w:rsid w:val="005832A3"/>
    <w:rsid w:val="00583365"/>
    <w:rsid w:val="005833B0"/>
    <w:rsid w:val="00583497"/>
    <w:rsid w:val="005836AB"/>
    <w:rsid w:val="005836AC"/>
    <w:rsid w:val="005836CC"/>
    <w:rsid w:val="00583838"/>
    <w:rsid w:val="005838BD"/>
    <w:rsid w:val="005838DD"/>
    <w:rsid w:val="005838E9"/>
    <w:rsid w:val="00583A40"/>
    <w:rsid w:val="00583A57"/>
    <w:rsid w:val="00583C11"/>
    <w:rsid w:val="00583CD4"/>
    <w:rsid w:val="00583D11"/>
    <w:rsid w:val="00583E84"/>
    <w:rsid w:val="00583EC4"/>
    <w:rsid w:val="00583EF3"/>
    <w:rsid w:val="00583FAB"/>
    <w:rsid w:val="00583FED"/>
    <w:rsid w:val="005840B2"/>
    <w:rsid w:val="00584351"/>
    <w:rsid w:val="0058435E"/>
    <w:rsid w:val="005843CE"/>
    <w:rsid w:val="005845B6"/>
    <w:rsid w:val="005845C5"/>
    <w:rsid w:val="00584667"/>
    <w:rsid w:val="005846F3"/>
    <w:rsid w:val="0058476F"/>
    <w:rsid w:val="0058481A"/>
    <w:rsid w:val="00584875"/>
    <w:rsid w:val="00584876"/>
    <w:rsid w:val="005849DB"/>
    <w:rsid w:val="005849FC"/>
    <w:rsid w:val="00584A14"/>
    <w:rsid w:val="00584AF9"/>
    <w:rsid w:val="00584BF2"/>
    <w:rsid w:val="00584C62"/>
    <w:rsid w:val="00584CF1"/>
    <w:rsid w:val="00584D21"/>
    <w:rsid w:val="00584D2F"/>
    <w:rsid w:val="00584DCA"/>
    <w:rsid w:val="00584E12"/>
    <w:rsid w:val="00584F60"/>
    <w:rsid w:val="00584FA5"/>
    <w:rsid w:val="00584FA6"/>
    <w:rsid w:val="00584FEF"/>
    <w:rsid w:val="00585031"/>
    <w:rsid w:val="0058504D"/>
    <w:rsid w:val="0058507C"/>
    <w:rsid w:val="00585104"/>
    <w:rsid w:val="00585113"/>
    <w:rsid w:val="00585132"/>
    <w:rsid w:val="00585438"/>
    <w:rsid w:val="00585465"/>
    <w:rsid w:val="00585499"/>
    <w:rsid w:val="0058551E"/>
    <w:rsid w:val="00585677"/>
    <w:rsid w:val="005856DD"/>
    <w:rsid w:val="005856FE"/>
    <w:rsid w:val="0058571D"/>
    <w:rsid w:val="0058573D"/>
    <w:rsid w:val="00585757"/>
    <w:rsid w:val="00585861"/>
    <w:rsid w:val="005858A1"/>
    <w:rsid w:val="0058595E"/>
    <w:rsid w:val="00585B53"/>
    <w:rsid w:val="00585BCB"/>
    <w:rsid w:val="00585D54"/>
    <w:rsid w:val="00585E0E"/>
    <w:rsid w:val="00585E4C"/>
    <w:rsid w:val="00585EC4"/>
    <w:rsid w:val="00585F8C"/>
    <w:rsid w:val="00585FAE"/>
    <w:rsid w:val="00585FCC"/>
    <w:rsid w:val="00586090"/>
    <w:rsid w:val="005860F8"/>
    <w:rsid w:val="00586281"/>
    <w:rsid w:val="005863B8"/>
    <w:rsid w:val="00586416"/>
    <w:rsid w:val="005864AB"/>
    <w:rsid w:val="0058658B"/>
    <w:rsid w:val="005865E2"/>
    <w:rsid w:val="005867BE"/>
    <w:rsid w:val="0058683D"/>
    <w:rsid w:val="00586979"/>
    <w:rsid w:val="00586A88"/>
    <w:rsid w:val="00586B14"/>
    <w:rsid w:val="00586CA1"/>
    <w:rsid w:val="00586D66"/>
    <w:rsid w:val="00586D86"/>
    <w:rsid w:val="00586D9E"/>
    <w:rsid w:val="00586E69"/>
    <w:rsid w:val="00586F6D"/>
    <w:rsid w:val="00586FA1"/>
    <w:rsid w:val="0058708C"/>
    <w:rsid w:val="00587098"/>
    <w:rsid w:val="00587200"/>
    <w:rsid w:val="00587257"/>
    <w:rsid w:val="005872ED"/>
    <w:rsid w:val="00587362"/>
    <w:rsid w:val="00587524"/>
    <w:rsid w:val="00587647"/>
    <w:rsid w:val="005876ED"/>
    <w:rsid w:val="00587788"/>
    <w:rsid w:val="00587888"/>
    <w:rsid w:val="005878E0"/>
    <w:rsid w:val="00587AD0"/>
    <w:rsid w:val="00587B06"/>
    <w:rsid w:val="00587BC7"/>
    <w:rsid w:val="00587D02"/>
    <w:rsid w:val="005900A1"/>
    <w:rsid w:val="005901E8"/>
    <w:rsid w:val="0059025B"/>
    <w:rsid w:val="00590283"/>
    <w:rsid w:val="0059049C"/>
    <w:rsid w:val="00590688"/>
    <w:rsid w:val="005906C3"/>
    <w:rsid w:val="005907D8"/>
    <w:rsid w:val="00590842"/>
    <w:rsid w:val="00590945"/>
    <w:rsid w:val="005909C8"/>
    <w:rsid w:val="00590BC4"/>
    <w:rsid w:val="00590C4B"/>
    <w:rsid w:val="00590C61"/>
    <w:rsid w:val="00590DF1"/>
    <w:rsid w:val="00590F0D"/>
    <w:rsid w:val="00590F87"/>
    <w:rsid w:val="00590FE7"/>
    <w:rsid w:val="00591142"/>
    <w:rsid w:val="005911DD"/>
    <w:rsid w:val="00591208"/>
    <w:rsid w:val="00591395"/>
    <w:rsid w:val="0059149B"/>
    <w:rsid w:val="005914B9"/>
    <w:rsid w:val="00591580"/>
    <w:rsid w:val="005915A2"/>
    <w:rsid w:val="005915C2"/>
    <w:rsid w:val="0059164B"/>
    <w:rsid w:val="00591724"/>
    <w:rsid w:val="00591725"/>
    <w:rsid w:val="005918BC"/>
    <w:rsid w:val="005918F6"/>
    <w:rsid w:val="00591905"/>
    <w:rsid w:val="00591D2B"/>
    <w:rsid w:val="00591DF8"/>
    <w:rsid w:val="00591F00"/>
    <w:rsid w:val="00591F02"/>
    <w:rsid w:val="0059203E"/>
    <w:rsid w:val="00592057"/>
    <w:rsid w:val="005920B5"/>
    <w:rsid w:val="0059211F"/>
    <w:rsid w:val="0059213B"/>
    <w:rsid w:val="005924F0"/>
    <w:rsid w:val="00592789"/>
    <w:rsid w:val="00592826"/>
    <w:rsid w:val="00592835"/>
    <w:rsid w:val="005929C6"/>
    <w:rsid w:val="005929D5"/>
    <w:rsid w:val="005929F1"/>
    <w:rsid w:val="00592B0D"/>
    <w:rsid w:val="00592B2B"/>
    <w:rsid w:val="00592B37"/>
    <w:rsid w:val="00592B7F"/>
    <w:rsid w:val="00592B8B"/>
    <w:rsid w:val="00592C0A"/>
    <w:rsid w:val="00592CDB"/>
    <w:rsid w:val="00592DC3"/>
    <w:rsid w:val="00592DCD"/>
    <w:rsid w:val="00592E38"/>
    <w:rsid w:val="00592E6A"/>
    <w:rsid w:val="00593027"/>
    <w:rsid w:val="00593078"/>
    <w:rsid w:val="005930AA"/>
    <w:rsid w:val="00593120"/>
    <w:rsid w:val="005931C4"/>
    <w:rsid w:val="005931DC"/>
    <w:rsid w:val="00593248"/>
    <w:rsid w:val="0059324B"/>
    <w:rsid w:val="0059327C"/>
    <w:rsid w:val="005932DB"/>
    <w:rsid w:val="005932F8"/>
    <w:rsid w:val="005935C2"/>
    <w:rsid w:val="00593655"/>
    <w:rsid w:val="0059369D"/>
    <w:rsid w:val="00593733"/>
    <w:rsid w:val="0059377A"/>
    <w:rsid w:val="00593843"/>
    <w:rsid w:val="0059399D"/>
    <w:rsid w:val="00593A8F"/>
    <w:rsid w:val="00593C3F"/>
    <w:rsid w:val="00593C68"/>
    <w:rsid w:val="00593CBE"/>
    <w:rsid w:val="00593DA0"/>
    <w:rsid w:val="00593DE7"/>
    <w:rsid w:val="00593F29"/>
    <w:rsid w:val="00593F67"/>
    <w:rsid w:val="005940A8"/>
    <w:rsid w:val="00594177"/>
    <w:rsid w:val="005943B0"/>
    <w:rsid w:val="005943D0"/>
    <w:rsid w:val="005944CB"/>
    <w:rsid w:val="005944F2"/>
    <w:rsid w:val="00594582"/>
    <w:rsid w:val="0059458F"/>
    <w:rsid w:val="00594601"/>
    <w:rsid w:val="005947A4"/>
    <w:rsid w:val="0059489C"/>
    <w:rsid w:val="005949E4"/>
    <w:rsid w:val="00594AA0"/>
    <w:rsid w:val="00594AAC"/>
    <w:rsid w:val="00594B37"/>
    <w:rsid w:val="00594C1D"/>
    <w:rsid w:val="00594C76"/>
    <w:rsid w:val="00594CA7"/>
    <w:rsid w:val="00594DFC"/>
    <w:rsid w:val="00594E3F"/>
    <w:rsid w:val="00594F20"/>
    <w:rsid w:val="00594FBD"/>
    <w:rsid w:val="005950D8"/>
    <w:rsid w:val="0059521C"/>
    <w:rsid w:val="00595238"/>
    <w:rsid w:val="0059528E"/>
    <w:rsid w:val="00595678"/>
    <w:rsid w:val="00595787"/>
    <w:rsid w:val="00595813"/>
    <w:rsid w:val="00595AD0"/>
    <w:rsid w:val="00595EF1"/>
    <w:rsid w:val="005960FF"/>
    <w:rsid w:val="00596206"/>
    <w:rsid w:val="005963EA"/>
    <w:rsid w:val="00596683"/>
    <w:rsid w:val="0059676F"/>
    <w:rsid w:val="005967CB"/>
    <w:rsid w:val="00596AEE"/>
    <w:rsid w:val="00596B60"/>
    <w:rsid w:val="00596E42"/>
    <w:rsid w:val="00597004"/>
    <w:rsid w:val="005970A8"/>
    <w:rsid w:val="005970E0"/>
    <w:rsid w:val="005970EC"/>
    <w:rsid w:val="0059713F"/>
    <w:rsid w:val="0059719E"/>
    <w:rsid w:val="00597226"/>
    <w:rsid w:val="0059730C"/>
    <w:rsid w:val="0059743A"/>
    <w:rsid w:val="0059746E"/>
    <w:rsid w:val="00597508"/>
    <w:rsid w:val="00597707"/>
    <w:rsid w:val="0059781A"/>
    <w:rsid w:val="00597850"/>
    <w:rsid w:val="005978AE"/>
    <w:rsid w:val="00597A24"/>
    <w:rsid w:val="00597AAB"/>
    <w:rsid w:val="00597B34"/>
    <w:rsid w:val="00597B7D"/>
    <w:rsid w:val="00597BDB"/>
    <w:rsid w:val="00597BFF"/>
    <w:rsid w:val="00597C57"/>
    <w:rsid w:val="00597C9D"/>
    <w:rsid w:val="00597CA2"/>
    <w:rsid w:val="00597E39"/>
    <w:rsid w:val="005A020C"/>
    <w:rsid w:val="005A0212"/>
    <w:rsid w:val="005A028D"/>
    <w:rsid w:val="005A0405"/>
    <w:rsid w:val="005A0481"/>
    <w:rsid w:val="005A04E9"/>
    <w:rsid w:val="005A04FC"/>
    <w:rsid w:val="005A0522"/>
    <w:rsid w:val="005A05A5"/>
    <w:rsid w:val="005A05A7"/>
    <w:rsid w:val="005A06A3"/>
    <w:rsid w:val="005A06C6"/>
    <w:rsid w:val="005A0705"/>
    <w:rsid w:val="005A0746"/>
    <w:rsid w:val="005A0750"/>
    <w:rsid w:val="005A0872"/>
    <w:rsid w:val="005A0907"/>
    <w:rsid w:val="005A0A47"/>
    <w:rsid w:val="005A0B38"/>
    <w:rsid w:val="005A0B60"/>
    <w:rsid w:val="005A0CE0"/>
    <w:rsid w:val="005A0E46"/>
    <w:rsid w:val="005A0F07"/>
    <w:rsid w:val="005A0F96"/>
    <w:rsid w:val="005A1017"/>
    <w:rsid w:val="005A1029"/>
    <w:rsid w:val="005A10AC"/>
    <w:rsid w:val="005A11C4"/>
    <w:rsid w:val="005A11D6"/>
    <w:rsid w:val="005A1251"/>
    <w:rsid w:val="005A1316"/>
    <w:rsid w:val="005A1357"/>
    <w:rsid w:val="005A14C5"/>
    <w:rsid w:val="005A14E4"/>
    <w:rsid w:val="005A1519"/>
    <w:rsid w:val="005A161C"/>
    <w:rsid w:val="005A1640"/>
    <w:rsid w:val="005A1646"/>
    <w:rsid w:val="005A16DE"/>
    <w:rsid w:val="005A175C"/>
    <w:rsid w:val="005A183F"/>
    <w:rsid w:val="005A1887"/>
    <w:rsid w:val="005A18E2"/>
    <w:rsid w:val="005A1991"/>
    <w:rsid w:val="005A1A0D"/>
    <w:rsid w:val="005A1AF4"/>
    <w:rsid w:val="005A1C30"/>
    <w:rsid w:val="005A1C92"/>
    <w:rsid w:val="005A1CDC"/>
    <w:rsid w:val="005A1E25"/>
    <w:rsid w:val="005A1E84"/>
    <w:rsid w:val="005A1EA0"/>
    <w:rsid w:val="005A1FED"/>
    <w:rsid w:val="005A1FF4"/>
    <w:rsid w:val="005A2054"/>
    <w:rsid w:val="005A207A"/>
    <w:rsid w:val="005A25FF"/>
    <w:rsid w:val="005A27BD"/>
    <w:rsid w:val="005A2871"/>
    <w:rsid w:val="005A2887"/>
    <w:rsid w:val="005A29C3"/>
    <w:rsid w:val="005A29FB"/>
    <w:rsid w:val="005A2A95"/>
    <w:rsid w:val="005A2AA4"/>
    <w:rsid w:val="005A2B22"/>
    <w:rsid w:val="005A2C42"/>
    <w:rsid w:val="005A2C7D"/>
    <w:rsid w:val="005A2DE4"/>
    <w:rsid w:val="005A2F4A"/>
    <w:rsid w:val="005A3053"/>
    <w:rsid w:val="005A3181"/>
    <w:rsid w:val="005A3268"/>
    <w:rsid w:val="005A329C"/>
    <w:rsid w:val="005A3341"/>
    <w:rsid w:val="005A33A4"/>
    <w:rsid w:val="005A3448"/>
    <w:rsid w:val="005A352A"/>
    <w:rsid w:val="005A35C3"/>
    <w:rsid w:val="005A3633"/>
    <w:rsid w:val="005A3640"/>
    <w:rsid w:val="005A37E3"/>
    <w:rsid w:val="005A38AA"/>
    <w:rsid w:val="005A38EF"/>
    <w:rsid w:val="005A39BD"/>
    <w:rsid w:val="005A39DC"/>
    <w:rsid w:val="005A39F4"/>
    <w:rsid w:val="005A3A35"/>
    <w:rsid w:val="005A3B4F"/>
    <w:rsid w:val="005A3B71"/>
    <w:rsid w:val="005A3BC6"/>
    <w:rsid w:val="005A3BF1"/>
    <w:rsid w:val="005A3C5F"/>
    <w:rsid w:val="005A3CCD"/>
    <w:rsid w:val="005A3DB4"/>
    <w:rsid w:val="005A3DF1"/>
    <w:rsid w:val="005A3F09"/>
    <w:rsid w:val="005A3F30"/>
    <w:rsid w:val="005A3F58"/>
    <w:rsid w:val="005A3FB0"/>
    <w:rsid w:val="005A4079"/>
    <w:rsid w:val="005A413F"/>
    <w:rsid w:val="005A4207"/>
    <w:rsid w:val="005A430F"/>
    <w:rsid w:val="005A43D4"/>
    <w:rsid w:val="005A43DB"/>
    <w:rsid w:val="005A4456"/>
    <w:rsid w:val="005A4459"/>
    <w:rsid w:val="005A44BA"/>
    <w:rsid w:val="005A45E5"/>
    <w:rsid w:val="005A4733"/>
    <w:rsid w:val="005A473E"/>
    <w:rsid w:val="005A47CF"/>
    <w:rsid w:val="005A4A61"/>
    <w:rsid w:val="005A4A79"/>
    <w:rsid w:val="005A4ABF"/>
    <w:rsid w:val="005A4AEA"/>
    <w:rsid w:val="005A4AF5"/>
    <w:rsid w:val="005A4BEB"/>
    <w:rsid w:val="005A4BF1"/>
    <w:rsid w:val="005A4C6A"/>
    <w:rsid w:val="005A4C7B"/>
    <w:rsid w:val="005A4CC6"/>
    <w:rsid w:val="005A4D02"/>
    <w:rsid w:val="005A4D0C"/>
    <w:rsid w:val="005A4D90"/>
    <w:rsid w:val="005A4D9E"/>
    <w:rsid w:val="005A4E85"/>
    <w:rsid w:val="005A4EDD"/>
    <w:rsid w:val="005A4EEC"/>
    <w:rsid w:val="005A4F23"/>
    <w:rsid w:val="005A4FD7"/>
    <w:rsid w:val="005A52EB"/>
    <w:rsid w:val="005A5361"/>
    <w:rsid w:val="005A53B8"/>
    <w:rsid w:val="005A540E"/>
    <w:rsid w:val="005A56E8"/>
    <w:rsid w:val="005A5719"/>
    <w:rsid w:val="005A5780"/>
    <w:rsid w:val="005A5850"/>
    <w:rsid w:val="005A5879"/>
    <w:rsid w:val="005A589A"/>
    <w:rsid w:val="005A5932"/>
    <w:rsid w:val="005A5A2C"/>
    <w:rsid w:val="005A5AE4"/>
    <w:rsid w:val="005A5D24"/>
    <w:rsid w:val="005A5E5E"/>
    <w:rsid w:val="005A60B2"/>
    <w:rsid w:val="005A6101"/>
    <w:rsid w:val="005A610F"/>
    <w:rsid w:val="005A6152"/>
    <w:rsid w:val="005A6196"/>
    <w:rsid w:val="005A6197"/>
    <w:rsid w:val="005A628F"/>
    <w:rsid w:val="005A62B0"/>
    <w:rsid w:val="005A6360"/>
    <w:rsid w:val="005A63AD"/>
    <w:rsid w:val="005A63BE"/>
    <w:rsid w:val="005A644D"/>
    <w:rsid w:val="005A6802"/>
    <w:rsid w:val="005A68C3"/>
    <w:rsid w:val="005A68C9"/>
    <w:rsid w:val="005A693C"/>
    <w:rsid w:val="005A6A16"/>
    <w:rsid w:val="005A6A2E"/>
    <w:rsid w:val="005A6B24"/>
    <w:rsid w:val="005A6D5F"/>
    <w:rsid w:val="005A6F3E"/>
    <w:rsid w:val="005A6F45"/>
    <w:rsid w:val="005A7104"/>
    <w:rsid w:val="005A7177"/>
    <w:rsid w:val="005A7207"/>
    <w:rsid w:val="005A73AD"/>
    <w:rsid w:val="005A755E"/>
    <w:rsid w:val="005A75D1"/>
    <w:rsid w:val="005A75D7"/>
    <w:rsid w:val="005A760C"/>
    <w:rsid w:val="005A76DA"/>
    <w:rsid w:val="005A7737"/>
    <w:rsid w:val="005A7768"/>
    <w:rsid w:val="005A77D1"/>
    <w:rsid w:val="005A77DE"/>
    <w:rsid w:val="005A77F1"/>
    <w:rsid w:val="005A7805"/>
    <w:rsid w:val="005A7843"/>
    <w:rsid w:val="005A7883"/>
    <w:rsid w:val="005A78E2"/>
    <w:rsid w:val="005A7A5C"/>
    <w:rsid w:val="005A7AC5"/>
    <w:rsid w:val="005A7AD3"/>
    <w:rsid w:val="005A7BB6"/>
    <w:rsid w:val="005A7D75"/>
    <w:rsid w:val="005A7EE2"/>
    <w:rsid w:val="005A7F8B"/>
    <w:rsid w:val="005B0212"/>
    <w:rsid w:val="005B041A"/>
    <w:rsid w:val="005B0488"/>
    <w:rsid w:val="005B0494"/>
    <w:rsid w:val="005B0578"/>
    <w:rsid w:val="005B0638"/>
    <w:rsid w:val="005B0692"/>
    <w:rsid w:val="005B07DA"/>
    <w:rsid w:val="005B08C4"/>
    <w:rsid w:val="005B08EC"/>
    <w:rsid w:val="005B09C7"/>
    <w:rsid w:val="005B0A2D"/>
    <w:rsid w:val="005B0AA4"/>
    <w:rsid w:val="005B0C1D"/>
    <w:rsid w:val="005B0C5E"/>
    <w:rsid w:val="005B0D67"/>
    <w:rsid w:val="005B0E35"/>
    <w:rsid w:val="005B0ED3"/>
    <w:rsid w:val="005B1069"/>
    <w:rsid w:val="005B10E3"/>
    <w:rsid w:val="005B1154"/>
    <w:rsid w:val="005B11A0"/>
    <w:rsid w:val="005B12DF"/>
    <w:rsid w:val="005B1499"/>
    <w:rsid w:val="005B16CC"/>
    <w:rsid w:val="005B17C9"/>
    <w:rsid w:val="005B18D3"/>
    <w:rsid w:val="005B18D8"/>
    <w:rsid w:val="005B19E1"/>
    <w:rsid w:val="005B1A39"/>
    <w:rsid w:val="005B1C8A"/>
    <w:rsid w:val="005B1E81"/>
    <w:rsid w:val="005B1EB6"/>
    <w:rsid w:val="005B1F5C"/>
    <w:rsid w:val="005B1FF1"/>
    <w:rsid w:val="005B2016"/>
    <w:rsid w:val="005B20B4"/>
    <w:rsid w:val="005B21D4"/>
    <w:rsid w:val="005B2296"/>
    <w:rsid w:val="005B2316"/>
    <w:rsid w:val="005B2448"/>
    <w:rsid w:val="005B2476"/>
    <w:rsid w:val="005B24F5"/>
    <w:rsid w:val="005B251E"/>
    <w:rsid w:val="005B2591"/>
    <w:rsid w:val="005B25C3"/>
    <w:rsid w:val="005B25CD"/>
    <w:rsid w:val="005B264E"/>
    <w:rsid w:val="005B277C"/>
    <w:rsid w:val="005B28A2"/>
    <w:rsid w:val="005B2907"/>
    <w:rsid w:val="005B2A60"/>
    <w:rsid w:val="005B2AE1"/>
    <w:rsid w:val="005B2C57"/>
    <w:rsid w:val="005B2CCD"/>
    <w:rsid w:val="005B2CE8"/>
    <w:rsid w:val="005B2E6F"/>
    <w:rsid w:val="005B2E72"/>
    <w:rsid w:val="005B2EC1"/>
    <w:rsid w:val="005B311A"/>
    <w:rsid w:val="005B31CC"/>
    <w:rsid w:val="005B3254"/>
    <w:rsid w:val="005B327B"/>
    <w:rsid w:val="005B331F"/>
    <w:rsid w:val="005B33A5"/>
    <w:rsid w:val="005B33E9"/>
    <w:rsid w:val="005B3450"/>
    <w:rsid w:val="005B347F"/>
    <w:rsid w:val="005B3571"/>
    <w:rsid w:val="005B3581"/>
    <w:rsid w:val="005B3694"/>
    <w:rsid w:val="005B370B"/>
    <w:rsid w:val="005B387E"/>
    <w:rsid w:val="005B39C1"/>
    <w:rsid w:val="005B3AC0"/>
    <w:rsid w:val="005B3ACE"/>
    <w:rsid w:val="005B3AE5"/>
    <w:rsid w:val="005B3CAB"/>
    <w:rsid w:val="005B3CFE"/>
    <w:rsid w:val="005B3E7A"/>
    <w:rsid w:val="005B3EBD"/>
    <w:rsid w:val="005B3F22"/>
    <w:rsid w:val="005B3FA2"/>
    <w:rsid w:val="005B41C9"/>
    <w:rsid w:val="005B4214"/>
    <w:rsid w:val="005B42C4"/>
    <w:rsid w:val="005B42CE"/>
    <w:rsid w:val="005B436E"/>
    <w:rsid w:val="005B4380"/>
    <w:rsid w:val="005B43B9"/>
    <w:rsid w:val="005B45E7"/>
    <w:rsid w:val="005B4602"/>
    <w:rsid w:val="005B472F"/>
    <w:rsid w:val="005B4793"/>
    <w:rsid w:val="005B4914"/>
    <w:rsid w:val="005B4A22"/>
    <w:rsid w:val="005B4A98"/>
    <w:rsid w:val="005B4B5D"/>
    <w:rsid w:val="005B4B65"/>
    <w:rsid w:val="005B4CE1"/>
    <w:rsid w:val="005B4D3C"/>
    <w:rsid w:val="005B4DFC"/>
    <w:rsid w:val="005B4E24"/>
    <w:rsid w:val="005B4FCA"/>
    <w:rsid w:val="005B4FCD"/>
    <w:rsid w:val="005B50EB"/>
    <w:rsid w:val="005B5120"/>
    <w:rsid w:val="005B5190"/>
    <w:rsid w:val="005B5228"/>
    <w:rsid w:val="005B53D8"/>
    <w:rsid w:val="005B53F3"/>
    <w:rsid w:val="005B5581"/>
    <w:rsid w:val="005B55DF"/>
    <w:rsid w:val="005B571F"/>
    <w:rsid w:val="005B573F"/>
    <w:rsid w:val="005B587C"/>
    <w:rsid w:val="005B590D"/>
    <w:rsid w:val="005B5956"/>
    <w:rsid w:val="005B59FF"/>
    <w:rsid w:val="005B5AB6"/>
    <w:rsid w:val="005B5C24"/>
    <w:rsid w:val="005B5F4A"/>
    <w:rsid w:val="005B6235"/>
    <w:rsid w:val="005B637D"/>
    <w:rsid w:val="005B63C7"/>
    <w:rsid w:val="005B646E"/>
    <w:rsid w:val="005B64C6"/>
    <w:rsid w:val="005B65D9"/>
    <w:rsid w:val="005B6632"/>
    <w:rsid w:val="005B67F2"/>
    <w:rsid w:val="005B68E3"/>
    <w:rsid w:val="005B6BBB"/>
    <w:rsid w:val="005B6BE0"/>
    <w:rsid w:val="005B6BFC"/>
    <w:rsid w:val="005B6C41"/>
    <w:rsid w:val="005B6D8B"/>
    <w:rsid w:val="005B6DA1"/>
    <w:rsid w:val="005B6E26"/>
    <w:rsid w:val="005B6E35"/>
    <w:rsid w:val="005B6E61"/>
    <w:rsid w:val="005B6EF7"/>
    <w:rsid w:val="005B70C7"/>
    <w:rsid w:val="005B7184"/>
    <w:rsid w:val="005B7233"/>
    <w:rsid w:val="005B7385"/>
    <w:rsid w:val="005B7390"/>
    <w:rsid w:val="005B74BE"/>
    <w:rsid w:val="005B74F3"/>
    <w:rsid w:val="005B75A7"/>
    <w:rsid w:val="005B75FD"/>
    <w:rsid w:val="005B7641"/>
    <w:rsid w:val="005B76E1"/>
    <w:rsid w:val="005B771E"/>
    <w:rsid w:val="005B7840"/>
    <w:rsid w:val="005B79FC"/>
    <w:rsid w:val="005B7AC4"/>
    <w:rsid w:val="005B7C71"/>
    <w:rsid w:val="005B7CE2"/>
    <w:rsid w:val="005B7D35"/>
    <w:rsid w:val="005B7DC6"/>
    <w:rsid w:val="005B7FA9"/>
    <w:rsid w:val="005C00BB"/>
    <w:rsid w:val="005C0165"/>
    <w:rsid w:val="005C0198"/>
    <w:rsid w:val="005C025E"/>
    <w:rsid w:val="005C0337"/>
    <w:rsid w:val="005C0482"/>
    <w:rsid w:val="005C0527"/>
    <w:rsid w:val="005C0548"/>
    <w:rsid w:val="005C072A"/>
    <w:rsid w:val="005C082C"/>
    <w:rsid w:val="005C0889"/>
    <w:rsid w:val="005C0B1D"/>
    <w:rsid w:val="005C0B82"/>
    <w:rsid w:val="005C0C7C"/>
    <w:rsid w:val="005C0DD3"/>
    <w:rsid w:val="005C0F6E"/>
    <w:rsid w:val="005C1035"/>
    <w:rsid w:val="005C10CE"/>
    <w:rsid w:val="005C111B"/>
    <w:rsid w:val="005C117E"/>
    <w:rsid w:val="005C1263"/>
    <w:rsid w:val="005C12B8"/>
    <w:rsid w:val="005C12FE"/>
    <w:rsid w:val="005C137F"/>
    <w:rsid w:val="005C13F7"/>
    <w:rsid w:val="005C1400"/>
    <w:rsid w:val="005C1539"/>
    <w:rsid w:val="005C16F8"/>
    <w:rsid w:val="005C177F"/>
    <w:rsid w:val="005C17CA"/>
    <w:rsid w:val="005C187E"/>
    <w:rsid w:val="005C198C"/>
    <w:rsid w:val="005C1A3C"/>
    <w:rsid w:val="005C1A4E"/>
    <w:rsid w:val="005C1B66"/>
    <w:rsid w:val="005C1B80"/>
    <w:rsid w:val="005C1BB8"/>
    <w:rsid w:val="005C1BDB"/>
    <w:rsid w:val="005C1C03"/>
    <w:rsid w:val="005C1C5A"/>
    <w:rsid w:val="005C1DE3"/>
    <w:rsid w:val="005C1EC5"/>
    <w:rsid w:val="005C1EC7"/>
    <w:rsid w:val="005C1F15"/>
    <w:rsid w:val="005C1F6A"/>
    <w:rsid w:val="005C1FB3"/>
    <w:rsid w:val="005C1FDE"/>
    <w:rsid w:val="005C2111"/>
    <w:rsid w:val="005C214C"/>
    <w:rsid w:val="005C2169"/>
    <w:rsid w:val="005C22D7"/>
    <w:rsid w:val="005C2378"/>
    <w:rsid w:val="005C23E2"/>
    <w:rsid w:val="005C23E7"/>
    <w:rsid w:val="005C244C"/>
    <w:rsid w:val="005C259F"/>
    <w:rsid w:val="005C25A6"/>
    <w:rsid w:val="005C25D7"/>
    <w:rsid w:val="005C2600"/>
    <w:rsid w:val="005C2603"/>
    <w:rsid w:val="005C2664"/>
    <w:rsid w:val="005C2693"/>
    <w:rsid w:val="005C2700"/>
    <w:rsid w:val="005C2731"/>
    <w:rsid w:val="005C2753"/>
    <w:rsid w:val="005C2755"/>
    <w:rsid w:val="005C27E2"/>
    <w:rsid w:val="005C2872"/>
    <w:rsid w:val="005C28DA"/>
    <w:rsid w:val="005C290B"/>
    <w:rsid w:val="005C299E"/>
    <w:rsid w:val="005C29CD"/>
    <w:rsid w:val="005C29FE"/>
    <w:rsid w:val="005C2A7B"/>
    <w:rsid w:val="005C2B25"/>
    <w:rsid w:val="005C2B9D"/>
    <w:rsid w:val="005C2C6F"/>
    <w:rsid w:val="005C2D8D"/>
    <w:rsid w:val="005C2DAB"/>
    <w:rsid w:val="005C2FBC"/>
    <w:rsid w:val="005C30C9"/>
    <w:rsid w:val="005C30E7"/>
    <w:rsid w:val="005C3122"/>
    <w:rsid w:val="005C31D3"/>
    <w:rsid w:val="005C31FE"/>
    <w:rsid w:val="005C323C"/>
    <w:rsid w:val="005C33C1"/>
    <w:rsid w:val="005C33DA"/>
    <w:rsid w:val="005C343D"/>
    <w:rsid w:val="005C3561"/>
    <w:rsid w:val="005C3580"/>
    <w:rsid w:val="005C360B"/>
    <w:rsid w:val="005C37B4"/>
    <w:rsid w:val="005C37DB"/>
    <w:rsid w:val="005C3858"/>
    <w:rsid w:val="005C3880"/>
    <w:rsid w:val="005C38C9"/>
    <w:rsid w:val="005C38E0"/>
    <w:rsid w:val="005C3996"/>
    <w:rsid w:val="005C3B27"/>
    <w:rsid w:val="005C3B38"/>
    <w:rsid w:val="005C3B79"/>
    <w:rsid w:val="005C3B95"/>
    <w:rsid w:val="005C3C98"/>
    <w:rsid w:val="005C3DE6"/>
    <w:rsid w:val="005C3E35"/>
    <w:rsid w:val="005C4001"/>
    <w:rsid w:val="005C4038"/>
    <w:rsid w:val="005C412B"/>
    <w:rsid w:val="005C43E5"/>
    <w:rsid w:val="005C4424"/>
    <w:rsid w:val="005C4582"/>
    <w:rsid w:val="005C45DC"/>
    <w:rsid w:val="005C45ED"/>
    <w:rsid w:val="005C4868"/>
    <w:rsid w:val="005C4AC2"/>
    <w:rsid w:val="005C4ACB"/>
    <w:rsid w:val="005C4C3A"/>
    <w:rsid w:val="005C4FBA"/>
    <w:rsid w:val="005C50F4"/>
    <w:rsid w:val="005C5117"/>
    <w:rsid w:val="005C5171"/>
    <w:rsid w:val="005C5189"/>
    <w:rsid w:val="005C5262"/>
    <w:rsid w:val="005C538C"/>
    <w:rsid w:val="005C54A9"/>
    <w:rsid w:val="005C54E0"/>
    <w:rsid w:val="005C5539"/>
    <w:rsid w:val="005C55E5"/>
    <w:rsid w:val="005C563B"/>
    <w:rsid w:val="005C5746"/>
    <w:rsid w:val="005C583B"/>
    <w:rsid w:val="005C5849"/>
    <w:rsid w:val="005C593D"/>
    <w:rsid w:val="005C5982"/>
    <w:rsid w:val="005C5AF3"/>
    <w:rsid w:val="005C5B48"/>
    <w:rsid w:val="005C5B8F"/>
    <w:rsid w:val="005C5DB2"/>
    <w:rsid w:val="005C5E96"/>
    <w:rsid w:val="005C5F93"/>
    <w:rsid w:val="005C6042"/>
    <w:rsid w:val="005C6082"/>
    <w:rsid w:val="005C6171"/>
    <w:rsid w:val="005C61FD"/>
    <w:rsid w:val="005C63FB"/>
    <w:rsid w:val="005C645E"/>
    <w:rsid w:val="005C6623"/>
    <w:rsid w:val="005C6679"/>
    <w:rsid w:val="005C67E9"/>
    <w:rsid w:val="005C69E7"/>
    <w:rsid w:val="005C6A57"/>
    <w:rsid w:val="005C6A69"/>
    <w:rsid w:val="005C6A89"/>
    <w:rsid w:val="005C6B74"/>
    <w:rsid w:val="005C6BD1"/>
    <w:rsid w:val="005C6BFD"/>
    <w:rsid w:val="005C6C2A"/>
    <w:rsid w:val="005C6CE5"/>
    <w:rsid w:val="005C6D5C"/>
    <w:rsid w:val="005C6D90"/>
    <w:rsid w:val="005C6E2E"/>
    <w:rsid w:val="005C6E51"/>
    <w:rsid w:val="005C6FF7"/>
    <w:rsid w:val="005C7281"/>
    <w:rsid w:val="005C7405"/>
    <w:rsid w:val="005C7534"/>
    <w:rsid w:val="005C75D8"/>
    <w:rsid w:val="005C75FA"/>
    <w:rsid w:val="005C7627"/>
    <w:rsid w:val="005C7693"/>
    <w:rsid w:val="005C7768"/>
    <w:rsid w:val="005C78C8"/>
    <w:rsid w:val="005C7938"/>
    <w:rsid w:val="005C7AA0"/>
    <w:rsid w:val="005C7B82"/>
    <w:rsid w:val="005C7C25"/>
    <w:rsid w:val="005C7CDC"/>
    <w:rsid w:val="005C7D01"/>
    <w:rsid w:val="005C7ED8"/>
    <w:rsid w:val="005C7EDD"/>
    <w:rsid w:val="005C7F50"/>
    <w:rsid w:val="005C7FC0"/>
    <w:rsid w:val="005D01CF"/>
    <w:rsid w:val="005D01D8"/>
    <w:rsid w:val="005D0276"/>
    <w:rsid w:val="005D033B"/>
    <w:rsid w:val="005D03F6"/>
    <w:rsid w:val="005D0407"/>
    <w:rsid w:val="005D04CC"/>
    <w:rsid w:val="005D052D"/>
    <w:rsid w:val="005D0685"/>
    <w:rsid w:val="005D06D6"/>
    <w:rsid w:val="005D06FE"/>
    <w:rsid w:val="005D07C2"/>
    <w:rsid w:val="005D0895"/>
    <w:rsid w:val="005D0B32"/>
    <w:rsid w:val="005D0B9D"/>
    <w:rsid w:val="005D0C36"/>
    <w:rsid w:val="005D0C3B"/>
    <w:rsid w:val="005D0D92"/>
    <w:rsid w:val="005D0E62"/>
    <w:rsid w:val="005D0E9F"/>
    <w:rsid w:val="005D0EC0"/>
    <w:rsid w:val="005D0EF0"/>
    <w:rsid w:val="005D10D7"/>
    <w:rsid w:val="005D1101"/>
    <w:rsid w:val="005D12DC"/>
    <w:rsid w:val="005D12E0"/>
    <w:rsid w:val="005D13FE"/>
    <w:rsid w:val="005D1426"/>
    <w:rsid w:val="005D146E"/>
    <w:rsid w:val="005D155A"/>
    <w:rsid w:val="005D163A"/>
    <w:rsid w:val="005D1705"/>
    <w:rsid w:val="005D1797"/>
    <w:rsid w:val="005D18AE"/>
    <w:rsid w:val="005D19E1"/>
    <w:rsid w:val="005D1A33"/>
    <w:rsid w:val="005D1ACF"/>
    <w:rsid w:val="005D1DBA"/>
    <w:rsid w:val="005D1E1C"/>
    <w:rsid w:val="005D1ED9"/>
    <w:rsid w:val="005D1FB4"/>
    <w:rsid w:val="005D1FFD"/>
    <w:rsid w:val="005D20DE"/>
    <w:rsid w:val="005D2196"/>
    <w:rsid w:val="005D2361"/>
    <w:rsid w:val="005D238E"/>
    <w:rsid w:val="005D2450"/>
    <w:rsid w:val="005D2559"/>
    <w:rsid w:val="005D25C6"/>
    <w:rsid w:val="005D26A3"/>
    <w:rsid w:val="005D2710"/>
    <w:rsid w:val="005D2754"/>
    <w:rsid w:val="005D2781"/>
    <w:rsid w:val="005D2795"/>
    <w:rsid w:val="005D2825"/>
    <w:rsid w:val="005D282E"/>
    <w:rsid w:val="005D2837"/>
    <w:rsid w:val="005D298E"/>
    <w:rsid w:val="005D2A82"/>
    <w:rsid w:val="005D2B13"/>
    <w:rsid w:val="005D2BD8"/>
    <w:rsid w:val="005D2C1F"/>
    <w:rsid w:val="005D2C98"/>
    <w:rsid w:val="005D2D2C"/>
    <w:rsid w:val="005D2FD9"/>
    <w:rsid w:val="005D315F"/>
    <w:rsid w:val="005D31BB"/>
    <w:rsid w:val="005D33DC"/>
    <w:rsid w:val="005D341A"/>
    <w:rsid w:val="005D343F"/>
    <w:rsid w:val="005D3524"/>
    <w:rsid w:val="005D35B2"/>
    <w:rsid w:val="005D3622"/>
    <w:rsid w:val="005D368F"/>
    <w:rsid w:val="005D3793"/>
    <w:rsid w:val="005D3858"/>
    <w:rsid w:val="005D38B6"/>
    <w:rsid w:val="005D3954"/>
    <w:rsid w:val="005D395A"/>
    <w:rsid w:val="005D3BF1"/>
    <w:rsid w:val="005D3C0D"/>
    <w:rsid w:val="005D3C73"/>
    <w:rsid w:val="005D3C8D"/>
    <w:rsid w:val="005D3D14"/>
    <w:rsid w:val="005D3E23"/>
    <w:rsid w:val="005D3EDB"/>
    <w:rsid w:val="005D3FCE"/>
    <w:rsid w:val="005D3FE5"/>
    <w:rsid w:val="005D410A"/>
    <w:rsid w:val="005D4111"/>
    <w:rsid w:val="005D416F"/>
    <w:rsid w:val="005D4258"/>
    <w:rsid w:val="005D42FB"/>
    <w:rsid w:val="005D440F"/>
    <w:rsid w:val="005D447B"/>
    <w:rsid w:val="005D4525"/>
    <w:rsid w:val="005D45E0"/>
    <w:rsid w:val="005D4627"/>
    <w:rsid w:val="005D4659"/>
    <w:rsid w:val="005D467E"/>
    <w:rsid w:val="005D46E0"/>
    <w:rsid w:val="005D47AA"/>
    <w:rsid w:val="005D47CF"/>
    <w:rsid w:val="005D481A"/>
    <w:rsid w:val="005D4878"/>
    <w:rsid w:val="005D4885"/>
    <w:rsid w:val="005D4A5A"/>
    <w:rsid w:val="005D4A8A"/>
    <w:rsid w:val="005D4B1E"/>
    <w:rsid w:val="005D4B46"/>
    <w:rsid w:val="005D4BB9"/>
    <w:rsid w:val="005D4CDC"/>
    <w:rsid w:val="005D4DB1"/>
    <w:rsid w:val="005D4FBE"/>
    <w:rsid w:val="005D5092"/>
    <w:rsid w:val="005D520B"/>
    <w:rsid w:val="005D5246"/>
    <w:rsid w:val="005D52B1"/>
    <w:rsid w:val="005D52CD"/>
    <w:rsid w:val="005D53E9"/>
    <w:rsid w:val="005D5486"/>
    <w:rsid w:val="005D5490"/>
    <w:rsid w:val="005D54D0"/>
    <w:rsid w:val="005D5539"/>
    <w:rsid w:val="005D55DC"/>
    <w:rsid w:val="005D571A"/>
    <w:rsid w:val="005D57E9"/>
    <w:rsid w:val="005D584C"/>
    <w:rsid w:val="005D5932"/>
    <w:rsid w:val="005D596C"/>
    <w:rsid w:val="005D59D1"/>
    <w:rsid w:val="005D5A5E"/>
    <w:rsid w:val="005D5A8A"/>
    <w:rsid w:val="005D5BD3"/>
    <w:rsid w:val="005D5E4F"/>
    <w:rsid w:val="005D5EB8"/>
    <w:rsid w:val="005D5FE2"/>
    <w:rsid w:val="005D60BB"/>
    <w:rsid w:val="005D614A"/>
    <w:rsid w:val="005D6232"/>
    <w:rsid w:val="005D62E2"/>
    <w:rsid w:val="005D63D9"/>
    <w:rsid w:val="005D6435"/>
    <w:rsid w:val="005D64CE"/>
    <w:rsid w:val="005D654B"/>
    <w:rsid w:val="005D6559"/>
    <w:rsid w:val="005D660B"/>
    <w:rsid w:val="005D6821"/>
    <w:rsid w:val="005D6891"/>
    <w:rsid w:val="005D697F"/>
    <w:rsid w:val="005D6AAC"/>
    <w:rsid w:val="005D6BD0"/>
    <w:rsid w:val="005D6CB5"/>
    <w:rsid w:val="005D6D32"/>
    <w:rsid w:val="005D6DCC"/>
    <w:rsid w:val="005D6E01"/>
    <w:rsid w:val="005D6EE2"/>
    <w:rsid w:val="005D6EEE"/>
    <w:rsid w:val="005D6F27"/>
    <w:rsid w:val="005D71F8"/>
    <w:rsid w:val="005D7318"/>
    <w:rsid w:val="005D7395"/>
    <w:rsid w:val="005D7408"/>
    <w:rsid w:val="005D74B3"/>
    <w:rsid w:val="005D74C1"/>
    <w:rsid w:val="005D74E2"/>
    <w:rsid w:val="005D7560"/>
    <w:rsid w:val="005D7569"/>
    <w:rsid w:val="005D76D4"/>
    <w:rsid w:val="005D770E"/>
    <w:rsid w:val="005D7976"/>
    <w:rsid w:val="005D7988"/>
    <w:rsid w:val="005D7C11"/>
    <w:rsid w:val="005D7C5D"/>
    <w:rsid w:val="005D7C78"/>
    <w:rsid w:val="005D7C84"/>
    <w:rsid w:val="005D7DF5"/>
    <w:rsid w:val="005E0117"/>
    <w:rsid w:val="005E01E7"/>
    <w:rsid w:val="005E0306"/>
    <w:rsid w:val="005E03D4"/>
    <w:rsid w:val="005E041D"/>
    <w:rsid w:val="005E047D"/>
    <w:rsid w:val="005E0489"/>
    <w:rsid w:val="005E0491"/>
    <w:rsid w:val="005E04A5"/>
    <w:rsid w:val="005E04B7"/>
    <w:rsid w:val="005E0524"/>
    <w:rsid w:val="005E054B"/>
    <w:rsid w:val="005E0556"/>
    <w:rsid w:val="005E0573"/>
    <w:rsid w:val="005E0574"/>
    <w:rsid w:val="005E05DA"/>
    <w:rsid w:val="005E0628"/>
    <w:rsid w:val="005E06E1"/>
    <w:rsid w:val="005E0940"/>
    <w:rsid w:val="005E0ADE"/>
    <w:rsid w:val="005E0B06"/>
    <w:rsid w:val="005E0B24"/>
    <w:rsid w:val="005E0BA1"/>
    <w:rsid w:val="005E0C08"/>
    <w:rsid w:val="005E0C1D"/>
    <w:rsid w:val="005E0D38"/>
    <w:rsid w:val="005E0D7E"/>
    <w:rsid w:val="005E0DA7"/>
    <w:rsid w:val="005E0E7B"/>
    <w:rsid w:val="005E0EFA"/>
    <w:rsid w:val="005E0F04"/>
    <w:rsid w:val="005E110F"/>
    <w:rsid w:val="005E1121"/>
    <w:rsid w:val="005E11FA"/>
    <w:rsid w:val="005E13AE"/>
    <w:rsid w:val="005E145A"/>
    <w:rsid w:val="005E14E7"/>
    <w:rsid w:val="005E1527"/>
    <w:rsid w:val="005E1762"/>
    <w:rsid w:val="005E1785"/>
    <w:rsid w:val="005E1806"/>
    <w:rsid w:val="005E18B7"/>
    <w:rsid w:val="005E1932"/>
    <w:rsid w:val="005E19C3"/>
    <w:rsid w:val="005E19F6"/>
    <w:rsid w:val="005E1B4E"/>
    <w:rsid w:val="005E1BAD"/>
    <w:rsid w:val="005E1C73"/>
    <w:rsid w:val="005E1CC1"/>
    <w:rsid w:val="005E1E90"/>
    <w:rsid w:val="005E1F1C"/>
    <w:rsid w:val="005E2073"/>
    <w:rsid w:val="005E20AB"/>
    <w:rsid w:val="005E20CC"/>
    <w:rsid w:val="005E2158"/>
    <w:rsid w:val="005E2184"/>
    <w:rsid w:val="005E220D"/>
    <w:rsid w:val="005E228E"/>
    <w:rsid w:val="005E2296"/>
    <w:rsid w:val="005E2300"/>
    <w:rsid w:val="005E2353"/>
    <w:rsid w:val="005E23C5"/>
    <w:rsid w:val="005E24C6"/>
    <w:rsid w:val="005E253C"/>
    <w:rsid w:val="005E253F"/>
    <w:rsid w:val="005E2556"/>
    <w:rsid w:val="005E2575"/>
    <w:rsid w:val="005E259D"/>
    <w:rsid w:val="005E26E8"/>
    <w:rsid w:val="005E26F5"/>
    <w:rsid w:val="005E28B0"/>
    <w:rsid w:val="005E29C1"/>
    <w:rsid w:val="005E2BC8"/>
    <w:rsid w:val="005E2BDB"/>
    <w:rsid w:val="005E2CDA"/>
    <w:rsid w:val="005E2D2F"/>
    <w:rsid w:val="005E2D30"/>
    <w:rsid w:val="005E2D36"/>
    <w:rsid w:val="005E2D3D"/>
    <w:rsid w:val="005E2D56"/>
    <w:rsid w:val="005E2DEF"/>
    <w:rsid w:val="005E2E60"/>
    <w:rsid w:val="005E2E8C"/>
    <w:rsid w:val="005E2F38"/>
    <w:rsid w:val="005E2FB3"/>
    <w:rsid w:val="005E2FC3"/>
    <w:rsid w:val="005E2FDD"/>
    <w:rsid w:val="005E3076"/>
    <w:rsid w:val="005E30F7"/>
    <w:rsid w:val="005E31E3"/>
    <w:rsid w:val="005E3202"/>
    <w:rsid w:val="005E321F"/>
    <w:rsid w:val="005E32C2"/>
    <w:rsid w:val="005E32F6"/>
    <w:rsid w:val="005E3312"/>
    <w:rsid w:val="005E340B"/>
    <w:rsid w:val="005E34F6"/>
    <w:rsid w:val="005E358B"/>
    <w:rsid w:val="005E3590"/>
    <w:rsid w:val="005E3672"/>
    <w:rsid w:val="005E3685"/>
    <w:rsid w:val="005E3744"/>
    <w:rsid w:val="005E388E"/>
    <w:rsid w:val="005E3907"/>
    <w:rsid w:val="005E3925"/>
    <w:rsid w:val="005E3930"/>
    <w:rsid w:val="005E3B55"/>
    <w:rsid w:val="005E3B58"/>
    <w:rsid w:val="005E3BC2"/>
    <w:rsid w:val="005E3BED"/>
    <w:rsid w:val="005E3C1D"/>
    <w:rsid w:val="005E3C67"/>
    <w:rsid w:val="005E3D83"/>
    <w:rsid w:val="005E3EED"/>
    <w:rsid w:val="005E3F62"/>
    <w:rsid w:val="005E3FDC"/>
    <w:rsid w:val="005E4026"/>
    <w:rsid w:val="005E408F"/>
    <w:rsid w:val="005E409D"/>
    <w:rsid w:val="005E4170"/>
    <w:rsid w:val="005E4198"/>
    <w:rsid w:val="005E41AC"/>
    <w:rsid w:val="005E41C2"/>
    <w:rsid w:val="005E4249"/>
    <w:rsid w:val="005E430B"/>
    <w:rsid w:val="005E436E"/>
    <w:rsid w:val="005E43BD"/>
    <w:rsid w:val="005E4406"/>
    <w:rsid w:val="005E442C"/>
    <w:rsid w:val="005E4552"/>
    <w:rsid w:val="005E456B"/>
    <w:rsid w:val="005E46B1"/>
    <w:rsid w:val="005E46E2"/>
    <w:rsid w:val="005E48D3"/>
    <w:rsid w:val="005E48D4"/>
    <w:rsid w:val="005E4A6E"/>
    <w:rsid w:val="005E4ADD"/>
    <w:rsid w:val="005E4DBC"/>
    <w:rsid w:val="005E4E37"/>
    <w:rsid w:val="005E4E3E"/>
    <w:rsid w:val="005E4E40"/>
    <w:rsid w:val="005E5075"/>
    <w:rsid w:val="005E50CA"/>
    <w:rsid w:val="005E5183"/>
    <w:rsid w:val="005E518C"/>
    <w:rsid w:val="005E51E9"/>
    <w:rsid w:val="005E5293"/>
    <w:rsid w:val="005E52B4"/>
    <w:rsid w:val="005E538B"/>
    <w:rsid w:val="005E54E9"/>
    <w:rsid w:val="005E5554"/>
    <w:rsid w:val="005E556E"/>
    <w:rsid w:val="005E5578"/>
    <w:rsid w:val="005E5637"/>
    <w:rsid w:val="005E5780"/>
    <w:rsid w:val="005E5912"/>
    <w:rsid w:val="005E599C"/>
    <w:rsid w:val="005E59F2"/>
    <w:rsid w:val="005E5A36"/>
    <w:rsid w:val="005E5D92"/>
    <w:rsid w:val="005E5DCA"/>
    <w:rsid w:val="005E5F1E"/>
    <w:rsid w:val="005E5F7C"/>
    <w:rsid w:val="005E5F91"/>
    <w:rsid w:val="005E60E6"/>
    <w:rsid w:val="005E60F3"/>
    <w:rsid w:val="005E623B"/>
    <w:rsid w:val="005E626D"/>
    <w:rsid w:val="005E6371"/>
    <w:rsid w:val="005E639A"/>
    <w:rsid w:val="005E63E3"/>
    <w:rsid w:val="005E65B4"/>
    <w:rsid w:val="005E68B2"/>
    <w:rsid w:val="005E68C9"/>
    <w:rsid w:val="005E6907"/>
    <w:rsid w:val="005E6982"/>
    <w:rsid w:val="005E6A1B"/>
    <w:rsid w:val="005E6B4A"/>
    <w:rsid w:val="005E6C1B"/>
    <w:rsid w:val="005E6C53"/>
    <w:rsid w:val="005E6C9D"/>
    <w:rsid w:val="005E6D66"/>
    <w:rsid w:val="005E6E6B"/>
    <w:rsid w:val="005E7029"/>
    <w:rsid w:val="005E70A8"/>
    <w:rsid w:val="005E7107"/>
    <w:rsid w:val="005E710B"/>
    <w:rsid w:val="005E71BD"/>
    <w:rsid w:val="005E7254"/>
    <w:rsid w:val="005E72D8"/>
    <w:rsid w:val="005E74B1"/>
    <w:rsid w:val="005E7622"/>
    <w:rsid w:val="005E763D"/>
    <w:rsid w:val="005E769F"/>
    <w:rsid w:val="005E76A3"/>
    <w:rsid w:val="005E77A1"/>
    <w:rsid w:val="005E78BD"/>
    <w:rsid w:val="005E78C4"/>
    <w:rsid w:val="005E79F2"/>
    <w:rsid w:val="005E7A11"/>
    <w:rsid w:val="005E7B01"/>
    <w:rsid w:val="005E7B58"/>
    <w:rsid w:val="005E7BA7"/>
    <w:rsid w:val="005E7C64"/>
    <w:rsid w:val="005E7E9A"/>
    <w:rsid w:val="005E7F21"/>
    <w:rsid w:val="005E7F65"/>
    <w:rsid w:val="005E7FBE"/>
    <w:rsid w:val="005E7FD4"/>
    <w:rsid w:val="005E7FEF"/>
    <w:rsid w:val="005F0105"/>
    <w:rsid w:val="005F0135"/>
    <w:rsid w:val="005F01D3"/>
    <w:rsid w:val="005F0249"/>
    <w:rsid w:val="005F0281"/>
    <w:rsid w:val="005F0359"/>
    <w:rsid w:val="005F037A"/>
    <w:rsid w:val="005F03EF"/>
    <w:rsid w:val="005F040A"/>
    <w:rsid w:val="005F0591"/>
    <w:rsid w:val="005F067B"/>
    <w:rsid w:val="005F08D5"/>
    <w:rsid w:val="005F095F"/>
    <w:rsid w:val="005F097C"/>
    <w:rsid w:val="005F0A16"/>
    <w:rsid w:val="005F0A83"/>
    <w:rsid w:val="005F0B68"/>
    <w:rsid w:val="005F0D4E"/>
    <w:rsid w:val="005F0DF8"/>
    <w:rsid w:val="005F0E12"/>
    <w:rsid w:val="005F0FE2"/>
    <w:rsid w:val="005F1030"/>
    <w:rsid w:val="005F109E"/>
    <w:rsid w:val="005F10CE"/>
    <w:rsid w:val="005F1273"/>
    <w:rsid w:val="005F1323"/>
    <w:rsid w:val="005F144D"/>
    <w:rsid w:val="005F1504"/>
    <w:rsid w:val="005F1615"/>
    <w:rsid w:val="005F1753"/>
    <w:rsid w:val="005F1B10"/>
    <w:rsid w:val="005F1B61"/>
    <w:rsid w:val="005F1B83"/>
    <w:rsid w:val="005F1B99"/>
    <w:rsid w:val="005F1BF9"/>
    <w:rsid w:val="005F1CD1"/>
    <w:rsid w:val="005F1D32"/>
    <w:rsid w:val="005F1D8C"/>
    <w:rsid w:val="005F1E34"/>
    <w:rsid w:val="005F1E97"/>
    <w:rsid w:val="005F1F17"/>
    <w:rsid w:val="005F1F4E"/>
    <w:rsid w:val="005F2095"/>
    <w:rsid w:val="005F2262"/>
    <w:rsid w:val="005F226E"/>
    <w:rsid w:val="005F22BE"/>
    <w:rsid w:val="005F2360"/>
    <w:rsid w:val="005F24B0"/>
    <w:rsid w:val="005F26EA"/>
    <w:rsid w:val="005F2710"/>
    <w:rsid w:val="005F29D8"/>
    <w:rsid w:val="005F2B21"/>
    <w:rsid w:val="005F2BE2"/>
    <w:rsid w:val="005F2C6B"/>
    <w:rsid w:val="005F2CE3"/>
    <w:rsid w:val="005F2D30"/>
    <w:rsid w:val="005F2D51"/>
    <w:rsid w:val="005F2D76"/>
    <w:rsid w:val="005F2E47"/>
    <w:rsid w:val="005F2E5A"/>
    <w:rsid w:val="005F2FB8"/>
    <w:rsid w:val="005F3075"/>
    <w:rsid w:val="005F30AC"/>
    <w:rsid w:val="005F3103"/>
    <w:rsid w:val="005F3179"/>
    <w:rsid w:val="005F32BD"/>
    <w:rsid w:val="005F334A"/>
    <w:rsid w:val="005F3379"/>
    <w:rsid w:val="005F3474"/>
    <w:rsid w:val="005F34A1"/>
    <w:rsid w:val="005F35E1"/>
    <w:rsid w:val="005F3664"/>
    <w:rsid w:val="005F3840"/>
    <w:rsid w:val="005F3926"/>
    <w:rsid w:val="005F3C0C"/>
    <w:rsid w:val="005F3CC1"/>
    <w:rsid w:val="005F3D30"/>
    <w:rsid w:val="005F3ECE"/>
    <w:rsid w:val="005F3F0D"/>
    <w:rsid w:val="005F3FE8"/>
    <w:rsid w:val="005F3FED"/>
    <w:rsid w:val="005F41A4"/>
    <w:rsid w:val="005F428A"/>
    <w:rsid w:val="005F4381"/>
    <w:rsid w:val="005F4436"/>
    <w:rsid w:val="005F44EF"/>
    <w:rsid w:val="005F451E"/>
    <w:rsid w:val="005F46F7"/>
    <w:rsid w:val="005F47B2"/>
    <w:rsid w:val="005F47FF"/>
    <w:rsid w:val="005F4822"/>
    <w:rsid w:val="005F4881"/>
    <w:rsid w:val="005F49C2"/>
    <w:rsid w:val="005F4AA9"/>
    <w:rsid w:val="005F4BC6"/>
    <w:rsid w:val="005F4C13"/>
    <w:rsid w:val="005F4C15"/>
    <w:rsid w:val="005F4C58"/>
    <w:rsid w:val="005F4C76"/>
    <w:rsid w:val="005F4C82"/>
    <w:rsid w:val="005F4D03"/>
    <w:rsid w:val="005F4E02"/>
    <w:rsid w:val="005F4F0C"/>
    <w:rsid w:val="005F4F9D"/>
    <w:rsid w:val="005F53D0"/>
    <w:rsid w:val="005F53EE"/>
    <w:rsid w:val="005F5433"/>
    <w:rsid w:val="005F5559"/>
    <w:rsid w:val="005F55BB"/>
    <w:rsid w:val="005F55EA"/>
    <w:rsid w:val="005F562D"/>
    <w:rsid w:val="005F569C"/>
    <w:rsid w:val="005F56E0"/>
    <w:rsid w:val="005F5752"/>
    <w:rsid w:val="005F58F3"/>
    <w:rsid w:val="005F5920"/>
    <w:rsid w:val="005F5A10"/>
    <w:rsid w:val="005F5B17"/>
    <w:rsid w:val="005F5BA8"/>
    <w:rsid w:val="005F5C0D"/>
    <w:rsid w:val="005F5C59"/>
    <w:rsid w:val="005F5D59"/>
    <w:rsid w:val="005F5D83"/>
    <w:rsid w:val="005F5E45"/>
    <w:rsid w:val="005F5EAF"/>
    <w:rsid w:val="005F5EB5"/>
    <w:rsid w:val="005F5F33"/>
    <w:rsid w:val="005F60B5"/>
    <w:rsid w:val="005F61F7"/>
    <w:rsid w:val="005F6291"/>
    <w:rsid w:val="005F62AA"/>
    <w:rsid w:val="005F634B"/>
    <w:rsid w:val="005F63DE"/>
    <w:rsid w:val="005F63F3"/>
    <w:rsid w:val="005F64F2"/>
    <w:rsid w:val="005F6561"/>
    <w:rsid w:val="005F65BD"/>
    <w:rsid w:val="005F6601"/>
    <w:rsid w:val="005F6696"/>
    <w:rsid w:val="005F67B3"/>
    <w:rsid w:val="005F6870"/>
    <w:rsid w:val="005F68CA"/>
    <w:rsid w:val="005F6903"/>
    <w:rsid w:val="005F698F"/>
    <w:rsid w:val="005F6A85"/>
    <w:rsid w:val="005F6BCA"/>
    <w:rsid w:val="005F6BCE"/>
    <w:rsid w:val="005F6BDE"/>
    <w:rsid w:val="005F6CF2"/>
    <w:rsid w:val="005F6D63"/>
    <w:rsid w:val="005F6DDC"/>
    <w:rsid w:val="005F6FE2"/>
    <w:rsid w:val="005F7119"/>
    <w:rsid w:val="005F71AE"/>
    <w:rsid w:val="005F721A"/>
    <w:rsid w:val="005F7242"/>
    <w:rsid w:val="005F7394"/>
    <w:rsid w:val="005F73AB"/>
    <w:rsid w:val="005F73F0"/>
    <w:rsid w:val="005F7518"/>
    <w:rsid w:val="005F755F"/>
    <w:rsid w:val="005F757C"/>
    <w:rsid w:val="005F7645"/>
    <w:rsid w:val="005F7840"/>
    <w:rsid w:val="005F7868"/>
    <w:rsid w:val="005F78AE"/>
    <w:rsid w:val="005F79CE"/>
    <w:rsid w:val="005F7ADA"/>
    <w:rsid w:val="005F7B2A"/>
    <w:rsid w:val="005F7B9D"/>
    <w:rsid w:val="005F7BF4"/>
    <w:rsid w:val="005F7D06"/>
    <w:rsid w:val="006001E1"/>
    <w:rsid w:val="0060023B"/>
    <w:rsid w:val="006002A6"/>
    <w:rsid w:val="00600459"/>
    <w:rsid w:val="0060046D"/>
    <w:rsid w:val="00600477"/>
    <w:rsid w:val="00600537"/>
    <w:rsid w:val="006005AD"/>
    <w:rsid w:val="006005AF"/>
    <w:rsid w:val="0060064B"/>
    <w:rsid w:val="006007AB"/>
    <w:rsid w:val="0060094E"/>
    <w:rsid w:val="0060099C"/>
    <w:rsid w:val="00600A03"/>
    <w:rsid w:val="00600BD5"/>
    <w:rsid w:val="00600DB4"/>
    <w:rsid w:val="00600EB7"/>
    <w:rsid w:val="00600F6C"/>
    <w:rsid w:val="006010CF"/>
    <w:rsid w:val="0060116C"/>
    <w:rsid w:val="00601238"/>
    <w:rsid w:val="006012E9"/>
    <w:rsid w:val="006013C0"/>
    <w:rsid w:val="0060145A"/>
    <w:rsid w:val="006014FC"/>
    <w:rsid w:val="00601534"/>
    <w:rsid w:val="0060181B"/>
    <w:rsid w:val="00601841"/>
    <w:rsid w:val="00601977"/>
    <w:rsid w:val="00601995"/>
    <w:rsid w:val="00601A1D"/>
    <w:rsid w:val="00601B66"/>
    <w:rsid w:val="00601BDB"/>
    <w:rsid w:val="00601C85"/>
    <w:rsid w:val="00601E8B"/>
    <w:rsid w:val="00601FBC"/>
    <w:rsid w:val="00601FED"/>
    <w:rsid w:val="00602109"/>
    <w:rsid w:val="00602263"/>
    <w:rsid w:val="006022CA"/>
    <w:rsid w:val="00602366"/>
    <w:rsid w:val="00602584"/>
    <w:rsid w:val="00602698"/>
    <w:rsid w:val="00602793"/>
    <w:rsid w:val="00602794"/>
    <w:rsid w:val="00602879"/>
    <w:rsid w:val="0060294B"/>
    <w:rsid w:val="006029E9"/>
    <w:rsid w:val="00602ABF"/>
    <w:rsid w:val="00602C5E"/>
    <w:rsid w:val="00602C82"/>
    <w:rsid w:val="00602CCA"/>
    <w:rsid w:val="00602D8B"/>
    <w:rsid w:val="00602FD7"/>
    <w:rsid w:val="0060302E"/>
    <w:rsid w:val="0060308B"/>
    <w:rsid w:val="006030A2"/>
    <w:rsid w:val="0060315E"/>
    <w:rsid w:val="0060317B"/>
    <w:rsid w:val="006031A4"/>
    <w:rsid w:val="006031BC"/>
    <w:rsid w:val="00603327"/>
    <w:rsid w:val="00603383"/>
    <w:rsid w:val="006034CF"/>
    <w:rsid w:val="0060368A"/>
    <w:rsid w:val="006036B9"/>
    <w:rsid w:val="006037E8"/>
    <w:rsid w:val="00603812"/>
    <w:rsid w:val="0060382D"/>
    <w:rsid w:val="006038AF"/>
    <w:rsid w:val="00603966"/>
    <w:rsid w:val="00603A43"/>
    <w:rsid w:val="00603A68"/>
    <w:rsid w:val="00603B41"/>
    <w:rsid w:val="00603C98"/>
    <w:rsid w:val="00603D45"/>
    <w:rsid w:val="00603E49"/>
    <w:rsid w:val="00603F7A"/>
    <w:rsid w:val="00603F93"/>
    <w:rsid w:val="00604005"/>
    <w:rsid w:val="0060409E"/>
    <w:rsid w:val="00604124"/>
    <w:rsid w:val="00604130"/>
    <w:rsid w:val="0060429E"/>
    <w:rsid w:val="0060431E"/>
    <w:rsid w:val="00604480"/>
    <w:rsid w:val="00604514"/>
    <w:rsid w:val="00604568"/>
    <w:rsid w:val="00604650"/>
    <w:rsid w:val="006046BC"/>
    <w:rsid w:val="0060470B"/>
    <w:rsid w:val="0060473D"/>
    <w:rsid w:val="0060475D"/>
    <w:rsid w:val="006047E7"/>
    <w:rsid w:val="006047FA"/>
    <w:rsid w:val="0060484F"/>
    <w:rsid w:val="006048D8"/>
    <w:rsid w:val="006048ED"/>
    <w:rsid w:val="00604A40"/>
    <w:rsid w:val="00604A63"/>
    <w:rsid w:val="00604B67"/>
    <w:rsid w:val="00604BAA"/>
    <w:rsid w:val="00604C0A"/>
    <w:rsid w:val="00604C5F"/>
    <w:rsid w:val="00604C9C"/>
    <w:rsid w:val="00604CE4"/>
    <w:rsid w:val="00604D22"/>
    <w:rsid w:val="00604DDC"/>
    <w:rsid w:val="00604E0F"/>
    <w:rsid w:val="00604E5E"/>
    <w:rsid w:val="00604EB5"/>
    <w:rsid w:val="00604EEC"/>
    <w:rsid w:val="00604F8C"/>
    <w:rsid w:val="0060516E"/>
    <w:rsid w:val="00605256"/>
    <w:rsid w:val="006053AC"/>
    <w:rsid w:val="006053C8"/>
    <w:rsid w:val="006055F7"/>
    <w:rsid w:val="0060564F"/>
    <w:rsid w:val="0060573E"/>
    <w:rsid w:val="00605748"/>
    <w:rsid w:val="006057F3"/>
    <w:rsid w:val="0060581D"/>
    <w:rsid w:val="00605872"/>
    <w:rsid w:val="00605891"/>
    <w:rsid w:val="006058E1"/>
    <w:rsid w:val="006059A2"/>
    <w:rsid w:val="006059EA"/>
    <w:rsid w:val="00605B91"/>
    <w:rsid w:val="00605C35"/>
    <w:rsid w:val="00605C6F"/>
    <w:rsid w:val="00605C9B"/>
    <w:rsid w:val="00605D33"/>
    <w:rsid w:val="00605D56"/>
    <w:rsid w:val="00605DAD"/>
    <w:rsid w:val="00605DB3"/>
    <w:rsid w:val="00605E01"/>
    <w:rsid w:val="00605E74"/>
    <w:rsid w:val="00605E86"/>
    <w:rsid w:val="00605F5B"/>
    <w:rsid w:val="006060BE"/>
    <w:rsid w:val="006060C5"/>
    <w:rsid w:val="0060625A"/>
    <w:rsid w:val="00606302"/>
    <w:rsid w:val="00606357"/>
    <w:rsid w:val="00606380"/>
    <w:rsid w:val="006063B0"/>
    <w:rsid w:val="00606505"/>
    <w:rsid w:val="00606579"/>
    <w:rsid w:val="00606688"/>
    <w:rsid w:val="006066D9"/>
    <w:rsid w:val="00606985"/>
    <w:rsid w:val="00606BF8"/>
    <w:rsid w:val="00606C80"/>
    <w:rsid w:val="00606D82"/>
    <w:rsid w:val="00606F6F"/>
    <w:rsid w:val="006071C1"/>
    <w:rsid w:val="006071ED"/>
    <w:rsid w:val="006073DD"/>
    <w:rsid w:val="0060740D"/>
    <w:rsid w:val="0060762F"/>
    <w:rsid w:val="006076FE"/>
    <w:rsid w:val="0060777C"/>
    <w:rsid w:val="006078E1"/>
    <w:rsid w:val="00607970"/>
    <w:rsid w:val="006079D7"/>
    <w:rsid w:val="00607A43"/>
    <w:rsid w:val="00607C03"/>
    <w:rsid w:val="00607CA4"/>
    <w:rsid w:val="00607DDD"/>
    <w:rsid w:val="00607E53"/>
    <w:rsid w:val="00607E6A"/>
    <w:rsid w:val="00607F4A"/>
    <w:rsid w:val="00607FD8"/>
    <w:rsid w:val="00607FEB"/>
    <w:rsid w:val="00610007"/>
    <w:rsid w:val="00610029"/>
    <w:rsid w:val="006101A1"/>
    <w:rsid w:val="006101A9"/>
    <w:rsid w:val="00610332"/>
    <w:rsid w:val="006103DA"/>
    <w:rsid w:val="006103DD"/>
    <w:rsid w:val="006103F0"/>
    <w:rsid w:val="00610461"/>
    <w:rsid w:val="006105BC"/>
    <w:rsid w:val="00610651"/>
    <w:rsid w:val="00610721"/>
    <w:rsid w:val="00610955"/>
    <w:rsid w:val="00610984"/>
    <w:rsid w:val="0061099F"/>
    <w:rsid w:val="00610AB0"/>
    <w:rsid w:val="00610B53"/>
    <w:rsid w:val="00610BA7"/>
    <w:rsid w:val="00610BDD"/>
    <w:rsid w:val="00610C03"/>
    <w:rsid w:val="00610D12"/>
    <w:rsid w:val="00610F4F"/>
    <w:rsid w:val="00611093"/>
    <w:rsid w:val="006110FD"/>
    <w:rsid w:val="0061111A"/>
    <w:rsid w:val="00611127"/>
    <w:rsid w:val="00611187"/>
    <w:rsid w:val="0061118B"/>
    <w:rsid w:val="0061120E"/>
    <w:rsid w:val="006112B5"/>
    <w:rsid w:val="006114F7"/>
    <w:rsid w:val="00611613"/>
    <w:rsid w:val="00611635"/>
    <w:rsid w:val="00611662"/>
    <w:rsid w:val="00611669"/>
    <w:rsid w:val="006116E8"/>
    <w:rsid w:val="00611713"/>
    <w:rsid w:val="0061173B"/>
    <w:rsid w:val="00611832"/>
    <w:rsid w:val="006118BC"/>
    <w:rsid w:val="00611937"/>
    <w:rsid w:val="00611A0F"/>
    <w:rsid w:val="00611A56"/>
    <w:rsid w:val="00611ADF"/>
    <w:rsid w:val="00611CB8"/>
    <w:rsid w:val="00611CFA"/>
    <w:rsid w:val="00611D11"/>
    <w:rsid w:val="00611D7E"/>
    <w:rsid w:val="0061202E"/>
    <w:rsid w:val="0061205E"/>
    <w:rsid w:val="00612107"/>
    <w:rsid w:val="00612240"/>
    <w:rsid w:val="00612274"/>
    <w:rsid w:val="00612290"/>
    <w:rsid w:val="006122A0"/>
    <w:rsid w:val="00612371"/>
    <w:rsid w:val="0061237F"/>
    <w:rsid w:val="00612391"/>
    <w:rsid w:val="006123B3"/>
    <w:rsid w:val="006123F1"/>
    <w:rsid w:val="006125E7"/>
    <w:rsid w:val="006126CF"/>
    <w:rsid w:val="00612740"/>
    <w:rsid w:val="0061291C"/>
    <w:rsid w:val="00612B3B"/>
    <w:rsid w:val="00612B60"/>
    <w:rsid w:val="00612C17"/>
    <w:rsid w:val="00612D53"/>
    <w:rsid w:val="00612DF2"/>
    <w:rsid w:val="00612EBF"/>
    <w:rsid w:val="00612FBD"/>
    <w:rsid w:val="00612FD8"/>
    <w:rsid w:val="00613009"/>
    <w:rsid w:val="006130DF"/>
    <w:rsid w:val="00613174"/>
    <w:rsid w:val="00613343"/>
    <w:rsid w:val="00613487"/>
    <w:rsid w:val="00613562"/>
    <w:rsid w:val="006136E0"/>
    <w:rsid w:val="0061379E"/>
    <w:rsid w:val="006138D8"/>
    <w:rsid w:val="006138DE"/>
    <w:rsid w:val="00613927"/>
    <w:rsid w:val="00613948"/>
    <w:rsid w:val="00613A19"/>
    <w:rsid w:val="00613A29"/>
    <w:rsid w:val="00613AC2"/>
    <w:rsid w:val="00613C28"/>
    <w:rsid w:val="00613C40"/>
    <w:rsid w:val="00613C55"/>
    <w:rsid w:val="00613CC0"/>
    <w:rsid w:val="00613D90"/>
    <w:rsid w:val="00613DDA"/>
    <w:rsid w:val="00614065"/>
    <w:rsid w:val="006140EE"/>
    <w:rsid w:val="00614127"/>
    <w:rsid w:val="00614225"/>
    <w:rsid w:val="00614242"/>
    <w:rsid w:val="006142F2"/>
    <w:rsid w:val="00614460"/>
    <w:rsid w:val="00614519"/>
    <w:rsid w:val="00614867"/>
    <w:rsid w:val="006148BD"/>
    <w:rsid w:val="006148F8"/>
    <w:rsid w:val="00614977"/>
    <w:rsid w:val="00614AF3"/>
    <w:rsid w:val="00614DCD"/>
    <w:rsid w:val="00614E95"/>
    <w:rsid w:val="00614F1A"/>
    <w:rsid w:val="00614F81"/>
    <w:rsid w:val="00614FE1"/>
    <w:rsid w:val="00614FF0"/>
    <w:rsid w:val="0061501C"/>
    <w:rsid w:val="0061508F"/>
    <w:rsid w:val="00615090"/>
    <w:rsid w:val="00615097"/>
    <w:rsid w:val="0061514E"/>
    <w:rsid w:val="006151DC"/>
    <w:rsid w:val="006152DE"/>
    <w:rsid w:val="0061530E"/>
    <w:rsid w:val="006153EF"/>
    <w:rsid w:val="006154B0"/>
    <w:rsid w:val="00615556"/>
    <w:rsid w:val="006155A1"/>
    <w:rsid w:val="006159FA"/>
    <w:rsid w:val="00615AD2"/>
    <w:rsid w:val="00615B02"/>
    <w:rsid w:val="00615B9E"/>
    <w:rsid w:val="00615BB4"/>
    <w:rsid w:val="00615F35"/>
    <w:rsid w:val="00615FC8"/>
    <w:rsid w:val="0061615B"/>
    <w:rsid w:val="00616198"/>
    <w:rsid w:val="00616229"/>
    <w:rsid w:val="006162AD"/>
    <w:rsid w:val="006162D9"/>
    <w:rsid w:val="006164B5"/>
    <w:rsid w:val="006165ED"/>
    <w:rsid w:val="0061663D"/>
    <w:rsid w:val="00616667"/>
    <w:rsid w:val="00616A1D"/>
    <w:rsid w:val="00616ACB"/>
    <w:rsid w:val="00616B50"/>
    <w:rsid w:val="00616C9B"/>
    <w:rsid w:val="00616CE7"/>
    <w:rsid w:val="00616D7D"/>
    <w:rsid w:val="00616D81"/>
    <w:rsid w:val="00616DBF"/>
    <w:rsid w:val="00616DE2"/>
    <w:rsid w:val="00616EB5"/>
    <w:rsid w:val="00617160"/>
    <w:rsid w:val="00617207"/>
    <w:rsid w:val="0061738A"/>
    <w:rsid w:val="00617465"/>
    <w:rsid w:val="00617469"/>
    <w:rsid w:val="006174D1"/>
    <w:rsid w:val="00617503"/>
    <w:rsid w:val="00617657"/>
    <w:rsid w:val="006177D1"/>
    <w:rsid w:val="006179EA"/>
    <w:rsid w:val="00617BAF"/>
    <w:rsid w:val="00617CA5"/>
    <w:rsid w:val="00617D25"/>
    <w:rsid w:val="00617D39"/>
    <w:rsid w:val="00617E0E"/>
    <w:rsid w:val="00617E87"/>
    <w:rsid w:val="00617EB2"/>
    <w:rsid w:val="00617EF1"/>
    <w:rsid w:val="00617FFD"/>
    <w:rsid w:val="00620043"/>
    <w:rsid w:val="00620053"/>
    <w:rsid w:val="00620120"/>
    <w:rsid w:val="006201B1"/>
    <w:rsid w:val="006202BC"/>
    <w:rsid w:val="00620465"/>
    <w:rsid w:val="006204BA"/>
    <w:rsid w:val="00620503"/>
    <w:rsid w:val="0062054C"/>
    <w:rsid w:val="0062067E"/>
    <w:rsid w:val="0062069B"/>
    <w:rsid w:val="00620732"/>
    <w:rsid w:val="006207D5"/>
    <w:rsid w:val="006208A4"/>
    <w:rsid w:val="00620AD1"/>
    <w:rsid w:val="00620B37"/>
    <w:rsid w:val="00620BB4"/>
    <w:rsid w:val="00620BC5"/>
    <w:rsid w:val="00620BF5"/>
    <w:rsid w:val="00620D8A"/>
    <w:rsid w:val="00620DC9"/>
    <w:rsid w:val="00620E01"/>
    <w:rsid w:val="00621043"/>
    <w:rsid w:val="00621073"/>
    <w:rsid w:val="0062120C"/>
    <w:rsid w:val="00621218"/>
    <w:rsid w:val="006212E0"/>
    <w:rsid w:val="0062135A"/>
    <w:rsid w:val="0062137C"/>
    <w:rsid w:val="0062139E"/>
    <w:rsid w:val="006213A2"/>
    <w:rsid w:val="006213A3"/>
    <w:rsid w:val="006213A4"/>
    <w:rsid w:val="0062154E"/>
    <w:rsid w:val="00621577"/>
    <w:rsid w:val="00621580"/>
    <w:rsid w:val="00621664"/>
    <w:rsid w:val="00621712"/>
    <w:rsid w:val="006219C7"/>
    <w:rsid w:val="006219E6"/>
    <w:rsid w:val="00621A79"/>
    <w:rsid w:val="00621B0D"/>
    <w:rsid w:val="00621B87"/>
    <w:rsid w:val="00621C3A"/>
    <w:rsid w:val="00621D0D"/>
    <w:rsid w:val="00621D6F"/>
    <w:rsid w:val="00621DF9"/>
    <w:rsid w:val="00621E34"/>
    <w:rsid w:val="00621E3F"/>
    <w:rsid w:val="00621E7A"/>
    <w:rsid w:val="00622184"/>
    <w:rsid w:val="00622266"/>
    <w:rsid w:val="00622296"/>
    <w:rsid w:val="0062234E"/>
    <w:rsid w:val="00622351"/>
    <w:rsid w:val="006223A0"/>
    <w:rsid w:val="006224E4"/>
    <w:rsid w:val="006226A0"/>
    <w:rsid w:val="00622721"/>
    <w:rsid w:val="0062280F"/>
    <w:rsid w:val="006229B1"/>
    <w:rsid w:val="00622A1A"/>
    <w:rsid w:val="00622A71"/>
    <w:rsid w:val="00622C0B"/>
    <w:rsid w:val="00622C25"/>
    <w:rsid w:val="00622CC6"/>
    <w:rsid w:val="00622D98"/>
    <w:rsid w:val="00622E25"/>
    <w:rsid w:val="00622E26"/>
    <w:rsid w:val="00622EB2"/>
    <w:rsid w:val="006230EE"/>
    <w:rsid w:val="00623593"/>
    <w:rsid w:val="00623789"/>
    <w:rsid w:val="00623819"/>
    <w:rsid w:val="006238B5"/>
    <w:rsid w:val="00623904"/>
    <w:rsid w:val="0062392C"/>
    <w:rsid w:val="0062394B"/>
    <w:rsid w:val="0062398A"/>
    <w:rsid w:val="006239C0"/>
    <w:rsid w:val="006239DD"/>
    <w:rsid w:val="00623A2D"/>
    <w:rsid w:val="00623A7E"/>
    <w:rsid w:val="00623DDE"/>
    <w:rsid w:val="00623E01"/>
    <w:rsid w:val="00623E97"/>
    <w:rsid w:val="00623F98"/>
    <w:rsid w:val="00623FCF"/>
    <w:rsid w:val="00623FDB"/>
    <w:rsid w:val="006241B6"/>
    <w:rsid w:val="006241D7"/>
    <w:rsid w:val="0062434B"/>
    <w:rsid w:val="00624487"/>
    <w:rsid w:val="006244F1"/>
    <w:rsid w:val="00624586"/>
    <w:rsid w:val="006245A3"/>
    <w:rsid w:val="00624740"/>
    <w:rsid w:val="006247CA"/>
    <w:rsid w:val="00624838"/>
    <w:rsid w:val="00624870"/>
    <w:rsid w:val="006248C2"/>
    <w:rsid w:val="00624908"/>
    <w:rsid w:val="00624932"/>
    <w:rsid w:val="006249EA"/>
    <w:rsid w:val="00624A76"/>
    <w:rsid w:val="00624AD0"/>
    <w:rsid w:val="00624C9F"/>
    <w:rsid w:val="00624D38"/>
    <w:rsid w:val="00624E24"/>
    <w:rsid w:val="00624E38"/>
    <w:rsid w:val="00624EAA"/>
    <w:rsid w:val="00624FB0"/>
    <w:rsid w:val="00624FB8"/>
    <w:rsid w:val="00625048"/>
    <w:rsid w:val="00625167"/>
    <w:rsid w:val="00625174"/>
    <w:rsid w:val="0062523C"/>
    <w:rsid w:val="006252E3"/>
    <w:rsid w:val="00625340"/>
    <w:rsid w:val="0062534B"/>
    <w:rsid w:val="00625393"/>
    <w:rsid w:val="006253BC"/>
    <w:rsid w:val="006253FF"/>
    <w:rsid w:val="00625530"/>
    <w:rsid w:val="00625551"/>
    <w:rsid w:val="0062557C"/>
    <w:rsid w:val="0062559E"/>
    <w:rsid w:val="00625665"/>
    <w:rsid w:val="0062577F"/>
    <w:rsid w:val="00625797"/>
    <w:rsid w:val="00625879"/>
    <w:rsid w:val="00625A3C"/>
    <w:rsid w:val="00625C20"/>
    <w:rsid w:val="00625C58"/>
    <w:rsid w:val="00625C75"/>
    <w:rsid w:val="00625CEC"/>
    <w:rsid w:val="00625D68"/>
    <w:rsid w:val="00625DA9"/>
    <w:rsid w:val="00625F24"/>
    <w:rsid w:val="00625F61"/>
    <w:rsid w:val="0062600F"/>
    <w:rsid w:val="0062605A"/>
    <w:rsid w:val="00626128"/>
    <w:rsid w:val="00626152"/>
    <w:rsid w:val="006262C9"/>
    <w:rsid w:val="00626466"/>
    <w:rsid w:val="00626524"/>
    <w:rsid w:val="00626538"/>
    <w:rsid w:val="0062669C"/>
    <w:rsid w:val="006266E2"/>
    <w:rsid w:val="006266F0"/>
    <w:rsid w:val="0062672D"/>
    <w:rsid w:val="00626839"/>
    <w:rsid w:val="0062683B"/>
    <w:rsid w:val="006268E8"/>
    <w:rsid w:val="00626906"/>
    <w:rsid w:val="00626908"/>
    <w:rsid w:val="00626A2D"/>
    <w:rsid w:val="00626A3B"/>
    <w:rsid w:val="00626A95"/>
    <w:rsid w:val="00626B9F"/>
    <w:rsid w:val="00626C44"/>
    <w:rsid w:val="00626DA9"/>
    <w:rsid w:val="00626E3E"/>
    <w:rsid w:val="00626ED3"/>
    <w:rsid w:val="00626F0C"/>
    <w:rsid w:val="00626FBC"/>
    <w:rsid w:val="00626FCC"/>
    <w:rsid w:val="006270BD"/>
    <w:rsid w:val="006271BB"/>
    <w:rsid w:val="006272E7"/>
    <w:rsid w:val="006272EB"/>
    <w:rsid w:val="0062735C"/>
    <w:rsid w:val="00627378"/>
    <w:rsid w:val="0062748C"/>
    <w:rsid w:val="0062753E"/>
    <w:rsid w:val="006275EC"/>
    <w:rsid w:val="00627602"/>
    <w:rsid w:val="006276CA"/>
    <w:rsid w:val="006276E0"/>
    <w:rsid w:val="00627715"/>
    <w:rsid w:val="00627775"/>
    <w:rsid w:val="0062784F"/>
    <w:rsid w:val="006278E6"/>
    <w:rsid w:val="006278E9"/>
    <w:rsid w:val="00627A81"/>
    <w:rsid w:val="00627AC2"/>
    <w:rsid w:val="00627B08"/>
    <w:rsid w:val="00627B8C"/>
    <w:rsid w:val="00627BEC"/>
    <w:rsid w:val="00627C0F"/>
    <w:rsid w:val="00627C41"/>
    <w:rsid w:val="00627C73"/>
    <w:rsid w:val="00627CB9"/>
    <w:rsid w:val="00627D87"/>
    <w:rsid w:val="00627FBD"/>
    <w:rsid w:val="006300C1"/>
    <w:rsid w:val="006301C1"/>
    <w:rsid w:val="00630235"/>
    <w:rsid w:val="0063025A"/>
    <w:rsid w:val="006302FF"/>
    <w:rsid w:val="00630359"/>
    <w:rsid w:val="0063036E"/>
    <w:rsid w:val="006304A2"/>
    <w:rsid w:val="006304C5"/>
    <w:rsid w:val="006304DA"/>
    <w:rsid w:val="00630511"/>
    <w:rsid w:val="00630552"/>
    <w:rsid w:val="00630592"/>
    <w:rsid w:val="00630615"/>
    <w:rsid w:val="00630654"/>
    <w:rsid w:val="0063082B"/>
    <w:rsid w:val="00630A60"/>
    <w:rsid w:val="00630A69"/>
    <w:rsid w:val="00630B4A"/>
    <w:rsid w:val="00630BAB"/>
    <w:rsid w:val="00630BE0"/>
    <w:rsid w:val="00630C8D"/>
    <w:rsid w:val="00630CD2"/>
    <w:rsid w:val="00630D05"/>
    <w:rsid w:val="00630D9E"/>
    <w:rsid w:val="00630DD3"/>
    <w:rsid w:val="00630E70"/>
    <w:rsid w:val="00630EC6"/>
    <w:rsid w:val="00630EEF"/>
    <w:rsid w:val="0063102F"/>
    <w:rsid w:val="006310CD"/>
    <w:rsid w:val="00631237"/>
    <w:rsid w:val="00631261"/>
    <w:rsid w:val="006312B8"/>
    <w:rsid w:val="00631328"/>
    <w:rsid w:val="00631354"/>
    <w:rsid w:val="00631435"/>
    <w:rsid w:val="0063146B"/>
    <w:rsid w:val="00631487"/>
    <w:rsid w:val="00631577"/>
    <w:rsid w:val="00631684"/>
    <w:rsid w:val="00631826"/>
    <w:rsid w:val="00631869"/>
    <w:rsid w:val="00631AE1"/>
    <w:rsid w:val="00631B44"/>
    <w:rsid w:val="00631B6B"/>
    <w:rsid w:val="00631BF7"/>
    <w:rsid w:val="00631CC8"/>
    <w:rsid w:val="00631CE5"/>
    <w:rsid w:val="00631DB2"/>
    <w:rsid w:val="00631DC3"/>
    <w:rsid w:val="00631E02"/>
    <w:rsid w:val="00631E21"/>
    <w:rsid w:val="00631E77"/>
    <w:rsid w:val="00632000"/>
    <w:rsid w:val="00632013"/>
    <w:rsid w:val="006320CF"/>
    <w:rsid w:val="0063217C"/>
    <w:rsid w:val="006321B0"/>
    <w:rsid w:val="006321F6"/>
    <w:rsid w:val="00632466"/>
    <w:rsid w:val="0063266F"/>
    <w:rsid w:val="006327B0"/>
    <w:rsid w:val="0063283E"/>
    <w:rsid w:val="00632847"/>
    <w:rsid w:val="0063296C"/>
    <w:rsid w:val="00632994"/>
    <w:rsid w:val="00632AB4"/>
    <w:rsid w:val="00632B58"/>
    <w:rsid w:val="00632B85"/>
    <w:rsid w:val="00632B8F"/>
    <w:rsid w:val="00632F5A"/>
    <w:rsid w:val="0063303A"/>
    <w:rsid w:val="006330AC"/>
    <w:rsid w:val="006331F3"/>
    <w:rsid w:val="00633294"/>
    <w:rsid w:val="006332CC"/>
    <w:rsid w:val="00633319"/>
    <w:rsid w:val="00633327"/>
    <w:rsid w:val="006335B1"/>
    <w:rsid w:val="006335D9"/>
    <w:rsid w:val="006335FF"/>
    <w:rsid w:val="0063367A"/>
    <w:rsid w:val="006336E5"/>
    <w:rsid w:val="0063374A"/>
    <w:rsid w:val="006337B8"/>
    <w:rsid w:val="006338EA"/>
    <w:rsid w:val="006339E8"/>
    <w:rsid w:val="00633CDF"/>
    <w:rsid w:val="00633E33"/>
    <w:rsid w:val="00633E65"/>
    <w:rsid w:val="00633FCF"/>
    <w:rsid w:val="0063410D"/>
    <w:rsid w:val="0063418D"/>
    <w:rsid w:val="006342E3"/>
    <w:rsid w:val="00634392"/>
    <w:rsid w:val="00634599"/>
    <w:rsid w:val="0063461B"/>
    <w:rsid w:val="006346CE"/>
    <w:rsid w:val="006346D5"/>
    <w:rsid w:val="006346F8"/>
    <w:rsid w:val="006347D4"/>
    <w:rsid w:val="00634873"/>
    <w:rsid w:val="006348A8"/>
    <w:rsid w:val="006348CE"/>
    <w:rsid w:val="00634ADF"/>
    <w:rsid w:val="00634C3B"/>
    <w:rsid w:val="00634D6C"/>
    <w:rsid w:val="00634D79"/>
    <w:rsid w:val="00634EEC"/>
    <w:rsid w:val="0063513B"/>
    <w:rsid w:val="006351F8"/>
    <w:rsid w:val="006351F9"/>
    <w:rsid w:val="0063523D"/>
    <w:rsid w:val="0063547D"/>
    <w:rsid w:val="006354D5"/>
    <w:rsid w:val="006355CB"/>
    <w:rsid w:val="0063562A"/>
    <w:rsid w:val="00635655"/>
    <w:rsid w:val="00635788"/>
    <w:rsid w:val="006358C4"/>
    <w:rsid w:val="0063594D"/>
    <w:rsid w:val="006359F8"/>
    <w:rsid w:val="00635AB9"/>
    <w:rsid w:val="00635B60"/>
    <w:rsid w:val="00635C7D"/>
    <w:rsid w:val="00635D82"/>
    <w:rsid w:val="00635DB3"/>
    <w:rsid w:val="00635E62"/>
    <w:rsid w:val="00635E7D"/>
    <w:rsid w:val="00635ECF"/>
    <w:rsid w:val="00635EDD"/>
    <w:rsid w:val="00635F4C"/>
    <w:rsid w:val="0063612F"/>
    <w:rsid w:val="00636143"/>
    <w:rsid w:val="00636374"/>
    <w:rsid w:val="0063642C"/>
    <w:rsid w:val="006364B5"/>
    <w:rsid w:val="00636507"/>
    <w:rsid w:val="00636585"/>
    <w:rsid w:val="00636608"/>
    <w:rsid w:val="006366FF"/>
    <w:rsid w:val="00636822"/>
    <w:rsid w:val="006369C6"/>
    <w:rsid w:val="00636A1D"/>
    <w:rsid w:val="00636A8C"/>
    <w:rsid w:val="00636A92"/>
    <w:rsid w:val="00636B50"/>
    <w:rsid w:val="00636BEB"/>
    <w:rsid w:val="00636C19"/>
    <w:rsid w:val="00636C4D"/>
    <w:rsid w:val="00636D18"/>
    <w:rsid w:val="00636E36"/>
    <w:rsid w:val="00636E5A"/>
    <w:rsid w:val="00637087"/>
    <w:rsid w:val="0063727A"/>
    <w:rsid w:val="00637365"/>
    <w:rsid w:val="00637400"/>
    <w:rsid w:val="00637413"/>
    <w:rsid w:val="006374B1"/>
    <w:rsid w:val="00637552"/>
    <w:rsid w:val="00637604"/>
    <w:rsid w:val="006377E6"/>
    <w:rsid w:val="006378ED"/>
    <w:rsid w:val="00637949"/>
    <w:rsid w:val="00637995"/>
    <w:rsid w:val="00637AB4"/>
    <w:rsid w:val="00637B7E"/>
    <w:rsid w:val="00637CE5"/>
    <w:rsid w:val="00637D32"/>
    <w:rsid w:val="00637F6D"/>
    <w:rsid w:val="00637FBC"/>
    <w:rsid w:val="0064000B"/>
    <w:rsid w:val="0064002B"/>
    <w:rsid w:val="006400B1"/>
    <w:rsid w:val="00640244"/>
    <w:rsid w:val="00640253"/>
    <w:rsid w:val="00640265"/>
    <w:rsid w:val="00640273"/>
    <w:rsid w:val="0064034C"/>
    <w:rsid w:val="00640359"/>
    <w:rsid w:val="006403E3"/>
    <w:rsid w:val="006403FE"/>
    <w:rsid w:val="00640401"/>
    <w:rsid w:val="0064061B"/>
    <w:rsid w:val="006406E9"/>
    <w:rsid w:val="0064070C"/>
    <w:rsid w:val="00640749"/>
    <w:rsid w:val="00640788"/>
    <w:rsid w:val="0064089F"/>
    <w:rsid w:val="006409F9"/>
    <w:rsid w:val="00640BB3"/>
    <w:rsid w:val="00640CAF"/>
    <w:rsid w:val="00640CE1"/>
    <w:rsid w:val="00640CE6"/>
    <w:rsid w:val="00640D2D"/>
    <w:rsid w:val="00640E3E"/>
    <w:rsid w:val="00640E51"/>
    <w:rsid w:val="00640E6A"/>
    <w:rsid w:val="00640EE3"/>
    <w:rsid w:val="00640FA8"/>
    <w:rsid w:val="00641119"/>
    <w:rsid w:val="00641146"/>
    <w:rsid w:val="0064132A"/>
    <w:rsid w:val="00641337"/>
    <w:rsid w:val="00641363"/>
    <w:rsid w:val="006413A7"/>
    <w:rsid w:val="00641473"/>
    <w:rsid w:val="00641496"/>
    <w:rsid w:val="006415B7"/>
    <w:rsid w:val="006415E0"/>
    <w:rsid w:val="0064161B"/>
    <w:rsid w:val="006416D9"/>
    <w:rsid w:val="00641785"/>
    <w:rsid w:val="0064189C"/>
    <w:rsid w:val="006419D4"/>
    <w:rsid w:val="006419D5"/>
    <w:rsid w:val="00641A43"/>
    <w:rsid w:val="00641A61"/>
    <w:rsid w:val="00641AB3"/>
    <w:rsid w:val="00641B0A"/>
    <w:rsid w:val="00641B1E"/>
    <w:rsid w:val="00641B2F"/>
    <w:rsid w:val="00641BB7"/>
    <w:rsid w:val="00641C1C"/>
    <w:rsid w:val="00641C23"/>
    <w:rsid w:val="00641D18"/>
    <w:rsid w:val="00641D3C"/>
    <w:rsid w:val="00641E41"/>
    <w:rsid w:val="00641EED"/>
    <w:rsid w:val="006421B4"/>
    <w:rsid w:val="006421BB"/>
    <w:rsid w:val="006421E8"/>
    <w:rsid w:val="00642310"/>
    <w:rsid w:val="006423AD"/>
    <w:rsid w:val="006423BA"/>
    <w:rsid w:val="006423BC"/>
    <w:rsid w:val="006424ED"/>
    <w:rsid w:val="00642514"/>
    <w:rsid w:val="00642527"/>
    <w:rsid w:val="006425AF"/>
    <w:rsid w:val="0064269A"/>
    <w:rsid w:val="006426FD"/>
    <w:rsid w:val="00642A37"/>
    <w:rsid w:val="00642C6C"/>
    <w:rsid w:val="00642E63"/>
    <w:rsid w:val="00642EE0"/>
    <w:rsid w:val="00642F96"/>
    <w:rsid w:val="0064305A"/>
    <w:rsid w:val="0064307E"/>
    <w:rsid w:val="00643081"/>
    <w:rsid w:val="00643260"/>
    <w:rsid w:val="00643348"/>
    <w:rsid w:val="006433EF"/>
    <w:rsid w:val="0064344B"/>
    <w:rsid w:val="00643517"/>
    <w:rsid w:val="00643584"/>
    <w:rsid w:val="006435F9"/>
    <w:rsid w:val="00643767"/>
    <w:rsid w:val="00643848"/>
    <w:rsid w:val="00643A57"/>
    <w:rsid w:val="00643C3D"/>
    <w:rsid w:val="00643DB1"/>
    <w:rsid w:val="00643E58"/>
    <w:rsid w:val="00643E7E"/>
    <w:rsid w:val="00643E8A"/>
    <w:rsid w:val="00643E92"/>
    <w:rsid w:val="00643F13"/>
    <w:rsid w:val="00643FBB"/>
    <w:rsid w:val="00643FE8"/>
    <w:rsid w:val="00644061"/>
    <w:rsid w:val="006440A0"/>
    <w:rsid w:val="00644231"/>
    <w:rsid w:val="006442DF"/>
    <w:rsid w:val="006443D8"/>
    <w:rsid w:val="00644403"/>
    <w:rsid w:val="00644415"/>
    <w:rsid w:val="006445E3"/>
    <w:rsid w:val="006445F8"/>
    <w:rsid w:val="00644756"/>
    <w:rsid w:val="006448AA"/>
    <w:rsid w:val="006449F5"/>
    <w:rsid w:val="00644A46"/>
    <w:rsid w:val="00644A4A"/>
    <w:rsid w:val="00644B75"/>
    <w:rsid w:val="00644BCE"/>
    <w:rsid w:val="00644E10"/>
    <w:rsid w:val="00644FD6"/>
    <w:rsid w:val="00644FF3"/>
    <w:rsid w:val="00644FFE"/>
    <w:rsid w:val="006451F8"/>
    <w:rsid w:val="00645207"/>
    <w:rsid w:val="0064521D"/>
    <w:rsid w:val="0064522D"/>
    <w:rsid w:val="0064527B"/>
    <w:rsid w:val="0064537E"/>
    <w:rsid w:val="00645476"/>
    <w:rsid w:val="006454E7"/>
    <w:rsid w:val="0064571D"/>
    <w:rsid w:val="0064583A"/>
    <w:rsid w:val="006458C6"/>
    <w:rsid w:val="006458EC"/>
    <w:rsid w:val="00645A2B"/>
    <w:rsid w:val="00645A7D"/>
    <w:rsid w:val="00645B67"/>
    <w:rsid w:val="00645CA0"/>
    <w:rsid w:val="00645CCB"/>
    <w:rsid w:val="00645DE9"/>
    <w:rsid w:val="00646098"/>
    <w:rsid w:val="006460C8"/>
    <w:rsid w:val="006461AD"/>
    <w:rsid w:val="00646311"/>
    <w:rsid w:val="0064640B"/>
    <w:rsid w:val="0064642D"/>
    <w:rsid w:val="0064642E"/>
    <w:rsid w:val="00646483"/>
    <w:rsid w:val="006464AE"/>
    <w:rsid w:val="00646743"/>
    <w:rsid w:val="00646797"/>
    <w:rsid w:val="0064683E"/>
    <w:rsid w:val="00646862"/>
    <w:rsid w:val="0064688F"/>
    <w:rsid w:val="006468C2"/>
    <w:rsid w:val="006468C9"/>
    <w:rsid w:val="00646ACD"/>
    <w:rsid w:val="00646AFB"/>
    <w:rsid w:val="00646B78"/>
    <w:rsid w:val="00646CBD"/>
    <w:rsid w:val="00646CEE"/>
    <w:rsid w:val="00646D4C"/>
    <w:rsid w:val="00646D8F"/>
    <w:rsid w:val="00646F2C"/>
    <w:rsid w:val="00646F3C"/>
    <w:rsid w:val="006470F9"/>
    <w:rsid w:val="00647392"/>
    <w:rsid w:val="00647408"/>
    <w:rsid w:val="00647417"/>
    <w:rsid w:val="006474B1"/>
    <w:rsid w:val="006474D8"/>
    <w:rsid w:val="00647572"/>
    <w:rsid w:val="00647685"/>
    <w:rsid w:val="00647693"/>
    <w:rsid w:val="006477C0"/>
    <w:rsid w:val="00647856"/>
    <w:rsid w:val="0064786D"/>
    <w:rsid w:val="0064789A"/>
    <w:rsid w:val="00647904"/>
    <w:rsid w:val="006479AE"/>
    <w:rsid w:val="00647A1D"/>
    <w:rsid w:val="00647A4C"/>
    <w:rsid w:val="00647B05"/>
    <w:rsid w:val="00647BDD"/>
    <w:rsid w:val="00647CD2"/>
    <w:rsid w:val="00647D13"/>
    <w:rsid w:val="00647DB0"/>
    <w:rsid w:val="00647E51"/>
    <w:rsid w:val="00647E95"/>
    <w:rsid w:val="00647FFE"/>
    <w:rsid w:val="00650085"/>
    <w:rsid w:val="006500F7"/>
    <w:rsid w:val="00650121"/>
    <w:rsid w:val="006501B6"/>
    <w:rsid w:val="006501E2"/>
    <w:rsid w:val="00650301"/>
    <w:rsid w:val="00650310"/>
    <w:rsid w:val="0065031B"/>
    <w:rsid w:val="00650370"/>
    <w:rsid w:val="00650490"/>
    <w:rsid w:val="00650521"/>
    <w:rsid w:val="006505FF"/>
    <w:rsid w:val="00650619"/>
    <w:rsid w:val="0065067F"/>
    <w:rsid w:val="006506BA"/>
    <w:rsid w:val="006507C4"/>
    <w:rsid w:val="0065080B"/>
    <w:rsid w:val="00650A30"/>
    <w:rsid w:val="00650B69"/>
    <w:rsid w:val="00650BA0"/>
    <w:rsid w:val="00650BA7"/>
    <w:rsid w:val="00650CF0"/>
    <w:rsid w:val="00650D6D"/>
    <w:rsid w:val="00650D90"/>
    <w:rsid w:val="00650EB4"/>
    <w:rsid w:val="00650F3F"/>
    <w:rsid w:val="00650F59"/>
    <w:rsid w:val="00650F9C"/>
    <w:rsid w:val="00651170"/>
    <w:rsid w:val="00651185"/>
    <w:rsid w:val="006511CE"/>
    <w:rsid w:val="006511EF"/>
    <w:rsid w:val="00651225"/>
    <w:rsid w:val="00651271"/>
    <w:rsid w:val="006512A3"/>
    <w:rsid w:val="00651336"/>
    <w:rsid w:val="00651475"/>
    <w:rsid w:val="0065149C"/>
    <w:rsid w:val="006514CC"/>
    <w:rsid w:val="006514F4"/>
    <w:rsid w:val="0065167B"/>
    <w:rsid w:val="006516B9"/>
    <w:rsid w:val="006516E6"/>
    <w:rsid w:val="00651720"/>
    <w:rsid w:val="0065174F"/>
    <w:rsid w:val="00651848"/>
    <w:rsid w:val="00651A16"/>
    <w:rsid w:val="00651A27"/>
    <w:rsid w:val="00651ACE"/>
    <w:rsid w:val="00651B9D"/>
    <w:rsid w:val="00651BBC"/>
    <w:rsid w:val="00651BFF"/>
    <w:rsid w:val="00651C1D"/>
    <w:rsid w:val="00651C67"/>
    <w:rsid w:val="00651D74"/>
    <w:rsid w:val="00651E0C"/>
    <w:rsid w:val="00651EE7"/>
    <w:rsid w:val="00651F56"/>
    <w:rsid w:val="0065227E"/>
    <w:rsid w:val="006524EF"/>
    <w:rsid w:val="0065267B"/>
    <w:rsid w:val="006526DE"/>
    <w:rsid w:val="0065270A"/>
    <w:rsid w:val="006529AE"/>
    <w:rsid w:val="00652AD4"/>
    <w:rsid w:val="00652C19"/>
    <w:rsid w:val="00652CB9"/>
    <w:rsid w:val="00652CC4"/>
    <w:rsid w:val="00652D96"/>
    <w:rsid w:val="00652DC0"/>
    <w:rsid w:val="00652EE0"/>
    <w:rsid w:val="00652F05"/>
    <w:rsid w:val="00652F94"/>
    <w:rsid w:val="0065303F"/>
    <w:rsid w:val="0065306E"/>
    <w:rsid w:val="00653105"/>
    <w:rsid w:val="00653109"/>
    <w:rsid w:val="00653335"/>
    <w:rsid w:val="0065334C"/>
    <w:rsid w:val="006534F4"/>
    <w:rsid w:val="00653545"/>
    <w:rsid w:val="006535B1"/>
    <w:rsid w:val="006535F2"/>
    <w:rsid w:val="00653608"/>
    <w:rsid w:val="006536AD"/>
    <w:rsid w:val="006536D3"/>
    <w:rsid w:val="006536E1"/>
    <w:rsid w:val="00653856"/>
    <w:rsid w:val="006538F0"/>
    <w:rsid w:val="0065395B"/>
    <w:rsid w:val="006539A9"/>
    <w:rsid w:val="006539CB"/>
    <w:rsid w:val="006539E3"/>
    <w:rsid w:val="00653AC3"/>
    <w:rsid w:val="00653C1F"/>
    <w:rsid w:val="00653C54"/>
    <w:rsid w:val="00653D4F"/>
    <w:rsid w:val="00653EE4"/>
    <w:rsid w:val="00653F41"/>
    <w:rsid w:val="00653F8E"/>
    <w:rsid w:val="00653FE7"/>
    <w:rsid w:val="006540B2"/>
    <w:rsid w:val="00654142"/>
    <w:rsid w:val="006541E9"/>
    <w:rsid w:val="00654220"/>
    <w:rsid w:val="00654266"/>
    <w:rsid w:val="0065430A"/>
    <w:rsid w:val="00654335"/>
    <w:rsid w:val="00654341"/>
    <w:rsid w:val="0065445B"/>
    <w:rsid w:val="006544A3"/>
    <w:rsid w:val="00654517"/>
    <w:rsid w:val="0065453E"/>
    <w:rsid w:val="00654570"/>
    <w:rsid w:val="006545B1"/>
    <w:rsid w:val="006545CF"/>
    <w:rsid w:val="006545DC"/>
    <w:rsid w:val="006545E3"/>
    <w:rsid w:val="006546FA"/>
    <w:rsid w:val="0065476E"/>
    <w:rsid w:val="00654878"/>
    <w:rsid w:val="006549A2"/>
    <w:rsid w:val="00654B70"/>
    <w:rsid w:val="00654BA0"/>
    <w:rsid w:val="00654BC6"/>
    <w:rsid w:val="00654BFE"/>
    <w:rsid w:val="00654C01"/>
    <w:rsid w:val="00654C3D"/>
    <w:rsid w:val="00654C43"/>
    <w:rsid w:val="00654CC8"/>
    <w:rsid w:val="00654E8C"/>
    <w:rsid w:val="00654EB1"/>
    <w:rsid w:val="00654ED0"/>
    <w:rsid w:val="00654EF4"/>
    <w:rsid w:val="00655050"/>
    <w:rsid w:val="00655124"/>
    <w:rsid w:val="006551AF"/>
    <w:rsid w:val="006551CD"/>
    <w:rsid w:val="006552B8"/>
    <w:rsid w:val="0065531F"/>
    <w:rsid w:val="00655376"/>
    <w:rsid w:val="0065537F"/>
    <w:rsid w:val="00655428"/>
    <w:rsid w:val="00655437"/>
    <w:rsid w:val="00655614"/>
    <w:rsid w:val="00655662"/>
    <w:rsid w:val="00655712"/>
    <w:rsid w:val="0065579D"/>
    <w:rsid w:val="006557C3"/>
    <w:rsid w:val="0065598B"/>
    <w:rsid w:val="006559B7"/>
    <w:rsid w:val="006559DB"/>
    <w:rsid w:val="00655AF3"/>
    <w:rsid w:val="00655B2C"/>
    <w:rsid w:val="00655B9B"/>
    <w:rsid w:val="00655BEA"/>
    <w:rsid w:val="00655CC0"/>
    <w:rsid w:val="00655D28"/>
    <w:rsid w:val="00655D6D"/>
    <w:rsid w:val="00655DDB"/>
    <w:rsid w:val="00655E16"/>
    <w:rsid w:val="00655E6D"/>
    <w:rsid w:val="00655F06"/>
    <w:rsid w:val="00655F44"/>
    <w:rsid w:val="00655FD7"/>
    <w:rsid w:val="00655FE6"/>
    <w:rsid w:val="00656101"/>
    <w:rsid w:val="00656112"/>
    <w:rsid w:val="0065612C"/>
    <w:rsid w:val="0065614C"/>
    <w:rsid w:val="0065619E"/>
    <w:rsid w:val="00656220"/>
    <w:rsid w:val="00656221"/>
    <w:rsid w:val="0065629A"/>
    <w:rsid w:val="00656440"/>
    <w:rsid w:val="006564DE"/>
    <w:rsid w:val="00656503"/>
    <w:rsid w:val="006565D7"/>
    <w:rsid w:val="0065665A"/>
    <w:rsid w:val="00656664"/>
    <w:rsid w:val="00656789"/>
    <w:rsid w:val="006568DE"/>
    <w:rsid w:val="00656A1C"/>
    <w:rsid w:val="00656AE8"/>
    <w:rsid w:val="00656AEA"/>
    <w:rsid w:val="00656B03"/>
    <w:rsid w:val="00656C8E"/>
    <w:rsid w:val="00656CFF"/>
    <w:rsid w:val="00656D4F"/>
    <w:rsid w:val="00656DF5"/>
    <w:rsid w:val="00656EE6"/>
    <w:rsid w:val="00656F9B"/>
    <w:rsid w:val="00657004"/>
    <w:rsid w:val="0065703E"/>
    <w:rsid w:val="00657153"/>
    <w:rsid w:val="006572A3"/>
    <w:rsid w:val="006572F8"/>
    <w:rsid w:val="00657324"/>
    <w:rsid w:val="0065749E"/>
    <w:rsid w:val="0065753F"/>
    <w:rsid w:val="0065757A"/>
    <w:rsid w:val="0065758C"/>
    <w:rsid w:val="00657732"/>
    <w:rsid w:val="00657763"/>
    <w:rsid w:val="006577EE"/>
    <w:rsid w:val="00657838"/>
    <w:rsid w:val="0065788F"/>
    <w:rsid w:val="006578F2"/>
    <w:rsid w:val="0065791A"/>
    <w:rsid w:val="0065791C"/>
    <w:rsid w:val="00657985"/>
    <w:rsid w:val="0065798A"/>
    <w:rsid w:val="00657A15"/>
    <w:rsid w:val="00657A80"/>
    <w:rsid w:val="00657AB3"/>
    <w:rsid w:val="00657AE1"/>
    <w:rsid w:val="00657D2F"/>
    <w:rsid w:val="00657FB3"/>
    <w:rsid w:val="00657FDA"/>
    <w:rsid w:val="0066003D"/>
    <w:rsid w:val="00660100"/>
    <w:rsid w:val="00660111"/>
    <w:rsid w:val="00660268"/>
    <w:rsid w:val="006602DF"/>
    <w:rsid w:val="00660303"/>
    <w:rsid w:val="0066045A"/>
    <w:rsid w:val="006604A4"/>
    <w:rsid w:val="006604C4"/>
    <w:rsid w:val="006605BF"/>
    <w:rsid w:val="00660704"/>
    <w:rsid w:val="006607CC"/>
    <w:rsid w:val="00660849"/>
    <w:rsid w:val="0066086E"/>
    <w:rsid w:val="006609B4"/>
    <w:rsid w:val="006609E8"/>
    <w:rsid w:val="00660A29"/>
    <w:rsid w:val="00660AAC"/>
    <w:rsid w:val="00660B73"/>
    <w:rsid w:val="00660D08"/>
    <w:rsid w:val="00660D3D"/>
    <w:rsid w:val="00660F7C"/>
    <w:rsid w:val="00660FA1"/>
    <w:rsid w:val="00661044"/>
    <w:rsid w:val="006612D7"/>
    <w:rsid w:val="0066136F"/>
    <w:rsid w:val="006613A3"/>
    <w:rsid w:val="006613C2"/>
    <w:rsid w:val="00661436"/>
    <w:rsid w:val="006614AA"/>
    <w:rsid w:val="00661769"/>
    <w:rsid w:val="00661A08"/>
    <w:rsid w:val="00661A86"/>
    <w:rsid w:val="00661B74"/>
    <w:rsid w:val="00661D8A"/>
    <w:rsid w:val="00661DC4"/>
    <w:rsid w:val="00661EC8"/>
    <w:rsid w:val="0066200E"/>
    <w:rsid w:val="0066215A"/>
    <w:rsid w:val="006622C8"/>
    <w:rsid w:val="006622EB"/>
    <w:rsid w:val="00662539"/>
    <w:rsid w:val="00662665"/>
    <w:rsid w:val="0066272A"/>
    <w:rsid w:val="00662AA5"/>
    <w:rsid w:val="00662CCF"/>
    <w:rsid w:val="00662D13"/>
    <w:rsid w:val="00662D97"/>
    <w:rsid w:val="00662E39"/>
    <w:rsid w:val="00662E91"/>
    <w:rsid w:val="00662EC4"/>
    <w:rsid w:val="00662EC7"/>
    <w:rsid w:val="00662EC9"/>
    <w:rsid w:val="00662FC3"/>
    <w:rsid w:val="006630DE"/>
    <w:rsid w:val="00663461"/>
    <w:rsid w:val="00663464"/>
    <w:rsid w:val="00663468"/>
    <w:rsid w:val="006634D0"/>
    <w:rsid w:val="00663761"/>
    <w:rsid w:val="006637AE"/>
    <w:rsid w:val="00663881"/>
    <w:rsid w:val="006638D2"/>
    <w:rsid w:val="0066396E"/>
    <w:rsid w:val="0066397E"/>
    <w:rsid w:val="00663A0A"/>
    <w:rsid w:val="00663A1A"/>
    <w:rsid w:val="00663A23"/>
    <w:rsid w:val="00663A55"/>
    <w:rsid w:val="00663A86"/>
    <w:rsid w:val="00663B2E"/>
    <w:rsid w:val="00663BA4"/>
    <w:rsid w:val="00663E3B"/>
    <w:rsid w:val="00663E68"/>
    <w:rsid w:val="00664028"/>
    <w:rsid w:val="0066404A"/>
    <w:rsid w:val="00664079"/>
    <w:rsid w:val="0066408B"/>
    <w:rsid w:val="006640C4"/>
    <w:rsid w:val="006641AE"/>
    <w:rsid w:val="006641B4"/>
    <w:rsid w:val="0066427B"/>
    <w:rsid w:val="006642BA"/>
    <w:rsid w:val="00664303"/>
    <w:rsid w:val="00664379"/>
    <w:rsid w:val="00664388"/>
    <w:rsid w:val="006643A8"/>
    <w:rsid w:val="006643F2"/>
    <w:rsid w:val="0066449C"/>
    <w:rsid w:val="0066455D"/>
    <w:rsid w:val="0066458B"/>
    <w:rsid w:val="006645A5"/>
    <w:rsid w:val="0066463D"/>
    <w:rsid w:val="0066468C"/>
    <w:rsid w:val="0066471A"/>
    <w:rsid w:val="006647F7"/>
    <w:rsid w:val="00664A4E"/>
    <w:rsid w:val="00664B7A"/>
    <w:rsid w:val="00664C6A"/>
    <w:rsid w:val="00664C6E"/>
    <w:rsid w:val="00664CF1"/>
    <w:rsid w:val="00664E04"/>
    <w:rsid w:val="00664F62"/>
    <w:rsid w:val="006650A8"/>
    <w:rsid w:val="0066515B"/>
    <w:rsid w:val="00665383"/>
    <w:rsid w:val="006653C6"/>
    <w:rsid w:val="0066551A"/>
    <w:rsid w:val="0066555F"/>
    <w:rsid w:val="00665593"/>
    <w:rsid w:val="006655B0"/>
    <w:rsid w:val="006655C6"/>
    <w:rsid w:val="00665742"/>
    <w:rsid w:val="006657E6"/>
    <w:rsid w:val="0066583D"/>
    <w:rsid w:val="0066585D"/>
    <w:rsid w:val="00665942"/>
    <w:rsid w:val="00665953"/>
    <w:rsid w:val="00665973"/>
    <w:rsid w:val="00665AF6"/>
    <w:rsid w:val="00665B91"/>
    <w:rsid w:val="00665BAB"/>
    <w:rsid w:val="00665BC3"/>
    <w:rsid w:val="00665C46"/>
    <w:rsid w:val="00665CA4"/>
    <w:rsid w:val="00665F5F"/>
    <w:rsid w:val="00665FF8"/>
    <w:rsid w:val="00666143"/>
    <w:rsid w:val="0066614F"/>
    <w:rsid w:val="00666150"/>
    <w:rsid w:val="006661D0"/>
    <w:rsid w:val="00666275"/>
    <w:rsid w:val="00666285"/>
    <w:rsid w:val="00666359"/>
    <w:rsid w:val="006663B4"/>
    <w:rsid w:val="006664BE"/>
    <w:rsid w:val="006664C8"/>
    <w:rsid w:val="006664DB"/>
    <w:rsid w:val="00666559"/>
    <w:rsid w:val="006665C9"/>
    <w:rsid w:val="0066662A"/>
    <w:rsid w:val="0066675E"/>
    <w:rsid w:val="0066677F"/>
    <w:rsid w:val="0066678A"/>
    <w:rsid w:val="00666877"/>
    <w:rsid w:val="006669C0"/>
    <w:rsid w:val="00666A7E"/>
    <w:rsid w:val="00666ADA"/>
    <w:rsid w:val="00666B72"/>
    <w:rsid w:val="00666BEE"/>
    <w:rsid w:val="00666C28"/>
    <w:rsid w:val="00666C42"/>
    <w:rsid w:val="00666CCA"/>
    <w:rsid w:val="00666D01"/>
    <w:rsid w:val="00666D08"/>
    <w:rsid w:val="00666E64"/>
    <w:rsid w:val="00666E6E"/>
    <w:rsid w:val="00666EE1"/>
    <w:rsid w:val="00666FA3"/>
    <w:rsid w:val="00667126"/>
    <w:rsid w:val="006671F2"/>
    <w:rsid w:val="0066725E"/>
    <w:rsid w:val="006673B8"/>
    <w:rsid w:val="006673BD"/>
    <w:rsid w:val="0066749E"/>
    <w:rsid w:val="006676A9"/>
    <w:rsid w:val="00667894"/>
    <w:rsid w:val="006678B1"/>
    <w:rsid w:val="006678E6"/>
    <w:rsid w:val="00667981"/>
    <w:rsid w:val="006679CF"/>
    <w:rsid w:val="006679EE"/>
    <w:rsid w:val="00667A57"/>
    <w:rsid w:val="00667B39"/>
    <w:rsid w:val="00667C7D"/>
    <w:rsid w:val="00667DA5"/>
    <w:rsid w:val="00667EAD"/>
    <w:rsid w:val="00667F07"/>
    <w:rsid w:val="00670097"/>
    <w:rsid w:val="006700A1"/>
    <w:rsid w:val="006700BF"/>
    <w:rsid w:val="00670110"/>
    <w:rsid w:val="00670264"/>
    <w:rsid w:val="006702D3"/>
    <w:rsid w:val="00670399"/>
    <w:rsid w:val="006704AE"/>
    <w:rsid w:val="00670558"/>
    <w:rsid w:val="00670680"/>
    <w:rsid w:val="006707B5"/>
    <w:rsid w:val="0067084A"/>
    <w:rsid w:val="006708A0"/>
    <w:rsid w:val="00670945"/>
    <w:rsid w:val="00670A63"/>
    <w:rsid w:val="00670A75"/>
    <w:rsid w:val="00670B22"/>
    <w:rsid w:val="00670B29"/>
    <w:rsid w:val="00670B68"/>
    <w:rsid w:val="00670BEE"/>
    <w:rsid w:val="00670C71"/>
    <w:rsid w:val="00670C89"/>
    <w:rsid w:val="00670D29"/>
    <w:rsid w:val="00670D2E"/>
    <w:rsid w:val="00670D45"/>
    <w:rsid w:val="00670E97"/>
    <w:rsid w:val="00670FE7"/>
    <w:rsid w:val="006710C1"/>
    <w:rsid w:val="006710CA"/>
    <w:rsid w:val="00671134"/>
    <w:rsid w:val="006712E7"/>
    <w:rsid w:val="006712F9"/>
    <w:rsid w:val="00671313"/>
    <w:rsid w:val="0067139D"/>
    <w:rsid w:val="0067152C"/>
    <w:rsid w:val="00671556"/>
    <w:rsid w:val="00671579"/>
    <w:rsid w:val="006715CB"/>
    <w:rsid w:val="00671678"/>
    <w:rsid w:val="00671865"/>
    <w:rsid w:val="00671874"/>
    <w:rsid w:val="006718F0"/>
    <w:rsid w:val="00671AA7"/>
    <w:rsid w:val="00671AC7"/>
    <w:rsid w:val="00671ADE"/>
    <w:rsid w:val="00671B2E"/>
    <w:rsid w:val="00671B5D"/>
    <w:rsid w:val="00671BB2"/>
    <w:rsid w:val="00671BBC"/>
    <w:rsid w:val="00671D25"/>
    <w:rsid w:val="00671DF4"/>
    <w:rsid w:val="00671EFC"/>
    <w:rsid w:val="00671F70"/>
    <w:rsid w:val="00671FE6"/>
    <w:rsid w:val="00672000"/>
    <w:rsid w:val="0067210E"/>
    <w:rsid w:val="0067212A"/>
    <w:rsid w:val="00672178"/>
    <w:rsid w:val="0067222F"/>
    <w:rsid w:val="00672246"/>
    <w:rsid w:val="00672400"/>
    <w:rsid w:val="0067241F"/>
    <w:rsid w:val="0067249D"/>
    <w:rsid w:val="006724C5"/>
    <w:rsid w:val="0067251A"/>
    <w:rsid w:val="006725A8"/>
    <w:rsid w:val="006725E3"/>
    <w:rsid w:val="00672685"/>
    <w:rsid w:val="006726CF"/>
    <w:rsid w:val="006728D7"/>
    <w:rsid w:val="0067299C"/>
    <w:rsid w:val="006729A7"/>
    <w:rsid w:val="00672AA4"/>
    <w:rsid w:val="00672ADC"/>
    <w:rsid w:val="00672B73"/>
    <w:rsid w:val="00672BCB"/>
    <w:rsid w:val="00672D80"/>
    <w:rsid w:val="00672DA2"/>
    <w:rsid w:val="00672DFE"/>
    <w:rsid w:val="00672E01"/>
    <w:rsid w:val="00672E05"/>
    <w:rsid w:val="00672E37"/>
    <w:rsid w:val="00672EC3"/>
    <w:rsid w:val="006732FE"/>
    <w:rsid w:val="006734F5"/>
    <w:rsid w:val="0067355A"/>
    <w:rsid w:val="0067366A"/>
    <w:rsid w:val="006736F2"/>
    <w:rsid w:val="0067372C"/>
    <w:rsid w:val="006737C9"/>
    <w:rsid w:val="00673824"/>
    <w:rsid w:val="006738B0"/>
    <w:rsid w:val="006738D9"/>
    <w:rsid w:val="00673B7D"/>
    <w:rsid w:val="00673BB4"/>
    <w:rsid w:val="00673BD4"/>
    <w:rsid w:val="00673C2D"/>
    <w:rsid w:val="00673C7E"/>
    <w:rsid w:val="00673D25"/>
    <w:rsid w:val="00673F57"/>
    <w:rsid w:val="00673F7F"/>
    <w:rsid w:val="0067415B"/>
    <w:rsid w:val="006741A8"/>
    <w:rsid w:val="00674238"/>
    <w:rsid w:val="00674687"/>
    <w:rsid w:val="006746DC"/>
    <w:rsid w:val="00674773"/>
    <w:rsid w:val="00674C25"/>
    <w:rsid w:val="00674E25"/>
    <w:rsid w:val="00674E64"/>
    <w:rsid w:val="0067518D"/>
    <w:rsid w:val="006751EB"/>
    <w:rsid w:val="00675276"/>
    <w:rsid w:val="006752AC"/>
    <w:rsid w:val="006752EB"/>
    <w:rsid w:val="006752FA"/>
    <w:rsid w:val="00675445"/>
    <w:rsid w:val="0067547B"/>
    <w:rsid w:val="00675487"/>
    <w:rsid w:val="006755E2"/>
    <w:rsid w:val="006757DF"/>
    <w:rsid w:val="00675876"/>
    <w:rsid w:val="0067591D"/>
    <w:rsid w:val="006759DD"/>
    <w:rsid w:val="00675B6B"/>
    <w:rsid w:val="00675DC1"/>
    <w:rsid w:val="00675DCD"/>
    <w:rsid w:val="00675DFB"/>
    <w:rsid w:val="00675E48"/>
    <w:rsid w:val="00675F41"/>
    <w:rsid w:val="00675FFC"/>
    <w:rsid w:val="00676070"/>
    <w:rsid w:val="0067610E"/>
    <w:rsid w:val="006761FA"/>
    <w:rsid w:val="00676242"/>
    <w:rsid w:val="0067629E"/>
    <w:rsid w:val="006762F9"/>
    <w:rsid w:val="0067633E"/>
    <w:rsid w:val="006763E8"/>
    <w:rsid w:val="00676685"/>
    <w:rsid w:val="0067673C"/>
    <w:rsid w:val="0067679E"/>
    <w:rsid w:val="006768AA"/>
    <w:rsid w:val="00676A47"/>
    <w:rsid w:val="00676AD8"/>
    <w:rsid w:val="00676B5E"/>
    <w:rsid w:val="00676C3D"/>
    <w:rsid w:val="00676CCD"/>
    <w:rsid w:val="00676F96"/>
    <w:rsid w:val="0067702D"/>
    <w:rsid w:val="0067703F"/>
    <w:rsid w:val="0067707C"/>
    <w:rsid w:val="006771CB"/>
    <w:rsid w:val="00677206"/>
    <w:rsid w:val="006772C7"/>
    <w:rsid w:val="00677380"/>
    <w:rsid w:val="006773D4"/>
    <w:rsid w:val="00677430"/>
    <w:rsid w:val="00677453"/>
    <w:rsid w:val="00677523"/>
    <w:rsid w:val="00677549"/>
    <w:rsid w:val="00677554"/>
    <w:rsid w:val="00677571"/>
    <w:rsid w:val="00677601"/>
    <w:rsid w:val="00677608"/>
    <w:rsid w:val="00677719"/>
    <w:rsid w:val="00677737"/>
    <w:rsid w:val="00677749"/>
    <w:rsid w:val="006777C5"/>
    <w:rsid w:val="006777D4"/>
    <w:rsid w:val="006777EC"/>
    <w:rsid w:val="0067786E"/>
    <w:rsid w:val="0067799B"/>
    <w:rsid w:val="006779E1"/>
    <w:rsid w:val="00677AC2"/>
    <w:rsid w:val="00677B39"/>
    <w:rsid w:val="00677B46"/>
    <w:rsid w:val="00677C0B"/>
    <w:rsid w:val="00677C2E"/>
    <w:rsid w:val="00677C53"/>
    <w:rsid w:val="00677C73"/>
    <w:rsid w:val="00677CC3"/>
    <w:rsid w:val="00677D89"/>
    <w:rsid w:val="00677DC8"/>
    <w:rsid w:val="00677E37"/>
    <w:rsid w:val="00677E61"/>
    <w:rsid w:val="00677E75"/>
    <w:rsid w:val="00677EAA"/>
    <w:rsid w:val="00677FD2"/>
    <w:rsid w:val="00680075"/>
    <w:rsid w:val="006800C0"/>
    <w:rsid w:val="006801A5"/>
    <w:rsid w:val="00680450"/>
    <w:rsid w:val="006804E1"/>
    <w:rsid w:val="0068054A"/>
    <w:rsid w:val="0068056F"/>
    <w:rsid w:val="00680610"/>
    <w:rsid w:val="0068067A"/>
    <w:rsid w:val="006806BF"/>
    <w:rsid w:val="006806F8"/>
    <w:rsid w:val="00680753"/>
    <w:rsid w:val="006807C2"/>
    <w:rsid w:val="00680894"/>
    <w:rsid w:val="00680A84"/>
    <w:rsid w:val="00680A8D"/>
    <w:rsid w:val="00680CA8"/>
    <w:rsid w:val="00680D2B"/>
    <w:rsid w:val="00680D8F"/>
    <w:rsid w:val="00680DF8"/>
    <w:rsid w:val="00680F29"/>
    <w:rsid w:val="00680F35"/>
    <w:rsid w:val="00680F69"/>
    <w:rsid w:val="00680F76"/>
    <w:rsid w:val="00680FA0"/>
    <w:rsid w:val="0068104D"/>
    <w:rsid w:val="006811FD"/>
    <w:rsid w:val="00681228"/>
    <w:rsid w:val="006812F6"/>
    <w:rsid w:val="00681372"/>
    <w:rsid w:val="00681417"/>
    <w:rsid w:val="006814D3"/>
    <w:rsid w:val="006814D6"/>
    <w:rsid w:val="006814D8"/>
    <w:rsid w:val="0068165D"/>
    <w:rsid w:val="00681676"/>
    <w:rsid w:val="00681A61"/>
    <w:rsid w:val="00681AF0"/>
    <w:rsid w:val="00681BBC"/>
    <w:rsid w:val="00681EB8"/>
    <w:rsid w:val="00681EF8"/>
    <w:rsid w:val="00681F4E"/>
    <w:rsid w:val="00681FD0"/>
    <w:rsid w:val="00682007"/>
    <w:rsid w:val="0068221E"/>
    <w:rsid w:val="006825B4"/>
    <w:rsid w:val="00682718"/>
    <w:rsid w:val="00682826"/>
    <w:rsid w:val="00682852"/>
    <w:rsid w:val="00682858"/>
    <w:rsid w:val="006828D0"/>
    <w:rsid w:val="006828E1"/>
    <w:rsid w:val="0068293A"/>
    <w:rsid w:val="0068295D"/>
    <w:rsid w:val="006829AE"/>
    <w:rsid w:val="00682C29"/>
    <w:rsid w:val="00682EF2"/>
    <w:rsid w:val="00682F8A"/>
    <w:rsid w:val="00683053"/>
    <w:rsid w:val="006830E5"/>
    <w:rsid w:val="0068310E"/>
    <w:rsid w:val="0068325F"/>
    <w:rsid w:val="00683264"/>
    <w:rsid w:val="00683281"/>
    <w:rsid w:val="0068336C"/>
    <w:rsid w:val="00683383"/>
    <w:rsid w:val="00683389"/>
    <w:rsid w:val="00683443"/>
    <w:rsid w:val="006836EF"/>
    <w:rsid w:val="0068372D"/>
    <w:rsid w:val="00683796"/>
    <w:rsid w:val="006838EF"/>
    <w:rsid w:val="00683912"/>
    <w:rsid w:val="00683980"/>
    <w:rsid w:val="00683B02"/>
    <w:rsid w:val="00683BE0"/>
    <w:rsid w:val="00683CEF"/>
    <w:rsid w:val="00683D4B"/>
    <w:rsid w:val="00683E70"/>
    <w:rsid w:val="00683EAF"/>
    <w:rsid w:val="00683EE1"/>
    <w:rsid w:val="00683F1F"/>
    <w:rsid w:val="00683FDC"/>
    <w:rsid w:val="0068404C"/>
    <w:rsid w:val="00684086"/>
    <w:rsid w:val="00684491"/>
    <w:rsid w:val="006844E4"/>
    <w:rsid w:val="006845A9"/>
    <w:rsid w:val="0068463F"/>
    <w:rsid w:val="0068465E"/>
    <w:rsid w:val="00684717"/>
    <w:rsid w:val="006847D5"/>
    <w:rsid w:val="006847D8"/>
    <w:rsid w:val="0068483B"/>
    <w:rsid w:val="0068484D"/>
    <w:rsid w:val="00684892"/>
    <w:rsid w:val="00684971"/>
    <w:rsid w:val="006849D6"/>
    <w:rsid w:val="00684A8D"/>
    <w:rsid w:val="00684BBA"/>
    <w:rsid w:val="00684BC9"/>
    <w:rsid w:val="00684E5D"/>
    <w:rsid w:val="00684EF3"/>
    <w:rsid w:val="00684F51"/>
    <w:rsid w:val="0068509B"/>
    <w:rsid w:val="00685242"/>
    <w:rsid w:val="006852C7"/>
    <w:rsid w:val="0068537F"/>
    <w:rsid w:val="006853BC"/>
    <w:rsid w:val="006853E0"/>
    <w:rsid w:val="0068553B"/>
    <w:rsid w:val="0068564A"/>
    <w:rsid w:val="00685840"/>
    <w:rsid w:val="00685851"/>
    <w:rsid w:val="0068588E"/>
    <w:rsid w:val="00685898"/>
    <w:rsid w:val="00685962"/>
    <w:rsid w:val="00685A3D"/>
    <w:rsid w:val="00685BED"/>
    <w:rsid w:val="00685C61"/>
    <w:rsid w:val="00685E66"/>
    <w:rsid w:val="00685EAA"/>
    <w:rsid w:val="00685EBA"/>
    <w:rsid w:val="00685ECA"/>
    <w:rsid w:val="00685F1C"/>
    <w:rsid w:val="00685FE9"/>
    <w:rsid w:val="00686030"/>
    <w:rsid w:val="0068604D"/>
    <w:rsid w:val="00686099"/>
    <w:rsid w:val="006860E2"/>
    <w:rsid w:val="006860FE"/>
    <w:rsid w:val="006861D5"/>
    <w:rsid w:val="006861DD"/>
    <w:rsid w:val="006861FC"/>
    <w:rsid w:val="00686260"/>
    <w:rsid w:val="00686295"/>
    <w:rsid w:val="006863D3"/>
    <w:rsid w:val="006863F7"/>
    <w:rsid w:val="00686475"/>
    <w:rsid w:val="00686480"/>
    <w:rsid w:val="006865C2"/>
    <w:rsid w:val="006865ED"/>
    <w:rsid w:val="00686761"/>
    <w:rsid w:val="00686771"/>
    <w:rsid w:val="00686877"/>
    <w:rsid w:val="00686A26"/>
    <w:rsid w:val="00686A5B"/>
    <w:rsid w:val="00686B96"/>
    <w:rsid w:val="00686CD8"/>
    <w:rsid w:val="00686D25"/>
    <w:rsid w:val="00686D34"/>
    <w:rsid w:val="00686E5D"/>
    <w:rsid w:val="00686E69"/>
    <w:rsid w:val="00686E8E"/>
    <w:rsid w:val="00686F23"/>
    <w:rsid w:val="0068702C"/>
    <w:rsid w:val="0068707C"/>
    <w:rsid w:val="00687113"/>
    <w:rsid w:val="0068713F"/>
    <w:rsid w:val="006871C5"/>
    <w:rsid w:val="00687273"/>
    <w:rsid w:val="006873DC"/>
    <w:rsid w:val="006874C6"/>
    <w:rsid w:val="006874CF"/>
    <w:rsid w:val="006875B5"/>
    <w:rsid w:val="006877A4"/>
    <w:rsid w:val="00687829"/>
    <w:rsid w:val="0068789D"/>
    <w:rsid w:val="006878B1"/>
    <w:rsid w:val="00687B32"/>
    <w:rsid w:val="00687B4B"/>
    <w:rsid w:val="00687C94"/>
    <w:rsid w:val="00687D4A"/>
    <w:rsid w:val="00687DF8"/>
    <w:rsid w:val="00687E2B"/>
    <w:rsid w:val="00687E6C"/>
    <w:rsid w:val="00687E70"/>
    <w:rsid w:val="00687F6B"/>
    <w:rsid w:val="00687F79"/>
    <w:rsid w:val="00690209"/>
    <w:rsid w:val="0069020B"/>
    <w:rsid w:val="00690230"/>
    <w:rsid w:val="0069042E"/>
    <w:rsid w:val="00690466"/>
    <w:rsid w:val="0069064A"/>
    <w:rsid w:val="0069064B"/>
    <w:rsid w:val="0069065E"/>
    <w:rsid w:val="00690673"/>
    <w:rsid w:val="00690761"/>
    <w:rsid w:val="0069080A"/>
    <w:rsid w:val="0069094B"/>
    <w:rsid w:val="00690965"/>
    <w:rsid w:val="00690989"/>
    <w:rsid w:val="00690A70"/>
    <w:rsid w:val="00690ACA"/>
    <w:rsid w:val="00690B3B"/>
    <w:rsid w:val="00690CAA"/>
    <w:rsid w:val="00690D64"/>
    <w:rsid w:val="00690EBD"/>
    <w:rsid w:val="00690F23"/>
    <w:rsid w:val="00690F41"/>
    <w:rsid w:val="0069105E"/>
    <w:rsid w:val="00691066"/>
    <w:rsid w:val="006911EA"/>
    <w:rsid w:val="006912D3"/>
    <w:rsid w:val="00691446"/>
    <w:rsid w:val="00691485"/>
    <w:rsid w:val="00691638"/>
    <w:rsid w:val="0069163E"/>
    <w:rsid w:val="006916FA"/>
    <w:rsid w:val="00691843"/>
    <w:rsid w:val="006918F5"/>
    <w:rsid w:val="00691917"/>
    <w:rsid w:val="00691982"/>
    <w:rsid w:val="00691A09"/>
    <w:rsid w:val="00691AD7"/>
    <w:rsid w:val="00691B24"/>
    <w:rsid w:val="00691B4F"/>
    <w:rsid w:val="00691C62"/>
    <w:rsid w:val="00691D76"/>
    <w:rsid w:val="00691E25"/>
    <w:rsid w:val="00691F4B"/>
    <w:rsid w:val="00691F6F"/>
    <w:rsid w:val="00691F75"/>
    <w:rsid w:val="00691FCF"/>
    <w:rsid w:val="00692106"/>
    <w:rsid w:val="00692129"/>
    <w:rsid w:val="00692213"/>
    <w:rsid w:val="00692352"/>
    <w:rsid w:val="00692444"/>
    <w:rsid w:val="00692448"/>
    <w:rsid w:val="0069246B"/>
    <w:rsid w:val="0069247D"/>
    <w:rsid w:val="006924DB"/>
    <w:rsid w:val="00692650"/>
    <w:rsid w:val="0069269E"/>
    <w:rsid w:val="006926F1"/>
    <w:rsid w:val="00692729"/>
    <w:rsid w:val="00692766"/>
    <w:rsid w:val="006928FE"/>
    <w:rsid w:val="00692A65"/>
    <w:rsid w:val="00692ABD"/>
    <w:rsid w:val="00692AD9"/>
    <w:rsid w:val="00692B22"/>
    <w:rsid w:val="00692C29"/>
    <w:rsid w:val="00692CF1"/>
    <w:rsid w:val="00692D30"/>
    <w:rsid w:val="00692E45"/>
    <w:rsid w:val="00692E51"/>
    <w:rsid w:val="00692F92"/>
    <w:rsid w:val="00692FEA"/>
    <w:rsid w:val="00693025"/>
    <w:rsid w:val="00693035"/>
    <w:rsid w:val="0069307D"/>
    <w:rsid w:val="006930BD"/>
    <w:rsid w:val="0069319A"/>
    <w:rsid w:val="006932B8"/>
    <w:rsid w:val="00693361"/>
    <w:rsid w:val="00693469"/>
    <w:rsid w:val="00693509"/>
    <w:rsid w:val="006935DC"/>
    <w:rsid w:val="006935EF"/>
    <w:rsid w:val="00693752"/>
    <w:rsid w:val="006938A8"/>
    <w:rsid w:val="0069399C"/>
    <w:rsid w:val="006939A6"/>
    <w:rsid w:val="00693A55"/>
    <w:rsid w:val="00693C7D"/>
    <w:rsid w:val="00693D4A"/>
    <w:rsid w:val="00693D63"/>
    <w:rsid w:val="00693DC9"/>
    <w:rsid w:val="00693E71"/>
    <w:rsid w:val="00693ECA"/>
    <w:rsid w:val="00693ECB"/>
    <w:rsid w:val="00693F1B"/>
    <w:rsid w:val="00694028"/>
    <w:rsid w:val="006940CF"/>
    <w:rsid w:val="00694170"/>
    <w:rsid w:val="0069430E"/>
    <w:rsid w:val="006944E4"/>
    <w:rsid w:val="00694587"/>
    <w:rsid w:val="006946E0"/>
    <w:rsid w:val="00694715"/>
    <w:rsid w:val="00694750"/>
    <w:rsid w:val="00694802"/>
    <w:rsid w:val="006948E0"/>
    <w:rsid w:val="00694970"/>
    <w:rsid w:val="00694A0E"/>
    <w:rsid w:val="00694A53"/>
    <w:rsid w:val="00694CE2"/>
    <w:rsid w:val="00694E0D"/>
    <w:rsid w:val="00694E55"/>
    <w:rsid w:val="00694E5A"/>
    <w:rsid w:val="00694E75"/>
    <w:rsid w:val="00694F55"/>
    <w:rsid w:val="00694F63"/>
    <w:rsid w:val="00694FC7"/>
    <w:rsid w:val="006950FD"/>
    <w:rsid w:val="00695221"/>
    <w:rsid w:val="006952E3"/>
    <w:rsid w:val="00695348"/>
    <w:rsid w:val="0069538F"/>
    <w:rsid w:val="00695394"/>
    <w:rsid w:val="0069542A"/>
    <w:rsid w:val="0069542B"/>
    <w:rsid w:val="00695436"/>
    <w:rsid w:val="0069549D"/>
    <w:rsid w:val="006954F3"/>
    <w:rsid w:val="00695500"/>
    <w:rsid w:val="006955EB"/>
    <w:rsid w:val="006956A5"/>
    <w:rsid w:val="006956B7"/>
    <w:rsid w:val="00695823"/>
    <w:rsid w:val="0069582E"/>
    <w:rsid w:val="00695831"/>
    <w:rsid w:val="0069585D"/>
    <w:rsid w:val="0069588D"/>
    <w:rsid w:val="006958C8"/>
    <w:rsid w:val="00695A52"/>
    <w:rsid w:val="00695A96"/>
    <w:rsid w:val="00695AB8"/>
    <w:rsid w:val="00695AC3"/>
    <w:rsid w:val="00695AE7"/>
    <w:rsid w:val="00695AF4"/>
    <w:rsid w:val="00695E78"/>
    <w:rsid w:val="006960A3"/>
    <w:rsid w:val="006960EC"/>
    <w:rsid w:val="006961FA"/>
    <w:rsid w:val="006962E9"/>
    <w:rsid w:val="00696344"/>
    <w:rsid w:val="0069639B"/>
    <w:rsid w:val="006964BA"/>
    <w:rsid w:val="006964BE"/>
    <w:rsid w:val="00696515"/>
    <w:rsid w:val="00696540"/>
    <w:rsid w:val="006965A3"/>
    <w:rsid w:val="006965CE"/>
    <w:rsid w:val="0069668B"/>
    <w:rsid w:val="00696793"/>
    <w:rsid w:val="00696A4F"/>
    <w:rsid w:val="00696AA0"/>
    <w:rsid w:val="00696BE3"/>
    <w:rsid w:val="00696D1E"/>
    <w:rsid w:val="00696D9A"/>
    <w:rsid w:val="00696DDF"/>
    <w:rsid w:val="00696F22"/>
    <w:rsid w:val="00696FF8"/>
    <w:rsid w:val="006970C9"/>
    <w:rsid w:val="006970F6"/>
    <w:rsid w:val="006971DD"/>
    <w:rsid w:val="00697281"/>
    <w:rsid w:val="006972B5"/>
    <w:rsid w:val="006973E4"/>
    <w:rsid w:val="00697465"/>
    <w:rsid w:val="00697521"/>
    <w:rsid w:val="00697540"/>
    <w:rsid w:val="00697546"/>
    <w:rsid w:val="00697736"/>
    <w:rsid w:val="0069783F"/>
    <w:rsid w:val="006978F2"/>
    <w:rsid w:val="0069794A"/>
    <w:rsid w:val="00697971"/>
    <w:rsid w:val="00697998"/>
    <w:rsid w:val="00697AB9"/>
    <w:rsid w:val="00697B77"/>
    <w:rsid w:val="00697C17"/>
    <w:rsid w:val="00697C9D"/>
    <w:rsid w:val="00697D19"/>
    <w:rsid w:val="00697E91"/>
    <w:rsid w:val="00697EAE"/>
    <w:rsid w:val="00697F02"/>
    <w:rsid w:val="006A02B4"/>
    <w:rsid w:val="006A02C4"/>
    <w:rsid w:val="006A04F1"/>
    <w:rsid w:val="006A062B"/>
    <w:rsid w:val="006A0717"/>
    <w:rsid w:val="006A0A3E"/>
    <w:rsid w:val="006A0A79"/>
    <w:rsid w:val="006A0AC7"/>
    <w:rsid w:val="006A0B11"/>
    <w:rsid w:val="006A0B29"/>
    <w:rsid w:val="006A0C64"/>
    <w:rsid w:val="006A0D55"/>
    <w:rsid w:val="006A0D98"/>
    <w:rsid w:val="006A0DAE"/>
    <w:rsid w:val="006A0E5C"/>
    <w:rsid w:val="006A0EE2"/>
    <w:rsid w:val="006A0F16"/>
    <w:rsid w:val="006A0F1F"/>
    <w:rsid w:val="006A0FD5"/>
    <w:rsid w:val="006A10BA"/>
    <w:rsid w:val="006A115F"/>
    <w:rsid w:val="006A14D0"/>
    <w:rsid w:val="006A15CE"/>
    <w:rsid w:val="006A1649"/>
    <w:rsid w:val="006A1670"/>
    <w:rsid w:val="006A16D3"/>
    <w:rsid w:val="006A1755"/>
    <w:rsid w:val="006A1844"/>
    <w:rsid w:val="006A1883"/>
    <w:rsid w:val="006A18C6"/>
    <w:rsid w:val="006A1904"/>
    <w:rsid w:val="006A190D"/>
    <w:rsid w:val="006A199E"/>
    <w:rsid w:val="006A19D1"/>
    <w:rsid w:val="006A1A3E"/>
    <w:rsid w:val="006A1A73"/>
    <w:rsid w:val="006A1B5A"/>
    <w:rsid w:val="006A1BDA"/>
    <w:rsid w:val="006A1C4E"/>
    <w:rsid w:val="006A1CF2"/>
    <w:rsid w:val="006A1D7A"/>
    <w:rsid w:val="006A1DA0"/>
    <w:rsid w:val="006A200C"/>
    <w:rsid w:val="006A2091"/>
    <w:rsid w:val="006A2150"/>
    <w:rsid w:val="006A21B3"/>
    <w:rsid w:val="006A21E5"/>
    <w:rsid w:val="006A22F8"/>
    <w:rsid w:val="006A242F"/>
    <w:rsid w:val="006A25A2"/>
    <w:rsid w:val="006A25D8"/>
    <w:rsid w:val="006A27C5"/>
    <w:rsid w:val="006A2889"/>
    <w:rsid w:val="006A291D"/>
    <w:rsid w:val="006A295B"/>
    <w:rsid w:val="006A2981"/>
    <w:rsid w:val="006A2B4E"/>
    <w:rsid w:val="006A2B5C"/>
    <w:rsid w:val="006A2BAE"/>
    <w:rsid w:val="006A2BDD"/>
    <w:rsid w:val="006A2D6E"/>
    <w:rsid w:val="006A2DF4"/>
    <w:rsid w:val="006A2E1C"/>
    <w:rsid w:val="006A2E36"/>
    <w:rsid w:val="006A2E52"/>
    <w:rsid w:val="006A2E5B"/>
    <w:rsid w:val="006A2FAD"/>
    <w:rsid w:val="006A3020"/>
    <w:rsid w:val="006A304B"/>
    <w:rsid w:val="006A3227"/>
    <w:rsid w:val="006A32E4"/>
    <w:rsid w:val="006A32E8"/>
    <w:rsid w:val="006A34B4"/>
    <w:rsid w:val="006A34CE"/>
    <w:rsid w:val="006A34EC"/>
    <w:rsid w:val="006A3604"/>
    <w:rsid w:val="006A3610"/>
    <w:rsid w:val="006A36C6"/>
    <w:rsid w:val="006A3806"/>
    <w:rsid w:val="006A381C"/>
    <w:rsid w:val="006A387B"/>
    <w:rsid w:val="006A38A9"/>
    <w:rsid w:val="006A38B2"/>
    <w:rsid w:val="006A3A04"/>
    <w:rsid w:val="006A3C5B"/>
    <w:rsid w:val="006A3CA1"/>
    <w:rsid w:val="006A3D18"/>
    <w:rsid w:val="006A4187"/>
    <w:rsid w:val="006A4316"/>
    <w:rsid w:val="006A43BB"/>
    <w:rsid w:val="006A4416"/>
    <w:rsid w:val="006A4452"/>
    <w:rsid w:val="006A451E"/>
    <w:rsid w:val="006A4681"/>
    <w:rsid w:val="006A46E9"/>
    <w:rsid w:val="006A47BE"/>
    <w:rsid w:val="006A47D1"/>
    <w:rsid w:val="006A4886"/>
    <w:rsid w:val="006A48D3"/>
    <w:rsid w:val="006A4989"/>
    <w:rsid w:val="006A49B2"/>
    <w:rsid w:val="006A4A3A"/>
    <w:rsid w:val="006A4AAA"/>
    <w:rsid w:val="006A4C06"/>
    <w:rsid w:val="006A4C7F"/>
    <w:rsid w:val="006A4DD4"/>
    <w:rsid w:val="006A4E7D"/>
    <w:rsid w:val="006A504F"/>
    <w:rsid w:val="006A5063"/>
    <w:rsid w:val="006A538F"/>
    <w:rsid w:val="006A551F"/>
    <w:rsid w:val="006A55CA"/>
    <w:rsid w:val="006A55F2"/>
    <w:rsid w:val="006A5881"/>
    <w:rsid w:val="006A58FA"/>
    <w:rsid w:val="006A5905"/>
    <w:rsid w:val="006A5950"/>
    <w:rsid w:val="006A5A7D"/>
    <w:rsid w:val="006A5B8A"/>
    <w:rsid w:val="006A5C33"/>
    <w:rsid w:val="006A5D2E"/>
    <w:rsid w:val="006A5D3D"/>
    <w:rsid w:val="006A5D9C"/>
    <w:rsid w:val="006A5EA1"/>
    <w:rsid w:val="006A5F02"/>
    <w:rsid w:val="006A5F31"/>
    <w:rsid w:val="006A6088"/>
    <w:rsid w:val="006A60DE"/>
    <w:rsid w:val="006A60EE"/>
    <w:rsid w:val="006A60F2"/>
    <w:rsid w:val="006A61E1"/>
    <w:rsid w:val="006A623F"/>
    <w:rsid w:val="006A62D7"/>
    <w:rsid w:val="006A66DA"/>
    <w:rsid w:val="006A670B"/>
    <w:rsid w:val="006A6843"/>
    <w:rsid w:val="006A68A3"/>
    <w:rsid w:val="006A6994"/>
    <w:rsid w:val="006A6996"/>
    <w:rsid w:val="006A69AE"/>
    <w:rsid w:val="006A6ABD"/>
    <w:rsid w:val="006A6B48"/>
    <w:rsid w:val="006A6B98"/>
    <w:rsid w:val="006A6BB5"/>
    <w:rsid w:val="006A6DA0"/>
    <w:rsid w:val="006A6EA1"/>
    <w:rsid w:val="006A6EAB"/>
    <w:rsid w:val="006A6ECD"/>
    <w:rsid w:val="006A6F16"/>
    <w:rsid w:val="006A6F86"/>
    <w:rsid w:val="006A6F92"/>
    <w:rsid w:val="006A6FAF"/>
    <w:rsid w:val="006A7175"/>
    <w:rsid w:val="006A72CC"/>
    <w:rsid w:val="006A74BA"/>
    <w:rsid w:val="006A755F"/>
    <w:rsid w:val="006A7592"/>
    <w:rsid w:val="006A759B"/>
    <w:rsid w:val="006A75D7"/>
    <w:rsid w:val="006A76DE"/>
    <w:rsid w:val="006A788B"/>
    <w:rsid w:val="006A7913"/>
    <w:rsid w:val="006A7C26"/>
    <w:rsid w:val="006A7C2F"/>
    <w:rsid w:val="006A7D4D"/>
    <w:rsid w:val="006A7D8C"/>
    <w:rsid w:val="006A7EA0"/>
    <w:rsid w:val="006B013C"/>
    <w:rsid w:val="006B033C"/>
    <w:rsid w:val="006B039C"/>
    <w:rsid w:val="006B03D8"/>
    <w:rsid w:val="006B03F3"/>
    <w:rsid w:val="006B0488"/>
    <w:rsid w:val="006B04D7"/>
    <w:rsid w:val="006B0597"/>
    <w:rsid w:val="006B05AD"/>
    <w:rsid w:val="006B06ED"/>
    <w:rsid w:val="006B0705"/>
    <w:rsid w:val="006B0730"/>
    <w:rsid w:val="006B0740"/>
    <w:rsid w:val="006B087A"/>
    <w:rsid w:val="006B08A7"/>
    <w:rsid w:val="006B0929"/>
    <w:rsid w:val="006B0983"/>
    <w:rsid w:val="006B0B54"/>
    <w:rsid w:val="006B0BBA"/>
    <w:rsid w:val="006B0D2A"/>
    <w:rsid w:val="006B0E37"/>
    <w:rsid w:val="006B0ECE"/>
    <w:rsid w:val="006B115F"/>
    <w:rsid w:val="006B147A"/>
    <w:rsid w:val="006B1490"/>
    <w:rsid w:val="006B1616"/>
    <w:rsid w:val="006B1667"/>
    <w:rsid w:val="006B1681"/>
    <w:rsid w:val="006B169D"/>
    <w:rsid w:val="006B184B"/>
    <w:rsid w:val="006B1868"/>
    <w:rsid w:val="006B1883"/>
    <w:rsid w:val="006B1931"/>
    <w:rsid w:val="006B196C"/>
    <w:rsid w:val="006B1B35"/>
    <w:rsid w:val="006B1B4F"/>
    <w:rsid w:val="006B1C5C"/>
    <w:rsid w:val="006B1CD0"/>
    <w:rsid w:val="006B1D35"/>
    <w:rsid w:val="006B1D83"/>
    <w:rsid w:val="006B1DE9"/>
    <w:rsid w:val="006B1ED5"/>
    <w:rsid w:val="006B1EE0"/>
    <w:rsid w:val="006B2038"/>
    <w:rsid w:val="006B2061"/>
    <w:rsid w:val="006B2080"/>
    <w:rsid w:val="006B211B"/>
    <w:rsid w:val="006B2154"/>
    <w:rsid w:val="006B226B"/>
    <w:rsid w:val="006B227B"/>
    <w:rsid w:val="006B2298"/>
    <w:rsid w:val="006B22D2"/>
    <w:rsid w:val="006B22D6"/>
    <w:rsid w:val="006B22F7"/>
    <w:rsid w:val="006B23CE"/>
    <w:rsid w:val="006B23ED"/>
    <w:rsid w:val="006B23F2"/>
    <w:rsid w:val="006B2445"/>
    <w:rsid w:val="006B2596"/>
    <w:rsid w:val="006B25CC"/>
    <w:rsid w:val="006B25F8"/>
    <w:rsid w:val="006B2695"/>
    <w:rsid w:val="006B2971"/>
    <w:rsid w:val="006B29BF"/>
    <w:rsid w:val="006B29E5"/>
    <w:rsid w:val="006B2A5D"/>
    <w:rsid w:val="006B2A65"/>
    <w:rsid w:val="006B2A9C"/>
    <w:rsid w:val="006B2BF4"/>
    <w:rsid w:val="006B2CEB"/>
    <w:rsid w:val="006B2DAF"/>
    <w:rsid w:val="006B2E33"/>
    <w:rsid w:val="006B2EB4"/>
    <w:rsid w:val="006B30C0"/>
    <w:rsid w:val="006B3144"/>
    <w:rsid w:val="006B32A7"/>
    <w:rsid w:val="006B333A"/>
    <w:rsid w:val="006B3419"/>
    <w:rsid w:val="006B34BC"/>
    <w:rsid w:val="006B3510"/>
    <w:rsid w:val="006B3634"/>
    <w:rsid w:val="006B38EB"/>
    <w:rsid w:val="006B3A68"/>
    <w:rsid w:val="006B3A9B"/>
    <w:rsid w:val="006B3B35"/>
    <w:rsid w:val="006B3BA1"/>
    <w:rsid w:val="006B3BF1"/>
    <w:rsid w:val="006B3C3E"/>
    <w:rsid w:val="006B3C66"/>
    <w:rsid w:val="006B3D48"/>
    <w:rsid w:val="006B3E85"/>
    <w:rsid w:val="006B3F1C"/>
    <w:rsid w:val="006B3F70"/>
    <w:rsid w:val="006B400F"/>
    <w:rsid w:val="006B409E"/>
    <w:rsid w:val="006B42D0"/>
    <w:rsid w:val="006B42FC"/>
    <w:rsid w:val="006B43D2"/>
    <w:rsid w:val="006B444D"/>
    <w:rsid w:val="006B4556"/>
    <w:rsid w:val="006B464D"/>
    <w:rsid w:val="006B4660"/>
    <w:rsid w:val="006B47C4"/>
    <w:rsid w:val="006B47FC"/>
    <w:rsid w:val="006B4856"/>
    <w:rsid w:val="006B488B"/>
    <w:rsid w:val="006B48F1"/>
    <w:rsid w:val="006B4916"/>
    <w:rsid w:val="006B498C"/>
    <w:rsid w:val="006B4BD4"/>
    <w:rsid w:val="006B4CF6"/>
    <w:rsid w:val="006B4D3A"/>
    <w:rsid w:val="006B4E21"/>
    <w:rsid w:val="006B4E99"/>
    <w:rsid w:val="006B507A"/>
    <w:rsid w:val="006B50FA"/>
    <w:rsid w:val="006B51AA"/>
    <w:rsid w:val="006B5251"/>
    <w:rsid w:val="006B525F"/>
    <w:rsid w:val="006B530B"/>
    <w:rsid w:val="006B53A7"/>
    <w:rsid w:val="006B540E"/>
    <w:rsid w:val="006B550B"/>
    <w:rsid w:val="006B57FB"/>
    <w:rsid w:val="006B58CC"/>
    <w:rsid w:val="006B58E3"/>
    <w:rsid w:val="006B59FF"/>
    <w:rsid w:val="006B5A5C"/>
    <w:rsid w:val="006B5C0B"/>
    <w:rsid w:val="006B5E84"/>
    <w:rsid w:val="006B5EFC"/>
    <w:rsid w:val="006B5FE7"/>
    <w:rsid w:val="006B6065"/>
    <w:rsid w:val="006B6098"/>
    <w:rsid w:val="006B6104"/>
    <w:rsid w:val="006B611F"/>
    <w:rsid w:val="006B6182"/>
    <w:rsid w:val="006B6336"/>
    <w:rsid w:val="006B64AB"/>
    <w:rsid w:val="006B64B7"/>
    <w:rsid w:val="006B64E7"/>
    <w:rsid w:val="006B655A"/>
    <w:rsid w:val="006B6562"/>
    <w:rsid w:val="006B6682"/>
    <w:rsid w:val="006B670C"/>
    <w:rsid w:val="006B671C"/>
    <w:rsid w:val="006B6815"/>
    <w:rsid w:val="006B6829"/>
    <w:rsid w:val="006B686B"/>
    <w:rsid w:val="006B68F1"/>
    <w:rsid w:val="006B6985"/>
    <w:rsid w:val="006B69BE"/>
    <w:rsid w:val="006B6AA9"/>
    <w:rsid w:val="006B6B99"/>
    <w:rsid w:val="006B6BDB"/>
    <w:rsid w:val="006B6E07"/>
    <w:rsid w:val="006B6EC4"/>
    <w:rsid w:val="006B6F43"/>
    <w:rsid w:val="006B6F62"/>
    <w:rsid w:val="006B711D"/>
    <w:rsid w:val="006B720E"/>
    <w:rsid w:val="006B72EC"/>
    <w:rsid w:val="006B7470"/>
    <w:rsid w:val="006B749F"/>
    <w:rsid w:val="006B74F4"/>
    <w:rsid w:val="006B74FD"/>
    <w:rsid w:val="006B751B"/>
    <w:rsid w:val="006B7582"/>
    <w:rsid w:val="006B76D4"/>
    <w:rsid w:val="006B79E5"/>
    <w:rsid w:val="006B7A7D"/>
    <w:rsid w:val="006B7AA1"/>
    <w:rsid w:val="006B7B0C"/>
    <w:rsid w:val="006B7C10"/>
    <w:rsid w:val="006B7C43"/>
    <w:rsid w:val="006B7DCE"/>
    <w:rsid w:val="006B7E73"/>
    <w:rsid w:val="006B7EC1"/>
    <w:rsid w:val="006B7F77"/>
    <w:rsid w:val="006B7FF8"/>
    <w:rsid w:val="006C0054"/>
    <w:rsid w:val="006C0077"/>
    <w:rsid w:val="006C0142"/>
    <w:rsid w:val="006C01D4"/>
    <w:rsid w:val="006C0209"/>
    <w:rsid w:val="006C021B"/>
    <w:rsid w:val="006C02BE"/>
    <w:rsid w:val="006C038F"/>
    <w:rsid w:val="006C0489"/>
    <w:rsid w:val="006C0512"/>
    <w:rsid w:val="006C051A"/>
    <w:rsid w:val="006C0533"/>
    <w:rsid w:val="006C055C"/>
    <w:rsid w:val="006C05D9"/>
    <w:rsid w:val="006C069B"/>
    <w:rsid w:val="006C06AD"/>
    <w:rsid w:val="006C06F7"/>
    <w:rsid w:val="006C0786"/>
    <w:rsid w:val="006C084D"/>
    <w:rsid w:val="006C093D"/>
    <w:rsid w:val="006C0958"/>
    <w:rsid w:val="006C0A03"/>
    <w:rsid w:val="006C0B84"/>
    <w:rsid w:val="006C0C7D"/>
    <w:rsid w:val="006C0CE6"/>
    <w:rsid w:val="006C0D17"/>
    <w:rsid w:val="006C0D90"/>
    <w:rsid w:val="006C0E4C"/>
    <w:rsid w:val="006C0E6A"/>
    <w:rsid w:val="006C0EB6"/>
    <w:rsid w:val="006C0EF5"/>
    <w:rsid w:val="006C0EFD"/>
    <w:rsid w:val="006C0F3D"/>
    <w:rsid w:val="006C0F6A"/>
    <w:rsid w:val="006C0F95"/>
    <w:rsid w:val="006C1161"/>
    <w:rsid w:val="006C11C1"/>
    <w:rsid w:val="006C136F"/>
    <w:rsid w:val="006C1388"/>
    <w:rsid w:val="006C1422"/>
    <w:rsid w:val="006C143E"/>
    <w:rsid w:val="006C1618"/>
    <w:rsid w:val="006C16B6"/>
    <w:rsid w:val="006C178D"/>
    <w:rsid w:val="006C17BB"/>
    <w:rsid w:val="006C181A"/>
    <w:rsid w:val="006C19FD"/>
    <w:rsid w:val="006C1B8B"/>
    <w:rsid w:val="006C1C5D"/>
    <w:rsid w:val="006C1E21"/>
    <w:rsid w:val="006C1E33"/>
    <w:rsid w:val="006C1E77"/>
    <w:rsid w:val="006C2013"/>
    <w:rsid w:val="006C2090"/>
    <w:rsid w:val="006C20AA"/>
    <w:rsid w:val="006C22EE"/>
    <w:rsid w:val="006C24DD"/>
    <w:rsid w:val="006C2572"/>
    <w:rsid w:val="006C2583"/>
    <w:rsid w:val="006C259D"/>
    <w:rsid w:val="006C26A9"/>
    <w:rsid w:val="006C275F"/>
    <w:rsid w:val="006C27FF"/>
    <w:rsid w:val="006C2A02"/>
    <w:rsid w:val="006C2A7C"/>
    <w:rsid w:val="006C2A8E"/>
    <w:rsid w:val="006C2AA6"/>
    <w:rsid w:val="006C2BCD"/>
    <w:rsid w:val="006C2C76"/>
    <w:rsid w:val="006C2EAC"/>
    <w:rsid w:val="006C307B"/>
    <w:rsid w:val="006C31DF"/>
    <w:rsid w:val="006C3258"/>
    <w:rsid w:val="006C32EA"/>
    <w:rsid w:val="006C355D"/>
    <w:rsid w:val="006C35CB"/>
    <w:rsid w:val="006C3668"/>
    <w:rsid w:val="006C3756"/>
    <w:rsid w:val="006C3784"/>
    <w:rsid w:val="006C381D"/>
    <w:rsid w:val="006C3899"/>
    <w:rsid w:val="006C3980"/>
    <w:rsid w:val="006C3A0B"/>
    <w:rsid w:val="006C3CB9"/>
    <w:rsid w:val="006C3D03"/>
    <w:rsid w:val="006C3FE2"/>
    <w:rsid w:val="006C403D"/>
    <w:rsid w:val="006C40B7"/>
    <w:rsid w:val="006C4124"/>
    <w:rsid w:val="006C4163"/>
    <w:rsid w:val="006C4354"/>
    <w:rsid w:val="006C44D3"/>
    <w:rsid w:val="006C4535"/>
    <w:rsid w:val="006C4556"/>
    <w:rsid w:val="006C457E"/>
    <w:rsid w:val="006C45A0"/>
    <w:rsid w:val="006C45DD"/>
    <w:rsid w:val="006C4676"/>
    <w:rsid w:val="006C470A"/>
    <w:rsid w:val="006C4734"/>
    <w:rsid w:val="006C474F"/>
    <w:rsid w:val="006C489B"/>
    <w:rsid w:val="006C4904"/>
    <w:rsid w:val="006C4A43"/>
    <w:rsid w:val="006C4AB4"/>
    <w:rsid w:val="006C4BB2"/>
    <w:rsid w:val="006C4EC7"/>
    <w:rsid w:val="006C4ECF"/>
    <w:rsid w:val="006C4F43"/>
    <w:rsid w:val="006C4F72"/>
    <w:rsid w:val="006C4F7B"/>
    <w:rsid w:val="006C5043"/>
    <w:rsid w:val="006C504C"/>
    <w:rsid w:val="006C5208"/>
    <w:rsid w:val="006C5460"/>
    <w:rsid w:val="006C5497"/>
    <w:rsid w:val="006C5619"/>
    <w:rsid w:val="006C564E"/>
    <w:rsid w:val="006C57AA"/>
    <w:rsid w:val="006C57EA"/>
    <w:rsid w:val="006C58CE"/>
    <w:rsid w:val="006C59C6"/>
    <w:rsid w:val="006C59F9"/>
    <w:rsid w:val="006C5A38"/>
    <w:rsid w:val="006C5A82"/>
    <w:rsid w:val="006C5B1D"/>
    <w:rsid w:val="006C5D22"/>
    <w:rsid w:val="006C5D34"/>
    <w:rsid w:val="006C5D43"/>
    <w:rsid w:val="006C5E4F"/>
    <w:rsid w:val="006C5F0D"/>
    <w:rsid w:val="006C5FBE"/>
    <w:rsid w:val="006C5FC0"/>
    <w:rsid w:val="006C6017"/>
    <w:rsid w:val="006C606C"/>
    <w:rsid w:val="006C60CB"/>
    <w:rsid w:val="006C6113"/>
    <w:rsid w:val="006C6184"/>
    <w:rsid w:val="006C6194"/>
    <w:rsid w:val="006C6227"/>
    <w:rsid w:val="006C6247"/>
    <w:rsid w:val="006C626F"/>
    <w:rsid w:val="006C62B4"/>
    <w:rsid w:val="006C6349"/>
    <w:rsid w:val="006C637E"/>
    <w:rsid w:val="006C63F0"/>
    <w:rsid w:val="006C644E"/>
    <w:rsid w:val="006C6576"/>
    <w:rsid w:val="006C6604"/>
    <w:rsid w:val="006C6837"/>
    <w:rsid w:val="006C683A"/>
    <w:rsid w:val="006C688B"/>
    <w:rsid w:val="006C695E"/>
    <w:rsid w:val="006C6B00"/>
    <w:rsid w:val="006C6B3F"/>
    <w:rsid w:val="006C6B8B"/>
    <w:rsid w:val="006C6C39"/>
    <w:rsid w:val="006C6D3C"/>
    <w:rsid w:val="006C6DB5"/>
    <w:rsid w:val="006C6E4D"/>
    <w:rsid w:val="006C6F59"/>
    <w:rsid w:val="006C6F8E"/>
    <w:rsid w:val="006C70CF"/>
    <w:rsid w:val="006C7109"/>
    <w:rsid w:val="006C7162"/>
    <w:rsid w:val="006C71FB"/>
    <w:rsid w:val="006C725B"/>
    <w:rsid w:val="006C736A"/>
    <w:rsid w:val="006C7541"/>
    <w:rsid w:val="006C75C3"/>
    <w:rsid w:val="006C7674"/>
    <w:rsid w:val="006C7688"/>
    <w:rsid w:val="006C76E2"/>
    <w:rsid w:val="006C7776"/>
    <w:rsid w:val="006C78CE"/>
    <w:rsid w:val="006C78EA"/>
    <w:rsid w:val="006C7C38"/>
    <w:rsid w:val="006C7DA0"/>
    <w:rsid w:val="006C7DFC"/>
    <w:rsid w:val="006C7F1F"/>
    <w:rsid w:val="006D0163"/>
    <w:rsid w:val="006D0203"/>
    <w:rsid w:val="006D02C0"/>
    <w:rsid w:val="006D0352"/>
    <w:rsid w:val="006D036C"/>
    <w:rsid w:val="006D0442"/>
    <w:rsid w:val="006D0505"/>
    <w:rsid w:val="006D05A4"/>
    <w:rsid w:val="006D0737"/>
    <w:rsid w:val="006D07A6"/>
    <w:rsid w:val="006D084A"/>
    <w:rsid w:val="006D0859"/>
    <w:rsid w:val="006D098A"/>
    <w:rsid w:val="006D09C2"/>
    <w:rsid w:val="006D09EC"/>
    <w:rsid w:val="006D0A8D"/>
    <w:rsid w:val="006D0B7D"/>
    <w:rsid w:val="006D0BA8"/>
    <w:rsid w:val="006D0BD2"/>
    <w:rsid w:val="006D0CC0"/>
    <w:rsid w:val="006D0CE1"/>
    <w:rsid w:val="006D0DB9"/>
    <w:rsid w:val="006D0DD2"/>
    <w:rsid w:val="006D0EEB"/>
    <w:rsid w:val="006D0F0D"/>
    <w:rsid w:val="006D0F10"/>
    <w:rsid w:val="006D0FE4"/>
    <w:rsid w:val="006D0FE6"/>
    <w:rsid w:val="006D10FB"/>
    <w:rsid w:val="006D11A2"/>
    <w:rsid w:val="006D127D"/>
    <w:rsid w:val="006D14CE"/>
    <w:rsid w:val="006D1520"/>
    <w:rsid w:val="006D15D6"/>
    <w:rsid w:val="006D15FA"/>
    <w:rsid w:val="006D16AA"/>
    <w:rsid w:val="006D16E4"/>
    <w:rsid w:val="006D186F"/>
    <w:rsid w:val="006D18EB"/>
    <w:rsid w:val="006D1923"/>
    <w:rsid w:val="006D1933"/>
    <w:rsid w:val="006D193F"/>
    <w:rsid w:val="006D1A9C"/>
    <w:rsid w:val="006D1A9E"/>
    <w:rsid w:val="006D1AA1"/>
    <w:rsid w:val="006D1B5C"/>
    <w:rsid w:val="006D1DCC"/>
    <w:rsid w:val="006D1E2B"/>
    <w:rsid w:val="006D1E30"/>
    <w:rsid w:val="006D1EAC"/>
    <w:rsid w:val="006D2125"/>
    <w:rsid w:val="006D2190"/>
    <w:rsid w:val="006D239F"/>
    <w:rsid w:val="006D23D1"/>
    <w:rsid w:val="006D24D9"/>
    <w:rsid w:val="006D2602"/>
    <w:rsid w:val="006D2800"/>
    <w:rsid w:val="006D288F"/>
    <w:rsid w:val="006D292C"/>
    <w:rsid w:val="006D294D"/>
    <w:rsid w:val="006D29FF"/>
    <w:rsid w:val="006D2A96"/>
    <w:rsid w:val="006D2B8C"/>
    <w:rsid w:val="006D2D6C"/>
    <w:rsid w:val="006D2EDA"/>
    <w:rsid w:val="006D2EE3"/>
    <w:rsid w:val="006D2FBD"/>
    <w:rsid w:val="006D2FDB"/>
    <w:rsid w:val="006D308C"/>
    <w:rsid w:val="006D31D7"/>
    <w:rsid w:val="006D32CF"/>
    <w:rsid w:val="006D32F2"/>
    <w:rsid w:val="006D3379"/>
    <w:rsid w:val="006D3422"/>
    <w:rsid w:val="006D3480"/>
    <w:rsid w:val="006D3582"/>
    <w:rsid w:val="006D35B1"/>
    <w:rsid w:val="006D3692"/>
    <w:rsid w:val="006D3707"/>
    <w:rsid w:val="006D3796"/>
    <w:rsid w:val="006D381A"/>
    <w:rsid w:val="006D38B7"/>
    <w:rsid w:val="006D39B2"/>
    <w:rsid w:val="006D39D2"/>
    <w:rsid w:val="006D3AD1"/>
    <w:rsid w:val="006D3B58"/>
    <w:rsid w:val="006D3C39"/>
    <w:rsid w:val="006D3C64"/>
    <w:rsid w:val="006D3C7B"/>
    <w:rsid w:val="006D3E21"/>
    <w:rsid w:val="006D3F8C"/>
    <w:rsid w:val="006D3FF6"/>
    <w:rsid w:val="006D406C"/>
    <w:rsid w:val="006D40A9"/>
    <w:rsid w:val="006D4152"/>
    <w:rsid w:val="006D41D1"/>
    <w:rsid w:val="006D4233"/>
    <w:rsid w:val="006D42AC"/>
    <w:rsid w:val="006D437E"/>
    <w:rsid w:val="006D43F8"/>
    <w:rsid w:val="006D4421"/>
    <w:rsid w:val="006D4536"/>
    <w:rsid w:val="006D459A"/>
    <w:rsid w:val="006D45BE"/>
    <w:rsid w:val="006D4795"/>
    <w:rsid w:val="006D47E3"/>
    <w:rsid w:val="006D4A7E"/>
    <w:rsid w:val="006D4ACE"/>
    <w:rsid w:val="006D4DA5"/>
    <w:rsid w:val="006D4DC8"/>
    <w:rsid w:val="006D4E4D"/>
    <w:rsid w:val="006D4E58"/>
    <w:rsid w:val="006D4F65"/>
    <w:rsid w:val="006D517C"/>
    <w:rsid w:val="006D51A5"/>
    <w:rsid w:val="006D53B3"/>
    <w:rsid w:val="006D53F1"/>
    <w:rsid w:val="006D5453"/>
    <w:rsid w:val="006D5482"/>
    <w:rsid w:val="006D549D"/>
    <w:rsid w:val="006D562B"/>
    <w:rsid w:val="006D5808"/>
    <w:rsid w:val="006D584C"/>
    <w:rsid w:val="006D5866"/>
    <w:rsid w:val="006D5876"/>
    <w:rsid w:val="006D59F5"/>
    <w:rsid w:val="006D5D83"/>
    <w:rsid w:val="006D5E15"/>
    <w:rsid w:val="006D5E3A"/>
    <w:rsid w:val="006D5E58"/>
    <w:rsid w:val="006D5EAB"/>
    <w:rsid w:val="006D5F52"/>
    <w:rsid w:val="006D5F57"/>
    <w:rsid w:val="006D6039"/>
    <w:rsid w:val="006D6157"/>
    <w:rsid w:val="006D6179"/>
    <w:rsid w:val="006D623D"/>
    <w:rsid w:val="006D62D9"/>
    <w:rsid w:val="006D6397"/>
    <w:rsid w:val="006D6433"/>
    <w:rsid w:val="006D64DE"/>
    <w:rsid w:val="006D651C"/>
    <w:rsid w:val="006D66CA"/>
    <w:rsid w:val="006D6788"/>
    <w:rsid w:val="006D68BF"/>
    <w:rsid w:val="006D6925"/>
    <w:rsid w:val="006D6A85"/>
    <w:rsid w:val="006D6CAD"/>
    <w:rsid w:val="006D6D3F"/>
    <w:rsid w:val="006D6D80"/>
    <w:rsid w:val="006D6EAE"/>
    <w:rsid w:val="006D735D"/>
    <w:rsid w:val="006D73EB"/>
    <w:rsid w:val="006D748C"/>
    <w:rsid w:val="006D7513"/>
    <w:rsid w:val="006D754E"/>
    <w:rsid w:val="006D7555"/>
    <w:rsid w:val="006D75B4"/>
    <w:rsid w:val="006D75B5"/>
    <w:rsid w:val="006D75E6"/>
    <w:rsid w:val="006D76F0"/>
    <w:rsid w:val="006D772E"/>
    <w:rsid w:val="006D776B"/>
    <w:rsid w:val="006D781B"/>
    <w:rsid w:val="006D7934"/>
    <w:rsid w:val="006D79FA"/>
    <w:rsid w:val="006D7A53"/>
    <w:rsid w:val="006D7AAD"/>
    <w:rsid w:val="006D7AAF"/>
    <w:rsid w:val="006D7C37"/>
    <w:rsid w:val="006D7CF9"/>
    <w:rsid w:val="006D7D0A"/>
    <w:rsid w:val="006D7D3B"/>
    <w:rsid w:val="006D7D81"/>
    <w:rsid w:val="006D7DF0"/>
    <w:rsid w:val="006D7E54"/>
    <w:rsid w:val="006D7EA6"/>
    <w:rsid w:val="006D7EC8"/>
    <w:rsid w:val="006E00B7"/>
    <w:rsid w:val="006E00E2"/>
    <w:rsid w:val="006E013D"/>
    <w:rsid w:val="006E023D"/>
    <w:rsid w:val="006E0242"/>
    <w:rsid w:val="006E030B"/>
    <w:rsid w:val="006E03EB"/>
    <w:rsid w:val="006E04F9"/>
    <w:rsid w:val="006E07CA"/>
    <w:rsid w:val="006E0AC0"/>
    <w:rsid w:val="006E0B14"/>
    <w:rsid w:val="006E0B7E"/>
    <w:rsid w:val="006E0C3C"/>
    <w:rsid w:val="006E0C5F"/>
    <w:rsid w:val="006E0C7F"/>
    <w:rsid w:val="006E0D19"/>
    <w:rsid w:val="006E0F36"/>
    <w:rsid w:val="006E104A"/>
    <w:rsid w:val="006E11A8"/>
    <w:rsid w:val="006E11FB"/>
    <w:rsid w:val="006E1422"/>
    <w:rsid w:val="006E1497"/>
    <w:rsid w:val="006E14FB"/>
    <w:rsid w:val="006E15EA"/>
    <w:rsid w:val="006E16C8"/>
    <w:rsid w:val="006E16FB"/>
    <w:rsid w:val="006E18C4"/>
    <w:rsid w:val="006E19EB"/>
    <w:rsid w:val="006E19ED"/>
    <w:rsid w:val="006E1AE9"/>
    <w:rsid w:val="006E1B26"/>
    <w:rsid w:val="006E1B55"/>
    <w:rsid w:val="006E1B9A"/>
    <w:rsid w:val="006E1CD3"/>
    <w:rsid w:val="006E1D6F"/>
    <w:rsid w:val="006E1DF6"/>
    <w:rsid w:val="006E1F4B"/>
    <w:rsid w:val="006E1F74"/>
    <w:rsid w:val="006E1F9C"/>
    <w:rsid w:val="006E1FB1"/>
    <w:rsid w:val="006E2003"/>
    <w:rsid w:val="006E2122"/>
    <w:rsid w:val="006E2159"/>
    <w:rsid w:val="006E2261"/>
    <w:rsid w:val="006E22E0"/>
    <w:rsid w:val="006E2479"/>
    <w:rsid w:val="006E248B"/>
    <w:rsid w:val="006E2512"/>
    <w:rsid w:val="006E251B"/>
    <w:rsid w:val="006E262F"/>
    <w:rsid w:val="006E27DC"/>
    <w:rsid w:val="006E28C4"/>
    <w:rsid w:val="006E2963"/>
    <w:rsid w:val="006E297A"/>
    <w:rsid w:val="006E2A19"/>
    <w:rsid w:val="006E2C52"/>
    <w:rsid w:val="006E2C6D"/>
    <w:rsid w:val="006E2CCC"/>
    <w:rsid w:val="006E2DCF"/>
    <w:rsid w:val="006E2E3C"/>
    <w:rsid w:val="006E2E48"/>
    <w:rsid w:val="006E2F19"/>
    <w:rsid w:val="006E2F3D"/>
    <w:rsid w:val="006E2F61"/>
    <w:rsid w:val="006E3106"/>
    <w:rsid w:val="006E3149"/>
    <w:rsid w:val="006E316F"/>
    <w:rsid w:val="006E319C"/>
    <w:rsid w:val="006E31AD"/>
    <w:rsid w:val="006E31DD"/>
    <w:rsid w:val="006E31EA"/>
    <w:rsid w:val="006E31FD"/>
    <w:rsid w:val="006E33DC"/>
    <w:rsid w:val="006E33E6"/>
    <w:rsid w:val="006E3435"/>
    <w:rsid w:val="006E348B"/>
    <w:rsid w:val="006E34C4"/>
    <w:rsid w:val="006E357F"/>
    <w:rsid w:val="006E35F5"/>
    <w:rsid w:val="006E37F4"/>
    <w:rsid w:val="006E3900"/>
    <w:rsid w:val="006E3970"/>
    <w:rsid w:val="006E3A06"/>
    <w:rsid w:val="006E3D8E"/>
    <w:rsid w:val="006E3DC7"/>
    <w:rsid w:val="006E3EED"/>
    <w:rsid w:val="006E3F70"/>
    <w:rsid w:val="006E3FA2"/>
    <w:rsid w:val="006E406B"/>
    <w:rsid w:val="006E4078"/>
    <w:rsid w:val="006E408C"/>
    <w:rsid w:val="006E416E"/>
    <w:rsid w:val="006E41E2"/>
    <w:rsid w:val="006E432E"/>
    <w:rsid w:val="006E4448"/>
    <w:rsid w:val="006E4590"/>
    <w:rsid w:val="006E45BA"/>
    <w:rsid w:val="006E4613"/>
    <w:rsid w:val="006E463E"/>
    <w:rsid w:val="006E479C"/>
    <w:rsid w:val="006E47E1"/>
    <w:rsid w:val="006E48C8"/>
    <w:rsid w:val="006E4964"/>
    <w:rsid w:val="006E496E"/>
    <w:rsid w:val="006E49A4"/>
    <w:rsid w:val="006E4A9F"/>
    <w:rsid w:val="006E4AF9"/>
    <w:rsid w:val="006E4B93"/>
    <w:rsid w:val="006E4CEB"/>
    <w:rsid w:val="006E4F92"/>
    <w:rsid w:val="006E4F97"/>
    <w:rsid w:val="006E5008"/>
    <w:rsid w:val="006E50AB"/>
    <w:rsid w:val="006E50C6"/>
    <w:rsid w:val="006E50DE"/>
    <w:rsid w:val="006E5132"/>
    <w:rsid w:val="006E51A7"/>
    <w:rsid w:val="006E51AB"/>
    <w:rsid w:val="006E51F4"/>
    <w:rsid w:val="006E5297"/>
    <w:rsid w:val="006E52A0"/>
    <w:rsid w:val="006E541D"/>
    <w:rsid w:val="006E562D"/>
    <w:rsid w:val="006E5704"/>
    <w:rsid w:val="006E576B"/>
    <w:rsid w:val="006E5A54"/>
    <w:rsid w:val="006E5AD3"/>
    <w:rsid w:val="006E5AE1"/>
    <w:rsid w:val="006E5B2F"/>
    <w:rsid w:val="006E5B4B"/>
    <w:rsid w:val="006E5BE6"/>
    <w:rsid w:val="006E5C32"/>
    <w:rsid w:val="006E5D83"/>
    <w:rsid w:val="006E5DF8"/>
    <w:rsid w:val="006E5EBC"/>
    <w:rsid w:val="006E5F20"/>
    <w:rsid w:val="006E6032"/>
    <w:rsid w:val="006E6134"/>
    <w:rsid w:val="006E6150"/>
    <w:rsid w:val="006E61B4"/>
    <w:rsid w:val="006E63C5"/>
    <w:rsid w:val="006E6426"/>
    <w:rsid w:val="006E6446"/>
    <w:rsid w:val="006E68D6"/>
    <w:rsid w:val="006E693C"/>
    <w:rsid w:val="006E6998"/>
    <w:rsid w:val="006E6A70"/>
    <w:rsid w:val="006E6AB9"/>
    <w:rsid w:val="006E6C9B"/>
    <w:rsid w:val="006E6DF4"/>
    <w:rsid w:val="006E6EBC"/>
    <w:rsid w:val="006E6FBB"/>
    <w:rsid w:val="006E7022"/>
    <w:rsid w:val="006E703C"/>
    <w:rsid w:val="006E7088"/>
    <w:rsid w:val="006E709A"/>
    <w:rsid w:val="006E70B9"/>
    <w:rsid w:val="006E70BF"/>
    <w:rsid w:val="006E7121"/>
    <w:rsid w:val="006E71B0"/>
    <w:rsid w:val="006E741A"/>
    <w:rsid w:val="006E7429"/>
    <w:rsid w:val="006E753F"/>
    <w:rsid w:val="006E76D8"/>
    <w:rsid w:val="006E7726"/>
    <w:rsid w:val="006E7761"/>
    <w:rsid w:val="006E77D4"/>
    <w:rsid w:val="006E7823"/>
    <w:rsid w:val="006E782D"/>
    <w:rsid w:val="006E7831"/>
    <w:rsid w:val="006E786A"/>
    <w:rsid w:val="006E7927"/>
    <w:rsid w:val="006E795D"/>
    <w:rsid w:val="006E7A3F"/>
    <w:rsid w:val="006E7AC8"/>
    <w:rsid w:val="006E7B2D"/>
    <w:rsid w:val="006E7BB4"/>
    <w:rsid w:val="006E7C6B"/>
    <w:rsid w:val="006E7C70"/>
    <w:rsid w:val="006E7CD2"/>
    <w:rsid w:val="006E7CDD"/>
    <w:rsid w:val="006E7DB9"/>
    <w:rsid w:val="006E7DF2"/>
    <w:rsid w:val="006E7E18"/>
    <w:rsid w:val="006E7EBA"/>
    <w:rsid w:val="006F0065"/>
    <w:rsid w:val="006F01A6"/>
    <w:rsid w:val="006F02B2"/>
    <w:rsid w:val="006F0342"/>
    <w:rsid w:val="006F0425"/>
    <w:rsid w:val="006F04BC"/>
    <w:rsid w:val="006F050B"/>
    <w:rsid w:val="006F05F4"/>
    <w:rsid w:val="006F0601"/>
    <w:rsid w:val="006F06B3"/>
    <w:rsid w:val="006F0907"/>
    <w:rsid w:val="006F0ABC"/>
    <w:rsid w:val="006F0ABF"/>
    <w:rsid w:val="006F0B11"/>
    <w:rsid w:val="006F0C81"/>
    <w:rsid w:val="006F0D78"/>
    <w:rsid w:val="006F0D99"/>
    <w:rsid w:val="006F0DA4"/>
    <w:rsid w:val="006F0DB9"/>
    <w:rsid w:val="006F0EBC"/>
    <w:rsid w:val="006F0EE0"/>
    <w:rsid w:val="006F1007"/>
    <w:rsid w:val="006F1050"/>
    <w:rsid w:val="006F11C7"/>
    <w:rsid w:val="006F120E"/>
    <w:rsid w:val="006F12BA"/>
    <w:rsid w:val="006F1352"/>
    <w:rsid w:val="006F1363"/>
    <w:rsid w:val="006F1379"/>
    <w:rsid w:val="006F143C"/>
    <w:rsid w:val="006F161E"/>
    <w:rsid w:val="006F162F"/>
    <w:rsid w:val="006F1714"/>
    <w:rsid w:val="006F1812"/>
    <w:rsid w:val="006F1817"/>
    <w:rsid w:val="006F1878"/>
    <w:rsid w:val="006F1891"/>
    <w:rsid w:val="006F18E9"/>
    <w:rsid w:val="006F1930"/>
    <w:rsid w:val="006F1959"/>
    <w:rsid w:val="006F1A13"/>
    <w:rsid w:val="006F1A3B"/>
    <w:rsid w:val="006F1B6B"/>
    <w:rsid w:val="006F1C7F"/>
    <w:rsid w:val="006F1C9F"/>
    <w:rsid w:val="006F1D2C"/>
    <w:rsid w:val="006F1E12"/>
    <w:rsid w:val="006F1ED4"/>
    <w:rsid w:val="006F1F0E"/>
    <w:rsid w:val="006F1FD0"/>
    <w:rsid w:val="006F21B3"/>
    <w:rsid w:val="006F21C7"/>
    <w:rsid w:val="006F2256"/>
    <w:rsid w:val="006F2339"/>
    <w:rsid w:val="006F2376"/>
    <w:rsid w:val="006F23C9"/>
    <w:rsid w:val="006F24A3"/>
    <w:rsid w:val="006F259B"/>
    <w:rsid w:val="006F2678"/>
    <w:rsid w:val="006F2882"/>
    <w:rsid w:val="006F297C"/>
    <w:rsid w:val="006F2BB1"/>
    <w:rsid w:val="006F2BDF"/>
    <w:rsid w:val="006F2C57"/>
    <w:rsid w:val="006F2CAD"/>
    <w:rsid w:val="006F2E2B"/>
    <w:rsid w:val="006F2FE1"/>
    <w:rsid w:val="006F3061"/>
    <w:rsid w:val="006F30E7"/>
    <w:rsid w:val="006F3119"/>
    <w:rsid w:val="006F3158"/>
    <w:rsid w:val="006F319C"/>
    <w:rsid w:val="006F3211"/>
    <w:rsid w:val="006F35AE"/>
    <w:rsid w:val="006F35DA"/>
    <w:rsid w:val="006F379B"/>
    <w:rsid w:val="006F383C"/>
    <w:rsid w:val="006F3843"/>
    <w:rsid w:val="006F384E"/>
    <w:rsid w:val="006F38C6"/>
    <w:rsid w:val="006F38F7"/>
    <w:rsid w:val="006F393E"/>
    <w:rsid w:val="006F3A22"/>
    <w:rsid w:val="006F3B21"/>
    <w:rsid w:val="006F3B8A"/>
    <w:rsid w:val="006F3C82"/>
    <w:rsid w:val="006F3CCC"/>
    <w:rsid w:val="006F3CD7"/>
    <w:rsid w:val="006F3D38"/>
    <w:rsid w:val="006F3E0F"/>
    <w:rsid w:val="006F3E59"/>
    <w:rsid w:val="006F3F21"/>
    <w:rsid w:val="006F3F52"/>
    <w:rsid w:val="006F3F9A"/>
    <w:rsid w:val="006F3FC8"/>
    <w:rsid w:val="006F40CE"/>
    <w:rsid w:val="006F40DC"/>
    <w:rsid w:val="006F4134"/>
    <w:rsid w:val="006F419D"/>
    <w:rsid w:val="006F421C"/>
    <w:rsid w:val="006F4248"/>
    <w:rsid w:val="006F4263"/>
    <w:rsid w:val="006F42CA"/>
    <w:rsid w:val="006F42E2"/>
    <w:rsid w:val="006F4575"/>
    <w:rsid w:val="006F46D9"/>
    <w:rsid w:val="006F46E3"/>
    <w:rsid w:val="006F4702"/>
    <w:rsid w:val="006F484B"/>
    <w:rsid w:val="006F48C1"/>
    <w:rsid w:val="006F48DA"/>
    <w:rsid w:val="006F4915"/>
    <w:rsid w:val="006F49AA"/>
    <w:rsid w:val="006F49F7"/>
    <w:rsid w:val="006F4A0D"/>
    <w:rsid w:val="006F4AA0"/>
    <w:rsid w:val="006F4AA4"/>
    <w:rsid w:val="006F4B05"/>
    <w:rsid w:val="006F4C08"/>
    <w:rsid w:val="006F4D9D"/>
    <w:rsid w:val="006F4DCC"/>
    <w:rsid w:val="006F4E08"/>
    <w:rsid w:val="006F4E6F"/>
    <w:rsid w:val="006F4FD9"/>
    <w:rsid w:val="006F50A1"/>
    <w:rsid w:val="006F5239"/>
    <w:rsid w:val="006F525B"/>
    <w:rsid w:val="006F52B5"/>
    <w:rsid w:val="006F52DE"/>
    <w:rsid w:val="006F5311"/>
    <w:rsid w:val="006F53D1"/>
    <w:rsid w:val="006F54FC"/>
    <w:rsid w:val="006F54FE"/>
    <w:rsid w:val="006F5635"/>
    <w:rsid w:val="006F5988"/>
    <w:rsid w:val="006F59C2"/>
    <w:rsid w:val="006F5B1B"/>
    <w:rsid w:val="006F5B2A"/>
    <w:rsid w:val="006F5B63"/>
    <w:rsid w:val="006F5B6A"/>
    <w:rsid w:val="006F5BEE"/>
    <w:rsid w:val="006F5D28"/>
    <w:rsid w:val="006F5EF0"/>
    <w:rsid w:val="006F5F58"/>
    <w:rsid w:val="006F5F9B"/>
    <w:rsid w:val="006F5FA4"/>
    <w:rsid w:val="006F6028"/>
    <w:rsid w:val="006F60E4"/>
    <w:rsid w:val="006F6372"/>
    <w:rsid w:val="006F6437"/>
    <w:rsid w:val="006F661B"/>
    <w:rsid w:val="006F6644"/>
    <w:rsid w:val="006F6684"/>
    <w:rsid w:val="006F68ED"/>
    <w:rsid w:val="006F68F7"/>
    <w:rsid w:val="006F6A82"/>
    <w:rsid w:val="006F6E31"/>
    <w:rsid w:val="006F6E5F"/>
    <w:rsid w:val="006F6E80"/>
    <w:rsid w:val="006F6F5C"/>
    <w:rsid w:val="006F6F71"/>
    <w:rsid w:val="006F6FB9"/>
    <w:rsid w:val="006F6FE1"/>
    <w:rsid w:val="006F7104"/>
    <w:rsid w:val="006F71DC"/>
    <w:rsid w:val="006F71F1"/>
    <w:rsid w:val="006F7210"/>
    <w:rsid w:val="006F7331"/>
    <w:rsid w:val="006F734A"/>
    <w:rsid w:val="006F7480"/>
    <w:rsid w:val="006F7523"/>
    <w:rsid w:val="006F759C"/>
    <w:rsid w:val="006F761F"/>
    <w:rsid w:val="006F7645"/>
    <w:rsid w:val="006F7677"/>
    <w:rsid w:val="006F77C0"/>
    <w:rsid w:val="006F7829"/>
    <w:rsid w:val="006F783B"/>
    <w:rsid w:val="006F7A07"/>
    <w:rsid w:val="006F7AA2"/>
    <w:rsid w:val="006F7C0B"/>
    <w:rsid w:val="006F7C8E"/>
    <w:rsid w:val="006F7C92"/>
    <w:rsid w:val="006F7CCF"/>
    <w:rsid w:val="006F7E0C"/>
    <w:rsid w:val="006F7E43"/>
    <w:rsid w:val="006F7E99"/>
    <w:rsid w:val="006F7EF2"/>
    <w:rsid w:val="0070009D"/>
    <w:rsid w:val="007000C3"/>
    <w:rsid w:val="00700155"/>
    <w:rsid w:val="00700594"/>
    <w:rsid w:val="00700632"/>
    <w:rsid w:val="007006C7"/>
    <w:rsid w:val="007007C2"/>
    <w:rsid w:val="007007E6"/>
    <w:rsid w:val="00700B7B"/>
    <w:rsid w:val="00700BAC"/>
    <w:rsid w:val="00700BD0"/>
    <w:rsid w:val="00700C17"/>
    <w:rsid w:val="00700D3D"/>
    <w:rsid w:val="00700D48"/>
    <w:rsid w:val="00700EFB"/>
    <w:rsid w:val="00700F7D"/>
    <w:rsid w:val="00700FE1"/>
    <w:rsid w:val="007010D2"/>
    <w:rsid w:val="0070110B"/>
    <w:rsid w:val="00701144"/>
    <w:rsid w:val="00701185"/>
    <w:rsid w:val="007011DC"/>
    <w:rsid w:val="00701200"/>
    <w:rsid w:val="0070129A"/>
    <w:rsid w:val="007014F4"/>
    <w:rsid w:val="0070170C"/>
    <w:rsid w:val="0070170D"/>
    <w:rsid w:val="0070176C"/>
    <w:rsid w:val="007018DD"/>
    <w:rsid w:val="0070192D"/>
    <w:rsid w:val="00701A2D"/>
    <w:rsid w:val="00701A47"/>
    <w:rsid w:val="00701DBD"/>
    <w:rsid w:val="00701E8C"/>
    <w:rsid w:val="00701FB4"/>
    <w:rsid w:val="00701FFA"/>
    <w:rsid w:val="0070202B"/>
    <w:rsid w:val="00702045"/>
    <w:rsid w:val="007020FA"/>
    <w:rsid w:val="007021C1"/>
    <w:rsid w:val="00702280"/>
    <w:rsid w:val="00702362"/>
    <w:rsid w:val="007024CE"/>
    <w:rsid w:val="007024D2"/>
    <w:rsid w:val="0070251D"/>
    <w:rsid w:val="00702561"/>
    <w:rsid w:val="00702733"/>
    <w:rsid w:val="0070274B"/>
    <w:rsid w:val="00702761"/>
    <w:rsid w:val="007027C0"/>
    <w:rsid w:val="00702944"/>
    <w:rsid w:val="007029A2"/>
    <w:rsid w:val="007029D5"/>
    <w:rsid w:val="00702A1A"/>
    <w:rsid w:val="00702A1D"/>
    <w:rsid w:val="00702A9B"/>
    <w:rsid w:val="00702AB6"/>
    <w:rsid w:val="00702B58"/>
    <w:rsid w:val="00702BE8"/>
    <w:rsid w:val="00702C85"/>
    <w:rsid w:val="00703026"/>
    <w:rsid w:val="00703045"/>
    <w:rsid w:val="007030B0"/>
    <w:rsid w:val="007030FF"/>
    <w:rsid w:val="0070311C"/>
    <w:rsid w:val="007031FC"/>
    <w:rsid w:val="00703231"/>
    <w:rsid w:val="0070324C"/>
    <w:rsid w:val="007032C0"/>
    <w:rsid w:val="00703514"/>
    <w:rsid w:val="007035BC"/>
    <w:rsid w:val="00703851"/>
    <w:rsid w:val="007038C6"/>
    <w:rsid w:val="00703926"/>
    <w:rsid w:val="007039D8"/>
    <w:rsid w:val="007039EF"/>
    <w:rsid w:val="00703A15"/>
    <w:rsid w:val="00703B72"/>
    <w:rsid w:val="00703B9C"/>
    <w:rsid w:val="00703CEC"/>
    <w:rsid w:val="00703D3A"/>
    <w:rsid w:val="00703E45"/>
    <w:rsid w:val="00703E5B"/>
    <w:rsid w:val="00703E8F"/>
    <w:rsid w:val="00703F1A"/>
    <w:rsid w:val="00703F89"/>
    <w:rsid w:val="0070403E"/>
    <w:rsid w:val="007044CD"/>
    <w:rsid w:val="007044E9"/>
    <w:rsid w:val="0070483A"/>
    <w:rsid w:val="007048D5"/>
    <w:rsid w:val="00704902"/>
    <w:rsid w:val="0070497D"/>
    <w:rsid w:val="00704A6A"/>
    <w:rsid w:val="00704B06"/>
    <w:rsid w:val="00704CA2"/>
    <w:rsid w:val="00704E38"/>
    <w:rsid w:val="00704E8C"/>
    <w:rsid w:val="00704FE7"/>
    <w:rsid w:val="00705091"/>
    <w:rsid w:val="007050AC"/>
    <w:rsid w:val="00705168"/>
    <w:rsid w:val="00705215"/>
    <w:rsid w:val="007052DB"/>
    <w:rsid w:val="00705420"/>
    <w:rsid w:val="00705622"/>
    <w:rsid w:val="00705673"/>
    <w:rsid w:val="007059C6"/>
    <w:rsid w:val="00705A09"/>
    <w:rsid w:val="00705BA5"/>
    <w:rsid w:val="00705C02"/>
    <w:rsid w:val="00705C06"/>
    <w:rsid w:val="00705C96"/>
    <w:rsid w:val="00705D6D"/>
    <w:rsid w:val="00705DE3"/>
    <w:rsid w:val="00705E6D"/>
    <w:rsid w:val="00705E7D"/>
    <w:rsid w:val="00705E8B"/>
    <w:rsid w:val="00706044"/>
    <w:rsid w:val="00706140"/>
    <w:rsid w:val="00706179"/>
    <w:rsid w:val="007061C2"/>
    <w:rsid w:val="00706256"/>
    <w:rsid w:val="0070631A"/>
    <w:rsid w:val="0070632C"/>
    <w:rsid w:val="00706497"/>
    <w:rsid w:val="007064F2"/>
    <w:rsid w:val="007066EF"/>
    <w:rsid w:val="007066FF"/>
    <w:rsid w:val="00706738"/>
    <w:rsid w:val="00706875"/>
    <w:rsid w:val="007068D1"/>
    <w:rsid w:val="0070696D"/>
    <w:rsid w:val="007069DA"/>
    <w:rsid w:val="00706A47"/>
    <w:rsid w:val="00706BD2"/>
    <w:rsid w:val="00706C04"/>
    <w:rsid w:val="00706D2D"/>
    <w:rsid w:val="00706D4D"/>
    <w:rsid w:val="00706EA7"/>
    <w:rsid w:val="00707056"/>
    <w:rsid w:val="00707068"/>
    <w:rsid w:val="00707077"/>
    <w:rsid w:val="00707144"/>
    <w:rsid w:val="0070736F"/>
    <w:rsid w:val="007073AF"/>
    <w:rsid w:val="00707464"/>
    <w:rsid w:val="00707479"/>
    <w:rsid w:val="007074FD"/>
    <w:rsid w:val="00707535"/>
    <w:rsid w:val="00707681"/>
    <w:rsid w:val="007077B0"/>
    <w:rsid w:val="00707824"/>
    <w:rsid w:val="0070791F"/>
    <w:rsid w:val="00707971"/>
    <w:rsid w:val="00707AB8"/>
    <w:rsid w:val="00707C1A"/>
    <w:rsid w:val="00707D03"/>
    <w:rsid w:val="00707D0B"/>
    <w:rsid w:val="00707E5A"/>
    <w:rsid w:val="00707E6B"/>
    <w:rsid w:val="00707EA1"/>
    <w:rsid w:val="00707FA6"/>
    <w:rsid w:val="0071000C"/>
    <w:rsid w:val="007100BC"/>
    <w:rsid w:val="007100CA"/>
    <w:rsid w:val="00710399"/>
    <w:rsid w:val="007103C4"/>
    <w:rsid w:val="00710439"/>
    <w:rsid w:val="0071045E"/>
    <w:rsid w:val="007104D9"/>
    <w:rsid w:val="00710549"/>
    <w:rsid w:val="00710725"/>
    <w:rsid w:val="00710941"/>
    <w:rsid w:val="00710976"/>
    <w:rsid w:val="00710A79"/>
    <w:rsid w:val="00710A9E"/>
    <w:rsid w:val="00710AED"/>
    <w:rsid w:val="00710B1F"/>
    <w:rsid w:val="00710B89"/>
    <w:rsid w:val="00710BE9"/>
    <w:rsid w:val="00710BEC"/>
    <w:rsid w:val="00710CCC"/>
    <w:rsid w:val="00710D33"/>
    <w:rsid w:val="00710D6F"/>
    <w:rsid w:val="00710DB5"/>
    <w:rsid w:val="00711125"/>
    <w:rsid w:val="0071113A"/>
    <w:rsid w:val="007111BC"/>
    <w:rsid w:val="007112C2"/>
    <w:rsid w:val="00711357"/>
    <w:rsid w:val="007114D5"/>
    <w:rsid w:val="007115BF"/>
    <w:rsid w:val="00711609"/>
    <w:rsid w:val="0071166F"/>
    <w:rsid w:val="0071177D"/>
    <w:rsid w:val="00711825"/>
    <w:rsid w:val="0071185B"/>
    <w:rsid w:val="007118C9"/>
    <w:rsid w:val="00711A00"/>
    <w:rsid w:val="00711B95"/>
    <w:rsid w:val="00711BDB"/>
    <w:rsid w:val="00711D7C"/>
    <w:rsid w:val="00711E47"/>
    <w:rsid w:val="00711E6A"/>
    <w:rsid w:val="00711F0E"/>
    <w:rsid w:val="00711F66"/>
    <w:rsid w:val="00712074"/>
    <w:rsid w:val="007121A8"/>
    <w:rsid w:val="007121F5"/>
    <w:rsid w:val="007121F9"/>
    <w:rsid w:val="00712279"/>
    <w:rsid w:val="00712324"/>
    <w:rsid w:val="0071248C"/>
    <w:rsid w:val="007124ED"/>
    <w:rsid w:val="007126B6"/>
    <w:rsid w:val="007127DD"/>
    <w:rsid w:val="007128C9"/>
    <w:rsid w:val="00712AA9"/>
    <w:rsid w:val="00712C29"/>
    <w:rsid w:val="00712CB2"/>
    <w:rsid w:val="00712D0C"/>
    <w:rsid w:val="00712F5C"/>
    <w:rsid w:val="00712F8A"/>
    <w:rsid w:val="00712FF5"/>
    <w:rsid w:val="0071318D"/>
    <w:rsid w:val="007132D6"/>
    <w:rsid w:val="0071336B"/>
    <w:rsid w:val="00713398"/>
    <w:rsid w:val="0071345E"/>
    <w:rsid w:val="007134AA"/>
    <w:rsid w:val="007135E8"/>
    <w:rsid w:val="00713655"/>
    <w:rsid w:val="007136D9"/>
    <w:rsid w:val="007136F8"/>
    <w:rsid w:val="0071381D"/>
    <w:rsid w:val="00713920"/>
    <w:rsid w:val="00713925"/>
    <w:rsid w:val="00713981"/>
    <w:rsid w:val="00713A83"/>
    <w:rsid w:val="00713B78"/>
    <w:rsid w:val="00713C39"/>
    <w:rsid w:val="00713C5F"/>
    <w:rsid w:val="00713D4F"/>
    <w:rsid w:val="00713D85"/>
    <w:rsid w:val="00713EEB"/>
    <w:rsid w:val="00713FA0"/>
    <w:rsid w:val="00713FC3"/>
    <w:rsid w:val="0071404A"/>
    <w:rsid w:val="00714165"/>
    <w:rsid w:val="00714189"/>
    <w:rsid w:val="007141B8"/>
    <w:rsid w:val="00714248"/>
    <w:rsid w:val="00714286"/>
    <w:rsid w:val="00714316"/>
    <w:rsid w:val="0071446F"/>
    <w:rsid w:val="007144BE"/>
    <w:rsid w:val="00714597"/>
    <w:rsid w:val="00714617"/>
    <w:rsid w:val="007146C8"/>
    <w:rsid w:val="007146DB"/>
    <w:rsid w:val="00714763"/>
    <w:rsid w:val="0071494D"/>
    <w:rsid w:val="00714A4A"/>
    <w:rsid w:val="00714C8C"/>
    <w:rsid w:val="00714DC8"/>
    <w:rsid w:val="00714E35"/>
    <w:rsid w:val="00714E91"/>
    <w:rsid w:val="00714F1E"/>
    <w:rsid w:val="00714FA2"/>
    <w:rsid w:val="00715098"/>
    <w:rsid w:val="00715132"/>
    <w:rsid w:val="00715197"/>
    <w:rsid w:val="00715204"/>
    <w:rsid w:val="007152A0"/>
    <w:rsid w:val="00715314"/>
    <w:rsid w:val="007156D4"/>
    <w:rsid w:val="007156F3"/>
    <w:rsid w:val="0071583E"/>
    <w:rsid w:val="0071586B"/>
    <w:rsid w:val="007159BE"/>
    <w:rsid w:val="00715A50"/>
    <w:rsid w:val="00715B60"/>
    <w:rsid w:val="00715B77"/>
    <w:rsid w:val="00715BD8"/>
    <w:rsid w:val="00715C16"/>
    <w:rsid w:val="00715CCF"/>
    <w:rsid w:val="00715E00"/>
    <w:rsid w:val="00715E73"/>
    <w:rsid w:val="00715E79"/>
    <w:rsid w:val="0071605D"/>
    <w:rsid w:val="0071622B"/>
    <w:rsid w:val="00716249"/>
    <w:rsid w:val="00716392"/>
    <w:rsid w:val="0071650D"/>
    <w:rsid w:val="007165CA"/>
    <w:rsid w:val="007167A1"/>
    <w:rsid w:val="007167AC"/>
    <w:rsid w:val="007167B0"/>
    <w:rsid w:val="0071685E"/>
    <w:rsid w:val="007168FA"/>
    <w:rsid w:val="00716AD8"/>
    <w:rsid w:val="00716AF2"/>
    <w:rsid w:val="00716B36"/>
    <w:rsid w:val="00716BC6"/>
    <w:rsid w:val="00716C55"/>
    <w:rsid w:val="00716C5A"/>
    <w:rsid w:val="00716D01"/>
    <w:rsid w:val="00716DAC"/>
    <w:rsid w:val="00716F4C"/>
    <w:rsid w:val="00716FB4"/>
    <w:rsid w:val="007170A3"/>
    <w:rsid w:val="00717143"/>
    <w:rsid w:val="007171C8"/>
    <w:rsid w:val="0071725A"/>
    <w:rsid w:val="00717283"/>
    <w:rsid w:val="0071735E"/>
    <w:rsid w:val="007173C6"/>
    <w:rsid w:val="007173C8"/>
    <w:rsid w:val="00717657"/>
    <w:rsid w:val="007176CD"/>
    <w:rsid w:val="007176CF"/>
    <w:rsid w:val="0071777C"/>
    <w:rsid w:val="007178AA"/>
    <w:rsid w:val="00717934"/>
    <w:rsid w:val="007179A5"/>
    <w:rsid w:val="007179E0"/>
    <w:rsid w:val="00717C7C"/>
    <w:rsid w:val="00717CBB"/>
    <w:rsid w:val="00717CBF"/>
    <w:rsid w:val="00717CE5"/>
    <w:rsid w:val="00717D47"/>
    <w:rsid w:val="00717D83"/>
    <w:rsid w:val="00717DFA"/>
    <w:rsid w:val="00717E33"/>
    <w:rsid w:val="00717E4C"/>
    <w:rsid w:val="00717ECB"/>
    <w:rsid w:val="00717F85"/>
    <w:rsid w:val="007200C2"/>
    <w:rsid w:val="0072033D"/>
    <w:rsid w:val="0072044A"/>
    <w:rsid w:val="0072049E"/>
    <w:rsid w:val="00720537"/>
    <w:rsid w:val="00720553"/>
    <w:rsid w:val="007205A3"/>
    <w:rsid w:val="007205CA"/>
    <w:rsid w:val="007205D8"/>
    <w:rsid w:val="0072067B"/>
    <w:rsid w:val="0072086D"/>
    <w:rsid w:val="0072089F"/>
    <w:rsid w:val="007208A6"/>
    <w:rsid w:val="00720A26"/>
    <w:rsid w:val="00720A6A"/>
    <w:rsid w:val="00720A7F"/>
    <w:rsid w:val="00720B67"/>
    <w:rsid w:val="00720BED"/>
    <w:rsid w:val="00720C66"/>
    <w:rsid w:val="00720C6F"/>
    <w:rsid w:val="00720D54"/>
    <w:rsid w:val="00720D7B"/>
    <w:rsid w:val="00720DC5"/>
    <w:rsid w:val="00720DFF"/>
    <w:rsid w:val="00720E10"/>
    <w:rsid w:val="007210F7"/>
    <w:rsid w:val="00721114"/>
    <w:rsid w:val="0072115F"/>
    <w:rsid w:val="00721284"/>
    <w:rsid w:val="00721405"/>
    <w:rsid w:val="00721431"/>
    <w:rsid w:val="007215E9"/>
    <w:rsid w:val="0072168E"/>
    <w:rsid w:val="00721698"/>
    <w:rsid w:val="007216BE"/>
    <w:rsid w:val="00721719"/>
    <w:rsid w:val="00721897"/>
    <w:rsid w:val="007218CB"/>
    <w:rsid w:val="007218E2"/>
    <w:rsid w:val="00721960"/>
    <w:rsid w:val="00721961"/>
    <w:rsid w:val="00721992"/>
    <w:rsid w:val="007219CC"/>
    <w:rsid w:val="00721A41"/>
    <w:rsid w:val="00721BC4"/>
    <w:rsid w:val="00721BFB"/>
    <w:rsid w:val="00721D13"/>
    <w:rsid w:val="00721DE7"/>
    <w:rsid w:val="00721F9D"/>
    <w:rsid w:val="00722066"/>
    <w:rsid w:val="00722375"/>
    <w:rsid w:val="007223FF"/>
    <w:rsid w:val="007225BA"/>
    <w:rsid w:val="00722684"/>
    <w:rsid w:val="007226E4"/>
    <w:rsid w:val="0072283A"/>
    <w:rsid w:val="00722A1E"/>
    <w:rsid w:val="00722A88"/>
    <w:rsid w:val="00722ABD"/>
    <w:rsid w:val="00722E13"/>
    <w:rsid w:val="00722EA3"/>
    <w:rsid w:val="00722F7D"/>
    <w:rsid w:val="0072306B"/>
    <w:rsid w:val="00723131"/>
    <w:rsid w:val="0072313D"/>
    <w:rsid w:val="007232AE"/>
    <w:rsid w:val="00723364"/>
    <w:rsid w:val="007233F6"/>
    <w:rsid w:val="0072341A"/>
    <w:rsid w:val="007234EB"/>
    <w:rsid w:val="00723682"/>
    <w:rsid w:val="007236F0"/>
    <w:rsid w:val="007237F0"/>
    <w:rsid w:val="00723863"/>
    <w:rsid w:val="00723869"/>
    <w:rsid w:val="007239E5"/>
    <w:rsid w:val="00723B1C"/>
    <w:rsid w:val="00723BDB"/>
    <w:rsid w:val="00723D1F"/>
    <w:rsid w:val="00723D3D"/>
    <w:rsid w:val="00723E61"/>
    <w:rsid w:val="00723ED7"/>
    <w:rsid w:val="00724073"/>
    <w:rsid w:val="007241DE"/>
    <w:rsid w:val="0072424F"/>
    <w:rsid w:val="007243EF"/>
    <w:rsid w:val="0072450D"/>
    <w:rsid w:val="0072459C"/>
    <w:rsid w:val="007245E2"/>
    <w:rsid w:val="00724630"/>
    <w:rsid w:val="00724664"/>
    <w:rsid w:val="007246BE"/>
    <w:rsid w:val="00724780"/>
    <w:rsid w:val="00724803"/>
    <w:rsid w:val="00724886"/>
    <w:rsid w:val="00724921"/>
    <w:rsid w:val="00724965"/>
    <w:rsid w:val="00724988"/>
    <w:rsid w:val="00724A67"/>
    <w:rsid w:val="00724AC4"/>
    <w:rsid w:val="00724B65"/>
    <w:rsid w:val="00724B75"/>
    <w:rsid w:val="00724B8F"/>
    <w:rsid w:val="00724B9C"/>
    <w:rsid w:val="00724BE6"/>
    <w:rsid w:val="00724D3F"/>
    <w:rsid w:val="00724D90"/>
    <w:rsid w:val="00724DC6"/>
    <w:rsid w:val="007250AC"/>
    <w:rsid w:val="007250B1"/>
    <w:rsid w:val="007250BF"/>
    <w:rsid w:val="00725223"/>
    <w:rsid w:val="007253D0"/>
    <w:rsid w:val="007253D9"/>
    <w:rsid w:val="00725400"/>
    <w:rsid w:val="00725460"/>
    <w:rsid w:val="007254FE"/>
    <w:rsid w:val="00725529"/>
    <w:rsid w:val="00725601"/>
    <w:rsid w:val="007256B4"/>
    <w:rsid w:val="007256DF"/>
    <w:rsid w:val="007256F9"/>
    <w:rsid w:val="0072571E"/>
    <w:rsid w:val="0072573E"/>
    <w:rsid w:val="007257EC"/>
    <w:rsid w:val="0072599A"/>
    <w:rsid w:val="00725AB1"/>
    <w:rsid w:val="00725B98"/>
    <w:rsid w:val="00725CE0"/>
    <w:rsid w:val="00725D43"/>
    <w:rsid w:val="00725D51"/>
    <w:rsid w:val="00725DC4"/>
    <w:rsid w:val="00725E4B"/>
    <w:rsid w:val="00725E6B"/>
    <w:rsid w:val="00725FBC"/>
    <w:rsid w:val="00726091"/>
    <w:rsid w:val="0072617C"/>
    <w:rsid w:val="00726266"/>
    <w:rsid w:val="00726396"/>
    <w:rsid w:val="007263C6"/>
    <w:rsid w:val="007263F1"/>
    <w:rsid w:val="00726419"/>
    <w:rsid w:val="0072642A"/>
    <w:rsid w:val="007265D1"/>
    <w:rsid w:val="0072663A"/>
    <w:rsid w:val="0072668E"/>
    <w:rsid w:val="007268B4"/>
    <w:rsid w:val="007269AE"/>
    <w:rsid w:val="007269EC"/>
    <w:rsid w:val="00726A14"/>
    <w:rsid w:val="00726A7A"/>
    <w:rsid w:val="00726B48"/>
    <w:rsid w:val="00726B84"/>
    <w:rsid w:val="00726BC5"/>
    <w:rsid w:val="00726CDB"/>
    <w:rsid w:val="00726DA8"/>
    <w:rsid w:val="00726DBA"/>
    <w:rsid w:val="00726DD4"/>
    <w:rsid w:val="00726E4E"/>
    <w:rsid w:val="00726E67"/>
    <w:rsid w:val="00726F7E"/>
    <w:rsid w:val="00726FB4"/>
    <w:rsid w:val="00727119"/>
    <w:rsid w:val="00727129"/>
    <w:rsid w:val="007271C5"/>
    <w:rsid w:val="00727270"/>
    <w:rsid w:val="0072728F"/>
    <w:rsid w:val="007272A0"/>
    <w:rsid w:val="007272F5"/>
    <w:rsid w:val="007273A5"/>
    <w:rsid w:val="00727523"/>
    <w:rsid w:val="007276EB"/>
    <w:rsid w:val="007277BC"/>
    <w:rsid w:val="00727819"/>
    <w:rsid w:val="00727867"/>
    <w:rsid w:val="00727A70"/>
    <w:rsid w:val="00727BBD"/>
    <w:rsid w:val="00727BE5"/>
    <w:rsid w:val="00727C97"/>
    <w:rsid w:val="00727DC1"/>
    <w:rsid w:val="00727DCA"/>
    <w:rsid w:val="00727F33"/>
    <w:rsid w:val="00730147"/>
    <w:rsid w:val="007301CB"/>
    <w:rsid w:val="007301F5"/>
    <w:rsid w:val="00730227"/>
    <w:rsid w:val="007302A9"/>
    <w:rsid w:val="007302CE"/>
    <w:rsid w:val="0073037C"/>
    <w:rsid w:val="00730417"/>
    <w:rsid w:val="0073044E"/>
    <w:rsid w:val="00730503"/>
    <w:rsid w:val="007305D6"/>
    <w:rsid w:val="00730608"/>
    <w:rsid w:val="00730717"/>
    <w:rsid w:val="007307EC"/>
    <w:rsid w:val="00730A7F"/>
    <w:rsid w:val="00730BC0"/>
    <w:rsid w:val="00730BC1"/>
    <w:rsid w:val="00730DB9"/>
    <w:rsid w:val="00730DF3"/>
    <w:rsid w:val="00730E44"/>
    <w:rsid w:val="00730EE4"/>
    <w:rsid w:val="00730F4C"/>
    <w:rsid w:val="00731002"/>
    <w:rsid w:val="00731085"/>
    <w:rsid w:val="007312A5"/>
    <w:rsid w:val="007313CE"/>
    <w:rsid w:val="007315BD"/>
    <w:rsid w:val="007315EB"/>
    <w:rsid w:val="0073169C"/>
    <w:rsid w:val="007316D9"/>
    <w:rsid w:val="007318D7"/>
    <w:rsid w:val="00731AB7"/>
    <w:rsid w:val="00731BA7"/>
    <w:rsid w:val="00731C90"/>
    <w:rsid w:val="00731DBA"/>
    <w:rsid w:val="00731EB4"/>
    <w:rsid w:val="00732025"/>
    <w:rsid w:val="007320AC"/>
    <w:rsid w:val="00732136"/>
    <w:rsid w:val="007322B6"/>
    <w:rsid w:val="007322E8"/>
    <w:rsid w:val="0073241A"/>
    <w:rsid w:val="0073243F"/>
    <w:rsid w:val="007325BE"/>
    <w:rsid w:val="007325F7"/>
    <w:rsid w:val="007326F2"/>
    <w:rsid w:val="00732871"/>
    <w:rsid w:val="007328F0"/>
    <w:rsid w:val="00732961"/>
    <w:rsid w:val="007329B9"/>
    <w:rsid w:val="00732B3F"/>
    <w:rsid w:val="00732BC8"/>
    <w:rsid w:val="00732D62"/>
    <w:rsid w:val="00732D73"/>
    <w:rsid w:val="00732E65"/>
    <w:rsid w:val="00732E80"/>
    <w:rsid w:val="00732ECF"/>
    <w:rsid w:val="00732EDA"/>
    <w:rsid w:val="0073318F"/>
    <w:rsid w:val="00733237"/>
    <w:rsid w:val="0073329A"/>
    <w:rsid w:val="007332C2"/>
    <w:rsid w:val="007333F4"/>
    <w:rsid w:val="0073340E"/>
    <w:rsid w:val="007334A3"/>
    <w:rsid w:val="007334EB"/>
    <w:rsid w:val="00733627"/>
    <w:rsid w:val="0073369A"/>
    <w:rsid w:val="007336BA"/>
    <w:rsid w:val="00733845"/>
    <w:rsid w:val="00733B19"/>
    <w:rsid w:val="00733B35"/>
    <w:rsid w:val="00733BD3"/>
    <w:rsid w:val="00733C55"/>
    <w:rsid w:val="00733D48"/>
    <w:rsid w:val="00733DFB"/>
    <w:rsid w:val="00733E33"/>
    <w:rsid w:val="00733F80"/>
    <w:rsid w:val="00734070"/>
    <w:rsid w:val="007341BC"/>
    <w:rsid w:val="007341D0"/>
    <w:rsid w:val="0073420B"/>
    <w:rsid w:val="00734290"/>
    <w:rsid w:val="007342B8"/>
    <w:rsid w:val="007343FE"/>
    <w:rsid w:val="00734414"/>
    <w:rsid w:val="007344A9"/>
    <w:rsid w:val="007344D7"/>
    <w:rsid w:val="00734522"/>
    <w:rsid w:val="00734759"/>
    <w:rsid w:val="00734777"/>
    <w:rsid w:val="007347E4"/>
    <w:rsid w:val="007347E7"/>
    <w:rsid w:val="00734802"/>
    <w:rsid w:val="0073489A"/>
    <w:rsid w:val="007348D2"/>
    <w:rsid w:val="00734A10"/>
    <w:rsid w:val="00734A5C"/>
    <w:rsid w:val="00734A71"/>
    <w:rsid w:val="00734B39"/>
    <w:rsid w:val="00734C85"/>
    <w:rsid w:val="00734D93"/>
    <w:rsid w:val="00734D98"/>
    <w:rsid w:val="00734E2E"/>
    <w:rsid w:val="00734EE7"/>
    <w:rsid w:val="00734FC1"/>
    <w:rsid w:val="0073500D"/>
    <w:rsid w:val="00735014"/>
    <w:rsid w:val="0073508E"/>
    <w:rsid w:val="007350CA"/>
    <w:rsid w:val="00735272"/>
    <w:rsid w:val="00735296"/>
    <w:rsid w:val="007353C3"/>
    <w:rsid w:val="007353D1"/>
    <w:rsid w:val="0073566A"/>
    <w:rsid w:val="0073573B"/>
    <w:rsid w:val="007357FC"/>
    <w:rsid w:val="007358D4"/>
    <w:rsid w:val="00735948"/>
    <w:rsid w:val="0073596A"/>
    <w:rsid w:val="0073598C"/>
    <w:rsid w:val="00735A44"/>
    <w:rsid w:val="00735C35"/>
    <w:rsid w:val="00735D70"/>
    <w:rsid w:val="00735DB9"/>
    <w:rsid w:val="00735EAB"/>
    <w:rsid w:val="00735F77"/>
    <w:rsid w:val="00735FAF"/>
    <w:rsid w:val="00736091"/>
    <w:rsid w:val="007360E2"/>
    <w:rsid w:val="00736188"/>
    <w:rsid w:val="007361A8"/>
    <w:rsid w:val="00736245"/>
    <w:rsid w:val="0073633C"/>
    <w:rsid w:val="00736515"/>
    <w:rsid w:val="007365F2"/>
    <w:rsid w:val="0073663A"/>
    <w:rsid w:val="00736682"/>
    <w:rsid w:val="007368EB"/>
    <w:rsid w:val="0073694F"/>
    <w:rsid w:val="00736B4E"/>
    <w:rsid w:val="00736CE1"/>
    <w:rsid w:val="00736D6C"/>
    <w:rsid w:val="00736D8D"/>
    <w:rsid w:val="00736E8C"/>
    <w:rsid w:val="00736ECA"/>
    <w:rsid w:val="00736F7B"/>
    <w:rsid w:val="00737149"/>
    <w:rsid w:val="007371B2"/>
    <w:rsid w:val="00737217"/>
    <w:rsid w:val="007372CB"/>
    <w:rsid w:val="00737393"/>
    <w:rsid w:val="007373C9"/>
    <w:rsid w:val="0073740C"/>
    <w:rsid w:val="0073747A"/>
    <w:rsid w:val="00737528"/>
    <w:rsid w:val="00737574"/>
    <w:rsid w:val="00737651"/>
    <w:rsid w:val="007376D2"/>
    <w:rsid w:val="007379E1"/>
    <w:rsid w:val="007379F0"/>
    <w:rsid w:val="00737BAE"/>
    <w:rsid w:val="00737D0C"/>
    <w:rsid w:val="00737E83"/>
    <w:rsid w:val="00737F1C"/>
    <w:rsid w:val="00737F3F"/>
    <w:rsid w:val="00737F54"/>
    <w:rsid w:val="00737F9E"/>
    <w:rsid w:val="0074015B"/>
    <w:rsid w:val="00740187"/>
    <w:rsid w:val="00740251"/>
    <w:rsid w:val="0074049B"/>
    <w:rsid w:val="0074058E"/>
    <w:rsid w:val="00740606"/>
    <w:rsid w:val="007406A4"/>
    <w:rsid w:val="0074070C"/>
    <w:rsid w:val="0074073F"/>
    <w:rsid w:val="0074080B"/>
    <w:rsid w:val="007408A9"/>
    <w:rsid w:val="00740AAE"/>
    <w:rsid w:val="00740BD6"/>
    <w:rsid w:val="00740C60"/>
    <w:rsid w:val="00740CA5"/>
    <w:rsid w:val="00740CAA"/>
    <w:rsid w:val="00740D0C"/>
    <w:rsid w:val="00740EAB"/>
    <w:rsid w:val="00740EC5"/>
    <w:rsid w:val="00740EE9"/>
    <w:rsid w:val="00740EFB"/>
    <w:rsid w:val="00740F6D"/>
    <w:rsid w:val="00740FB9"/>
    <w:rsid w:val="00741101"/>
    <w:rsid w:val="00741104"/>
    <w:rsid w:val="0074112E"/>
    <w:rsid w:val="007411C6"/>
    <w:rsid w:val="007411D3"/>
    <w:rsid w:val="007413D9"/>
    <w:rsid w:val="00741413"/>
    <w:rsid w:val="00741446"/>
    <w:rsid w:val="00741453"/>
    <w:rsid w:val="0074193D"/>
    <w:rsid w:val="0074199C"/>
    <w:rsid w:val="00741A28"/>
    <w:rsid w:val="00741DB9"/>
    <w:rsid w:val="00741E9C"/>
    <w:rsid w:val="00741F1C"/>
    <w:rsid w:val="00741FAC"/>
    <w:rsid w:val="007422BD"/>
    <w:rsid w:val="007422DA"/>
    <w:rsid w:val="00742314"/>
    <w:rsid w:val="0074245A"/>
    <w:rsid w:val="007424E5"/>
    <w:rsid w:val="00742551"/>
    <w:rsid w:val="007425C6"/>
    <w:rsid w:val="007425E5"/>
    <w:rsid w:val="007425FA"/>
    <w:rsid w:val="00742799"/>
    <w:rsid w:val="00742AB7"/>
    <w:rsid w:val="00742B98"/>
    <w:rsid w:val="00742BBC"/>
    <w:rsid w:val="00742BD3"/>
    <w:rsid w:val="00742C8F"/>
    <w:rsid w:val="00742CF4"/>
    <w:rsid w:val="00742D28"/>
    <w:rsid w:val="00742EBF"/>
    <w:rsid w:val="00742F16"/>
    <w:rsid w:val="00742F90"/>
    <w:rsid w:val="00743045"/>
    <w:rsid w:val="007430A7"/>
    <w:rsid w:val="007430E4"/>
    <w:rsid w:val="0074310B"/>
    <w:rsid w:val="00743185"/>
    <w:rsid w:val="0074321D"/>
    <w:rsid w:val="007432B9"/>
    <w:rsid w:val="00743320"/>
    <w:rsid w:val="00743420"/>
    <w:rsid w:val="00743480"/>
    <w:rsid w:val="00743562"/>
    <w:rsid w:val="007436B9"/>
    <w:rsid w:val="007436D0"/>
    <w:rsid w:val="00743843"/>
    <w:rsid w:val="00743897"/>
    <w:rsid w:val="007438AB"/>
    <w:rsid w:val="007438F6"/>
    <w:rsid w:val="00743904"/>
    <w:rsid w:val="00743A3C"/>
    <w:rsid w:val="00743AF6"/>
    <w:rsid w:val="00743C33"/>
    <w:rsid w:val="00743C5C"/>
    <w:rsid w:val="00743D0F"/>
    <w:rsid w:val="00743DBE"/>
    <w:rsid w:val="00743E39"/>
    <w:rsid w:val="00743E5A"/>
    <w:rsid w:val="00743E67"/>
    <w:rsid w:val="00743EC3"/>
    <w:rsid w:val="00743F1A"/>
    <w:rsid w:val="00743F3D"/>
    <w:rsid w:val="00743FB9"/>
    <w:rsid w:val="0074412B"/>
    <w:rsid w:val="00744229"/>
    <w:rsid w:val="0074423B"/>
    <w:rsid w:val="007442CC"/>
    <w:rsid w:val="007442E3"/>
    <w:rsid w:val="007443FE"/>
    <w:rsid w:val="00744502"/>
    <w:rsid w:val="007446F2"/>
    <w:rsid w:val="00744765"/>
    <w:rsid w:val="007447EC"/>
    <w:rsid w:val="0074481E"/>
    <w:rsid w:val="0074485C"/>
    <w:rsid w:val="00744882"/>
    <w:rsid w:val="0074499D"/>
    <w:rsid w:val="00744A4B"/>
    <w:rsid w:val="00744AB2"/>
    <w:rsid w:val="00744AD5"/>
    <w:rsid w:val="00744B49"/>
    <w:rsid w:val="00744C27"/>
    <w:rsid w:val="00744D2B"/>
    <w:rsid w:val="00744FCD"/>
    <w:rsid w:val="00744FD4"/>
    <w:rsid w:val="00745027"/>
    <w:rsid w:val="00745235"/>
    <w:rsid w:val="00745247"/>
    <w:rsid w:val="0074528E"/>
    <w:rsid w:val="00745295"/>
    <w:rsid w:val="007452E4"/>
    <w:rsid w:val="007454AE"/>
    <w:rsid w:val="007454CE"/>
    <w:rsid w:val="00745513"/>
    <w:rsid w:val="007455B0"/>
    <w:rsid w:val="00745658"/>
    <w:rsid w:val="0074576E"/>
    <w:rsid w:val="007457F1"/>
    <w:rsid w:val="00745877"/>
    <w:rsid w:val="0074593C"/>
    <w:rsid w:val="00745A40"/>
    <w:rsid w:val="00745B7D"/>
    <w:rsid w:val="00745B88"/>
    <w:rsid w:val="00745B98"/>
    <w:rsid w:val="00745B9B"/>
    <w:rsid w:val="00745BBC"/>
    <w:rsid w:val="00745C71"/>
    <w:rsid w:val="00745E83"/>
    <w:rsid w:val="00745F78"/>
    <w:rsid w:val="0074615C"/>
    <w:rsid w:val="00746204"/>
    <w:rsid w:val="00746214"/>
    <w:rsid w:val="00746240"/>
    <w:rsid w:val="00746278"/>
    <w:rsid w:val="007462D5"/>
    <w:rsid w:val="007462F6"/>
    <w:rsid w:val="00746389"/>
    <w:rsid w:val="00746425"/>
    <w:rsid w:val="007464DF"/>
    <w:rsid w:val="007464EE"/>
    <w:rsid w:val="007465C5"/>
    <w:rsid w:val="00746677"/>
    <w:rsid w:val="00746685"/>
    <w:rsid w:val="007466BA"/>
    <w:rsid w:val="00746758"/>
    <w:rsid w:val="007467DF"/>
    <w:rsid w:val="00746818"/>
    <w:rsid w:val="007468AF"/>
    <w:rsid w:val="00746976"/>
    <w:rsid w:val="00746B54"/>
    <w:rsid w:val="00746CD9"/>
    <w:rsid w:val="00746D42"/>
    <w:rsid w:val="00746F09"/>
    <w:rsid w:val="00746F70"/>
    <w:rsid w:val="00746F85"/>
    <w:rsid w:val="00746FE1"/>
    <w:rsid w:val="00747015"/>
    <w:rsid w:val="007471EF"/>
    <w:rsid w:val="00747226"/>
    <w:rsid w:val="007472B1"/>
    <w:rsid w:val="00747308"/>
    <w:rsid w:val="00747554"/>
    <w:rsid w:val="0074757E"/>
    <w:rsid w:val="00747A1A"/>
    <w:rsid w:val="00747CD5"/>
    <w:rsid w:val="00747D92"/>
    <w:rsid w:val="00747E98"/>
    <w:rsid w:val="00747EC4"/>
    <w:rsid w:val="00747EF4"/>
    <w:rsid w:val="00750043"/>
    <w:rsid w:val="007500A7"/>
    <w:rsid w:val="007501CE"/>
    <w:rsid w:val="007502F1"/>
    <w:rsid w:val="0075035D"/>
    <w:rsid w:val="007503BA"/>
    <w:rsid w:val="007503E3"/>
    <w:rsid w:val="0075042C"/>
    <w:rsid w:val="007504BC"/>
    <w:rsid w:val="007505BF"/>
    <w:rsid w:val="007505DF"/>
    <w:rsid w:val="00750769"/>
    <w:rsid w:val="00750884"/>
    <w:rsid w:val="00750934"/>
    <w:rsid w:val="007509AC"/>
    <w:rsid w:val="00750A25"/>
    <w:rsid w:val="00750A37"/>
    <w:rsid w:val="00750B25"/>
    <w:rsid w:val="00750B3C"/>
    <w:rsid w:val="00750D62"/>
    <w:rsid w:val="00750DC2"/>
    <w:rsid w:val="007510B3"/>
    <w:rsid w:val="00751127"/>
    <w:rsid w:val="00751180"/>
    <w:rsid w:val="00751266"/>
    <w:rsid w:val="007512CB"/>
    <w:rsid w:val="007513D2"/>
    <w:rsid w:val="00751410"/>
    <w:rsid w:val="0075141B"/>
    <w:rsid w:val="007515B8"/>
    <w:rsid w:val="007517DB"/>
    <w:rsid w:val="00751855"/>
    <w:rsid w:val="0075196D"/>
    <w:rsid w:val="00751991"/>
    <w:rsid w:val="00751A0F"/>
    <w:rsid w:val="00751A2C"/>
    <w:rsid w:val="00751AA3"/>
    <w:rsid w:val="00751BF2"/>
    <w:rsid w:val="00751CE8"/>
    <w:rsid w:val="00751CF4"/>
    <w:rsid w:val="00751D0F"/>
    <w:rsid w:val="00751E09"/>
    <w:rsid w:val="00751EFC"/>
    <w:rsid w:val="00751F3C"/>
    <w:rsid w:val="00751F49"/>
    <w:rsid w:val="00752030"/>
    <w:rsid w:val="007520CE"/>
    <w:rsid w:val="007521A1"/>
    <w:rsid w:val="007522B1"/>
    <w:rsid w:val="007522F2"/>
    <w:rsid w:val="0075245E"/>
    <w:rsid w:val="00752479"/>
    <w:rsid w:val="00752481"/>
    <w:rsid w:val="00752526"/>
    <w:rsid w:val="007525C9"/>
    <w:rsid w:val="007526CE"/>
    <w:rsid w:val="00752700"/>
    <w:rsid w:val="00752763"/>
    <w:rsid w:val="007527E3"/>
    <w:rsid w:val="00752842"/>
    <w:rsid w:val="00752A18"/>
    <w:rsid w:val="00752ACC"/>
    <w:rsid w:val="00752CE4"/>
    <w:rsid w:val="00752F6A"/>
    <w:rsid w:val="00753054"/>
    <w:rsid w:val="0075310A"/>
    <w:rsid w:val="0075318E"/>
    <w:rsid w:val="00753239"/>
    <w:rsid w:val="0075330B"/>
    <w:rsid w:val="00753388"/>
    <w:rsid w:val="0075343A"/>
    <w:rsid w:val="0075352E"/>
    <w:rsid w:val="007535A9"/>
    <w:rsid w:val="007535D3"/>
    <w:rsid w:val="00753820"/>
    <w:rsid w:val="007538E8"/>
    <w:rsid w:val="00753942"/>
    <w:rsid w:val="007539FE"/>
    <w:rsid w:val="00753A54"/>
    <w:rsid w:val="00753A91"/>
    <w:rsid w:val="00753D20"/>
    <w:rsid w:val="00753D9C"/>
    <w:rsid w:val="00754223"/>
    <w:rsid w:val="00754242"/>
    <w:rsid w:val="0075424D"/>
    <w:rsid w:val="00754388"/>
    <w:rsid w:val="00754415"/>
    <w:rsid w:val="00754462"/>
    <w:rsid w:val="00754490"/>
    <w:rsid w:val="007544C9"/>
    <w:rsid w:val="007546DE"/>
    <w:rsid w:val="007546EE"/>
    <w:rsid w:val="00754728"/>
    <w:rsid w:val="007548C4"/>
    <w:rsid w:val="007548C5"/>
    <w:rsid w:val="00754A11"/>
    <w:rsid w:val="00754A7F"/>
    <w:rsid w:val="00754B9A"/>
    <w:rsid w:val="00754E24"/>
    <w:rsid w:val="00754E44"/>
    <w:rsid w:val="00754E52"/>
    <w:rsid w:val="00754E87"/>
    <w:rsid w:val="00754F01"/>
    <w:rsid w:val="00755055"/>
    <w:rsid w:val="007550A8"/>
    <w:rsid w:val="00755239"/>
    <w:rsid w:val="0075532E"/>
    <w:rsid w:val="007553BB"/>
    <w:rsid w:val="00755464"/>
    <w:rsid w:val="007554A2"/>
    <w:rsid w:val="0075554C"/>
    <w:rsid w:val="007555C9"/>
    <w:rsid w:val="007555E4"/>
    <w:rsid w:val="00755786"/>
    <w:rsid w:val="007557E3"/>
    <w:rsid w:val="00755893"/>
    <w:rsid w:val="007558FC"/>
    <w:rsid w:val="0075596F"/>
    <w:rsid w:val="00755DD7"/>
    <w:rsid w:val="00755E1C"/>
    <w:rsid w:val="00755EE2"/>
    <w:rsid w:val="00755F56"/>
    <w:rsid w:val="00755FB0"/>
    <w:rsid w:val="00756112"/>
    <w:rsid w:val="00756181"/>
    <w:rsid w:val="00756570"/>
    <w:rsid w:val="00756598"/>
    <w:rsid w:val="007566AA"/>
    <w:rsid w:val="0075672D"/>
    <w:rsid w:val="00756790"/>
    <w:rsid w:val="00756825"/>
    <w:rsid w:val="007568C2"/>
    <w:rsid w:val="007568D8"/>
    <w:rsid w:val="00756995"/>
    <w:rsid w:val="00756ADE"/>
    <w:rsid w:val="00756B19"/>
    <w:rsid w:val="00756BE4"/>
    <w:rsid w:val="00756BF4"/>
    <w:rsid w:val="00756F2A"/>
    <w:rsid w:val="00756F72"/>
    <w:rsid w:val="00757085"/>
    <w:rsid w:val="007571EC"/>
    <w:rsid w:val="00757226"/>
    <w:rsid w:val="00757228"/>
    <w:rsid w:val="0075724A"/>
    <w:rsid w:val="0075728F"/>
    <w:rsid w:val="007572AC"/>
    <w:rsid w:val="007573FD"/>
    <w:rsid w:val="00757454"/>
    <w:rsid w:val="007575B3"/>
    <w:rsid w:val="007576AD"/>
    <w:rsid w:val="007576C8"/>
    <w:rsid w:val="00757812"/>
    <w:rsid w:val="00757865"/>
    <w:rsid w:val="00757889"/>
    <w:rsid w:val="00757899"/>
    <w:rsid w:val="00757913"/>
    <w:rsid w:val="00757A1B"/>
    <w:rsid w:val="00757AF6"/>
    <w:rsid w:val="00757AF7"/>
    <w:rsid w:val="00757B5B"/>
    <w:rsid w:val="00757CCA"/>
    <w:rsid w:val="00757D4C"/>
    <w:rsid w:val="00757D71"/>
    <w:rsid w:val="00757DAA"/>
    <w:rsid w:val="00757E60"/>
    <w:rsid w:val="00757FF1"/>
    <w:rsid w:val="007600C8"/>
    <w:rsid w:val="0076014E"/>
    <w:rsid w:val="007601DE"/>
    <w:rsid w:val="00760230"/>
    <w:rsid w:val="0076031D"/>
    <w:rsid w:val="00760351"/>
    <w:rsid w:val="00760362"/>
    <w:rsid w:val="0076038C"/>
    <w:rsid w:val="007603CE"/>
    <w:rsid w:val="00760400"/>
    <w:rsid w:val="00760446"/>
    <w:rsid w:val="007604C4"/>
    <w:rsid w:val="00760545"/>
    <w:rsid w:val="00760586"/>
    <w:rsid w:val="00760598"/>
    <w:rsid w:val="00760642"/>
    <w:rsid w:val="0076068B"/>
    <w:rsid w:val="007606AD"/>
    <w:rsid w:val="007606D6"/>
    <w:rsid w:val="007607F5"/>
    <w:rsid w:val="00760878"/>
    <w:rsid w:val="007608F0"/>
    <w:rsid w:val="00760904"/>
    <w:rsid w:val="0076092B"/>
    <w:rsid w:val="007609DF"/>
    <w:rsid w:val="007609EE"/>
    <w:rsid w:val="00760A4C"/>
    <w:rsid w:val="00760A9B"/>
    <w:rsid w:val="00760AAC"/>
    <w:rsid w:val="00760DCD"/>
    <w:rsid w:val="00760E34"/>
    <w:rsid w:val="00760E8A"/>
    <w:rsid w:val="00760FB7"/>
    <w:rsid w:val="00761000"/>
    <w:rsid w:val="00761046"/>
    <w:rsid w:val="0076108D"/>
    <w:rsid w:val="007610A1"/>
    <w:rsid w:val="007610D2"/>
    <w:rsid w:val="0076128E"/>
    <w:rsid w:val="007612F7"/>
    <w:rsid w:val="0076132F"/>
    <w:rsid w:val="007613E6"/>
    <w:rsid w:val="00761455"/>
    <w:rsid w:val="007614BA"/>
    <w:rsid w:val="00761716"/>
    <w:rsid w:val="00761725"/>
    <w:rsid w:val="00761A30"/>
    <w:rsid w:val="00761B74"/>
    <w:rsid w:val="00761B84"/>
    <w:rsid w:val="00761BE7"/>
    <w:rsid w:val="00761C14"/>
    <w:rsid w:val="00761C51"/>
    <w:rsid w:val="00761CCE"/>
    <w:rsid w:val="00761D4E"/>
    <w:rsid w:val="00761D56"/>
    <w:rsid w:val="00761F6E"/>
    <w:rsid w:val="00761FBA"/>
    <w:rsid w:val="0076205C"/>
    <w:rsid w:val="007620E9"/>
    <w:rsid w:val="0076223F"/>
    <w:rsid w:val="007622AE"/>
    <w:rsid w:val="0076233D"/>
    <w:rsid w:val="007623A4"/>
    <w:rsid w:val="007624B2"/>
    <w:rsid w:val="007624C0"/>
    <w:rsid w:val="007624D1"/>
    <w:rsid w:val="0076255D"/>
    <w:rsid w:val="00762760"/>
    <w:rsid w:val="007627CD"/>
    <w:rsid w:val="0076282A"/>
    <w:rsid w:val="0076288C"/>
    <w:rsid w:val="00762947"/>
    <w:rsid w:val="007629FA"/>
    <w:rsid w:val="00762AB8"/>
    <w:rsid w:val="00762AE6"/>
    <w:rsid w:val="00762B4C"/>
    <w:rsid w:val="00762B9A"/>
    <w:rsid w:val="00762BE3"/>
    <w:rsid w:val="00762C88"/>
    <w:rsid w:val="00762CDA"/>
    <w:rsid w:val="00762E5B"/>
    <w:rsid w:val="00762E69"/>
    <w:rsid w:val="00762FD9"/>
    <w:rsid w:val="00763003"/>
    <w:rsid w:val="0076320C"/>
    <w:rsid w:val="0076327B"/>
    <w:rsid w:val="007632C9"/>
    <w:rsid w:val="00763491"/>
    <w:rsid w:val="007634AF"/>
    <w:rsid w:val="007634CC"/>
    <w:rsid w:val="007634FE"/>
    <w:rsid w:val="0076354F"/>
    <w:rsid w:val="0076359C"/>
    <w:rsid w:val="007635DB"/>
    <w:rsid w:val="007635EE"/>
    <w:rsid w:val="00763647"/>
    <w:rsid w:val="00763651"/>
    <w:rsid w:val="007637A9"/>
    <w:rsid w:val="007637F9"/>
    <w:rsid w:val="00763851"/>
    <w:rsid w:val="007638DF"/>
    <w:rsid w:val="00763AE1"/>
    <w:rsid w:val="00763C75"/>
    <w:rsid w:val="00763D52"/>
    <w:rsid w:val="00763EC7"/>
    <w:rsid w:val="007640C6"/>
    <w:rsid w:val="0076420B"/>
    <w:rsid w:val="0076424C"/>
    <w:rsid w:val="007642C6"/>
    <w:rsid w:val="00764311"/>
    <w:rsid w:val="00764438"/>
    <w:rsid w:val="0076455E"/>
    <w:rsid w:val="007645AC"/>
    <w:rsid w:val="00764758"/>
    <w:rsid w:val="00764872"/>
    <w:rsid w:val="00764ABA"/>
    <w:rsid w:val="00764B1F"/>
    <w:rsid w:val="00764BEA"/>
    <w:rsid w:val="00764C2D"/>
    <w:rsid w:val="00764C49"/>
    <w:rsid w:val="00764C73"/>
    <w:rsid w:val="00764DC7"/>
    <w:rsid w:val="00764E51"/>
    <w:rsid w:val="00764F31"/>
    <w:rsid w:val="00765005"/>
    <w:rsid w:val="00765084"/>
    <w:rsid w:val="007650FB"/>
    <w:rsid w:val="00765163"/>
    <w:rsid w:val="0076568D"/>
    <w:rsid w:val="007659DF"/>
    <w:rsid w:val="00765AC0"/>
    <w:rsid w:val="00765B16"/>
    <w:rsid w:val="00765B68"/>
    <w:rsid w:val="00765BB6"/>
    <w:rsid w:val="00765D07"/>
    <w:rsid w:val="00765D5C"/>
    <w:rsid w:val="00765E00"/>
    <w:rsid w:val="00765E13"/>
    <w:rsid w:val="00765E8E"/>
    <w:rsid w:val="0076603A"/>
    <w:rsid w:val="00766159"/>
    <w:rsid w:val="0076617A"/>
    <w:rsid w:val="00766189"/>
    <w:rsid w:val="007662C0"/>
    <w:rsid w:val="007662E6"/>
    <w:rsid w:val="00766374"/>
    <w:rsid w:val="00766384"/>
    <w:rsid w:val="0076648C"/>
    <w:rsid w:val="00766531"/>
    <w:rsid w:val="00766570"/>
    <w:rsid w:val="00766641"/>
    <w:rsid w:val="00766790"/>
    <w:rsid w:val="007668A1"/>
    <w:rsid w:val="007668A5"/>
    <w:rsid w:val="00766A08"/>
    <w:rsid w:val="00766AAC"/>
    <w:rsid w:val="00766ABB"/>
    <w:rsid w:val="00766B2F"/>
    <w:rsid w:val="00766B4E"/>
    <w:rsid w:val="00766BCF"/>
    <w:rsid w:val="00766C31"/>
    <w:rsid w:val="00766EB6"/>
    <w:rsid w:val="00766F63"/>
    <w:rsid w:val="00766FCD"/>
    <w:rsid w:val="00767114"/>
    <w:rsid w:val="007671D9"/>
    <w:rsid w:val="007672BA"/>
    <w:rsid w:val="007672FE"/>
    <w:rsid w:val="007674C9"/>
    <w:rsid w:val="00767524"/>
    <w:rsid w:val="00767568"/>
    <w:rsid w:val="007676C8"/>
    <w:rsid w:val="007676D8"/>
    <w:rsid w:val="00767739"/>
    <w:rsid w:val="00767776"/>
    <w:rsid w:val="00767932"/>
    <w:rsid w:val="0076794B"/>
    <w:rsid w:val="00767B60"/>
    <w:rsid w:val="00767C0B"/>
    <w:rsid w:val="00767E60"/>
    <w:rsid w:val="00767EE5"/>
    <w:rsid w:val="00770115"/>
    <w:rsid w:val="0077025D"/>
    <w:rsid w:val="0077044F"/>
    <w:rsid w:val="00770467"/>
    <w:rsid w:val="00770492"/>
    <w:rsid w:val="00770781"/>
    <w:rsid w:val="007708C0"/>
    <w:rsid w:val="007708F0"/>
    <w:rsid w:val="0077099E"/>
    <w:rsid w:val="007709C1"/>
    <w:rsid w:val="00770B10"/>
    <w:rsid w:val="00770BBB"/>
    <w:rsid w:val="00770C10"/>
    <w:rsid w:val="00770CAD"/>
    <w:rsid w:val="00770D28"/>
    <w:rsid w:val="00770F97"/>
    <w:rsid w:val="00771088"/>
    <w:rsid w:val="007710CC"/>
    <w:rsid w:val="00771179"/>
    <w:rsid w:val="00771449"/>
    <w:rsid w:val="0077152E"/>
    <w:rsid w:val="00771553"/>
    <w:rsid w:val="0077157D"/>
    <w:rsid w:val="0077173C"/>
    <w:rsid w:val="0077174E"/>
    <w:rsid w:val="00771979"/>
    <w:rsid w:val="00771AA0"/>
    <w:rsid w:val="00771B66"/>
    <w:rsid w:val="00771C23"/>
    <w:rsid w:val="00771D71"/>
    <w:rsid w:val="00771E51"/>
    <w:rsid w:val="00771E53"/>
    <w:rsid w:val="00771EC1"/>
    <w:rsid w:val="00771FAB"/>
    <w:rsid w:val="00771FAD"/>
    <w:rsid w:val="007721F0"/>
    <w:rsid w:val="0077238E"/>
    <w:rsid w:val="007723E4"/>
    <w:rsid w:val="0077248C"/>
    <w:rsid w:val="007724D8"/>
    <w:rsid w:val="0077272D"/>
    <w:rsid w:val="0077276D"/>
    <w:rsid w:val="007728A2"/>
    <w:rsid w:val="007728C8"/>
    <w:rsid w:val="00772926"/>
    <w:rsid w:val="007729DE"/>
    <w:rsid w:val="00772A14"/>
    <w:rsid w:val="00772A4B"/>
    <w:rsid w:val="00772A92"/>
    <w:rsid w:val="00772AE9"/>
    <w:rsid w:val="00772B85"/>
    <w:rsid w:val="00772CB5"/>
    <w:rsid w:val="00772DC8"/>
    <w:rsid w:val="00772E2B"/>
    <w:rsid w:val="00772E4F"/>
    <w:rsid w:val="00772E90"/>
    <w:rsid w:val="00773065"/>
    <w:rsid w:val="007730CB"/>
    <w:rsid w:val="0077320A"/>
    <w:rsid w:val="007732EE"/>
    <w:rsid w:val="00773331"/>
    <w:rsid w:val="00773373"/>
    <w:rsid w:val="0077341A"/>
    <w:rsid w:val="00773535"/>
    <w:rsid w:val="0077355C"/>
    <w:rsid w:val="00773694"/>
    <w:rsid w:val="007737B4"/>
    <w:rsid w:val="007737D7"/>
    <w:rsid w:val="007737E9"/>
    <w:rsid w:val="00773A04"/>
    <w:rsid w:val="00773CF2"/>
    <w:rsid w:val="00773D1E"/>
    <w:rsid w:val="00773D20"/>
    <w:rsid w:val="00773D7C"/>
    <w:rsid w:val="00773D82"/>
    <w:rsid w:val="00773DB5"/>
    <w:rsid w:val="00773DEA"/>
    <w:rsid w:val="00773F17"/>
    <w:rsid w:val="00773F7F"/>
    <w:rsid w:val="00773FB0"/>
    <w:rsid w:val="00773FEE"/>
    <w:rsid w:val="00774037"/>
    <w:rsid w:val="00774090"/>
    <w:rsid w:val="007740FE"/>
    <w:rsid w:val="00774199"/>
    <w:rsid w:val="0077419D"/>
    <w:rsid w:val="00774301"/>
    <w:rsid w:val="007744B1"/>
    <w:rsid w:val="00774640"/>
    <w:rsid w:val="0077467B"/>
    <w:rsid w:val="0077471F"/>
    <w:rsid w:val="007747BE"/>
    <w:rsid w:val="00774814"/>
    <w:rsid w:val="007748E9"/>
    <w:rsid w:val="00774926"/>
    <w:rsid w:val="00774C4E"/>
    <w:rsid w:val="00774C64"/>
    <w:rsid w:val="00774D3F"/>
    <w:rsid w:val="00774DDC"/>
    <w:rsid w:val="00774EEE"/>
    <w:rsid w:val="00774F88"/>
    <w:rsid w:val="0077521D"/>
    <w:rsid w:val="00775338"/>
    <w:rsid w:val="00775351"/>
    <w:rsid w:val="007753EE"/>
    <w:rsid w:val="00775483"/>
    <w:rsid w:val="00775526"/>
    <w:rsid w:val="00775652"/>
    <w:rsid w:val="007756FC"/>
    <w:rsid w:val="0077570B"/>
    <w:rsid w:val="00775752"/>
    <w:rsid w:val="00775A10"/>
    <w:rsid w:val="00775BE0"/>
    <w:rsid w:val="00775D2E"/>
    <w:rsid w:val="00775D33"/>
    <w:rsid w:val="00775DAE"/>
    <w:rsid w:val="00775DD6"/>
    <w:rsid w:val="00775E2B"/>
    <w:rsid w:val="00775EC0"/>
    <w:rsid w:val="00775F07"/>
    <w:rsid w:val="007760C2"/>
    <w:rsid w:val="007760DC"/>
    <w:rsid w:val="007760F0"/>
    <w:rsid w:val="0077614C"/>
    <w:rsid w:val="007761CE"/>
    <w:rsid w:val="00776236"/>
    <w:rsid w:val="0077627E"/>
    <w:rsid w:val="0077635A"/>
    <w:rsid w:val="007763EB"/>
    <w:rsid w:val="007766AD"/>
    <w:rsid w:val="00776756"/>
    <w:rsid w:val="007767DB"/>
    <w:rsid w:val="00776852"/>
    <w:rsid w:val="00776A61"/>
    <w:rsid w:val="00776A64"/>
    <w:rsid w:val="00776AFE"/>
    <w:rsid w:val="00776C4D"/>
    <w:rsid w:val="00776C9C"/>
    <w:rsid w:val="00776CA3"/>
    <w:rsid w:val="00776D18"/>
    <w:rsid w:val="00776D31"/>
    <w:rsid w:val="00776D4A"/>
    <w:rsid w:val="00776D5F"/>
    <w:rsid w:val="00776E30"/>
    <w:rsid w:val="00776E88"/>
    <w:rsid w:val="007770AF"/>
    <w:rsid w:val="0077714F"/>
    <w:rsid w:val="00777166"/>
    <w:rsid w:val="00777183"/>
    <w:rsid w:val="007772CD"/>
    <w:rsid w:val="00777401"/>
    <w:rsid w:val="007774E0"/>
    <w:rsid w:val="00777563"/>
    <w:rsid w:val="007777B6"/>
    <w:rsid w:val="007777CF"/>
    <w:rsid w:val="00777A47"/>
    <w:rsid w:val="00777A71"/>
    <w:rsid w:val="00777A79"/>
    <w:rsid w:val="00777B81"/>
    <w:rsid w:val="00777BB0"/>
    <w:rsid w:val="00777D91"/>
    <w:rsid w:val="00777F1B"/>
    <w:rsid w:val="00777FCA"/>
    <w:rsid w:val="00777FE1"/>
    <w:rsid w:val="00777FFD"/>
    <w:rsid w:val="0078017A"/>
    <w:rsid w:val="007801B8"/>
    <w:rsid w:val="00780263"/>
    <w:rsid w:val="007802B7"/>
    <w:rsid w:val="00780310"/>
    <w:rsid w:val="0078033B"/>
    <w:rsid w:val="007803B6"/>
    <w:rsid w:val="007803E9"/>
    <w:rsid w:val="00780650"/>
    <w:rsid w:val="00780676"/>
    <w:rsid w:val="007806B3"/>
    <w:rsid w:val="0078080F"/>
    <w:rsid w:val="00780855"/>
    <w:rsid w:val="007808DD"/>
    <w:rsid w:val="00780908"/>
    <w:rsid w:val="00780A41"/>
    <w:rsid w:val="00780CE9"/>
    <w:rsid w:val="00780CFF"/>
    <w:rsid w:val="00780DA2"/>
    <w:rsid w:val="00780DAD"/>
    <w:rsid w:val="00780EAA"/>
    <w:rsid w:val="00780ECC"/>
    <w:rsid w:val="0078107F"/>
    <w:rsid w:val="0078116F"/>
    <w:rsid w:val="00781222"/>
    <w:rsid w:val="00781276"/>
    <w:rsid w:val="007812CF"/>
    <w:rsid w:val="00781356"/>
    <w:rsid w:val="00781362"/>
    <w:rsid w:val="007813CE"/>
    <w:rsid w:val="007813D5"/>
    <w:rsid w:val="007813EE"/>
    <w:rsid w:val="00781578"/>
    <w:rsid w:val="0078167C"/>
    <w:rsid w:val="00781867"/>
    <w:rsid w:val="007818E5"/>
    <w:rsid w:val="00781A28"/>
    <w:rsid w:val="00781A62"/>
    <w:rsid w:val="00781A93"/>
    <w:rsid w:val="00781ABD"/>
    <w:rsid w:val="00781D7F"/>
    <w:rsid w:val="00781D82"/>
    <w:rsid w:val="00781DCB"/>
    <w:rsid w:val="00781E36"/>
    <w:rsid w:val="00781E74"/>
    <w:rsid w:val="00781E84"/>
    <w:rsid w:val="00781E88"/>
    <w:rsid w:val="00781EAE"/>
    <w:rsid w:val="00781F8E"/>
    <w:rsid w:val="00782060"/>
    <w:rsid w:val="0078206F"/>
    <w:rsid w:val="007820D3"/>
    <w:rsid w:val="007821CD"/>
    <w:rsid w:val="007821D6"/>
    <w:rsid w:val="0078227D"/>
    <w:rsid w:val="00782302"/>
    <w:rsid w:val="00782459"/>
    <w:rsid w:val="0078257E"/>
    <w:rsid w:val="0078274D"/>
    <w:rsid w:val="00782826"/>
    <w:rsid w:val="00782A21"/>
    <w:rsid w:val="00782A98"/>
    <w:rsid w:val="00782AA8"/>
    <w:rsid w:val="00782BC2"/>
    <w:rsid w:val="00782C1F"/>
    <w:rsid w:val="00782E0F"/>
    <w:rsid w:val="00782F2D"/>
    <w:rsid w:val="00782F3D"/>
    <w:rsid w:val="00782F95"/>
    <w:rsid w:val="00783304"/>
    <w:rsid w:val="0078333B"/>
    <w:rsid w:val="007834C4"/>
    <w:rsid w:val="00783570"/>
    <w:rsid w:val="0078362A"/>
    <w:rsid w:val="0078371E"/>
    <w:rsid w:val="007837B8"/>
    <w:rsid w:val="00783821"/>
    <w:rsid w:val="00783830"/>
    <w:rsid w:val="00783A54"/>
    <w:rsid w:val="00783A8D"/>
    <w:rsid w:val="00783ADB"/>
    <w:rsid w:val="00783B1E"/>
    <w:rsid w:val="00783B39"/>
    <w:rsid w:val="00783C00"/>
    <w:rsid w:val="00783D34"/>
    <w:rsid w:val="00783D5A"/>
    <w:rsid w:val="00783DE4"/>
    <w:rsid w:val="00783E57"/>
    <w:rsid w:val="00783F01"/>
    <w:rsid w:val="00784130"/>
    <w:rsid w:val="00784190"/>
    <w:rsid w:val="007841C6"/>
    <w:rsid w:val="007842BF"/>
    <w:rsid w:val="0078432C"/>
    <w:rsid w:val="00784344"/>
    <w:rsid w:val="007844A4"/>
    <w:rsid w:val="00784519"/>
    <w:rsid w:val="0078472E"/>
    <w:rsid w:val="007848AC"/>
    <w:rsid w:val="007848BD"/>
    <w:rsid w:val="0078491A"/>
    <w:rsid w:val="0078497C"/>
    <w:rsid w:val="00784AD9"/>
    <w:rsid w:val="00784B29"/>
    <w:rsid w:val="00784B79"/>
    <w:rsid w:val="00784C47"/>
    <w:rsid w:val="00784E31"/>
    <w:rsid w:val="00784F2F"/>
    <w:rsid w:val="00784F7C"/>
    <w:rsid w:val="00784FF9"/>
    <w:rsid w:val="007850F8"/>
    <w:rsid w:val="00785180"/>
    <w:rsid w:val="007853CD"/>
    <w:rsid w:val="00785670"/>
    <w:rsid w:val="007857EC"/>
    <w:rsid w:val="00785924"/>
    <w:rsid w:val="00785953"/>
    <w:rsid w:val="007859A0"/>
    <w:rsid w:val="007859A8"/>
    <w:rsid w:val="00785B2D"/>
    <w:rsid w:val="00785C0B"/>
    <w:rsid w:val="00785C91"/>
    <w:rsid w:val="00785C92"/>
    <w:rsid w:val="00785CA2"/>
    <w:rsid w:val="00785E10"/>
    <w:rsid w:val="00785E22"/>
    <w:rsid w:val="00785EAD"/>
    <w:rsid w:val="00785EBD"/>
    <w:rsid w:val="007860A5"/>
    <w:rsid w:val="0078613C"/>
    <w:rsid w:val="0078637B"/>
    <w:rsid w:val="00786480"/>
    <w:rsid w:val="00786499"/>
    <w:rsid w:val="0078659C"/>
    <w:rsid w:val="007865D8"/>
    <w:rsid w:val="00786769"/>
    <w:rsid w:val="00786869"/>
    <w:rsid w:val="007868F8"/>
    <w:rsid w:val="00786921"/>
    <w:rsid w:val="00786985"/>
    <w:rsid w:val="00786986"/>
    <w:rsid w:val="00786AF8"/>
    <w:rsid w:val="00786BA2"/>
    <w:rsid w:val="00786C03"/>
    <w:rsid w:val="00786C2D"/>
    <w:rsid w:val="00786C93"/>
    <w:rsid w:val="00786D8E"/>
    <w:rsid w:val="00786DC6"/>
    <w:rsid w:val="00786E0B"/>
    <w:rsid w:val="00786EEF"/>
    <w:rsid w:val="00787094"/>
    <w:rsid w:val="007871BC"/>
    <w:rsid w:val="007871D8"/>
    <w:rsid w:val="007871E4"/>
    <w:rsid w:val="0078722D"/>
    <w:rsid w:val="007872B2"/>
    <w:rsid w:val="007872F1"/>
    <w:rsid w:val="0078732F"/>
    <w:rsid w:val="00787374"/>
    <w:rsid w:val="00787380"/>
    <w:rsid w:val="007873BC"/>
    <w:rsid w:val="0078744F"/>
    <w:rsid w:val="00787472"/>
    <w:rsid w:val="0078747A"/>
    <w:rsid w:val="00787556"/>
    <w:rsid w:val="0078763E"/>
    <w:rsid w:val="007876B6"/>
    <w:rsid w:val="0078770C"/>
    <w:rsid w:val="00787796"/>
    <w:rsid w:val="0078785B"/>
    <w:rsid w:val="00787991"/>
    <w:rsid w:val="007879A0"/>
    <w:rsid w:val="00787AA6"/>
    <w:rsid w:val="00787D1D"/>
    <w:rsid w:val="00787D41"/>
    <w:rsid w:val="00790007"/>
    <w:rsid w:val="0079009A"/>
    <w:rsid w:val="007902C2"/>
    <w:rsid w:val="007902DC"/>
    <w:rsid w:val="0079048C"/>
    <w:rsid w:val="007904A4"/>
    <w:rsid w:val="00790579"/>
    <w:rsid w:val="007908E6"/>
    <w:rsid w:val="0079091B"/>
    <w:rsid w:val="0079098F"/>
    <w:rsid w:val="00790AB1"/>
    <w:rsid w:val="00790AB4"/>
    <w:rsid w:val="00790B23"/>
    <w:rsid w:val="00790B28"/>
    <w:rsid w:val="00790C01"/>
    <w:rsid w:val="00790DA5"/>
    <w:rsid w:val="00790FE9"/>
    <w:rsid w:val="00790FF5"/>
    <w:rsid w:val="0079109A"/>
    <w:rsid w:val="0079110B"/>
    <w:rsid w:val="007911DC"/>
    <w:rsid w:val="00791260"/>
    <w:rsid w:val="007914B7"/>
    <w:rsid w:val="0079156B"/>
    <w:rsid w:val="007915A0"/>
    <w:rsid w:val="00791763"/>
    <w:rsid w:val="007917BA"/>
    <w:rsid w:val="00791864"/>
    <w:rsid w:val="0079186B"/>
    <w:rsid w:val="007918DC"/>
    <w:rsid w:val="0079198A"/>
    <w:rsid w:val="007919BB"/>
    <w:rsid w:val="00791AAC"/>
    <w:rsid w:val="00791C86"/>
    <w:rsid w:val="00791CAE"/>
    <w:rsid w:val="00791DC0"/>
    <w:rsid w:val="00791DC4"/>
    <w:rsid w:val="00791F05"/>
    <w:rsid w:val="00791FF2"/>
    <w:rsid w:val="007922B7"/>
    <w:rsid w:val="00792308"/>
    <w:rsid w:val="0079255F"/>
    <w:rsid w:val="0079259B"/>
    <w:rsid w:val="0079259E"/>
    <w:rsid w:val="007925BB"/>
    <w:rsid w:val="00792711"/>
    <w:rsid w:val="007928A5"/>
    <w:rsid w:val="00792926"/>
    <w:rsid w:val="00792AD6"/>
    <w:rsid w:val="00792B54"/>
    <w:rsid w:val="00792B9E"/>
    <w:rsid w:val="00792BE8"/>
    <w:rsid w:val="00792CF9"/>
    <w:rsid w:val="00792D06"/>
    <w:rsid w:val="00792EB2"/>
    <w:rsid w:val="007930D8"/>
    <w:rsid w:val="007931B4"/>
    <w:rsid w:val="0079320D"/>
    <w:rsid w:val="0079321E"/>
    <w:rsid w:val="0079329D"/>
    <w:rsid w:val="007932EF"/>
    <w:rsid w:val="00793410"/>
    <w:rsid w:val="007934FD"/>
    <w:rsid w:val="0079363A"/>
    <w:rsid w:val="00793D0E"/>
    <w:rsid w:val="00793DD9"/>
    <w:rsid w:val="00793FFA"/>
    <w:rsid w:val="007941DD"/>
    <w:rsid w:val="00794399"/>
    <w:rsid w:val="007943CD"/>
    <w:rsid w:val="00794415"/>
    <w:rsid w:val="007946A8"/>
    <w:rsid w:val="007946AD"/>
    <w:rsid w:val="00794716"/>
    <w:rsid w:val="00794792"/>
    <w:rsid w:val="00794879"/>
    <w:rsid w:val="007949C7"/>
    <w:rsid w:val="00794AD4"/>
    <w:rsid w:val="00794BEB"/>
    <w:rsid w:val="00794C44"/>
    <w:rsid w:val="00794D6E"/>
    <w:rsid w:val="00794EDB"/>
    <w:rsid w:val="00794F23"/>
    <w:rsid w:val="0079505E"/>
    <w:rsid w:val="0079506D"/>
    <w:rsid w:val="007950F4"/>
    <w:rsid w:val="00795146"/>
    <w:rsid w:val="00795154"/>
    <w:rsid w:val="00795463"/>
    <w:rsid w:val="0079552B"/>
    <w:rsid w:val="007956F5"/>
    <w:rsid w:val="0079576E"/>
    <w:rsid w:val="00795784"/>
    <w:rsid w:val="00795913"/>
    <w:rsid w:val="007959B7"/>
    <w:rsid w:val="00795C00"/>
    <w:rsid w:val="00795C27"/>
    <w:rsid w:val="00795C83"/>
    <w:rsid w:val="00795F47"/>
    <w:rsid w:val="00795FDE"/>
    <w:rsid w:val="00795FF6"/>
    <w:rsid w:val="007960FA"/>
    <w:rsid w:val="00796149"/>
    <w:rsid w:val="007962BE"/>
    <w:rsid w:val="00796440"/>
    <w:rsid w:val="00796523"/>
    <w:rsid w:val="00796545"/>
    <w:rsid w:val="007965FE"/>
    <w:rsid w:val="00796683"/>
    <w:rsid w:val="007966C6"/>
    <w:rsid w:val="007966EB"/>
    <w:rsid w:val="0079673B"/>
    <w:rsid w:val="00796777"/>
    <w:rsid w:val="0079679B"/>
    <w:rsid w:val="00796873"/>
    <w:rsid w:val="007968AE"/>
    <w:rsid w:val="007969E1"/>
    <w:rsid w:val="00796AA7"/>
    <w:rsid w:val="00796B47"/>
    <w:rsid w:val="00796C0E"/>
    <w:rsid w:val="00796C77"/>
    <w:rsid w:val="00796CC0"/>
    <w:rsid w:val="00796EDF"/>
    <w:rsid w:val="00797196"/>
    <w:rsid w:val="00797330"/>
    <w:rsid w:val="0079759C"/>
    <w:rsid w:val="00797730"/>
    <w:rsid w:val="00797848"/>
    <w:rsid w:val="00797884"/>
    <w:rsid w:val="00797954"/>
    <w:rsid w:val="00797969"/>
    <w:rsid w:val="00797B5E"/>
    <w:rsid w:val="00797CE9"/>
    <w:rsid w:val="00797CEF"/>
    <w:rsid w:val="00797D3A"/>
    <w:rsid w:val="00797D4E"/>
    <w:rsid w:val="00797DCF"/>
    <w:rsid w:val="007A0062"/>
    <w:rsid w:val="007A00C9"/>
    <w:rsid w:val="007A0151"/>
    <w:rsid w:val="007A02CC"/>
    <w:rsid w:val="007A02D3"/>
    <w:rsid w:val="007A0356"/>
    <w:rsid w:val="007A03AD"/>
    <w:rsid w:val="007A03C9"/>
    <w:rsid w:val="007A04D5"/>
    <w:rsid w:val="007A05E8"/>
    <w:rsid w:val="007A05F9"/>
    <w:rsid w:val="007A072A"/>
    <w:rsid w:val="007A07B7"/>
    <w:rsid w:val="007A08A4"/>
    <w:rsid w:val="007A08F2"/>
    <w:rsid w:val="007A0947"/>
    <w:rsid w:val="007A098F"/>
    <w:rsid w:val="007A0B2F"/>
    <w:rsid w:val="007A0B45"/>
    <w:rsid w:val="007A0B9C"/>
    <w:rsid w:val="007A0BDB"/>
    <w:rsid w:val="007A0C8E"/>
    <w:rsid w:val="007A0DFD"/>
    <w:rsid w:val="007A0F9A"/>
    <w:rsid w:val="007A1000"/>
    <w:rsid w:val="007A101B"/>
    <w:rsid w:val="007A1055"/>
    <w:rsid w:val="007A1146"/>
    <w:rsid w:val="007A11B0"/>
    <w:rsid w:val="007A1274"/>
    <w:rsid w:val="007A1299"/>
    <w:rsid w:val="007A12B9"/>
    <w:rsid w:val="007A1483"/>
    <w:rsid w:val="007A1519"/>
    <w:rsid w:val="007A155C"/>
    <w:rsid w:val="007A1573"/>
    <w:rsid w:val="007A1595"/>
    <w:rsid w:val="007A170E"/>
    <w:rsid w:val="007A178F"/>
    <w:rsid w:val="007A17C3"/>
    <w:rsid w:val="007A1857"/>
    <w:rsid w:val="007A1A19"/>
    <w:rsid w:val="007A1AB0"/>
    <w:rsid w:val="007A1AEF"/>
    <w:rsid w:val="007A1B36"/>
    <w:rsid w:val="007A1B9C"/>
    <w:rsid w:val="007A1C10"/>
    <w:rsid w:val="007A1D51"/>
    <w:rsid w:val="007A1D75"/>
    <w:rsid w:val="007A1DFE"/>
    <w:rsid w:val="007A1F4D"/>
    <w:rsid w:val="007A1F9B"/>
    <w:rsid w:val="007A1FC6"/>
    <w:rsid w:val="007A1FDE"/>
    <w:rsid w:val="007A2139"/>
    <w:rsid w:val="007A213A"/>
    <w:rsid w:val="007A238D"/>
    <w:rsid w:val="007A23B8"/>
    <w:rsid w:val="007A23C3"/>
    <w:rsid w:val="007A23F2"/>
    <w:rsid w:val="007A262A"/>
    <w:rsid w:val="007A26E4"/>
    <w:rsid w:val="007A276D"/>
    <w:rsid w:val="007A2777"/>
    <w:rsid w:val="007A2864"/>
    <w:rsid w:val="007A2894"/>
    <w:rsid w:val="007A28CC"/>
    <w:rsid w:val="007A2A72"/>
    <w:rsid w:val="007A2A9F"/>
    <w:rsid w:val="007A2AE5"/>
    <w:rsid w:val="007A2AE6"/>
    <w:rsid w:val="007A2B3C"/>
    <w:rsid w:val="007A2BBE"/>
    <w:rsid w:val="007A2BE5"/>
    <w:rsid w:val="007A2E4C"/>
    <w:rsid w:val="007A2F58"/>
    <w:rsid w:val="007A2F8D"/>
    <w:rsid w:val="007A3284"/>
    <w:rsid w:val="007A332A"/>
    <w:rsid w:val="007A3353"/>
    <w:rsid w:val="007A336B"/>
    <w:rsid w:val="007A344F"/>
    <w:rsid w:val="007A37F7"/>
    <w:rsid w:val="007A3801"/>
    <w:rsid w:val="007A383A"/>
    <w:rsid w:val="007A38D8"/>
    <w:rsid w:val="007A39E1"/>
    <w:rsid w:val="007A3A5B"/>
    <w:rsid w:val="007A3AC7"/>
    <w:rsid w:val="007A3B1F"/>
    <w:rsid w:val="007A3B29"/>
    <w:rsid w:val="007A3BAE"/>
    <w:rsid w:val="007A3C9E"/>
    <w:rsid w:val="007A3CAE"/>
    <w:rsid w:val="007A3D89"/>
    <w:rsid w:val="007A3DBD"/>
    <w:rsid w:val="007A3E2F"/>
    <w:rsid w:val="007A3EB1"/>
    <w:rsid w:val="007A3F25"/>
    <w:rsid w:val="007A3F72"/>
    <w:rsid w:val="007A3FAE"/>
    <w:rsid w:val="007A4009"/>
    <w:rsid w:val="007A402B"/>
    <w:rsid w:val="007A40A7"/>
    <w:rsid w:val="007A4186"/>
    <w:rsid w:val="007A41F2"/>
    <w:rsid w:val="007A4252"/>
    <w:rsid w:val="007A4338"/>
    <w:rsid w:val="007A433E"/>
    <w:rsid w:val="007A4365"/>
    <w:rsid w:val="007A4388"/>
    <w:rsid w:val="007A43B5"/>
    <w:rsid w:val="007A43FE"/>
    <w:rsid w:val="007A442C"/>
    <w:rsid w:val="007A44B9"/>
    <w:rsid w:val="007A44C9"/>
    <w:rsid w:val="007A46D3"/>
    <w:rsid w:val="007A4782"/>
    <w:rsid w:val="007A4983"/>
    <w:rsid w:val="007A49A6"/>
    <w:rsid w:val="007A4D22"/>
    <w:rsid w:val="007A4D66"/>
    <w:rsid w:val="007A4E71"/>
    <w:rsid w:val="007A4EA7"/>
    <w:rsid w:val="007A4F59"/>
    <w:rsid w:val="007A4F63"/>
    <w:rsid w:val="007A5022"/>
    <w:rsid w:val="007A5131"/>
    <w:rsid w:val="007A518E"/>
    <w:rsid w:val="007A5193"/>
    <w:rsid w:val="007A529A"/>
    <w:rsid w:val="007A538A"/>
    <w:rsid w:val="007A54B6"/>
    <w:rsid w:val="007A55FB"/>
    <w:rsid w:val="007A5611"/>
    <w:rsid w:val="007A5677"/>
    <w:rsid w:val="007A5721"/>
    <w:rsid w:val="007A574E"/>
    <w:rsid w:val="007A5774"/>
    <w:rsid w:val="007A57F2"/>
    <w:rsid w:val="007A5A55"/>
    <w:rsid w:val="007A5B0A"/>
    <w:rsid w:val="007A5C77"/>
    <w:rsid w:val="007A5D5B"/>
    <w:rsid w:val="007A5F1F"/>
    <w:rsid w:val="007A5F82"/>
    <w:rsid w:val="007A5F93"/>
    <w:rsid w:val="007A614E"/>
    <w:rsid w:val="007A616E"/>
    <w:rsid w:val="007A622F"/>
    <w:rsid w:val="007A6299"/>
    <w:rsid w:val="007A62D1"/>
    <w:rsid w:val="007A63C3"/>
    <w:rsid w:val="007A6500"/>
    <w:rsid w:val="007A6551"/>
    <w:rsid w:val="007A6694"/>
    <w:rsid w:val="007A66F8"/>
    <w:rsid w:val="007A6723"/>
    <w:rsid w:val="007A67C7"/>
    <w:rsid w:val="007A68FB"/>
    <w:rsid w:val="007A6935"/>
    <w:rsid w:val="007A69FF"/>
    <w:rsid w:val="007A6A0D"/>
    <w:rsid w:val="007A6B32"/>
    <w:rsid w:val="007A6BBE"/>
    <w:rsid w:val="007A6D23"/>
    <w:rsid w:val="007A6D40"/>
    <w:rsid w:val="007A6E1B"/>
    <w:rsid w:val="007A6E43"/>
    <w:rsid w:val="007A6F44"/>
    <w:rsid w:val="007A7112"/>
    <w:rsid w:val="007A711F"/>
    <w:rsid w:val="007A724B"/>
    <w:rsid w:val="007A7287"/>
    <w:rsid w:val="007A7409"/>
    <w:rsid w:val="007A7436"/>
    <w:rsid w:val="007A743C"/>
    <w:rsid w:val="007A747D"/>
    <w:rsid w:val="007A749B"/>
    <w:rsid w:val="007A7592"/>
    <w:rsid w:val="007A763D"/>
    <w:rsid w:val="007A784A"/>
    <w:rsid w:val="007A785B"/>
    <w:rsid w:val="007A7A43"/>
    <w:rsid w:val="007A7B22"/>
    <w:rsid w:val="007A7BB3"/>
    <w:rsid w:val="007A7C1B"/>
    <w:rsid w:val="007A7C2C"/>
    <w:rsid w:val="007A7C8B"/>
    <w:rsid w:val="007A7CC0"/>
    <w:rsid w:val="007A7D0A"/>
    <w:rsid w:val="007A7D54"/>
    <w:rsid w:val="007A7DFC"/>
    <w:rsid w:val="007A7E63"/>
    <w:rsid w:val="007A7F66"/>
    <w:rsid w:val="007B00A5"/>
    <w:rsid w:val="007B00F2"/>
    <w:rsid w:val="007B0104"/>
    <w:rsid w:val="007B01D8"/>
    <w:rsid w:val="007B0371"/>
    <w:rsid w:val="007B04F7"/>
    <w:rsid w:val="007B0573"/>
    <w:rsid w:val="007B061D"/>
    <w:rsid w:val="007B0631"/>
    <w:rsid w:val="007B0659"/>
    <w:rsid w:val="007B06C0"/>
    <w:rsid w:val="007B0720"/>
    <w:rsid w:val="007B0755"/>
    <w:rsid w:val="007B078C"/>
    <w:rsid w:val="007B0813"/>
    <w:rsid w:val="007B08D3"/>
    <w:rsid w:val="007B0B08"/>
    <w:rsid w:val="007B0BDE"/>
    <w:rsid w:val="007B0BED"/>
    <w:rsid w:val="007B0E41"/>
    <w:rsid w:val="007B0F29"/>
    <w:rsid w:val="007B0FC9"/>
    <w:rsid w:val="007B0FD3"/>
    <w:rsid w:val="007B1010"/>
    <w:rsid w:val="007B1208"/>
    <w:rsid w:val="007B13F4"/>
    <w:rsid w:val="007B14B9"/>
    <w:rsid w:val="007B15B9"/>
    <w:rsid w:val="007B15C4"/>
    <w:rsid w:val="007B17AE"/>
    <w:rsid w:val="007B17B4"/>
    <w:rsid w:val="007B18DA"/>
    <w:rsid w:val="007B1914"/>
    <w:rsid w:val="007B19F4"/>
    <w:rsid w:val="007B1A19"/>
    <w:rsid w:val="007B1A62"/>
    <w:rsid w:val="007B1B1A"/>
    <w:rsid w:val="007B1B21"/>
    <w:rsid w:val="007B1B28"/>
    <w:rsid w:val="007B1B44"/>
    <w:rsid w:val="007B1C66"/>
    <w:rsid w:val="007B1C8E"/>
    <w:rsid w:val="007B1CAA"/>
    <w:rsid w:val="007B1CC9"/>
    <w:rsid w:val="007B1F4C"/>
    <w:rsid w:val="007B1FE0"/>
    <w:rsid w:val="007B20B7"/>
    <w:rsid w:val="007B224C"/>
    <w:rsid w:val="007B238A"/>
    <w:rsid w:val="007B2405"/>
    <w:rsid w:val="007B25DF"/>
    <w:rsid w:val="007B2793"/>
    <w:rsid w:val="007B2951"/>
    <w:rsid w:val="007B29DA"/>
    <w:rsid w:val="007B2A45"/>
    <w:rsid w:val="007B2B19"/>
    <w:rsid w:val="007B2B2C"/>
    <w:rsid w:val="007B2B5F"/>
    <w:rsid w:val="007B2BF0"/>
    <w:rsid w:val="007B2D09"/>
    <w:rsid w:val="007B2D3B"/>
    <w:rsid w:val="007B2D7C"/>
    <w:rsid w:val="007B2D99"/>
    <w:rsid w:val="007B2DA3"/>
    <w:rsid w:val="007B2E0F"/>
    <w:rsid w:val="007B2E1B"/>
    <w:rsid w:val="007B30E9"/>
    <w:rsid w:val="007B316D"/>
    <w:rsid w:val="007B3232"/>
    <w:rsid w:val="007B32AA"/>
    <w:rsid w:val="007B339F"/>
    <w:rsid w:val="007B3601"/>
    <w:rsid w:val="007B3650"/>
    <w:rsid w:val="007B36C7"/>
    <w:rsid w:val="007B3755"/>
    <w:rsid w:val="007B383F"/>
    <w:rsid w:val="007B38A0"/>
    <w:rsid w:val="007B3918"/>
    <w:rsid w:val="007B3B28"/>
    <w:rsid w:val="007B3B3A"/>
    <w:rsid w:val="007B3B73"/>
    <w:rsid w:val="007B3B78"/>
    <w:rsid w:val="007B3B8E"/>
    <w:rsid w:val="007B3B91"/>
    <w:rsid w:val="007B3B9F"/>
    <w:rsid w:val="007B3BAE"/>
    <w:rsid w:val="007B3BF7"/>
    <w:rsid w:val="007B3C24"/>
    <w:rsid w:val="007B3D0A"/>
    <w:rsid w:val="007B3D0F"/>
    <w:rsid w:val="007B3D34"/>
    <w:rsid w:val="007B3DDA"/>
    <w:rsid w:val="007B3E01"/>
    <w:rsid w:val="007B3F63"/>
    <w:rsid w:val="007B3F72"/>
    <w:rsid w:val="007B41B0"/>
    <w:rsid w:val="007B422A"/>
    <w:rsid w:val="007B43A4"/>
    <w:rsid w:val="007B4403"/>
    <w:rsid w:val="007B44BB"/>
    <w:rsid w:val="007B44D2"/>
    <w:rsid w:val="007B44FF"/>
    <w:rsid w:val="007B45F0"/>
    <w:rsid w:val="007B45FE"/>
    <w:rsid w:val="007B46E1"/>
    <w:rsid w:val="007B47CE"/>
    <w:rsid w:val="007B4ADC"/>
    <w:rsid w:val="007B4B3B"/>
    <w:rsid w:val="007B4B44"/>
    <w:rsid w:val="007B4C28"/>
    <w:rsid w:val="007B4C77"/>
    <w:rsid w:val="007B4C83"/>
    <w:rsid w:val="007B4C96"/>
    <w:rsid w:val="007B4CCC"/>
    <w:rsid w:val="007B4E7A"/>
    <w:rsid w:val="007B4FB4"/>
    <w:rsid w:val="007B5023"/>
    <w:rsid w:val="007B50E0"/>
    <w:rsid w:val="007B51AC"/>
    <w:rsid w:val="007B52DD"/>
    <w:rsid w:val="007B52FA"/>
    <w:rsid w:val="007B53C3"/>
    <w:rsid w:val="007B5457"/>
    <w:rsid w:val="007B54B2"/>
    <w:rsid w:val="007B559A"/>
    <w:rsid w:val="007B579B"/>
    <w:rsid w:val="007B58DE"/>
    <w:rsid w:val="007B58E0"/>
    <w:rsid w:val="007B58F0"/>
    <w:rsid w:val="007B599F"/>
    <w:rsid w:val="007B59B9"/>
    <w:rsid w:val="007B59D0"/>
    <w:rsid w:val="007B59F1"/>
    <w:rsid w:val="007B5AFE"/>
    <w:rsid w:val="007B5B82"/>
    <w:rsid w:val="007B5CBB"/>
    <w:rsid w:val="007B5D63"/>
    <w:rsid w:val="007B5D9E"/>
    <w:rsid w:val="007B5E1E"/>
    <w:rsid w:val="007B5E3D"/>
    <w:rsid w:val="007B5E41"/>
    <w:rsid w:val="007B6042"/>
    <w:rsid w:val="007B6055"/>
    <w:rsid w:val="007B6378"/>
    <w:rsid w:val="007B641D"/>
    <w:rsid w:val="007B6470"/>
    <w:rsid w:val="007B653B"/>
    <w:rsid w:val="007B6565"/>
    <w:rsid w:val="007B65A5"/>
    <w:rsid w:val="007B65AD"/>
    <w:rsid w:val="007B65FF"/>
    <w:rsid w:val="007B6665"/>
    <w:rsid w:val="007B6679"/>
    <w:rsid w:val="007B6733"/>
    <w:rsid w:val="007B6746"/>
    <w:rsid w:val="007B684C"/>
    <w:rsid w:val="007B6850"/>
    <w:rsid w:val="007B6865"/>
    <w:rsid w:val="007B69AC"/>
    <w:rsid w:val="007B6A35"/>
    <w:rsid w:val="007B6A40"/>
    <w:rsid w:val="007B6A9E"/>
    <w:rsid w:val="007B6AB5"/>
    <w:rsid w:val="007B6ACA"/>
    <w:rsid w:val="007B6AD6"/>
    <w:rsid w:val="007B6B04"/>
    <w:rsid w:val="007B6C37"/>
    <w:rsid w:val="007B6C5F"/>
    <w:rsid w:val="007B6CFB"/>
    <w:rsid w:val="007B6D1A"/>
    <w:rsid w:val="007B6D28"/>
    <w:rsid w:val="007B6E45"/>
    <w:rsid w:val="007B6EC8"/>
    <w:rsid w:val="007B6EDE"/>
    <w:rsid w:val="007B6EE6"/>
    <w:rsid w:val="007B70CF"/>
    <w:rsid w:val="007B7165"/>
    <w:rsid w:val="007B7194"/>
    <w:rsid w:val="007B73CC"/>
    <w:rsid w:val="007B745A"/>
    <w:rsid w:val="007B74E3"/>
    <w:rsid w:val="007B750B"/>
    <w:rsid w:val="007B75A2"/>
    <w:rsid w:val="007B7609"/>
    <w:rsid w:val="007B77FD"/>
    <w:rsid w:val="007B7819"/>
    <w:rsid w:val="007B782F"/>
    <w:rsid w:val="007B7A4D"/>
    <w:rsid w:val="007B7AB1"/>
    <w:rsid w:val="007B7ABD"/>
    <w:rsid w:val="007B7BA0"/>
    <w:rsid w:val="007B7C72"/>
    <w:rsid w:val="007B7CE5"/>
    <w:rsid w:val="007B7D25"/>
    <w:rsid w:val="007B7E1F"/>
    <w:rsid w:val="007B7E9A"/>
    <w:rsid w:val="007B7EF6"/>
    <w:rsid w:val="007C00AE"/>
    <w:rsid w:val="007C0244"/>
    <w:rsid w:val="007C028B"/>
    <w:rsid w:val="007C04B2"/>
    <w:rsid w:val="007C0569"/>
    <w:rsid w:val="007C05C6"/>
    <w:rsid w:val="007C0772"/>
    <w:rsid w:val="007C07F8"/>
    <w:rsid w:val="007C0870"/>
    <w:rsid w:val="007C0A1A"/>
    <w:rsid w:val="007C0A2D"/>
    <w:rsid w:val="007C0B02"/>
    <w:rsid w:val="007C0C19"/>
    <w:rsid w:val="007C0C73"/>
    <w:rsid w:val="007C0D41"/>
    <w:rsid w:val="007C0D55"/>
    <w:rsid w:val="007C0D78"/>
    <w:rsid w:val="007C0ED3"/>
    <w:rsid w:val="007C1034"/>
    <w:rsid w:val="007C10B5"/>
    <w:rsid w:val="007C10B6"/>
    <w:rsid w:val="007C10D0"/>
    <w:rsid w:val="007C111F"/>
    <w:rsid w:val="007C1157"/>
    <w:rsid w:val="007C11DF"/>
    <w:rsid w:val="007C1222"/>
    <w:rsid w:val="007C132F"/>
    <w:rsid w:val="007C13E4"/>
    <w:rsid w:val="007C1404"/>
    <w:rsid w:val="007C1447"/>
    <w:rsid w:val="007C1464"/>
    <w:rsid w:val="007C1495"/>
    <w:rsid w:val="007C15C1"/>
    <w:rsid w:val="007C17DC"/>
    <w:rsid w:val="007C1818"/>
    <w:rsid w:val="007C182D"/>
    <w:rsid w:val="007C192D"/>
    <w:rsid w:val="007C1A8A"/>
    <w:rsid w:val="007C1AE9"/>
    <w:rsid w:val="007C1C14"/>
    <w:rsid w:val="007C1CDA"/>
    <w:rsid w:val="007C1E19"/>
    <w:rsid w:val="007C1EED"/>
    <w:rsid w:val="007C1F17"/>
    <w:rsid w:val="007C200F"/>
    <w:rsid w:val="007C2183"/>
    <w:rsid w:val="007C2234"/>
    <w:rsid w:val="007C2254"/>
    <w:rsid w:val="007C22A3"/>
    <w:rsid w:val="007C238A"/>
    <w:rsid w:val="007C2432"/>
    <w:rsid w:val="007C2433"/>
    <w:rsid w:val="007C251E"/>
    <w:rsid w:val="007C2637"/>
    <w:rsid w:val="007C2650"/>
    <w:rsid w:val="007C26B5"/>
    <w:rsid w:val="007C277E"/>
    <w:rsid w:val="007C2970"/>
    <w:rsid w:val="007C2AAA"/>
    <w:rsid w:val="007C2AAB"/>
    <w:rsid w:val="007C2B06"/>
    <w:rsid w:val="007C2CF2"/>
    <w:rsid w:val="007C2D1B"/>
    <w:rsid w:val="007C2E2E"/>
    <w:rsid w:val="007C2E43"/>
    <w:rsid w:val="007C2F20"/>
    <w:rsid w:val="007C2F2F"/>
    <w:rsid w:val="007C2F68"/>
    <w:rsid w:val="007C2F7B"/>
    <w:rsid w:val="007C302B"/>
    <w:rsid w:val="007C3030"/>
    <w:rsid w:val="007C30F8"/>
    <w:rsid w:val="007C3121"/>
    <w:rsid w:val="007C3131"/>
    <w:rsid w:val="007C31A4"/>
    <w:rsid w:val="007C31B4"/>
    <w:rsid w:val="007C31EB"/>
    <w:rsid w:val="007C32BA"/>
    <w:rsid w:val="007C32DD"/>
    <w:rsid w:val="007C34C0"/>
    <w:rsid w:val="007C34E9"/>
    <w:rsid w:val="007C351F"/>
    <w:rsid w:val="007C366F"/>
    <w:rsid w:val="007C3868"/>
    <w:rsid w:val="007C3943"/>
    <w:rsid w:val="007C39C7"/>
    <w:rsid w:val="007C39EA"/>
    <w:rsid w:val="007C3A6C"/>
    <w:rsid w:val="007C3BB7"/>
    <w:rsid w:val="007C3CB3"/>
    <w:rsid w:val="007C3DBA"/>
    <w:rsid w:val="007C3E1C"/>
    <w:rsid w:val="007C3E48"/>
    <w:rsid w:val="007C3E6F"/>
    <w:rsid w:val="007C3EF9"/>
    <w:rsid w:val="007C3F6D"/>
    <w:rsid w:val="007C3F72"/>
    <w:rsid w:val="007C3FD1"/>
    <w:rsid w:val="007C4118"/>
    <w:rsid w:val="007C41A9"/>
    <w:rsid w:val="007C44C0"/>
    <w:rsid w:val="007C4696"/>
    <w:rsid w:val="007C4739"/>
    <w:rsid w:val="007C4755"/>
    <w:rsid w:val="007C49B8"/>
    <w:rsid w:val="007C4A34"/>
    <w:rsid w:val="007C4A78"/>
    <w:rsid w:val="007C4A9E"/>
    <w:rsid w:val="007C4D0E"/>
    <w:rsid w:val="007C4F35"/>
    <w:rsid w:val="007C4F52"/>
    <w:rsid w:val="007C4F99"/>
    <w:rsid w:val="007C4FB1"/>
    <w:rsid w:val="007C4FB6"/>
    <w:rsid w:val="007C4FDC"/>
    <w:rsid w:val="007C5166"/>
    <w:rsid w:val="007C5174"/>
    <w:rsid w:val="007C51DC"/>
    <w:rsid w:val="007C5200"/>
    <w:rsid w:val="007C5226"/>
    <w:rsid w:val="007C53D2"/>
    <w:rsid w:val="007C54AA"/>
    <w:rsid w:val="007C553F"/>
    <w:rsid w:val="007C5719"/>
    <w:rsid w:val="007C57F4"/>
    <w:rsid w:val="007C591F"/>
    <w:rsid w:val="007C599B"/>
    <w:rsid w:val="007C59E5"/>
    <w:rsid w:val="007C5A53"/>
    <w:rsid w:val="007C5AFA"/>
    <w:rsid w:val="007C5B44"/>
    <w:rsid w:val="007C5B79"/>
    <w:rsid w:val="007C5B94"/>
    <w:rsid w:val="007C5DFF"/>
    <w:rsid w:val="007C5E17"/>
    <w:rsid w:val="007C5E48"/>
    <w:rsid w:val="007C5EEB"/>
    <w:rsid w:val="007C6090"/>
    <w:rsid w:val="007C6197"/>
    <w:rsid w:val="007C61D6"/>
    <w:rsid w:val="007C6284"/>
    <w:rsid w:val="007C62FE"/>
    <w:rsid w:val="007C63BD"/>
    <w:rsid w:val="007C6521"/>
    <w:rsid w:val="007C6522"/>
    <w:rsid w:val="007C659D"/>
    <w:rsid w:val="007C6604"/>
    <w:rsid w:val="007C661C"/>
    <w:rsid w:val="007C66B1"/>
    <w:rsid w:val="007C6728"/>
    <w:rsid w:val="007C6797"/>
    <w:rsid w:val="007C6801"/>
    <w:rsid w:val="007C6873"/>
    <w:rsid w:val="007C6966"/>
    <w:rsid w:val="007C697F"/>
    <w:rsid w:val="007C6A30"/>
    <w:rsid w:val="007C6A74"/>
    <w:rsid w:val="007C6AD5"/>
    <w:rsid w:val="007C6B1D"/>
    <w:rsid w:val="007C6D5D"/>
    <w:rsid w:val="007C6DC1"/>
    <w:rsid w:val="007C6E78"/>
    <w:rsid w:val="007C6F20"/>
    <w:rsid w:val="007C70AC"/>
    <w:rsid w:val="007C71D2"/>
    <w:rsid w:val="007C720B"/>
    <w:rsid w:val="007C7222"/>
    <w:rsid w:val="007C72CD"/>
    <w:rsid w:val="007C746B"/>
    <w:rsid w:val="007C7585"/>
    <w:rsid w:val="007C75C0"/>
    <w:rsid w:val="007C75D8"/>
    <w:rsid w:val="007C7616"/>
    <w:rsid w:val="007C7671"/>
    <w:rsid w:val="007C773A"/>
    <w:rsid w:val="007C7913"/>
    <w:rsid w:val="007C7AF2"/>
    <w:rsid w:val="007C7B80"/>
    <w:rsid w:val="007C7CA9"/>
    <w:rsid w:val="007C7EAC"/>
    <w:rsid w:val="007C7EEB"/>
    <w:rsid w:val="007C7EF8"/>
    <w:rsid w:val="007C7F14"/>
    <w:rsid w:val="007C7FA1"/>
    <w:rsid w:val="007D003D"/>
    <w:rsid w:val="007D039F"/>
    <w:rsid w:val="007D03E9"/>
    <w:rsid w:val="007D0451"/>
    <w:rsid w:val="007D04D6"/>
    <w:rsid w:val="007D04EC"/>
    <w:rsid w:val="007D074B"/>
    <w:rsid w:val="007D0798"/>
    <w:rsid w:val="007D07AB"/>
    <w:rsid w:val="007D07C4"/>
    <w:rsid w:val="007D0822"/>
    <w:rsid w:val="007D0897"/>
    <w:rsid w:val="007D08B2"/>
    <w:rsid w:val="007D09DE"/>
    <w:rsid w:val="007D0C30"/>
    <w:rsid w:val="007D0D47"/>
    <w:rsid w:val="007D0D6A"/>
    <w:rsid w:val="007D0F0B"/>
    <w:rsid w:val="007D1003"/>
    <w:rsid w:val="007D103B"/>
    <w:rsid w:val="007D115D"/>
    <w:rsid w:val="007D129C"/>
    <w:rsid w:val="007D1303"/>
    <w:rsid w:val="007D1405"/>
    <w:rsid w:val="007D148A"/>
    <w:rsid w:val="007D151D"/>
    <w:rsid w:val="007D153A"/>
    <w:rsid w:val="007D15EA"/>
    <w:rsid w:val="007D167F"/>
    <w:rsid w:val="007D16B5"/>
    <w:rsid w:val="007D16C1"/>
    <w:rsid w:val="007D16DD"/>
    <w:rsid w:val="007D1771"/>
    <w:rsid w:val="007D197B"/>
    <w:rsid w:val="007D19F6"/>
    <w:rsid w:val="007D1A07"/>
    <w:rsid w:val="007D1B00"/>
    <w:rsid w:val="007D1BF7"/>
    <w:rsid w:val="007D1C33"/>
    <w:rsid w:val="007D1C40"/>
    <w:rsid w:val="007D1D60"/>
    <w:rsid w:val="007D1E69"/>
    <w:rsid w:val="007D1EBD"/>
    <w:rsid w:val="007D1F39"/>
    <w:rsid w:val="007D1F65"/>
    <w:rsid w:val="007D1F83"/>
    <w:rsid w:val="007D1FB6"/>
    <w:rsid w:val="007D1FEA"/>
    <w:rsid w:val="007D2192"/>
    <w:rsid w:val="007D21A0"/>
    <w:rsid w:val="007D21A3"/>
    <w:rsid w:val="007D22DF"/>
    <w:rsid w:val="007D22E8"/>
    <w:rsid w:val="007D25DA"/>
    <w:rsid w:val="007D261A"/>
    <w:rsid w:val="007D2666"/>
    <w:rsid w:val="007D2780"/>
    <w:rsid w:val="007D27D5"/>
    <w:rsid w:val="007D29EC"/>
    <w:rsid w:val="007D2A18"/>
    <w:rsid w:val="007D2AB0"/>
    <w:rsid w:val="007D2ADC"/>
    <w:rsid w:val="007D2F3F"/>
    <w:rsid w:val="007D2F9D"/>
    <w:rsid w:val="007D2FD1"/>
    <w:rsid w:val="007D2FEA"/>
    <w:rsid w:val="007D30DA"/>
    <w:rsid w:val="007D31A3"/>
    <w:rsid w:val="007D3248"/>
    <w:rsid w:val="007D32A2"/>
    <w:rsid w:val="007D3334"/>
    <w:rsid w:val="007D3434"/>
    <w:rsid w:val="007D3487"/>
    <w:rsid w:val="007D355B"/>
    <w:rsid w:val="007D367A"/>
    <w:rsid w:val="007D3963"/>
    <w:rsid w:val="007D3965"/>
    <w:rsid w:val="007D3AB1"/>
    <w:rsid w:val="007D3BE0"/>
    <w:rsid w:val="007D3CFD"/>
    <w:rsid w:val="007D3E43"/>
    <w:rsid w:val="007D4003"/>
    <w:rsid w:val="007D4130"/>
    <w:rsid w:val="007D4204"/>
    <w:rsid w:val="007D423D"/>
    <w:rsid w:val="007D431D"/>
    <w:rsid w:val="007D43B0"/>
    <w:rsid w:val="007D44B6"/>
    <w:rsid w:val="007D44FC"/>
    <w:rsid w:val="007D4500"/>
    <w:rsid w:val="007D4637"/>
    <w:rsid w:val="007D4694"/>
    <w:rsid w:val="007D4719"/>
    <w:rsid w:val="007D4722"/>
    <w:rsid w:val="007D4739"/>
    <w:rsid w:val="007D47C0"/>
    <w:rsid w:val="007D481E"/>
    <w:rsid w:val="007D48A9"/>
    <w:rsid w:val="007D4A93"/>
    <w:rsid w:val="007D4D3B"/>
    <w:rsid w:val="007D4E77"/>
    <w:rsid w:val="007D4ED7"/>
    <w:rsid w:val="007D4F93"/>
    <w:rsid w:val="007D5006"/>
    <w:rsid w:val="007D500D"/>
    <w:rsid w:val="007D5069"/>
    <w:rsid w:val="007D5083"/>
    <w:rsid w:val="007D514F"/>
    <w:rsid w:val="007D5156"/>
    <w:rsid w:val="007D524C"/>
    <w:rsid w:val="007D5326"/>
    <w:rsid w:val="007D5396"/>
    <w:rsid w:val="007D5418"/>
    <w:rsid w:val="007D545F"/>
    <w:rsid w:val="007D5493"/>
    <w:rsid w:val="007D564A"/>
    <w:rsid w:val="007D5658"/>
    <w:rsid w:val="007D56AC"/>
    <w:rsid w:val="007D5989"/>
    <w:rsid w:val="007D5ADD"/>
    <w:rsid w:val="007D5B09"/>
    <w:rsid w:val="007D5B46"/>
    <w:rsid w:val="007D5BCB"/>
    <w:rsid w:val="007D5CDD"/>
    <w:rsid w:val="007D5DCE"/>
    <w:rsid w:val="007D5E39"/>
    <w:rsid w:val="007D608E"/>
    <w:rsid w:val="007D61A2"/>
    <w:rsid w:val="007D624C"/>
    <w:rsid w:val="007D6262"/>
    <w:rsid w:val="007D6281"/>
    <w:rsid w:val="007D6345"/>
    <w:rsid w:val="007D6443"/>
    <w:rsid w:val="007D645A"/>
    <w:rsid w:val="007D64F1"/>
    <w:rsid w:val="007D673F"/>
    <w:rsid w:val="007D68A4"/>
    <w:rsid w:val="007D699B"/>
    <w:rsid w:val="007D6A38"/>
    <w:rsid w:val="007D6C43"/>
    <w:rsid w:val="007D6C61"/>
    <w:rsid w:val="007D6DAB"/>
    <w:rsid w:val="007D6DEE"/>
    <w:rsid w:val="007D6E9C"/>
    <w:rsid w:val="007D6F4A"/>
    <w:rsid w:val="007D6F54"/>
    <w:rsid w:val="007D6F7B"/>
    <w:rsid w:val="007D7003"/>
    <w:rsid w:val="007D7014"/>
    <w:rsid w:val="007D7080"/>
    <w:rsid w:val="007D708C"/>
    <w:rsid w:val="007D7100"/>
    <w:rsid w:val="007D71A3"/>
    <w:rsid w:val="007D71DC"/>
    <w:rsid w:val="007D7263"/>
    <w:rsid w:val="007D727F"/>
    <w:rsid w:val="007D7281"/>
    <w:rsid w:val="007D7357"/>
    <w:rsid w:val="007D7467"/>
    <w:rsid w:val="007D74EC"/>
    <w:rsid w:val="007D752A"/>
    <w:rsid w:val="007D7768"/>
    <w:rsid w:val="007D78A8"/>
    <w:rsid w:val="007D7DC0"/>
    <w:rsid w:val="007D7FD0"/>
    <w:rsid w:val="007D7FD6"/>
    <w:rsid w:val="007E0293"/>
    <w:rsid w:val="007E043B"/>
    <w:rsid w:val="007E04A5"/>
    <w:rsid w:val="007E04FD"/>
    <w:rsid w:val="007E05B0"/>
    <w:rsid w:val="007E05C6"/>
    <w:rsid w:val="007E05F2"/>
    <w:rsid w:val="007E0643"/>
    <w:rsid w:val="007E0798"/>
    <w:rsid w:val="007E0832"/>
    <w:rsid w:val="007E0901"/>
    <w:rsid w:val="007E091F"/>
    <w:rsid w:val="007E0997"/>
    <w:rsid w:val="007E0B76"/>
    <w:rsid w:val="007E0CCE"/>
    <w:rsid w:val="007E0CDA"/>
    <w:rsid w:val="007E0D93"/>
    <w:rsid w:val="007E0DA2"/>
    <w:rsid w:val="007E0E48"/>
    <w:rsid w:val="007E0E53"/>
    <w:rsid w:val="007E0EB4"/>
    <w:rsid w:val="007E0EF6"/>
    <w:rsid w:val="007E0F7A"/>
    <w:rsid w:val="007E0F91"/>
    <w:rsid w:val="007E1013"/>
    <w:rsid w:val="007E1046"/>
    <w:rsid w:val="007E1110"/>
    <w:rsid w:val="007E111A"/>
    <w:rsid w:val="007E113A"/>
    <w:rsid w:val="007E117B"/>
    <w:rsid w:val="007E1308"/>
    <w:rsid w:val="007E1478"/>
    <w:rsid w:val="007E14A1"/>
    <w:rsid w:val="007E14AB"/>
    <w:rsid w:val="007E14F9"/>
    <w:rsid w:val="007E1581"/>
    <w:rsid w:val="007E15CF"/>
    <w:rsid w:val="007E15D5"/>
    <w:rsid w:val="007E1792"/>
    <w:rsid w:val="007E1821"/>
    <w:rsid w:val="007E18FB"/>
    <w:rsid w:val="007E195A"/>
    <w:rsid w:val="007E19AE"/>
    <w:rsid w:val="007E19FD"/>
    <w:rsid w:val="007E1A43"/>
    <w:rsid w:val="007E1AFB"/>
    <w:rsid w:val="007E1B3A"/>
    <w:rsid w:val="007E1C16"/>
    <w:rsid w:val="007E1CCD"/>
    <w:rsid w:val="007E1CD9"/>
    <w:rsid w:val="007E1EB7"/>
    <w:rsid w:val="007E2310"/>
    <w:rsid w:val="007E2375"/>
    <w:rsid w:val="007E242F"/>
    <w:rsid w:val="007E2454"/>
    <w:rsid w:val="007E256A"/>
    <w:rsid w:val="007E26BE"/>
    <w:rsid w:val="007E26D8"/>
    <w:rsid w:val="007E27A6"/>
    <w:rsid w:val="007E28F4"/>
    <w:rsid w:val="007E2911"/>
    <w:rsid w:val="007E292D"/>
    <w:rsid w:val="007E2982"/>
    <w:rsid w:val="007E2A08"/>
    <w:rsid w:val="007E2A21"/>
    <w:rsid w:val="007E2FFD"/>
    <w:rsid w:val="007E301B"/>
    <w:rsid w:val="007E30D0"/>
    <w:rsid w:val="007E31C7"/>
    <w:rsid w:val="007E323E"/>
    <w:rsid w:val="007E3284"/>
    <w:rsid w:val="007E3331"/>
    <w:rsid w:val="007E3350"/>
    <w:rsid w:val="007E34A1"/>
    <w:rsid w:val="007E350C"/>
    <w:rsid w:val="007E3747"/>
    <w:rsid w:val="007E377A"/>
    <w:rsid w:val="007E3814"/>
    <w:rsid w:val="007E3840"/>
    <w:rsid w:val="007E387F"/>
    <w:rsid w:val="007E39B9"/>
    <w:rsid w:val="007E39ED"/>
    <w:rsid w:val="007E3B33"/>
    <w:rsid w:val="007E3B8C"/>
    <w:rsid w:val="007E3BA7"/>
    <w:rsid w:val="007E3C35"/>
    <w:rsid w:val="007E3C44"/>
    <w:rsid w:val="007E3E3D"/>
    <w:rsid w:val="007E4154"/>
    <w:rsid w:val="007E419B"/>
    <w:rsid w:val="007E41BA"/>
    <w:rsid w:val="007E41C8"/>
    <w:rsid w:val="007E43B2"/>
    <w:rsid w:val="007E440F"/>
    <w:rsid w:val="007E444F"/>
    <w:rsid w:val="007E446B"/>
    <w:rsid w:val="007E44F6"/>
    <w:rsid w:val="007E4733"/>
    <w:rsid w:val="007E4874"/>
    <w:rsid w:val="007E492D"/>
    <w:rsid w:val="007E49DE"/>
    <w:rsid w:val="007E49F8"/>
    <w:rsid w:val="007E4A02"/>
    <w:rsid w:val="007E4AF9"/>
    <w:rsid w:val="007E4B8B"/>
    <w:rsid w:val="007E4B9A"/>
    <w:rsid w:val="007E4BAC"/>
    <w:rsid w:val="007E4CA9"/>
    <w:rsid w:val="007E4D38"/>
    <w:rsid w:val="007E4DCA"/>
    <w:rsid w:val="007E4E27"/>
    <w:rsid w:val="007E4E68"/>
    <w:rsid w:val="007E50C0"/>
    <w:rsid w:val="007E5119"/>
    <w:rsid w:val="007E514A"/>
    <w:rsid w:val="007E520E"/>
    <w:rsid w:val="007E5215"/>
    <w:rsid w:val="007E52F7"/>
    <w:rsid w:val="007E533D"/>
    <w:rsid w:val="007E5395"/>
    <w:rsid w:val="007E53FE"/>
    <w:rsid w:val="007E5495"/>
    <w:rsid w:val="007E54C2"/>
    <w:rsid w:val="007E56F7"/>
    <w:rsid w:val="007E57D4"/>
    <w:rsid w:val="007E5875"/>
    <w:rsid w:val="007E58A5"/>
    <w:rsid w:val="007E58FE"/>
    <w:rsid w:val="007E5B25"/>
    <w:rsid w:val="007E5B39"/>
    <w:rsid w:val="007E5C61"/>
    <w:rsid w:val="007E5C6B"/>
    <w:rsid w:val="007E5CAA"/>
    <w:rsid w:val="007E5D9A"/>
    <w:rsid w:val="007E5E34"/>
    <w:rsid w:val="007E5FA4"/>
    <w:rsid w:val="007E6072"/>
    <w:rsid w:val="007E60C4"/>
    <w:rsid w:val="007E61B8"/>
    <w:rsid w:val="007E629D"/>
    <w:rsid w:val="007E62E5"/>
    <w:rsid w:val="007E634C"/>
    <w:rsid w:val="007E646E"/>
    <w:rsid w:val="007E654E"/>
    <w:rsid w:val="007E6659"/>
    <w:rsid w:val="007E671A"/>
    <w:rsid w:val="007E67F6"/>
    <w:rsid w:val="007E6849"/>
    <w:rsid w:val="007E6980"/>
    <w:rsid w:val="007E6988"/>
    <w:rsid w:val="007E6A56"/>
    <w:rsid w:val="007E6B28"/>
    <w:rsid w:val="007E6B77"/>
    <w:rsid w:val="007E6BC0"/>
    <w:rsid w:val="007E6BEB"/>
    <w:rsid w:val="007E6BFC"/>
    <w:rsid w:val="007E6BFD"/>
    <w:rsid w:val="007E6D2B"/>
    <w:rsid w:val="007E6E0B"/>
    <w:rsid w:val="007E6EF2"/>
    <w:rsid w:val="007E6F4C"/>
    <w:rsid w:val="007E6F94"/>
    <w:rsid w:val="007E702A"/>
    <w:rsid w:val="007E70EA"/>
    <w:rsid w:val="007E710F"/>
    <w:rsid w:val="007E716C"/>
    <w:rsid w:val="007E71E4"/>
    <w:rsid w:val="007E7208"/>
    <w:rsid w:val="007E72B9"/>
    <w:rsid w:val="007E72DA"/>
    <w:rsid w:val="007E72E2"/>
    <w:rsid w:val="007E7379"/>
    <w:rsid w:val="007E73A2"/>
    <w:rsid w:val="007E73C0"/>
    <w:rsid w:val="007E73C1"/>
    <w:rsid w:val="007E7502"/>
    <w:rsid w:val="007E75D5"/>
    <w:rsid w:val="007E7683"/>
    <w:rsid w:val="007E77D6"/>
    <w:rsid w:val="007E7801"/>
    <w:rsid w:val="007E78A8"/>
    <w:rsid w:val="007E78AD"/>
    <w:rsid w:val="007E7AB9"/>
    <w:rsid w:val="007E7E6E"/>
    <w:rsid w:val="007E7F2F"/>
    <w:rsid w:val="007F005A"/>
    <w:rsid w:val="007F015E"/>
    <w:rsid w:val="007F0284"/>
    <w:rsid w:val="007F02E9"/>
    <w:rsid w:val="007F0347"/>
    <w:rsid w:val="007F0378"/>
    <w:rsid w:val="007F043A"/>
    <w:rsid w:val="007F0459"/>
    <w:rsid w:val="007F04C2"/>
    <w:rsid w:val="007F053A"/>
    <w:rsid w:val="007F0555"/>
    <w:rsid w:val="007F05D7"/>
    <w:rsid w:val="007F071F"/>
    <w:rsid w:val="007F0800"/>
    <w:rsid w:val="007F0877"/>
    <w:rsid w:val="007F087D"/>
    <w:rsid w:val="007F08F1"/>
    <w:rsid w:val="007F0909"/>
    <w:rsid w:val="007F0950"/>
    <w:rsid w:val="007F095B"/>
    <w:rsid w:val="007F096C"/>
    <w:rsid w:val="007F0B51"/>
    <w:rsid w:val="007F0B9E"/>
    <w:rsid w:val="007F0CEA"/>
    <w:rsid w:val="007F0CF1"/>
    <w:rsid w:val="007F0E3F"/>
    <w:rsid w:val="007F0E63"/>
    <w:rsid w:val="007F0E9E"/>
    <w:rsid w:val="007F0F67"/>
    <w:rsid w:val="007F0FA5"/>
    <w:rsid w:val="007F1009"/>
    <w:rsid w:val="007F10BE"/>
    <w:rsid w:val="007F10D8"/>
    <w:rsid w:val="007F119E"/>
    <w:rsid w:val="007F11F3"/>
    <w:rsid w:val="007F1243"/>
    <w:rsid w:val="007F13A0"/>
    <w:rsid w:val="007F1523"/>
    <w:rsid w:val="007F1760"/>
    <w:rsid w:val="007F1887"/>
    <w:rsid w:val="007F18BC"/>
    <w:rsid w:val="007F1A31"/>
    <w:rsid w:val="007F1BE7"/>
    <w:rsid w:val="007F1CF7"/>
    <w:rsid w:val="007F1E39"/>
    <w:rsid w:val="007F1E44"/>
    <w:rsid w:val="007F20DA"/>
    <w:rsid w:val="007F2141"/>
    <w:rsid w:val="007F21F6"/>
    <w:rsid w:val="007F2223"/>
    <w:rsid w:val="007F2289"/>
    <w:rsid w:val="007F2301"/>
    <w:rsid w:val="007F2358"/>
    <w:rsid w:val="007F23D2"/>
    <w:rsid w:val="007F246E"/>
    <w:rsid w:val="007F24AD"/>
    <w:rsid w:val="007F2562"/>
    <w:rsid w:val="007F257B"/>
    <w:rsid w:val="007F26AC"/>
    <w:rsid w:val="007F28B4"/>
    <w:rsid w:val="007F29C6"/>
    <w:rsid w:val="007F29D3"/>
    <w:rsid w:val="007F2A0F"/>
    <w:rsid w:val="007F2A10"/>
    <w:rsid w:val="007F2ACA"/>
    <w:rsid w:val="007F2B5B"/>
    <w:rsid w:val="007F2B69"/>
    <w:rsid w:val="007F2C7A"/>
    <w:rsid w:val="007F2D01"/>
    <w:rsid w:val="007F2D09"/>
    <w:rsid w:val="007F2E4D"/>
    <w:rsid w:val="007F2E6A"/>
    <w:rsid w:val="007F2EA0"/>
    <w:rsid w:val="007F2EB5"/>
    <w:rsid w:val="007F3040"/>
    <w:rsid w:val="007F309A"/>
    <w:rsid w:val="007F30B9"/>
    <w:rsid w:val="007F31F8"/>
    <w:rsid w:val="007F32AB"/>
    <w:rsid w:val="007F330F"/>
    <w:rsid w:val="007F3460"/>
    <w:rsid w:val="007F34F7"/>
    <w:rsid w:val="007F3518"/>
    <w:rsid w:val="007F351D"/>
    <w:rsid w:val="007F35EE"/>
    <w:rsid w:val="007F3738"/>
    <w:rsid w:val="007F394D"/>
    <w:rsid w:val="007F39CB"/>
    <w:rsid w:val="007F3A0E"/>
    <w:rsid w:val="007F3A67"/>
    <w:rsid w:val="007F3B0E"/>
    <w:rsid w:val="007F3BE2"/>
    <w:rsid w:val="007F3D63"/>
    <w:rsid w:val="007F3E84"/>
    <w:rsid w:val="007F3ED8"/>
    <w:rsid w:val="007F3F14"/>
    <w:rsid w:val="007F3F20"/>
    <w:rsid w:val="007F3F28"/>
    <w:rsid w:val="007F3FD1"/>
    <w:rsid w:val="007F4018"/>
    <w:rsid w:val="007F40BD"/>
    <w:rsid w:val="007F4241"/>
    <w:rsid w:val="007F4258"/>
    <w:rsid w:val="007F42AB"/>
    <w:rsid w:val="007F42E7"/>
    <w:rsid w:val="007F42EB"/>
    <w:rsid w:val="007F4306"/>
    <w:rsid w:val="007F430E"/>
    <w:rsid w:val="007F458A"/>
    <w:rsid w:val="007F49E1"/>
    <w:rsid w:val="007F4A8C"/>
    <w:rsid w:val="007F4B1D"/>
    <w:rsid w:val="007F4BC1"/>
    <w:rsid w:val="007F4CA2"/>
    <w:rsid w:val="007F4EB2"/>
    <w:rsid w:val="007F4F68"/>
    <w:rsid w:val="007F4F80"/>
    <w:rsid w:val="007F4F8A"/>
    <w:rsid w:val="007F4FDC"/>
    <w:rsid w:val="007F501C"/>
    <w:rsid w:val="007F5098"/>
    <w:rsid w:val="007F50BF"/>
    <w:rsid w:val="007F50C7"/>
    <w:rsid w:val="007F5143"/>
    <w:rsid w:val="007F519F"/>
    <w:rsid w:val="007F5216"/>
    <w:rsid w:val="007F52AA"/>
    <w:rsid w:val="007F52C9"/>
    <w:rsid w:val="007F52F6"/>
    <w:rsid w:val="007F532A"/>
    <w:rsid w:val="007F54BE"/>
    <w:rsid w:val="007F5588"/>
    <w:rsid w:val="007F5624"/>
    <w:rsid w:val="007F575D"/>
    <w:rsid w:val="007F5791"/>
    <w:rsid w:val="007F57B6"/>
    <w:rsid w:val="007F58A2"/>
    <w:rsid w:val="007F599C"/>
    <w:rsid w:val="007F59BF"/>
    <w:rsid w:val="007F5AA0"/>
    <w:rsid w:val="007F5B7E"/>
    <w:rsid w:val="007F5BE7"/>
    <w:rsid w:val="007F5CEC"/>
    <w:rsid w:val="007F5DD0"/>
    <w:rsid w:val="007F5E01"/>
    <w:rsid w:val="007F5F98"/>
    <w:rsid w:val="007F6004"/>
    <w:rsid w:val="007F6005"/>
    <w:rsid w:val="007F61A5"/>
    <w:rsid w:val="007F61FB"/>
    <w:rsid w:val="007F627C"/>
    <w:rsid w:val="007F6315"/>
    <w:rsid w:val="007F64E5"/>
    <w:rsid w:val="007F6607"/>
    <w:rsid w:val="007F662A"/>
    <w:rsid w:val="007F66E0"/>
    <w:rsid w:val="007F6844"/>
    <w:rsid w:val="007F68D4"/>
    <w:rsid w:val="007F68E5"/>
    <w:rsid w:val="007F6909"/>
    <w:rsid w:val="007F690C"/>
    <w:rsid w:val="007F6A60"/>
    <w:rsid w:val="007F6A99"/>
    <w:rsid w:val="007F6B87"/>
    <w:rsid w:val="007F6C20"/>
    <w:rsid w:val="007F6E1B"/>
    <w:rsid w:val="007F6ED2"/>
    <w:rsid w:val="007F6F68"/>
    <w:rsid w:val="007F71B0"/>
    <w:rsid w:val="007F720E"/>
    <w:rsid w:val="007F72AA"/>
    <w:rsid w:val="007F7375"/>
    <w:rsid w:val="007F738A"/>
    <w:rsid w:val="007F7437"/>
    <w:rsid w:val="007F752A"/>
    <w:rsid w:val="007F763A"/>
    <w:rsid w:val="007F785C"/>
    <w:rsid w:val="007F793A"/>
    <w:rsid w:val="007F7AA0"/>
    <w:rsid w:val="007F7B3F"/>
    <w:rsid w:val="007F7BC9"/>
    <w:rsid w:val="007F7BFF"/>
    <w:rsid w:val="007F7C36"/>
    <w:rsid w:val="007F7D0C"/>
    <w:rsid w:val="007F7D64"/>
    <w:rsid w:val="007F7EA6"/>
    <w:rsid w:val="007F7FC6"/>
    <w:rsid w:val="0080009C"/>
    <w:rsid w:val="008001AE"/>
    <w:rsid w:val="0080025A"/>
    <w:rsid w:val="0080027A"/>
    <w:rsid w:val="00800447"/>
    <w:rsid w:val="00800483"/>
    <w:rsid w:val="008004B2"/>
    <w:rsid w:val="008007C2"/>
    <w:rsid w:val="0080083C"/>
    <w:rsid w:val="0080093B"/>
    <w:rsid w:val="00800BF4"/>
    <w:rsid w:val="00800CE9"/>
    <w:rsid w:val="00800DCB"/>
    <w:rsid w:val="00800EA1"/>
    <w:rsid w:val="0080109E"/>
    <w:rsid w:val="00801100"/>
    <w:rsid w:val="008012DD"/>
    <w:rsid w:val="00801353"/>
    <w:rsid w:val="00801379"/>
    <w:rsid w:val="00801407"/>
    <w:rsid w:val="00801440"/>
    <w:rsid w:val="00801483"/>
    <w:rsid w:val="00801662"/>
    <w:rsid w:val="00801752"/>
    <w:rsid w:val="00801777"/>
    <w:rsid w:val="008018CE"/>
    <w:rsid w:val="00801A32"/>
    <w:rsid w:val="00801AAA"/>
    <w:rsid w:val="00801B81"/>
    <w:rsid w:val="00801C93"/>
    <w:rsid w:val="00801F88"/>
    <w:rsid w:val="00802034"/>
    <w:rsid w:val="008021F8"/>
    <w:rsid w:val="008022B6"/>
    <w:rsid w:val="00802370"/>
    <w:rsid w:val="008023AB"/>
    <w:rsid w:val="008025DE"/>
    <w:rsid w:val="00802663"/>
    <w:rsid w:val="008027DC"/>
    <w:rsid w:val="008029C7"/>
    <w:rsid w:val="008029F2"/>
    <w:rsid w:val="00802A98"/>
    <w:rsid w:val="00802C49"/>
    <w:rsid w:val="00802C6E"/>
    <w:rsid w:val="00802CA9"/>
    <w:rsid w:val="00802D51"/>
    <w:rsid w:val="00802DE0"/>
    <w:rsid w:val="00802DFE"/>
    <w:rsid w:val="00802EE3"/>
    <w:rsid w:val="0080303C"/>
    <w:rsid w:val="008030E3"/>
    <w:rsid w:val="008030E6"/>
    <w:rsid w:val="00803149"/>
    <w:rsid w:val="00803759"/>
    <w:rsid w:val="008038DA"/>
    <w:rsid w:val="00803950"/>
    <w:rsid w:val="00803AB2"/>
    <w:rsid w:val="00803B44"/>
    <w:rsid w:val="00803B93"/>
    <w:rsid w:val="00803CF6"/>
    <w:rsid w:val="00803CF7"/>
    <w:rsid w:val="00803DB1"/>
    <w:rsid w:val="008040EA"/>
    <w:rsid w:val="008041D2"/>
    <w:rsid w:val="00804378"/>
    <w:rsid w:val="008043E9"/>
    <w:rsid w:val="008044CB"/>
    <w:rsid w:val="008044CD"/>
    <w:rsid w:val="008044E2"/>
    <w:rsid w:val="0080450A"/>
    <w:rsid w:val="00804517"/>
    <w:rsid w:val="00804584"/>
    <w:rsid w:val="008045C2"/>
    <w:rsid w:val="008045CF"/>
    <w:rsid w:val="00804600"/>
    <w:rsid w:val="008046B3"/>
    <w:rsid w:val="008046C7"/>
    <w:rsid w:val="008046C9"/>
    <w:rsid w:val="008046CC"/>
    <w:rsid w:val="008046DE"/>
    <w:rsid w:val="00804731"/>
    <w:rsid w:val="0080478E"/>
    <w:rsid w:val="008047C2"/>
    <w:rsid w:val="0080497E"/>
    <w:rsid w:val="00804B2D"/>
    <w:rsid w:val="00804B66"/>
    <w:rsid w:val="00804BAB"/>
    <w:rsid w:val="00804C04"/>
    <w:rsid w:val="00804C2C"/>
    <w:rsid w:val="00804CB5"/>
    <w:rsid w:val="00804D59"/>
    <w:rsid w:val="00804E73"/>
    <w:rsid w:val="00804E7E"/>
    <w:rsid w:val="00804E9B"/>
    <w:rsid w:val="00804F05"/>
    <w:rsid w:val="00804FFE"/>
    <w:rsid w:val="00805131"/>
    <w:rsid w:val="00805142"/>
    <w:rsid w:val="00805162"/>
    <w:rsid w:val="0080535E"/>
    <w:rsid w:val="0080538F"/>
    <w:rsid w:val="00805435"/>
    <w:rsid w:val="008054FF"/>
    <w:rsid w:val="0080555D"/>
    <w:rsid w:val="00805566"/>
    <w:rsid w:val="008055DC"/>
    <w:rsid w:val="008056A4"/>
    <w:rsid w:val="0080571E"/>
    <w:rsid w:val="00805890"/>
    <w:rsid w:val="00805A0B"/>
    <w:rsid w:val="00805AA2"/>
    <w:rsid w:val="00805AB8"/>
    <w:rsid w:val="00805ACB"/>
    <w:rsid w:val="00805C2F"/>
    <w:rsid w:val="00805C3D"/>
    <w:rsid w:val="00805CAB"/>
    <w:rsid w:val="00805D3B"/>
    <w:rsid w:val="00805D5F"/>
    <w:rsid w:val="00805DC1"/>
    <w:rsid w:val="00805E2E"/>
    <w:rsid w:val="00805E43"/>
    <w:rsid w:val="00806052"/>
    <w:rsid w:val="0080605E"/>
    <w:rsid w:val="00806062"/>
    <w:rsid w:val="00806095"/>
    <w:rsid w:val="0080615A"/>
    <w:rsid w:val="00806214"/>
    <w:rsid w:val="0080628B"/>
    <w:rsid w:val="00806295"/>
    <w:rsid w:val="00806392"/>
    <w:rsid w:val="00806436"/>
    <w:rsid w:val="0080646F"/>
    <w:rsid w:val="00806560"/>
    <w:rsid w:val="0080660E"/>
    <w:rsid w:val="00806628"/>
    <w:rsid w:val="00806800"/>
    <w:rsid w:val="00806849"/>
    <w:rsid w:val="00806882"/>
    <w:rsid w:val="00806885"/>
    <w:rsid w:val="00806A31"/>
    <w:rsid w:val="00806A5D"/>
    <w:rsid w:val="00806B1E"/>
    <w:rsid w:val="00806B87"/>
    <w:rsid w:val="00806B99"/>
    <w:rsid w:val="00806C3D"/>
    <w:rsid w:val="00806F06"/>
    <w:rsid w:val="008071A2"/>
    <w:rsid w:val="0080727E"/>
    <w:rsid w:val="00807297"/>
    <w:rsid w:val="008072E0"/>
    <w:rsid w:val="008076DA"/>
    <w:rsid w:val="00807750"/>
    <w:rsid w:val="00807852"/>
    <w:rsid w:val="00807870"/>
    <w:rsid w:val="00807917"/>
    <w:rsid w:val="00807919"/>
    <w:rsid w:val="00807952"/>
    <w:rsid w:val="008079B7"/>
    <w:rsid w:val="00807AB9"/>
    <w:rsid w:val="00807C9E"/>
    <w:rsid w:val="00807CE0"/>
    <w:rsid w:val="00807EED"/>
    <w:rsid w:val="00807F71"/>
    <w:rsid w:val="00810066"/>
    <w:rsid w:val="0081008E"/>
    <w:rsid w:val="008100DA"/>
    <w:rsid w:val="00810119"/>
    <w:rsid w:val="0081017C"/>
    <w:rsid w:val="008101BB"/>
    <w:rsid w:val="008102A8"/>
    <w:rsid w:val="008102D9"/>
    <w:rsid w:val="00810309"/>
    <w:rsid w:val="00810461"/>
    <w:rsid w:val="00810490"/>
    <w:rsid w:val="008104F6"/>
    <w:rsid w:val="0081066B"/>
    <w:rsid w:val="00810674"/>
    <w:rsid w:val="0081076F"/>
    <w:rsid w:val="00810808"/>
    <w:rsid w:val="008108D9"/>
    <w:rsid w:val="00810928"/>
    <w:rsid w:val="00810933"/>
    <w:rsid w:val="00810AED"/>
    <w:rsid w:val="00810B64"/>
    <w:rsid w:val="00810B65"/>
    <w:rsid w:val="00810B77"/>
    <w:rsid w:val="00810BD5"/>
    <w:rsid w:val="00810BE2"/>
    <w:rsid w:val="00810C1F"/>
    <w:rsid w:val="00810CF8"/>
    <w:rsid w:val="00810D85"/>
    <w:rsid w:val="00810D8F"/>
    <w:rsid w:val="00810DC9"/>
    <w:rsid w:val="00810DE0"/>
    <w:rsid w:val="00810EF0"/>
    <w:rsid w:val="00810F15"/>
    <w:rsid w:val="00811038"/>
    <w:rsid w:val="008110E2"/>
    <w:rsid w:val="00811110"/>
    <w:rsid w:val="00811154"/>
    <w:rsid w:val="0081124C"/>
    <w:rsid w:val="0081130B"/>
    <w:rsid w:val="00811470"/>
    <w:rsid w:val="008114B1"/>
    <w:rsid w:val="00811619"/>
    <w:rsid w:val="00811668"/>
    <w:rsid w:val="00811729"/>
    <w:rsid w:val="008119D1"/>
    <w:rsid w:val="00811BBB"/>
    <w:rsid w:val="00811C1D"/>
    <w:rsid w:val="00811C9D"/>
    <w:rsid w:val="00811CBD"/>
    <w:rsid w:val="00811D95"/>
    <w:rsid w:val="00811E84"/>
    <w:rsid w:val="00811F95"/>
    <w:rsid w:val="00811FDD"/>
    <w:rsid w:val="00812092"/>
    <w:rsid w:val="0081209C"/>
    <w:rsid w:val="0081211F"/>
    <w:rsid w:val="00812200"/>
    <w:rsid w:val="0081232E"/>
    <w:rsid w:val="008124BA"/>
    <w:rsid w:val="008124C6"/>
    <w:rsid w:val="00812552"/>
    <w:rsid w:val="008125B0"/>
    <w:rsid w:val="008125EF"/>
    <w:rsid w:val="00812645"/>
    <w:rsid w:val="0081271A"/>
    <w:rsid w:val="008128F1"/>
    <w:rsid w:val="00812B72"/>
    <w:rsid w:val="00812BA9"/>
    <w:rsid w:val="00812C99"/>
    <w:rsid w:val="00812C9D"/>
    <w:rsid w:val="00812DAB"/>
    <w:rsid w:val="00812DB0"/>
    <w:rsid w:val="00812ED9"/>
    <w:rsid w:val="0081307F"/>
    <w:rsid w:val="008130AC"/>
    <w:rsid w:val="008130CA"/>
    <w:rsid w:val="00813106"/>
    <w:rsid w:val="0081313C"/>
    <w:rsid w:val="008131D4"/>
    <w:rsid w:val="008133DC"/>
    <w:rsid w:val="008134AB"/>
    <w:rsid w:val="0081350B"/>
    <w:rsid w:val="00813575"/>
    <w:rsid w:val="008136E8"/>
    <w:rsid w:val="008137D8"/>
    <w:rsid w:val="00813A44"/>
    <w:rsid w:val="00813B6C"/>
    <w:rsid w:val="00813BF9"/>
    <w:rsid w:val="00813C08"/>
    <w:rsid w:val="00813C28"/>
    <w:rsid w:val="00813C59"/>
    <w:rsid w:val="00813E32"/>
    <w:rsid w:val="00813EBE"/>
    <w:rsid w:val="00813ECD"/>
    <w:rsid w:val="008141EA"/>
    <w:rsid w:val="00814368"/>
    <w:rsid w:val="008143CF"/>
    <w:rsid w:val="00814588"/>
    <w:rsid w:val="008145B7"/>
    <w:rsid w:val="008145D8"/>
    <w:rsid w:val="00814756"/>
    <w:rsid w:val="00814818"/>
    <w:rsid w:val="00814AF1"/>
    <w:rsid w:val="00814AFB"/>
    <w:rsid w:val="00814B04"/>
    <w:rsid w:val="00814BB0"/>
    <w:rsid w:val="00814BF9"/>
    <w:rsid w:val="00814C2F"/>
    <w:rsid w:val="00814C53"/>
    <w:rsid w:val="00814F6B"/>
    <w:rsid w:val="00814FF5"/>
    <w:rsid w:val="008150B7"/>
    <w:rsid w:val="008150F6"/>
    <w:rsid w:val="0081510D"/>
    <w:rsid w:val="00815183"/>
    <w:rsid w:val="008153AB"/>
    <w:rsid w:val="00815495"/>
    <w:rsid w:val="008154B6"/>
    <w:rsid w:val="008155AC"/>
    <w:rsid w:val="00815627"/>
    <w:rsid w:val="00815635"/>
    <w:rsid w:val="008156EB"/>
    <w:rsid w:val="00815784"/>
    <w:rsid w:val="0081587C"/>
    <w:rsid w:val="008158F6"/>
    <w:rsid w:val="00815A81"/>
    <w:rsid w:val="00815AC8"/>
    <w:rsid w:val="00815AF5"/>
    <w:rsid w:val="00815C7C"/>
    <w:rsid w:val="00815EB1"/>
    <w:rsid w:val="00815EDA"/>
    <w:rsid w:val="0081604E"/>
    <w:rsid w:val="00816067"/>
    <w:rsid w:val="008160EE"/>
    <w:rsid w:val="008161A0"/>
    <w:rsid w:val="00816382"/>
    <w:rsid w:val="00816417"/>
    <w:rsid w:val="00816537"/>
    <w:rsid w:val="00816611"/>
    <w:rsid w:val="0081672C"/>
    <w:rsid w:val="00816734"/>
    <w:rsid w:val="00816739"/>
    <w:rsid w:val="008167BC"/>
    <w:rsid w:val="00816940"/>
    <w:rsid w:val="00816B35"/>
    <w:rsid w:val="00816B90"/>
    <w:rsid w:val="00816BB0"/>
    <w:rsid w:val="00816C1D"/>
    <w:rsid w:val="00816E85"/>
    <w:rsid w:val="00816FDB"/>
    <w:rsid w:val="00816FE2"/>
    <w:rsid w:val="008170A6"/>
    <w:rsid w:val="008172D3"/>
    <w:rsid w:val="00817326"/>
    <w:rsid w:val="0081735F"/>
    <w:rsid w:val="0081741C"/>
    <w:rsid w:val="00817714"/>
    <w:rsid w:val="00817915"/>
    <w:rsid w:val="00817A56"/>
    <w:rsid w:val="00817BCC"/>
    <w:rsid w:val="00817C83"/>
    <w:rsid w:val="00817DA5"/>
    <w:rsid w:val="00817E6F"/>
    <w:rsid w:val="00817E82"/>
    <w:rsid w:val="00820007"/>
    <w:rsid w:val="00820035"/>
    <w:rsid w:val="0082004B"/>
    <w:rsid w:val="008200BE"/>
    <w:rsid w:val="00820350"/>
    <w:rsid w:val="008203DC"/>
    <w:rsid w:val="0082045E"/>
    <w:rsid w:val="00820571"/>
    <w:rsid w:val="0082075D"/>
    <w:rsid w:val="008207C5"/>
    <w:rsid w:val="00820866"/>
    <w:rsid w:val="008209B5"/>
    <w:rsid w:val="00820BD7"/>
    <w:rsid w:val="00820C79"/>
    <w:rsid w:val="0082101A"/>
    <w:rsid w:val="008210A8"/>
    <w:rsid w:val="008211EF"/>
    <w:rsid w:val="00821218"/>
    <w:rsid w:val="00821259"/>
    <w:rsid w:val="0082132E"/>
    <w:rsid w:val="008213A6"/>
    <w:rsid w:val="008214D2"/>
    <w:rsid w:val="0082157E"/>
    <w:rsid w:val="00821607"/>
    <w:rsid w:val="008216C1"/>
    <w:rsid w:val="0082170B"/>
    <w:rsid w:val="0082172A"/>
    <w:rsid w:val="00821795"/>
    <w:rsid w:val="008217D5"/>
    <w:rsid w:val="00821809"/>
    <w:rsid w:val="00821A4D"/>
    <w:rsid w:val="00821A71"/>
    <w:rsid w:val="00821B5B"/>
    <w:rsid w:val="00821B91"/>
    <w:rsid w:val="00821C4C"/>
    <w:rsid w:val="00821C67"/>
    <w:rsid w:val="00821CD2"/>
    <w:rsid w:val="00821CFD"/>
    <w:rsid w:val="00821D6D"/>
    <w:rsid w:val="00821F88"/>
    <w:rsid w:val="008220B1"/>
    <w:rsid w:val="0082216D"/>
    <w:rsid w:val="00822363"/>
    <w:rsid w:val="008225D5"/>
    <w:rsid w:val="0082272A"/>
    <w:rsid w:val="00822801"/>
    <w:rsid w:val="00822918"/>
    <w:rsid w:val="008229B2"/>
    <w:rsid w:val="00822A34"/>
    <w:rsid w:val="00822AD8"/>
    <w:rsid w:val="00822B01"/>
    <w:rsid w:val="00822B47"/>
    <w:rsid w:val="00822C04"/>
    <w:rsid w:val="00822DB5"/>
    <w:rsid w:val="00822E88"/>
    <w:rsid w:val="00822FAD"/>
    <w:rsid w:val="00823035"/>
    <w:rsid w:val="00823121"/>
    <w:rsid w:val="008231CB"/>
    <w:rsid w:val="008231E7"/>
    <w:rsid w:val="008231E9"/>
    <w:rsid w:val="00823223"/>
    <w:rsid w:val="00823238"/>
    <w:rsid w:val="00823279"/>
    <w:rsid w:val="00823382"/>
    <w:rsid w:val="00823416"/>
    <w:rsid w:val="008234A2"/>
    <w:rsid w:val="008234FF"/>
    <w:rsid w:val="0082353E"/>
    <w:rsid w:val="00823550"/>
    <w:rsid w:val="008235AF"/>
    <w:rsid w:val="008235E2"/>
    <w:rsid w:val="008236A2"/>
    <w:rsid w:val="0082381C"/>
    <w:rsid w:val="0082384E"/>
    <w:rsid w:val="00823A27"/>
    <w:rsid w:val="00823BC2"/>
    <w:rsid w:val="00823C01"/>
    <w:rsid w:val="00823C55"/>
    <w:rsid w:val="00823D32"/>
    <w:rsid w:val="00823E57"/>
    <w:rsid w:val="00824074"/>
    <w:rsid w:val="008241A9"/>
    <w:rsid w:val="00824312"/>
    <w:rsid w:val="0082431D"/>
    <w:rsid w:val="008244AC"/>
    <w:rsid w:val="008244CC"/>
    <w:rsid w:val="00824549"/>
    <w:rsid w:val="00824629"/>
    <w:rsid w:val="0082468B"/>
    <w:rsid w:val="0082472A"/>
    <w:rsid w:val="00824754"/>
    <w:rsid w:val="0082487E"/>
    <w:rsid w:val="0082498F"/>
    <w:rsid w:val="008249D7"/>
    <w:rsid w:val="008249DA"/>
    <w:rsid w:val="00824B38"/>
    <w:rsid w:val="00824B57"/>
    <w:rsid w:val="00824B9A"/>
    <w:rsid w:val="00824CE5"/>
    <w:rsid w:val="00824DB9"/>
    <w:rsid w:val="00824DD6"/>
    <w:rsid w:val="00824E61"/>
    <w:rsid w:val="00824FA9"/>
    <w:rsid w:val="00824FAC"/>
    <w:rsid w:val="00824FD0"/>
    <w:rsid w:val="008251DC"/>
    <w:rsid w:val="008252B3"/>
    <w:rsid w:val="0082536C"/>
    <w:rsid w:val="00825466"/>
    <w:rsid w:val="00825485"/>
    <w:rsid w:val="008254F9"/>
    <w:rsid w:val="0082555E"/>
    <w:rsid w:val="00825629"/>
    <w:rsid w:val="00825907"/>
    <w:rsid w:val="0082592C"/>
    <w:rsid w:val="0082597C"/>
    <w:rsid w:val="00825AB9"/>
    <w:rsid w:val="00825C56"/>
    <w:rsid w:val="00825CB4"/>
    <w:rsid w:val="00825E10"/>
    <w:rsid w:val="00825F75"/>
    <w:rsid w:val="00826031"/>
    <w:rsid w:val="00826305"/>
    <w:rsid w:val="0082636E"/>
    <w:rsid w:val="008263F9"/>
    <w:rsid w:val="0082641C"/>
    <w:rsid w:val="00826446"/>
    <w:rsid w:val="008264F4"/>
    <w:rsid w:val="0082659D"/>
    <w:rsid w:val="00826682"/>
    <w:rsid w:val="00826763"/>
    <w:rsid w:val="00826940"/>
    <w:rsid w:val="0082697A"/>
    <w:rsid w:val="00826A5D"/>
    <w:rsid w:val="00826AF7"/>
    <w:rsid w:val="00826B34"/>
    <w:rsid w:val="00826CBE"/>
    <w:rsid w:val="00826CD2"/>
    <w:rsid w:val="00826D3B"/>
    <w:rsid w:val="00826E67"/>
    <w:rsid w:val="00826EAF"/>
    <w:rsid w:val="00826FF1"/>
    <w:rsid w:val="00827020"/>
    <w:rsid w:val="0082705B"/>
    <w:rsid w:val="008271BC"/>
    <w:rsid w:val="00827250"/>
    <w:rsid w:val="00827267"/>
    <w:rsid w:val="008274E2"/>
    <w:rsid w:val="008274FA"/>
    <w:rsid w:val="008275B8"/>
    <w:rsid w:val="008276C4"/>
    <w:rsid w:val="0082775F"/>
    <w:rsid w:val="00827829"/>
    <w:rsid w:val="008279A4"/>
    <w:rsid w:val="00827AFA"/>
    <w:rsid w:val="00827AFE"/>
    <w:rsid w:val="00827B2C"/>
    <w:rsid w:val="00827C65"/>
    <w:rsid w:val="00827CAA"/>
    <w:rsid w:val="00827DCD"/>
    <w:rsid w:val="00827E25"/>
    <w:rsid w:val="00827EA2"/>
    <w:rsid w:val="00827ECD"/>
    <w:rsid w:val="00827F49"/>
    <w:rsid w:val="00830030"/>
    <w:rsid w:val="008300C7"/>
    <w:rsid w:val="0083010D"/>
    <w:rsid w:val="008301D6"/>
    <w:rsid w:val="008302FC"/>
    <w:rsid w:val="0083038C"/>
    <w:rsid w:val="008303AA"/>
    <w:rsid w:val="008304C2"/>
    <w:rsid w:val="0083050A"/>
    <w:rsid w:val="0083061E"/>
    <w:rsid w:val="0083064C"/>
    <w:rsid w:val="008307A1"/>
    <w:rsid w:val="008307A5"/>
    <w:rsid w:val="00830B31"/>
    <w:rsid w:val="00830B47"/>
    <w:rsid w:val="00830C4E"/>
    <w:rsid w:val="00830C5E"/>
    <w:rsid w:val="00830C6B"/>
    <w:rsid w:val="00830CD8"/>
    <w:rsid w:val="00830CFF"/>
    <w:rsid w:val="00830D5D"/>
    <w:rsid w:val="00830D93"/>
    <w:rsid w:val="00830DD6"/>
    <w:rsid w:val="00830E28"/>
    <w:rsid w:val="00830E8F"/>
    <w:rsid w:val="00830F47"/>
    <w:rsid w:val="00830F82"/>
    <w:rsid w:val="00831137"/>
    <w:rsid w:val="0083119D"/>
    <w:rsid w:val="008312D7"/>
    <w:rsid w:val="008313C0"/>
    <w:rsid w:val="00831476"/>
    <w:rsid w:val="008314CA"/>
    <w:rsid w:val="00831535"/>
    <w:rsid w:val="00831A1F"/>
    <w:rsid w:val="00831AEB"/>
    <w:rsid w:val="00831B6B"/>
    <w:rsid w:val="00831D65"/>
    <w:rsid w:val="00831F42"/>
    <w:rsid w:val="00831F64"/>
    <w:rsid w:val="00831F6F"/>
    <w:rsid w:val="00831FFB"/>
    <w:rsid w:val="0083209D"/>
    <w:rsid w:val="008320AA"/>
    <w:rsid w:val="00832281"/>
    <w:rsid w:val="0083232B"/>
    <w:rsid w:val="00832388"/>
    <w:rsid w:val="008324B2"/>
    <w:rsid w:val="00832566"/>
    <w:rsid w:val="008325FC"/>
    <w:rsid w:val="00832622"/>
    <w:rsid w:val="00832653"/>
    <w:rsid w:val="0083266C"/>
    <w:rsid w:val="008326F0"/>
    <w:rsid w:val="008327E4"/>
    <w:rsid w:val="00832824"/>
    <w:rsid w:val="00832903"/>
    <w:rsid w:val="0083294A"/>
    <w:rsid w:val="00832AB6"/>
    <w:rsid w:val="00832AFB"/>
    <w:rsid w:val="00832B37"/>
    <w:rsid w:val="00832B56"/>
    <w:rsid w:val="00832CD1"/>
    <w:rsid w:val="00832DA5"/>
    <w:rsid w:val="00832EA7"/>
    <w:rsid w:val="00832F2A"/>
    <w:rsid w:val="00832F69"/>
    <w:rsid w:val="0083305B"/>
    <w:rsid w:val="008330A1"/>
    <w:rsid w:val="00833443"/>
    <w:rsid w:val="00833490"/>
    <w:rsid w:val="00833573"/>
    <w:rsid w:val="008335D2"/>
    <w:rsid w:val="008337FD"/>
    <w:rsid w:val="00833A11"/>
    <w:rsid w:val="00833B0A"/>
    <w:rsid w:val="00833B14"/>
    <w:rsid w:val="00833BEA"/>
    <w:rsid w:val="00833C01"/>
    <w:rsid w:val="00833C52"/>
    <w:rsid w:val="00833C62"/>
    <w:rsid w:val="00833CA9"/>
    <w:rsid w:val="00833D1E"/>
    <w:rsid w:val="00833E23"/>
    <w:rsid w:val="00833E2E"/>
    <w:rsid w:val="00833E67"/>
    <w:rsid w:val="00833F46"/>
    <w:rsid w:val="00833FCB"/>
    <w:rsid w:val="0083404C"/>
    <w:rsid w:val="0083409E"/>
    <w:rsid w:val="0083417B"/>
    <w:rsid w:val="00834184"/>
    <w:rsid w:val="00834211"/>
    <w:rsid w:val="00834272"/>
    <w:rsid w:val="00834293"/>
    <w:rsid w:val="008342C4"/>
    <w:rsid w:val="008342D8"/>
    <w:rsid w:val="008342E5"/>
    <w:rsid w:val="008343EE"/>
    <w:rsid w:val="0083448E"/>
    <w:rsid w:val="0083450C"/>
    <w:rsid w:val="00834538"/>
    <w:rsid w:val="0083490F"/>
    <w:rsid w:val="00834914"/>
    <w:rsid w:val="0083498E"/>
    <w:rsid w:val="008349BB"/>
    <w:rsid w:val="00834A56"/>
    <w:rsid w:val="00834C14"/>
    <w:rsid w:val="00834C18"/>
    <w:rsid w:val="00834CFD"/>
    <w:rsid w:val="00835271"/>
    <w:rsid w:val="008354BD"/>
    <w:rsid w:val="00835510"/>
    <w:rsid w:val="00835564"/>
    <w:rsid w:val="00835570"/>
    <w:rsid w:val="00835635"/>
    <w:rsid w:val="00835672"/>
    <w:rsid w:val="008356A1"/>
    <w:rsid w:val="0083572A"/>
    <w:rsid w:val="0083596D"/>
    <w:rsid w:val="00835A00"/>
    <w:rsid w:val="00835A6E"/>
    <w:rsid w:val="00835BF8"/>
    <w:rsid w:val="00835C69"/>
    <w:rsid w:val="00835F11"/>
    <w:rsid w:val="00835F17"/>
    <w:rsid w:val="00835FDB"/>
    <w:rsid w:val="008360BB"/>
    <w:rsid w:val="0083621C"/>
    <w:rsid w:val="008362B5"/>
    <w:rsid w:val="00836440"/>
    <w:rsid w:val="008364C4"/>
    <w:rsid w:val="008364CE"/>
    <w:rsid w:val="008364F3"/>
    <w:rsid w:val="0083652C"/>
    <w:rsid w:val="0083655E"/>
    <w:rsid w:val="0083675F"/>
    <w:rsid w:val="00836833"/>
    <w:rsid w:val="00836892"/>
    <w:rsid w:val="008368AA"/>
    <w:rsid w:val="00836A64"/>
    <w:rsid w:val="00836AF6"/>
    <w:rsid w:val="00836B9B"/>
    <w:rsid w:val="00836C90"/>
    <w:rsid w:val="00836D77"/>
    <w:rsid w:val="00836E19"/>
    <w:rsid w:val="00836F28"/>
    <w:rsid w:val="00836F89"/>
    <w:rsid w:val="00837079"/>
    <w:rsid w:val="00837159"/>
    <w:rsid w:val="00837170"/>
    <w:rsid w:val="008372E1"/>
    <w:rsid w:val="0083733D"/>
    <w:rsid w:val="008373BC"/>
    <w:rsid w:val="008375B2"/>
    <w:rsid w:val="008375C1"/>
    <w:rsid w:val="00837759"/>
    <w:rsid w:val="00837892"/>
    <w:rsid w:val="008378B3"/>
    <w:rsid w:val="00837998"/>
    <w:rsid w:val="008379A9"/>
    <w:rsid w:val="00837AA3"/>
    <w:rsid w:val="00837AD1"/>
    <w:rsid w:val="00837B30"/>
    <w:rsid w:val="00837BDF"/>
    <w:rsid w:val="00837CA6"/>
    <w:rsid w:val="00837CC9"/>
    <w:rsid w:val="00837D3D"/>
    <w:rsid w:val="00837DCE"/>
    <w:rsid w:val="00837E4E"/>
    <w:rsid w:val="00837F4A"/>
    <w:rsid w:val="008400B0"/>
    <w:rsid w:val="008401B0"/>
    <w:rsid w:val="0084022E"/>
    <w:rsid w:val="00840236"/>
    <w:rsid w:val="0084029D"/>
    <w:rsid w:val="008404AD"/>
    <w:rsid w:val="008404EC"/>
    <w:rsid w:val="00840612"/>
    <w:rsid w:val="008406EA"/>
    <w:rsid w:val="0084078A"/>
    <w:rsid w:val="00840851"/>
    <w:rsid w:val="008409F4"/>
    <w:rsid w:val="00840A9A"/>
    <w:rsid w:val="00840CF2"/>
    <w:rsid w:val="00840DAB"/>
    <w:rsid w:val="00840EEE"/>
    <w:rsid w:val="0084119F"/>
    <w:rsid w:val="008411D1"/>
    <w:rsid w:val="0084135F"/>
    <w:rsid w:val="00841393"/>
    <w:rsid w:val="008413A5"/>
    <w:rsid w:val="008413EB"/>
    <w:rsid w:val="008413FF"/>
    <w:rsid w:val="00841423"/>
    <w:rsid w:val="0084149C"/>
    <w:rsid w:val="00841546"/>
    <w:rsid w:val="008416CF"/>
    <w:rsid w:val="008416F2"/>
    <w:rsid w:val="0084175E"/>
    <w:rsid w:val="00841CBE"/>
    <w:rsid w:val="00841E09"/>
    <w:rsid w:val="00841E4E"/>
    <w:rsid w:val="00841EB4"/>
    <w:rsid w:val="00841EBB"/>
    <w:rsid w:val="00841F2F"/>
    <w:rsid w:val="00842008"/>
    <w:rsid w:val="008420B1"/>
    <w:rsid w:val="008420D2"/>
    <w:rsid w:val="0084266F"/>
    <w:rsid w:val="00842870"/>
    <w:rsid w:val="008428DF"/>
    <w:rsid w:val="008428F3"/>
    <w:rsid w:val="00842A08"/>
    <w:rsid w:val="00842B14"/>
    <w:rsid w:val="00842B51"/>
    <w:rsid w:val="00842B56"/>
    <w:rsid w:val="00842B8A"/>
    <w:rsid w:val="00842B9B"/>
    <w:rsid w:val="00842D21"/>
    <w:rsid w:val="00842D7D"/>
    <w:rsid w:val="00842E19"/>
    <w:rsid w:val="00842F7B"/>
    <w:rsid w:val="00842F9F"/>
    <w:rsid w:val="0084309C"/>
    <w:rsid w:val="00843147"/>
    <w:rsid w:val="00843185"/>
    <w:rsid w:val="008433B2"/>
    <w:rsid w:val="00843448"/>
    <w:rsid w:val="008435B7"/>
    <w:rsid w:val="008435F1"/>
    <w:rsid w:val="00843614"/>
    <w:rsid w:val="008436AF"/>
    <w:rsid w:val="008436BC"/>
    <w:rsid w:val="008436DB"/>
    <w:rsid w:val="00843777"/>
    <w:rsid w:val="0084379F"/>
    <w:rsid w:val="0084387B"/>
    <w:rsid w:val="00843896"/>
    <w:rsid w:val="0084392C"/>
    <w:rsid w:val="00843ABA"/>
    <w:rsid w:val="00843B65"/>
    <w:rsid w:val="00843DEF"/>
    <w:rsid w:val="00843F2E"/>
    <w:rsid w:val="0084411F"/>
    <w:rsid w:val="00844139"/>
    <w:rsid w:val="008442C5"/>
    <w:rsid w:val="00844333"/>
    <w:rsid w:val="0084437D"/>
    <w:rsid w:val="00844381"/>
    <w:rsid w:val="008444C3"/>
    <w:rsid w:val="008445B3"/>
    <w:rsid w:val="0084483A"/>
    <w:rsid w:val="0084483F"/>
    <w:rsid w:val="008448E6"/>
    <w:rsid w:val="00844930"/>
    <w:rsid w:val="008449F5"/>
    <w:rsid w:val="00844A79"/>
    <w:rsid w:val="00844AB8"/>
    <w:rsid w:val="00844AD6"/>
    <w:rsid w:val="00844B04"/>
    <w:rsid w:val="00844D00"/>
    <w:rsid w:val="00844D1B"/>
    <w:rsid w:val="00844D64"/>
    <w:rsid w:val="00844DBC"/>
    <w:rsid w:val="00844E0E"/>
    <w:rsid w:val="00844E5C"/>
    <w:rsid w:val="00844F7A"/>
    <w:rsid w:val="00844FEA"/>
    <w:rsid w:val="008450E0"/>
    <w:rsid w:val="008450F5"/>
    <w:rsid w:val="00845144"/>
    <w:rsid w:val="00845238"/>
    <w:rsid w:val="00845266"/>
    <w:rsid w:val="00845283"/>
    <w:rsid w:val="008452AD"/>
    <w:rsid w:val="00845340"/>
    <w:rsid w:val="0084551A"/>
    <w:rsid w:val="00845703"/>
    <w:rsid w:val="00845728"/>
    <w:rsid w:val="008458BA"/>
    <w:rsid w:val="0084591F"/>
    <w:rsid w:val="0084596F"/>
    <w:rsid w:val="00845A8A"/>
    <w:rsid w:val="00845BF5"/>
    <w:rsid w:val="00845CEB"/>
    <w:rsid w:val="00845D24"/>
    <w:rsid w:val="00845D3D"/>
    <w:rsid w:val="00845D52"/>
    <w:rsid w:val="00845E59"/>
    <w:rsid w:val="00845E87"/>
    <w:rsid w:val="00846020"/>
    <w:rsid w:val="0084608B"/>
    <w:rsid w:val="00846094"/>
    <w:rsid w:val="00846133"/>
    <w:rsid w:val="008463B4"/>
    <w:rsid w:val="0084653C"/>
    <w:rsid w:val="00846558"/>
    <w:rsid w:val="008465CA"/>
    <w:rsid w:val="00846629"/>
    <w:rsid w:val="008466CF"/>
    <w:rsid w:val="008467DA"/>
    <w:rsid w:val="0084682D"/>
    <w:rsid w:val="008468CE"/>
    <w:rsid w:val="008469DA"/>
    <w:rsid w:val="00846BA1"/>
    <w:rsid w:val="00846C3F"/>
    <w:rsid w:val="00846CFF"/>
    <w:rsid w:val="00846D16"/>
    <w:rsid w:val="00846D35"/>
    <w:rsid w:val="00846D36"/>
    <w:rsid w:val="00846D74"/>
    <w:rsid w:val="00846D99"/>
    <w:rsid w:val="00846E5A"/>
    <w:rsid w:val="00846EDB"/>
    <w:rsid w:val="00846FAB"/>
    <w:rsid w:val="00846FBF"/>
    <w:rsid w:val="00846FC7"/>
    <w:rsid w:val="00847220"/>
    <w:rsid w:val="00847369"/>
    <w:rsid w:val="0084743F"/>
    <w:rsid w:val="008474DC"/>
    <w:rsid w:val="008475D6"/>
    <w:rsid w:val="00847671"/>
    <w:rsid w:val="0084782D"/>
    <w:rsid w:val="0084782F"/>
    <w:rsid w:val="00847839"/>
    <w:rsid w:val="008478ED"/>
    <w:rsid w:val="00847948"/>
    <w:rsid w:val="008479EF"/>
    <w:rsid w:val="00847ABA"/>
    <w:rsid w:val="00847BD0"/>
    <w:rsid w:val="00847D49"/>
    <w:rsid w:val="00847DB5"/>
    <w:rsid w:val="00847E1E"/>
    <w:rsid w:val="00847E24"/>
    <w:rsid w:val="00850017"/>
    <w:rsid w:val="008502DD"/>
    <w:rsid w:val="00850461"/>
    <w:rsid w:val="008504A2"/>
    <w:rsid w:val="0085067E"/>
    <w:rsid w:val="00850871"/>
    <w:rsid w:val="00850920"/>
    <w:rsid w:val="0085094D"/>
    <w:rsid w:val="00850968"/>
    <w:rsid w:val="008509BF"/>
    <w:rsid w:val="00850A4A"/>
    <w:rsid w:val="00850ABC"/>
    <w:rsid w:val="00850C46"/>
    <w:rsid w:val="00850D0B"/>
    <w:rsid w:val="00850D13"/>
    <w:rsid w:val="00850D54"/>
    <w:rsid w:val="00850D71"/>
    <w:rsid w:val="00850DFA"/>
    <w:rsid w:val="008511D5"/>
    <w:rsid w:val="008511FD"/>
    <w:rsid w:val="008512E4"/>
    <w:rsid w:val="0085130D"/>
    <w:rsid w:val="008513E4"/>
    <w:rsid w:val="0085152B"/>
    <w:rsid w:val="00851558"/>
    <w:rsid w:val="008515CA"/>
    <w:rsid w:val="00851631"/>
    <w:rsid w:val="0085178E"/>
    <w:rsid w:val="00851800"/>
    <w:rsid w:val="00851892"/>
    <w:rsid w:val="008518CC"/>
    <w:rsid w:val="0085190E"/>
    <w:rsid w:val="008519D1"/>
    <w:rsid w:val="00851A85"/>
    <w:rsid w:val="00851D66"/>
    <w:rsid w:val="00851D81"/>
    <w:rsid w:val="00851E8F"/>
    <w:rsid w:val="00851F33"/>
    <w:rsid w:val="00851F78"/>
    <w:rsid w:val="00851FDC"/>
    <w:rsid w:val="00852081"/>
    <w:rsid w:val="00852203"/>
    <w:rsid w:val="0085222B"/>
    <w:rsid w:val="00852353"/>
    <w:rsid w:val="00852442"/>
    <w:rsid w:val="00852516"/>
    <w:rsid w:val="00852577"/>
    <w:rsid w:val="008526CA"/>
    <w:rsid w:val="00852830"/>
    <w:rsid w:val="00852915"/>
    <w:rsid w:val="00852953"/>
    <w:rsid w:val="008529B0"/>
    <w:rsid w:val="00852A25"/>
    <w:rsid w:val="00852B2D"/>
    <w:rsid w:val="00852C5B"/>
    <w:rsid w:val="00852C80"/>
    <w:rsid w:val="00852CA5"/>
    <w:rsid w:val="00852D15"/>
    <w:rsid w:val="00852E50"/>
    <w:rsid w:val="0085307C"/>
    <w:rsid w:val="00853115"/>
    <w:rsid w:val="0085313F"/>
    <w:rsid w:val="0085315C"/>
    <w:rsid w:val="00853192"/>
    <w:rsid w:val="008534F9"/>
    <w:rsid w:val="008536E8"/>
    <w:rsid w:val="00853775"/>
    <w:rsid w:val="00853804"/>
    <w:rsid w:val="00853826"/>
    <w:rsid w:val="0085384C"/>
    <w:rsid w:val="008538EC"/>
    <w:rsid w:val="008539E0"/>
    <w:rsid w:val="00853B3C"/>
    <w:rsid w:val="00853C6F"/>
    <w:rsid w:val="00853D18"/>
    <w:rsid w:val="00853DAF"/>
    <w:rsid w:val="00853E3C"/>
    <w:rsid w:val="00853ECC"/>
    <w:rsid w:val="00853F7F"/>
    <w:rsid w:val="00853FDB"/>
    <w:rsid w:val="00854009"/>
    <w:rsid w:val="00854149"/>
    <w:rsid w:val="00854160"/>
    <w:rsid w:val="008541B5"/>
    <w:rsid w:val="0085421D"/>
    <w:rsid w:val="0085431E"/>
    <w:rsid w:val="0085433A"/>
    <w:rsid w:val="00854467"/>
    <w:rsid w:val="008544BA"/>
    <w:rsid w:val="008545DC"/>
    <w:rsid w:val="008546DA"/>
    <w:rsid w:val="00854733"/>
    <w:rsid w:val="008548F4"/>
    <w:rsid w:val="008549F4"/>
    <w:rsid w:val="00854B6C"/>
    <w:rsid w:val="00854BC5"/>
    <w:rsid w:val="00854C06"/>
    <w:rsid w:val="00854D5A"/>
    <w:rsid w:val="00854FC5"/>
    <w:rsid w:val="0085502E"/>
    <w:rsid w:val="008550CD"/>
    <w:rsid w:val="008550D9"/>
    <w:rsid w:val="008551A9"/>
    <w:rsid w:val="00855290"/>
    <w:rsid w:val="008553D4"/>
    <w:rsid w:val="0085548E"/>
    <w:rsid w:val="008554BF"/>
    <w:rsid w:val="008554C8"/>
    <w:rsid w:val="00855601"/>
    <w:rsid w:val="008556A3"/>
    <w:rsid w:val="00855836"/>
    <w:rsid w:val="00855A6A"/>
    <w:rsid w:val="00855ABF"/>
    <w:rsid w:val="00855AF4"/>
    <w:rsid w:val="00855B14"/>
    <w:rsid w:val="00855D28"/>
    <w:rsid w:val="00855DC8"/>
    <w:rsid w:val="00855EDA"/>
    <w:rsid w:val="00856285"/>
    <w:rsid w:val="00856302"/>
    <w:rsid w:val="0085635A"/>
    <w:rsid w:val="00856382"/>
    <w:rsid w:val="008563BF"/>
    <w:rsid w:val="00856427"/>
    <w:rsid w:val="0085653D"/>
    <w:rsid w:val="00856587"/>
    <w:rsid w:val="00856770"/>
    <w:rsid w:val="00856772"/>
    <w:rsid w:val="008567F8"/>
    <w:rsid w:val="00856908"/>
    <w:rsid w:val="008569F2"/>
    <w:rsid w:val="00856A03"/>
    <w:rsid w:val="00856B3D"/>
    <w:rsid w:val="00856C21"/>
    <w:rsid w:val="00856CB8"/>
    <w:rsid w:val="00856D33"/>
    <w:rsid w:val="00856D73"/>
    <w:rsid w:val="00856D88"/>
    <w:rsid w:val="00856DEE"/>
    <w:rsid w:val="00856E1E"/>
    <w:rsid w:val="00856E76"/>
    <w:rsid w:val="00856ECC"/>
    <w:rsid w:val="00856EF6"/>
    <w:rsid w:val="0085705C"/>
    <w:rsid w:val="0085708F"/>
    <w:rsid w:val="008571A7"/>
    <w:rsid w:val="008571D3"/>
    <w:rsid w:val="00857252"/>
    <w:rsid w:val="00857317"/>
    <w:rsid w:val="00857357"/>
    <w:rsid w:val="00857476"/>
    <w:rsid w:val="00857534"/>
    <w:rsid w:val="008575A4"/>
    <w:rsid w:val="008575BE"/>
    <w:rsid w:val="0085762C"/>
    <w:rsid w:val="0085771F"/>
    <w:rsid w:val="008577E7"/>
    <w:rsid w:val="00857A47"/>
    <w:rsid w:val="00857AA2"/>
    <w:rsid w:val="00857B0B"/>
    <w:rsid w:val="00857CE3"/>
    <w:rsid w:val="00857D31"/>
    <w:rsid w:val="00857E44"/>
    <w:rsid w:val="00857EA5"/>
    <w:rsid w:val="00857FEF"/>
    <w:rsid w:val="008601ED"/>
    <w:rsid w:val="0086026C"/>
    <w:rsid w:val="0086048E"/>
    <w:rsid w:val="008604DA"/>
    <w:rsid w:val="0086065B"/>
    <w:rsid w:val="00860681"/>
    <w:rsid w:val="008606EB"/>
    <w:rsid w:val="008607E3"/>
    <w:rsid w:val="008608CF"/>
    <w:rsid w:val="008609BD"/>
    <w:rsid w:val="00860B25"/>
    <w:rsid w:val="00860B2E"/>
    <w:rsid w:val="00860C1A"/>
    <w:rsid w:val="00860C91"/>
    <w:rsid w:val="00860FA6"/>
    <w:rsid w:val="00861021"/>
    <w:rsid w:val="0086128C"/>
    <w:rsid w:val="008613E2"/>
    <w:rsid w:val="00861436"/>
    <w:rsid w:val="00861496"/>
    <w:rsid w:val="00861603"/>
    <w:rsid w:val="00861634"/>
    <w:rsid w:val="008617D7"/>
    <w:rsid w:val="0086192A"/>
    <w:rsid w:val="0086194A"/>
    <w:rsid w:val="00861A9A"/>
    <w:rsid w:val="00861B23"/>
    <w:rsid w:val="00861B35"/>
    <w:rsid w:val="00861BC9"/>
    <w:rsid w:val="00861C3B"/>
    <w:rsid w:val="00861CA6"/>
    <w:rsid w:val="00861D83"/>
    <w:rsid w:val="00861E04"/>
    <w:rsid w:val="00861E3B"/>
    <w:rsid w:val="00861EBB"/>
    <w:rsid w:val="00861ED3"/>
    <w:rsid w:val="00861EFA"/>
    <w:rsid w:val="00861F16"/>
    <w:rsid w:val="00861F68"/>
    <w:rsid w:val="00861FFF"/>
    <w:rsid w:val="0086216F"/>
    <w:rsid w:val="00862244"/>
    <w:rsid w:val="00862272"/>
    <w:rsid w:val="00862286"/>
    <w:rsid w:val="0086228B"/>
    <w:rsid w:val="00862445"/>
    <w:rsid w:val="0086251A"/>
    <w:rsid w:val="008625F2"/>
    <w:rsid w:val="0086271A"/>
    <w:rsid w:val="00862775"/>
    <w:rsid w:val="00862798"/>
    <w:rsid w:val="00862825"/>
    <w:rsid w:val="00862829"/>
    <w:rsid w:val="00862853"/>
    <w:rsid w:val="00862857"/>
    <w:rsid w:val="008628EB"/>
    <w:rsid w:val="00862914"/>
    <w:rsid w:val="0086298F"/>
    <w:rsid w:val="008629F0"/>
    <w:rsid w:val="00862A2A"/>
    <w:rsid w:val="00862BBD"/>
    <w:rsid w:val="00862C66"/>
    <w:rsid w:val="00862F34"/>
    <w:rsid w:val="00862F75"/>
    <w:rsid w:val="00862FD0"/>
    <w:rsid w:val="00863121"/>
    <w:rsid w:val="0086317F"/>
    <w:rsid w:val="008631BB"/>
    <w:rsid w:val="008631C3"/>
    <w:rsid w:val="008632CB"/>
    <w:rsid w:val="008633D7"/>
    <w:rsid w:val="00863526"/>
    <w:rsid w:val="008635BD"/>
    <w:rsid w:val="0086372E"/>
    <w:rsid w:val="00863A10"/>
    <w:rsid w:val="00863A8F"/>
    <w:rsid w:val="00863B59"/>
    <w:rsid w:val="00863C50"/>
    <w:rsid w:val="00863D4D"/>
    <w:rsid w:val="00863DDC"/>
    <w:rsid w:val="00863DEC"/>
    <w:rsid w:val="00863DF4"/>
    <w:rsid w:val="00863E0D"/>
    <w:rsid w:val="00864071"/>
    <w:rsid w:val="00864298"/>
    <w:rsid w:val="008642C4"/>
    <w:rsid w:val="008642DB"/>
    <w:rsid w:val="008642F4"/>
    <w:rsid w:val="008643E0"/>
    <w:rsid w:val="00864458"/>
    <w:rsid w:val="008644AF"/>
    <w:rsid w:val="00864512"/>
    <w:rsid w:val="0086453D"/>
    <w:rsid w:val="0086455A"/>
    <w:rsid w:val="008647A5"/>
    <w:rsid w:val="00864829"/>
    <w:rsid w:val="0086491D"/>
    <w:rsid w:val="00864993"/>
    <w:rsid w:val="00864A32"/>
    <w:rsid w:val="00864A51"/>
    <w:rsid w:val="00864A8E"/>
    <w:rsid w:val="00864AC0"/>
    <w:rsid w:val="00864B0C"/>
    <w:rsid w:val="00864B7D"/>
    <w:rsid w:val="00864D5B"/>
    <w:rsid w:val="00864EAA"/>
    <w:rsid w:val="00864FC5"/>
    <w:rsid w:val="0086502C"/>
    <w:rsid w:val="00865046"/>
    <w:rsid w:val="00865231"/>
    <w:rsid w:val="008653C0"/>
    <w:rsid w:val="0086540D"/>
    <w:rsid w:val="0086547E"/>
    <w:rsid w:val="008656C7"/>
    <w:rsid w:val="008656F2"/>
    <w:rsid w:val="0086579E"/>
    <w:rsid w:val="008657BC"/>
    <w:rsid w:val="008658BA"/>
    <w:rsid w:val="00865B13"/>
    <w:rsid w:val="00865C3B"/>
    <w:rsid w:val="00865C8F"/>
    <w:rsid w:val="00865D1F"/>
    <w:rsid w:val="00865E30"/>
    <w:rsid w:val="00865E83"/>
    <w:rsid w:val="00865F3A"/>
    <w:rsid w:val="00865FE2"/>
    <w:rsid w:val="00866047"/>
    <w:rsid w:val="0086614F"/>
    <w:rsid w:val="0086618B"/>
    <w:rsid w:val="008661E7"/>
    <w:rsid w:val="008661F0"/>
    <w:rsid w:val="0086629F"/>
    <w:rsid w:val="008668A3"/>
    <w:rsid w:val="008669A5"/>
    <w:rsid w:val="00866A93"/>
    <w:rsid w:val="00866D29"/>
    <w:rsid w:val="00866D5C"/>
    <w:rsid w:val="00866D98"/>
    <w:rsid w:val="00866DE3"/>
    <w:rsid w:val="00866EDD"/>
    <w:rsid w:val="00866EE4"/>
    <w:rsid w:val="00867002"/>
    <w:rsid w:val="008670B8"/>
    <w:rsid w:val="008671FC"/>
    <w:rsid w:val="00867366"/>
    <w:rsid w:val="00867412"/>
    <w:rsid w:val="008676CD"/>
    <w:rsid w:val="00867780"/>
    <w:rsid w:val="0086783F"/>
    <w:rsid w:val="00867932"/>
    <w:rsid w:val="00867963"/>
    <w:rsid w:val="00867A7D"/>
    <w:rsid w:val="00867A8F"/>
    <w:rsid w:val="00867AE5"/>
    <w:rsid w:val="00867B73"/>
    <w:rsid w:val="00867C6C"/>
    <w:rsid w:val="00867D17"/>
    <w:rsid w:val="00867DC0"/>
    <w:rsid w:val="00867E09"/>
    <w:rsid w:val="00867E6C"/>
    <w:rsid w:val="00867EEC"/>
    <w:rsid w:val="00867F17"/>
    <w:rsid w:val="00867F8C"/>
    <w:rsid w:val="00867FB6"/>
    <w:rsid w:val="00867FCD"/>
    <w:rsid w:val="0087004E"/>
    <w:rsid w:val="008700E1"/>
    <w:rsid w:val="00870109"/>
    <w:rsid w:val="00870155"/>
    <w:rsid w:val="008702B4"/>
    <w:rsid w:val="008702CB"/>
    <w:rsid w:val="0087030F"/>
    <w:rsid w:val="0087032F"/>
    <w:rsid w:val="008703A0"/>
    <w:rsid w:val="008703EE"/>
    <w:rsid w:val="0087044D"/>
    <w:rsid w:val="008704CF"/>
    <w:rsid w:val="00870512"/>
    <w:rsid w:val="00870566"/>
    <w:rsid w:val="008705D6"/>
    <w:rsid w:val="00870655"/>
    <w:rsid w:val="0087081E"/>
    <w:rsid w:val="008708DE"/>
    <w:rsid w:val="00870A0E"/>
    <w:rsid w:val="00870A4C"/>
    <w:rsid w:val="00870A9E"/>
    <w:rsid w:val="00870BD5"/>
    <w:rsid w:val="00870C13"/>
    <w:rsid w:val="00870C8F"/>
    <w:rsid w:val="00870CA8"/>
    <w:rsid w:val="00870EEE"/>
    <w:rsid w:val="00870F07"/>
    <w:rsid w:val="00870FBE"/>
    <w:rsid w:val="00871118"/>
    <w:rsid w:val="00871162"/>
    <w:rsid w:val="00871278"/>
    <w:rsid w:val="008712CF"/>
    <w:rsid w:val="00871435"/>
    <w:rsid w:val="00871459"/>
    <w:rsid w:val="00871492"/>
    <w:rsid w:val="00871550"/>
    <w:rsid w:val="008715A2"/>
    <w:rsid w:val="008715D8"/>
    <w:rsid w:val="008715D9"/>
    <w:rsid w:val="00871602"/>
    <w:rsid w:val="0087165F"/>
    <w:rsid w:val="008716BA"/>
    <w:rsid w:val="00871702"/>
    <w:rsid w:val="00871707"/>
    <w:rsid w:val="00871735"/>
    <w:rsid w:val="008717C2"/>
    <w:rsid w:val="0087189F"/>
    <w:rsid w:val="0087195F"/>
    <w:rsid w:val="00871A93"/>
    <w:rsid w:val="00871B8D"/>
    <w:rsid w:val="00871C24"/>
    <w:rsid w:val="00871C81"/>
    <w:rsid w:val="00871D25"/>
    <w:rsid w:val="00871D31"/>
    <w:rsid w:val="00871DD9"/>
    <w:rsid w:val="00871F02"/>
    <w:rsid w:val="00871F31"/>
    <w:rsid w:val="00871FB6"/>
    <w:rsid w:val="00871FFE"/>
    <w:rsid w:val="008720D6"/>
    <w:rsid w:val="00872154"/>
    <w:rsid w:val="0087245B"/>
    <w:rsid w:val="0087250A"/>
    <w:rsid w:val="00872610"/>
    <w:rsid w:val="00872679"/>
    <w:rsid w:val="008727A5"/>
    <w:rsid w:val="008727FE"/>
    <w:rsid w:val="00872879"/>
    <w:rsid w:val="00872A44"/>
    <w:rsid w:val="00872C7C"/>
    <w:rsid w:val="00872CDF"/>
    <w:rsid w:val="00872EB8"/>
    <w:rsid w:val="00873098"/>
    <w:rsid w:val="008731B0"/>
    <w:rsid w:val="00873276"/>
    <w:rsid w:val="008732B2"/>
    <w:rsid w:val="008732E5"/>
    <w:rsid w:val="00873303"/>
    <w:rsid w:val="0087335F"/>
    <w:rsid w:val="00873471"/>
    <w:rsid w:val="0087354F"/>
    <w:rsid w:val="0087364E"/>
    <w:rsid w:val="0087365F"/>
    <w:rsid w:val="008736BF"/>
    <w:rsid w:val="008736E9"/>
    <w:rsid w:val="00873999"/>
    <w:rsid w:val="008739CE"/>
    <w:rsid w:val="00873B3E"/>
    <w:rsid w:val="00873C03"/>
    <w:rsid w:val="00873CE4"/>
    <w:rsid w:val="00873CEA"/>
    <w:rsid w:val="00873D73"/>
    <w:rsid w:val="00873DD4"/>
    <w:rsid w:val="00873E10"/>
    <w:rsid w:val="00873E51"/>
    <w:rsid w:val="00873E6C"/>
    <w:rsid w:val="00873E8F"/>
    <w:rsid w:val="00873EA7"/>
    <w:rsid w:val="0087402F"/>
    <w:rsid w:val="0087408C"/>
    <w:rsid w:val="00874189"/>
    <w:rsid w:val="00874289"/>
    <w:rsid w:val="0087428F"/>
    <w:rsid w:val="008742C8"/>
    <w:rsid w:val="00874375"/>
    <w:rsid w:val="00874393"/>
    <w:rsid w:val="008743D5"/>
    <w:rsid w:val="00874476"/>
    <w:rsid w:val="0087456B"/>
    <w:rsid w:val="008745FC"/>
    <w:rsid w:val="00874659"/>
    <w:rsid w:val="008746D8"/>
    <w:rsid w:val="00874995"/>
    <w:rsid w:val="00874A79"/>
    <w:rsid w:val="00874AE8"/>
    <w:rsid w:val="00874B08"/>
    <w:rsid w:val="00874B32"/>
    <w:rsid w:val="00874D0A"/>
    <w:rsid w:val="00874D22"/>
    <w:rsid w:val="00874D7B"/>
    <w:rsid w:val="00874F07"/>
    <w:rsid w:val="00874F90"/>
    <w:rsid w:val="00875080"/>
    <w:rsid w:val="00875246"/>
    <w:rsid w:val="00875329"/>
    <w:rsid w:val="0087534B"/>
    <w:rsid w:val="008754B7"/>
    <w:rsid w:val="008754F3"/>
    <w:rsid w:val="0087564F"/>
    <w:rsid w:val="0087565E"/>
    <w:rsid w:val="00875779"/>
    <w:rsid w:val="008757F6"/>
    <w:rsid w:val="008758A1"/>
    <w:rsid w:val="00875916"/>
    <w:rsid w:val="0087599A"/>
    <w:rsid w:val="00875B17"/>
    <w:rsid w:val="00875B21"/>
    <w:rsid w:val="00875B38"/>
    <w:rsid w:val="00875C40"/>
    <w:rsid w:val="00875C51"/>
    <w:rsid w:val="00875CCC"/>
    <w:rsid w:val="00875ED3"/>
    <w:rsid w:val="00875ED9"/>
    <w:rsid w:val="00875FAB"/>
    <w:rsid w:val="00875FE2"/>
    <w:rsid w:val="00876006"/>
    <w:rsid w:val="00876158"/>
    <w:rsid w:val="0087617E"/>
    <w:rsid w:val="00876226"/>
    <w:rsid w:val="00876342"/>
    <w:rsid w:val="008763B1"/>
    <w:rsid w:val="008763E5"/>
    <w:rsid w:val="0087640C"/>
    <w:rsid w:val="0087646E"/>
    <w:rsid w:val="008764B9"/>
    <w:rsid w:val="008765C6"/>
    <w:rsid w:val="008766D7"/>
    <w:rsid w:val="00876781"/>
    <w:rsid w:val="00876973"/>
    <w:rsid w:val="00876A3C"/>
    <w:rsid w:val="00876B80"/>
    <w:rsid w:val="00876B8A"/>
    <w:rsid w:val="00876CED"/>
    <w:rsid w:val="00876DCC"/>
    <w:rsid w:val="00876E1F"/>
    <w:rsid w:val="00876E58"/>
    <w:rsid w:val="00876ED5"/>
    <w:rsid w:val="00876F0C"/>
    <w:rsid w:val="00876F1E"/>
    <w:rsid w:val="00876F9E"/>
    <w:rsid w:val="00876FCD"/>
    <w:rsid w:val="00877100"/>
    <w:rsid w:val="00877154"/>
    <w:rsid w:val="00877178"/>
    <w:rsid w:val="00877187"/>
    <w:rsid w:val="00877215"/>
    <w:rsid w:val="0087723B"/>
    <w:rsid w:val="00877453"/>
    <w:rsid w:val="00877465"/>
    <w:rsid w:val="008775EF"/>
    <w:rsid w:val="008775F3"/>
    <w:rsid w:val="00877733"/>
    <w:rsid w:val="00877934"/>
    <w:rsid w:val="0087794D"/>
    <w:rsid w:val="0087799C"/>
    <w:rsid w:val="00877A5E"/>
    <w:rsid w:val="00877BB2"/>
    <w:rsid w:val="00877BBA"/>
    <w:rsid w:val="00877C30"/>
    <w:rsid w:val="00877DA1"/>
    <w:rsid w:val="00877DE6"/>
    <w:rsid w:val="00877DF4"/>
    <w:rsid w:val="00877DF9"/>
    <w:rsid w:val="00880034"/>
    <w:rsid w:val="00880187"/>
    <w:rsid w:val="00880319"/>
    <w:rsid w:val="0088054C"/>
    <w:rsid w:val="00880628"/>
    <w:rsid w:val="008806D8"/>
    <w:rsid w:val="008806EC"/>
    <w:rsid w:val="0088073B"/>
    <w:rsid w:val="0088081F"/>
    <w:rsid w:val="00880877"/>
    <w:rsid w:val="00880900"/>
    <w:rsid w:val="0088095A"/>
    <w:rsid w:val="008809BA"/>
    <w:rsid w:val="00880A96"/>
    <w:rsid w:val="00880A97"/>
    <w:rsid w:val="00880B2A"/>
    <w:rsid w:val="00880B49"/>
    <w:rsid w:val="00880BC2"/>
    <w:rsid w:val="00880C2C"/>
    <w:rsid w:val="00880C5B"/>
    <w:rsid w:val="00880DBF"/>
    <w:rsid w:val="00880E52"/>
    <w:rsid w:val="00880E7B"/>
    <w:rsid w:val="00880E85"/>
    <w:rsid w:val="00880F2A"/>
    <w:rsid w:val="00880FBE"/>
    <w:rsid w:val="00880FFC"/>
    <w:rsid w:val="0088104C"/>
    <w:rsid w:val="00881133"/>
    <w:rsid w:val="0088113E"/>
    <w:rsid w:val="0088134F"/>
    <w:rsid w:val="00881429"/>
    <w:rsid w:val="008814DF"/>
    <w:rsid w:val="00881516"/>
    <w:rsid w:val="00881615"/>
    <w:rsid w:val="008818D9"/>
    <w:rsid w:val="00881C03"/>
    <w:rsid w:val="00881C5F"/>
    <w:rsid w:val="00881C9F"/>
    <w:rsid w:val="00881CF1"/>
    <w:rsid w:val="00881DAC"/>
    <w:rsid w:val="00882182"/>
    <w:rsid w:val="00882184"/>
    <w:rsid w:val="008823F2"/>
    <w:rsid w:val="008824B0"/>
    <w:rsid w:val="00882592"/>
    <w:rsid w:val="00882657"/>
    <w:rsid w:val="008826B6"/>
    <w:rsid w:val="008826B9"/>
    <w:rsid w:val="00882772"/>
    <w:rsid w:val="008829E5"/>
    <w:rsid w:val="00882BB7"/>
    <w:rsid w:val="00882BD3"/>
    <w:rsid w:val="00882BD5"/>
    <w:rsid w:val="00882C16"/>
    <w:rsid w:val="00882C4E"/>
    <w:rsid w:val="00882E15"/>
    <w:rsid w:val="00882E56"/>
    <w:rsid w:val="00882F8F"/>
    <w:rsid w:val="00882F9D"/>
    <w:rsid w:val="00883083"/>
    <w:rsid w:val="008830B3"/>
    <w:rsid w:val="008830D1"/>
    <w:rsid w:val="008830DC"/>
    <w:rsid w:val="008830EA"/>
    <w:rsid w:val="008833F8"/>
    <w:rsid w:val="0088358A"/>
    <w:rsid w:val="008835DD"/>
    <w:rsid w:val="008836AA"/>
    <w:rsid w:val="0088385C"/>
    <w:rsid w:val="0088396D"/>
    <w:rsid w:val="00883B40"/>
    <w:rsid w:val="00883B54"/>
    <w:rsid w:val="00883BFF"/>
    <w:rsid w:val="00883CF0"/>
    <w:rsid w:val="00883D0F"/>
    <w:rsid w:val="00883EC5"/>
    <w:rsid w:val="00883FA0"/>
    <w:rsid w:val="008840F9"/>
    <w:rsid w:val="0088423C"/>
    <w:rsid w:val="00884249"/>
    <w:rsid w:val="008843A0"/>
    <w:rsid w:val="00884474"/>
    <w:rsid w:val="008845BD"/>
    <w:rsid w:val="008845CC"/>
    <w:rsid w:val="00884689"/>
    <w:rsid w:val="008846B1"/>
    <w:rsid w:val="008846B5"/>
    <w:rsid w:val="00884747"/>
    <w:rsid w:val="00884771"/>
    <w:rsid w:val="008847AB"/>
    <w:rsid w:val="00884823"/>
    <w:rsid w:val="0088482A"/>
    <w:rsid w:val="008848A5"/>
    <w:rsid w:val="00884918"/>
    <w:rsid w:val="0088495C"/>
    <w:rsid w:val="00884A1B"/>
    <w:rsid w:val="00884ABF"/>
    <w:rsid w:val="00884AC2"/>
    <w:rsid w:val="00884B34"/>
    <w:rsid w:val="00884B59"/>
    <w:rsid w:val="00884C55"/>
    <w:rsid w:val="00884C91"/>
    <w:rsid w:val="00884D1F"/>
    <w:rsid w:val="00884F8C"/>
    <w:rsid w:val="00885055"/>
    <w:rsid w:val="00885114"/>
    <w:rsid w:val="00885128"/>
    <w:rsid w:val="0088516F"/>
    <w:rsid w:val="0088529F"/>
    <w:rsid w:val="008852F8"/>
    <w:rsid w:val="00885386"/>
    <w:rsid w:val="00885392"/>
    <w:rsid w:val="008853D5"/>
    <w:rsid w:val="00885524"/>
    <w:rsid w:val="00885539"/>
    <w:rsid w:val="00885573"/>
    <w:rsid w:val="00885870"/>
    <w:rsid w:val="00885A69"/>
    <w:rsid w:val="00885AD8"/>
    <w:rsid w:val="00885D81"/>
    <w:rsid w:val="00885E8F"/>
    <w:rsid w:val="00886121"/>
    <w:rsid w:val="00886129"/>
    <w:rsid w:val="008861DD"/>
    <w:rsid w:val="008861EC"/>
    <w:rsid w:val="008862E0"/>
    <w:rsid w:val="0088631A"/>
    <w:rsid w:val="00886333"/>
    <w:rsid w:val="00886353"/>
    <w:rsid w:val="0088641A"/>
    <w:rsid w:val="008864C9"/>
    <w:rsid w:val="0088658B"/>
    <w:rsid w:val="0088666A"/>
    <w:rsid w:val="008868F5"/>
    <w:rsid w:val="008869CC"/>
    <w:rsid w:val="00886A3A"/>
    <w:rsid w:val="00886B20"/>
    <w:rsid w:val="00886B93"/>
    <w:rsid w:val="00886DFF"/>
    <w:rsid w:val="00886F31"/>
    <w:rsid w:val="00886FF3"/>
    <w:rsid w:val="00887036"/>
    <w:rsid w:val="0088730B"/>
    <w:rsid w:val="00887333"/>
    <w:rsid w:val="0088750E"/>
    <w:rsid w:val="0088758B"/>
    <w:rsid w:val="008875E8"/>
    <w:rsid w:val="00887686"/>
    <w:rsid w:val="00887784"/>
    <w:rsid w:val="00887809"/>
    <w:rsid w:val="008878BE"/>
    <w:rsid w:val="00887A5F"/>
    <w:rsid w:val="00887B5C"/>
    <w:rsid w:val="00887F39"/>
    <w:rsid w:val="00887F48"/>
    <w:rsid w:val="00887F77"/>
    <w:rsid w:val="00890140"/>
    <w:rsid w:val="008901C3"/>
    <w:rsid w:val="0089020F"/>
    <w:rsid w:val="0089026B"/>
    <w:rsid w:val="0089030A"/>
    <w:rsid w:val="00890360"/>
    <w:rsid w:val="008903CD"/>
    <w:rsid w:val="0089040C"/>
    <w:rsid w:val="008904A7"/>
    <w:rsid w:val="008905A3"/>
    <w:rsid w:val="008905C4"/>
    <w:rsid w:val="0089073B"/>
    <w:rsid w:val="008907D0"/>
    <w:rsid w:val="00890963"/>
    <w:rsid w:val="008909A1"/>
    <w:rsid w:val="008909B4"/>
    <w:rsid w:val="00890C84"/>
    <w:rsid w:val="00890D46"/>
    <w:rsid w:val="00890DB3"/>
    <w:rsid w:val="00890E8C"/>
    <w:rsid w:val="00890F72"/>
    <w:rsid w:val="00890FCB"/>
    <w:rsid w:val="00891161"/>
    <w:rsid w:val="008911FB"/>
    <w:rsid w:val="00891214"/>
    <w:rsid w:val="00891351"/>
    <w:rsid w:val="008913F4"/>
    <w:rsid w:val="00891421"/>
    <w:rsid w:val="0089181E"/>
    <w:rsid w:val="008918DF"/>
    <w:rsid w:val="00891A77"/>
    <w:rsid w:val="00891B15"/>
    <w:rsid w:val="00891C32"/>
    <w:rsid w:val="00891C42"/>
    <w:rsid w:val="00891C86"/>
    <w:rsid w:val="00891CDC"/>
    <w:rsid w:val="00891DAF"/>
    <w:rsid w:val="00891DB0"/>
    <w:rsid w:val="008921AB"/>
    <w:rsid w:val="008921F2"/>
    <w:rsid w:val="008923C0"/>
    <w:rsid w:val="008923CD"/>
    <w:rsid w:val="008923D9"/>
    <w:rsid w:val="00892413"/>
    <w:rsid w:val="00892437"/>
    <w:rsid w:val="008925F5"/>
    <w:rsid w:val="008926EE"/>
    <w:rsid w:val="00892720"/>
    <w:rsid w:val="00892776"/>
    <w:rsid w:val="0089283C"/>
    <w:rsid w:val="008928CF"/>
    <w:rsid w:val="008928D1"/>
    <w:rsid w:val="00892953"/>
    <w:rsid w:val="00892965"/>
    <w:rsid w:val="00892987"/>
    <w:rsid w:val="00892A55"/>
    <w:rsid w:val="00892ACE"/>
    <w:rsid w:val="00892B1E"/>
    <w:rsid w:val="00892B6F"/>
    <w:rsid w:val="00892BFF"/>
    <w:rsid w:val="00892E2B"/>
    <w:rsid w:val="00892E61"/>
    <w:rsid w:val="00892F3C"/>
    <w:rsid w:val="00892FD2"/>
    <w:rsid w:val="00893054"/>
    <w:rsid w:val="008930E7"/>
    <w:rsid w:val="008930F7"/>
    <w:rsid w:val="0089314B"/>
    <w:rsid w:val="008932FD"/>
    <w:rsid w:val="008933C6"/>
    <w:rsid w:val="00893450"/>
    <w:rsid w:val="0089356C"/>
    <w:rsid w:val="0089383F"/>
    <w:rsid w:val="00893946"/>
    <w:rsid w:val="00893988"/>
    <w:rsid w:val="0089399E"/>
    <w:rsid w:val="008939A6"/>
    <w:rsid w:val="00893AF5"/>
    <w:rsid w:val="00893D41"/>
    <w:rsid w:val="00893DB9"/>
    <w:rsid w:val="00893DE1"/>
    <w:rsid w:val="00893E5A"/>
    <w:rsid w:val="00893EA6"/>
    <w:rsid w:val="00893FAC"/>
    <w:rsid w:val="008941CC"/>
    <w:rsid w:val="00894264"/>
    <w:rsid w:val="0089430C"/>
    <w:rsid w:val="008943A4"/>
    <w:rsid w:val="008943BD"/>
    <w:rsid w:val="00894432"/>
    <w:rsid w:val="008945E5"/>
    <w:rsid w:val="0089467C"/>
    <w:rsid w:val="008946F6"/>
    <w:rsid w:val="0089477C"/>
    <w:rsid w:val="00894784"/>
    <w:rsid w:val="008947AD"/>
    <w:rsid w:val="008947DB"/>
    <w:rsid w:val="00894904"/>
    <w:rsid w:val="008949FE"/>
    <w:rsid w:val="00894AD1"/>
    <w:rsid w:val="00894B7D"/>
    <w:rsid w:val="00894C62"/>
    <w:rsid w:val="00894C78"/>
    <w:rsid w:val="00894CA8"/>
    <w:rsid w:val="00894DBC"/>
    <w:rsid w:val="00894E86"/>
    <w:rsid w:val="00894EBF"/>
    <w:rsid w:val="00894ED5"/>
    <w:rsid w:val="00894F86"/>
    <w:rsid w:val="00894FA4"/>
    <w:rsid w:val="00894FB3"/>
    <w:rsid w:val="0089503F"/>
    <w:rsid w:val="00895073"/>
    <w:rsid w:val="008951C6"/>
    <w:rsid w:val="008951D2"/>
    <w:rsid w:val="00895272"/>
    <w:rsid w:val="0089529D"/>
    <w:rsid w:val="0089533B"/>
    <w:rsid w:val="0089553C"/>
    <w:rsid w:val="0089562C"/>
    <w:rsid w:val="0089579F"/>
    <w:rsid w:val="008958C1"/>
    <w:rsid w:val="00895AE7"/>
    <w:rsid w:val="00895C0B"/>
    <w:rsid w:val="00895C11"/>
    <w:rsid w:val="00895CFC"/>
    <w:rsid w:val="00895E70"/>
    <w:rsid w:val="00895F68"/>
    <w:rsid w:val="00895FC2"/>
    <w:rsid w:val="00896014"/>
    <w:rsid w:val="0089605B"/>
    <w:rsid w:val="008960B0"/>
    <w:rsid w:val="00896144"/>
    <w:rsid w:val="008962FD"/>
    <w:rsid w:val="008963F3"/>
    <w:rsid w:val="008965DA"/>
    <w:rsid w:val="008965E8"/>
    <w:rsid w:val="0089677E"/>
    <w:rsid w:val="008967AF"/>
    <w:rsid w:val="0089682E"/>
    <w:rsid w:val="0089694E"/>
    <w:rsid w:val="008969DB"/>
    <w:rsid w:val="00896A33"/>
    <w:rsid w:val="00896A5B"/>
    <w:rsid w:val="00896A5F"/>
    <w:rsid w:val="00896B15"/>
    <w:rsid w:val="00896D4B"/>
    <w:rsid w:val="00896E48"/>
    <w:rsid w:val="00896ED2"/>
    <w:rsid w:val="00896FBF"/>
    <w:rsid w:val="008970C6"/>
    <w:rsid w:val="0089719D"/>
    <w:rsid w:val="008971FF"/>
    <w:rsid w:val="00897351"/>
    <w:rsid w:val="00897432"/>
    <w:rsid w:val="00897459"/>
    <w:rsid w:val="008975D5"/>
    <w:rsid w:val="008977D5"/>
    <w:rsid w:val="0089785B"/>
    <w:rsid w:val="0089785E"/>
    <w:rsid w:val="008979FD"/>
    <w:rsid w:val="008979FF"/>
    <w:rsid w:val="00897B30"/>
    <w:rsid w:val="00897BDA"/>
    <w:rsid w:val="00897C0B"/>
    <w:rsid w:val="00897C6D"/>
    <w:rsid w:val="00897CDD"/>
    <w:rsid w:val="00897D69"/>
    <w:rsid w:val="00897D6B"/>
    <w:rsid w:val="00897DB5"/>
    <w:rsid w:val="00897EC9"/>
    <w:rsid w:val="00897F1B"/>
    <w:rsid w:val="008A0029"/>
    <w:rsid w:val="008A004A"/>
    <w:rsid w:val="008A013B"/>
    <w:rsid w:val="008A01AF"/>
    <w:rsid w:val="008A01DE"/>
    <w:rsid w:val="008A039C"/>
    <w:rsid w:val="008A03B4"/>
    <w:rsid w:val="008A040D"/>
    <w:rsid w:val="008A04B6"/>
    <w:rsid w:val="008A04E4"/>
    <w:rsid w:val="008A04E9"/>
    <w:rsid w:val="008A0507"/>
    <w:rsid w:val="008A050E"/>
    <w:rsid w:val="008A051D"/>
    <w:rsid w:val="008A05A6"/>
    <w:rsid w:val="008A05C0"/>
    <w:rsid w:val="008A0674"/>
    <w:rsid w:val="008A0698"/>
    <w:rsid w:val="008A07A7"/>
    <w:rsid w:val="008A0C21"/>
    <w:rsid w:val="008A0C92"/>
    <w:rsid w:val="008A0CDF"/>
    <w:rsid w:val="008A106E"/>
    <w:rsid w:val="008A108C"/>
    <w:rsid w:val="008A10A6"/>
    <w:rsid w:val="008A1242"/>
    <w:rsid w:val="008A1286"/>
    <w:rsid w:val="008A1417"/>
    <w:rsid w:val="008A1458"/>
    <w:rsid w:val="008A14A3"/>
    <w:rsid w:val="008A14E9"/>
    <w:rsid w:val="008A1586"/>
    <w:rsid w:val="008A159A"/>
    <w:rsid w:val="008A16B1"/>
    <w:rsid w:val="008A16D6"/>
    <w:rsid w:val="008A1828"/>
    <w:rsid w:val="008A18E5"/>
    <w:rsid w:val="008A1935"/>
    <w:rsid w:val="008A19A5"/>
    <w:rsid w:val="008A1AA9"/>
    <w:rsid w:val="008A1BE5"/>
    <w:rsid w:val="008A1C55"/>
    <w:rsid w:val="008A1DF3"/>
    <w:rsid w:val="008A1EA9"/>
    <w:rsid w:val="008A1EFB"/>
    <w:rsid w:val="008A1F03"/>
    <w:rsid w:val="008A1F36"/>
    <w:rsid w:val="008A2003"/>
    <w:rsid w:val="008A203B"/>
    <w:rsid w:val="008A2077"/>
    <w:rsid w:val="008A218B"/>
    <w:rsid w:val="008A21EC"/>
    <w:rsid w:val="008A2362"/>
    <w:rsid w:val="008A2481"/>
    <w:rsid w:val="008A24D5"/>
    <w:rsid w:val="008A25E3"/>
    <w:rsid w:val="008A2619"/>
    <w:rsid w:val="008A268D"/>
    <w:rsid w:val="008A2789"/>
    <w:rsid w:val="008A27D6"/>
    <w:rsid w:val="008A28AD"/>
    <w:rsid w:val="008A2914"/>
    <w:rsid w:val="008A2943"/>
    <w:rsid w:val="008A29F1"/>
    <w:rsid w:val="008A2B89"/>
    <w:rsid w:val="008A2C78"/>
    <w:rsid w:val="008A2D03"/>
    <w:rsid w:val="008A2D10"/>
    <w:rsid w:val="008A2D13"/>
    <w:rsid w:val="008A2D8E"/>
    <w:rsid w:val="008A2E10"/>
    <w:rsid w:val="008A2F31"/>
    <w:rsid w:val="008A2FF0"/>
    <w:rsid w:val="008A313C"/>
    <w:rsid w:val="008A3159"/>
    <w:rsid w:val="008A317C"/>
    <w:rsid w:val="008A3187"/>
    <w:rsid w:val="008A3242"/>
    <w:rsid w:val="008A324A"/>
    <w:rsid w:val="008A32E5"/>
    <w:rsid w:val="008A3333"/>
    <w:rsid w:val="008A33AC"/>
    <w:rsid w:val="008A33E0"/>
    <w:rsid w:val="008A33F9"/>
    <w:rsid w:val="008A34BB"/>
    <w:rsid w:val="008A34BD"/>
    <w:rsid w:val="008A3594"/>
    <w:rsid w:val="008A3811"/>
    <w:rsid w:val="008A3A73"/>
    <w:rsid w:val="008A3B2F"/>
    <w:rsid w:val="008A3C52"/>
    <w:rsid w:val="008A3C81"/>
    <w:rsid w:val="008A3CA4"/>
    <w:rsid w:val="008A3CC8"/>
    <w:rsid w:val="008A3CFB"/>
    <w:rsid w:val="008A3DCC"/>
    <w:rsid w:val="008A3EAB"/>
    <w:rsid w:val="008A3F81"/>
    <w:rsid w:val="008A4231"/>
    <w:rsid w:val="008A4302"/>
    <w:rsid w:val="008A434F"/>
    <w:rsid w:val="008A43AB"/>
    <w:rsid w:val="008A440A"/>
    <w:rsid w:val="008A4455"/>
    <w:rsid w:val="008A449D"/>
    <w:rsid w:val="008A4522"/>
    <w:rsid w:val="008A45F6"/>
    <w:rsid w:val="008A469D"/>
    <w:rsid w:val="008A46BA"/>
    <w:rsid w:val="008A46EF"/>
    <w:rsid w:val="008A46F8"/>
    <w:rsid w:val="008A472F"/>
    <w:rsid w:val="008A4731"/>
    <w:rsid w:val="008A4774"/>
    <w:rsid w:val="008A483E"/>
    <w:rsid w:val="008A4847"/>
    <w:rsid w:val="008A4873"/>
    <w:rsid w:val="008A496E"/>
    <w:rsid w:val="008A49F3"/>
    <w:rsid w:val="008A4A8A"/>
    <w:rsid w:val="008A4AEC"/>
    <w:rsid w:val="008A4B10"/>
    <w:rsid w:val="008A4C43"/>
    <w:rsid w:val="008A4CA7"/>
    <w:rsid w:val="008A4CEB"/>
    <w:rsid w:val="008A4D93"/>
    <w:rsid w:val="008A4DB7"/>
    <w:rsid w:val="008A4E66"/>
    <w:rsid w:val="008A5013"/>
    <w:rsid w:val="008A509C"/>
    <w:rsid w:val="008A5194"/>
    <w:rsid w:val="008A51AB"/>
    <w:rsid w:val="008A5312"/>
    <w:rsid w:val="008A5429"/>
    <w:rsid w:val="008A5545"/>
    <w:rsid w:val="008A5552"/>
    <w:rsid w:val="008A561A"/>
    <w:rsid w:val="008A5688"/>
    <w:rsid w:val="008A577A"/>
    <w:rsid w:val="008A59A8"/>
    <w:rsid w:val="008A5AD1"/>
    <w:rsid w:val="008A5B11"/>
    <w:rsid w:val="008A5B56"/>
    <w:rsid w:val="008A5C92"/>
    <w:rsid w:val="008A5CC1"/>
    <w:rsid w:val="008A5CF6"/>
    <w:rsid w:val="008A5D0D"/>
    <w:rsid w:val="008A5D56"/>
    <w:rsid w:val="008A5DD2"/>
    <w:rsid w:val="008A5DDD"/>
    <w:rsid w:val="008A5EC6"/>
    <w:rsid w:val="008A5F55"/>
    <w:rsid w:val="008A5F8A"/>
    <w:rsid w:val="008A607F"/>
    <w:rsid w:val="008A611F"/>
    <w:rsid w:val="008A614D"/>
    <w:rsid w:val="008A61BF"/>
    <w:rsid w:val="008A6334"/>
    <w:rsid w:val="008A647D"/>
    <w:rsid w:val="008A650F"/>
    <w:rsid w:val="008A6788"/>
    <w:rsid w:val="008A6832"/>
    <w:rsid w:val="008A68AF"/>
    <w:rsid w:val="008A68FD"/>
    <w:rsid w:val="008A69B9"/>
    <w:rsid w:val="008A69DD"/>
    <w:rsid w:val="008A6A79"/>
    <w:rsid w:val="008A6AD8"/>
    <w:rsid w:val="008A6DA7"/>
    <w:rsid w:val="008A6DF6"/>
    <w:rsid w:val="008A6FFF"/>
    <w:rsid w:val="008A7166"/>
    <w:rsid w:val="008A7189"/>
    <w:rsid w:val="008A71B6"/>
    <w:rsid w:val="008A722B"/>
    <w:rsid w:val="008A7252"/>
    <w:rsid w:val="008A726C"/>
    <w:rsid w:val="008A734A"/>
    <w:rsid w:val="008A761C"/>
    <w:rsid w:val="008A7693"/>
    <w:rsid w:val="008A7983"/>
    <w:rsid w:val="008A7D67"/>
    <w:rsid w:val="008A7DA4"/>
    <w:rsid w:val="008A7E21"/>
    <w:rsid w:val="008A7F51"/>
    <w:rsid w:val="008A7F7A"/>
    <w:rsid w:val="008A7FD5"/>
    <w:rsid w:val="008B0060"/>
    <w:rsid w:val="008B026F"/>
    <w:rsid w:val="008B0394"/>
    <w:rsid w:val="008B0401"/>
    <w:rsid w:val="008B059B"/>
    <w:rsid w:val="008B05BC"/>
    <w:rsid w:val="008B0698"/>
    <w:rsid w:val="008B0768"/>
    <w:rsid w:val="008B07FC"/>
    <w:rsid w:val="008B0A6C"/>
    <w:rsid w:val="008B0A89"/>
    <w:rsid w:val="008B0D97"/>
    <w:rsid w:val="008B0E73"/>
    <w:rsid w:val="008B0F00"/>
    <w:rsid w:val="008B1037"/>
    <w:rsid w:val="008B1144"/>
    <w:rsid w:val="008B1216"/>
    <w:rsid w:val="008B1265"/>
    <w:rsid w:val="008B1291"/>
    <w:rsid w:val="008B135F"/>
    <w:rsid w:val="008B1382"/>
    <w:rsid w:val="008B1512"/>
    <w:rsid w:val="008B15BE"/>
    <w:rsid w:val="008B1633"/>
    <w:rsid w:val="008B16E6"/>
    <w:rsid w:val="008B1915"/>
    <w:rsid w:val="008B1932"/>
    <w:rsid w:val="008B1954"/>
    <w:rsid w:val="008B19E7"/>
    <w:rsid w:val="008B19F1"/>
    <w:rsid w:val="008B1AEB"/>
    <w:rsid w:val="008B1BA0"/>
    <w:rsid w:val="008B1D56"/>
    <w:rsid w:val="008B1D6F"/>
    <w:rsid w:val="008B1E16"/>
    <w:rsid w:val="008B1EBC"/>
    <w:rsid w:val="008B1EDD"/>
    <w:rsid w:val="008B2067"/>
    <w:rsid w:val="008B2079"/>
    <w:rsid w:val="008B2094"/>
    <w:rsid w:val="008B20C2"/>
    <w:rsid w:val="008B2125"/>
    <w:rsid w:val="008B2146"/>
    <w:rsid w:val="008B229C"/>
    <w:rsid w:val="008B22A4"/>
    <w:rsid w:val="008B24F0"/>
    <w:rsid w:val="008B2508"/>
    <w:rsid w:val="008B259B"/>
    <w:rsid w:val="008B2690"/>
    <w:rsid w:val="008B271D"/>
    <w:rsid w:val="008B2751"/>
    <w:rsid w:val="008B2804"/>
    <w:rsid w:val="008B2A9B"/>
    <w:rsid w:val="008B2AC6"/>
    <w:rsid w:val="008B2ADF"/>
    <w:rsid w:val="008B2B46"/>
    <w:rsid w:val="008B2BAC"/>
    <w:rsid w:val="008B2C15"/>
    <w:rsid w:val="008B2C33"/>
    <w:rsid w:val="008B2C64"/>
    <w:rsid w:val="008B2D05"/>
    <w:rsid w:val="008B2D2C"/>
    <w:rsid w:val="008B2D8E"/>
    <w:rsid w:val="008B2F15"/>
    <w:rsid w:val="008B3019"/>
    <w:rsid w:val="008B310E"/>
    <w:rsid w:val="008B3248"/>
    <w:rsid w:val="008B328A"/>
    <w:rsid w:val="008B3394"/>
    <w:rsid w:val="008B343F"/>
    <w:rsid w:val="008B3570"/>
    <w:rsid w:val="008B361D"/>
    <w:rsid w:val="008B3676"/>
    <w:rsid w:val="008B3829"/>
    <w:rsid w:val="008B384A"/>
    <w:rsid w:val="008B3860"/>
    <w:rsid w:val="008B389A"/>
    <w:rsid w:val="008B3997"/>
    <w:rsid w:val="008B39C4"/>
    <w:rsid w:val="008B39D2"/>
    <w:rsid w:val="008B3A2D"/>
    <w:rsid w:val="008B3AA3"/>
    <w:rsid w:val="008B3ADC"/>
    <w:rsid w:val="008B3C27"/>
    <w:rsid w:val="008B3D5A"/>
    <w:rsid w:val="008B3D8D"/>
    <w:rsid w:val="008B3D90"/>
    <w:rsid w:val="008B3D9F"/>
    <w:rsid w:val="008B3DC3"/>
    <w:rsid w:val="008B3EF6"/>
    <w:rsid w:val="008B3F10"/>
    <w:rsid w:val="008B3F13"/>
    <w:rsid w:val="008B3F16"/>
    <w:rsid w:val="008B402B"/>
    <w:rsid w:val="008B4098"/>
    <w:rsid w:val="008B41D5"/>
    <w:rsid w:val="008B41E0"/>
    <w:rsid w:val="008B420A"/>
    <w:rsid w:val="008B4284"/>
    <w:rsid w:val="008B4287"/>
    <w:rsid w:val="008B430F"/>
    <w:rsid w:val="008B442E"/>
    <w:rsid w:val="008B47B9"/>
    <w:rsid w:val="008B4867"/>
    <w:rsid w:val="008B4B06"/>
    <w:rsid w:val="008B4BAA"/>
    <w:rsid w:val="008B4C31"/>
    <w:rsid w:val="008B4D4F"/>
    <w:rsid w:val="008B4E44"/>
    <w:rsid w:val="008B4F6E"/>
    <w:rsid w:val="008B4FEE"/>
    <w:rsid w:val="008B5080"/>
    <w:rsid w:val="008B50F1"/>
    <w:rsid w:val="008B5188"/>
    <w:rsid w:val="008B53B4"/>
    <w:rsid w:val="008B549E"/>
    <w:rsid w:val="008B5590"/>
    <w:rsid w:val="008B568C"/>
    <w:rsid w:val="008B56D0"/>
    <w:rsid w:val="008B579A"/>
    <w:rsid w:val="008B586A"/>
    <w:rsid w:val="008B58A0"/>
    <w:rsid w:val="008B58B8"/>
    <w:rsid w:val="008B58C5"/>
    <w:rsid w:val="008B5951"/>
    <w:rsid w:val="008B5A47"/>
    <w:rsid w:val="008B5BA3"/>
    <w:rsid w:val="008B5BA4"/>
    <w:rsid w:val="008B5C09"/>
    <w:rsid w:val="008B5CE6"/>
    <w:rsid w:val="008B5D2E"/>
    <w:rsid w:val="008B5E7E"/>
    <w:rsid w:val="008B5EA2"/>
    <w:rsid w:val="008B5EB1"/>
    <w:rsid w:val="008B5ED8"/>
    <w:rsid w:val="008B5FFC"/>
    <w:rsid w:val="008B6002"/>
    <w:rsid w:val="008B6032"/>
    <w:rsid w:val="008B606C"/>
    <w:rsid w:val="008B6081"/>
    <w:rsid w:val="008B60BC"/>
    <w:rsid w:val="008B6110"/>
    <w:rsid w:val="008B6132"/>
    <w:rsid w:val="008B614D"/>
    <w:rsid w:val="008B6208"/>
    <w:rsid w:val="008B638E"/>
    <w:rsid w:val="008B6409"/>
    <w:rsid w:val="008B6494"/>
    <w:rsid w:val="008B64C7"/>
    <w:rsid w:val="008B64D3"/>
    <w:rsid w:val="008B65DF"/>
    <w:rsid w:val="008B660A"/>
    <w:rsid w:val="008B6641"/>
    <w:rsid w:val="008B673F"/>
    <w:rsid w:val="008B67A6"/>
    <w:rsid w:val="008B6989"/>
    <w:rsid w:val="008B69A7"/>
    <w:rsid w:val="008B69DD"/>
    <w:rsid w:val="008B6ADB"/>
    <w:rsid w:val="008B6B86"/>
    <w:rsid w:val="008B6BD5"/>
    <w:rsid w:val="008B6BF7"/>
    <w:rsid w:val="008B6D21"/>
    <w:rsid w:val="008B6E64"/>
    <w:rsid w:val="008B6F78"/>
    <w:rsid w:val="008B7095"/>
    <w:rsid w:val="008B70D5"/>
    <w:rsid w:val="008B7212"/>
    <w:rsid w:val="008B7318"/>
    <w:rsid w:val="008B734A"/>
    <w:rsid w:val="008B740E"/>
    <w:rsid w:val="008B756B"/>
    <w:rsid w:val="008B7593"/>
    <w:rsid w:val="008B7816"/>
    <w:rsid w:val="008B7D90"/>
    <w:rsid w:val="008B7EB8"/>
    <w:rsid w:val="008B7F46"/>
    <w:rsid w:val="008C00B7"/>
    <w:rsid w:val="008C02E4"/>
    <w:rsid w:val="008C039E"/>
    <w:rsid w:val="008C03A2"/>
    <w:rsid w:val="008C041E"/>
    <w:rsid w:val="008C046F"/>
    <w:rsid w:val="008C0487"/>
    <w:rsid w:val="008C0560"/>
    <w:rsid w:val="008C056E"/>
    <w:rsid w:val="008C073D"/>
    <w:rsid w:val="008C0810"/>
    <w:rsid w:val="008C0838"/>
    <w:rsid w:val="008C093B"/>
    <w:rsid w:val="008C09EC"/>
    <w:rsid w:val="008C0BE7"/>
    <w:rsid w:val="008C0C33"/>
    <w:rsid w:val="008C0C99"/>
    <w:rsid w:val="008C0E4D"/>
    <w:rsid w:val="008C0ED4"/>
    <w:rsid w:val="008C0F3B"/>
    <w:rsid w:val="008C0F9D"/>
    <w:rsid w:val="008C1083"/>
    <w:rsid w:val="008C127C"/>
    <w:rsid w:val="008C14A0"/>
    <w:rsid w:val="008C15CD"/>
    <w:rsid w:val="008C165E"/>
    <w:rsid w:val="008C1802"/>
    <w:rsid w:val="008C18C8"/>
    <w:rsid w:val="008C1AA3"/>
    <w:rsid w:val="008C1BE5"/>
    <w:rsid w:val="008C1BFD"/>
    <w:rsid w:val="008C1D11"/>
    <w:rsid w:val="008C1D60"/>
    <w:rsid w:val="008C1F09"/>
    <w:rsid w:val="008C1F96"/>
    <w:rsid w:val="008C2097"/>
    <w:rsid w:val="008C211B"/>
    <w:rsid w:val="008C21E9"/>
    <w:rsid w:val="008C21F4"/>
    <w:rsid w:val="008C239E"/>
    <w:rsid w:val="008C2462"/>
    <w:rsid w:val="008C24A5"/>
    <w:rsid w:val="008C24FD"/>
    <w:rsid w:val="008C2663"/>
    <w:rsid w:val="008C2676"/>
    <w:rsid w:val="008C2712"/>
    <w:rsid w:val="008C278F"/>
    <w:rsid w:val="008C2809"/>
    <w:rsid w:val="008C28F8"/>
    <w:rsid w:val="008C2A9C"/>
    <w:rsid w:val="008C2AEE"/>
    <w:rsid w:val="008C2B0D"/>
    <w:rsid w:val="008C2B27"/>
    <w:rsid w:val="008C2EC9"/>
    <w:rsid w:val="008C2F67"/>
    <w:rsid w:val="008C3014"/>
    <w:rsid w:val="008C3142"/>
    <w:rsid w:val="008C31E7"/>
    <w:rsid w:val="008C32E4"/>
    <w:rsid w:val="008C3325"/>
    <w:rsid w:val="008C33D1"/>
    <w:rsid w:val="008C360A"/>
    <w:rsid w:val="008C3667"/>
    <w:rsid w:val="008C3675"/>
    <w:rsid w:val="008C3679"/>
    <w:rsid w:val="008C372A"/>
    <w:rsid w:val="008C3890"/>
    <w:rsid w:val="008C3994"/>
    <w:rsid w:val="008C3B57"/>
    <w:rsid w:val="008C3C32"/>
    <w:rsid w:val="008C3D91"/>
    <w:rsid w:val="008C3DC1"/>
    <w:rsid w:val="008C3DF5"/>
    <w:rsid w:val="008C3E1C"/>
    <w:rsid w:val="008C3E83"/>
    <w:rsid w:val="008C3EDF"/>
    <w:rsid w:val="008C3F7F"/>
    <w:rsid w:val="008C40BB"/>
    <w:rsid w:val="008C40D8"/>
    <w:rsid w:val="008C4288"/>
    <w:rsid w:val="008C433D"/>
    <w:rsid w:val="008C43F2"/>
    <w:rsid w:val="008C4501"/>
    <w:rsid w:val="008C454B"/>
    <w:rsid w:val="008C45B8"/>
    <w:rsid w:val="008C45DA"/>
    <w:rsid w:val="008C467F"/>
    <w:rsid w:val="008C4697"/>
    <w:rsid w:val="008C4746"/>
    <w:rsid w:val="008C4895"/>
    <w:rsid w:val="008C48C0"/>
    <w:rsid w:val="008C49F0"/>
    <w:rsid w:val="008C4ADA"/>
    <w:rsid w:val="008C4B21"/>
    <w:rsid w:val="008C4B79"/>
    <w:rsid w:val="008C4BAC"/>
    <w:rsid w:val="008C4BB9"/>
    <w:rsid w:val="008C4C65"/>
    <w:rsid w:val="008C4D2F"/>
    <w:rsid w:val="008C4DFE"/>
    <w:rsid w:val="008C4E1A"/>
    <w:rsid w:val="008C4F00"/>
    <w:rsid w:val="008C50AD"/>
    <w:rsid w:val="008C5107"/>
    <w:rsid w:val="008C518C"/>
    <w:rsid w:val="008C51BC"/>
    <w:rsid w:val="008C51EB"/>
    <w:rsid w:val="008C5293"/>
    <w:rsid w:val="008C53A9"/>
    <w:rsid w:val="008C5468"/>
    <w:rsid w:val="008C56B9"/>
    <w:rsid w:val="008C575D"/>
    <w:rsid w:val="008C57BC"/>
    <w:rsid w:val="008C580E"/>
    <w:rsid w:val="008C5955"/>
    <w:rsid w:val="008C5982"/>
    <w:rsid w:val="008C59D8"/>
    <w:rsid w:val="008C5A06"/>
    <w:rsid w:val="008C5A93"/>
    <w:rsid w:val="008C5A97"/>
    <w:rsid w:val="008C5B14"/>
    <w:rsid w:val="008C5CBE"/>
    <w:rsid w:val="008C5D72"/>
    <w:rsid w:val="008C5DAE"/>
    <w:rsid w:val="008C5E0B"/>
    <w:rsid w:val="008C5F0A"/>
    <w:rsid w:val="008C5FAF"/>
    <w:rsid w:val="008C5FE6"/>
    <w:rsid w:val="008C6040"/>
    <w:rsid w:val="008C604A"/>
    <w:rsid w:val="008C6129"/>
    <w:rsid w:val="008C614D"/>
    <w:rsid w:val="008C615D"/>
    <w:rsid w:val="008C6178"/>
    <w:rsid w:val="008C61BA"/>
    <w:rsid w:val="008C61E8"/>
    <w:rsid w:val="008C658D"/>
    <w:rsid w:val="008C6672"/>
    <w:rsid w:val="008C67B2"/>
    <w:rsid w:val="008C68DD"/>
    <w:rsid w:val="008C6A61"/>
    <w:rsid w:val="008C6A91"/>
    <w:rsid w:val="008C6ABA"/>
    <w:rsid w:val="008C6ACB"/>
    <w:rsid w:val="008C6C57"/>
    <w:rsid w:val="008C6CEB"/>
    <w:rsid w:val="008C6D4A"/>
    <w:rsid w:val="008C70BC"/>
    <w:rsid w:val="008C7261"/>
    <w:rsid w:val="008C73C3"/>
    <w:rsid w:val="008C73E1"/>
    <w:rsid w:val="008C7687"/>
    <w:rsid w:val="008C7734"/>
    <w:rsid w:val="008C77CB"/>
    <w:rsid w:val="008C782C"/>
    <w:rsid w:val="008C7871"/>
    <w:rsid w:val="008C792B"/>
    <w:rsid w:val="008C79B5"/>
    <w:rsid w:val="008C7A15"/>
    <w:rsid w:val="008C7AD3"/>
    <w:rsid w:val="008C7ADE"/>
    <w:rsid w:val="008C7B0C"/>
    <w:rsid w:val="008C7B3A"/>
    <w:rsid w:val="008C7BAC"/>
    <w:rsid w:val="008C7C18"/>
    <w:rsid w:val="008C7C29"/>
    <w:rsid w:val="008C7C86"/>
    <w:rsid w:val="008C7C9E"/>
    <w:rsid w:val="008C7F77"/>
    <w:rsid w:val="008C7F96"/>
    <w:rsid w:val="008D00C0"/>
    <w:rsid w:val="008D01AB"/>
    <w:rsid w:val="008D02FD"/>
    <w:rsid w:val="008D053C"/>
    <w:rsid w:val="008D0544"/>
    <w:rsid w:val="008D05B2"/>
    <w:rsid w:val="008D05E5"/>
    <w:rsid w:val="008D062A"/>
    <w:rsid w:val="008D066D"/>
    <w:rsid w:val="008D06E5"/>
    <w:rsid w:val="008D072F"/>
    <w:rsid w:val="008D07B6"/>
    <w:rsid w:val="008D08BB"/>
    <w:rsid w:val="008D0934"/>
    <w:rsid w:val="008D0993"/>
    <w:rsid w:val="008D0AC9"/>
    <w:rsid w:val="008D0AD5"/>
    <w:rsid w:val="008D0C90"/>
    <w:rsid w:val="008D0CC8"/>
    <w:rsid w:val="008D0DE0"/>
    <w:rsid w:val="008D0E19"/>
    <w:rsid w:val="008D0F00"/>
    <w:rsid w:val="008D102B"/>
    <w:rsid w:val="008D1072"/>
    <w:rsid w:val="008D12E0"/>
    <w:rsid w:val="008D1307"/>
    <w:rsid w:val="008D137C"/>
    <w:rsid w:val="008D154D"/>
    <w:rsid w:val="008D177D"/>
    <w:rsid w:val="008D17A2"/>
    <w:rsid w:val="008D17AE"/>
    <w:rsid w:val="008D1868"/>
    <w:rsid w:val="008D196E"/>
    <w:rsid w:val="008D1B0B"/>
    <w:rsid w:val="008D1B23"/>
    <w:rsid w:val="008D1BED"/>
    <w:rsid w:val="008D1C32"/>
    <w:rsid w:val="008D1D8E"/>
    <w:rsid w:val="008D1DC0"/>
    <w:rsid w:val="008D1E37"/>
    <w:rsid w:val="008D1E63"/>
    <w:rsid w:val="008D1EB2"/>
    <w:rsid w:val="008D1F11"/>
    <w:rsid w:val="008D2001"/>
    <w:rsid w:val="008D206F"/>
    <w:rsid w:val="008D2086"/>
    <w:rsid w:val="008D20AE"/>
    <w:rsid w:val="008D20E1"/>
    <w:rsid w:val="008D2128"/>
    <w:rsid w:val="008D2227"/>
    <w:rsid w:val="008D224C"/>
    <w:rsid w:val="008D229D"/>
    <w:rsid w:val="008D248F"/>
    <w:rsid w:val="008D25FB"/>
    <w:rsid w:val="008D2630"/>
    <w:rsid w:val="008D26B9"/>
    <w:rsid w:val="008D2743"/>
    <w:rsid w:val="008D2984"/>
    <w:rsid w:val="008D29F8"/>
    <w:rsid w:val="008D2A5B"/>
    <w:rsid w:val="008D2BEF"/>
    <w:rsid w:val="008D2CE8"/>
    <w:rsid w:val="008D2D02"/>
    <w:rsid w:val="008D2D36"/>
    <w:rsid w:val="008D2DF0"/>
    <w:rsid w:val="008D2EA3"/>
    <w:rsid w:val="008D2F21"/>
    <w:rsid w:val="008D2F5B"/>
    <w:rsid w:val="008D2F6C"/>
    <w:rsid w:val="008D3175"/>
    <w:rsid w:val="008D3176"/>
    <w:rsid w:val="008D3185"/>
    <w:rsid w:val="008D325F"/>
    <w:rsid w:val="008D3262"/>
    <w:rsid w:val="008D32E5"/>
    <w:rsid w:val="008D336C"/>
    <w:rsid w:val="008D3433"/>
    <w:rsid w:val="008D34D0"/>
    <w:rsid w:val="008D34F4"/>
    <w:rsid w:val="008D3534"/>
    <w:rsid w:val="008D3561"/>
    <w:rsid w:val="008D37B4"/>
    <w:rsid w:val="008D37E5"/>
    <w:rsid w:val="008D384D"/>
    <w:rsid w:val="008D38AC"/>
    <w:rsid w:val="008D3956"/>
    <w:rsid w:val="008D3998"/>
    <w:rsid w:val="008D3A20"/>
    <w:rsid w:val="008D3A5C"/>
    <w:rsid w:val="008D3B55"/>
    <w:rsid w:val="008D3B6E"/>
    <w:rsid w:val="008D3CBA"/>
    <w:rsid w:val="008D3CE8"/>
    <w:rsid w:val="008D3EA8"/>
    <w:rsid w:val="008D3ED2"/>
    <w:rsid w:val="008D3F83"/>
    <w:rsid w:val="008D3FB6"/>
    <w:rsid w:val="008D3FE0"/>
    <w:rsid w:val="008D4065"/>
    <w:rsid w:val="008D40F1"/>
    <w:rsid w:val="008D419D"/>
    <w:rsid w:val="008D419E"/>
    <w:rsid w:val="008D420A"/>
    <w:rsid w:val="008D42E1"/>
    <w:rsid w:val="008D4334"/>
    <w:rsid w:val="008D434B"/>
    <w:rsid w:val="008D43AF"/>
    <w:rsid w:val="008D43BE"/>
    <w:rsid w:val="008D44E0"/>
    <w:rsid w:val="008D45E2"/>
    <w:rsid w:val="008D46FD"/>
    <w:rsid w:val="008D478F"/>
    <w:rsid w:val="008D4940"/>
    <w:rsid w:val="008D49A1"/>
    <w:rsid w:val="008D4AEF"/>
    <w:rsid w:val="008D4B18"/>
    <w:rsid w:val="008D4B59"/>
    <w:rsid w:val="008D4C3D"/>
    <w:rsid w:val="008D4E0B"/>
    <w:rsid w:val="008D4E2D"/>
    <w:rsid w:val="008D4E4C"/>
    <w:rsid w:val="008D4EDF"/>
    <w:rsid w:val="008D4EE8"/>
    <w:rsid w:val="008D504C"/>
    <w:rsid w:val="008D517C"/>
    <w:rsid w:val="008D527E"/>
    <w:rsid w:val="008D541D"/>
    <w:rsid w:val="008D5649"/>
    <w:rsid w:val="008D576C"/>
    <w:rsid w:val="008D5782"/>
    <w:rsid w:val="008D581A"/>
    <w:rsid w:val="008D58ED"/>
    <w:rsid w:val="008D5933"/>
    <w:rsid w:val="008D596D"/>
    <w:rsid w:val="008D5A57"/>
    <w:rsid w:val="008D5B87"/>
    <w:rsid w:val="008D5DCF"/>
    <w:rsid w:val="008D5FA3"/>
    <w:rsid w:val="008D5FB1"/>
    <w:rsid w:val="008D5FCC"/>
    <w:rsid w:val="008D600F"/>
    <w:rsid w:val="008D6057"/>
    <w:rsid w:val="008D6182"/>
    <w:rsid w:val="008D62AB"/>
    <w:rsid w:val="008D63D4"/>
    <w:rsid w:val="008D63E3"/>
    <w:rsid w:val="008D64B6"/>
    <w:rsid w:val="008D6522"/>
    <w:rsid w:val="008D65C0"/>
    <w:rsid w:val="008D6757"/>
    <w:rsid w:val="008D68DB"/>
    <w:rsid w:val="008D68DF"/>
    <w:rsid w:val="008D6920"/>
    <w:rsid w:val="008D6AED"/>
    <w:rsid w:val="008D6B46"/>
    <w:rsid w:val="008D6B89"/>
    <w:rsid w:val="008D6C6C"/>
    <w:rsid w:val="008D6D2A"/>
    <w:rsid w:val="008D6E71"/>
    <w:rsid w:val="008D6EF6"/>
    <w:rsid w:val="008D6F54"/>
    <w:rsid w:val="008D6F5B"/>
    <w:rsid w:val="008D6FFA"/>
    <w:rsid w:val="008D702C"/>
    <w:rsid w:val="008D7047"/>
    <w:rsid w:val="008D7089"/>
    <w:rsid w:val="008D723E"/>
    <w:rsid w:val="008D7245"/>
    <w:rsid w:val="008D73C4"/>
    <w:rsid w:val="008D74B8"/>
    <w:rsid w:val="008D74D0"/>
    <w:rsid w:val="008D7513"/>
    <w:rsid w:val="008D751A"/>
    <w:rsid w:val="008D7566"/>
    <w:rsid w:val="008D7715"/>
    <w:rsid w:val="008D7835"/>
    <w:rsid w:val="008D7852"/>
    <w:rsid w:val="008D7B2A"/>
    <w:rsid w:val="008D7BD0"/>
    <w:rsid w:val="008D7CF5"/>
    <w:rsid w:val="008D7D22"/>
    <w:rsid w:val="008D7F1D"/>
    <w:rsid w:val="008D7F4A"/>
    <w:rsid w:val="008D7F6E"/>
    <w:rsid w:val="008E00E3"/>
    <w:rsid w:val="008E0115"/>
    <w:rsid w:val="008E0128"/>
    <w:rsid w:val="008E0285"/>
    <w:rsid w:val="008E0326"/>
    <w:rsid w:val="008E03BE"/>
    <w:rsid w:val="008E045C"/>
    <w:rsid w:val="008E04C5"/>
    <w:rsid w:val="008E055D"/>
    <w:rsid w:val="008E0586"/>
    <w:rsid w:val="008E06EF"/>
    <w:rsid w:val="008E07DE"/>
    <w:rsid w:val="008E0803"/>
    <w:rsid w:val="008E0831"/>
    <w:rsid w:val="008E0878"/>
    <w:rsid w:val="008E091D"/>
    <w:rsid w:val="008E0954"/>
    <w:rsid w:val="008E0A4F"/>
    <w:rsid w:val="008E0BF5"/>
    <w:rsid w:val="008E0C1D"/>
    <w:rsid w:val="008E0C26"/>
    <w:rsid w:val="008E0CA4"/>
    <w:rsid w:val="008E0EF8"/>
    <w:rsid w:val="008E0F0F"/>
    <w:rsid w:val="008E0FF5"/>
    <w:rsid w:val="008E111B"/>
    <w:rsid w:val="008E114A"/>
    <w:rsid w:val="008E12DC"/>
    <w:rsid w:val="008E1351"/>
    <w:rsid w:val="008E1369"/>
    <w:rsid w:val="008E1493"/>
    <w:rsid w:val="008E14D8"/>
    <w:rsid w:val="008E14ED"/>
    <w:rsid w:val="008E1585"/>
    <w:rsid w:val="008E15B9"/>
    <w:rsid w:val="008E1602"/>
    <w:rsid w:val="008E163B"/>
    <w:rsid w:val="008E1663"/>
    <w:rsid w:val="008E1675"/>
    <w:rsid w:val="008E173D"/>
    <w:rsid w:val="008E178B"/>
    <w:rsid w:val="008E17F1"/>
    <w:rsid w:val="008E185B"/>
    <w:rsid w:val="008E185C"/>
    <w:rsid w:val="008E18BF"/>
    <w:rsid w:val="008E1A9B"/>
    <w:rsid w:val="008E1ABE"/>
    <w:rsid w:val="008E1B33"/>
    <w:rsid w:val="008E1C53"/>
    <w:rsid w:val="008E1CA4"/>
    <w:rsid w:val="008E1CFA"/>
    <w:rsid w:val="008E1D68"/>
    <w:rsid w:val="008E1DD8"/>
    <w:rsid w:val="008E1E11"/>
    <w:rsid w:val="008E1E78"/>
    <w:rsid w:val="008E1F94"/>
    <w:rsid w:val="008E2027"/>
    <w:rsid w:val="008E2035"/>
    <w:rsid w:val="008E21BF"/>
    <w:rsid w:val="008E23A4"/>
    <w:rsid w:val="008E2583"/>
    <w:rsid w:val="008E25DE"/>
    <w:rsid w:val="008E2A27"/>
    <w:rsid w:val="008E2AE2"/>
    <w:rsid w:val="008E2B1E"/>
    <w:rsid w:val="008E2C6F"/>
    <w:rsid w:val="008E2CD5"/>
    <w:rsid w:val="008E2D96"/>
    <w:rsid w:val="008E2DC6"/>
    <w:rsid w:val="008E2DDB"/>
    <w:rsid w:val="008E2E8F"/>
    <w:rsid w:val="008E2ED3"/>
    <w:rsid w:val="008E2F03"/>
    <w:rsid w:val="008E2F06"/>
    <w:rsid w:val="008E2F60"/>
    <w:rsid w:val="008E328F"/>
    <w:rsid w:val="008E32D5"/>
    <w:rsid w:val="008E32F2"/>
    <w:rsid w:val="008E3448"/>
    <w:rsid w:val="008E3466"/>
    <w:rsid w:val="008E34A1"/>
    <w:rsid w:val="008E34E0"/>
    <w:rsid w:val="008E359D"/>
    <w:rsid w:val="008E360C"/>
    <w:rsid w:val="008E3807"/>
    <w:rsid w:val="008E383D"/>
    <w:rsid w:val="008E38D2"/>
    <w:rsid w:val="008E38F0"/>
    <w:rsid w:val="008E39EC"/>
    <w:rsid w:val="008E3AC4"/>
    <w:rsid w:val="008E3B9F"/>
    <w:rsid w:val="008E3C61"/>
    <w:rsid w:val="008E3D50"/>
    <w:rsid w:val="008E3D67"/>
    <w:rsid w:val="008E3DD1"/>
    <w:rsid w:val="008E3F79"/>
    <w:rsid w:val="008E4108"/>
    <w:rsid w:val="008E412F"/>
    <w:rsid w:val="008E4157"/>
    <w:rsid w:val="008E4180"/>
    <w:rsid w:val="008E41A5"/>
    <w:rsid w:val="008E42B7"/>
    <w:rsid w:val="008E44A2"/>
    <w:rsid w:val="008E458A"/>
    <w:rsid w:val="008E460B"/>
    <w:rsid w:val="008E461B"/>
    <w:rsid w:val="008E4634"/>
    <w:rsid w:val="008E4690"/>
    <w:rsid w:val="008E47EB"/>
    <w:rsid w:val="008E4883"/>
    <w:rsid w:val="008E49F7"/>
    <w:rsid w:val="008E4C7D"/>
    <w:rsid w:val="008E4D22"/>
    <w:rsid w:val="008E4D33"/>
    <w:rsid w:val="008E4D68"/>
    <w:rsid w:val="008E4D8E"/>
    <w:rsid w:val="008E4DE7"/>
    <w:rsid w:val="008E4EF5"/>
    <w:rsid w:val="008E4F3B"/>
    <w:rsid w:val="008E4FA2"/>
    <w:rsid w:val="008E4FE5"/>
    <w:rsid w:val="008E5175"/>
    <w:rsid w:val="008E5181"/>
    <w:rsid w:val="008E5202"/>
    <w:rsid w:val="008E5223"/>
    <w:rsid w:val="008E5227"/>
    <w:rsid w:val="008E52B2"/>
    <w:rsid w:val="008E52E3"/>
    <w:rsid w:val="008E569C"/>
    <w:rsid w:val="008E56F1"/>
    <w:rsid w:val="008E57F8"/>
    <w:rsid w:val="008E5849"/>
    <w:rsid w:val="008E5850"/>
    <w:rsid w:val="008E5867"/>
    <w:rsid w:val="008E58E0"/>
    <w:rsid w:val="008E5B47"/>
    <w:rsid w:val="008E5B9F"/>
    <w:rsid w:val="008E5BF4"/>
    <w:rsid w:val="008E5C05"/>
    <w:rsid w:val="008E5D3B"/>
    <w:rsid w:val="008E5D68"/>
    <w:rsid w:val="008E5E12"/>
    <w:rsid w:val="008E5EDA"/>
    <w:rsid w:val="008E5F41"/>
    <w:rsid w:val="008E604C"/>
    <w:rsid w:val="008E60A6"/>
    <w:rsid w:val="008E60BA"/>
    <w:rsid w:val="008E60C2"/>
    <w:rsid w:val="008E6145"/>
    <w:rsid w:val="008E616F"/>
    <w:rsid w:val="008E61CE"/>
    <w:rsid w:val="008E61FD"/>
    <w:rsid w:val="008E628E"/>
    <w:rsid w:val="008E6323"/>
    <w:rsid w:val="008E6512"/>
    <w:rsid w:val="008E654E"/>
    <w:rsid w:val="008E65DD"/>
    <w:rsid w:val="008E6630"/>
    <w:rsid w:val="008E6788"/>
    <w:rsid w:val="008E6793"/>
    <w:rsid w:val="008E6826"/>
    <w:rsid w:val="008E6967"/>
    <w:rsid w:val="008E69E3"/>
    <w:rsid w:val="008E6A66"/>
    <w:rsid w:val="008E6C8E"/>
    <w:rsid w:val="008E6E47"/>
    <w:rsid w:val="008E6FDC"/>
    <w:rsid w:val="008E6FE0"/>
    <w:rsid w:val="008E7035"/>
    <w:rsid w:val="008E7088"/>
    <w:rsid w:val="008E70B0"/>
    <w:rsid w:val="008E71A8"/>
    <w:rsid w:val="008E7232"/>
    <w:rsid w:val="008E72B9"/>
    <w:rsid w:val="008E72E4"/>
    <w:rsid w:val="008E730A"/>
    <w:rsid w:val="008E731F"/>
    <w:rsid w:val="008E73D0"/>
    <w:rsid w:val="008E7659"/>
    <w:rsid w:val="008E766F"/>
    <w:rsid w:val="008E76B5"/>
    <w:rsid w:val="008E7818"/>
    <w:rsid w:val="008E79B2"/>
    <w:rsid w:val="008E7A70"/>
    <w:rsid w:val="008E7AE8"/>
    <w:rsid w:val="008E7B24"/>
    <w:rsid w:val="008E7BD5"/>
    <w:rsid w:val="008E7C3C"/>
    <w:rsid w:val="008E7D42"/>
    <w:rsid w:val="008E7D9F"/>
    <w:rsid w:val="008E7ED4"/>
    <w:rsid w:val="008E7EE2"/>
    <w:rsid w:val="008E7EE5"/>
    <w:rsid w:val="008F0021"/>
    <w:rsid w:val="008F009E"/>
    <w:rsid w:val="008F00AA"/>
    <w:rsid w:val="008F0119"/>
    <w:rsid w:val="008F0262"/>
    <w:rsid w:val="008F0345"/>
    <w:rsid w:val="008F0650"/>
    <w:rsid w:val="008F065B"/>
    <w:rsid w:val="008F0675"/>
    <w:rsid w:val="008F0685"/>
    <w:rsid w:val="008F0734"/>
    <w:rsid w:val="008F0803"/>
    <w:rsid w:val="008F0904"/>
    <w:rsid w:val="008F091D"/>
    <w:rsid w:val="008F0930"/>
    <w:rsid w:val="008F0A33"/>
    <w:rsid w:val="008F0B37"/>
    <w:rsid w:val="008F0CD0"/>
    <w:rsid w:val="008F0DCE"/>
    <w:rsid w:val="008F0FEA"/>
    <w:rsid w:val="008F1033"/>
    <w:rsid w:val="008F1113"/>
    <w:rsid w:val="008F1148"/>
    <w:rsid w:val="008F11D6"/>
    <w:rsid w:val="008F121C"/>
    <w:rsid w:val="008F12FE"/>
    <w:rsid w:val="008F140C"/>
    <w:rsid w:val="008F1493"/>
    <w:rsid w:val="008F14AF"/>
    <w:rsid w:val="008F14BE"/>
    <w:rsid w:val="008F15E6"/>
    <w:rsid w:val="008F163C"/>
    <w:rsid w:val="008F17A3"/>
    <w:rsid w:val="008F1864"/>
    <w:rsid w:val="008F191D"/>
    <w:rsid w:val="008F1B54"/>
    <w:rsid w:val="008F1B67"/>
    <w:rsid w:val="008F1B97"/>
    <w:rsid w:val="008F1D01"/>
    <w:rsid w:val="008F1D49"/>
    <w:rsid w:val="008F1DB2"/>
    <w:rsid w:val="008F1E38"/>
    <w:rsid w:val="008F1F7D"/>
    <w:rsid w:val="008F1FEF"/>
    <w:rsid w:val="008F206D"/>
    <w:rsid w:val="008F213B"/>
    <w:rsid w:val="008F21DC"/>
    <w:rsid w:val="008F228E"/>
    <w:rsid w:val="008F229D"/>
    <w:rsid w:val="008F2369"/>
    <w:rsid w:val="008F2462"/>
    <w:rsid w:val="008F24B8"/>
    <w:rsid w:val="008F24FD"/>
    <w:rsid w:val="008F25A2"/>
    <w:rsid w:val="008F2603"/>
    <w:rsid w:val="008F26AB"/>
    <w:rsid w:val="008F2721"/>
    <w:rsid w:val="008F273B"/>
    <w:rsid w:val="008F2883"/>
    <w:rsid w:val="008F28FA"/>
    <w:rsid w:val="008F29C0"/>
    <w:rsid w:val="008F29FB"/>
    <w:rsid w:val="008F2A43"/>
    <w:rsid w:val="008F2AE3"/>
    <w:rsid w:val="008F2C28"/>
    <w:rsid w:val="008F2C48"/>
    <w:rsid w:val="008F2C67"/>
    <w:rsid w:val="008F2D97"/>
    <w:rsid w:val="008F2DB6"/>
    <w:rsid w:val="008F2E25"/>
    <w:rsid w:val="008F2E26"/>
    <w:rsid w:val="008F2F09"/>
    <w:rsid w:val="008F2F19"/>
    <w:rsid w:val="008F2F94"/>
    <w:rsid w:val="008F31DF"/>
    <w:rsid w:val="008F3308"/>
    <w:rsid w:val="008F3406"/>
    <w:rsid w:val="008F351E"/>
    <w:rsid w:val="008F3558"/>
    <w:rsid w:val="008F36A5"/>
    <w:rsid w:val="008F36B6"/>
    <w:rsid w:val="008F37C6"/>
    <w:rsid w:val="008F37FF"/>
    <w:rsid w:val="008F3839"/>
    <w:rsid w:val="008F3916"/>
    <w:rsid w:val="008F398E"/>
    <w:rsid w:val="008F3B3C"/>
    <w:rsid w:val="008F3B7F"/>
    <w:rsid w:val="008F3B84"/>
    <w:rsid w:val="008F3D45"/>
    <w:rsid w:val="008F3DCF"/>
    <w:rsid w:val="008F3DE2"/>
    <w:rsid w:val="008F3E6A"/>
    <w:rsid w:val="008F3F29"/>
    <w:rsid w:val="008F3F33"/>
    <w:rsid w:val="008F3FFC"/>
    <w:rsid w:val="008F4025"/>
    <w:rsid w:val="008F413C"/>
    <w:rsid w:val="008F437C"/>
    <w:rsid w:val="008F451F"/>
    <w:rsid w:val="008F453B"/>
    <w:rsid w:val="008F4710"/>
    <w:rsid w:val="008F478B"/>
    <w:rsid w:val="008F47CB"/>
    <w:rsid w:val="008F482C"/>
    <w:rsid w:val="008F4875"/>
    <w:rsid w:val="008F4976"/>
    <w:rsid w:val="008F4A29"/>
    <w:rsid w:val="008F4B84"/>
    <w:rsid w:val="008F4BDE"/>
    <w:rsid w:val="008F4C1A"/>
    <w:rsid w:val="008F4D0C"/>
    <w:rsid w:val="008F4D66"/>
    <w:rsid w:val="008F4EFB"/>
    <w:rsid w:val="008F4F2F"/>
    <w:rsid w:val="008F5028"/>
    <w:rsid w:val="008F513B"/>
    <w:rsid w:val="008F51A3"/>
    <w:rsid w:val="008F536F"/>
    <w:rsid w:val="008F5462"/>
    <w:rsid w:val="008F54BA"/>
    <w:rsid w:val="008F54BD"/>
    <w:rsid w:val="008F54F9"/>
    <w:rsid w:val="008F5500"/>
    <w:rsid w:val="008F5515"/>
    <w:rsid w:val="008F55FF"/>
    <w:rsid w:val="008F574E"/>
    <w:rsid w:val="008F57CC"/>
    <w:rsid w:val="008F57E2"/>
    <w:rsid w:val="008F5822"/>
    <w:rsid w:val="008F58FB"/>
    <w:rsid w:val="008F5C07"/>
    <w:rsid w:val="008F5C67"/>
    <w:rsid w:val="008F5D99"/>
    <w:rsid w:val="008F618F"/>
    <w:rsid w:val="008F6257"/>
    <w:rsid w:val="008F63C8"/>
    <w:rsid w:val="008F6425"/>
    <w:rsid w:val="008F6582"/>
    <w:rsid w:val="008F65A1"/>
    <w:rsid w:val="008F664D"/>
    <w:rsid w:val="008F66B8"/>
    <w:rsid w:val="008F66FF"/>
    <w:rsid w:val="008F6749"/>
    <w:rsid w:val="008F67D1"/>
    <w:rsid w:val="008F67E0"/>
    <w:rsid w:val="008F67FE"/>
    <w:rsid w:val="008F6812"/>
    <w:rsid w:val="008F68CB"/>
    <w:rsid w:val="008F693C"/>
    <w:rsid w:val="008F69C4"/>
    <w:rsid w:val="008F6A06"/>
    <w:rsid w:val="008F6B4A"/>
    <w:rsid w:val="008F6B83"/>
    <w:rsid w:val="008F6C0E"/>
    <w:rsid w:val="008F6CB6"/>
    <w:rsid w:val="008F6D19"/>
    <w:rsid w:val="008F6D5D"/>
    <w:rsid w:val="008F6E93"/>
    <w:rsid w:val="008F70CC"/>
    <w:rsid w:val="008F72C9"/>
    <w:rsid w:val="008F7545"/>
    <w:rsid w:val="008F758A"/>
    <w:rsid w:val="008F75C5"/>
    <w:rsid w:val="008F7698"/>
    <w:rsid w:val="008F77A1"/>
    <w:rsid w:val="008F7950"/>
    <w:rsid w:val="008F798B"/>
    <w:rsid w:val="008F7AB8"/>
    <w:rsid w:val="008F7C37"/>
    <w:rsid w:val="008F7DF6"/>
    <w:rsid w:val="008F7F03"/>
    <w:rsid w:val="008F7FC4"/>
    <w:rsid w:val="00900028"/>
    <w:rsid w:val="00900034"/>
    <w:rsid w:val="0090019A"/>
    <w:rsid w:val="009002D8"/>
    <w:rsid w:val="009003A9"/>
    <w:rsid w:val="00900474"/>
    <w:rsid w:val="009004F7"/>
    <w:rsid w:val="0090080D"/>
    <w:rsid w:val="00900820"/>
    <w:rsid w:val="00900835"/>
    <w:rsid w:val="009008EF"/>
    <w:rsid w:val="00900934"/>
    <w:rsid w:val="0090098D"/>
    <w:rsid w:val="00900A34"/>
    <w:rsid w:val="00900A42"/>
    <w:rsid w:val="00900B4F"/>
    <w:rsid w:val="00900B87"/>
    <w:rsid w:val="00900BED"/>
    <w:rsid w:val="00900C93"/>
    <w:rsid w:val="00900CCB"/>
    <w:rsid w:val="00900CE3"/>
    <w:rsid w:val="00900E01"/>
    <w:rsid w:val="00900E0C"/>
    <w:rsid w:val="00900F4B"/>
    <w:rsid w:val="00900F55"/>
    <w:rsid w:val="00900F6E"/>
    <w:rsid w:val="00900F84"/>
    <w:rsid w:val="0090105C"/>
    <w:rsid w:val="009010DD"/>
    <w:rsid w:val="009010EB"/>
    <w:rsid w:val="0090123A"/>
    <w:rsid w:val="00901394"/>
    <w:rsid w:val="00901454"/>
    <w:rsid w:val="0090172F"/>
    <w:rsid w:val="00901814"/>
    <w:rsid w:val="009018C5"/>
    <w:rsid w:val="009018CE"/>
    <w:rsid w:val="009018DA"/>
    <w:rsid w:val="00901969"/>
    <w:rsid w:val="009019CA"/>
    <w:rsid w:val="009019FA"/>
    <w:rsid w:val="00901A74"/>
    <w:rsid w:val="00901B44"/>
    <w:rsid w:val="00901B8C"/>
    <w:rsid w:val="00901C81"/>
    <w:rsid w:val="00901CAC"/>
    <w:rsid w:val="00901D2A"/>
    <w:rsid w:val="00901EF3"/>
    <w:rsid w:val="0090210B"/>
    <w:rsid w:val="00902256"/>
    <w:rsid w:val="009022BF"/>
    <w:rsid w:val="009022D1"/>
    <w:rsid w:val="0090234B"/>
    <w:rsid w:val="0090237A"/>
    <w:rsid w:val="009023C5"/>
    <w:rsid w:val="009023F8"/>
    <w:rsid w:val="00902437"/>
    <w:rsid w:val="009024A6"/>
    <w:rsid w:val="00902522"/>
    <w:rsid w:val="00902535"/>
    <w:rsid w:val="00902586"/>
    <w:rsid w:val="009025B8"/>
    <w:rsid w:val="00902654"/>
    <w:rsid w:val="00902684"/>
    <w:rsid w:val="00902778"/>
    <w:rsid w:val="009027C5"/>
    <w:rsid w:val="00902831"/>
    <w:rsid w:val="00902941"/>
    <w:rsid w:val="009029E8"/>
    <w:rsid w:val="00902AC5"/>
    <w:rsid w:val="00902BCE"/>
    <w:rsid w:val="00902BF8"/>
    <w:rsid w:val="00902CE5"/>
    <w:rsid w:val="00902D43"/>
    <w:rsid w:val="00902EB2"/>
    <w:rsid w:val="00902F8F"/>
    <w:rsid w:val="00903029"/>
    <w:rsid w:val="00903037"/>
    <w:rsid w:val="0090319E"/>
    <w:rsid w:val="009032D3"/>
    <w:rsid w:val="00903406"/>
    <w:rsid w:val="0090346C"/>
    <w:rsid w:val="00903520"/>
    <w:rsid w:val="0090357C"/>
    <w:rsid w:val="0090357F"/>
    <w:rsid w:val="00903744"/>
    <w:rsid w:val="00903770"/>
    <w:rsid w:val="0090379D"/>
    <w:rsid w:val="009037D3"/>
    <w:rsid w:val="009038B0"/>
    <w:rsid w:val="009038B8"/>
    <w:rsid w:val="0090392D"/>
    <w:rsid w:val="00903A0E"/>
    <w:rsid w:val="00903A8A"/>
    <w:rsid w:val="00903AA3"/>
    <w:rsid w:val="00903ABE"/>
    <w:rsid w:val="00903B28"/>
    <w:rsid w:val="00903B87"/>
    <w:rsid w:val="00903C5A"/>
    <w:rsid w:val="00904070"/>
    <w:rsid w:val="009040AF"/>
    <w:rsid w:val="009041BB"/>
    <w:rsid w:val="009041DA"/>
    <w:rsid w:val="0090421C"/>
    <w:rsid w:val="00904231"/>
    <w:rsid w:val="009043F7"/>
    <w:rsid w:val="009044B6"/>
    <w:rsid w:val="009044BF"/>
    <w:rsid w:val="009045E6"/>
    <w:rsid w:val="00904653"/>
    <w:rsid w:val="00904947"/>
    <w:rsid w:val="00904A0A"/>
    <w:rsid w:val="00904A22"/>
    <w:rsid w:val="00904BA2"/>
    <w:rsid w:val="00904BC7"/>
    <w:rsid w:val="00904C10"/>
    <w:rsid w:val="00904C91"/>
    <w:rsid w:val="00904CDA"/>
    <w:rsid w:val="00904D03"/>
    <w:rsid w:val="00904D2B"/>
    <w:rsid w:val="00904EC0"/>
    <w:rsid w:val="00904F71"/>
    <w:rsid w:val="00904F75"/>
    <w:rsid w:val="00905016"/>
    <w:rsid w:val="00905081"/>
    <w:rsid w:val="009051D3"/>
    <w:rsid w:val="009051D7"/>
    <w:rsid w:val="0090523D"/>
    <w:rsid w:val="0090528A"/>
    <w:rsid w:val="00905322"/>
    <w:rsid w:val="00905387"/>
    <w:rsid w:val="009053C7"/>
    <w:rsid w:val="00905401"/>
    <w:rsid w:val="00905494"/>
    <w:rsid w:val="009054B5"/>
    <w:rsid w:val="009055AD"/>
    <w:rsid w:val="009055C7"/>
    <w:rsid w:val="0090574F"/>
    <w:rsid w:val="00905764"/>
    <w:rsid w:val="0090583B"/>
    <w:rsid w:val="00905846"/>
    <w:rsid w:val="00905863"/>
    <w:rsid w:val="00905869"/>
    <w:rsid w:val="00905951"/>
    <w:rsid w:val="00905A03"/>
    <w:rsid w:val="00905A86"/>
    <w:rsid w:val="00905AB4"/>
    <w:rsid w:val="00905B5F"/>
    <w:rsid w:val="00905C42"/>
    <w:rsid w:val="00905CF8"/>
    <w:rsid w:val="00905D82"/>
    <w:rsid w:val="00905DB5"/>
    <w:rsid w:val="00905E93"/>
    <w:rsid w:val="0090603B"/>
    <w:rsid w:val="009060E3"/>
    <w:rsid w:val="009062A6"/>
    <w:rsid w:val="00906352"/>
    <w:rsid w:val="0090648F"/>
    <w:rsid w:val="009065B1"/>
    <w:rsid w:val="00906643"/>
    <w:rsid w:val="0090667E"/>
    <w:rsid w:val="009066AA"/>
    <w:rsid w:val="009066BF"/>
    <w:rsid w:val="009066FD"/>
    <w:rsid w:val="00906701"/>
    <w:rsid w:val="0090671C"/>
    <w:rsid w:val="00906720"/>
    <w:rsid w:val="00906820"/>
    <w:rsid w:val="009068FC"/>
    <w:rsid w:val="0090698D"/>
    <w:rsid w:val="00906C7F"/>
    <w:rsid w:val="00906D6F"/>
    <w:rsid w:val="00906ECF"/>
    <w:rsid w:val="00906FC0"/>
    <w:rsid w:val="00906FD6"/>
    <w:rsid w:val="009070A9"/>
    <w:rsid w:val="009070B8"/>
    <w:rsid w:val="009070BB"/>
    <w:rsid w:val="0090713E"/>
    <w:rsid w:val="00907207"/>
    <w:rsid w:val="00907257"/>
    <w:rsid w:val="009072A0"/>
    <w:rsid w:val="009072B1"/>
    <w:rsid w:val="009072E3"/>
    <w:rsid w:val="00907354"/>
    <w:rsid w:val="00907486"/>
    <w:rsid w:val="009074B8"/>
    <w:rsid w:val="00907534"/>
    <w:rsid w:val="0090754A"/>
    <w:rsid w:val="009075B0"/>
    <w:rsid w:val="009076E9"/>
    <w:rsid w:val="00907805"/>
    <w:rsid w:val="0090780B"/>
    <w:rsid w:val="00907820"/>
    <w:rsid w:val="00907838"/>
    <w:rsid w:val="00907902"/>
    <w:rsid w:val="009079E3"/>
    <w:rsid w:val="009079ED"/>
    <w:rsid w:val="00907A40"/>
    <w:rsid w:val="00907B37"/>
    <w:rsid w:val="00907CDA"/>
    <w:rsid w:val="00907DFC"/>
    <w:rsid w:val="00907EBC"/>
    <w:rsid w:val="00907F5B"/>
    <w:rsid w:val="00910017"/>
    <w:rsid w:val="009100D0"/>
    <w:rsid w:val="00910202"/>
    <w:rsid w:val="0091021F"/>
    <w:rsid w:val="0091028A"/>
    <w:rsid w:val="0091032E"/>
    <w:rsid w:val="009103A0"/>
    <w:rsid w:val="009103D1"/>
    <w:rsid w:val="00910448"/>
    <w:rsid w:val="0091050B"/>
    <w:rsid w:val="009105EA"/>
    <w:rsid w:val="00910608"/>
    <w:rsid w:val="00910692"/>
    <w:rsid w:val="00910775"/>
    <w:rsid w:val="009107F6"/>
    <w:rsid w:val="00910864"/>
    <w:rsid w:val="00910B71"/>
    <w:rsid w:val="00910B9F"/>
    <w:rsid w:val="00910BC7"/>
    <w:rsid w:val="00910F6E"/>
    <w:rsid w:val="00910FB6"/>
    <w:rsid w:val="00911102"/>
    <w:rsid w:val="009111B4"/>
    <w:rsid w:val="0091135E"/>
    <w:rsid w:val="009113C8"/>
    <w:rsid w:val="009113D4"/>
    <w:rsid w:val="00911401"/>
    <w:rsid w:val="00911462"/>
    <w:rsid w:val="00911463"/>
    <w:rsid w:val="009114C2"/>
    <w:rsid w:val="009116F8"/>
    <w:rsid w:val="00911723"/>
    <w:rsid w:val="00911895"/>
    <w:rsid w:val="009118EA"/>
    <w:rsid w:val="00911A90"/>
    <w:rsid w:val="00911D2E"/>
    <w:rsid w:val="00911D3A"/>
    <w:rsid w:val="00911DE5"/>
    <w:rsid w:val="00911E8E"/>
    <w:rsid w:val="00911F01"/>
    <w:rsid w:val="00911F2B"/>
    <w:rsid w:val="00911F6D"/>
    <w:rsid w:val="00912061"/>
    <w:rsid w:val="00912112"/>
    <w:rsid w:val="00912128"/>
    <w:rsid w:val="009121C7"/>
    <w:rsid w:val="009121CE"/>
    <w:rsid w:val="009122D3"/>
    <w:rsid w:val="009124B8"/>
    <w:rsid w:val="00912683"/>
    <w:rsid w:val="009127B5"/>
    <w:rsid w:val="009127EF"/>
    <w:rsid w:val="00912807"/>
    <w:rsid w:val="0091286F"/>
    <w:rsid w:val="0091292E"/>
    <w:rsid w:val="00912A09"/>
    <w:rsid w:val="00912A58"/>
    <w:rsid w:val="00912A65"/>
    <w:rsid w:val="00912BD6"/>
    <w:rsid w:val="00912C40"/>
    <w:rsid w:val="00912CC4"/>
    <w:rsid w:val="00912CC8"/>
    <w:rsid w:val="00912D06"/>
    <w:rsid w:val="00912D3F"/>
    <w:rsid w:val="00912D99"/>
    <w:rsid w:val="00912E32"/>
    <w:rsid w:val="00912F6A"/>
    <w:rsid w:val="00912F9F"/>
    <w:rsid w:val="00912FC5"/>
    <w:rsid w:val="00913175"/>
    <w:rsid w:val="00913263"/>
    <w:rsid w:val="0091346F"/>
    <w:rsid w:val="0091352E"/>
    <w:rsid w:val="0091359A"/>
    <w:rsid w:val="0091364F"/>
    <w:rsid w:val="0091371A"/>
    <w:rsid w:val="00913772"/>
    <w:rsid w:val="009137AD"/>
    <w:rsid w:val="009137F9"/>
    <w:rsid w:val="00913AD3"/>
    <w:rsid w:val="00913B5F"/>
    <w:rsid w:val="00913C03"/>
    <w:rsid w:val="00913C36"/>
    <w:rsid w:val="00913C3F"/>
    <w:rsid w:val="00913CAB"/>
    <w:rsid w:val="00913CBC"/>
    <w:rsid w:val="00913D26"/>
    <w:rsid w:val="00913D28"/>
    <w:rsid w:val="00913D6C"/>
    <w:rsid w:val="00913E6E"/>
    <w:rsid w:val="00913E76"/>
    <w:rsid w:val="00913E9F"/>
    <w:rsid w:val="00913EDB"/>
    <w:rsid w:val="00913FC1"/>
    <w:rsid w:val="00914046"/>
    <w:rsid w:val="00914162"/>
    <w:rsid w:val="00914220"/>
    <w:rsid w:val="00914229"/>
    <w:rsid w:val="009142E1"/>
    <w:rsid w:val="0091443A"/>
    <w:rsid w:val="00914491"/>
    <w:rsid w:val="009148FA"/>
    <w:rsid w:val="009149D5"/>
    <w:rsid w:val="00914A80"/>
    <w:rsid w:val="00914BBA"/>
    <w:rsid w:val="00914CA6"/>
    <w:rsid w:val="00914D7D"/>
    <w:rsid w:val="00914D81"/>
    <w:rsid w:val="00914DCD"/>
    <w:rsid w:val="00914F0E"/>
    <w:rsid w:val="00914F39"/>
    <w:rsid w:val="009150D2"/>
    <w:rsid w:val="00915253"/>
    <w:rsid w:val="009152EB"/>
    <w:rsid w:val="00915413"/>
    <w:rsid w:val="0091546B"/>
    <w:rsid w:val="00915634"/>
    <w:rsid w:val="00915678"/>
    <w:rsid w:val="00915689"/>
    <w:rsid w:val="0091568C"/>
    <w:rsid w:val="009156F8"/>
    <w:rsid w:val="00915701"/>
    <w:rsid w:val="00915706"/>
    <w:rsid w:val="00915850"/>
    <w:rsid w:val="0091586D"/>
    <w:rsid w:val="009158C6"/>
    <w:rsid w:val="00915900"/>
    <w:rsid w:val="0091591A"/>
    <w:rsid w:val="0091592B"/>
    <w:rsid w:val="00915A5A"/>
    <w:rsid w:val="00915AAF"/>
    <w:rsid w:val="00915AF2"/>
    <w:rsid w:val="00915B31"/>
    <w:rsid w:val="00915C3D"/>
    <w:rsid w:val="00915CE8"/>
    <w:rsid w:val="00915D6E"/>
    <w:rsid w:val="00915DF5"/>
    <w:rsid w:val="00915DFD"/>
    <w:rsid w:val="00915E76"/>
    <w:rsid w:val="00915FA2"/>
    <w:rsid w:val="00915FFE"/>
    <w:rsid w:val="0091600A"/>
    <w:rsid w:val="0091601A"/>
    <w:rsid w:val="00916038"/>
    <w:rsid w:val="009160AE"/>
    <w:rsid w:val="009160DC"/>
    <w:rsid w:val="00916195"/>
    <w:rsid w:val="00916246"/>
    <w:rsid w:val="00916286"/>
    <w:rsid w:val="00916316"/>
    <w:rsid w:val="009165BB"/>
    <w:rsid w:val="0091670B"/>
    <w:rsid w:val="0091670D"/>
    <w:rsid w:val="0091672F"/>
    <w:rsid w:val="00916759"/>
    <w:rsid w:val="0091685B"/>
    <w:rsid w:val="00916952"/>
    <w:rsid w:val="0091696A"/>
    <w:rsid w:val="00916982"/>
    <w:rsid w:val="009169F3"/>
    <w:rsid w:val="00916CF7"/>
    <w:rsid w:val="00916E6F"/>
    <w:rsid w:val="00916EFE"/>
    <w:rsid w:val="00917055"/>
    <w:rsid w:val="00917064"/>
    <w:rsid w:val="00917079"/>
    <w:rsid w:val="0091709D"/>
    <w:rsid w:val="0091709E"/>
    <w:rsid w:val="00917107"/>
    <w:rsid w:val="0091716E"/>
    <w:rsid w:val="009171E9"/>
    <w:rsid w:val="0091728E"/>
    <w:rsid w:val="009172DC"/>
    <w:rsid w:val="00917360"/>
    <w:rsid w:val="00917420"/>
    <w:rsid w:val="00917453"/>
    <w:rsid w:val="009175A1"/>
    <w:rsid w:val="009175C2"/>
    <w:rsid w:val="009176DA"/>
    <w:rsid w:val="0091772E"/>
    <w:rsid w:val="009177EC"/>
    <w:rsid w:val="009178AE"/>
    <w:rsid w:val="00917990"/>
    <w:rsid w:val="00917A39"/>
    <w:rsid w:val="00917B89"/>
    <w:rsid w:val="00917BD1"/>
    <w:rsid w:val="00917BEA"/>
    <w:rsid w:val="00917BF7"/>
    <w:rsid w:val="00917C5D"/>
    <w:rsid w:val="00917C78"/>
    <w:rsid w:val="00917D40"/>
    <w:rsid w:val="00917DD7"/>
    <w:rsid w:val="00917E6B"/>
    <w:rsid w:val="00917F43"/>
    <w:rsid w:val="00917F9B"/>
    <w:rsid w:val="00920040"/>
    <w:rsid w:val="00920053"/>
    <w:rsid w:val="0092007E"/>
    <w:rsid w:val="0092028D"/>
    <w:rsid w:val="009202F1"/>
    <w:rsid w:val="00920342"/>
    <w:rsid w:val="00920351"/>
    <w:rsid w:val="0092039B"/>
    <w:rsid w:val="0092044C"/>
    <w:rsid w:val="0092055E"/>
    <w:rsid w:val="0092062C"/>
    <w:rsid w:val="00920681"/>
    <w:rsid w:val="009207AB"/>
    <w:rsid w:val="009207D8"/>
    <w:rsid w:val="00920811"/>
    <w:rsid w:val="00920821"/>
    <w:rsid w:val="00920875"/>
    <w:rsid w:val="00920904"/>
    <w:rsid w:val="0092090F"/>
    <w:rsid w:val="00920914"/>
    <w:rsid w:val="0092091E"/>
    <w:rsid w:val="0092096F"/>
    <w:rsid w:val="00920A54"/>
    <w:rsid w:val="00920B95"/>
    <w:rsid w:val="00920C42"/>
    <w:rsid w:val="00920CB9"/>
    <w:rsid w:val="00921100"/>
    <w:rsid w:val="009211D3"/>
    <w:rsid w:val="009213E9"/>
    <w:rsid w:val="00921421"/>
    <w:rsid w:val="0092156C"/>
    <w:rsid w:val="009215C4"/>
    <w:rsid w:val="009215FA"/>
    <w:rsid w:val="009216E6"/>
    <w:rsid w:val="0092179C"/>
    <w:rsid w:val="009219AE"/>
    <w:rsid w:val="009219B8"/>
    <w:rsid w:val="00921C22"/>
    <w:rsid w:val="00921C3B"/>
    <w:rsid w:val="00921C97"/>
    <w:rsid w:val="00921CEC"/>
    <w:rsid w:val="00921E49"/>
    <w:rsid w:val="00921F81"/>
    <w:rsid w:val="00921FF9"/>
    <w:rsid w:val="0092207B"/>
    <w:rsid w:val="009220BB"/>
    <w:rsid w:val="00922152"/>
    <w:rsid w:val="00922260"/>
    <w:rsid w:val="009222CB"/>
    <w:rsid w:val="009223C0"/>
    <w:rsid w:val="009224CA"/>
    <w:rsid w:val="00922507"/>
    <w:rsid w:val="0092257E"/>
    <w:rsid w:val="00922595"/>
    <w:rsid w:val="009225F0"/>
    <w:rsid w:val="0092278E"/>
    <w:rsid w:val="00922843"/>
    <w:rsid w:val="00922893"/>
    <w:rsid w:val="009228EC"/>
    <w:rsid w:val="00922911"/>
    <w:rsid w:val="00922913"/>
    <w:rsid w:val="00922A02"/>
    <w:rsid w:val="00922A49"/>
    <w:rsid w:val="00922BAE"/>
    <w:rsid w:val="00922BBE"/>
    <w:rsid w:val="00922C4C"/>
    <w:rsid w:val="00922DD9"/>
    <w:rsid w:val="00922EC9"/>
    <w:rsid w:val="00922ED5"/>
    <w:rsid w:val="00922FFC"/>
    <w:rsid w:val="00923056"/>
    <w:rsid w:val="0092313F"/>
    <w:rsid w:val="009231D1"/>
    <w:rsid w:val="0092334C"/>
    <w:rsid w:val="00923446"/>
    <w:rsid w:val="00923476"/>
    <w:rsid w:val="009235DF"/>
    <w:rsid w:val="0092363B"/>
    <w:rsid w:val="009236AB"/>
    <w:rsid w:val="009237F7"/>
    <w:rsid w:val="00923934"/>
    <w:rsid w:val="00923937"/>
    <w:rsid w:val="0092396B"/>
    <w:rsid w:val="009239B8"/>
    <w:rsid w:val="00923A55"/>
    <w:rsid w:val="00923B18"/>
    <w:rsid w:val="00923BA7"/>
    <w:rsid w:val="00923D73"/>
    <w:rsid w:val="00923E47"/>
    <w:rsid w:val="00923ECA"/>
    <w:rsid w:val="00923F0D"/>
    <w:rsid w:val="00923F6E"/>
    <w:rsid w:val="00923FC5"/>
    <w:rsid w:val="00923FCE"/>
    <w:rsid w:val="00923FDB"/>
    <w:rsid w:val="0092409F"/>
    <w:rsid w:val="0092410C"/>
    <w:rsid w:val="009241C0"/>
    <w:rsid w:val="009241F3"/>
    <w:rsid w:val="00924365"/>
    <w:rsid w:val="00924553"/>
    <w:rsid w:val="00924554"/>
    <w:rsid w:val="0092469B"/>
    <w:rsid w:val="009246DF"/>
    <w:rsid w:val="00924966"/>
    <w:rsid w:val="00924A14"/>
    <w:rsid w:val="00924A23"/>
    <w:rsid w:val="00924AE4"/>
    <w:rsid w:val="00924BB6"/>
    <w:rsid w:val="00924C36"/>
    <w:rsid w:val="00924D9A"/>
    <w:rsid w:val="00924DA2"/>
    <w:rsid w:val="00924EAD"/>
    <w:rsid w:val="00924F50"/>
    <w:rsid w:val="00924FDA"/>
    <w:rsid w:val="00924FEB"/>
    <w:rsid w:val="0092504A"/>
    <w:rsid w:val="009251D5"/>
    <w:rsid w:val="00925264"/>
    <w:rsid w:val="00925296"/>
    <w:rsid w:val="009252CC"/>
    <w:rsid w:val="0092534B"/>
    <w:rsid w:val="00925398"/>
    <w:rsid w:val="0092543C"/>
    <w:rsid w:val="00925510"/>
    <w:rsid w:val="0092589C"/>
    <w:rsid w:val="00925997"/>
    <w:rsid w:val="009259D9"/>
    <w:rsid w:val="00925A0F"/>
    <w:rsid w:val="00925A29"/>
    <w:rsid w:val="00925AD1"/>
    <w:rsid w:val="00925B79"/>
    <w:rsid w:val="00925BC2"/>
    <w:rsid w:val="00925DEB"/>
    <w:rsid w:val="00925E5F"/>
    <w:rsid w:val="00926085"/>
    <w:rsid w:val="009260F9"/>
    <w:rsid w:val="0092617F"/>
    <w:rsid w:val="00926240"/>
    <w:rsid w:val="009262C2"/>
    <w:rsid w:val="009262D7"/>
    <w:rsid w:val="009263AE"/>
    <w:rsid w:val="00926468"/>
    <w:rsid w:val="00926570"/>
    <w:rsid w:val="009265C4"/>
    <w:rsid w:val="00926616"/>
    <w:rsid w:val="00926687"/>
    <w:rsid w:val="00926696"/>
    <w:rsid w:val="00926B7B"/>
    <w:rsid w:val="00926B86"/>
    <w:rsid w:val="00926BBE"/>
    <w:rsid w:val="00926BFF"/>
    <w:rsid w:val="00926D0E"/>
    <w:rsid w:val="00926E6D"/>
    <w:rsid w:val="00926EFE"/>
    <w:rsid w:val="00926F2D"/>
    <w:rsid w:val="0092701A"/>
    <w:rsid w:val="00927276"/>
    <w:rsid w:val="00927286"/>
    <w:rsid w:val="00927293"/>
    <w:rsid w:val="009272DB"/>
    <w:rsid w:val="009272F5"/>
    <w:rsid w:val="009275EE"/>
    <w:rsid w:val="00927629"/>
    <w:rsid w:val="00927665"/>
    <w:rsid w:val="00927706"/>
    <w:rsid w:val="0092770A"/>
    <w:rsid w:val="0092771F"/>
    <w:rsid w:val="00927866"/>
    <w:rsid w:val="009278DB"/>
    <w:rsid w:val="00927A0C"/>
    <w:rsid w:val="00927AD1"/>
    <w:rsid w:val="00927C09"/>
    <w:rsid w:val="00927C36"/>
    <w:rsid w:val="00927C88"/>
    <w:rsid w:val="00927E05"/>
    <w:rsid w:val="00927EB0"/>
    <w:rsid w:val="00927EFF"/>
    <w:rsid w:val="00927F17"/>
    <w:rsid w:val="00927F1C"/>
    <w:rsid w:val="00930008"/>
    <w:rsid w:val="00930300"/>
    <w:rsid w:val="00930400"/>
    <w:rsid w:val="0093054E"/>
    <w:rsid w:val="00930679"/>
    <w:rsid w:val="00930957"/>
    <w:rsid w:val="00930A97"/>
    <w:rsid w:val="00930BF9"/>
    <w:rsid w:val="00930D1E"/>
    <w:rsid w:val="00930E00"/>
    <w:rsid w:val="0093106D"/>
    <w:rsid w:val="009310C0"/>
    <w:rsid w:val="0093115C"/>
    <w:rsid w:val="0093118E"/>
    <w:rsid w:val="00931265"/>
    <w:rsid w:val="009312E8"/>
    <w:rsid w:val="00931303"/>
    <w:rsid w:val="00931539"/>
    <w:rsid w:val="0093158F"/>
    <w:rsid w:val="00931591"/>
    <w:rsid w:val="0093164E"/>
    <w:rsid w:val="00931876"/>
    <w:rsid w:val="00931894"/>
    <w:rsid w:val="0093190E"/>
    <w:rsid w:val="009319A5"/>
    <w:rsid w:val="00931A59"/>
    <w:rsid w:val="00931B3D"/>
    <w:rsid w:val="00931B53"/>
    <w:rsid w:val="00931B8E"/>
    <w:rsid w:val="00931BE8"/>
    <w:rsid w:val="00931EBF"/>
    <w:rsid w:val="00931EFA"/>
    <w:rsid w:val="00931F02"/>
    <w:rsid w:val="00931F70"/>
    <w:rsid w:val="00931FA7"/>
    <w:rsid w:val="009320BD"/>
    <w:rsid w:val="009321B0"/>
    <w:rsid w:val="00932472"/>
    <w:rsid w:val="00932483"/>
    <w:rsid w:val="00932559"/>
    <w:rsid w:val="00932582"/>
    <w:rsid w:val="009325CB"/>
    <w:rsid w:val="0093275E"/>
    <w:rsid w:val="00932907"/>
    <w:rsid w:val="00932A2D"/>
    <w:rsid w:val="00932A62"/>
    <w:rsid w:val="00932B83"/>
    <w:rsid w:val="00932B85"/>
    <w:rsid w:val="00932D67"/>
    <w:rsid w:val="00932D7E"/>
    <w:rsid w:val="00932E2F"/>
    <w:rsid w:val="00932E3E"/>
    <w:rsid w:val="00932EA7"/>
    <w:rsid w:val="00932F5F"/>
    <w:rsid w:val="00932FD8"/>
    <w:rsid w:val="00933036"/>
    <w:rsid w:val="009331C0"/>
    <w:rsid w:val="00933208"/>
    <w:rsid w:val="0093335F"/>
    <w:rsid w:val="009333EB"/>
    <w:rsid w:val="009334DC"/>
    <w:rsid w:val="0093353F"/>
    <w:rsid w:val="00933615"/>
    <w:rsid w:val="0093369E"/>
    <w:rsid w:val="00933754"/>
    <w:rsid w:val="009338D1"/>
    <w:rsid w:val="00933977"/>
    <w:rsid w:val="00933A7A"/>
    <w:rsid w:val="00933BDE"/>
    <w:rsid w:val="00933BED"/>
    <w:rsid w:val="00933C20"/>
    <w:rsid w:val="00933C33"/>
    <w:rsid w:val="00933C8C"/>
    <w:rsid w:val="00933D7F"/>
    <w:rsid w:val="00933D9B"/>
    <w:rsid w:val="00933E32"/>
    <w:rsid w:val="00933EA2"/>
    <w:rsid w:val="00933F0A"/>
    <w:rsid w:val="00934177"/>
    <w:rsid w:val="009342C8"/>
    <w:rsid w:val="009344E7"/>
    <w:rsid w:val="00934585"/>
    <w:rsid w:val="0093474B"/>
    <w:rsid w:val="00934A2F"/>
    <w:rsid w:val="00934B43"/>
    <w:rsid w:val="00934C1A"/>
    <w:rsid w:val="00934C36"/>
    <w:rsid w:val="00934C90"/>
    <w:rsid w:val="00934D5B"/>
    <w:rsid w:val="00934E5C"/>
    <w:rsid w:val="00934E98"/>
    <w:rsid w:val="00934FE5"/>
    <w:rsid w:val="0093510A"/>
    <w:rsid w:val="0093514C"/>
    <w:rsid w:val="009351A5"/>
    <w:rsid w:val="009351D3"/>
    <w:rsid w:val="00935208"/>
    <w:rsid w:val="0093523E"/>
    <w:rsid w:val="00935312"/>
    <w:rsid w:val="00935360"/>
    <w:rsid w:val="0093552A"/>
    <w:rsid w:val="00935544"/>
    <w:rsid w:val="009355F8"/>
    <w:rsid w:val="0093577A"/>
    <w:rsid w:val="009357A5"/>
    <w:rsid w:val="009357C9"/>
    <w:rsid w:val="009357F7"/>
    <w:rsid w:val="009358F8"/>
    <w:rsid w:val="00935A03"/>
    <w:rsid w:val="00935A1B"/>
    <w:rsid w:val="00935A6B"/>
    <w:rsid w:val="00935A89"/>
    <w:rsid w:val="00935ABE"/>
    <w:rsid w:val="00935AD6"/>
    <w:rsid w:val="00935BA3"/>
    <w:rsid w:val="00935CEB"/>
    <w:rsid w:val="00935D3F"/>
    <w:rsid w:val="00935D87"/>
    <w:rsid w:val="00935DA7"/>
    <w:rsid w:val="00935EB9"/>
    <w:rsid w:val="00935EBC"/>
    <w:rsid w:val="009360BF"/>
    <w:rsid w:val="009360D6"/>
    <w:rsid w:val="009361F4"/>
    <w:rsid w:val="00936281"/>
    <w:rsid w:val="0093629D"/>
    <w:rsid w:val="009362CC"/>
    <w:rsid w:val="00936436"/>
    <w:rsid w:val="00936455"/>
    <w:rsid w:val="00936493"/>
    <w:rsid w:val="00936556"/>
    <w:rsid w:val="009366B2"/>
    <w:rsid w:val="009366EB"/>
    <w:rsid w:val="00936828"/>
    <w:rsid w:val="0093685C"/>
    <w:rsid w:val="00936B25"/>
    <w:rsid w:val="00936B61"/>
    <w:rsid w:val="00936DA7"/>
    <w:rsid w:val="00936E20"/>
    <w:rsid w:val="00936E50"/>
    <w:rsid w:val="00936E54"/>
    <w:rsid w:val="00936EA2"/>
    <w:rsid w:val="009370FC"/>
    <w:rsid w:val="009371AC"/>
    <w:rsid w:val="009371BB"/>
    <w:rsid w:val="0093732A"/>
    <w:rsid w:val="009373BD"/>
    <w:rsid w:val="00937420"/>
    <w:rsid w:val="0093768D"/>
    <w:rsid w:val="009377D8"/>
    <w:rsid w:val="009379F0"/>
    <w:rsid w:val="00937B64"/>
    <w:rsid w:val="00937C7A"/>
    <w:rsid w:val="00937E66"/>
    <w:rsid w:val="00937E90"/>
    <w:rsid w:val="00937F00"/>
    <w:rsid w:val="00937FCB"/>
    <w:rsid w:val="00940114"/>
    <w:rsid w:val="0094023F"/>
    <w:rsid w:val="0094026A"/>
    <w:rsid w:val="00940387"/>
    <w:rsid w:val="009403B5"/>
    <w:rsid w:val="00940464"/>
    <w:rsid w:val="0094051F"/>
    <w:rsid w:val="00940523"/>
    <w:rsid w:val="00940661"/>
    <w:rsid w:val="009406D9"/>
    <w:rsid w:val="00940734"/>
    <w:rsid w:val="0094079F"/>
    <w:rsid w:val="00940872"/>
    <w:rsid w:val="009408B2"/>
    <w:rsid w:val="009408CA"/>
    <w:rsid w:val="0094096A"/>
    <w:rsid w:val="00940B2E"/>
    <w:rsid w:val="00940B8B"/>
    <w:rsid w:val="00940C17"/>
    <w:rsid w:val="00940E4E"/>
    <w:rsid w:val="00940FC2"/>
    <w:rsid w:val="00940FD6"/>
    <w:rsid w:val="00941023"/>
    <w:rsid w:val="0094108B"/>
    <w:rsid w:val="00941159"/>
    <w:rsid w:val="009411A8"/>
    <w:rsid w:val="00941283"/>
    <w:rsid w:val="009412A5"/>
    <w:rsid w:val="009412AF"/>
    <w:rsid w:val="009412BC"/>
    <w:rsid w:val="00941426"/>
    <w:rsid w:val="00941471"/>
    <w:rsid w:val="009414C6"/>
    <w:rsid w:val="00941752"/>
    <w:rsid w:val="00941856"/>
    <w:rsid w:val="009418BE"/>
    <w:rsid w:val="00941ABF"/>
    <w:rsid w:val="00941AD1"/>
    <w:rsid w:val="00941DA2"/>
    <w:rsid w:val="00941DC4"/>
    <w:rsid w:val="00941F28"/>
    <w:rsid w:val="00942088"/>
    <w:rsid w:val="00942099"/>
    <w:rsid w:val="009420DE"/>
    <w:rsid w:val="00942389"/>
    <w:rsid w:val="009424D5"/>
    <w:rsid w:val="0094272A"/>
    <w:rsid w:val="00942761"/>
    <w:rsid w:val="00942791"/>
    <w:rsid w:val="0094282F"/>
    <w:rsid w:val="00942833"/>
    <w:rsid w:val="00942A56"/>
    <w:rsid w:val="00942A62"/>
    <w:rsid w:val="00942A91"/>
    <w:rsid w:val="00942CD2"/>
    <w:rsid w:val="00942D1E"/>
    <w:rsid w:val="00942DCB"/>
    <w:rsid w:val="00942EB7"/>
    <w:rsid w:val="0094324D"/>
    <w:rsid w:val="009433BF"/>
    <w:rsid w:val="00943528"/>
    <w:rsid w:val="0094353D"/>
    <w:rsid w:val="00943551"/>
    <w:rsid w:val="00943562"/>
    <w:rsid w:val="009435B5"/>
    <w:rsid w:val="0094360D"/>
    <w:rsid w:val="00943647"/>
    <w:rsid w:val="00943683"/>
    <w:rsid w:val="0094368A"/>
    <w:rsid w:val="009436D6"/>
    <w:rsid w:val="00943803"/>
    <w:rsid w:val="0094385F"/>
    <w:rsid w:val="0094398D"/>
    <w:rsid w:val="009439C0"/>
    <w:rsid w:val="00943A3F"/>
    <w:rsid w:val="00943BE0"/>
    <w:rsid w:val="00943D0E"/>
    <w:rsid w:val="00943DFC"/>
    <w:rsid w:val="00943E05"/>
    <w:rsid w:val="00943E77"/>
    <w:rsid w:val="00943E91"/>
    <w:rsid w:val="00943F70"/>
    <w:rsid w:val="00944090"/>
    <w:rsid w:val="0094409D"/>
    <w:rsid w:val="009441D6"/>
    <w:rsid w:val="009441DD"/>
    <w:rsid w:val="00944280"/>
    <w:rsid w:val="009443FB"/>
    <w:rsid w:val="009444A4"/>
    <w:rsid w:val="009445BE"/>
    <w:rsid w:val="009445CB"/>
    <w:rsid w:val="00944615"/>
    <w:rsid w:val="00944667"/>
    <w:rsid w:val="00944690"/>
    <w:rsid w:val="009447A2"/>
    <w:rsid w:val="00944A9C"/>
    <w:rsid w:val="00944BD9"/>
    <w:rsid w:val="00944BE6"/>
    <w:rsid w:val="00944C2E"/>
    <w:rsid w:val="00944C8F"/>
    <w:rsid w:val="00944D2D"/>
    <w:rsid w:val="00944DC8"/>
    <w:rsid w:val="00944EA0"/>
    <w:rsid w:val="00944F90"/>
    <w:rsid w:val="00945154"/>
    <w:rsid w:val="00945171"/>
    <w:rsid w:val="009451BE"/>
    <w:rsid w:val="00945318"/>
    <w:rsid w:val="0094531F"/>
    <w:rsid w:val="0094533B"/>
    <w:rsid w:val="0094533E"/>
    <w:rsid w:val="009453F6"/>
    <w:rsid w:val="00945435"/>
    <w:rsid w:val="00945535"/>
    <w:rsid w:val="0094573C"/>
    <w:rsid w:val="00945872"/>
    <w:rsid w:val="009459C4"/>
    <w:rsid w:val="00945B0C"/>
    <w:rsid w:val="00945B80"/>
    <w:rsid w:val="00945C24"/>
    <w:rsid w:val="00945CAE"/>
    <w:rsid w:val="00945CE5"/>
    <w:rsid w:val="00945D2B"/>
    <w:rsid w:val="00945D44"/>
    <w:rsid w:val="00945D81"/>
    <w:rsid w:val="00945DAB"/>
    <w:rsid w:val="00945E46"/>
    <w:rsid w:val="00945E73"/>
    <w:rsid w:val="00945EC1"/>
    <w:rsid w:val="00945F09"/>
    <w:rsid w:val="00946034"/>
    <w:rsid w:val="00946040"/>
    <w:rsid w:val="00946138"/>
    <w:rsid w:val="009462EF"/>
    <w:rsid w:val="009463EA"/>
    <w:rsid w:val="009463EE"/>
    <w:rsid w:val="00946535"/>
    <w:rsid w:val="0094663A"/>
    <w:rsid w:val="0094674F"/>
    <w:rsid w:val="009467B7"/>
    <w:rsid w:val="00946854"/>
    <w:rsid w:val="00946866"/>
    <w:rsid w:val="00946877"/>
    <w:rsid w:val="0094694A"/>
    <w:rsid w:val="00946B62"/>
    <w:rsid w:val="00946BF9"/>
    <w:rsid w:val="00946D44"/>
    <w:rsid w:val="00946D62"/>
    <w:rsid w:val="00946D87"/>
    <w:rsid w:val="0094711D"/>
    <w:rsid w:val="009471AC"/>
    <w:rsid w:val="00947272"/>
    <w:rsid w:val="0094739D"/>
    <w:rsid w:val="009473A4"/>
    <w:rsid w:val="009474EC"/>
    <w:rsid w:val="00947683"/>
    <w:rsid w:val="00947707"/>
    <w:rsid w:val="0094782A"/>
    <w:rsid w:val="009478B2"/>
    <w:rsid w:val="00947928"/>
    <w:rsid w:val="0094795B"/>
    <w:rsid w:val="00947A1B"/>
    <w:rsid w:val="00947A3A"/>
    <w:rsid w:val="00947AC4"/>
    <w:rsid w:val="00947EB4"/>
    <w:rsid w:val="00950022"/>
    <w:rsid w:val="00950042"/>
    <w:rsid w:val="00950062"/>
    <w:rsid w:val="009500F0"/>
    <w:rsid w:val="009501E0"/>
    <w:rsid w:val="009502AD"/>
    <w:rsid w:val="00950328"/>
    <w:rsid w:val="009503B0"/>
    <w:rsid w:val="009503F2"/>
    <w:rsid w:val="00950444"/>
    <w:rsid w:val="00950459"/>
    <w:rsid w:val="0095049B"/>
    <w:rsid w:val="009505B5"/>
    <w:rsid w:val="009506EA"/>
    <w:rsid w:val="00950717"/>
    <w:rsid w:val="00950742"/>
    <w:rsid w:val="009508A2"/>
    <w:rsid w:val="00950971"/>
    <w:rsid w:val="00950CB6"/>
    <w:rsid w:val="00950CEC"/>
    <w:rsid w:val="00950D0C"/>
    <w:rsid w:val="00950D87"/>
    <w:rsid w:val="00950E28"/>
    <w:rsid w:val="00950E4A"/>
    <w:rsid w:val="00950F40"/>
    <w:rsid w:val="00950F85"/>
    <w:rsid w:val="00950FA1"/>
    <w:rsid w:val="00951082"/>
    <w:rsid w:val="009511B2"/>
    <w:rsid w:val="00951226"/>
    <w:rsid w:val="0095138E"/>
    <w:rsid w:val="009513A7"/>
    <w:rsid w:val="009514FD"/>
    <w:rsid w:val="0095151B"/>
    <w:rsid w:val="00951669"/>
    <w:rsid w:val="009519B5"/>
    <w:rsid w:val="009519D5"/>
    <w:rsid w:val="00951A20"/>
    <w:rsid w:val="00951AEE"/>
    <w:rsid w:val="00951B0B"/>
    <w:rsid w:val="00951B90"/>
    <w:rsid w:val="00951BA9"/>
    <w:rsid w:val="00951CD5"/>
    <w:rsid w:val="00951CF2"/>
    <w:rsid w:val="00951CFE"/>
    <w:rsid w:val="00951DBC"/>
    <w:rsid w:val="00951E20"/>
    <w:rsid w:val="00951FDB"/>
    <w:rsid w:val="009520B4"/>
    <w:rsid w:val="009520D2"/>
    <w:rsid w:val="009522A8"/>
    <w:rsid w:val="00952343"/>
    <w:rsid w:val="0095245B"/>
    <w:rsid w:val="009524F4"/>
    <w:rsid w:val="009525A1"/>
    <w:rsid w:val="0095270C"/>
    <w:rsid w:val="00952915"/>
    <w:rsid w:val="009529B2"/>
    <w:rsid w:val="009529DD"/>
    <w:rsid w:val="00952A64"/>
    <w:rsid w:val="00952ACF"/>
    <w:rsid w:val="00952B69"/>
    <w:rsid w:val="00952C1C"/>
    <w:rsid w:val="00952C50"/>
    <w:rsid w:val="00952D3D"/>
    <w:rsid w:val="00952E19"/>
    <w:rsid w:val="00952F56"/>
    <w:rsid w:val="00952FCB"/>
    <w:rsid w:val="00952FEF"/>
    <w:rsid w:val="00952FF2"/>
    <w:rsid w:val="00952FFE"/>
    <w:rsid w:val="00953085"/>
    <w:rsid w:val="00953270"/>
    <w:rsid w:val="009533B8"/>
    <w:rsid w:val="009533E3"/>
    <w:rsid w:val="00953402"/>
    <w:rsid w:val="00953444"/>
    <w:rsid w:val="009534FB"/>
    <w:rsid w:val="00953516"/>
    <w:rsid w:val="00953593"/>
    <w:rsid w:val="009535E5"/>
    <w:rsid w:val="00953723"/>
    <w:rsid w:val="00953753"/>
    <w:rsid w:val="00953789"/>
    <w:rsid w:val="009538D9"/>
    <w:rsid w:val="00953994"/>
    <w:rsid w:val="009539AA"/>
    <w:rsid w:val="009539FB"/>
    <w:rsid w:val="00953AB5"/>
    <w:rsid w:val="00953AF7"/>
    <w:rsid w:val="00953B3F"/>
    <w:rsid w:val="00953BB8"/>
    <w:rsid w:val="00953BCE"/>
    <w:rsid w:val="00953C9A"/>
    <w:rsid w:val="00953EE6"/>
    <w:rsid w:val="00953F9B"/>
    <w:rsid w:val="00954085"/>
    <w:rsid w:val="009540A0"/>
    <w:rsid w:val="009540E2"/>
    <w:rsid w:val="00954146"/>
    <w:rsid w:val="00954155"/>
    <w:rsid w:val="0095417D"/>
    <w:rsid w:val="0095419B"/>
    <w:rsid w:val="009541F5"/>
    <w:rsid w:val="0095447B"/>
    <w:rsid w:val="00954572"/>
    <w:rsid w:val="009547D3"/>
    <w:rsid w:val="009547E0"/>
    <w:rsid w:val="009547E2"/>
    <w:rsid w:val="009547E9"/>
    <w:rsid w:val="009547F4"/>
    <w:rsid w:val="009548BF"/>
    <w:rsid w:val="00954AF4"/>
    <w:rsid w:val="00954B7C"/>
    <w:rsid w:val="00954BCE"/>
    <w:rsid w:val="00954CE1"/>
    <w:rsid w:val="00954EEF"/>
    <w:rsid w:val="00954F48"/>
    <w:rsid w:val="00955131"/>
    <w:rsid w:val="009551A0"/>
    <w:rsid w:val="009551C8"/>
    <w:rsid w:val="00955242"/>
    <w:rsid w:val="0095526D"/>
    <w:rsid w:val="009552CC"/>
    <w:rsid w:val="00955308"/>
    <w:rsid w:val="00955378"/>
    <w:rsid w:val="00955430"/>
    <w:rsid w:val="009554B1"/>
    <w:rsid w:val="0095581B"/>
    <w:rsid w:val="00955875"/>
    <w:rsid w:val="009558ED"/>
    <w:rsid w:val="0095590F"/>
    <w:rsid w:val="00955953"/>
    <w:rsid w:val="0095598C"/>
    <w:rsid w:val="00955AB0"/>
    <w:rsid w:val="00955E0B"/>
    <w:rsid w:val="00955E16"/>
    <w:rsid w:val="00955EBA"/>
    <w:rsid w:val="00955F9E"/>
    <w:rsid w:val="009560C5"/>
    <w:rsid w:val="00956237"/>
    <w:rsid w:val="0095628D"/>
    <w:rsid w:val="009563F2"/>
    <w:rsid w:val="00956523"/>
    <w:rsid w:val="00956678"/>
    <w:rsid w:val="00956749"/>
    <w:rsid w:val="0095678F"/>
    <w:rsid w:val="009568BA"/>
    <w:rsid w:val="009569FA"/>
    <w:rsid w:val="00956AEC"/>
    <w:rsid w:val="00956B8D"/>
    <w:rsid w:val="00956BF4"/>
    <w:rsid w:val="00956DE4"/>
    <w:rsid w:val="00956E76"/>
    <w:rsid w:val="00956EBF"/>
    <w:rsid w:val="00956F77"/>
    <w:rsid w:val="00957166"/>
    <w:rsid w:val="0095727A"/>
    <w:rsid w:val="00957286"/>
    <w:rsid w:val="0095729C"/>
    <w:rsid w:val="009572A3"/>
    <w:rsid w:val="009572DD"/>
    <w:rsid w:val="009572F2"/>
    <w:rsid w:val="009572F7"/>
    <w:rsid w:val="0095730D"/>
    <w:rsid w:val="009573CD"/>
    <w:rsid w:val="00957425"/>
    <w:rsid w:val="00957485"/>
    <w:rsid w:val="00957591"/>
    <w:rsid w:val="009575B9"/>
    <w:rsid w:val="0095763A"/>
    <w:rsid w:val="009577AF"/>
    <w:rsid w:val="00957855"/>
    <w:rsid w:val="00957898"/>
    <w:rsid w:val="00957899"/>
    <w:rsid w:val="009578B5"/>
    <w:rsid w:val="00957A63"/>
    <w:rsid w:val="00957B68"/>
    <w:rsid w:val="00957BCA"/>
    <w:rsid w:val="00957BE2"/>
    <w:rsid w:val="00957E23"/>
    <w:rsid w:val="0096002F"/>
    <w:rsid w:val="009600F6"/>
    <w:rsid w:val="009601D7"/>
    <w:rsid w:val="00960238"/>
    <w:rsid w:val="00960388"/>
    <w:rsid w:val="009603A6"/>
    <w:rsid w:val="009603E6"/>
    <w:rsid w:val="00960422"/>
    <w:rsid w:val="0096046F"/>
    <w:rsid w:val="009604E0"/>
    <w:rsid w:val="00960507"/>
    <w:rsid w:val="00960546"/>
    <w:rsid w:val="009605B2"/>
    <w:rsid w:val="009605CA"/>
    <w:rsid w:val="0096066B"/>
    <w:rsid w:val="009606C1"/>
    <w:rsid w:val="009606F0"/>
    <w:rsid w:val="00960713"/>
    <w:rsid w:val="00960942"/>
    <w:rsid w:val="00960A54"/>
    <w:rsid w:val="00960AD7"/>
    <w:rsid w:val="00960BD3"/>
    <w:rsid w:val="00960BE3"/>
    <w:rsid w:val="00960C3E"/>
    <w:rsid w:val="00960D21"/>
    <w:rsid w:val="00960DA4"/>
    <w:rsid w:val="00960F07"/>
    <w:rsid w:val="00960F86"/>
    <w:rsid w:val="00960FBB"/>
    <w:rsid w:val="00960FD8"/>
    <w:rsid w:val="00961034"/>
    <w:rsid w:val="009610EE"/>
    <w:rsid w:val="00961101"/>
    <w:rsid w:val="00961225"/>
    <w:rsid w:val="0096127F"/>
    <w:rsid w:val="0096128A"/>
    <w:rsid w:val="00961329"/>
    <w:rsid w:val="00961399"/>
    <w:rsid w:val="009613BD"/>
    <w:rsid w:val="009613BE"/>
    <w:rsid w:val="009614C6"/>
    <w:rsid w:val="0096150F"/>
    <w:rsid w:val="0096156B"/>
    <w:rsid w:val="0096173F"/>
    <w:rsid w:val="0096184C"/>
    <w:rsid w:val="009618F6"/>
    <w:rsid w:val="00961A32"/>
    <w:rsid w:val="00961AA5"/>
    <w:rsid w:val="00961BD5"/>
    <w:rsid w:val="00961C1B"/>
    <w:rsid w:val="00961D51"/>
    <w:rsid w:val="00961DAD"/>
    <w:rsid w:val="00961DDC"/>
    <w:rsid w:val="00961EE9"/>
    <w:rsid w:val="009620B5"/>
    <w:rsid w:val="009623F8"/>
    <w:rsid w:val="00962490"/>
    <w:rsid w:val="00962540"/>
    <w:rsid w:val="009625AE"/>
    <w:rsid w:val="009625B3"/>
    <w:rsid w:val="00962698"/>
    <w:rsid w:val="009626F0"/>
    <w:rsid w:val="009626FA"/>
    <w:rsid w:val="00962802"/>
    <w:rsid w:val="00962902"/>
    <w:rsid w:val="00962909"/>
    <w:rsid w:val="00962ACE"/>
    <w:rsid w:val="00962AD4"/>
    <w:rsid w:val="00962B83"/>
    <w:rsid w:val="00962CDB"/>
    <w:rsid w:val="00962D63"/>
    <w:rsid w:val="00962DDC"/>
    <w:rsid w:val="009630A0"/>
    <w:rsid w:val="009630C1"/>
    <w:rsid w:val="009630E2"/>
    <w:rsid w:val="00963133"/>
    <w:rsid w:val="0096314A"/>
    <w:rsid w:val="009631E5"/>
    <w:rsid w:val="00963468"/>
    <w:rsid w:val="00963472"/>
    <w:rsid w:val="009634B6"/>
    <w:rsid w:val="00963527"/>
    <w:rsid w:val="009635C0"/>
    <w:rsid w:val="00963608"/>
    <w:rsid w:val="00963694"/>
    <w:rsid w:val="009636BC"/>
    <w:rsid w:val="009636F4"/>
    <w:rsid w:val="009637F8"/>
    <w:rsid w:val="0096382B"/>
    <w:rsid w:val="0096388F"/>
    <w:rsid w:val="009639A4"/>
    <w:rsid w:val="00963B8F"/>
    <w:rsid w:val="00963C0C"/>
    <w:rsid w:val="00963D11"/>
    <w:rsid w:val="00963D9C"/>
    <w:rsid w:val="00963DCB"/>
    <w:rsid w:val="00963DF7"/>
    <w:rsid w:val="00963EBB"/>
    <w:rsid w:val="00964098"/>
    <w:rsid w:val="00964233"/>
    <w:rsid w:val="009642D6"/>
    <w:rsid w:val="0096438D"/>
    <w:rsid w:val="009643D1"/>
    <w:rsid w:val="00964405"/>
    <w:rsid w:val="00964496"/>
    <w:rsid w:val="00964497"/>
    <w:rsid w:val="009644FD"/>
    <w:rsid w:val="00964521"/>
    <w:rsid w:val="00964554"/>
    <w:rsid w:val="0096464B"/>
    <w:rsid w:val="00964733"/>
    <w:rsid w:val="009647FF"/>
    <w:rsid w:val="00964978"/>
    <w:rsid w:val="009649A7"/>
    <w:rsid w:val="00964ABE"/>
    <w:rsid w:val="00964B80"/>
    <w:rsid w:val="00964B8C"/>
    <w:rsid w:val="00964B9F"/>
    <w:rsid w:val="00964BA2"/>
    <w:rsid w:val="00964D50"/>
    <w:rsid w:val="00964D87"/>
    <w:rsid w:val="00964EC4"/>
    <w:rsid w:val="00964F11"/>
    <w:rsid w:val="00964F61"/>
    <w:rsid w:val="00964FD6"/>
    <w:rsid w:val="009650D2"/>
    <w:rsid w:val="0096511D"/>
    <w:rsid w:val="0096524A"/>
    <w:rsid w:val="0096525F"/>
    <w:rsid w:val="009652EF"/>
    <w:rsid w:val="009654CB"/>
    <w:rsid w:val="009654E1"/>
    <w:rsid w:val="0096560E"/>
    <w:rsid w:val="00965637"/>
    <w:rsid w:val="00965799"/>
    <w:rsid w:val="009659E5"/>
    <w:rsid w:val="00965B8E"/>
    <w:rsid w:val="00965CAE"/>
    <w:rsid w:val="00965CEB"/>
    <w:rsid w:val="00965E39"/>
    <w:rsid w:val="00965FF4"/>
    <w:rsid w:val="0096608F"/>
    <w:rsid w:val="00966151"/>
    <w:rsid w:val="009661F6"/>
    <w:rsid w:val="009662BE"/>
    <w:rsid w:val="00966326"/>
    <w:rsid w:val="0096634A"/>
    <w:rsid w:val="00966486"/>
    <w:rsid w:val="0096662D"/>
    <w:rsid w:val="009666A4"/>
    <w:rsid w:val="0096672B"/>
    <w:rsid w:val="0096675A"/>
    <w:rsid w:val="0096691A"/>
    <w:rsid w:val="00966930"/>
    <w:rsid w:val="0096695E"/>
    <w:rsid w:val="009669BC"/>
    <w:rsid w:val="009669DC"/>
    <w:rsid w:val="009669EF"/>
    <w:rsid w:val="00966AA2"/>
    <w:rsid w:val="00966AAF"/>
    <w:rsid w:val="00966BC5"/>
    <w:rsid w:val="00966DD2"/>
    <w:rsid w:val="00966F12"/>
    <w:rsid w:val="00967138"/>
    <w:rsid w:val="00967205"/>
    <w:rsid w:val="009673CF"/>
    <w:rsid w:val="0096741D"/>
    <w:rsid w:val="00967498"/>
    <w:rsid w:val="009675A0"/>
    <w:rsid w:val="009675FA"/>
    <w:rsid w:val="00967692"/>
    <w:rsid w:val="0096775A"/>
    <w:rsid w:val="009677D1"/>
    <w:rsid w:val="009677D5"/>
    <w:rsid w:val="0096781D"/>
    <w:rsid w:val="0096794B"/>
    <w:rsid w:val="0096795A"/>
    <w:rsid w:val="009679E6"/>
    <w:rsid w:val="00967B4F"/>
    <w:rsid w:val="00967B96"/>
    <w:rsid w:val="00967C87"/>
    <w:rsid w:val="00967D67"/>
    <w:rsid w:val="00967E1B"/>
    <w:rsid w:val="00967E52"/>
    <w:rsid w:val="00967E5D"/>
    <w:rsid w:val="00967EB7"/>
    <w:rsid w:val="009700B5"/>
    <w:rsid w:val="00970105"/>
    <w:rsid w:val="0097022F"/>
    <w:rsid w:val="009702AD"/>
    <w:rsid w:val="00970480"/>
    <w:rsid w:val="009704F5"/>
    <w:rsid w:val="00970573"/>
    <w:rsid w:val="009705B3"/>
    <w:rsid w:val="00970632"/>
    <w:rsid w:val="00970772"/>
    <w:rsid w:val="009707E1"/>
    <w:rsid w:val="009707E2"/>
    <w:rsid w:val="00970859"/>
    <w:rsid w:val="0097090D"/>
    <w:rsid w:val="009709D5"/>
    <w:rsid w:val="00970A53"/>
    <w:rsid w:val="00970AF1"/>
    <w:rsid w:val="00970BB1"/>
    <w:rsid w:val="00970C83"/>
    <w:rsid w:val="00970D0D"/>
    <w:rsid w:val="00970D7C"/>
    <w:rsid w:val="00970E45"/>
    <w:rsid w:val="00970EE2"/>
    <w:rsid w:val="00970F47"/>
    <w:rsid w:val="009710D6"/>
    <w:rsid w:val="009711E9"/>
    <w:rsid w:val="0097122D"/>
    <w:rsid w:val="009712E7"/>
    <w:rsid w:val="00971352"/>
    <w:rsid w:val="00971353"/>
    <w:rsid w:val="00971422"/>
    <w:rsid w:val="00971548"/>
    <w:rsid w:val="0097166F"/>
    <w:rsid w:val="009716ED"/>
    <w:rsid w:val="00971745"/>
    <w:rsid w:val="0097188C"/>
    <w:rsid w:val="009719E4"/>
    <w:rsid w:val="009719FD"/>
    <w:rsid w:val="00971B89"/>
    <w:rsid w:val="00971C05"/>
    <w:rsid w:val="00971D53"/>
    <w:rsid w:val="00971DA7"/>
    <w:rsid w:val="00971E1E"/>
    <w:rsid w:val="00971E31"/>
    <w:rsid w:val="00971E84"/>
    <w:rsid w:val="00971ED4"/>
    <w:rsid w:val="00971EF1"/>
    <w:rsid w:val="00971F77"/>
    <w:rsid w:val="009720EA"/>
    <w:rsid w:val="009721A0"/>
    <w:rsid w:val="009723B2"/>
    <w:rsid w:val="009723CB"/>
    <w:rsid w:val="00972470"/>
    <w:rsid w:val="00972538"/>
    <w:rsid w:val="009725D5"/>
    <w:rsid w:val="00972647"/>
    <w:rsid w:val="00972820"/>
    <w:rsid w:val="00972922"/>
    <w:rsid w:val="0097295C"/>
    <w:rsid w:val="009729AC"/>
    <w:rsid w:val="009729BB"/>
    <w:rsid w:val="00972AC0"/>
    <w:rsid w:val="00972AF1"/>
    <w:rsid w:val="00972BB0"/>
    <w:rsid w:val="00972C8B"/>
    <w:rsid w:val="00972CDA"/>
    <w:rsid w:val="00972D7E"/>
    <w:rsid w:val="00972FF4"/>
    <w:rsid w:val="009730AD"/>
    <w:rsid w:val="0097313B"/>
    <w:rsid w:val="00973143"/>
    <w:rsid w:val="0097317C"/>
    <w:rsid w:val="00973182"/>
    <w:rsid w:val="009731F6"/>
    <w:rsid w:val="00973259"/>
    <w:rsid w:val="00973269"/>
    <w:rsid w:val="009732CC"/>
    <w:rsid w:val="00973310"/>
    <w:rsid w:val="00973395"/>
    <w:rsid w:val="00973447"/>
    <w:rsid w:val="009735AB"/>
    <w:rsid w:val="009735B6"/>
    <w:rsid w:val="009735CB"/>
    <w:rsid w:val="00973701"/>
    <w:rsid w:val="009738AC"/>
    <w:rsid w:val="00973924"/>
    <w:rsid w:val="009739EE"/>
    <w:rsid w:val="00973A32"/>
    <w:rsid w:val="00973A46"/>
    <w:rsid w:val="00973AE0"/>
    <w:rsid w:val="00973B3B"/>
    <w:rsid w:val="00973C70"/>
    <w:rsid w:val="00973DC3"/>
    <w:rsid w:val="00973F7A"/>
    <w:rsid w:val="0097408C"/>
    <w:rsid w:val="00974192"/>
    <w:rsid w:val="009741D7"/>
    <w:rsid w:val="009742F1"/>
    <w:rsid w:val="009743A6"/>
    <w:rsid w:val="009743BD"/>
    <w:rsid w:val="009744F2"/>
    <w:rsid w:val="00974743"/>
    <w:rsid w:val="0097475E"/>
    <w:rsid w:val="00974823"/>
    <w:rsid w:val="00974875"/>
    <w:rsid w:val="00974AF3"/>
    <w:rsid w:val="00974BB2"/>
    <w:rsid w:val="00974BE6"/>
    <w:rsid w:val="00974C04"/>
    <w:rsid w:val="00974C5D"/>
    <w:rsid w:val="00974CC3"/>
    <w:rsid w:val="00974FC9"/>
    <w:rsid w:val="009750EE"/>
    <w:rsid w:val="009750F6"/>
    <w:rsid w:val="00975176"/>
    <w:rsid w:val="0097539A"/>
    <w:rsid w:val="009754AE"/>
    <w:rsid w:val="009754B0"/>
    <w:rsid w:val="0097581B"/>
    <w:rsid w:val="00975826"/>
    <w:rsid w:val="00975906"/>
    <w:rsid w:val="009759A6"/>
    <w:rsid w:val="00975AA2"/>
    <w:rsid w:val="00975C97"/>
    <w:rsid w:val="00975D5D"/>
    <w:rsid w:val="00975F0F"/>
    <w:rsid w:val="00975FB4"/>
    <w:rsid w:val="0097606D"/>
    <w:rsid w:val="009760D0"/>
    <w:rsid w:val="0097610D"/>
    <w:rsid w:val="0097615C"/>
    <w:rsid w:val="0097628C"/>
    <w:rsid w:val="0097648D"/>
    <w:rsid w:val="009765DD"/>
    <w:rsid w:val="00976788"/>
    <w:rsid w:val="0097683D"/>
    <w:rsid w:val="0097695E"/>
    <w:rsid w:val="00976964"/>
    <w:rsid w:val="00976970"/>
    <w:rsid w:val="00976DD4"/>
    <w:rsid w:val="00976E11"/>
    <w:rsid w:val="00976F8F"/>
    <w:rsid w:val="00976F96"/>
    <w:rsid w:val="00977071"/>
    <w:rsid w:val="0097707C"/>
    <w:rsid w:val="0097715D"/>
    <w:rsid w:val="00977204"/>
    <w:rsid w:val="00977281"/>
    <w:rsid w:val="00977376"/>
    <w:rsid w:val="00977397"/>
    <w:rsid w:val="009774BE"/>
    <w:rsid w:val="009774DA"/>
    <w:rsid w:val="0097754A"/>
    <w:rsid w:val="00977638"/>
    <w:rsid w:val="0097763D"/>
    <w:rsid w:val="0097768A"/>
    <w:rsid w:val="00977786"/>
    <w:rsid w:val="00977885"/>
    <w:rsid w:val="009779DE"/>
    <w:rsid w:val="00977A20"/>
    <w:rsid w:val="00977A2E"/>
    <w:rsid w:val="00977A77"/>
    <w:rsid w:val="00977B34"/>
    <w:rsid w:val="00977BDA"/>
    <w:rsid w:val="00977BDF"/>
    <w:rsid w:val="00977BEF"/>
    <w:rsid w:val="00977CD5"/>
    <w:rsid w:val="00977D79"/>
    <w:rsid w:val="00977DF0"/>
    <w:rsid w:val="00977E00"/>
    <w:rsid w:val="00977F7E"/>
    <w:rsid w:val="00977F93"/>
    <w:rsid w:val="0098011C"/>
    <w:rsid w:val="009801D6"/>
    <w:rsid w:val="0098037A"/>
    <w:rsid w:val="00980426"/>
    <w:rsid w:val="00980470"/>
    <w:rsid w:val="00980648"/>
    <w:rsid w:val="009806B5"/>
    <w:rsid w:val="0098085F"/>
    <w:rsid w:val="009808AA"/>
    <w:rsid w:val="009808B8"/>
    <w:rsid w:val="009808CC"/>
    <w:rsid w:val="009808EE"/>
    <w:rsid w:val="0098092A"/>
    <w:rsid w:val="00980B3F"/>
    <w:rsid w:val="00980C27"/>
    <w:rsid w:val="009810B2"/>
    <w:rsid w:val="00981165"/>
    <w:rsid w:val="009811F0"/>
    <w:rsid w:val="00981339"/>
    <w:rsid w:val="00981429"/>
    <w:rsid w:val="009814FF"/>
    <w:rsid w:val="009815A9"/>
    <w:rsid w:val="009815F1"/>
    <w:rsid w:val="00981850"/>
    <w:rsid w:val="009818BF"/>
    <w:rsid w:val="0098193C"/>
    <w:rsid w:val="00981AC0"/>
    <w:rsid w:val="00981ACA"/>
    <w:rsid w:val="00981D85"/>
    <w:rsid w:val="00981FD2"/>
    <w:rsid w:val="009820D2"/>
    <w:rsid w:val="009822BA"/>
    <w:rsid w:val="00982364"/>
    <w:rsid w:val="0098247C"/>
    <w:rsid w:val="009824A4"/>
    <w:rsid w:val="00982590"/>
    <w:rsid w:val="00982686"/>
    <w:rsid w:val="0098284C"/>
    <w:rsid w:val="00982902"/>
    <w:rsid w:val="00982C17"/>
    <w:rsid w:val="00982C46"/>
    <w:rsid w:val="00982C87"/>
    <w:rsid w:val="00982C8F"/>
    <w:rsid w:val="00982CAF"/>
    <w:rsid w:val="00982DAA"/>
    <w:rsid w:val="00982F71"/>
    <w:rsid w:val="00982F9A"/>
    <w:rsid w:val="00982FA0"/>
    <w:rsid w:val="00982FF1"/>
    <w:rsid w:val="00983289"/>
    <w:rsid w:val="00983318"/>
    <w:rsid w:val="0098331A"/>
    <w:rsid w:val="0098342C"/>
    <w:rsid w:val="00983496"/>
    <w:rsid w:val="009834E0"/>
    <w:rsid w:val="00983521"/>
    <w:rsid w:val="009835F8"/>
    <w:rsid w:val="009838DC"/>
    <w:rsid w:val="0098395F"/>
    <w:rsid w:val="009839C1"/>
    <w:rsid w:val="00983A45"/>
    <w:rsid w:val="00983ADF"/>
    <w:rsid w:val="00983AE9"/>
    <w:rsid w:val="00983B89"/>
    <w:rsid w:val="00983BCB"/>
    <w:rsid w:val="00983CC5"/>
    <w:rsid w:val="00983D6D"/>
    <w:rsid w:val="00983D86"/>
    <w:rsid w:val="00983DF9"/>
    <w:rsid w:val="00983E74"/>
    <w:rsid w:val="00983E98"/>
    <w:rsid w:val="00983F22"/>
    <w:rsid w:val="00984015"/>
    <w:rsid w:val="0098403E"/>
    <w:rsid w:val="00984099"/>
    <w:rsid w:val="009840BA"/>
    <w:rsid w:val="009842DC"/>
    <w:rsid w:val="009844DD"/>
    <w:rsid w:val="00984506"/>
    <w:rsid w:val="009845F1"/>
    <w:rsid w:val="009845F3"/>
    <w:rsid w:val="0098463F"/>
    <w:rsid w:val="0098487A"/>
    <w:rsid w:val="00984960"/>
    <w:rsid w:val="00984975"/>
    <w:rsid w:val="00984A39"/>
    <w:rsid w:val="00984BAC"/>
    <w:rsid w:val="00984BF6"/>
    <w:rsid w:val="00984CC5"/>
    <w:rsid w:val="00984CF1"/>
    <w:rsid w:val="00984D1B"/>
    <w:rsid w:val="00984DC3"/>
    <w:rsid w:val="00984DDF"/>
    <w:rsid w:val="00984E1E"/>
    <w:rsid w:val="00984E47"/>
    <w:rsid w:val="00984E5E"/>
    <w:rsid w:val="00984FA6"/>
    <w:rsid w:val="00984FD0"/>
    <w:rsid w:val="00984FF1"/>
    <w:rsid w:val="00984FF5"/>
    <w:rsid w:val="00985151"/>
    <w:rsid w:val="00985273"/>
    <w:rsid w:val="0098528C"/>
    <w:rsid w:val="0098531B"/>
    <w:rsid w:val="00985494"/>
    <w:rsid w:val="009857FD"/>
    <w:rsid w:val="009858D7"/>
    <w:rsid w:val="009858E4"/>
    <w:rsid w:val="009859C2"/>
    <w:rsid w:val="009859E6"/>
    <w:rsid w:val="00985A26"/>
    <w:rsid w:val="00985AA2"/>
    <w:rsid w:val="00985B49"/>
    <w:rsid w:val="00985C11"/>
    <w:rsid w:val="00985C67"/>
    <w:rsid w:val="00985DC0"/>
    <w:rsid w:val="00985DDB"/>
    <w:rsid w:val="00985F16"/>
    <w:rsid w:val="00985FC0"/>
    <w:rsid w:val="00986140"/>
    <w:rsid w:val="00986150"/>
    <w:rsid w:val="00986183"/>
    <w:rsid w:val="009861AE"/>
    <w:rsid w:val="0098639E"/>
    <w:rsid w:val="009863E0"/>
    <w:rsid w:val="00986476"/>
    <w:rsid w:val="009865CE"/>
    <w:rsid w:val="00986693"/>
    <w:rsid w:val="009866D7"/>
    <w:rsid w:val="00986858"/>
    <w:rsid w:val="00986896"/>
    <w:rsid w:val="009868BA"/>
    <w:rsid w:val="009868E5"/>
    <w:rsid w:val="00986A05"/>
    <w:rsid w:val="00986A30"/>
    <w:rsid w:val="00986AEA"/>
    <w:rsid w:val="00986AFB"/>
    <w:rsid w:val="00986BCE"/>
    <w:rsid w:val="00986C57"/>
    <w:rsid w:val="00986CEE"/>
    <w:rsid w:val="00986E16"/>
    <w:rsid w:val="00986E94"/>
    <w:rsid w:val="00986EC3"/>
    <w:rsid w:val="00986F13"/>
    <w:rsid w:val="0098703E"/>
    <w:rsid w:val="009871B1"/>
    <w:rsid w:val="0098729E"/>
    <w:rsid w:val="009872EA"/>
    <w:rsid w:val="009872FB"/>
    <w:rsid w:val="00987385"/>
    <w:rsid w:val="00987497"/>
    <w:rsid w:val="0098755E"/>
    <w:rsid w:val="00987753"/>
    <w:rsid w:val="009877B8"/>
    <w:rsid w:val="009877FC"/>
    <w:rsid w:val="00987997"/>
    <w:rsid w:val="00987AD0"/>
    <w:rsid w:val="00987D73"/>
    <w:rsid w:val="00990172"/>
    <w:rsid w:val="0099033F"/>
    <w:rsid w:val="0099050F"/>
    <w:rsid w:val="00990663"/>
    <w:rsid w:val="00990669"/>
    <w:rsid w:val="009906C5"/>
    <w:rsid w:val="00990806"/>
    <w:rsid w:val="0099089C"/>
    <w:rsid w:val="00990A14"/>
    <w:rsid w:val="00990C76"/>
    <w:rsid w:val="00990CFB"/>
    <w:rsid w:val="00990F6C"/>
    <w:rsid w:val="009910E9"/>
    <w:rsid w:val="009910F5"/>
    <w:rsid w:val="0099114E"/>
    <w:rsid w:val="0099117B"/>
    <w:rsid w:val="009911F6"/>
    <w:rsid w:val="00991213"/>
    <w:rsid w:val="009912AA"/>
    <w:rsid w:val="00991350"/>
    <w:rsid w:val="009913FA"/>
    <w:rsid w:val="0099144B"/>
    <w:rsid w:val="00991472"/>
    <w:rsid w:val="00991476"/>
    <w:rsid w:val="009915BB"/>
    <w:rsid w:val="00991646"/>
    <w:rsid w:val="009916BC"/>
    <w:rsid w:val="009916F9"/>
    <w:rsid w:val="009917FF"/>
    <w:rsid w:val="009918D7"/>
    <w:rsid w:val="009918FB"/>
    <w:rsid w:val="00991A5A"/>
    <w:rsid w:val="00991A7B"/>
    <w:rsid w:val="00991A81"/>
    <w:rsid w:val="00991A89"/>
    <w:rsid w:val="00991ADA"/>
    <w:rsid w:val="00991AFC"/>
    <w:rsid w:val="00991BCB"/>
    <w:rsid w:val="00991CC2"/>
    <w:rsid w:val="00991E04"/>
    <w:rsid w:val="00991E64"/>
    <w:rsid w:val="0099205D"/>
    <w:rsid w:val="00992065"/>
    <w:rsid w:val="0099210A"/>
    <w:rsid w:val="00992116"/>
    <w:rsid w:val="00992426"/>
    <w:rsid w:val="009924F8"/>
    <w:rsid w:val="009925CC"/>
    <w:rsid w:val="009925E4"/>
    <w:rsid w:val="009926E5"/>
    <w:rsid w:val="00992766"/>
    <w:rsid w:val="0099298E"/>
    <w:rsid w:val="00992A59"/>
    <w:rsid w:val="00992A94"/>
    <w:rsid w:val="00992A9A"/>
    <w:rsid w:val="00992ACE"/>
    <w:rsid w:val="00992AD0"/>
    <w:rsid w:val="00992B87"/>
    <w:rsid w:val="00992C61"/>
    <w:rsid w:val="00992CB7"/>
    <w:rsid w:val="00992F14"/>
    <w:rsid w:val="00992F7C"/>
    <w:rsid w:val="0099300E"/>
    <w:rsid w:val="00993030"/>
    <w:rsid w:val="0099303B"/>
    <w:rsid w:val="00993094"/>
    <w:rsid w:val="009930E8"/>
    <w:rsid w:val="0099317A"/>
    <w:rsid w:val="0099320E"/>
    <w:rsid w:val="009932CD"/>
    <w:rsid w:val="0099349D"/>
    <w:rsid w:val="009934CB"/>
    <w:rsid w:val="0099351F"/>
    <w:rsid w:val="009935AC"/>
    <w:rsid w:val="00993621"/>
    <w:rsid w:val="0099364A"/>
    <w:rsid w:val="00993779"/>
    <w:rsid w:val="00993865"/>
    <w:rsid w:val="00993960"/>
    <w:rsid w:val="00993B88"/>
    <w:rsid w:val="00993BB9"/>
    <w:rsid w:val="00993D36"/>
    <w:rsid w:val="00993FC1"/>
    <w:rsid w:val="0099417B"/>
    <w:rsid w:val="0099417E"/>
    <w:rsid w:val="00994309"/>
    <w:rsid w:val="00994443"/>
    <w:rsid w:val="009944E6"/>
    <w:rsid w:val="0099452E"/>
    <w:rsid w:val="00994579"/>
    <w:rsid w:val="009945D6"/>
    <w:rsid w:val="0099463D"/>
    <w:rsid w:val="0099466E"/>
    <w:rsid w:val="0099474C"/>
    <w:rsid w:val="009947C1"/>
    <w:rsid w:val="00994885"/>
    <w:rsid w:val="009948A1"/>
    <w:rsid w:val="009948BE"/>
    <w:rsid w:val="0099492B"/>
    <w:rsid w:val="00994991"/>
    <w:rsid w:val="00994B57"/>
    <w:rsid w:val="00994B97"/>
    <w:rsid w:val="00994BF5"/>
    <w:rsid w:val="00994C81"/>
    <w:rsid w:val="00994EAE"/>
    <w:rsid w:val="00994EE5"/>
    <w:rsid w:val="00994EFC"/>
    <w:rsid w:val="00994FCF"/>
    <w:rsid w:val="009951A3"/>
    <w:rsid w:val="00995261"/>
    <w:rsid w:val="009952ED"/>
    <w:rsid w:val="00995316"/>
    <w:rsid w:val="00995326"/>
    <w:rsid w:val="00995341"/>
    <w:rsid w:val="0099534E"/>
    <w:rsid w:val="009953E2"/>
    <w:rsid w:val="009953F3"/>
    <w:rsid w:val="0099559F"/>
    <w:rsid w:val="009955AC"/>
    <w:rsid w:val="0099568B"/>
    <w:rsid w:val="009956A7"/>
    <w:rsid w:val="00995756"/>
    <w:rsid w:val="009957FC"/>
    <w:rsid w:val="0099594B"/>
    <w:rsid w:val="00995B23"/>
    <w:rsid w:val="00995B45"/>
    <w:rsid w:val="00995B48"/>
    <w:rsid w:val="00995B64"/>
    <w:rsid w:val="00995B8A"/>
    <w:rsid w:val="00995BA1"/>
    <w:rsid w:val="00995C21"/>
    <w:rsid w:val="00995C70"/>
    <w:rsid w:val="00995CB8"/>
    <w:rsid w:val="00995CEC"/>
    <w:rsid w:val="00995D51"/>
    <w:rsid w:val="00995E0A"/>
    <w:rsid w:val="00995EC3"/>
    <w:rsid w:val="00995F3A"/>
    <w:rsid w:val="00995F62"/>
    <w:rsid w:val="00995FF8"/>
    <w:rsid w:val="00996130"/>
    <w:rsid w:val="00996168"/>
    <w:rsid w:val="00996200"/>
    <w:rsid w:val="0099623A"/>
    <w:rsid w:val="009962FF"/>
    <w:rsid w:val="00996380"/>
    <w:rsid w:val="00996443"/>
    <w:rsid w:val="00996493"/>
    <w:rsid w:val="00996501"/>
    <w:rsid w:val="0099660F"/>
    <w:rsid w:val="0099662F"/>
    <w:rsid w:val="0099671C"/>
    <w:rsid w:val="009967FB"/>
    <w:rsid w:val="00996A7C"/>
    <w:rsid w:val="00996C00"/>
    <w:rsid w:val="00996C39"/>
    <w:rsid w:val="00996C46"/>
    <w:rsid w:val="00996C65"/>
    <w:rsid w:val="00996CD1"/>
    <w:rsid w:val="00996D79"/>
    <w:rsid w:val="00996DB4"/>
    <w:rsid w:val="00996EA1"/>
    <w:rsid w:val="00996EF1"/>
    <w:rsid w:val="00996F6C"/>
    <w:rsid w:val="00996FD5"/>
    <w:rsid w:val="0099713F"/>
    <w:rsid w:val="0099714A"/>
    <w:rsid w:val="00997186"/>
    <w:rsid w:val="009971E7"/>
    <w:rsid w:val="00997282"/>
    <w:rsid w:val="0099728F"/>
    <w:rsid w:val="009972AB"/>
    <w:rsid w:val="009972DE"/>
    <w:rsid w:val="00997367"/>
    <w:rsid w:val="00997381"/>
    <w:rsid w:val="0099738E"/>
    <w:rsid w:val="00997407"/>
    <w:rsid w:val="00997494"/>
    <w:rsid w:val="009977A9"/>
    <w:rsid w:val="00997A7A"/>
    <w:rsid w:val="00997D94"/>
    <w:rsid w:val="00997F77"/>
    <w:rsid w:val="00997FAA"/>
    <w:rsid w:val="00997FD9"/>
    <w:rsid w:val="009A0034"/>
    <w:rsid w:val="009A01F8"/>
    <w:rsid w:val="009A0215"/>
    <w:rsid w:val="009A0298"/>
    <w:rsid w:val="009A0497"/>
    <w:rsid w:val="009A049E"/>
    <w:rsid w:val="009A04A6"/>
    <w:rsid w:val="009A0695"/>
    <w:rsid w:val="009A081B"/>
    <w:rsid w:val="009A0825"/>
    <w:rsid w:val="009A0939"/>
    <w:rsid w:val="009A0B25"/>
    <w:rsid w:val="009A0BBD"/>
    <w:rsid w:val="009A0BE2"/>
    <w:rsid w:val="009A0BEC"/>
    <w:rsid w:val="009A0C81"/>
    <w:rsid w:val="009A0D00"/>
    <w:rsid w:val="009A0D0E"/>
    <w:rsid w:val="009A0D65"/>
    <w:rsid w:val="009A0F31"/>
    <w:rsid w:val="009A0F8D"/>
    <w:rsid w:val="009A1020"/>
    <w:rsid w:val="009A10FF"/>
    <w:rsid w:val="009A110F"/>
    <w:rsid w:val="009A11A8"/>
    <w:rsid w:val="009A11D8"/>
    <w:rsid w:val="009A1225"/>
    <w:rsid w:val="009A13EF"/>
    <w:rsid w:val="009A1512"/>
    <w:rsid w:val="009A15AE"/>
    <w:rsid w:val="009A15F1"/>
    <w:rsid w:val="009A1602"/>
    <w:rsid w:val="009A178D"/>
    <w:rsid w:val="009A18D5"/>
    <w:rsid w:val="009A19B1"/>
    <w:rsid w:val="009A1A2E"/>
    <w:rsid w:val="009A1ABA"/>
    <w:rsid w:val="009A1AF8"/>
    <w:rsid w:val="009A1B64"/>
    <w:rsid w:val="009A1B82"/>
    <w:rsid w:val="009A1C5C"/>
    <w:rsid w:val="009A1E37"/>
    <w:rsid w:val="009A210A"/>
    <w:rsid w:val="009A2147"/>
    <w:rsid w:val="009A220C"/>
    <w:rsid w:val="009A22B2"/>
    <w:rsid w:val="009A2389"/>
    <w:rsid w:val="009A2421"/>
    <w:rsid w:val="009A25A9"/>
    <w:rsid w:val="009A266D"/>
    <w:rsid w:val="009A2729"/>
    <w:rsid w:val="009A28B5"/>
    <w:rsid w:val="009A291E"/>
    <w:rsid w:val="009A293C"/>
    <w:rsid w:val="009A2AB4"/>
    <w:rsid w:val="009A2CA6"/>
    <w:rsid w:val="009A2DF8"/>
    <w:rsid w:val="009A2E07"/>
    <w:rsid w:val="009A2E6E"/>
    <w:rsid w:val="009A2EE5"/>
    <w:rsid w:val="009A2F34"/>
    <w:rsid w:val="009A3026"/>
    <w:rsid w:val="009A310E"/>
    <w:rsid w:val="009A31ED"/>
    <w:rsid w:val="009A3320"/>
    <w:rsid w:val="009A3381"/>
    <w:rsid w:val="009A34E0"/>
    <w:rsid w:val="009A34EC"/>
    <w:rsid w:val="009A3504"/>
    <w:rsid w:val="009A3505"/>
    <w:rsid w:val="009A3516"/>
    <w:rsid w:val="009A352E"/>
    <w:rsid w:val="009A3554"/>
    <w:rsid w:val="009A355B"/>
    <w:rsid w:val="009A3596"/>
    <w:rsid w:val="009A35CE"/>
    <w:rsid w:val="009A364C"/>
    <w:rsid w:val="009A36FC"/>
    <w:rsid w:val="009A37EB"/>
    <w:rsid w:val="009A3813"/>
    <w:rsid w:val="009A3B32"/>
    <w:rsid w:val="009A3B4F"/>
    <w:rsid w:val="009A3CC3"/>
    <w:rsid w:val="009A3DF2"/>
    <w:rsid w:val="009A3F53"/>
    <w:rsid w:val="009A3FD0"/>
    <w:rsid w:val="009A4036"/>
    <w:rsid w:val="009A404F"/>
    <w:rsid w:val="009A40A5"/>
    <w:rsid w:val="009A4133"/>
    <w:rsid w:val="009A428C"/>
    <w:rsid w:val="009A45C2"/>
    <w:rsid w:val="009A45E5"/>
    <w:rsid w:val="009A460B"/>
    <w:rsid w:val="009A46E3"/>
    <w:rsid w:val="009A471E"/>
    <w:rsid w:val="009A485B"/>
    <w:rsid w:val="009A499E"/>
    <w:rsid w:val="009A49BA"/>
    <w:rsid w:val="009A49CC"/>
    <w:rsid w:val="009A4A5E"/>
    <w:rsid w:val="009A4AC2"/>
    <w:rsid w:val="009A4B9C"/>
    <w:rsid w:val="009A4BDA"/>
    <w:rsid w:val="009A4CDC"/>
    <w:rsid w:val="009A4F4D"/>
    <w:rsid w:val="009A4F8D"/>
    <w:rsid w:val="009A5131"/>
    <w:rsid w:val="009A517A"/>
    <w:rsid w:val="009A518C"/>
    <w:rsid w:val="009A53D2"/>
    <w:rsid w:val="009A5455"/>
    <w:rsid w:val="009A54C4"/>
    <w:rsid w:val="009A550E"/>
    <w:rsid w:val="009A5552"/>
    <w:rsid w:val="009A55A9"/>
    <w:rsid w:val="009A5641"/>
    <w:rsid w:val="009A567D"/>
    <w:rsid w:val="009A591F"/>
    <w:rsid w:val="009A59C4"/>
    <w:rsid w:val="009A59D3"/>
    <w:rsid w:val="009A59EA"/>
    <w:rsid w:val="009A5B58"/>
    <w:rsid w:val="009A5CF7"/>
    <w:rsid w:val="009A5D00"/>
    <w:rsid w:val="009A5D16"/>
    <w:rsid w:val="009A5D82"/>
    <w:rsid w:val="009A5F9E"/>
    <w:rsid w:val="009A5FE7"/>
    <w:rsid w:val="009A60CA"/>
    <w:rsid w:val="009A6174"/>
    <w:rsid w:val="009A627C"/>
    <w:rsid w:val="009A62A9"/>
    <w:rsid w:val="009A631F"/>
    <w:rsid w:val="009A6354"/>
    <w:rsid w:val="009A636A"/>
    <w:rsid w:val="009A63B4"/>
    <w:rsid w:val="009A66CE"/>
    <w:rsid w:val="009A66FB"/>
    <w:rsid w:val="009A6749"/>
    <w:rsid w:val="009A6A42"/>
    <w:rsid w:val="009A6A6A"/>
    <w:rsid w:val="009A6A88"/>
    <w:rsid w:val="009A6AB5"/>
    <w:rsid w:val="009A6C6C"/>
    <w:rsid w:val="009A6E05"/>
    <w:rsid w:val="009A6E51"/>
    <w:rsid w:val="009A6EE3"/>
    <w:rsid w:val="009A722F"/>
    <w:rsid w:val="009A726C"/>
    <w:rsid w:val="009A73F2"/>
    <w:rsid w:val="009A73F3"/>
    <w:rsid w:val="009A74E6"/>
    <w:rsid w:val="009A7583"/>
    <w:rsid w:val="009A766F"/>
    <w:rsid w:val="009A769F"/>
    <w:rsid w:val="009A76C6"/>
    <w:rsid w:val="009A78F1"/>
    <w:rsid w:val="009A794F"/>
    <w:rsid w:val="009A79ED"/>
    <w:rsid w:val="009A7A45"/>
    <w:rsid w:val="009A7B6C"/>
    <w:rsid w:val="009A7C33"/>
    <w:rsid w:val="009A7D72"/>
    <w:rsid w:val="009A7E12"/>
    <w:rsid w:val="009A7E15"/>
    <w:rsid w:val="009A7EDC"/>
    <w:rsid w:val="009B0004"/>
    <w:rsid w:val="009B002F"/>
    <w:rsid w:val="009B0032"/>
    <w:rsid w:val="009B00D0"/>
    <w:rsid w:val="009B0108"/>
    <w:rsid w:val="009B0195"/>
    <w:rsid w:val="009B0215"/>
    <w:rsid w:val="009B027A"/>
    <w:rsid w:val="009B0298"/>
    <w:rsid w:val="009B02BB"/>
    <w:rsid w:val="009B038F"/>
    <w:rsid w:val="009B03C2"/>
    <w:rsid w:val="009B05A0"/>
    <w:rsid w:val="009B05A6"/>
    <w:rsid w:val="009B062F"/>
    <w:rsid w:val="009B07CE"/>
    <w:rsid w:val="009B07FE"/>
    <w:rsid w:val="009B086C"/>
    <w:rsid w:val="009B08BF"/>
    <w:rsid w:val="009B09DC"/>
    <w:rsid w:val="009B0A41"/>
    <w:rsid w:val="009B0C8D"/>
    <w:rsid w:val="009B0E1A"/>
    <w:rsid w:val="009B0EC9"/>
    <w:rsid w:val="009B1056"/>
    <w:rsid w:val="009B1085"/>
    <w:rsid w:val="009B111B"/>
    <w:rsid w:val="009B111E"/>
    <w:rsid w:val="009B1131"/>
    <w:rsid w:val="009B11BD"/>
    <w:rsid w:val="009B11FC"/>
    <w:rsid w:val="009B1279"/>
    <w:rsid w:val="009B13B2"/>
    <w:rsid w:val="009B13C6"/>
    <w:rsid w:val="009B15CA"/>
    <w:rsid w:val="009B16D4"/>
    <w:rsid w:val="009B18EC"/>
    <w:rsid w:val="009B1941"/>
    <w:rsid w:val="009B1969"/>
    <w:rsid w:val="009B1AA5"/>
    <w:rsid w:val="009B1ADC"/>
    <w:rsid w:val="009B1BD4"/>
    <w:rsid w:val="009B1C11"/>
    <w:rsid w:val="009B1CD2"/>
    <w:rsid w:val="009B1E46"/>
    <w:rsid w:val="009B1F09"/>
    <w:rsid w:val="009B1FAD"/>
    <w:rsid w:val="009B203C"/>
    <w:rsid w:val="009B2248"/>
    <w:rsid w:val="009B22FF"/>
    <w:rsid w:val="009B234A"/>
    <w:rsid w:val="009B23B5"/>
    <w:rsid w:val="009B2468"/>
    <w:rsid w:val="009B2517"/>
    <w:rsid w:val="009B25CE"/>
    <w:rsid w:val="009B25D5"/>
    <w:rsid w:val="009B263D"/>
    <w:rsid w:val="009B2669"/>
    <w:rsid w:val="009B28A9"/>
    <w:rsid w:val="009B299C"/>
    <w:rsid w:val="009B2A24"/>
    <w:rsid w:val="009B2A9E"/>
    <w:rsid w:val="009B2F00"/>
    <w:rsid w:val="009B30C3"/>
    <w:rsid w:val="009B32A5"/>
    <w:rsid w:val="009B32B7"/>
    <w:rsid w:val="009B3355"/>
    <w:rsid w:val="009B335F"/>
    <w:rsid w:val="009B36D0"/>
    <w:rsid w:val="009B36EF"/>
    <w:rsid w:val="009B36F4"/>
    <w:rsid w:val="009B384E"/>
    <w:rsid w:val="009B38B8"/>
    <w:rsid w:val="009B38E6"/>
    <w:rsid w:val="009B3967"/>
    <w:rsid w:val="009B3B33"/>
    <w:rsid w:val="009B3B5B"/>
    <w:rsid w:val="009B3B60"/>
    <w:rsid w:val="009B3C8C"/>
    <w:rsid w:val="009B3CBD"/>
    <w:rsid w:val="009B3F15"/>
    <w:rsid w:val="009B3FBB"/>
    <w:rsid w:val="009B40E2"/>
    <w:rsid w:val="009B4166"/>
    <w:rsid w:val="009B4173"/>
    <w:rsid w:val="009B425A"/>
    <w:rsid w:val="009B439B"/>
    <w:rsid w:val="009B43E0"/>
    <w:rsid w:val="009B43E4"/>
    <w:rsid w:val="009B454C"/>
    <w:rsid w:val="009B4560"/>
    <w:rsid w:val="009B45F6"/>
    <w:rsid w:val="009B4617"/>
    <w:rsid w:val="009B46D2"/>
    <w:rsid w:val="009B4705"/>
    <w:rsid w:val="009B4723"/>
    <w:rsid w:val="009B4768"/>
    <w:rsid w:val="009B4779"/>
    <w:rsid w:val="009B4905"/>
    <w:rsid w:val="009B4970"/>
    <w:rsid w:val="009B498F"/>
    <w:rsid w:val="009B49E2"/>
    <w:rsid w:val="009B49F4"/>
    <w:rsid w:val="009B4AA7"/>
    <w:rsid w:val="009B4AD7"/>
    <w:rsid w:val="009B4ADE"/>
    <w:rsid w:val="009B4B2F"/>
    <w:rsid w:val="009B4B66"/>
    <w:rsid w:val="009B4BA2"/>
    <w:rsid w:val="009B4BC1"/>
    <w:rsid w:val="009B4CCA"/>
    <w:rsid w:val="009B4D1D"/>
    <w:rsid w:val="009B4DBC"/>
    <w:rsid w:val="009B4DCE"/>
    <w:rsid w:val="009B4E85"/>
    <w:rsid w:val="009B4EE8"/>
    <w:rsid w:val="009B4FD4"/>
    <w:rsid w:val="009B5184"/>
    <w:rsid w:val="009B5257"/>
    <w:rsid w:val="009B52E4"/>
    <w:rsid w:val="009B54AC"/>
    <w:rsid w:val="009B5583"/>
    <w:rsid w:val="009B55F9"/>
    <w:rsid w:val="009B565D"/>
    <w:rsid w:val="009B566E"/>
    <w:rsid w:val="009B56AC"/>
    <w:rsid w:val="009B56E6"/>
    <w:rsid w:val="009B5804"/>
    <w:rsid w:val="009B58A5"/>
    <w:rsid w:val="009B5902"/>
    <w:rsid w:val="009B5966"/>
    <w:rsid w:val="009B59D3"/>
    <w:rsid w:val="009B5A92"/>
    <w:rsid w:val="009B5A95"/>
    <w:rsid w:val="009B5CE5"/>
    <w:rsid w:val="009B5D40"/>
    <w:rsid w:val="009B5D62"/>
    <w:rsid w:val="009B5F0D"/>
    <w:rsid w:val="009B6086"/>
    <w:rsid w:val="009B6091"/>
    <w:rsid w:val="009B6287"/>
    <w:rsid w:val="009B629E"/>
    <w:rsid w:val="009B6318"/>
    <w:rsid w:val="009B63C7"/>
    <w:rsid w:val="009B64A8"/>
    <w:rsid w:val="009B654E"/>
    <w:rsid w:val="009B6676"/>
    <w:rsid w:val="009B6678"/>
    <w:rsid w:val="009B66DB"/>
    <w:rsid w:val="009B69B8"/>
    <w:rsid w:val="009B69F5"/>
    <w:rsid w:val="009B6A53"/>
    <w:rsid w:val="009B6A83"/>
    <w:rsid w:val="009B6C12"/>
    <w:rsid w:val="009B6C1E"/>
    <w:rsid w:val="009B6CBE"/>
    <w:rsid w:val="009B6E01"/>
    <w:rsid w:val="009B6E2A"/>
    <w:rsid w:val="009B6E3E"/>
    <w:rsid w:val="009B6E89"/>
    <w:rsid w:val="009B6F9F"/>
    <w:rsid w:val="009B7037"/>
    <w:rsid w:val="009B70CB"/>
    <w:rsid w:val="009B720C"/>
    <w:rsid w:val="009B722E"/>
    <w:rsid w:val="009B725C"/>
    <w:rsid w:val="009B7345"/>
    <w:rsid w:val="009B7351"/>
    <w:rsid w:val="009B7438"/>
    <w:rsid w:val="009B7554"/>
    <w:rsid w:val="009B758F"/>
    <w:rsid w:val="009B769C"/>
    <w:rsid w:val="009B779A"/>
    <w:rsid w:val="009B77A7"/>
    <w:rsid w:val="009B7819"/>
    <w:rsid w:val="009B79E9"/>
    <w:rsid w:val="009B7A0E"/>
    <w:rsid w:val="009B7A4B"/>
    <w:rsid w:val="009B7A8F"/>
    <w:rsid w:val="009B7A92"/>
    <w:rsid w:val="009B7BAA"/>
    <w:rsid w:val="009B7C08"/>
    <w:rsid w:val="009B7C82"/>
    <w:rsid w:val="009B7CD2"/>
    <w:rsid w:val="009B7D7A"/>
    <w:rsid w:val="009B7E12"/>
    <w:rsid w:val="009B7E9E"/>
    <w:rsid w:val="009B7EE5"/>
    <w:rsid w:val="009C0116"/>
    <w:rsid w:val="009C0155"/>
    <w:rsid w:val="009C015C"/>
    <w:rsid w:val="009C0167"/>
    <w:rsid w:val="009C0347"/>
    <w:rsid w:val="009C0492"/>
    <w:rsid w:val="009C04D9"/>
    <w:rsid w:val="009C05B9"/>
    <w:rsid w:val="009C05DA"/>
    <w:rsid w:val="009C0691"/>
    <w:rsid w:val="009C071A"/>
    <w:rsid w:val="009C07FE"/>
    <w:rsid w:val="009C084F"/>
    <w:rsid w:val="009C0893"/>
    <w:rsid w:val="009C097C"/>
    <w:rsid w:val="009C0A14"/>
    <w:rsid w:val="009C0A54"/>
    <w:rsid w:val="009C0BAF"/>
    <w:rsid w:val="009C0C20"/>
    <w:rsid w:val="009C0C8E"/>
    <w:rsid w:val="009C0CC9"/>
    <w:rsid w:val="009C0D89"/>
    <w:rsid w:val="009C0E5E"/>
    <w:rsid w:val="009C0EE4"/>
    <w:rsid w:val="009C11B4"/>
    <w:rsid w:val="009C11FC"/>
    <w:rsid w:val="009C1275"/>
    <w:rsid w:val="009C12B9"/>
    <w:rsid w:val="009C1311"/>
    <w:rsid w:val="009C133A"/>
    <w:rsid w:val="009C141A"/>
    <w:rsid w:val="009C1442"/>
    <w:rsid w:val="009C152E"/>
    <w:rsid w:val="009C15AE"/>
    <w:rsid w:val="009C16A2"/>
    <w:rsid w:val="009C18FE"/>
    <w:rsid w:val="009C19BA"/>
    <w:rsid w:val="009C1A20"/>
    <w:rsid w:val="009C1A79"/>
    <w:rsid w:val="009C1B2D"/>
    <w:rsid w:val="009C1BC8"/>
    <w:rsid w:val="009C1D1A"/>
    <w:rsid w:val="009C1D3C"/>
    <w:rsid w:val="009C1D43"/>
    <w:rsid w:val="009C1EBA"/>
    <w:rsid w:val="009C2012"/>
    <w:rsid w:val="009C2021"/>
    <w:rsid w:val="009C202E"/>
    <w:rsid w:val="009C219C"/>
    <w:rsid w:val="009C225D"/>
    <w:rsid w:val="009C22DA"/>
    <w:rsid w:val="009C2386"/>
    <w:rsid w:val="009C23E6"/>
    <w:rsid w:val="009C25DB"/>
    <w:rsid w:val="009C269D"/>
    <w:rsid w:val="009C26BD"/>
    <w:rsid w:val="009C2858"/>
    <w:rsid w:val="009C2C02"/>
    <w:rsid w:val="009C2E40"/>
    <w:rsid w:val="009C2E9C"/>
    <w:rsid w:val="009C2EB8"/>
    <w:rsid w:val="009C2EBE"/>
    <w:rsid w:val="009C2F2F"/>
    <w:rsid w:val="009C3445"/>
    <w:rsid w:val="009C34BB"/>
    <w:rsid w:val="009C34CE"/>
    <w:rsid w:val="009C3552"/>
    <w:rsid w:val="009C35F9"/>
    <w:rsid w:val="009C367B"/>
    <w:rsid w:val="009C396C"/>
    <w:rsid w:val="009C3A2D"/>
    <w:rsid w:val="009C3BBD"/>
    <w:rsid w:val="009C3C3C"/>
    <w:rsid w:val="009C3CA2"/>
    <w:rsid w:val="009C3CC0"/>
    <w:rsid w:val="009C3D71"/>
    <w:rsid w:val="009C3DD3"/>
    <w:rsid w:val="009C3EFD"/>
    <w:rsid w:val="009C3F01"/>
    <w:rsid w:val="009C3F2D"/>
    <w:rsid w:val="009C3FB5"/>
    <w:rsid w:val="009C3FC3"/>
    <w:rsid w:val="009C3FDD"/>
    <w:rsid w:val="009C409B"/>
    <w:rsid w:val="009C411D"/>
    <w:rsid w:val="009C42B0"/>
    <w:rsid w:val="009C42E7"/>
    <w:rsid w:val="009C432E"/>
    <w:rsid w:val="009C4346"/>
    <w:rsid w:val="009C441D"/>
    <w:rsid w:val="009C4576"/>
    <w:rsid w:val="009C4606"/>
    <w:rsid w:val="009C4914"/>
    <w:rsid w:val="009C49EE"/>
    <w:rsid w:val="009C4A5A"/>
    <w:rsid w:val="009C4B41"/>
    <w:rsid w:val="009C4BB9"/>
    <w:rsid w:val="009C4C90"/>
    <w:rsid w:val="009C4D0D"/>
    <w:rsid w:val="009C503D"/>
    <w:rsid w:val="009C5052"/>
    <w:rsid w:val="009C50F6"/>
    <w:rsid w:val="009C5101"/>
    <w:rsid w:val="009C5269"/>
    <w:rsid w:val="009C52E4"/>
    <w:rsid w:val="009C52EE"/>
    <w:rsid w:val="009C53BC"/>
    <w:rsid w:val="009C53E4"/>
    <w:rsid w:val="009C5457"/>
    <w:rsid w:val="009C5489"/>
    <w:rsid w:val="009C5899"/>
    <w:rsid w:val="009C5934"/>
    <w:rsid w:val="009C5AF4"/>
    <w:rsid w:val="009C5B0F"/>
    <w:rsid w:val="009C5B36"/>
    <w:rsid w:val="009C5D30"/>
    <w:rsid w:val="009C5D3D"/>
    <w:rsid w:val="009C5D93"/>
    <w:rsid w:val="009C5DD1"/>
    <w:rsid w:val="009C5E2F"/>
    <w:rsid w:val="009C5ED8"/>
    <w:rsid w:val="009C5F48"/>
    <w:rsid w:val="009C60FF"/>
    <w:rsid w:val="009C6129"/>
    <w:rsid w:val="009C613B"/>
    <w:rsid w:val="009C6189"/>
    <w:rsid w:val="009C6387"/>
    <w:rsid w:val="009C63C1"/>
    <w:rsid w:val="009C63DF"/>
    <w:rsid w:val="009C64A6"/>
    <w:rsid w:val="009C65FA"/>
    <w:rsid w:val="009C660A"/>
    <w:rsid w:val="009C662C"/>
    <w:rsid w:val="009C6652"/>
    <w:rsid w:val="009C66A2"/>
    <w:rsid w:val="009C66A5"/>
    <w:rsid w:val="009C66BB"/>
    <w:rsid w:val="009C67FE"/>
    <w:rsid w:val="009C6979"/>
    <w:rsid w:val="009C6982"/>
    <w:rsid w:val="009C6983"/>
    <w:rsid w:val="009C6989"/>
    <w:rsid w:val="009C6A3D"/>
    <w:rsid w:val="009C6A87"/>
    <w:rsid w:val="009C6AD6"/>
    <w:rsid w:val="009C6B2A"/>
    <w:rsid w:val="009C6B5F"/>
    <w:rsid w:val="009C6D86"/>
    <w:rsid w:val="009C6E6B"/>
    <w:rsid w:val="009C6EB0"/>
    <w:rsid w:val="009C7055"/>
    <w:rsid w:val="009C709C"/>
    <w:rsid w:val="009C70B8"/>
    <w:rsid w:val="009C7131"/>
    <w:rsid w:val="009C7158"/>
    <w:rsid w:val="009C71D9"/>
    <w:rsid w:val="009C725E"/>
    <w:rsid w:val="009C726B"/>
    <w:rsid w:val="009C72D3"/>
    <w:rsid w:val="009C72E2"/>
    <w:rsid w:val="009C74BA"/>
    <w:rsid w:val="009C74DE"/>
    <w:rsid w:val="009C7503"/>
    <w:rsid w:val="009C7578"/>
    <w:rsid w:val="009C758B"/>
    <w:rsid w:val="009C76B6"/>
    <w:rsid w:val="009C7747"/>
    <w:rsid w:val="009C77F3"/>
    <w:rsid w:val="009C78CA"/>
    <w:rsid w:val="009C7AF2"/>
    <w:rsid w:val="009C7B29"/>
    <w:rsid w:val="009C7B5B"/>
    <w:rsid w:val="009C7B91"/>
    <w:rsid w:val="009C7BB3"/>
    <w:rsid w:val="009D004D"/>
    <w:rsid w:val="009D006D"/>
    <w:rsid w:val="009D012F"/>
    <w:rsid w:val="009D0246"/>
    <w:rsid w:val="009D02A6"/>
    <w:rsid w:val="009D03A5"/>
    <w:rsid w:val="009D0413"/>
    <w:rsid w:val="009D0498"/>
    <w:rsid w:val="009D0559"/>
    <w:rsid w:val="009D0637"/>
    <w:rsid w:val="009D0705"/>
    <w:rsid w:val="009D070E"/>
    <w:rsid w:val="009D078D"/>
    <w:rsid w:val="009D07D9"/>
    <w:rsid w:val="009D0854"/>
    <w:rsid w:val="009D087D"/>
    <w:rsid w:val="009D092C"/>
    <w:rsid w:val="009D093D"/>
    <w:rsid w:val="009D094B"/>
    <w:rsid w:val="009D0A26"/>
    <w:rsid w:val="009D0B5A"/>
    <w:rsid w:val="009D0CE4"/>
    <w:rsid w:val="009D0D22"/>
    <w:rsid w:val="009D1015"/>
    <w:rsid w:val="009D1176"/>
    <w:rsid w:val="009D11F7"/>
    <w:rsid w:val="009D132B"/>
    <w:rsid w:val="009D14D6"/>
    <w:rsid w:val="009D1777"/>
    <w:rsid w:val="009D1793"/>
    <w:rsid w:val="009D17FD"/>
    <w:rsid w:val="009D18BE"/>
    <w:rsid w:val="009D18C5"/>
    <w:rsid w:val="009D1A5B"/>
    <w:rsid w:val="009D1AA8"/>
    <w:rsid w:val="009D1ABC"/>
    <w:rsid w:val="009D1BBE"/>
    <w:rsid w:val="009D1BCE"/>
    <w:rsid w:val="009D1C5E"/>
    <w:rsid w:val="009D1F27"/>
    <w:rsid w:val="009D1FD1"/>
    <w:rsid w:val="009D20D0"/>
    <w:rsid w:val="009D216F"/>
    <w:rsid w:val="009D217C"/>
    <w:rsid w:val="009D2191"/>
    <w:rsid w:val="009D21F7"/>
    <w:rsid w:val="009D23C0"/>
    <w:rsid w:val="009D23E5"/>
    <w:rsid w:val="009D2646"/>
    <w:rsid w:val="009D2674"/>
    <w:rsid w:val="009D2749"/>
    <w:rsid w:val="009D27A5"/>
    <w:rsid w:val="009D28A1"/>
    <w:rsid w:val="009D28A9"/>
    <w:rsid w:val="009D28DA"/>
    <w:rsid w:val="009D2A35"/>
    <w:rsid w:val="009D2A47"/>
    <w:rsid w:val="009D2A6D"/>
    <w:rsid w:val="009D2A95"/>
    <w:rsid w:val="009D2ADF"/>
    <w:rsid w:val="009D2AF3"/>
    <w:rsid w:val="009D2C25"/>
    <w:rsid w:val="009D2C26"/>
    <w:rsid w:val="009D2C42"/>
    <w:rsid w:val="009D2C5F"/>
    <w:rsid w:val="009D2EF1"/>
    <w:rsid w:val="009D2FB6"/>
    <w:rsid w:val="009D2FC4"/>
    <w:rsid w:val="009D2FD6"/>
    <w:rsid w:val="009D3002"/>
    <w:rsid w:val="009D3011"/>
    <w:rsid w:val="009D30F7"/>
    <w:rsid w:val="009D315A"/>
    <w:rsid w:val="009D32E6"/>
    <w:rsid w:val="009D331F"/>
    <w:rsid w:val="009D34C3"/>
    <w:rsid w:val="009D3543"/>
    <w:rsid w:val="009D3656"/>
    <w:rsid w:val="009D369B"/>
    <w:rsid w:val="009D36B3"/>
    <w:rsid w:val="009D3705"/>
    <w:rsid w:val="009D3837"/>
    <w:rsid w:val="009D3A49"/>
    <w:rsid w:val="009D3CB4"/>
    <w:rsid w:val="009D3DC8"/>
    <w:rsid w:val="009D3F42"/>
    <w:rsid w:val="009D3F5D"/>
    <w:rsid w:val="009D4020"/>
    <w:rsid w:val="009D405A"/>
    <w:rsid w:val="009D4069"/>
    <w:rsid w:val="009D40BF"/>
    <w:rsid w:val="009D40ED"/>
    <w:rsid w:val="009D40F5"/>
    <w:rsid w:val="009D40FB"/>
    <w:rsid w:val="009D4138"/>
    <w:rsid w:val="009D42F0"/>
    <w:rsid w:val="009D441C"/>
    <w:rsid w:val="009D4499"/>
    <w:rsid w:val="009D44EB"/>
    <w:rsid w:val="009D471C"/>
    <w:rsid w:val="009D4758"/>
    <w:rsid w:val="009D495C"/>
    <w:rsid w:val="009D49AE"/>
    <w:rsid w:val="009D49C4"/>
    <w:rsid w:val="009D4A40"/>
    <w:rsid w:val="009D4A5C"/>
    <w:rsid w:val="009D4C7F"/>
    <w:rsid w:val="009D4C88"/>
    <w:rsid w:val="009D4D16"/>
    <w:rsid w:val="009D4D58"/>
    <w:rsid w:val="009D4F70"/>
    <w:rsid w:val="009D4FB1"/>
    <w:rsid w:val="009D4FEB"/>
    <w:rsid w:val="009D5037"/>
    <w:rsid w:val="009D5055"/>
    <w:rsid w:val="009D50D1"/>
    <w:rsid w:val="009D518D"/>
    <w:rsid w:val="009D52A6"/>
    <w:rsid w:val="009D5392"/>
    <w:rsid w:val="009D549F"/>
    <w:rsid w:val="009D54E5"/>
    <w:rsid w:val="009D55FA"/>
    <w:rsid w:val="009D5628"/>
    <w:rsid w:val="009D5660"/>
    <w:rsid w:val="009D5692"/>
    <w:rsid w:val="009D5828"/>
    <w:rsid w:val="009D5867"/>
    <w:rsid w:val="009D58DF"/>
    <w:rsid w:val="009D5914"/>
    <w:rsid w:val="009D5A05"/>
    <w:rsid w:val="009D5A0F"/>
    <w:rsid w:val="009D5A40"/>
    <w:rsid w:val="009D5BD2"/>
    <w:rsid w:val="009D5E5E"/>
    <w:rsid w:val="009D5E6F"/>
    <w:rsid w:val="009D5EA2"/>
    <w:rsid w:val="009D5EAE"/>
    <w:rsid w:val="009D5F4C"/>
    <w:rsid w:val="009D5F8D"/>
    <w:rsid w:val="009D5FB5"/>
    <w:rsid w:val="009D5FB8"/>
    <w:rsid w:val="009D61C8"/>
    <w:rsid w:val="009D6213"/>
    <w:rsid w:val="009D6281"/>
    <w:rsid w:val="009D62E2"/>
    <w:rsid w:val="009D6343"/>
    <w:rsid w:val="009D647E"/>
    <w:rsid w:val="009D6638"/>
    <w:rsid w:val="009D671A"/>
    <w:rsid w:val="009D674C"/>
    <w:rsid w:val="009D6880"/>
    <w:rsid w:val="009D6936"/>
    <w:rsid w:val="009D6948"/>
    <w:rsid w:val="009D6997"/>
    <w:rsid w:val="009D69B8"/>
    <w:rsid w:val="009D69EF"/>
    <w:rsid w:val="009D6B6B"/>
    <w:rsid w:val="009D6C03"/>
    <w:rsid w:val="009D6CB9"/>
    <w:rsid w:val="009D6DD6"/>
    <w:rsid w:val="009D6F98"/>
    <w:rsid w:val="009D7056"/>
    <w:rsid w:val="009D706B"/>
    <w:rsid w:val="009D71B5"/>
    <w:rsid w:val="009D724D"/>
    <w:rsid w:val="009D7304"/>
    <w:rsid w:val="009D7370"/>
    <w:rsid w:val="009D754F"/>
    <w:rsid w:val="009D7560"/>
    <w:rsid w:val="009D75E7"/>
    <w:rsid w:val="009D762C"/>
    <w:rsid w:val="009D7665"/>
    <w:rsid w:val="009D7785"/>
    <w:rsid w:val="009D77B9"/>
    <w:rsid w:val="009D7862"/>
    <w:rsid w:val="009D78EA"/>
    <w:rsid w:val="009D79C9"/>
    <w:rsid w:val="009D79D5"/>
    <w:rsid w:val="009D7B4A"/>
    <w:rsid w:val="009D7BA3"/>
    <w:rsid w:val="009D7BF4"/>
    <w:rsid w:val="009D7C12"/>
    <w:rsid w:val="009D7C2D"/>
    <w:rsid w:val="009D7DF7"/>
    <w:rsid w:val="009D7E09"/>
    <w:rsid w:val="009D7E88"/>
    <w:rsid w:val="009D7EF9"/>
    <w:rsid w:val="009D7FB3"/>
    <w:rsid w:val="009E0043"/>
    <w:rsid w:val="009E0184"/>
    <w:rsid w:val="009E01C5"/>
    <w:rsid w:val="009E01E7"/>
    <w:rsid w:val="009E022C"/>
    <w:rsid w:val="009E023C"/>
    <w:rsid w:val="009E0256"/>
    <w:rsid w:val="009E02BA"/>
    <w:rsid w:val="009E033D"/>
    <w:rsid w:val="009E0345"/>
    <w:rsid w:val="009E03EC"/>
    <w:rsid w:val="009E0456"/>
    <w:rsid w:val="009E04F1"/>
    <w:rsid w:val="009E056B"/>
    <w:rsid w:val="009E05F8"/>
    <w:rsid w:val="009E065F"/>
    <w:rsid w:val="009E080E"/>
    <w:rsid w:val="009E08E8"/>
    <w:rsid w:val="009E08EC"/>
    <w:rsid w:val="009E095E"/>
    <w:rsid w:val="009E09F2"/>
    <w:rsid w:val="009E0AF1"/>
    <w:rsid w:val="009E0B1C"/>
    <w:rsid w:val="009E0F24"/>
    <w:rsid w:val="009E0F40"/>
    <w:rsid w:val="009E0FB9"/>
    <w:rsid w:val="009E0FFF"/>
    <w:rsid w:val="009E10D8"/>
    <w:rsid w:val="009E115B"/>
    <w:rsid w:val="009E1207"/>
    <w:rsid w:val="009E1219"/>
    <w:rsid w:val="009E12D4"/>
    <w:rsid w:val="009E12FC"/>
    <w:rsid w:val="009E1391"/>
    <w:rsid w:val="009E14A2"/>
    <w:rsid w:val="009E152B"/>
    <w:rsid w:val="009E15A0"/>
    <w:rsid w:val="009E1642"/>
    <w:rsid w:val="009E1657"/>
    <w:rsid w:val="009E16C1"/>
    <w:rsid w:val="009E1739"/>
    <w:rsid w:val="009E1790"/>
    <w:rsid w:val="009E17E9"/>
    <w:rsid w:val="009E18A0"/>
    <w:rsid w:val="009E18F8"/>
    <w:rsid w:val="009E1902"/>
    <w:rsid w:val="009E1AAB"/>
    <w:rsid w:val="009E1C8E"/>
    <w:rsid w:val="009E1D07"/>
    <w:rsid w:val="009E1DBB"/>
    <w:rsid w:val="009E1DFB"/>
    <w:rsid w:val="009E1E35"/>
    <w:rsid w:val="009E1E51"/>
    <w:rsid w:val="009E1F00"/>
    <w:rsid w:val="009E1F1B"/>
    <w:rsid w:val="009E1F23"/>
    <w:rsid w:val="009E2033"/>
    <w:rsid w:val="009E2082"/>
    <w:rsid w:val="009E2115"/>
    <w:rsid w:val="009E2193"/>
    <w:rsid w:val="009E2213"/>
    <w:rsid w:val="009E2240"/>
    <w:rsid w:val="009E2272"/>
    <w:rsid w:val="009E2287"/>
    <w:rsid w:val="009E22B1"/>
    <w:rsid w:val="009E2367"/>
    <w:rsid w:val="009E239D"/>
    <w:rsid w:val="009E23A2"/>
    <w:rsid w:val="009E24DC"/>
    <w:rsid w:val="009E25AD"/>
    <w:rsid w:val="009E25DD"/>
    <w:rsid w:val="009E2621"/>
    <w:rsid w:val="009E2887"/>
    <w:rsid w:val="009E2938"/>
    <w:rsid w:val="009E298B"/>
    <w:rsid w:val="009E29DC"/>
    <w:rsid w:val="009E29FB"/>
    <w:rsid w:val="009E2BC9"/>
    <w:rsid w:val="009E2C03"/>
    <w:rsid w:val="009E2C15"/>
    <w:rsid w:val="009E2C1F"/>
    <w:rsid w:val="009E2C41"/>
    <w:rsid w:val="009E2D90"/>
    <w:rsid w:val="009E2E48"/>
    <w:rsid w:val="009E2F63"/>
    <w:rsid w:val="009E2FCE"/>
    <w:rsid w:val="009E309D"/>
    <w:rsid w:val="009E30BA"/>
    <w:rsid w:val="009E3483"/>
    <w:rsid w:val="009E34F7"/>
    <w:rsid w:val="009E34FD"/>
    <w:rsid w:val="009E3538"/>
    <w:rsid w:val="009E3591"/>
    <w:rsid w:val="009E372F"/>
    <w:rsid w:val="009E37FC"/>
    <w:rsid w:val="009E3920"/>
    <w:rsid w:val="009E3947"/>
    <w:rsid w:val="009E39C3"/>
    <w:rsid w:val="009E3C13"/>
    <w:rsid w:val="009E3C52"/>
    <w:rsid w:val="009E3CED"/>
    <w:rsid w:val="009E3E67"/>
    <w:rsid w:val="009E3F2B"/>
    <w:rsid w:val="009E41AA"/>
    <w:rsid w:val="009E4255"/>
    <w:rsid w:val="009E4286"/>
    <w:rsid w:val="009E431C"/>
    <w:rsid w:val="009E436D"/>
    <w:rsid w:val="009E4386"/>
    <w:rsid w:val="009E45FC"/>
    <w:rsid w:val="009E4692"/>
    <w:rsid w:val="009E4706"/>
    <w:rsid w:val="009E4716"/>
    <w:rsid w:val="009E4807"/>
    <w:rsid w:val="009E48D8"/>
    <w:rsid w:val="009E499B"/>
    <w:rsid w:val="009E4A77"/>
    <w:rsid w:val="009E4BEC"/>
    <w:rsid w:val="009E4BEF"/>
    <w:rsid w:val="009E4C0D"/>
    <w:rsid w:val="009E4C54"/>
    <w:rsid w:val="009E4C55"/>
    <w:rsid w:val="009E4CAD"/>
    <w:rsid w:val="009E4CFB"/>
    <w:rsid w:val="009E4E73"/>
    <w:rsid w:val="009E4EA3"/>
    <w:rsid w:val="009E4FDF"/>
    <w:rsid w:val="009E4FE0"/>
    <w:rsid w:val="009E5209"/>
    <w:rsid w:val="009E5290"/>
    <w:rsid w:val="009E5299"/>
    <w:rsid w:val="009E556F"/>
    <w:rsid w:val="009E55DC"/>
    <w:rsid w:val="009E5684"/>
    <w:rsid w:val="009E5741"/>
    <w:rsid w:val="009E58B9"/>
    <w:rsid w:val="009E58F0"/>
    <w:rsid w:val="009E5972"/>
    <w:rsid w:val="009E5AB8"/>
    <w:rsid w:val="009E5AB9"/>
    <w:rsid w:val="009E5D3B"/>
    <w:rsid w:val="009E5DC9"/>
    <w:rsid w:val="009E5DE0"/>
    <w:rsid w:val="009E5DF2"/>
    <w:rsid w:val="009E5E92"/>
    <w:rsid w:val="009E5EAA"/>
    <w:rsid w:val="009E5FB2"/>
    <w:rsid w:val="009E6016"/>
    <w:rsid w:val="009E60A0"/>
    <w:rsid w:val="009E61E3"/>
    <w:rsid w:val="009E627B"/>
    <w:rsid w:val="009E6409"/>
    <w:rsid w:val="009E64E0"/>
    <w:rsid w:val="009E6526"/>
    <w:rsid w:val="009E669D"/>
    <w:rsid w:val="009E6714"/>
    <w:rsid w:val="009E67B5"/>
    <w:rsid w:val="009E681E"/>
    <w:rsid w:val="009E6878"/>
    <w:rsid w:val="009E688F"/>
    <w:rsid w:val="009E68D2"/>
    <w:rsid w:val="009E699F"/>
    <w:rsid w:val="009E6A43"/>
    <w:rsid w:val="009E6B95"/>
    <w:rsid w:val="009E6BAD"/>
    <w:rsid w:val="009E6C09"/>
    <w:rsid w:val="009E7068"/>
    <w:rsid w:val="009E71C0"/>
    <w:rsid w:val="009E7286"/>
    <w:rsid w:val="009E72E6"/>
    <w:rsid w:val="009E742A"/>
    <w:rsid w:val="009E7568"/>
    <w:rsid w:val="009E7581"/>
    <w:rsid w:val="009E763F"/>
    <w:rsid w:val="009E7665"/>
    <w:rsid w:val="009E7881"/>
    <w:rsid w:val="009E78CB"/>
    <w:rsid w:val="009E79CF"/>
    <w:rsid w:val="009E79E1"/>
    <w:rsid w:val="009E79F8"/>
    <w:rsid w:val="009E7A3B"/>
    <w:rsid w:val="009E7A86"/>
    <w:rsid w:val="009E7AE4"/>
    <w:rsid w:val="009E7B0C"/>
    <w:rsid w:val="009E7C26"/>
    <w:rsid w:val="009E7CBF"/>
    <w:rsid w:val="009E7CEF"/>
    <w:rsid w:val="009E7DC0"/>
    <w:rsid w:val="009E7E2C"/>
    <w:rsid w:val="009E7E37"/>
    <w:rsid w:val="009E7ED6"/>
    <w:rsid w:val="009E7F31"/>
    <w:rsid w:val="009E7F9E"/>
    <w:rsid w:val="009F00DC"/>
    <w:rsid w:val="009F0196"/>
    <w:rsid w:val="009F0227"/>
    <w:rsid w:val="009F0583"/>
    <w:rsid w:val="009F0587"/>
    <w:rsid w:val="009F0596"/>
    <w:rsid w:val="009F05C4"/>
    <w:rsid w:val="009F05D4"/>
    <w:rsid w:val="009F05E1"/>
    <w:rsid w:val="009F0658"/>
    <w:rsid w:val="009F075D"/>
    <w:rsid w:val="009F08A2"/>
    <w:rsid w:val="009F08C7"/>
    <w:rsid w:val="009F09C7"/>
    <w:rsid w:val="009F0AF1"/>
    <w:rsid w:val="009F0B14"/>
    <w:rsid w:val="009F0C45"/>
    <w:rsid w:val="009F0D87"/>
    <w:rsid w:val="009F0F7B"/>
    <w:rsid w:val="009F0F87"/>
    <w:rsid w:val="009F0FAD"/>
    <w:rsid w:val="009F1025"/>
    <w:rsid w:val="009F107A"/>
    <w:rsid w:val="009F10C9"/>
    <w:rsid w:val="009F1169"/>
    <w:rsid w:val="009F11D0"/>
    <w:rsid w:val="009F11EC"/>
    <w:rsid w:val="009F13B6"/>
    <w:rsid w:val="009F13C9"/>
    <w:rsid w:val="009F1430"/>
    <w:rsid w:val="009F14F7"/>
    <w:rsid w:val="009F153C"/>
    <w:rsid w:val="009F169E"/>
    <w:rsid w:val="009F17B6"/>
    <w:rsid w:val="009F188D"/>
    <w:rsid w:val="009F197A"/>
    <w:rsid w:val="009F1AF2"/>
    <w:rsid w:val="009F1BB4"/>
    <w:rsid w:val="009F1CB2"/>
    <w:rsid w:val="009F1CE7"/>
    <w:rsid w:val="009F1D1E"/>
    <w:rsid w:val="009F1FFF"/>
    <w:rsid w:val="009F2002"/>
    <w:rsid w:val="009F24DB"/>
    <w:rsid w:val="009F2600"/>
    <w:rsid w:val="009F263E"/>
    <w:rsid w:val="009F27E2"/>
    <w:rsid w:val="009F27F5"/>
    <w:rsid w:val="009F2988"/>
    <w:rsid w:val="009F2B30"/>
    <w:rsid w:val="009F2B88"/>
    <w:rsid w:val="009F2C35"/>
    <w:rsid w:val="009F2C79"/>
    <w:rsid w:val="009F2CE6"/>
    <w:rsid w:val="009F2F5D"/>
    <w:rsid w:val="009F3008"/>
    <w:rsid w:val="009F31DC"/>
    <w:rsid w:val="009F325E"/>
    <w:rsid w:val="009F327D"/>
    <w:rsid w:val="009F33B2"/>
    <w:rsid w:val="009F341B"/>
    <w:rsid w:val="009F34B3"/>
    <w:rsid w:val="009F3593"/>
    <w:rsid w:val="009F35DB"/>
    <w:rsid w:val="009F363A"/>
    <w:rsid w:val="009F3652"/>
    <w:rsid w:val="009F369B"/>
    <w:rsid w:val="009F36B8"/>
    <w:rsid w:val="009F3888"/>
    <w:rsid w:val="009F3895"/>
    <w:rsid w:val="009F38C9"/>
    <w:rsid w:val="009F3B8D"/>
    <w:rsid w:val="009F3C8B"/>
    <w:rsid w:val="009F3E59"/>
    <w:rsid w:val="009F3EB6"/>
    <w:rsid w:val="009F40BC"/>
    <w:rsid w:val="009F41B6"/>
    <w:rsid w:val="009F4207"/>
    <w:rsid w:val="009F4510"/>
    <w:rsid w:val="009F4578"/>
    <w:rsid w:val="009F484A"/>
    <w:rsid w:val="009F4BFC"/>
    <w:rsid w:val="009F4C8F"/>
    <w:rsid w:val="009F4CEA"/>
    <w:rsid w:val="009F4D0F"/>
    <w:rsid w:val="009F4D7A"/>
    <w:rsid w:val="009F4DBA"/>
    <w:rsid w:val="009F4E04"/>
    <w:rsid w:val="009F4E67"/>
    <w:rsid w:val="009F4F69"/>
    <w:rsid w:val="009F50D4"/>
    <w:rsid w:val="009F5179"/>
    <w:rsid w:val="009F52CD"/>
    <w:rsid w:val="009F545D"/>
    <w:rsid w:val="009F5460"/>
    <w:rsid w:val="009F54D2"/>
    <w:rsid w:val="009F56F8"/>
    <w:rsid w:val="009F5820"/>
    <w:rsid w:val="009F5830"/>
    <w:rsid w:val="009F59CE"/>
    <w:rsid w:val="009F5B81"/>
    <w:rsid w:val="009F5C44"/>
    <w:rsid w:val="009F5D2D"/>
    <w:rsid w:val="009F5DD5"/>
    <w:rsid w:val="009F5E00"/>
    <w:rsid w:val="009F5E02"/>
    <w:rsid w:val="009F5E78"/>
    <w:rsid w:val="009F5F19"/>
    <w:rsid w:val="009F5FF3"/>
    <w:rsid w:val="009F606D"/>
    <w:rsid w:val="009F6076"/>
    <w:rsid w:val="009F611D"/>
    <w:rsid w:val="009F613C"/>
    <w:rsid w:val="009F63B6"/>
    <w:rsid w:val="009F655D"/>
    <w:rsid w:val="009F661F"/>
    <w:rsid w:val="009F6685"/>
    <w:rsid w:val="009F668A"/>
    <w:rsid w:val="009F66C1"/>
    <w:rsid w:val="009F6770"/>
    <w:rsid w:val="009F678D"/>
    <w:rsid w:val="009F67D0"/>
    <w:rsid w:val="009F680D"/>
    <w:rsid w:val="009F6865"/>
    <w:rsid w:val="009F68A4"/>
    <w:rsid w:val="009F68F3"/>
    <w:rsid w:val="009F6934"/>
    <w:rsid w:val="009F6938"/>
    <w:rsid w:val="009F69C6"/>
    <w:rsid w:val="009F69DC"/>
    <w:rsid w:val="009F6B81"/>
    <w:rsid w:val="009F6BC5"/>
    <w:rsid w:val="009F6E6B"/>
    <w:rsid w:val="009F6FD8"/>
    <w:rsid w:val="009F7024"/>
    <w:rsid w:val="009F707A"/>
    <w:rsid w:val="009F7081"/>
    <w:rsid w:val="009F70C5"/>
    <w:rsid w:val="009F712E"/>
    <w:rsid w:val="009F7131"/>
    <w:rsid w:val="009F719A"/>
    <w:rsid w:val="009F7261"/>
    <w:rsid w:val="009F751A"/>
    <w:rsid w:val="009F757F"/>
    <w:rsid w:val="009F75F1"/>
    <w:rsid w:val="009F76B2"/>
    <w:rsid w:val="009F76D1"/>
    <w:rsid w:val="009F7757"/>
    <w:rsid w:val="009F7789"/>
    <w:rsid w:val="009F77CB"/>
    <w:rsid w:val="009F7815"/>
    <w:rsid w:val="009F786F"/>
    <w:rsid w:val="009F7A64"/>
    <w:rsid w:val="009F7B83"/>
    <w:rsid w:val="009F7C5A"/>
    <w:rsid w:val="009F7CBD"/>
    <w:rsid w:val="009F7DE8"/>
    <w:rsid w:val="009F7E6A"/>
    <w:rsid w:val="009F7F7D"/>
    <w:rsid w:val="00A00076"/>
    <w:rsid w:val="00A0014A"/>
    <w:rsid w:val="00A0018E"/>
    <w:rsid w:val="00A001DA"/>
    <w:rsid w:val="00A003F6"/>
    <w:rsid w:val="00A0042E"/>
    <w:rsid w:val="00A0047C"/>
    <w:rsid w:val="00A00576"/>
    <w:rsid w:val="00A0065A"/>
    <w:rsid w:val="00A00662"/>
    <w:rsid w:val="00A006AD"/>
    <w:rsid w:val="00A007C7"/>
    <w:rsid w:val="00A0080B"/>
    <w:rsid w:val="00A008B5"/>
    <w:rsid w:val="00A00910"/>
    <w:rsid w:val="00A00985"/>
    <w:rsid w:val="00A009D4"/>
    <w:rsid w:val="00A009F2"/>
    <w:rsid w:val="00A00B03"/>
    <w:rsid w:val="00A00C4E"/>
    <w:rsid w:val="00A00C65"/>
    <w:rsid w:val="00A00DAC"/>
    <w:rsid w:val="00A00ED1"/>
    <w:rsid w:val="00A00FCB"/>
    <w:rsid w:val="00A010BD"/>
    <w:rsid w:val="00A01178"/>
    <w:rsid w:val="00A011E3"/>
    <w:rsid w:val="00A013DE"/>
    <w:rsid w:val="00A01413"/>
    <w:rsid w:val="00A01463"/>
    <w:rsid w:val="00A015B5"/>
    <w:rsid w:val="00A015D2"/>
    <w:rsid w:val="00A0160E"/>
    <w:rsid w:val="00A016EE"/>
    <w:rsid w:val="00A01711"/>
    <w:rsid w:val="00A017E1"/>
    <w:rsid w:val="00A018CF"/>
    <w:rsid w:val="00A01993"/>
    <w:rsid w:val="00A01A6D"/>
    <w:rsid w:val="00A01B11"/>
    <w:rsid w:val="00A01B55"/>
    <w:rsid w:val="00A01CA0"/>
    <w:rsid w:val="00A01DCA"/>
    <w:rsid w:val="00A02062"/>
    <w:rsid w:val="00A022B5"/>
    <w:rsid w:val="00A02311"/>
    <w:rsid w:val="00A02467"/>
    <w:rsid w:val="00A024E9"/>
    <w:rsid w:val="00A0251B"/>
    <w:rsid w:val="00A02624"/>
    <w:rsid w:val="00A02647"/>
    <w:rsid w:val="00A02771"/>
    <w:rsid w:val="00A02772"/>
    <w:rsid w:val="00A0279C"/>
    <w:rsid w:val="00A028A2"/>
    <w:rsid w:val="00A0291B"/>
    <w:rsid w:val="00A02943"/>
    <w:rsid w:val="00A029FC"/>
    <w:rsid w:val="00A02A32"/>
    <w:rsid w:val="00A02A8C"/>
    <w:rsid w:val="00A02AFE"/>
    <w:rsid w:val="00A02C8F"/>
    <w:rsid w:val="00A02CDD"/>
    <w:rsid w:val="00A02D4E"/>
    <w:rsid w:val="00A02E03"/>
    <w:rsid w:val="00A02E58"/>
    <w:rsid w:val="00A02F9A"/>
    <w:rsid w:val="00A03086"/>
    <w:rsid w:val="00A030BD"/>
    <w:rsid w:val="00A030E6"/>
    <w:rsid w:val="00A0313F"/>
    <w:rsid w:val="00A0315D"/>
    <w:rsid w:val="00A0326B"/>
    <w:rsid w:val="00A03381"/>
    <w:rsid w:val="00A0363C"/>
    <w:rsid w:val="00A0371B"/>
    <w:rsid w:val="00A03805"/>
    <w:rsid w:val="00A03854"/>
    <w:rsid w:val="00A03916"/>
    <w:rsid w:val="00A0397C"/>
    <w:rsid w:val="00A03C49"/>
    <w:rsid w:val="00A03CCC"/>
    <w:rsid w:val="00A03D3F"/>
    <w:rsid w:val="00A03D8C"/>
    <w:rsid w:val="00A03D91"/>
    <w:rsid w:val="00A03EBC"/>
    <w:rsid w:val="00A03F63"/>
    <w:rsid w:val="00A04064"/>
    <w:rsid w:val="00A0407B"/>
    <w:rsid w:val="00A04091"/>
    <w:rsid w:val="00A0411B"/>
    <w:rsid w:val="00A042C0"/>
    <w:rsid w:val="00A0435F"/>
    <w:rsid w:val="00A043F4"/>
    <w:rsid w:val="00A043F7"/>
    <w:rsid w:val="00A045A2"/>
    <w:rsid w:val="00A04713"/>
    <w:rsid w:val="00A047A3"/>
    <w:rsid w:val="00A04871"/>
    <w:rsid w:val="00A0496E"/>
    <w:rsid w:val="00A049BE"/>
    <w:rsid w:val="00A049F4"/>
    <w:rsid w:val="00A04AD9"/>
    <w:rsid w:val="00A04B01"/>
    <w:rsid w:val="00A04BAE"/>
    <w:rsid w:val="00A04E0D"/>
    <w:rsid w:val="00A04EE6"/>
    <w:rsid w:val="00A04F6D"/>
    <w:rsid w:val="00A051D4"/>
    <w:rsid w:val="00A0524B"/>
    <w:rsid w:val="00A052D1"/>
    <w:rsid w:val="00A052D2"/>
    <w:rsid w:val="00A052DA"/>
    <w:rsid w:val="00A056ED"/>
    <w:rsid w:val="00A056EE"/>
    <w:rsid w:val="00A05745"/>
    <w:rsid w:val="00A05747"/>
    <w:rsid w:val="00A05793"/>
    <w:rsid w:val="00A0586F"/>
    <w:rsid w:val="00A058A3"/>
    <w:rsid w:val="00A0592A"/>
    <w:rsid w:val="00A059DB"/>
    <w:rsid w:val="00A05B03"/>
    <w:rsid w:val="00A05B05"/>
    <w:rsid w:val="00A05B11"/>
    <w:rsid w:val="00A05BE7"/>
    <w:rsid w:val="00A05D03"/>
    <w:rsid w:val="00A05D0A"/>
    <w:rsid w:val="00A05D7D"/>
    <w:rsid w:val="00A05DA8"/>
    <w:rsid w:val="00A05E78"/>
    <w:rsid w:val="00A05E83"/>
    <w:rsid w:val="00A05F0F"/>
    <w:rsid w:val="00A05FFE"/>
    <w:rsid w:val="00A06181"/>
    <w:rsid w:val="00A06219"/>
    <w:rsid w:val="00A062AA"/>
    <w:rsid w:val="00A0637F"/>
    <w:rsid w:val="00A064A3"/>
    <w:rsid w:val="00A0651E"/>
    <w:rsid w:val="00A0656B"/>
    <w:rsid w:val="00A06599"/>
    <w:rsid w:val="00A06640"/>
    <w:rsid w:val="00A06874"/>
    <w:rsid w:val="00A0688B"/>
    <w:rsid w:val="00A06963"/>
    <w:rsid w:val="00A06986"/>
    <w:rsid w:val="00A069C2"/>
    <w:rsid w:val="00A069D7"/>
    <w:rsid w:val="00A06BD6"/>
    <w:rsid w:val="00A06D2E"/>
    <w:rsid w:val="00A06D62"/>
    <w:rsid w:val="00A06DA8"/>
    <w:rsid w:val="00A06E45"/>
    <w:rsid w:val="00A06F14"/>
    <w:rsid w:val="00A06F88"/>
    <w:rsid w:val="00A06F8C"/>
    <w:rsid w:val="00A06F9D"/>
    <w:rsid w:val="00A06FF3"/>
    <w:rsid w:val="00A07079"/>
    <w:rsid w:val="00A0708F"/>
    <w:rsid w:val="00A0714F"/>
    <w:rsid w:val="00A071E9"/>
    <w:rsid w:val="00A073F3"/>
    <w:rsid w:val="00A075D1"/>
    <w:rsid w:val="00A075FD"/>
    <w:rsid w:val="00A07625"/>
    <w:rsid w:val="00A076CA"/>
    <w:rsid w:val="00A07783"/>
    <w:rsid w:val="00A0778C"/>
    <w:rsid w:val="00A07AD9"/>
    <w:rsid w:val="00A07C7D"/>
    <w:rsid w:val="00A07DF9"/>
    <w:rsid w:val="00A07E23"/>
    <w:rsid w:val="00A07E25"/>
    <w:rsid w:val="00A07E64"/>
    <w:rsid w:val="00A07EC8"/>
    <w:rsid w:val="00A10057"/>
    <w:rsid w:val="00A100AA"/>
    <w:rsid w:val="00A100AC"/>
    <w:rsid w:val="00A10103"/>
    <w:rsid w:val="00A1020C"/>
    <w:rsid w:val="00A10273"/>
    <w:rsid w:val="00A10275"/>
    <w:rsid w:val="00A10583"/>
    <w:rsid w:val="00A10673"/>
    <w:rsid w:val="00A10687"/>
    <w:rsid w:val="00A10715"/>
    <w:rsid w:val="00A107EE"/>
    <w:rsid w:val="00A109C3"/>
    <w:rsid w:val="00A10A59"/>
    <w:rsid w:val="00A10A69"/>
    <w:rsid w:val="00A10B26"/>
    <w:rsid w:val="00A10C63"/>
    <w:rsid w:val="00A10DA1"/>
    <w:rsid w:val="00A10ECC"/>
    <w:rsid w:val="00A10EEA"/>
    <w:rsid w:val="00A10FFE"/>
    <w:rsid w:val="00A1101B"/>
    <w:rsid w:val="00A110D3"/>
    <w:rsid w:val="00A110D8"/>
    <w:rsid w:val="00A11106"/>
    <w:rsid w:val="00A1118F"/>
    <w:rsid w:val="00A11232"/>
    <w:rsid w:val="00A112A0"/>
    <w:rsid w:val="00A11314"/>
    <w:rsid w:val="00A113CD"/>
    <w:rsid w:val="00A113D0"/>
    <w:rsid w:val="00A11484"/>
    <w:rsid w:val="00A1159C"/>
    <w:rsid w:val="00A115C2"/>
    <w:rsid w:val="00A117F0"/>
    <w:rsid w:val="00A119A8"/>
    <w:rsid w:val="00A11A52"/>
    <w:rsid w:val="00A11CE5"/>
    <w:rsid w:val="00A11D00"/>
    <w:rsid w:val="00A11D09"/>
    <w:rsid w:val="00A11D1B"/>
    <w:rsid w:val="00A11D95"/>
    <w:rsid w:val="00A11DD4"/>
    <w:rsid w:val="00A11F0B"/>
    <w:rsid w:val="00A11FE8"/>
    <w:rsid w:val="00A11FF6"/>
    <w:rsid w:val="00A12007"/>
    <w:rsid w:val="00A12108"/>
    <w:rsid w:val="00A121F7"/>
    <w:rsid w:val="00A1222D"/>
    <w:rsid w:val="00A12292"/>
    <w:rsid w:val="00A122EA"/>
    <w:rsid w:val="00A123DE"/>
    <w:rsid w:val="00A12694"/>
    <w:rsid w:val="00A1276B"/>
    <w:rsid w:val="00A12D12"/>
    <w:rsid w:val="00A12D8B"/>
    <w:rsid w:val="00A12E02"/>
    <w:rsid w:val="00A12E9F"/>
    <w:rsid w:val="00A12F73"/>
    <w:rsid w:val="00A13141"/>
    <w:rsid w:val="00A1314A"/>
    <w:rsid w:val="00A13231"/>
    <w:rsid w:val="00A132C4"/>
    <w:rsid w:val="00A132F6"/>
    <w:rsid w:val="00A1343D"/>
    <w:rsid w:val="00A13461"/>
    <w:rsid w:val="00A13466"/>
    <w:rsid w:val="00A13488"/>
    <w:rsid w:val="00A134D7"/>
    <w:rsid w:val="00A135B6"/>
    <w:rsid w:val="00A13675"/>
    <w:rsid w:val="00A13714"/>
    <w:rsid w:val="00A13764"/>
    <w:rsid w:val="00A138F8"/>
    <w:rsid w:val="00A13903"/>
    <w:rsid w:val="00A13AF6"/>
    <w:rsid w:val="00A13C30"/>
    <w:rsid w:val="00A13DDD"/>
    <w:rsid w:val="00A13EA5"/>
    <w:rsid w:val="00A13F78"/>
    <w:rsid w:val="00A140EC"/>
    <w:rsid w:val="00A1413C"/>
    <w:rsid w:val="00A141BB"/>
    <w:rsid w:val="00A14292"/>
    <w:rsid w:val="00A14295"/>
    <w:rsid w:val="00A142BD"/>
    <w:rsid w:val="00A14343"/>
    <w:rsid w:val="00A14391"/>
    <w:rsid w:val="00A143C3"/>
    <w:rsid w:val="00A143CC"/>
    <w:rsid w:val="00A14431"/>
    <w:rsid w:val="00A1448A"/>
    <w:rsid w:val="00A145B3"/>
    <w:rsid w:val="00A14693"/>
    <w:rsid w:val="00A146BB"/>
    <w:rsid w:val="00A146EA"/>
    <w:rsid w:val="00A1475E"/>
    <w:rsid w:val="00A14774"/>
    <w:rsid w:val="00A147E0"/>
    <w:rsid w:val="00A1486C"/>
    <w:rsid w:val="00A1490D"/>
    <w:rsid w:val="00A14934"/>
    <w:rsid w:val="00A14A68"/>
    <w:rsid w:val="00A14A87"/>
    <w:rsid w:val="00A14AAB"/>
    <w:rsid w:val="00A14B26"/>
    <w:rsid w:val="00A14B2B"/>
    <w:rsid w:val="00A14B36"/>
    <w:rsid w:val="00A14B76"/>
    <w:rsid w:val="00A14F86"/>
    <w:rsid w:val="00A14FA1"/>
    <w:rsid w:val="00A15029"/>
    <w:rsid w:val="00A15182"/>
    <w:rsid w:val="00A153E8"/>
    <w:rsid w:val="00A15428"/>
    <w:rsid w:val="00A15456"/>
    <w:rsid w:val="00A15497"/>
    <w:rsid w:val="00A1558F"/>
    <w:rsid w:val="00A155CB"/>
    <w:rsid w:val="00A15662"/>
    <w:rsid w:val="00A156B6"/>
    <w:rsid w:val="00A15731"/>
    <w:rsid w:val="00A15771"/>
    <w:rsid w:val="00A157F0"/>
    <w:rsid w:val="00A158BF"/>
    <w:rsid w:val="00A1590F"/>
    <w:rsid w:val="00A159C7"/>
    <w:rsid w:val="00A15AA0"/>
    <w:rsid w:val="00A15B82"/>
    <w:rsid w:val="00A15C13"/>
    <w:rsid w:val="00A15C14"/>
    <w:rsid w:val="00A15C2B"/>
    <w:rsid w:val="00A15C8E"/>
    <w:rsid w:val="00A15CEC"/>
    <w:rsid w:val="00A15E39"/>
    <w:rsid w:val="00A15ED7"/>
    <w:rsid w:val="00A15F96"/>
    <w:rsid w:val="00A1604A"/>
    <w:rsid w:val="00A1608A"/>
    <w:rsid w:val="00A16132"/>
    <w:rsid w:val="00A1618E"/>
    <w:rsid w:val="00A1624B"/>
    <w:rsid w:val="00A162A2"/>
    <w:rsid w:val="00A163A4"/>
    <w:rsid w:val="00A1640A"/>
    <w:rsid w:val="00A1640C"/>
    <w:rsid w:val="00A16480"/>
    <w:rsid w:val="00A1648A"/>
    <w:rsid w:val="00A16534"/>
    <w:rsid w:val="00A165EA"/>
    <w:rsid w:val="00A16626"/>
    <w:rsid w:val="00A16756"/>
    <w:rsid w:val="00A167A1"/>
    <w:rsid w:val="00A16830"/>
    <w:rsid w:val="00A16926"/>
    <w:rsid w:val="00A16983"/>
    <w:rsid w:val="00A16A9F"/>
    <w:rsid w:val="00A16B45"/>
    <w:rsid w:val="00A16CD2"/>
    <w:rsid w:val="00A16E9B"/>
    <w:rsid w:val="00A16EBA"/>
    <w:rsid w:val="00A17020"/>
    <w:rsid w:val="00A17027"/>
    <w:rsid w:val="00A17039"/>
    <w:rsid w:val="00A17043"/>
    <w:rsid w:val="00A1725A"/>
    <w:rsid w:val="00A172A8"/>
    <w:rsid w:val="00A1734E"/>
    <w:rsid w:val="00A17475"/>
    <w:rsid w:val="00A174CD"/>
    <w:rsid w:val="00A175BA"/>
    <w:rsid w:val="00A175C8"/>
    <w:rsid w:val="00A176A5"/>
    <w:rsid w:val="00A176E6"/>
    <w:rsid w:val="00A17774"/>
    <w:rsid w:val="00A1780C"/>
    <w:rsid w:val="00A1784C"/>
    <w:rsid w:val="00A17869"/>
    <w:rsid w:val="00A17882"/>
    <w:rsid w:val="00A1796A"/>
    <w:rsid w:val="00A17AAA"/>
    <w:rsid w:val="00A17B2A"/>
    <w:rsid w:val="00A17C3C"/>
    <w:rsid w:val="00A17DBE"/>
    <w:rsid w:val="00A17EBD"/>
    <w:rsid w:val="00A17F33"/>
    <w:rsid w:val="00A17FB3"/>
    <w:rsid w:val="00A2010D"/>
    <w:rsid w:val="00A201DF"/>
    <w:rsid w:val="00A201E3"/>
    <w:rsid w:val="00A2025E"/>
    <w:rsid w:val="00A202C7"/>
    <w:rsid w:val="00A2051E"/>
    <w:rsid w:val="00A2058E"/>
    <w:rsid w:val="00A2058F"/>
    <w:rsid w:val="00A205DD"/>
    <w:rsid w:val="00A205FC"/>
    <w:rsid w:val="00A2065F"/>
    <w:rsid w:val="00A206BC"/>
    <w:rsid w:val="00A206CB"/>
    <w:rsid w:val="00A206F7"/>
    <w:rsid w:val="00A20729"/>
    <w:rsid w:val="00A208C0"/>
    <w:rsid w:val="00A20A36"/>
    <w:rsid w:val="00A20AA6"/>
    <w:rsid w:val="00A20DCF"/>
    <w:rsid w:val="00A20DF0"/>
    <w:rsid w:val="00A20DFD"/>
    <w:rsid w:val="00A20E70"/>
    <w:rsid w:val="00A20ED9"/>
    <w:rsid w:val="00A212F8"/>
    <w:rsid w:val="00A213A1"/>
    <w:rsid w:val="00A21433"/>
    <w:rsid w:val="00A21489"/>
    <w:rsid w:val="00A214E1"/>
    <w:rsid w:val="00A2151F"/>
    <w:rsid w:val="00A21599"/>
    <w:rsid w:val="00A2159D"/>
    <w:rsid w:val="00A215F6"/>
    <w:rsid w:val="00A216E0"/>
    <w:rsid w:val="00A2171B"/>
    <w:rsid w:val="00A21897"/>
    <w:rsid w:val="00A21928"/>
    <w:rsid w:val="00A219C5"/>
    <w:rsid w:val="00A219E8"/>
    <w:rsid w:val="00A21A66"/>
    <w:rsid w:val="00A21B56"/>
    <w:rsid w:val="00A21DED"/>
    <w:rsid w:val="00A21F7D"/>
    <w:rsid w:val="00A21F81"/>
    <w:rsid w:val="00A21F94"/>
    <w:rsid w:val="00A21FCF"/>
    <w:rsid w:val="00A22156"/>
    <w:rsid w:val="00A2225A"/>
    <w:rsid w:val="00A222ED"/>
    <w:rsid w:val="00A222F7"/>
    <w:rsid w:val="00A22429"/>
    <w:rsid w:val="00A22484"/>
    <w:rsid w:val="00A2257B"/>
    <w:rsid w:val="00A22606"/>
    <w:rsid w:val="00A22647"/>
    <w:rsid w:val="00A22662"/>
    <w:rsid w:val="00A226B2"/>
    <w:rsid w:val="00A22813"/>
    <w:rsid w:val="00A229A6"/>
    <w:rsid w:val="00A229BD"/>
    <w:rsid w:val="00A22AA8"/>
    <w:rsid w:val="00A22B58"/>
    <w:rsid w:val="00A22BB1"/>
    <w:rsid w:val="00A22C58"/>
    <w:rsid w:val="00A22C64"/>
    <w:rsid w:val="00A22E17"/>
    <w:rsid w:val="00A22E48"/>
    <w:rsid w:val="00A22F2C"/>
    <w:rsid w:val="00A22FAF"/>
    <w:rsid w:val="00A22FCB"/>
    <w:rsid w:val="00A2309A"/>
    <w:rsid w:val="00A230CD"/>
    <w:rsid w:val="00A231B8"/>
    <w:rsid w:val="00A231E0"/>
    <w:rsid w:val="00A231E3"/>
    <w:rsid w:val="00A232D1"/>
    <w:rsid w:val="00A232DE"/>
    <w:rsid w:val="00A23535"/>
    <w:rsid w:val="00A2354E"/>
    <w:rsid w:val="00A23553"/>
    <w:rsid w:val="00A2359A"/>
    <w:rsid w:val="00A23671"/>
    <w:rsid w:val="00A236CB"/>
    <w:rsid w:val="00A236DA"/>
    <w:rsid w:val="00A23928"/>
    <w:rsid w:val="00A23975"/>
    <w:rsid w:val="00A23BA7"/>
    <w:rsid w:val="00A23CC3"/>
    <w:rsid w:val="00A23D9B"/>
    <w:rsid w:val="00A23DE6"/>
    <w:rsid w:val="00A23EF2"/>
    <w:rsid w:val="00A23FA0"/>
    <w:rsid w:val="00A2403F"/>
    <w:rsid w:val="00A2405B"/>
    <w:rsid w:val="00A240AE"/>
    <w:rsid w:val="00A241E5"/>
    <w:rsid w:val="00A242DD"/>
    <w:rsid w:val="00A243C3"/>
    <w:rsid w:val="00A246B5"/>
    <w:rsid w:val="00A24716"/>
    <w:rsid w:val="00A24766"/>
    <w:rsid w:val="00A2477A"/>
    <w:rsid w:val="00A24797"/>
    <w:rsid w:val="00A2479D"/>
    <w:rsid w:val="00A247A1"/>
    <w:rsid w:val="00A24825"/>
    <w:rsid w:val="00A24847"/>
    <w:rsid w:val="00A24889"/>
    <w:rsid w:val="00A24896"/>
    <w:rsid w:val="00A249AA"/>
    <w:rsid w:val="00A249F4"/>
    <w:rsid w:val="00A24A5A"/>
    <w:rsid w:val="00A24A63"/>
    <w:rsid w:val="00A24A94"/>
    <w:rsid w:val="00A24AA3"/>
    <w:rsid w:val="00A24F9D"/>
    <w:rsid w:val="00A24FA8"/>
    <w:rsid w:val="00A25011"/>
    <w:rsid w:val="00A252B4"/>
    <w:rsid w:val="00A25546"/>
    <w:rsid w:val="00A255D7"/>
    <w:rsid w:val="00A25875"/>
    <w:rsid w:val="00A259A1"/>
    <w:rsid w:val="00A25A92"/>
    <w:rsid w:val="00A25B1F"/>
    <w:rsid w:val="00A25B76"/>
    <w:rsid w:val="00A25D2D"/>
    <w:rsid w:val="00A25D83"/>
    <w:rsid w:val="00A25E21"/>
    <w:rsid w:val="00A261AF"/>
    <w:rsid w:val="00A2624F"/>
    <w:rsid w:val="00A262A3"/>
    <w:rsid w:val="00A26430"/>
    <w:rsid w:val="00A26596"/>
    <w:rsid w:val="00A26598"/>
    <w:rsid w:val="00A265E2"/>
    <w:rsid w:val="00A2666F"/>
    <w:rsid w:val="00A267BD"/>
    <w:rsid w:val="00A26817"/>
    <w:rsid w:val="00A26870"/>
    <w:rsid w:val="00A269D9"/>
    <w:rsid w:val="00A269EA"/>
    <w:rsid w:val="00A26A06"/>
    <w:rsid w:val="00A26A46"/>
    <w:rsid w:val="00A26B1F"/>
    <w:rsid w:val="00A26C82"/>
    <w:rsid w:val="00A26DBB"/>
    <w:rsid w:val="00A26DEC"/>
    <w:rsid w:val="00A26EBE"/>
    <w:rsid w:val="00A26F52"/>
    <w:rsid w:val="00A26FAD"/>
    <w:rsid w:val="00A27019"/>
    <w:rsid w:val="00A270BC"/>
    <w:rsid w:val="00A270C0"/>
    <w:rsid w:val="00A270F6"/>
    <w:rsid w:val="00A271AA"/>
    <w:rsid w:val="00A271E4"/>
    <w:rsid w:val="00A27235"/>
    <w:rsid w:val="00A273DA"/>
    <w:rsid w:val="00A2743B"/>
    <w:rsid w:val="00A276BF"/>
    <w:rsid w:val="00A27734"/>
    <w:rsid w:val="00A27906"/>
    <w:rsid w:val="00A27962"/>
    <w:rsid w:val="00A27A13"/>
    <w:rsid w:val="00A27B38"/>
    <w:rsid w:val="00A27BC3"/>
    <w:rsid w:val="00A27CBC"/>
    <w:rsid w:val="00A27CC3"/>
    <w:rsid w:val="00A27CD7"/>
    <w:rsid w:val="00A27D07"/>
    <w:rsid w:val="00A27D3B"/>
    <w:rsid w:val="00A27E03"/>
    <w:rsid w:val="00A27E70"/>
    <w:rsid w:val="00A27F8B"/>
    <w:rsid w:val="00A3017C"/>
    <w:rsid w:val="00A301FD"/>
    <w:rsid w:val="00A302CA"/>
    <w:rsid w:val="00A30397"/>
    <w:rsid w:val="00A303C5"/>
    <w:rsid w:val="00A3047F"/>
    <w:rsid w:val="00A304F9"/>
    <w:rsid w:val="00A30507"/>
    <w:rsid w:val="00A3051C"/>
    <w:rsid w:val="00A3059C"/>
    <w:rsid w:val="00A30611"/>
    <w:rsid w:val="00A30652"/>
    <w:rsid w:val="00A30668"/>
    <w:rsid w:val="00A306E6"/>
    <w:rsid w:val="00A30797"/>
    <w:rsid w:val="00A307E5"/>
    <w:rsid w:val="00A30876"/>
    <w:rsid w:val="00A308F2"/>
    <w:rsid w:val="00A309F4"/>
    <w:rsid w:val="00A30A2D"/>
    <w:rsid w:val="00A30AB7"/>
    <w:rsid w:val="00A30B03"/>
    <w:rsid w:val="00A30B58"/>
    <w:rsid w:val="00A30B82"/>
    <w:rsid w:val="00A30D0D"/>
    <w:rsid w:val="00A30EF7"/>
    <w:rsid w:val="00A30F27"/>
    <w:rsid w:val="00A31074"/>
    <w:rsid w:val="00A310A5"/>
    <w:rsid w:val="00A310B7"/>
    <w:rsid w:val="00A310E6"/>
    <w:rsid w:val="00A31105"/>
    <w:rsid w:val="00A31190"/>
    <w:rsid w:val="00A3130C"/>
    <w:rsid w:val="00A31422"/>
    <w:rsid w:val="00A31476"/>
    <w:rsid w:val="00A31481"/>
    <w:rsid w:val="00A314A0"/>
    <w:rsid w:val="00A314E2"/>
    <w:rsid w:val="00A31588"/>
    <w:rsid w:val="00A315A8"/>
    <w:rsid w:val="00A317ED"/>
    <w:rsid w:val="00A31A4B"/>
    <w:rsid w:val="00A31E19"/>
    <w:rsid w:val="00A31E27"/>
    <w:rsid w:val="00A31F06"/>
    <w:rsid w:val="00A31FC4"/>
    <w:rsid w:val="00A32002"/>
    <w:rsid w:val="00A32083"/>
    <w:rsid w:val="00A320E1"/>
    <w:rsid w:val="00A321EE"/>
    <w:rsid w:val="00A3225A"/>
    <w:rsid w:val="00A3238B"/>
    <w:rsid w:val="00A32403"/>
    <w:rsid w:val="00A32438"/>
    <w:rsid w:val="00A324FE"/>
    <w:rsid w:val="00A325A9"/>
    <w:rsid w:val="00A326B2"/>
    <w:rsid w:val="00A326CB"/>
    <w:rsid w:val="00A32728"/>
    <w:rsid w:val="00A32755"/>
    <w:rsid w:val="00A32776"/>
    <w:rsid w:val="00A327A3"/>
    <w:rsid w:val="00A3280D"/>
    <w:rsid w:val="00A328CC"/>
    <w:rsid w:val="00A3290F"/>
    <w:rsid w:val="00A32938"/>
    <w:rsid w:val="00A32942"/>
    <w:rsid w:val="00A32993"/>
    <w:rsid w:val="00A329AB"/>
    <w:rsid w:val="00A329E6"/>
    <w:rsid w:val="00A32AE3"/>
    <w:rsid w:val="00A32C93"/>
    <w:rsid w:val="00A32CC7"/>
    <w:rsid w:val="00A32E57"/>
    <w:rsid w:val="00A32EEF"/>
    <w:rsid w:val="00A32F0B"/>
    <w:rsid w:val="00A32FA2"/>
    <w:rsid w:val="00A330A9"/>
    <w:rsid w:val="00A332D4"/>
    <w:rsid w:val="00A333D3"/>
    <w:rsid w:val="00A33419"/>
    <w:rsid w:val="00A3343B"/>
    <w:rsid w:val="00A33448"/>
    <w:rsid w:val="00A33481"/>
    <w:rsid w:val="00A336DA"/>
    <w:rsid w:val="00A33981"/>
    <w:rsid w:val="00A33BE6"/>
    <w:rsid w:val="00A33C04"/>
    <w:rsid w:val="00A33D42"/>
    <w:rsid w:val="00A33D61"/>
    <w:rsid w:val="00A33E10"/>
    <w:rsid w:val="00A3405F"/>
    <w:rsid w:val="00A34085"/>
    <w:rsid w:val="00A343F2"/>
    <w:rsid w:val="00A34461"/>
    <w:rsid w:val="00A344C2"/>
    <w:rsid w:val="00A3453A"/>
    <w:rsid w:val="00A346FF"/>
    <w:rsid w:val="00A34716"/>
    <w:rsid w:val="00A3479A"/>
    <w:rsid w:val="00A347B7"/>
    <w:rsid w:val="00A347CF"/>
    <w:rsid w:val="00A347DA"/>
    <w:rsid w:val="00A3490B"/>
    <w:rsid w:val="00A34947"/>
    <w:rsid w:val="00A34A0A"/>
    <w:rsid w:val="00A34A9E"/>
    <w:rsid w:val="00A34CAF"/>
    <w:rsid w:val="00A34DD7"/>
    <w:rsid w:val="00A34EB9"/>
    <w:rsid w:val="00A34F7E"/>
    <w:rsid w:val="00A35056"/>
    <w:rsid w:val="00A35114"/>
    <w:rsid w:val="00A35178"/>
    <w:rsid w:val="00A35295"/>
    <w:rsid w:val="00A35307"/>
    <w:rsid w:val="00A3531C"/>
    <w:rsid w:val="00A35386"/>
    <w:rsid w:val="00A3538E"/>
    <w:rsid w:val="00A353BF"/>
    <w:rsid w:val="00A353C3"/>
    <w:rsid w:val="00A35475"/>
    <w:rsid w:val="00A354BE"/>
    <w:rsid w:val="00A35535"/>
    <w:rsid w:val="00A35775"/>
    <w:rsid w:val="00A35822"/>
    <w:rsid w:val="00A3582C"/>
    <w:rsid w:val="00A3591E"/>
    <w:rsid w:val="00A35A3D"/>
    <w:rsid w:val="00A35B0B"/>
    <w:rsid w:val="00A35B24"/>
    <w:rsid w:val="00A35BF9"/>
    <w:rsid w:val="00A35CCF"/>
    <w:rsid w:val="00A35D07"/>
    <w:rsid w:val="00A35D8C"/>
    <w:rsid w:val="00A35E65"/>
    <w:rsid w:val="00A35EF5"/>
    <w:rsid w:val="00A35F06"/>
    <w:rsid w:val="00A35FA9"/>
    <w:rsid w:val="00A36043"/>
    <w:rsid w:val="00A36063"/>
    <w:rsid w:val="00A361F5"/>
    <w:rsid w:val="00A36285"/>
    <w:rsid w:val="00A3650E"/>
    <w:rsid w:val="00A3657A"/>
    <w:rsid w:val="00A36603"/>
    <w:rsid w:val="00A36675"/>
    <w:rsid w:val="00A36798"/>
    <w:rsid w:val="00A367ED"/>
    <w:rsid w:val="00A368BB"/>
    <w:rsid w:val="00A368CE"/>
    <w:rsid w:val="00A369A0"/>
    <w:rsid w:val="00A36B5B"/>
    <w:rsid w:val="00A36BEA"/>
    <w:rsid w:val="00A36C7E"/>
    <w:rsid w:val="00A36DBF"/>
    <w:rsid w:val="00A36DE8"/>
    <w:rsid w:val="00A36E12"/>
    <w:rsid w:val="00A36E3F"/>
    <w:rsid w:val="00A36E4C"/>
    <w:rsid w:val="00A36E80"/>
    <w:rsid w:val="00A36EC6"/>
    <w:rsid w:val="00A36F5C"/>
    <w:rsid w:val="00A36FB9"/>
    <w:rsid w:val="00A37091"/>
    <w:rsid w:val="00A370F3"/>
    <w:rsid w:val="00A3720B"/>
    <w:rsid w:val="00A3729C"/>
    <w:rsid w:val="00A37352"/>
    <w:rsid w:val="00A373D5"/>
    <w:rsid w:val="00A3755F"/>
    <w:rsid w:val="00A376ED"/>
    <w:rsid w:val="00A3771A"/>
    <w:rsid w:val="00A37725"/>
    <w:rsid w:val="00A37788"/>
    <w:rsid w:val="00A377A9"/>
    <w:rsid w:val="00A37955"/>
    <w:rsid w:val="00A37A4F"/>
    <w:rsid w:val="00A37B09"/>
    <w:rsid w:val="00A37B3B"/>
    <w:rsid w:val="00A37BD9"/>
    <w:rsid w:val="00A37C56"/>
    <w:rsid w:val="00A37D28"/>
    <w:rsid w:val="00A37D58"/>
    <w:rsid w:val="00A37D98"/>
    <w:rsid w:val="00A37E4A"/>
    <w:rsid w:val="00A37F19"/>
    <w:rsid w:val="00A37F84"/>
    <w:rsid w:val="00A37FEE"/>
    <w:rsid w:val="00A4003D"/>
    <w:rsid w:val="00A400EC"/>
    <w:rsid w:val="00A40125"/>
    <w:rsid w:val="00A40158"/>
    <w:rsid w:val="00A401D4"/>
    <w:rsid w:val="00A40200"/>
    <w:rsid w:val="00A40318"/>
    <w:rsid w:val="00A403AB"/>
    <w:rsid w:val="00A403DF"/>
    <w:rsid w:val="00A40546"/>
    <w:rsid w:val="00A4057E"/>
    <w:rsid w:val="00A40605"/>
    <w:rsid w:val="00A4075B"/>
    <w:rsid w:val="00A40773"/>
    <w:rsid w:val="00A409CF"/>
    <w:rsid w:val="00A409D6"/>
    <w:rsid w:val="00A409FB"/>
    <w:rsid w:val="00A40B0C"/>
    <w:rsid w:val="00A40B27"/>
    <w:rsid w:val="00A40B36"/>
    <w:rsid w:val="00A40B53"/>
    <w:rsid w:val="00A40BD5"/>
    <w:rsid w:val="00A40BD9"/>
    <w:rsid w:val="00A40D4A"/>
    <w:rsid w:val="00A40D79"/>
    <w:rsid w:val="00A40EEB"/>
    <w:rsid w:val="00A40F3E"/>
    <w:rsid w:val="00A40F93"/>
    <w:rsid w:val="00A410E6"/>
    <w:rsid w:val="00A41282"/>
    <w:rsid w:val="00A413E3"/>
    <w:rsid w:val="00A41574"/>
    <w:rsid w:val="00A41579"/>
    <w:rsid w:val="00A416E9"/>
    <w:rsid w:val="00A417BA"/>
    <w:rsid w:val="00A41981"/>
    <w:rsid w:val="00A419DD"/>
    <w:rsid w:val="00A419F3"/>
    <w:rsid w:val="00A41D25"/>
    <w:rsid w:val="00A41EF3"/>
    <w:rsid w:val="00A421ED"/>
    <w:rsid w:val="00A421F1"/>
    <w:rsid w:val="00A4223B"/>
    <w:rsid w:val="00A42408"/>
    <w:rsid w:val="00A424FB"/>
    <w:rsid w:val="00A425E1"/>
    <w:rsid w:val="00A42696"/>
    <w:rsid w:val="00A426DD"/>
    <w:rsid w:val="00A4281D"/>
    <w:rsid w:val="00A42906"/>
    <w:rsid w:val="00A42BC5"/>
    <w:rsid w:val="00A42C95"/>
    <w:rsid w:val="00A42D59"/>
    <w:rsid w:val="00A42D79"/>
    <w:rsid w:val="00A42DC6"/>
    <w:rsid w:val="00A42E41"/>
    <w:rsid w:val="00A42E48"/>
    <w:rsid w:val="00A43086"/>
    <w:rsid w:val="00A430AA"/>
    <w:rsid w:val="00A43113"/>
    <w:rsid w:val="00A43302"/>
    <w:rsid w:val="00A4335A"/>
    <w:rsid w:val="00A43396"/>
    <w:rsid w:val="00A434ED"/>
    <w:rsid w:val="00A4360A"/>
    <w:rsid w:val="00A43672"/>
    <w:rsid w:val="00A43679"/>
    <w:rsid w:val="00A43863"/>
    <w:rsid w:val="00A43941"/>
    <w:rsid w:val="00A43A09"/>
    <w:rsid w:val="00A43A0C"/>
    <w:rsid w:val="00A43A7A"/>
    <w:rsid w:val="00A43AC0"/>
    <w:rsid w:val="00A43B66"/>
    <w:rsid w:val="00A43C3B"/>
    <w:rsid w:val="00A43D03"/>
    <w:rsid w:val="00A43D22"/>
    <w:rsid w:val="00A43D5C"/>
    <w:rsid w:val="00A43DBE"/>
    <w:rsid w:val="00A43F76"/>
    <w:rsid w:val="00A43F83"/>
    <w:rsid w:val="00A43F94"/>
    <w:rsid w:val="00A44060"/>
    <w:rsid w:val="00A44094"/>
    <w:rsid w:val="00A441BC"/>
    <w:rsid w:val="00A441F5"/>
    <w:rsid w:val="00A4428E"/>
    <w:rsid w:val="00A442C7"/>
    <w:rsid w:val="00A44305"/>
    <w:rsid w:val="00A44346"/>
    <w:rsid w:val="00A443AD"/>
    <w:rsid w:val="00A443E4"/>
    <w:rsid w:val="00A44460"/>
    <w:rsid w:val="00A44521"/>
    <w:rsid w:val="00A445A8"/>
    <w:rsid w:val="00A44898"/>
    <w:rsid w:val="00A44B68"/>
    <w:rsid w:val="00A44BBB"/>
    <w:rsid w:val="00A44C21"/>
    <w:rsid w:val="00A44C8A"/>
    <w:rsid w:val="00A44DEE"/>
    <w:rsid w:val="00A44E19"/>
    <w:rsid w:val="00A4511E"/>
    <w:rsid w:val="00A452E5"/>
    <w:rsid w:val="00A45398"/>
    <w:rsid w:val="00A45426"/>
    <w:rsid w:val="00A45443"/>
    <w:rsid w:val="00A45572"/>
    <w:rsid w:val="00A456CB"/>
    <w:rsid w:val="00A456E7"/>
    <w:rsid w:val="00A4587E"/>
    <w:rsid w:val="00A4590B"/>
    <w:rsid w:val="00A45C03"/>
    <w:rsid w:val="00A45E26"/>
    <w:rsid w:val="00A45E61"/>
    <w:rsid w:val="00A45E83"/>
    <w:rsid w:val="00A45F9A"/>
    <w:rsid w:val="00A4616E"/>
    <w:rsid w:val="00A4616F"/>
    <w:rsid w:val="00A46308"/>
    <w:rsid w:val="00A4630C"/>
    <w:rsid w:val="00A463B6"/>
    <w:rsid w:val="00A463D2"/>
    <w:rsid w:val="00A464FC"/>
    <w:rsid w:val="00A46530"/>
    <w:rsid w:val="00A46603"/>
    <w:rsid w:val="00A466B4"/>
    <w:rsid w:val="00A4686E"/>
    <w:rsid w:val="00A46887"/>
    <w:rsid w:val="00A468AF"/>
    <w:rsid w:val="00A468C8"/>
    <w:rsid w:val="00A4693B"/>
    <w:rsid w:val="00A469E3"/>
    <w:rsid w:val="00A46A96"/>
    <w:rsid w:val="00A46AAE"/>
    <w:rsid w:val="00A46B5E"/>
    <w:rsid w:val="00A46D15"/>
    <w:rsid w:val="00A46D3D"/>
    <w:rsid w:val="00A46D41"/>
    <w:rsid w:val="00A46DEB"/>
    <w:rsid w:val="00A46E10"/>
    <w:rsid w:val="00A46E79"/>
    <w:rsid w:val="00A46ED9"/>
    <w:rsid w:val="00A4702A"/>
    <w:rsid w:val="00A47095"/>
    <w:rsid w:val="00A4709C"/>
    <w:rsid w:val="00A47140"/>
    <w:rsid w:val="00A47166"/>
    <w:rsid w:val="00A471CF"/>
    <w:rsid w:val="00A47200"/>
    <w:rsid w:val="00A47263"/>
    <w:rsid w:val="00A472A5"/>
    <w:rsid w:val="00A47491"/>
    <w:rsid w:val="00A4753E"/>
    <w:rsid w:val="00A4754C"/>
    <w:rsid w:val="00A476B5"/>
    <w:rsid w:val="00A47779"/>
    <w:rsid w:val="00A477BE"/>
    <w:rsid w:val="00A47885"/>
    <w:rsid w:val="00A4791B"/>
    <w:rsid w:val="00A4797D"/>
    <w:rsid w:val="00A4797F"/>
    <w:rsid w:val="00A47996"/>
    <w:rsid w:val="00A47AED"/>
    <w:rsid w:val="00A47B8F"/>
    <w:rsid w:val="00A47B92"/>
    <w:rsid w:val="00A47C87"/>
    <w:rsid w:val="00A47D9F"/>
    <w:rsid w:val="00A47E09"/>
    <w:rsid w:val="00A47E26"/>
    <w:rsid w:val="00A47F5C"/>
    <w:rsid w:val="00A47FAE"/>
    <w:rsid w:val="00A50064"/>
    <w:rsid w:val="00A500F3"/>
    <w:rsid w:val="00A5018D"/>
    <w:rsid w:val="00A50226"/>
    <w:rsid w:val="00A5027D"/>
    <w:rsid w:val="00A502A6"/>
    <w:rsid w:val="00A503CC"/>
    <w:rsid w:val="00A503D8"/>
    <w:rsid w:val="00A50666"/>
    <w:rsid w:val="00A5079E"/>
    <w:rsid w:val="00A507CF"/>
    <w:rsid w:val="00A5089A"/>
    <w:rsid w:val="00A50AAD"/>
    <w:rsid w:val="00A50B71"/>
    <w:rsid w:val="00A50D51"/>
    <w:rsid w:val="00A50D72"/>
    <w:rsid w:val="00A50E56"/>
    <w:rsid w:val="00A5118D"/>
    <w:rsid w:val="00A511E8"/>
    <w:rsid w:val="00A5141E"/>
    <w:rsid w:val="00A51447"/>
    <w:rsid w:val="00A514AE"/>
    <w:rsid w:val="00A514B8"/>
    <w:rsid w:val="00A515F5"/>
    <w:rsid w:val="00A5163E"/>
    <w:rsid w:val="00A516DD"/>
    <w:rsid w:val="00A51714"/>
    <w:rsid w:val="00A51784"/>
    <w:rsid w:val="00A517EC"/>
    <w:rsid w:val="00A51963"/>
    <w:rsid w:val="00A51A26"/>
    <w:rsid w:val="00A51B30"/>
    <w:rsid w:val="00A51CD3"/>
    <w:rsid w:val="00A51D1B"/>
    <w:rsid w:val="00A51E9A"/>
    <w:rsid w:val="00A51EBF"/>
    <w:rsid w:val="00A51FB0"/>
    <w:rsid w:val="00A52081"/>
    <w:rsid w:val="00A5224D"/>
    <w:rsid w:val="00A52288"/>
    <w:rsid w:val="00A522A0"/>
    <w:rsid w:val="00A5243C"/>
    <w:rsid w:val="00A52630"/>
    <w:rsid w:val="00A526E7"/>
    <w:rsid w:val="00A527F8"/>
    <w:rsid w:val="00A52812"/>
    <w:rsid w:val="00A5297E"/>
    <w:rsid w:val="00A52A37"/>
    <w:rsid w:val="00A52A92"/>
    <w:rsid w:val="00A52B61"/>
    <w:rsid w:val="00A52BB0"/>
    <w:rsid w:val="00A52C77"/>
    <w:rsid w:val="00A52CE3"/>
    <w:rsid w:val="00A52DF6"/>
    <w:rsid w:val="00A52EE5"/>
    <w:rsid w:val="00A52FAA"/>
    <w:rsid w:val="00A53144"/>
    <w:rsid w:val="00A533D8"/>
    <w:rsid w:val="00A53419"/>
    <w:rsid w:val="00A535A7"/>
    <w:rsid w:val="00A5364E"/>
    <w:rsid w:val="00A5379D"/>
    <w:rsid w:val="00A537D3"/>
    <w:rsid w:val="00A53877"/>
    <w:rsid w:val="00A538E2"/>
    <w:rsid w:val="00A539E3"/>
    <w:rsid w:val="00A53A6B"/>
    <w:rsid w:val="00A53AAE"/>
    <w:rsid w:val="00A53B6E"/>
    <w:rsid w:val="00A53C2F"/>
    <w:rsid w:val="00A53CA1"/>
    <w:rsid w:val="00A53CFD"/>
    <w:rsid w:val="00A53DEF"/>
    <w:rsid w:val="00A53FD1"/>
    <w:rsid w:val="00A53FE1"/>
    <w:rsid w:val="00A54100"/>
    <w:rsid w:val="00A5411D"/>
    <w:rsid w:val="00A54196"/>
    <w:rsid w:val="00A5426A"/>
    <w:rsid w:val="00A54363"/>
    <w:rsid w:val="00A5439F"/>
    <w:rsid w:val="00A543BA"/>
    <w:rsid w:val="00A54556"/>
    <w:rsid w:val="00A545AD"/>
    <w:rsid w:val="00A545C0"/>
    <w:rsid w:val="00A545E8"/>
    <w:rsid w:val="00A545F8"/>
    <w:rsid w:val="00A54714"/>
    <w:rsid w:val="00A547E9"/>
    <w:rsid w:val="00A54982"/>
    <w:rsid w:val="00A54A77"/>
    <w:rsid w:val="00A54AD8"/>
    <w:rsid w:val="00A54B3A"/>
    <w:rsid w:val="00A54C6C"/>
    <w:rsid w:val="00A54CC8"/>
    <w:rsid w:val="00A54CF0"/>
    <w:rsid w:val="00A54D3A"/>
    <w:rsid w:val="00A54D91"/>
    <w:rsid w:val="00A54E6F"/>
    <w:rsid w:val="00A54EF7"/>
    <w:rsid w:val="00A55043"/>
    <w:rsid w:val="00A550A3"/>
    <w:rsid w:val="00A551B8"/>
    <w:rsid w:val="00A551CE"/>
    <w:rsid w:val="00A5529A"/>
    <w:rsid w:val="00A554B9"/>
    <w:rsid w:val="00A5559B"/>
    <w:rsid w:val="00A55775"/>
    <w:rsid w:val="00A558D3"/>
    <w:rsid w:val="00A558FE"/>
    <w:rsid w:val="00A55976"/>
    <w:rsid w:val="00A559BA"/>
    <w:rsid w:val="00A55A7E"/>
    <w:rsid w:val="00A55AD6"/>
    <w:rsid w:val="00A55AF0"/>
    <w:rsid w:val="00A55B8B"/>
    <w:rsid w:val="00A55BAC"/>
    <w:rsid w:val="00A55D11"/>
    <w:rsid w:val="00A55D27"/>
    <w:rsid w:val="00A55D6B"/>
    <w:rsid w:val="00A55D76"/>
    <w:rsid w:val="00A55E13"/>
    <w:rsid w:val="00A55E21"/>
    <w:rsid w:val="00A55E27"/>
    <w:rsid w:val="00A55E57"/>
    <w:rsid w:val="00A55EE5"/>
    <w:rsid w:val="00A5617F"/>
    <w:rsid w:val="00A5634C"/>
    <w:rsid w:val="00A563F7"/>
    <w:rsid w:val="00A564F2"/>
    <w:rsid w:val="00A56545"/>
    <w:rsid w:val="00A5668D"/>
    <w:rsid w:val="00A5678E"/>
    <w:rsid w:val="00A5688A"/>
    <w:rsid w:val="00A568C5"/>
    <w:rsid w:val="00A569F7"/>
    <w:rsid w:val="00A56B0A"/>
    <w:rsid w:val="00A56B6F"/>
    <w:rsid w:val="00A56CB2"/>
    <w:rsid w:val="00A56DC7"/>
    <w:rsid w:val="00A56F10"/>
    <w:rsid w:val="00A57026"/>
    <w:rsid w:val="00A5703B"/>
    <w:rsid w:val="00A5734D"/>
    <w:rsid w:val="00A57544"/>
    <w:rsid w:val="00A57594"/>
    <w:rsid w:val="00A57641"/>
    <w:rsid w:val="00A57705"/>
    <w:rsid w:val="00A5771B"/>
    <w:rsid w:val="00A5772C"/>
    <w:rsid w:val="00A57732"/>
    <w:rsid w:val="00A5783C"/>
    <w:rsid w:val="00A57942"/>
    <w:rsid w:val="00A57950"/>
    <w:rsid w:val="00A57A5E"/>
    <w:rsid w:val="00A57ABA"/>
    <w:rsid w:val="00A57B1D"/>
    <w:rsid w:val="00A57C00"/>
    <w:rsid w:val="00A57DC2"/>
    <w:rsid w:val="00A57DEC"/>
    <w:rsid w:val="00A57E41"/>
    <w:rsid w:val="00A57E54"/>
    <w:rsid w:val="00A57E75"/>
    <w:rsid w:val="00A57F9C"/>
    <w:rsid w:val="00A6004B"/>
    <w:rsid w:val="00A600FD"/>
    <w:rsid w:val="00A6013F"/>
    <w:rsid w:val="00A601C8"/>
    <w:rsid w:val="00A601FB"/>
    <w:rsid w:val="00A60353"/>
    <w:rsid w:val="00A604D3"/>
    <w:rsid w:val="00A606E0"/>
    <w:rsid w:val="00A607C8"/>
    <w:rsid w:val="00A60819"/>
    <w:rsid w:val="00A60830"/>
    <w:rsid w:val="00A6093C"/>
    <w:rsid w:val="00A60B34"/>
    <w:rsid w:val="00A60B45"/>
    <w:rsid w:val="00A60BE9"/>
    <w:rsid w:val="00A60C1E"/>
    <w:rsid w:val="00A60D5D"/>
    <w:rsid w:val="00A60E1F"/>
    <w:rsid w:val="00A60F54"/>
    <w:rsid w:val="00A60FD2"/>
    <w:rsid w:val="00A60FF1"/>
    <w:rsid w:val="00A611A7"/>
    <w:rsid w:val="00A613DF"/>
    <w:rsid w:val="00A61431"/>
    <w:rsid w:val="00A615E9"/>
    <w:rsid w:val="00A6167A"/>
    <w:rsid w:val="00A61693"/>
    <w:rsid w:val="00A617F6"/>
    <w:rsid w:val="00A61814"/>
    <w:rsid w:val="00A61822"/>
    <w:rsid w:val="00A618D8"/>
    <w:rsid w:val="00A6191F"/>
    <w:rsid w:val="00A6197F"/>
    <w:rsid w:val="00A61A22"/>
    <w:rsid w:val="00A61A2A"/>
    <w:rsid w:val="00A61A32"/>
    <w:rsid w:val="00A61A71"/>
    <w:rsid w:val="00A61AA9"/>
    <w:rsid w:val="00A61AD0"/>
    <w:rsid w:val="00A61B05"/>
    <w:rsid w:val="00A61B8A"/>
    <w:rsid w:val="00A61BE1"/>
    <w:rsid w:val="00A61C0B"/>
    <w:rsid w:val="00A61CC5"/>
    <w:rsid w:val="00A61D73"/>
    <w:rsid w:val="00A61E43"/>
    <w:rsid w:val="00A61F35"/>
    <w:rsid w:val="00A621D3"/>
    <w:rsid w:val="00A62265"/>
    <w:rsid w:val="00A62568"/>
    <w:rsid w:val="00A6256C"/>
    <w:rsid w:val="00A625A8"/>
    <w:rsid w:val="00A62635"/>
    <w:rsid w:val="00A626D2"/>
    <w:rsid w:val="00A628A4"/>
    <w:rsid w:val="00A62A27"/>
    <w:rsid w:val="00A62A7C"/>
    <w:rsid w:val="00A62BA0"/>
    <w:rsid w:val="00A62D97"/>
    <w:rsid w:val="00A62E1D"/>
    <w:rsid w:val="00A62EC2"/>
    <w:rsid w:val="00A630E4"/>
    <w:rsid w:val="00A630FC"/>
    <w:rsid w:val="00A6312F"/>
    <w:rsid w:val="00A63213"/>
    <w:rsid w:val="00A632CA"/>
    <w:rsid w:val="00A6333C"/>
    <w:rsid w:val="00A63368"/>
    <w:rsid w:val="00A6338B"/>
    <w:rsid w:val="00A6344A"/>
    <w:rsid w:val="00A635B2"/>
    <w:rsid w:val="00A63877"/>
    <w:rsid w:val="00A6394B"/>
    <w:rsid w:val="00A639D6"/>
    <w:rsid w:val="00A639DE"/>
    <w:rsid w:val="00A63A72"/>
    <w:rsid w:val="00A63B94"/>
    <w:rsid w:val="00A63C91"/>
    <w:rsid w:val="00A63D2C"/>
    <w:rsid w:val="00A63EE2"/>
    <w:rsid w:val="00A63EF8"/>
    <w:rsid w:val="00A63F93"/>
    <w:rsid w:val="00A63FFD"/>
    <w:rsid w:val="00A64012"/>
    <w:rsid w:val="00A64024"/>
    <w:rsid w:val="00A6405B"/>
    <w:rsid w:val="00A640E8"/>
    <w:rsid w:val="00A64303"/>
    <w:rsid w:val="00A64348"/>
    <w:rsid w:val="00A645B2"/>
    <w:rsid w:val="00A6461E"/>
    <w:rsid w:val="00A64838"/>
    <w:rsid w:val="00A64A54"/>
    <w:rsid w:val="00A64B28"/>
    <w:rsid w:val="00A64B47"/>
    <w:rsid w:val="00A64C96"/>
    <w:rsid w:val="00A64CE2"/>
    <w:rsid w:val="00A64E8F"/>
    <w:rsid w:val="00A64F95"/>
    <w:rsid w:val="00A64FB5"/>
    <w:rsid w:val="00A65085"/>
    <w:rsid w:val="00A650B4"/>
    <w:rsid w:val="00A650F3"/>
    <w:rsid w:val="00A651D9"/>
    <w:rsid w:val="00A65288"/>
    <w:rsid w:val="00A65316"/>
    <w:rsid w:val="00A653F3"/>
    <w:rsid w:val="00A65572"/>
    <w:rsid w:val="00A655AF"/>
    <w:rsid w:val="00A656B0"/>
    <w:rsid w:val="00A65723"/>
    <w:rsid w:val="00A658B7"/>
    <w:rsid w:val="00A658FE"/>
    <w:rsid w:val="00A6590D"/>
    <w:rsid w:val="00A659FD"/>
    <w:rsid w:val="00A65A6E"/>
    <w:rsid w:val="00A65B7B"/>
    <w:rsid w:val="00A65D04"/>
    <w:rsid w:val="00A65D0F"/>
    <w:rsid w:val="00A65D5C"/>
    <w:rsid w:val="00A65E29"/>
    <w:rsid w:val="00A65EA1"/>
    <w:rsid w:val="00A6600D"/>
    <w:rsid w:val="00A660D1"/>
    <w:rsid w:val="00A6616E"/>
    <w:rsid w:val="00A6622C"/>
    <w:rsid w:val="00A662D3"/>
    <w:rsid w:val="00A663B1"/>
    <w:rsid w:val="00A66698"/>
    <w:rsid w:val="00A666CB"/>
    <w:rsid w:val="00A667C1"/>
    <w:rsid w:val="00A6683D"/>
    <w:rsid w:val="00A6683E"/>
    <w:rsid w:val="00A66877"/>
    <w:rsid w:val="00A66A0A"/>
    <w:rsid w:val="00A66C2A"/>
    <w:rsid w:val="00A66C60"/>
    <w:rsid w:val="00A66CA0"/>
    <w:rsid w:val="00A66CF6"/>
    <w:rsid w:val="00A66D7C"/>
    <w:rsid w:val="00A66E48"/>
    <w:rsid w:val="00A66EDD"/>
    <w:rsid w:val="00A66F13"/>
    <w:rsid w:val="00A66F5E"/>
    <w:rsid w:val="00A6704D"/>
    <w:rsid w:val="00A670CF"/>
    <w:rsid w:val="00A67146"/>
    <w:rsid w:val="00A6719A"/>
    <w:rsid w:val="00A671C1"/>
    <w:rsid w:val="00A672EE"/>
    <w:rsid w:val="00A673F6"/>
    <w:rsid w:val="00A67426"/>
    <w:rsid w:val="00A674FA"/>
    <w:rsid w:val="00A6758E"/>
    <w:rsid w:val="00A675F5"/>
    <w:rsid w:val="00A676A6"/>
    <w:rsid w:val="00A6783A"/>
    <w:rsid w:val="00A67845"/>
    <w:rsid w:val="00A67A07"/>
    <w:rsid w:val="00A67A94"/>
    <w:rsid w:val="00A67AAE"/>
    <w:rsid w:val="00A67AB4"/>
    <w:rsid w:val="00A67AD6"/>
    <w:rsid w:val="00A67B6A"/>
    <w:rsid w:val="00A67CA7"/>
    <w:rsid w:val="00A67CF1"/>
    <w:rsid w:val="00A67E52"/>
    <w:rsid w:val="00A67E66"/>
    <w:rsid w:val="00A67EB2"/>
    <w:rsid w:val="00A67EDE"/>
    <w:rsid w:val="00A70058"/>
    <w:rsid w:val="00A7006D"/>
    <w:rsid w:val="00A7008B"/>
    <w:rsid w:val="00A70143"/>
    <w:rsid w:val="00A7023C"/>
    <w:rsid w:val="00A70360"/>
    <w:rsid w:val="00A703BA"/>
    <w:rsid w:val="00A703CB"/>
    <w:rsid w:val="00A7046A"/>
    <w:rsid w:val="00A70483"/>
    <w:rsid w:val="00A704CB"/>
    <w:rsid w:val="00A704D0"/>
    <w:rsid w:val="00A704F4"/>
    <w:rsid w:val="00A70737"/>
    <w:rsid w:val="00A708DC"/>
    <w:rsid w:val="00A708DF"/>
    <w:rsid w:val="00A7096E"/>
    <w:rsid w:val="00A70982"/>
    <w:rsid w:val="00A70B93"/>
    <w:rsid w:val="00A70CEA"/>
    <w:rsid w:val="00A70DEE"/>
    <w:rsid w:val="00A70E0F"/>
    <w:rsid w:val="00A70E92"/>
    <w:rsid w:val="00A70EA1"/>
    <w:rsid w:val="00A70EBD"/>
    <w:rsid w:val="00A70F78"/>
    <w:rsid w:val="00A71156"/>
    <w:rsid w:val="00A713D0"/>
    <w:rsid w:val="00A713DF"/>
    <w:rsid w:val="00A713F6"/>
    <w:rsid w:val="00A716BB"/>
    <w:rsid w:val="00A7174C"/>
    <w:rsid w:val="00A7175F"/>
    <w:rsid w:val="00A717CF"/>
    <w:rsid w:val="00A71862"/>
    <w:rsid w:val="00A71A0C"/>
    <w:rsid w:val="00A71A7F"/>
    <w:rsid w:val="00A71B61"/>
    <w:rsid w:val="00A71B74"/>
    <w:rsid w:val="00A71BC5"/>
    <w:rsid w:val="00A71CDE"/>
    <w:rsid w:val="00A71E1E"/>
    <w:rsid w:val="00A71E64"/>
    <w:rsid w:val="00A71E92"/>
    <w:rsid w:val="00A71F0E"/>
    <w:rsid w:val="00A7210F"/>
    <w:rsid w:val="00A721F3"/>
    <w:rsid w:val="00A722DA"/>
    <w:rsid w:val="00A7239F"/>
    <w:rsid w:val="00A723E5"/>
    <w:rsid w:val="00A724CD"/>
    <w:rsid w:val="00A7251D"/>
    <w:rsid w:val="00A72636"/>
    <w:rsid w:val="00A72658"/>
    <w:rsid w:val="00A7281F"/>
    <w:rsid w:val="00A7294B"/>
    <w:rsid w:val="00A729E5"/>
    <w:rsid w:val="00A72B46"/>
    <w:rsid w:val="00A72C9F"/>
    <w:rsid w:val="00A72D8B"/>
    <w:rsid w:val="00A72D98"/>
    <w:rsid w:val="00A72E15"/>
    <w:rsid w:val="00A72E58"/>
    <w:rsid w:val="00A72F41"/>
    <w:rsid w:val="00A72F7F"/>
    <w:rsid w:val="00A72F8C"/>
    <w:rsid w:val="00A72F94"/>
    <w:rsid w:val="00A73023"/>
    <w:rsid w:val="00A73064"/>
    <w:rsid w:val="00A73112"/>
    <w:rsid w:val="00A731F0"/>
    <w:rsid w:val="00A7331C"/>
    <w:rsid w:val="00A73398"/>
    <w:rsid w:val="00A734A9"/>
    <w:rsid w:val="00A734ED"/>
    <w:rsid w:val="00A734FF"/>
    <w:rsid w:val="00A73641"/>
    <w:rsid w:val="00A736F1"/>
    <w:rsid w:val="00A73952"/>
    <w:rsid w:val="00A7397E"/>
    <w:rsid w:val="00A73A2D"/>
    <w:rsid w:val="00A73A65"/>
    <w:rsid w:val="00A73ACD"/>
    <w:rsid w:val="00A73AD1"/>
    <w:rsid w:val="00A73AE4"/>
    <w:rsid w:val="00A73B05"/>
    <w:rsid w:val="00A73CC2"/>
    <w:rsid w:val="00A73D87"/>
    <w:rsid w:val="00A73D9F"/>
    <w:rsid w:val="00A73DC0"/>
    <w:rsid w:val="00A73DCD"/>
    <w:rsid w:val="00A73E16"/>
    <w:rsid w:val="00A74219"/>
    <w:rsid w:val="00A7424F"/>
    <w:rsid w:val="00A742A8"/>
    <w:rsid w:val="00A7435A"/>
    <w:rsid w:val="00A74364"/>
    <w:rsid w:val="00A74405"/>
    <w:rsid w:val="00A7442E"/>
    <w:rsid w:val="00A7446A"/>
    <w:rsid w:val="00A744AD"/>
    <w:rsid w:val="00A744B9"/>
    <w:rsid w:val="00A74521"/>
    <w:rsid w:val="00A7458F"/>
    <w:rsid w:val="00A7466E"/>
    <w:rsid w:val="00A7479F"/>
    <w:rsid w:val="00A74850"/>
    <w:rsid w:val="00A7489D"/>
    <w:rsid w:val="00A7493A"/>
    <w:rsid w:val="00A74949"/>
    <w:rsid w:val="00A7498F"/>
    <w:rsid w:val="00A749D7"/>
    <w:rsid w:val="00A74C8F"/>
    <w:rsid w:val="00A750C0"/>
    <w:rsid w:val="00A751C2"/>
    <w:rsid w:val="00A751CE"/>
    <w:rsid w:val="00A7536C"/>
    <w:rsid w:val="00A75480"/>
    <w:rsid w:val="00A755D1"/>
    <w:rsid w:val="00A7562B"/>
    <w:rsid w:val="00A756B2"/>
    <w:rsid w:val="00A7577B"/>
    <w:rsid w:val="00A75893"/>
    <w:rsid w:val="00A75A4B"/>
    <w:rsid w:val="00A75A9D"/>
    <w:rsid w:val="00A75B2A"/>
    <w:rsid w:val="00A75CFB"/>
    <w:rsid w:val="00A75E32"/>
    <w:rsid w:val="00A75E55"/>
    <w:rsid w:val="00A75F8B"/>
    <w:rsid w:val="00A75F95"/>
    <w:rsid w:val="00A761D9"/>
    <w:rsid w:val="00A76201"/>
    <w:rsid w:val="00A762A9"/>
    <w:rsid w:val="00A76371"/>
    <w:rsid w:val="00A7637B"/>
    <w:rsid w:val="00A76435"/>
    <w:rsid w:val="00A764AB"/>
    <w:rsid w:val="00A764AE"/>
    <w:rsid w:val="00A76545"/>
    <w:rsid w:val="00A7657A"/>
    <w:rsid w:val="00A765F0"/>
    <w:rsid w:val="00A76749"/>
    <w:rsid w:val="00A76778"/>
    <w:rsid w:val="00A767D7"/>
    <w:rsid w:val="00A76830"/>
    <w:rsid w:val="00A7692E"/>
    <w:rsid w:val="00A769F2"/>
    <w:rsid w:val="00A76C1D"/>
    <w:rsid w:val="00A76CE2"/>
    <w:rsid w:val="00A76DA8"/>
    <w:rsid w:val="00A76DF4"/>
    <w:rsid w:val="00A76E53"/>
    <w:rsid w:val="00A76F0F"/>
    <w:rsid w:val="00A76FA0"/>
    <w:rsid w:val="00A77058"/>
    <w:rsid w:val="00A77167"/>
    <w:rsid w:val="00A77267"/>
    <w:rsid w:val="00A7731E"/>
    <w:rsid w:val="00A7735A"/>
    <w:rsid w:val="00A77372"/>
    <w:rsid w:val="00A773A5"/>
    <w:rsid w:val="00A773CA"/>
    <w:rsid w:val="00A774E5"/>
    <w:rsid w:val="00A7750B"/>
    <w:rsid w:val="00A7750D"/>
    <w:rsid w:val="00A77585"/>
    <w:rsid w:val="00A7758C"/>
    <w:rsid w:val="00A77833"/>
    <w:rsid w:val="00A779C5"/>
    <w:rsid w:val="00A77A25"/>
    <w:rsid w:val="00A77ACD"/>
    <w:rsid w:val="00A77B37"/>
    <w:rsid w:val="00A77D64"/>
    <w:rsid w:val="00A77DAF"/>
    <w:rsid w:val="00A77E94"/>
    <w:rsid w:val="00A77FD6"/>
    <w:rsid w:val="00A80144"/>
    <w:rsid w:val="00A8020E"/>
    <w:rsid w:val="00A804CE"/>
    <w:rsid w:val="00A804FD"/>
    <w:rsid w:val="00A8054F"/>
    <w:rsid w:val="00A80678"/>
    <w:rsid w:val="00A80711"/>
    <w:rsid w:val="00A808A7"/>
    <w:rsid w:val="00A808F5"/>
    <w:rsid w:val="00A80901"/>
    <w:rsid w:val="00A8093E"/>
    <w:rsid w:val="00A80C1D"/>
    <w:rsid w:val="00A80C8D"/>
    <w:rsid w:val="00A80FDC"/>
    <w:rsid w:val="00A81009"/>
    <w:rsid w:val="00A8100C"/>
    <w:rsid w:val="00A81049"/>
    <w:rsid w:val="00A810AC"/>
    <w:rsid w:val="00A810DA"/>
    <w:rsid w:val="00A81212"/>
    <w:rsid w:val="00A812A2"/>
    <w:rsid w:val="00A8132D"/>
    <w:rsid w:val="00A81342"/>
    <w:rsid w:val="00A81368"/>
    <w:rsid w:val="00A8136D"/>
    <w:rsid w:val="00A81570"/>
    <w:rsid w:val="00A815FA"/>
    <w:rsid w:val="00A8161E"/>
    <w:rsid w:val="00A81644"/>
    <w:rsid w:val="00A817F2"/>
    <w:rsid w:val="00A818CE"/>
    <w:rsid w:val="00A8190A"/>
    <w:rsid w:val="00A8198D"/>
    <w:rsid w:val="00A819AF"/>
    <w:rsid w:val="00A81A46"/>
    <w:rsid w:val="00A81AD3"/>
    <w:rsid w:val="00A81B49"/>
    <w:rsid w:val="00A81BC8"/>
    <w:rsid w:val="00A81BD4"/>
    <w:rsid w:val="00A81C47"/>
    <w:rsid w:val="00A81D23"/>
    <w:rsid w:val="00A81D97"/>
    <w:rsid w:val="00A81DB3"/>
    <w:rsid w:val="00A81E23"/>
    <w:rsid w:val="00A81ECB"/>
    <w:rsid w:val="00A81F3E"/>
    <w:rsid w:val="00A81F53"/>
    <w:rsid w:val="00A820B4"/>
    <w:rsid w:val="00A82278"/>
    <w:rsid w:val="00A822DE"/>
    <w:rsid w:val="00A82329"/>
    <w:rsid w:val="00A82472"/>
    <w:rsid w:val="00A8256B"/>
    <w:rsid w:val="00A82632"/>
    <w:rsid w:val="00A82639"/>
    <w:rsid w:val="00A82660"/>
    <w:rsid w:val="00A82665"/>
    <w:rsid w:val="00A827BD"/>
    <w:rsid w:val="00A8284C"/>
    <w:rsid w:val="00A8298E"/>
    <w:rsid w:val="00A82A44"/>
    <w:rsid w:val="00A82B18"/>
    <w:rsid w:val="00A82B7B"/>
    <w:rsid w:val="00A82BC7"/>
    <w:rsid w:val="00A82C01"/>
    <w:rsid w:val="00A83096"/>
    <w:rsid w:val="00A83114"/>
    <w:rsid w:val="00A83177"/>
    <w:rsid w:val="00A83229"/>
    <w:rsid w:val="00A83326"/>
    <w:rsid w:val="00A8335A"/>
    <w:rsid w:val="00A834CA"/>
    <w:rsid w:val="00A83519"/>
    <w:rsid w:val="00A836BD"/>
    <w:rsid w:val="00A8371B"/>
    <w:rsid w:val="00A838A5"/>
    <w:rsid w:val="00A838A7"/>
    <w:rsid w:val="00A83938"/>
    <w:rsid w:val="00A83972"/>
    <w:rsid w:val="00A83A0B"/>
    <w:rsid w:val="00A83A36"/>
    <w:rsid w:val="00A83A60"/>
    <w:rsid w:val="00A83A73"/>
    <w:rsid w:val="00A83B1F"/>
    <w:rsid w:val="00A83DB1"/>
    <w:rsid w:val="00A83E2D"/>
    <w:rsid w:val="00A83E4E"/>
    <w:rsid w:val="00A83F3D"/>
    <w:rsid w:val="00A84107"/>
    <w:rsid w:val="00A841EB"/>
    <w:rsid w:val="00A84248"/>
    <w:rsid w:val="00A8427C"/>
    <w:rsid w:val="00A8429E"/>
    <w:rsid w:val="00A842FD"/>
    <w:rsid w:val="00A843FC"/>
    <w:rsid w:val="00A8448B"/>
    <w:rsid w:val="00A847C7"/>
    <w:rsid w:val="00A848AF"/>
    <w:rsid w:val="00A848DB"/>
    <w:rsid w:val="00A84956"/>
    <w:rsid w:val="00A84979"/>
    <w:rsid w:val="00A8497C"/>
    <w:rsid w:val="00A84A31"/>
    <w:rsid w:val="00A84A56"/>
    <w:rsid w:val="00A84AEE"/>
    <w:rsid w:val="00A84C48"/>
    <w:rsid w:val="00A84CD4"/>
    <w:rsid w:val="00A84D0D"/>
    <w:rsid w:val="00A84DC3"/>
    <w:rsid w:val="00A84EEC"/>
    <w:rsid w:val="00A85086"/>
    <w:rsid w:val="00A850D1"/>
    <w:rsid w:val="00A850FB"/>
    <w:rsid w:val="00A85153"/>
    <w:rsid w:val="00A851CD"/>
    <w:rsid w:val="00A8523F"/>
    <w:rsid w:val="00A852C5"/>
    <w:rsid w:val="00A852D1"/>
    <w:rsid w:val="00A852D2"/>
    <w:rsid w:val="00A852E3"/>
    <w:rsid w:val="00A853CF"/>
    <w:rsid w:val="00A853FD"/>
    <w:rsid w:val="00A8547F"/>
    <w:rsid w:val="00A85518"/>
    <w:rsid w:val="00A856C7"/>
    <w:rsid w:val="00A85732"/>
    <w:rsid w:val="00A85756"/>
    <w:rsid w:val="00A8581A"/>
    <w:rsid w:val="00A85857"/>
    <w:rsid w:val="00A8586F"/>
    <w:rsid w:val="00A8590E"/>
    <w:rsid w:val="00A8595E"/>
    <w:rsid w:val="00A85A15"/>
    <w:rsid w:val="00A85A6F"/>
    <w:rsid w:val="00A85AEC"/>
    <w:rsid w:val="00A85B37"/>
    <w:rsid w:val="00A85B52"/>
    <w:rsid w:val="00A85BD0"/>
    <w:rsid w:val="00A85E03"/>
    <w:rsid w:val="00A85EF4"/>
    <w:rsid w:val="00A85F0D"/>
    <w:rsid w:val="00A85F27"/>
    <w:rsid w:val="00A86042"/>
    <w:rsid w:val="00A86151"/>
    <w:rsid w:val="00A863D5"/>
    <w:rsid w:val="00A8653A"/>
    <w:rsid w:val="00A865C2"/>
    <w:rsid w:val="00A86643"/>
    <w:rsid w:val="00A8671B"/>
    <w:rsid w:val="00A86750"/>
    <w:rsid w:val="00A86847"/>
    <w:rsid w:val="00A86921"/>
    <w:rsid w:val="00A86985"/>
    <w:rsid w:val="00A8698C"/>
    <w:rsid w:val="00A869D9"/>
    <w:rsid w:val="00A86A73"/>
    <w:rsid w:val="00A86AEC"/>
    <w:rsid w:val="00A86B0C"/>
    <w:rsid w:val="00A86C0F"/>
    <w:rsid w:val="00A86C2D"/>
    <w:rsid w:val="00A86C53"/>
    <w:rsid w:val="00A86C91"/>
    <w:rsid w:val="00A86CA0"/>
    <w:rsid w:val="00A86D19"/>
    <w:rsid w:val="00A86D5E"/>
    <w:rsid w:val="00A86EC7"/>
    <w:rsid w:val="00A86F0B"/>
    <w:rsid w:val="00A86F39"/>
    <w:rsid w:val="00A86FE3"/>
    <w:rsid w:val="00A87026"/>
    <w:rsid w:val="00A8702B"/>
    <w:rsid w:val="00A871A5"/>
    <w:rsid w:val="00A8720A"/>
    <w:rsid w:val="00A8723E"/>
    <w:rsid w:val="00A87296"/>
    <w:rsid w:val="00A8738D"/>
    <w:rsid w:val="00A87440"/>
    <w:rsid w:val="00A87485"/>
    <w:rsid w:val="00A875F9"/>
    <w:rsid w:val="00A876E1"/>
    <w:rsid w:val="00A878F2"/>
    <w:rsid w:val="00A879F7"/>
    <w:rsid w:val="00A87A1F"/>
    <w:rsid w:val="00A87CB8"/>
    <w:rsid w:val="00A87D2A"/>
    <w:rsid w:val="00A87D67"/>
    <w:rsid w:val="00A87DAA"/>
    <w:rsid w:val="00A87F57"/>
    <w:rsid w:val="00A87FB4"/>
    <w:rsid w:val="00A900C0"/>
    <w:rsid w:val="00A90197"/>
    <w:rsid w:val="00A9019B"/>
    <w:rsid w:val="00A90390"/>
    <w:rsid w:val="00A9052C"/>
    <w:rsid w:val="00A906A0"/>
    <w:rsid w:val="00A90816"/>
    <w:rsid w:val="00A9094B"/>
    <w:rsid w:val="00A909B1"/>
    <w:rsid w:val="00A90A9B"/>
    <w:rsid w:val="00A90F19"/>
    <w:rsid w:val="00A90F77"/>
    <w:rsid w:val="00A9105E"/>
    <w:rsid w:val="00A9107F"/>
    <w:rsid w:val="00A910B0"/>
    <w:rsid w:val="00A9112E"/>
    <w:rsid w:val="00A9115F"/>
    <w:rsid w:val="00A911F3"/>
    <w:rsid w:val="00A911F5"/>
    <w:rsid w:val="00A91248"/>
    <w:rsid w:val="00A912B7"/>
    <w:rsid w:val="00A91347"/>
    <w:rsid w:val="00A91457"/>
    <w:rsid w:val="00A91505"/>
    <w:rsid w:val="00A91536"/>
    <w:rsid w:val="00A915E5"/>
    <w:rsid w:val="00A916AC"/>
    <w:rsid w:val="00A916BE"/>
    <w:rsid w:val="00A9171C"/>
    <w:rsid w:val="00A917BA"/>
    <w:rsid w:val="00A91822"/>
    <w:rsid w:val="00A91826"/>
    <w:rsid w:val="00A91869"/>
    <w:rsid w:val="00A9188D"/>
    <w:rsid w:val="00A918C8"/>
    <w:rsid w:val="00A918C9"/>
    <w:rsid w:val="00A9194D"/>
    <w:rsid w:val="00A91A0D"/>
    <w:rsid w:val="00A91A93"/>
    <w:rsid w:val="00A91AC5"/>
    <w:rsid w:val="00A91BA1"/>
    <w:rsid w:val="00A91C6E"/>
    <w:rsid w:val="00A91D0D"/>
    <w:rsid w:val="00A91E66"/>
    <w:rsid w:val="00A9206F"/>
    <w:rsid w:val="00A920D7"/>
    <w:rsid w:val="00A920ED"/>
    <w:rsid w:val="00A92133"/>
    <w:rsid w:val="00A921E4"/>
    <w:rsid w:val="00A922B1"/>
    <w:rsid w:val="00A923C1"/>
    <w:rsid w:val="00A924B8"/>
    <w:rsid w:val="00A9252C"/>
    <w:rsid w:val="00A925F8"/>
    <w:rsid w:val="00A927AF"/>
    <w:rsid w:val="00A9291C"/>
    <w:rsid w:val="00A92969"/>
    <w:rsid w:val="00A929BF"/>
    <w:rsid w:val="00A92A4F"/>
    <w:rsid w:val="00A92ADA"/>
    <w:rsid w:val="00A92B7D"/>
    <w:rsid w:val="00A92EF4"/>
    <w:rsid w:val="00A9301C"/>
    <w:rsid w:val="00A9302F"/>
    <w:rsid w:val="00A93064"/>
    <w:rsid w:val="00A930D2"/>
    <w:rsid w:val="00A932F7"/>
    <w:rsid w:val="00A935EB"/>
    <w:rsid w:val="00A93669"/>
    <w:rsid w:val="00A93982"/>
    <w:rsid w:val="00A9399A"/>
    <w:rsid w:val="00A93BEE"/>
    <w:rsid w:val="00A93C6C"/>
    <w:rsid w:val="00A93CE6"/>
    <w:rsid w:val="00A93D38"/>
    <w:rsid w:val="00A93E22"/>
    <w:rsid w:val="00A93E4B"/>
    <w:rsid w:val="00A93ECA"/>
    <w:rsid w:val="00A93FEE"/>
    <w:rsid w:val="00A94165"/>
    <w:rsid w:val="00A941E4"/>
    <w:rsid w:val="00A94234"/>
    <w:rsid w:val="00A9428B"/>
    <w:rsid w:val="00A9428D"/>
    <w:rsid w:val="00A942FE"/>
    <w:rsid w:val="00A94502"/>
    <w:rsid w:val="00A94564"/>
    <w:rsid w:val="00A94876"/>
    <w:rsid w:val="00A94889"/>
    <w:rsid w:val="00A949ED"/>
    <w:rsid w:val="00A949F2"/>
    <w:rsid w:val="00A94B68"/>
    <w:rsid w:val="00A94BD8"/>
    <w:rsid w:val="00A94C3E"/>
    <w:rsid w:val="00A94DF8"/>
    <w:rsid w:val="00A94EC3"/>
    <w:rsid w:val="00A94F0D"/>
    <w:rsid w:val="00A94FFF"/>
    <w:rsid w:val="00A9503D"/>
    <w:rsid w:val="00A9509E"/>
    <w:rsid w:val="00A9513D"/>
    <w:rsid w:val="00A95156"/>
    <w:rsid w:val="00A951A7"/>
    <w:rsid w:val="00A951CE"/>
    <w:rsid w:val="00A95298"/>
    <w:rsid w:val="00A956C1"/>
    <w:rsid w:val="00A95755"/>
    <w:rsid w:val="00A95846"/>
    <w:rsid w:val="00A9597F"/>
    <w:rsid w:val="00A95983"/>
    <w:rsid w:val="00A959DD"/>
    <w:rsid w:val="00A95A93"/>
    <w:rsid w:val="00A95AB1"/>
    <w:rsid w:val="00A95BBC"/>
    <w:rsid w:val="00A95CF8"/>
    <w:rsid w:val="00A95D48"/>
    <w:rsid w:val="00A95EA2"/>
    <w:rsid w:val="00A95F56"/>
    <w:rsid w:val="00A95F85"/>
    <w:rsid w:val="00A95FA7"/>
    <w:rsid w:val="00A96002"/>
    <w:rsid w:val="00A9609B"/>
    <w:rsid w:val="00A963DC"/>
    <w:rsid w:val="00A965B0"/>
    <w:rsid w:val="00A96612"/>
    <w:rsid w:val="00A966A1"/>
    <w:rsid w:val="00A96740"/>
    <w:rsid w:val="00A96784"/>
    <w:rsid w:val="00A96793"/>
    <w:rsid w:val="00A9679B"/>
    <w:rsid w:val="00A9689D"/>
    <w:rsid w:val="00A968E9"/>
    <w:rsid w:val="00A96A31"/>
    <w:rsid w:val="00A96BD5"/>
    <w:rsid w:val="00A96D22"/>
    <w:rsid w:val="00A96D59"/>
    <w:rsid w:val="00A96DCC"/>
    <w:rsid w:val="00A96E89"/>
    <w:rsid w:val="00A9703B"/>
    <w:rsid w:val="00A97085"/>
    <w:rsid w:val="00A970E1"/>
    <w:rsid w:val="00A971A6"/>
    <w:rsid w:val="00A971B0"/>
    <w:rsid w:val="00A971C8"/>
    <w:rsid w:val="00A971DD"/>
    <w:rsid w:val="00A974DD"/>
    <w:rsid w:val="00A9761A"/>
    <w:rsid w:val="00A97675"/>
    <w:rsid w:val="00A977AB"/>
    <w:rsid w:val="00A9788E"/>
    <w:rsid w:val="00A97990"/>
    <w:rsid w:val="00A97A05"/>
    <w:rsid w:val="00A97A90"/>
    <w:rsid w:val="00A97AF2"/>
    <w:rsid w:val="00A97C4D"/>
    <w:rsid w:val="00A97D63"/>
    <w:rsid w:val="00A97E58"/>
    <w:rsid w:val="00A97FD3"/>
    <w:rsid w:val="00A97FD6"/>
    <w:rsid w:val="00A97FF8"/>
    <w:rsid w:val="00A9E4BC"/>
    <w:rsid w:val="00AA00CA"/>
    <w:rsid w:val="00AA00F0"/>
    <w:rsid w:val="00AA0131"/>
    <w:rsid w:val="00AA018E"/>
    <w:rsid w:val="00AA0214"/>
    <w:rsid w:val="00AA0270"/>
    <w:rsid w:val="00AA0411"/>
    <w:rsid w:val="00AA04CA"/>
    <w:rsid w:val="00AA04E6"/>
    <w:rsid w:val="00AA0693"/>
    <w:rsid w:val="00AA06A4"/>
    <w:rsid w:val="00AA07B6"/>
    <w:rsid w:val="00AA085F"/>
    <w:rsid w:val="00AA0878"/>
    <w:rsid w:val="00AA0908"/>
    <w:rsid w:val="00AA0BC1"/>
    <w:rsid w:val="00AA0BC6"/>
    <w:rsid w:val="00AA0C33"/>
    <w:rsid w:val="00AA0CE7"/>
    <w:rsid w:val="00AA0D08"/>
    <w:rsid w:val="00AA0D3E"/>
    <w:rsid w:val="00AA0D63"/>
    <w:rsid w:val="00AA0EAD"/>
    <w:rsid w:val="00AA0FF8"/>
    <w:rsid w:val="00AA1070"/>
    <w:rsid w:val="00AA10AF"/>
    <w:rsid w:val="00AA1190"/>
    <w:rsid w:val="00AA1200"/>
    <w:rsid w:val="00AA1226"/>
    <w:rsid w:val="00AA123F"/>
    <w:rsid w:val="00AA1275"/>
    <w:rsid w:val="00AA13BC"/>
    <w:rsid w:val="00AA15D5"/>
    <w:rsid w:val="00AA1722"/>
    <w:rsid w:val="00AA1802"/>
    <w:rsid w:val="00AA181B"/>
    <w:rsid w:val="00AA1834"/>
    <w:rsid w:val="00AA18F8"/>
    <w:rsid w:val="00AA1926"/>
    <w:rsid w:val="00AA19C8"/>
    <w:rsid w:val="00AA1A8B"/>
    <w:rsid w:val="00AA1AA9"/>
    <w:rsid w:val="00AA1C43"/>
    <w:rsid w:val="00AA1DD1"/>
    <w:rsid w:val="00AA1E94"/>
    <w:rsid w:val="00AA1ECD"/>
    <w:rsid w:val="00AA1ED6"/>
    <w:rsid w:val="00AA1FBC"/>
    <w:rsid w:val="00AA20AD"/>
    <w:rsid w:val="00AA20D7"/>
    <w:rsid w:val="00AA2206"/>
    <w:rsid w:val="00AA23CF"/>
    <w:rsid w:val="00AA2441"/>
    <w:rsid w:val="00AA2450"/>
    <w:rsid w:val="00AA257F"/>
    <w:rsid w:val="00AA2607"/>
    <w:rsid w:val="00AA264D"/>
    <w:rsid w:val="00AA26D2"/>
    <w:rsid w:val="00AA2716"/>
    <w:rsid w:val="00AA293B"/>
    <w:rsid w:val="00AA29D3"/>
    <w:rsid w:val="00AA2A0A"/>
    <w:rsid w:val="00AA2B41"/>
    <w:rsid w:val="00AA2C79"/>
    <w:rsid w:val="00AA2C9A"/>
    <w:rsid w:val="00AA2DBC"/>
    <w:rsid w:val="00AA31FE"/>
    <w:rsid w:val="00AA3213"/>
    <w:rsid w:val="00AA324F"/>
    <w:rsid w:val="00AA32BD"/>
    <w:rsid w:val="00AA335A"/>
    <w:rsid w:val="00AA3362"/>
    <w:rsid w:val="00AA345E"/>
    <w:rsid w:val="00AA349E"/>
    <w:rsid w:val="00AA34BF"/>
    <w:rsid w:val="00AA34C7"/>
    <w:rsid w:val="00AA358D"/>
    <w:rsid w:val="00AA3630"/>
    <w:rsid w:val="00AA3692"/>
    <w:rsid w:val="00AA36C0"/>
    <w:rsid w:val="00AA3715"/>
    <w:rsid w:val="00AA374C"/>
    <w:rsid w:val="00AA376D"/>
    <w:rsid w:val="00AA3823"/>
    <w:rsid w:val="00AA3B62"/>
    <w:rsid w:val="00AA3CAD"/>
    <w:rsid w:val="00AA3D3F"/>
    <w:rsid w:val="00AA3DE7"/>
    <w:rsid w:val="00AA3E24"/>
    <w:rsid w:val="00AA4091"/>
    <w:rsid w:val="00AA4116"/>
    <w:rsid w:val="00AA412C"/>
    <w:rsid w:val="00AA4196"/>
    <w:rsid w:val="00AA41CA"/>
    <w:rsid w:val="00AA41D7"/>
    <w:rsid w:val="00AA4229"/>
    <w:rsid w:val="00AA4271"/>
    <w:rsid w:val="00AA42F9"/>
    <w:rsid w:val="00AA4309"/>
    <w:rsid w:val="00AA432F"/>
    <w:rsid w:val="00AA435B"/>
    <w:rsid w:val="00AA43C1"/>
    <w:rsid w:val="00AA43E2"/>
    <w:rsid w:val="00AA442C"/>
    <w:rsid w:val="00AA449B"/>
    <w:rsid w:val="00AA4606"/>
    <w:rsid w:val="00AA4665"/>
    <w:rsid w:val="00AA46E2"/>
    <w:rsid w:val="00AA4771"/>
    <w:rsid w:val="00AA4810"/>
    <w:rsid w:val="00AA4868"/>
    <w:rsid w:val="00AA4908"/>
    <w:rsid w:val="00AA4ABD"/>
    <w:rsid w:val="00AA4C52"/>
    <w:rsid w:val="00AA4C9A"/>
    <w:rsid w:val="00AA4CD8"/>
    <w:rsid w:val="00AA4E26"/>
    <w:rsid w:val="00AA4EBB"/>
    <w:rsid w:val="00AA4F01"/>
    <w:rsid w:val="00AA4F22"/>
    <w:rsid w:val="00AA4F95"/>
    <w:rsid w:val="00AA50C8"/>
    <w:rsid w:val="00AA50CA"/>
    <w:rsid w:val="00AA50D0"/>
    <w:rsid w:val="00AA5202"/>
    <w:rsid w:val="00AA5307"/>
    <w:rsid w:val="00AA53A3"/>
    <w:rsid w:val="00AA53C3"/>
    <w:rsid w:val="00AA56E0"/>
    <w:rsid w:val="00AA574E"/>
    <w:rsid w:val="00AA575F"/>
    <w:rsid w:val="00AA578A"/>
    <w:rsid w:val="00AA57A1"/>
    <w:rsid w:val="00AA582C"/>
    <w:rsid w:val="00AA5848"/>
    <w:rsid w:val="00AA58B5"/>
    <w:rsid w:val="00AA58D6"/>
    <w:rsid w:val="00AA5993"/>
    <w:rsid w:val="00AA59B5"/>
    <w:rsid w:val="00AA5A22"/>
    <w:rsid w:val="00AA5A26"/>
    <w:rsid w:val="00AA5BC2"/>
    <w:rsid w:val="00AA5D23"/>
    <w:rsid w:val="00AA5D31"/>
    <w:rsid w:val="00AA5FBB"/>
    <w:rsid w:val="00AA6012"/>
    <w:rsid w:val="00AA6084"/>
    <w:rsid w:val="00AA60FD"/>
    <w:rsid w:val="00AA6113"/>
    <w:rsid w:val="00AA632F"/>
    <w:rsid w:val="00AA6485"/>
    <w:rsid w:val="00AA6580"/>
    <w:rsid w:val="00AA66CE"/>
    <w:rsid w:val="00AA677E"/>
    <w:rsid w:val="00AA67B6"/>
    <w:rsid w:val="00AA682D"/>
    <w:rsid w:val="00AA685C"/>
    <w:rsid w:val="00AA68CA"/>
    <w:rsid w:val="00AA69AF"/>
    <w:rsid w:val="00AA6CFC"/>
    <w:rsid w:val="00AA6D32"/>
    <w:rsid w:val="00AA6D53"/>
    <w:rsid w:val="00AA6E14"/>
    <w:rsid w:val="00AA6E19"/>
    <w:rsid w:val="00AA6E2D"/>
    <w:rsid w:val="00AA6ED3"/>
    <w:rsid w:val="00AA6EDE"/>
    <w:rsid w:val="00AA6F2F"/>
    <w:rsid w:val="00AA6F3C"/>
    <w:rsid w:val="00AA6F68"/>
    <w:rsid w:val="00AA6F88"/>
    <w:rsid w:val="00AA703C"/>
    <w:rsid w:val="00AA7040"/>
    <w:rsid w:val="00AA70B2"/>
    <w:rsid w:val="00AA7112"/>
    <w:rsid w:val="00AA72E4"/>
    <w:rsid w:val="00AA72F8"/>
    <w:rsid w:val="00AA730F"/>
    <w:rsid w:val="00AA731A"/>
    <w:rsid w:val="00AA7423"/>
    <w:rsid w:val="00AA7657"/>
    <w:rsid w:val="00AA76C5"/>
    <w:rsid w:val="00AA77F7"/>
    <w:rsid w:val="00AA7819"/>
    <w:rsid w:val="00AA78BB"/>
    <w:rsid w:val="00AA7910"/>
    <w:rsid w:val="00AA798A"/>
    <w:rsid w:val="00AA7AB0"/>
    <w:rsid w:val="00AA7AFD"/>
    <w:rsid w:val="00AA7C23"/>
    <w:rsid w:val="00AA7C4F"/>
    <w:rsid w:val="00AA7CCA"/>
    <w:rsid w:val="00AA7CED"/>
    <w:rsid w:val="00AA7D1F"/>
    <w:rsid w:val="00AA7D25"/>
    <w:rsid w:val="00AA7E29"/>
    <w:rsid w:val="00AA7F50"/>
    <w:rsid w:val="00AA7F8E"/>
    <w:rsid w:val="00AB01EB"/>
    <w:rsid w:val="00AB0260"/>
    <w:rsid w:val="00AB02BA"/>
    <w:rsid w:val="00AB02E6"/>
    <w:rsid w:val="00AB02F3"/>
    <w:rsid w:val="00AB0465"/>
    <w:rsid w:val="00AB0468"/>
    <w:rsid w:val="00AB059E"/>
    <w:rsid w:val="00AB0658"/>
    <w:rsid w:val="00AB080F"/>
    <w:rsid w:val="00AB0896"/>
    <w:rsid w:val="00AB0A25"/>
    <w:rsid w:val="00AB0A27"/>
    <w:rsid w:val="00AB0B10"/>
    <w:rsid w:val="00AB0B8D"/>
    <w:rsid w:val="00AB0BB3"/>
    <w:rsid w:val="00AB0CE8"/>
    <w:rsid w:val="00AB0CE9"/>
    <w:rsid w:val="00AB0D81"/>
    <w:rsid w:val="00AB0D83"/>
    <w:rsid w:val="00AB0F9D"/>
    <w:rsid w:val="00AB0FFC"/>
    <w:rsid w:val="00AB1136"/>
    <w:rsid w:val="00AB1184"/>
    <w:rsid w:val="00AB122A"/>
    <w:rsid w:val="00AB13E6"/>
    <w:rsid w:val="00AB1599"/>
    <w:rsid w:val="00AB1682"/>
    <w:rsid w:val="00AB16CA"/>
    <w:rsid w:val="00AB1784"/>
    <w:rsid w:val="00AB186D"/>
    <w:rsid w:val="00AB18B3"/>
    <w:rsid w:val="00AB19C6"/>
    <w:rsid w:val="00AB1ADA"/>
    <w:rsid w:val="00AB1B5A"/>
    <w:rsid w:val="00AB1B79"/>
    <w:rsid w:val="00AB1C0A"/>
    <w:rsid w:val="00AB1D30"/>
    <w:rsid w:val="00AB1D61"/>
    <w:rsid w:val="00AB1E4E"/>
    <w:rsid w:val="00AB1EA0"/>
    <w:rsid w:val="00AB1EF4"/>
    <w:rsid w:val="00AB1F6E"/>
    <w:rsid w:val="00AB2231"/>
    <w:rsid w:val="00AB2237"/>
    <w:rsid w:val="00AB226C"/>
    <w:rsid w:val="00AB229B"/>
    <w:rsid w:val="00AB2419"/>
    <w:rsid w:val="00AB25ED"/>
    <w:rsid w:val="00AB25FE"/>
    <w:rsid w:val="00AB27B4"/>
    <w:rsid w:val="00AB28A4"/>
    <w:rsid w:val="00AB28CE"/>
    <w:rsid w:val="00AB2910"/>
    <w:rsid w:val="00AB29C6"/>
    <w:rsid w:val="00AB2A28"/>
    <w:rsid w:val="00AB2A36"/>
    <w:rsid w:val="00AB2A9C"/>
    <w:rsid w:val="00AB2B3C"/>
    <w:rsid w:val="00AB2B46"/>
    <w:rsid w:val="00AB2C24"/>
    <w:rsid w:val="00AB2DD7"/>
    <w:rsid w:val="00AB2E12"/>
    <w:rsid w:val="00AB2FA3"/>
    <w:rsid w:val="00AB30C8"/>
    <w:rsid w:val="00AB3253"/>
    <w:rsid w:val="00AB371A"/>
    <w:rsid w:val="00AB378C"/>
    <w:rsid w:val="00AB3790"/>
    <w:rsid w:val="00AB37DE"/>
    <w:rsid w:val="00AB382A"/>
    <w:rsid w:val="00AB39EA"/>
    <w:rsid w:val="00AB3AB1"/>
    <w:rsid w:val="00AB3B67"/>
    <w:rsid w:val="00AB3C42"/>
    <w:rsid w:val="00AB3D49"/>
    <w:rsid w:val="00AB3EA5"/>
    <w:rsid w:val="00AB3EF6"/>
    <w:rsid w:val="00AB4013"/>
    <w:rsid w:val="00AB4081"/>
    <w:rsid w:val="00AB41E2"/>
    <w:rsid w:val="00AB431A"/>
    <w:rsid w:val="00AB461B"/>
    <w:rsid w:val="00AB4645"/>
    <w:rsid w:val="00AB4651"/>
    <w:rsid w:val="00AB4735"/>
    <w:rsid w:val="00AB487E"/>
    <w:rsid w:val="00AB4889"/>
    <w:rsid w:val="00AB49AD"/>
    <w:rsid w:val="00AB4AAC"/>
    <w:rsid w:val="00AB4D75"/>
    <w:rsid w:val="00AB505A"/>
    <w:rsid w:val="00AB5069"/>
    <w:rsid w:val="00AB50B0"/>
    <w:rsid w:val="00AB50E6"/>
    <w:rsid w:val="00AB513D"/>
    <w:rsid w:val="00AB52FE"/>
    <w:rsid w:val="00AB53F9"/>
    <w:rsid w:val="00AB5426"/>
    <w:rsid w:val="00AB5491"/>
    <w:rsid w:val="00AB54B1"/>
    <w:rsid w:val="00AB54BB"/>
    <w:rsid w:val="00AB54BF"/>
    <w:rsid w:val="00AB54E8"/>
    <w:rsid w:val="00AB55E9"/>
    <w:rsid w:val="00AB5628"/>
    <w:rsid w:val="00AB5787"/>
    <w:rsid w:val="00AB5867"/>
    <w:rsid w:val="00AB5894"/>
    <w:rsid w:val="00AB5AB3"/>
    <w:rsid w:val="00AB5AF5"/>
    <w:rsid w:val="00AB5B39"/>
    <w:rsid w:val="00AB5BE0"/>
    <w:rsid w:val="00AB5C9C"/>
    <w:rsid w:val="00AB5DA9"/>
    <w:rsid w:val="00AB5DCD"/>
    <w:rsid w:val="00AB5E4E"/>
    <w:rsid w:val="00AB5EE1"/>
    <w:rsid w:val="00AB5F7D"/>
    <w:rsid w:val="00AB5FC1"/>
    <w:rsid w:val="00AB6068"/>
    <w:rsid w:val="00AB606D"/>
    <w:rsid w:val="00AB60A1"/>
    <w:rsid w:val="00AB61CD"/>
    <w:rsid w:val="00AB6240"/>
    <w:rsid w:val="00AB63F1"/>
    <w:rsid w:val="00AB6474"/>
    <w:rsid w:val="00AB64FF"/>
    <w:rsid w:val="00AB65C6"/>
    <w:rsid w:val="00AB65CD"/>
    <w:rsid w:val="00AB66B7"/>
    <w:rsid w:val="00AB66E2"/>
    <w:rsid w:val="00AB6704"/>
    <w:rsid w:val="00AB690E"/>
    <w:rsid w:val="00AB697E"/>
    <w:rsid w:val="00AB6AC8"/>
    <w:rsid w:val="00AB6B82"/>
    <w:rsid w:val="00AB6B96"/>
    <w:rsid w:val="00AB6BC0"/>
    <w:rsid w:val="00AB6C10"/>
    <w:rsid w:val="00AB6CF7"/>
    <w:rsid w:val="00AB6EEA"/>
    <w:rsid w:val="00AB71BD"/>
    <w:rsid w:val="00AB71D3"/>
    <w:rsid w:val="00AB71D8"/>
    <w:rsid w:val="00AB72E0"/>
    <w:rsid w:val="00AB7375"/>
    <w:rsid w:val="00AB737C"/>
    <w:rsid w:val="00AB739F"/>
    <w:rsid w:val="00AB7462"/>
    <w:rsid w:val="00AB74A0"/>
    <w:rsid w:val="00AB759F"/>
    <w:rsid w:val="00AB75B9"/>
    <w:rsid w:val="00AB75C0"/>
    <w:rsid w:val="00AB7643"/>
    <w:rsid w:val="00AB7744"/>
    <w:rsid w:val="00AB7750"/>
    <w:rsid w:val="00AB776B"/>
    <w:rsid w:val="00AB7806"/>
    <w:rsid w:val="00AB7828"/>
    <w:rsid w:val="00AB795D"/>
    <w:rsid w:val="00AB7A3C"/>
    <w:rsid w:val="00AB7B35"/>
    <w:rsid w:val="00AB7CD9"/>
    <w:rsid w:val="00AB7CEF"/>
    <w:rsid w:val="00AB7D09"/>
    <w:rsid w:val="00AB7DCF"/>
    <w:rsid w:val="00AB7EEB"/>
    <w:rsid w:val="00AB7FD8"/>
    <w:rsid w:val="00AC0006"/>
    <w:rsid w:val="00AC0008"/>
    <w:rsid w:val="00AC0026"/>
    <w:rsid w:val="00AC00A0"/>
    <w:rsid w:val="00AC0390"/>
    <w:rsid w:val="00AC039C"/>
    <w:rsid w:val="00AC03A4"/>
    <w:rsid w:val="00AC03C5"/>
    <w:rsid w:val="00AC0549"/>
    <w:rsid w:val="00AC06A2"/>
    <w:rsid w:val="00AC07BB"/>
    <w:rsid w:val="00AC07F4"/>
    <w:rsid w:val="00AC0847"/>
    <w:rsid w:val="00AC0890"/>
    <w:rsid w:val="00AC08B0"/>
    <w:rsid w:val="00AC08BE"/>
    <w:rsid w:val="00AC097D"/>
    <w:rsid w:val="00AC0AA3"/>
    <w:rsid w:val="00AC0ABE"/>
    <w:rsid w:val="00AC0AE9"/>
    <w:rsid w:val="00AC0B33"/>
    <w:rsid w:val="00AC0BE9"/>
    <w:rsid w:val="00AC0C36"/>
    <w:rsid w:val="00AC0DD6"/>
    <w:rsid w:val="00AC0E73"/>
    <w:rsid w:val="00AC0E94"/>
    <w:rsid w:val="00AC0FF2"/>
    <w:rsid w:val="00AC10D5"/>
    <w:rsid w:val="00AC111C"/>
    <w:rsid w:val="00AC1150"/>
    <w:rsid w:val="00AC133A"/>
    <w:rsid w:val="00AC1471"/>
    <w:rsid w:val="00AC1487"/>
    <w:rsid w:val="00AC1494"/>
    <w:rsid w:val="00AC1498"/>
    <w:rsid w:val="00AC152D"/>
    <w:rsid w:val="00AC15C8"/>
    <w:rsid w:val="00AC15F6"/>
    <w:rsid w:val="00AC16AC"/>
    <w:rsid w:val="00AC16C2"/>
    <w:rsid w:val="00AC1795"/>
    <w:rsid w:val="00AC1935"/>
    <w:rsid w:val="00AC1A0A"/>
    <w:rsid w:val="00AC1CDC"/>
    <w:rsid w:val="00AC1CE1"/>
    <w:rsid w:val="00AC1CF6"/>
    <w:rsid w:val="00AC1E05"/>
    <w:rsid w:val="00AC1EAA"/>
    <w:rsid w:val="00AC1F02"/>
    <w:rsid w:val="00AC1F48"/>
    <w:rsid w:val="00AC220B"/>
    <w:rsid w:val="00AC2212"/>
    <w:rsid w:val="00AC23EE"/>
    <w:rsid w:val="00AC242D"/>
    <w:rsid w:val="00AC24C0"/>
    <w:rsid w:val="00AC24D6"/>
    <w:rsid w:val="00AC251A"/>
    <w:rsid w:val="00AC2561"/>
    <w:rsid w:val="00AC26BF"/>
    <w:rsid w:val="00AC27DF"/>
    <w:rsid w:val="00AC2813"/>
    <w:rsid w:val="00AC290D"/>
    <w:rsid w:val="00AC2919"/>
    <w:rsid w:val="00AC293E"/>
    <w:rsid w:val="00AC2A40"/>
    <w:rsid w:val="00AC2AB9"/>
    <w:rsid w:val="00AC2AE8"/>
    <w:rsid w:val="00AC2BBE"/>
    <w:rsid w:val="00AC2BE5"/>
    <w:rsid w:val="00AC2CF6"/>
    <w:rsid w:val="00AC2D74"/>
    <w:rsid w:val="00AC2D95"/>
    <w:rsid w:val="00AC2DB1"/>
    <w:rsid w:val="00AC2E36"/>
    <w:rsid w:val="00AC2E7A"/>
    <w:rsid w:val="00AC2EE4"/>
    <w:rsid w:val="00AC2F23"/>
    <w:rsid w:val="00AC2FBB"/>
    <w:rsid w:val="00AC3060"/>
    <w:rsid w:val="00AC30C8"/>
    <w:rsid w:val="00AC30CD"/>
    <w:rsid w:val="00AC31A8"/>
    <w:rsid w:val="00AC31C2"/>
    <w:rsid w:val="00AC3254"/>
    <w:rsid w:val="00AC330E"/>
    <w:rsid w:val="00AC369A"/>
    <w:rsid w:val="00AC36AF"/>
    <w:rsid w:val="00AC3731"/>
    <w:rsid w:val="00AC3753"/>
    <w:rsid w:val="00AC376F"/>
    <w:rsid w:val="00AC37DE"/>
    <w:rsid w:val="00AC3832"/>
    <w:rsid w:val="00AC383B"/>
    <w:rsid w:val="00AC384B"/>
    <w:rsid w:val="00AC39D5"/>
    <w:rsid w:val="00AC3A5C"/>
    <w:rsid w:val="00AC3AA7"/>
    <w:rsid w:val="00AC3BA2"/>
    <w:rsid w:val="00AC3BEC"/>
    <w:rsid w:val="00AC3D30"/>
    <w:rsid w:val="00AC3DE9"/>
    <w:rsid w:val="00AC3E51"/>
    <w:rsid w:val="00AC3EB1"/>
    <w:rsid w:val="00AC3EBE"/>
    <w:rsid w:val="00AC3F38"/>
    <w:rsid w:val="00AC409F"/>
    <w:rsid w:val="00AC40D6"/>
    <w:rsid w:val="00AC418B"/>
    <w:rsid w:val="00AC41FE"/>
    <w:rsid w:val="00AC431E"/>
    <w:rsid w:val="00AC438C"/>
    <w:rsid w:val="00AC43A4"/>
    <w:rsid w:val="00AC4478"/>
    <w:rsid w:val="00AC4846"/>
    <w:rsid w:val="00AC48A9"/>
    <w:rsid w:val="00AC4966"/>
    <w:rsid w:val="00AC4968"/>
    <w:rsid w:val="00AC4D2B"/>
    <w:rsid w:val="00AC4D6F"/>
    <w:rsid w:val="00AC4D7E"/>
    <w:rsid w:val="00AC5173"/>
    <w:rsid w:val="00AC518F"/>
    <w:rsid w:val="00AC523A"/>
    <w:rsid w:val="00AC5278"/>
    <w:rsid w:val="00AC52B9"/>
    <w:rsid w:val="00AC531B"/>
    <w:rsid w:val="00AC532D"/>
    <w:rsid w:val="00AC5395"/>
    <w:rsid w:val="00AC5436"/>
    <w:rsid w:val="00AC54BB"/>
    <w:rsid w:val="00AC54D5"/>
    <w:rsid w:val="00AC559B"/>
    <w:rsid w:val="00AC5806"/>
    <w:rsid w:val="00AC588D"/>
    <w:rsid w:val="00AC59FB"/>
    <w:rsid w:val="00AC5B84"/>
    <w:rsid w:val="00AC5BB2"/>
    <w:rsid w:val="00AC5C4C"/>
    <w:rsid w:val="00AC5C50"/>
    <w:rsid w:val="00AC5D59"/>
    <w:rsid w:val="00AC5DF3"/>
    <w:rsid w:val="00AC5E94"/>
    <w:rsid w:val="00AC5F0E"/>
    <w:rsid w:val="00AC5FC5"/>
    <w:rsid w:val="00AC6034"/>
    <w:rsid w:val="00AC604C"/>
    <w:rsid w:val="00AC6066"/>
    <w:rsid w:val="00AC6071"/>
    <w:rsid w:val="00AC609A"/>
    <w:rsid w:val="00AC60F1"/>
    <w:rsid w:val="00AC613D"/>
    <w:rsid w:val="00AC61B5"/>
    <w:rsid w:val="00AC62C4"/>
    <w:rsid w:val="00AC6327"/>
    <w:rsid w:val="00AC6387"/>
    <w:rsid w:val="00AC6447"/>
    <w:rsid w:val="00AC64A4"/>
    <w:rsid w:val="00AC660B"/>
    <w:rsid w:val="00AC664A"/>
    <w:rsid w:val="00AC66A8"/>
    <w:rsid w:val="00AC672A"/>
    <w:rsid w:val="00AC6771"/>
    <w:rsid w:val="00AC67D0"/>
    <w:rsid w:val="00AC68B8"/>
    <w:rsid w:val="00AC68C6"/>
    <w:rsid w:val="00AC6983"/>
    <w:rsid w:val="00AC6999"/>
    <w:rsid w:val="00AC69BB"/>
    <w:rsid w:val="00AC69BE"/>
    <w:rsid w:val="00AC6A58"/>
    <w:rsid w:val="00AC6C85"/>
    <w:rsid w:val="00AC6D3D"/>
    <w:rsid w:val="00AC6DF7"/>
    <w:rsid w:val="00AC6F8D"/>
    <w:rsid w:val="00AC716C"/>
    <w:rsid w:val="00AC723E"/>
    <w:rsid w:val="00AC72E8"/>
    <w:rsid w:val="00AC756C"/>
    <w:rsid w:val="00AC7578"/>
    <w:rsid w:val="00AC7677"/>
    <w:rsid w:val="00AC783D"/>
    <w:rsid w:val="00AC7859"/>
    <w:rsid w:val="00AC7CC7"/>
    <w:rsid w:val="00AC7EBC"/>
    <w:rsid w:val="00AC7F5D"/>
    <w:rsid w:val="00AC7F61"/>
    <w:rsid w:val="00AD003F"/>
    <w:rsid w:val="00AD00E7"/>
    <w:rsid w:val="00AD0101"/>
    <w:rsid w:val="00AD0150"/>
    <w:rsid w:val="00AD01B0"/>
    <w:rsid w:val="00AD021C"/>
    <w:rsid w:val="00AD0343"/>
    <w:rsid w:val="00AD0346"/>
    <w:rsid w:val="00AD03B6"/>
    <w:rsid w:val="00AD0661"/>
    <w:rsid w:val="00AD0662"/>
    <w:rsid w:val="00AD06DF"/>
    <w:rsid w:val="00AD0804"/>
    <w:rsid w:val="00AD0834"/>
    <w:rsid w:val="00AD0973"/>
    <w:rsid w:val="00AD097A"/>
    <w:rsid w:val="00AD098B"/>
    <w:rsid w:val="00AD0BAD"/>
    <w:rsid w:val="00AD0C6B"/>
    <w:rsid w:val="00AD0CAD"/>
    <w:rsid w:val="00AD0D10"/>
    <w:rsid w:val="00AD0DE4"/>
    <w:rsid w:val="00AD0F5F"/>
    <w:rsid w:val="00AD1036"/>
    <w:rsid w:val="00AD1181"/>
    <w:rsid w:val="00AD1238"/>
    <w:rsid w:val="00AD1283"/>
    <w:rsid w:val="00AD12CE"/>
    <w:rsid w:val="00AD13A7"/>
    <w:rsid w:val="00AD1413"/>
    <w:rsid w:val="00AD1430"/>
    <w:rsid w:val="00AD14CA"/>
    <w:rsid w:val="00AD1598"/>
    <w:rsid w:val="00AD15EE"/>
    <w:rsid w:val="00AD17D8"/>
    <w:rsid w:val="00AD1818"/>
    <w:rsid w:val="00AD1862"/>
    <w:rsid w:val="00AD1A0F"/>
    <w:rsid w:val="00AD1A1F"/>
    <w:rsid w:val="00AD1A4A"/>
    <w:rsid w:val="00AD1B49"/>
    <w:rsid w:val="00AD1C14"/>
    <w:rsid w:val="00AD1C31"/>
    <w:rsid w:val="00AD1CBE"/>
    <w:rsid w:val="00AD1D65"/>
    <w:rsid w:val="00AD1DD9"/>
    <w:rsid w:val="00AD1FBF"/>
    <w:rsid w:val="00AD1FE2"/>
    <w:rsid w:val="00AD20D7"/>
    <w:rsid w:val="00AD20EC"/>
    <w:rsid w:val="00AD20FD"/>
    <w:rsid w:val="00AD2160"/>
    <w:rsid w:val="00AD21DC"/>
    <w:rsid w:val="00AD2237"/>
    <w:rsid w:val="00AD22F9"/>
    <w:rsid w:val="00AD23E9"/>
    <w:rsid w:val="00AD240D"/>
    <w:rsid w:val="00AD2427"/>
    <w:rsid w:val="00AD256B"/>
    <w:rsid w:val="00AD2775"/>
    <w:rsid w:val="00AD29C2"/>
    <w:rsid w:val="00AD29E4"/>
    <w:rsid w:val="00AD2A45"/>
    <w:rsid w:val="00AD2A84"/>
    <w:rsid w:val="00AD2A8D"/>
    <w:rsid w:val="00AD2CA0"/>
    <w:rsid w:val="00AD2CD9"/>
    <w:rsid w:val="00AD2DEF"/>
    <w:rsid w:val="00AD2E1E"/>
    <w:rsid w:val="00AD2F19"/>
    <w:rsid w:val="00AD2F67"/>
    <w:rsid w:val="00AD2F84"/>
    <w:rsid w:val="00AD306B"/>
    <w:rsid w:val="00AD30F6"/>
    <w:rsid w:val="00AD310A"/>
    <w:rsid w:val="00AD322C"/>
    <w:rsid w:val="00AD3287"/>
    <w:rsid w:val="00AD3331"/>
    <w:rsid w:val="00AD3393"/>
    <w:rsid w:val="00AD3473"/>
    <w:rsid w:val="00AD34BC"/>
    <w:rsid w:val="00AD3703"/>
    <w:rsid w:val="00AD370A"/>
    <w:rsid w:val="00AD379F"/>
    <w:rsid w:val="00AD37EC"/>
    <w:rsid w:val="00AD388B"/>
    <w:rsid w:val="00AD3976"/>
    <w:rsid w:val="00AD39B3"/>
    <w:rsid w:val="00AD3B33"/>
    <w:rsid w:val="00AD3C6D"/>
    <w:rsid w:val="00AD3D4F"/>
    <w:rsid w:val="00AD3E21"/>
    <w:rsid w:val="00AD3FA8"/>
    <w:rsid w:val="00AD4095"/>
    <w:rsid w:val="00AD40B3"/>
    <w:rsid w:val="00AD4172"/>
    <w:rsid w:val="00AD4185"/>
    <w:rsid w:val="00AD4215"/>
    <w:rsid w:val="00AD43AB"/>
    <w:rsid w:val="00AD4723"/>
    <w:rsid w:val="00AD47DF"/>
    <w:rsid w:val="00AD48C7"/>
    <w:rsid w:val="00AD4922"/>
    <w:rsid w:val="00AD4AD2"/>
    <w:rsid w:val="00AD4C52"/>
    <w:rsid w:val="00AD4CC8"/>
    <w:rsid w:val="00AD4CE6"/>
    <w:rsid w:val="00AD4CF6"/>
    <w:rsid w:val="00AD4E71"/>
    <w:rsid w:val="00AD4F01"/>
    <w:rsid w:val="00AD4F33"/>
    <w:rsid w:val="00AD500E"/>
    <w:rsid w:val="00AD5184"/>
    <w:rsid w:val="00AD522C"/>
    <w:rsid w:val="00AD527A"/>
    <w:rsid w:val="00AD5455"/>
    <w:rsid w:val="00AD54C0"/>
    <w:rsid w:val="00AD55F0"/>
    <w:rsid w:val="00AD55F7"/>
    <w:rsid w:val="00AD5651"/>
    <w:rsid w:val="00AD5775"/>
    <w:rsid w:val="00AD578E"/>
    <w:rsid w:val="00AD57D8"/>
    <w:rsid w:val="00AD586F"/>
    <w:rsid w:val="00AD58CD"/>
    <w:rsid w:val="00AD5AF9"/>
    <w:rsid w:val="00AD5AFA"/>
    <w:rsid w:val="00AD5C63"/>
    <w:rsid w:val="00AD5F15"/>
    <w:rsid w:val="00AD5F2A"/>
    <w:rsid w:val="00AD5FD5"/>
    <w:rsid w:val="00AD6019"/>
    <w:rsid w:val="00AD618D"/>
    <w:rsid w:val="00AD61B3"/>
    <w:rsid w:val="00AD621A"/>
    <w:rsid w:val="00AD64D1"/>
    <w:rsid w:val="00AD64E8"/>
    <w:rsid w:val="00AD6512"/>
    <w:rsid w:val="00AD667D"/>
    <w:rsid w:val="00AD66D8"/>
    <w:rsid w:val="00AD66F7"/>
    <w:rsid w:val="00AD6736"/>
    <w:rsid w:val="00AD67D8"/>
    <w:rsid w:val="00AD67FE"/>
    <w:rsid w:val="00AD6825"/>
    <w:rsid w:val="00AD6975"/>
    <w:rsid w:val="00AD699B"/>
    <w:rsid w:val="00AD69FB"/>
    <w:rsid w:val="00AD6CBC"/>
    <w:rsid w:val="00AD6D7D"/>
    <w:rsid w:val="00AD6D94"/>
    <w:rsid w:val="00AD6DB4"/>
    <w:rsid w:val="00AD6E96"/>
    <w:rsid w:val="00AD6EB4"/>
    <w:rsid w:val="00AD6F05"/>
    <w:rsid w:val="00AD6F86"/>
    <w:rsid w:val="00AD7128"/>
    <w:rsid w:val="00AD7133"/>
    <w:rsid w:val="00AD71B7"/>
    <w:rsid w:val="00AD71B9"/>
    <w:rsid w:val="00AD72DF"/>
    <w:rsid w:val="00AD72E2"/>
    <w:rsid w:val="00AD72EA"/>
    <w:rsid w:val="00AD7472"/>
    <w:rsid w:val="00AD747F"/>
    <w:rsid w:val="00AD7481"/>
    <w:rsid w:val="00AD75BF"/>
    <w:rsid w:val="00AD769A"/>
    <w:rsid w:val="00AD781D"/>
    <w:rsid w:val="00AD78CC"/>
    <w:rsid w:val="00AD7A2A"/>
    <w:rsid w:val="00AD7A89"/>
    <w:rsid w:val="00AD7B35"/>
    <w:rsid w:val="00AD7C05"/>
    <w:rsid w:val="00AD7C4D"/>
    <w:rsid w:val="00AD7CEC"/>
    <w:rsid w:val="00AD7F22"/>
    <w:rsid w:val="00AD7F4D"/>
    <w:rsid w:val="00AE0012"/>
    <w:rsid w:val="00AE0023"/>
    <w:rsid w:val="00AE0059"/>
    <w:rsid w:val="00AE011D"/>
    <w:rsid w:val="00AE025F"/>
    <w:rsid w:val="00AE0263"/>
    <w:rsid w:val="00AE02A8"/>
    <w:rsid w:val="00AE032C"/>
    <w:rsid w:val="00AE039A"/>
    <w:rsid w:val="00AE03ED"/>
    <w:rsid w:val="00AE0413"/>
    <w:rsid w:val="00AE0478"/>
    <w:rsid w:val="00AE04E3"/>
    <w:rsid w:val="00AE05FD"/>
    <w:rsid w:val="00AE061E"/>
    <w:rsid w:val="00AE065A"/>
    <w:rsid w:val="00AE06D0"/>
    <w:rsid w:val="00AE0865"/>
    <w:rsid w:val="00AE088D"/>
    <w:rsid w:val="00AE0967"/>
    <w:rsid w:val="00AE0A31"/>
    <w:rsid w:val="00AE0A5C"/>
    <w:rsid w:val="00AE0A77"/>
    <w:rsid w:val="00AE0B0A"/>
    <w:rsid w:val="00AE0BE2"/>
    <w:rsid w:val="00AE0CB6"/>
    <w:rsid w:val="00AE0EDD"/>
    <w:rsid w:val="00AE0EE7"/>
    <w:rsid w:val="00AE1134"/>
    <w:rsid w:val="00AE123B"/>
    <w:rsid w:val="00AE1454"/>
    <w:rsid w:val="00AE147C"/>
    <w:rsid w:val="00AE15B3"/>
    <w:rsid w:val="00AE15B8"/>
    <w:rsid w:val="00AE161D"/>
    <w:rsid w:val="00AE1704"/>
    <w:rsid w:val="00AE17C7"/>
    <w:rsid w:val="00AE19AD"/>
    <w:rsid w:val="00AE19CD"/>
    <w:rsid w:val="00AE1AD7"/>
    <w:rsid w:val="00AE1B64"/>
    <w:rsid w:val="00AE1C12"/>
    <w:rsid w:val="00AE1D64"/>
    <w:rsid w:val="00AE1F2F"/>
    <w:rsid w:val="00AE1FC2"/>
    <w:rsid w:val="00AE208D"/>
    <w:rsid w:val="00AE2168"/>
    <w:rsid w:val="00AE219B"/>
    <w:rsid w:val="00AE2219"/>
    <w:rsid w:val="00AE227D"/>
    <w:rsid w:val="00AE2309"/>
    <w:rsid w:val="00AE2362"/>
    <w:rsid w:val="00AE23F0"/>
    <w:rsid w:val="00AE2404"/>
    <w:rsid w:val="00AE24A7"/>
    <w:rsid w:val="00AE257A"/>
    <w:rsid w:val="00AE2607"/>
    <w:rsid w:val="00AE26A4"/>
    <w:rsid w:val="00AE26FC"/>
    <w:rsid w:val="00AE276A"/>
    <w:rsid w:val="00AE281A"/>
    <w:rsid w:val="00AE2831"/>
    <w:rsid w:val="00AE284D"/>
    <w:rsid w:val="00AE2A54"/>
    <w:rsid w:val="00AE2BB9"/>
    <w:rsid w:val="00AE2F1C"/>
    <w:rsid w:val="00AE2FC5"/>
    <w:rsid w:val="00AE31C0"/>
    <w:rsid w:val="00AE322B"/>
    <w:rsid w:val="00AE3281"/>
    <w:rsid w:val="00AE32A4"/>
    <w:rsid w:val="00AE32AA"/>
    <w:rsid w:val="00AE346C"/>
    <w:rsid w:val="00AE3585"/>
    <w:rsid w:val="00AE362E"/>
    <w:rsid w:val="00AE3633"/>
    <w:rsid w:val="00AE364F"/>
    <w:rsid w:val="00AE37AD"/>
    <w:rsid w:val="00AE37E6"/>
    <w:rsid w:val="00AE384D"/>
    <w:rsid w:val="00AE3873"/>
    <w:rsid w:val="00AE38CC"/>
    <w:rsid w:val="00AE3970"/>
    <w:rsid w:val="00AE399E"/>
    <w:rsid w:val="00AE3B0B"/>
    <w:rsid w:val="00AE3B13"/>
    <w:rsid w:val="00AE3B35"/>
    <w:rsid w:val="00AE3B7A"/>
    <w:rsid w:val="00AE3CF2"/>
    <w:rsid w:val="00AE3D70"/>
    <w:rsid w:val="00AE3DAB"/>
    <w:rsid w:val="00AE3DAC"/>
    <w:rsid w:val="00AE3DC9"/>
    <w:rsid w:val="00AE3EA4"/>
    <w:rsid w:val="00AE3F78"/>
    <w:rsid w:val="00AE4063"/>
    <w:rsid w:val="00AE406A"/>
    <w:rsid w:val="00AE4177"/>
    <w:rsid w:val="00AE4197"/>
    <w:rsid w:val="00AE41C1"/>
    <w:rsid w:val="00AE4453"/>
    <w:rsid w:val="00AE452B"/>
    <w:rsid w:val="00AE4551"/>
    <w:rsid w:val="00AE4583"/>
    <w:rsid w:val="00AE4585"/>
    <w:rsid w:val="00AE46A8"/>
    <w:rsid w:val="00AE475D"/>
    <w:rsid w:val="00AE48CD"/>
    <w:rsid w:val="00AE4A07"/>
    <w:rsid w:val="00AE4A3C"/>
    <w:rsid w:val="00AE4AF1"/>
    <w:rsid w:val="00AE4BAC"/>
    <w:rsid w:val="00AE4BF2"/>
    <w:rsid w:val="00AE4BFA"/>
    <w:rsid w:val="00AE4C16"/>
    <w:rsid w:val="00AE4C2B"/>
    <w:rsid w:val="00AE4C63"/>
    <w:rsid w:val="00AE4C75"/>
    <w:rsid w:val="00AE4CB5"/>
    <w:rsid w:val="00AE4CE4"/>
    <w:rsid w:val="00AE4F59"/>
    <w:rsid w:val="00AE4FC4"/>
    <w:rsid w:val="00AE5011"/>
    <w:rsid w:val="00AE520E"/>
    <w:rsid w:val="00AE52B9"/>
    <w:rsid w:val="00AE54B9"/>
    <w:rsid w:val="00AE55EF"/>
    <w:rsid w:val="00AE5800"/>
    <w:rsid w:val="00AE58B1"/>
    <w:rsid w:val="00AE595E"/>
    <w:rsid w:val="00AE5A89"/>
    <w:rsid w:val="00AE5B5A"/>
    <w:rsid w:val="00AE5C5A"/>
    <w:rsid w:val="00AE5D6E"/>
    <w:rsid w:val="00AE5DC2"/>
    <w:rsid w:val="00AE5E47"/>
    <w:rsid w:val="00AE5FC3"/>
    <w:rsid w:val="00AE5FC8"/>
    <w:rsid w:val="00AE60DB"/>
    <w:rsid w:val="00AE60F6"/>
    <w:rsid w:val="00AE6213"/>
    <w:rsid w:val="00AE62D4"/>
    <w:rsid w:val="00AE639B"/>
    <w:rsid w:val="00AE6449"/>
    <w:rsid w:val="00AE6553"/>
    <w:rsid w:val="00AE6619"/>
    <w:rsid w:val="00AE6745"/>
    <w:rsid w:val="00AE6748"/>
    <w:rsid w:val="00AE6771"/>
    <w:rsid w:val="00AE67C4"/>
    <w:rsid w:val="00AE6898"/>
    <w:rsid w:val="00AE6981"/>
    <w:rsid w:val="00AE69D9"/>
    <w:rsid w:val="00AE69FB"/>
    <w:rsid w:val="00AE6A55"/>
    <w:rsid w:val="00AE6AC6"/>
    <w:rsid w:val="00AE6B2F"/>
    <w:rsid w:val="00AE6BE2"/>
    <w:rsid w:val="00AE6DC4"/>
    <w:rsid w:val="00AE6EA7"/>
    <w:rsid w:val="00AE6F6C"/>
    <w:rsid w:val="00AE7104"/>
    <w:rsid w:val="00AE712F"/>
    <w:rsid w:val="00AE7234"/>
    <w:rsid w:val="00AE7240"/>
    <w:rsid w:val="00AE7256"/>
    <w:rsid w:val="00AE7272"/>
    <w:rsid w:val="00AE7293"/>
    <w:rsid w:val="00AE7297"/>
    <w:rsid w:val="00AE72BF"/>
    <w:rsid w:val="00AE7451"/>
    <w:rsid w:val="00AE74E3"/>
    <w:rsid w:val="00AE7552"/>
    <w:rsid w:val="00AE760E"/>
    <w:rsid w:val="00AE7981"/>
    <w:rsid w:val="00AE79C5"/>
    <w:rsid w:val="00AE7A4B"/>
    <w:rsid w:val="00AE7A99"/>
    <w:rsid w:val="00AE7B10"/>
    <w:rsid w:val="00AE7B96"/>
    <w:rsid w:val="00AE7BD5"/>
    <w:rsid w:val="00AE7D85"/>
    <w:rsid w:val="00AE7E39"/>
    <w:rsid w:val="00AE7ED0"/>
    <w:rsid w:val="00AE7F2B"/>
    <w:rsid w:val="00AE7F33"/>
    <w:rsid w:val="00AF003A"/>
    <w:rsid w:val="00AF010F"/>
    <w:rsid w:val="00AF021C"/>
    <w:rsid w:val="00AF022B"/>
    <w:rsid w:val="00AF0330"/>
    <w:rsid w:val="00AF0352"/>
    <w:rsid w:val="00AF0358"/>
    <w:rsid w:val="00AF06BB"/>
    <w:rsid w:val="00AF076E"/>
    <w:rsid w:val="00AF0887"/>
    <w:rsid w:val="00AF08A9"/>
    <w:rsid w:val="00AF08CB"/>
    <w:rsid w:val="00AF096E"/>
    <w:rsid w:val="00AF0988"/>
    <w:rsid w:val="00AF09A2"/>
    <w:rsid w:val="00AF09B1"/>
    <w:rsid w:val="00AF0B4D"/>
    <w:rsid w:val="00AF0C0B"/>
    <w:rsid w:val="00AF0CC7"/>
    <w:rsid w:val="00AF0FD0"/>
    <w:rsid w:val="00AF1099"/>
    <w:rsid w:val="00AF10A7"/>
    <w:rsid w:val="00AF11BF"/>
    <w:rsid w:val="00AF11D8"/>
    <w:rsid w:val="00AF11E0"/>
    <w:rsid w:val="00AF12E8"/>
    <w:rsid w:val="00AF130D"/>
    <w:rsid w:val="00AF1375"/>
    <w:rsid w:val="00AF1573"/>
    <w:rsid w:val="00AF16FF"/>
    <w:rsid w:val="00AF181C"/>
    <w:rsid w:val="00AF1887"/>
    <w:rsid w:val="00AF1973"/>
    <w:rsid w:val="00AF19C8"/>
    <w:rsid w:val="00AF19CB"/>
    <w:rsid w:val="00AF19F9"/>
    <w:rsid w:val="00AF1C40"/>
    <w:rsid w:val="00AF1C9D"/>
    <w:rsid w:val="00AF1CF4"/>
    <w:rsid w:val="00AF1CFD"/>
    <w:rsid w:val="00AF1D5A"/>
    <w:rsid w:val="00AF1E8C"/>
    <w:rsid w:val="00AF1FC9"/>
    <w:rsid w:val="00AF1FF4"/>
    <w:rsid w:val="00AF2023"/>
    <w:rsid w:val="00AF2089"/>
    <w:rsid w:val="00AF2203"/>
    <w:rsid w:val="00AF2273"/>
    <w:rsid w:val="00AF2372"/>
    <w:rsid w:val="00AF23D9"/>
    <w:rsid w:val="00AF2500"/>
    <w:rsid w:val="00AF250F"/>
    <w:rsid w:val="00AF2530"/>
    <w:rsid w:val="00AF25CD"/>
    <w:rsid w:val="00AF25F6"/>
    <w:rsid w:val="00AF2615"/>
    <w:rsid w:val="00AF264B"/>
    <w:rsid w:val="00AF2759"/>
    <w:rsid w:val="00AF278E"/>
    <w:rsid w:val="00AF27F0"/>
    <w:rsid w:val="00AF28B0"/>
    <w:rsid w:val="00AF2A0B"/>
    <w:rsid w:val="00AF2B53"/>
    <w:rsid w:val="00AF2BCB"/>
    <w:rsid w:val="00AF2C09"/>
    <w:rsid w:val="00AF2C46"/>
    <w:rsid w:val="00AF2C8B"/>
    <w:rsid w:val="00AF2CF9"/>
    <w:rsid w:val="00AF2D01"/>
    <w:rsid w:val="00AF2DC1"/>
    <w:rsid w:val="00AF2DFB"/>
    <w:rsid w:val="00AF2E3F"/>
    <w:rsid w:val="00AF2E8F"/>
    <w:rsid w:val="00AF2F42"/>
    <w:rsid w:val="00AF2F70"/>
    <w:rsid w:val="00AF308E"/>
    <w:rsid w:val="00AF30E7"/>
    <w:rsid w:val="00AF311D"/>
    <w:rsid w:val="00AF319B"/>
    <w:rsid w:val="00AF32A9"/>
    <w:rsid w:val="00AF34DB"/>
    <w:rsid w:val="00AF356F"/>
    <w:rsid w:val="00AF35C2"/>
    <w:rsid w:val="00AF35C6"/>
    <w:rsid w:val="00AF3602"/>
    <w:rsid w:val="00AF378C"/>
    <w:rsid w:val="00AF37CA"/>
    <w:rsid w:val="00AF3818"/>
    <w:rsid w:val="00AF3837"/>
    <w:rsid w:val="00AF398C"/>
    <w:rsid w:val="00AF39A8"/>
    <w:rsid w:val="00AF3A28"/>
    <w:rsid w:val="00AF3AA4"/>
    <w:rsid w:val="00AF3AE8"/>
    <w:rsid w:val="00AF3AFB"/>
    <w:rsid w:val="00AF3B44"/>
    <w:rsid w:val="00AF3BA3"/>
    <w:rsid w:val="00AF3C93"/>
    <w:rsid w:val="00AF3D20"/>
    <w:rsid w:val="00AF3D62"/>
    <w:rsid w:val="00AF3E93"/>
    <w:rsid w:val="00AF3ECC"/>
    <w:rsid w:val="00AF3FB9"/>
    <w:rsid w:val="00AF4144"/>
    <w:rsid w:val="00AF43C7"/>
    <w:rsid w:val="00AF43EF"/>
    <w:rsid w:val="00AF4478"/>
    <w:rsid w:val="00AF454F"/>
    <w:rsid w:val="00AF4597"/>
    <w:rsid w:val="00AF45D3"/>
    <w:rsid w:val="00AF45D8"/>
    <w:rsid w:val="00AF464E"/>
    <w:rsid w:val="00AF47E8"/>
    <w:rsid w:val="00AF48F9"/>
    <w:rsid w:val="00AF4A45"/>
    <w:rsid w:val="00AF4B76"/>
    <w:rsid w:val="00AF4BFF"/>
    <w:rsid w:val="00AF4CF6"/>
    <w:rsid w:val="00AF4D13"/>
    <w:rsid w:val="00AF4D37"/>
    <w:rsid w:val="00AF4D9B"/>
    <w:rsid w:val="00AF4FDE"/>
    <w:rsid w:val="00AF5028"/>
    <w:rsid w:val="00AF5172"/>
    <w:rsid w:val="00AF5374"/>
    <w:rsid w:val="00AF544C"/>
    <w:rsid w:val="00AF559B"/>
    <w:rsid w:val="00AF55C7"/>
    <w:rsid w:val="00AF55CB"/>
    <w:rsid w:val="00AF579C"/>
    <w:rsid w:val="00AF57FA"/>
    <w:rsid w:val="00AF5A30"/>
    <w:rsid w:val="00AF5A4B"/>
    <w:rsid w:val="00AF5ACF"/>
    <w:rsid w:val="00AF5B8D"/>
    <w:rsid w:val="00AF5C02"/>
    <w:rsid w:val="00AF5C33"/>
    <w:rsid w:val="00AF5C99"/>
    <w:rsid w:val="00AF5CEB"/>
    <w:rsid w:val="00AF5E4C"/>
    <w:rsid w:val="00AF5FDA"/>
    <w:rsid w:val="00AF6044"/>
    <w:rsid w:val="00AF6075"/>
    <w:rsid w:val="00AF61B3"/>
    <w:rsid w:val="00AF6204"/>
    <w:rsid w:val="00AF63FC"/>
    <w:rsid w:val="00AF653A"/>
    <w:rsid w:val="00AF6684"/>
    <w:rsid w:val="00AF66FE"/>
    <w:rsid w:val="00AF674A"/>
    <w:rsid w:val="00AF680C"/>
    <w:rsid w:val="00AF6834"/>
    <w:rsid w:val="00AF6880"/>
    <w:rsid w:val="00AF6932"/>
    <w:rsid w:val="00AF69AC"/>
    <w:rsid w:val="00AF6BA0"/>
    <w:rsid w:val="00AF6C11"/>
    <w:rsid w:val="00AF6C46"/>
    <w:rsid w:val="00AF6CFB"/>
    <w:rsid w:val="00AF6D28"/>
    <w:rsid w:val="00AF6E66"/>
    <w:rsid w:val="00AF6F46"/>
    <w:rsid w:val="00AF6FB2"/>
    <w:rsid w:val="00AF70DC"/>
    <w:rsid w:val="00AF712E"/>
    <w:rsid w:val="00AF723B"/>
    <w:rsid w:val="00AF726F"/>
    <w:rsid w:val="00AF72D3"/>
    <w:rsid w:val="00AF73AE"/>
    <w:rsid w:val="00AF742C"/>
    <w:rsid w:val="00AF746E"/>
    <w:rsid w:val="00AF74B0"/>
    <w:rsid w:val="00AF751A"/>
    <w:rsid w:val="00AF758B"/>
    <w:rsid w:val="00AF7596"/>
    <w:rsid w:val="00AF75D5"/>
    <w:rsid w:val="00AF7669"/>
    <w:rsid w:val="00AF77C9"/>
    <w:rsid w:val="00AF7838"/>
    <w:rsid w:val="00AF7940"/>
    <w:rsid w:val="00AF7979"/>
    <w:rsid w:val="00AF79B8"/>
    <w:rsid w:val="00AF7A8C"/>
    <w:rsid w:val="00AF7B94"/>
    <w:rsid w:val="00AF7CB2"/>
    <w:rsid w:val="00AF7D76"/>
    <w:rsid w:val="00B000AD"/>
    <w:rsid w:val="00B000EE"/>
    <w:rsid w:val="00B001B3"/>
    <w:rsid w:val="00B00233"/>
    <w:rsid w:val="00B002C0"/>
    <w:rsid w:val="00B0052B"/>
    <w:rsid w:val="00B00567"/>
    <w:rsid w:val="00B005FA"/>
    <w:rsid w:val="00B0063A"/>
    <w:rsid w:val="00B006AC"/>
    <w:rsid w:val="00B00899"/>
    <w:rsid w:val="00B0099E"/>
    <w:rsid w:val="00B00A82"/>
    <w:rsid w:val="00B00AAF"/>
    <w:rsid w:val="00B00C9D"/>
    <w:rsid w:val="00B00CA1"/>
    <w:rsid w:val="00B00CD0"/>
    <w:rsid w:val="00B00D26"/>
    <w:rsid w:val="00B00D2D"/>
    <w:rsid w:val="00B00D9E"/>
    <w:rsid w:val="00B00E49"/>
    <w:rsid w:val="00B00F51"/>
    <w:rsid w:val="00B00F5C"/>
    <w:rsid w:val="00B010EA"/>
    <w:rsid w:val="00B011DD"/>
    <w:rsid w:val="00B01204"/>
    <w:rsid w:val="00B01254"/>
    <w:rsid w:val="00B01306"/>
    <w:rsid w:val="00B01387"/>
    <w:rsid w:val="00B013F3"/>
    <w:rsid w:val="00B01448"/>
    <w:rsid w:val="00B0149D"/>
    <w:rsid w:val="00B016B6"/>
    <w:rsid w:val="00B01831"/>
    <w:rsid w:val="00B0194A"/>
    <w:rsid w:val="00B01AF5"/>
    <w:rsid w:val="00B01B79"/>
    <w:rsid w:val="00B01C36"/>
    <w:rsid w:val="00B01C3A"/>
    <w:rsid w:val="00B01CF8"/>
    <w:rsid w:val="00B01EA0"/>
    <w:rsid w:val="00B01F6D"/>
    <w:rsid w:val="00B01F77"/>
    <w:rsid w:val="00B02127"/>
    <w:rsid w:val="00B022D4"/>
    <w:rsid w:val="00B022F8"/>
    <w:rsid w:val="00B0232C"/>
    <w:rsid w:val="00B02351"/>
    <w:rsid w:val="00B0242B"/>
    <w:rsid w:val="00B02494"/>
    <w:rsid w:val="00B02610"/>
    <w:rsid w:val="00B0263A"/>
    <w:rsid w:val="00B0267A"/>
    <w:rsid w:val="00B026B5"/>
    <w:rsid w:val="00B0274A"/>
    <w:rsid w:val="00B027FE"/>
    <w:rsid w:val="00B028B8"/>
    <w:rsid w:val="00B028F1"/>
    <w:rsid w:val="00B0293E"/>
    <w:rsid w:val="00B02EB6"/>
    <w:rsid w:val="00B03031"/>
    <w:rsid w:val="00B031A4"/>
    <w:rsid w:val="00B033F6"/>
    <w:rsid w:val="00B034DA"/>
    <w:rsid w:val="00B0350A"/>
    <w:rsid w:val="00B0386E"/>
    <w:rsid w:val="00B038BD"/>
    <w:rsid w:val="00B03A46"/>
    <w:rsid w:val="00B03A6D"/>
    <w:rsid w:val="00B03ABC"/>
    <w:rsid w:val="00B03C02"/>
    <w:rsid w:val="00B03CA8"/>
    <w:rsid w:val="00B03E8E"/>
    <w:rsid w:val="00B040D5"/>
    <w:rsid w:val="00B042A3"/>
    <w:rsid w:val="00B045DB"/>
    <w:rsid w:val="00B046D0"/>
    <w:rsid w:val="00B04720"/>
    <w:rsid w:val="00B047AB"/>
    <w:rsid w:val="00B04845"/>
    <w:rsid w:val="00B048A1"/>
    <w:rsid w:val="00B048DC"/>
    <w:rsid w:val="00B04A2D"/>
    <w:rsid w:val="00B04A8F"/>
    <w:rsid w:val="00B04BEC"/>
    <w:rsid w:val="00B04CB6"/>
    <w:rsid w:val="00B04D7E"/>
    <w:rsid w:val="00B04D85"/>
    <w:rsid w:val="00B04E82"/>
    <w:rsid w:val="00B05075"/>
    <w:rsid w:val="00B050D4"/>
    <w:rsid w:val="00B050E6"/>
    <w:rsid w:val="00B05234"/>
    <w:rsid w:val="00B05243"/>
    <w:rsid w:val="00B0526F"/>
    <w:rsid w:val="00B052A7"/>
    <w:rsid w:val="00B0532A"/>
    <w:rsid w:val="00B05391"/>
    <w:rsid w:val="00B053B0"/>
    <w:rsid w:val="00B05470"/>
    <w:rsid w:val="00B054CC"/>
    <w:rsid w:val="00B0554E"/>
    <w:rsid w:val="00B05629"/>
    <w:rsid w:val="00B0572F"/>
    <w:rsid w:val="00B0593D"/>
    <w:rsid w:val="00B059A8"/>
    <w:rsid w:val="00B059B3"/>
    <w:rsid w:val="00B059DE"/>
    <w:rsid w:val="00B05A3F"/>
    <w:rsid w:val="00B05A8D"/>
    <w:rsid w:val="00B05AB5"/>
    <w:rsid w:val="00B05AB6"/>
    <w:rsid w:val="00B05B10"/>
    <w:rsid w:val="00B05B9D"/>
    <w:rsid w:val="00B05BA1"/>
    <w:rsid w:val="00B05BBF"/>
    <w:rsid w:val="00B05BF6"/>
    <w:rsid w:val="00B05C92"/>
    <w:rsid w:val="00B05D2A"/>
    <w:rsid w:val="00B05DD7"/>
    <w:rsid w:val="00B05E5A"/>
    <w:rsid w:val="00B05E7E"/>
    <w:rsid w:val="00B05F05"/>
    <w:rsid w:val="00B0603C"/>
    <w:rsid w:val="00B06055"/>
    <w:rsid w:val="00B06151"/>
    <w:rsid w:val="00B0615F"/>
    <w:rsid w:val="00B06199"/>
    <w:rsid w:val="00B061C6"/>
    <w:rsid w:val="00B061F3"/>
    <w:rsid w:val="00B0620C"/>
    <w:rsid w:val="00B06423"/>
    <w:rsid w:val="00B0662A"/>
    <w:rsid w:val="00B06675"/>
    <w:rsid w:val="00B06697"/>
    <w:rsid w:val="00B067CD"/>
    <w:rsid w:val="00B06807"/>
    <w:rsid w:val="00B06940"/>
    <w:rsid w:val="00B0698C"/>
    <w:rsid w:val="00B06A93"/>
    <w:rsid w:val="00B06ADB"/>
    <w:rsid w:val="00B06B42"/>
    <w:rsid w:val="00B06BB0"/>
    <w:rsid w:val="00B06BB9"/>
    <w:rsid w:val="00B06C5F"/>
    <w:rsid w:val="00B06C82"/>
    <w:rsid w:val="00B06D71"/>
    <w:rsid w:val="00B06E04"/>
    <w:rsid w:val="00B06EA9"/>
    <w:rsid w:val="00B06EC7"/>
    <w:rsid w:val="00B0704A"/>
    <w:rsid w:val="00B07073"/>
    <w:rsid w:val="00B07153"/>
    <w:rsid w:val="00B07171"/>
    <w:rsid w:val="00B07255"/>
    <w:rsid w:val="00B0727D"/>
    <w:rsid w:val="00B072D9"/>
    <w:rsid w:val="00B073C9"/>
    <w:rsid w:val="00B07482"/>
    <w:rsid w:val="00B0768A"/>
    <w:rsid w:val="00B07740"/>
    <w:rsid w:val="00B077F1"/>
    <w:rsid w:val="00B0785C"/>
    <w:rsid w:val="00B0792F"/>
    <w:rsid w:val="00B07945"/>
    <w:rsid w:val="00B07A5E"/>
    <w:rsid w:val="00B07C21"/>
    <w:rsid w:val="00B07C42"/>
    <w:rsid w:val="00B07C7D"/>
    <w:rsid w:val="00B07CA8"/>
    <w:rsid w:val="00B07CF8"/>
    <w:rsid w:val="00B07D9E"/>
    <w:rsid w:val="00B07ECD"/>
    <w:rsid w:val="00B07F10"/>
    <w:rsid w:val="00B07F25"/>
    <w:rsid w:val="00B07F29"/>
    <w:rsid w:val="00B07F85"/>
    <w:rsid w:val="00B08853"/>
    <w:rsid w:val="00B100F7"/>
    <w:rsid w:val="00B10285"/>
    <w:rsid w:val="00B102DA"/>
    <w:rsid w:val="00B102ED"/>
    <w:rsid w:val="00B10323"/>
    <w:rsid w:val="00B10627"/>
    <w:rsid w:val="00B10629"/>
    <w:rsid w:val="00B10766"/>
    <w:rsid w:val="00B1097E"/>
    <w:rsid w:val="00B109B0"/>
    <w:rsid w:val="00B10A3B"/>
    <w:rsid w:val="00B10B0E"/>
    <w:rsid w:val="00B10D3D"/>
    <w:rsid w:val="00B10D54"/>
    <w:rsid w:val="00B10DA9"/>
    <w:rsid w:val="00B10E8F"/>
    <w:rsid w:val="00B1110C"/>
    <w:rsid w:val="00B11115"/>
    <w:rsid w:val="00B11169"/>
    <w:rsid w:val="00B11358"/>
    <w:rsid w:val="00B113AF"/>
    <w:rsid w:val="00B114F2"/>
    <w:rsid w:val="00B1166B"/>
    <w:rsid w:val="00B1176A"/>
    <w:rsid w:val="00B11804"/>
    <w:rsid w:val="00B1182E"/>
    <w:rsid w:val="00B118E1"/>
    <w:rsid w:val="00B11A70"/>
    <w:rsid w:val="00B11AD1"/>
    <w:rsid w:val="00B11AD2"/>
    <w:rsid w:val="00B11CAC"/>
    <w:rsid w:val="00B11DA1"/>
    <w:rsid w:val="00B11E4E"/>
    <w:rsid w:val="00B11E52"/>
    <w:rsid w:val="00B11F68"/>
    <w:rsid w:val="00B11FCD"/>
    <w:rsid w:val="00B11FFC"/>
    <w:rsid w:val="00B1205C"/>
    <w:rsid w:val="00B1209C"/>
    <w:rsid w:val="00B12133"/>
    <w:rsid w:val="00B1215E"/>
    <w:rsid w:val="00B12161"/>
    <w:rsid w:val="00B121B8"/>
    <w:rsid w:val="00B12274"/>
    <w:rsid w:val="00B12489"/>
    <w:rsid w:val="00B124AA"/>
    <w:rsid w:val="00B12519"/>
    <w:rsid w:val="00B1255B"/>
    <w:rsid w:val="00B12566"/>
    <w:rsid w:val="00B12781"/>
    <w:rsid w:val="00B12829"/>
    <w:rsid w:val="00B12849"/>
    <w:rsid w:val="00B1288C"/>
    <w:rsid w:val="00B128AE"/>
    <w:rsid w:val="00B12969"/>
    <w:rsid w:val="00B1298D"/>
    <w:rsid w:val="00B12A08"/>
    <w:rsid w:val="00B12AB9"/>
    <w:rsid w:val="00B12ADF"/>
    <w:rsid w:val="00B12B9F"/>
    <w:rsid w:val="00B12BF2"/>
    <w:rsid w:val="00B12C26"/>
    <w:rsid w:val="00B12F34"/>
    <w:rsid w:val="00B13062"/>
    <w:rsid w:val="00B131D4"/>
    <w:rsid w:val="00B1329A"/>
    <w:rsid w:val="00B133A3"/>
    <w:rsid w:val="00B133CC"/>
    <w:rsid w:val="00B13417"/>
    <w:rsid w:val="00B13420"/>
    <w:rsid w:val="00B134E9"/>
    <w:rsid w:val="00B136E9"/>
    <w:rsid w:val="00B13725"/>
    <w:rsid w:val="00B1372F"/>
    <w:rsid w:val="00B13883"/>
    <w:rsid w:val="00B13899"/>
    <w:rsid w:val="00B13AE1"/>
    <w:rsid w:val="00B13BE9"/>
    <w:rsid w:val="00B13DCF"/>
    <w:rsid w:val="00B13E17"/>
    <w:rsid w:val="00B13EF6"/>
    <w:rsid w:val="00B13F48"/>
    <w:rsid w:val="00B14035"/>
    <w:rsid w:val="00B14069"/>
    <w:rsid w:val="00B1409E"/>
    <w:rsid w:val="00B142A3"/>
    <w:rsid w:val="00B142F5"/>
    <w:rsid w:val="00B14381"/>
    <w:rsid w:val="00B144AA"/>
    <w:rsid w:val="00B144C9"/>
    <w:rsid w:val="00B145E8"/>
    <w:rsid w:val="00B14619"/>
    <w:rsid w:val="00B14709"/>
    <w:rsid w:val="00B14759"/>
    <w:rsid w:val="00B14805"/>
    <w:rsid w:val="00B14ABD"/>
    <w:rsid w:val="00B14B5A"/>
    <w:rsid w:val="00B14B8A"/>
    <w:rsid w:val="00B14C19"/>
    <w:rsid w:val="00B14D1F"/>
    <w:rsid w:val="00B14D5A"/>
    <w:rsid w:val="00B14D91"/>
    <w:rsid w:val="00B14DA8"/>
    <w:rsid w:val="00B14DFF"/>
    <w:rsid w:val="00B14EAE"/>
    <w:rsid w:val="00B14F1E"/>
    <w:rsid w:val="00B14F2D"/>
    <w:rsid w:val="00B14F36"/>
    <w:rsid w:val="00B14F8E"/>
    <w:rsid w:val="00B15059"/>
    <w:rsid w:val="00B1508B"/>
    <w:rsid w:val="00B15107"/>
    <w:rsid w:val="00B151A7"/>
    <w:rsid w:val="00B1526D"/>
    <w:rsid w:val="00B15274"/>
    <w:rsid w:val="00B15473"/>
    <w:rsid w:val="00B154B4"/>
    <w:rsid w:val="00B1554F"/>
    <w:rsid w:val="00B15581"/>
    <w:rsid w:val="00B155E4"/>
    <w:rsid w:val="00B1573E"/>
    <w:rsid w:val="00B1574C"/>
    <w:rsid w:val="00B158BF"/>
    <w:rsid w:val="00B1596C"/>
    <w:rsid w:val="00B15A18"/>
    <w:rsid w:val="00B15A29"/>
    <w:rsid w:val="00B15B6D"/>
    <w:rsid w:val="00B15B90"/>
    <w:rsid w:val="00B15BB5"/>
    <w:rsid w:val="00B15D2E"/>
    <w:rsid w:val="00B15E4D"/>
    <w:rsid w:val="00B15E63"/>
    <w:rsid w:val="00B16073"/>
    <w:rsid w:val="00B161E5"/>
    <w:rsid w:val="00B16220"/>
    <w:rsid w:val="00B162AF"/>
    <w:rsid w:val="00B162C6"/>
    <w:rsid w:val="00B162E4"/>
    <w:rsid w:val="00B16301"/>
    <w:rsid w:val="00B1636E"/>
    <w:rsid w:val="00B163C8"/>
    <w:rsid w:val="00B166D2"/>
    <w:rsid w:val="00B168F5"/>
    <w:rsid w:val="00B1691C"/>
    <w:rsid w:val="00B16ABD"/>
    <w:rsid w:val="00B16C68"/>
    <w:rsid w:val="00B16C6F"/>
    <w:rsid w:val="00B16E00"/>
    <w:rsid w:val="00B16E67"/>
    <w:rsid w:val="00B16EAC"/>
    <w:rsid w:val="00B16ED7"/>
    <w:rsid w:val="00B16EDA"/>
    <w:rsid w:val="00B1709B"/>
    <w:rsid w:val="00B17279"/>
    <w:rsid w:val="00B172BD"/>
    <w:rsid w:val="00B1730B"/>
    <w:rsid w:val="00B17336"/>
    <w:rsid w:val="00B17366"/>
    <w:rsid w:val="00B173A7"/>
    <w:rsid w:val="00B173ED"/>
    <w:rsid w:val="00B17516"/>
    <w:rsid w:val="00B175BC"/>
    <w:rsid w:val="00B175FD"/>
    <w:rsid w:val="00B17619"/>
    <w:rsid w:val="00B1762A"/>
    <w:rsid w:val="00B17671"/>
    <w:rsid w:val="00B17676"/>
    <w:rsid w:val="00B176B5"/>
    <w:rsid w:val="00B1779B"/>
    <w:rsid w:val="00B177C5"/>
    <w:rsid w:val="00B17858"/>
    <w:rsid w:val="00B17888"/>
    <w:rsid w:val="00B178EB"/>
    <w:rsid w:val="00B178F5"/>
    <w:rsid w:val="00B17AA2"/>
    <w:rsid w:val="00B17B29"/>
    <w:rsid w:val="00B17B82"/>
    <w:rsid w:val="00B17BB6"/>
    <w:rsid w:val="00B17C1F"/>
    <w:rsid w:val="00B17C2F"/>
    <w:rsid w:val="00B17D1E"/>
    <w:rsid w:val="00B17D4B"/>
    <w:rsid w:val="00B17D5C"/>
    <w:rsid w:val="00B17D6B"/>
    <w:rsid w:val="00B17DAC"/>
    <w:rsid w:val="00B17EE6"/>
    <w:rsid w:val="00B17FD1"/>
    <w:rsid w:val="00B17FE5"/>
    <w:rsid w:val="00B18D53"/>
    <w:rsid w:val="00B2001F"/>
    <w:rsid w:val="00B20081"/>
    <w:rsid w:val="00B200AD"/>
    <w:rsid w:val="00B20278"/>
    <w:rsid w:val="00B2028E"/>
    <w:rsid w:val="00B202DF"/>
    <w:rsid w:val="00B2046B"/>
    <w:rsid w:val="00B2047B"/>
    <w:rsid w:val="00B20527"/>
    <w:rsid w:val="00B2056A"/>
    <w:rsid w:val="00B207D3"/>
    <w:rsid w:val="00B207E5"/>
    <w:rsid w:val="00B2088C"/>
    <w:rsid w:val="00B208C6"/>
    <w:rsid w:val="00B208DF"/>
    <w:rsid w:val="00B20992"/>
    <w:rsid w:val="00B20999"/>
    <w:rsid w:val="00B209A1"/>
    <w:rsid w:val="00B209D3"/>
    <w:rsid w:val="00B20A4A"/>
    <w:rsid w:val="00B20A94"/>
    <w:rsid w:val="00B20AC9"/>
    <w:rsid w:val="00B20B0E"/>
    <w:rsid w:val="00B20B70"/>
    <w:rsid w:val="00B20B95"/>
    <w:rsid w:val="00B20DFF"/>
    <w:rsid w:val="00B20F39"/>
    <w:rsid w:val="00B20FBD"/>
    <w:rsid w:val="00B20FC7"/>
    <w:rsid w:val="00B20FCC"/>
    <w:rsid w:val="00B2103A"/>
    <w:rsid w:val="00B21061"/>
    <w:rsid w:val="00B210B0"/>
    <w:rsid w:val="00B210BF"/>
    <w:rsid w:val="00B2116D"/>
    <w:rsid w:val="00B2138B"/>
    <w:rsid w:val="00B214DF"/>
    <w:rsid w:val="00B2157C"/>
    <w:rsid w:val="00B2158E"/>
    <w:rsid w:val="00B2158F"/>
    <w:rsid w:val="00B2167E"/>
    <w:rsid w:val="00B21693"/>
    <w:rsid w:val="00B2170C"/>
    <w:rsid w:val="00B218C7"/>
    <w:rsid w:val="00B21B87"/>
    <w:rsid w:val="00B21B95"/>
    <w:rsid w:val="00B21C17"/>
    <w:rsid w:val="00B21C86"/>
    <w:rsid w:val="00B21CE2"/>
    <w:rsid w:val="00B21D66"/>
    <w:rsid w:val="00B21DDB"/>
    <w:rsid w:val="00B21E1E"/>
    <w:rsid w:val="00B21E4E"/>
    <w:rsid w:val="00B21EE1"/>
    <w:rsid w:val="00B21F7B"/>
    <w:rsid w:val="00B21F94"/>
    <w:rsid w:val="00B2210C"/>
    <w:rsid w:val="00B22476"/>
    <w:rsid w:val="00B224A9"/>
    <w:rsid w:val="00B2254A"/>
    <w:rsid w:val="00B2260F"/>
    <w:rsid w:val="00B22958"/>
    <w:rsid w:val="00B22A19"/>
    <w:rsid w:val="00B22A83"/>
    <w:rsid w:val="00B22C04"/>
    <w:rsid w:val="00B22C22"/>
    <w:rsid w:val="00B23066"/>
    <w:rsid w:val="00B231D6"/>
    <w:rsid w:val="00B23281"/>
    <w:rsid w:val="00B2334A"/>
    <w:rsid w:val="00B233FC"/>
    <w:rsid w:val="00B23541"/>
    <w:rsid w:val="00B236AA"/>
    <w:rsid w:val="00B236D3"/>
    <w:rsid w:val="00B23700"/>
    <w:rsid w:val="00B23730"/>
    <w:rsid w:val="00B23853"/>
    <w:rsid w:val="00B239DE"/>
    <w:rsid w:val="00B23AE9"/>
    <w:rsid w:val="00B23AEB"/>
    <w:rsid w:val="00B23D4D"/>
    <w:rsid w:val="00B24028"/>
    <w:rsid w:val="00B2406C"/>
    <w:rsid w:val="00B24091"/>
    <w:rsid w:val="00B240B9"/>
    <w:rsid w:val="00B241F3"/>
    <w:rsid w:val="00B24243"/>
    <w:rsid w:val="00B24278"/>
    <w:rsid w:val="00B2427F"/>
    <w:rsid w:val="00B242E3"/>
    <w:rsid w:val="00B242F8"/>
    <w:rsid w:val="00B24395"/>
    <w:rsid w:val="00B24402"/>
    <w:rsid w:val="00B24560"/>
    <w:rsid w:val="00B245BD"/>
    <w:rsid w:val="00B245C0"/>
    <w:rsid w:val="00B245C6"/>
    <w:rsid w:val="00B2464D"/>
    <w:rsid w:val="00B24686"/>
    <w:rsid w:val="00B2471C"/>
    <w:rsid w:val="00B24747"/>
    <w:rsid w:val="00B247E9"/>
    <w:rsid w:val="00B248B7"/>
    <w:rsid w:val="00B24952"/>
    <w:rsid w:val="00B249DC"/>
    <w:rsid w:val="00B24A70"/>
    <w:rsid w:val="00B24BB0"/>
    <w:rsid w:val="00B24E30"/>
    <w:rsid w:val="00B24E89"/>
    <w:rsid w:val="00B24FC6"/>
    <w:rsid w:val="00B25054"/>
    <w:rsid w:val="00B25176"/>
    <w:rsid w:val="00B251FF"/>
    <w:rsid w:val="00B25286"/>
    <w:rsid w:val="00B252B4"/>
    <w:rsid w:val="00B2533B"/>
    <w:rsid w:val="00B253C8"/>
    <w:rsid w:val="00B253F3"/>
    <w:rsid w:val="00B25436"/>
    <w:rsid w:val="00B2550F"/>
    <w:rsid w:val="00B25673"/>
    <w:rsid w:val="00B2573E"/>
    <w:rsid w:val="00B257BA"/>
    <w:rsid w:val="00B25850"/>
    <w:rsid w:val="00B25A88"/>
    <w:rsid w:val="00B25A8B"/>
    <w:rsid w:val="00B25ADA"/>
    <w:rsid w:val="00B25B33"/>
    <w:rsid w:val="00B25B51"/>
    <w:rsid w:val="00B25C21"/>
    <w:rsid w:val="00B25C41"/>
    <w:rsid w:val="00B25C9B"/>
    <w:rsid w:val="00B25D1A"/>
    <w:rsid w:val="00B25D64"/>
    <w:rsid w:val="00B2607D"/>
    <w:rsid w:val="00B2620C"/>
    <w:rsid w:val="00B2628A"/>
    <w:rsid w:val="00B262C5"/>
    <w:rsid w:val="00B26563"/>
    <w:rsid w:val="00B2666C"/>
    <w:rsid w:val="00B26840"/>
    <w:rsid w:val="00B26854"/>
    <w:rsid w:val="00B26A47"/>
    <w:rsid w:val="00B26A50"/>
    <w:rsid w:val="00B26A73"/>
    <w:rsid w:val="00B26BA1"/>
    <w:rsid w:val="00B26D01"/>
    <w:rsid w:val="00B26D25"/>
    <w:rsid w:val="00B26D90"/>
    <w:rsid w:val="00B26DD1"/>
    <w:rsid w:val="00B26FAD"/>
    <w:rsid w:val="00B270CD"/>
    <w:rsid w:val="00B270DF"/>
    <w:rsid w:val="00B271D8"/>
    <w:rsid w:val="00B27520"/>
    <w:rsid w:val="00B27548"/>
    <w:rsid w:val="00B27558"/>
    <w:rsid w:val="00B27604"/>
    <w:rsid w:val="00B2765F"/>
    <w:rsid w:val="00B276FF"/>
    <w:rsid w:val="00B27731"/>
    <w:rsid w:val="00B27781"/>
    <w:rsid w:val="00B277F9"/>
    <w:rsid w:val="00B27899"/>
    <w:rsid w:val="00B27CCE"/>
    <w:rsid w:val="00B27F57"/>
    <w:rsid w:val="00B27FDB"/>
    <w:rsid w:val="00B30004"/>
    <w:rsid w:val="00B300A5"/>
    <w:rsid w:val="00B300FA"/>
    <w:rsid w:val="00B30154"/>
    <w:rsid w:val="00B304E9"/>
    <w:rsid w:val="00B3059A"/>
    <w:rsid w:val="00B30659"/>
    <w:rsid w:val="00B30740"/>
    <w:rsid w:val="00B307C3"/>
    <w:rsid w:val="00B3083A"/>
    <w:rsid w:val="00B3095C"/>
    <w:rsid w:val="00B309BB"/>
    <w:rsid w:val="00B309DE"/>
    <w:rsid w:val="00B30B20"/>
    <w:rsid w:val="00B30B5D"/>
    <w:rsid w:val="00B30BFB"/>
    <w:rsid w:val="00B30CF3"/>
    <w:rsid w:val="00B30D15"/>
    <w:rsid w:val="00B30DB8"/>
    <w:rsid w:val="00B30E28"/>
    <w:rsid w:val="00B30E5D"/>
    <w:rsid w:val="00B3100F"/>
    <w:rsid w:val="00B3108C"/>
    <w:rsid w:val="00B310CE"/>
    <w:rsid w:val="00B31191"/>
    <w:rsid w:val="00B31197"/>
    <w:rsid w:val="00B311AB"/>
    <w:rsid w:val="00B311F9"/>
    <w:rsid w:val="00B31200"/>
    <w:rsid w:val="00B3120B"/>
    <w:rsid w:val="00B31223"/>
    <w:rsid w:val="00B312E9"/>
    <w:rsid w:val="00B313DF"/>
    <w:rsid w:val="00B314E2"/>
    <w:rsid w:val="00B314EF"/>
    <w:rsid w:val="00B31544"/>
    <w:rsid w:val="00B3154D"/>
    <w:rsid w:val="00B31579"/>
    <w:rsid w:val="00B31844"/>
    <w:rsid w:val="00B31852"/>
    <w:rsid w:val="00B31907"/>
    <w:rsid w:val="00B319D3"/>
    <w:rsid w:val="00B31AC2"/>
    <w:rsid w:val="00B31AF8"/>
    <w:rsid w:val="00B31CE6"/>
    <w:rsid w:val="00B31D8E"/>
    <w:rsid w:val="00B31D91"/>
    <w:rsid w:val="00B31DC3"/>
    <w:rsid w:val="00B31DC6"/>
    <w:rsid w:val="00B31E42"/>
    <w:rsid w:val="00B31F32"/>
    <w:rsid w:val="00B31FB7"/>
    <w:rsid w:val="00B31FCF"/>
    <w:rsid w:val="00B320C4"/>
    <w:rsid w:val="00B32100"/>
    <w:rsid w:val="00B321B8"/>
    <w:rsid w:val="00B32259"/>
    <w:rsid w:val="00B32269"/>
    <w:rsid w:val="00B322A9"/>
    <w:rsid w:val="00B32369"/>
    <w:rsid w:val="00B3236C"/>
    <w:rsid w:val="00B32378"/>
    <w:rsid w:val="00B323E4"/>
    <w:rsid w:val="00B324C8"/>
    <w:rsid w:val="00B32583"/>
    <w:rsid w:val="00B3259D"/>
    <w:rsid w:val="00B325CF"/>
    <w:rsid w:val="00B32688"/>
    <w:rsid w:val="00B32703"/>
    <w:rsid w:val="00B327C2"/>
    <w:rsid w:val="00B328E9"/>
    <w:rsid w:val="00B32942"/>
    <w:rsid w:val="00B329DB"/>
    <w:rsid w:val="00B32DFC"/>
    <w:rsid w:val="00B32E29"/>
    <w:rsid w:val="00B32EAA"/>
    <w:rsid w:val="00B32F56"/>
    <w:rsid w:val="00B32F8A"/>
    <w:rsid w:val="00B33036"/>
    <w:rsid w:val="00B33049"/>
    <w:rsid w:val="00B33090"/>
    <w:rsid w:val="00B330C5"/>
    <w:rsid w:val="00B330E9"/>
    <w:rsid w:val="00B3316E"/>
    <w:rsid w:val="00B332B2"/>
    <w:rsid w:val="00B33305"/>
    <w:rsid w:val="00B33325"/>
    <w:rsid w:val="00B33340"/>
    <w:rsid w:val="00B33369"/>
    <w:rsid w:val="00B33380"/>
    <w:rsid w:val="00B3343E"/>
    <w:rsid w:val="00B3344D"/>
    <w:rsid w:val="00B33468"/>
    <w:rsid w:val="00B334B7"/>
    <w:rsid w:val="00B33585"/>
    <w:rsid w:val="00B33751"/>
    <w:rsid w:val="00B3390C"/>
    <w:rsid w:val="00B3391D"/>
    <w:rsid w:val="00B33930"/>
    <w:rsid w:val="00B339D3"/>
    <w:rsid w:val="00B33B85"/>
    <w:rsid w:val="00B33C87"/>
    <w:rsid w:val="00B341A7"/>
    <w:rsid w:val="00B342D5"/>
    <w:rsid w:val="00B3430B"/>
    <w:rsid w:val="00B34488"/>
    <w:rsid w:val="00B3449B"/>
    <w:rsid w:val="00B34511"/>
    <w:rsid w:val="00B34576"/>
    <w:rsid w:val="00B345C8"/>
    <w:rsid w:val="00B3463E"/>
    <w:rsid w:val="00B3481F"/>
    <w:rsid w:val="00B34950"/>
    <w:rsid w:val="00B349BD"/>
    <w:rsid w:val="00B349EF"/>
    <w:rsid w:val="00B34A14"/>
    <w:rsid w:val="00B34AC9"/>
    <w:rsid w:val="00B34AFF"/>
    <w:rsid w:val="00B34B24"/>
    <w:rsid w:val="00B34B2F"/>
    <w:rsid w:val="00B34C13"/>
    <w:rsid w:val="00B34D28"/>
    <w:rsid w:val="00B34DF0"/>
    <w:rsid w:val="00B34E29"/>
    <w:rsid w:val="00B34FF3"/>
    <w:rsid w:val="00B35166"/>
    <w:rsid w:val="00B35185"/>
    <w:rsid w:val="00B351A2"/>
    <w:rsid w:val="00B351C8"/>
    <w:rsid w:val="00B35201"/>
    <w:rsid w:val="00B35265"/>
    <w:rsid w:val="00B352E0"/>
    <w:rsid w:val="00B35362"/>
    <w:rsid w:val="00B353B5"/>
    <w:rsid w:val="00B353DD"/>
    <w:rsid w:val="00B354D2"/>
    <w:rsid w:val="00B357A3"/>
    <w:rsid w:val="00B3580B"/>
    <w:rsid w:val="00B35902"/>
    <w:rsid w:val="00B35A91"/>
    <w:rsid w:val="00B35C51"/>
    <w:rsid w:val="00B35C91"/>
    <w:rsid w:val="00B35EEB"/>
    <w:rsid w:val="00B35F9D"/>
    <w:rsid w:val="00B35FE1"/>
    <w:rsid w:val="00B36059"/>
    <w:rsid w:val="00B3611D"/>
    <w:rsid w:val="00B36135"/>
    <w:rsid w:val="00B36196"/>
    <w:rsid w:val="00B361AF"/>
    <w:rsid w:val="00B36272"/>
    <w:rsid w:val="00B36410"/>
    <w:rsid w:val="00B36519"/>
    <w:rsid w:val="00B365CB"/>
    <w:rsid w:val="00B365E1"/>
    <w:rsid w:val="00B36828"/>
    <w:rsid w:val="00B369F1"/>
    <w:rsid w:val="00B36A57"/>
    <w:rsid w:val="00B36C90"/>
    <w:rsid w:val="00B36E0D"/>
    <w:rsid w:val="00B36E29"/>
    <w:rsid w:val="00B36E75"/>
    <w:rsid w:val="00B36ED3"/>
    <w:rsid w:val="00B36FAE"/>
    <w:rsid w:val="00B36FD3"/>
    <w:rsid w:val="00B36FFB"/>
    <w:rsid w:val="00B3705F"/>
    <w:rsid w:val="00B370C8"/>
    <w:rsid w:val="00B373AF"/>
    <w:rsid w:val="00B37565"/>
    <w:rsid w:val="00B375BD"/>
    <w:rsid w:val="00B376F0"/>
    <w:rsid w:val="00B37763"/>
    <w:rsid w:val="00B377AB"/>
    <w:rsid w:val="00B377BC"/>
    <w:rsid w:val="00B37895"/>
    <w:rsid w:val="00B378CD"/>
    <w:rsid w:val="00B378ED"/>
    <w:rsid w:val="00B378F7"/>
    <w:rsid w:val="00B3792B"/>
    <w:rsid w:val="00B37BB6"/>
    <w:rsid w:val="00B37BF0"/>
    <w:rsid w:val="00B37CDD"/>
    <w:rsid w:val="00B37CDF"/>
    <w:rsid w:val="00B37CE5"/>
    <w:rsid w:val="00B37E3C"/>
    <w:rsid w:val="00B37F86"/>
    <w:rsid w:val="00B37FC1"/>
    <w:rsid w:val="00B37FDC"/>
    <w:rsid w:val="00B40029"/>
    <w:rsid w:val="00B400B4"/>
    <w:rsid w:val="00B40121"/>
    <w:rsid w:val="00B401EB"/>
    <w:rsid w:val="00B401F7"/>
    <w:rsid w:val="00B40529"/>
    <w:rsid w:val="00B406B5"/>
    <w:rsid w:val="00B406B6"/>
    <w:rsid w:val="00B40723"/>
    <w:rsid w:val="00B4073D"/>
    <w:rsid w:val="00B4075A"/>
    <w:rsid w:val="00B407F3"/>
    <w:rsid w:val="00B4087B"/>
    <w:rsid w:val="00B40909"/>
    <w:rsid w:val="00B40923"/>
    <w:rsid w:val="00B40A82"/>
    <w:rsid w:val="00B40AD8"/>
    <w:rsid w:val="00B40B47"/>
    <w:rsid w:val="00B40B58"/>
    <w:rsid w:val="00B40D20"/>
    <w:rsid w:val="00B40E01"/>
    <w:rsid w:val="00B40E28"/>
    <w:rsid w:val="00B40E4D"/>
    <w:rsid w:val="00B40E8D"/>
    <w:rsid w:val="00B41016"/>
    <w:rsid w:val="00B411B6"/>
    <w:rsid w:val="00B4131A"/>
    <w:rsid w:val="00B4133C"/>
    <w:rsid w:val="00B414F3"/>
    <w:rsid w:val="00B4151F"/>
    <w:rsid w:val="00B41619"/>
    <w:rsid w:val="00B41680"/>
    <w:rsid w:val="00B416D9"/>
    <w:rsid w:val="00B41897"/>
    <w:rsid w:val="00B41907"/>
    <w:rsid w:val="00B41911"/>
    <w:rsid w:val="00B41998"/>
    <w:rsid w:val="00B419F9"/>
    <w:rsid w:val="00B41D21"/>
    <w:rsid w:val="00B41D3B"/>
    <w:rsid w:val="00B41DC3"/>
    <w:rsid w:val="00B41E17"/>
    <w:rsid w:val="00B41ED8"/>
    <w:rsid w:val="00B41F9E"/>
    <w:rsid w:val="00B41FAD"/>
    <w:rsid w:val="00B41FFC"/>
    <w:rsid w:val="00B420AE"/>
    <w:rsid w:val="00B42117"/>
    <w:rsid w:val="00B4213F"/>
    <w:rsid w:val="00B421C7"/>
    <w:rsid w:val="00B421DD"/>
    <w:rsid w:val="00B421ED"/>
    <w:rsid w:val="00B4220D"/>
    <w:rsid w:val="00B42230"/>
    <w:rsid w:val="00B42347"/>
    <w:rsid w:val="00B42391"/>
    <w:rsid w:val="00B42490"/>
    <w:rsid w:val="00B424D8"/>
    <w:rsid w:val="00B4255B"/>
    <w:rsid w:val="00B427B1"/>
    <w:rsid w:val="00B427FB"/>
    <w:rsid w:val="00B42979"/>
    <w:rsid w:val="00B42995"/>
    <w:rsid w:val="00B429D9"/>
    <w:rsid w:val="00B42A64"/>
    <w:rsid w:val="00B42B0D"/>
    <w:rsid w:val="00B42BB2"/>
    <w:rsid w:val="00B42C7F"/>
    <w:rsid w:val="00B42CC0"/>
    <w:rsid w:val="00B42CD0"/>
    <w:rsid w:val="00B42DB8"/>
    <w:rsid w:val="00B4310C"/>
    <w:rsid w:val="00B4311E"/>
    <w:rsid w:val="00B431B5"/>
    <w:rsid w:val="00B4343D"/>
    <w:rsid w:val="00B434A5"/>
    <w:rsid w:val="00B43680"/>
    <w:rsid w:val="00B43707"/>
    <w:rsid w:val="00B43772"/>
    <w:rsid w:val="00B43825"/>
    <w:rsid w:val="00B43851"/>
    <w:rsid w:val="00B43C75"/>
    <w:rsid w:val="00B43D5E"/>
    <w:rsid w:val="00B43E89"/>
    <w:rsid w:val="00B43F4F"/>
    <w:rsid w:val="00B43F87"/>
    <w:rsid w:val="00B43FC4"/>
    <w:rsid w:val="00B4406E"/>
    <w:rsid w:val="00B440CB"/>
    <w:rsid w:val="00B4436E"/>
    <w:rsid w:val="00B44472"/>
    <w:rsid w:val="00B44495"/>
    <w:rsid w:val="00B44496"/>
    <w:rsid w:val="00B444F5"/>
    <w:rsid w:val="00B4457C"/>
    <w:rsid w:val="00B4481F"/>
    <w:rsid w:val="00B4488A"/>
    <w:rsid w:val="00B44A08"/>
    <w:rsid w:val="00B44AE9"/>
    <w:rsid w:val="00B44B04"/>
    <w:rsid w:val="00B44CDB"/>
    <w:rsid w:val="00B44DDC"/>
    <w:rsid w:val="00B44DE9"/>
    <w:rsid w:val="00B44E53"/>
    <w:rsid w:val="00B44F55"/>
    <w:rsid w:val="00B44FDC"/>
    <w:rsid w:val="00B45086"/>
    <w:rsid w:val="00B450F7"/>
    <w:rsid w:val="00B451E0"/>
    <w:rsid w:val="00B45247"/>
    <w:rsid w:val="00B45281"/>
    <w:rsid w:val="00B4529C"/>
    <w:rsid w:val="00B45409"/>
    <w:rsid w:val="00B45421"/>
    <w:rsid w:val="00B45769"/>
    <w:rsid w:val="00B4589B"/>
    <w:rsid w:val="00B458F7"/>
    <w:rsid w:val="00B4592D"/>
    <w:rsid w:val="00B45961"/>
    <w:rsid w:val="00B459E1"/>
    <w:rsid w:val="00B45AA1"/>
    <w:rsid w:val="00B45C1F"/>
    <w:rsid w:val="00B45CC7"/>
    <w:rsid w:val="00B45D2C"/>
    <w:rsid w:val="00B45E3E"/>
    <w:rsid w:val="00B45EBB"/>
    <w:rsid w:val="00B45ECA"/>
    <w:rsid w:val="00B45ED0"/>
    <w:rsid w:val="00B45F49"/>
    <w:rsid w:val="00B4602C"/>
    <w:rsid w:val="00B46128"/>
    <w:rsid w:val="00B4623C"/>
    <w:rsid w:val="00B46377"/>
    <w:rsid w:val="00B463BC"/>
    <w:rsid w:val="00B4663E"/>
    <w:rsid w:val="00B466BB"/>
    <w:rsid w:val="00B46700"/>
    <w:rsid w:val="00B46781"/>
    <w:rsid w:val="00B467AD"/>
    <w:rsid w:val="00B467D5"/>
    <w:rsid w:val="00B4687D"/>
    <w:rsid w:val="00B468A3"/>
    <w:rsid w:val="00B468BB"/>
    <w:rsid w:val="00B468F1"/>
    <w:rsid w:val="00B46912"/>
    <w:rsid w:val="00B4694D"/>
    <w:rsid w:val="00B46AA7"/>
    <w:rsid w:val="00B46B96"/>
    <w:rsid w:val="00B46DB8"/>
    <w:rsid w:val="00B46EE3"/>
    <w:rsid w:val="00B47071"/>
    <w:rsid w:val="00B471FD"/>
    <w:rsid w:val="00B472E6"/>
    <w:rsid w:val="00B47352"/>
    <w:rsid w:val="00B473FC"/>
    <w:rsid w:val="00B47409"/>
    <w:rsid w:val="00B4753A"/>
    <w:rsid w:val="00B47684"/>
    <w:rsid w:val="00B47835"/>
    <w:rsid w:val="00B47843"/>
    <w:rsid w:val="00B47A23"/>
    <w:rsid w:val="00B47A7B"/>
    <w:rsid w:val="00B47BA2"/>
    <w:rsid w:val="00B47BCC"/>
    <w:rsid w:val="00B47C12"/>
    <w:rsid w:val="00B47C86"/>
    <w:rsid w:val="00B47CD2"/>
    <w:rsid w:val="00B47DD6"/>
    <w:rsid w:val="00B47EFC"/>
    <w:rsid w:val="00B47F66"/>
    <w:rsid w:val="00B47F8F"/>
    <w:rsid w:val="00B50096"/>
    <w:rsid w:val="00B5018B"/>
    <w:rsid w:val="00B502A2"/>
    <w:rsid w:val="00B502B5"/>
    <w:rsid w:val="00B502E8"/>
    <w:rsid w:val="00B50404"/>
    <w:rsid w:val="00B50491"/>
    <w:rsid w:val="00B504D0"/>
    <w:rsid w:val="00B50575"/>
    <w:rsid w:val="00B5064A"/>
    <w:rsid w:val="00B5067D"/>
    <w:rsid w:val="00B50682"/>
    <w:rsid w:val="00B5080E"/>
    <w:rsid w:val="00B509C1"/>
    <w:rsid w:val="00B509C8"/>
    <w:rsid w:val="00B509CA"/>
    <w:rsid w:val="00B50A4F"/>
    <w:rsid w:val="00B50ADA"/>
    <w:rsid w:val="00B50B7F"/>
    <w:rsid w:val="00B50C90"/>
    <w:rsid w:val="00B50C98"/>
    <w:rsid w:val="00B50CBC"/>
    <w:rsid w:val="00B50E92"/>
    <w:rsid w:val="00B50EA7"/>
    <w:rsid w:val="00B50F7A"/>
    <w:rsid w:val="00B5100D"/>
    <w:rsid w:val="00B5129C"/>
    <w:rsid w:val="00B5136A"/>
    <w:rsid w:val="00B51375"/>
    <w:rsid w:val="00B51421"/>
    <w:rsid w:val="00B51452"/>
    <w:rsid w:val="00B5149B"/>
    <w:rsid w:val="00B514DD"/>
    <w:rsid w:val="00B5151D"/>
    <w:rsid w:val="00B5154A"/>
    <w:rsid w:val="00B5156B"/>
    <w:rsid w:val="00B51687"/>
    <w:rsid w:val="00B51736"/>
    <w:rsid w:val="00B5173A"/>
    <w:rsid w:val="00B51862"/>
    <w:rsid w:val="00B51929"/>
    <w:rsid w:val="00B519A9"/>
    <w:rsid w:val="00B519B3"/>
    <w:rsid w:val="00B51A13"/>
    <w:rsid w:val="00B51A31"/>
    <w:rsid w:val="00B51A8E"/>
    <w:rsid w:val="00B51AE0"/>
    <w:rsid w:val="00B51B49"/>
    <w:rsid w:val="00B51B93"/>
    <w:rsid w:val="00B51BA2"/>
    <w:rsid w:val="00B51C75"/>
    <w:rsid w:val="00B51C87"/>
    <w:rsid w:val="00B51E02"/>
    <w:rsid w:val="00B51E5D"/>
    <w:rsid w:val="00B51E63"/>
    <w:rsid w:val="00B51F1F"/>
    <w:rsid w:val="00B51F8C"/>
    <w:rsid w:val="00B51FC3"/>
    <w:rsid w:val="00B5203D"/>
    <w:rsid w:val="00B52132"/>
    <w:rsid w:val="00B52169"/>
    <w:rsid w:val="00B52628"/>
    <w:rsid w:val="00B52690"/>
    <w:rsid w:val="00B5269A"/>
    <w:rsid w:val="00B5269B"/>
    <w:rsid w:val="00B527B0"/>
    <w:rsid w:val="00B52863"/>
    <w:rsid w:val="00B52918"/>
    <w:rsid w:val="00B52AB5"/>
    <w:rsid w:val="00B52B32"/>
    <w:rsid w:val="00B52BAB"/>
    <w:rsid w:val="00B52BB8"/>
    <w:rsid w:val="00B52CC4"/>
    <w:rsid w:val="00B52CE7"/>
    <w:rsid w:val="00B52D7D"/>
    <w:rsid w:val="00B52E5C"/>
    <w:rsid w:val="00B52E99"/>
    <w:rsid w:val="00B53138"/>
    <w:rsid w:val="00B53152"/>
    <w:rsid w:val="00B5317A"/>
    <w:rsid w:val="00B531EC"/>
    <w:rsid w:val="00B5337C"/>
    <w:rsid w:val="00B534D2"/>
    <w:rsid w:val="00B535E5"/>
    <w:rsid w:val="00B53608"/>
    <w:rsid w:val="00B536E2"/>
    <w:rsid w:val="00B53711"/>
    <w:rsid w:val="00B5371F"/>
    <w:rsid w:val="00B537AC"/>
    <w:rsid w:val="00B537C9"/>
    <w:rsid w:val="00B53856"/>
    <w:rsid w:val="00B539BF"/>
    <w:rsid w:val="00B53B85"/>
    <w:rsid w:val="00B53BEC"/>
    <w:rsid w:val="00B53C6B"/>
    <w:rsid w:val="00B53C7C"/>
    <w:rsid w:val="00B53CBA"/>
    <w:rsid w:val="00B53CF8"/>
    <w:rsid w:val="00B53D3C"/>
    <w:rsid w:val="00B53D81"/>
    <w:rsid w:val="00B53DEC"/>
    <w:rsid w:val="00B53DED"/>
    <w:rsid w:val="00B53FE5"/>
    <w:rsid w:val="00B540E6"/>
    <w:rsid w:val="00B5412D"/>
    <w:rsid w:val="00B5420E"/>
    <w:rsid w:val="00B54359"/>
    <w:rsid w:val="00B543DE"/>
    <w:rsid w:val="00B543F0"/>
    <w:rsid w:val="00B5447A"/>
    <w:rsid w:val="00B5448E"/>
    <w:rsid w:val="00B54953"/>
    <w:rsid w:val="00B549E2"/>
    <w:rsid w:val="00B54B20"/>
    <w:rsid w:val="00B54B49"/>
    <w:rsid w:val="00B54BE6"/>
    <w:rsid w:val="00B54C18"/>
    <w:rsid w:val="00B54D45"/>
    <w:rsid w:val="00B55290"/>
    <w:rsid w:val="00B55408"/>
    <w:rsid w:val="00B5548D"/>
    <w:rsid w:val="00B5556F"/>
    <w:rsid w:val="00B55608"/>
    <w:rsid w:val="00B55662"/>
    <w:rsid w:val="00B557F7"/>
    <w:rsid w:val="00B55858"/>
    <w:rsid w:val="00B55AF8"/>
    <w:rsid w:val="00B55C7B"/>
    <w:rsid w:val="00B55C96"/>
    <w:rsid w:val="00B55CA3"/>
    <w:rsid w:val="00B55D6E"/>
    <w:rsid w:val="00B55DBE"/>
    <w:rsid w:val="00B55EC6"/>
    <w:rsid w:val="00B55F0A"/>
    <w:rsid w:val="00B55FB1"/>
    <w:rsid w:val="00B55FF0"/>
    <w:rsid w:val="00B55FFD"/>
    <w:rsid w:val="00B5602E"/>
    <w:rsid w:val="00B5607B"/>
    <w:rsid w:val="00B5608A"/>
    <w:rsid w:val="00B5641D"/>
    <w:rsid w:val="00B565BA"/>
    <w:rsid w:val="00B567F5"/>
    <w:rsid w:val="00B5692B"/>
    <w:rsid w:val="00B5693F"/>
    <w:rsid w:val="00B56961"/>
    <w:rsid w:val="00B56B6A"/>
    <w:rsid w:val="00B56CEE"/>
    <w:rsid w:val="00B56D1D"/>
    <w:rsid w:val="00B56D5D"/>
    <w:rsid w:val="00B56D7D"/>
    <w:rsid w:val="00B56E9C"/>
    <w:rsid w:val="00B5700B"/>
    <w:rsid w:val="00B57018"/>
    <w:rsid w:val="00B570DC"/>
    <w:rsid w:val="00B57181"/>
    <w:rsid w:val="00B571CB"/>
    <w:rsid w:val="00B572EE"/>
    <w:rsid w:val="00B573A4"/>
    <w:rsid w:val="00B574F7"/>
    <w:rsid w:val="00B57560"/>
    <w:rsid w:val="00B57705"/>
    <w:rsid w:val="00B5773A"/>
    <w:rsid w:val="00B5782B"/>
    <w:rsid w:val="00B57964"/>
    <w:rsid w:val="00B57A27"/>
    <w:rsid w:val="00B57A73"/>
    <w:rsid w:val="00B57A7B"/>
    <w:rsid w:val="00B57C87"/>
    <w:rsid w:val="00B57D6E"/>
    <w:rsid w:val="00B57DDC"/>
    <w:rsid w:val="00B57E37"/>
    <w:rsid w:val="00B57F1E"/>
    <w:rsid w:val="00B57FBE"/>
    <w:rsid w:val="00B57FF0"/>
    <w:rsid w:val="00B57FF9"/>
    <w:rsid w:val="00B6012A"/>
    <w:rsid w:val="00B601BA"/>
    <w:rsid w:val="00B60200"/>
    <w:rsid w:val="00B6025D"/>
    <w:rsid w:val="00B602B2"/>
    <w:rsid w:val="00B60306"/>
    <w:rsid w:val="00B604F1"/>
    <w:rsid w:val="00B605BF"/>
    <w:rsid w:val="00B6066B"/>
    <w:rsid w:val="00B6071D"/>
    <w:rsid w:val="00B60898"/>
    <w:rsid w:val="00B608D7"/>
    <w:rsid w:val="00B6098E"/>
    <w:rsid w:val="00B609C1"/>
    <w:rsid w:val="00B609E3"/>
    <w:rsid w:val="00B60A6F"/>
    <w:rsid w:val="00B60A8B"/>
    <w:rsid w:val="00B60B1A"/>
    <w:rsid w:val="00B60B5E"/>
    <w:rsid w:val="00B60BA4"/>
    <w:rsid w:val="00B60C64"/>
    <w:rsid w:val="00B60CDB"/>
    <w:rsid w:val="00B60CF0"/>
    <w:rsid w:val="00B60D9E"/>
    <w:rsid w:val="00B60DE3"/>
    <w:rsid w:val="00B60E4A"/>
    <w:rsid w:val="00B60E71"/>
    <w:rsid w:val="00B60EF7"/>
    <w:rsid w:val="00B611B4"/>
    <w:rsid w:val="00B61259"/>
    <w:rsid w:val="00B6132A"/>
    <w:rsid w:val="00B61409"/>
    <w:rsid w:val="00B6144E"/>
    <w:rsid w:val="00B61498"/>
    <w:rsid w:val="00B614B0"/>
    <w:rsid w:val="00B61753"/>
    <w:rsid w:val="00B61916"/>
    <w:rsid w:val="00B61942"/>
    <w:rsid w:val="00B6195D"/>
    <w:rsid w:val="00B619F7"/>
    <w:rsid w:val="00B61C85"/>
    <w:rsid w:val="00B61D66"/>
    <w:rsid w:val="00B61DB0"/>
    <w:rsid w:val="00B61DB7"/>
    <w:rsid w:val="00B61E98"/>
    <w:rsid w:val="00B61F3E"/>
    <w:rsid w:val="00B61F49"/>
    <w:rsid w:val="00B620FF"/>
    <w:rsid w:val="00B62129"/>
    <w:rsid w:val="00B62148"/>
    <w:rsid w:val="00B621B1"/>
    <w:rsid w:val="00B6229B"/>
    <w:rsid w:val="00B622A4"/>
    <w:rsid w:val="00B6241C"/>
    <w:rsid w:val="00B6246C"/>
    <w:rsid w:val="00B62494"/>
    <w:rsid w:val="00B62567"/>
    <w:rsid w:val="00B625D7"/>
    <w:rsid w:val="00B62765"/>
    <w:rsid w:val="00B62818"/>
    <w:rsid w:val="00B62AEE"/>
    <w:rsid w:val="00B62C57"/>
    <w:rsid w:val="00B62DDE"/>
    <w:rsid w:val="00B63128"/>
    <w:rsid w:val="00B63154"/>
    <w:rsid w:val="00B63182"/>
    <w:rsid w:val="00B631BE"/>
    <w:rsid w:val="00B631D1"/>
    <w:rsid w:val="00B63354"/>
    <w:rsid w:val="00B634C0"/>
    <w:rsid w:val="00B63500"/>
    <w:rsid w:val="00B63656"/>
    <w:rsid w:val="00B636BA"/>
    <w:rsid w:val="00B636C8"/>
    <w:rsid w:val="00B63708"/>
    <w:rsid w:val="00B6373C"/>
    <w:rsid w:val="00B6374D"/>
    <w:rsid w:val="00B638BB"/>
    <w:rsid w:val="00B63976"/>
    <w:rsid w:val="00B63A29"/>
    <w:rsid w:val="00B63C39"/>
    <w:rsid w:val="00B63D20"/>
    <w:rsid w:val="00B63E78"/>
    <w:rsid w:val="00B63E7D"/>
    <w:rsid w:val="00B63FD6"/>
    <w:rsid w:val="00B64038"/>
    <w:rsid w:val="00B640AE"/>
    <w:rsid w:val="00B6412C"/>
    <w:rsid w:val="00B6428F"/>
    <w:rsid w:val="00B64657"/>
    <w:rsid w:val="00B64703"/>
    <w:rsid w:val="00B64715"/>
    <w:rsid w:val="00B6481E"/>
    <w:rsid w:val="00B648EA"/>
    <w:rsid w:val="00B64AD8"/>
    <w:rsid w:val="00B64B45"/>
    <w:rsid w:val="00B64C17"/>
    <w:rsid w:val="00B64D78"/>
    <w:rsid w:val="00B64EDE"/>
    <w:rsid w:val="00B64F3A"/>
    <w:rsid w:val="00B64FCB"/>
    <w:rsid w:val="00B651F2"/>
    <w:rsid w:val="00B65360"/>
    <w:rsid w:val="00B65381"/>
    <w:rsid w:val="00B65498"/>
    <w:rsid w:val="00B6551F"/>
    <w:rsid w:val="00B655AD"/>
    <w:rsid w:val="00B655DB"/>
    <w:rsid w:val="00B6564E"/>
    <w:rsid w:val="00B65924"/>
    <w:rsid w:val="00B65A67"/>
    <w:rsid w:val="00B65A7A"/>
    <w:rsid w:val="00B65ADC"/>
    <w:rsid w:val="00B65AE9"/>
    <w:rsid w:val="00B65B3F"/>
    <w:rsid w:val="00B65BAE"/>
    <w:rsid w:val="00B65C47"/>
    <w:rsid w:val="00B65DBA"/>
    <w:rsid w:val="00B65DDB"/>
    <w:rsid w:val="00B65E72"/>
    <w:rsid w:val="00B65EFE"/>
    <w:rsid w:val="00B660B8"/>
    <w:rsid w:val="00B660FC"/>
    <w:rsid w:val="00B66310"/>
    <w:rsid w:val="00B663A6"/>
    <w:rsid w:val="00B66551"/>
    <w:rsid w:val="00B66565"/>
    <w:rsid w:val="00B6659F"/>
    <w:rsid w:val="00B6669F"/>
    <w:rsid w:val="00B666C5"/>
    <w:rsid w:val="00B666DC"/>
    <w:rsid w:val="00B66778"/>
    <w:rsid w:val="00B667AB"/>
    <w:rsid w:val="00B667BD"/>
    <w:rsid w:val="00B66841"/>
    <w:rsid w:val="00B668ED"/>
    <w:rsid w:val="00B66924"/>
    <w:rsid w:val="00B66976"/>
    <w:rsid w:val="00B669C9"/>
    <w:rsid w:val="00B66A05"/>
    <w:rsid w:val="00B66BBC"/>
    <w:rsid w:val="00B66CEA"/>
    <w:rsid w:val="00B66D45"/>
    <w:rsid w:val="00B66D9A"/>
    <w:rsid w:val="00B66E14"/>
    <w:rsid w:val="00B66E21"/>
    <w:rsid w:val="00B671B3"/>
    <w:rsid w:val="00B673BB"/>
    <w:rsid w:val="00B67444"/>
    <w:rsid w:val="00B67565"/>
    <w:rsid w:val="00B67573"/>
    <w:rsid w:val="00B6760E"/>
    <w:rsid w:val="00B67630"/>
    <w:rsid w:val="00B6774C"/>
    <w:rsid w:val="00B678B2"/>
    <w:rsid w:val="00B67969"/>
    <w:rsid w:val="00B679D0"/>
    <w:rsid w:val="00B67A77"/>
    <w:rsid w:val="00B67B35"/>
    <w:rsid w:val="00B67B79"/>
    <w:rsid w:val="00B67CC3"/>
    <w:rsid w:val="00B67D62"/>
    <w:rsid w:val="00B67D85"/>
    <w:rsid w:val="00B67D9B"/>
    <w:rsid w:val="00B67DB5"/>
    <w:rsid w:val="00B67DD0"/>
    <w:rsid w:val="00B67EA8"/>
    <w:rsid w:val="00B67FA7"/>
    <w:rsid w:val="00B70021"/>
    <w:rsid w:val="00B701C6"/>
    <w:rsid w:val="00B70260"/>
    <w:rsid w:val="00B70286"/>
    <w:rsid w:val="00B70422"/>
    <w:rsid w:val="00B70456"/>
    <w:rsid w:val="00B70471"/>
    <w:rsid w:val="00B704AD"/>
    <w:rsid w:val="00B704C4"/>
    <w:rsid w:val="00B705E0"/>
    <w:rsid w:val="00B70705"/>
    <w:rsid w:val="00B707C1"/>
    <w:rsid w:val="00B70900"/>
    <w:rsid w:val="00B7095B"/>
    <w:rsid w:val="00B70969"/>
    <w:rsid w:val="00B7099C"/>
    <w:rsid w:val="00B7099D"/>
    <w:rsid w:val="00B709BB"/>
    <w:rsid w:val="00B70AF9"/>
    <w:rsid w:val="00B70B08"/>
    <w:rsid w:val="00B70B40"/>
    <w:rsid w:val="00B70BF6"/>
    <w:rsid w:val="00B70C82"/>
    <w:rsid w:val="00B70CA4"/>
    <w:rsid w:val="00B70D74"/>
    <w:rsid w:val="00B70E01"/>
    <w:rsid w:val="00B70E02"/>
    <w:rsid w:val="00B70F42"/>
    <w:rsid w:val="00B70F55"/>
    <w:rsid w:val="00B70FB1"/>
    <w:rsid w:val="00B71046"/>
    <w:rsid w:val="00B710E4"/>
    <w:rsid w:val="00B71108"/>
    <w:rsid w:val="00B7114C"/>
    <w:rsid w:val="00B71188"/>
    <w:rsid w:val="00B711D5"/>
    <w:rsid w:val="00B711FA"/>
    <w:rsid w:val="00B71214"/>
    <w:rsid w:val="00B712ED"/>
    <w:rsid w:val="00B71505"/>
    <w:rsid w:val="00B7161A"/>
    <w:rsid w:val="00B71649"/>
    <w:rsid w:val="00B71662"/>
    <w:rsid w:val="00B716F4"/>
    <w:rsid w:val="00B7174F"/>
    <w:rsid w:val="00B717D6"/>
    <w:rsid w:val="00B71928"/>
    <w:rsid w:val="00B7193F"/>
    <w:rsid w:val="00B719F8"/>
    <w:rsid w:val="00B71A20"/>
    <w:rsid w:val="00B71AA4"/>
    <w:rsid w:val="00B71ADE"/>
    <w:rsid w:val="00B71D23"/>
    <w:rsid w:val="00B71E46"/>
    <w:rsid w:val="00B71E8E"/>
    <w:rsid w:val="00B71F39"/>
    <w:rsid w:val="00B72022"/>
    <w:rsid w:val="00B72027"/>
    <w:rsid w:val="00B72254"/>
    <w:rsid w:val="00B72292"/>
    <w:rsid w:val="00B7234F"/>
    <w:rsid w:val="00B723AF"/>
    <w:rsid w:val="00B7272B"/>
    <w:rsid w:val="00B72755"/>
    <w:rsid w:val="00B72778"/>
    <w:rsid w:val="00B728BE"/>
    <w:rsid w:val="00B72A15"/>
    <w:rsid w:val="00B72C25"/>
    <w:rsid w:val="00B72C9D"/>
    <w:rsid w:val="00B72D67"/>
    <w:rsid w:val="00B72D86"/>
    <w:rsid w:val="00B72DC2"/>
    <w:rsid w:val="00B72E1D"/>
    <w:rsid w:val="00B730A3"/>
    <w:rsid w:val="00B73181"/>
    <w:rsid w:val="00B73389"/>
    <w:rsid w:val="00B733DD"/>
    <w:rsid w:val="00B73417"/>
    <w:rsid w:val="00B73421"/>
    <w:rsid w:val="00B73556"/>
    <w:rsid w:val="00B73704"/>
    <w:rsid w:val="00B73794"/>
    <w:rsid w:val="00B73843"/>
    <w:rsid w:val="00B73A3F"/>
    <w:rsid w:val="00B73B34"/>
    <w:rsid w:val="00B73BE2"/>
    <w:rsid w:val="00B73BEC"/>
    <w:rsid w:val="00B73C91"/>
    <w:rsid w:val="00B73E21"/>
    <w:rsid w:val="00B73ECC"/>
    <w:rsid w:val="00B73EEC"/>
    <w:rsid w:val="00B74192"/>
    <w:rsid w:val="00B7424D"/>
    <w:rsid w:val="00B743A8"/>
    <w:rsid w:val="00B74528"/>
    <w:rsid w:val="00B74540"/>
    <w:rsid w:val="00B7456A"/>
    <w:rsid w:val="00B745D7"/>
    <w:rsid w:val="00B74999"/>
    <w:rsid w:val="00B74E1A"/>
    <w:rsid w:val="00B74E45"/>
    <w:rsid w:val="00B74F02"/>
    <w:rsid w:val="00B75103"/>
    <w:rsid w:val="00B751BA"/>
    <w:rsid w:val="00B753EF"/>
    <w:rsid w:val="00B7542B"/>
    <w:rsid w:val="00B7542F"/>
    <w:rsid w:val="00B754AF"/>
    <w:rsid w:val="00B75624"/>
    <w:rsid w:val="00B75694"/>
    <w:rsid w:val="00B756C6"/>
    <w:rsid w:val="00B756C7"/>
    <w:rsid w:val="00B7580D"/>
    <w:rsid w:val="00B7599F"/>
    <w:rsid w:val="00B75A44"/>
    <w:rsid w:val="00B75B44"/>
    <w:rsid w:val="00B75BAA"/>
    <w:rsid w:val="00B75CA2"/>
    <w:rsid w:val="00B75D32"/>
    <w:rsid w:val="00B75DC7"/>
    <w:rsid w:val="00B761A9"/>
    <w:rsid w:val="00B7620D"/>
    <w:rsid w:val="00B7624F"/>
    <w:rsid w:val="00B76260"/>
    <w:rsid w:val="00B762C1"/>
    <w:rsid w:val="00B76331"/>
    <w:rsid w:val="00B7640B"/>
    <w:rsid w:val="00B76583"/>
    <w:rsid w:val="00B76761"/>
    <w:rsid w:val="00B76782"/>
    <w:rsid w:val="00B7682F"/>
    <w:rsid w:val="00B768C8"/>
    <w:rsid w:val="00B768E9"/>
    <w:rsid w:val="00B769D8"/>
    <w:rsid w:val="00B76A4B"/>
    <w:rsid w:val="00B76BB2"/>
    <w:rsid w:val="00B76D07"/>
    <w:rsid w:val="00B76D74"/>
    <w:rsid w:val="00B76D90"/>
    <w:rsid w:val="00B76EF2"/>
    <w:rsid w:val="00B76F0C"/>
    <w:rsid w:val="00B76FB2"/>
    <w:rsid w:val="00B77017"/>
    <w:rsid w:val="00B771C9"/>
    <w:rsid w:val="00B7738C"/>
    <w:rsid w:val="00B77469"/>
    <w:rsid w:val="00B7767C"/>
    <w:rsid w:val="00B778A1"/>
    <w:rsid w:val="00B778ED"/>
    <w:rsid w:val="00B77D28"/>
    <w:rsid w:val="00B77E60"/>
    <w:rsid w:val="00B77E9B"/>
    <w:rsid w:val="00B77EA8"/>
    <w:rsid w:val="00B77EEE"/>
    <w:rsid w:val="00B77F34"/>
    <w:rsid w:val="00B8012A"/>
    <w:rsid w:val="00B80182"/>
    <w:rsid w:val="00B801E7"/>
    <w:rsid w:val="00B8022E"/>
    <w:rsid w:val="00B803CD"/>
    <w:rsid w:val="00B80400"/>
    <w:rsid w:val="00B80498"/>
    <w:rsid w:val="00B804DC"/>
    <w:rsid w:val="00B80708"/>
    <w:rsid w:val="00B80771"/>
    <w:rsid w:val="00B8077A"/>
    <w:rsid w:val="00B808E6"/>
    <w:rsid w:val="00B8094F"/>
    <w:rsid w:val="00B80972"/>
    <w:rsid w:val="00B80A91"/>
    <w:rsid w:val="00B80AA3"/>
    <w:rsid w:val="00B80B22"/>
    <w:rsid w:val="00B80BC8"/>
    <w:rsid w:val="00B80C1B"/>
    <w:rsid w:val="00B80DF7"/>
    <w:rsid w:val="00B80E8C"/>
    <w:rsid w:val="00B80FEE"/>
    <w:rsid w:val="00B8105E"/>
    <w:rsid w:val="00B81161"/>
    <w:rsid w:val="00B8126B"/>
    <w:rsid w:val="00B812EE"/>
    <w:rsid w:val="00B81446"/>
    <w:rsid w:val="00B814D5"/>
    <w:rsid w:val="00B81529"/>
    <w:rsid w:val="00B81827"/>
    <w:rsid w:val="00B81902"/>
    <w:rsid w:val="00B8197D"/>
    <w:rsid w:val="00B819A3"/>
    <w:rsid w:val="00B81A2C"/>
    <w:rsid w:val="00B81B19"/>
    <w:rsid w:val="00B81B93"/>
    <w:rsid w:val="00B81C08"/>
    <w:rsid w:val="00B81D04"/>
    <w:rsid w:val="00B81D69"/>
    <w:rsid w:val="00B81E27"/>
    <w:rsid w:val="00B81E40"/>
    <w:rsid w:val="00B81E53"/>
    <w:rsid w:val="00B81ED2"/>
    <w:rsid w:val="00B82119"/>
    <w:rsid w:val="00B82185"/>
    <w:rsid w:val="00B82298"/>
    <w:rsid w:val="00B82316"/>
    <w:rsid w:val="00B8236F"/>
    <w:rsid w:val="00B8239F"/>
    <w:rsid w:val="00B823DC"/>
    <w:rsid w:val="00B824B6"/>
    <w:rsid w:val="00B825DF"/>
    <w:rsid w:val="00B82673"/>
    <w:rsid w:val="00B8271F"/>
    <w:rsid w:val="00B827C1"/>
    <w:rsid w:val="00B827C9"/>
    <w:rsid w:val="00B8282E"/>
    <w:rsid w:val="00B828A5"/>
    <w:rsid w:val="00B828DC"/>
    <w:rsid w:val="00B82A75"/>
    <w:rsid w:val="00B82AFB"/>
    <w:rsid w:val="00B82CE3"/>
    <w:rsid w:val="00B82D13"/>
    <w:rsid w:val="00B82E15"/>
    <w:rsid w:val="00B82F35"/>
    <w:rsid w:val="00B830DD"/>
    <w:rsid w:val="00B8323D"/>
    <w:rsid w:val="00B8326B"/>
    <w:rsid w:val="00B8344A"/>
    <w:rsid w:val="00B83542"/>
    <w:rsid w:val="00B835D0"/>
    <w:rsid w:val="00B836E3"/>
    <w:rsid w:val="00B83844"/>
    <w:rsid w:val="00B83922"/>
    <w:rsid w:val="00B839F2"/>
    <w:rsid w:val="00B83B3F"/>
    <w:rsid w:val="00B83B62"/>
    <w:rsid w:val="00B83C39"/>
    <w:rsid w:val="00B83E40"/>
    <w:rsid w:val="00B83EAA"/>
    <w:rsid w:val="00B83F1D"/>
    <w:rsid w:val="00B83F26"/>
    <w:rsid w:val="00B84159"/>
    <w:rsid w:val="00B84188"/>
    <w:rsid w:val="00B8425B"/>
    <w:rsid w:val="00B8430F"/>
    <w:rsid w:val="00B8451B"/>
    <w:rsid w:val="00B845C5"/>
    <w:rsid w:val="00B8485E"/>
    <w:rsid w:val="00B848B1"/>
    <w:rsid w:val="00B84955"/>
    <w:rsid w:val="00B84AFF"/>
    <w:rsid w:val="00B84B1D"/>
    <w:rsid w:val="00B84B36"/>
    <w:rsid w:val="00B84B87"/>
    <w:rsid w:val="00B84BE6"/>
    <w:rsid w:val="00B84C50"/>
    <w:rsid w:val="00B84C9F"/>
    <w:rsid w:val="00B84D7F"/>
    <w:rsid w:val="00B84E1E"/>
    <w:rsid w:val="00B84E45"/>
    <w:rsid w:val="00B84F8F"/>
    <w:rsid w:val="00B84FAC"/>
    <w:rsid w:val="00B84FC3"/>
    <w:rsid w:val="00B84FD4"/>
    <w:rsid w:val="00B851A1"/>
    <w:rsid w:val="00B8527C"/>
    <w:rsid w:val="00B8531C"/>
    <w:rsid w:val="00B8539F"/>
    <w:rsid w:val="00B854B4"/>
    <w:rsid w:val="00B8553D"/>
    <w:rsid w:val="00B85571"/>
    <w:rsid w:val="00B8557D"/>
    <w:rsid w:val="00B85644"/>
    <w:rsid w:val="00B856AC"/>
    <w:rsid w:val="00B85781"/>
    <w:rsid w:val="00B857EB"/>
    <w:rsid w:val="00B859A7"/>
    <w:rsid w:val="00B85A34"/>
    <w:rsid w:val="00B85A61"/>
    <w:rsid w:val="00B85A66"/>
    <w:rsid w:val="00B85A81"/>
    <w:rsid w:val="00B85B55"/>
    <w:rsid w:val="00B85BD8"/>
    <w:rsid w:val="00B85D26"/>
    <w:rsid w:val="00B85D31"/>
    <w:rsid w:val="00B85D55"/>
    <w:rsid w:val="00B85DBE"/>
    <w:rsid w:val="00B85DE2"/>
    <w:rsid w:val="00B85E03"/>
    <w:rsid w:val="00B85F03"/>
    <w:rsid w:val="00B85F7F"/>
    <w:rsid w:val="00B8607F"/>
    <w:rsid w:val="00B8625E"/>
    <w:rsid w:val="00B862E6"/>
    <w:rsid w:val="00B86310"/>
    <w:rsid w:val="00B86323"/>
    <w:rsid w:val="00B86336"/>
    <w:rsid w:val="00B8637A"/>
    <w:rsid w:val="00B864A2"/>
    <w:rsid w:val="00B8654B"/>
    <w:rsid w:val="00B865E0"/>
    <w:rsid w:val="00B8681C"/>
    <w:rsid w:val="00B86830"/>
    <w:rsid w:val="00B86840"/>
    <w:rsid w:val="00B86AC6"/>
    <w:rsid w:val="00B86AD6"/>
    <w:rsid w:val="00B86ADB"/>
    <w:rsid w:val="00B86BEA"/>
    <w:rsid w:val="00B86C5E"/>
    <w:rsid w:val="00B86C6C"/>
    <w:rsid w:val="00B86D2F"/>
    <w:rsid w:val="00B86D44"/>
    <w:rsid w:val="00B86F21"/>
    <w:rsid w:val="00B86F43"/>
    <w:rsid w:val="00B86FA8"/>
    <w:rsid w:val="00B87226"/>
    <w:rsid w:val="00B8726C"/>
    <w:rsid w:val="00B8731A"/>
    <w:rsid w:val="00B87328"/>
    <w:rsid w:val="00B874B0"/>
    <w:rsid w:val="00B87737"/>
    <w:rsid w:val="00B877EB"/>
    <w:rsid w:val="00B87861"/>
    <w:rsid w:val="00B878A0"/>
    <w:rsid w:val="00B878F7"/>
    <w:rsid w:val="00B87AC4"/>
    <w:rsid w:val="00B87AE8"/>
    <w:rsid w:val="00B87BCD"/>
    <w:rsid w:val="00B87BF9"/>
    <w:rsid w:val="00B87C14"/>
    <w:rsid w:val="00B87C78"/>
    <w:rsid w:val="00B87EB3"/>
    <w:rsid w:val="00B9000B"/>
    <w:rsid w:val="00B9013F"/>
    <w:rsid w:val="00B90149"/>
    <w:rsid w:val="00B901A6"/>
    <w:rsid w:val="00B903D5"/>
    <w:rsid w:val="00B90580"/>
    <w:rsid w:val="00B90585"/>
    <w:rsid w:val="00B906AE"/>
    <w:rsid w:val="00B907E2"/>
    <w:rsid w:val="00B907E6"/>
    <w:rsid w:val="00B909C2"/>
    <w:rsid w:val="00B90AB9"/>
    <w:rsid w:val="00B90B8B"/>
    <w:rsid w:val="00B90CB0"/>
    <w:rsid w:val="00B91114"/>
    <w:rsid w:val="00B91201"/>
    <w:rsid w:val="00B912EF"/>
    <w:rsid w:val="00B9162F"/>
    <w:rsid w:val="00B916F8"/>
    <w:rsid w:val="00B91704"/>
    <w:rsid w:val="00B91750"/>
    <w:rsid w:val="00B917A1"/>
    <w:rsid w:val="00B917E0"/>
    <w:rsid w:val="00B917F1"/>
    <w:rsid w:val="00B918B8"/>
    <w:rsid w:val="00B918E0"/>
    <w:rsid w:val="00B918E9"/>
    <w:rsid w:val="00B9191E"/>
    <w:rsid w:val="00B9194A"/>
    <w:rsid w:val="00B9194C"/>
    <w:rsid w:val="00B919B1"/>
    <w:rsid w:val="00B919D5"/>
    <w:rsid w:val="00B91AD6"/>
    <w:rsid w:val="00B91AF2"/>
    <w:rsid w:val="00B91B79"/>
    <w:rsid w:val="00B91C00"/>
    <w:rsid w:val="00B91D53"/>
    <w:rsid w:val="00B91DB0"/>
    <w:rsid w:val="00B91DC3"/>
    <w:rsid w:val="00B91E38"/>
    <w:rsid w:val="00B91E3F"/>
    <w:rsid w:val="00B91EF4"/>
    <w:rsid w:val="00B91F63"/>
    <w:rsid w:val="00B91FBF"/>
    <w:rsid w:val="00B91FF7"/>
    <w:rsid w:val="00B9207A"/>
    <w:rsid w:val="00B92145"/>
    <w:rsid w:val="00B921F3"/>
    <w:rsid w:val="00B9226C"/>
    <w:rsid w:val="00B9229C"/>
    <w:rsid w:val="00B922AD"/>
    <w:rsid w:val="00B92483"/>
    <w:rsid w:val="00B924D2"/>
    <w:rsid w:val="00B925B1"/>
    <w:rsid w:val="00B9264D"/>
    <w:rsid w:val="00B9264F"/>
    <w:rsid w:val="00B926E7"/>
    <w:rsid w:val="00B92757"/>
    <w:rsid w:val="00B9285E"/>
    <w:rsid w:val="00B92952"/>
    <w:rsid w:val="00B92986"/>
    <w:rsid w:val="00B92BE3"/>
    <w:rsid w:val="00B92CAA"/>
    <w:rsid w:val="00B92E76"/>
    <w:rsid w:val="00B92EEA"/>
    <w:rsid w:val="00B92F0B"/>
    <w:rsid w:val="00B92F88"/>
    <w:rsid w:val="00B930EB"/>
    <w:rsid w:val="00B931F3"/>
    <w:rsid w:val="00B932E8"/>
    <w:rsid w:val="00B933A0"/>
    <w:rsid w:val="00B933C5"/>
    <w:rsid w:val="00B933F9"/>
    <w:rsid w:val="00B9353E"/>
    <w:rsid w:val="00B935B2"/>
    <w:rsid w:val="00B937E7"/>
    <w:rsid w:val="00B93891"/>
    <w:rsid w:val="00B93A34"/>
    <w:rsid w:val="00B93A4D"/>
    <w:rsid w:val="00B93B13"/>
    <w:rsid w:val="00B93BD6"/>
    <w:rsid w:val="00B93BFF"/>
    <w:rsid w:val="00B93D1B"/>
    <w:rsid w:val="00B93EE6"/>
    <w:rsid w:val="00B941D0"/>
    <w:rsid w:val="00B94309"/>
    <w:rsid w:val="00B94380"/>
    <w:rsid w:val="00B94409"/>
    <w:rsid w:val="00B9441D"/>
    <w:rsid w:val="00B94491"/>
    <w:rsid w:val="00B945C4"/>
    <w:rsid w:val="00B945DA"/>
    <w:rsid w:val="00B946AD"/>
    <w:rsid w:val="00B946EA"/>
    <w:rsid w:val="00B94769"/>
    <w:rsid w:val="00B947B7"/>
    <w:rsid w:val="00B947C2"/>
    <w:rsid w:val="00B94800"/>
    <w:rsid w:val="00B9489D"/>
    <w:rsid w:val="00B94A0C"/>
    <w:rsid w:val="00B94A0D"/>
    <w:rsid w:val="00B94A51"/>
    <w:rsid w:val="00B94B00"/>
    <w:rsid w:val="00B94B49"/>
    <w:rsid w:val="00B94B64"/>
    <w:rsid w:val="00B94C89"/>
    <w:rsid w:val="00B94CE6"/>
    <w:rsid w:val="00B94D42"/>
    <w:rsid w:val="00B94DF0"/>
    <w:rsid w:val="00B94E35"/>
    <w:rsid w:val="00B94E8E"/>
    <w:rsid w:val="00B94EAE"/>
    <w:rsid w:val="00B94F09"/>
    <w:rsid w:val="00B94F54"/>
    <w:rsid w:val="00B94FC9"/>
    <w:rsid w:val="00B95061"/>
    <w:rsid w:val="00B9519E"/>
    <w:rsid w:val="00B953AF"/>
    <w:rsid w:val="00B95461"/>
    <w:rsid w:val="00B9550F"/>
    <w:rsid w:val="00B9555F"/>
    <w:rsid w:val="00B956AA"/>
    <w:rsid w:val="00B957FA"/>
    <w:rsid w:val="00B95867"/>
    <w:rsid w:val="00B95921"/>
    <w:rsid w:val="00B95A95"/>
    <w:rsid w:val="00B95AFF"/>
    <w:rsid w:val="00B95B5A"/>
    <w:rsid w:val="00B95C7C"/>
    <w:rsid w:val="00B95D36"/>
    <w:rsid w:val="00B95D45"/>
    <w:rsid w:val="00B95E03"/>
    <w:rsid w:val="00B95EC5"/>
    <w:rsid w:val="00B95F24"/>
    <w:rsid w:val="00B95F53"/>
    <w:rsid w:val="00B95FE8"/>
    <w:rsid w:val="00B96018"/>
    <w:rsid w:val="00B96102"/>
    <w:rsid w:val="00B961C2"/>
    <w:rsid w:val="00B9647D"/>
    <w:rsid w:val="00B964D0"/>
    <w:rsid w:val="00B964FF"/>
    <w:rsid w:val="00B96599"/>
    <w:rsid w:val="00B96669"/>
    <w:rsid w:val="00B966A3"/>
    <w:rsid w:val="00B96773"/>
    <w:rsid w:val="00B96975"/>
    <w:rsid w:val="00B96AA5"/>
    <w:rsid w:val="00B96B6C"/>
    <w:rsid w:val="00B96C20"/>
    <w:rsid w:val="00B96C6A"/>
    <w:rsid w:val="00B96C76"/>
    <w:rsid w:val="00B96C80"/>
    <w:rsid w:val="00B96C9C"/>
    <w:rsid w:val="00B96DAB"/>
    <w:rsid w:val="00B96DD6"/>
    <w:rsid w:val="00B96EEE"/>
    <w:rsid w:val="00B9705A"/>
    <w:rsid w:val="00B970A8"/>
    <w:rsid w:val="00B9711A"/>
    <w:rsid w:val="00B97158"/>
    <w:rsid w:val="00B9716D"/>
    <w:rsid w:val="00B97181"/>
    <w:rsid w:val="00B97252"/>
    <w:rsid w:val="00B973F1"/>
    <w:rsid w:val="00B97426"/>
    <w:rsid w:val="00B974C5"/>
    <w:rsid w:val="00B97592"/>
    <w:rsid w:val="00B97755"/>
    <w:rsid w:val="00B97833"/>
    <w:rsid w:val="00B97856"/>
    <w:rsid w:val="00B978B7"/>
    <w:rsid w:val="00B97926"/>
    <w:rsid w:val="00B9793A"/>
    <w:rsid w:val="00B97A27"/>
    <w:rsid w:val="00B97C14"/>
    <w:rsid w:val="00B97CE2"/>
    <w:rsid w:val="00B97D92"/>
    <w:rsid w:val="00B97F1B"/>
    <w:rsid w:val="00B97F5B"/>
    <w:rsid w:val="00B97FA9"/>
    <w:rsid w:val="00BA0016"/>
    <w:rsid w:val="00BA00D4"/>
    <w:rsid w:val="00BA0356"/>
    <w:rsid w:val="00BA0360"/>
    <w:rsid w:val="00BA0473"/>
    <w:rsid w:val="00BA0477"/>
    <w:rsid w:val="00BA04E2"/>
    <w:rsid w:val="00BA0508"/>
    <w:rsid w:val="00BA059F"/>
    <w:rsid w:val="00BA06D9"/>
    <w:rsid w:val="00BA07DE"/>
    <w:rsid w:val="00BA0A88"/>
    <w:rsid w:val="00BA0B22"/>
    <w:rsid w:val="00BA0BDA"/>
    <w:rsid w:val="00BA0BE6"/>
    <w:rsid w:val="00BA0CB1"/>
    <w:rsid w:val="00BA0D07"/>
    <w:rsid w:val="00BA0E16"/>
    <w:rsid w:val="00BA0E65"/>
    <w:rsid w:val="00BA0E92"/>
    <w:rsid w:val="00BA0E93"/>
    <w:rsid w:val="00BA0FC0"/>
    <w:rsid w:val="00BA0FE5"/>
    <w:rsid w:val="00BA1072"/>
    <w:rsid w:val="00BA1124"/>
    <w:rsid w:val="00BA11B3"/>
    <w:rsid w:val="00BA11D9"/>
    <w:rsid w:val="00BA11FE"/>
    <w:rsid w:val="00BA138E"/>
    <w:rsid w:val="00BA13B3"/>
    <w:rsid w:val="00BA13D5"/>
    <w:rsid w:val="00BA15F9"/>
    <w:rsid w:val="00BA160C"/>
    <w:rsid w:val="00BA16BA"/>
    <w:rsid w:val="00BA1920"/>
    <w:rsid w:val="00BA1A5A"/>
    <w:rsid w:val="00BA1A95"/>
    <w:rsid w:val="00BA1ABF"/>
    <w:rsid w:val="00BA1B36"/>
    <w:rsid w:val="00BA1B71"/>
    <w:rsid w:val="00BA1BA6"/>
    <w:rsid w:val="00BA1CD1"/>
    <w:rsid w:val="00BA1DA5"/>
    <w:rsid w:val="00BA1DB5"/>
    <w:rsid w:val="00BA1E6E"/>
    <w:rsid w:val="00BA1EC4"/>
    <w:rsid w:val="00BA1ED1"/>
    <w:rsid w:val="00BA1F77"/>
    <w:rsid w:val="00BA1FE3"/>
    <w:rsid w:val="00BA2099"/>
    <w:rsid w:val="00BA2224"/>
    <w:rsid w:val="00BA231F"/>
    <w:rsid w:val="00BA237F"/>
    <w:rsid w:val="00BA23A2"/>
    <w:rsid w:val="00BA25CD"/>
    <w:rsid w:val="00BA25EC"/>
    <w:rsid w:val="00BA2719"/>
    <w:rsid w:val="00BA2791"/>
    <w:rsid w:val="00BA27FB"/>
    <w:rsid w:val="00BA2807"/>
    <w:rsid w:val="00BA29D6"/>
    <w:rsid w:val="00BA2A24"/>
    <w:rsid w:val="00BA2A35"/>
    <w:rsid w:val="00BA2B0A"/>
    <w:rsid w:val="00BA2B4B"/>
    <w:rsid w:val="00BA2BD6"/>
    <w:rsid w:val="00BA2CD7"/>
    <w:rsid w:val="00BA2D0A"/>
    <w:rsid w:val="00BA2D85"/>
    <w:rsid w:val="00BA2EDB"/>
    <w:rsid w:val="00BA2FEC"/>
    <w:rsid w:val="00BA3034"/>
    <w:rsid w:val="00BA30FD"/>
    <w:rsid w:val="00BA311F"/>
    <w:rsid w:val="00BA3189"/>
    <w:rsid w:val="00BA31F8"/>
    <w:rsid w:val="00BA3259"/>
    <w:rsid w:val="00BA339D"/>
    <w:rsid w:val="00BA3584"/>
    <w:rsid w:val="00BA35D7"/>
    <w:rsid w:val="00BA3656"/>
    <w:rsid w:val="00BA371E"/>
    <w:rsid w:val="00BA37DA"/>
    <w:rsid w:val="00BA39B9"/>
    <w:rsid w:val="00BA3A9B"/>
    <w:rsid w:val="00BA3AC9"/>
    <w:rsid w:val="00BA3B34"/>
    <w:rsid w:val="00BA3C77"/>
    <w:rsid w:val="00BA3E3C"/>
    <w:rsid w:val="00BA3E4C"/>
    <w:rsid w:val="00BA3EA9"/>
    <w:rsid w:val="00BA3EE6"/>
    <w:rsid w:val="00BA3F40"/>
    <w:rsid w:val="00BA3F52"/>
    <w:rsid w:val="00BA3FD7"/>
    <w:rsid w:val="00BA4019"/>
    <w:rsid w:val="00BA4131"/>
    <w:rsid w:val="00BA4144"/>
    <w:rsid w:val="00BA429C"/>
    <w:rsid w:val="00BA42AD"/>
    <w:rsid w:val="00BA4340"/>
    <w:rsid w:val="00BA4350"/>
    <w:rsid w:val="00BA4381"/>
    <w:rsid w:val="00BA44AF"/>
    <w:rsid w:val="00BA453E"/>
    <w:rsid w:val="00BA4557"/>
    <w:rsid w:val="00BA457B"/>
    <w:rsid w:val="00BA4623"/>
    <w:rsid w:val="00BA467C"/>
    <w:rsid w:val="00BA47B8"/>
    <w:rsid w:val="00BA4ADA"/>
    <w:rsid w:val="00BA4B87"/>
    <w:rsid w:val="00BA4BA0"/>
    <w:rsid w:val="00BA4CA5"/>
    <w:rsid w:val="00BA4CC4"/>
    <w:rsid w:val="00BA4CEB"/>
    <w:rsid w:val="00BA4CEC"/>
    <w:rsid w:val="00BA4D74"/>
    <w:rsid w:val="00BA4DB2"/>
    <w:rsid w:val="00BA4E02"/>
    <w:rsid w:val="00BA4E73"/>
    <w:rsid w:val="00BA4E96"/>
    <w:rsid w:val="00BA4EAF"/>
    <w:rsid w:val="00BA4F5D"/>
    <w:rsid w:val="00BA5009"/>
    <w:rsid w:val="00BA5070"/>
    <w:rsid w:val="00BA51B8"/>
    <w:rsid w:val="00BA52F2"/>
    <w:rsid w:val="00BA52FB"/>
    <w:rsid w:val="00BA5388"/>
    <w:rsid w:val="00BA53EC"/>
    <w:rsid w:val="00BA5458"/>
    <w:rsid w:val="00BA552B"/>
    <w:rsid w:val="00BA55FC"/>
    <w:rsid w:val="00BA5632"/>
    <w:rsid w:val="00BA5638"/>
    <w:rsid w:val="00BA5A66"/>
    <w:rsid w:val="00BA5AC3"/>
    <w:rsid w:val="00BA5AE7"/>
    <w:rsid w:val="00BA5B04"/>
    <w:rsid w:val="00BA5B36"/>
    <w:rsid w:val="00BA5B74"/>
    <w:rsid w:val="00BA5BCC"/>
    <w:rsid w:val="00BA5CED"/>
    <w:rsid w:val="00BA5D2E"/>
    <w:rsid w:val="00BA5D48"/>
    <w:rsid w:val="00BA5E94"/>
    <w:rsid w:val="00BA5F43"/>
    <w:rsid w:val="00BA5F70"/>
    <w:rsid w:val="00BA5F78"/>
    <w:rsid w:val="00BA5FC4"/>
    <w:rsid w:val="00BA602A"/>
    <w:rsid w:val="00BA6077"/>
    <w:rsid w:val="00BA609A"/>
    <w:rsid w:val="00BA60DB"/>
    <w:rsid w:val="00BA614B"/>
    <w:rsid w:val="00BA6152"/>
    <w:rsid w:val="00BA61BE"/>
    <w:rsid w:val="00BA6230"/>
    <w:rsid w:val="00BA63BA"/>
    <w:rsid w:val="00BA64B5"/>
    <w:rsid w:val="00BA6632"/>
    <w:rsid w:val="00BA6702"/>
    <w:rsid w:val="00BA67D2"/>
    <w:rsid w:val="00BA67E3"/>
    <w:rsid w:val="00BA6873"/>
    <w:rsid w:val="00BA697B"/>
    <w:rsid w:val="00BA6986"/>
    <w:rsid w:val="00BA69AF"/>
    <w:rsid w:val="00BA6A65"/>
    <w:rsid w:val="00BA6B9F"/>
    <w:rsid w:val="00BA6CF0"/>
    <w:rsid w:val="00BA6CFB"/>
    <w:rsid w:val="00BA6D21"/>
    <w:rsid w:val="00BA6D67"/>
    <w:rsid w:val="00BA6E2A"/>
    <w:rsid w:val="00BA6E83"/>
    <w:rsid w:val="00BA6EC5"/>
    <w:rsid w:val="00BA70CF"/>
    <w:rsid w:val="00BA710C"/>
    <w:rsid w:val="00BA713E"/>
    <w:rsid w:val="00BA71B5"/>
    <w:rsid w:val="00BA7358"/>
    <w:rsid w:val="00BA7396"/>
    <w:rsid w:val="00BA73C0"/>
    <w:rsid w:val="00BA74CF"/>
    <w:rsid w:val="00BA7507"/>
    <w:rsid w:val="00BA7572"/>
    <w:rsid w:val="00BA7798"/>
    <w:rsid w:val="00BA77B7"/>
    <w:rsid w:val="00BA79BF"/>
    <w:rsid w:val="00BA7ABB"/>
    <w:rsid w:val="00BA7AE0"/>
    <w:rsid w:val="00BA7AF0"/>
    <w:rsid w:val="00BA7B43"/>
    <w:rsid w:val="00BA7B5E"/>
    <w:rsid w:val="00BA7B82"/>
    <w:rsid w:val="00BA7C1A"/>
    <w:rsid w:val="00BA7C4D"/>
    <w:rsid w:val="00BA7D0A"/>
    <w:rsid w:val="00BA7E27"/>
    <w:rsid w:val="00BB010D"/>
    <w:rsid w:val="00BB0136"/>
    <w:rsid w:val="00BB0144"/>
    <w:rsid w:val="00BB0286"/>
    <w:rsid w:val="00BB0383"/>
    <w:rsid w:val="00BB03DF"/>
    <w:rsid w:val="00BB059B"/>
    <w:rsid w:val="00BB0782"/>
    <w:rsid w:val="00BB0833"/>
    <w:rsid w:val="00BB08E8"/>
    <w:rsid w:val="00BB08FF"/>
    <w:rsid w:val="00BB09CD"/>
    <w:rsid w:val="00BB0A56"/>
    <w:rsid w:val="00BB0AAD"/>
    <w:rsid w:val="00BB0ADF"/>
    <w:rsid w:val="00BB0AFF"/>
    <w:rsid w:val="00BB0B08"/>
    <w:rsid w:val="00BB0B47"/>
    <w:rsid w:val="00BB0B79"/>
    <w:rsid w:val="00BB0E51"/>
    <w:rsid w:val="00BB0F34"/>
    <w:rsid w:val="00BB1072"/>
    <w:rsid w:val="00BB108F"/>
    <w:rsid w:val="00BB10C2"/>
    <w:rsid w:val="00BB114C"/>
    <w:rsid w:val="00BB114D"/>
    <w:rsid w:val="00BB11D8"/>
    <w:rsid w:val="00BB11FB"/>
    <w:rsid w:val="00BB142C"/>
    <w:rsid w:val="00BB1559"/>
    <w:rsid w:val="00BB1612"/>
    <w:rsid w:val="00BB1719"/>
    <w:rsid w:val="00BB17F9"/>
    <w:rsid w:val="00BB1821"/>
    <w:rsid w:val="00BB1858"/>
    <w:rsid w:val="00BB1A10"/>
    <w:rsid w:val="00BB1A84"/>
    <w:rsid w:val="00BB1B83"/>
    <w:rsid w:val="00BB1B86"/>
    <w:rsid w:val="00BB1C26"/>
    <w:rsid w:val="00BB1CD4"/>
    <w:rsid w:val="00BB1CEC"/>
    <w:rsid w:val="00BB1E31"/>
    <w:rsid w:val="00BB1E45"/>
    <w:rsid w:val="00BB1EA2"/>
    <w:rsid w:val="00BB1F3C"/>
    <w:rsid w:val="00BB20A7"/>
    <w:rsid w:val="00BB2166"/>
    <w:rsid w:val="00BB21A9"/>
    <w:rsid w:val="00BB220E"/>
    <w:rsid w:val="00BB227B"/>
    <w:rsid w:val="00BB227E"/>
    <w:rsid w:val="00BB22C9"/>
    <w:rsid w:val="00BB22FA"/>
    <w:rsid w:val="00BB23D0"/>
    <w:rsid w:val="00BB2541"/>
    <w:rsid w:val="00BB2700"/>
    <w:rsid w:val="00BB27BE"/>
    <w:rsid w:val="00BB2821"/>
    <w:rsid w:val="00BB295D"/>
    <w:rsid w:val="00BB2A9E"/>
    <w:rsid w:val="00BB2B49"/>
    <w:rsid w:val="00BB2C75"/>
    <w:rsid w:val="00BB2D24"/>
    <w:rsid w:val="00BB2D5D"/>
    <w:rsid w:val="00BB2E56"/>
    <w:rsid w:val="00BB2E58"/>
    <w:rsid w:val="00BB2E84"/>
    <w:rsid w:val="00BB2F69"/>
    <w:rsid w:val="00BB3085"/>
    <w:rsid w:val="00BB3144"/>
    <w:rsid w:val="00BB3301"/>
    <w:rsid w:val="00BB3346"/>
    <w:rsid w:val="00BB3366"/>
    <w:rsid w:val="00BB337A"/>
    <w:rsid w:val="00BB3566"/>
    <w:rsid w:val="00BB3916"/>
    <w:rsid w:val="00BB3972"/>
    <w:rsid w:val="00BB3999"/>
    <w:rsid w:val="00BB3B57"/>
    <w:rsid w:val="00BB3CA1"/>
    <w:rsid w:val="00BB3DFC"/>
    <w:rsid w:val="00BB3E45"/>
    <w:rsid w:val="00BB3E76"/>
    <w:rsid w:val="00BB3E9B"/>
    <w:rsid w:val="00BB3EFF"/>
    <w:rsid w:val="00BB4036"/>
    <w:rsid w:val="00BB403D"/>
    <w:rsid w:val="00BB4065"/>
    <w:rsid w:val="00BB409F"/>
    <w:rsid w:val="00BB417C"/>
    <w:rsid w:val="00BB423D"/>
    <w:rsid w:val="00BB4336"/>
    <w:rsid w:val="00BB4427"/>
    <w:rsid w:val="00BB4457"/>
    <w:rsid w:val="00BB44C0"/>
    <w:rsid w:val="00BB45A6"/>
    <w:rsid w:val="00BB462F"/>
    <w:rsid w:val="00BB467E"/>
    <w:rsid w:val="00BB4690"/>
    <w:rsid w:val="00BB4701"/>
    <w:rsid w:val="00BB47B5"/>
    <w:rsid w:val="00BB4901"/>
    <w:rsid w:val="00BB49B3"/>
    <w:rsid w:val="00BB49F3"/>
    <w:rsid w:val="00BB4A87"/>
    <w:rsid w:val="00BB4ABC"/>
    <w:rsid w:val="00BB4BB0"/>
    <w:rsid w:val="00BB4C35"/>
    <w:rsid w:val="00BB4C9E"/>
    <w:rsid w:val="00BB4CF9"/>
    <w:rsid w:val="00BB4D1F"/>
    <w:rsid w:val="00BB4D4B"/>
    <w:rsid w:val="00BB4DC6"/>
    <w:rsid w:val="00BB4DE8"/>
    <w:rsid w:val="00BB4E42"/>
    <w:rsid w:val="00BB4EB5"/>
    <w:rsid w:val="00BB4FAA"/>
    <w:rsid w:val="00BB4FB2"/>
    <w:rsid w:val="00BB51B5"/>
    <w:rsid w:val="00BB5254"/>
    <w:rsid w:val="00BB52CE"/>
    <w:rsid w:val="00BB52DC"/>
    <w:rsid w:val="00BB5312"/>
    <w:rsid w:val="00BB5336"/>
    <w:rsid w:val="00BB53BE"/>
    <w:rsid w:val="00BB5451"/>
    <w:rsid w:val="00BB54BC"/>
    <w:rsid w:val="00BB55D4"/>
    <w:rsid w:val="00BB5841"/>
    <w:rsid w:val="00BB584E"/>
    <w:rsid w:val="00BB5961"/>
    <w:rsid w:val="00BB59C9"/>
    <w:rsid w:val="00BB5A4F"/>
    <w:rsid w:val="00BB5A8B"/>
    <w:rsid w:val="00BB5C0B"/>
    <w:rsid w:val="00BB5D1A"/>
    <w:rsid w:val="00BB5DC1"/>
    <w:rsid w:val="00BB5DFE"/>
    <w:rsid w:val="00BB5EAF"/>
    <w:rsid w:val="00BB5F32"/>
    <w:rsid w:val="00BB5F35"/>
    <w:rsid w:val="00BB5FA0"/>
    <w:rsid w:val="00BB5FDC"/>
    <w:rsid w:val="00BB602E"/>
    <w:rsid w:val="00BB61F7"/>
    <w:rsid w:val="00BB63D0"/>
    <w:rsid w:val="00BB64A8"/>
    <w:rsid w:val="00BB64C0"/>
    <w:rsid w:val="00BB659E"/>
    <w:rsid w:val="00BB6661"/>
    <w:rsid w:val="00BB6702"/>
    <w:rsid w:val="00BB6747"/>
    <w:rsid w:val="00BB6832"/>
    <w:rsid w:val="00BB6887"/>
    <w:rsid w:val="00BB68AB"/>
    <w:rsid w:val="00BB68BF"/>
    <w:rsid w:val="00BB69EE"/>
    <w:rsid w:val="00BB6A19"/>
    <w:rsid w:val="00BB6A2B"/>
    <w:rsid w:val="00BB6B1F"/>
    <w:rsid w:val="00BB6C03"/>
    <w:rsid w:val="00BB6C35"/>
    <w:rsid w:val="00BB6D0B"/>
    <w:rsid w:val="00BB6D6E"/>
    <w:rsid w:val="00BB6E49"/>
    <w:rsid w:val="00BB6E6E"/>
    <w:rsid w:val="00BB6E78"/>
    <w:rsid w:val="00BB6ECF"/>
    <w:rsid w:val="00BB7074"/>
    <w:rsid w:val="00BB70F7"/>
    <w:rsid w:val="00BB724C"/>
    <w:rsid w:val="00BB747E"/>
    <w:rsid w:val="00BB74D5"/>
    <w:rsid w:val="00BB7566"/>
    <w:rsid w:val="00BB75A4"/>
    <w:rsid w:val="00BB75D4"/>
    <w:rsid w:val="00BB75E0"/>
    <w:rsid w:val="00BB7628"/>
    <w:rsid w:val="00BB76E5"/>
    <w:rsid w:val="00BB77F9"/>
    <w:rsid w:val="00BB7821"/>
    <w:rsid w:val="00BB784A"/>
    <w:rsid w:val="00BB7864"/>
    <w:rsid w:val="00BB7915"/>
    <w:rsid w:val="00BB79A7"/>
    <w:rsid w:val="00BB7BD0"/>
    <w:rsid w:val="00BB7BD6"/>
    <w:rsid w:val="00BB7C2B"/>
    <w:rsid w:val="00BB7D7D"/>
    <w:rsid w:val="00BB7EE6"/>
    <w:rsid w:val="00BB7EEE"/>
    <w:rsid w:val="00BB7FC7"/>
    <w:rsid w:val="00BC00E3"/>
    <w:rsid w:val="00BC013A"/>
    <w:rsid w:val="00BC027A"/>
    <w:rsid w:val="00BC02E1"/>
    <w:rsid w:val="00BC02FD"/>
    <w:rsid w:val="00BC030A"/>
    <w:rsid w:val="00BC038E"/>
    <w:rsid w:val="00BC042C"/>
    <w:rsid w:val="00BC043B"/>
    <w:rsid w:val="00BC04B8"/>
    <w:rsid w:val="00BC04BD"/>
    <w:rsid w:val="00BC0679"/>
    <w:rsid w:val="00BC06E9"/>
    <w:rsid w:val="00BC098D"/>
    <w:rsid w:val="00BC09E3"/>
    <w:rsid w:val="00BC0A1A"/>
    <w:rsid w:val="00BC0A33"/>
    <w:rsid w:val="00BC0AEB"/>
    <w:rsid w:val="00BC0B01"/>
    <w:rsid w:val="00BC0B65"/>
    <w:rsid w:val="00BC0C3D"/>
    <w:rsid w:val="00BC0C74"/>
    <w:rsid w:val="00BC0CD0"/>
    <w:rsid w:val="00BC0E19"/>
    <w:rsid w:val="00BC11E0"/>
    <w:rsid w:val="00BC128F"/>
    <w:rsid w:val="00BC140A"/>
    <w:rsid w:val="00BC1425"/>
    <w:rsid w:val="00BC148E"/>
    <w:rsid w:val="00BC1528"/>
    <w:rsid w:val="00BC1571"/>
    <w:rsid w:val="00BC158B"/>
    <w:rsid w:val="00BC17B7"/>
    <w:rsid w:val="00BC17F4"/>
    <w:rsid w:val="00BC1884"/>
    <w:rsid w:val="00BC1972"/>
    <w:rsid w:val="00BC1A18"/>
    <w:rsid w:val="00BC1ACC"/>
    <w:rsid w:val="00BC1B0C"/>
    <w:rsid w:val="00BC1B3F"/>
    <w:rsid w:val="00BC1E86"/>
    <w:rsid w:val="00BC1E9C"/>
    <w:rsid w:val="00BC1EAB"/>
    <w:rsid w:val="00BC1F81"/>
    <w:rsid w:val="00BC2343"/>
    <w:rsid w:val="00BC23A7"/>
    <w:rsid w:val="00BC23B6"/>
    <w:rsid w:val="00BC25CB"/>
    <w:rsid w:val="00BC2642"/>
    <w:rsid w:val="00BC26CB"/>
    <w:rsid w:val="00BC26E2"/>
    <w:rsid w:val="00BC2862"/>
    <w:rsid w:val="00BC2883"/>
    <w:rsid w:val="00BC2891"/>
    <w:rsid w:val="00BC28A8"/>
    <w:rsid w:val="00BC2987"/>
    <w:rsid w:val="00BC29D0"/>
    <w:rsid w:val="00BC2A6C"/>
    <w:rsid w:val="00BC2C42"/>
    <w:rsid w:val="00BC2C6E"/>
    <w:rsid w:val="00BC2CF2"/>
    <w:rsid w:val="00BC2D69"/>
    <w:rsid w:val="00BC2D6F"/>
    <w:rsid w:val="00BC2DB5"/>
    <w:rsid w:val="00BC2E56"/>
    <w:rsid w:val="00BC2E81"/>
    <w:rsid w:val="00BC2EE3"/>
    <w:rsid w:val="00BC2F7B"/>
    <w:rsid w:val="00BC2FC9"/>
    <w:rsid w:val="00BC2FDE"/>
    <w:rsid w:val="00BC3096"/>
    <w:rsid w:val="00BC3229"/>
    <w:rsid w:val="00BC3446"/>
    <w:rsid w:val="00BC3471"/>
    <w:rsid w:val="00BC34A0"/>
    <w:rsid w:val="00BC351B"/>
    <w:rsid w:val="00BC35D5"/>
    <w:rsid w:val="00BC367C"/>
    <w:rsid w:val="00BC36D1"/>
    <w:rsid w:val="00BC3728"/>
    <w:rsid w:val="00BC372B"/>
    <w:rsid w:val="00BC387D"/>
    <w:rsid w:val="00BC389B"/>
    <w:rsid w:val="00BC3945"/>
    <w:rsid w:val="00BC39DB"/>
    <w:rsid w:val="00BC3A6C"/>
    <w:rsid w:val="00BC3B01"/>
    <w:rsid w:val="00BC3DF1"/>
    <w:rsid w:val="00BC3E1B"/>
    <w:rsid w:val="00BC40E5"/>
    <w:rsid w:val="00BC4564"/>
    <w:rsid w:val="00BC4644"/>
    <w:rsid w:val="00BC473D"/>
    <w:rsid w:val="00BC47D2"/>
    <w:rsid w:val="00BC47EE"/>
    <w:rsid w:val="00BC48AE"/>
    <w:rsid w:val="00BC48E0"/>
    <w:rsid w:val="00BC494C"/>
    <w:rsid w:val="00BC4976"/>
    <w:rsid w:val="00BC4A00"/>
    <w:rsid w:val="00BC4AEF"/>
    <w:rsid w:val="00BC4AF4"/>
    <w:rsid w:val="00BC4AFB"/>
    <w:rsid w:val="00BC4B60"/>
    <w:rsid w:val="00BC4C90"/>
    <w:rsid w:val="00BC4D41"/>
    <w:rsid w:val="00BC4E63"/>
    <w:rsid w:val="00BC4F34"/>
    <w:rsid w:val="00BC4F4B"/>
    <w:rsid w:val="00BC50A7"/>
    <w:rsid w:val="00BC51C7"/>
    <w:rsid w:val="00BC5458"/>
    <w:rsid w:val="00BC54C9"/>
    <w:rsid w:val="00BC55C7"/>
    <w:rsid w:val="00BC5640"/>
    <w:rsid w:val="00BC567A"/>
    <w:rsid w:val="00BC5866"/>
    <w:rsid w:val="00BC5962"/>
    <w:rsid w:val="00BC5A47"/>
    <w:rsid w:val="00BC5C4F"/>
    <w:rsid w:val="00BC5D9A"/>
    <w:rsid w:val="00BC5E1E"/>
    <w:rsid w:val="00BC5EF2"/>
    <w:rsid w:val="00BC5F7F"/>
    <w:rsid w:val="00BC5FA9"/>
    <w:rsid w:val="00BC6104"/>
    <w:rsid w:val="00BC61A4"/>
    <w:rsid w:val="00BC6209"/>
    <w:rsid w:val="00BC6245"/>
    <w:rsid w:val="00BC62D6"/>
    <w:rsid w:val="00BC6303"/>
    <w:rsid w:val="00BC6304"/>
    <w:rsid w:val="00BC6335"/>
    <w:rsid w:val="00BC63AC"/>
    <w:rsid w:val="00BC63B7"/>
    <w:rsid w:val="00BC648E"/>
    <w:rsid w:val="00BC6559"/>
    <w:rsid w:val="00BC6690"/>
    <w:rsid w:val="00BC6858"/>
    <w:rsid w:val="00BC687D"/>
    <w:rsid w:val="00BC68BC"/>
    <w:rsid w:val="00BC6927"/>
    <w:rsid w:val="00BC6999"/>
    <w:rsid w:val="00BC6A2B"/>
    <w:rsid w:val="00BC6A85"/>
    <w:rsid w:val="00BC6AC1"/>
    <w:rsid w:val="00BC6B71"/>
    <w:rsid w:val="00BC6B9A"/>
    <w:rsid w:val="00BC6C5E"/>
    <w:rsid w:val="00BC6CB2"/>
    <w:rsid w:val="00BC6D68"/>
    <w:rsid w:val="00BC6DA5"/>
    <w:rsid w:val="00BC6E3D"/>
    <w:rsid w:val="00BC6FEE"/>
    <w:rsid w:val="00BC7011"/>
    <w:rsid w:val="00BC707B"/>
    <w:rsid w:val="00BC7273"/>
    <w:rsid w:val="00BC731F"/>
    <w:rsid w:val="00BC732C"/>
    <w:rsid w:val="00BC734A"/>
    <w:rsid w:val="00BC743F"/>
    <w:rsid w:val="00BC7457"/>
    <w:rsid w:val="00BC745F"/>
    <w:rsid w:val="00BC7542"/>
    <w:rsid w:val="00BC7658"/>
    <w:rsid w:val="00BC76FC"/>
    <w:rsid w:val="00BC771B"/>
    <w:rsid w:val="00BC777E"/>
    <w:rsid w:val="00BC7841"/>
    <w:rsid w:val="00BC7862"/>
    <w:rsid w:val="00BC78DB"/>
    <w:rsid w:val="00BC7989"/>
    <w:rsid w:val="00BC7A6D"/>
    <w:rsid w:val="00BC7A84"/>
    <w:rsid w:val="00BC7AB4"/>
    <w:rsid w:val="00BC7AB6"/>
    <w:rsid w:val="00BC7ACE"/>
    <w:rsid w:val="00BC7BD3"/>
    <w:rsid w:val="00BC7BF0"/>
    <w:rsid w:val="00BC7C5B"/>
    <w:rsid w:val="00BC7C70"/>
    <w:rsid w:val="00BC7C92"/>
    <w:rsid w:val="00BC7E5F"/>
    <w:rsid w:val="00BC7F61"/>
    <w:rsid w:val="00BC7FAE"/>
    <w:rsid w:val="00BD0182"/>
    <w:rsid w:val="00BD0226"/>
    <w:rsid w:val="00BD0253"/>
    <w:rsid w:val="00BD0454"/>
    <w:rsid w:val="00BD0549"/>
    <w:rsid w:val="00BD05A4"/>
    <w:rsid w:val="00BD05B0"/>
    <w:rsid w:val="00BD065A"/>
    <w:rsid w:val="00BD07A1"/>
    <w:rsid w:val="00BD0864"/>
    <w:rsid w:val="00BD091B"/>
    <w:rsid w:val="00BD09B0"/>
    <w:rsid w:val="00BD0A03"/>
    <w:rsid w:val="00BD0A5F"/>
    <w:rsid w:val="00BD0B24"/>
    <w:rsid w:val="00BD0BCF"/>
    <w:rsid w:val="00BD0BF8"/>
    <w:rsid w:val="00BD0C72"/>
    <w:rsid w:val="00BD0D12"/>
    <w:rsid w:val="00BD0DCF"/>
    <w:rsid w:val="00BD0EC7"/>
    <w:rsid w:val="00BD0F2E"/>
    <w:rsid w:val="00BD0F6E"/>
    <w:rsid w:val="00BD10AD"/>
    <w:rsid w:val="00BD11B7"/>
    <w:rsid w:val="00BD11D8"/>
    <w:rsid w:val="00BD11DE"/>
    <w:rsid w:val="00BD11ED"/>
    <w:rsid w:val="00BD11F9"/>
    <w:rsid w:val="00BD1203"/>
    <w:rsid w:val="00BD13D0"/>
    <w:rsid w:val="00BD142C"/>
    <w:rsid w:val="00BD157D"/>
    <w:rsid w:val="00BD159E"/>
    <w:rsid w:val="00BD161A"/>
    <w:rsid w:val="00BD1638"/>
    <w:rsid w:val="00BD16B5"/>
    <w:rsid w:val="00BD1792"/>
    <w:rsid w:val="00BD1A64"/>
    <w:rsid w:val="00BD1ADD"/>
    <w:rsid w:val="00BD1CCF"/>
    <w:rsid w:val="00BD1D97"/>
    <w:rsid w:val="00BD1DF1"/>
    <w:rsid w:val="00BD1E75"/>
    <w:rsid w:val="00BD1F03"/>
    <w:rsid w:val="00BD1FCC"/>
    <w:rsid w:val="00BD2127"/>
    <w:rsid w:val="00BD21A9"/>
    <w:rsid w:val="00BD21E7"/>
    <w:rsid w:val="00BD2423"/>
    <w:rsid w:val="00BD2475"/>
    <w:rsid w:val="00BD24EF"/>
    <w:rsid w:val="00BD2544"/>
    <w:rsid w:val="00BD2554"/>
    <w:rsid w:val="00BD259D"/>
    <w:rsid w:val="00BD25F6"/>
    <w:rsid w:val="00BD261F"/>
    <w:rsid w:val="00BD2679"/>
    <w:rsid w:val="00BD26A8"/>
    <w:rsid w:val="00BD2781"/>
    <w:rsid w:val="00BD27E8"/>
    <w:rsid w:val="00BD2809"/>
    <w:rsid w:val="00BD28D4"/>
    <w:rsid w:val="00BD28F3"/>
    <w:rsid w:val="00BD28F9"/>
    <w:rsid w:val="00BD2951"/>
    <w:rsid w:val="00BD2A80"/>
    <w:rsid w:val="00BD2A84"/>
    <w:rsid w:val="00BD2BA5"/>
    <w:rsid w:val="00BD2BC1"/>
    <w:rsid w:val="00BD2C8C"/>
    <w:rsid w:val="00BD2DB1"/>
    <w:rsid w:val="00BD2E1F"/>
    <w:rsid w:val="00BD2E7F"/>
    <w:rsid w:val="00BD3084"/>
    <w:rsid w:val="00BD30C7"/>
    <w:rsid w:val="00BD312D"/>
    <w:rsid w:val="00BD3193"/>
    <w:rsid w:val="00BD31BA"/>
    <w:rsid w:val="00BD337C"/>
    <w:rsid w:val="00BD340C"/>
    <w:rsid w:val="00BD34E2"/>
    <w:rsid w:val="00BD35C3"/>
    <w:rsid w:val="00BD36AC"/>
    <w:rsid w:val="00BD3807"/>
    <w:rsid w:val="00BD381F"/>
    <w:rsid w:val="00BD3820"/>
    <w:rsid w:val="00BD3858"/>
    <w:rsid w:val="00BD38B8"/>
    <w:rsid w:val="00BD38DF"/>
    <w:rsid w:val="00BD3ACE"/>
    <w:rsid w:val="00BD3CAC"/>
    <w:rsid w:val="00BD3CBF"/>
    <w:rsid w:val="00BD3D84"/>
    <w:rsid w:val="00BD3F65"/>
    <w:rsid w:val="00BD3FCB"/>
    <w:rsid w:val="00BD4039"/>
    <w:rsid w:val="00BD40A8"/>
    <w:rsid w:val="00BD4130"/>
    <w:rsid w:val="00BD414E"/>
    <w:rsid w:val="00BD417E"/>
    <w:rsid w:val="00BD41BB"/>
    <w:rsid w:val="00BD42D5"/>
    <w:rsid w:val="00BD42F3"/>
    <w:rsid w:val="00BD447C"/>
    <w:rsid w:val="00BD4498"/>
    <w:rsid w:val="00BD44E1"/>
    <w:rsid w:val="00BD4635"/>
    <w:rsid w:val="00BD46E7"/>
    <w:rsid w:val="00BD479C"/>
    <w:rsid w:val="00BD4831"/>
    <w:rsid w:val="00BD4ADA"/>
    <w:rsid w:val="00BD4C98"/>
    <w:rsid w:val="00BD4CFB"/>
    <w:rsid w:val="00BD4D0C"/>
    <w:rsid w:val="00BD4E92"/>
    <w:rsid w:val="00BD4F03"/>
    <w:rsid w:val="00BD4F68"/>
    <w:rsid w:val="00BD4FBE"/>
    <w:rsid w:val="00BD502A"/>
    <w:rsid w:val="00BD5075"/>
    <w:rsid w:val="00BD5377"/>
    <w:rsid w:val="00BD537A"/>
    <w:rsid w:val="00BD5504"/>
    <w:rsid w:val="00BD559E"/>
    <w:rsid w:val="00BD56EC"/>
    <w:rsid w:val="00BD57A5"/>
    <w:rsid w:val="00BD5827"/>
    <w:rsid w:val="00BD5852"/>
    <w:rsid w:val="00BD5A5C"/>
    <w:rsid w:val="00BD5B21"/>
    <w:rsid w:val="00BD5DD4"/>
    <w:rsid w:val="00BD5EBB"/>
    <w:rsid w:val="00BD5FE9"/>
    <w:rsid w:val="00BD60D9"/>
    <w:rsid w:val="00BD61D5"/>
    <w:rsid w:val="00BD62B8"/>
    <w:rsid w:val="00BD642E"/>
    <w:rsid w:val="00BD6602"/>
    <w:rsid w:val="00BD664B"/>
    <w:rsid w:val="00BD678E"/>
    <w:rsid w:val="00BD68CE"/>
    <w:rsid w:val="00BD698A"/>
    <w:rsid w:val="00BD6B48"/>
    <w:rsid w:val="00BD6D65"/>
    <w:rsid w:val="00BD6D8C"/>
    <w:rsid w:val="00BD6DAB"/>
    <w:rsid w:val="00BD6F24"/>
    <w:rsid w:val="00BD6F92"/>
    <w:rsid w:val="00BD6FED"/>
    <w:rsid w:val="00BD7229"/>
    <w:rsid w:val="00BD723E"/>
    <w:rsid w:val="00BD727E"/>
    <w:rsid w:val="00BD7300"/>
    <w:rsid w:val="00BD7323"/>
    <w:rsid w:val="00BD7327"/>
    <w:rsid w:val="00BD7341"/>
    <w:rsid w:val="00BD73AA"/>
    <w:rsid w:val="00BD7412"/>
    <w:rsid w:val="00BD75A6"/>
    <w:rsid w:val="00BD762C"/>
    <w:rsid w:val="00BD7822"/>
    <w:rsid w:val="00BD7845"/>
    <w:rsid w:val="00BD7879"/>
    <w:rsid w:val="00BD794C"/>
    <w:rsid w:val="00BD7AD8"/>
    <w:rsid w:val="00BD7AEF"/>
    <w:rsid w:val="00BD7B27"/>
    <w:rsid w:val="00BD7BFD"/>
    <w:rsid w:val="00BD7C28"/>
    <w:rsid w:val="00BD7C38"/>
    <w:rsid w:val="00BD7F17"/>
    <w:rsid w:val="00BD7F21"/>
    <w:rsid w:val="00BD7F3A"/>
    <w:rsid w:val="00BE00F8"/>
    <w:rsid w:val="00BE00FD"/>
    <w:rsid w:val="00BE027A"/>
    <w:rsid w:val="00BE0328"/>
    <w:rsid w:val="00BE0406"/>
    <w:rsid w:val="00BE055E"/>
    <w:rsid w:val="00BE05D6"/>
    <w:rsid w:val="00BE05FD"/>
    <w:rsid w:val="00BE0789"/>
    <w:rsid w:val="00BE07D1"/>
    <w:rsid w:val="00BE08D7"/>
    <w:rsid w:val="00BE0915"/>
    <w:rsid w:val="00BE094C"/>
    <w:rsid w:val="00BE0A09"/>
    <w:rsid w:val="00BE0B37"/>
    <w:rsid w:val="00BE0B6F"/>
    <w:rsid w:val="00BE0BF3"/>
    <w:rsid w:val="00BE0BFD"/>
    <w:rsid w:val="00BE0C0B"/>
    <w:rsid w:val="00BE0C14"/>
    <w:rsid w:val="00BE0CF4"/>
    <w:rsid w:val="00BE0DCA"/>
    <w:rsid w:val="00BE0E5E"/>
    <w:rsid w:val="00BE0F03"/>
    <w:rsid w:val="00BE0FD4"/>
    <w:rsid w:val="00BE100A"/>
    <w:rsid w:val="00BE102A"/>
    <w:rsid w:val="00BE1069"/>
    <w:rsid w:val="00BE11BB"/>
    <w:rsid w:val="00BE11F1"/>
    <w:rsid w:val="00BE1306"/>
    <w:rsid w:val="00BE1445"/>
    <w:rsid w:val="00BE155E"/>
    <w:rsid w:val="00BE156F"/>
    <w:rsid w:val="00BE162F"/>
    <w:rsid w:val="00BE17FC"/>
    <w:rsid w:val="00BE1A1D"/>
    <w:rsid w:val="00BE1A3A"/>
    <w:rsid w:val="00BE1A75"/>
    <w:rsid w:val="00BE1A9B"/>
    <w:rsid w:val="00BE1AB6"/>
    <w:rsid w:val="00BE1ADA"/>
    <w:rsid w:val="00BE1ADD"/>
    <w:rsid w:val="00BE1BD0"/>
    <w:rsid w:val="00BE1BDB"/>
    <w:rsid w:val="00BE1C18"/>
    <w:rsid w:val="00BE1C93"/>
    <w:rsid w:val="00BE1DA1"/>
    <w:rsid w:val="00BE1DF8"/>
    <w:rsid w:val="00BE2158"/>
    <w:rsid w:val="00BE2191"/>
    <w:rsid w:val="00BE21EC"/>
    <w:rsid w:val="00BE2257"/>
    <w:rsid w:val="00BE225C"/>
    <w:rsid w:val="00BE228E"/>
    <w:rsid w:val="00BE22A6"/>
    <w:rsid w:val="00BE230E"/>
    <w:rsid w:val="00BE2340"/>
    <w:rsid w:val="00BE2474"/>
    <w:rsid w:val="00BE2534"/>
    <w:rsid w:val="00BE270D"/>
    <w:rsid w:val="00BE2773"/>
    <w:rsid w:val="00BE285F"/>
    <w:rsid w:val="00BE299A"/>
    <w:rsid w:val="00BE2A76"/>
    <w:rsid w:val="00BE2D7B"/>
    <w:rsid w:val="00BE2E3E"/>
    <w:rsid w:val="00BE2F35"/>
    <w:rsid w:val="00BE2F68"/>
    <w:rsid w:val="00BE2FA7"/>
    <w:rsid w:val="00BE2FC1"/>
    <w:rsid w:val="00BE3016"/>
    <w:rsid w:val="00BE3017"/>
    <w:rsid w:val="00BE3189"/>
    <w:rsid w:val="00BE318C"/>
    <w:rsid w:val="00BE3310"/>
    <w:rsid w:val="00BE3386"/>
    <w:rsid w:val="00BE3627"/>
    <w:rsid w:val="00BE38FB"/>
    <w:rsid w:val="00BE3906"/>
    <w:rsid w:val="00BE3AA7"/>
    <w:rsid w:val="00BE3B30"/>
    <w:rsid w:val="00BE3B35"/>
    <w:rsid w:val="00BE3B5E"/>
    <w:rsid w:val="00BE3B7F"/>
    <w:rsid w:val="00BE3C98"/>
    <w:rsid w:val="00BE3D3C"/>
    <w:rsid w:val="00BE3D64"/>
    <w:rsid w:val="00BE3EBE"/>
    <w:rsid w:val="00BE40D0"/>
    <w:rsid w:val="00BE40E4"/>
    <w:rsid w:val="00BE4196"/>
    <w:rsid w:val="00BE41C7"/>
    <w:rsid w:val="00BE421C"/>
    <w:rsid w:val="00BE4240"/>
    <w:rsid w:val="00BE42EE"/>
    <w:rsid w:val="00BE4401"/>
    <w:rsid w:val="00BE445D"/>
    <w:rsid w:val="00BE4512"/>
    <w:rsid w:val="00BE452C"/>
    <w:rsid w:val="00BE4582"/>
    <w:rsid w:val="00BE45CD"/>
    <w:rsid w:val="00BE45D0"/>
    <w:rsid w:val="00BE46B3"/>
    <w:rsid w:val="00BE46F4"/>
    <w:rsid w:val="00BE4719"/>
    <w:rsid w:val="00BE4744"/>
    <w:rsid w:val="00BE4745"/>
    <w:rsid w:val="00BE4896"/>
    <w:rsid w:val="00BE48DB"/>
    <w:rsid w:val="00BE48F2"/>
    <w:rsid w:val="00BE499C"/>
    <w:rsid w:val="00BE4A53"/>
    <w:rsid w:val="00BE4B09"/>
    <w:rsid w:val="00BE4C54"/>
    <w:rsid w:val="00BE4D12"/>
    <w:rsid w:val="00BE4D64"/>
    <w:rsid w:val="00BE4DD8"/>
    <w:rsid w:val="00BE4E87"/>
    <w:rsid w:val="00BE517C"/>
    <w:rsid w:val="00BE51AF"/>
    <w:rsid w:val="00BE5225"/>
    <w:rsid w:val="00BE5230"/>
    <w:rsid w:val="00BE523F"/>
    <w:rsid w:val="00BE52FC"/>
    <w:rsid w:val="00BE5372"/>
    <w:rsid w:val="00BE53D0"/>
    <w:rsid w:val="00BE543F"/>
    <w:rsid w:val="00BE5565"/>
    <w:rsid w:val="00BE57D4"/>
    <w:rsid w:val="00BE5818"/>
    <w:rsid w:val="00BE589E"/>
    <w:rsid w:val="00BE5971"/>
    <w:rsid w:val="00BE5996"/>
    <w:rsid w:val="00BE5A6B"/>
    <w:rsid w:val="00BE5A94"/>
    <w:rsid w:val="00BE5CEC"/>
    <w:rsid w:val="00BE5CFB"/>
    <w:rsid w:val="00BE5D02"/>
    <w:rsid w:val="00BE5DA5"/>
    <w:rsid w:val="00BE5EAC"/>
    <w:rsid w:val="00BE5F6A"/>
    <w:rsid w:val="00BE5FFE"/>
    <w:rsid w:val="00BE600D"/>
    <w:rsid w:val="00BE6060"/>
    <w:rsid w:val="00BE60CF"/>
    <w:rsid w:val="00BE6164"/>
    <w:rsid w:val="00BE6195"/>
    <w:rsid w:val="00BE626D"/>
    <w:rsid w:val="00BE62AC"/>
    <w:rsid w:val="00BE630C"/>
    <w:rsid w:val="00BE6319"/>
    <w:rsid w:val="00BE6372"/>
    <w:rsid w:val="00BE63ED"/>
    <w:rsid w:val="00BE6496"/>
    <w:rsid w:val="00BE655F"/>
    <w:rsid w:val="00BE6749"/>
    <w:rsid w:val="00BE679E"/>
    <w:rsid w:val="00BE67F7"/>
    <w:rsid w:val="00BE6831"/>
    <w:rsid w:val="00BE6887"/>
    <w:rsid w:val="00BE688D"/>
    <w:rsid w:val="00BE68A4"/>
    <w:rsid w:val="00BE6961"/>
    <w:rsid w:val="00BE6AA4"/>
    <w:rsid w:val="00BE6B38"/>
    <w:rsid w:val="00BE6B68"/>
    <w:rsid w:val="00BE6C3C"/>
    <w:rsid w:val="00BE6C5D"/>
    <w:rsid w:val="00BE6CB2"/>
    <w:rsid w:val="00BE6D85"/>
    <w:rsid w:val="00BE6DA0"/>
    <w:rsid w:val="00BE6E13"/>
    <w:rsid w:val="00BE6E53"/>
    <w:rsid w:val="00BE6E78"/>
    <w:rsid w:val="00BE6ECD"/>
    <w:rsid w:val="00BE7088"/>
    <w:rsid w:val="00BE7096"/>
    <w:rsid w:val="00BE718F"/>
    <w:rsid w:val="00BE7386"/>
    <w:rsid w:val="00BE7397"/>
    <w:rsid w:val="00BE73C6"/>
    <w:rsid w:val="00BE7434"/>
    <w:rsid w:val="00BE746B"/>
    <w:rsid w:val="00BE74CC"/>
    <w:rsid w:val="00BE74E5"/>
    <w:rsid w:val="00BE7522"/>
    <w:rsid w:val="00BE7554"/>
    <w:rsid w:val="00BE7557"/>
    <w:rsid w:val="00BE762E"/>
    <w:rsid w:val="00BE7678"/>
    <w:rsid w:val="00BE76BD"/>
    <w:rsid w:val="00BE7787"/>
    <w:rsid w:val="00BE7869"/>
    <w:rsid w:val="00BE7914"/>
    <w:rsid w:val="00BE7961"/>
    <w:rsid w:val="00BE799D"/>
    <w:rsid w:val="00BE7AD8"/>
    <w:rsid w:val="00BE7B13"/>
    <w:rsid w:val="00BE7B16"/>
    <w:rsid w:val="00BE7B17"/>
    <w:rsid w:val="00BE7B6E"/>
    <w:rsid w:val="00BE7BE4"/>
    <w:rsid w:val="00BE7C36"/>
    <w:rsid w:val="00BE7D00"/>
    <w:rsid w:val="00BE7DCF"/>
    <w:rsid w:val="00BE7FC9"/>
    <w:rsid w:val="00BE7FCE"/>
    <w:rsid w:val="00BF011C"/>
    <w:rsid w:val="00BF014D"/>
    <w:rsid w:val="00BF0173"/>
    <w:rsid w:val="00BF021A"/>
    <w:rsid w:val="00BF026C"/>
    <w:rsid w:val="00BF02E0"/>
    <w:rsid w:val="00BF02FC"/>
    <w:rsid w:val="00BF039A"/>
    <w:rsid w:val="00BF039D"/>
    <w:rsid w:val="00BF0404"/>
    <w:rsid w:val="00BF04CF"/>
    <w:rsid w:val="00BF05A6"/>
    <w:rsid w:val="00BF067F"/>
    <w:rsid w:val="00BF0828"/>
    <w:rsid w:val="00BF08AF"/>
    <w:rsid w:val="00BF08B1"/>
    <w:rsid w:val="00BF08BD"/>
    <w:rsid w:val="00BF0920"/>
    <w:rsid w:val="00BF0971"/>
    <w:rsid w:val="00BF0999"/>
    <w:rsid w:val="00BF0C1F"/>
    <w:rsid w:val="00BF0E87"/>
    <w:rsid w:val="00BF1157"/>
    <w:rsid w:val="00BF1275"/>
    <w:rsid w:val="00BF128B"/>
    <w:rsid w:val="00BF1455"/>
    <w:rsid w:val="00BF159B"/>
    <w:rsid w:val="00BF15F1"/>
    <w:rsid w:val="00BF15FA"/>
    <w:rsid w:val="00BF1654"/>
    <w:rsid w:val="00BF1673"/>
    <w:rsid w:val="00BF17FB"/>
    <w:rsid w:val="00BF17FE"/>
    <w:rsid w:val="00BF1805"/>
    <w:rsid w:val="00BF183F"/>
    <w:rsid w:val="00BF1848"/>
    <w:rsid w:val="00BF186A"/>
    <w:rsid w:val="00BF19BA"/>
    <w:rsid w:val="00BF19CC"/>
    <w:rsid w:val="00BF1A43"/>
    <w:rsid w:val="00BF1A46"/>
    <w:rsid w:val="00BF1A67"/>
    <w:rsid w:val="00BF1A6E"/>
    <w:rsid w:val="00BF1AE1"/>
    <w:rsid w:val="00BF1B56"/>
    <w:rsid w:val="00BF1BCE"/>
    <w:rsid w:val="00BF1C99"/>
    <w:rsid w:val="00BF1D3F"/>
    <w:rsid w:val="00BF1E30"/>
    <w:rsid w:val="00BF1EC0"/>
    <w:rsid w:val="00BF1EE8"/>
    <w:rsid w:val="00BF1FC7"/>
    <w:rsid w:val="00BF209A"/>
    <w:rsid w:val="00BF21A0"/>
    <w:rsid w:val="00BF225A"/>
    <w:rsid w:val="00BF225B"/>
    <w:rsid w:val="00BF2401"/>
    <w:rsid w:val="00BF2487"/>
    <w:rsid w:val="00BF24AF"/>
    <w:rsid w:val="00BF24D8"/>
    <w:rsid w:val="00BF24F7"/>
    <w:rsid w:val="00BF258E"/>
    <w:rsid w:val="00BF2851"/>
    <w:rsid w:val="00BF2981"/>
    <w:rsid w:val="00BF2A1C"/>
    <w:rsid w:val="00BF2AFC"/>
    <w:rsid w:val="00BF2B56"/>
    <w:rsid w:val="00BF2BB0"/>
    <w:rsid w:val="00BF2C78"/>
    <w:rsid w:val="00BF2CA2"/>
    <w:rsid w:val="00BF2D71"/>
    <w:rsid w:val="00BF2D77"/>
    <w:rsid w:val="00BF2DC3"/>
    <w:rsid w:val="00BF2E72"/>
    <w:rsid w:val="00BF2EF0"/>
    <w:rsid w:val="00BF2F0B"/>
    <w:rsid w:val="00BF2FA2"/>
    <w:rsid w:val="00BF304D"/>
    <w:rsid w:val="00BF3142"/>
    <w:rsid w:val="00BF325E"/>
    <w:rsid w:val="00BF32A6"/>
    <w:rsid w:val="00BF338D"/>
    <w:rsid w:val="00BF33D3"/>
    <w:rsid w:val="00BF33E7"/>
    <w:rsid w:val="00BF33FD"/>
    <w:rsid w:val="00BF345F"/>
    <w:rsid w:val="00BF353E"/>
    <w:rsid w:val="00BF35B2"/>
    <w:rsid w:val="00BF35ED"/>
    <w:rsid w:val="00BF3647"/>
    <w:rsid w:val="00BF368D"/>
    <w:rsid w:val="00BF36AE"/>
    <w:rsid w:val="00BF3723"/>
    <w:rsid w:val="00BF3786"/>
    <w:rsid w:val="00BF37C8"/>
    <w:rsid w:val="00BF3931"/>
    <w:rsid w:val="00BF3A5D"/>
    <w:rsid w:val="00BF3A76"/>
    <w:rsid w:val="00BF3AC5"/>
    <w:rsid w:val="00BF3BC4"/>
    <w:rsid w:val="00BF3D06"/>
    <w:rsid w:val="00BF3D51"/>
    <w:rsid w:val="00BF3DA3"/>
    <w:rsid w:val="00BF3E47"/>
    <w:rsid w:val="00BF3EB9"/>
    <w:rsid w:val="00BF3F0A"/>
    <w:rsid w:val="00BF3FAB"/>
    <w:rsid w:val="00BF409B"/>
    <w:rsid w:val="00BF40A0"/>
    <w:rsid w:val="00BF4102"/>
    <w:rsid w:val="00BF4364"/>
    <w:rsid w:val="00BF43E0"/>
    <w:rsid w:val="00BF44B4"/>
    <w:rsid w:val="00BF4660"/>
    <w:rsid w:val="00BF46F3"/>
    <w:rsid w:val="00BF4777"/>
    <w:rsid w:val="00BF4859"/>
    <w:rsid w:val="00BF4902"/>
    <w:rsid w:val="00BF49A4"/>
    <w:rsid w:val="00BF49CC"/>
    <w:rsid w:val="00BF4B56"/>
    <w:rsid w:val="00BF4C30"/>
    <w:rsid w:val="00BF4D6B"/>
    <w:rsid w:val="00BF4DA2"/>
    <w:rsid w:val="00BF4DB8"/>
    <w:rsid w:val="00BF4E2E"/>
    <w:rsid w:val="00BF4F03"/>
    <w:rsid w:val="00BF4F0C"/>
    <w:rsid w:val="00BF4F0E"/>
    <w:rsid w:val="00BF4F5D"/>
    <w:rsid w:val="00BF4FAA"/>
    <w:rsid w:val="00BF5031"/>
    <w:rsid w:val="00BF5299"/>
    <w:rsid w:val="00BF5316"/>
    <w:rsid w:val="00BF5427"/>
    <w:rsid w:val="00BF5578"/>
    <w:rsid w:val="00BF56A2"/>
    <w:rsid w:val="00BF57F1"/>
    <w:rsid w:val="00BF5842"/>
    <w:rsid w:val="00BF591D"/>
    <w:rsid w:val="00BF59E8"/>
    <w:rsid w:val="00BF5A18"/>
    <w:rsid w:val="00BF5B51"/>
    <w:rsid w:val="00BF5BDA"/>
    <w:rsid w:val="00BF5BE1"/>
    <w:rsid w:val="00BF5DCB"/>
    <w:rsid w:val="00BF5E28"/>
    <w:rsid w:val="00BF5E65"/>
    <w:rsid w:val="00BF5EC3"/>
    <w:rsid w:val="00BF6113"/>
    <w:rsid w:val="00BF6120"/>
    <w:rsid w:val="00BF6139"/>
    <w:rsid w:val="00BF624C"/>
    <w:rsid w:val="00BF629B"/>
    <w:rsid w:val="00BF6510"/>
    <w:rsid w:val="00BF6519"/>
    <w:rsid w:val="00BF67B0"/>
    <w:rsid w:val="00BF69DA"/>
    <w:rsid w:val="00BF6C71"/>
    <w:rsid w:val="00BF6CD0"/>
    <w:rsid w:val="00BF6D5E"/>
    <w:rsid w:val="00BF6D9F"/>
    <w:rsid w:val="00BF6FB1"/>
    <w:rsid w:val="00BF6FC3"/>
    <w:rsid w:val="00BF712D"/>
    <w:rsid w:val="00BF7219"/>
    <w:rsid w:val="00BF727D"/>
    <w:rsid w:val="00BF729A"/>
    <w:rsid w:val="00BF72C4"/>
    <w:rsid w:val="00BF72E5"/>
    <w:rsid w:val="00BF730D"/>
    <w:rsid w:val="00BF736A"/>
    <w:rsid w:val="00BF7434"/>
    <w:rsid w:val="00BF74C3"/>
    <w:rsid w:val="00BF74F8"/>
    <w:rsid w:val="00BF7528"/>
    <w:rsid w:val="00BF7772"/>
    <w:rsid w:val="00BF778D"/>
    <w:rsid w:val="00BF78FD"/>
    <w:rsid w:val="00BF798D"/>
    <w:rsid w:val="00BF7B26"/>
    <w:rsid w:val="00BF7CDF"/>
    <w:rsid w:val="00BF7FE9"/>
    <w:rsid w:val="00C000A7"/>
    <w:rsid w:val="00C0013A"/>
    <w:rsid w:val="00C00162"/>
    <w:rsid w:val="00C0027A"/>
    <w:rsid w:val="00C00436"/>
    <w:rsid w:val="00C00447"/>
    <w:rsid w:val="00C00507"/>
    <w:rsid w:val="00C0050E"/>
    <w:rsid w:val="00C00610"/>
    <w:rsid w:val="00C00632"/>
    <w:rsid w:val="00C00685"/>
    <w:rsid w:val="00C00690"/>
    <w:rsid w:val="00C00727"/>
    <w:rsid w:val="00C00770"/>
    <w:rsid w:val="00C008F9"/>
    <w:rsid w:val="00C00B28"/>
    <w:rsid w:val="00C00BC2"/>
    <w:rsid w:val="00C00C22"/>
    <w:rsid w:val="00C00C2F"/>
    <w:rsid w:val="00C00D54"/>
    <w:rsid w:val="00C00F7D"/>
    <w:rsid w:val="00C01079"/>
    <w:rsid w:val="00C010ED"/>
    <w:rsid w:val="00C01132"/>
    <w:rsid w:val="00C01157"/>
    <w:rsid w:val="00C011BB"/>
    <w:rsid w:val="00C011E4"/>
    <w:rsid w:val="00C012B1"/>
    <w:rsid w:val="00C012C4"/>
    <w:rsid w:val="00C012E7"/>
    <w:rsid w:val="00C01314"/>
    <w:rsid w:val="00C01486"/>
    <w:rsid w:val="00C01512"/>
    <w:rsid w:val="00C01682"/>
    <w:rsid w:val="00C016FA"/>
    <w:rsid w:val="00C017CE"/>
    <w:rsid w:val="00C01820"/>
    <w:rsid w:val="00C019AB"/>
    <w:rsid w:val="00C01A68"/>
    <w:rsid w:val="00C01A71"/>
    <w:rsid w:val="00C01B17"/>
    <w:rsid w:val="00C01C57"/>
    <w:rsid w:val="00C01D90"/>
    <w:rsid w:val="00C01DD1"/>
    <w:rsid w:val="00C01DDC"/>
    <w:rsid w:val="00C0231E"/>
    <w:rsid w:val="00C0233F"/>
    <w:rsid w:val="00C0249D"/>
    <w:rsid w:val="00C02605"/>
    <w:rsid w:val="00C0273A"/>
    <w:rsid w:val="00C0275D"/>
    <w:rsid w:val="00C0295A"/>
    <w:rsid w:val="00C029B0"/>
    <w:rsid w:val="00C02A13"/>
    <w:rsid w:val="00C02ABA"/>
    <w:rsid w:val="00C02AC9"/>
    <w:rsid w:val="00C02C9B"/>
    <w:rsid w:val="00C02D33"/>
    <w:rsid w:val="00C02D6B"/>
    <w:rsid w:val="00C02D70"/>
    <w:rsid w:val="00C02E0B"/>
    <w:rsid w:val="00C02E0F"/>
    <w:rsid w:val="00C02E55"/>
    <w:rsid w:val="00C02E67"/>
    <w:rsid w:val="00C02EE2"/>
    <w:rsid w:val="00C02FBA"/>
    <w:rsid w:val="00C032F9"/>
    <w:rsid w:val="00C0333F"/>
    <w:rsid w:val="00C036D3"/>
    <w:rsid w:val="00C03721"/>
    <w:rsid w:val="00C03765"/>
    <w:rsid w:val="00C0376A"/>
    <w:rsid w:val="00C03908"/>
    <w:rsid w:val="00C03AA8"/>
    <w:rsid w:val="00C03ADA"/>
    <w:rsid w:val="00C03CD3"/>
    <w:rsid w:val="00C03D2A"/>
    <w:rsid w:val="00C03D83"/>
    <w:rsid w:val="00C03EC0"/>
    <w:rsid w:val="00C03F4A"/>
    <w:rsid w:val="00C03F9E"/>
    <w:rsid w:val="00C0427C"/>
    <w:rsid w:val="00C04285"/>
    <w:rsid w:val="00C0432F"/>
    <w:rsid w:val="00C043B5"/>
    <w:rsid w:val="00C045F2"/>
    <w:rsid w:val="00C04634"/>
    <w:rsid w:val="00C0486B"/>
    <w:rsid w:val="00C048F4"/>
    <w:rsid w:val="00C048FB"/>
    <w:rsid w:val="00C04B68"/>
    <w:rsid w:val="00C04C42"/>
    <w:rsid w:val="00C04CA9"/>
    <w:rsid w:val="00C04D24"/>
    <w:rsid w:val="00C04D5D"/>
    <w:rsid w:val="00C04F1E"/>
    <w:rsid w:val="00C04F2F"/>
    <w:rsid w:val="00C05036"/>
    <w:rsid w:val="00C050E4"/>
    <w:rsid w:val="00C051DC"/>
    <w:rsid w:val="00C051F2"/>
    <w:rsid w:val="00C0520A"/>
    <w:rsid w:val="00C05221"/>
    <w:rsid w:val="00C05272"/>
    <w:rsid w:val="00C052F3"/>
    <w:rsid w:val="00C053E8"/>
    <w:rsid w:val="00C0549B"/>
    <w:rsid w:val="00C05549"/>
    <w:rsid w:val="00C05576"/>
    <w:rsid w:val="00C055EC"/>
    <w:rsid w:val="00C05618"/>
    <w:rsid w:val="00C057B8"/>
    <w:rsid w:val="00C0588F"/>
    <w:rsid w:val="00C058B4"/>
    <w:rsid w:val="00C059D7"/>
    <w:rsid w:val="00C05B2E"/>
    <w:rsid w:val="00C05C0A"/>
    <w:rsid w:val="00C05CFB"/>
    <w:rsid w:val="00C05D70"/>
    <w:rsid w:val="00C05D97"/>
    <w:rsid w:val="00C05E2F"/>
    <w:rsid w:val="00C05E78"/>
    <w:rsid w:val="00C05ECE"/>
    <w:rsid w:val="00C05EDB"/>
    <w:rsid w:val="00C06053"/>
    <w:rsid w:val="00C061B8"/>
    <w:rsid w:val="00C0629B"/>
    <w:rsid w:val="00C062F5"/>
    <w:rsid w:val="00C06370"/>
    <w:rsid w:val="00C06547"/>
    <w:rsid w:val="00C065D2"/>
    <w:rsid w:val="00C06648"/>
    <w:rsid w:val="00C066AE"/>
    <w:rsid w:val="00C066DB"/>
    <w:rsid w:val="00C06774"/>
    <w:rsid w:val="00C06775"/>
    <w:rsid w:val="00C067A2"/>
    <w:rsid w:val="00C067BD"/>
    <w:rsid w:val="00C067D8"/>
    <w:rsid w:val="00C067E8"/>
    <w:rsid w:val="00C06813"/>
    <w:rsid w:val="00C06822"/>
    <w:rsid w:val="00C0686E"/>
    <w:rsid w:val="00C068F0"/>
    <w:rsid w:val="00C06914"/>
    <w:rsid w:val="00C06A06"/>
    <w:rsid w:val="00C06AC9"/>
    <w:rsid w:val="00C06AE6"/>
    <w:rsid w:val="00C06C15"/>
    <w:rsid w:val="00C06C2A"/>
    <w:rsid w:val="00C06CBC"/>
    <w:rsid w:val="00C06CEA"/>
    <w:rsid w:val="00C06DA1"/>
    <w:rsid w:val="00C06DDA"/>
    <w:rsid w:val="00C06E78"/>
    <w:rsid w:val="00C07078"/>
    <w:rsid w:val="00C070E9"/>
    <w:rsid w:val="00C07102"/>
    <w:rsid w:val="00C0715A"/>
    <w:rsid w:val="00C07165"/>
    <w:rsid w:val="00C0729F"/>
    <w:rsid w:val="00C0732A"/>
    <w:rsid w:val="00C074CD"/>
    <w:rsid w:val="00C074DE"/>
    <w:rsid w:val="00C07546"/>
    <w:rsid w:val="00C07568"/>
    <w:rsid w:val="00C07581"/>
    <w:rsid w:val="00C076AE"/>
    <w:rsid w:val="00C0770C"/>
    <w:rsid w:val="00C077CC"/>
    <w:rsid w:val="00C07826"/>
    <w:rsid w:val="00C07837"/>
    <w:rsid w:val="00C078D4"/>
    <w:rsid w:val="00C0791F"/>
    <w:rsid w:val="00C079E5"/>
    <w:rsid w:val="00C07A4C"/>
    <w:rsid w:val="00C07B2D"/>
    <w:rsid w:val="00C07CB8"/>
    <w:rsid w:val="00C07CED"/>
    <w:rsid w:val="00C07E45"/>
    <w:rsid w:val="00C07F1B"/>
    <w:rsid w:val="00C100AA"/>
    <w:rsid w:val="00C100B6"/>
    <w:rsid w:val="00C10171"/>
    <w:rsid w:val="00C1017D"/>
    <w:rsid w:val="00C102EF"/>
    <w:rsid w:val="00C1030B"/>
    <w:rsid w:val="00C10462"/>
    <w:rsid w:val="00C10511"/>
    <w:rsid w:val="00C1061B"/>
    <w:rsid w:val="00C1068B"/>
    <w:rsid w:val="00C108F9"/>
    <w:rsid w:val="00C10940"/>
    <w:rsid w:val="00C1094E"/>
    <w:rsid w:val="00C10A5C"/>
    <w:rsid w:val="00C10BFA"/>
    <w:rsid w:val="00C10C0D"/>
    <w:rsid w:val="00C10CE4"/>
    <w:rsid w:val="00C10D7E"/>
    <w:rsid w:val="00C1119C"/>
    <w:rsid w:val="00C111DF"/>
    <w:rsid w:val="00C1122D"/>
    <w:rsid w:val="00C11252"/>
    <w:rsid w:val="00C1125C"/>
    <w:rsid w:val="00C11266"/>
    <w:rsid w:val="00C1126E"/>
    <w:rsid w:val="00C11336"/>
    <w:rsid w:val="00C11380"/>
    <w:rsid w:val="00C1158E"/>
    <w:rsid w:val="00C11592"/>
    <w:rsid w:val="00C115E3"/>
    <w:rsid w:val="00C117FF"/>
    <w:rsid w:val="00C11863"/>
    <w:rsid w:val="00C1197E"/>
    <w:rsid w:val="00C11A66"/>
    <w:rsid w:val="00C11B45"/>
    <w:rsid w:val="00C11CA8"/>
    <w:rsid w:val="00C11CDD"/>
    <w:rsid w:val="00C11D80"/>
    <w:rsid w:val="00C11D9D"/>
    <w:rsid w:val="00C11E03"/>
    <w:rsid w:val="00C11FCE"/>
    <w:rsid w:val="00C11FD6"/>
    <w:rsid w:val="00C12200"/>
    <w:rsid w:val="00C122DF"/>
    <w:rsid w:val="00C12301"/>
    <w:rsid w:val="00C12462"/>
    <w:rsid w:val="00C12506"/>
    <w:rsid w:val="00C125FE"/>
    <w:rsid w:val="00C1264A"/>
    <w:rsid w:val="00C126BE"/>
    <w:rsid w:val="00C1281B"/>
    <w:rsid w:val="00C12824"/>
    <w:rsid w:val="00C1287C"/>
    <w:rsid w:val="00C12894"/>
    <w:rsid w:val="00C128AF"/>
    <w:rsid w:val="00C12922"/>
    <w:rsid w:val="00C1296E"/>
    <w:rsid w:val="00C1299C"/>
    <w:rsid w:val="00C12A56"/>
    <w:rsid w:val="00C12A66"/>
    <w:rsid w:val="00C12B11"/>
    <w:rsid w:val="00C12B57"/>
    <w:rsid w:val="00C12B65"/>
    <w:rsid w:val="00C12C03"/>
    <w:rsid w:val="00C12C7B"/>
    <w:rsid w:val="00C12DDF"/>
    <w:rsid w:val="00C12E32"/>
    <w:rsid w:val="00C12E70"/>
    <w:rsid w:val="00C12EB7"/>
    <w:rsid w:val="00C12F68"/>
    <w:rsid w:val="00C12FD7"/>
    <w:rsid w:val="00C1306A"/>
    <w:rsid w:val="00C130BB"/>
    <w:rsid w:val="00C132C8"/>
    <w:rsid w:val="00C133DB"/>
    <w:rsid w:val="00C1342D"/>
    <w:rsid w:val="00C13627"/>
    <w:rsid w:val="00C13706"/>
    <w:rsid w:val="00C13751"/>
    <w:rsid w:val="00C137AA"/>
    <w:rsid w:val="00C137E9"/>
    <w:rsid w:val="00C13B53"/>
    <w:rsid w:val="00C13BEC"/>
    <w:rsid w:val="00C13C4A"/>
    <w:rsid w:val="00C13D2C"/>
    <w:rsid w:val="00C13DB8"/>
    <w:rsid w:val="00C13E69"/>
    <w:rsid w:val="00C13F09"/>
    <w:rsid w:val="00C13F36"/>
    <w:rsid w:val="00C14005"/>
    <w:rsid w:val="00C140AE"/>
    <w:rsid w:val="00C140D4"/>
    <w:rsid w:val="00C14173"/>
    <w:rsid w:val="00C1417F"/>
    <w:rsid w:val="00C14190"/>
    <w:rsid w:val="00C1421F"/>
    <w:rsid w:val="00C14297"/>
    <w:rsid w:val="00C142A7"/>
    <w:rsid w:val="00C142C1"/>
    <w:rsid w:val="00C144CE"/>
    <w:rsid w:val="00C144E8"/>
    <w:rsid w:val="00C1458B"/>
    <w:rsid w:val="00C1460A"/>
    <w:rsid w:val="00C146F4"/>
    <w:rsid w:val="00C14775"/>
    <w:rsid w:val="00C147B3"/>
    <w:rsid w:val="00C14859"/>
    <w:rsid w:val="00C148D2"/>
    <w:rsid w:val="00C148F7"/>
    <w:rsid w:val="00C14A69"/>
    <w:rsid w:val="00C14B1E"/>
    <w:rsid w:val="00C14C67"/>
    <w:rsid w:val="00C14C6C"/>
    <w:rsid w:val="00C14DFA"/>
    <w:rsid w:val="00C14F53"/>
    <w:rsid w:val="00C14F76"/>
    <w:rsid w:val="00C14F7F"/>
    <w:rsid w:val="00C14FC3"/>
    <w:rsid w:val="00C151D4"/>
    <w:rsid w:val="00C1522D"/>
    <w:rsid w:val="00C15267"/>
    <w:rsid w:val="00C152A3"/>
    <w:rsid w:val="00C152CE"/>
    <w:rsid w:val="00C1563E"/>
    <w:rsid w:val="00C15746"/>
    <w:rsid w:val="00C1582A"/>
    <w:rsid w:val="00C1584C"/>
    <w:rsid w:val="00C15955"/>
    <w:rsid w:val="00C15C38"/>
    <w:rsid w:val="00C15CE6"/>
    <w:rsid w:val="00C15DD4"/>
    <w:rsid w:val="00C15E03"/>
    <w:rsid w:val="00C15E12"/>
    <w:rsid w:val="00C15E4B"/>
    <w:rsid w:val="00C15E4D"/>
    <w:rsid w:val="00C15E54"/>
    <w:rsid w:val="00C15EF3"/>
    <w:rsid w:val="00C15F00"/>
    <w:rsid w:val="00C16035"/>
    <w:rsid w:val="00C161F2"/>
    <w:rsid w:val="00C1621F"/>
    <w:rsid w:val="00C16267"/>
    <w:rsid w:val="00C16442"/>
    <w:rsid w:val="00C16498"/>
    <w:rsid w:val="00C1649B"/>
    <w:rsid w:val="00C16556"/>
    <w:rsid w:val="00C16564"/>
    <w:rsid w:val="00C1658A"/>
    <w:rsid w:val="00C167DE"/>
    <w:rsid w:val="00C1699D"/>
    <w:rsid w:val="00C16A13"/>
    <w:rsid w:val="00C16A91"/>
    <w:rsid w:val="00C16AA6"/>
    <w:rsid w:val="00C16B43"/>
    <w:rsid w:val="00C16BCD"/>
    <w:rsid w:val="00C16C25"/>
    <w:rsid w:val="00C16D54"/>
    <w:rsid w:val="00C16D88"/>
    <w:rsid w:val="00C16EC2"/>
    <w:rsid w:val="00C16F1D"/>
    <w:rsid w:val="00C16F36"/>
    <w:rsid w:val="00C16F89"/>
    <w:rsid w:val="00C17009"/>
    <w:rsid w:val="00C17011"/>
    <w:rsid w:val="00C1707F"/>
    <w:rsid w:val="00C1708F"/>
    <w:rsid w:val="00C171A4"/>
    <w:rsid w:val="00C17233"/>
    <w:rsid w:val="00C17251"/>
    <w:rsid w:val="00C1741E"/>
    <w:rsid w:val="00C17429"/>
    <w:rsid w:val="00C176F3"/>
    <w:rsid w:val="00C17712"/>
    <w:rsid w:val="00C177EF"/>
    <w:rsid w:val="00C178B3"/>
    <w:rsid w:val="00C178EB"/>
    <w:rsid w:val="00C17914"/>
    <w:rsid w:val="00C179C8"/>
    <w:rsid w:val="00C179CF"/>
    <w:rsid w:val="00C17B42"/>
    <w:rsid w:val="00C17B89"/>
    <w:rsid w:val="00C17BCC"/>
    <w:rsid w:val="00C17BDD"/>
    <w:rsid w:val="00C17BEB"/>
    <w:rsid w:val="00C17C19"/>
    <w:rsid w:val="00C17E33"/>
    <w:rsid w:val="00C17E61"/>
    <w:rsid w:val="00C17F4D"/>
    <w:rsid w:val="00C20074"/>
    <w:rsid w:val="00C201DD"/>
    <w:rsid w:val="00C205B7"/>
    <w:rsid w:val="00C206B8"/>
    <w:rsid w:val="00C20818"/>
    <w:rsid w:val="00C20924"/>
    <w:rsid w:val="00C20932"/>
    <w:rsid w:val="00C209BA"/>
    <w:rsid w:val="00C209EE"/>
    <w:rsid w:val="00C20AC6"/>
    <w:rsid w:val="00C20B25"/>
    <w:rsid w:val="00C20B97"/>
    <w:rsid w:val="00C20BD7"/>
    <w:rsid w:val="00C20BE2"/>
    <w:rsid w:val="00C20C15"/>
    <w:rsid w:val="00C20CDF"/>
    <w:rsid w:val="00C20D07"/>
    <w:rsid w:val="00C20D24"/>
    <w:rsid w:val="00C20D2B"/>
    <w:rsid w:val="00C20EC1"/>
    <w:rsid w:val="00C21003"/>
    <w:rsid w:val="00C2101E"/>
    <w:rsid w:val="00C21090"/>
    <w:rsid w:val="00C210DE"/>
    <w:rsid w:val="00C2118E"/>
    <w:rsid w:val="00C2123D"/>
    <w:rsid w:val="00C213E1"/>
    <w:rsid w:val="00C2150B"/>
    <w:rsid w:val="00C2154F"/>
    <w:rsid w:val="00C2177A"/>
    <w:rsid w:val="00C217AC"/>
    <w:rsid w:val="00C21842"/>
    <w:rsid w:val="00C21904"/>
    <w:rsid w:val="00C219A9"/>
    <w:rsid w:val="00C219FA"/>
    <w:rsid w:val="00C21A74"/>
    <w:rsid w:val="00C21BE2"/>
    <w:rsid w:val="00C21C29"/>
    <w:rsid w:val="00C21C85"/>
    <w:rsid w:val="00C21CC4"/>
    <w:rsid w:val="00C21DA7"/>
    <w:rsid w:val="00C21E16"/>
    <w:rsid w:val="00C21E5E"/>
    <w:rsid w:val="00C21ED2"/>
    <w:rsid w:val="00C220F8"/>
    <w:rsid w:val="00C221EC"/>
    <w:rsid w:val="00C22368"/>
    <w:rsid w:val="00C223D1"/>
    <w:rsid w:val="00C223F0"/>
    <w:rsid w:val="00C224A5"/>
    <w:rsid w:val="00C2251B"/>
    <w:rsid w:val="00C22570"/>
    <w:rsid w:val="00C225D5"/>
    <w:rsid w:val="00C226A5"/>
    <w:rsid w:val="00C22949"/>
    <w:rsid w:val="00C22965"/>
    <w:rsid w:val="00C2298E"/>
    <w:rsid w:val="00C22A1F"/>
    <w:rsid w:val="00C22A7E"/>
    <w:rsid w:val="00C22ABD"/>
    <w:rsid w:val="00C22ADD"/>
    <w:rsid w:val="00C22B39"/>
    <w:rsid w:val="00C22CE5"/>
    <w:rsid w:val="00C22D93"/>
    <w:rsid w:val="00C22F35"/>
    <w:rsid w:val="00C23021"/>
    <w:rsid w:val="00C230D3"/>
    <w:rsid w:val="00C230E9"/>
    <w:rsid w:val="00C231ED"/>
    <w:rsid w:val="00C2322B"/>
    <w:rsid w:val="00C2324F"/>
    <w:rsid w:val="00C23268"/>
    <w:rsid w:val="00C235C9"/>
    <w:rsid w:val="00C236CF"/>
    <w:rsid w:val="00C236DF"/>
    <w:rsid w:val="00C2373D"/>
    <w:rsid w:val="00C23816"/>
    <w:rsid w:val="00C2381E"/>
    <w:rsid w:val="00C2386C"/>
    <w:rsid w:val="00C238C1"/>
    <w:rsid w:val="00C239D6"/>
    <w:rsid w:val="00C23A53"/>
    <w:rsid w:val="00C23C65"/>
    <w:rsid w:val="00C23D03"/>
    <w:rsid w:val="00C23E09"/>
    <w:rsid w:val="00C24069"/>
    <w:rsid w:val="00C240FD"/>
    <w:rsid w:val="00C2411A"/>
    <w:rsid w:val="00C24189"/>
    <w:rsid w:val="00C241A7"/>
    <w:rsid w:val="00C243B8"/>
    <w:rsid w:val="00C243E0"/>
    <w:rsid w:val="00C244CF"/>
    <w:rsid w:val="00C245A1"/>
    <w:rsid w:val="00C245A8"/>
    <w:rsid w:val="00C24615"/>
    <w:rsid w:val="00C2462B"/>
    <w:rsid w:val="00C246F0"/>
    <w:rsid w:val="00C248B9"/>
    <w:rsid w:val="00C248BD"/>
    <w:rsid w:val="00C2499E"/>
    <w:rsid w:val="00C2499F"/>
    <w:rsid w:val="00C24AF1"/>
    <w:rsid w:val="00C24B62"/>
    <w:rsid w:val="00C24B98"/>
    <w:rsid w:val="00C24D0F"/>
    <w:rsid w:val="00C24D9A"/>
    <w:rsid w:val="00C24ED5"/>
    <w:rsid w:val="00C25239"/>
    <w:rsid w:val="00C252B9"/>
    <w:rsid w:val="00C252E8"/>
    <w:rsid w:val="00C25355"/>
    <w:rsid w:val="00C2539D"/>
    <w:rsid w:val="00C25444"/>
    <w:rsid w:val="00C25449"/>
    <w:rsid w:val="00C2546E"/>
    <w:rsid w:val="00C254D0"/>
    <w:rsid w:val="00C2559B"/>
    <w:rsid w:val="00C255AD"/>
    <w:rsid w:val="00C25613"/>
    <w:rsid w:val="00C256C7"/>
    <w:rsid w:val="00C2573F"/>
    <w:rsid w:val="00C257A1"/>
    <w:rsid w:val="00C257E9"/>
    <w:rsid w:val="00C25960"/>
    <w:rsid w:val="00C25A26"/>
    <w:rsid w:val="00C25B06"/>
    <w:rsid w:val="00C25C03"/>
    <w:rsid w:val="00C25C8C"/>
    <w:rsid w:val="00C25ED7"/>
    <w:rsid w:val="00C25FF4"/>
    <w:rsid w:val="00C2601D"/>
    <w:rsid w:val="00C2604B"/>
    <w:rsid w:val="00C260B0"/>
    <w:rsid w:val="00C261D7"/>
    <w:rsid w:val="00C26332"/>
    <w:rsid w:val="00C26385"/>
    <w:rsid w:val="00C264F9"/>
    <w:rsid w:val="00C26646"/>
    <w:rsid w:val="00C26748"/>
    <w:rsid w:val="00C267B2"/>
    <w:rsid w:val="00C268B4"/>
    <w:rsid w:val="00C2699C"/>
    <w:rsid w:val="00C269BE"/>
    <w:rsid w:val="00C26A2F"/>
    <w:rsid w:val="00C26C0B"/>
    <w:rsid w:val="00C26C8D"/>
    <w:rsid w:val="00C26E10"/>
    <w:rsid w:val="00C26E99"/>
    <w:rsid w:val="00C26EFC"/>
    <w:rsid w:val="00C26F41"/>
    <w:rsid w:val="00C27022"/>
    <w:rsid w:val="00C270B1"/>
    <w:rsid w:val="00C27105"/>
    <w:rsid w:val="00C27122"/>
    <w:rsid w:val="00C271CB"/>
    <w:rsid w:val="00C271EC"/>
    <w:rsid w:val="00C27236"/>
    <w:rsid w:val="00C2732C"/>
    <w:rsid w:val="00C27334"/>
    <w:rsid w:val="00C273D2"/>
    <w:rsid w:val="00C2745E"/>
    <w:rsid w:val="00C274D7"/>
    <w:rsid w:val="00C27611"/>
    <w:rsid w:val="00C2766B"/>
    <w:rsid w:val="00C27714"/>
    <w:rsid w:val="00C27781"/>
    <w:rsid w:val="00C27887"/>
    <w:rsid w:val="00C2796C"/>
    <w:rsid w:val="00C27A29"/>
    <w:rsid w:val="00C27AB3"/>
    <w:rsid w:val="00C27B03"/>
    <w:rsid w:val="00C27B8E"/>
    <w:rsid w:val="00C27CBF"/>
    <w:rsid w:val="00C27D14"/>
    <w:rsid w:val="00C27D26"/>
    <w:rsid w:val="00C27E97"/>
    <w:rsid w:val="00C27FCD"/>
    <w:rsid w:val="00C27FDD"/>
    <w:rsid w:val="00C3001B"/>
    <w:rsid w:val="00C3002E"/>
    <w:rsid w:val="00C300D4"/>
    <w:rsid w:val="00C301B8"/>
    <w:rsid w:val="00C30245"/>
    <w:rsid w:val="00C3034B"/>
    <w:rsid w:val="00C3041D"/>
    <w:rsid w:val="00C30651"/>
    <w:rsid w:val="00C30684"/>
    <w:rsid w:val="00C306CC"/>
    <w:rsid w:val="00C30834"/>
    <w:rsid w:val="00C3083D"/>
    <w:rsid w:val="00C3083F"/>
    <w:rsid w:val="00C30877"/>
    <w:rsid w:val="00C309BB"/>
    <w:rsid w:val="00C30A25"/>
    <w:rsid w:val="00C30B1F"/>
    <w:rsid w:val="00C30BB3"/>
    <w:rsid w:val="00C30C38"/>
    <w:rsid w:val="00C30C88"/>
    <w:rsid w:val="00C30CFA"/>
    <w:rsid w:val="00C30D05"/>
    <w:rsid w:val="00C30E2B"/>
    <w:rsid w:val="00C30E7B"/>
    <w:rsid w:val="00C30EA2"/>
    <w:rsid w:val="00C30FFC"/>
    <w:rsid w:val="00C311EB"/>
    <w:rsid w:val="00C3126A"/>
    <w:rsid w:val="00C31449"/>
    <w:rsid w:val="00C31461"/>
    <w:rsid w:val="00C31640"/>
    <w:rsid w:val="00C31681"/>
    <w:rsid w:val="00C31705"/>
    <w:rsid w:val="00C31757"/>
    <w:rsid w:val="00C31792"/>
    <w:rsid w:val="00C319CB"/>
    <w:rsid w:val="00C319DF"/>
    <w:rsid w:val="00C319FB"/>
    <w:rsid w:val="00C31A5B"/>
    <w:rsid w:val="00C31A60"/>
    <w:rsid w:val="00C31B53"/>
    <w:rsid w:val="00C31D98"/>
    <w:rsid w:val="00C31DD6"/>
    <w:rsid w:val="00C31E8E"/>
    <w:rsid w:val="00C31F8F"/>
    <w:rsid w:val="00C32031"/>
    <w:rsid w:val="00C3218F"/>
    <w:rsid w:val="00C321D1"/>
    <w:rsid w:val="00C32215"/>
    <w:rsid w:val="00C3221C"/>
    <w:rsid w:val="00C32363"/>
    <w:rsid w:val="00C32446"/>
    <w:rsid w:val="00C3249D"/>
    <w:rsid w:val="00C32574"/>
    <w:rsid w:val="00C325DC"/>
    <w:rsid w:val="00C32660"/>
    <w:rsid w:val="00C3267C"/>
    <w:rsid w:val="00C3270D"/>
    <w:rsid w:val="00C32887"/>
    <w:rsid w:val="00C328B6"/>
    <w:rsid w:val="00C32915"/>
    <w:rsid w:val="00C3295E"/>
    <w:rsid w:val="00C32A14"/>
    <w:rsid w:val="00C32AE9"/>
    <w:rsid w:val="00C32BB4"/>
    <w:rsid w:val="00C32C2C"/>
    <w:rsid w:val="00C32C36"/>
    <w:rsid w:val="00C32CA3"/>
    <w:rsid w:val="00C32D5E"/>
    <w:rsid w:val="00C32FF1"/>
    <w:rsid w:val="00C33126"/>
    <w:rsid w:val="00C33173"/>
    <w:rsid w:val="00C33185"/>
    <w:rsid w:val="00C33236"/>
    <w:rsid w:val="00C3329A"/>
    <w:rsid w:val="00C3338E"/>
    <w:rsid w:val="00C334A1"/>
    <w:rsid w:val="00C334B7"/>
    <w:rsid w:val="00C3358C"/>
    <w:rsid w:val="00C335A5"/>
    <w:rsid w:val="00C335D6"/>
    <w:rsid w:val="00C336A2"/>
    <w:rsid w:val="00C337C0"/>
    <w:rsid w:val="00C3391F"/>
    <w:rsid w:val="00C33A4F"/>
    <w:rsid w:val="00C33A93"/>
    <w:rsid w:val="00C33AF0"/>
    <w:rsid w:val="00C33B3E"/>
    <w:rsid w:val="00C33C88"/>
    <w:rsid w:val="00C33E73"/>
    <w:rsid w:val="00C33EF5"/>
    <w:rsid w:val="00C33F7A"/>
    <w:rsid w:val="00C3410D"/>
    <w:rsid w:val="00C341C7"/>
    <w:rsid w:val="00C3426F"/>
    <w:rsid w:val="00C34395"/>
    <w:rsid w:val="00C343AC"/>
    <w:rsid w:val="00C34430"/>
    <w:rsid w:val="00C3449A"/>
    <w:rsid w:val="00C34580"/>
    <w:rsid w:val="00C345BF"/>
    <w:rsid w:val="00C3462F"/>
    <w:rsid w:val="00C34679"/>
    <w:rsid w:val="00C3471F"/>
    <w:rsid w:val="00C34730"/>
    <w:rsid w:val="00C3477B"/>
    <w:rsid w:val="00C347F9"/>
    <w:rsid w:val="00C34809"/>
    <w:rsid w:val="00C3486A"/>
    <w:rsid w:val="00C3496B"/>
    <w:rsid w:val="00C34B07"/>
    <w:rsid w:val="00C34B38"/>
    <w:rsid w:val="00C34B4B"/>
    <w:rsid w:val="00C34C56"/>
    <w:rsid w:val="00C34C70"/>
    <w:rsid w:val="00C34CD2"/>
    <w:rsid w:val="00C34CFD"/>
    <w:rsid w:val="00C34DC8"/>
    <w:rsid w:val="00C34E37"/>
    <w:rsid w:val="00C34F69"/>
    <w:rsid w:val="00C34F80"/>
    <w:rsid w:val="00C351DB"/>
    <w:rsid w:val="00C3529E"/>
    <w:rsid w:val="00C35544"/>
    <w:rsid w:val="00C3569A"/>
    <w:rsid w:val="00C35719"/>
    <w:rsid w:val="00C35799"/>
    <w:rsid w:val="00C357A3"/>
    <w:rsid w:val="00C35849"/>
    <w:rsid w:val="00C35A9B"/>
    <w:rsid w:val="00C35AA0"/>
    <w:rsid w:val="00C35AB3"/>
    <w:rsid w:val="00C35BBC"/>
    <w:rsid w:val="00C35E8E"/>
    <w:rsid w:val="00C35F24"/>
    <w:rsid w:val="00C36157"/>
    <w:rsid w:val="00C36174"/>
    <w:rsid w:val="00C36223"/>
    <w:rsid w:val="00C362B2"/>
    <w:rsid w:val="00C36328"/>
    <w:rsid w:val="00C363FB"/>
    <w:rsid w:val="00C3641B"/>
    <w:rsid w:val="00C3645A"/>
    <w:rsid w:val="00C36543"/>
    <w:rsid w:val="00C3654D"/>
    <w:rsid w:val="00C36571"/>
    <w:rsid w:val="00C365B7"/>
    <w:rsid w:val="00C365F5"/>
    <w:rsid w:val="00C36634"/>
    <w:rsid w:val="00C3664A"/>
    <w:rsid w:val="00C36755"/>
    <w:rsid w:val="00C36A14"/>
    <w:rsid w:val="00C36B3E"/>
    <w:rsid w:val="00C3706A"/>
    <w:rsid w:val="00C370C4"/>
    <w:rsid w:val="00C371FA"/>
    <w:rsid w:val="00C37219"/>
    <w:rsid w:val="00C37242"/>
    <w:rsid w:val="00C372A2"/>
    <w:rsid w:val="00C374C6"/>
    <w:rsid w:val="00C374DA"/>
    <w:rsid w:val="00C37538"/>
    <w:rsid w:val="00C37659"/>
    <w:rsid w:val="00C3774C"/>
    <w:rsid w:val="00C37751"/>
    <w:rsid w:val="00C37823"/>
    <w:rsid w:val="00C37D0A"/>
    <w:rsid w:val="00C37D78"/>
    <w:rsid w:val="00C37DA1"/>
    <w:rsid w:val="00C37DD0"/>
    <w:rsid w:val="00C37DF8"/>
    <w:rsid w:val="00C37E24"/>
    <w:rsid w:val="00C37F66"/>
    <w:rsid w:val="00C37FFE"/>
    <w:rsid w:val="00C400C7"/>
    <w:rsid w:val="00C4013D"/>
    <w:rsid w:val="00C401D5"/>
    <w:rsid w:val="00C4035C"/>
    <w:rsid w:val="00C404D3"/>
    <w:rsid w:val="00C404D5"/>
    <w:rsid w:val="00C4053E"/>
    <w:rsid w:val="00C40587"/>
    <w:rsid w:val="00C405FF"/>
    <w:rsid w:val="00C40627"/>
    <w:rsid w:val="00C4081E"/>
    <w:rsid w:val="00C408DB"/>
    <w:rsid w:val="00C409ED"/>
    <w:rsid w:val="00C409FA"/>
    <w:rsid w:val="00C40A1D"/>
    <w:rsid w:val="00C40A51"/>
    <w:rsid w:val="00C40A63"/>
    <w:rsid w:val="00C40AD2"/>
    <w:rsid w:val="00C40B3A"/>
    <w:rsid w:val="00C40C60"/>
    <w:rsid w:val="00C40D1D"/>
    <w:rsid w:val="00C40E60"/>
    <w:rsid w:val="00C4101B"/>
    <w:rsid w:val="00C4103A"/>
    <w:rsid w:val="00C4117A"/>
    <w:rsid w:val="00C413E7"/>
    <w:rsid w:val="00C4152E"/>
    <w:rsid w:val="00C41568"/>
    <w:rsid w:val="00C4164F"/>
    <w:rsid w:val="00C416C1"/>
    <w:rsid w:val="00C416FD"/>
    <w:rsid w:val="00C418EA"/>
    <w:rsid w:val="00C4199A"/>
    <w:rsid w:val="00C41A55"/>
    <w:rsid w:val="00C41B42"/>
    <w:rsid w:val="00C41B5A"/>
    <w:rsid w:val="00C41CB5"/>
    <w:rsid w:val="00C41CC4"/>
    <w:rsid w:val="00C41D4F"/>
    <w:rsid w:val="00C41DC6"/>
    <w:rsid w:val="00C41EAE"/>
    <w:rsid w:val="00C41FD4"/>
    <w:rsid w:val="00C41FF3"/>
    <w:rsid w:val="00C420F3"/>
    <w:rsid w:val="00C421AC"/>
    <w:rsid w:val="00C421EE"/>
    <w:rsid w:val="00C42231"/>
    <w:rsid w:val="00C42314"/>
    <w:rsid w:val="00C4237C"/>
    <w:rsid w:val="00C42384"/>
    <w:rsid w:val="00C42391"/>
    <w:rsid w:val="00C4249D"/>
    <w:rsid w:val="00C424F7"/>
    <w:rsid w:val="00C425E9"/>
    <w:rsid w:val="00C427A8"/>
    <w:rsid w:val="00C4288B"/>
    <w:rsid w:val="00C4295D"/>
    <w:rsid w:val="00C42963"/>
    <w:rsid w:val="00C42A6E"/>
    <w:rsid w:val="00C42ABC"/>
    <w:rsid w:val="00C42C9B"/>
    <w:rsid w:val="00C42CDB"/>
    <w:rsid w:val="00C42CF8"/>
    <w:rsid w:val="00C42D13"/>
    <w:rsid w:val="00C42D69"/>
    <w:rsid w:val="00C42E3B"/>
    <w:rsid w:val="00C42F03"/>
    <w:rsid w:val="00C42F8C"/>
    <w:rsid w:val="00C42FDD"/>
    <w:rsid w:val="00C4303E"/>
    <w:rsid w:val="00C430BA"/>
    <w:rsid w:val="00C43153"/>
    <w:rsid w:val="00C43178"/>
    <w:rsid w:val="00C4320E"/>
    <w:rsid w:val="00C43288"/>
    <w:rsid w:val="00C43293"/>
    <w:rsid w:val="00C4331A"/>
    <w:rsid w:val="00C433F1"/>
    <w:rsid w:val="00C43459"/>
    <w:rsid w:val="00C4345A"/>
    <w:rsid w:val="00C43467"/>
    <w:rsid w:val="00C43488"/>
    <w:rsid w:val="00C434E0"/>
    <w:rsid w:val="00C436B3"/>
    <w:rsid w:val="00C4370B"/>
    <w:rsid w:val="00C43714"/>
    <w:rsid w:val="00C43745"/>
    <w:rsid w:val="00C43764"/>
    <w:rsid w:val="00C43B04"/>
    <w:rsid w:val="00C43C1C"/>
    <w:rsid w:val="00C43C7B"/>
    <w:rsid w:val="00C43C87"/>
    <w:rsid w:val="00C43D39"/>
    <w:rsid w:val="00C43DC2"/>
    <w:rsid w:val="00C4406C"/>
    <w:rsid w:val="00C44088"/>
    <w:rsid w:val="00C44111"/>
    <w:rsid w:val="00C4414D"/>
    <w:rsid w:val="00C44367"/>
    <w:rsid w:val="00C443C9"/>
    <w:rsid w:val="00C443F0"/>
    <w:rsid w:val="00C4442B"/>
    <w:rsid w:val="00C444EF"/>
    <w:rsid w:val="00C44589"/>
    <w:rsid w:val="00C445D2"/>
    <w:rsid w:val="00C4468E"/>
    <w:rsid w:val="00C4468F"/>
    <w:rsid w:val="00C4470D"/>
    <w:rsid w:val="00C4471B"/>
    <w:rsid w:val="00C44762"/>
    <w:rsid w:val="00C447CB"/>
    <w:rsid w:val="00C44834"/>
    <w:rsid w:val="00C4499B"/>
    <w:rsid w:val="00C449F1"/>
    <w:rsid w:val="00C44A05"/>
    <w:rsid w:val="00C44B5B"/>
    <w:rsid w:val="00C44BC9"/>
    <w:rsid w:val="00C44D15"/>
    <w:rsid w:val="00C44D1E"/>
    <w:rsid w:val="00C44D50"/>
    <w:rsid w:val="00C44E02"/>
    <w:rsid w:val="00C44E1F"/>
    <w:rsid w:val="00C44E77"/>
    <w:rsid w:val="00C44F3E"/>
    <w:rsid w:val="00C44FA2"/>
    <w:rsid w:val="00C450D4"/>
    <w:rsid w:val="00C4525F"/>
    <w:rsid w:val="00C452AD"/>
    <w:rsid w:val="00C452D8"/>
    <w:rsid w:val="00C45463"/>
    <w:rsid w:val="00C45576"/>
    <w:rsid w:val="00C456AB"/>
    <w:rsid w:val="00C457F9"/>
    <w:rsid w:val="00C45A20"/>
    <w:rsid w:val="00C45A66"/>
    <w:rsid w:val="00C45C4D"/>
    <w:rsid w:val="00C45CEC"/>
    <w:rsid w:val="00C45D51"/>
    <w:rsid w:val="00C45D8C"/>
    <w:rsid w:val="00C45DB1"/>
    <w:rsid w:val="00C45DC3"/>
    <w:rsid w:val="00C45E17"/>
    <w:rsid w:val="00C45E3C"/>
    <w:rsid w:val="00C45E62"/>
    <w:rsid w:val="00C45EC0"/>
    <w:rsid w:val="00C460E1"/>
    <w:rsid w:val="00C460F3"/>
    <w:rsid w:val="00C4613F"/>
    <w:rsid w:val="00C461C3"/>
    <w:rsid w:val="00C4623B"/>
    <w:rsid w:val="00C46293"/>
    <w:rsid w:val="00C462EE"/>
    <w:rsid w:val="00C464FD"/>
    <w:rsid w:val="00C4656E"/>
    <w:rsid w:val="00C46663"/>
    <w:rsid w:val="00C46939"/>
    <w:rsid w:val="00C4699C"/>
    <w:rsid w:val="00C46A0C"/>
    <w:rsid w:val="00C46A32"/>
    <w:rsid w:val="00C46B2B"/>
    <w:rsid w:val="00C46BA2"/>
    <w:rsid w:val="00C46BB9"/>
    <w:rsid w:val="00C46CDD"/>
    <w:rsid w:val="00C46D65"/>
    <w:rsid w:val="00C46F06"/>
    <w:rsid w:val="00C46F19"/>
    <w:rsid w:val="00C4707B"/>
    <w:rsid w:val="00C470FC"/>
    <w:rsid w:val="00C47139"/>
    <w:rsid w:val="00C471E0"/>
    <w:rsid w:val="00C4722B"/>
    <w:rsid w:val="00C47268"/>
    <w:rsid w:val="00C472A4"/>
    <w:rsid w:val="00C472F2"/>
    <w:rsid w:val="00C4731B"/>
    <w:rsid w:val="00C473C5"/>
    <w:rsid w:val="00C47406"/>
    <w:rsid w:val="00C47420"/>
    <w:rsid w:val="00C47485"/>
    <w:rsid w:val="00C474AA"/>
    <w:rsid w:val="00C4762B"/>
    <w:rsid w:val="00C4766B"/>
    <w:rsid w:val="00C476BD"/>
    <w:rsid w:val="00C4792B"/>
    <w:rsid w:val="00C4799B"/>
    <w:rsid w:val="00C4799E"/>
    <w:rsid w:val="00C479B9"/>
    <w:rsid w:val="00C47AD1"/>
    <w:rsid w:val="00C47BF3"/>
    <w:rsid w:val="00C47C0F"/>
    <w:rsid w:val="00C47CCA"/>
    <w:rsid w:val="00C47D1E"/>
    <w:rsid w:val="00C47DA1"/>
    <w:rsid w:val="00C47F7F"/>
    <w:rsid w:val="00C500A8"/>
    <w:rsid w:val="00C5010B"/>
    <w:rsid w:val="00C5019B"/>
    <w:rsid w:val="00C5019E"/>
    <w:rsid w:val="00C501B3"/>
    <w:rsid w:val="00C501B4"/>
    <w:rsid w:val="00C501F6"/>
    <w:rsid w:val="00C50419"/>
    <w:rsid w:val="00C50424"/>
    <w:rsid w:val="00C50438"/>
    <w:rsid w:val="00C50459"/>
    <w:rsid w:val="00C5059B"/>
    <w:rsid w:val="00C50671"/>
    <w:rsid w:val="00C506D4"/>
    <w:rsid w:val="00C5083D"/>
    <w:rsid w:val="00C50896"/>
    <w:rsid w:val="00C50952"/>
    <w:rsid w:val="00C50985"/>
    <w:rsid w:val="00C50AC6"/>
    <w:rsid w:val="00C50BCC"/>
    <w:rsid w:val="00C50BE8"/>
    <w:rsid w:val="00C50BEA"/>
    <w:rsid w:val="00C50C90"/>
    <w:rsid w:val="00C50CBC"/>
    <w:rsid w:val="00C50D19"/>
    <w:rsid w:val="00C50D72"/>
    <w:rsid w:val="00C50D94"/>
    <w:rsid w:val="00C50D9F"/>
    <w:rsid w:val="00C50DC1"/>
    <w:rsid w:val="00C50E17"/>
    <w:rsid w:val="00C50E33"/>
    <w:rsid w:val="00C50EC4"/>
    <w:rsid w:val="00C50FC2"/>
    <w:rsid w:val="00C50FFF"/>
    <w:rsid w:val="00C51005"/>
    <w:rsid w:val="00C5102D"/>
    <w:rsid w:val="00C51161"/>
    <w:rsid w:val="00C51178"/>
    <w:rsid w:val="00C5127F"/>
    <w:rsid w:val="00C5137E"/>
    <w:rsid w:val="00C513A8"/>
    <w:rsid w:val="00C5156C"/>
    <w:rsid w:val="00C51636"/>
    <w:rsid w:val="00C5181B"/>
    <w:rsid w:val="00C51862"/>
    <w:rsid w:val="00C518CF"/>
    <w:rsid w:val="00C5195C"/>
    <w:rsid w:val="00C51A07"/>
    <w:rsid w:val="00C51AFB"/>
    <w:rsid w:val="00C51C4D"/>
    <w:rsid w:val="00C51C63"/>
    <w:rsid w:val="00C51DB3"/>
    <w:rsid w:val="00C51DBD"/>
    <w:rsid w:val="00C51DDA"/>
    <w:rsid w:val="00C51E41"/>
    <w:rsid w:val="00C52093"/>
    <w:rsid w:val="00C52120"/>
    <w:rsid w:val="00C521ED"/>
    <w:rsid w:val="00C52251"/>
    <w:rsid w:val="00C52308"/>
    <w:rsid w:val="00C52387"/>
    <w:rsid w:val="00C52388"/>
    <w:rsid w:val="00C523F1"/>
    <w:rsid w:val="00C523F8"/>
    <w:rsid w:val="00C52435"/>
    <w:rsid w:val="00C5260D"/>
    <w:rsid w:val="00C52622"/>
    <w:rsid w:val="00C526A3"/>
    <w:rsid w:val="00C52879"/>
    <w:rsid w:val="00C52E26"/>
    <w:rsid w:val="00C52E4E"/>
    <w:rsid w:val="00C52EF6"/>
    <w:rsid w:val="00C52F33"/>
    <w:rsid w:val="00C52F97"/>
    <w:rsid w:val="00C5309C"/>
    <w:rsid w:val="00C531F9"/>
    <w:rsid w:val="00C5339C"/>
    <w:rsid w:val="00C533F9"/>
    <w:rsid w:val="00C53546"/>
    <w:rsid w:val="00C5357C"/>
    <w:rsid w:val="00C53586"/>
    <w:rsid w:val="00C537D5"/>
    <w:rsid w:val="00C53857"/>
    <w:rsid w:val="00C538D7"/>
    <w:rsid w:val="00C539A6"/>
    <w:rsid w:val="00C539EA"/>
    <w:rsid w:val="00C53C00"/>
    <w:rsid w:val="00C53C34"/>
    <w:rsid w:val="00C53C3D"/>
    <w:rsid w:val="00C53CA3"/>
    <w:rsid w:val="00C53FB6"/>
    <w:rsid w:val="00C53FD5"/>
    <w:rsid w:val="00C53FD6"/>
    <w:rsid w:val="00C53FDC"/>
    <w:rsid w:val="00C54026"/>
    <w:rsid w:val="00C5405D"/>
    <w:rsid w:val="00C54182"/>
    <w:rsid w:val="00C541AA"/>
    <w:rsid w:val="00C54216"/>
    <w:rsid w:val="00C54249"/>
    <w:rsid w:val="00C542F9"/>
    <w:rsid w:val="00C543C8"/>
    <w:rsid w:val="00C5443F"/>
    <w:rsid w:val="00C5450B"/>
    <w:rsid w:val="00C54527"/>
    <w:rsid w:val="00C5458F"/>
    <w:rsid w:val="00C545A5"/>
    <w:rsid w:val="00C54676"/>
    <w:rsid w:val="00C546E0"/>
    <w:rsid w:val="00C5471B"/>
    <w:rsid w:val="00C547D0"/>
    <w:rsid w:val="00C548AB"/>
    <w:rsid w:val="00C54964"/>
    <w:rsid w:val="00C549BB"/>
    <w:rsid w:val="00C54A0B"/>
    <w:rsid w:val="00C54A18"/>
    <w:rsid w:val="00C54A1E"/>
    <w:rsid w:val="00C54AC0"/>
    <w:rsid w:val="00C54C0E"/>
    <w:rsid w:val="00C54C98"/>
    <w:rsid w:val="00C54DC3"/>
    <w:rsid w:val="00C54E3A"/>
    <w:rsid w:val="00C550D8"/>
    <w:rsid w:val="00C5512E"/>
    <w:rsid w:val="00C5516F"/>
    <w:rsid w:val="00C55290"/>
    <w:rsid w:val="00C5557A"/>
    <w:rsid w:val="00C555F5"/>
    <w:rsid w:val="00C55628"/>
    <w:rsid w:val="00C556DE"/>
    <w:rsid w:val="00C55904"/>
    <w:rsid w:val="00C55943"/>
    <w:rsid w:val="00C5594D"/>
    <w:rsid w:val="00C5596E"/>
    <w:rsid w:val="00C55987"/>
    <w:rsid w:val="00C55999"/>
    <w:rsid w:val="00C55B8B"/>
    <w:rsid w:val="00C55BCA"/>
    <w:rsid w:val="00C55CA5"/>
    <w:rsid w:val="00C55CEB"/>
    <w:rsid w:val="00C55DC8"/>
    <w:rsid w:val="00C55ED5"/>
    <w:rsid w:val="00C55F65"/>
    <w:rsid w:val="00C55F6D"/>
    <w:rsid w:val="00C55F71"/>
    <w:rsid w:val="00C55FFA"/>
    <w:rsid w:val="00C56114"/>
    <w:rsid w:val="00C56132"/>
    <w:rsid w:val="00C56155"/>
    <w:rsid w:val="00C5616C"/>
    <w:rsid w:val="00C56319"/>
    <w:rsid w:val="00C564E4"/>
    <w:rsid w:val="00C56682"/>
    <w:rsid w:val="00C566DB"/>
    <w:rsid w:val="00C56749"/>
    <w:rsid w:val="00C568A3"/>
    <w:rsid w:val="00C56956"/>
    <w:rsid w:val="00C56A2B"/>
    <w:rsid w:val="00C56B3C"/>
    <w:rsid w:val="00C56B61"/>
    <w:rsid w:val="00C56B96"/>
    <w:rsid w:val="00C56C55"/>
    <w:rsid w:val="00C56CA4"/>
    <w:rsid w:val="00C56E29"/>
    <w:rsid w:val="00C57197"/>
    <w:rsid w:val="00C5720B"/>
    <w:rsid w:val="00C572C5"/>
    <w:rsid w:val="00C57329"/>
    <w:rsid w:val="00C573C5"/>
    <w:rsid w:val="00C57439"/>
    <w:rsid w:val="00C5750F"/>
    <w:rsid w:val="00C575B8"/>
    <w:rsid w:val="00C5766D"/>
    <w:rsid w:val="00C57774"/>
    <w:rsid w:val="00C577D6"/>
    <w:rsid w:val="00C577EF"/>
    <w:rsid w:val="00C5788F"/>
    <w:rsid w:val="00C578F3"/>
    <w:rsid w:val="00C57A88"/>
    <w:rsid w:val="00C57B1A"/>
    <w:rsid w:val="00C57C1D"/>
    <w:rsid w:val="00C57C39"/>
    <w:rsid w:val="00C57D9F"/>
    <w:rsid w:val="00C57DC9"/>
    <w:rsid w:val="00C57DD1"/>
    <w:rsid w:val="00C57DE3"/>
    <w:rsid w:val="00C57E0B"/>
    <w:rsid w:val="00C60130"/>
    <w:rsid w:val="00C60195"/>
    <w:rsid w:val="00C601D3"/>
    <w:rsid w:val="00C603E9"/>
    <w:rsid w:val="00C604D3"/>
    <w:rsid w:val="00C6057A"/>
    <w:rsid w:val="00C60628"/>
    <w:rsid w:val="00C6062F"/>
    <w:rsid w:val="00C60654"/>
    <w:rsid w:val="00C607DE"/>
    <w:rsid w:val="00C60842"/>
    <w:rsid w:val="00C608ED"/>
    <w:rsid w:val="00C60A75"/>
    <w:rsid w:val="00C60AC1"/>
    <w:rsid w:val="00C60BFA"/>
    <w:rsid w:val="00C60C38"/>
    <w:rsid w:val="00C60C4D"/>
    <w:rsid w:val="00C60C5D"/>
    <w:rsid w:val="00C60C7F"/>
    <w:rsid w:val="00C60E1F"/>
    <w:rsid w:val="00C60E51"/>
    <w:rsid w:val="00C60F05"/>
    <w:rsid w:val="00C61009"/>
    <w:rsid w:val="00C61087"/>
    <w:rsid w:val="00C61107"/>
    <w:rsid w:val="00C61179"/>
    <w:rsid w:val="00C6133D"/>
    <w:rsid w:val="00C61598"/>
    <w:rsid w:val="00C61833"/>
    <w:rsid w:val="00C61853"/>
    <w:rsid w:val="00C61866"/>
    <w:rsid w:val="00C6199A"/>
    <w:rsid w:val="00C619A5"/>
    <w:rsid w:val="00C61AF6"/>
    <w:rsid w:val="00C61DD8"/>
    <w:rsid w:val="00C61E56"/>
    <w:rsid w:val="00C61E69"/>
    <w:rsid w:val="00C61ED2"/>
    <w:rsid w:val="00C61F0E"/>
    <w:rsid w:val="00C61FD3"/>
    <w:rsid w:val="00C62057"/>
    <w:rsid w:val="00C6205C"/>
    <w:rsid w:val="00C6206F"/>
    <w:rsid w:val="00C62145"/>
    <w:rsid w:val="00C62189"/>
    <w:rsid w:val="00C62267"/>
    <w:rsid w:val="00C622A0"/>
    <w:rsid w:val="00C6248C"/>
    <w:rsid w:val="00C625BB"/>
    <w:rsid w:val="00C62607"/>
    <w:rsid w:val="00C626E0"/>
    <w:rsid w:val="00C62705"/>
    <w:rsid w:val="00C62713"/>
    <w:rsid w:val="00C6274E"/>
    <w:rsid w:val="00C627B3"/>
    <w:rsid w:val="00C627BB"/>
    <w:rsid w:val="00C627D5"/>
    <w:rsid w:val="00C62A80"/>
    <w:rsid w:val="00C62AC8"/>
    <w:rsid w:val="00C62AD9"/>
    <w:rsid w:val="00C62B65"/>
    <w:rsid w:val="00C62C12"/>
    <w:rsid w:val="00C62D93"/>
    <w:rsid w:val="00C62DFE"/>
    <w:rsid w:val="00C62DFF"/>
    <w:rsid w:val="00C62E62"/>
    <w:rsid w:val="00C62E92"/>
    <w:rsid w:val="00C62FCA"/>
    <w:rsid w:val="00C63078"/>
    <w:rsid w:val="00C630AE"/>
    <w:rsid w:val="00C630D7"/>
    <w:rsid w:val="00C630E3"/>
    <w:rsid w:val="00C63369"/>
    <w:rsid w:val="00C633DF"/>
    <w:rsid w:val="00C6342F"/>
    <w:rsid w:val="00C63533"/>
    <w:rsid w:val="00C636E8"/>
    <w:rsid w:val="00C6378D"/>
    <w:rsid w:val="00C637A4"/>
    <w:rsid w:val="00C637CD"/>
    <w:rsid w:val="00C63A69"/>
    <w:rsid w:val="00C63CA7"/>
    <w:rsid w:val="00C63E99"/>
    <w:rsid w:val="00C63FBC"/>
    <w:rsid w:val="00C642C9"/>
    <w:rsid w:val="00C6432E"/>
    <w:rsid w:val="00C64434"/>
    <w:rsid w:val="00C64451"/>
    <w:rsid w:val="00C6454F"/>
    <w:rsid w:val="00C64644"/>
    <w:rsid w:val="00C646B5"/>
    <w:rsid w:val="00C646C7"/>
    <w:rsid w:val="00C6478D"/>
    <w:rsid w:val="00C6479B"/>
    <w:rsid w:val="00C647AF"/>
    <w:rsid w:val="00C647F1"/>
    <w:rsid w:val="00C64801"/>
    <w:rsid w:val="00C649A4"/>
    <w:rsid w:val="00C64B14"/>
    <w:rsid w:val="00C64C4E"/>
    <w:rsid w:val="00C64D63"/>
    <w:rsid w:val="00C64DD8"/>
    <w:rsid w:val="00C64E37"/>
    <w:rsid w:val="00C64E72"/>
    <w:rsid w:val="00C64F0F"/>
    <w:rsid w:val="00C6506A"/>
    <w:rsid w:val="00C650A2"/>
    <w:rsid w:val="00C650A3"/>
    <w:rsid w:val="00C650B0"/>
    <w:rsid w:val="00C65102"/>
    <w:rsid w:val="00C6514C"/>
    <w:rsid w:val="00C65368"/>
    <w:rsid w:val="00C65373"/>
    <w:rsid w:val="00C6545A"/>
    <w:rsid w:val="00C65470"/>
    <w:rsid w:val="00C654C4"/>
    <w:rsid w:val="00C655AC"/>
    <w:rsid w:val="00C6578A"/>
    <w:rsid w:val="00C657B7"/>
    <w:rsid w:val="00C65801"/>
    <w:rsid w:val="00C65858"/>
    <w:rsid w:val="00C65891"/>
    <w:rsid w:val="00C658BA"/>
    <w:rsid w:val="00C658D6"/>
    <w:rsid w:val="00C658F3"/>
    <w:rsid w:val="00C65915"/>
    <w:rsid w:val="00C6591F"/>
    <w:rsid w:val="00C65A52"/>
    <w:rsid w:val="00C65A9E"/>
    <w:rsid w:val="00C65AD5"/>
    <w:rsid w:val="00C65B31"/>
    <w:rsid w:val="00C65BAE"/>
    <w:rsid w:val="00C65C39"/>
    <w:rsid w:val="00C65CCD"/>
    <w:rsid w:val="00C65D1B"/>
    <w:rsid w:val="00C65E2A"/>
    <w:rsid w:val="00C65E70"/>
    <w:rsid w:val="00C65ECD"/>
    <w:rsid w:val="00C65F21"/>
    <w:rsid w:val="00C65F5A"/>
    <w:rsid w:val="00C66140"/>
    <w:rsid w:val="00C66191"/>
    <w:rsid w:val="00C6619A"/>
    <w:rsid w:val="00C66201"/>
    <w:rsid w:val="00C66308"/>
    <w:rsid w:val="00C66417"/>
    <w:rsid w:val="00C66468"/>
    <w:rsid w:val="00C665F7"/>
    <w:rsid w:val="00C666B9"/>
    <w:rsid w:val="00C667A8"/>
    <w:rsid w:val="00C667DA"/>
    <w:rsid w:val="00C667E4"/>
    <w:rsid w:val="00C66812"/>
    <w:rsid w:val="00C668A0"/>
    <w:rsid w:val="00C66956"/>
    <w:rsid w:val="00C6695A"/>
    <w:rsid w:val="00C669B1"/>
    <w:rsid w:val="00C669F4"/>
    <w:rsid w:val="00C669F8"/>
    <w:rsid w:val="00C66A30"/>
    <w:rsid w:val="00C66AFC"/>
    <w:rsid w:val="00C66B1C"/>
    <w:rsid w:val="00C66C46"/>
    <w:rsid w:val="00C66C64"/>
    <w:rsid w:val="00C66C80"/>
    <w:rsid w:val="00C66DC8"/>
    <w:rsid w:val="00C66E86"/>
    <w:rsid w:val="00C66EEF"/>
    <w:rsid w:val="00C67267"/>
    <w:rsid w:val="00C67383"/>
    <w:rsid w:val="00C674C7"/>
    <w:rsid w:val="00C67529"/>
    <w:rsid w:val="00C6757A"/>
    <w:rsid w:val="00C678B7"/>
    <w:rsid w:val="00C679EF"/>
    <w:rsid w:val="00C67A31"/>
    <w:rsid w:val="00C67A5B"/>
    <w:rsid w:val="00C67A7D"/>
    <w:rsid w:val="00C67AC9"/>
    <w:rsid w:val="00C67B17"/>
    <w:rsid w:val="00C67B6F"/>
    <w:rsid w:val="00C67B9D"/>
    <w:rsid w:val="00C67D1F"/>
    <w:rsid w:val="00C67D98"/>
    <w:rsid w:val="00C67E68"/>
    <w:rsid w:val="00C7001D"/>
    <w:rsid w:val="00C700A9"/>
    <w:rsid w:val="00C700B3"/>
    <w:rsid w:val="00C70118"/>
    <w:rsid w:val="00C701C1"/>
    <w:rsid w:val="00C70242"/>
    <w:rsid w:val="00C70287"/>
    <w:rsid w:val="00C702F2"/>
    <w:rsid w:val="00C70381"/>
    <w:rsid w:val="00C70498"/>
    <w:rsid w:val="00C705D0"/>
    <w:rsid w:val="00C705DB"/>
    <w:rsid w:val="00C70619"/>
    <w:rsid w:val="00C70650"/>
    <w:rsid w:val="00C70679"/>
    <w:rsid w:val="00C706B3"/>
    <w:rsid w:val="00C707B2"/>
    <w:rsid w:val="00C70A5B"/>
    <w:rsid w:val="00C70FE1"/>
    <w:rsid w:val="00C7100D"/>
    <w:rsid w:val="00C7101A"/>
    <w:rsid w:val="00C71153"/>
    <w:rsid w:val="00C71216"/>
    <w:rsid w:val="00C71225"/>
    <w:rsid w:val="00C71229"/>
    <w:rsid w:val="00C71275"/>
    <w:rsid w:val="00C712D4"/>
    <w:rsid w:val="00C7130C"/>
    <w:rsid w:val="00C7136F"/>
    <w:rsid w:val="00C713E2"/>
    <w:rsid w:val="00C71447"/>
    <w:rsid w:val="00C71490"/>
    <w:rsid w:val="00C714A8"/>
    <w:rsid w:val="00C714DC"/>
    <w:rsid w:val="00C71556"/>
    <w:rsid w:val="00C715A2"/>
    <w:rsid w:val="00C715CC"/>
    <w:rsid w:val="00C717CE"/>
    <w:rsid w:val="00C717E6"/>
    <w:rsid w:val="00C71854"/>
    <w:rsid w:val="00C71886"/>
    <w:rsid w:val="00C71941"/>
    <w:rsid w:val="00C71A3D"/>
    <w:rsid w:val="00C71AA8"/>
    <w:rsid w:val="00C71C9E"/>
    <w:rsid w:val="00C71E53"/>
    <w:rsid w:val="00C71E59"/>
    <w:rsid w:val="00C71F47"/>
    <w:rsid w:val="00C71F66"/>
    <w:rsid w:val="00C72017"/>
    <w:rsid w:val="00C72033"/>
    <w:rsid w:val="00C7203B"/>
    <w:rsid w:val="00C72041"/>
    <w:rsid w:val="00C72095"/>
    <w:rsid w:val="00C720FF"/>
    <w:rsid w:val="00C7213D"/>
    <w:rsid w:val="00C72299"/>
    <w:rsid w:val="00C723C9"/>
    <w:rsid w:val="00C72423"/>
    <w:rsid w:val="00C7249C"/>
    <w:rsid w:val="00C7252B"/>
    <w:rsid w:val="00C725FD"/>
    <w:rsid w:val="00C72754"/>
    <w:rsid w:val="00C727CD"/>
    <w:rsid w:val="00C72839"/>
    <w:rsid w:val="00C72848"/>
    <w:rsid w:val="00C728DE"/>
    <w:rsid w:val="00C728E7"/>
    <w:rsid w:val="00C72925"/>
    <w:rsid w:val="00C72A2F"/>
    <w:rsid w:val="00C72A33"/>
    <w:rsid w:val="00C72C11"/>
    <w:rsid w:val="00C72C37"/>
    <w:rsid w:val="00C72CBB"/>
    <w:rsid w:val="00C72D76"/>
    <w:rsid w:val="00C72DC4"/>
    <w:rsid w:val="00C72DC7"/>
    <w:rsid w:val="00C72E29"/>
    <w:rsid w:val="00C72FF6"/>
    <w:rsid w:val="00C7308B"/>
    <w:rsid w:val="00C730F5"/>
    <w:rsid w:val="00C731BE"/>
    <w:rsid w:val="00C731E8"/>
    <w:rsid w:val="00C73352"/>
    <w:rsid w:val="00C73420"/>
    <w:rsid w:val="00C734B3"/>
    <w:rsid w:val="00C734DD"/>
    <w:rsid w:val="00C73503"/>
    <w:rsid w:val="00C7362C"/>
    <w:rsid w:val="00C73631"/>
    <w:rsid w:val="00C73695"/>
    <w:rsid w:val="00C73840"/>
    <w:rsid w:val="00C7386A"/>
    <w:rsid w:val="00C7386D"/>
    <w:rsid w:val="00C7399E"/>
    <w:rsid w:val="00C73A42"/>
    <w:rsid w:val="00C73B29"/>
    <w:rsid w:val="00C73B75"/>
    <w:rsid w:val="00C73B9C"/>
    <w:rsid w:val="00C73BCB"/>
    <w:rsid w:val="00C73BE5"/>
    <w:rsid w:val="00C73C59"/>
    <w:rsid w:val="00C73C63"/>
    <w:rsid w:val="00C73D0D"/>
    <w:rsid w:val="00C73D8F"/>
    <w:rsid w:val="00C73DCC"/>
    <w:rsid w:val="00C73DEA"/>
    <w:rsid w:val="00C73EB7"/>
    <w:rsid w:val="00C73F56"/>
    <w:rsid w:val="00C74104"/>
    <w:rsid w:val="00C7417F"/>
    <w:rsid w:val="00C74195"/>
    <w:rsid w:val="00C7424A"/>
    <w:rsid w:val="00C74334"/>
    <w:rsid w:val="00C743FE"/>
    <w:rsid w:val="00C744BF"/>
    <w:rsid w:val="00C74664"/>
    <w:rsid w:val="00C746BB"/>
    <w:rsid w:val="00C74722"/>
    <w:rsid w:val="00C74743"/>
    <w:rsid w:val="00C748EA"/>
    <w:rsid w:val="00C748F7"/>
    <w:rsid w:val="00C74A30"/>
    <w:rsid w:val="00C74A9B"/>
    <w:rsid w:val="00C74B69"/>
    <w:rsid w:val="00C74CE3"/>
    <w:rsid w:val="00C74CED"/>
    <w:rsid w:val="00C74D92"/>
    <w:rsid w:val="00C74DEA"/>
    <w:rsid w:val="00C751CA"/>
    <w:rsid w:val="00C75380"/>
    <w:rsid w:val="00C755E4"/>
    <w:rsid w:val="00C75657"/>
    <w:rsid w:val="00C75714"/>
    <w:rsid w:val="00C757F7"/>
    <w:rsid w:val="00C758F2"/>
    <w:rsid w:val="00C75A0F"/>
    <w:rsid w:val="00C75A18"/>
    <w:rsid w:val="00C75C41"/>
    <w:rsid w:val="00C75D13"/>
    <w:rsid w:val="00C75D49"/>
    <w:rsid w:val="00C75DCD"/>
    <w:rsid w:val="00C75F90"/>
    <w:rsid w:val="00C75FE5"/>
    <w:rsid w:val="00C76059"/>
    <w:rsid w:val="00C76076"/>
    <w:rsid w:val="00C7610A"/>
    <w:rsid w:val="00C7644E"/>
    <w:rsid w:val="00C76488"/>
    <w:rsid w:val="00C765A6"/>
    <w:rsid w:val="00C766B2"/>
    <w:rsid w:val="00C76A91"/>
    <w:rsid w:val="00C76AD4"/>
    <w:rsid w:val="00C76AF2"/>
    <w:rsid w:val="00C76B13"/>
    <w:rsid w:val="00C76B92"/>
    <w:rsid w:val="00C76C0C"/>
    <w:rsid w:val="00C76C95"/>
    <w:rsid w:val="00C76D67"/>
    <w:rsid w:val="00C76E6B"/>
    <w:rsid w:val="00C76EDA"/>
    <w:rsid w:val="00C76F45"/>
    <w:rsid w:val="00C76F82"/>
    <w:rsid w:val="00C76FE7"/>
    <w:rsid w:val="00C77032"/>
    <w:rsid w:val="00C7705B"/>
    <w:rsid w:val="00C7708F"/>
    <w:rsid w:val="00C770BE"/>
    <w:rsid w:val="00C77304"/>
    <w:rsid w:val="00C773D3"/>
    <w:rsid w:val="00C77446"/>
    <w:rsid w:val="00C775CB"/>
    <w:rsid w:val="00C77670"/>
    <w:rsid w:val="00C77720"/>
    <w:rsid w:val="00C779DC"/>
    <w:rsid w:val="00C779FA"/>
    <w:rsid w:val="00C77A6B"/>
    <w:rsid w:val="00C77A89"/>
    <w:rsid w:val="00C77A8C"/>
    <w:rsid w:val="00C77AA8"/>
    <w:rsid w:val="00C77B17"/>
    <w:rsid w:val="00C77B4A"/>
    <w:rsid w:val="00C77B5E"/>
    <w:rsid w:val="00C77B98"/>
    <w:rsid w:val="00C77B9A"/>
    <w:rsid w:val="00C77BCA"/>
    <w:rsid w:val="00C77BCD"/>
    <w:rsid w:val="00C77C96"/>
    <w:rsid w:val="00C77D71"/>
    <w:rsid w:val="00C77DDD"/>
    <w:rsid w:val="00C77E33"/>
    <w:rsid w:val="00C77E46"/>
    <w:rsid w:val="00C77E65"/>
    <w:rsid w:val="00C77ECC"/>
    <w:rsid w:val="00C77F44"/>
    <w:rsid w:val="00C77F9F"/>
    <w:rsid w:val="00C800DE"/>
    <w:rsid w:val="00C80353"/>
    <w:rsid w:val="00C803D3"/>
    <w:rsid w:val="00C80427"/>
    <w:rsid w:val="00C80435"/>
    <w:rsid w:val="00C804CE"/>
    <w:rsid w:val="00C8062F"/>
    <w:rsid w:val="00C8069A"/>
    <w:rsid w:val="00C806A3"/>
    <w:rsid w:val="00C806F2"/>
    <w:rsid w:val="00C80930"/>
    <w:rsid w:val="00C80A0F"/>
    <w:rsid w:val="00C80A4B"/>
    <w:rsid w:val="00C80A65"/>
    <w:rsid w:val="00C80ADF"/>
    <w:rsid w:val="00C80B0A"/>
    <w:rsid w:val="00C80B6D"/>
    <w:rsid w:val="00C80BAC"/>
    <w:rsid w:val="00C80D4B"/>
    <w:rsid w:val="00C80DE5"/>
    <w:rsid w:val="00C80E31"/>
    <w:rsid w:val="00C80F99"/>
    <w:rsid w:val="00C80FFD"/>
    <w:rsid w:val="00C810B6"/>
    <w:rsid w:val="00C810FB"/>
    <w:rsid w:val="00C81210"/>
    <w:rsid w:val="00C8128E"/>
    <w:rsid w:val="00C81335"/>
    <w:rsid w:val="00C81379"/>
    <w:rsid w:val="00C814C8"/>
    <w:rsid w:val="00C8152C"/>
    <w:rsid w:val="00C815DC"/>
    <w:rsid w:val="00C81643"/>
    <w:rsid w:val="00C816D2"/>
    <w:rsid w:val="00C81797"/>
    <w:rsid w:val="00C81839"/>
    <w:rsid w:val="00C81880"/>
    <w:rsid w:val="00C81983"/>
    <w:rsid w:val="00C819B5"/>
    <w:rsid w:val="00C81A69"/>
    <w:rsid w:val="00C81A6F"/>
    <w:rsid w:val="00C81AA4"/>
    <w:rsid w:val="00C81B3F"/>
    <w:rsid w:val="00C81BBC"/>
    <w:rsid w:val="00C81BF5"/>
    <w:rsid w:val="00C81C9F"/>
    <w:rsid w:val="00C81D1B"/>
    <w:rsid w:val="00C81DCD"/>
    <w:rsid w:val="00C81F15"/>
    <w:rsid w:val="00C81F35"/>
    <w:rsid w:val="00C82082"/>
    <w:rsid w:val="00C820A6"/>
    <w:rsid w:val="00C82113"/>
    <w:rsid w:val="00C82127"/>
    <w:rsid w:val="00C821DC"/>
    <w:rsid w:val="00C8222A"/>
    <w:rsid w:val="00C82253"/>
    <w:rsid w:val="00C82265"/>
    <w:rsid w:val="00C822EC"/>
    <w:rsid w:val="00C82321"/>
    <w:rsid w:val="00C823EB"/>
    <w:rsid w:val="00C82411"/>
    <w:rsid w:val="00C8254A"/>
    <w:rsid w:val="00C8269C"/>
    <w:rsid w:val="00C826E2"/>
    <w:rsid w:val="00C8272B"/>
    <w:rsid w:val="00C8275B"/>
    <w:rsid w:val="00C8276C"/>
    <w:rsid w:val="00C827E5"/>
    <w:rsid w:val="00C82804"/>
    <w:rsid w:val="00C82837"/>
    <w:rsid w:val="00C82907"/>
    <w:rsid w:val="00C829F6"/>
    <w:rsid w:val="00C82A0A"/>
    <w:rsid w:val="00C82CEB"/>
    <w:rsid w:val="00C82E23"/>
    <w:rsid w:val="00C82EEE"/>
    <w:rsid w:val="00C8308C"/>
    <w:rsid w:val="00C832A5"/>
    <w:rsid w:val="00C832BB"/>
    <w:rsid w:val="00C835A3"/>
    <w:rsid w:val="00C835FE"/>
    <w:rsid w:val="00C83739"/>
    <w:rsid w:val="00C837AA"/>
    <w:rsid w:val="00C837C8"/>
    <w:rsid w:val="00C837DE"/>
    <w:rsid w:val="00C83850"/>
    <w:rsid w:val="00C838A7"/>
    <w:rsid w:val="00C838C2"/>
    <w:rsid w:val="00C838E2"/>
    <w:rsid w:val="00C839F3"/>
    <w:rsid w:val="00C83A09"/>
    <w:rsid w:val="00C83A15"/>
    <w:rsid w:val="00C83A95"/>
    <w:rsid w:val="00C83AB3"/>
    <w:rsid w:val="00C83B89"/>
    <w:rsid w:val="00C83C91"/>
    <w:rsid w:val="00C83C9A"/>
    <w:rsid w:val="00C83DAC"/>
    <w:rsid w:val="00C83E7C"/>
    <w:rsid w:val="00C83E94"/>
    <w:rsid w:val="00C83EDC"/>
    <w:rsid w:val="00C83F78"/>
    <w:rsid w:val="00C8405A"/>
    <w:rsid w:val="00C8405E"/>
    <w:rsid w:val="00C8422A"/>
    <w:rsid w:val="00C8428A"/>
    <w:rsid w:val="00C842CF"/>
    <w:rsid w:val="00C842DC"/>
    <w:rsid w:val="00C844FA"/>
    <w:rsid w:val="00C845B2"/>
    <w:rsid w:val="00C846E6"/>
    <w:rsid w:val="00C8474F"/>
    <w:rsid w:val="00C84798"/>
    <w:rsid w:val="00C84814"/>
    <w:rsid w:val="00C8493E"/>
    <w:rsid w:val="00C849AD"/>
    <w:rsid w:val="00C84A90"/>
    <w:rsid w:val="00C84ABD"/>
    <w:rsid w:val="00C84AC2"/>
    <w:rsid w:val="00C84C26"/>
    <w:rsid w:val="00C84D36"/>
    <w:rsid w:val="00C84DC0"/>
    <w:rsid w:val="00C84E20"/>
    <w:rsid w:val="00C84ED7"/>
    <w:rsid w:val="00C84F24"/>
    <w:rsid w:val="00C84F5B"/>
    <w:rsid w:val="00C85001"/>
    <w:rsid w:val="00C85018"/>
    <w:rsid w:val="00C850BB"/>
    <w:rsid w:val="00C850DC"/>
    <w:rsid w:val="00C852FA"/>
    <w:rsid w:val="00C85318"/>
    <w:rsid w:val="00C85371"/>
    <w:rsid w:val="00C853DF"/>
    <w:rsid w:val="00C85416"/>
    <w:rsid w:val="00C8563E"/>
    <w:rsid w:val="00C858EE"/>
    <w:rsid w:val="00C85907"/>
    <w:rsid w:val="00C85A94"/>
    <w:rsid w:val="00C85AAF"/>
    <w:rsid w:val="00C85B54"/>
    <w:rsid w:val="00C85BA2"/>
    <w:rsid w:val="00C85BBF"/>
    <w:rsid w:val="00C85CA6"/>
    <w:rsid w:val="00C85CF0"/>
    <w:rsid w:val="00C85E1E"/>
    <w:rsid w:val="00C85E85"/>
    <w:rsid w:val="00C85FEE"/>
    <w:rsid w:val="00C86107"/>
    <w:rsid w:val="00C86143"/>
    <w:rsid w:val="00C8625F"/>
    <w:rsid w:val="00C86296"/>
    <w:rsid w:val="00C862B0"/>
    <w:rsid w:val="00C8633B"/>
    <w:rsid w:val="00C8640C"/>
    <w:rsid w:val="00C86532"/>
    <w:rsid w:val="00C8659E"/>
    <w:rsid w:val="00C865D2"/>
    <w:rsid w:val="00C86634"/>
    <w:rsid w:val="00C86737"/>
    <w:rsid w:val="00C86833"/>
    <w:rsid w:val="00C86976"/>
    <w:rsid w:val="00C86A48"/>
    <w:rsid w:val="00C86A7F"/>
    <w:rsid w:val="00C86A86"/>
    <w:rsid w:val="00C86AD2"/>
    <w:rsid w:val="00C86B1B"/>
    <w:rsid w:val="00C86BAC"/>
    <w:rsid w:val="00C86C1E"/>
    <w:rsid w:val="00C86C9C"/>
    <w:rsid w:val="00C86CED"/>
    <w:rsid w:val="00C86D49"/>
    <w:rsid w:val="00C86ED1"/>
    <w:rsid w:val="00C86F4C"/>
    <w:rsid w:val="00C8709B"/>
    <w:rsid w:val="00C8710E"/>
    <w:rsid w:val="00C87116"/>
    <w:rsid w:val="00C8737A"/>
    <w:rsid w:val="00C87387"/>
    <w:rsid w:val="00C873CB"/>
    <w:rsid w:val="00C874B6"/>
    <w:rsid w:val="00C875DB"/>
    <w:rsid w:val="00C87800"/>
    <w:rsid w:val="00C87886"/>
    <w:rsid w:val="00C87915"/>
    <w:rsid w:val="00C87AA5"/>
    <w:rsid w:val="00C87D01"/>
    <w:rsid w:val="00C87F06"/>
    <w:rsid w:val="00C87FA4"/>
    <w:rsid w:val="00C87FE7"/>
    <w:rsid w:val="00C900EE"/>
    <w:rsid w:val="00C901A5"/>
    <w:rsid w:val="00C901B1"/>
    <w:rsid w:val="00C901F5"/>
    <w:rsid w:val="00C902D0"/>
    <w:rsid w:val="00C903FE"/>
    <w:rsid w:val="00C904C9"/>
    <w:rsid w:val="00C90550"/>
    <w:rsid w:val="00C90643"/>
    <w:rsid w:val="00C9075E"/>
    <w:rsid w:val="00C9078C"/>
    <w:rsid w:val="00C908DF"/>
    <w:rsid w:val="00C909AF"/>
    <w:rsid w:val="00C90A7C"/>
    <w:rsid w:val="00C90A82"/>
    <w:rsid w:val="00C90B60"/>
    <w:rsid w:val="00C90BE8"/>
    <w:rsid w:val="00C90CAE"/>
    <w:rsid w:val="00C90DE3"/>
    <w:rsid w:val="00C90E53"/>
    <w:rsid w:val="00C90FE4"/>
    <w:rsid w:val="00C90FE8"/>
    <w:rsid w:val="00C90FF0"/>
    <w:rsid w:val="00C9118B"/>
    <w:rsid w:val="00C911DB"/>
    <w:rsid w:val="00C91275"/>
    <w:rsid w:val="00C91350"/>
    <w:rsid w:val="00C91371"/>
    <w:rsid w:val="00C9141E"/>
    <w:rsid w:val="00C914C3"/>
    <w:rsid w:val="00C91521"/>
    <w:rsid w:val="00C91579"/>
    <w:rsid w:val="00C91693"/>
    <w:rsid w:val="00C916E4"/>
    <w:rsid w:val="00C9170C"/>
    <w:rsid w:val="00C9171C"/>
    <w:rsid w:val="00C9174E"/>
    <w:rsid w:val="00C91752"/>
    <w:rsid w:val="00C91797"/>
    <w:rsid w:val="00C91A32"/>
    <w:rsid w:val="00C91AB2"/>
    <w:rsid w:val="00C91BF1"/>
    <w:rsid w:val="00C91D39"/>
    <w:rsid w:val="00C91DF1"/>
    <w:rsid w:val="00C91DFC"/>
    <w:rsid w:val="00C91FF3"/>
    <w:rsid w:val="00C920D5"/>
    <w:rsid w:val="00C920FC"/>
    <w:rsid w:val="00C92144"/>
    <w:rsid w:val="00C923C6"/>
    <w:rsid w:val="00C9260B"/>
    <w:rsid w:val="00C92728"/>
    <w:rsid w:val="00C927F7"/>
    <w:rsid w:val="00C928D3"/>
    <w:rsid w:val="00C928E9"/>
    <w:rsid w:val="00C92911"/>
    <w:rsid w:val="00C9292F"/>
    <w:rsid w:val="00C929D2"/>
    <w:rsid w:val="00C92A1A"/>
    <w:rsid w:val="00C92B60"/>
    <w:rsid w:val="00C92B6C"/>
    <w:rsid w:val="00C92B8B"/>
    <w:rsid w:val="00C93010"/>
    <w:rsid w:val="00C9308C"/>
    <w:rsid w:val="00C9318C"/>
    <w:rsid w:val="00C93296"/>
    <w:rsid w:val="00C93351"/>
    <w:rsid w:val="00C933B0"/>
    <w:rsid w:val="00C933CD"/>
    <w:rsid w:val="00C933F6"/>
    <w:rsid w:val="00C93566"/>
    <w:rsid w:val="00C9359B"/>
    <w:rsid w:val="00C93636"/>
    <w:rsid w:val="00C93640"/>
    <w:rsid w:val="00C936B8"/>
    <w:rsid w:val="00C936E1"/>
    <w:rsid w:val="00C93766"/>
    <w:rsid w:val="00C93780"/>
    <w:rsid w:val="00C9383C"/>
    <w:rsid w:val="00C93AA2"/>
    <w:rsid w:val="00C93AD6"/>
    <w:rsid w:val="00C93CC6"/>
    <w:rsid w:val="00C93D74"/>
    <w:rsid w:val="00C93E5F"/>
    <w:rsid w:val="00C93F2E"/>
    <w:rsid w:val="00C93F83"/>
    <w:rsid w:val="00C9403E"/>
    <w:rsid w:val="00C9406B"/>
    <w:rsid w:val="00C94141"/>
    <w:rsid w:val="00C94281"/>
    <w:rsid w:val="00C943EA"/>
    <w:rsid w:val="00C945C6"/>
    <w:rsid w:val="00C946D8"/>
    <w:rsid w:val="00C94713"/>
    <w:rsid w:val="00C94749"/>
    <w:rsid w:val="00C947E2"/>
    <w:rsid w:val="00C94894"/>
    <w:rsid w:val="00C949B4"/>
    <w:rsid w:val="00C949CD"/>
    <w:rsid w:val="00C94B02"/>
    <w:rsid w:val="00C94C43"/>
    <w:rsid w:val="00C94CB2"/>
    <w:rsid w:val="00C94D4C"/>
    <w:rsid w:val="00C94D77"/>
    <w:rsid w:val="00C94DB3"/>
    <w:rsid w:val="00C94E12"/>
    <w:rsid w:val="00C94F3E"/>
    <w:rsid w:val="00C94FD4"/>
    <w:rsid w:val="00C9508B"/>
    <w:rsid w:val="00C95102"/>
    <w:rsid w:val="00C9520C"/>
    <w:rsid w:val="00C95398"/>
    <w:rsid w:val="00C953C0"/>
    <w:rsid w:val="00C954B2"/>
    <w:rsid w:val="00C954E6"/>
    <w:rsid w:val="00C95584"/>
    <w:rsid w:val="00C955CD"/>
    <w:rsid w:val="00C9560E"/>
    <w:rsid w:val="00C95648"/>
    <w:rsid w:val="00C956CA"/>
    <w:rsid w:val="00C956F5"/>
    <w:rsid w:val="00C95720"/>
    <w:rsid w:val="00C9575F"/>
    <w:rsid w:val="00C957BB"/>
    <w:rsid w:val="00C957E9"/>
    <w:rsid w:val="00C95842"/>
    <w:rsid w:val="00C9593B"/>
    <w:rsid w:val="00C95B8C"/>
    <w:rsid w:val="00C95BF4"/>
    <w:rsid w:val="00C95C8F"/>
    <w:rsid w:val="00C95E51"/>
    <w:rsid w:val="00C95E57"/>
    <w:rsid w:val="00C95F02"/>
    <w:rsid w:val="00C95F2B"/>
    <w:rsid w:val="00C96349"/>
    <w:rsid w:val="00C963C3"/>
    <w:rsid w:val="00C963E0"/>
    <w:rsid w:val="00C964F0"/>
    <w:rsid w:val="00C96604"/>
    <w:rsid w:val="00C9664F"/>
    <w:rsid w:val="00C96711"/>
    <w:rsid w:val="00C96716"/>
    <w:rsid w:val="00C9682F"/>
    <w:rsid w:val="00C9697D"/>
    <w:rsid w:val="00C96A73"/>
    <w:rsid w:val="00C96D17"/>
    <w:rsid w:val="00C96D22"/>
    <w:rsid w:val="00C96E19"/>
    <w:rsid w:val="00C96E7E"/>
    <w:rsid w:val="00C96E81"/>
    <w:rsid w:val="00C96F1F"/>
    <w:rsid w:val="00C96F20"/>
    <w:rsid w:val="00C96F79"/>
    <w:rsid w:val="00C970A0"/>
    <w:rsid w:val="00C97194"/>
    <w:rsid w:val="00C971CE"/>
    <w:rsid w:val="00C971E8"/>
    <w:rsid w:val="00C9723B"/>
    <w:rsid w:val="00C97252"/>
    <w:rsid w:val="00C9727E"/>
    <w:rsid w:val="00C972A9"/>
    <w:rsid w:val="00C972BC"/>
    <w:rsid w:val="00C973F8"/>
    <w:rsid w:val="00C9746B"/>
    <w:rsid w:val="00C9759D"/>
    <w:rsid w:val="00C975BA"/>
    <w:rsid w:val="00C976CC"/>
    <w:rsid w:val="00C97700"/>
    <w:rsid w:val="00C97751"/>
    <w:rsid w:val="00C97767"/>
    <w:rsid w:val="00C977B6"/>
    <w:rsid w:val="00C97884"/>
    <w:rsid w:val="00C978AA"/>
    <w:rsid w:val="00C978FF"/>
    <w:rsid w:val="00C97908"/>
    <w:rsid w:val="00C97921"/>
    <w:rsid w:val="00C97965"/>
    <w:rsid w:val="00C97AB1"/>
    <w:rsid w:val="00C97B0A"/>
    <w:rsid w:val="00C97B1F"/>
    <w:rsid w:val="00C97CA0"/>
    <w:rsid w:val="00C97CC6"/>
    <w:rsid w:val="00C97D57"/>
    <w:rsid w:val="00C97FBF"/>
    <w:rsid w:val="00CA0057"/>
    <w:rsid w:val="00CA02A2"/>
    <w:rsid w:val="00CA0498"/>
    <w:rsid w:val="00CA0600"/>
    <w:rsid w:val="00CA063A"/>
    <w:rsid w:val="00CA06B4"/>
    <w:rsid w:val="00CA0813"/>
    <w:rsid w:val="00CA0843"/>
    <w:rsid w:val="00CA0849"/>
    <w:rsid w:val="00CA0A38"/>
    <w:rsid w:val="00CA0D1A"/>
    <w:rsid w:val="00CA0E15"/>
    <w:rsid w:val="00CA0E5B"/>
    <w:rsid w:val="00CA0F5E"/>
    <w:rsid w:val="00CA0F60"/>
    <w:rsid w:val="00CA0FBA"/>
    <w:rsid w:val="00CA100C"/>
    <w:rsid w:val="00CA124B"/>
    <w:rsid w:val="00CA13F6"/>
    <w:rsid w:val="00CA141B"/>
    <w:rsid w:val="00CA143E"/>
    <w:rsid w:val="00CA147C"/>
    <w:rsid w:val="00CA15F7"/>
    <w:rsid w:val="00CA16A5"/>
    <w:rsid w:val="00CA16C7"/>
    <w:rsid w:val="00CA16F4"/>
    <w:rsid w:val="00CA192C"/>
    <w:rsid w:val="00CA1CE8"/>
    <w:rsid w:val="00CA1D89"/>
    <w:rsid w:val="00CA1DDF"/>
    <w:rsid w:val="00CA1F55"/>
    <w:rsid w:val="00CA1FA4"/>
    <w:rsid w:val="00CA2021"/>
    <w:rsid w:val="00CA2106"/>
    <w:rsid w:val="00CA210F"/>
    <w:rsid w:val="00CA2159"/>
    <w:rsid w:val="00CA218D"/>
    <w:rsid w:val="00CA21DC"/>
    <w:rsid w:val="00CA248B"/>
    <w:rsid w:val="00CA2548"/>
    <w:rsid w:val="00CA25B9"/>
    <w:rsid w:val="00CA2804"/>
    <w:rsid w:val="00CA28A1"/>
    <w:rsid w:val="00CA2989"/>
    <w:rsid w:val="00CA2A60"/>
    <w:rsid w:val="00CA2A69"/>
    <w:rsid w:val="00CA2B44"/>
    <w:rsid w:val="00CA2C7F"/>
    <w:rsid w:val="00CA2E06"/>
    <w:rsid w:val="00CA2E87"/>
    <w:rsid w:val="00CA2E9F"/>
    <w:rsid w:val="00CA2F7C"/>
    <w:rsid w:val="00CA3005"/>
    <w:rsid w:val="00CA304D"/>
    <w:rsid w:val="00CA30F0"/>
    <w:rsid w:val="00CA318E"/>
    <w:rsid w:val="00CA3363"/>
    <w:rsid w:val="00CA344A"/>
    <w:rsid w:val="00CA3513"/>
    <w:rsid w:val="00CA352C"/>
    <w:rsid w:val="00CA3554"/>
    <w:rsid w:val="00CA36C2"/>
    <w:rsid w:val="00CA3825"/>
    <w:rsid w:val="00CA38AF"/>
    <w:rsid w:val="00CA38C8"/>
    <w:rsid w:val="00CA3955"/>
    <w:rsid w:val="00CA39D9"/>
    <w:rsid w:val="00CA3A2E"/>
    <w:rsid w:val="00CA3AB3"/>
    <w:rsid w:val="00CA3ADE"/>
    <w:rsid w:val="00CA3CBF"/>
    <w:rsid w:val="00CA3CD8"/>
    <w:rsid w:val="00CA3EAB"/>
    <w:rsid w:val="00CA3EEC"/>
    <w:rsid w:val="00CA3F66"/>
    <w:rsid w:val="00CA40A5"/>
    <w:rsid w:val="00CA40BA"/>
    <w:rsid w:val="00CA40FC"/>
    <w:rsid w:val="00CA4112"/>
    <w:rsid w:val="00CA4244"/>
    <w:rsid w:val="00CA4448"/>
    <w:rsid w:val="00CA4460"/>
    <w:rsid w:val="00CA4463"/>
    <w:rsid w:val="00CA4582"/>
    <w:rsid w:val="00CA47CF"/>
    <w:rsid w:val="00CA48DD"/>
    <w:rsid w:val="00CA48F5"/>
    <w:rsid w:val="00CA4977"/>
    <w:rsid w:val="00CA4993"/>
    <w:rsid w:val="00CA49CD"/>
    <w:rsid w:val="00CA4CAE"/>
    <w:rsid w:val="00CA4CC5"/>
    <w:rsid w:val="00CA4D90"/>
    <w:rsid w:val="00CA4E0C"/>
    <w:rsid w:val="00CA4E85"/>
    <w:rsid w:val="00CA4EAB"/>
    <w:rsid w:val="00CA4F53"/>
    <w:rsid w:val="00CA5003"/>
    <w:rsid w:val="00CA503E"/>
    <w:rsid w:val="00CA5074"/>
    <w:rsid w:val="00CA50B7"/>
    <w:rsid w:val="00CA513C"/>
    <w:rsid w:val="00CA52A2"/>
    <w:rsid w:val="00CA549B"/>
    <w:rsid w:val="00CA54F1"/>
    <w:rsid w:val="00CA5537"/>
    <w:rsid w:val="00CA55B5"/>
    <w:rsid w:val="00CA5605"/>
    <w:rsid w:val="00CA5611"/>
    <w:rsid w:val="00CA56C5"/>
    <w:rsid w:val="00CA56EE"/>
    <w:rsid w:val="00CA573D"/>
    <w:rsid w:val="00CA58F0"/>
    <w:rsid w:val="00CA590D"/>
    <w:rsid w:val="00CA5C2E"/>
    <w:rsid w:val="00CA5C5A"/>
    <w:rsid w:val="00CA5D44"/>
    <w:rsid w:val="00CA5D79"/>
    <w:rsid w:val="00CA5E3E"/>
    <w:rsid w:val="00CA5F9C"/>
    <w:rsid w:val="00CA6007"/>
    <w:rsid w:val="00CA618D"/>
    <w:rsid w:val="00CA6261"/>
    <w:rsid w:val="00CA6392"/>
    <w:rsid w:val="00CA63A7"/>
    <w:rsid w:val="00CA674D"/>
    <w:rsid w:val="00CA674F"/>
    <w:rsid w:val="00CA679D"/>
    <w:rsid w:val="00CA689B"/>
    <w:rsid w:val="00CA69A5"/>
    <w:rsid w:val="00CA69AA"/>
    <w:rsid w:val="00CA6A56"/>
    <w:rsid w:val="00CA6B23"/>
    <w:rsid w:val="00CA6CF1"/>
    <w:rsid w:val="00CA6DE1"/>
    <w:rsid w:val="00CA6E77"/>
    <w:rsid w:val="00CA6EB6"/>
    <w:rsid w:val="00CA6F40"/>
    <w:rsid w:val="00CA703A"/>
    <w:rsid w:val="00CA707F"/>
    <w:rsid w:val="00CA7098"/>
    <w:rsid w:val="00CA7202"/>
    <w:rsid w:val="00CA7231"/>
    <w:rsid w:val="00CA72B0"/>
    <w:rsid w:val="00CA7304"/>
    <w:rsid w:val="00CA7320"/>
    <w:rsid w:val="00CA73B3"/>
    <w:rsid w:val="00CA767B"/>
    <w:rsid w:val="00CA7687"/>
    <w:rsid w:val="00CA7697"/>
    <w:rsid w:val="00CA77E3"/>
    <w:rsid w:val="00CA786B"/>
    <w:rsid w:val="00CA7889"/>
    <w:rsid w:val="00CA78B7"/>
    <w:rsid w:val="00CA7976"/>
    <w:rsid w:val="00CA79D8"/>
    <w:rsid w:val="00CA7A69"/>
    <w:rsid w:val="00CA7A71"/>
    <w:rsid w:val="00CA7CA6"/>
    <w:rsid w:val="00CA7DB9"/>
    <w:rsid w:val="00CA7DDC"/>
    <w:rsid w:val="00CA7E8F"/>
    <w:rsid w:val="00CA7F86"/>
    <w:rsid w:val="00CB00A6"/>
    <w:rsid w:val="00CB00F5"/>
    <w:rsid w:val="00CB0133"/>
    <w:rsid w:val="00CB0463"/>
    <w:rsid w:val="00CB04D5"/>
    <w:rsid w:val="00CB0559"/>
    <w:rsid w:val="00CB05A3"/>
    <w:rsid w:val="00CB06F1"/>
    <w:rsid w:val="00CB074A"/>
    <w:rsid w:val="00CB0788"/>
    <w:rsid w:val="00CB0796"/>
    <w:rsid w:val="00CB07B1"/>
    <w:rsid w:val="00CB099D"/>
    <w:rsid w:val="00CB09BF"/>
    <w:rsid w:val="00CB0A42"/>
    <w:rsid w:val="00CB0C3E"/>
    <w:rsid w:val="00CB0CD8"/>
    <w:rsid w:val="00CB0D86"/>
    <w:rsid w:val="00CB0D8E"/>
    <w:rsid w:val="00CB0D9D"/>
    <w:rsid w:val="00CB0DE2"/>
    <w:rsid w:val="00CB0E19"/>
    <w:rsid w:val="00CB0E44"/>
    <w:rsid w:val="00CB0E94"/>
    <w:rsid w:val="00CB0ED9"/>
    <w:rsid w:val="00CB1084"/>
    <w:rsid w:val="00CB10B0"/>
    <w:rsid w:val="00CB10B4"/>
    <w:rsid w:val="00CB114C"/>
    <w:rsid w:val="00CB116E"/>
    <w:rsid w:val="00CB11FA"/>
    <w:rsid w:val="00CB1234"/>
    <w:rsid w:val="00CB13DA"/>
    <w:rsid w:val="00CB1440"/>
    <w:rsid w:val="00CB1634"/>
    <w:rsid w:val="00CB18A5"/>
    <w:rsid w:val="00CB18B4"/>
    <w:rsid w:val="00CB1934"/>
    <w:rsid w:val="00CB196F"/>
    <w:rsid w:val="00CB19D4"/>
    <w:rsid w:val="00CB1A25"/>
    <w:rsid w:val="00CB1A30"/>
    <w:rsid w:val="00CB1A7A"/>
    <w:rsid w:val="00CB1B43"/>
    <w:rsid w:val="00CB1BCA"/>
    <w:rsid w:val="00CB1BE5"/>
    <w:rsid w:val="00CB1C02"/>
    <w:rsid w:val="00CB1C89"/>
    <w:rsid w:val="00CB1D72"/>
    <w:rsid w:val="00CB1DD1"/>
    <w:rsid w:val="00CB207A"/>
    <w:rsid w:val="00CB223C"/>
    <w:rsid w:val="00CB2255"/>
    <w:rsid w:val="00CB2471"/>
    <w:rsid w:val="00CB283D"/>
    <w:rsid w:val="00CB2857"/>
    <w:rsid w:val="00CB287E"/>
    <w:rsid w:val="00CB2AFA"/>
    <w:rsid w:val="00CB2B02"/>
    <w:rsid w:val="00CB2B6B"/>
    <w:rsid w:val="00CB2DEE"/>
    <w:rsid w:val="00CB2E38"/>
    <w:rsid w:val="00CB2E91"/>
    <w:rsid w:val="00CB2ED6"/>
    <w:rsid w:val="00CB2F15"/>
    <w:rsid w:val="00CB3114"/>
    <w:rsid w:val="00CB311F"/>
    <w:rsid w:val="00CB35A9"/>
    <w:rsid w:val="00CB3658"/>
    <w:rsid w:val="00CB3669"/>
    <w:rsid w:val="00CB3752"/>
    <w:rsid w:val="00CB391B"/>
    <w:rsid w:val="00CB3982"/>
    <w:rsid w:val="00CB399A"/>
    <w:rsid w:val="00CB3A06"/>
    <w:rsid w:val="00CB3A6A"/>
    <w:rsid w:val="00CB3B22"/>
    <w:rsid w:val="00CB3C45"/>
    <w:rsid w:val="00CB3D34"/>
    <w:rsid w:val="00CB3D90"/>
    <w:rsid w:val="00CB3DF4"/>
    <w:rsid w:val="00CB3E46"/>
    <w:rsid w:val="00CB3E4D"/>
    <w:rsid w:val="00CB3E5A"/>
    <w:rsid w:val="00CB3EC9"/>
    <w:rsid w:val="00CB3F01"/>
    <w:rsid w:val="00CB408E"/>
    <w:rsid w:val="00CB40D8"/>
    <w:rsid w:val="00CB4158"/>
    <w:rsid w:val="00CB416C"/>
    <w:rsid w:val="00CB416F"/>
    <w:rsid w:val="00CB4185"/>
    <w:rsid w:val="00CB4196"/>
    <w:rsid w:val="00CB4250"/>
    <w:rsid w:val="00CB4295"/>
    <w:rsid w:val="00CB4352"/>
    <w:rsid w:val="00CB4394"/>
    <w:rsid w:val="00CB43C9"/>
    <w:rsid w:val="00CB45B9"/>
    <w:rsid w:val="00CB460E"/>
    <w:rsid w:val="00CB4629"/>
    <w:rsid w:val="00CB4682"/>
    <w:rsid w:val="00CB47E8"/>
    <w:rsid w:val="00CB47E9"/>
    <w:rsid w:val="00CB48CC"/>
    <w:rsid w:val="00CB4907"/>
    <w:rsid w:val="00CB4C2C"/>
    <w:rsid w:val="00CB4C2D"/>
    <w:rsid w:val="00CB4D65"/>
    <w:rsid w:val="00CB4DD5"/>
    <w:rsid w:val="00CB4E4D"/>
    <w:rsid w:val="00CB4E5E"/>
    <w:rsid w:val="00CB4E8C"/>
    <w:rsid w:val="00CB4F23"/>
    <w:rsid w:val="00CB500A"/>
    <w:rsid w:val="00CB501D"/>
    <w:rsid w:val="00CB5041"/>
    <w:rsid w:val="00CB51E5"/>
    <w:rsid w:val="00CB53EA"/>
    <w:rsid w:val="00CB5452"/>
    <w:rsid w:val="00CB54AB"/>
    <w:rsid w:val="00CB5561"/>
    <w:rsid w:val="00CB5639"/>
    <w:rsid w:val="00CB5654"/>
    <w:rsid w:val="00CB5677"/>
    <w:rsid w:val="00CB5874"/>
    <w:rsid w:val="00CB59A2"/>
    <w:rsid w:val="00CB5A31"/>
    <w:rsid w:val="00CB5BEF"/>
    <w:rsid w:val="00CB5CFB"/>
    <w:rsid w:val="00CB5DF0"/>
    <w:rsid w:val="00CB5EBB"/>
    <w:rsid w:val="00CB5F5C"/>
    <w:rsid w:val="00CB602B"/>
    <w:rsid w:val="00CB6057"/>
    <w:rsid w:val="00CB610F"/>
    <w:rsid w:val="00CB6117"/>
    <w:rsid w:val="00CB6331"/>
    <w:rsid w:val="00CB65CF"/>
    <w:rsid w:val="00CB66C8"/>
    <w:rsid w:val="00CB673B"/>
    <w:rsid w:val="00CB679B"/>
    <w:rsid w:val="00CB689C"/>
    <w:rsid w:val="00CB696A"/>
    <w:rsid w:val="00CB696C"/>
    <w:rsid w:val="00CB698C"/>
    <w:rsid w:val="00CB6A42"/>
    <w:rsid w:val="00CB6B4A"/>
    <w:rsid w:val="00CB6B51"/>
    <w:rsid w:val="00CB6C08"/>
    <w:rsid w:val="00CB6CD8"/>
    <w:rsid w:val="00CB6DDA"/>
    <w:rsid w:val="00CB6E95"/>
    <w:rsid w:val="00CB6FD7"/>
    <w:rsid w:val="00CB7024"/>
    <w:rsid w:val="00CB7027"/>
    <w:rsid w:val="00CB70CC"/>
    <w:rsid w:val="00CB7101"/>
    <w:rsid w:val="00CB717F"/>
    <w:rsid w:val="00CB7209"/>
    <w:rsid w:val="00CB731A"/>
    <w:rsid w:val="00CB740C"/>
    <w:rsid w:val="00CB7457"/>
    <w:rsid w:val="00CB7700"/>
    <w:rsid w:val="00CB7780"/>
    <w:rsid w:val="00CB78B5"/>
    <w:rsid w:val="00CB7913"/>
    <w:rsid w:val="00CB79BF"/>
    <w:rsid w:val="00CB7B28"/>
    <w:rsid w:val="00CB7B8B"/>
    <w:rsid w:val="00CB7C83"/>
    <w:rsid w:val="00CB7C88"/>
    <w:rsid w:val="00CB7CE1"/>
    <w:rsid w:val="00CB7D17"/>
    <w:rsid w:val="00CB7EE4"/>
    <w:rsid w:val="00CB7F1F"/>
    <w:rsid w:val="00CB7F80"/>
    <w:rsid w:val="00CB7FE7"/>
    <w:rsid w:val="00CC0040"/>
    <w:rsid w:val="00CC0095"/>
    <w:rsid w:val="00CC0109"/>
    <w:rsid w:val="00CC016F"/>
    <w:rsid w:val="00CC0221"/>
    <w:rsid w:val="00CC04D4"/>
    <w:rsid w:val="00CC056A"/>
    <w:rsid w:val="00CC0582"/>
    <w:rsid w:val="00CC06AD"/>
    <w:rsid w:val="00CC06FB"/>
    <w:rsid w:val="00CC08C9"/>
    <w:rsid w:val="00CC08CF"/>
    <w:rsid w:val="00CC091D"/>
    <w:rsid w:val="00CC09E2"/>
    <w:rsid w:val="00CC09F7"/>
    <w:rsid w:val="00CC0A2A"/>
    <w:rsid w:val="00CC0A32"/>
    <w:rsid w:val="00CC0A67"/>
    <w:rsid w:val="00CC0B2C"/>
    <w:rsid w:val="00CC0BAA"/>
    <w:rsid w:val="00CC0BEA"/>
    <w:rsid w:val="00CC0DA8"/>
    <w:rsid w:val="00CC0E47"/>
    <w:rsid w:val="00CC0EFC"/>
    <w:rsid w:val="00CC1067"/>
    <w:rsid w:val="00CC1072"/>
    <w:rsid w:val="00CC11E6"/>
    <w:rsid w:val="00CC1328"/>
    <w:rsid w:val="00CC136D"/>
    <w:rsid w:val="00CC137F"/>
    <w:rsid w:val="00CC13BA"/>
    <w:rsid w:val="00CC13C3"/>
    <w:rsid w:val="00CC148E"/>
    <w:rsid w:val="00CC14F8"/>
    <w:rsid w:val="00CC1655"/>
    <w:rsid w:val="00CC1670"/>
    <w:rsid w:val="00CC199B"/>
    <w:rsid w:val="00CC19F8"/>
    <w:rsid w:val="00CC1AE3"/>
    <w:rsid w:val="00CC1B1E"/>
    <w:rsid w:val="00CC1B41"/>
    <w:rsid w:val="00CC1D08"/>
    <w:rsid w:val="00CC1D41"/>
    <w:rsid w:val="00CC2077"/>
    <w:rsid w:val="00CC20A8"/>
    <w:rsid w:val="00CC2112"/>
    <w:rsid w:val="00CC2128"/>
    <w:rsid w:val="00CC2147"/>
    <w:rsid w:val="00CC2167"/>
    <w:rsid w:val="00CC219A"/>
    <w:rsid w:val="00CC2304"/>
    <w:rsid w:val="00CC23F0"/>
    <w:rsid w:val="00CC258E"/>
    <w:rsid w:val="00CC25C7"/>
    <w:rsid w:val="00CC2804"/>
    <w:rsid w:val="00CC2919"/>
    <w:rsid w:val="00CC2A09"/>
    <w:rsid w:val="00CC2ACC"/>
    <w:rsid w:val="00CC2B0B"/>
    <w:rsid w:val="00CC2B2C"/>
    <w:rsid w:val="00CC2BF2"/>
    <w:rsid w:val="00CC2BFF"/>
    <w:rsid w:val="00CC2C3C"/>
    <w:rsid w:val="00CC2C4B"/>
    <w:rsid w:val="00CC2C4D"/>
    <w:rsid w:val="00CC2C90"/>
    <w:rsid w:val="00CC2CEA"/>
    <w:rsid w:val="00CC2EC5"/>
    <w:rsid w:val="00CC2ED9"/>
    <w:rsid w:val="00CC2F63"/>
    <w:rsid w:val="00CC320D"/>
    <w:rsid w:val="00CC322F"/>
    <w:rsid w:val="00CC3289"/>
    <w:rsid w:val="00CC32B2"/>
    <w:rsid w:val="00CC32F1"/>
    <w:rsid w:val="00CC3303"/>
    <w:rsid w:val="00CC333D"/>
    <w:rsid w:val="00CC3442"/>
    <w:rsid w:val="00CC3494"/>
    <w:rsid w:val="00CC356F"/>
    <w:rsid w:val="00CC36E0"/>
    <w:rsid w:val="00CC3713"/>
    <w:rsid w:val="00CC3752"/>
    <w:rsid w:val="00CC376D"/>
    <w:rsid w:val="00CC3790"/>
    <w:rsid w:val="00CC3950"/>
    <w:rsid w:val="00CC39B7"/>
    <w:rsid w:val="00CC3A07"/>
    <w:rsid w:val="00CC3C07"/>
    <w:rsid w:val="00CC3C5F"/>
    <w:rsid w:val="00CC3ECF"/>
    <w:rsid w:val="00CC4166"/>
    <w:rsid w:val="00CC4319"/>
    <w:rsid w:val="00CC448F"/>
    <w:rsid w:val="00CC4598"/>
    <w:rsid w:val="00CC45BA"/>
    <w:rsid w:val="00CC46D2"/>
    <w:rsid w:val="00CC4771"/>
    <w:rsid w:val="00CC47B9"/>
    <w:rsid w:val="00CC48E8"/>
    <w:rsid w:val="00CC48F3"/>
    <w:rsid w:val="00CC4979"/>
    <w:rsid w:val="00CC49B1"/>
    <w:rsid w:val="00CC4ACE"/>
    <w:rsid w:val="00CC4B61"/>
    <w:rsid w:val="00CC4BA0"/>
    <w:rsid w:val="00CC4E6B"/>
    <w:rsid w:val="00CC5036"/>
    <w:rsid w:val="00CC508C"/>
    <w:rsid w:val="00CC51A5"/>
    <w:rsid w:val="00CC5259"/>
    <w:rsid w:val="00CC5398"/>
    <w:rsid w:val="00CC5413"/>
    <w:rsid w:val="00CC542B"/>
    <w:rsid w:val="00CC544D"/>
    <w:rsid w:val="00CC54F3"/>
    <w:rsid w:val="00CC5530"/>
    <w:rsid w:val="00CC5545"/>
    <w:rsid w:val="00CC55EE"/>
    <w:rsid w:val="00CC5783"/>
    <w:rsid w:val="00CC57BD"/>
    <w:rsid w:val="00CC58BB"/>
    <w:rsid w:val="00CC5965"/>
    <w:rsid w:val="00CC5A39"/>
    <w:rsid w:val="00CC5A43"/>
    <w:rsid w:val="00CC5A9C"/>
    <w:rsid w:val="00CC5ACA"/>
    <w:rsid w:val="00CC5C17"/>
    <w:rsid w:val="00CC5D1A"/>
    <w:rsid w:val="00CC5DC0"/>
    <w:rsid w:val="00CC5DD0"/>
    <w:rsid w:val="00CC5DF5"/>
    <w:rsid w:val="00CC5DF7"/>
    <w:rsid w:val="00CC5FDC"/>
    <w:rsid w:val="00CC6020"/>
    <w:rsid w:val="00CC61D8"/>
    <w:rsid w:val="00CC623E"/>
    <w:rsid w:val="00CC62FB"/>
    <w:rsid w:val="00CC64E9"/>
    <w:rsid w:val="00CC6577"/>
    <w:rsid w:val="00CC671D"/>
    <w:rsid w:val="00CC672C"/>
    <w:rsid w:val="00CC6773"/>
    <w:rsid w:val="00CC6799"/>
    <w:rsid w:val="00CC692D"/>
    <w:rsid w:val="00CC6B5C"/>
    <w:rsid w:val="00CC6B63"/>
    <w:rsid w:val="00CC6BD8"/>
    <w:rsid w:val="00CC6C38"/>
    <w:rsid w:val="00CC6CE9"/>
    <w:rsid w:val="00CC6DA1"/>
    <w:rsid w:val="00CC6DED"/>
    <w:rsid w:val="00CC6E55"/>
    <w:rsid w:val="00CC70AE"/>
    <w:rsid w:val="00CC710E"/>
    <w:rsid w:val="00CC718B"/>
    <w:rsid w:val="00CC731D"/>
    <w:rsid w:val="00CC73D6"/>
    <w:rsid w:val="00CC74D2"/>
    <w:rsid w:val="00CC75B2"/>
    <w:rsid w:val="00CC75FD"/>
    <w:rsid w:val="00CC771C"/>
    <w:rsid w:val="00CC793C"/>
    <w:rsid w:val="00CC7A0A"/>
    <w:rsid w:val="00CC7A83"/>
    <w:rsid w:val="00CC7ACC"/>
    <w:rsid w:val="00CC7B95"/>
    <w:rsid w:val="00CC7D01"/>
    <w:rsid w:val="00CC7D57"/>
    <w:rsid w:val="00CC7D87"/>
    <w:rsid w:val="00CC7E28"/>
    <w:rsid w:val="00CC7EF7"/>
    <w:rsid w:val="00CC7F0A"/>
    <w:rsid w:val="00CC7FB0"/>
    <w:rsid w:val="00CD0005"/>
    <w:rsid w:val="00CD00F0"/>
    <w:rsid w:val="00CD00FD"/>
    <w:rsid w:val="00CD02DF"/>
    <w:rsid w:val="00CD032E"/>
    <w:rsid w:val="00CD03A0"/>
    <w:rsid w:val="00CD03AE"/>
    <w:rsid w:val="00CD03F5"/>
    <w:rsid w:val="00CD0439"/>
    <w:rsid w:val="00CD044F"/>
    <w:rsid w:val="00CD047C"/>
    <w:rsid w:val="00CD07FC"/>
    <w:rsid w:val="00CD0908"/>
    <w:rsid w:val="00CD0943"/>
    <w:rsid w:val="00CD0958"/>
    <w:rsid w:val="00CD095F"/>
    <w:rsid w:val="00CD0B06"/>
    <w:rsid w:val="00CD0B77"/>
    <w:rsid w:val="00CD0BD4"/>
    <w:rsid w:val="00CD0C03"/>
    <w:rsid w:val="00CD0C97"/>
    <w:rsid w:val="00CD0D13"/>
    <w:rsid w:val="00CD0D40"/>
    <w:rsid w:val="00CD0EFA"/>
    <w:rsid w:val="00CD0F9A"/>
    <w:rsid w:val="00CD0FE5"/>
    <w:rsid w:val="00CD11A2"/>
    <w:rsid w:val="00CD1215"/>
    <w:rsid w:val="00CD13FE"/>
    <w:rsid w:val="00CD140E"/>
    <w:rsid w:val="00CD15FD"/>
    <w:rsid w:val="00CD1704"/>
    <w:rsid w:val="00CD177D"/>
    <w:rsid w:val="00CD18D8"/>
    <w:rsid w:val="00CD198A"/>
    <w:rsid w:val="00CD19C5"/>
    <w:rsid w:val="00CD19D8"/>
    <w:rsid w:val="00CD1AC7"/>
    <w:rsid w:val="00CD1B27"/>
    <w:rsid w:val="00CD1B53"/>
    <w:rsid w:val="00CD1C9E"/>
    <w:rsid w:val="00CD1E70"/>
    <w:rsid w:val="00CD1F1E"/>
    <w:rsid w:val="00CD1F3B"/>
    <w:rsid w:val="00CD1FCE"/>
    <w:rsid w:val="00CD218F"/>
    <w:rsid w:val="00CD21E1"/>
    <w:rsid w:val="00CD22A3"/>
    <w:rsid w:val="00CD2322"/>
    <w:rsid w:val="00CD2408"/>
    <w:rsid w:val="00CD248E"/>
    <w:rsid w:val="00CD27A5"/>
    <w:rsid w:val="00CD27C2"/>
    <w:rsid w:val="00CD27EE"/>
    <w:rsid w:val="00CD2803"/>
    <w:rsid w:val="00CD2B37"/>
    <w:rsid w:val="00CD2B68"/>
    <w:rsid w:val="00CD2C60"/>
    <w:rsid w:val="00CD2D34"/>
    <w:rsid w:val="00CD2DDC"/>
    <w:rsid w:val="00CD2E31"/>
    <w:rsid w:val="00CD2E8D"/>
    <w:rsid w:val="00CD30B3"/>
    <w:rsid w:val="00CD30DC"/>
    <w:rsid w:val="00CD31C4"/>
    <w:rsid w:val="00CD323E"/>
    <w:rsid w:val="00CD32C6"/>
    <w:rsid w:val="00CD35A3"/>
    <w:rsid w:val="00CD35B7"/>
    <w:rsid w:val="00CD35EE"/>
    <w:rsid w:val="00CD35F5"/>
    <w:rsid w:val="00CD36A2"/>
    <w:rsid w:val="00CD3736"/>
    <w:rsid w:val="00CD373E"/>
    <w:rsid w:val="00CD3843"/>
    <w:rsid w:val="00CD3A0A"/>
    <w:rsid w:val="00CD3AD7"/>
    <w:rsid w:val="00CD3AF2"/>
    <w:rsid w:val="00CD3B9E"/>
    <w:rsid w:val="00CD3C1E"/>
    <w:rsid w:val="00CD3D5A"/>
    <w:rsid w:val="00CD3E01"/>
    <w:rsid w:val="00CD3FBB"/>
    <w:rsid w:val="00CD4155"/>
    <w:rsid w:val="00CD4159"/>
    <w:rsid w:val="00CD43C5"/>
    <w:rsid w:val="00CD456C"/>
    <w:rsid w:val="00CD458D"/>
    <w:rsid w:val="00CD45EC"/>
    <w:rsid w:val="00CD45F7"/>
    <w:rsid w:val="00CD46FE"/>
    <w:rsid w:val="00CD4797"/>
    <w:rsid w:val="00CD4801"/>
    <w:rsid w:val="00CD4880"/>
    <w:rsid w:val="00CD4AA2"/>
    <w:rsid w:val="00CD4AAF"/>
    <w:rsid w:val="00CD4ADF"/>
    <w:rsid w:val="00CD4BA1"/>
    <w:rsid w:val="00CD4BD1"/>
    <w:rsid w:val="00CD4C0C"/>
    <w:rsid w:val="00CD4CD4"/>
    <w:rsid w:val="00CD4E46"/>
    <w:rsid w:val="00CD4F84"/>
    <w:rsid w:val="00CD507B"/>
    <w:rsid w:val="00CD50BE"/>
    <w:rsid w:val="00CD5164"/>
    <w:rsid w:val="00CD52AB"/>
    <w:rsid w:val="00CD538A"/>
    <w:rsid w:val="00CD539E"/>
    <w:rsid w:val="00CD53B9"/>
    <w:rsid w:val="00CD53D1"/>
    <w:rsid w:val="00CD56D7"/>
    <w:rsid w:val="00CD5702"/>
    <w:rsid w:val="00CD575D"/>
    <w:rsid w:val="00CD580B"/>
    <w:rsid w:val="00CD5811"/>
    <w:rsid w:val="00CD588D"/>
    <w:rsid w:val="00CD5956"/>
    <w:rsid w:val="00CD5992"/>
    <w:rsid w:val="00CD5B61"/>
    <w:rsid w:val="00CD5B73"/>
    <w:rsid w:val="00CD5BF1"/>
    <w:rsid w:val="00CD5C63"/>
    <w:rsid w:val="00CD5DF3"/>
    <w:rsid w:val="00CD5E6E"/>
    <w:rsid w:val="00CD5EC5"/>
    <w:rsid w:val="00CD5FF0"/>
    <w:rsid w:val="00CD60F0"/>
    <w:rsid w:val="00CD61C7"/>
    <w:rsid w:val="00CD61F3"/>
    <w:rsid w:val="00CD62A8"/>
    <w:rsid w:val="00CD641F"/>
    <w:rsid w:val="00CD6595"/>
    <w:rsid w:val="00CD674E"/>
    <w:rsid w:val="00CD6773"/>
    <w:rsid w:val="00CD6813"/>
    <w:rsid w:val="00CD6934"/>
    <w:rsid w:val="00CD6AC6"/>
    <w:rsid w:val="00CD6B2B"/>
    <w:rsid w:val="00CD6B7C"/>
    <w:rsid w:val="00CD6CC8"/>
    <w:rsid w:val="00CD6E9E"/>
    <w:rsid w:val="00CD6FD3"/>
    <w:rsid w:val="00CD6FDE"/>
    <w:rsid w:val="00CD718D"/>
    <w:rsid w:val="00CD7254"/>
    <w:rsid w:val="00CD72B0"/>
    <w:rsid w:val="00CD7467"/>
    <w:rsid w:val="00CD7470"/>
    <w:rsid w:val="00CD747F"/>
    <w:rsid w:val="00CD7544"/>
    <w:rsid w:val="00CD75C9"/>
    <w:rsid w:val="00CD764B"/>
    <w:rsid w:val="00CD7653"/>
    <w:rsid w:val="00CD767A"/>
    <w:rsid w:val="00CD7720"/>
    <w:rsid w:val="00CD77E8"/>
    <w:rsid w:val="00CD787B"/>
    <w:rsid w:val="00CD7886"/>
    <w:rsid w:val="00CD789A"/>
    <w:rsid w:val="00CD78C8"/>
    <w:rsid w:val="00CD7C65"/>
    <w:rsid w:val="00CD7D89"/>
    <w:rsid w:val="00CD7E56"/>
    <w:rsid w:val="00CD7E5E"/>
    <w:rsid w:val="00CD7EA3"/>
    <w:rsid w:val="00CE010B"/>
    <w:rsid w:val="00CE01BD"/>
    <w:rsid w:val="00CE0249"/>
    <w:rsid w:val="00CE033E"/>
    <w:rsid w:val="00CE0404"/>
    <w:rsid w:val="00CE0405"/>
    <w:rsid w:val="00CE052E"/>
    <w:rsid w:val="00CE0630"/>
    <w:rsid w:val="00CE07A0"/>
    <w:rsid w:val="00CE07B8"/>
    <w:rsid w:val="00CE0869"/>
    <w:rsid w:val="00CE08B0"/>
    <w:rsid w:val="00CE08E5"/>
    <w:rsid w:val="00CE0927"/>
    <w:rsid w:val="00CE0987"/>
    <w:rsid w:val="00CE0A8E"/>
    <w:rsid w:val="00CE0AC7"/>
    <w:rsid w:val="00CE0ACE"/>
    <w:rsid w:val="00CE0B76"/>
    <w:rsid w:val="00CE0D45"/>
    <w:rsid w:val="00CE0DEF"/>
    <w:rsid w:val="00CE0F07"/>
    <w:rsid w:val="00CE1005"/>
    <w:rsid w:val="00CE106C"/>
    <w:rsid w:val="00CE116D"/>
    <w:rsid w:val="00CE118E"/>
    <w:rsid w:val="00CE11DF"/>
    <w:rsid w:val="00CE1201"/>
    <w:rsid w:val="00CE1236"/>
    <w:rsid w:val="00CE12A3"/>
    <w:rsid w:val="00CE12EE"/>
    <w:rsid w:val="00CE1338"/>
    <w:rsid w:val="00CE1363"/>
    <w:rsid w:val="00CE14E6"/>
    <w:rsid w:val="00CE1708"/>
    <w:rsid w:val="00CE175A"/>
    <w:rsid w:val="00CE17AA"/>
    <w:rsid w:val="00CE194A"/>
    <w:rsid w:val="00CE1A1F"/>
    <w:rsid w:val="00CE1B71"/>
    <w:rsid w:val="00CE1B7D"/>
    <w:rsid w:val="00CE1B95"/>
    <w:rsid w:val="00CE1BB0"/>
    <w:rsid w:val="00CE1C69"/>
    <w:rsid w:val="00CE1D58"/>
    <w:rsid w:val="00CE1D9B"/>
    <w:rsid w:val="00CE1DCA"/>
    <w:rsid w:val="00CE1DFA"/>
    <w:rsid w:val="00CE1E46"/>
    <w:rsid w:val="00CE1E8B"/>
    <w:rsid w:val="00CE2009"/>
    <w:rsid w:val="00CE203F"/>
    <w:rsid w:val="00CE207D"/>
    <w:rsid w:val="00CE208E"/>
    <w:rsid w:val="00CE20BD"/>
    <w:rsid w:val="00CE2398"/>
    <w:rsid w:val="00CE23D0"/>
    <w:rsid w:val="00CE2579"/>
    <w:rsid w:val="00CE25E9"/>
    <w:rsid w:val="00CE2615"/>
    <w:rsid w:val="00CE2757"/>
    <w:rsid w:val="00CE285F"/>
    <w:rsid w:val="00CE2A24"/>
    <w:rsid w:val="00CE2B1D"/>
    <w:rsid w:val="00CE2C08"/>
    <w:rsid w:val="00CE2CFC"/>
    <w:rsid w:val="00CE2DE0"/>
    <w:rsid w:val="00CE2E37"/>
    <w:rsid w:val="00CE2E3C"/>
    <w:rsid w:val="00CE2E44"/>
    <w:rsid w:val="00CE2F0A"/>
    <w:rsid w:val="00CE2FC3"/>
    <w:rsid w:val="00CE302C"/>
    <w:rsid w:val="00CE30B5"/>
    <w:rsid w:val="00CE31C7"/>
    <w:rsid w:val="00CE3213"/>
    <w:rsid w:val="00CE3305"/>
    <w:rsid w:val="00CE3380"/>
    <w:rsid w:val="00CE34AC"/>
    <w:rsid w:val="00CE34C8"/>
    <w:rsid w:val="00CE3521"/>
    <w:rsid w:val="00CE35C9"/>
    <w:rsid w:val="00CE35DD"/>
    <w:rsid w:val="00CE367C"/>
    <w:rsid w:val="00CE3740"/>
    <w:rsid w:val="00CE37E6"/>
    <w:rsid w:val="00CE3828"/>
    <w:rsid w:val="00CE3880"/>
    <w:rsid w:val="00CE3995"/>
    <w:rsid w:val="00CE39FA"/>
    <w:rsid w:val="00CE3A82"/>
    <w:rsid w:val="00CE3AD2"/>
    <w:rsid w:val="00CE3B19"/>
    <w:rsid w:val="00CE3BA2"/>
    <w:rsid w:val="00CE3C7E"/>
    <w:rsid w:val="00CE3F7B"/>
    <w:rsid w:val="00CE406E"/>
    <w:rsid w:val="00CE415E"/>
    <w:rsid w:val="00CE430A"/>
    <w:rsid w:val="00CE4479"/>
    <w:rsid w:val="00CE44D3"/>
    <w:rsid w:val="00CE44F1"/>
    <w:rsid w:val="00CE45F3"/>
    <w:rsid w:val="00CE472E"/>
    <w:rsid w:val="00CE4740"/>
    <w:rsid w:val="00CE47E1"/>
    <w:rsid w:val="00CE482F"/>
    <w:rsid w:val="00CE48CA"/>
    <w:rsid w:val="00CE49BF"/>
    <w:rsid w:val="00CE4A61"/>
    <w:rsid w:val="00CE4A8E"/>
    <w:rsid w:val="00CE4B9F"/>
    <w:rsid w:val="00CE4C71"/>
    <w:rsid w:val="00CE4C7C"/>
    <w:rsid w:val="00CE4C91"/>
    <w:rsid w:val="00CE4F71"/>
    <w:rsid w:val="00CE5023"/>
    <w:rsid w:val="00CE5039"/>
    <w:rsid w:val="00CE503F"/>
    <w:rsid w:val="00CE515F"/>
    <w:rsid w:val="00CE521E"/>
    <w:rsid w:val="00CE5462"/>
    <w:rsid w:val="00CE5472"/>
    <w:rsid w:val="00CE54DF"/>
    <w:rsid w:val="00CE5618"/>
    <w:rsid w:val="00CE5679"/>
    <w:rsid w:val="00CE567B"/>
    <w:rsid w:val="00CE5748"/>
    <w:rsid w:val="00CE57CF"/>
    <w:rsid w:val="00CE57EA"/>
    <w:rsid w:val="00CE59DC"/>
    <w:rsid w:val="00CE5A5F"/>
    <w:rsid w:val="00CE5C0A"/>
    <w:rsid w:val="00CE5C82"/>
    <w:rsid w:val="00CE5DD3"/>
    <w:rsid w:val="00CE5E05"/>
    <w:rsid w:val="00CE6059"/>
    <w:rsid w:val="00CE6108"/>
    <w:rsid w:val="00CE6364"/>
    <w:rsid w:val="00CE63DC"/>
    <w:rsid w:val="00CE64D2"/>
    <w:rsid w:val="00CE657C"/>
    <w:rsid w:val="00CE65C2"/>
    <w:rsid w:val="00CE6636"/>
    <w:rsid w:val="00CE68DC"/>
    <w:rsid w:val="00CE695F"/>
    <w:rsid w:val="00CE69E5"/>
    <w:rsid w:val="00CE6ABB"/>
    <w:rsid w:val="00CE6BCD"/>
    <w:rsid w:val="00CE6C46"/>
    <w:rsid w:val="00CE6CDB"/>
    <w:rsid w:val="00CE6DB1"/>
    <w:rsid w:val="00CE6FA0"/>
    <w:rsid w:val="00CE6FEB"/>
    <w:rsid w:val="00CE7009"/>
    <w:rsid w:val="00CE7071"/>
    <w:rsid w:val="00CE70C4"/>
    <w:rsid w:val="00CE710B"/>
    <w:rsid w:val="00CE71B7"/>
    <w:rsid w:val="00CE71CE"/>
    <w:rsid w:val="00CE7238"/>
    <w:rsid w:val="00CE7404"/>
    <w:rsid w:val="00CE77B9"/>
    <w:rsid w:val="00CE77F0"/>
    <w:rsid w:val="00CE7823"/>
    <w:rsid w:val="00CE78F1"/>
    <w:rsid w:val="00CE7902"/>
    <w:rsid w:val="00CE7927"/>
    <w:rsid w:val="00CE7929"/>
    <w:rsid w:val="00CE799D"/>
    <w:rsid w:val="00CE79A1"/>
    <w:rsid w:val="00CE7A33"/>
    <w:rsid w:val="00CE7A42"/>
    <w:rsid w:val="00CE7BA6"/>
    <w:rsid w:val="00CE7C39"/>
    <w:rsid w:val="00CE7D46"/>
    <w:rsid w:val="00CE7DCC"/>
    <w:rsid w:val="00CE7E52"/>
    <w:rsid w:val="00CF0012"/>
    <w:rsid w:val="00CF00EA"/>
    <w:rsid w:val="00CF0124"/>
    <w:rsid w:val="00CF01BC"/>
    <w:rsid w:val="00CF0330"/>
    <w:rsid w:val="00CF03D7"/>
    <w:rsid w:val="00CF0400"/>
    <w:rsid w:val="00CF05A0"/>
    <w:rsid w:val="00CF09CB"/>
    <w:rsid w:val="00CF0A3A"/>
    <w:rsid w:val="00CF0A96"/>
    <w:rsid w:val="00CF0AED"/>
    <w:rsid w:val="00CF0B12"/>
    <w:rsid w:val="00CF0B3D"/>
    <w:rsid w:val="00CF0EB9"/>
    <w:rsid w:val="00CF0FA5"/>
    <w:rsid w:val="00CF0FBF"/>
    <w:rsid w:val="00CF0FD3"/>
    <w:rsid w:val="00CF1014"/>
    <w:rsid w:val="00CF105C"/>
    <w:rsid w:val="00CF1089"/>
    <w:rsid w:val="00CF10FD"/>
    <w:rsid w:val="00CF111F"/>
    <w:rsid w:val="00CF1260"/>
    <w:rsid w:val="00CF1282"/>
    <w:rsid w:val="00CF12AA"/>
    <w:rsid w:val="00CF139B"/>
    <w:rsid w:val="00CF1465"/>
    <w:rsid w:val="00CF154F"/>
    <w:rsid w:val="00CF15B4"/>
    <w:rsid w:val="00CF16BE"/>
    <w:rsid w:val="00CF16D6"/>
    <w:rsid w:val="00CF1850"/>
    <w:rsid w:val="00CF19AA"/>
    <w:rsid w:val="00CF1B8D"/>
    <w:rsid w:val="00CF1C46"/>
    <w:rsid w:val="00CF1C93"/>
    <w:rsid w:val="00CF1E09"/>
    <w:rsid w:val="00CF1F00"/>
    <w:rsid w:val="00CF1FB7"/>
    <w:rsid w:val="00CF215D"/>
    <w:rsid w:val="00CF2178"/>
    <w:rsid w:val="00CF2281"/>
    <w:rsid w:val="00CF2455"/>
    <w:rsid w:val="00CF259E"/>
    <w:rsid w:val="00CF2746"/>
    <w:rsid w:val="00CF27CB"/>
    <w:rsid w:val="00CF2863"/>
    <w:rsid w:val="00CF28AF"/>
    <w:rsid w:val="00CF28B6"/>
    <w:rsid w:val="00CF291C"/>
    <w:rsid w:val="00CF2A71"/>
    <w:rsid w:val="00CF2A90"/>
    <w:rsid w:val="00CF2BBB"/>
    <w:rsid w:val="00CF2C17"/>
    <w:rsid w:val="00CF2C97"/>
    <w:rsid w:val="00CF2CE3"/>
    <w:rsid w:val="00CF2D4E"/>
    <w:rsid w:val="00CF2D8D"/>
    <w:rsid w:val="00CF2D9A"/>
    <w:rsid w:val="00CF2D9D"/>
    <w:rsid w:val="00CF2F4F"/>
    <w:rsid w:val="00CF306F"/>
    <w:rsid w:val="00CF30A4"/>
    <w:rsid w:val="00CF3141"/>
    <w:rsid w:val="00CF3182"/>
    <w:rsid w:val="00CF3185"/>
    <w:rsid w:val="00CF3199"/>
    <w:rsid w:val="00CF31A3"/>
    <w:rsid w:val="00CF3313"/>
    <w:rsid w:val="00CF3391"/>
    <w:rsid w:val="00CF34E4"/>
    <w:rsid w:val="00CF35D8"/>
    <w:rsid w:val="00CF361F"/>
    <w:rsid w:val="00CF3679"/>
    <w:rsid w:val="00CF37AE"/>
    <w:rsid w:val="00CF38BA"/>
    <w:rsid w:val="00CF38C2"/>
    <w:rsid w:val="00CF3908"/>
    <w:rsid w:val="00CF3988"/>
    <w:rsid w:val="00CF3A0B"/>
    <w:rsid w:val="00CF3A22"/>
    <w:rsid w:val="00CF3A23"/>
    <w:rsid w:val="00CF3A5A"/>
    <w:rsid w:val="00CF3B2E"/>
    <w:rsid w:val="00CF3B3F"/>
    <w:rsid w:val="00CF3BF9"/>
    <w:rsid w:val="00CF3D12"/>
    <w:rsid w:val="00CF3DE5"/>
    <w:rsid w:val="00CF3E85"/>
    <w:rsid w:val="00CF3EEF"/>
    <w:rsid w:val="00CF3EF8"/>
    <w:rsid w:val="00CF3FB2"/>
    <w:rsid w:val="00CF4182"/>
    <w:rsid w:val="00CF42B6"/>
    <w:rsid w:val="00CF42E9"/>
    <w:rsid w:val="00CF43CA"/>
    <w:rsid w:val="00CF4520"/>
    <w:rsid w:val="00CF4574"/>
    <w:rsid w:val="00CF464A"/>
    <w:rsid w:val="00CF4759"/>
    <w:rsid w:val="00CF4776"/>
    <w:rsid w:val="00CF4877"/>
    <w:rsid w:val="00CF48BC"/>
    <w:rsid w:val="00CF49A7"/>
    <w:rsid w:val="00CF4A3A"/>
    <w:rsid w:val="00CF4B04"/>
    <w:rsid w:val="00CF4B96"/>
    <w:rsid w:val="00CF4E0E"/>
    <w:rsid w:val="00CF4F7C"/>
    <w:rsid w:val="00CF50D9"/>
    <w:rsid w:val="00CF529D"/>
    <w:rsid w:val="00CF52E4"/>
    <w:rsid w:val="00CF5397"/>
    <w:rsid w:val="00CF5478"/>
    <w:rsid w:val="00CF54C3"/>
    <w:rsid w:val="00CF5516"/>
    <w:rsid w:val="00CF5530"/>
    <w:rsid w:val="00CF5672"/>
    <w:rsid w:val="00CF570A"/>
    <w:rsid w:val="00CF574B"/>
    <w:rsid w:val="00CF579B"/>
    <w:rsid w:val="00CF5800"/>
    <w:rsid w:val="00CF581F"/>
    <w:rsid w:val="00CF5821"/>
    <w:rsid w:val="00CF5959"/>
    <w:rsid w:val="00CF59B0"/>
    <w:rsid w:val="00CF5A36"/>
    <w:rsid w:val="00CF5B38"/>
    <w:rsid w:val="00CF5C96"/>
    <w:rsid w:val="00CF5D6B"/>
    <w:rsid w:val="00CF5E26"/>
    <w:rsid w:val="00CF60B6"/>
    <w:rsid w:val="00CF617A"/>
    <w:rsid w:val="00CF61A5"/>
    <w:rsid w:val="00CF6204"/>
    <w:rsid w:val="00CF6272"/>
    <w:rsid w:val="00CF6414"/>
    <w:rsid w:val="00CF6417"/>
    <w:rsid w:val="00CF64F3"/>
    <w:rsid w:val="00CF66AE"/>
    <w:rsid w:val="00CF685E"/>
    <w:rsid w:val="00CF68C7"/>
    <w:rsid w:val="00CF68F8"/>
    <w:rsid w:val="00CF693C"/>
    <w:rsid w:val="00CF6946"/>
    <w:rsid w:val="00CF69E6"/>
    <w:rsid w:val="00CF6A01"/>
    <w:rsid w:val="00CF6B4E"/>
    <w:rsid w:val="00CF6C0A"/>
    <w:rsid w:val="00CF6CA1"/>
    <w:rsid w:val="00CF6CD1"/>
    <w:rsid w:val="00CF6E37"/>
    <w:rsid w:val="00CF6E5A"/>
    <w:rsid w:val="00CF6E74"/>
    <w:rsid w:val="00CF6EA0"/>
    <w:rsid w:val="00CF6EB3"/>
    <w:rsid w:val="00CF6F46"/>
    <w:rsid w:val="00CF6F7F"/>
    <w:rsid w:val="00CF6F94"/>
    <w:rsid w:val="00CF6FAA"/>
    <w:rsid w:val="00CF703A"/>
    <w:rsid w:val="00CF703C"/>
    <w:rsid w:val="00CF7197"/>
    <w:rsid w:val="00CF7230"/>
    <w:rsid w:val="00CF7301"/>
    <w:rsid w:val="00CF7318"/>
    <w:rsid w:val="00CF7582"/>
    <w:rsid w:val="00CF75F1"/>
    <w:rsid w:val="00CF7696"/>
    <w:rsid w:val="00CF7765"/>
    <w:rsid w:val="00CF7889"/>
    <w:rsid w:val="00CF78EA"/>
    <w:rsid w:val="00CF790E"/>
    <w:rsid w:val="00CF7A0E"/>
    <w:rsid w:val="00CF7B4B"/>
    <w:rsid w:val="00CF7D42"/>
    <w:rsid w:val="00CF7D43"/>
    <w:rsid w:val="00CF7D5A"/>
    <w:rsid w:val="00CF7D89"/>
    <w:rsid w:val="00CF7E16"/>
    <w:rsid w:val="00CF7F36"/>
    <w:rsid w:val="00CF7F68"/>
    <w:rsid w:val="00CF7F70"/>
    <w:rsid w:val="00D0003D"/>
    <w:rsid w:val="00D00059"/>
    <w:rsid w:val="00D000C5"/>
    <w:rsid w:val="00D000CB"/>
    <w:rsid w:val="00D000D4"/>
    <w:rsid w:val="00D0010A"/>
    <w:rsid w:val="00D00468"/>
    <w:rsid w:val="00D00658"/>
    <w:rsid w:val="00D00693"/>
    <w:rsid w:val="00D007B1"/>
    <w:rsid w:val="00D008CD"/>
    <w:rsid w:val="00D009DE"/>
    <w:rsid w:val="00D00A31"/>
    <w:rsid w:val="00D00B5B"/>
    <w:rsid w:val="00D00B84"/>
    <w:rsid w:val="00D00BB9"/>
    <w:rsid w:val="00D00BF7"/>
    <w:rsid w:val="00D00E1D"/>
    <w:rsid w:val="00D00E95"/>
    <w:rsid w:val="00D00EA9"/>
    <w:rsid w:val="00D011B0"/>
    <w:rsid w:val="00D011F5"/>
    <w:rsid w:val="00D013D7"/>
    <w:rsid w:val="00D01416"/>
    <w:rsid w:val="00D014D2"/>
    <w:rsid w:val="00D01752"/>
    <w:rsid w:val="00D018D1"/>
    <w:rsid w:val="00D019D3"/>
    <w:rsid w:val="00D01A4F"/>
    <w:rsid w:val="00D01B1D"/>
    <w:rsid w:val="00D01B84"/>
    <w:rsid w:val="00D01C70"/>
    <w:rsid w:val="00D01D7D"/>
    <w:rsid w:val="00D01D81"/>
    <w:rsid w:val="00D01DAE"/>
    <w:rsid w:val="00D01E4A"/>
    <w:rsid w:val="00D01E92"/>
    <w:rsid w:val="00D01EA0"/>
    <w:rsid w:val="00D01ED6"/>
    <w:rsid w:val="00D01F78"/>
    <w:rsid w:val="00D01FF1"/>
    <w:rsid w:val="00D02007"/>
    <w:rsid w:val="00D02129"/>
    <w:rsid w:val="00D021FF"/>
    <w:rsid w:val="00D02245"/>
    <w:rsid w:val="00D023FA"/>
    <w:rsid w:val="00D025E4"/>
    <w:rsid w:val="00D0299A"/>
    <w:rsid w:val="00D02B1D"/>
    <w:rsid w:val="00D02B85"/>
    <w:rsid w:val="00D02BBC"/>
    <w:rsid w:val="00D02BEA"/>
    <w:rsid w:val="00D02BF2"/>
    <w:rsid w:val="00D02C98"/>
    <w:rsid w:val="00D02D31"/>
    <w:rsid w:val="00D02D6C"/>
    <w:rsid w:val="00D02F30"/>
    <w:rsid w:val="00D02FE9"/>
    <w:rsid w:val="00D03022"/>
    <w:rsid w:val="00D03029"/>
    <w:rsid w:val="00D03060"/>
    <w:rsid w:val="00D0317D"/>
    <w:rsid w:val="00D031B9"/>
    <w:rsid w:val="00D032A2"/>
    <w:rsid w:val="00D032C6"/>
    <w:rsid w:val="00D03313"/>
    <w:rsid w:val="00D03376"/>
    <w:rsid w:val="00D033AD"/>
    <w:rsid w:val="00D034DD"/>
    <w:rsid w:val="00D03511"/>
    <w:rsid w:val="00D03604"/>
    <w:rsid w:val="00D03794"/>
    <w:rsid w:val="00D037E4"/>
    <w:rsid w:val="00D038EF"/>
    <w:rsid w:val="00D039C9"/>
    <w:rsid w:val="00D039ED"/>
    <w:rsid w:val="00D039F6"/>
    <w:rsid w:val="00D03A4E"/>
    <w:rsid w:val="00D03BD6"/>
    <w:rsid w:val="00D03DF1"/>
    <w:rsid w:val="00D03FE8"/>
    <w:rsid w:val="00D04134"/>
    <w:rsid w:val="00D041B6"/>
    <w:rsid w:val="00D0427D"/>
    <w:rsid w:val="00D042C0"/>
    <w:rsid w:val="00D042D8"/>
    <w:rsid w:val="00D04304"/>
    <w:rsid w:val="00D04441"/>
    <w:rsid w:val="00D04495"/>
    <w:rsid w:val="00D04629"/>
    <w:rsid w:val="00D04736"/>
    <w:rsid w:val="00D04899"/>
    <w:rsid w:val="00D048FE"/>
    <w:rsid w:val="00D04A2F"/>
    <w:rsid w:val="00D04B89"/>
    <w:rsid w:val="00D04CD1"/>
    <w:rsid w:val="00D04D61"/>
    <w:rsid w:val="00D04E58"/>
    <w:rsid w:val="00D04EB4"/>
    <w:rsid w:val="00D04F8F"/>
    <w:rsid w:val="00D050D6"/>
    <w:rsid w:val="00D0513F"/>
    <w:rsid w:val="00D05165"/>
    <w:rsid w:val="00D052F3"/>
    <w:rsid w:val="00D0530B"/>
    <w:rsid w:val="00D05399"/>
    <w:rsid w:val="00D055C2"/>
    <w:rsid w:val="00D05819"/>
    <w:rsid w:val="00D05978"/>
    <w:rsid w:val="00D059E7"/>
    <w:rsid w:val="00D05A63"/>
    <w:rsid w:val="00D05ACC"/>
    <w:rsid w:val="00D05AEB"/>
    <w:rsid w:val="00D05B9F"/>
    <w:rsid w:val="00D05CD7"/>
    <w:rsid w:val="00D05CE2"/>
    <w:rsid w:val="00D05D07"/>
    <w:rsid w:val="00D05E16"/>
    <w:rsid w:val="00D05E49"/>
    <w:rsid w:val="00D05EC9"/>
    <w:rsid w:val="00D05F5C"/>
    <w:rsid w:val="00D05FB0"/>
    <w:rsid w:val="00D0604F"/>
    <w:rsid w:val="00D06164"/>
    <w:rsid w:val="00D06181"/>
    <w:rsid w:val="00D062FD"/>
    <w:rsid w:val="00D0643F"/>
    <w:rsid w:val="00D0645D"/>
    <w:rsid w:val="00D06478"/>
    <w:rsid w:val="00D06502"/>
    <w:rsid w:val="00D0657A"/>
    <w:rsid w:val="00D0657D"/>
    <w:rsid w:val="00D0669D"/>
    <w:rsid w:val="00D06716"/>
    <w:rsid w:val="00D06947"/>
    <w:rsid w:val="00D06960"/>
    <w:rsid w:val="00D06A0E"/>
    <w:rsid w:val="00D06AF8"/>
    <w:rsid w:val="00D06BE5"/>
    <w:rsid w:val="00D06CB1"/>
    <w:rsid w:val="00D06CD9"/>
    <w:rsid w:val="00D06D16"/>
    <w:rsid w:val="00D06D36"/>
    <w:rsid w:val="00D06F0D"/>
    <w:rsid w:val="00D06F54"/>
    <w:rsid w:val="00D071B4"/>
    <w:rsid w:val="00D071BB"/>
    <w:rsid w:val="00D07226"/>
    <w:rsid w:val="00D072AC"/>
    <w:rsid w:val="00D072E9"/>
    <w:rsid w:val="00D07466"/>
    <w:rsid w:val="00D074C6"/>
    <w:rsid w:val="00D07585"/>
    <w:rsid w:val="00D07605"/>
    <w:rsid w:val="00D076A1"/>
    <w:rsid w:val="00D076C8"/>
    <w:rsid w:val="00D076D5"/>
    <w:rsid w:val="00D07707"/>
    <w:rsid w:val="00D0771A"/>
    <w:rsid w:val="00D079AF"/>
    <w:rsid w:val="00D079B5"/>
    <w:rsid w:val="00D07ABC"/>
    <w:rsid w:val="00D07AFA"/>
    <w:rsid w:val="00D07B82"/>
    <w:rsid w:val="00D07C5F"/>
    <w:rsid w:val="00D07D14"/>
    <w:rsid w:val="00D07D1A"/>
    <w:rsid w:val="00D07D80"/>
    <w:rsid w:val="00D1001F"/>
    <w:rsid w:val="00D100BA"/>
    <w:rsid w:val="00D10236"/>
    <w:rsid w:val="00D10327"/>
    <w:rsid w:val="00D1035B"/>
    <w:rsid w:val="00D10478"/>
    <w:rsid w:val="00D104CE"/>
    <w:rsid w:val="00D1054C"/>
    <w:rsid w:val="00D10594"/>
    <w:rsid w:val="00D10626"/>
    <w:rsid w:val="00D107E9"/>
    <w:rsid w:val="00D1085C"/>
    <w:rsid w:val="00D108A5"/>
    <w:rsid w:val="00D10924"/>
    <w:rsid w:val="00D1094C"/>
    <w:rsid w:val="00D109DA"/>
    <w:rsid w:val="00D10BB8"/>
    <w:rsid w:val="00D10BEC"/>
    <w:rsid w:val="00D10C6C"/>
    <w:rsid w:val="00D10D7F"/>
    <w:rsid w:val="00D10D89"/>
    <w:rsid w:val="00D10DB9"/>
    <w:rsid w:val="00D10E43"/>
    <w:rsid w:val="00D10E77"/>
    <w:rsid w:val="00D110B7"/>
    <w:rsid w:val="00D110B8"/>
    <w:rsid w:val="00D110BE"/>
    <w:rsid w:val="00D11117"/>
    <w:rsid w:val="00D11128"/>
    <w:rsid w:val="00D111FB"/>
    <w:rsid w:val="00D112B6"/>
    <w:rsid w:val="00D112CA"/>
    <w:rsid w:val="00D1141F"/>
    <w:rsid w:val="00D1142D"/>
    <w:rsid w:val="00D116BF"/>
    <w:rsid w:val="00D117FC"/>
    <w:rsid w:val="00D11816"/>
    <w:rsid w:val="00D118BE"/>
    <w:rsid w:val="00D11A25"/>
    <w:rsid w:val="00D11A5C"/>
    <w:rsid w:val="00D11B19"/>
    <w:rsid w:val="00D11C53"/>
    <w:rsid w:val="00D11D5F"/>
    <w:rsid w:val="00D11E44"/>
    <w:rsid w:val="00D11E6B"/>
    <w:rsid w:val="00D11F1E"/>
    <w:rsid w:val="00D11F82"/>
    <w:rsid w:val="00D11FD3"/>
    <w:rsid w:val="00D11FF0"/>
    <w:rsid w:val="00D12112"/>
    <w:rsid w:val="00D121A2"/>
    <w:rsid w:val="00D121C3"/>
    <w:rsid w:val="00D121FE"/>
    <w:rsid w:val="00D12254"/>
    <w:rsid w:val="00D12273"/>
    <w:rsid w:val="00D122E1"/>
    <w:rsid w:val="00D1233B"/>
    <w:rsid w:val="00D124A7"/>
    <w:rsid w:val="00D1254B"/>
    <w:rsid w:val="00D12648"/>
    <w:rsid w:val="00D127EF"/>
    <w:rsid w:val="00D12A3B"/>
    <w:rsid w:val="00D12A75"/>
    <w:rsid w:val="00D12A7C"/>
    <w:rsid w:val="00D12AB3"/>
    <w:rsid w:val="00D12B0D"/>
    <w:rsid w:val="00D12B34"/>
    <w:rsid w:val="00D12C46"/>
    <w:rsid w:val="00D12D3A"/>
    <w:rsid w:val="00D12D49"/>
    <w:rsid w:val="00D12D87"/>
    <w:rsid w:val="00D12EB7"/>
    <w:rsid w:val="00D12F77"/>
    <w:rsid w:val="00D13096"/>
    <w:rsid w:val="00D131C2"/>
    <w:rsid w:val="00D132B5"/>
    <w:rsid w:val="00D13335"/>
    <w:rsid w:val="00D1333B"/>
    <w:rsid w:val="00D13378"/>
    <w:rsid w:val="00D13457"/>
    <w:rsid w:val="00D13471"/>
    <w:rsid w:val="00D134E9"/>
    <w:rsid w:val="00D135F7"/>
    <w:rsid w:val="00D1365A"/>
    <w:rsid w:val="00D1383B"/>
    <w:rsid w:val="00D13883"/>
    <w:rsid w:val="00D1397C"/>
    <w:rsid w:val="00D13A46"/>
    <w:rsid w:val="00D13C1C"/>
    <w:rsid w:val="00D13E77"/>
    <w:rsid w:val="00D13FFB"/>
    <w:rsid w:val="00D141BE"/>
    <w:rsid w:val="00D1425E"/>
    <w:rsid w:val="00D14293"/>
    <w:rsid w:val="00D143D2"/>
    <w:rsid w:val="00D14469"/>
    <w:rsid w:val="00D1446C"/>
    <w:rsid w:val="00D1459C"/>
    <w:rsid w:val="00D1473D"/>
    <w:rsid w:val="00D1499F"/>
    <w:rsid w:val="00D14A4B"/>
    <w:rsid w:val="00D14AF7"/>
    <w:rsid w:val="00D14B46"/>
    <w:rsid w:val="00D14BBC"/>
    <w:rsid w:val="00D14C57"/>
    <w:rsid w:val="00D14CBE"/>
    <w:rsid w:val="00D15013"/>
    <w:rsid w:val="00D15059"/>
    <w:rsid w:val="00D15064"/>
    <w:rsid w:val="00D150CF"/>
    <w:rsid w:val="00D1515E"/>
    <w:rsid w:val="00D15173"/>
    <w:rsid w:val="00D15190"/>
    <w:rsid w:val="00D152B2"/>
    <w:rsid w:val="00D153C8"/>
    <w:rsid w:val="00D15409"/>
    <w:rsid w:val="00D1552A"/>
    <w:rsid w:val="00D15618"/>
    <w:rsid w:val="00D1568F"/>
    <w:rsid w:val="00D156B6"/>
    <w:rsid w:val="00D15768"/>
    <w:rsid w:val="00D15914"/>
    <w:rsid w:val="00D15A41"/>
    <w:rsid w:val="00D15A4C"/>
    <w:rsid w:val="00D15AF0"/>
    <w:rsid w:val="00D15C0C"/>
    <w:rsid w:val="00D15C3D"/>
    <w:rsid w:val="00D15C85"/>
    <w:rsid w:val="00D15DA7"/>
    <w:rsid w:val="00D16034"/>
    <w:rsid w:val="00D16323"/>
    <w:rsid w:val="00D1638E"/>
    <w:rsid w:val="00D16449"/>
    <w:rsid w:val="00D16791"/>
    <w:rsid w:val="00D16844"/>
    <w:rsid w:val="00D169B0"/>
    <w:rsid w:val="00D169C7"/>
    <w:rsid w:val="00D169F9"/>
    <w:rsid w:val="00D16AFA"/>
    <w:rsid w:val="00D16BCB"/>
    <w:rsid w:val="00D16BD8"/>
    <w:rsid w:val="00D16C3C"/>
    <w:rsid w:val="00D16C3D"/>
    <w:rsid w:val="00D16C65"/>
    <w:rsid w:val="00D16C8E"/>
    <w:rsid w:val="00D16CA8"/>
    <w:rsid w:val="00D16DDC"/>
    <w:rsid w:val="00D16EE2"/>
    <w:rsid w:val="00D16F6E"/>
    <w:rsid w:val="00D16FF3"/>
    <w:rsid w:val="00D1706F"/>
    <w:rsid w:val="00D17109"/>
    <w:rsid w:val="00D17243"/>
    <w:rsid w:val="00D1724D"/>
    <w:rsid w:val="00D17257"/>
    <w:rsid w:val="00D17262"/>
    <w:rsid w:val="00D1756E"/>
    <w:rsid w:val="00D175AA"/>
    <w:rsid w:val="00D175D7"/>
    <w:rsid w:val="00D17736"/>
    <w:rsid w:val="00D177C2"/>
    <w:rsid w:val="00D17819"/>
    <w:rsid w:val="00D1783A"/>
    <w:rsid w:val="00D17865"/>
    <w:rsid w:val="00D178CC"/>
    <w:rsid w:val="00D178DB"/>
    <w:rsid w:val="00D1793D"/>
    <w:rsid w:val="00D17963"/>
    <w:rsid w:val="00D17A4A"/>
    <w:rsid w:val="00D17AC2"/>
    <w:rsid w:val="00D17CB5"/>
    <w:rsid w:val="00D17D5F"/>
    <w:rsid w:val="00D17D72"/>
    <w:rsid w:val="00D17DA9"/>
    <w:rsid w:val="00D17E57"/>
    <w:rsid w:val="00D17E9B"/>
    <w:rsid w:val="00D17F11"/>
    <w:rsid w:val="00D2006C"/>
    <w:rsid w:val="00D200A6"/>
    <w:rsid w:val="00D20187"/>
    <w:rsid w:val="00D201A7"/>
    <w:rsid w:val="00D20217"/>
    <w:rsid w:val="00D202AD"/>
    <w:rsid w:val="00D20318"/>
    <w:rsid w:val="00D20381"/>
    <w:rsid w:val="00D20438"/>
    <w:rsid w:val="00D204DC"/>
    <w:rsid w:val="00D205E3"/>
    <w:rsid w:val="00D20704"/>
    <w:rsid w:val="00D2085D"/>
    <w:rsid w:val="00D2086C"/>
    <w:rsid w:val="00D209C4"/>
    <w:rsid w:val="00D20A74"/>
    <w:rsid w:val="00D20AC9"/>
    <w:rsid w:val="00D20AFC"/>
    <w:rsid w:val="00D20B6D"/>
    <w:rsid w:val="00D20D3B"/>
    <w:rsid w:val="00D20D65"/>
    <w:rsid w:val="00D20D6A"/>
    <w:rsid w:val="00D20D8C"/>
    <w:rsid w:val="00D20EDA"/>
    <w:rsid w:val="00D20F21"/>
    <w:rsid w:val="00D210B5"/>
    <w:rsid w:val="00D2112C"/>
    <w:rsid w:val="00D21302"/>
    <w:rsid w:val="00D214E6"/>
    <w:rsid w:val="00D21522"/>
    <w:rsid w:val="00D21528"/>
    <w:rsid w:val="00D2159E"/>
    <w:rsid w:val="00D21602"/>
    <w:rsid w:val="00D216D4"/>
    <w:rsid w:val="00D2171C"/>
    <w:rsid w:val="00D21733"/>
    <w:rsid w:val="00D21831"/>
    <w:rsid w:val="00D218C1"/>
    <w:rsid w:val="00D21937"/>
    <w:rsid w:val="00D21A1D"/>
    <w:rsid w:val="00D21A7E"/>
    <w:rsid w:val="00D21B0F"/>
    <w:rsid w:val="00D21B5E"/>
    <w:rsid w:val="00D21DB8"/>
    <w:rsid w:val="00D21DE9"/>
    <w:rsid w:val="00D21F9B"/>
    <w:rsid w:val="00D22051"/>
    <w:rsid w:val="00D220E3"/>
    <w:rsid w:val="00D2213A"/>
    <w:rsid w:val="00D22271"/>
    <w:rsid w:val="00D222BE"/>
    <w:rsid w:val="00D2230E"/>
    <w:rsid w:val="00D223B4"/>
    <w:rsid w:val="00D22406"/>
    <w:rsid w:val="00D224B1"/>
    <w:rsid w:val="00D22613"/>
    <w:rsid w:val="00D226A3"/>
    <w:rsid w:val="00D2281A"/>
    <w:rsid w:val="00D2281C"/>
    <w:rsid w:val="00D2297A"/>
    <w:rsid w:val="00D229C3"/>
    <w:rsid w:val="00D229CF"/>
    <w:rsid w:val="00D22A3B"/>
    <w:rsid w:val="00D22D05"/>
    <w:rsid w:val="00D22DAC"/>
    <w:rsid w:val="00D22E24"/>
    <w:rsid w:val="00D22F4D"/>
    <w:rsid w:val="00D22F8B"/>
    <w:rsid w:val="00D22FF8"/>
    <w:rsid w:val="00D22FFC"/>
    <w:rsid w:val="00D2313E"/>
    <w:rsid w:val="00D232FC"/>
    <w:rsid w:val="00D233EF"/>
    <w:rsid w:val="00D234DD"/>
    <w:rsid w:val="00D2359B"/>
    <w:rsid w:val="00D2372D"/>
    <w:rsid w:val="00D237A1"/>
    <w:rsid w:val="00D2380F"/>
    <w:rsid w:val="00D23882"/>
    <w:rsid w:val="00D23A69"/>
    <w:rsid w:val="00D23C3D"/>
    <w:rsid w:val="00D23D90"/>
    <w:rsid w:val="00D23DDC"/>
    <w:rsid w:val="00D23DF1"/>
    <w:rsid w:val="00D23F12"/>
    <w:rsid w:val="00D23F28"/>
    <w:rsid w:val="00D24004"/>
    <w:rsid w:val="00D2411D"/>
    <w:rsid w:val="00D2418F"/>
    <w:rsid w:val="00D241F6"/>
    <w:rsid w:val="00D2421F"/>
    <w:rsid w:val="00D24256"/>
    <w:rsid w:val="00D2425D"/>
    <w:rsid w:val="00D242AD"/>
    <w:rsid w:val="00D2446B"/>
    <w:rsid w:val="00D24584"/>
    <w:rsid w:val="00D2458D"/>
    <w:rsid w:val="00D24735"/>
    <w:rsid w:val="00D247E1"/>
    <w:rsid w:val="00D24A7D"/>
    <w:rsid w:val="00D24B22"/>
    <w:rsid w:val="00D24BEE"/>
    <w:rsid w:val="00D24E3B"/>
    <w:rsid w:val="00D24F69"/>
    <w:rsid w:val="00D24F85"/>
    <w:rsid w:val="00D24FE6"/>
    <w:rsid w:val="00D25054"/>
    <w:rsid w:val="00D250A6"/>
    <w:rsid w:val="00D250D7"/>
    <w:rsid w:val="00D2528D"/>
    <w:rsid w:val="00D252A1"/>
    <w:rsid w:val="00D252E2"/>
    <w:rsid w:val="00D25372"/>
    <w:rsid w:val="00D253A0"/>
    <w:rsid w:val="00D253AA"/>
    <w:rsid w:val="00D253FD"/>
    <w:rsid w:val="00D25531"/>
    <w:rsid w:val="00D25562"/>
    <w:rsid w:val="00D25572"/>
    <w:rsid w:val="00D2559F"/>
    <w:rsid w:val="00D255E2"/>
    <w:rsid w:val="00D25668"/>
    <w:rsid w:val="00D25743"/>
    <w:rsid w:val="00D25764"/>
    <w:rsid w:val="00D257A1"/>
    <w:rsid w:val="00D25821"/>
    <w:rsid w:val="00D25871"/>
    <w:rsid w:val="00D2591E"/>
    <w:rsid w:val="00D2598D"/>
    <w:rsid w:val="00D25994"/>
    <w:rsid w:val="00D25A32"/>
    <w:rsid w:val="00D25AAB"/>
    <w:rsid w:val="00D25AE2"/>
    <w:rsid w:val="00D25CB9"/>
    <w:rsid w:val="00D25DD9"/>
    <w:rsid w:val="00D25E3A"/>
    <w:rsid w:val="00D25F19"/>
    <w:rsid w:val="00D26006"/>
    <w:rsid w:val="00D26062"/>
    <w:rsid w:val="00D26175"/>
    <w:rsid w:val="00D2626A"/>
    <w:rsid w:val="00D262C8"/>
    <w:rsid w:val="00D262DE"/>
    <w:rsid w:val="00D2632C"/>
    <w:rsid w:val="00D26375"/>
    <w:rsid w:val="00D2650B"/>
    <w:rsid w:val="00D266A0"/>
    <w:rsid w:val="00D267FB"/>
    <w:rsid w:val="00D26801"/>
    <w:rsid w:val="00D26815"/>
    <w:rsid w:val="00D26873"/>
    <w:rsid w:val="00D26A31"/>
    <w:rsid w:val="00D26A51"/>
    <w:rsid w:val="00D26CB2"/>
    <w:rsid w:val="00D26E6D"/>
    <w:rsid w:val="00D26E91"/>
    <w:rsid w:val="00D26F5F"/>
    <w:rsid w:val="00D26FB0"/>
    <w:rsid w:val="00D270CD"/>
    <w:rsid w:val="00D270E2"/>
    <w:rsid w:val="00D27106"/>
    <w:rsid w:val="00D2716C"/>
    <w:rsid w:val="00D27209"/>
    <w:rsid w:val="00D27232"/>
    <w:rsid w:val="00D27245"/>
    <w:rsid w:val="00D2732A"/>
    <w:rsid w:val="00D27382"/>
    <w:rsid w:val="00D273DA"/>
    <w:rsid w:val="00D27497"/>
    <w:rsid w:val="00D274D8"/>
    <w:rsid w:val="00D27638"/>
    <w:rsid w:val="00D276AB"/>
    <w:rsid w:val="00D2777E"/>
    <w:rsid w:val="00D27875"/>
    <w:rsid w:val="00D27940"/>
    <w:rsid w:val="00D279B7"/>
    <w:rsid w:val="00D279C3"/>
    <w:rsid w:val="00D279F5"/>
    <w:rsid w:val="00D279FC"/>
    <w:rsid w:val="00D27A3F"/>
    <w:rsid w:val="00D27AC5"/>
    <w:rsid w:val="00D27B8F"/>
    <w:rsid w:val="00D27BEE"/>
    <w:rsid w:val="00D27BF7"/>
    <w:rsid w:val="00D27D36"/>
    <w:rsid w:val="00D27E51"/>
    <w:rsid w:val="00D27E72"/>
    <w:rsid w:val="00D27EC2"/>
    <w:rsid w:val="00D27F2F"/>
    <w:rsid w:val="00D27F69"/>
    <w:rsid w:val="00D27F78"/>
    <w:rsid w:val="00D30019"/>
    <w:rsid w:val="00D30056"/>
    <w:rsid w:val="00D3008E"/>
    <w:rsid w:val="00D30137"/>
    <w:rsid w:val="00D30178"/>
    <w:rsid w:val="00D30363"/>
    <w:rsid w:val="00D304C0"/>
    <w:rsid w:val="00D30556"/>
    <w:rsid w:val="00D305D0"/>
    <w:rsid w:val="00D306E1"/>
    <w:rsid w:val="00D30771"/>
    <w:rsid w:val="00D30903"/>
    <w:rsid w:val="00D309E6"/>
    <w:rsid w:val="00D30A03"/>
    <w:rsid w:val="00D30A50"/>
    <w:rsid w:val="00D30B2E"/>
    <w:rsid w:val="00D30B30"/>
    <w:rsid w:val="00D30B80"/>
    <w:rsid w:val="00D30BEC"/>
    <w:rsid w:val="00D30C33"/>
    <w:rsid w:val="00D30C8F"/>
    <w:rsid w:val="00D30D8C"/>
    <w:rsid w:val="00D30DE4"/>
    <w:rsid w:val="00D30E0F"/>
    <w:rsid w:val="00D30E83"/>
    <w:rsid w:val="00D30EBE"/>
    <w:rsid w:val="00D30ED9"/>
    <w:rsid w:val="00D30FA6"/>
    <w:rsid w:val="00D31290"/>
    <w:rsid w:val="00D312E4"/>
    <w:rsid w:val="00D31488"/>
    <w:rsid w:val="00D3161B"/>
    <w:rsid w:val="00D3169A"/>
    <w:rsid w:val="00D318E2"/>
    <w:rsid w:val="00D31991"/>
    <w:rsid w:val="00D31A1A"/>
    <w:rsid w:val="00D31B9F"/>
    <w:rsid w:val="00D31BF3"/>
    <w:rsid w:val="00D31D63"/>
    <w:rsid w:val="00D31D82"/>
    <w:rsid w:val="00D31F16"/>
    <w:rsid w:val="00D31F8E"/>
    <w:rsid w:val="00D32082"/>
    <w:rsid w:val="00D32297"/>
    <w:rsid w:val="00D322C7"/>
    <w:rsid w:val="00D3242C"/>
    <w:rsid w:val="00D3244E"/>
    <w:rsid w:val="00D3261D"/>
    <w:rsid w:val="00D3282E"/>
    <w:rsid w:val="00D32878"/>
    <w:rsid w:val="00D328DC"/>
    <w:rsid w:val="00D32924"/>
    <w:rsid w:val="00D3296C"/>
    <w:rsid w:val="00D32997"/>
    <w:rsid w:val="00D32999"/>
    <w:rsid w:val="00D32D8E"/>
    <w:rsid w:val="00D32E63"/>
    <w:rsid w:val="00D32E7F"/>
    <w:rsid w:val="00D32E85"/>
    <w:rsid w:val="00D32F5B"/>
    <w:rsid w:val="00D33311"/>
    <w:rsid w:val="00D3335F"/>
    <w:rsid w:val="00D33473"/>
    <w:rsid w:val="00D335E0"/>
    <w:rsid w:val="00D335F5"/>
    <w:rsid w:val="00D33723"/>
    <w:rsid w:val="00D3377F"/>
    <w:rsid w:val="00D33885"/>
    <w:rsid w:val="00D338E0"/>
    <w:rsid w:val="00D33964"/>
    <w:rsid w:val="00D339A3"/>
    <w:rsid w:val="00D33A39"/>
    <w:rsid w:val="00D33BFF"/>
    <w:rsid w:val="00D33C70"/>
    <w:rsid w:val="00D33C82"/>
    <w:rsid w:val="00D33C9D"/>
    <w:rsid w:val="00D33C9E"/>
    <w:rsid w:val="00D33E60"/>
    <w:rsid w:val="00D33EDD"/>
    <w:rsid w:val="00D33EF1"/>
    <w:rsid w:val="00D33EF4"/>
    <w:rsid w:val="00D33F84"/>
    <w:rsid w:val="00D3411A"/>
    <w:rsid w:val="00D3416B"/>
    <w:rsid w:val="00D341F3"/>
    <w:rsid w:val="00D343B4"/>
    <w:rsid w:val="00D34462"/>
    <w:rsid w:val="00D344BB"/>
    <w:rsid w:val="00D34523"/>
    <w:rsid w:val="00D345D4"/>
    <w:rsid w:val="00D3465C"/>
    <w:rsid w:val="00D3466E"/>
    <w:rsid w:val="00D346B2"/>
    <w:rsid w:val="00D346BC"/>
    <w:rsid w:val="00D34781"/>
    <w:rsid w:val="00D34879"/>
    <w:rsid w:val="00D348FD"/>
    <w:rsid w:val="00D3494F"/>
    <w:rsid w:val="00D34A27"/>
    <w:rsid w:val="00D34A47"/>
    <w:rsid w:val="00D34A57"/>
    <w:rsid w:val="00D34A5E"/>
    <w:rsid w:val="00D34A7B"/>
    <w:rsid w:val="00D34A98"/>
    <w:rsid w:val="00D34ADC"/>
    <w:rsid w:val="00D34C4F"/>
    <w:rsid w:val="00D34C72"/>
    <w:rsid w:val="00D34C92"/>
    <w:rsid w:val="00D34CA5"/>
    <w:rsid w:val="00D34DF5"/>
    <w:rsid w:val="00D34EBB"/>
    <w:rsid w:val="00D34ECD"/>
    <w:rsid w:val="00D34F1D"/>
    <w:rsid w:val="00D34F4D"/>
    <w:rsid w:val="00D35092"/>
    <w:rsid w:val="00D35131"/>
    <w:rsid w:val="00D3516E"/>
    <w:rsid w:val="00D351F4"/>
    <w:rsid w:val="00D352E5"/>
    <w:rsid w:val="00D35490"/>
    <w:rsid w:val="00D354A0"/>
    <w:rsid w:val="00D354E5"/>
    <w:rsid w:val="00D35589"/>
    <w:rsid w:val="00D35597"/>
    <w:rsid w:val="00D3589D"/>
    <w:rsid w:val="00D358F9"/>
    <w:rsid w:val="00D35A20"/>
    <w:rsid w:val="00D35A26"/>
    <w:rsid w:val="00D35A50"/>
    <w:rsid w:val="00D35C93"/>
    <w:rsid w:val="00D35E6C"/>
    <w:rsid w:val="00D35EBC"/>
    <w:rsid w:val="00D35F34"/>
    <w:rsid w:val="00D3611F"/>
    <w:rsid w:val="00D3613D"/>
    <w:rsid w:val="00D3626E"/>
    <w:rsid w:val="00D363A8"/>
    <w:rsid w:val="00D3641A"/>
    <w:rsid w:val="00D36439"/>
    <w:rsid w:val="00D36469"/>
    <w:rsid w:val="00D3649E"/>
    <w:rsid w:val="00D364A2"/>
    <w:rsid w:val="00D36637"/>
    <w:rsid w:val="00D36667"/>
    <w:rsid w:val="00D366A6"/>
    <w:rsid w:val="00D3680D"/>
    <w:rsid w:val="00D3697E"/>
    <w:rsid w:val="00D369EC"/>
    <w:rsid w:val="00D36AA7"/>
    <w:rsid w:val="00D36ABF"/>
    <w:rsid w:val="00D36AD1"/>
    <w:rsid w:val="00D36DF6"/>
    <w:rsid w:val="00D36E5B"/>
    <w:rsid w:val="00D36F7B"/>
    <w:rsid w:val="00D36FD2"/>
    <w:rsid w:val="00D36FF6"/>
    <w:rsid w:val="00D37067"/>
    <w:rsid w:val="00D37105"/>
    <w:rsid w:val="00D37260"/>
    <w:rsid w:val="00D3738D"/>
    <w:rsid w:val="00D373DD"/>
    <w:rsid w:val="00D373F1"/>
    <w:rsid w:val="00D374A1"/>
    <w:rsid w:val="00D374DB"/>
    <w:rsid w:val="00D376A7"/>
    <w:rsid w:val="00D376EB"/>
    <w:rsid w:val="00D377F1"/>
    <w:rsid w:val="00D3781B"/>
    <w:rsid w:val="00D378CF"/>
    <w:rsid w:val="00D37941"/>
    <w:rsid w:val="00D37946"/>
    <w:rsid w:val="00D37987"/>
    <w:rsid w:val="00D379A0"/>
    <w:rsid w:val="00D37A14"/>
    <w:rsid w:val="00D37BE4"/>
    <w:rsid w:val="00D37CE7"/>
    <w:rsid w:val="00D37D02"/>
    <w:rsid w:val="00D37D1F"/>
    <w:rsid w:val="00D37D84"/>
    <w:rsid w:val="00D37DAD"/>
    <w:rsid w:val="00D37E0B"/>
    <w:rsid w:val="00D37E27"/>
    <w:rsid w:val="00D37E4D"/>
    <w:rsid w:val="00D37E9A"/>
    <w:rsid w:val="00D37F6B"/>
    <w:rsid w:val="00D37F7D"/>
    <w:rsid w:val="00D4007B"/>
    <w:rsid w:val="00D4008A"/>
    <w:rsid w:val="00D400E5"/>
    <w:rsid w:val="00D40197"/>
    <w:rsid w:val="00D401BA"/>
    <w:rsid w:val="00D40250"/>
    <w:rsid w:val="00D40269"/>
    <w:rsid w:val="00D40304"/>
    <w:rsid w:val="00D40309"/>
    <w:rsid w:val="00D40335"/>
    <w:rsid w:val="00D403A7"/>
    <w:rsid w:val="00D4048F"/>
    <w:rsid w:val="00D40505"/>
    <w:rsid w:val="00D40621"/>
    <w:rsid w:val="00D40664"/>
    <w:rsid w:val="00D4067B"/>
    <w:rsid w:val="00D4073A"/>
    <w:rsid w:val="00D40883"/>
    <w:rsid w:val="00D40AE6"/>
    <w:rsid w:val="00D40D75"/>
    <w:rsid w:val="00D40F4F"/>
    <w:rsid w:val="00D40F88"/>
    <w:rsid w:val="00D40F90"/>
    <w:rsid w:val="00D41051"/>
    <w:rsid w:val="00D411BC"/>
    <w:rsid w:val="00D4149E"/>
    <w:rsid w:val="00D414B2"/>
    <w:rsid w:val="00D415CC"/>
    <w:rsid w:val="00D41954"/>
    <w:rsid w:val="00D41B4C"/>
    <w:rsid w:val="00D41B74"/>
    <w:rsid w:val="00D41C1A"/>
    <w:rsid w:val="00D41C3C"/>
    <w:rsid w:val="00D41DCF"/>
    <w:rsid w:val="00D41E52"/>
    <w:rsid w:val="00D41E5E"/>
    <w:rsid w:val="00D41F25"/>
    <w:rsid w:val="00D41FA0"/>
    <w:rsid w:val="00D4202D"/>
    <w:rsid w:val="00D42030"/>
    <w:rsid w:val="00D420AE"/>
    <w:rsid w:val="00D420D3"/>
    <w:rsid w:val="00D42129"/>
    <w:rsid w:val="00D42171"/>
    <w:rsid w:val="00D4225E"/>
    <w:rsid w:val="00D42260"/>
    <w:rsid w:val="00D422B7"/>
    <w:rsid w:val="00D42321"/>
    <w:rsid w:val="00D423DE"/>
    <w:rsid w:val="00D425C3"/>
    <w:rsid w:val="00D425F5"/>
    <w:rsid w:val="00D42636"/>
    <w:rsid w:val="00D426A1"/>
    <w:rsid w:val="00D42718"/>
    <w:rsid w:val="00D42721"/>
    <w:rsid w:val="00D427B8"/>
    <w:rsid w:val="00D429B2"/>
    <w:rsid w:val="00D42AD5"/>
    <w:rsid w:val="00D42BCD"/>
    <w:rsid w:val="00D42D81"/>
    <w:rsid w:val="00D42DDF"/>
    <w:rsid w:val="00D42DFB"/>
    <w:rsid w:val="00D42E97"/>
    <w:rsid w:val="00D42F65"/>
    <w:rsid w:val="00D43068"/>
    <w:rsid w:val="00D43351"/>
    <w:rsid w:val="00D4336D"/>
    <w:rsid w:val="00D4340D"/>
    <w:rsid w:val="00D43474"/>
    <w:rsid w:val="00D43482"/>
    <w:rsid w:val="00D43504"/>
    <w:rsid w:val="00D4389D"/>
    <w:rsid w:val="00D43972"/>
    <w:rsid w:val="00D43A57"/>
    <w:rsid w:val="00D43A60"/>
    <w:rsid w:val="00D43ADB"/>
    <w:rsid w:val="00D43CFB"/>
    <w:rsid w:val="00D43D50"/>
    <w:rsid w:val="00D43D8A"/>
    <w:rsid w:val="00D43DD4"/>
    <w:rsid w:val="00D43F6D"/>
    <w:rsid w:val="00D43FE2"/>
    <w:rsid w:val="00D4408A"/>
    <w:rsid w:val="00D44095"/>
    <w:rsid w:val="00D4424F"/>
    <w:rsid w:val="00D442D1"/>
    <w:rsid w:val="00D4439D"/>
    <w:rsid w:val="00D443EC"/>
    <w:rsid w:val="00D44454"/>
    <w:rsid w:val="00D44465"/>
    <w:rsid w:val="00D44505"/>
    <w:rsid w:val="00D445F3"/>
    <w:rsid w:val="00D44638"/>
    <w:rsid w:val="00D44780"/>
    <w:rsid w:val="00D44783"/>
    <w:rsid w:val="00D447D7"/>
    <w:rsid w:val="00D44876"/>
    <w:rsid w:val="00D448A9"/>
    <w:rsid w:val="00D44948"/>
    <w:rsid w:val="00D4494D"/>
    <w:rsid w:val="00D44CB1"/>
    <w:rsid w:val="00D44CBD"/>
    <w:rsid w:val="00D44DF2"/>
    <w:rsid w:val="00D44E11"/>
    <w:rsid w:val="00D44E41"/>
    <w:rsid w:val="00D44E6F"/>
    <w:rsid w:val="00D44EBB"/>
    <w:rsid w:val="00D44F5C"/>
    <w:rsid w:val="00D44FD1"/>
    <w:rsid w:val="00D4503F"/>
    <w:rsid w:val="00D45054"/>
    <w:rsid w:val="00D450BD"/>
    <w:rsid w:val="00D451A9"/>
    <w:rsid w:val="00D45321"/>
    <w:rsid w:val="00D45365"/>
    <w:rsid w:val="00D453B8"/>
    <w:rsid w:val="00D454B3"/>
    <w:rsid w:val="00D454B4"/>
    <w:rsid w:val="00D45554"/>
    <w:rsid w:val="00D458CE"/>
    <w:rsid w:val="00D459A2"/>
    <w:rsid w:val="00D459A3"/>
    <w:rsid w:val="00D459A4"/>
    <w:rsid w:val="00D459E1"/>
    <w:rsid w:val="00D459F9"/>
    <w:rsid w:val="00D459FA"/>
    <w:rsid w:val="00D45A20"/>
    <w:rsid w:val="00D45A7A"/>
    <w:rsid w:val="00D45AD4"/>
    <w:rsid w:val="00D45B39"/>
    <w:rsid w:val="00D45B98"/>
    <w:rsid w:val="00D45C26"/>
    <w:rsid w:val="00D45CA8"/>
    <w:rsid w:val="00D45D47"/>
    <w:rsid w:val="00D45F68"/>
    <w:rsid w:val="00D45FCB"/>
    <w:rsid w:val="00D46016"/>
    <w:rsid w:val="00D46195"/>
    <w:rsid w:val="00D461DC"/>
    <w:rsid w:val="00D462EA"/>
    <w:rsid w:val="00D46369"/>
    <w:rsid w:val="00D4639A"/>
    <w:rsid w:val="00D4649C"/>
    <w:rsid w:val="00D464E6"/>
    <w:rsid w:val="00D465A3"/>
    <w:rsid w:val="00D467A8"/>
    <w:rsid w:val="00D4696D"/>
    <w:rsid w:val="00D46BBD"/>
    <w:rsid w:val="00D46BFE"/>
    <w:rsid w:val="00D46C8F"/>
    <w:rsid w:val="00D46D2F"/>
    <w:rsid w:val="00D46E25"/>
    <w:rsid w:val="00D470CD"/>
    <w:rsid w:val="00D47132"/>
    <w:rsid w:val="00D472D3"/>
    <w:rsid w:val="00D47336"/>
    <w:rsid w:val="00D47348"/>
    <w:rsid w:val="00D4738B"/>
    <w:rsid w:val="00D473AC"/>
    <w:rsid w:val="00D473D7"/>
    <w:rsid w:val="00D474F4"/>
    <w:rsid w:val="00D475D6"/>
    <w:rsid w:val="00D475E3"/>
    <w:rsid w:val="00D4762E"/>
    <w:rsid w:val="00D4764B"/>
    <w:rsid w:val="00D478A0"/>
    <w:rsid w:val="00D47961"/>
    <w:rsid w:val="00D4796E"/>
    <w:rsid w:val="00D479A8"/>
    <w:rsid w:val="00D47A15"/>
    <w:rsid w:val="00D47AE1"/>
    <w:rsid w:val="00D47BBB"/>
    <w:rsid w:val="00D47BE8"/>
    <w:rsid w:val="00D47C42"/>
    <w:rsid w:val="00D47C53"/>
    <w:rsid w:val="00D47D93"/>
    <w:rsid w:val="00D47E9C"/>
    <w:rsid w:val="00D47EC7"/>
    <w:rsid w:val="00D47ED5"/>
    <w:rsid w:val="00D47F38"/>
    <w:rsid w:val="00D50140"/>
    <w:rsid w:val="00D502A9"/>
    <w:rsid w:val="00D502FC"/>
    <w:rsid w:val="00D50396"/>
    <w:rsid w:val="00D503F2"/>
    <w:rsid w:val="00D5046A"/>
    <w:rsid w:val="00D50555"/>
    <w:rsid w:val="00D5060C"/>
    <w:rsid w:val="00D5081B"/>
    <w:rsid w:val="00D50868"/>
    <w:rsid w:val="00D509A6"/>
    <w:rsid w:val="00D50BFA"/>
    <w:rsid w:val="00D50C01"/>
    <w:rsid w:val="00D50C2A"/>
    <w:rsid w:val="00D50CD4"/>
    <w:rsid w:val="00D50D8F"/>
    <w:rsid w:val="00D50DBD"/>
    <w:rsid w:val="00D50E69"/>
    <w:rsid w:val="00D50F60"/>
    <w:rsid w:val="00D51069"/>
    <w:rsid w:val="00D5118D"/>
    <w:rsid w:val="00D5119B"/>
    <w:rsid w:val="00D51231"/>
    <w:rsid w:val="00D5126B"/>
    <w:rsid w:val="00D5129A"/>
    <w:rsid w:val="00D512E8"/>
    <w:rsid w:val="00D5141F"/>
    <w:rsid w:val="00D514E4"/>
    <w:rsid w:val="00D518CA"/>
    <w:rsid w:val="00D51910"/>
    <w:rsid w:val="00D51B02"/>
    <w:rsid w:val="00D51BC9"/>
    <w:rsid w:val="00D51BE3"/>
    <w:rsid w:val="00D51CAC"/>
    <w:rsid w:val="00D51D30"/>
    <w:rsid w:val="00D51E38"/>
    <w:rsid w:val="00D51E88"/>
    <w:rsid w:val="00D51EA9"/>
    <w:rsid w:val="00D51EE4"/>
    <w:rsid w:val="00D51EE9"/>
    <w:rsid w:val="00D51F9B"/>
    <w:rsid w:val="00D520EC"/>
    <w:rsid w:val="00D5221E"/>
    <w:rsid w:val="00D5226D"/>
    <w:rsid w:val="00D52298"/>
    <w:rsid w:val="00D522BC"/>
    <w:rsid w:val="00D52375"/>
    <w:rsid w:val="00D523B3"/>
    <w:rsid w:val="00D5240F"/>
    <w:rsid w:val="00D52436"/>
    <w:rsid w:val="00D525D3"/>
    <w:rsid w:val="00D526FA"/>
    <w:rsid w:val="00D5283A"/>
    <w:rsid w:val="00D528EC"/>
    <w:rsid w:val="00D52919"/>
    <w:rsid w:val="00D529B6"/>
    <w:rsid w:val="00D52A21"/>
    <w:rsid w:val="00D52A2E"/>
    <w:rsid w:val="00D52A73"/>
    <w:rsid w:val="00D52B3B"/>
    <w:rsid w:val="00D52BB1"/>
    <w:rsid w:val="00D52CAB"/>
    <w:rsid w:val="00D52CF0"/>
    <w:rsid w:val="00D52D75"/>
    <w:rsid w:val="00D52E3C"/>
    <w:rsid w:val="00D52EE7"/>
    <w:rsid w:val="00D52F90"/>
    <w:rsid w:val="00D530B0"/>
    <w:rsid w:val="00D5316E"/>
    <w:rsid w:val="00D53245"/>
    <w:rsid w:val="00D532AA"/>
    <w:rsid w:val="00D535A8"/>
    <w:rsid w:val="00D53608"/>
    <w:rsid w:val="00D536AA"/>
    <w:rsid w:val="00D536B9"/>
    <w:rsid w:val="00D53731"/>
    <w:rsid w:val="00D539E4"/>
    <w:rsid w:val="00D53AA9"/>
    <w:rsid w:val="00D53BC5"/>
    <w:rsid w:val="00D53BFF"/>
    <w:rsid w:val="00D53C1A"/>
    <w:rsid w:val="00D53C7A"/>
    <w:rsid w:val="00D53C9C"/>
    <w:rsid w:val="00D53C9F"/>
    <w:rsid w:val="00D53CDF"/>
    <w:rsid w:val="00D5409B"/>
    <w:rsid w:val="00D54140"/>
    <w:rsid w:val="00D54259"/>
    <w:rsid w:val="00D54288"/>
    <w:rsid w:val="00D54409"/>
    <w:rsid w:val="00D5448A"/>
    <w:rsid w:val="00D5449D"/>
    <w:rsid w:val="00D544B2"/>
    <w:rsid w:val="00D54516"/>
    <w:rsid w:val="00D548FC"/>
    <w:rsid w:val="00D5491B"/>
    <w:rsid w:val="00D549D1"/>
    <w:rsid w:val="00D54A63"/>
    <w:rsid w:val="00D54B0A"/>
    <w:rsid w:val="00D54B5F"/>
    <w:rsid w:val="00D54C2E"/>
    <w:rsid w:val="00D54CE2"/>
    <w:rsid w:val="00D54D48"/>
    <w:rsid w:val="00D54D64"/>
    <w:rsid w:val="00D54E6F"/>
    <w:rsid w:val="00D54F0C"/>
    <w:rsid w:val="00D55089"/>
    <w:rsid w:val="00D55153"/>
    <w:rsid w:val="00D55279"/>
    <w:rsid w:val="00D552D6"/>
    <w:rsid w:val="00D5549C"/>
    <w:rsid w:val="00D554FE"/>
    <w:rsid w:val="00D55543"/>
    <w:rsid w:val="00D55783"/>
    <w:rsid w:val="00D55909"/>
    <w:rsid w:val="00D55969"/>
    <w:rsid w:val="00D5598C"/>
    <w:rsid w:val="00D55A21"/>
    <w:rsid w:val="00D55A36"/>
    <w:rsid w:val="00D55A54"/>
    <w:rsid w:val="00D55AF0"/>
    <w:rsid w:val="00D55B10"/>
    <w:rsid w:val="00D55BA0"/>
    <w:rsid w:val="00D55C1E"/>
    <w:rsid w:val="00D55DC5"/>
    <w:rsid w:val="00D55E39"/>
    <w:rsid w:val="00D56082"/>
    <w:rsid w:val="00D56089"/>
    <w:rsid w:val="00D5617E"/>
    <w:rsid w:val="00D561BB"/>
    <w:rsid w:val="00D564BE"/>
    <w:rsid w:val="00D56547"/>
    <w:rsid w:val="00D56574"/>
    <w:rsid w:val="00D5668A"/>
    <w:rsid w:val="00D566A0"/>
    <w:rsid w:val="00D568DC"/>
    <w:rsid w:val="00D5696E"/>
    <w:rsid w:val="00D56A0F"/>
    <w:rsid w:val="00D56AC1"/>
    <w:rsid w:val="00D56BAD"/>
    <w:rsid w:val="00D56C14"/>
    <w:rsid w:val="00D56C65"/>
    <w:rsid w:val="00D56C79"/>
    <w:rsid w:val="00D56CB5"/>
    <w:rsid w:val="00D56D7D"/>
    <w:rsid w:val="00D56DD8"/>
    <w:rsid w:val="00D56DEC"/>
    <w:rsid w:val="00D56EC4"/>
    <w:rsid w:val="00D56FC3"/>
    <w:rsid w:val="00D571D2"/>
    <w:rsid w:val="00D571E7"/>
    <w:rsid w:val="00D571FF"/>
    <w:rsid w:val="00D57245"/>
    <w:rsid w:val="00D572DF"/>
    <w:rsid w:val="00D573F6"/>
    <w:rsid w:val="00D5742A"/>
    <w:rsid w:val="00D57467"/>
    <w:rsid w:val="00D574E8"/>
    <w:rsid w:val="00D574F7"/>
    <w:rsid w:val="00D57624"/>
    <w:rsid w:val="00D576FC"/>
    <w:rsid w:val="00D57769"/>
    <w:rsid w:val="00D577CB"/>
    <w:rsid w:val="00D579A5"/>
    <w:rsid w:val="00D57A1C"/>
    <w:rsid w:val="00D57B4C"/>
    <w:rsid w:val="00D57C0D"/>
    <w:rsid w:val="00D57CDE"/>
    <w:rsid w:val="00D57D24"/>
    <w:rsid w:val="00D57D7A"/>
    <w:rsid w:val="00D57EBB"/>
    <w:rsid w:val="00D57EC1"/>
    <w:rsid w:val="00D57FD5"/>
    <w:rsid w:val="00D600D4"/>
    <w:rsid w:val="00D600F2"/>
    <w:rsid w:val="00D602DA"/>
    <w:rsid w:val="00D602FE"/>
    <w:rsid w:val="00D6033A"/>
    <w:rsid w:val="00D60447"/>
    <w:rsid w:val="00D6051F"/>
    <w:rsid w:val="00D60837"/>
    <w:rsid w:val="00D609EB"/>
    <w:rsid w:val="00D60A11"/>
    <w:rsid w:val="00D60A47"/>
    <w:rsid w:val="00D60A5B"/>
    <w:rsid w:val="00D60A64"/>
    <w:rsid w:val="00D60A9F"/>
    <w:rsid w:val="00D60CBC"/>
    <w:rsid w:val="00D60E8E"/>
    <w:rsid w:val="00D60EA5"/>
    <w:rsid w:val="00D60F00"/>
    <w:rsid w:val="00D60F21"/>
    <w:rsid w:val="00D6101A"/>
    <w:rsid w:val="00D61023"/>
    <w:rsid w:val="00D6127E"/>
    <w:rsid w:val="00D612D3"/>
    <w:rsid w:val="00D614E7"/>
    <w:rsid w:val="00D6156C"/>
    <w:rsid w:val="00D616EA"/>
    <w:rsid w:val="00D61836"/>
    <w:rsid w:val="00D6188E"/>
    <w:rsid w:val="00D61959"/>
    <w:rsid w:val="00D61991"/>
    <w:rsid w:val="00D619A2"/>
    <w:rsid w:val="00D619BB"/>
    <w:rsid w:val="00D61ABF"/>
    <w:rsid w:val="00D61AD8"/>
    <w:rsid w:val="00D61ADC"/>
    <w:rsid w:val="00D61AE4"/>
    <w:rsid w:val="00D61B18"/>
    <w:rsid w:val="00D61B22"/>
    <w:rsid w:val="00D61BE5"/>
    <w:rsid w:val="00D61DAC"/>
    <w:rsid w:val="00D62010"/>
    <w:rsid w:val="00D62174"/>
    <w:rsid w:val="00D6217B"/>
    <w:rsid w:val="00D62183"/>
    <w:rsid w:val="00D621D0"/>
    <w:rsid w:val="00D622CB"/>
    <w:rsid w:val="00D62324"/>
    <w:rsid w:val="00D6239F"/>
    <w:rsid w:val="00D62409"/>
    <w:rsid w:val="00D624D3"/>
    <w:rsid w:val="00D6253F"/>
    <w:rsid w:val="00D62554"/>
    <w:rsid w:val="00D62716"/>
    <w:rsid w:val="00D62766"/>
    <w:rsid w:val="00D62776"/>
    <w:rsid w:val="00D62781"/>
    <w:rsid w:val="00D627D0"/>
    <w:rsid w:val="00D627D8"/>
    <w:rsid w:val="00D62835"/>
    <w:rsid w:val="00D62858"/>
    <w:rsid w:val="00D629A0"/>
    <w:rsid w:val="00D629AE"/>
    <w:rsid w:val="00D62A36"/>
    <w:rsid w:val="00D62A3B"/>
    <w:rsid w:val="00D62AF5"/>
    <w:rsid w:val="00D62BAE"/>
    <w:rsid w:val="00D62BC0"/>
    <w:rsid w:val="00D62BEE"/>
    <w:rsid w:val="00D62C3F"/>
    <w:rsid w:val="00D62CA5"/>
    <w:rsid w:val="00D62CAF"/>
    <w:rsid w:val="00D62F28"/>
    <w:rsid w:val="00D62F53"/>
    <w:rsid w:val="00D63072"/>
    <w:rsid w:val="00D63159"/>
    <w:rsid w:val="00D631D4"/>
    <w:rsid w:val="00D63386"/>
    <w:rsid w:val="00D63462"/>
    <w:rsid w:val="00D6359A"/>
    <w:rsid w:val="00D63711"/>
    <w:rsid w:val="00D6379F"/>
    <w:rsid w:val="00D637C1"/>
    <w:rsid w:val="00D63915"/>
    <w:rsid w:val="00D63981"/>
    <w:rsid w:val="00D639A7"/>
    <w:rsid w:val="00D63A04"/>
    <w:rsid w:val="00D63A80"/>
    <w:rsid w:val="00D63BF5"/>
    <w:rsid w:val="00D63C29"/>
    <w:rsid w:val="00D63C51"/>
    <w:rsid w:val="00D63C55"/>
    <w:rsid w:val="00D63C5E"/>
    <w:rsid w:val="00D63DFA"/>
    <w:rsid w:val="00D63E11"/>
    <w:rsid w:val="00D63FF5"/>
    <w:rsid w:val="00D64097"/>
    <w:rsid w:val="00D640FE"/>
    <w:rsid w:val="00D64195"/>
    <w:rsid w:val="00D641AB"/>
    <w:rsid w:val="00D641BA"/>
    <w:rsid w:val="00D641FC"/>
    <w:rsid w:val="00D6436C"/>
    <w:rsid w:val="00D644BD"/>
    <w:rsid w:val="00D645AB"/>
    <w:rsid w:val="00D645BE"/>
    <w:rsid w:val="00D6465B"/>
    <w:rsid w:val="00D64676"/>
    <w:rsid w:val="00D646CE"/>
    <w:rsid w:val="00D64751"/>
    <w:rsid w:val="00D64775"/>
    <w:rsid w:val="00D6491C"/>
    <w:rsid w:val="00D64C33"/>
    <w:rsid w:val="00D64C41"/>
    <w:rsid w:val="00D64C75"/>
    <w:rsid w:val="00D64CE4"/>
    <w:rsid w:val="00D64D0D"/>
    <w:rsid w:val="00D64D78"/>
    <w:rsid w:val="00D64D9A"/>
    <w:rsid w:val="00D64E34"/>
    <w:rsid w:val="00D64EF9"/>
    <w:rsid w:val="00D64F41"/>
    <w:rsid w:val="00D6511F"/>
    <w:rsid w:val="00D651B7"/>
    <w:rsid w:val="00D65343"/>
    <w:rsid w:val="00D65457"/>
    <w:rsid w:val="00D65558"/>
    <w:rsid w:val="00D655AF"/>
    <w:rsid w:val="00D6568D"/>
    <w:rsid w:val="00D656B7"/>
    <w:rsid w:val="00D656F1"/>
    <w:rsid w:val="00D65703"/>
    <w:rsid w:val="00D65825"/>
    <w:rsid w:val="00D6587D"/>
    <w:rsid w:val="00D658AB"/>
    <w:rsid w:val="00D658B1"/>
    <w:rsid w:val="00D658FD"/>
    <w:rsid w:val="00D6599E"/>
    <w:rsid w:val="00D65AA8"/>
    <w:rsid w:val="00D65AEE"/>
    <w:rsid w:val="00D65B7E"/>
    <w:rsid w:val="00D65BFD"/>
    <w:rsid w:val="00D65C63"/>
    <w:rsid w:val="00D65C66"/>
    <w:rsid w:val="00D65E77"/>
    <w:rsid w:val="00D65EAE"/>
    <w:rsid w:val="00D65F97"/>
    <w:rsid w:val="00D65FB2"/>
    <w:rsid w:val="00D6605C"/>
    <w:rsid w:val="00D6624B"/>
    <w:rsid w:val="00D6638C"/>
    <w:rsid w:val="00D66402"/>
    <w:rsid w:val="00D664A1"/>
    <w:rsid w:val="00D6652C"/>
    <w:rsid w:val="00D66536"/>
    <w:rsid w:val="00D66574"/>
    <w:rsid w:val="00D665A1"/>
    <w:rsid w:val="00D6663F"/>
    <w:rsid w:val="00D66677"/>
    <w:rsid w:val="00D6671E"/>
    <w:rsid w:val="00D66751"/>
    <w:rsid w:val="00D66755"/>
    <w:rsid w:val="00D66820"/>
    <w:rsid w:val="00D668FE"/>
    <w:rsid w:val="00D6694E"/>
    <w:rsid w:val="00D66981"/>
    <w:rsid w:val="00D66A5A"/>
    <w:rsid w:val="00D66AAF"/>
    <w:rsid w:val="00D66B1E"/>
    <w:rsid w:val="00D66B24"/>
    <w:rsid w:val="00D66D37"/>
    <w:rsid w:val="00D66D9C"/>
    <w:rsid w:val="00D66DB7"/>
    <w:rsid w:val="00D66DF8"/>
    <w:rsid w:val="00D66E1C"/>
    <w:rsid w:val="00D66EA4"/>
    <w:rsid w:val="00D66EB9"/>
    <w:rsid w:val="00D66F7C"/>
    <w:rsid w:val="00D670F8"/>
    <w:rsid w:val="00D67137"/>
    <w:rsid w:val="00D671A7"/>
    <w:rsid w:val="00D672A9"/>
    <w:rsid w:val="00D67337"/>
    <w:rsid w:val="00D6739E"/>
    <w:rsid w:val="00D673E7"/>
    <w:rsid w:val="00D67407"/>
    <w:rsid w:val="00D67501"/>
    <w:rsid w:val="00D67592"/>
    <w:rsid w:val="00D67594"/>
    <w:rsid w:val="00D675E8"/>
    <w:rsid w:val="00D676C7"/>
    <w:rsid w:val="00D6778F"/>
    <w:rsid w:val="00D6779D"/>
    <w:rsid w:val="00D67865"/>
    <w:rsid w:val="00D67BB8"/>
    <w:rsid w:val="00D67CF3"/>
    <w:rsid w:val="00D67D11"/>
    <w:rsid w:val="00D67DD2"/>
    <w:rsid w:val="00D67DE8"/>
    <w:rsid w:val="00D67E86"/>
    <w:rsid w:val="00D67F18"/>
    <w:rsid w:val="00D7001A"/>
    <w:rsid w:val="00D700A3"/>
    <w:rsid w:val="00D701A2"/>
    <w:rsid w:val="00D7033B"/>
    <w:rsid w:val="00D70343"/>
    <w:rsid w:val="00D70459"/>
    <w:rsid w:val="00D7050D"/>
    <w:rsid w:val="00D70570"/>
    <w:rsid w:val="00D70652"/>
    <w:rsid w:val="00D70809"/>
    <w:rsid w:val="00D709A6"/>
    <w:rsid w:val="00D709F4"/>
    <w:rsid w:val="00D70A04"/>
    <w:rsid w:val="00D70BBF"/>
    <w:rsid w:val="00D70D07"/>
    <w:rsid w:val="00D70D21"/>
    <w:rsid w:val="00D70EDD"/>
    <w:rsid w:val="00D70F41"/>
    <w:rsid w:val="00D70FA3"/>
    <w:rsid w:val="00D70FD6"/>
    <w:rsid w:val="00D71041"/>
    <w:rsid w:val="00D710BF"/>
    <w:rsid w:val="00D710EB"/>
    <w:rsid w:val="00D710F3"/>
    <w:rsid w:val="00D711BC"/>
    <w:rsid w:val="00D711D4"/>
    <w:rsid w:val="00D711E0"/>
    <w:rsid w:val="00D711FC"/>
    <w:rsid w:val="00D712F8"/>
    <w:rsid w:val="00D71317"/>
    <w:rsid w:val="00D71351"/>
    <w:rsid w:val="00D7135A"/>
    <w:rsid w:val="00D71366"/>
    <w:rsid w:val="00D715E5"/>
    <w:rsid w:val="00D715F7"/>
    <w:rsid w:val="00D715F8"/>
    <w:rsid w:val="00D7160C"/>
    <w:rsid w:val="00D71614"/>
    <w:rsid w:val="00D7161B"/>
    <w:rsid w:val="00D716A8"/>
    <w:rsid w:val="00D7181F"/>
    <w:rsid w:val="00D71827"/>
    <w:rsid w:val="00D7189D"/>
    <w:rsid w:val="00D718FA"/>
    <w:rsid w:val="00D71F5C"/>
    <w:rsid w:val="00D71F7B"/>
    <w:rsid w:val="00D71FEC"/>
    <w:rsid w:val="00D720FF"/>
    <w:rsid w:val="00D721AF"/>
    <w:rsid w:val="00D722E9"/>
    <w:rsid w:val="00D7230F"/>
    <w:rsid w:val="00D72443"/>
    <w:rsid w:val="00D7247A"/>
    <w:rsid w:val="00D724FD"/>
    <w:rsid w:val="00D725F7"/>
    <w:rsid w:val="00D726CB"/>
    <w:rsid w:val="00D727A0"/>
    <w:rsid w:val="00D72901"/>
    <w:rsid w:val="00D72991"/>
    <w:rsid w:val="00D72AC6"/>
    <w:rsid w:val="00D72B12"/>
    <w:rsid w:val="00D72B7B"/>
    <w:rsid w:val="00D72BE5"/>
    <w:rsid w:val="00D72C14"/>
    <w:rsid w:val="00D72C30"/>
    <w:rsid w:val="00D72C5A"/>
    <w:rsid w:val="00D72CCD"/>
    <w:rsid w:val="00D72CFF"/>
    <w:rsid w:val="00D72D42"/>
    <w:rsid w:val="00D72D90"/>
    <w:rsid w:val="00D72DE3"/>
    <w:rsid w:val="00D72F08"/>
    <w:rsid w:val="00D72F25"/>
    <w:rsid w:val="00D72FF5"/>
    <w:rsid w:val="00D730AF"/>
    <w:rsid w:val="00D730B9"/>
    <w:rsid w:val="00D7314A"/>
    <w:rsid w:val="00D731A0"/>
    <w:rsid w:val="00D731B8"/>
    <w:rsid w:val="00D73209"/>
    <w:rsid w:val="00D732F2"/>
    <w:rsid w:val="00D73327"/>
    <w:rsid w:val="00D733A8"/>
    <w:rsid w:val="00D73424"/>
    <w:rsid w:val="00D73502"/>
    <w:rsid w:val="00D73528"/>
    <w:rsid w:val="00D7356A"/>
    <w:rsid w:val="00D735A1"/>
    <w:rsid w:val="00D7362E"/>
    <w:rsid w:val="00D73633"/>
    <w:rsid w:val="00D73709"/>
    <w:rsid w:val="00D73927"/>
    <w:rsid w:val="00D73953"/>
    <w:rsid w:val="00D73A25"/>
    <w:rsid w:val="00D73CC5"/>
    <w:rsid w:val="00D73D3D"/>
    <w:rsid w:val="00D73D7B"/>
    <w:rsid w:val="00D73DC0"/>
    <w:rsid w:val="00D73EF1"/>
    <w:rsid w:val="00D73FA1"/>
    <w:rsid w:val="00D7411A"/>
    <w:rsid w:val="00D7414E"/>
    <w:rsid w:val="00D7420A"/>
    <w:rsid w:val="00D74259"/>
    <w:rsid w:val="00D7445C"/>
    <w:rsid w:val="00D74489"/>
    <w:rsid w:val="00D7477B"/>
    <w:rsid w:val="00D749D0"/>
    <w:rsid w:val="00D74BF8"/>
    <w:rsid w:val="00D74D62"/>
    <w:rsid w:val="00D74D9E"/>
    <w:rsid w:val="00D74EA8"/>
    <w:rsid w:val="00D75014"/>
    <w:rsid w:val="00D7501B"/>
    <w:rsid w:val="00D75042"/>
    <w:rsid w:val="00D75062"/>
    <w:rsid w:val="00D750A6"/>
    <w:rsid w:val="00D751CA"/>
    <w:rsid w:val="00D752C5"/>
    <w:rsid w:val="00D752E8"/>
    <w:rsid w:val="00D75374"/>
    <w:rsid w:val="00D753A4"/>
    <w:rsid w:val="00D75400"/>
    <w:rsid w:val="00D754A5"/>
    <w:rsid w:val="00D75695"/>
    <w:rsid w:val="00D75709"/>
    <w:rsid w:val="00D757C0"/>
    <w:rsid w:val="00D75853"/>
    <w:rsid w:val="00D7586F"/>
    <w:rsid w:val="00D75A33"/>
    <w:rsid w:val="00D75B2E"/>
    <w:rsid w:val="00D75B99"/>
    <w:rsid w:val="00D75BB9"/>
    <w:rsid w:val="00D75BD1"/>
    <w:rsid w:val="00D75C64"/>
    <w:rsid w:val="00D75D10"/>
    <w:rsid w:val="00D75D69"/>
    <w:rsid w:val="00D75DE2"/>
    <w:rsid w:val="00D75E3E"/>
    <w:rsid w:val="00D75E69"/>
    <w:rsid w:val="00D76108"/>
    <w:rsid w:val="00D76178"/>
    <w:rsid w:val="00D761D8"/>
    <w:rsid w:val="00D7621D"/>
    <w:rsid w:val="00D76262"/>
    <w:rsid w:val="00D7633E"/>
    <w:rsid w:val="00D76428"/>
    <w:rsid w:val="00D765EC"/>
    <w:rsid w:val="00D7683E"/>
    <w:rsid w:val="00D7690F"/>
    <w:rsid w:val="00D76911"/>
    <w:rsid w:val="00D7694C"/>
    <w:rsid w:val="00D76A54"/>
    <w:rsid w:val="00D76AA3"/>
    <w:rsid w:val="00D76AC9"/>
    <w:rsid w:val="00D76AED"/>
    <w:rsid w:val="00D76B3D"/>
    <w:rsid w:val="00D76B7C"/>
    <w:rsid w:val="00D76B85"/>
    <w:rsid w:val="00D76CED"/>
    <w:rsid w:val="00D76F3F"/>
    <w:rsid w:val="00D76F9C"/>
    <w:rsid w:val="00D76FC5"/>
    <w:rsid w:val="00D77020"/>
    <w:rsid w:val="00D770D4"/>
    <w:rsid w:val="00D771A2"/>
    <w:rsid w:val="00D77241"/>
    <w:rsid w:val="00D77288"/>
    <w:rsid w:val="00D774B5"/>
    <w:rsid w:val="00D774F7"/>
    <w:rsid w:val="00D7757E"/>
    <w:rsid w:val="00D77644"/>
    <w:rsid w:val="00D77662"/>
    <w:rsid w:val="00D777A2"/>
    <w:rsid w:val="00D777A5"/>
    <w:rsid w:val="00D777F8"/>
    <w:rsid w:val="00D7783E"/>
    <w:rsid w:val="00D77844"/>
    <w:rsid w:val="00D7798D"/>
    <w:rsid w:val="00D77992"/>
    <w:rsid w:val="00D77B59"/>
    <w:rsid w:val="00D77C6E"/>
    <w:rsid w:val="00D77CAD"/>
    <w:rsid w:val="00D77D82"/>
    <w:rsid w:val="00D77EC9"/>
    <w:rsid w:val="00D8015B"/>
    <w:rsid w:val="00D801A1"/>
    <w:rsid w:val="00D801F5"/>
    <w:rsid w:val="00D80201"/>
    <w:rsid w:val="00D8026A"/>
    <w:rsid w:val="00D80312"/>
    <w:rsid w:val="00D8036A"/>
    <w:rsid w:val="00D80470"/>
    <w:rsid w:val="00D80827"/>
    <w:rsid w:val="00D80A8D"/>
    <w:rsid w:val="00D80B21"/>
    <w:rsid w:val="00D80B88"/>
    <w:rsid w:val="00D80CA3"/>
    <w:rsid w:val="00D80D03"/>
    <w:rsid w:val="00D80D49"/>
    <w:rsid w:val="00D80E23"/>
    <w:rsid w:val="00D80F63"/>
    <w:rsid w:val="00D80F8D"/>
    <w:rsid w:val="00D80FBB"/>
    <w:rsid w:val="00D80FC3"/>
    <w:rsid w:val="00D810D5"/>
    <w:rsid w:val="00D81435"/>
    <w:rsid w:val="00D815A1"/>
    <w:rsid w:val="00D81636"/>
    <w:rsid w:val="00D81640"/>
    <w:rsid w:val="00D8178C"/>
    <w:rsid w:val="00D817FA"/>
    <w:rsid w:val="00D81910"/>
    <w:rsid w:val="00D8194A"/>
    <w:rsid w:val="00D81AE1"/>
    <w:rsid w:val="00D81B8E"/>
    <w:rsid w:val="00D81C32"/>
    <w:rsid w:val="00D81D17"/>
    <w:rsid w:val="00D81D62"/>
    <w:rsid w:val="00D81EE3"/>
    <w:rsid w:val="00D81EE7"/>
    <w:rsid w:val="00D81F03"/>
    <w:rsid w:val="00D81F42"/>
    <w:rsid w:val="00D820FA"/>
    <w:rsid w:val="00D8212D"/>
    <w:rsid w:val="00D822ED"/>
    <w:rsid w:val="00D823BB"/>
    <w:rsid w:val="00D8244E"/>
    <w:rsid w:val="00D8256F"/>
    <w:rsid w:val="00D825D2"/>
    <w:rsid w:val="00D825DD"/>
    <w:rsid w:val="00D8265F"/>
    <w:rsid w:val="00D827B4"/>
    <w:rsid w:val="00D827DB"/>
    <w:rsid w:val="00D828ED"/>
    <w:rsid w:val="00D8290B"/>
    <w:rsid w:val="00D82A0E"/>
    <w:rsid w:val="00D82A46"/>
    <w:rsid w:val="00D82B99"/>
    <w:rsid w:val="00D82C16"/>
    <w:rsid w:val="00D82C2B"/>
    <w:rsid w:val="00D82CED"/>
    <w:rsid w:val="00D82DA8"/>
    <w:rsid w:val="00D82E1D"/>
    <w:rsid w:val="00D82E77"/>
    <w:rsid w:val="00D82E83"/>
    <w:rsid w:val="00D82E93"/>
    <w:rsid w:val="00D82F7D"/>
    <w:rsid w:val="00D82FBC"/>
    <w:rsid w:val="00D83059"/>
    <w:rsid w:val="00D83086"/>
    <w:rsid w:val="00D830C5"/>
    <w:rsid w:val="00D8328C"/>
    <w:rsid w:val="00D832F8"/>
    <w:rsid w:val="00D8365E"/>
    <w:rsid w:val="00D83902"/>
    <w:rsid w:val="00D839D6"/>
    <w:rsid w:val="00D839E3"/>
    <w:rsid w:val="00D83A91"/>
    <w:rsid w:val="00D83B16"/>
    <w:rsid w:val="00D83BE6"/>
    <w:rsid w:val="00D83CBC"/>
    <w:rsid w:val="00D83D8A"/>
    <w:rsid w:val="00D83EC0"/>
    <w:rsid w:val="00D83F23"/>
    <w:rsid w:val="00D83F47"/>
    <w:rsid w:val="00D83FD6"/>
    <w:rsid w:val="00D84058"/>
    <w:rsid w:val="00D84067"/>
    <w:rsid w:val="00D840AE"/>
    <w:rsid w:val="00D8410A"/>
    <w:rsid w:val="00D842BC"/>
    <w:rsid w:val="00D8430D"/>
    <w:rsid w:val="00D84348"/>
    <w:rsid w:val="00D8434D"/>
    <w:rsid w:val="00D84377"/>
    <w:rsid w:val="00D848F3"/>
    <w:rsid w:val="00D84920"/>
    <w:rsid w:val="00D8497D"/>
    <w:rsid w:val="00D84A46"/>
    <w:rsid w:val="00D84B6D"/>
    <w:rsid w:val="00D84C5A"/>
    <w:rsid w:val="00D84D36"/>
    <w:rsid w:val="00D84D5F"/>
    <w:rsid w:val="00D84EF8"/>
    <w:rsid w:val="00D85002"/>
    <w:rsid w:val="00D85008"/>
    <w:rsid w:val="00D85055"/>
    <w:rsid w:val="00D8508F"/>
    <w:rsid w:val="00D850C7"/>
    <w:rsid w:val="00D851E3"/>
    <w:rsid w:val="00D85225"/>
    <w:rsid w:val="00D852D0"/>
    <w:rsid w:val="00D85376"/>
    <w:rsid w:val="00D853FA"/>
    <w:rsid w:val="00D85417"/>
    <w:rsid w:val="00D85474"/>
    <w:rsid w:val="00D85499"/>
    <w:rsid w:val="00D854C0"/>
    <w:rsid w:val="00D8558D"/>
    <w:rsid w:val="00D8579D"/>
    <w:rsid w:val="00D8582D"/>
    <w:rsid w:val="00D858A9"/>
    <w:rsid w:val="00D858D1"/>
    <w:rsid w:val="00D8597F"/>
    <w:rsid w:val="00D859F0"/>
    <w:rsid w:val="00D85AC1"/>
    <w:rsid w:val="00D85AF8"/>
    <w:rsid w:val="00D85BB4"/>
    <w:rsid w:val="00D85C12"/>
    <w:rsid w:val="00D85CD5"/>
    <w:rsid w:val="00D85D5E"/>
    <w:rsid w:val="00D85E18"/>
    <w:rsid w:val="00D85E95"/>
    <w:rsid w:val="00D85F23"/>
    <w:rsid w:val="00D85FC9"/>
    <w:rsid w:val="00D86081"/>
    <w:rsid w:val="00D86166"/>
    <w:rsid w:val="00D8623A"/>
    <w:rsid w:val="00D86324"/>
    <w:rsid w:val="00D86347"/>
    <w:rsid w:val="00D863DC"/>
    <w:rsid w:val="00D864CB"/>
    <w:rsid w:val="00D864EE"/>
    <w:rsid w:val="00D86508"/>
    <w:rsid w:val="00D86557"/>
    <w:rsid w:val="00D866B6"/>
    <w:rsid w:val="00D866BB"/>
    <w:rsid w:val="00D86782"/>
    <w:rsid w:val="00D869C4"/>
    <w:rsid w:val="00D869C9"/>
    <w:rsid w:val="00D86A7D"/>
    <w:rsid w:val="00D86AA8"/>
    <w:rsid w:val="00D86CEE"/>
    <w:rsid w:val="00D86D19"/>
    <w:rsid w:val="00D86E3C"/>
    <w:rsid w:val="00D86ED8"/>
    <w:rsid w:val="00D8707A"/>
    <w:rsid w:val="00D870F0"/>
    <w:rsid w:val="00D8716A"/>
    <w:rsid w:val="00D8717F"/>
    <w:rsid w:val="00D8723B"/>
    <w:rsid w:val="00D872D2"/>
    <w:rsid w:val="00D873FF"/>
    <w:rsid w:val="00D874AF"/>
    <w:rsid w:val="00D87565"/>
    <w:rsid w:val="00D8766B"/>
    <w:rsid w:val="00D8767B"/>
    <w:rsid w:val="00D876A8"/>
    <w:rsid w:val="00D876CF"/>
    <w:rsid w:val="00D8789C"/>
    <w:rsid w:val="00D87A54"/>
    <w:rsid w:val="00D87B8B"/>
    <w:rsid w:val="00D87BC6"/>
    <w:rsid w:val="00D87C6C"/>
    <w:rsid w:val="00D87CA2"/>
    <w:rsid w:val="00D87D00"/>
    <w:rsid w:val="00D87E09"/>
    <w:rsid w:val="00D87E88"/>
    <w:rsid w:val="00D87F31"/>
    <w:rsid w:val="00D87F68"/>
    <w:rsid w:val="00D87F99"/>
    <w:rsid w:val="00D9009E"/>
    <w:rsid w:val="00D900C3"/>
    <w:rsid w:val="00D90114"/>
    <w:rsid w:val="00D90144"/>
    <w:rsid w:val="00D902BE"/>
    <w:rsid w:val="00D902F0"/>
    <w:rsid w:val="00D90399"/>
    <w:rsid w:val="00D90475"/>
    <w:rsid w:val="00D904D3"/>
    <w:rsid w:val="00D90509"/>
    <w:rsid w:val="00D905A9"/>
    <w:rsid w:val="00D90725"/>
    <w:rsid w:val="00D90796"/>
    <w:rsid w:val="00D9091D"/>
    <w:rsid w:val="00D90925"/>
    <w:rsid w:val="00D909BB"/>
    <w:rsid w:val="00D90A8A"/>
    <w:rsid w:val="00D90C57"/>
    <w:rsid w:val="00D90D0C"/>
    <w:rsid w:val="00D90D0E"/>
    <w:rsid w:val="00D90DC1"/>
    <w:rsid w:val="00D90E61"/>
    <w:rsid w:val="00D90E8A"/>
    <w:rsid w:val="00D90F70"/>
    <w:rsid w:val="00D91068"/>
    <w:rsid w:val="00D911AA"/>
    <w:rsid w:val="00D911D5"/>
    <w:rsid w:val="00D911E1"/>
    <w:rsid w:val="00D91244"/>
    <w:rsid w:val="00D912A8"/>
    <w:rsid w:val="00D913FE"/>
    <w:rsid w:val="00D915E3"/>
    <w:rsid w:val="00D9161D"/>
    <w:rsid w:val="00D916F2"/>
    <w:rsid w:val="00D91A7B"/>
    <w:rsid w:val="00D91B62"/>
    <w:rsid w:val="00D91B78"/>
    <w:rsid w:val="00D91BBC"/>
    <w:rsid w:val="00D91C6C"/>
    <w:rsid w:val="00D91C89"/>
    <w:rsid w:val="00D91D40"/>
    <w:rsid w:val="00D91D7C"/>
    <w:rsid w:val="00D91E62"/>
    <w:rsid w:val="00D91E7D"/>
    <w:rsid w:val="00D91E88"/>
    <w:rsid w:val="00D91EBB"/>
    <w:rsid w:val="00D91F91"/>
    <w:rsid w:val="00D91FB7"/>
    <w:rsid w:val="00D920BC"/>
    <w:rsid w:val="00D9228D"/>
    <w:rsid w:val="00D92374"/>
    <w:rsid w:val="00D923E0"/>
    <w:rsid w:val="00D924AE"/>
    <w:rsid w:val="00D9270F"/>
    <w:rsid w:val="00D927EB"/>
    <w:rsid w:val="00D929F8"/>
    <w:rsid w:val="00D92A9D"/>
    <w:rsid w:val="00D92AFB"/>
    <w:rsid w:val="00D92B79"/>
    <w:rsid w:val="00D92C34"/>
    <w:rsid w:val="00D92D30"/>
    <w:rsid w:val="00D92E4B"/>
    <w:rsid w:val="00D92E63"/>
    <w:rsid w:val="00D92FF2"/>
    <w:rsid w:val="00D93007"/>
    <w:rsid w:val="00D9308B"/>
    <w:rsid w:val="00D93133"/>
    <w:rsid w:val="00D931A8"/>
    <w:rsid w:val="00D931DC"/>
    <w:rsid w:val="00D9321E"/>
    <w:rsid w:val="00D93565"/>
    <w:rsid w:val="00D9358D"/>
    <w:rsid w:val="00D93687"/>
    <w:rsid w:val="00D936D0"/>
    <w:rsid w:val="00D9382A"/>
    <w:rsid w:val="00D93859"/>
    <w:rsid w:val="00D938CA"/>
    <w:rsid w:val="00D93985"/>
    <w:rsid w:val="00D939E5"/>
    <w:rsid w:val="00D93A18"/>
    <w:rsid w:val="00D93AB2"/>
    <w:rsid w:val="00D93AFC"/>
    <w:rsid w:val="00D93B59"/>
    <w:rsid w:val="00D93C41"/>
    <w:rsid w:val="00D93DFE"/>
    <w:rsid w:val="00D93E54"/>
    <w:rsid w:val="00D93EA7"/>
    <w:rsid w:val="00D93FA7"/>
    <w:rsid w:val="00D93FE5"/>
    <w:rsid w:val="00D9410B"/>
    <w:rsid w:val="00D94122"/>
    <w:rsid w:val="00D9420E"/>
    <w:rsid w:val="00D942A1"/>
    <w:rsid w:val="00D942A5"/>
    <w:rsid w:val="00D942D6"/>
    <w:rsid w:val="00D944BD"/>
    <w:rsid w:val="00D944D3"/>
    <w:rsid w:val="00D94672"/>
    <w:rsid w:val="00D946EC"/>
    <w:rsid w:val="00D946ED"/>
    <w:rsid w:val="00D947CF"/>
    <w:rsid w:val="00D9493D"/>
    <w:rsid w:val="00D9498E"/>
    <w:rsid w:val="00D949AF"/>
    <w:rsid w:val="00D949BA"/>
    <w:rsid w:val="00D94A11"/>
    <w:rsid w:val="00D94B00"/>
    <w:rsid w:val="00D94B92"/>
    <w:rsid w:val="00D94BC3"/>
    <w:rsid w:val="00D94BE7"/>
    <w:rsid w:val="00D94C50"/>
    <w:rsid w:val="00D94C58"/>
    <w:rsid w:val="00D94DCC"/>
    <w:rsid w:val="00D94E99"/>
    <w:rsid w:val="00D94F50"/>
    <w:rsid w:val="00D95007"/>
    <w:rsid w:val="00D95008"/>
    <w:rsid w:val="00D95038"/>
    <w:rsid w:val="00D95064"/>
    <w:rsid w:val="00D95134"/>
    <w:rsid w:val="00D951ED"/>
    <w:rsid w:val="00D95309"/>
    <w:rsid w:val="00D9532B"/>
    <w:rsid w:val="00D953B9"/>
    <w:rsid w:val="00D9596D"/>
    <w:rsid w:val="00D9596E"/>
    <w:rsid w:val="00D959F4"/>
    <w:rsid w:val="00D95B0F"/>
    <w:rsid w:val="00D95B84"/>
    <w:rsid w:val="00D95C7C"/>
    <w:rsid w:val="00D95CD0"/>
    <w:rsid w:val="00D95E2A"/>
    <w:rsid w:val="00D95E78"/>
    <w:rsid w:val="00D95E85"/>
    <w:rsid w:val="00D95F36"/>
    <w:rsid w:val="00D95FF8"/>
    <w:rsid w:val="00D96059"/>
    <w:rsid w:val="00D960A0"/>
    <w:rsid w:val="00D960A4"/>
    <w:rsid w:val="00D96219"/>
    <w:rsid w:val="00D962A4"/>
    <w:rsid w:val="00D963DE"/>
    <w:rsid w:val="00D9640E"/>
    <w:rsid w:val="00D96479"/>
    <w:rsid w:val="00D9663C"/>
    <w:rsid w:val="00D9668A"/>
    <w:rsid w:val="00D96696"/>
    <w:rsid w:val="00D96705"/>
    <w:rsid w:val="00D96777"/>
    <w:rsid w:val="00D967E4"/>
    <w:rsid w:val="00D96934"/>
    <w:rsid w:val="00D96A3A"/>
    <w:rsid w:val="00D96A91"/>
    <w:rsid w:val="00D96BD1"/>
    <w:rsid w:val="00D96C73"/>
    <w:rsid w:val="00D96CE6"/>
    <w:rsid w:val="00D96D91"/>
    <w:rsid w:val="00D96E8D"/>
    <w:rsid w:val="00D96EA9"/>
    <w:rsid w:val="00D96ED3"/>
    <w:rsid w:val="00D9703A"/>
    <w:rsid w:val="00D97067"/>
    <w:rsid w:val="00D97132"/>
    <w:rsid w:val="00D97143"/>
    <w:rsid w:val="00D9716F"/>
    <w:rsid w:val="00D97191"/>
    <w:rsid w:val="00D971C6"/>
    <w:rsid w:val="00D972CB"/>
    <w:rsid w:val="00D97307"/>
    <w:rsid w:val="00D9759F"/>
    <w:rsid w:val="00D9761A"/>
    <w:rsid w:val="00D97663"/>
    <w:rsid w:val="00D976C2"/>
    <w:rsid w:val="00D97769"/>
    <w:rsid w:val="00D9784D"/>
    <w:rsid w:val="00D979E9"/>
    <w:rsid w:val="00D97A4F"/>
    <w:rsid w:val="00D97AC4"/>
    <w:rsid w:val="00D97B42"/>
    <w:rsid w:val="00D97C33"/>
    <w:rsid w:val="00D97D65"/>
    <w:rsid w:val="00D97DA8"/>
    <w:rsid w:val="00D97DF0"/>
    <w:rsid w:val="00D97F0A"/>
    <w:rsid w:val="00D97F27"/>
    <w:rsid w:val="00D97FD7"/>
    <w:rsid w:val="00DA0018"/>
    <w:rsid w:val="00DA014C"/>
    <w:rsid w:val="00DA0187"/>
    <w:rsid w:val="00DA02C6"/>
    <w:rsid w:val="00DA02FA"/>
    <w:rsid w:val="00DA035C"/>
    <w:rsid w:val="00DA039C"/>
    <w:rsid w:val="00DA0473"/>
    <w:rsid w:val="00DA0490"/>
    <w:rsid w:val="00DA04BB"/>
    <w:rsid w:val="00DA0677"/>
    <w:rsid w:val="00DA07C4"/>
    <w:rsid w:val="00DA084D"/>
    <w:rsid w:val="00DA08A7"/>
    <w:rsid w:val="00DA08C5"/>
    <w:rsid w:val="00DA09C0"/>
    <w:rsid w:val="00DA09C8"/>
    <w:rsid w:val="00DA0A03"/>
    <w:rsid w:val="00DA0A11"/>
    <w:rsid w:val="00DA0B99"/>
    <w:rsid w:val="00DA0BB5"/>
    <w:rsid w:val="00DA0BE6"/>
    <w:rsid w:val="00DA0D35"/>
    <w:rsid w:val="00DA0DDE"/>
    <w:rsid w:val="00DA0E1B"/>
    <w:rsid w:val="00DA0F9A"/>
    <w:rsid w:val="00DA1008"/>
    <w:rsid w:val="00DA11CA"/>
    <w:rsid w:val="00DA1252"/>
    <w:rsid w:val="00DA1285"/>
    <w:rsid w:val="00DA1307"/>
    <w:rsid w:val="00DA131A"/>
    <w:rsid w:val="00DA13F4"/>
    <w:rsid w:val="00DA1411"/>
    <w:rsid w:val="00DA1469"/>
    <w:rsid w:val="00DA14A9"/>
    <w:rsid w:val="00DA14B3"/>
    <w:rsid w:val="00DA14C1"/>
    <w:rsid w:val="00DA154F"/>
    <w:rsid w:val="00DA1639"/>
    <w:rsid w:val="00DA1645"/>
    <w:rsid w:val="00DA1652"/>
    <w:rsid w:val="00DA17E6"/>
    <w:rsid w:val="00DA1A50"/>
    <w:rsid w:val="00DA1C39"/>
    <w:rsid w:val="00DA1C56"/>
    <w:rsid w:val="00DA1D9E"/>
    <w:rsid w:val="00DA1DFC"/>
    <w:rsid w:val="00DA1FBB"/>
    <w:rsid w:val="00DA1FD6"/>
    <w:rsid w:val="00DA204A"/>
    <w:rsid w:val="00DA2098"/>
    <w:rsid w:val="00DA2206"/>
    <w:rsid w:val="00DA222C"/>
    <w:rsid w:val="00DA227E"/>
    <w:rsid w:val="00DA22A9"/>
    <w:rsid w:val="00DA22B5"/>
    <w:rsid w:val="00DA23C0"/>
    <w:rsid w:val="00DA245E"/>
    <w:rsid w:val="00DA25C6"/>
    <w:rsid w:val="00DA272D"/>
    <w:rsid w:val="00DA286C"/>
    <w:rsid w:val="00DA292C"/>
    <w:rsid w:val="00DA29F6"/>
    <w:rsid w:val="00DA29FC"/>
    <w:rsid w:val="00DA2A8D"/>
    <w:rsid w:val="00DA2AAD"/>
    <w:rsid w:val="00DA2C1E"/>
    <w:rsid w:val="00DA2C25"/>
    <w:rsid w:val="00DA2CE4"/>
    <w:rsid w:val="00DA2D59"/>
    <w:rsid w:val="00DA2DBC"/>
    <w:rsid w:val="00DA2E19"/>
    <w:rsid w:val="00DA2F1F"/>
    <w:rsid w:val="00DA2F4B"/>
    <w:rsid w:val="00DA2F4F"/>
    <w:rsid w:val="00DA3070"/>
    <w:rsid w:val="00DA3117"/>
    <w:rsid w:val="00DA31B2"/>
    <w:rsid w:val="00DA33EB"/>
    <w:rsid w:val="00DA3422"/>
    <w:rsid w:val="00DA37A2"/>
    <w:rsid w:val="00DA3963"/>
    <w:rsid w:val="00DA3A39"/>
    <w:rsid w:val="00DA3AC9"/>
    <w:rsid w:val="00DA3AEA"/>
    <w:rsid w:val="00DA3B78"/>
    <w:rsid w:val="00DA3BF2"/>
    <w:rsid w:val="00DA3C75"/>
    <w:rsid w:val="00DA3D92"/>
    <w:rsid w:val="00DA3EBF"/>
    <w:rsid w:val="00DA3F54"/>
    <w:rsid w:val="00DA40E9"/>
    <w:rsid w:val="00DA412D"/>
    <w:rsid w:val="00DA4153"/>
    <w:rsid w:val="00DA4223"/>
    <w:rsid w:val="00DA4297"/>
    <w:rsid w:val="00DA4426"/>
    <w:rsid w:val="00DA4459"/>
    <w:rsid w:val="00DA445E"/>
    <w:rsid w:val="00DA4466"/>
    <w:rsid w:val="00DA4716"/>
    <w:rsid w:val="00DA47A4"/>
    <w:rsid w:val="00DA47AB"/>
    <w:rsid w:val="00DA48ED"/>
    <w:rsid w:val="00DA491D"/>
    <w:rsid w:val="00DA49B3"/>
    <w:rsid w:val="00DA4A14"/>
    <w:rsid w:val="00DA4ABC"/>
    <w:rsid w:val="00DA4BE9"/>
    <w:rsid w:val="00DA4C35"/>
    <w:rsid w:val="00DA4CF9"/>
    <w:rsid w:val="00DA4E38"/>
    <w:rsid w:val="00DA4ECC"/>
    <w:rsid w:val="00DA4FAF"/>
    <w:rsid w:val="00DA4FF5"/>
    <w:rsid w:val="00DA5018"/>
    <w:rsid w:val="00DA506B"/>
    <w:rsid w:val="00DA507A"/>
    <w:rsid w:val="00DA530F"/>
    <w:rsid w:val="00DA533A"/>
    <w:rsid w:val="00DA539F"/>
    <w:rsid w:val="00DA53D6"/>
    <w:rsid w:val="00DA5584"/>
    <w:rsid w:val="00DA56E6"/>
    <w:rsid w:val="00DA5741"/>
    <w:rsid w:val="00DA5A76"/>
    <w:rsid w:val="00DA5CC4"/>
    <w:rsid w:val="00DA5D17"/>
    <w:rsid w:val="00DA5D6C"/>
    <w:rsid w:val="00DA5DC6"/>
    <w:rsid w:val="00DA5EF3"/>
    <w:rsid w:val="00DA6259"/>
    <w:rsid w:val="00DA634E"/>
    <w:rsid w:val="00DA6459"/>
    <w:rsid w:val="00DA647D"/>
    <w:rsid w:val="00DA65AF"/>
    <w:rsid w:val="00DA6671"/>
    <w:rsid w:val="00DA673F"/>
    <w:rsid w:val="00DA6951"/>
    <w:rsid w:val="00DA69A6"/>
    <w:rsid w:val="00DA69FC"/>
    <w:rsid w:val="00DA6A83"/>
    <w:rsid w:val="00DA6B3E"/>
    <w:rsid w:val="00DA6BF7"/>
    <w:rsid w:val="00DA6CCA"/>
    <w:rsid w:val="00DA6D7D"/>
    <w:rsid w:val="00DA6F53"/>
    <w:rsid w:val="00DA6F9A"/>
    <w:rsid w:val="00DA7013"/>
    <w:rsid w:val="00DA702B"/>
    <w:rsid w:val="00DA710E"/>
    <w:rsid w:val="00DA7126"/>
    <w:rsid w:val="00DA7168"/>
    <w:rsid w:val="00DA740B"/>
    <w:rsid w:val="00DA7412"/>
    <w:rsid w:val="00DA74C2"/>
    <w:rsid w:val="00DA7542"/>
    <w:rsid w:val="00DA76FC"/>
    <w:rsid w:val="00DA783D"/>
    <w:rsid w:val="00DA79C0"/>
    <w:rsid w:val="00DA7A4D"/>
    <w:rsid w:val="00DA7C53"/>
    <w:rsid w:val="00DA7D51"/>
    <w:rsid w:val="00DA7DA0"/>
    <w:rsid w:val="00DA7E0E"/>
    <w:rsid w:val="00DA7E9C"/>
    <w:rsid w:val="00DA7EC9"/>
    <w:rsid w:val="00DA7F33"/>
    <w:rsid w:val="00DA7F9C"/>
    <w:rsid w:val="00DB00E3"/>
    <w:rsid w:val="00DB022C"/>
    <w:rsid w:val="00DB0500"/>
    <w:rsid w:val="00DB05A6"/>
    <w:rsid w:val="00DB07E6"/>
    <w:rsid w:val="00DB0A1E"/>
    <w:rsid w:val="00DB0B40"/>
    <w:rsid w:val="00DB0BAB"/>
    <w:rsid w:val="00DB0C54"/>
    <w:rsid w:val="00DB0CD2"/>
    <w:rsid w:val="00DB0D01"/>
    <w:rsid w:val="00DB0DD5"/>
    <w:rsid w:val="00DB0DE2"/>
    <w:rsid w:val="00DB0F06"/>
    <w:rsid w:val="00DB0F93"/>
    <w:rsid w:val="00DB1058"/>
    <w:rsid w:val="00DB109B"/>
    <w:rsid w:val="00DB10D4"/>
    <w:rsid w:val="00DB117E"/>
    <w:rsid w:val="00DB1220"/>
    <w:rsid w:val="00DB135E"/>
    <w:rsid w:val="00DB140A"/>
    <w:rsid w:val="00DB14C7"/>
    <w:rsid w:val="00DB1532"/>
    <w:rsid w:val="00DB1572"/>
    <w:rsid w:val="00DB1618"/>
    <w:rsid w:val="00DB17C9"/>
    <w:rsid w:val="00DB18F1"/>
    <w:rsid w:val="00DB1941"/>
    <w:rsid w:val="00DB1A1A"/>
    <w:rsid w:val="00DB1E25"/>
    <w:rsid w:val="00DB1E7A"/>
    <w:rsid w:val="00DB1FD0"/>
    <w:rsid w:val="00DB2045"/>
    <w:rsid w:val="00DB2173"/>
    <w:rsid w:val="00DB222A"/>
    <w:rsid w:val="00DB2362"/>
    <w:rsid w:val="00DB2560"/>
    <w:rsid w:val="00DB26CB"/>
    <w:rsid w:val="00DB2707"/>
    <w:rsid w:val="00DB2789"/>
    <w:rsid w:val="00DB28CB"/>
    <w:rsid w:val="00DB29AB"/>
    <w:rsid w:val="00DB2A88"/>
    <w:rsid w:val="00DB2AB1"/>
    <w:rsid w:val="00DB2ACD"/>
    <w:rsid w:val="00DB2C02"/>
    <w:rsid w:val="00DB2DCF"/>
    <w:rsid w:val="00DB2E2F"/>
    <w:rsid w:val="00DB2EEE"/>
    <w:rsid w:val="00DB2EF9"/>
    <w:rsid w:val="00DB303D"/>
    <w:rsid w:val="00DB3159"/>
    <w:rsid w:val="00DB3182"/>
    <w:rsid w:val="00DB33AC"/>
    <w:rsid w:val="00DB343E"/>
    <w:rsid w:val="00DB346A"/>
    <w:rsid w:val="00DB352F"/>
    <w:rsid w:val="00DB3582"/>
    <w:rsid w:val="00DB36CB"/>
    <w:rsid w:val="00DB3800"/>
    <w:rsid w:val="00DB3A8E"/>
    <w:rsid w:val="00DB3BFA"/>
    <w:rsid w:val="00DB3C88"/>
    <w:rsid w:val="00DB3E0F"/>
    <w:rsid w:val="00DB3F05"/>
    <w:rsid w:val="00DB3FD3"/>
    <w:rsid w:val="00DB40DC"/>
    <w:rsid w:val="00DB4171"/>
    <w:rsid w:val="00DB4195"/>
    <w:rsid w:val="00DB4292"/>
    <w:rsid w:val="00DB43A2"/>
    <w:rsid w:val="00DB44EA"/>
    <w:rsid w:val="00DB46F7"/>
    <w:rsid w:val="00DB4719"/>
    <w:rsid w:val="00DB473A"/>
    <w:rsid w:val="00DB473F"/>
    <w:rsid w:val="00DB47F3"/>
    <w:rsid w:val="00DB480C"/>
    <w:rsid w:val="00DB49FA"/>
    <w:rsid w:val="00DB4A8B"/>
    <w:rsid w:val="00DB4B10"/>
    <w:rsid w:val="00DB4B3A"/>
    <w:rsid w:val="00DB4BF0"/>
    <w:rsid w:val="00DB4CB2"/>
    <w:rsid w:val="00DB4E01"/>
    <w:rsid w:val="00DB4E5A"/>
    <w:rsid w:val="00DB4E63"/>
    <w:rsid w:val="00DB509F"/>
    <w:rsid w:val="00DB5136"/>
    <w:rsid w:val="00DB5274"/>
    <w:rsid w:val="00DB52D0"/>
    <w:rsid w:val="00DB534B"/>
    <w:rsid w:val="00DB56F1"/>
    <w:rsid w:val="00DB5712"/>
    <w:rsid w:val="00DB5846"/>
    <w:rsid w:val="00DB588D"/>
    <w:rsid w:val="00DB58FE"/>
    <w:rsid w:val="00DB5903"/>
    <w:rsid w:val="00DB59D5"/>
    <w:rsid w:val="00DB5A6F"/>
    <w:rsid w:val="00DB5A73"/>
    <w:rsid w:val="00DB5B86"/>
    <w:rsid w:val="00DB5B9A"/>
    <w:rsid w:val="00DB5C15"/>
    <w:rsid w:val="00DB5DC6"/>
    <w:rsid w:val="00DB5E19"/>
    <w:rsid w:val="00DB5FED"/>
    <w:rsid w:val="00DB611F"/>
    <w:rsid w:val="00DB6241"/>
    <w:rsid w:val="00DB6267"/>
    <w:rsid w:val="00DB62B6"/>
    <w:rsid w:val="00DB62E3"/>
    <w:rsid w:val="00DB6318"/>
    <w:rsid w:val="00DB6492"/>
    <w:rsid w:val="00DB6682"/>
    <w:rsid w:val="00DB669D"/>
    <w:rsid w:val="00DB66AB"/>
    <w:rsid w:val="00DB6704"/>
    <w:rsid w:val="00DB67B9"/>
    <w:rsid w:val="00DB684C"/>
    <w:rsid w:val="00DB6938"/>
    <w:rsid w:val="00DB6A01"/>
    <w:rsid w:val="00DB6A3A"/>
    <w:rsid w:val="00DB6A5A"/>
    <w:rsid w:val="00DB6A72"/>
    <w:rsid w:val="00DB6A83"/>
    <w:rsid w:val="00DB6AA0"/>
    <w:rsid w:val="00DB6B0C"/>
    <w:rsid w:val="00DB6B6C"/>
    <w:rsid w:val="00DB6BA5"/>
    <w:rsid w:val="00DB6BAA"/>
    <w:rsid w:val="00DB6C05"/>
    <w:rsid w:val="00DB6C16"/>
    <w:rsid w:val="00DB6DFD"/>
    <w:rsid w:val="00DB6F2F"/>
    <w:rsid w:val="00DB6FF7"/>
    <w:rsid w:val="00DB7018"/>
    <w:rsid w:val="00DB70AC"/>
    <w:rsid w:val="00DB70B9"/>
    <w:rsid w:val="00DB710D"/>
    <w:rsid w:val="00DB7211"/>
    <w:rsid w:val="00DB724C"/>
    <w:rsid w:val="00DB7435"/>
    <w:rsid w:val="00DB74CA"/>
    <w:rsid w:val="00DB74DB"/>
    <w:rsid w:val="00DB7608"/>
    <w:rsid w:val="00DB7782"/>
    <w:rsid w:val="00DB788F"/>
    <w:rsid w:val="00DB78BC"/>
    <w:rsid w:val="00DB7953"/>
    <w:rsid w:val="00DB797B"/>
    <w:rsid w:val="00DB79D1"/>
    <w:rsid w:val="00DB79E4"/>
    <w:rsid w:val="00DB79FF"/>
    <w:rsid w:val="00DB7A93"/>
    <w:rsid w:val="00DB7B0D"/>
    <w:rsid w:val="00DB7BBC"/>
    <w:rsid w:val="00DB7CE2"/>
    <w:rsid w:val="00DB7D67"/>
    <w:rsid w:val="00DB7F73"/>
    <w:rsid w:val="00DC000F"/>
    <w:rsid w:val="00DC0049"/>
    <w:rsid w:val="00DC0050"/>
    <w:rsid w:val="00DC00A9"/>
    <w:rsid w:val="00DC00C6"/>
    <w:rsid w:val="00DC015E"/>
    <w:rsid w:val="00DC0186"/>
    <w:rsid w:val="00DC0453"/>
    <w:rsid w:val="00DC0498"/>
    <w:rsid w:val="00DC05E6"/>
    <w:rsid w:val="00DC0605"/>
    <w:rsid w:val="00DC0648"/>
    <w:rsid w:val="00DC06CA"/>
    <w:rsid w:val="00DC07DC"/>
    <w:rsid w:val="00DC0869"/>
    <w:rsid w:val="00DC08B0"/>
    <w:rsid w:val="00DC08E7"/>
    <w:rsid w:val="00DC0DDB"/>
    <w:rsid w:val="00DC0E44"/>
    <w:rsid w:val="00DC110A"/>
    <w:rsid w:val="00DC1132"/>
    <w:rsid w:val="00DC13B1"/>
    <w:rsid w:val="00DC13C6"/>
    <w:rsid w:val="00DC1418"/>
    <w:rsid w:val="00DC149C"/>
    <w:rsid w:val="00DC1533"/>
    <w:rsid w:val="00DC153B"/>
    <w:rsid w:val="00DC1569"/>
    <w:rsid w:val="00DC15AF"/>
    <w:rsid w:val="00DC19BB"/>
    <w:rsid w:val="00DC1A1C"/>
    <w:rsid w:val="00DC1AAC"/>
    <w:rsid w:val="00DC1CE8"/>
    <w:rsid w:val="00DC1D2F"/>
    <w:rsid w:val="00DC1D63"/>
    <w:rsid w:val="00DC1DEA"/>
    <w:rsid w:val="00DC1EDE"/>
    <w:rsid w:val="00DC1EF0"/>
    <w:rsid w:val="00DC1FA4"/>
    <w:rsid w:val="00DC1FBC"/>
    <w:rsid w:val="00DC2000"/>
    <w:rsid w:val="00DC205A"/>
    <w:rsid w:val="00DC2120"/>
    <w:rsid w:val="00DC2178"/>
    <w:rsid w:val="00DC2354"/>
    <w:rsid w:val="00DC24E3"/>
    <w:rsid w:val="00DC257F"/>
    <w:rsid w:val="00DC2584"/>
    <w:rsid w:val="00DC2609"/>
    <w:rsid w:val="00DC2623"/>
    <w:rsid w:val="00DC280D"/>
    <w:rsid w:val="00DC281C"/>
    <w:rsid w:val="00DC2842"/>
    <w:rsid w:val="00DC2853"/>
    <w:rsid w:val="00DC2856"/>
    <w:rsid w:val="00DC288D"/>
    <w:rsid w:val="00DC2A3D"/>
    <w:rsid w:val="00DC2B50"/>
    <w:rsid w:val="00DC2B76"/>
    <w:rsid w:val="00DC2C80"/>
    <w:rsid w:val="00DC2C9E"/>
    <w:rsid w:val="00DC2CAA"/>
    <w:rsid w:val="00DC2CD5"/>
    <w:rsid w:val="00DC2E42"/>
    <w:rsid w:val="00DC2F82"/>
    <w:rsid w:val="00DC2FFF"/>
    <w:rsid w:val="00DC3014"/>
    <w:rsid w:val="00DC3035"/>
    <w:rsid w:val="00DC30BE"/>
    <w:rsid w:val="00DC30E7"/>
    <w:rsid w:val="00DC3158"/>
    <w:rsid w:val="00DC3167"/>
    <w:rsid w:val="00DC318C"/>
    <w:rsid w:val="00DC31E9"/>
    <w:rsid w:val="00DC32FB"/>
    <w:rsid w:val="00DC332F"/>
    <w:rsid w:val="00DC33E9"/>
    <w:rsid w:val="00DC3402"/>
    <w:rsid w:val="00DC340A"/>
    <w:rsid w:val="00DC3473"/>
    <w:rsid w:val="00DC3571"/>
    <w:rsid w:val="00DC37AD"/>
    <w:rsid w:val="00DC382C"/>
    <w:rsid w:val="00DC392B"/>
    <w:rsid w:val="00DC3B22"/>
    <w:rsid w:val="00DC3C91"/>
    <w:rsid w:val="00DC3D20"/>
    <w:rsid w:val="00DC3DE6"/>
    <w:rsid w:val="00DC3F02"/>
    <w:rsid w:val="00DC3FE6"/>
    <w:rsid w:val="00DC4141"/>
    <w:rsid w:val="00DC428F"/>
    <w:rsid w:val="00DC4563"/>
    <w:rsid w:val="00DC4593"/>
    <w:rsid w:val="00DC4641"/>
    <w:rsid w:val="00DC46CD"/>
    <w:rsid w:val="00DC4841"/>
    <w:rsid w:val="00DC4861"/>
    <w:rsid w:val="00DC4A49"/>
    <w:rsid w:val="00DC4AEC"/>
    <w:rsid w:val="00DC4B75"/>
    <w:rsid w:val="00DC4BFF"/>
    <w:rsid w:val="00DC4C73"/>
    <w:rsid w:val="00DC4D92"/>
    <w:rsid w:val="00DC4DC1"/>
    <w:rsid w:val="00DC4E6F"/>
    <w:rsid w:val="00DC4F8C"/>
    <w:rsid w:val="00DC4FB0"/>
    <w:rsid w:val="00DC504C"/>
    <w:rsid w:val="00DC50AC"/>
    <w:rsid w:val="00DC5185"/>
    <w:rsid w:val="00DC5235"/>
    <w:rsid w:val="00DC5404"/>
    <w:rsid w:val="00DC54FE"/>
    <w:rsid w:val="00DC5508"/>
    <w:rsid w:val="00DC5589"/>
    <w:rsid w:val="00DC5606"/>
    <w:rsid w:val="00DC5653"/>
    <w:rsid w:val="00DC583F"/>
    <w:rsid w:val="00DC5918"/>
    <w:rsid w:val="00DC5A1A"/>
    <w:rsid w:val="00DC5A34"/>
    <w:rsid w:val="00DC5A3D"/>
    <w:rsid w:val="00DC5A52"/>
    <w:rsid w:val="00DC5A81"/>
    <w:rsid w:val="00DC5B3D"/>
    <w:rsid w:val="00DC5BD5"/>
    <w:rsid w:val="00DC5E0B"/>
    <w:rsid w:val="00DC5EBC"/>
    <w:rsid w:val="00DC5F8E"/>
    <w:rsid w:val="00DC5FFA"/>
    <w:rsid w:val="00DC60B3"/>
    <w:rsid w:val="00DC6148"/>
    <w:rsid w:val="00DC61B2"/>
    <w:rsid w:val="00DC636E"/>
    <w:rsid w:val="00DC639D"/>
    <w:rsid w:val="00DC63CC"/>
    <w:rsid w:val="00DC643F"/>
    <w:rsid w:val="00DC65A8"/>
    <w:rsid w:val="00DC6671"/>
    <w:rsid w:val="00DC6679"/>
    <w:rsid w:val="00DC6762"/>
    <w:rsid w:val="00DC6933"/>
    <w:rsid w:val="00DC694E"/>
    <w:rsid w:val="00DC6A89"/>
    <w:rsid w:val="00DC6B60"/>
    <w:rsid w:val="00DC6D1B"/>
    <w:rsid w:val="00DC6D2A"/>
    <w:rsid w:val="00DC6DCA"/>
    <w:rsid w:val="00DC6DD6"/>
    <w:rsid w:val="00DC6E52"/>
    <w:rsid w:val="00DC6E56"/>
    <w:rsid w:val="00DC6E62"/>
    <w:rsid w:val="00DC6F1B"/>
    <w:rsid w:val="00DC709E"/>
    <w:rsid w:val="00DC70AF"/>
    <w:rsid w:val="00DC7166"/>
    <w:rsid w:val="00DC718F"/>
    <w:rsid w:val="00DC72E7"/>
    <w:rsid w:val="00DC7480"/>
    <w:rsid w:val="00DC751B"/>
    <w:rsid w:val="00DC7557"/>
    <w:rsid w:val="00DC7782"/>
    <w:rsid w:val="00DC779B"/>
    <w:rsid w:val="00DC79C9"/>
    <w:rsid w:val="00DC7A3E"/>
    <w:rsid w:val="00DC7AFA"/>
    <w:rsid w:val="00DC7B44"/>
    <w:rsid w:val="00DC7B96"/>
    <w:rsid w:val="00DC7BA5"/>
    <w:rsid w:val="00DC7D7E"/>
    <w:rsid w:val="00DC7E65"/>
    <w:rsid w:val="00DC7E85"/>
    <w:rsid w:val="00DC7EBB"/>
    <w:rsid w:val="00DC7EF4"/>
    <w:rsid w:val="00DC7F9A"/>
    <w:rsid w:val="00DD002C"/>
    <w:rsid w:val="00DD007D"/>
    <w:rsid w:val="00DD0102"/>
    <w:rsid w:val="00DD01B4"/>
    <w:rsid w:val="00DD021B"/>
    <w:rsid w:val="00DD03B5"/>
    <w:rsid w:val="00DD0490"/>
    <w:rsid w:val="00DD050A"/>
    <w:rsid w:val="00DD0646"/>
    <w:rsid w:val="00DD0726"/>
    <w:rsid w:val="00DD0775"/>
    <w:rsid w:val="00DD09E8"/>
    <w:rsid w:val="00DD0AC4"/>
    <w:rsid w:val="00DD0B4E"/>
    <w:rsid w:val="00DD0C0E"/>
    <w:rsid w:val="00DD0C73"/>
    <w:rsid w:val="00DD0C85"/>
    <w:rsid w:val="00DD0C8A"/>
    <w:rsid w:val="00DD0CA7"/>
    <w:rsid w:val="00DD0DC6"/>
    <w:rsid w:val="00DD0DCA"/>
    <w:rsid w:val="00DD0E34"/>
    <w:rsid w:val="00DD0EB9"/>
    <w:rsid w:val="00DD1048"/>
    <w:rsid w:val="00DD1148"/>
    <w:rsid w:val="00DD11DF"/>
    <w:rsid w:val="00DD11F3"/>
    <w:rsid w:val="00DD1206"/>
    <w:rsid w:val="00DD130F"/>
    <w:rsid w:val="00DD13D6"/>
    <w:rsid w:val="00DD143F"/>
    <w:rsid w:val="00DD144E"/>
    <w:rsid w:val="00DD1518"/>
    <w:rsid w:val="00DD16B1"/>
    <w:rsid w:val="00DD179A"/>
    <w:rsid w:val="00DD184F"/>
    <w:rsid w:val="00DD18AC"/>
    <w:rsid w:val="00DD1918"/>
    <w:rsid w:val="00DD1961"/>
    <w:rsid w:val="00DD198A"/>
    <w:rsid w:val="00DD19BF"/>
    <w:rsid w:val="00DD1ACB"/>
    <w:rsid w:val="00DD1B99"/>
    <w:rsid w:val="00DD1BA0"/>
    <w:rsid w:val="00DD1C00"/>
    <w:rsid w:val="00DD1C45"/>
    <w:rsid w:val="00DD1DBD"/>
    <w:rsid w:val="00DD1E56"/>
    <w:rsid w:val="00DD1F03"/>
    <w:rsid w:val="00DD1F44"/>
    <w:rsid w:val="00DD2006"/>
    <w:rsid w:val="00DD20F2"/>
    <w:rsid w:val="00DD20F7"/>
    <w:rsid w:val="00DD2127"/>
    <w:rsid w:val="00DD216F"/>
    <w:rsid w:val="00DD21ED"/>
    <w:rsid w:val="00DD2249"/>
    <w:rsid w:val="00DD232B"/>
    <w:rsid w:val="00DD249B"/>
    <w:rsid w:val="00DD24D2"/>
    <w:rsid w:val="00DD2526"/>
    <w:rsid w:val="00DD27D2"/>
    <w:rsid w:val="00DD2879"/>
    <w:rsid w:val="00DD29D1"/>
    <w:rsid w:val="00DD2A6F"/>
    <w:rsid w:val="00DD2A96"/>
    <w:rsid w:val="00DD2C4E"/>
    <w:rsid w:val="00DD2C83"/>
    <w:rsid w:val="00DD2D2C"/>
    <w:rsid w:val="00DD2E80"/>
    <w:rsid w:val="00DD2E9B"/>
    <w:rsid w:val="00DD320F"/>
    <w:rsid w:val="00DD3334"/>
    <w:rsid w:val="00DD33FC"/>
    <w:rsid w:val="00DD349B"/>
    <w:rsid w:val="00DD34DD"/>
    <w:rsid w:val="00DD3538"/>
    <w:rsid w:val="00DD386A"/>
    <w:rsid w:val="00DD3902"/>
    <w:rsid w:val="00DD3A52"/>
    <w:rsid w:val="00DD3BA1"/>
    <w:rsid w:val="00DD3C18"/>
    <w:rsid w:val="00DD3D2F"/>
    <w:rsid w:val="00DD3E34"/>
    <w:rsid w:val="00DD3F33"/>
    <w:rsid w:val="00DD3F68"/>
    <w:rsid w:val="00DD4114"/>
    <w:rsid w:val="00DD4223"/>
    <w:rsid w:val="00DD42F7"/>
    <w:rsid w:val="00DD4427"/>
    <w:rsid w:val="00DD4531"/>
    <w:rsid w:val="00DD457C"/>
    <w:rsid w:val="00DD4936"/>
    <w:rsid w:val="00DD4A1B"/>
    <w:rsid w:val="00DD4C36"/>
    <w:rsid w:val="00DD4D52"/>
    <w:rsid w:val="00DD4DE4"/>
    <w:rsid w:val="00DD4F34"/>
    <w:rsid w:val="00DD509C"/>
    <w:rsid w:val="00DD53D0"/>
    <w:rsid w:val="00DD549F"/>
    <w:rsid w:val="00DD55C9"/>
    <w:rsid w:val="00DD5679"/>
    <w:rsid w:val="00DD5766"/>
    <w:rsid w:val="00DD57E6"/>
    <w:rsid w:val="00DD581C"/>
    <w:rsid w:val="00DD581D"/>
    <w:rsid w:val="00DD5899"/>
    <w:rsid w:val="00DD58E4"/>
    <w:rsid w:val="00DD5931"/>
    <w:rsid w:val="00DD598F"/>
    <w:rsid w:val="00DD59F2"/>
    <w:rsid w:val="00DD5A19"/>
    <w:rsid w:val="00DD5AB7"/>
    <w:rsid w:val="00DD5AEC"/>
    <w:rsid w:val="00DD5B13"/>
    <w:rsid w:val="00DD5BDD"/>
    <w:rsid w:val="00DD5D7A"/>
    <w:rsid w:val="00DD5D8F"/>
    <w:rsid w:val="00DD5E2B"/>
    <w:rsid w:val="00DD5F22"/>
    <w:rsid w:val="00DD606F"/>
    <w:rsid w:val="00DD60C4"/>
    <w:rsid w:val="00DD6231"/>
    <w:rsid w:val="00DD6243"/>
    <w:rsid w:val="00DD63C3"/>
    <w:rsid w:val="00DD6430"/>
    <w:rsid w:val="00DD6433"/>
    <w:rsid w:val="00DD6491"/>
    <w:rsid w:val="00DD65F8"/>
    <w:rsid w:val="00DD682A"/>
    <w:rsid w:val="00DD6854"/>
    <w:rsid w:val="00DD694D"/>
    <w:rsid w:val="00DD69B3"/>
    <w:rsid w:val="00DD6C98"/>
    <w:rsid w:val="00DD6E17"/>
    <w:rsid w:val="00DD6ED7"/>
    <w:rsid w:val="00DD6ED8"/>
    <w:rsid w:val="00DD6F8B"/>
    <w:rsid w:val="00DD6FF4"/>
    <w:rsid w:val="00DD7000"/>
    <w:rsid w:val="00DD70E7"/>
    <w:rsid w:val="00DD7240"/>
    <w:rsid w:val="00DD7269"/>
    <w:rsid w:val="00DD72E5"/>
    <w:rsid w:val="00DD737B"/>
    <w:rsid w:val="00DD73D4"/>
    <w:rsid w:val="00DD75F5"/>
    <w:rsid w:val="00DD7710"/>
    <w:rsid w:val="00DD7768"/>
    <w:rsid w:val="00DD78C8"/>
    <w:rsid w:val="00DD78D3"/>
    <w:rsid w:val="00DD78D9"/>
    <w:rsid w:val="00DD7A0B"/>
    <w:rsid w:val="00DD7B9B"/>
    <w:rsid w:val="00DD7C87"/>
    <w:rsid w:val="00DD7D80"/>
    <w:rsid w:val="00DD7F12"/>
    <w:rsid w:val="00DE0018"/>
    <w:rsid w:val="00DE00F7"/>
    <w:rsid w:val="00DE020B"/>
    <w:rsid w:val="00DE021C"/>
    <w:rsid w:val="00DE035E"/>
    <w:rsid w:val="00DE039B"/>
    <w:rsid w:val="00DE042F"/>
    <w:rsid w:val="00DE05DD"/>
    <w:rsid w:val="00DE0655"/>
    <w:rsid w:val="00DE06C5"/>
    <w:rsid w:val="00DE07C2"/>
    <w:rsid w:val="00DE07ED"/>
    <w:rsid w:val="00DE08D9"/>
    <w:rsid w:val="00DE0937"/>
    <w:rsid w:val="00DE09DF"/>
    <w:rsid w:val="00DE0A37"/>
    <w:rsid w:val="00DE0A58"/>
    <w:rsid w:val="00DE0A95"/>
    <w:rsid w:val="00DE0B00"/>
    <w:rsid w:val="00DE0C34"/>
    <w:rsid w:val="00DE0D1F"/>
    <w:rsid w:val="00DE0D41"/>
    <w:rsid w:val="00DE0D69"/>
    <w:rsid w:val="00DE0FAD"/>
    <w:rsid w:val="00DE10EF"/>
    <w:rsid w:val="00DE1151"/>
    <w:rsid w:val="00DE121A"/>
    <w:rsid w:val="00DE1302"/>
    <w:rsid w:val="00DE146C"/>
    <w:rsid w:val="00DE1592"/>
    <w:rsid w:val="00DE15D8"/>
    <w:rsid w:val="00DE178F"/>
    <w:rsid w:val="00DE185C"/>
    <w:rsid w:val="00DE19E8"/>
    <w:rsid w:val="00DE1CE5"/>
    <w:rsid w:val="00DE1DA6"/>
    <w:rsid w:val="00DE1DB6"/>
    <w:rsid w:val="00DE1DF5"/>
    <w:rsid w:val="00DE1E5F"/>
    <w:rsid w:val="00DE1EE8"/>
    <w:rsid w:val="00DE1F61"/>
    <w:rsid w:val="00DE2001"/>
    <w:rsid w:val="00DE2094"/>
    <w:rsid w:val="00DE2190"/>
    <w:rsid w:val="00DE21C1"/>
    <w:rsid w:val="00DE223B"/>
    <w:rsid w:val="00DE2380"/>
    <w:rsid w:val="00DE2399"/>
    <w:rsid w:val="00DE23D2"/>
    <w:rsid w:val="00DE241E"/>
    <w:rsid w:val="00DE2503"/>
    <w:rsid w:val="00DE2629"/>
    <w:rsid w:val="00DE2662"/>
    <w:rsid w:val="00DE2766"/>
    <w:rsid w:val="00DE29F9"/>
    <w:rsid w:val="00DE2B6F"/>
    <w:rsid w:val="00DE2C42"/>
    <w:rsid w:val="00DE2CC3"/>
    <w:rsid w:val="00DE3046"/>
    <w:rsid w:val="00DE31C2"/>
    <w:rsid w:val="00DE3396"/>
    <w:rsid w:val="00DE339A"/>
    <w:rsid w:val="00DE3418"/>
    <w:rsid w:val="00DE3514"/>
    <w:rsid w:val="00DE354D"/>
    <w:rsid w:val="00DE3662"/>
    <w:rsid w:val="00DE37B3"/>
    <w:rsid w:val="00DE37DE"/>
    <w:rsid w:val="00DE3802"/>
    <w:rsid w:val="00DE3861"/>
    <w:rsid w:val="00DE3904"/>
    <w:rsid w:val="00DE3932"/>
    <w:rsid w:val="00DE3B0F"/>
    <w:rsid w:val="00DE3B42"/>
    <w:rsid w:val="00DE3B53"/>
    <w:rsid w:val="00DE3CC3"/>
    <w:rsid w:val="00DE3D61"/>
    <w:rsid w:val="00DE3D77"/>
    <w:rsid w:val="00DE3DDB"/>
    <w:rsid w:val="00DE3F24"/>
    <w:rsid w:val="00DE3F5B"/>
    <w:rsid w:val="00DE3FC3"/>
    <w:rsid w:val="00DE40D5"/>
    <w:rsid w:val="00DE41DB"/>
    <w:rsid w:val="00DE4220"/>
    <w:rsid w:val="00DE4238"/>
    <w:rsid w:val="00DE440A"/>
    <w:rsid w:val="00DE464B"/>
    <w:rsid w:val="00DE465F"/>
    <w:rsid w:val="00DE470B"/>
    <w:rsid w:val="00DE4717"/>
    <w:rsid w:val="00DE4782"/>
    <w:rsid w:val="00DE496A"/>
    <w:rsid w:val="00DE4983"/>
    <w:rsid w:val="00DE49DA"/>
    <w:rsid w:val="00DE49E6"/>
    <w:rsid w:val="00DE49FC"/>
    <w:rsid w:val="00DE4AB4"/>
    <w:rsid w:val="00DE4B4C"/>
    <w:rsid w:val="00DE4B5C"/>
    <w:rsid w:val="00DE4C62"/>
    <w:rsid w:val="00DE4DC2"/>
    <w:rsid w:val="00DE4E23"/>
    <w:rsid w:val="00DE4EC1"/>
    <w:rsid w:val="00DE4FF8"/>
    <w:rsid w:val="00DE50DB"/>
    <w:rsid w:val="00DE50F4"/>
    <w:rsid w:val="00DE5289"/>
    <w:rsid w:val="00DE52B2"/>
    <w:rsid w:val="00DE532B"/>
    <w:rsid w:val="00DE53C3"/>
    <w:rsid w:val="00DE53F0"/>
    <w:rsid w:val="00DE541C"/>
    <w:rsid w:val="00DE55A1"/>
    <w:rsid w:val="00DE56E7"/>
    <w:rsid w:val="00DE570A"/>
    <w:rsid w:val="00DE5AE2"/>
    <w:rsid w:val="00DE5AFF"/>
    <w:rsid w:val="00DE5B54"/>
    <w:rsid w:val="00DE5C31"/>
    <w:rsid w:val="00DE5DAE"/>
    <w:rsid w:val="00DE5E8E"/>
    <w:rsid w:val="00DE604D"/>
    <w:rsid w:val="00DE609D"/>
    <w:rsid w:val="00DE60C8"/>
    <w:rsid w:val="00DE616D"/>
    <w:rsid w:val="00DE6368"/>
    <w:rsid w:val="00DE6386"/>
    <w:rsid w:val="00DE658F"/>
    <w:rsid w:val="00DE6631"/>
    <w:rsid w:val="00DE6683"/>
    <w:rsid w:val="00DE6798"/>
    <w:rsid w:val="00DE6978"/>
    <w:rsid w:val="00DE6A6E"/>
    <w:rsid w:val="00DE6AA0"/>
    <w:rsid w:val="00DE6BD9"/>
    <w:rsid w:val="00DE6C1A"/>
    <w:rsid w:val="00DE6D9D"/>
    <w:rsid w:val="00DE6DAB"/>
    <w:rsid w:val="00DE6DBA"/>
    <w:rsid w:val="00DE6EFE"/>
    <w:rsid w:val="00DE6F34"/>
    <w:rsid w:val="00DE6F73"/>
    <w:rsid w:val="00DE6F77"/>
    <w:rsid w:val="00DE712D"/>
    <w:rsid w:val="00DE71E8"/>
    <w:rsid w:val="00DE72CA"/>
    <w:rsid w:val="00DE72F0"/>
    <w:rsid w:val="00DE742A"/>
    <w:rsid w:val="00DE74C8"/>
    <w:rsid w:val="00DE751C"/>
    <w:rsid w:val="00DE7635"/>
    <w:rsid w:val="00DE771D"/>
    <w:rsid w:val="00DE78EB"/>
    <w:rsid w:val="00DE78F7"/>
    <w:rsid w:val="00DE7975"/>
    <w:rsid w:val="00DE79EE"/>
    <w:rsid w:val="00DE7AE5"/>
    <w:rsid w:val="00DE7BBB"/>
    <w:rsid w:val="00DE7E01"/>
    <w:rsid w:val="00DE7EC6"/>
    <w:rsid w:val="00DE7FFC"/>
    <w:rsid w:val="00DF00C4"/>
    <w:rsid w:val="00DF0101"/>
    <w:rsid w:val="00DF01C0"/>
    <w:rsid w:val="00DF01CF"/>
    <w:rsid w:val="00DF01D9"/>
    <w:rsid w:val="00DF01FF"/>
    <w:rsid w:val="00DF05E7"/>
    <w:rsid w:val="00DF0627"/>
    <w:rsid w:val="00DF065F"/>
    <w:rsid w:val="00DF06A2"/>
    <w:rsid w:val="00DF0708"/>
    <w:rsid w:val="00DF071D"/>
    <w:rsid w:val="00DF0722"/>
    <w:rsid w:val="00DF0796"/>
    <w:rsid w:val="00DF079A"/>
    <w:rsid w:val="00DF07B7"/>
    <w:rsid w:val="00DF0840"/>
    <w:rsid w:val="00DF08C5"/>
    <w:rsid w:val="00DF097B"/>
    <w:rsid w:val="00DF0C3B"/>
    <w:rsid w:val="00DF0C6A"/>
    <w:rsid w:val="00DF0DF6"/>
    <w:rsid w:val="00DF0F48"/>
    <w:rsid w:val="00DF1066"/>
    <w:rsid w:val="00DF106B"/>
    <w:rsid w:val="00DF11E4"/>
    <w:rsid w:val="00DF12C7"/>
    <w:rsid w:val="00DF1304"/>
    <w:rsid w:val="00DF1387"/>
    <w:rsid w:val="00DF154E"/>
    <w:rsid w:val="00DF15AE"/>
    <w:rsid w:val="00DF1726"/>
    <w:rsid w:val="00DF1791"/>
    <w:rsid w:val="00DF17C9"/>
    <w:rsid w:val="00DF1897"/>
    <w:rsid w:val="00DF18C2"/>
    <w:rsid w:val="00DF190F"/>
    <w:rsid w:val="00DF1911"/>
    <w:rsid w:val="00DF1930"/>
    <w:rsid w:val="00DF1990"/>
    <w:rsid w:val="00DF1B31"/>
    <w:rsid w:val="00DF1B39"/>
    <w:rsid w:val="00DF1C25"/>
    <w:rsid w:val="00DF1D08"/>
    <w:rsid w:val="00DF1D60"/>
    <w:rsid w:val="00DF2262"/>
    <w:rsid w:val="00DF22FB"/>
    <w:rsid w:val="00DF23A1"/>
    <w:rsid w:val="00DF252D"/>
    <w:rsid w:val="00DF2569"/>
    <w:rsid w:val="00DF25ED"/>
    <w:rsid w:val="00DF261B"/>
    <w:rsid w:val="00DF26DB"/>
    <w:rsid w:val="00DF27E9"/>
    <w:rsid w:val="00DF280A"/>
    <w:rsid w:val="00DF2940"/>
    <w:rsid w:val="00DF2A21"/>
    <w:rsid w:val="00DF2A41"/>
    <w:rsid w:val="00DF2B51"/>
    <w:rsid w:val="00DF2C0D"/>
    <w:rsid w:val="00DF2C19"/>
    <w:rsid w:val="00DF2CCA"/>
    <w:rsid w:val="00DF2D7E"/>
    <w:rsid w:val="00DF2EDF"/>
    <w:rsid w:val="00DF2FAA"/>
    <w:rsid w:val="00DF30C0"/>
    <w:rsid w:val="00DF3145"/>
    <w:rsid w:val="00DF3174"/>
    <w:rsid w:val="00DF31CF"/>
    <w:rsid w:val="00DF33BE"/>
    <w:rsid w:val="00DF350B"/>
    <w:rsid w:val="00DF3555"/>
    <w:rsid w:val="00DF373F"/>
    <w:rsid w:val="00DF390A"/>
    <w:rsid w:val="00DF3939"/>
    <w:rsid w:val="00DF39BA"/>
    <w:rsid w:val="00DF3AF5"/>
    <w:rsid w:val="00DF3B13"/>
    <w:rsid w:val="00DF3BC2"/>
    <w:rsid w:val="00DF3C6C"/>
    <w:rsid w:val="00DF3DB2"/>
    <w:rsid w:val="00DF3DE4"/>
    <w:rsid w:val="00DF3EF3"/>
    <w:rsid w:val="00DF3FCF"/>
    <w:rsid w:val="00DF403C"/>
    <w:rsid w:val="00DF40A3"/>
    <w:rsid w:val="00DF422C"/>
    <w:rsid w:val="00DF4293"/>
    <w:rsid w:val="00DF436E"/>
    <w:rsid w:val="00DF439A"/>
    <w:rsid w:val="00DF43A3"/>
    <w:rsid w:val="00DF4424"/>
    <w:rsid w:val="00DF4541"/>
    <w:rsid w:val="00DF45DD"/>
    <w:rsid w:val="00DF4646"/>
    <w:rsid w:val="00DF47A3"/>
    <w:rsid w:val="00DF480A"/>
    <w:rsid w:val="00DF4900"/>
    <w:rsid w:val="00DF4919"/>
    <w:rsid w:val="00DF4A89"/>
    <w:rsid w:val="00DF4B32"/>
    <w:rsid w:val="00DF4C38"/>
    <w:rsid w:val="00DF4CA3"/>
    <w:rsid w:val="00DF4D2D"/>
    <w:rsid w:val="00DF4D66"/>
    <w:rsid w:val="00DF4F8C"/>
    <w:rsid w:val="00DF4FD2"/>
    <w:rsid w:val="00DF5001"/>
    <w:rsid w:val="00DF50C3"/>
    <w:rsid w:val="00DF51C1"/>
    <w:rsid w:val="00DF52F3"/>
    <w:rsid w:val="00DF5566"/>
    <w:rsid w:val="00DF5642"/>
    <w:rsid w:val="00DF5645"/>
    <w:rsid w:val="00DF56F9"/>
    <w:rsid w:val="00DF57EA"/>
    <w:rsid w:val="00DF58DC"/>
    <w:rsid w:val="00DF5961"/>
    <w:rsid w:val="00DF5985"/>
    <w:rsid w:val="00DF5AED"/>
    <w:rsid w:val="00DF5CB1"/>
    <w:rsid w:val="00DF5DFC"/>
    <w:rsid w:val="00DF5E9B"/>
    <w:rsid w:val="00DF5EAC"/>
    <w:rsid w:val="00DF5F77"/>
    <w:rsid w:val="00DF5FB1"/>
    <w:rsid w:val="00DF5FB8"/>
    <w:rsid w:val="00DF5FD9"/>
    <w:rsid w:val="00DF601E"/>
    <w:rsid w:val="00DF606D"/>
    <w:rsid w:val="00DF607D"/>
    <w:rsid w:val="00DF60CB"/>
    <w:rsid w:val="00DF618B"/>
    <w:rsid w:val="00DF6532"/>
    <w:rsid w:val="00DF6591"/>
    <w:rsid w:val="00DF6615"/>
    <w:rsid w:val="00DF67AA"/>
    <w:rsid w:val="00DF67BC"/>
    <w:rsid w:val="00DF67CC"/>
    <w:rsid w:val="00DF68E3"/>
    <w:rsid w:val="00DF6B60"/>
    <w:rsid w:val="00DF6BAF"/>
    <w:rsid w:val="00DF6C96"/>
    <w:rsid w:val="00DF6CEA"/>
    <w:rsid w:val="00DF6CF0"/>
    <w:rsid w:val="00DF7094"/>
    <w:rsid w:val="00DF70D6"/>
    <w:rsid w:val="00DF70F5"/>
    <w:rsid w:val="00DF716C"/>
    <w:rsid w:val="00DF721D"/>
    <w:rsid w:val="00DF736F"/>
    <w:rsid w:val="00DF7397"/>
    <w:rsid w:val="00DF7424"/>
    <w:rsid w:val="00DF757A"/>
    <w:rsid w:val="00DF7650"/>
    <w:rsid w:val="00DF768A"/>
    <w:rsid w:val="00DF773F"/>
    <w:rsid w:val="00DF77A0"/>
    <w:rsid w:val="00DF7801"/>
    <w:rsid w:val="00DF7827"/>
    <w:rsid w:val="00DF782B"/>
    <w:rsid w:val="00DF78DB"/>
    <w:rsid w:val="00DF7975"/>
    <w:rsid w:val="00DF79CD"/>
    <w:rsid w:val="00DF7B10"/>
    <w:rsid w:val="00DF7DDD"/>
    <w:rsid w:val="00DF7E93"/>
    <w:rsid w:val="00E00022"/>
    <w:rsid w:val="00E0020B"/>
    <w:rsid w:val="00E00402"/>
    <w:rsid w:val="00E0047E"/>
    <w:rsid w:val="00E00513"/>
    <w:rsid w:val="00E006C1"/>
    <w:rsid w:val="00E006C2"/>
    <w:rsid w:val="00E006D6"/>
    <w:rsid w:val="00E0072C"/>
    <w:rsid w:val="00E0079F"/>
    <w:rsid w:val="00E009D5"/>
    <w:rsid w:val="00E009FF"/>
    <w:rsid w:val="00E00A02"/>
    <w:rsid w:val="00E00A2C"/>
    <w:rsid w:val="00E00ACD"/>
    <w:rsid w:val="00E00BB3"/>
    <w:rsid w:val="00E00C16"/>
    <w:rsid w:val="00E00C63"/>
    <w:rsid w:val="00E00DAA"/>
    <w:rsid w:val="00E00E82"/>
    <w:rsid w:val="00E00EE3"/>
    <w:rsid w:val="00E00EE5"/>
    <w:rsid w:val="00E010FA"/>
    <w:rsid w:val="00E011B5"/>
    <w:rsid w:val="00E0136C"/>
    <w:rsid w:val="00E015B6"/>
    <w:rsid w:val="00E015EC"/>
    <w:rsid w:val="00E016C0"/>
    <w:rsid w:val="00E017DC"/>
    <w:rsid w:val="00E01841"/>
    <w:rsid w:val="00E0185D"/>
    <w:rsid w:val="00E019A5"/>
    <w:rsid w:val="00E01AF6"/>
    <w:rsid w:val="00E01AFA"/>
    <w:rsid w:val="00E01B2B"/>
    <w:rsid w:val="00E01BA5"/>
    <w:rsid w:val="00E01CAB"/>
    <w:rsid w:val="00E01DDF"/>
    <w:rsid w:val="00E01E64"/>
    <w:rsid w:val="00E01FA2"/>
    <w:rsid w:val="00E01FE3"/>
    <w:rsid w:val="00E01FE4"/>
    <w:rsid w:val="00E01FF5"/>
    <w:rsid w:val="00E021C6"/>
    <w:rsid w:val="00E02251"/>
    <w:rsid w:val="00E024F3"/>
    <w:rsid w:val="00E0253D"/>
    <w:rsid w:val="00E025C2"/>
    <w:rsid w:val="00E0263D"/>
    <w:rsid w:val="00E0264A"/>
    <w:rsid w:val="00E026F8"/>
    <w:rsid w:val="00E02732"/>
    <w:rsid w:val="00E027C9"/>
    <w:rsid w:val="00E027D5"/>
    <w:rsid w:val="00E02899"/>
    <w:rsid w:val="00E02A4C"/>
    <w:rsid w:val="00E02A8C"/>
    <w:rsid w:val="00E02B31"/>
    <w:rsid w:val="00E02BED"/>
    <w:rsid w:val="00E02CA0"/>
    <w:rsid w:val="00E02CBB"/>
    <w:rsid w:val="00E02D01"/>
    <w:rsid w:val="00E02D79"/>
    <w:rsid w:val="00E02F67"/>
    <w:rsid w:val="00E0305A"/>
    <w:rsid w:val="00E03130"/>
    <w:rsid w:val="00E0325C"/>
    <w:rsid w:val="00E0331A"/>
    <w:rsid w:val="00E0331E"/>
    <w:rsid w:val="00E03367"/>
    <w:rsid w:val="00E0339C"/>
    <w:rsid w:val="00E03403"/>
    <w:rsid w:val="00E03423"/>
    <w:rsid w:val="00E03441"/>
    <w:rsid w:val="00E034B6"/>
    <w:rsid w:val="00E03557"/>
    <w:rsid w:val="00E037D0"/>
    <w:rsid w:val="00E037D1"/>
    <w:rsid w:val="00E037FB"/>
    <w:rsid w:val="00E038CB"/>
    <w:rsid w:val="00E038DE"/>
    <w:rsid w:val="00E03A9F"/>
    <w:rsid w:val="00E03ADC"/>
    <w:rsid w:val="00E03BA5"/>
    <w:rsid w:val="00E03C6A"/>
    <w:rsid w:val="00E03C95"/>
    <w:rsid w:val="00E03C9B"/>
    <w:rsid w:val="00E03CDC"/>
    <w:rsid w:val="00E03CEB"/>
    <w:rsid w:val="00E03CFE"/>
    <w:rsid w:val="00E03EE0"/>
    <w:rsid w:val="00E04077"/>
    <w:rsid w:val="00E040F6"/>
    <w:rsid w:val="00E042B7"/>
    <w:rsid w:val="00E042D4"/>
    <w:rsid w:val="00E0430B"/>
    <w:rsid w:val="00E0430D"/>
    <w:rsid w:val="00E04479"/>
    <w:rsid w:val="00E044D1"/>
    <w:rsid w:val="00E04691"/>
    <w:rsid w:val="00E04765"/>
    <w:rsid w:val="00E047D0"/>
    <w:rsid w:val="00E0480B"/>
    <w:rsid w:val="00E04842"/>
    <w:rsid w:val="00E04A76"/>
    <w:rsid w:val="00E04ACB"/>
    <w:rsid w:val="00E04B94"/>
    <w:rsid w:val="00E04C21"/>
    <w:rsid w:val="00E04C24"/>
    <w:rsid w:val="00E04D09"/>
    <w:rsid w:val="00E04D30"/>
    <w:rsid w:val="00E04D82"/>
    <w:rsid w:val="00E04E2A"/>
    <w:rsid w:val="00E04ED2"/>
    <w:rsid w:val="00E04F60"/>
    <w:rsid w:val="00E04F8E"/>
    <w:rsid w:val="00E0513F"/>
    <w:rsid w:val="00E05177"/>
    <w:rsid w:val="00E05184"/>
    <w:rsid w:val="00E051C5"/>
    <w:rsid w:val="00E053A3"/>
    <w:rsid w:val="00E05457"/>
    <w:rsid w:val="00E055A4"/>
    <w:rsid w:val="00E056F7"/>
    <w:rsid w:val="00E05710"/>
    <w:rsid w:val="00E057F1"/>
    <w:rsid w:val="00E05810"/>
    <w:rsid w:val="00E05913"/>
    <w:rsid w:val="00E059C6"/>
    <w:rsid w:val="00E05B01"/>
    <w:rsid w:val="00E05B13"/>
    <w:rsid w:val="00E05B7E"/>
    <w:rsid w:val="00E05B8C"/>
    <w:rsid w:val="00E05CE5"/>
    <w:rsid w:val="00E05D16"/>
    <w:rsid w:val="00E05E22"/>
    <w:rsid w:val="00E05E4E"/>
    <w:rsid w:val="00E05FF3"/>
    <w:rsid w:val="00E06076"/>
    <w:rsid w:val="00E06120"/>
    <w:rsid w:val="00E0634F"/>
    <w:rsid w:val="00E0638B"/>
    <w:rsid w:val="00E06447"/>
    <w:rsid w:val="00E06884"/>
    <w:rsid w:val="00E06AD0"/>
    <w:rsid w:val="00E06B7D"/>
    <w:rsid w:val="00E06BE3"/>
    <w:rsid w:val="00E06E0F"/>
    <w:rsid w:val="00E06F7D"/>
    <w:rsid w:val="00E06FC8"/>
    <w:rsid w:val="00E07210"/>
    <w:rsid w:val="00E07280"/>
    <w:rsid w:val="00E072B2"/>
    <w:rsid w:val="00E0742C"/>
    <w:rsid w:val="00E07496"/>
    <w:rsid w:val="00E07576"/>
    <w:rsid w:val="00E075C4"/>
    <w:rsid w:val="00E07670"/>
    <w:rsid w:val="00E076E6"/>
    <w:rsid w:val="00E077EF"/>
    <w:rsid w:val="00E078CA"/>
    <w:rsid w:val="00E07924"/>
    <w:rsid w:val="00E079A0"/>
    <w:rsid w:val="00E079A1"/>
    <w:rsid w:val="00E079B3"/>
    <w:rsid w:val="00E07A41"/>
    <w:rsid w:val="00E07A5F"/>
    <w:rsid w:val="00E07C17"/>
    <w:rsid w:val="00E07C20"/>
    <w:rsid w:val="00E07C85"/>
    <w:rsid w:val="00E07D29"/>
    <w:rsid w:val="00E07D39"/>
    <w:rsid w:val="00E07DB9"/>
    <w:rsid w:val="00E07E3D"/>
    <w:rsid w:val="00E07F7D"/>
    <w:rsid w:val="00E07F84"/>
    <w:rsid w:val="00E07FD2"/>
    <w:rsid w:val="00E100EB"/>
    <w:rsid w:val="00E101B7"/>
    <w:rsid w:val="00E101C6"/>
    <w:rsid w:val="00E1022F"/>
    <w:rsid w:val="00E1025F"/>
    <w:rsid w:val="00E1027B"/>
    <w:rsid w:val="00E102F2"/>
    <w:rsid w:val="00E1035B"/>
    <w:rsid w:val="00E103E3"/>
    <w:rsid w:val="00E1040D"/>
    <w:rsid w:val="00E1041C"/>
    <w:rsid w:val="00E10495"/>
    <w:rsid w:val="00E10542"/>
    <w:rsid w:val="00E105B7"/>
    <w:rsid w:val="00E106AD"/>
    <w:rsid w:val="00E106D3"/>
    <w:rsid w:val="00E107E4"/>
    <w:rsid w:val="00E10946"/>
    <w:rsid w:val="00E10981"/>
    <w:rsid w:val="00E109F5"/>
    <w:rsid w:val="00E10A00"/>
    <w:rsid w:val="00E10BBD"/>
    <w:rsid w:val="00E10D75"/>
    <w:rsid w:val="00E10E30"/>
    <w:rsid w:val="00E10E41"/>
    <w:rsid w:val="00E10EBB"/>
    <w:rsid w:val="00E10ED4"/>
    <w:rsid w:val="00E10FAC"/>
    <w:rsid w:val="00E1106D"/>
    <w:rsid w:val="00E1107B"/>
    <w:rsid w:val="00E11270"/>
    <w:rsid w:val="00E11282"/>
    <w:rsid w:val="00E112DF"/>
    <w:rsid w:val="00E11592"/>
    <w:rsid w:val="00E115C6"/>
    <w:rsid w:val="00E115D5"/>
    <w:rsid w:val="00E116A4"/>
    <w:rsid w:val="00E11773"/>
    <w:rsid w:val="00E11A2B"/>
    <w:rsid w:val="00E11B1D"/>
    <w:rsid w:val="00E11B8C"/>
    <w:rsid w:val="00E11BDA"/>
    <w:rsid w:val="00E11D86"/>
    <w:rsid w:val="00E11E5E"/>
    <w:rsid w:val="00E11E65"/>
    <w:rsid w:val="00E11EF8"/>
    <w:rsid w:val="00E11F2C"/>
    <w:rsid w:val="00E11F58"/>
    <w:rsid w:val="00E1206F"/>
    <w:rsid w:val="00E120B6"/>
    <w:rsid w:val="00E12120"/>
    <w:rsid w:val="00E1227E"/>
    <w:rsid w:val="00E12495"/>
    <w:rsid w:val="00E124AB"/>
    <w:rsid w:val="00E124BD"/>
    <w:rsid w:val="00E124C5"/>
    <w:rsid w:val="00E12549"/>
    <w:rsid w:val="00E1254A"/>
    <w:rsid w:val="00E125C8"/>
    <w:rsid w:val="00E126A8"/>
    <w:rsid w:val="00E12735"/>
    <w:rsid w:val="00E127C6"/>
    <w:rsid w:val="00E12805"/>
    <w:rsid w:val="00E12808"/>
    <w:rsid w:val="00E12843"/>
    <w:rsid w:val="00E12889"/>
    <w:rsid w:val="00E128E4"/>
    <w:rsid w:val="00E12985"/>
    <w:rsid w:val="00E129D5"/>
    <w:rsid w:val="00E12A36"/>
    <w:rsid w:val="00E12AAB"/>
    <w:rsid w:val="00E12B27"/>
    <w:rsid w:val="00E12B51"/>
    <w:rsid w:val="00E12B7F"/>
    <w:rsid w:val="00E12BD5"/>
    <w:rsid w:val="00E12BDB"/>
    <w:rsid w:val="00E12BE1"/>
    <w:rsid w:val="00E12C7B"/>
    <w:rsid w:val="00E12C94"/>
    <w:rsid w:val="00E12C99"/>
    <w:rsid w:val="00E12CA3"/>
    <w:rsid w:val="00E12D94"/>
    <w:rsid w:val="00E12E53"/>
    <w:rsid w:val="00E12F0C"/>
    <w:rsid w:val="00E13000"/>
    <w:rsid w:val="00E1303C"/>
    <w:rsid w:val="00E132D9"/>
    <w:rsid w:val="00E133A5"/>
    <w:rsid w:val="00E133CC"/>
    <w:rsid w:val="00E134A8"/>
    <w:rsid w:val="00E134B1"/>
    <w:rsid w:val="00E1353A"/>
    <w:rsid w:val="00E138AA"/>
    <w:rsid w:val="00E1391A"/>
    <w:rsid w:val="00E139E9"/>
    <w:rsid w:val="00E13B3F"/>
    <w:rsid w:val="00E13B65"/>
    <w:rsid w:val="00E13E3B"/>
    <w:rsid w:val="00E14159"/>
    <w:rsid w:val="00E1418A"/>
    <w:rsid w:val="00E141E8"/>
    <w:rsid w:val="00E141F3"/>
    <w:rsid w:val="00E14274"/>
    <w:rsid w:val="00E142EC"/>
    <w:rsid w:val="00E144D3"/>
    <w:rsid w:val="00E14551"/>
    <w:rsid w:val="00E14794"/>
    <w:rsid w:val="00E1487B"/>
    <w:rsid w:val="00E14930"/>
    <w:rsid w:val="00E14A46"/>
    <w:rsid w:val="00E14A91"/>
    <w:rsid w:val="00E14BCC"/>
    <w:rsid w:val="00E14C40"/>
    <w:rsid w:val="00E14C8E"/>
    <w:rsid w:val="00E14D95"/>
    <w:rsid w:val="00E14DB1"/>
    <w:rsid w:val="00E14EBC"/>
    <w:rsid w:val="00E14EE4"/>
    <w:rsid w:val="00E14EED"/>
    <w:rsid w:val="00E14F7A"/>
    <w:rsid w:val="00E14FC4"/>
    <w:rsid w:val="00E151BD"/>
    <w:rsid w:val="00E15201"/>
    <w:rsid w:val="00E1520A"/>
    <w:rsid w:val="00E15340"/>
    <w:rsid w:val="00E1538E"/>
    <w:rsid w:val="00E1548E"/>
    <w:rsid w:val="00E154CF"/>
    <w:rsid w:val="00E1552B"/>
    <w:rsid w:val="00E1561A"/>
    <w:rsid w:val="00E1563B"/>
    <w:rsid w:val="00E15760"/>
    <w:rsid w:val="00E15975"/>
    <w:rsid w:val="00E159EE"/>
    <w:rsid w:val="00E15A7B"/>
    <w:rsid w:val="00E15AC5"/>
    <w:rsid w:val="00E15BC0"/>
    <w:rsid w:val="00E15BE5"/>
    <w:rsid w:val="00E15C3B"/>
    <w:rsid w:val="00E15C95"/>
    <w:rsid w:val="00E15DA3"/>
    <w:rsid w:val="00E15DC4"/>
    <w:rsid w:val="00E16007"/>
    <w:rsid w:val="00E1602A"/>
    <w:rsid w:val="00E161A0"/>
    <w:rsid w:val="00E161A1"/>
    <w:rsid w:val="00E16278"/>
    <w:rsid w:val="00E162ED"/>
    <w:rsid w:val="00E163A7"/>
    <w:rsid w:val="00E163B0"/>
    <w:rsid w:val="00E16416"/>
    <w:rsid w:val="00E16442"/>
    <w:rsid w:val="00E16457"/>
    <w:rsid w:val="00E1647C"/>
    <w:rsid w:val="00E16521"/>
    <w:rsid w:val="00E1658F"/>
    <w:rsid w:val="00E165D0"/>
    <w:rsid w:val="00E166A1"/>
    <w:rsid w:val="00E16749"/>
    <w:rsid w:val="00E16780"/>
    <w:rsid w:val="00E16850"/>
    <w:rsid w:val="00E1685C"/>
    <w:rsid w:val="00E168A9"/>
    <w:rsid w:val="00E169F5"/>
    <w:rsid w:val="00E16ADD"/>
    <w:rsid w:val="00E16AED"/>
    <w:rsid w:val="00E16B0E"/>
    <w:rsid w:val="00E16C24"/>
    <w:rsid w:val="00E16D0E"/>
    <w:rsid w:val="00E16D32"/>
    <w:rsid w:val="00E16DE1"/>
    <w:rsid w:val="00E16DF5"/>
    <w:rsid w:val="00E170CE"/>
    <w:rsid w:val="00E171A0"/>
    <w:rsid w:val="00E171F4"/>
    <w:rsid w:val="00E17305"/>
    <w:rsid w:val="00E173A6"/>
    <w:rsid w:val="00E173AD"/>
    <w:rsid w:val="00E173BC"/>
    <w:rsid w:val="00E1746F"/>
    <w:rsid w:val="00E17483"/>
    <w:rsid w:val="00E17734"/>
    <w:rsid w:val="00E17757"/>
    <w:rsid w:val="00E1782F"/>
    <w:rsid w:val="00E179B4"/>
    <w:rsid w:val="00E17A8C"/>
    <w:rsid w:val="00E17AD4"/>
    <w:rsid w:val="00E17AFB"/>
    <w:rsid w:val="00E17BFE"/>
    <w:rsid w:val="00E17D56"/>
    <w:rsid w:val="00E17DA8"/>
    <w:rsid w:val="00E17DC3"/>
    <w:rsid w:val="00E17DF0"/>
    <w:rsid w:val="00E17E85"/>
    <w:rsid w:val="00E17F2E"/>
    <w:rsid w:val="00E17F3A"/>
    <w:rsid w:val="00E20158"/>
    <w:rsid w:val="00E20200"/>
    <w:rsid w:val="00E20232"/>
    <w:rsid w:val="00E20363"/>
    <w:rsid w:val="00E20411"/>
    <w:rsid w:val="00E2041B"/>
    <w:rsid w:val="00E2044D"/>
    <w:rsid w:val="00E20507"/>
    <w:rsid w:val="00E2054A"/>
    <w:rsid w:val="00E2055D"/>
    <w:rsid w:val="00E205DD"/>
    <w:rsid w:val="00E20680"/>
    <w:rsid w:val="00E208C9"/>
    <w:rsid w:val="00E2099A"/>
    <w:rsid w:val="00E20AA4"/>
    <w:rsid w:val="00E20B58"/>
    <w:rsid w:val="00E20C21"/>
    <w:rsid w:val="00E20D42"/>
    <w:rsid w:val="00E20DEE"/>
    <w:rsid w:val="00E20E8D"/>
    <w:rsid w:val="00E20EA4"/>
    <w:rsid w:val="00E20EFF"/>
    <w:rsid w:val="00E20FC0"/>
    <w:rsid w:val="00E210CF"/>
    <w:rsid w:val="00E211E0"/>
    <w:rsid w:val="00E21239"/>
    <w:rsid w:val="00E213D7"/>
    <w:rsid w:val="00E214E1"/>
    <w:rsid w:val="00E215BD"/>
    <w:rsid w:val="00E2165D"/>
    <w:rsid w:val="00E216E2"/>
    <w:rsid w:val="00E21840"/>
    <w:rsid w:val="00E2186E"/>
    <w:rsid w:val="00E21934"/>
    <w:rsid w:val="00E21AAC"/>
    <w:rsid w:val="00E21B00"/>
    <w:rsid w:val="00E21B70"/>
    <w:rsid w:val="00E21C00"/>
    <w:rsid w:val="00E21D8A"/>
    <w:rsid w:val="00E21F73"/>
    <w:rsid w:val="00E21F8F"/>
    <w:rsid w:val="00E220B8"/>
    <w:rsid w:val="00E220CD"/>
    <w:rsid w:val="00E2210F"/>
    <w:rsid w:val="00E22185"/>
    <w:rsid w:val="00E221CD"/>
    <w:rsid w:val="00E221DA"/>
    <w:rsid w:val="00E221E2"/>
    <w:rsid w:val="00E22211"/>
    <w:rsid w:val="00E22288"/>
    <w:rsid w:val="00E22334"/>
    <w:rsid w:val="00E22339"/>
    <w:rsid w:val="00E223C1"/>
    <w:rsid w:val="00E22403"/>
    <w:rsid w:val="00E22472"/>
    <w:rsid w:val="00E22556"/>
    <w:rsid w:val="00E2258E"/>
    <w:rsid w:val="00E2259E"/>
    <w:rsid w:val="00E22600"/>
    <w:rsid w:val="00E22610"/>
    <w:rsid w:val="00E226DE"/>
    <w:rsid w:val="00E22751"/>
    <w:rsid w:val="00E2279A"/>
    <w:rsid w:val="00E22946"/>
    <w:rsid w:val="00E2294F"/>
    <w:rsid w:val="00E22A6A"/>
    <w:rsid w:val="00E22A84"/>
    <w:rsid w:val="00E22BCF"/>
    <w:rsid w:val="00E22D51"/>
    <w:rsid w:val="00E22E7F"/>
    <w:rsid w:val="00E22ED7"/>
    <w:rsid w:val="00E22F62"/>
    <w:rsid w:val="00E22FF5"/>
    <w:rsid w:val="00E2309D"/>
    <w:rsid w:val="00E23254"/>
    <w:rsid w:val="00E232CE"/>
    <w:rsid w:val="00E2333D"/>
    <w:rsid w:val="00E23346"/>
    <w:rsid w:val="00E233DE"/>
    <w:rsid w:val="00E23463"/>
    <w:rsid w:val="00E23629"/>
    <w:rsid w:val="00E236D7"/>
    <w:rsid w:val="00E23754"/>
    <w:rsid w:val="00E2378C"/>
    <w:rsid w:val="00E23919"/>
    <w:rsid w:val="00E23921"/>
    <w:rsid w:val="00E239E5"/>
    <w:rsid w:val="00E239F1"/>
    <w:rsid w:val="00E23A85"/>
    <w:rsid w:val="00E23B90"/>
    <w:rsid w:val="00E23BA8"/>
    <w:rsid w:val="00E23BBF"/>
    <w:rsid w:val="00E23CBD"/>
    <w:rsid w:val="00E23CF6"/>
    <w:rsid w:val="00E23E04"/>
    <w:rsid w:val="00E23E3B"/>
    <w:rsid w:val="00E24008"/>
    <w:rsid w:val="00E2418C"/>
    <w:rsid w:val="00E2421E"/>
    <w:rsid w:val="00E2438A"/>
    <w:rsid w:val="00E2448E"/>
    <w:rsid w:val="00E244CF"/>
    <w:rsid w:val="00E24661"/>
    <w:rsid w:val="00E2468E"/>
    <w:rsid w:val="00E24736"/>
    <w:rsid w:val="00E247B1"/>
    <w:rsid w:val="00E247B9"/>
    <w:rsid w:val="00E2489B"/>
    <w:rsid w:val="00E24965"/>
    <w:rsid w:val="00E24966"/>
    <w:rsid w:val="00E249BB"/>
    <w:rsid w:val="00E24CF1"/>
    <w:rsid w:val="00E24D5F"/>
    <w:rsid w:val="00E24D6D"/>
    <w:rsid w:val="00E24D7A"/>
    <w:rsid w:val="00E24DAF"/>
    <w:rsid w:val="00E24E11"/>
    <w:rsid w:val="00E24E7D"/>
    <w:rsid w:val="00E2505E"/>
    <w:rsid w:val="00E250F1"/>
    <w:rsid w:val="00E25208"/>
    <w:rsid w:val="00E25274"/>
    <w:rsid w:val="00E25304"/>
    <w:rsid w:val="00E253BB"/>
    <w:rsid w:val="00E25411"/>
    <w:rsid w:val="00E2546C"/>
    <w:rsid w:val="00E25503"/>
    <w:rsid w:val="00E2550C"/>
    <w:rsid w:val="00E2572D"/>
    <w:rsid w:val="00E259C3"/>
    <w:rsid w:val="00E25A13"/>
    <w:rsid w:val="00E25A2C"/>
    <w:rsid w:val="00E25A9D"/>
    <w:rsid w:val="00E25A9F"/>
    <w:rsid w:val="00E25B23"/>
    <w:rsid w:val="00E25E2E"/>
    <w:rsid w:val="00E25E56"/>
    <w:rsid w:val="00E25E7C"/>
    <w:rsid w:val="00E25EC1"/>
    <w:rsid w:val="00E26122"/>
    <w:rsid w:val="00E261DF"/>
    <w:rsid w:val="00E2621A"/>
    <w:rsid w:val="00E26242"/>
    <w:rsid w:val="00E262B6"/>
    <w:rsid w:val="00E262BA"/>
    <w:rsid w:val="00E262EC"/>
    <w:rsid w:val="00E263B6"/>
    <w:rsid w:val="00E26421"/>
    <w:rsid w:val="00E26640"/>
    <w:rsid w:val="00E2668E"/>
    <w:rsid w:val="00E2683D"/>
    <w:rsid w:val="00E26AEE"/>
    <w:rsid w:val="00E26C80"/>
    <w:rsid w:val="00E26CB9"/>
    <w:rsid w:val="00E26D32"/>
    <w:rsid w:val="00E26D96"/>
    <w:rsid w:val="00E26DC1"/>
    <w:rsid w:val="00E26E1E"/>
    <w:rsid w:val="00E26E85"/>
    <w:rsid w:val="00E26F9F"/>
    <w:rsid w:val="00E270B3"/>
    <w:rsid w:val="00E270E0"/>
    <w:rsid w:val="00E2711B"/>
    <w:rsid w:val="00E27188"/>
    <w:rsid w:val="00E271D9"/>
    <w:rsid w:val="00E272E3"/>
    <w:rsid w:val="00E2734E"/>
    <w:rsid w:val="00E27362"/>
    <w:rsid w:val="00E27486"/>
    <w:rsid w:val="00E27495"/>
    <w:rsid w:val="00E274E1"/>
    <w:rsid w:val="00E275E5"/>
    <w:rsid w:val="00E2761C"/>
    <w:rsid w:val="00E2764E"/>
    <w:rsid w:val="00E276D5"/>
    <w:rsid w:val="00E276E3"/>
    <w:rsid w:val="00E27759"/>
    <w:rsid w:val="00E27786"/>
    <w:rsid w:val="00E2779F"/>
    <w:rsid w:val="00E278A4"/>
    <w:rsid w:val="00E2791D"/>
    <w:rsid w:val="00E2797F"/>
    <w:rsid w:val="00E279E7"/>
    <w:rsid w:val="00E27A2A"/>
    <w:rsid w:val="00E27A6D"/>
    <w:rsid w:val="00E27B83"/>
    <w:rsid w:val="00E27B9A"/>
    <w:rsid w:val="00E27BE8"/>
    <w:rsid w:val="00E27CBF"/>
    <w:rsid w:val="00E27D40"/>
    <w:rsid w:val="00E27D70"/>
    <w:rsid w:val="00E27E2D"/>
    <w:rsid w:val="00E27E42"/>
    <w:rsid w:val="00E27F48"/>
    <w:rsid w:val="00E27F7A"/>
    <w:rsid w:val="00E27FE8"/>
    <w:rsid w:val="00E3007B"/>
    <w:rsid w:val="00E30132"/>
    <w:rsid w:val="00E30151"/>
    <w:rsid w:val="00E301E0"/>
    <w:rsid w:val="00E302E1"/>
    <w:rsid w:val="00E30387"/>
    <w:rsid w:val="00E30391"/>
    <w:rsid w:val="00E303FD"/>
    <w:rsid w:val="00E30419"/>
    <w:rsid w:val="00E30540"/>
    <w:rsid w:val="00E30572"/>
    <w:rsid w:val="00E306C4"/>
    <w:rsid w:val="00E306D8"/>
    <w:rsid w:val="00E308E7"/>
    <w:rsid w:val="00E3090D"/>
    <w:rsid w:val="00E30A86"/>
    <w:rsid w:val="00E30AB8"/>
    <w:rsid w:val="00E30AB9"/>
    <w:rsid w:val="00E30BB0"/>
    <w:rsid w:val="00E30CCD"/>
    <w:rsid w:val="00E30DD0"/>
    <w:rsid w:val="00E30EEE"/>
    <w:rsid w:val="00E30FAE"/>
    <w:rsid w:val="00E31010"/>
    <w:rsid w:val="00E31026"/>
    <w:rsid w:val="00E31027"/>
    <w:rsid w:val="00E310EC"/>
    <w:rsid w:val="00E31128"/>
    <w:rsid w:val="00E311F0"/>
    <w:rsid w:val="00E3123F"/>
    <w:rsid w:val="00E313F1"/>
    <w:rsid w:val="00E31409"/>
    <w:rsid w:val="00E31416"/>
    <w:rsid w:val="00E314D4"/>
    <w:rsid w:val="00E3156A"/>
    <w:rsid w:val="00E315DB"/>
    <w:rsid w:val="00E31640"/>
    <w:rsid w:val="00E3165C"/>
    <w:rsid w:val="00E31668"/>
    <w:rsid w:val="00E316C7"/>
    <w:rsid w:val="00E31771"/>
    <w:rsid w:val="00E317AE"/>
    <w:rsid w:val="00E31848"/>
    <w:rsid w:val="00E31894"/>
    <w:rsid w:val="00E318E2"/>
    <w:rsid w:val="00E31942"/>
    <w:rsid w:val="00E319B2"/>
    <w:rsid w:val="00E319BB"/>
    <w:rsid w:val="00E31A23"/>
    <w:rsid w:val="00E31A51"/>
    <w:rsid w:val="00E31F31"/>
    <w:rsid w:val="00E31F38"/>
    <w:rsid w:val="00E31F7F"/>
    <w:rsid w:val="00E32122"/>
    <w:rsid w:val="00E32153"/>
    <w:rsid w:val="00E32154"/>
    <w:rsid w:val="00E3217F"/>
    <w:rsid w:val="00E321AA"/>
    <w:rsid w:val="00E32224"/>
    <w:rsid w:val="00E32281"/>
    <w:rsid w:val="00E3257D"/>
    <w:rsid w:val="00E32701"/>
    <w:rsid w:val="00E327A0"/>
    <w:rsid w:val="00E3281C"/>
    <w:rsid w:val="00E328C6"/>
    <w:rsid w:val="00E32A8B"/>
    <w:rsid w:val="00E32AD6"/>
    <w:rsid w:val="00E32AE1"/>
    <w:rsid w:val="00E32B07"/>
    <w:rsid w:val="00E32B91"/>
    <w:rsid w:val="00E32C3E"/>
    <w:rsid w:val="00E32C4F"/>
    <w:rsid w:val="00E32DC2"/>
    <w:rsid w:val="00E32DDA"/>
    <w:rsid w:val="00E32E3B"/>
    <w:rsid w:val="00E32F0C"/>
    <w:rsid w:val="00E33096"/>
    <w:rsid w:val="00E3310A"/>
    <w:rsid w:val="00E3325F"/>
    <w:rsid w:val="00E33404"/>
    <w:rsid w:val="00E33535"/>
    <w:rsid w:val="00E335FE"/>
    <w:rsid w:val="00E33837"/>
    <w:rsid w:val="00E338AF"/>
    <w:rsid w:val="00E338B6"/>
    <w:rsid w:val="00E338FD"/>
    <w:rsid w:val="00E33AB5"/>
    <w:rsid w:val="00E33B08"/>
    <w:rsid w:val="00E33D48"/>
    <w:rsid w:val="00E33DA0"/>
    <w:rsid w:val="00E33E64"/>
    <w:rsid w:val="00E33E6D"/>
    <w:rsid w:val="00E33E91"/>
    <w:rsid w:val="00E33F73"/>
    <w:rsid w:val="00E33FE2"/>
    <w:rsid w:val="00E3403C"/>
    <w:rsid w:val="00E3405E"/>
    <w:rsid w:val="00E34072"/>
    <w:rsid w:val="00E34123"/>
    <w:rsid w:val="00E3413B"/>
    <w:rsid w:val="00E34188"/>
    <w:rsid w:val="00E341A3"/>
    <w:rsid w:val="00E341B9"/>
    <w:rsid w:val="00E34247"/>
    <w:rsid w:val="00E342AC"/>
    <w:rsid w:val="00E342F5"/>
    <w:rsid w:val="00E34355"/>
    <w:rsid w:val="00E34397"/>
    <w:rsid w:val="00E343C6"/>
    <w:rsid w:val="00E3458C"/>
    <w:rsid w:val="00E3459E"/>
    <w:rsid w:val="00E345E5"/>
    <w:rsid w:val="00E3465D"/>
    <w:rsid w:val="00E34673"/>
    <w:rsid w:val="00E346E7"/>
    <w:rsid w:val="00E34752"/>
    <w:rsid w:val="00E3487E"/>
    <w:rsid w:val="00E348CD"/>
    <w:rsid w:val="00E34947"/>
    <w:rsid w:val="00E34AD0"/>
    <w:rsid w:val="00E34BCE"/>
    <w:rsid w:val="00E34CE7"/>
    <w:rsid w:val="00E34CEF"/>
    <w:rsid w:val="00E34DA6"/>
    <w:rsid w:val="00E34FDE"/>
    <w:rsid w:val="00E35023"/>
    <w:rsid w:val="00E35109"/>
    <w:rsid w:val="00E35182"/>
    <w:rsid w:val="00E3518F"/>
    <w:rsid w:val="00E35190"/>
    <w:rsid w:val="00E351C6"/>
    <w:rsid w:val="00E351E1"/>
    <w:rsid w:val="00E352C8"/>
    <w:rsid w:val="00E35632"/>
    <w:rsid w:val="00E356AE"/>
    <w:rsid w:val="00E3571A"/>
    <w:rsid w:val="00E3572F"/>
    <w:rsid w:val="00E3575B"/>
    <w:rsid w:val="00E359D4"/>
    <w:rsid w:val="00E35BD2"/>
    <w:rsid w:val="00E35C79"/>
    <w:rsid w:val="00E35D8F"/>
    <w:rsid w:val="00E35E6D"/>
    <w:rsid w:val="00E35E70"/>
    <w:rsid w:val="00E35F35"/>
    <w:rsid w:val="00E35F3C"/>
    <w:rsid w:val="00E35F9B"/>
    <w:rsid w:val="00E3600F"/>
    <w:rsid w:val="00E3616E"/>
    <w:rsid w:val="00E361E0"/>
    <w:rsid w:val="00E3626F"/>
    <w:rsid w:val="00E362B0"/>
    <w:rsid w:val="00E362D4"/>
    <w:rsid w:val="00E3648B"/>
    <w:rsid w:val="00E36490"/>
    <w:rsid w:val="00E3653B"/>
    <w:rsid w:val="00E365AA"/>
    <w:rsid w:val="00E365E0"/>
    <w:rsid w:val="00E36632"/>
    <w:rsid w:val="00E36733"/>
    <w:rsid w:val="00E3676C"/>
    <w:rsid w:val="00E3688C"/>
    <w:rsid w:val="00E369BB"/>
    <w:rsid w:val="00E369C9"/>
    <w:rsid w:val="00E36A55"/>
    <w:rsid w:val="00E36A76"/>
    <w:rsid w:val="00E36AEA"/>
    <w:rsid w:val="00E36B0D"/>
    <w:rsid w:val="00E36B5D"/>
    <w:rsid w:val="00E36C10"/>
    <w:rsid w:val="00E36C75"/>
    <w:rsid w:val="00E36C80"/>
    <w:rsid w:val="00E36D33"/>
    <w:rsid w:val="00E36F38"/>
    <w:rsid w:val="00E36FAC"/>
    <w:rsid w:val="00E36FDA"/>
    <w:rsid w:val="00E37012"/>
    <w:rsid w:val="00E3705A"/>
    <w:rsid w:val="00E37493"/>
    <w:rsid w:val="00E3752E"/>
    <w:rsid w:val="00E37675"/>
    <w:rsid w:val="00E378BC"/>
    <w:rsid w:val="00E3794B"/>
    <w:rsid w:val="00E37A9D"/>
    <w:rsid w:val="00E37ADF"/>
    <w:rsid w:val="00E37AF8"/>
    <w:rsid w:val="00E37B44"/>
    <w:rsid w:val="00E37B65"/>
    <w:rsid w:val="00E37C87"/>
    <w:rsid w:val="00E37CF2"/>
    <w:rsid w:val="00E37E4F"/>
    <w:rsid w:val="00E37E99"/>
    <w:rsid w:val="00E37E9D"/>
    <w:rsid w:val="00E401DD"/>
    <w:rsid w:val="00E40363"/>
    <w:rsid w:val="00E4038C"/>
    <w:rsid w:val="00E40414"/>
    <w:rsid w:val="00E40424"/>
    <w:rsid w:val="00E405D6"/>
    <w:rsid w:val="00E40837"/>
    <w:rsid w:val="00E408C3"/>
    <w:rsid w:val="00E40901"/>
    <w:rsid w:val="00E40915"/>
    <w:rsid w:val="00E40924"/>
    <w:rsid w:val="00E40A58"/>
    <w:rsid w:val="00E40B78"/>
    <w:rsid w:val="00E40CA5"/>
    <w:rsid w:val="00E40CD5"/>
    <w:rsid w:val="00E40D16"/>
    <w:rsid w:val="00E40E13"/>
    <w:rsid w:val="00E40E88"/>
    <w:rsid w:val="00E40F60"/>
    <w:rsid w:val="00E41005"/>
    <w:rsid w:val="00E4105D"/>
    <w:rsid w:val="00E410BA"/>
    <w:rsid w:val="00E41107"/>
    <w:rsid w:val="00E41170"/>
    <w:rsid w:val="00E4128A"/>
    <w:rsid w:val="00E412D8"/>
    <w:rsid w:val="00E4139F"/>
    <w:rsid w:val="00E413AD"/>
    <w:rsid w:val="00E41450"/>
    <w:rsid w:val="00E41479"/>
    <w:rsid w:val="00E41663"/>
    <w:rsid w:val="00E416DF"/>
    <w:rsid w:val="00E41703"/>
    <w:rsid w:val="00E417AA"/>
    <w:rsid w:val="00E417C1"/>
    <w:rsid w:val="00E417C9"/>
    <w:rsid w:val="00E417E2"/>
    <w:rsid w:val="00E41B93"/>
    <w:rsid w:val="00E41C4B"/>
    <w:rsid w:val="00E41C8A"/>
    <w:rsid w:val="00E41D19"/>
    <w:rsid w:val="00E41D29"/>
    <w:rsid w:val="00E41D2D"/>
    <w:rsid w:val="00E41EEF"/>
    <w:rsid w:val="00E41F79"/>
    <w:rsid w:val="00E41FD5"/>
    <w:rsid w:val="00E41FDB"/>
    <w:rsid w:val="00E42139"/>
    <w:rsid w:val="00E421E0"/>
    <w:rsid w:val="00E423D1"/>
    <w:rsid w:val="00E42812"/>
    <w:rsid w:val="00E42885"/>
    <w:rsid w:val="00E4294B"/>
    <w:rsid w:val="00E429BE"/>
    <w:rsid w:val="00E42A45"/>
    <w:rsid w:val="00E42A73"/>
    <w:rsid w:val="00E42B7A"/>
    <w:rsid w:val="00E42BB0"/>
    <w:rsid w:val="00E42D61"/>
    <w:rsid w:val="00E42E35"/>
    <w:rsid w:val="00E42F27"/>
    <w:rsid w:val="00E43037"/>
    <w:rsid w:val="00E43131"/>
    <w:rsid w:val="00E43238"/>
    <w:rsid w:val="00E43324"/>
    <w:rsid w:val="00E43377"/>
    <w:rsid w:val="00E436DC"/>
    <w:rsid w:val="00E43756"/>
    <w:rsid w:val="00E4379B"/>
    <w:rsid w:val="00E437D9"/>
    <w:rsid w:val="00E4382F"/>
    <w:rsid w:val="00E4384E"/>
    <w:rsid w:val="00E43864"/>
    <w:rsid w:val="00E44147"/>
    <w:rsid w:val="00E4426C"/>
    <w:rsid w:val="00E44423"/>
    <w:rsid w:val="00E44495"/>
    <w:rsid w:val="00E444C2"/>
    <w:rsid w:val="00E44559"/>
    <w:rsid w:val="00E44560"/>
    <w:rsid w:val="00E44578"/>
    <w:rsid w:val="00E445AE"/>
    <w:rsid w:val="00E44893"/>
    <w:rsid w:val="00E448ED"/>
    <w:rsid w:val="00E4492A"/>
    <w:rsid w:val="00E44A5F"/>
    <w:rsid w:val="00E44B46"/>
    <w:rsid w:val="00E44BBA"/>
    <w:rsid w:val="00E44D1F"/>
    <w:rsid w:val="00E44DF4"/>
    <w:rsid w:val="00E44E8C"/>
    <w:rsid w:val="00E44EB1"/>
    <w:rsid w:val="00E44EB6"/>
    <w:rsid w:val="00E44EC3"/>
    <w:rsid w:val="00E44F88"/>
    <w:rsid w:val="00E4510B"/>
    <w:rsid w:val="00E45238"/>
    <w:rsid w:val="00E455DE"/>
    <w:rsid w:val="00E4562B"/>
    <w:rsid w:val="00E45759"/>
    <w:rsid w:val="00E45788"/>
    <w:rsid w:val="00E4578C"/>
    <w:rsid w:val="00E4592E"/>
    <w:rsid w:val="00E45A35"/>
    <w:rsid w:val="00E45A7F"/>
    <w:rsid w:val="00E45A86"/>
    <w:rsid w:val="00E45A92"/>
    <w:rsid w:val="00E45AC6"/>
    <w:rsid w:val="00E45B22"/>
    <w:rsid w:val="00E45C2B"/>
    <w:rsid w:val="00E45D21"/>
    <w:rsid w:val="00E45E4E"/>
    <w:rsid w:val="00E460E6"/>
    <w:rsid w:val="00E4614A"/>
    <w:rsid w:val="00E4658B"/>
    <w:rsid w:val="00E465A3"/>
    <w:rsid w:val="00E4673A"/>
    <w:rsid w:val="00E46775"/>
    <w:rsid w:val="00E467B6"/>
    <w:rsid w:val="00E46810"/>
    <w:rsid w:val="00E46A32"/>
    <w:rsid w:val="00E46A4F"/>
    <w:rsid w:val="00E46A56"/>
    <w:rsid w:val="00E46AC6"/>
    <w:rsid w:val="00E46B01"/>
    <w:rsid w:val="00E46B44"/>
    <w:rsid w:val="00E46B60"/>
    <w:rsid w:val="00E46BA9"/>
    <w:rsid w:val="00E46C67"/>
    <w:rsid w:val="00E46D16"/>
    <w:rsid w:val="00E46DFE"/>
    <w:rsid w:val="00E46E71"/>
    <w:rsid w:val="00E46E83"/>
    <w:rsid w:val="00E46EE0"/>
    <w:rsid w:val="00E46F39"/>
    <w:rsid w:val="00E47119"/>
    <w:rsid w:val="00E4717A"/>
    <w:rsid w:val="00E4717F"/>
    <w:rsid w:val="00E47212"/>
    <w:rsid w:val="00E4758B"/>
    <w:rsid w:val="00E475DF"/>
    <w:rsid w:val="00E4765C"/>
    <w:rsid w:val="00E47665"/>
    <w:rsid w:val="00E47681"/>
    <w:rsid w:val="00E47762"/>
    <w:rsid w:val="00E4777E"/>
    <w:rsid w:val="00E47800"/>
    <w:rsid w:val="00E47937"/>
    <w:rsid w:val="00E47B7E"/>
    <w:rsid w:val="00E47BA5"/>
    <w:rsid w:val="00E47C39"/>
    <w:rsid w:val="00E47CAF"/>
    <w:rsid w:val="00E47ED9"/>
    <w:rsid w:val="00E47F18"/>
    <w:rsid w:val="00E47FE6"/>
    <w:rsid w:val="00E5004F"/>
    <w:rsid w:val="00E5013E"/>
    <w:rsid w:val="00E50157"/>
    <w:rsid w:val="00E50188"/>
    <w:rsid w:val="00E502C7"/>
    <w:rsid w:val="00E50432"/>
    <w:rsid w:val="00E50470"/>
    <w:rsid w:val="00E504D5"/>
    <w:rsid w:val="00E5058C"/>
    <w:rsid w:val="00E50591"/>
    <w:rsid w:val="00E5068A"/>
    <w:rsid w:val="00E50760"/>
    <w:rsid w:val="00E5081F"/>
    <w:rsid w:val="00E5088D"/>
    <w:rsid w:val="00E5090B"/>
    <w:rsid w:val="00E509E5"/>
    <w:rsid w:val="00E50A4C"/>
    <w:rsid w:val="00E50B56"/>
    <w:rsid w:val="00E50E09"/>
    <w:rsid w:val="00E50EF3"/>
    <w:rsid w:val="00E5136B"/>
    <w:rsid w:val="00E514BB"/>
    <w:rsid w:val="00E5154A"/>
    <w:rsid w:val="00E515CE"/>
    <w:rsid w:val="00E51622"/>
    <w:rsid w:val="00E517B9"/>
    <w:rsid w:val="00E5181F"/>
    <w:rsid w:val="00E5186A"/>
    <w:rsid w:val="00E5192F"/>
    <w:rsid w:val="00E51968"/>
    <w:rsid w:val="00E51A8D"/>
    <w:rsid w:val="00E51AAA"/>
    <w:rsid w:val="00E51AFA"/>
    <w:rsid w:val="00E51B1C"/>
    <w:rsid w:val="00E51BB6"/>
    <w:rsid w:val="00E51C28"/>
    <w:rsid w:val="00E51C6E"/>
    <w:rsid w:val="00E51D0C"/>
    <w:rsid w:val="00E51D94"/>
    <w:rsid w:val="00E51DD1"/>
    <w:rsid w:val="00E51E20"/>
    <w:rsid w:val="00E51F00"/>
    <w:rsid w:val="00E51F24"/>
    <w:rsid w:val="00E51F30"/>
    <w:rsid w:val="00E5205C"/>
    <w:rsid w:val="00E520B1"/>
    <w:rsid w:val="00E52111"/>
    <w:rsid w:val="00E5219D"/>
    <w:rsid w:val="00E522F7"/>
    <w:rsid w:val="00E523DA"/>
    <w:rsid w:val="00E52425"/>
    <w:rsid w:val="00E52452"/>
    <w:rsid w:val="00E5258C"/>
    <w:rsid w:val="00E5260C"/>
    <w:rsid w:val="00E52728"/>
    <w:rsid w:val="00E5281E"/>
    <w:rsid w:val="00E52948"/>
    <w:rsid w:val="00E529C7"/>
    <w:rsid w:val="00E52A47"/>
    <w:rsid w:val="00E52A8F"/>
    <w:rsid w:val="00E52BFF"/>
    <w:rsid w:val="00E52C08"/>
    <w:rsid w:val="00E52C75"/>
    <w:rsid w:val="00E52D2F"/>
    <w:rsid w:val="00E52D3B"/>
    <w:rsid w:val="00E52EA2"/>
    <w:rsid w:val="00E52F1F"/>
    <w:rsid w:val="00E52F65"/>
    <w:rsid w:val="00E52FB1"/>
    <w:rsid w:val="00E5307A"/>
    <w:rsid w:val="00E53207"/>
    <w:rsid w:val="00E5322B"/>
    <w:rsid w:val="00E5329A"/>
    <w:rsid w:val="00E5338E"/>
    <w:rsid w:val="00E535C0"/>
    <w:rsid w:val="00E535C1"/>
    <w:rsid w:val="00E53778"/>
    <w:rsid w:val="00E5384C"/>
    <w:rsid w:val="00E53874"/>
    <w:rsid w:val="00E53A0B"/>
    <w:rsid w:val="00E53A2A"/>
    <w:rsid w:val="00E53B6B"/>
    <w:rsid w:val="00E53D41"/>
    <w:rsid w:val="00E53D8E"/>
    <w:rsid w:val="00E53DAE"/>
    <w:rsid w:val="00E53F01"/>
    <w:rsid w:val="00E53F05"/>
    <w:rsid w:val="00E53FE1"/>
    <w:rsid w:val="00E54178"/>
    <w:rsid w:val="00E541CF"/>
    <w:rsid w:val="00E541E8"/>
    <w:rsid w:val="00E5421E"/>
    <w:rsid w:val="00E54244"/>
    <w:rsid w:val="00E542F9"/>
    <w:rsid w:val="00E54327"/>
    <w:rsid w:val="00E543D7"/>
    <w:rsid w:val="00E54420"/>
    <w:rsid w:val="00E54576"/>
    <w:rsid w:val="00E54619"/>
    <w:rsid w:val="00E5464D"/>
    <w:rsid w:val="00E54657"/>
    <w:rsid w:val="00E5472A"/>
    <w:rsid w:val="00E547D9"/>
    <w:rsid w:val="00E54834"/>
    <w:rsid w:val="00E54873"/>
    <w:rsid w:val="00E548BD"/>
    <w:rsid w:val="00E549BA"/>
    <w:rsid w:val="00E54B42"/>
    <w:rsid w:val="00E54BC9"/>
    <w:rsid w:val="00E54C87"/>
    <w:rsid w:val="00E54C9F"/>
    <w:rsid w:val="00E54CA6"/>
    <w:rsid w:val="00E54D5F"/>
    <w:rsid w:val="00E54E62"/>
    <w:rsid w:val="00E54EDF"/>
    <w:rsid w:val="00E54F07"/>
    <w:rsid w:val="00E55088"/>
    <w:rsid w:val="00E550F1"/>
    <w:rsid w:val="00E5525A"/>
    <w:rsid w:val="00E55267"/>
    <w:rsid w:val="00E55385"/>
    <w:rsid w:val="00E553E2"/>
    <w:rsid w:val="00E55683"/>
    <w:rsid w:val="00E5569D"/>
    <w:rsid w:val="00E556D0"/>
    <w:rsid w:val="00E55739"/>
    <w:rsid w:val="00E55876"/>
    <w:rsid w:val="00E55950"/>
    <w:rsid w:val="00E559B8"/>
    <w:rsid w:val="00E559F3"/>
    <w:rsid w:val="00E55A94"/>
    <w:rsid w:val="00E55AFA"/>
    <w:rsid w:val="00E55B82"/>
    <w:rsid w:val="00E55D92"/>
    <w:rsid w:val="00E55DAF"/>
    <w:rsid w:val="00E55DC3"/>
    <w:rsid w:val="00E55EED"/>
    <w:rsid w:val="00E56198"/>
    <w:rsid w:val="00E5630B"/>
    <w:rsid w:val="00E56378"/>
    <w:rsid w:val="00E56395"/>
    <w:rsid w:val="00E56537"/>
    <w:rsid w:val="00E5662B"/>
    <w:rsid w:val="00E5666F"/>
    <w:rsid w:val="00E56789"/>
    <w:rsid w:val="00E567F0"/>
    <w:rsid w:val="00E568E4"/>
    <w:rsid w:val="00E56959"/>
    <w:rsid w:val="00E569F1"/>
    <w:rsid w:val="00E56B52"/>
    <w:rsid w:val="00E56B94"/>
    <w:rsid w:val="00E56C90"/>
    <w:rsid w:val="00E56D74"/>
    <w:rsid w:val="00E56E83"/>
    <w:rsid w:val="00E56EF2"/>
    <w:rsid w:val="00E56F40"/>
    <w:rsid w:val="00E57028"/>
    <w:rsid w:val="00E57469"/>
    <w:rsid w:val="00E57620"/>
    <w:rsid w:val="00E57749"/>
    <w:rsid w:val="00E57963"/>
    <w:rsid w:val="00E57A5D"/>
    <w:rsid w:val="00E57B2E"/>
    <w:rsid w:val="00E57C48"/>
    <w:rsid w:val="00E57CB2"/>
    <w:rsid w:val="00E57D04"/>
    <w:rsid w:val="00E57D3B"/>
    <w:rsid w:val="00E57E51"/>
    <w:rsid w:val="00E57EB0"/>
    <w:rsid w:val="00E57EDD"/>
    <w:rsid w:val="00E60017"/>
    <w:rsid w:val="00E6029E"/>
    <w:rsid w:val="00E602AC"/>
    <w:rsid w:val="00E60379"/>
    <w:rsid w:val="00E603FB"/>
    <w:rsid w:val="00E6045F"/>
    <w:rsid w:val="00E60476"/>
    <w:rsid w:val="00E60574"/>
    <w:rsid w:val="00E60594"/>
    <w:rsid w:val="00E606D5"/>
    <w:rsid w:val="00E60815"/>
    <w:rsid w:val="00E608C4"/>
    <w:rsid w:val="00E60B0C"/>
    <w:rsid w:val="00E60C4A"/>
    <w:rsid w:val="00E60D68"/>
    <w:rsid w:val="00E60EEA"/>
    <w:rsid w:val="00E60EF9"/>
    <w:rsid w:val="00E60FA3"/>
    <w:rsid w:val="00E610E0"/>
    <w:rsid w:val="00E61144"/>
    <w:rsid w:val="00E6118D"/>
    <w:rsid w:val="00E61258"/>
    <w:rsid w:val="00E6125D"/>
    <w:rsid w:val="00E61290"/>
    <w:rsid w:val="00E61348"/>
    <w:rsid w:val="00E6148D"/>
    <w:rsid w:val="00E614EB"/>
    <w:rsid w:val="00E61545"/>
    <w:rsid w:val="00E61693"/>
    <w:rsid w:val="00E616C9"/>
    <w:rsid w:val="00E617AE"/>
    <w:rsid w:val="00E617B3"/>
    <w:rsid w:val="00E61882"/>
    <w:rsid w:val="00E618D3"/>
    <w:rsid w:val="00E618E2"/>
    <w:rsid w:val="00E6192C"/>
    <w:rsid w:val="00E61965"/>
    <w:rsid w:val="00E619AC"/>
    <w:rsid w:val="00E61BA4"/>
    <w:rsid w:val="00E61CB6"/>
    <w:rsid w:val="00E61DDC"/>
    <w:rsid w:val="00E62059"/>
    <w:rsid w:val="00E62192"/>
    <w:rsid w:val="00E62304"/>
    <w:rsid w:val="00E6235E"/>
    <w:rsid w:val="00E623A6"/>
    <w:rsid w:val="00E62414"/>
    <w:rsid w:val="00E62459"/>
    <w:rsid w:val="00E6249B"/>
    <w:rsid w:val="00E624BD"/>
    <w:rsid w:val="00E624C4"/>
    <w:rsid w:val="00E6252E"/>
    <w:rsid w:val="00E6255A"/>
    <w:rsid w:val="00E62569"/>
    <w:rsid w:val="00E62605"/>
    <w:rsid w:val="00E6279E"/>
    <w:rsid w:val="00E6285C"/>
    <w:rsid w:val="00E6298A"/>
    <w:rsid w:val="00E62991"/>
    <w:rsid w:val="00E62A04"/>
    <w:rsid w:val="00E62A37"/>
    <w:rsid w:val="00E62B3B"/>
    <w:rsid w:val="00E62BF4"/>
    <w:rsid w:val="00E62C0F"/>
    <w:rsid w:val="00E62C19"/>
    <w:rsid w:val="00E62CE1"/>
    <w:rsid w:val="00E62D4D"/>
    <w:rsid w:val="00E62D64"/>
    <w:rsid w:val="00E62E22"/>
    <w:rsid w:val="00E62E93"/>
    <w:rsid w:val="00E62EC8"/>
    <w:rsid w:val="00E62ED5"/>
    <w:rsid w:val="00E62FE7"/>
    <w:rsid w:val="00E63006"/>
    <w:rsid w:val="00E6306D"/>
    <w:rsid w:val="00E6309B"/>
    <w:rsid w:val="00E63109"/>
    <w:rsid w:val="00E63207"/>
    <w:rsid w:val="00E6321A"/>
    <w:rsid w:val="00E63243"/>
    <w:rsid w:val="00E63369"/>
    <w:rsid w:val="00E633B2"/>
    <w:rsid w:val="00E63453"/>
    <w:rsid w:val="00E634EE"/>
    <w:rsid w:val="00E6355E"/>
    <w:rsid w:val="00E63583"/>
    <w:rsid w:val="00E6369F"/>
    <w:rsid w:val="00E63705"/>
    <w:rsid w:val="00E63712"/>
    <w:rsid w:val="00E637A2"/>
    <w:rsid w:val="00E63886"/>
    <w:rsid w:val="00E63A5C"/>
    <w:rsid w:val="00E63C2E"/>
    <w:rsid w:val="00E63E74"/>
    <w:rsid w:val="00E63F2C"/>
    <w:rsid w:val="00E64168"/>
    <w:rsid w:val="00E64326"/>
    <w:rsid w:val="00E64405"/>
    <w:rsid w:val="00E64667"/>
    <w:rsid w:val="00E64886"/>
    <w:rsid w:val="00E64936"/>
    <w:rsid w:val="00E6494D"/>
    <w:rsid w:val="00E64973"/>
    <w:rsid w:val="00E64B54"/>
    <w:rsid w:val="00E64C66"/>
    <w:rsid w:val="00E64EA9"/>
    <w:rsid w:val="00E64F3F"/>
    <w:rsid w:val="00E64F97"/>
    <w:rsid w:val="00E65008"/>
    <w:rsid w:val="00E6504E"/>
    <w:rsid w:val="00E650A0"/>
    <w:rsid w:val="00E65242"/>
    <w:rsid w:val="00E65409"/>
    <w:rsid w:val="00E65416"/>
    <w:rsid w:val="00E654A9"/>
    <w:rsid w:val="00E655DE"/>
    <w:rsid w:val="00E65719"/>
    <w:rsid w:val="00E6582D"/>
    <w:rsid w:val="00E65852"/>
    <w:rsid w:val="00E65B96"/>
    <w:rsid w:val="00E65BC1"/>
    <w:rsid w:val="00E65D11"/>
    <w:rsid w:val="00E65D2B"/>
    <w:rsid w:val="00E65DA9"/>
    <w:rsid w:val="00E65E66"/>
    <w:rsid w:val="00E65EFE"/>
    <w:rsid w:val="00E66047"/>
    <w:rsid w:val="00E660FB"/>
    <w:rsid w:val="00E66148"/>
    <w:rsid w:val="00E661A4"/>
    <w:rsid w:val="00E6634F"/>
    <w:rsid w:val="00E664C7"/>
    <w:rsid w:val="00E6655C"/>
    <w:rsid w:val="00E665DC"/>
    <w:rsid w:val="00E66691"/>
    <w:rsid w:val="00E666A5"/>
    <w:rsid w:val="00E66727"/>
    <w:rsid w:val="00E66870"/>
    <w:rsid w:val="00E668AD"/>
    <w:rsid w:val="00E66A3B"/>
    <w:rsid w:val="00E66B23"/>
    <w:rsid w:val="00E66C1D"/>
    <w:rsid w:val="00E66C4C"/>
    <w:rsid w:val="00E66CA2"/>
    <w:rsid w:val="00E66E85"/>
    <w:rsid w:val="00E66EEB"/>
    <w:rsid w:val="00E66F8A"/>
    <w:rsid w:val="00E66FBD"/>
    <w:rsid w:val="00E66FF2"/>
    <w:rsid w:val="00E670D1"/>
    <w:rsid w:val="00E6710C"/>
    <w:rsid w:val="00E67257"/>
    <w:rsid w:val="00E67578"/>
    <w:rsid w:val="00E67630"/>
    <w:rsid w:val="00E6764B"/>
    <w:rsid w:val="00E6789D"/>
    <w:rsid w:val="00E679A5"/>
    <w:rsid w:val="00E67A21"/>
    <w:rsid w:val="00E67A38"/>
    <w:rsid w:val="00E67D16"/>
    <w:rsid w:val="00E67DDB"/>
    <w:rsid w:val="00E67E20"/>
    <w:rsid w:val="00E67E65"/>
    <w:rsid w:val="00E67E8F"/>
    <w:rsid w:val="00E67E9E"/>
    <w:rsid w:val="00E67F0A"/>
    <w:rsid w:val="00E67FDE"/>
    <w:rsid w:val="00E70086"/>
    <w:rsid w:val="00E70445"/>
    <w:rsid w:val="00E70489"/>
    <w:rsid w:val="00E704C4"/>
    <w:rsid w:val="00E7058D"/>
    <w:rsid w:val="00E70971"/>
    <w:rsid w:val="00E70CBB"/>
    <w:rsid w:val="00E70CD0"/>
    <w:rsid w:val="00E70D4A"/>
    <w:rsid w:val="00E70D62"/>
    <w:rsid w:val="00E70D69"/>
    <w:rsid w:val="00E70EB6"/>
    <w:rsid w:val="00E70F0B"/>
    <w:rsid w:val="00E710EF"/>
    <w:rsid w:val="00E711CC"/>
    <w:rsid w:val="00E712F4"/>
    <w:rsid w:val="00E71310"/>
    <w:rsid w:val="00E713AA"/>
    <w:rsid w:val="00E714E7"/>
    <w:rsid w:val="00E714F8"/>
    <w:rsid w:val="00E71549"/>
    <w:rsid w:val="00E71578"/>
    <w:rsid w:val="00E715E5"/>
    <w:rsid w:val="00E716B2"/>
    <w:rsid w:val="00E716C1"/>
    <w:rsid w:val="00E716E9"/>
    <w:rsid w:val="00E7172E"/>
    <w:rsid w:val="00E71734"/>
    <w:rsid w:val="00E717F6"/>
    <w:rsid w:val="00E71806"/>
    <w:rsid w:val="00E71A5A"/>
    <w:rsid w:val="00E71AE8"/>
    <w:rsid w:val="00E71AF4"/>
    <w:rsid w:val="00E71BC3"/>
    <w:rsid w:val="00E71DAA"/>
    <w:rsid w:val="00E71E16"/>
    <w:rsid w:val="00E71E23"/>
    <w:rsid w:val="00E71E82"/>
    <w:rsid w:val="00E71EC9"/>
    <w:rsid w:val="00E71EF5"/>
    <w:rsid w:val="00E71FAD"/>
    <w:rsid w:val="00E72032"/>
    <w:rsid w:val="00E7208D"/>
    <w:rsid w:val="00E72147"/>
    <w:rsid w:val="00E723B5"/>
    <w:rsid w:val="00E72530"/>
    <w:rsid w:val="00E7259E"/>
    <w:rsid w:val="00E7265E"/>
    <w:rsid w:val="00E72684"/>
    <w:rsid w:val="00E72715"/>
    <w:rsid w:val="00E72728"/>
    <w:rsid w:val="00E728A4"/>
    <w:rsid w:val="00E728B1"/>
    <w:rsid w:val="00E72901"/>
    <w:rsid w:val="00E72B20"/>
    <w:rsid w:val="00E72C34"/>
    <w:rsid w:val="00E72D95"/>
    <w:rsid w:val="00E72EFE"/>
    <w:rsid w:val="00E730BE"/>
    <w:rsid w:val="00E732F3"/>
    <w:rsid w:val="00E73321"/>
    <w:rsid w:val="00E734AF"/>
    <w:rsid w:val="00E7359C"/>
    <w:rsid w:val="00E7362E"/>
    <w:rsid w:val="00E7362F"/>
    <w:rsid w:val="00E736BB"/>
    <w:rsid w:val="00E736BE"/>
    <w:rsid w:val="00E7375F"/>
    <w:rsid w:val="00E73785"/>
    <w:rsid w:val="00E7379A"/>
    <w:rsid w:val="00E737F3"/>
    <w:rsid w:val="00E73856"/>
    <w:rsid w:val="00E73915"/>
    <w:rsid w:val="00E739AC"/>
    <w:rsid w:val="00E73A2E"/>
    <w:rsid w:val="00E73B10"/>
    <w:rsid w:val="00E73C45"/>
    <w:rsid w:val="00E73C54"/>
    <w:rsid w:val="00E73C5F"/>
    <w:rsid w:val="00E73DD9"/>
    <w:rsid w:val="00E7434C"/>
    <w:rsid w:val="00E743CD"/>
    <w:rsid w:val="00E7449C"/>
    <w:rsid w:val="00E744A0"/>
    <w:rsid w:val="00E744FF"/>
    <w:rsid w:val="00E7451F"/>
    <w:rsid w:val="00E745D5"/>
    <w:rsid w:val="00E7465B"/>
    <w:rsid w:val="00E74667"/>
    <w:rsid w:val="00E746A0"/>
    <w:rsid w:val="00E747E3"/>
    <w:rsid w:val="00E74821"/>
    <w:rsid w:val="00E74972"/>
    <w:rsid w:val="00E74A67"/>
    <w:rsid w:val="00E74AB5"/>
    <w:rsid w:val="00E74AB7"/>
    <w:rsid w:val="00E74C18"/>
    <w:rsid w:val="00E74D4D"/>
    <w:rsid w:val="00E74EDB"/>
    <w:rsid w:val="00E74F8E"/>
    <w:rsid w:val="00E750B0"/>
    <w:rsid w:val="00E75177"/>
    <w:rsid w:val="00E751AB"/>
    <w:rsid w:val="00E7521D"/>
    <w:rsid w:val="00E7524A"/>
    <w:rsid w:val="00E75281"/>
    <w:rsid w:val="00E75474"/>
    <w:rsid w:val="00E756AE"/>
    <w:rsid w:val="00E75738"/>
    <w:rsid w:val="00E75873"/>
    <w:rsid w:val="00E7593E"/>
    <w:rsid w:val="00E75943"/>
    <w:rsid w:val="00E75963"/>
    <w:rsid w:val="00E75A83"/>
    <w:rsid w:val="00E75ABB"/>
    <w:rsid w:val="00E75B83"/>
    <w:rsid w:val="00E76002"/>
    <w:rsid w:val="00E76237"/>
    <w:rsid w:val="00E76240"/>
    <w:rsid w:val="00E76285"/>
    <w:rsid w:val="00E76317"/>
    <w:rsid w:val="00E7639F"/>
    <w:rsid w:val="00E764BE"/>
    <w:rsid w:val="00E7652F"/>
    <w:rsid w:val="00E7656A"/>
    <w:rsid w:val="00E76605"/>
    <w:rsid w:val="00E76670"/>
    <w:rsid w:val="00E7668F"/>
    <w:rsid w:val="00E7671D"/>
    <w:rsid w:val="00E7676E"/>
    <w:rsid w:val="00E76877"/>
    <w:rsid w:val="00E7687A"/>
    <w:rsid w:val="00E768E4"/>
    <w:rsid w:val="00E769C3"/>
    <w:rsid w:val="00E76BEA"/>
    <w:rsid w:val="00E76C4C"/>
    <w:rsid w:val="00E76DF4"/>
    <w:rsid w:val="00E76E08"/>
    <w:rsid w:val="00E76E25"/>
    <w:rsid w:val="00E76E2E"/>
    <w:rsid w:val="00E76EEE"/>
    <w:rsid w:val="00E76F96"/>
    <w:rsid w:val="00E7712C"/>
    <w:rsid w:val="00E77189"/>
    <w:rsid w:val="00E771B9"/>
    <w:rsid w:val="00E7728C"/>
    <w:rsid w:val="00E77548"/>
    <w:rsid w:val="00E776E7"/>
    <w:rsid w:val="00E776FC"/>
    <w:rsid w:val="00E7775C"/>
    <w:rsid w:val="00E778C8"/>
    <w:rsid w:val="00E77902"/>
    <w:rsid w:val="00E77924"/>
    <w:rsid w:val="00E779D3"/>
    <w:rsid w:val="00E77B05"/>
    <w:rsid w:val="00E77BD8"/>
    <w:rsid w:val="00E77CB9"/>
    <w:rsid w:val="00E77D69"/>
    <w:rsid w:val="00E80033"/>
    <w:rsid w:val="00E800BD"/>
    <w:rsid w:val="00E80126"/>
    <w:rsid w:val="00E80284"/>
    <w:rsid w:val="00E802D5"/>
    <w:rsid w:val="00E8053A"/>
    <w:rsid w:val="00E80540"/>
    <w:rsid w:val="00E80624"/>
    <w:rsid w:val="00E8063D"/>
    <w:rsid w:val="00E8065B"/>
    <w:rsid w:val="00E80698"/>
    <w:rsid w:val="00E8072C"/>
    <w:rsid w:val="00E8077B"/>
    <w:rsid w:val="00E8084C"/>
    <w:rsid w:val="00E80878"/>
    <w:rsid w:val="00E8089E"/>
    <w:rsid w:val="00E808EA"/>
    <w:rsid w:val="00E80937"/>
    <w:rsid w:val="00E80966"/>
    <w:rsid w:val="00E80A30"/>
    <w:rsid w:val="00E80A5D"/>
    <w:rsid w:val="00E80AB8"/>
    <w:rsid w:val="00E80ABB"/>
    <w:rsid w:val="00E80CA5"/>
    <w:rsid w:val="00E80D36"/>
    <w:rsid w:val="00E80DBD"/>
    <w:rsid w:val="00E80E46"/>
    <w:rsid w:val="00E80F9F"/>
    <w:rsid w:val="00E80FCE"/>
    <w:rsid w:val="00E81076"/>
    <w:rsid w:val="00E810D8"/>
    <w:rsid w:val="00E8110E"/>
    <w:rsid w:val="00E812B4"/>
    <w:rsid w:val="00E812C9"/>
    <w:rsid w:val="00E81315"/>
    <w:rsid w:val="00E81488"/>
    <w:rsid w:val="00E815FF"/>
    <w:rsid w:val="00E816D1"/>
    <w:rsid w:val="00E81766"/>
    <w:rsid w:val="00E81810"/>
    <w:rsid w:val="00E818FA"/>
    <w:rsid w:val="00E818FF"/>
    <w:rsid w:val="00E81B2B"/>
    <w:rsid w:val="00E81C0F"/>
    <w:rsid w:val="00E81CBA"/>
    <w:rsid w:val="00E81D5E"/>
    <w:rsid w:val="00E81D70"/>
    <w:rsid w:val="00E81EAA"/>
    <w:rsid w:val="00E81F27"/>
    <w:rsid w:val="00E82000"/>
    <w:rsid w:val="00E8200A"/>
    <w:rsid w:val="00E8206E"/>
    <w:rsid w:val="00E8215D"/>
    <w:rsid w:val="00E8219C"/>
    <w:rsid w:val="00E82270"/>
    <w:rsid w:val="00E822B6"/>
    <w:rsid w:val="00E823B6"/>
    <w:rsid w:val="00E823E9"/>
    <w:rsid w:val="00E82467"/>
    <w:rsid w:val="00E824DA"/>
    <w:rsid w:val="00E82536"/>
    <w:rsid w:val="00E825A8"/>
    <w:rsid w:val="00E8283E"/>
    <w:rsid w:val="00E8285F"/>
    <w:rsid w:val="00E82980"/>
    <w:rsid w:val="00E829C3"/>
    <w:rsid w:val="00E82A37"/>
    <w:rsid w:val="00E82C2D"/>
    <w:rsid w:val="00E82CE8"/>
    <w:rsid w:val="00E82D02"/>
    <w:rsid w:val="00E82DCC"/>
    <w:rsid w:val="00E82F0A"/>
    <w:rsid w:val="00E82F5A"/>
    <w:rsid w:val="00E830ED"/>
    <w:rsid w:val="00E83197"/>
    <w:rsid w:val="00E831A0"/>
    <w:rsid w:val="00E834CA"/>
    <w:rsid w:val="00E8352C"/>
    <w:rsid w:val="00E83534"/>
    <w:rsid w:val="00E83633"/>
    <w:rsid w:val="00E8393D"/>
    <w:rsid w:val="00E83B0A"/>
    <w:rsid w:val="00E83D3E"/>
    <w:rsid w:val="00E84023"/>
    <w:rsid w:val="00E8403D"/>
    <w:rsid w:val="00E841AA"/>
    <w:rsid w:val="00E84219"/>
    <w:rsid w:val="00E842D5"/>
    <w:rsid w:val="00E842EC"/>
    <w:rsid w:val="00E8436F"/>
    <w:rsid w:val="00E845B9"/>
    <w:rsid w:val="00E846E9"/>
    <w:rsid w:val="00E847CE"/>
    <w:rsid w:val="00E84894"/>
    <w:rsid w:val="00E84A52"/>
    <w:rsid w:val="00E84B5D"/>
    <w:rsid w:val="00E84C4F"/>
    <w:rsid w:val="00E84EB5"/>
    <w:rsid w:val="00E84F77"/>
    <w:rsid w:val="00E8503B"/>
    <w:rsid w:val="00E850B4"/>
    <w:rsid w:val="00E851B7"/>
    <w:rsid w:val="00E851D1"/>
    <w:rsid w:val="00E8535A"/>
    <w:rsid w:val="00E8556B"/>
    <w:rsid w:val="00E855D2"/>
    <w:rsid w:val="00E855F6"/>
    <w:rsid w:val="00E856AE"/>
    <w:rsid w:val="00E856B0"/>
    <w:rsid w:val="00E856E0"/>
    <w:rsid w:val="00E8599F"/>
    <w:rsid w:val="00E85B1D"/>
    <w:rsid w:val="00E85B58"/>
    <w:rsid w:val="00E85C27"/>
    <w:rsid w:val="00E85C4B"/>
    <w:rsid w:val="00E85C91"/>
    <w:rsid w:val="00E85CB7"/>
    <w:rsid w:val="00E85D5A"/>
    <w:rsid w:val="00E85D95"/>
    <w:rsid w:val="00E85E5F"/>
    <w:rsid w:val="00E86028"/>
    <w:rsid w:val="00E86224"/>
    <w:rsid w:val="00E8631C"/>
    <w:rsid w:val="00E863C1"/>
    <w:rsid w:val="00E8640C"/>
    <w:rsid w:val="00E864F1"/>
    <w:rsid w:val="00E865CD"/>
    <w:rsid w:val="00E865FE"/>
    <w:rsid w:val="00E8668E"/>
    <w:rsid w:val="00E8669E"/>
    <w:rsid w:val="00E86729"/>
    <w:rsid w:val="00E86890"/>
    <w:rsid w:val="00E86961"/>
    <w:rsid w:val="00E86A56"/>
    <w:rsid w:val="00E86A7F"/>
    <w:rsid w:val="00E86D36"/>
    <w:rsid w:val="00E86DB5"/>
    <w:rsid w:val="00E86EED"/>
    <w:rsid w:val="00E86F27"/>
    <w:rsid w:val="00E86FBE"/>
    <w:rsid w:val="00E871A1"/>
    <w:rsid w:val="00E87218"/>
    <w:rsid w:val="00E8723E"/>
    <w:rsid w:val="00E87253"/>
    <w:rsid w:val="00E8729E"/>
    <w:rsid w:val="00E872F4"/>
    <w:rsid w:val="00E87338"/>
    <w:rsid w:val="00E874B4"/>
    <w:rsid w:val="00E874C3"/>
    <w:rsid w:val="00E8761C"/>
    <w:rsid w:val="00E8769E"/>
    <w:rsid w:val="00E876C7"/>
    <w:rsid w:val="00E8786E"/>
    <w:rsid w:val="00E879FA"/>
    <w:rsid w:val="00E87A4A"/>
    <w:rsid w:val="00E87A4E"/>
    <w:rsid w:val="00E87A68"/>
    <w:rsid w:val="00E87AC3"/>
    <w:rsid w:val="00E87AD7"/>
    <w:rsid w:val="00E87B07"/>
    <w:rsid w:val="00E87B92"/>
    <w:rsid w:val="00E87BFA"/>
    <w:rsid w:val="00E87CBC"/>
    <w:rsid w:val="00E87CC8"/>
    <w:rsid w:val="00E87D0F"/>
    <w:rsid w:val="00E87DC1"/>
    <w:rsid w:val="00E87E4B"/>
    <w:rsid w:val="00E87F14"/>
    <w:rsid w:val="00E87F19"/>
    <w:rsid w:val="00E87FD3"/>
    <w:rsid w:val="00E90013"/>
    <w:rsid w:val="00E90022"/>
    <w:rsid w:val="00E90024"/>
    <w:rsid w:val="00E9003B"/>
    <w:rsid w:val="00E901D6"/>
    <w:rsid w:val="00E9052B"/>
    <w:rsid w:val="00E9053F"/>
    <w:rsid w:val="00E90562"/>
    <w:rsid w:val="00E90590"/>
    <w:rsid w:val="00E905AA"/>
    <w:rsid w:val="00E906E8"/>
    <w:rsid w:val="00E9084D"/>
    <w:rsid w:val="00E908C6"/>
    <w:rsid w:val="00E90BD6"/>
    <w:rsid w:val="00E90BFB"/>
    <w:rsid w:val="00E90C7B"/>
    <w:rsid w:val="00E90CEE"/>
    <w:rsid w:val="00E90F0B"/>
    <w:rsid w:val="00E9102F"/>
    <w:rsid w:val="00E9112D"/>
    <w:rsid w:val="00E911CE"/>
    <w:rsid w:val="00E9122A"/>
    <w:rsid w:val="00E91246"/>
    <w:rsid w:val="00E9125F"/>
    <w:rsid w:val="00E9127B"/>
    <w:rsid w:val="00E91297"/>
    <w:rsid w:val="00E91538"/>
    <w:rsid w:val="00E9173B"/>
    <w:rsid w:val="00E917D3"/>
    <w:rsid w:val="00E9183C"/>
    <w:rsid w:val="00E9196B"/>
    <w:rsid w:val="00E9198F"/>
    <w:rsid w:val="00E919F5"/>
    <w:rsid w:val="00E91AB1"/>
    <w:rsid w:val="00E91B61"/>
    <w:rsid w:val="00E91B6D"/>
    <w:rsid w:val="00E91BE1"/>
    <w:rsid w:val="00E91C19"/>
    <w:rsid w:val="00E91C3E"/>
    <w:rsid w:val="00E91C7E"/>
    <w:rsid w:val="00E91D48"/>
    <w:rsid w:val="00E91DAE"/>
    <w:rsid w:val="00E91DF7"/>
    <w:rsid w:val="00E91E16"/>
    <w:rsid w:val="00E91E76"/>
    <w:rsid w:val="00E91ED2"/>
    <w:rsid w:val="00E91F05"/>
    <w:rsid w:val="00E92035"/>
    <w:rsid w:val="00E921B8"/>
    <w:rsid w:val="00E921E0"/>
    <w:rsid w:val="00E9229B"/>
    <w:rsid w:val="00E922C2"/>
    <w:rsid w:val="00E922DB"/>
    <w:rsid w:val="00E92360"/>
    <w:rsid w:val="00E923B9"/>
    <w:rsid w:val="00E92439"/>
    <w:rsid w:val="00E924C1"/>
    <w:rsid w:val="00E92575"/>
    <w:rsid w:val="00E92836"/>
    <w:rsid w:val="00E92960"/>
    <w:rsid w:val="00E929BC"/>
    <w:rsid w:val="00E92A2E"/>
    <w:rsid w:val="00E92AAE"/>
    <w:rsid w:val="00E92B75"/>
    <w:rsid w:val="00E92DAC"/>
    <w:rsid w:val="00E92DE5"/>
    <w:rsid w:val="00E92DEC"/>
    <w:rsid w:val="00E92E07"/>
    <w:rsid w:val="00E92E30"/>
    <w:rsid w:val="00E93035"/>
    <w:rsid w:val="00E93084"/>
    <w:rsid w:val="00E9328D"/>
    <w:rsid w:val="00E932C7"/>
    <w:rsid w:val="00E9335D"/>
    <w:rsid w:val="00E933E4"/>
    <w:rsid w:val="00E933F9"/>
    <w:rsid w:val="00E9342D"/>
    <w:rsid w:val="00E9347C"/>
    <w:rsid w:val="00E934AD"/>
    <w:rsid w:val="00E9367A"/>
    <w:rsid w:val="00E937F5"/>
    <w:rsid w:val="00E9381B"/>
    <w:rsid w:val="00E93A6D"/>
    <w:rsid w:val="00E93AA7"/>
    <w:rsid w:val="00E93B40"/>
    <w:rsid w:val="00E93CFB"/>
    <w:rsid w:val="00E93D04"/>
    <w:rsid w:val="00E93D20"/>
    <w:rsid w:val="00E93E08"/>
    <w:rsid w:val="00E93E75"/>
    <w:rsid w:val="00E93E92"/>
    <w:rsid w:val="00E93EB1"/>
    <w:rsid w:val="00E93F78"/>
    <w:rsid w:val="00E94005"/>
    <w:rsid w:val="00E940D9"/>
    <w:rsid w:val="00E94105"/>
    <w:rsid w:val="00E9414B"/>
    <w:rsid w:val="00E94191"/>
    <w:rsid w:val="00E941A7"/>
    <w:rsid w:val="00E9425F"/>
    <w:rsid w:val="00E9429A"/>
    <w:rsid w:val="00E94455"/>
    <w:rsid w:val="00E944D8"/>
    <w:rsid w:val="00E94574"/>
    <w:rsid w:val="00E947A6"/>
    <w:rsid w:val="00E949CA"/>
    <w:rsid w:val="00E94B08"/>
    <w:rsid w:val="00E94C0C"/>
    <w:rsid w:val="00E94CCA"/>
    <w:rsid w:val="00E94D19"/>
    <w:rsid w:val="00E94D28"/>
    <w:rsid w:val="00E94D45"/>
    <w:rsid w:val="00E94DBC"/>
    <w:rsid w:val="00E94F81"/>
    <w:rsid w:val="00E94F92"/>
    <w:rsid w:val="00E950A0"/>
    <w:rsid w:val="00E95240"/>
    <w:rsid w:val="00E954A1"/>
    <w:rsid w:val="00E954B8"/>
    <w:rsid w:val="00E95506"/>
    <w:rsid w:val="00E95742"/>
    <w:rsid w:val="00E9579E"/>
    <w:rsid w:val="00E95835"/>
    <w:rsid w:val="00E95865"/>
    <w:rsid w:val="00E9592B"/>
    <w:rsid w:val="00E95AFD"/>
    <w:rsid w:val="00E95B75"/>
    <w:rsid w:val="00E95BD4"/>
    <w:rsid w:val="00E95C8A"/>
    <w:rsid w:val="00E95CA4"/>
    <w:rsid w:val="00E95D0B"/>
    <w:rsid w:val="00E95D14"/>
    <w:rsid w:val="00E95DC0"/>
    <w:rsid w:val="00E95E33"/>
    <w:rsid w:val="00E95E86"/>
    <w:rsid w:val="00E95E9F"/>
    <w:rsid w:val="00E95EBC"/>
    <w:rsid w:val="00E960C8"/>
    <w:rsid w:val="00E960F2"/>
    <w:rsid w:val="00E9631F"/>
    <w:rsid w:val="00E963C5"/>
    <w:rsid w:val="00E963FD"/>
    <w:rsid w:val="00E96415"/>
    <w:rsid w:val="00E96428"/>
    <w:rsid w:val="00E964C6"/>
    <w:rsid w:val="00E96596"/>
    <w:rsid w:val="00E96761"/>
    <w:rsid w:val="00E967F8"/>
    <w:rsid w:val="00E968D4"/>
    <w:rsid w:val="00E96932"/>
    <w:rsid w:val="00E96B6A"/>
    <w:rsid w:val="00E96C6F"/>
    <w:rsid w:val="00E96C9A"/>
    <w:rsid w:val="00E96D78"/>
    <w:rsid w:val="00E96E30"/>
    <w:rsid w:val="00E96E51"/>
    <w:rsid w:val="00E96F52"/>
    <w:rsid w:val="00E96F5A"/>
    <w:rsid w:val="00E97014"/>
    <w:rsid w:val="00E97073"/>
    <w:rsid w:val="00E97112"/>
    <w:rsid w:val="00E9715B"/>
    <w:rsid w:val="00E9728C"/>
    <w:rsid w:val="00E972BE"/>
    <w:rsid w:val="00E97404"/>
    <w:rsid w:val="00E975A6"/>
    <w:rsid w:val="00E977A6"/>
    <w:rsid w:val="00E9788B"/>
    <w:rsid w:val="00E9796A"/>
    <w:rsid w:val="00E97A42"/>
    <w:rsid w:val="00E97A4E"/>
    <w:rsid w:val="00E97A51"/>
    <w:rsid w:val="00E97A6D"/>
    <w:rsid w:val="00E97CBD"/>
    <w:rsid w:val="00E97D1F"/>
    <w:rsid w:val="00E97D30"/>
    <w:rsid w:val="00E97D3B"/>
    <w:rsid w:val="00E97E5A"/>
    <w:rsid w:val="00E97E7C"/>
    <w:rsid w:val="00E97ECD"/>
    <w:rsid w:val="00E97ED4"/>
    <w:rsid w:val="00E97F33"/>
    <w:rsid w:val="00E97FC0"/>
    <w:rsid w:val="00E97FEC"/>
    <w:rsid w:val="00EA013D"/>
    <w:rsid w:val="00EA013E"/>
    <w:rsid w:val="00EA019F"/>
    <w:rsid w:val="00EA027F"/>
    <w:rsid w:val="00EA02BC"/>
    <w:rsid w:val="00EA03BC"/>
    <w:rsid w:val="00EA03EC"/>
    <w:rsid w:val="00EA04F4"/>
    <w:rsid w:val="00EA0647"/>
    <w:rsid w:val="00EA0696"/>
    <w:rsid w:val="00EA07A0"/>
    <w:rsid w:val="00EA07BE"/>
    <w:rsid w:val="00EA0835"/>
    <w:rsid w:val="00EA084E"/>
    <w:rsid w:val="00EA0871"/>
    <w:rsid w:val="00EA097F"/>
    <w:rsid w:val="00EA09D9"/>
    <w:rsid w:val="00EA0A42"/>
    <w:rsid w:val="00EA0BA2"/>
    <w:rsid w:val="00EA0BAF"/>
    <w:rsid w:val="00EA0BFC"/>
    <w:rsid w:val="00EA0D04"/>
    <w:rsid w:val="00EA0DD2"/>
    <w:rsid w:val="00EA0DE9"/>
    <w:rsid w:val="00EA1139"/>
    <w:rsid w:val="00EA125C"/>
    <w:rsid w:val="00EA1290"/>
    <w:rsid w:val="00EA13CF"/>
    <w:rsid w:val="00EA1407"/>
    <w:rsid w:val="00EA1561"/>
    <w:rsid w:val="00EA15A4"/>
    <w:rsid w:val="00EA15DB"/>
    <w:rsid w:val="00EA166C"/>
    <w:rsid w:val="00EA167B"/>
    <w:rsid w:val="00EA16F1"/>
    <w:rsid w:val="00EA180E"/>
    <w:rsid w:val="00EA18A8"/>
    <w:rsid w:val="00EA18E6"/>
    <w:rsid w:val="00EA1926"/>
    <w:rsid w:val="00EA1A1C"/>
    <w:rsid w:val="00EA1AF5"/>
    <w:rsid w:val="00EA1B64"/>
    <w:rsid w:val="00EA1C86"/>
    <w:rsid w:val="00EA1E2A"/>
    <w:rsid w:val="00EA1E3F"/>
    <w:rsid w:val="00EA1F7F"/>
    <w:rsid w:val="00EA1FAA"/>
    <w:rsid w:val="00EA2214"/>
    <w:rsid w:val="00EA221D"/>
    <w:rsid w:val="00EA2273"/>
    <w:rsid w:val="00EA22A1"/>
    <w:rsid w:val="00EA22F9"/>
    <w:rsid w:val="00EA232D"/>
    <w:rsid w:val="00EA2335"/>
    <w:rsid w:val="00EA23B5"/>
    <w:rsid w:val="00EA2499"/>
    <w:rsid w:val="00EA251E"/>
    <w:rsid w:val="00EA2550"/>
    <w:rsid w:val="00EA25A6"/>
    <w:rsid w:val="00EA25C1"/>
    <w:rsid w:val="00EA2761"/>
    <w:rsid w:val="00EA2809"/>
    <w:rsid w:val="00EA286A"/>
    <w:rsid w:val="00EA28FB"/>
    <w:rsid w:val="00EA2B1C"/>
    <w:rsid w:val="00EA2B48"/>
    <w:rsid w:val="00EA2C0C"/>
    <w:rsid w:val="00EA2DD9"/>
    <w:rsid w:val="00EA2DF9"/>
    <w:rsid w:val="00EA2F47"/>
    <w:rsid w:val="00EA2F82"/>
    <w:rsid w:val="00EA2FAF"/>
    <w:rsid w:val="00EA3012"/>
    <w:rsid w:val="00EA303C"/>
    <w:rsid w:val="00EA31D3"/>
    <w:rsid w:val="00EA31E8"/>
    <w:rsid w:val="00EA31EF"/>
    <w:rsid w:val="00EA3317"/>
    <w:rsid w:val="00EA34F0"/>
    <w:rsid w:val="00EA34FD"/>
    <w:rsid w:val="00EA371E"/>
    <w:rsid w:val="00EA37A8"/>
    <w:rsid w:val="00EA3840"/>
    <w:rsid w:val="00EA3860"/>
    <w:rsid w:val="00EA38C6"/>
    <w:rsid w:val="00EA3905"/>
    <w:rsid w:val="00EA3939"/>
    <w:rsid w:val="00EA3979"/>
    <w:rsid w:val="00EA39B0"/>
    <w:rsid w:val="00EA39D8"/>
    <w:rsid w:val="00EA3A3A"/>
    <w:rsid w:val="00EA3CBD"/>
    <w:rsid w:val="00EA3CCE"/>
    <w:rsid w:val="00EA3D23"/>
    <w:rsid w:val="00EA3F48"/>
    <w:rsid w:val="00EA403F"/>
    <w:rsid w:val="00EA4137"/>
    <w:rsid w:val="00EA419A"/>
    <w:rsid w:val="00EA41DE"/>
    <w:rsid w:val="00EA41FC"/>
    <w:rsid w:val="00EA426E"/>
    <w:rsid w:val="00EA4305"/>
    <w:rsid w:val="00EA4350"/>
    <w:rsid w:val="00EA4378"/>
    <w:rsid w:val="00EA4381"/>
    <w:rsid w:val="00EA43E7"/>
    <w:rsid w:val="00EA441F"/>
    <w:rsid w:val="00EA4454"/>
    <w:rsid w:val="00EA44B5"/>
    <w:rsid w:val="00EA45D8"/>
    <w:rsid w:val="00EA4610"/>
    <w:rsid w:val="00EA485A"/>
    <w:rsid w:val="00EA4878"/>
    <w:rsid w:val="00EA493F"/>
    <w:rsid w:val="00EA4947"/>
    <w:rsid w:val="00EA499A"/>
    <w:rsid w:val="00EA4A21"/>
    <w:rsid w:val="00EA4AC5"/>
    <w:rsid w:val="00EA4AD0"/>
    <w:rsid w:val="00EA4BAA"/>
    <w:rsid w:val="00EA4C1E"/>
    <w:rsid w:val="00EA4C42"/>
    <w:rsid w:val="00EA4D14"/>
    <w:rsid w:val="00EA4D27"/>
    <w:rsid w:val="00EA4D51"/>
    <w:rsid w:val="00EA4E64"/>
    <w:rsid w:val="00EA4F26"/>
    <w:rsid w:val="00EA4F29"/>
    <w:rsid w:val="00EA4F68"/>
    <w:rsid w:val="00EA5031"/>
    <w:rsid w:val="00EA5043"/>
    <w:rsid w:val="00EA50C8"/>
    <w:rsid w:val="00EA51B1"/>
    <w:rsid w:val="00EA51C2"/>
    <w:rsid w:val="00EA521C"/>
    <w:rsid w:val="00EA5291"/>
    <w:rsid w:val="00EA52B1"/>
    <w:rsid w:val="00EA52C9"/>
    <w:rsid w:val="00EA5346"/>
    <w:rsid w:val="00EA5486"/>
    <w:rsid w:val="00EA54D4"/>
    <w:rsid w:val="00EA54E2"/>
    <w:rsid w:val="00EA54F1"/>
    <w:rsid w:val="00EA5516"/>
    <w:rsid w:val="00EA5572"/>
    <w:rsid w:val="00EA5615"/>
    <w:rsid w:val="00EA571E"/>
    <w:rsid w:val="00EA5773"/>
    <w:rsid w:val="00EA5796"/>
    <w:rsid w:val="00EA5886"/>
    <w:rsid w:val="00EA589B"/>
    <w:rsid w:val="00EA58B0"/>
    <w:rsid w:val="00EA5940"/>
    <w:rsid w:val="00EA5944"/>
    <w:rsid w:val="00EA596B"/>
    <w:rsid w:val="00EA596F"/>
    <w:rsid w:val="00EA5983"/>
    <w:rsid w:val="00EA59FA"/>
    <w:rsid w:val="00EA5A22"/>
    <w:rsid w:val="00EA5B28"/>
    <w:rsid w:val="00EA5B48"/>
    <w:rsid w:val="00EA5B8A"/>
    <w:rsid w:val="00EA5BB6"/>
    <w:rsid w:val="00EA5BD9"/>
    <w:rsid w:val="00EA5DE9"/>
    <w:rsid w:val="00EA5EE1"/>
    <w:rsid w:val="00EA5F5F"/>
    <w:rsid w:val="00EA600E"/>
    <w:rsid w:val="00EA624B"/>
    <w:rsid w:val="00EA6252"/>
    <w:rsid w:val="00EA6264"/>
    <w:rsid w:val="00EA6491"/>
    <w:rsid w:val="00EA65C1"/>
    <w:rsid w:val="00EA661C"/>
    <w:rsid w:val="00EA66A2"/>
    <w:rsid w:val="00EA66B9"/>
    <w:rsid w:val="00EA6771"/>
    <w:rsid w:val="00EA67C6"/>
    <w:rsid w:val="00EA67F9"/>
    <w:rsid w:val="00EA681F"/>
    <w:rsid w:val="00EA689D"/>
    <w:rsid w:val="00EA68F6"/>
    <w:rsid w:val="00EA69A6"/>
    <w:rsid w:val="00EA69B3"/>
    <w:rsid w:val="00EA6A19"/>
    <w:rsid w:val="00EA6AD6"/>
    <w:rsid w:val="00EA6AF2"/>
    <w:rsid w:val="00EA6B72"/>
    <w:rsid w:val="00EA6C6D"/>
    <w:rsid w:val="00EA6C8B"/>
    <w:rsid w:val="00EA6CF3"/>
    <w:rsid w:val="00EA6D32"/>
    <w:rsid w:val="00EA6E0D"/>
    <w:rsid w:val="00EA6E65"/>
    <w:rsid w:val="00EA707B"/>
    <w:rsid w:val="00EA709C"/>
    <w:rsid w:val="00EA713E"/>
    <w:rsid w:val="00EA7147"/>
    <w:rsid w:val="00EA716E"/>
    <w:rsid w:val="00EA7180"/>
    <w:rsid w:val="00EA728D"/>
    <w:rsid w:val="00EA72C5"/>
    <w:rsid w:val="00EA7351"/>
    <w:rsid w:val="00EA73C3"/>
    <w:rsid w:val="00EA750B"/>
    <w:rsid w:val="00EA7531"/>
    <w:rsid w:val="00EA7575"/>
    <w:rsid w:val="00EA769F"/>
    <w:rsid w:val="00EA76A3"/>
    <w:rsid w:val="00EA7981"/>
    <w:rsid w:val="00EA79EE"/>
    <w:rsid w:val="00EA7AC3"/>
    <w:rsid w:val="00EA7C7B"/>
    <w:rsid w:val="00EA7DA2"/>
    <w:rsid w:val="00EA7FF7"/>
    <w:rsid w:val="00EB004C"/>
    <w:rsid w:val="00EB0106"/>
    <w:rsid w:val="00EB03BA"/>
    <w:rsid w:val="00EB04F4"/>
    <w:rsid w:val="00EB066E"/>
    <w:rsid w:val="00EB08E6"/>
    <w:rsid w:val="00EB0972"/>
    <w:rsid w:val="00EB0985"/>
    <w:rsid w:val="00EB099B"/>
    <w:rsid w:val="00EB099C"/>
    <w:rsid w:val="00EB0A01"/>
    <w:rsid w:val="00EB0ADC"/>
    <w:rsid w:val="00EB0B5F"/>
    <w:rsid w:val="00EB0BA2"/>
    <w:rsid w:val="00EB0C00"/>
    <w:rsid w:val="00EB0C3E"/>
    <w:rsid w:val="00EB0D51"/>
    <w:rsid w:val="00EB0D7C"/>
    <w:rsid w:val="00EB0DD9"/>
    <w:rsid w:val="00EB0E1B"/>
    <w:rsid w:val="00EB0E29"/>
    <w:rsid w:val="00EB0E82"/>
    <w:rsid w:val="00EB108A"/>
    <w:rsid w:val="00EB10D0"/>
    <w:rsid w:val="00EB12D6"/>
    <w:rsid w:val="00EB12FC"/>
    <w:rsid w:val="00EB13F7"/>
    <w:rsid w:val="00EB1582"/>
    <w:rsid w:val="00EB1816"/>
    <w:rsid w:val="00EB186C"/>
    <w:rsid w:val="00EB19F0"/>
    <w:rsid w:val="00EB1A80"/>
    <w:rsid w:val="00EB1B71"/>
    <w:rsid w:val="00EB1D59"/>
    <w:rsid w:val="00EB1F87"/>
    <w:rsid w:val="00EB1FC6"/>
    <w:rsid w:val="00EB203E"/>
    <w:rsid w:val="00EB2098"/>
    <w:rsid w:val="00EB20E2"/>
    <w:rsid w:val="00EB2142"/>
    <w:rsid w:val="00EB21B6"/>
    <w:rsid w:val="00EB22AD"/>
    <w:rsid w:val="00EB22C9"/>
    <w:rsid w:val="00EB234C"/>
    <w:rsid w:val="00EB264E"/>
    <w:rsid w:val="00EB2672"/>
    <w:rsid w:val="00EB27A6"/>
    <w:rsid w:val="00EB27E4"/>
    <w:rsid w:val="00EB2857"/>
    <w:rsid w:val="00EB2868"/>
    <w:rsid w:val="00EB28AD"/>
    <w:rsid w:val="00EB28C9"/>
    <w:rsid w:val="00EB28FA"/>
    <w:rsid w:val="00EB290E"/>
    <w:rsid w:val="00EB2924"/>
    <w:rsid w:val="00EB2933"/>
    <w:rsid w:val="00EB293E"/>
    <w:rsid w:val="00EB2A00"/>
    <w:rsid w:val="00EB2AD8"/>
    <w:rsid w:val="00EB2AE9"/>
    <w:rsid w:val="00EB2D43"/>
    <w:rsid w:val="00EB2E26"/>
    <w:rsid w:val="00EB2EED"/>
    <w:rsid w:val="00EB2FB7"/>
    <w:rsid w:val="00EB303D"/>
    <w:rsid w:val="00EB3219"/>
    <w:rsid w:val="00EB32A0"/>
    <w:rsid w:val="00EB32D7"/>
    <w:rsid w:val="00EB3418"/>
    <w:rsid w:val="00EB347E"/>
    <w:rsid w:val="00EB357E"/>
    <w:rsid w:val="00EB35B5"/>
    <w:rsid w:val="00EB35EC"/>
    <w:rsid w:val="00EB3663"/>
    <w:rsid w:val="00EB36B8"/>
    <w:rsid w:val="00EB36F1"/>
    <w:rsid w:val="00EB37B8"/>
    <w:rsid w:val="00EB384E"/>
    <w:rsid w:val="00EB386F"/>
    <w:rsid w:val="00EB387B"/>
    <w:rsid w:val="00EB3937"/>
    <w:rsid w:val="00EB393B"/>
    <w:rsid w:val="00EB3979"/>
    <w:rsid w:val="00EB3A32"/>
    <w:rsid w:val="00EB3AD0"/>
    <w:rsid w:val="00EB3B88"/>
    <w:rsid w:val="00EB3B99"/>
    <w:rsid w:val="00EB3C6D"/>
    <w:rsid w:val="00EB3D16"/>
    <w:rsid w:val="00EB3E4A"/>
    <w:rsid w:val="00EB3ED8"/>
    <w:rsid w:val="00EB3F30"/>
    <w:rsid w:val="00EB3F3E"/>
    <w:rsid w:val="00EB3F62"/>
    <w:rsid w:val="00EB3FC3"/>
    <w:rsid w:val="00EB4275"/>
    <w:rsid w:val="00EB443B"/>
    <w:rsid w:val="00EB4461"/>
    <w:rsid w:val="00EB44AF"/>
    <w:rsid w:val="00EB4550"/>
    <w:rsid w:val="00EB4896"/>
    <w:rsid w:val="00EB49B2"/>
    <w:rsid w:val="00EB4AEE"/>
    <w:rsid w:val="00EB4BFF"/>
    <w:rsid w:val="00EB4CC3"/>
    <w:rsid w:val="00EB4CFD"/>
    <w:rsid w:val="00EB4D44"/>
    <w:rsid w:val="00EB4DE0"/>
    <w:rsid w:val="00EB4F82"/>
    <w:rsid w:val="00EB4FB8"/>
    <w:rsid w:val="00EB51BB"/>
    <w:rsid w:val="00EB5239"/>
    <w:rsid w:val="00EB5376"/>
    <w:rsid w:val="00EB538C"/>
    <w:rsid w:val="00EB556B"/>
    <w:rsid w:val="00EB586F"/>
    <w:rsid w:val="00EB5901"/>
    <w:rsid w:val="00EB59B5"/>
    <w:rsid w:val="00EB5A3F"/>
    <w:rsid w:val="00EB5BF2"/>
    <w:rsid w:val="00EB5C97"/>
    <w:rsid w:val="00EB5CB1"/>
    <w:rsid w:val="00EB5D73"/>
    <w:rsid w:val="00EB5E39"/>
    <w:rsid w:val="00EB5FD3"/>
    <w:rsid w:val="00EB5FE4"/>
    <w:rsid w:val="00EB5FEB"/>
    <w:rsid w:val="00EB61BC"/>
    <w:rsid w:val="00EB61FB"/>
    <w:rsid w:val="00EB623D"/>
    <w:rsid w:val="00EB6252"/>
    <w:rsid w:val="00EB63C5"/>
    <w:rsid w:val="00EB63D6"/>
    <w:rsid w:val="00EB64B1"/>
    <w:rsid w:val="00EB64BE"/>
    <w:rsid w:val="00EB6581"/>
    <w:rsid w:val="00EB65F2"/>
    <w:rsid w:val="00EB666B"/>
    <w:rsid w:val="00EB66BD"/>
    <w:rsid w:val="00EB66C6"/>
    <w:rsid w:val="00EB66DE"/>
    <w:rsid w:val="00EB672E"/>
    <w:rsid w:val="00EB6800"/>
    <w:rsid w:val="00EB68F2"/>
    <w:rsid w:val="00EB6922"/>
    <w:rsid w:val="00EB6A08"/>
    <w:rsid w:val="00EB6B93"/>
    <w:rsid w:val="00EB6BA3"/>
    <w:rsid w:val="00EB6BB3"/>
    <w:rsid w:val="00EB6C38"/>
    <w:rsid w:val="00EB6CEC"/>
    <w:rsid w:val="00EB6D53"/>
    <w:rsid w:val="00EB6DDE"/>
    <w:rsid w:val="00EB6DEB"/>
    <w:rsid w:val="00EB6DFC"/>
    <w:rsid w:val="00EB6E10"/>
    <w:rsid w:val="00EB6F76"/>
    <w:rsid w:val="00EB6FBB"/>
    <w:rsid w:val="00EB70A5"/>
    <w:rsid w:val="00EB70D5"/>
    <w:rsid w:val="00EB7159"/>
    <w:rsid w:val="00EB719C"/>
    <w:rsid w:val="00EB738C"/>
    <w:rsid w:val="00EB73A5"/>
    <w:rsid w:val="00EB73C5"/>
    <w:rsid w:val="00EB742E"/>
    <w:rsid w:val="00EB74B1"/>
    <w:rsid w:val="00EB752B"/>
    <w:rsid w:val="00EB75BD"/>
    <w:rsid w:val="00EB75D0"/>
    <w:rsid w:val="00EB76BC"/>
    <w:rsid w:val="00EB77A0"/>
    <w:rsid w:val="00EB7838"/>
    <w:rsid w:val="00EB7879"/>
    <w:rsid w:val="00EB789D"/>
    <w:rsid w:val="00EB791B"/>
    <w:rsid w:val="00EB7924"/>
    <w:rsid w:val="00EB792C"/>
    <w:rsid w:val="00EB7967"/>
    <w:rsid w:val="00EB79E5"/>
    <w:rsid w:val="00EB79FF"/>
    <w:rsid w:val="00EB7C7E"/>
    <w:rsid w:val="00EB7C85"/>
    <w:rsid w:val="00EB7C8A"/>
    <w:rsid w:val="00EB7CC1"/>
    <w:rsid w:val="00EB7CE5"/>
    <w:rsid w:val="00EB7F3E"/>
    <w:rsid w:val="00EB7F65"/>
    <w:rsid w:val="00EB7F71"/>
    <w:rsid w:val="00EB7FF0"/>
    <w:rsid w:val="00EC001A"/>
    <w:rsid w:val="00EC001D"/>
    <w:rsid w:val="00EC0063"/>
    <w:rsid w:val="00EC027A"/>
    <w:rsid w:val="00EC0497"/>
    <w:rsid w:val="00EC04D7"/>
    <w:rsid w:val="00EC04FB"/>
    <w:rsid w:val="00EC0511"/>
    <w:rsid w:val="00EC077B"/>
    <w:rsid w:val="00EC07D5"/>
    <w:rsid w:val="00EC0863"/>
    <w:rsid w:val="00EC0A9F"/>
    <w:rsid w:val="00EC0AA8"/>
    <w:rsid w:val="00EC0B2D"/>
    <w:rsid w:val="00EC0C87"/>
    <w:rsid w:val="00EC0CA7"/>
    <w:rsid w:val="00EC0CA8"/>
    <w:rsid w:val="00EC0CBC"/>
    <w:rsid w:val="00EC0CC7"/>
    <w:rsid w:val="00EC0D3E"/>
    <w:rsid w:val="00EC0E54"/>
    <w:rsid w:val="00EC0E5B"/>
    <w:rsid w:val="00EC0E5E"/>
    <w:rsid w:val="00EC0EB7"/>
    <w:rsid w:val="00EC0F75"/>
    <w:rsid w:val="00EC0F82"/>
    <w:rsid w:val="00EC10A7"/>
    <w:rsid w:val="00EC10C9"/>
    <w:rsid w:val="00EC1102"/>
    <w:rsid w:val="00EC117C"/>
    <w:rsid w:val="00EC11C7"/>
    <w:rsid w:val="00EC1279"/>
    <w:rsid w:val="00EC136F"/>
    <w:rsid w:val="00EC13BF"/>
    <w:rsid w:val="00EC13E9"/>
    <w:rsid w:val="00EC1419"/>
    <w:rsid w:val="00EC1463"/>
    <w:rsid w:val="00EC149F"/>
    <w:rsid w:val="00EC1512"/>
    <w:rsid w:val="00EC154C"/>
    <w:rsid w:val="00EC1584"/>
    <w:rsid w:val="00EC164B"/>
    <w:rsid w:val="00EC1704"/>
    <w:rsid w:val="00EC1758"/>
    <w:rsid w:val="00EC190D"/>
    <w:rsid w:val="00EC1920"/>
    <w:rsid w:val="00EC19A4"/>
    <w:rsid w:val="00EC1A72"/>
    <w:rsid w:val="00EC1B54"/>
    <w:rsid w:val="00EC1B92"/>
    <w:rsid w:val="00EC1BDA"/>
    <w:rsid w:val="00EC1C64"/>
    <w:rsid w:val="00EC1CB6"/>
    <w:rsid w:val="00EC1CF6"/>
    <w:rsid w:val="00EC1DD6"/>
    <w:rsid w:val="00EC1E05"/>
    <w:rsid w:val="00EC1EBE"/>
    <w:rsid w:val="00EC208C"/>
    <w:rsid w:val="00EC20DF"/>
    <w:rsid w:val="00EC2159"/>
    <w:rsid w:val="00EC224F"/>
    <w:rsid w:val="00EC2316"/>
    <w:rsid w:val="00EC2345"/>
    <w:rsid w:val="00EC2395"/>
    <w:rsid w:val="00EC2465"/>
    <w:rsid w:val="00EC251B"/>
    <w:rsid w:val="00EC253B"/>
    <w:rsid w:val="00EC2585"/>
    <w:rsid w:val="00EC26EA"/>
    <w:rsid w:val="00EC290B"/>
    <w:rsid w:val="00EC29C2"/>
    <w:rsid w:val="00EC2A06"/>
    <w:rsid w:val="00EC2C22"/>
    <w:rsid w:val="00EC2CF3"/>
    <w:rsid w:val="00EC2CF9"/>
    <w:rsid w:val="00EC2E13"/>
    <w:rsid w:val="00EC2E77"/>
    <w:rsid w:val="00EC2E99"/>
    <w:rsid w:val="00EC3159"/>
    <w:rsid w:val="00EC31CD"/>
    <w:rsid w:val="00EC3342"/>
    <w:rsid w:val="00EC3375"/>
    <w:rsid w:val="00EC337E"/>
    <w:rsid w:val="00EC33B9"/>
    <w:rsid w:val="00EC33EF"/>
    <w:rsid w:val="00EC3402"/>
    <w:rsid w:val="00EC3478"/>
    <w:rsid w:val="00EC3802"/>
    <w:rsid w:val="00EC3814"/>
    <w:rsid w:val="00EC3857"/>
    <w:rsid w:val="00EC3890"/>
    <w:rsid w:val="00EC3895"/>
    <w:rsid w:val="00EC38D7"/>
    <w:rsid w:val="00EC38F6"/>
    <w:rsid w:val="00EC3912"/>
    <w:rsid w:val="00EC39A2"/>
    <w:rsid w:val="00EC39DD"/>
    <w:rsid w:val="00EC3A82"/>
    <w:rsid w:val="00EC3B15"/>
    <w:rsid w:val="00EC3C6D"/>
    <w:rsid w:val="00EC3D9A"/>
    <w:rsid w:val="00EC3DDA"/>
    <w:rsid w:val="00EC3EEC"/>
    <w:rsid w:val="00EC3FE6"/>
    <w:rsid w:val="00EC4016"/>
    <w:rsid w:val="00EC408C"/>
    <w:rsid w:val="00EC40B5"/>
    <w:rsid w:val="00EC4176"/>
    <w:rsid w:val="00EC41AF"/>
    <w:rsid w:val="00EC4221"/>
    <w:rsid w:val="00EC426E"/>
    <w:rsid w:val="00EC4306"/>
    <w:rsid w:val="00EC4313"/>
    <w:rsid w:val="00EC4334"/>
    <w:rsid w:val="00EC4411"/>
    <w:rsid w:val="00EC45C4"/>
    <w:rsid w:val="00EC4695"/>
    <w:rsid w:val="00EC4A83"/>
    <w:rsid w:val="00EC4C93"/>
    <w:rsid w:val="00EC4D19"/>
    <w:rsid w:val="00EC4D1C"/>
    <w:rsid w:val="00EC4D3F"/>
    <w:rsid w:val="00EC4DA4"/>
    <w:rsid w:val="00EC4E0C"/>
    <w:rsid w:val="00EC4E7E"/>
    <w:rsid w:val="00EC4EFC"/>
    <w:rsid w:val="00EC4F2E"/>
    <w:rsid w:val="00EC4F65"/>
    <w:rsid w:val="00EC5047"/>
    <w:rsid w:val="00EC50D5"/>
    <w:rsid w:val="00EC51BA"/>
    <w:rsid w:val="00EC5272"/>
    <w:rsid w:val="00EC527F"/>
    <w:rsid w:val="00EC5346"/>
    <w:rsid w:val="00EC5348"/>
    <w:rsid w:val="00EC54CA"/>
    <w:rsid w:val="00EC5517"/>
    <w:rsid w:val="00EC5542"/>
    <w:rsid w:val="00EC5588"/>
    <w:rsid w:val="00EC5592"/>
    <w:rsid w:val="00EC56C7"/>
    <w:rsid w:val="00EC56DB"/>
    <w:rsid w:val="00EC57C7"/>
    <w:rsid w:val="00EC57DE"/>
    <w:rsid w:val="00EC5A05"/>
    <w:rsid w:val="00EC5A99"/>
    <w:rsid w:val="00EC5CC1"/>
    <w:rsid w:val="00EC5D77"/>
    <w:rsid w:val="00EC5E98"/>
    <w:rsid w:val="00EC600B"/>
    <w:rsid w:val="00EC60D5"/>
    <w:rsid w:val="00EC6180"/>
    <w:rsid w:val="00EC635B"/>
    <w:rsid w:val="00EC63A0"/>
    <w:rsid w:val="00EC647F"/>
    <w:rsid w:val="00EC650B"/>
    <w:rsid w:val="00EC6618"/>
    <w:rsid w:val="00EC66F9"/>
    <w:rsid w:val="00EC6779"/>
    <w:rsid w:val="00EC67FB"/>
    <w:rsid w:val="00EC6875"/>
    <w:rsid w:val="00EC6882"/>
    <w:rsid w:val="00EC6B95"/>
    <w:rsid w:val="00EC6D31"/>
    <w:rsid w:val="00EC6D3E"/>
    <w:rsid w:val="00EC6D72"/>
    <w:rsid w:val="00EC6DC2"/>
    <w:rsid w:val="00EC6DE0"/>
    <w:rsid w:val="00EC6E08"/>
    <w:rsid w:val="00EC6EC0"/>
    <w:rsid w:val="00EC6ED1"/>
    <w:rsid w:val="00EC6F51"/>
    <w:rsid w:val="00EC6FF0"/>
    <w:rsid w:val="00EC7034"/>
    <w:rsid w:val="00EC716D"/>
    <w:rsid w:val="00EC7348"/>
    <w:rsid w:val="00EC73D0"/>
    <w:rsid w:val="00EC75FA"/>
    <w:rsid w:val="00EC76D1"/>
    <w:rsid w:val="00EC7734"/>
    <w:rsid w:val="00EC7771"/>
    <w:rsid w:val="00EC78D1"/>
    <w:rsid w:val="00EC7E6C"/>
    <w:rsid w:val="00EC7F4F"/>
    <w:rsid w:val="00ED02DA"/>
    <w:rsid w:val="00ED0395"/>
    <w:rsid w:val="00ED03AA"/>
    <w:rsid w:val="00ED0433"/>
    <w:rsid w:val="00ED0583"/>
    <w:rsid w:val="00ED06E6"/>
    <w:rsid w:val="00ED07DA"/>
    <w:rsid w:val="00ED0A3E"/>
    <w:rsid w:val="00ED0AAA"/>
    <w:rsid w:val="00ED0B7F"/>
    <w:rsid w:val="00ED0C02"/>
    <w:rsid w:val="00ED0D5E"/>
    <w:rsid w:val="00ED0DB6"/>
    <w:rsid w:val="00ED0F3A"/>
    <w:rsid w:val="00ED112D"/>
    <w:rsid w:val="00ED11C4"/>
    <w:rsid w:val="00ED125C"/>
    <w:rsid w:val="00ED126E"/>
    <w:rsid w:val="00ED1388"/>
    <w:rsid w:val="00ED1397"/>
    <w:rsid w:val="00ED142E"/>
    <w:rsid w:val="00ED14A9"/>
    <w:rsid w:val="00ED14D8"/>
    <w:rsid w:val="00ED1701"/>
    <w:rsid w:val="00ED17AF"/>
    <w:rsid w:val="00ED1830"/>
    <w:rsid w:val="00ED18A3"/>
    <w:rsid w:val="00ED18E0"/>
    <w:rsid w:val="00ED18E3"/>
    <w:rsid w:val="00ED1921"/>
    <w:rsid w:val="00ED1939"/>
    <w:rsid w:val="00ED1A3F"/>
    <w:rsid w:val="00ED1AF9"/>
    <w:rsid w:val="00ED1B8C"/>
    <w:rsid w:val="00ED1BAB"/>
    <w:rsid w:val="00ED1C68"/>
    <w:rsid w:val="00ED1C89"/>
    <w:rsid w:val="00ED1D46"/>
    <w:rsid w:val="00ED1E01"/>
    <w:rsid w:val="00ED1EFE"/>
    <w:rsid w:val="00ED1F1E"/>
    <w:rsid w:val="00ED1F36"/>
    <w:rsid w:val="00ED2013"/>
    <w:rsid w:val="00ED208B"/>
    <w:rsid w:val="00ED20B4"/>
    <w:rsid w:val="00ED20CB"/>
    <w:rsid w:val="00ED216B"/>
    <w:rsid w:val="00ED2186"/>
    <w:rsid w:val="00ED21CB"/>
    <w:rsid w:val="00ED21EA"/>
    <w:rsid w:val="00ED2242"/>
    <w:rsid w:val="00ED22A1"/>
    <w:rsid w:val="00ED2354"/>
    <w:rsid w:val="00ED23F3"/>
    <w:rsid w:val="00ED24E8"/>
    <w:rsid w:val="00ED2521"/>
    <w:rsid w:val="00ED2746"/>
    <w:rsid w:val="00ED2891"/>
    <w:rsid w:val="00ED28F5"/>
    <w:rsid w:val="00ED29B6"/>
    <w:rsid w:val="00ED29DC"/>
    <w:rsid w:val="00ED2A3C"/>
    <w:rsid w:val="00ED2A9C"/>
    <w:rsid w:val="00ED2B24"/>
    <w:rsid w:val="00ED2CC0"/>
    <w:rsid w:val="00ED2CED"/>
    <w:rsid w:val="00ED2F69"/>
    <w:rsid w:val="00ED2FB8"/>
    <w:rsid w:val="00ED30FB"/>
    <w:rsid w:val="00ED3263"/>
    <w:rsid w:val="00ED327F"/>
    <w:rsid w:val="00ED33C5"/>
    <w:rsid w:val="00ED356E"/>
    <w:rsid w:val="00ED372E"/>
    <w:rsid w:val="00ED37D1"/>
    <w:rsid w:val="00ED3835"/>
    <w:rsid w:val="00ED3950"/>
    <w:rsid w:val="00ED395A"/>
    <w:rsid w:val="00ED39A9"/>
    <w:rsid w:val="00ED39DB"/>
    <w:rsid w:val="00ED3A1A"/>
    <w:rsid w:val="00ED3A94"/>
    <w:rsid w:val="00ED3ADA"/>
    <w:rsid w:val="00ED3B8B"/>
    <w:rsid w:val="00ED3C9D"/>
    <w:rsid w:val="00ED3CCE"/>
    <w:rsid w:val="00ED3CE9"/>
    <w:rsid w:val="00ED3CF3"/>
    <w:rsid w:val="00ED3DD7"/>
    <w:rsid w:val="00ED3E0D"/>
    <w:rsid w:val="00ED3E1E"/>
    <w:rsid w:val="00ED3F09"/>
    <w:rsid w:val="00ED3F94"/>
    <w:rsid w:val="00ED3FC1"/>
    <w:rsid w:val="00ED4031"/>
    <w:rsid w:val="00ED4077"/>
    <w:rsid w:val="00ED4106"/>
    <w:rsid w:val="00ED4155"/>
    <w:rsid w:val="00ED419A"/>
    <w:rsid w:val="00ED41D2"/>
    <w:rsid w:val="00ED42DF"/>
    <w:rsid w:val="00ED4561"/>
    <w:rsid w:val="00ED4598"/>
    <w:rsid w:val="00ED4860"/>
    <w:rsid w:val="00ED4922"/>
    <w:rsid w:val="00ED4A8E"/>
    <w:rsid w:val="00ED4BFC"/>
    <w:rsid w:val="00ED4C01"/>
    <w:rsid w:val="00ED4C19"/>
    <w:rsid w:val="00ED4D9F"/>
    <w:rsid w:val="00ED4E65"/>
    <w:rsid w:val="00ED51D0"/>
    <w:rsid w:val="00ED5460"/>
    <w:rsid w:val="00ED554C"/>
    <w:rsid w:val="00ED554F"/>
    <w:rsid w:val="00ED55D0"/>
    <w:rsid w:val="00ED55EB"/>
    <w:rsid w:val="00ED55F9"/>
    <w:rsid w:val="00ED5606"/>
    <w:rsid w:val="00ED56E4"/>
    <w:rsid w:val="00ED5991"/>
    <w:rsid w:val="00ED59E0"/>
    <w:rsid w:val="00ED5A2F"/>
    <w:rsid w:val="00ED5AB5"/>
    <w:rsid w:val="00ED5B42"/>
    <w:rsid w:val="00ED5B4D"/>
    <w:rsid w:val="00ED5D1E"/>
    <w:rsid w:val="00ED5D23"/>
    <w:rsid w:val="00ED5D3B"/>
    <w:rsid w:val="00ED5EF9"/>
    <w:rsid w:val="00ED6189"/>
    <w:rsid w:val="00ED6239"/>
    <w:rsid w:val="00ED6262"/>
    <w:rsid w:val="00ED62AF"/>
    <w:rsid w:val="00ED62EF"/>
    <w:rsid w:val="00ED630F"/>
    <w:rsid w:val="00ED63E8"/>
    <w:rsid w:val="00ED654E"/>
    <w:rsid w:val="00ED6563"/>
    <w:rsid w:val="00ED6590"/>
    <w:rsid w:val="00ED6870"/>
    <w:rsid w:val="00ED68E8"/>
    <w:rsid w:val="00ED6917"/>
    <w:rsid w:val="00ED6945"/>
    <w:rsid w:val="00ED69AA"/>
    <w:rsid w:val="00ED69C5"/>
    <w:rsid w:val="00ED6A5D"/>
    <w:rsid w:val="00ED6A97"/>
    <w:rsid w:val="00ED6AA1"/>
    <w:rsid w:val="00ED6AC8"/>
    <w:rsid w:val="00ED6B31"/>
    <w:rsid w:val="00ED6B7C"/>
    <w:rsid w:val="00ED6BBA"/>
    <w:rsid w:val="00ED6D48"/>
    <w:rsid w:val="00ED6D85"/>
    <w:rsid w:val="00ED6D97"/>
    <w:rsid w:val="00ED6E73"/>
    <w:rsid w:val="00ED6EC1"/>
    <w:rsid w:val="00ED6EFF"/>
    <w:rsid w:val="00ED6F32"/>
    <w:rsid w:val="00ED703A"/>
    <w:rsid w:val="00ED7184"/>
    <w:rsid w:val="00ED73B9"/>
    <w:rsid w:val="00ED7480"/>
    <w:rsid w:val="00ED74A0"/>
    <w:rsid w:val="00ED74BE"/>
    <w:rsid w:val="00ED75C0"/>
    <w:rsid w:val="00ED7710"/>
    <w:rsid w:val="00ED794A"/>
    <w:rsid w:val="00ED7AFA"/>
    <w:rsid w:val="00ED7BAA"/>
    <w:rsid w:val="00ED7BB2"/>
    <w:rsid w:val="00ED7D54"/>
    <w:rsid w:val="00ED7D6A"/>
    <w:rsid w:val="00ED7E48"/>
    <w:rsid w:val="00ED7F4D"/>
    <w:rsid w:val="00ED7FA4"/>
    <w:rsid w:val="00EE0240"/>
    <w:rsid w:val="00EE027F"/>
    <w:rsid w:val="00EE0367"/>
    <w:rsid w:val="00EE0557"/>
    <w:rsid w:val="00EE063F"/>
    <w:rsid w:val="00EE0658"/>
    <w:rsid w:val="00EE077C"/>
    <w:rsid w:val="00EE07B5"/>
    <w:rsid w:val="00EE07F0"/>
    <w:rsid w:val="00EE0862"/>
    <w:rsid w:val="00EE08DF"/>
    <w:rsid w:val="00EE094B"/>
    <w:rsid w:val="00EE0AE8"/>
    <w:rsid w:val="00EE0B19"/>
    <w:rsid w:val="00EE0BC7"/>
    <w:rsid w:val="00EE0C41"/>
    <w:rsid w:val="00EE0D92"/>
    <w:rsid w:val="00EE1084"/>
    <w:rsid w:val="00EE113E"/>
    <w:rsid w:val="00EE1172"/>
    <w:rsid w:val="00EE1359"/>
    <w:rsid w:val="00EE13BB"/>
    <w:rsid w:val="00EE13DC"/>
    <w:rsid w:val="00EE147F"/>
    <w:rsid w:val="00EE15BC"/>
    <w:rsid w:val="00EE177E"/>
    <w:rsid w:val="00EE17DC"/>
    <w:rsid w:val="00EE18C9"/>
    <w:rsid w:val="00EE1980"/>
    <w:rsid w:val="00EE1A43"/>
    <w:rsid w:val="00EE1B1D"/>
    <w:rsid w:val="00EE1CB7"/>
    <w:rsid w:val="00EE1CFB"/>
    <w:rsid w:val="00EE1DA2"/>
    <w:rsid w:val="00EE1E1F"/>
    <w:rsid w:val="00EE1ED9"/>
    <w:rsid w:val="00EE1F03"/>
    <w:rsid w:val="00EE1F37"/>
    <w:rsid w:val="00EE1FCE"/>
    <w:rsid w:val="00EE1FD4"/>
    <w:rsid w:val="00EE20F5"/>
    <w:rsid w:val="00EE2176"/>
    <w:rsid w:val="00EE21AB"/>
    <w:rsid w:val="00EE2242"/>
    <w:rsid w:val="00EE22C3"/>
    <w:rsid w:val="00EE22DA"/>
    <w:rsid w:val="00EE232D"/>
    <w:rsid w:val="00EE23A1"/>
    <w:rsid w:val="00EE23BE"/>
    <w:rsid w:val="00EE242C"/>
    <w:rsid w:val="00EE24A5"/>
    <w:rsid w:val="00EE2657"/>
    <w:rsid w:val="00EE26AC"/>
    <w:rsid w:val="00EE26C2"/>
    <w:rsid w:val="00EE26F3"/>
    <w:rsid w:val="00EE27B9"/>
    <w:rsid w:val="00EE27E8"/>
    <w:rsid w:val="00EE27FD"/>
    <w:rsid w:val="00EE2876"/>
    <w:rsid w:val="00EE28B9"/>
    <w:rsid w:val="00EE29D9"/>
    <w:rsid w:val="00EE2B02"/>
    <w:rsid w:val="00EE2B46"/>
    <w:rsid w:val="00EE2B88"/>
    <w:rsid w:val="00EE2C96"/>
    <w:rsid w:val="00EE2CDC"/>
    <w:rsid w:val="00EE2DF2"/>
    <w:rsid w:val="00EE2EA9"/>
    <w:rsid w:val="00EE2EAD"/>
    <w:rsid w:val="00EE31D9"/>
    <w:rsid w:val="00EE3220"/>
    <w:rsid w:val="00EE322B"/>
    <w:rsid w:val="00EE328F"/>
    <w:rsid w:val="00EE3399"/>
    <w:rsid w:val="00EE3405"/>
    <w:rsid w:val="00EE343B"/>
    <w:rsid w:val="00EE349B"/>
    <w:rsid w:val="00EE3544"/>
    <w:rsid w:val="00EE3609"/>
    <w:rsid w:val="00EE3642"/>
    <w:rsid w:val="00EE365C"/>
    <w:rsid w:val="00EE3781"/>
    <w:rsid w:val="00EE37B0"/>
    <w:rsid w:val="00EE3847"/>
    <w:rsid w:val="00EE38F6"/>
    <w:rsid w:val="00EE3949"/>
    <w:rsid w:val="00EE395C"/>
    <w:rsid w:val="00EE3987"/>
    <w:rsid w:val="00EE39BA"/>
    <w:rsid w:val="00EE39D6"/>
    <w:rsid w:val="00EE3CD1"/>
    <w:rsid w:val="00EE3CD9"/>
    <w:rsid w:val="00EE3E03"/>
    <w:rsid w:val="00EE3EC5"/>
    <w:rsid w:val="00EE3F4F"/>
    <w:rsid w:val="00EE4018"/>
    <w:rsid w:val="00EE4024"/>
    <w:rsid w:val="00EE4102"/>
    <w:rsid w:val="00EE4110"/>
    <w:rsid w:val="00EE4375"/>
    <w:rsid w:val="00EE43C4"/>
    <w:rsid w:val="00EE43F9"/>
    <w:rsid w:val="00EE4437"/>
    <w:rsid w:val="00EE449C"/>
    <w:rsid w:val="00EE449E"/>
    <w:rsid w:val="00EE44CF"/>
    <w:rsid w:val="00EE4569"/>
    <w:rsid w:val="00EE45A4"/>
    <w:rsid w:val="00EE460B"/>
    <w:rsid w:val="00EE4634"/>
    <w:rsid w:val="00EE47B4"/>
    <w:rsid w:val="00EE4812"/>
    <w:rsid w:val="00EE485E"/>
    <w:rsid w:val="00EE488B"/>
    <w:rsid w:val="00EE489F"/>
    <w:rsid w:val="00EE4B0A"/>
    <w:rsid w:val="00EE4C4B"/>
    <w:rsid w:val="00EE4C50"/>
    <w:rsid w:val="00EE4D49"/>
    <w:rsid w:val="00EE4F09"/>
    <w:rsid w:val="00EE4F0D"/>
    <w:rsid w:val="00EE4F95"/>
    <w:rsid w:val="00EE4FF7"/>
    <w:rsid w:val="00EE5021"/>
    <w:rsid w:val="00EE505B"/>
    <w:rsid w:val="00EE5161"/>
    <w:rsid w:val="00EE524D"/>
    <w:rsid w:val="00EE5260"/>
    <w:rsid w:val="00EE528A"/>
    <w:rsid w:val="00EE52E1"/>
    <w:rsid w:val="00EE5336"/>
    <w:rsid w:val="00EE536C"/>
    <w:rsid w:val="00EE5378"/>
    <w:rsid w:val="00EE5396"/>
    <w:rsid w:val="00EE53D3"/>
    <w:rsid w:val="00EE5430"/>
    <w:rsid w:val="00EE5492"/>
    <w:rsid w:val="00EE5560"/>
    <w:rsid w:val="00EE5621"/>
    <w:rsid w:val="00EE5682"/>
    <w:rsid w:val="00EE5867"/>
    <w:rsid w:val="00EE58BE"/>
    <w:rsid w:val="00EE5B3E"/>
    <w:rsid w:val="00EE5DE1"/>
    <w:rsid w:val="00EE5E01"/>
    <w:rsid w:val="00EE5F3A"/>
    <w:rsid w:val="00EE6005"/>
    <w:rsid w:val="00EE60A0"/>
    <w:rsid w:val="00EE616A"/>
    <w:rsid w:val="00EE6190"/>
    <w:rsid w:val="00EE6452"/>
    <w:rsid w:val="00EE66AF"/>
    <w:rsid w:val="00EE68B7"/>
    <w:rsid w:val="00EE68C9"/>
    <w:rsid w:val="00EE69DA"/>
    <w:rsid w:val="00EE69DD"/>
    <w:rsid w:val="00EE69F2"/>
    <w:rsid w:val="00EE6A3A"/>
    <w:rsid w:val="00EE6ADD"/>
    <w:rsid w:val="00EE6BC1"/>
    <w:rsid w:val="00EE6C87"/>
    <w:rsid w:val="00EE6E45"/>
    <w:rsid w:val="00EE6EA0"/>
    <w:rsid w:val="00EE6F35"/>
    <w:rsid w:val="00EE70F7"/>
    <w:rsid w:val="00EE72A2"/>
    <w:rsid w:val="00EE75C5"/>
    <w:rsid w:val="00EE774D"/>
    <w:rsid w:val="00EE77A7"/>
    <w:rsid w:val="00EE7801"/>
    <w:rsid w:val="00EE7849"/>
    <w:rsid w:val="00EE7898"/>
    <w:rsid w:val="00EE78C9"/>
    <w:rsid w:val="00EE7AFA"/>
    <w:rsid w:val="00EE7B4A"/>
    <w:rsid w:val="00EE7BB1"/>
    <w:rsid w:val="00EE7BBD"/>
    <w:rsid w:val="00EE7C74"/>
    <w:rsid w:val="00EE7CCE"/>
    <w:rsid w:val="00EE7DA6"/>
    <w:rsid w:val="00EE7FAD"/>
    <w:rsid w:val="00EE7FF9"/>
    <w:rsid w:val="00EF0072"/>
    <w:rsid w:val="00EF017A"/>
    <w:rsid w:val="00EF02A3"/>
    <w:rsid w:val="00EF02A7"/>
    <w:rsid w:val="00EF04AC"/>
    <w:rsid w:val="00EF05A8"/>
    <w:rsid w:val="00EF0659"/>
    <w:rsid w:val="00EF08CD"/>
    <w:rsid w:val="00EF098A"/>
    <w:rsid w:val="00EF099D"/>
    <w:rsid w:val="00EF0A92"/>
    <w:rsid w:val="00EF0AFE"/>
    <w:rsid w:val="00EF0BF8"/>
    <w:rsid w:val="00EF0C45"/>
    <w:rsid w:val="00EF0D89"/>
    <w:rsid w:val="00EF0E68"/>
    <w:rsid w:val="00EF0E8B"/>
    <w:rsid w:val="00EF0F26"/>
    <w:rsid w:val="00EF0FFC"/>
    <w:rsid w:val="00EF10C9"/>
    <w:rsid w:val="00EF10D4"/>
    <w:rsid w:val="00EF10E4"/>
    <w:rsid w:val="00EF1147"/>
    <w:rsid w:val="00EF117E"/>
    <w:rsid w:val="00EF1242"/>
    <w:rsid w:val="00EF1267"/>
    <w:rsid w:val="00EF127F"/>
    <w:rsid w:val="00EF12C3"/>
    <w:rsid w:val="00EF1465"/>
    <w:rsid w:val="00EF14E1"/>
    <w:rsid w:val="00EF160D"/>
    <w:rsid w:val="00EF1612"/>
    <w:rsid w:val="00EF164F"/>
    <w:rsid w:val="00EF169A"/>
    <w:rsid w:val="00EF175A"/>
    <w:rsid w:val="00EF1816"/>
    <w:rsid w:val="00EF195C"/>
    <w:rsid w:val="00EF1979"/>
    <w:rsid w:val="00EF19FD"/>
    <w:rsid w:val="00EF1AD9"/>
    <w:rsid w:val="00EF1BB0"/>
    <w:rsid w:val="00EF1C01"/>
    <w:rsid w:val="00EF1C62"/>
    <w:rsid w:val="00EF1D04"/>
    <w:rsid w:val="00EF1DE1"/>
    <w:rsid w:val="00EF1E07"/>
    <w:rsid w:val="00EF1E8C"/>
    <w:rsid w:val="00EF1EA2"/>
    <w:rsid w:val="00EF1EF7"/>
    <w:rsid w:val="00EF1F10"/>
    <w:rsid w:val="00EF1FB3"/>
    <w:rsid w:val="00EF1FE5"/>
    <w:rsid w:val="00EF22C5"/>
    <w:rsid w:val="00EF22EA"/>
    <w:rsid w:val="00EF2321"/>
    <w:rsid w:val="00EF236A"/>
    <w:rsid w:val="00EF2575"/>
    <w:rsid w:val="00EF2576"/>
    <w:rsid w:val="00EF26C0"/>
    <w:rsid w:val="00EF26CC"/>
    <w:rsid w:val="00EF26EF"/>
    <w:rsid w:val="00EF2761"/>
    <w:rsid w:val="00EF27B7"/>
    <w:rsid w:val="00EF27F7"/>
    <w:rsid w:val="00EF28AC"/>
    <w:rsid w:val="00EF2AB6"/>
    <w:rsid w:val="00EF2B5F"/>
    <w:rsid w:val="00EF2DB8"/>
    <w:rsid w:val="00EF2DE9"/>
    <w:rsid w:val="00EF2E18"/>
    <w:rsid w:val="00EF2EBD"/>
    <w:rsid w:val="00EF301D"/>
    <w:rsid w:val="00EF313C"/>
    <w:rsid w:val="00EF3146"/>
    <w:rsid w:val="00EF3161"/>
    <w:rsid w:val="00EF3205"/>
    <w:rsid w:val="00EF320B"/>
    <w:rsid w:val="00EF3368"/>
    <w:rsid w:val="00EF34CD"/>
    <w:rsid w:val="00EF3563"/>
    <w:rsid w:val="00EF363A"/>
    <w:rsid w:val="00EF3640"/>
    <w:rsid w:val="00EF36B7"/>
    <w:rsid w:val="00EF374D"/>
    <w:rsid w:val="00EF3A22"/>
    <w:rsid w:val="00EF3B3B"/>
    <w:rsid w:val="00EF3B3E"/>
    <w:rsid w:val="00EF3B40"/>
    <w:rsid w:val="00EF3B7F"/>
    <w:rsid w:val="00EF3BD9"/>
    <w:rsid w:val="00EF3C45"/>
    <w:rsid w:val="00EF3C4F"/>
    <w:rsid w:val="00EF3D03"/>
    <w:rsid w:val="00EF3F43"/>
    <w:rsid w:val="00EF3FE5"/>
    <w:rsid w:val="00EF3FF1"/>
    <w:rsid w:val="00EF41E1"/>
    <w:rsid w:val="00EF4253"/>
    <w:rsid w:val="00EF42A6"/>
    <w:rsid w:val="00EF4354"/>
    <w:rsid w:val="00EF4373"/>
    <w:rsid w:val="00EF4384"/>
    <w:rsid w:val="00EF4570"/>
    <w:rsid w:val="00EF464C"/>
    <w:rsid w:val="00EF46D7"/>
    <w:rsid w:val="00EF46EE"/>
    <w:rsid w:val="00EF470D"/>
    <w:rsid w:val="00EF4724"/>
    <w:rsid w:val="00EF48D0"/>
    <w:rsid w:val="00EF48D1"/>
    <w:rsid w:val="00EF4929"/>
    <w:rsid w:val="00EF4958"/>
    <w:rsid w:val="00EF496D"/>
    <w:rsid w:val="00EF498A"/>
    <w:rsid w:val="00EF4AAF"/>
    <w:rsid w:val="00EF4B4D"/>
    <w:rsid w:val="00EF4D53"/>
    <w:rsid w:val="00EF4DF2"/>
    <w:rsid w:val="00EF502E"/>
    <w:rsid w:val="00EF50CE"/>
    <w:rsid w:val="00EF5102"/>
    <w:rsid w:val="00EF51A0"/>
    <w:rsid w:val="00EF51E6"/>
    <w:rsid w:val="00EF527E"/>
    <w:rsid w:val="00EF52A5"/>
    <w:rsid w:val="00EF52F2"/>
    <w:rsid w:val="00EF53AA"/>
    <w:rsid w:val="00EF53C9"/>
    <w:rsid w:val="00EF5471"/>
    <w:rsid w:val="00EF5527"/>
    <w:rsid w:val="00EF566B"/>
    <w:rsid w:val="00EF56FD"/>
    <w:rsid w:val="00EF572A"/>
    <w:rsid w:val="00EF5742"/>
    <w:rsid w:val="00EF57BF"/>
    <w:rsid w:val="00EF57DD"/>
    <w:rsid w:val="00EF5892"/>
    <w:rsid w:val="00EF58B0"/>
    <w:rsid w:val="00EF5B2B"/>
    <w:rsid w:val="00EF5C75"/>
    <w:rsid w:val="00EF5D3B"/>
    <w:rsid w:val="00EF5D6F"/>
    <w:rsid w:val="00EF5D9C"/>
    <w:rsid w:val="00EF5DD3"/>
    <w:rsid w:val="00EF5E51"/>
    <w:rsid w:val="00EF5EF7"/>
    <w:rsid w:val="00EF6043"/>
    <w:rsid w:val="00EF60B5"/>
    <w:rsid w:val="00EF60D0"/>
    <w:rsid w:val="00EF615F"/>
    <w:rsid w:val="00EF622E"/>
    <w:rsid w:val="00EF6383"/>
    <w:rsid w:val="00EF648E"/>
    <w:rsid w:val="00EF64CE"/>
    <w:rsid w:val="00EF6643"/>
    <w:rsid w:val="00EF66B4"/>
    <w:rsid w:val="00EF66D5"/>
    <w:rsid w:val="00EF66E7"/>
    <w:rsid w:val="00EF670E"/>
    <w:rsid w:val="00EF67D9"/>
    <w:rsid w:val="00EF6833"/>
    <w:rsid w:val="00EF6841"/>
    <w:rsid w:val="00EF6A4A"/>
    <w:rsid w:val="00EF6C18"/>
    <w:rsid w:val="00EF6C3B"/>
    <w:rsid w:val="00EF6C51"/>
    <w:rsid w:val="00EF6C95"/>
    <w:rsid w:val="00EF6D26"/>
    <w:rsid w:val="00EF6ED9"/>
    <w:rsid w:val="00EF6F48"/>
    <w:rsid w:val="00EF705A"/>
    <w:rsid w:val="00EF7167"/>
    <w:rsid w:val="00EF71A6"/>
    <w:rsid w:val="00EF7368"/>
    <w:rsid w:val="00EF7441"/>
    <w:rsid w:val="00EF7526"/>
    <w:rsid w:val="00EF767D"/>
    <w:rsid w:val="00EF7742"/>
    <w:rsid w:val="00EF7781"/>
    <w:rsid w:val="00EF77EE"/>
    <w:rsid w:val="00EF7823"/>
    <w:rsid w:val="00EF7866"/>
    <w:rsid w:val="00EF79CE"/>
    <w:rsid w:val="00EF7B25"/>
    <w:rsid w:val="00EF7B71"/>
    <w:rsid w:val="00EF7BA5"/>
    <w:rsid w:val="00EF7C2C"/>
    <w:rsid w:val="00EF7C75"/>
    <w:rsid w:val="00EF7C9C"/>
    <w:rsid w:val="00EF7D32"/>
    <w:rsid w:val="00EF7DB7"/>
    <w:rsid w:val="00EF7DBE"/>
    <w:rsid w:val="00EF7DFE"/>
    <w:rsid w:val="00EF7E2A"/>
    <w:rsid w:val="00EF7F8E"/>
    <w:rsid w:val="00EF7FA4"/>
    <w:rsid w:val="00F000F2"/>
    <w:rsid w:val="00F00119"/>
    <w:rsid w:val="00F001AB"/>
    <w:rsid w:val="00F00233"/>
    <w:rsid w:val="00F003B3"/>
    <w:rsid w:val="00F003C2"/>
    <w:rsid w:val="00F005BF"/>
    <w:rsid w:val="00F005F2"/>
    <w:rsid w:val="00F0061E"/>
    <w:rsid w:val="00F00677"/>
    <w:rsid w:val="00F00701"/>
    <w:rsid w:val="00F00736"/>
    <w:rsid w:val="00F00983"/>
    <w:rsid w:val="00F00A48"/>
    <w:rsid w:val="00F00BA9"/>
    <w:rsid w:val="00F00C00"/>
    <w:rsid w:val="00F00C83"/>
    <w:rsid w:val="00F00C90"/>
    <w:rsid w:val="00F00D2B"/>
    <w:rsid w:val="00F00E3D"/>
    <w:rsid w:val="00F00E4B"/>
    <w:rsid w:val="00F00E51"/>
    <w:rsid w:val="00F00EC8"/>
    <w:rsid w:val="00F0102A"/>
    <w:rsid w:val="00F010C2"/>
    <w:rsid w:val="00F01192"/>
    <w:rsid w:val="00F0119C"/>
    <w:rsid w:val="00F01243"/>
    <w:rsid w:val="00F012A8"/>
    <w:rsid w:val="00F0145B"/>
    <w:rsid w:val="00F0151A"/>
    <w:rsid w:val="00F01553"/>
    <w:rsid w:val="00F01575"/>
    <w:rsid w:val="00F017BB"/>
    <w:rsid w:val="00F017FC"/>
    <w:rsid w:val="00F0184C"/>
    <w:rsid w:val="00F0185D"/>
    <w:rsid w:val="00F01C66"/>
    <w:rsid w:val="00F01CEF"/>
    <w:rsid w:val="00F01D8E"/>
    <w:rsid w:val="00F01EF3"/>
    <w:rsid w:val="00F01EF7"/>
    <w:rsid w:val="00F01F07"/>
    <w:rsid w:val="00F01F11"/>
    <w:rsid w:val="00F02020"/>
    <w:rsid w:val="00F02092"/>
    <w:rsid w:val="00F02217"/>
    <w:rsid w:val="00F02220"/>
    <w:rsid w:val="00F02379"/>
    <w:rsid w:val="00F023AE"/>
    <w:rsid w:val="00F0260F"/>
    <w:rsid w:val="00F026B1"/>
    <w:rsid w:val="00F026C0"/>
    <w:rsid w:val="00F027EE"/>
    <w:rsid w:val="00F0287E"/>
    <w:rsid w:val="00F02995"/>
    <w:rsid w:val="00F029F5"/>
    <w:rsid w:val="00F02A18"/>
    <w:rsid w:val="00F02A43"/>
    <w:rsid w:val="00F02BD2"/>
    <w:rsid w:val="00F02D32"/>
    <w:rsid w:val="00F02D58"/>
    <w:rsid w:val="00F02F2F"/>
    <w:rsid w:val="00F0309A"/>
    <w:rsid w:val="00F03130"/>
    <w:rsid w:val="00F03163"/>
    <w:rsid w:val="00F03317"/>
    <w:rsid w:val="00F0337F"/>
    <w:rsid w:val="00F03545"/>
    <w:rsid w:val="00F0363E"/>
    <w:rsid w:val="00F03691"/>
    <w:rsid w:val="00F036C6"/>
    <w:rsid w:val="00F036DD"/>
    <w:rsid w:val="00F037BA"/>
    <w:rsid w:val="00F0385A"/>
    <w:rsid w:val="00F0392D"/>
    <w:rsid w:val="00F03A95"/>
    <w:rsid w:val="00F03BCF"/>
    <w:rsid w:val="00F03CBA"/>
    <w:rsid w:val="00F03CF0"/>
    <w:rsid w:val="00F03D89"/>
    <w:rsid w:val="00F03E48"/>
    <w:rsid w:val="00F03F8F"/>
    <w:rsid w:val="00F041F2"/>
    <w:rsid w:val="00F04346"/>
    <w:rsid w:val="00F0459D"/>
    <w:rsid w:val="00F0467A"/>
    <w:rsid w:val="00F0479B"/>
    <w:rsid w:val="00F047BB"/>
    <w:rsid w:val="00F048F3"/>
    <w:rsid w:val="00F04924"/>
    <w:rsid w:val="00F0496C"/>
    <w:rsid w:val="00F0498B"/>
    <w:rsid w:val="00F049BA"/>
    <w:rsid w:val="00F049C3"/>
    <w:rsid w:val="00F049E3"/>
    <w:rsid w:val="00F04A66"/>
    <w:rsid w:val="00F04BE2"/>
    <w:rsid w:val="00F04BE6"/>
    <w:rsid w:val="00F04C67"/>
    <w:rsid w:val="00F04C8E"/>
    <w:rsid w:val="00F04CCC"/>
    <w:rsid w:val="00F04E5E"/>
    <w:rsid w:val="00F04FB8"/>
    <w:rsid w:val="00F04FFE"/>
    <w:rsid w:val="00F05076"/>
    <w:rsid w:val="00F0508E"/>
    <w:rsid w:val="00F050D8"/>
    <w:rsid w:val="00F050F3"/>
    <w:rsid w:val="00F052D9"/>
    <w:rsid w:val="00F052EB"/>
    <w:rsid w:val="00F05333"/>
    <w:rsid w:val="00F054E4"/>
    <w:rsid w:val="00F054FE"/>
    <w:rsid w:val="00F05694"/>
    <w:rsid w:val="00F058BC"/>
    <w:rsid w:val="00F058CA"/>
    <w:rsid w:val="00F05956"/>
    <w:rsid w:val="00F059BD"/>
    <w:rsid w:val="00F05A58"/>
    <w:rsid w:val="00F05B06"/>
    <w:rsid w:val="00F05B4F"/>
    <w:rsid w:val="00F05B7E"/>
    <w:rsid w:val="00F05C62"/>
    <w:rsid w:val="00F05D05"/>
    <w:rsid w:val="00F05EDB"/>
    <w:rsid w:val="00F05F6C"/>
    <w:rsid w:val="00F05F70"/>
    <w:rsid w:val="00F05F7F"/>
    <w:rsid w:val="00F05FEE"/>
    <w:rsid w:val="00F060AA"/>
    <w:rsid w:val="00F061C1"/>
    <w:rsid w:val="00F061F4"/>
    <w:rsid w:val="00F0643C"/>
    <w:rsid w:val="00F06495"/>
    <w:rsid w:val="00F0653E"/>
    <w:rsid w:val="00F06550"/>
    <w:rsid w:val="00F065BA"/>
    <w:rsid w:val="00F0663F"/>
    <w:rsid w:val="00F06673"/>
    <w:rsid w:val="00F06699"/>
    <w:rsid w:val="00F0677B"/>
    <w:rsid w:val="00F067DE"/>
    <w:rsid w:val="00F06809"/>
    <w:rsid w:val="00F06ABA"/>
    <w:rsid w:val="00F06B07"/>
    <w:rsid w:val="00F06B95"/>
    <w:rsid w:val="00F06C65"/>
    <w:rsid w:val="00F06C82"/>
    <w:rsid w:val="00F06CDB"/>
    <w:rsid w:val="00F06CF1"/>
    <w:rsid w:val="00F06D52"/>
    <w:rsid w:val="00F06DD2"/>
    <w:rsid w:val="00F06E42"/>
    <w:rsid w:val="00F06F14"/>
    <w:rsid w:val="00F06FC1"/>
    <w:rsid w:val="00F06FD7"/>
    <w:rsid w:val="00F06FD8"/>
    <w:rsid w:val="00F06FDF"/>
    <w:rsid w:val="00F070BC"/>
    <w:rsid w:val="00F070C9"/>
    <w:rsid w:val="00F0715D"/>
    <w:rsid w:val="00F07196"/>
    <w:rsid w:val="00F0722E"/>
    <w:rsid w:val="00F0738C"/>
    <w:rsid w:val="00F073E0"/>
    <w:rsid w:val="00F0751A"/>
    <w:rsid w:val="00F075DF"/>
    <w:rsid w:val="00F075E4"/>
    <w:rsid w:val="00F07634"/>
    <w:rsid w:val="00F0768C"/>
    <w:rsid w:val="00F07733"/>
    <w:rsid w:val="00F07772"/>
    <w:rsid w:val="00F077A7"/>
    <w:rsid w:val="00F07877"/>
    <w:rsid w:val="00F078AE"/>
    <w:rsid w:val="00F078DC"/>
    <w:rsid w:val="00F0799D"/>
    <w:rsid w:val="00F07CB3"/>
    <w:rsid w:val="00F07CC5"/>
    <w:rsid w:val="00F07CF1"/>
    <w:rsid w:val="00F07D9D"/>
    <w:rsid w:val="00F07E68"/>
    <w:rsid w:val="00F07E81"/>
    <w:rsid w:val="00F07E95"/>
    <w:rsid w:val="00F07F30"/>
    <w:rsid w:val="00F0B6C6"/>
    <w:rsid w:val="00F10067"/>
    <w:rsid w:val="00F10076"/>
    <w:rsid w:val="00F10087"/>
    <w:rsid w:val="00F10235"/>
    <w:rsid w:val="00F10534"/>
    <w:rsid w:val="00F10649"/>
    <w:rsid w:val="00F106DA"/>
    <w:rsid w:val="00F1070D"/>
    <w:rsid w:val="00F1083E"/>
    <w:rsid w:val="00F108B9"/>
    <w:rsid w:val="00F10DCA"/>
    <w:rsid w:val="00F10DE2"/>
    <w:rsid w:val="00F10DF0"/>
    <w:rsid w:val="00F10EDC"/>
    <w:rsid w:val="00F10F5D"/>
    <w:rsid w:val="00F10F89"/>
    <w:rsid w:val="00F1109B"/>
    <w:rsid w:val="00F11138"/>
    <w:rsid w:val="00F11191"/>
    <w:rsid w:val="00F11239"/>
    <w:rsid w:val="00F112EF"/>
    <w:rsid w:val="00F1131C"/>
    <w:rsid w:val="00F1136C"/>
    <w:rsid w:val="00F1136D"/>
    <w:rsid w:val="00F1137E"/>
    <w:rsid w:val="00F11465"/>
    <w:rsid w:val="00F114F7"/>
    <w:rsid w:val="00F1163F"/>
    <w:rsid w:val="00F1172E"/>
    <w:rsid w:val="00F1176D"/>
    <w:rsid w:val="00F117A4"/>
    <w:rsid w:val="00F117A7"/>
    <w:rsid w:val="00F117DD"/>
    <w:rsid w:val="00F118E3"/>
    <w:rsid w:val="00F1195E"/>
    <w:rsid w:val="00F1196B"/>
    <w:rsid w:val="00F11B19"/>
    <w:rsid w:val="00F11B1D"/>
    <w:rsid w:val="00F11BA0"/>
    <w:rsid w:val="00F11C06"/>
    <w:rsid w:val="00F11CC2"/>
    <w:rsid w:val="00F11D71"/>
    <w:rsid w:val="00F12042"/>
    <w:rsid w:val="00F120B5"/>
    <w:rsid w:val="00F1211C"/>
    <w:rsid w:val="00F121CE"/>
    <w:rsid w:val="00F1222E"/>
    <w:rsid w:val="00F122AD"/>
    <w:rsid w:val="00F122EE"/>
    <w:rsid w:val="00F12340"/>
    <w:rsid w:val="00F1240B"/>
    <w:rsid w:val="00F12480"/>
    <w:rsid w:val="00F125E2"/>
    <w:rsid w:val="00F12620"/>
    <w:rsid w:val="00F1271B"/>
    <w:rsid w:val="00F127B0"/>
    <w:rsid w:val="00F1291F"/>
    <w:rsid w:val="00F1296C"/>
    <w:rsid w:val="00F1297D"/>
    <w:rsid w:val="00F12A68"/>
    <w:rsid w:val="00F12BC4"/>
    <w:rsid w:val="00F12BEE"/>
    <w:rsid w:val="00F12DFF"/>
    <w:rsid w:val="00F12E05"/>
    <w:rsid w:val="00F12E22"/>
    <w:rsid w:val="00F12E23"/>
    <w:rsid w:val="00F12E55"/>
    <w:rsid w:val="00F12F6F"/>
    <w:rsid w:val="00F1304B"/>
    <w:rsid w:val="00F130D3"/>
    <w:rsid w:val="00F130DC"/>
    <w:rsid w:val="00F13141"/>
    <w:rsid w:val="00F131BA"/>
    <w:rsid w:val="00F132E6"/>
    <w:rsid w:val="00F132F3"/>
    <w:rsid w:val="00F133D2"/>
    <w:rsid w:val="00F1343D"/>
    <w:rsid w:val="00F134A0"/>
    <w:rsid w:val="00F134BD"/>
    <w:rsid w:val="00F13505"/>
    <w:rsid w:val="00F13679"/>
    <w:rsid w:val="00F13709"/>
    <w:rsid w:val="00F13717"/>
    <w:rsid w:val="00F1375C"/>
    <w:rsid w:val="00F1378C"/>
    <w:rsid w:val="00F137E6"/>
    <w:rsid w:val="00F13839"/>
    <w:rsid w:val="00F13944"/>
    <w:rsid w:val="00F13B28"/>
    <w:rsid w:val="00F13B33"/>
    <w:rsid w:val="00F13B92"/>
    <w:rsid w:val="00F13BBE"/>
    <w:rsid w:val="00F13C17"/>
    <w:rsid w:val="00F13CE5"/>
    <w:rsid w:val="00F13DB5"/>
    <w:rsid w:val="00F13DD3"/>
    <w:rsid w:val="00F13E62"/>
    <w:rsid w:val="00F13E9B"/>
    <w:rsid w:val="00F13EF5"/>
    <w:rsid w:val="00F13EF8"/>
    <w:rsid w:val="00F13F1A"/>
    <w:rsid w:val="00F14059"/>
    <w:rsid w:val="00F1405B"/>
    <w:rsid w:val="00F140DF"/>
    <w:rsid w:val="00F141CF"/>
    <w:rsid w:val="00F1420F"/>
    <w:rsid w:val="00F14309"/>
    <w:rsid w:val="00F1435B"/>
    <w:rsid w:val="00F14518"/>
    <w:rsid w:val="00F145BA"/>
    <w:rsid w:val="00F14688"/>
    <w:rsid w:val="00F1473F"/>
    <w:rsid w:val="00F14781"/>
    <w:rsid w:val="00F1478A"/>
    <w:rsid w:val="00F147B2"/>
    <w:rsid w:val="00F147FA"/>
    <w:rsid w:val="00F14820"/>
    <w:rsid w:val="00F14891"/>
    <w:rsid w:val="00F14900"/>
    <w:rsid w:val="00F14904"/>
    <w:rsid w:val="00F1490A"/>
    <w:rsid w:val="00F1493F"/>
    <w:rsid w:val="00F149EA"/>
    <w:rsid w:val="00F14A42"/>
    <w:rsid w:val="00F14DDA"/>
    <w:rsid w:val="00F14E6D"/>
    <w:rsid w:val="00F14EAD"/>
    <w:rsid w:val="00F15079"/>
    <w:rsid w:val="00F1507A"/>
    <w:rsid w:val="00F15193"/>
    <w:rsid w:val="00F151C6"/>
    <w:rsid w:val="00F151DF"/>
    <w:rsid w:val="00F153D1"/>
    <w:rsid w:val="00F153E8"/>
    <w:rsid w:val="00F153EF"/>
    <w:rsid w:val="00F15618"/>
    <w:rsid w:val="00F156C2"/>
    <w:rsid w:val="00F1593F"/>
    <w:rsid w:val="00F159E5"/>
    <w:rsid w:val="00F15B1E"/>
    <w:rsid w:val="00F15B83"/>
    <w:rsid w:val="00F15BFA"/>
    <w:rsid w:val="00F15CA2"/>
    <w:rsid w:val="00F15D81"/>
    <w:rsid w:val="00F15E2C"/>
    <w:rsid w:val="00F15E2F"/>
    <w:rsid w:val="00F15ED3"/>
    <w:rsid w:val="00F15FBB"/>
    <w:rsid w:val="00F16119"/>
    <w:rsid w:val="00F162B5"/>
    <w:rsid w:val="00F16356"/>
    <w:rsid w:val="00F16362"/>
    <w:rsid w:val="00F16369"/>
    <w:rsid w:val="00F163EA"/>
    <w:rsid w:val="00F1646C"/>
    <w:rsid w:val="00F16594"/>
    <w:rsid w:val="00F165A2"/>
    <w:rsid w:val="00F165FC"/>
    <w:rsid w:val="00F166A6"/>
    <w:rsid w:val="00F16752"/>
    <w:rsid w:val="00F16780"/>
    <w:rsid w:val="00F1689C"/>
    <w:rsid w:val="00F16A86"/>
    <w:rsid w:val="00F16BEE"/>
    <w:rsid w:val="00F16C0D"/>
    <w:rsid w:val="00F16C2E"/>
    <w:rsid w:val="00F16CC9"/>
    <w:rsid w:val="00F16E08"/>
    <w:rsid w:val="00F16F7B"/>
    <w:rsid w:val="00F16FB6"/>
    <w:rsid w:val="00F16FDA"/>
    <w:rsid w:val="00F171D7"/>
    <w:rsid w:val="00F17497"/>
    <w:rsid w:val="00F176DF"/>
    <w:rsid w:val="00F17753"/>
    <w:rsid w:val="00F177D9"/>
    <w:rsid w:val="00F17956"/>
    <w:rsid w:val="00F179AA"/>
    <w:rsid w:val="00F179E6"/>
    <w:rsid w:val="00F17A8F"/>
    <w:rsid w:val="00F17B40"/>
    <w:rsid w:val="00F17B60"/>
    <w:rsid w:val="00F17C5B"/>
    <w:rsid w:val="00F17DCE"/>
    <w:rsid w:val="00F17E69"/>
    <w:rsid w:val="00F17E9C"/>
    <w:rsid w:val="00F17F0E"/>
    <w:rsid w:val="00F2009D"/>
    <w:rsid w:val="00F200F6"/>
    <w:rsid w:val="00F201C0"/>
    <w:rsid w:val="00F201FC"/>
    <w:rsid w:val="00F20227"/>
    <w:rsid w:val="00F20255"/>
    <w:rsid w:val="00F20264"/>
    <w:rsid w:val="00F202A0"/>
    <w:rsid w:val="00F20334"/>
    <w:rsid w:val="00F2040A"/>
    <w:rsid w:val="00F20679"/>
    <w:rsid w:val="00F20699"/>
    <w:rsid w:val="00F206BE"/>
    <w:rsid w:val="00F207F5"/>
    <w:rsid w:val="00F20869"/>
    <w:rsid w:val="00F20B9F"/>
    <w:rsid w:val="00F20C85"/>
    <w:rsid w:val="00F20CF3"/>
    <w:rsid w:val="00F20D42"/>
    <w:rsid w:val="00F20E12"/>
    <w:rsid w:val="00F20EA1"/>
    <w:rsid w:val="00F20F31"/>
    <w:rsid w:val="00F2128F"/>
    <w:rsid w:val="00F2136E"/>
    <w:rsid w:val="00F213B3"/>
    <w:rsid w:val="00F213FF"/>
    <w:rsid w:val="00F2158F"/>
    <w:rsid w:val="00F21857"/>
    <w:rsid w:val="00F21935"/>
    <w:rsid w:val="00F21947"/>
    <w:rsid w:val="00F2196F"/>
    <w:rsid w:val="00F219D1"/>
    <w:rsid w:val="00F21AC5"/>
    <w:rsid w:val="00F21BE1"/>
    <w:rsid w:val="00F21C5A"/>
    <w:rsid w:val="00F21C8E"/>
    <w:rsid w:val="00F21DCD"/>
    <w:rsid w:val="00F21DF3"/>
    <w:rsid w:val="00F21E35"/>
    <w:rsid w:val="00F21EB3"/>
    <w:rsid w:val="00F21EC8"/>
    <w:rsid w:val="00F21F24"/>
    <w:rsid w:val="00F21FD2"/>
    <w:rsid w:val="00F220D0"/>
    <w:rsid w:val="00F22156"/>
    <w:rsid w:val="00F22211"/>
    <w:rsid w:val="00F2227E"/>
    <w:rsid w:val="00F222CD"/>
    <w:rsid w:val="00F223E3"/>
    <w:rsid w:val="00F2243A"/>
    <w:rsid w:val="00F2245D"/>
    <w:rsid w:val="00F224BC"/>
    <w:rsid w:val="00F2250D"/>
    <w:rsid w:val="00F22560"/>
    <w:rsid w:val="00F226BD"/>
    <w:rsid w:val="00F22739"/>
    <w:rsid w:val="00F227BE"/>
    <w:rsid w:val="00F228B3"/>
    <w:rsid w:val="00F228DF"/>
    <w:rsid w:val="00F229EA"/>
    <w:rsid w:val="00F229FE"/>
    <w:rsid w:val="00F22A81"/>
    <w:rsid w:val="00F22A9C"/>
    <w:rsid w:val="00F22AE3"/>
    <w:rsid w:val="00F22B2B"/>
    <w:rsid w:val="00F22B58"/>
    <w:rsid w:val="00F22C59"/>
    <w:rsid w:val="00F22C5C"/>
    <w:rsid w:val="00F22CB0"/>
    <w:rsid w:val="00F22D5F"/>
    <w:rsid w:val="00F22E2A"/>
    <w:rsid w:val="00F22FE5"/>
    <w:rsid w:val="00F230D1"/>
    <w:rsid w:val="00F2331B"/>
    <w:rsid w:val="00F2351D"/>
    <w:rsid w:val="00F23523"/>
    <w:rsid w:val="00F23576"/>
    <w:rsid w:val="00F23730"/>
    <w:rsid w:val="00F23851"/>
    <w:rsid w:val="00F23861"/>
    <w:rsid w:val="00F2391A"/>
    <w:rsid w:val="00F23ABD"/>
    <w:rsid w:val="00F23D8D"/>
    <w:rsid w:val="00F23FD1"/>
    <w:rsid w:val="00F24038"/>
    <w:rsid w:val="00F240DB"/>
    <w:rsid w:val="00F24232"/>
    <w:rsid w:val="00F24255"/>
    <w:rsid w:val="00F2439C"/>
    <w:rsid w:val="00F24411"/>
    <w:rsid w:val="00F244F3"/>
    <w:rsid w:val="00F24553"/>
    <w:rsid w:val="00F24611"/>
    <w:rsid w:val="00F2463C"/>
    <w:rsid w:val="00F24799"/>
    <w:rsid w:val="00F247AF"/>
    <w:rsid w:val="00F247D7"/>
    <w:rsid w:val="00F2480D"/>
    <w:rsid w:val="00F24828"/>
    <w:rsid w:val="00F24865"/>
    <w:rsid w:val="00F24866"/>
    <w:rsid w:val="00F248BC"/>
    <w:rsid w:val="00F24A61"/>
    <w:rsid w:val="00F24A87"/>
    <w:rsid w:val="00F24A97"/>
    <w:rsid w:val="00F24AE9"/>
    <w:rsid w:val="00F24E1F"/>
    <w:rsid w:val="00F24E5F"/>
    <w:rsid w:val="00F24F66"/>
    <w:rsid w:val="00F24FAD"/>
    <w:rsid w:val="00F252EE"/>
    <w:rsid w:val="00F253E2"/>
    <w:rsid w:val="00F2542E"/>
    <w:rsid w:val="00F25559"/>
    <w:rsid w:val="00F25589"/>
    <w:rsid w:val="00F255AE"/>
    <w:rsid w:val="00F25612"/>
    <w:rsid w:val="00F25673"/>
    <w:rsid w:val="00F256B1"/>
    <w:rsid w:val="00F256BA"/>
    <w:rsid w:val="00F25709"/>
    <w:rsid w:val="00F25854"/>
    <w:rsid w:val="00F258CA"/>
    <w:rsid w:val="00F25943"/>
    <w:rsid w:val="00F25A38"/>
    <w:rsid w:val="00F25A52"/>
    <w:rsid w:val="00F25AB7"/>
    <w:rsid w:val="00F25B04"/>
    <w:rsid w:val="00F25B6E"/>
    <w:rsid w:val="00F25D65"/>
    <w:rsid w:val="00F25DD0"/>
    <w:rsid w:val="00F25E77"/>
    <w:rsid w:val="00F26004"/>
    <w:rsid w:val="00F26097"/>
    <w:rsid w:val="00F260EA"/>
    <w:rsid w:val="00F260EE"/>
    <w:rsid w:val="00F26100"/>
    <w:rsid w:val="00F26136"/>
    <w:rsid w:val="00F26145"/>
    <w:rsid w:val="00F2618A"/>
    <w:rsid w:val="00F261F1"/>
    <w:rsid w:val="00F26292"/>
    <w:rsid w:val="00F263A1"/>
    <w:rsid w:val="00F26554"/>
    <w:rsid w:val="00F2659C"/>
    <w:rsid w:val="00F265F3"/>
    <w:rsid w:val="00F26780"/>
    <w:rsid w:val="00F267F5"/>
    <w:rsid w:val="00F2685D"/>
    <w:rsid w:val="00F268BB"/>
    <w:rsid w:val="00F268C8"/>
    <w:rsid w:val="00F26A0A"/>
    <w:rsid w:val="00F26A76"/>
    <w:rsid w:val="00F26B26"/>
    <w:rsid w:val="00F26C12"/>
    <w:rsid w:val="00F26D48"/>
    <w:rsid w:val="00F26DFD"/>
    <w:rsid w:val="00F26E13"/>
    <w:rsid w:val="00F26ED8"/>
    <w:rsid w:val="00F26F1A"/>
    <w:rsid w:val="00F26F3F"/>
    <w:rsid w:val="00F27010"/>
    <w:rsid w:val="00F271D2"/>
    <w:rsid w:val="00F271E0"/>
    <w:rsid w:val="00F2741C"/>
    <w:rsid w:val="00F27454"/>
    <w:rsid w:val="00F274C0"/>
    <w:rsid w:val="00F276BC"/>
    <w:rsid w:val="00F276C3"/>
    <w:rsid w:val="00F27773"/>
    <w:rsid w:val="00F277E1"/>
    <w:rsid w:val="00F279DD"/>
    <w:rsid w:val="00F27B07"/>
    <w:rsid w:val="00F27B29"/>
    <w:rsid w:val="00F27BD4"/>
    <w:rsid w:val="00F27C8E"/>
    <w:rsid w:val="00F27D39"/>
    <w:rsid w:val="00F27DB0"/>
    <w:rsid w:val="00F27DE3"/>
    <w:rsid w:val="00F27E0B"/>
    <w:rsid w:val="00F27E55"/>
    <w:rsid w:val="00F27ECB"/>
    <w:rsid w:val="00F27F91"/>
    <w:rsid w:val="00F3009E"/>
    <w:rsid w:val="00F30115"/>
    <w:rsid w:val="00F301DF"/>
    <w:rsid w:val="00F3038A"/>
    <w:rsid w:val="00F304D6"/>
    <w:rsid w:val="00F304DF"/>
    <w:rsid w:val="00F30501"/>
    <w:rsid w:val="00F30567"/>
    <w:rsid w:val="00F3058F"/>
    <w:rsid w:val="00F30690"/>
    <w:rsid w:val="00F306EF"/>
    <w:rsid w:val="00F307F0"/>
    <w:rsid w:val="00F30905"/>
    <w:rsid w:val="00F30998"/>
    <w:rsid w:val="00F309A7"/>
    <w:rsid w:val="00F30A92"/>
    <w:rsid w:val="00F30B2C"/>
    <w:rsid w:val="00F30C02"/>
    <w:rsid w:val="00F30D14"/>
    <w:rsid w:val="00F30D3B"/>
    <w:rsid w:val="00F30E9B"/>
    <w:rsid w:val="00F30F0A"/>
    <w:rsid w:val="00F30FF4"/>
    <w:rsid w:val="00F31247"/>
    <w:rsid w:val="00F3129B"/>
    <w:rsid w:val="00F31451"/>
    <w:rsid w:val="00F314A2"/>
    <w:rsid w:val="00F31514"/>
    <w:rsid w:val="00F3152E"/>
    <w:rsid w:val="00F3159B"/>
    <w:rsid w:val="00F315D9"/>
    <w:rsid w:val="00F31736"/>
    <w:rsid w:val="00F317CE"/>
    <w:rsid w:val="00F31816"/>
    <w:rsid w:val="00F3190F"/>
    <w:rsid w:val="00F31934"/>
    <w:rsid w:val="00F3193B"/>
    <w:rsid w:val="00F31A0D"/>
    <w:rsid w:val="00F31A2D"/>
    <w:rsid w:val="00F31A3E"/>
    <w:rsid w:val="00F31B85"/>
    <w:rsid w:val="00F31CBD"/>
    <w:rsid w:val="00F31D1B"/>
    <w:rsid w:val="00F31ECF"/>
    <w:rsid w:val="00F31F0C"/>
    <w:rsid w:val="00F31F2F"/>
    <w:rsid w:val="00F31F30"/>
    <w:rsid w:val="00F32090"/>
    <w:rsid w:val="00F320C7"/>
    <w:rsid w:val="00F321CD"/>
    <w:rsid w:val="00F321F1"/>
    <w:rsid w:val="00F3220A"/>
    <w:rsid w:val="00F32252"/>
    <w:rsid w:val="00F3225B"/>
    <w:rsid w:val="00F32357"/>
    <w:rsid w:val="00F32370"/>
    <w:rsid w:val="00F323B7"/>
    <w:rsid w:val="00F32470"/>
    <w:rsid w:val="00F32482"/>
    <w:rsid w:val="00F32615"/>
    <w:rsid w:val="00F32667"/>
    <w:rsid w:val="00F32731"/>
    <w:rsid w:val="00F32843"/>
    <w:rsid w:val="00F3289A"/>
    <w:rsid w:val="00F32905"/>
    <w:rsid w:val="00F3299A"/>
    <w:rsid w:val="00F329B6"/>
    <w:rsid w:val="00F32A99"/>
    <w:rsid w:val="00F32AB5"/>
    <w:rsid w:val="00F32ACE"/>
    <w:rsid w:val="00F32B77"/>
    <w:rsid w:val="00F32C75"/>
    <w:rsid w:val="00F32DD2"/>
    <w:rsid w:val="00F32DE0"/>
    <w:rsid w:val="00F32E27"/>
    <w:rsid w:val="00F32E97"/>
    <w:rsid w:val="00F32F06"/>
    <w:rsid w:val="00F32F14"/>
    <w:rsid w:val="00F3328E"/>
    <w:rsid w:val="00F3332F"/>
    <w:rsid w:val="00F33361"/>
    <w:rsid w:val="00F33443"/>
    <w:rsid w:val="00F33452"/>
    <w:rsid w:val="00F33529"/>
    <w:rsid w:val="00F3359B"/>
    <w:rsid w:val="00F335E1"/>
    <w:rsid w:val="00F3365B"/>
    <w:rsid w:val="00F336BA"/>
    <w:rsid w:val="00F337BE"/>
    <w:rsid w:val="00F338D7"/>
    <w:rsid w:val="00F33954"/>
    <w:rsid w:val="00F33968"/>
    <w:rsid w:val="00F339FE"/>
    <w:rsid w:val="00F33AF5"/>
    <w:rsid w:val="00F33BA7"/>
    <w:rsid w:val="00F33CEB"/>
    <w:rsid w:val="00F33D98"/>
    <w:rsid w:val="00F33E60"/>
    <w:rsid w:val="00F33F8E"/>
    <w:rsid w:val="00F34176"/>
    <w:rsid w:val="00F34272"/>
    <w:rsid w:val="00F344B8"/>
    <w:rsid w:val="00F344BF"/>
    <w:rsid w:val="00F3456C"/>
    <w:rsid w:val="00F345D8"/>
    <w:rsid w:val="00F3462C"/>
    <w:rsid w:val="00F34635"/>
    <w:rsid w:val="00F3466D"/>
    <w:rsid w:val="00F349DE"/>
    <w:rsid w:val="00F34B69"/>
    <w:rsid w:val="00F34C6F"/>
    <w:rsid w:val="00F34E96"/>
    <w:rsid w:val="00F34F4F"/>
    <w:rsid w:val="00F34F50"/>
    <w:rsid w:val="00F35127"/>
    <w:rsid w:val="00F35247"/>
    <w:rsid w:val="00F35276"/>
    <w:rsid w:val="00F3536D"/>
    <w:rsid w:val="00F35483"/>
    <w:rsid w:val="00F354FA"/>
    <w:rsid w:val="00F3552A"/>
    <w:rsid w:val="00F355BB"/>
    <w:rsid w:val="00F35773"/>
    <w:rsid w:val="00F3588A"/>
    <w:rsid w:val="00F35C47"/>
    <w:rsid w:val="00F35CEC"/>
    <w:rsid w:val="00F35D3F"/>
    <w:rsid w:val="00F35E88"/>
    <w:rsid w:val="00F35EEA"/>
    <w:rsid w:val="00F35F2F"/>
    <w:rsid w:val="00F36074"/>
    <w:rsid w:val="00F36217"/>
    <w:rsid w:val="00F36285"/>
    <w:rsid w:val="00F36396"/>
    <w:rsid w:val="00F365CC"/>
    <w:rsid w:val="00F36756"/>
    <w:rsid w:val="00F367F7"/>
    <w:rsid w:val="00F36815"/>
    <w:rsid w:val="00F36A32"/>
    <w:rsid w:val="00F36A45"/>
    <w:rsid w:val="00F36BC4"/>
    <w:rsid w:val="00F36C3C"/>
    <w:rsid w:val="00F36C88"/>
    <w:rsid w:val="00F36F80"/>
    <w:rsid w:val="00F36F88"/>
    <w:rsid w:val="00F36FB2"/>
    <w:rsid w:val="00F370A9"/>
    <w:rsid w:val="00F3711D"/>
    <w:rsid w:val="00F3712D"/>
    <w:rsid w:val="00F37180"/>
    <w:rsid w:val="00F3735E"/>
    <w:rsid w:val="00F3736F"/>
    <w:rsid w:val="00F3741F"/>
    <w:rsid w:val="00F374CF"/>
    <w:rsid w:val="00F3761E"/>
    <w:rsid w:val="00F3762B"/>
    <w:rsid w:val="00F37AF6"/>
    <w:rsid w:val="00F37EBC"/>
    <w:rsid w:val="00F37EC1"/>
    <w:rsid w:val="00F37F13"/>
    <w:rsid w:val="00F37F23"/>
    <w:rsid w:val="00F37F48"/>
    <w:rsid w:val="00F37FAB"/>
    <w:rsid w:val="00F37FAC"/>
    <w:rsid w:val="00F37FD3"/>
    <w:rsid w:val="00F37FF9"/>
    <w:rsid w:val="00F400D6"/>
    <w:rsid w:val="00F4013A"/>
    <w:rsid w:val="00F4022C"/>
    <w:rsid w:val="00F40382"/>
    <w:rsid w:val="00F403A3"/>
    <w:rsid w:val="00F403BE"/>
    <w:rsid w:val="00F40485"/>
    <w:rsid w:val="00F40575"/>
    <w:rsid w:val="00F40875"/>
    <w:rsid w:val="00F4088C"/>
    <w:rsid w:val="00F40AF2"/>
    <w:rsid w:val="00F40B8A"/>
    <w:rsid w:val="00F40C69"/>
    <w:rsid w:val="00F40C70"/>
    <w:rsid w:val="00F40C7C"/>
    <w:rsid w:val="00F40C8A"/>
    <w:rsid w:val="00F40D66"/>
    <w:rsid w:val="00F41128"/>
    <w:rsid w:val="00F4125E"/>
    <w:rsid w:val="00F413E7"/>
    <w:rsid w:val="00F4144F"/>
    <w:rsid w:val="00F41518"/>
    <w:rsid w:val="00F416BB"/>
    <w:rsid w:val="00F41785"/>
    <w:rsid w:val="00F417D5"/>
    <w:rsid w:val="00F41882"/>
    <w:rsid w:val="00F4196B"/>
    <w:rsid w:val="00F41984"/>
    <w:rsid w:val="00F41B33"/>
    <w:rsid w:val="00F41B98"/>
    <w:rsid w:val="00F41BB3"/>
    <w:rsid w:val="00F41C28"/>
    <w:rsid w:val="00F41E05"/>
    <w:rsid w:val="00F41E4E"/>
    <w:rsid w:val="00F41E57"/>
    <w:rsid w:val="00F41FB7"/>
    <w:rsid w:val="00F42061"/>
    <w:rsid w:val="00F42149"/>
    <w:rsid w:val="00F422E9"/>
    <w:rsid w:val="00F4230B"/>
    <w:rsid w:val="00F4239B"/>
    <w:rsid w:val="00F424C0"/>
    <w:rsid w:val="00F42535"/>
    <w:rsid w:val="00F42870"/>
    <w:rsid w:val="00F4287D"/>
    <w:rsid w:val="00F428CD"/>
    <w:rsid w:val="00F42B1F"/>
    <w:rsid w:val="00F42B29"/>
    <w:rsid w:val="00F42B35"/>
    <w:rsid w:val="00F42C0D"/>
    <w:rsid w:val="00F42CC7"/>
    <w:rsid w:val="00F42D67"/>
    <w:rsid w:val="00F42DC1"/>
    <w:rsid w:val="00F42E87"/>
    <w:rsid w:val="00F42E98"/>
    <w:rsid w:val="00F4317A"/>
    <w:rsid w:val="00F431DA"/>
    <w:rsid w:val="00F4320C"/>
    <w:rsid w:val="00F432A5"/>
    <w:rsid w:val="00F432C7"/>
    <w:rsid w:val="00F43318"/>
    <w:rsid w:val="00F4331F"/>
    <w:rsid w:val="00F4333D"/>
    <w:rsid w:val="00F43599"/>
    <w:rsid w:val="00F435D5"/>
    <w:rsid w:val="00F4361D"/>
    <w:rsid w:val="00F4364A"/>
    <w:rsid w:val="00F436F4"/>
    <w:rsid w:val="00F437EF"/>
    <w:rsid w:val="00F43809"/>
    <w:rsid w:val="00F4393A"/>
    <w:rsid w:val="00F439D9"/>
    <w:rsid w:val="00F439DF"/>
    <w:rsid w:val="00F43A25"/>
    <w:rsid w:val="00F43B18"/>
    <w:rsid w:val="00F43BDB"/>
    <w:rsid w:val="00F43EB8"/>
    <w:rsid w:val="00F43F5C"/>
    <w:rsid w:val="00F43FB4"/>
    <w:rsid w:val="00F441B5"/>
    <w:rsid w:val="00F442F9"/>
    <w:rsid w:val="00F4445B"/>
    <w:rsid w:val="00F4457B"/>
    <w:rsid w:val="00F445C6"/>
    <w:rsid w:val="00F44921"/>
    <w:rsid w:val="00F4492F"/>
    <w:rsid w:val="00F4494B"/>
    <w:rsid w:val="00F449DD"/>
    <w:rsid w:val="00F449F4"/>
    <w:rsid w:val="00F44A46"/>
    <w:rsid w:val="00F44A73"/>
    <w:rsid w:val="00F44B21"/>
    <w:rsid w:val="00F44CD1"/>
    <w:rsid w:val="00F44D1E"/>
    <w:rsid w:val="00F44EB8"/>
    <w:rsid w:val="00F45033"/>
    <w:rsid w:val="00F4504C"/>
    <w:rsid w:val="00F4509E"/>
    <w:rsid w:val="00F4510E"/>
    <w:rsid w:val="00F45228"/>
    <w:rsid w:val="00F45363"/>
    <w:rsid w:val="00F453C4"/>
    <w:rsid w:val="00F4544C"/>
    <w:rsid w:val="00F45471"/>
    <w:rsid w:val="00F45564"/>
    <w:rsid w:val="00F45569"/>
    <w:rsid w:val="00F45627"/>
    <w:rsid w:val="00F456CD"/>
    <w:rsid w:val="00F45739"/>
    <w:rsid w:val="00F45818"/>
    <w:rsid w:val="00F45828"/>
    <w:rsid w:val="00F45879"/>
    <w:rsid w:val="00F458B1"/>
    <w:rsid w:val="00F458E7"/>
    <w:rsid w:val="00F45928"/>
    <w:rsid w:val="00F45AB6"/>
    <w:rsid w:val="00F45B5D"/>
    <w:rsid w:val="00F45CB5"/>
    <w:rsid w:val="00F45CF8"/>
    <w:rsid w:val="00F46062"/>
    <w:rsid w:val="00F462ED"/>
    <w:rsid w:val="00F4637D"/>
    <w:rsid w:val="00F4639C"/>
    <w:rsid w:val="00F464F2"/>
    <w:rsid w:val="00F4660E"/>
    <w:rsid w:val="00F466BC"/>
    <w:rsid w:val="00F46765"/>
    <w:rsid w:val="00F46782"/>
    <w:rsid w:val="00F467D2"/>
    <w:rsid w:val="00F469D1"/>
    <w:rsid w:val="00F46B09"/>
    <w:rsid w:val="00F46C70"/>
    <w:rsid w:val="00F46CAE"/>
    <w:rsid w:val="00F46D3C"/>
    <w:rsid w:val="00F46D6C"/>
    <w:rsid w:val="00F46E69"/>
    <w:rsid w:val="00F471A0"/>
    <w:rsid w:val="00F4733E"/>
    <w:rsid w:val="00F47355"/>
    <w:rsid w:val="00F4738A"/>
    <w:rsid w:val="00F473C2"/>
    <w:rsid w:val="00F473CF"/>
    <w:rsid w:val="00F47477"/>
    <w:rsid w:val="00F474FE"/>
    <w:rsid w:val="00F47519"/>
    <w:rsid w:val="00F47521"/>
    <w:rsid w:val="00F47543"/>
    <w:rsid w:val="00F4756E"/>
    <w:rsid w:val="00F475EA"/>
    <w:rsid w:val="00F47624"/>
    <w:rsid w:val="00F47871"/>
    <w:rsid w:val="00F47883"/>
    <w:rsid w:val="00F47885"/>
    <w:rsid w:val="00F478DE"/>
    <w:rsid w:val="00F47995"/>
    <w:rsid w:val="00F479A7"/>
    <w:rsid w:val="00F479DC"/>
    <w:rsid w:val="00F47A10"/>
    <w:rsid w:val="00F47AED"/>
    <w:rsid w:val="00F47BD9"/>
    <w:rsid w:val="00F47C49"/>
    <w:rsid w:val="00F47CE7"/>
    <w:rsid w:val="00F47DF0"/>
    <w:rsid w:val="00F47E63"/>
    <w:rsid w:val="00F47E6D"/>
    <w:rsid w:val="00F47F7D"/>
    <w:rsid w:val="00F50084"/>
    <w:rsid w:val="00F500C7"/>
    <w:rsid w:val="00F50175"/>
    <w:rsid w:val="00F501B5"/>
    <w:rsid w:val="00F502A0"/>
    <w:rsid w:val="00F504DA"/>
    <w:rsid w:val="00F505AB"/>
    <w:rsid w:val="00F505F9"/>
    <w:rsid w:val="00F5060F"/>
    <w:rsid w:val="00F5061F"/>
    <w:rsid w:val="00F50660"/>
    <w:rsid w:val="00F506B1"/>
    <w:rsid w:val="00F506B6"/>
    <w:rsid w:val="00F507A7"/>
    <w:rsid w:val="00F5088D"/>
    <w:rsid w:val="00F50946"/>
    <w:rsid w:val="00F50A5C"/>
    <w:rsid w:val="00F50A72"/>
    <w:rsid w:val="00F50B1D"/>
    <w:rsid w:val="00F50C74"/>
    <w:rsid w:val="00F50CFB"/>
    <w:rsid w:val="00F50D13"/>
    <w:rsid w:val="00F50DF8"/>
    <w:rsid w:val="00F50E0E"/>
    <w:rsid w:val="00F50E3A"/>
    <w:rsid w:val="00F50E9A"/>
    <w:rsid w:val="00F50F3F"/>
    <w:rsid w:val="00F50F5F"/>
    <w:rsid w:val="00F51156"/>
    <w:rsid w:val="00F51197"/>
    <w:rsid w:val="00F51230"/>
    <w:rsid w:val="00F51317"/>
    <w:rsid w:val="00F515BD"/>
    <w:rsid w:val="00F51652"/>
    <w:rsid w:val="00F518D0"/>
    <w:rsid w:val="00F51B46"/>
    <w:rsid w:val="00F51B91"/>
    <w:rsid w:val="00F51BB4"/>
    <w:rsid w:val="00F51C27"/>
    <w:rsid w:val="00F51CEB"/>
    <w:rsid w:val="00F51DA2"/>
    <w:rsid w:val="00F51DF4"/>
    <w:rsid w:val="00F51E9B"/>
    <w:rsid w:val="00F51F76"/>
    <w:rsid w:val="00F51F8B"/>
    <w:rsid w:val="00F520ED"/>
    <w:rsid w:val="00F52168"/>
    <w:rsid w:val="00F52185"/>
    <w:rsid w:val="00F5223E"/>
    <w:rsid w:val="00F52261"/>
    <w:rsid w:val="00F523B9"/>
    <w:rsid w:val="00F52420"/>
    <w:rsid w:val="00F5258D"/>
    <w:rsid w:val="00F5266E"/>
    <w:rsid w:val="00F526CC"/>
    <w:rsid w:val="00F526E5"/>
    <w:rsid w:val="00F527C8"/>
    <w:rsid w:val="00F5289F"/>
    <w:rsid w:val="00F52931"/>
    <w:rsid w:val="00F52A49"/>
    <w:rsid w:val="00F52B3D"/>
    <w:rsid w:val="00F52B54"/>
    <w:rsid w:val="00F52C11"/>
    <w:rsid w:val="00F52CCC"/>
    <w:rsid w:val="00F52D15"/>
    <w:rsid w:val="00F52D2E"/>
    <w:rsid w:val="00F52DA7"/>
    <w:rsid w:val="00F52E95"/>
    <w:rsid w:val="00F52E9B"/>
    <w:rsid w:val="00F52FA0"/>
    <w:rsid w:val="00F5317E"/>
    <w:rsid w:val="00F5320E"/>
    <w:rsid w:val="00F5323E"/>
    <w:rsid w:val="00F5326D"/>
    <w:rsid w:val="00F5327E"/>
    <w:rsid w:val="00F5337B"/>
    <w:rsid w:val="00F533FB"/>
    <w:rsid w:val="00F536FC"/>
    <w:rsid w:val="00F5377B"/>
    <w:rsid w:val="00F5393F"/>
    <w:rsid w:val="00F5396F"/>
    <w:rsid w:val="00F53B73"/>
    <w:rsid w:val="00F53BB9"/>
    <w:rsid w:val="00F53BF0"/>
    <w:rsid w:val="00F53CA2"/>
    <w:rsid w:val="00F53CF3"/>
    <w:rsid w:val="00F53D35"/>
    <w:rsid w:val="00F53ECF"/>
    <w:rsid w:val="00F54007"/>
    <w:rsid w:val="00F5401F"/>
    <w:rsid w:val="00F54324"/>
    <w:rsid w:val="00F5432A"/>
    <w:rsid w:val="00F543CD"/>
    <w:rsid w:val="00F54629"/>
    <w:rsid w:val="00F5468A"/>
    <w:rsid w:val="00F546FA"/>
    <w:rsid w:val="00F54845"/>
    <w:rsid w:val="00F54936"/>
    <w:rsid w:val="00F549C1"/>
    <w:rsid w:val="00F54A04"/>
    <w:rsid w:val="00F54A1F"/>
    <w:rsid w:val="00F54B48"/>
    <w:rsid w:val="00F54CD4"/>
    <w:rsid w:val="00F54DFC"/>
    <w:rsid w:val="00F54ED0"/>
    <w:rsid w:val="00F54F98"/>
    <w:rsid w:val="00F55046"/>
    <w:rsid w:val="00F5515F"/>
    <w:rsid w:val="00F55160"/>
    <w:rsid w:val="00F551ED"/>
    <w:rsid w:val="00F55320"/>
    <w:rsid w:val="00F5533C"/>
    <w:rsid w:val="00F5540F"/>
    <w:rsid w:val="00F55517"/>
    <w:rsid w:val="00F55661"/>
    <w:rsid w:val="00F5574F"/>
    <w:rsid w:val="00F557EE"/>
    <w:rsid w:val="00F558BF"/>
    <w:rsid w:val="00F55A66"/>
    <w:rsid w:val="00F55A6B"/>
    <w:rsid w:val="00F55AAF"/>
    <w:rsid w:val="00F55B43"/>
    <w:rsid w:val="00F55BED"/>
    <w:rsid w:val="00F55C64"/>
    <w:rsid w:val="00F56003"/>
    <w:rsid w:val="00F56042"/>
    <w:rsid w:val="00F56255"/>
    <w:rsid w:val="00F562E0"/>
    <w:rsid w:val="00F56323"/>
    <w:rsid w:val="00F56376"/>
    <w:rsid w:val="00F56569"/>
    <w:rsid w:val="00F5669E"/>
    <w:rsid w:val="00F566AA"/>
    <w:rsid w:val="00F56729"/>
    <w:rsid w:val="00F56B0C"/>
    <w:rsid w:val="00F56B44"/>
    <w:rsid w:val="00F56BA6"/>
    <w:rsid w:val="00F56C16"/>
    <w:rsid w:val="00F56D05"/>
    <w:rsid w:val="00F56DE4"/>
    <w:rsid w:val="00F56DF6"/>
    <w:rsid w:val="00F56DF7"/>
    <w:rsid w:val="00F56E7E"/>
    <w:rsid w:val="00F56FB6"/>
    <w:rsid w:val="00F56FF7"/>
    <w:rsid w:val="00F57095"/>
    <w:rsid w:val="00F570DA"/>
    <w:rsid w:val="00F570DE"/>
    <w:rsid w:val="00F5714F"/>
    <w:rsid w:val="00F5719D"/>
    <w:rsid w:val="00F571E6"/>
    <w:rsid w:val="00F572B6"/>
    <w:rsid w:val="00F572C0"/>
    <w:rsid w:val="00F5740D"/>
    <w:rsid w:val="00F57668"/>
    <w:rsid w:val="00F57796"/>
    <w:rsid w:val="00F57800"/>
    <w:rsid w:val="00F5782A"/>
    <w:rsid w:val="00F578EE"/>
    <w:rsid w:val="00F57914"/>
    <w:rsid w:val="00F57B6F"/>
    <w:rsid w:val="00F57B74"/>
    <w:rsid w:val="00F57BD5"/>
    <w:rsid w:val="00F57BE2"/>
    <w:rsid w:val="00F57CB3"/>
    <w:rsid w:val="00F57D11"/>
    <w:rsid w:val="00F57E9C"/>
    <w:rsid w:val="00F57F50"/>
    <w:rsid w:val="00F57F63"/>
    <w:rsid w:val="00F57FB4"/>
    <w:rsid w:val="00F6009C"/>
    <w:rsid w:val="00F60401"/>
    <w:rsid w:val="00F604FB"/>
    <w:rsid w:val="00F6052A"/>
    <w:rsid w:val="00F605F2"/>
    <w:rsid w:val="00F60622"/>
    <w:rsid w:val="00F60803"/>
    <w:rsid w:val="00F6088B"/>
    <w:rsid w:val="00F60A29"/>
    <w:rsid w:val="00F60AB8"/>
    <w:rsid w:val="00F60B0E"/>
    <w:rsid w:val="00F60B80"/>
    <w:rsid w:val="00F60D5A"/>
    <w:rsid w:val="00F60D8C"/>
    <w:rsid w:val="00F60D96"/>
    <w:rsid w:val="00F60F72"/>
    <w:rsid w:val="00F60FA7"/>
    <w:rsid w:val="00F61000"/>
    <w:rsid w:val="00F6102C"/>
    <w:rsid w:val="00F6105F"/>
    <w:rsid w:val="00F610FD"/>
    <w:rsid w:val="00F611F5"/>
    <w:rsid w:val="00F612AE"/>
    <w:rsid w:val="00F613D0"/>
    <w:rsid w:val="00F613E1"/>
    <w:rsid w:val="00F61422"/>
    <w:rsid w:val="00F614AD"/>
    <w:rsid w:val="00F6165B"/>
    <w:rsid w:val="00F617FF"/>
    <w:rsid w:val="00F61991"/>
    <w:rsid w:val="00F61A37"/>
    <w:rsid w:val="00F61A3E"/>
    <w:rsid w:val="00F61A4C"/>
    <w:rsid w:val="00F61A54"/>
    <w:rsid w:val="00F61B7F"/>
    <w:rsid w:val="00F61BC2"/>
    <w:rsid w:val="00F61BF3"/>
    <w:rsid w:val="00F61C41"/>
    <w:rsid w:val="00F61DA0"/>
    <w:rsid w:val="00F61E51"/>
    <w:rsid w:val="00F61F6E"/>
    <w:rsid w:val="00F61F70"/>
    <w:rsid w:val="00F61FD2"/>
    <w:rsid w:val="00F6203B"/>
    <w:rsid w:val="00F6205B"/>
    <w:rsid w:val="00F62068"/>
    <w:rsid w:val="00F620D4"/>
    <w:rsid w:val="00F62167"/>
    <w:rsid w:val="00F621EE"/>
    <w:rsid w:val="00F622CF"/>
    <w:rsid w:val="00F6231E"/>
    <w:rsid w:val="00F62345"/>
    <w:rsid w:val="00F62444"/>
    <w:rsid w:val="00F62456"/>
    <w:rsid w:val="00F624DD"/>
    <w:rsid w:val="00F62708"/>
    <w:rsid w:val="00F6279E"/>
    <w:rsid w:val="00F62826"/>
    <w:rsid w:val="00F62921"/>
    <w:rsid w:val="00F62A3C"/>
    <w:rsid w:val="00F62ABC"/>
    <w:rsid w:val="00F62B37"/>
    <w:rsid w:val="00F62C8D"/>
    <w:rsid w:val="00F62CA0"/>
    <w:rsid w:val="00F62CC6"/>
    <w:rsid w:val="00F62D6E"/>
    <w:rsid w:val="00F62EB2"/>
    <w:rsid w:val="00F62EF1"/>
    <w:rsid w:val="00F62EF3"/>
    <w:rsid w:val="00F630F8"/>
    <w:rsid w:val="00F6314F"/>
    <w:rsid w:val="00F63154"/>
    <w:rsid w:val="00F63237"/>
    <w:rsid w:val="00F633AD"/>
    <w:rsid w:val="00F6358E"/>
    <w:rsid w:val="00F635D9"/>
    <w:rsid w:val="00F6364D"/>
    <w:rsid w:val="00F637D3"/>
    <w:rsid w:val="00F637E7"/>
    <w:rsid w:val="00F637F7"/>
    <w:rsid w:val="00F63ACD"/>
    <w:rsid w:val="00F63C0F"/>
    <w:rsid w:val="00F63CE8"/>
    <w:rsid w:val="00F63EA5"/>
    <w:rsid w:val="00F63EDA"/>
    <w:rsid w:val="00F6409F"/>
    <w:rsid w:val="00F640EC"/>
    <w:rsid w:val="00F64147"/>
    <w:rsid w:val="00F6428A"/>
    <w:rsid w:val="00F642BB"/>
    <w:rsid w:val="00F642F5"/>
    <w:rsid w:val="00F6459D"/>
    <w:rsid w:val="00F645A1"/>
    <w:rsid w:val="00F645CA"/>
    <w:rsid w:val="00F645F0"/>
    <w:rsid w:val="00F647D1"/>
    <w:rsid w:val="00F648AC"/>
    <w:rsid w:val="00F6494C"/>
    <w:rsid w:val="00F64BE5"/>
    <w:rsid w:val="00F64D29"/>
    <w:rsid w:val="00F64D55"/>
    <w:rsid w:val="00F65017"/>
    <w:rsid w:val="00F6503D"/>
    <w:rsid w:val="00F65078"/>
    <w:rsid w:val="00F650BC"/>
    <w:rsid w:val="00F650C6"/>
    <w:rsid w:val="00F65142"/>
    <w:rsid w:val="00F652D3"/>
    <w:rsid w:val="00F65357"/>
    <w:rsid w:val="00F6544A"/>
    <w:rsid w:val="00F654F4"/>
    <w:rsid w:val="00F655BF"/>
    <w:rsid w:val="00F657EF"/>
    <w:rsid w:val="00F6581C"/>
    <w:rsid w:val="00F658F5"/>
    <w:rsid w:val="00F6591E"/>
    <w:rsid w:val="00F6596E"/>
    <w:rsid w:val="00F65993"/>
    <w:rsid w:val="00F65A99"/>
    <w:rsid w:val="00F65D01"/>
    <w:rsid w:val="00F65D41"/>
    <w:rsid w:val="00F65D70"/>
    <w:rsid w:val="00F65F11"/>
    <w:rsid w:val="00F65FE1"/>
    <w:rsid w:val="00F66144"/>
    <w:rsid w:val="00F66167"/>
    <w:rsid w:val="00F661E4"/>
    <w:rsid w:val="00F6649C"/>
    <w:rsid w:val="00F66503"/>
    <w:rsid w:val="00F66537"/>
    <w:rsid w:val="00F66741"/>
    <w:rsid w:val="00F668CC"/>
    <w:rsid w:val="00F6695F"/>
    <w:rsid w:val="00F669E4"/>
    <w:rsid w:val="00F66B16"/>
    <w:rsid w:val="00F66B3A"/>
    <w:rsid w:val="00F66CA3"/>
    <w:rsid w:val="00F66E28"/>
    <w:rsid w:val="00F66F04"/>
    <w:rsid w:val="00F66F52"/>
    <w:rsid w:val="00F66F7F"/>
    <w:rsid w:val="00F6700E"/>
    <w:rsid w:val="00F671B6"/>
    <w:rsid w:val="00F671F1"/>
    <w:rsid w:val="00F67292"/>
    <w:rsid w:val="00F6732D"/>
    <w:rsid w:val="00F67358"/>
    <w:rsid w:val="00F67477"/>
    <w:rsid w:val="00F674DE"/>
    <w:rsid w:val="00F67503"/>
    <w:rsid w:val="00F6770F"/>
    <w:rsid w:val="00F67856"/>
    <w:rsid w:val="00F67875"/>
    <w:rsid w:val="00F67879"/>
    <w:rsid w:val="00F678E0"/>
    <w:rsid w:val="00F67951"/>
    <w:rsid w:val="00F6798D"/>
    <w:rsid w:val="00F679E8"/>
    <w:rsid w:val="00F67A09"/>
    <w:rsid w:val="00F67A0F"/>
    <w:rsid w:val="00F67B1F"/>
    <w:rsid w:val="00F67C81"/>
    <w:rsid w:val="00F67E75"/>
    <w:rsid w:val="00F67EE2"/>
    <w:rsid w:val="00F67F0C"/>
    <w:rsid w:val="00F67F81"/>
    <w:rsid w:val="00F67FCE"/>
    <w:rsid w:val="00F70022"/>
    <w:rsid w:val="00F700ED"/>
    <w:rsid w:val="00F70300"/>
    <w:rsid w:val="00F7031C"/>
    <w:rsid w:val="00F70364"/>
    <w:rsid w:val="00F70447"/>
    <w:rsid w:val="00F706DB"/>
    <w:rsid w:val="00F70802"/>
    <w:rsid w:val="00F70886"/>
    <w:rsid w:val="00F708DE"/>
    <w:rsid w:val="00F708F2"/>
    <w:rsid w:val="00F70908"/>
    <w:rsid w:val="00F70ABA"/>
    <w:rsid w:val="00F70B51"/>
    <w:rsid w:val="00F70BCC"/>
    <w:rsid w:val="00F70BD4"/>
    <w:rsid w:val="00F70C28"/>
    <w:rsid w:val="00F70C75"/>
    <w:rsid w:val="00F70CCB"/>
    <w:rsid w:val="00F70CF5"/>
    <w:rsid w:val="00F70D10"/>
    <w:rsid w:val="00F70D35"/>
    <w:rsid w:val="00F70DA7"/>
    <w:rsid w:val="00F70EE8"/>
    <w:rsid w:val="00F70FF3"/>
    <w:rsid w:val="00F71084"/>
    <w:rsid w:val="00F71096"/>
    <w:rsid w:val="00F710C3"/>
    <w:rsid w:val="00F710E6"/>
    <w:rsid w:val="00F71141"/>
    <w:rsid w:val="00F71158"/>
    <w:rsid w:val="00F711CD"/>
    <w:rsid w:val="00F711E4"/>
    <w:rsid w:val="00F7136B"/>
    <w:rsid w:val="00F713B1"/>
    <w:rsid w:val="00F713BA"/>
    <w:rsid w:val="00F71516"/>
    <w:rsid w:val="00F7151C"/>
    <w:rsid w:val="00F71618"/>
    <w:rsid w:val="00F716BA"/>
    <w:rsid w:val="00F716CD"/>
    <w:rsid w:val="00F718B2"/>
    <w:rsid w:val="00F7196A"/>
    <w:rsid w:val="00F71AF3"/>
    <w:rsid w:val="00F71B63"/>
    <w:rsid w:val="00F71C0C"/>
    <w:rsid w:val="00F71C63"/>
    <w:rsid w:val="00F71CFD"/>
    <w:rsid w:val="00F71D5E"/>
    <w:rsid w:val="00F7203A"/>
    <w:rsid w:val="00F72062"/>
    <w:rsid w:val="00F72179"/>
    <w:rsid w:val="00F72221"/>
    <w:rsid w:val="00F72232"/>
    <w:rsid w:val="00F7223F"/>
    <w:rsid w:val="00F722AB"/>
    <w:rsid w:val="00F7233E"/>
    <w:rsid w:val="00F7234A"/>
    <w:rsid w:val="00F72442"/>
    <w:rsid w:val="00F7255B"/>
    <w:rsid w:val="00F72620"/>
    <w:rsid w:val="00F7281F"/>
    <w:rsid w:val="00F7293D"/>
    <w:rsid w:val="00F729D4"/>
    <w:rsid w:val="00F72A55"/>
    <w:rsid w:val="00F72A8A"/>
    <w:rsid w:val="00F72B9A"/>
    <w:rsid w:val="00F72BCC"/>
    <w:rsid w:val="00F72CAB"/>
    <w:rsid w:val="00F72CFB"/>
    <w:rsid w:val="00F72D0A"/>
    <w:rsid w:val="00F72DAA"/>
    <w:rsid w:val="00F72ECC"/>
    <w:rsid w:val="00F72F18"/>
    <w:rsid w:val="00F72F2D"/>
    <w:rsid w:val="00F72FBE"/>
    <w:rsid w:val="00F7301A"/>
    <w:rsid w:val="00F7302C"/>
    <w:rsid w:val="00F73046"/>
    <w:rsid w:val="00F7304D"/>
    <w:rsid w:val="00F7312E"/>
    <w:rsid w:val="00F73337"/>
    <w:rsid w:val="00F73355"/>
    <w:rsid w:val="00F733FB"/>
    <w:rsid w:val="00F735A2"/>
    <w:rsid w:val="00F7363A"/>
    <w:rsid w:val="00F73689"/>
    <w:rsid w:val="00F736F8"/>
    <w:rsid w:val="00F73848"/>
    <w:rsid w:val="00F73A14"/>
    <w:rsid w:val="00F73DC2"/>
    <w:rsid w:val="00F73DD6"/>
    <w:rsid w:val="00F73E06"/>
    <w:rsid w:val="00F73E55"/>
    <w:rsid w:val="00F73FCA"/>
    <w:rsid w:val="00F74030"/>
    <w:rsid w:val="00F74078"/>
    <w:rsid w:val="00F7421D"/>
    <w:rsid w:val="00F74292"/>
    <w:rsid w:val="00F742D9"/>
    <w:rsid w:val="00F74348"/>
    <w:rsid w:val="00F74366"/>
    <w:rsid w:val="00F74439"/>
    <w:rsid w:val="00F7448D"/>
    <w:rsid w:val="00F745FD"/>
    <w:rsid w:val="00F747EA"/>
    <w:rsid w:val="00F7481F"/>
    <w:rsid w:val="00F74972"/>
    <w:rsid w:val="00F74A48"/>
    <w:rsid w:val="00F74AA2"/>
    <w:rsid w:val="00F74BD0"/>
    <w:rsid w:val="00F74C65"/>
    <w:rsid w:val="00F74D00"/>
    <w:rsid w:val="00F74DD3"/>
    <w:rsid w:val="00F74EB4"/>
    <w:rsid w:val="00F74EE8"/>
    <w:rsid w:val="00F74FF9"/>
    <w:rsid w:val="00F75045"/>
    <w:rsid w:val="00F75260"/>
    <w:rsid w:val="00F75506"/>
    <w:rsid w:val="00F75614"/>
    <w:rsid w:val="00F7566D"/>
    <w:rsid w:val="00F7570B"/>
    <w:rsid w:val="00F75757"/>
    <w:rsid w:val="00F75865"/>
    <w:rsid w:val="00F758A6"/>
    <w:rsid w:val="00F758A7"/>
    <w:rsid w:val="00F75994"/>
    <w:rsid w:val="00F75A62"/>
    <w:rsid w:val="00F75BEB"/>
    <w:rsid w:val="00F75C41"/>
    <w:rsid w:val="00F75CDF"/>
    <w:rsid w:val="00F75CEC"/>
    <w:rsid w:val="00F75D96"/>
    <w:rsid w:val="00F75DE3"/>
    <w:rsid w:val="00F75E06"/>
    <w:rsid w:val="00F75FD2"/>
    <w:rsid w:val="00F76009"/>
    <w:rsid w:val="00F7602C"/>
    <w:rsid w:val="00F76305"/>
    <w:rsid w:val="00F76366"/>
    <w:rsid w:val="00F764A6"/>
    <w:rsid w:val="00F76581"/>
    <w:rsid w:val="00F76617"/>
    <w:rsid w:val="00F766E6"/>
    <w:rsid w:val="00F76753"/>
    <w:rsid w:val="00F76833"/>
    <w:rsid w:val="00F7684C"/>
    <w:rsid w:val="00F7689C"/>
    <w:rsid w:val="00F768A8"/>
    <w:rsid w:val="00F76A8D"/>
    <w:rsid w:val="00F76AB0"/>
    <w:rsid w:val="00F76B54"/>
    <w:rsid w:val="00F76B7C"/>
    <w:rsid w:val="00F76BE1"/>
    <w:rsid w:val="00F76C02"/>
    <w:rsid w:val="00F76C47"/>
    <w:rsid w:val="00F76CBC"/>
    <w:rsid w:val="00F76E34"/>
    <w:rsid w:val="00F76F2F"/>
    <w:rsid w:val="00F76FCC"/>
    <w:rsid w:val="00F7702D"/>
    <w:rsid w:val="00F77043"/>
    <w:rsid w:val="00F771DA"/>
    <w:rsid w:val="00F7723C"/>
    <w:rsid w:val="00F7744E"/>
    <w:rsid w:val="00F7749E"/>
    <w:rsid w:val="00F77586"/>
    <w:rsid w:val="00F77768"/>
    <w:rsid w:val="00F77773"/>
    <w:rsid w:val="00F777BE"/>
    <w:rsid w:val="00F77889"/>
    <w:rsid w:val="00F778C0"/>
    <w:rsid w:val="00F7791D"/>
    <w:rsid w:val="00F77ABB"/>
    <w:rsid w:val="00F77DC4"/>
    <w:rsid w:val="00F77DF7"/>
    <w:rsid w:val="00F77E2F"/>
    <w:rsid w:val="00F77FA1"/>
    <w:rsid w:val="00F800F3"/>
    <w:rsid w:val="00F8012A"/>
    <w:rsid w:val="00F802A3"/>
    <w:rsid w:val="00F802D8"/>
    <w:rsid w:val="00F8035D"/>
    <w:rsid w:val="00F803B6"/>
    <w:rsid w:val="00F80406"/>
    <w:rsid w:val="00F80878"/>
    <w:rsid w:val="00F80973"/>
    <w:rsid w:val="00F809CA"/>
    <w:rsid w:val="00F80ACA"/>
    <w:rsid w:val="00F80ACF"/>
    <w:rsid w:val="00F80B19"/>
    <w:rsid w:val="00F80BA2"/>
    <w:rsid w:val="00F80BA7"/>
    <w:rsid w:val="00F80BCF"/>
    <w:rsid w:val="00F80BE4"/>
    <w:rsid w:val="00F80C6D"/>
    <w:rsid w:val="00F80C87"/>
    <w:rsid w:val="00F80E27"/>
    <w:rsid w:val="00F80F62"/>
    <w:rsid w:val="00F80F64"/>
    <w:rsid w:val="00F80FBC"/>
    <w:rsid w:val="00F811A7"/>
    <w:rsid w:val="00F811D4"/>
    <w:rsid w:val="00F81276"/>
    <w:rsid w:val="00F812C6"/>
    <w:rsid w:val="00F813A7"/>
    <w:rsid w:val="00F81771"/>
    <w:rsid w:val="00F81879"/>
    <w:rsid w:val="00F818A0"/>
    <w:rsid w:val="00F818C4"/>
    <w:rsid w:val="00F81936"/>
    <w:rsid w:val="00F819D2"/>
    <w:rsid w:val="00F819DA"/>
    <w:rsid w:val="00F81A7B"/>
    <w:rsid w:val="00F81A87"/>
    <w:rsid w:val="00F81B93"/>
    <w:rsid w:val="00F81C6E"/>
    <w:rsid w:val="00F81D1B"/>
    <w:rsid w:val="00F81D2F"/>
    <w:rsid w:val="00F81D81"/>
    <w:rsid w:val="00F81DAC"/>
    <w:rsid w:val="00F81DF4"/>
    <w:rsid w:val="00F81F0B"/>
    <w:rsid w:val="00F81FA0"/>
    <w:rsid w:val="00F82091"/>
    <w:rsid w:val="00F820A7"/>
    <w:rsid w:val="00F821BE"/>
    <w:rsid w:val="00F821EE"/>
    <w:rsid w:val="00F8221B"/>
    <w:rsid w:val="00F82307"/>
    <w:rsid w:val="00F823A6"/>
    <w:rsid w:val="00F82487"/>
    <w:rsid w:val="00F8248B"/>
    <w:rsid w:val="00F8259B"/>
    <w:rsid w:val="00F825FD"/>
    <w:rsid w:val="00F826B9"/>
    <w:rsid w:val="00F82756"/>
    <w:rsid w:val="00F82805"/>
    <w:rsid w:val="00F8287B"/>
    <w:rsid w:val="00F828BC"/>
    <w:rsid w:val="00F8298E"/>
    <w:rsid w:val="00F82A45"/>
    <w:rsid w:val="00F82ADD"/>
    <w:rsid w:val="00F82B41"/>
    <w:rsid w:val="00F82BC2"/>
    <w:rsid w:val="00F82C57"/>
    <w:rsid w:val="00F82C65"/>
    <w:rsid w:val="00F82CAD"/>
    <w:rsid w:val="00F82D5B"/>
    <w:rsid w:val="00F82DC4"/>
    <w:rsid w:val="00F82F40"/>
    <w:rsid w:val="00F82FBB"/>
    <w:rsid w:val="00F82FCB"/>
    <w:rsid w:val="00F830AF"/>
    <w:rsid w:val="00F832F6"/>
    <w:rsid w:val="00F8331B"/>
    <w:rsid w:val="00F83393"/>
    <w:rsid w:val="00F833EA"/>
    <w:rsid w:val="00F83479"/>
    <w:rsid w:val="00F834A7"/>
    <w:rsid w:val="00F834B6"/>
    <w:rsid w:val="00F8358D"/>
    <w:rsid w:val="00F835E1"/>
    <w:rsid w:val="00F83612"/>
    <w:rsid w:val="00F8370F"/>
    <w:rsid w:val="00F8374F"/>
    <w:rsid w:val="00F8376F"/>
    <w:rsid w:val="00F8392C"/>
    <w:rsid w:val="00F8396A"/>
    <w:rsid w:val="00F83978"/>
    <w:rsid w:val="00F839E6"/>
    <w:rsid w:val="00F83B16"/>
    <w:rsid w:val="00F83B54"/>
    <w:rsid w:val="00F83E31"/>
    <w:rsid w:val="00F83E7E"/>
    <w:rsid w:val="00F83F36"/>
    <w:rsid w:val="00F83F5C"/>
    <w:rsid w:val="00F84034"/>
    <w:rsid w:val="00F8424C"/>
    <w:rsid w:val="00F842A5"/>
    <w:rsid w:val="00F842AD"/>
    <w:rsid w:val="00F842CB"/>
    <w:rsid w:val="00F84327"/>
    <w:rsid w:val="00F844AB"/>
    <w:rsid w:val="00F845D7"/>
    <w:rsid w:val="00F8461B"/>
    <w:rsid w:val="00F846A5"/>
    <w:rsid w:val="00F846AD"/>
    <w:rsid w:val="00F847D3"/>
    <w:rsid w:val="00F84824"/>
    <w:rsid w:val="00F84B09"/>
    <w:rsid w:val="00F84BEF"/>
    <w:rsid w:val="00F84E5A"/>
    <w:rsid w:val="00F84E94"/>
    <w:rsid w:val="00F84F3E"/>
    <w:rsid w:val="00F84FEF"/>
    <w:rsid w:val="00F85029"/>
    <w:rsid w:val="00F851CF"/>
    <w:rsid w:val="00F852CB"/>
    <w:rsid w:val="00F852F5"/>
    <w:rsid w:val="00F8535C"/>
    <w:rsid w:val="00F853C9"/>
    <w:rsid w:val="00F853F2"/>
    <w:rsid w:val="00F853F9"/>
    <w:rsid w:val="00F85400"/>
    <w:rsid w:val="00F854A3"/>
    <w:rsid w:val="00F857D1"/>
    <w:rsid w:val="00F85823"/>
    <w:rsid w:val="00F85876"/>
    <w:rsid w:val="00F85884"/>
    <w:rsid w:val="00F858B2"/>
    <w:rsid w:val="00F858CE"/>
    <w:rsid w:val="00F858E4"/>
    <w:rsid w:val="00F85901"/>
    <w:rsid w:val="00F8593F"/>
    <w:rsid w:val="00F859FD"/>
    <w:rsid w:val="00F85A14"/>
    <w:rsid w:val="00F85AC4"/>
    <w:rsid w:val="00F85AD6"/>
    <w:rsid w:val="00F85B44"/>
    <w:rsid w:val="00F85B74"/>
    <w:rsid w:val="00F85C01"/>
    <w:rsid w:val="00F85C06"/>
    <w:rsid w:val="00F85C27"/>
    <w:rsid w:val="00F85D5F"/>
    <w:rsid w:val="00F85D6D"/>
    <w:rsid w:val="00F85D84"/>
    <w:rsid w:val="00F85E46"/>
    <w:rsid w:val="00F85F6C"/>
    <w:rsid w:val="00F85FB2"/>
    <w:rsid w:val="00F85FE3"/>
    <w:rsid w:val="00F85FFA"/>
    <w:rsid w:val="00F860AD"/>
    <w:rsid w:val="00F86121"/>
    <w:rsid w:val="00F861EE"/>
    <w:rsid w:val="00F8645E"/>
    <w:rsid w:val="00F864F9"/>
    <w:rsid w:val="00F86539"/>
    <w:rsid w:val="00F865F4"/>
    <w:rsid w:val="00F86665"/>
    <w:rsid w:val="00F868B7"/>
    <w:rsid w:val="00F86A7D"/>
    <w:rsid w:val="00F86AA1"/>
    <w:rsid w:val="00F86B2A"/>
    <w:rsid w:val="00F86B3A"/>
    <w:rsid w:val="00F86BB3"/>
    <w:rsid w:val="00F86C8B"/>
    <w:rsid w:val="00F86D3C"/>
    <w:rsid w:val="00F86F27"/>
    <w:rsid w:val="00F86F5E"/>
    <w:rsid w:val="00F86F8B"/>
    <w:rsid w:val="00F87096"/>
    <w:rsid w:val="00F87173"/>
    <w:rsid w:val="00F871D2"/>
    <w:rsid w:val="00F872CC"/>
    <w:rsid w:val="00F8740F"/>
    <w:rsid w:val="00F874B0"/>
    <w:rsid w:val="00F874DE"/>
    <w:rsid w:val="00F87532"/>
    <w:rsid w:val="00F8754B"/>
    <w:rsid w:val="00F875C3"/>
    <w:rsid w:val="00F875C6"/>
    <w:rsid w:val="00F875C8"/>
    <w:rsid w:val="00F875EF"/>
    <w:rsid w:val="00F87656"/>
    <w:rsid w:val="00F8767D"/>
    <w:rsid w:val="00F8772E"/>
    <w:rsid w:val="00F87742"/>
    <w:rsid w:val="00F8780C"/>
    <w:rsid w:val="00F8787A"/>
    <w:rsid w:val="00F87AA0"/>
    <w:rsid w:val="00F87B69"/>
    <w:rsid w:val="00F87B88"/>
    <w:rsid w:val="00F87D0C"/>
    <w:rsid w:val="00F87DB7"/>
    <w:rsid w:val="00F87DD7"/>
    <w:rsid w:val="00F87DE2"/>
    <w:rsid w:val="00F87E5F"/>
    <w:rsid w:val="00F87EA5"/>
    <w:rsid w:val="00F90003"/>
    <w:rsid w:val="00F9002D"/>
    <w:rsid w:val="00F900BD"/>
    <w:rsid w:val="00F900E4"/>
    <w:rsid w:val="00F90213"/>
    <w:rsid w:val="00F903A7"/>
    <w:rsid w:val="00F903EC"/>
    <w:rsid w:val="00F904A1"/>
    <w:rsid w:val="00F905CD"/>
    <w:rsid w:val="00F905DA"/>
    <w:rsid w:val="00F9071B"/>
    <w:rsid w:val="00F907B5"/>
    <w:rsid w:val="00F907EC"/>
    <w:rsid w:val="00F90802"/>
    <w:rsid w:val="00F90811"/>
    <w:rsid w:val="00F90853"/>
    <w:rsid w:val="00F908EF"/>
    <w:rsid w:val="00F908FF"/>
    <w:rsid w:val="00F90909"/>
    <w:rsid w:val="00F909CE"/>
    <w:rsid w:val="00F90A38"/>
    <w:rsid w:val="00F90B12"/>
    <w:rsid w:val="00F90B64"/>
    <w:rsid w:val="00F90B71"/>
    <w:rsid w:val="00F90BD1"/>
    <w:rsid w:val="00F90C6E"/>
    <w:rsid w:val="00F90E0A"/>
    <w:rsid w:val="00F90EDE"/>
    <w:rsid w:val="00F91039"/>
    <w:rsid w:val="00F91074"/>
    <w:rsid w:val="00F910DD"/>
    <w:rsid w:val="00F91140"/>
    <w:rsid w:val="00F9117D"/>
    <w:rsid w:val="00F9121B"/>
    <w:rsid w:val="00F91224"/>
    <w:rsid w:val="00F9123A"/>
    <w:rsid w:val="00F91390"/>
    <w:rsid w:val="00F91441"/>
    <w:rsid w:val="00F91450"/>
    <w:rsid w:val="00F91537"/>
    <w:rsid w:val="00F91585"/>
    <w:rsid w:val="00F915C9"/>
    <w:rsid w:val="00F915DB"/>
    <w:rsid w:val="00F915FA"/>
    <w:rsid w:val="00F9177D"/>
    <w:rsid w:val="00F9177E"/>
    <w:rsid w:val="00F917DF"/>
    <w:rsid w:val="00F91899"/>
    <w:rsid w:val="00F9190A"/>
    <w:rsid w:val="00F91934"/>
    <w:rsid w:val="00F9197F"/>
    <w:rsid w:val="00F91A60"/>
    <w:rsid w:val="00F91AD0"/>
    <w:rsid w:val="00F91B94"/>
    <w:rsid w:val="00F91BD6"/>
    <w:rsid w:val="00F91C5C"/>
    <w:rsid w:val="00F91DE0"/>
    <w:rsid w:val="00F91E3F"/>
    <w:rsid w:val="00F91EC4"/>
    <w:rsid w:val="00F91FAC"/>
    <w:rsid w:val="00F92141"/>
    <w:rsid w:val="00F9231E"/>
    <w:rsid w:val="00F924AA"/>
    <w:rsid w:val="00F925BC"/>
    <w:rsid w:val="00F92821"/>
    <w:rsid w:val="00F92AC0"/>
    <w:rsid w:val="00F92AD3"/>
    <w:rsid w:val="00F92B17"/>
    <w:rsid w:val="00F92BD8"/>
    <w:rsid w:val="00F92CBB"/>
    <w:rsid w:val="00F92D7E"/>
    <w:rsid w:val="00F92D91"/>
    <w:rsid w:val="00F92E1B"/>
    <w:rsid w:val="00F92E24"/>
    <w:rsid w:val="00F92E26"/>
    <w:rsid w:val="00F92E47"/>
    <w:rsid w:val="00F92F66"/>
    <w:rsid w:val="00F92F6F"/>
    <w:rsid w:val="00F930E8"/>
    <w:rsid w:val="00F931F4"/>
    <w:rsid w:val="00F932F3"/>
    <w:rsid w:val="00F935B9"/>
    <w:rsid w:val="00F9361F"/>
    <w:rsid w:val="00F9376F"/>
    <w:rsid w:val="00F93781"/>
    <w:rsid w:val="00F93896"/>
    <w:rsid w:val="00F93982"/>
    <w:rsid w:val="00F93A5E"/>
    <w:rsid w:val="00F93A90"/>
    <w:rsid w:val="00F93D8D"/>
    <w:rsid w:val="00F93E11"/>
    <w:rsid w:val="00F93F35"/>
    <w:rsid w:val="00F94166"/>
    <w:rsid w:val="00F94204"/>
    <w:rsid w:val="00F94215"/>
    <w:rsid w:val="00F9427F"/>
    <w:rsid w:val="00F942FC"/>
    <w:rsid w:val="00F943EF"/>
    <w:rsid w:val="00F9450A"/>
    <w:rsid w:val="00F94590"/>
    <w:rsid w:val="00F94598"/>
    <w:rsid w:val="00F945DF"/>
    <w:rsid w:val="00F94634"/>
    <w:rsid w:val="00F9464C"/>
    <w:rsid w:val="00F946B1"/>
    <w:rsid w:val="00F9471C"/>
    <w:rsid w:val="00F9472A"/>
    <w:rsid w:val="00F94779"/>
    <w:rsid w:val="00F947FB"/>
    <w:rsid w:val="00F949A3"/>
    <w:rsid w:val="00F94A2E"/>
    <w:rsid w:val="00F94AAF"/>
    <w:rsid w:val="00F94AB5"/>
    <w:rsid w:val="00F94ADF"/>
    <w:rsid w:val="00F94B18"/>
    <w:rsid w:val="00F94DD8"/>
    <w:rsid w:val="00F95033"/>
    <w:rsid w:val="00F95067"/>
    <w:rsid w:val="00F95267"/>
    <w:rsid w:val="00F9528E"/>
    <w:rsid w:val="00F952B2"/>
    <w:rsid w:val="00F954F9"/>
    <w:rsid w:val="00F955FA"/>
    <w:rsid w:val="00F956CF"/>
    <w:rsid w:val="00F9574D"/>
    <w:rsid w:val="00F957EE"/>
    <w:rsid w:val="00F9582E"/>
    <w:rsid w:val="00F958B6"/>
    <w:rsid w:val="00F958E7"/>
    <w:rsid w:val="00F95BA0"/>
    <w:rsid w:val="00F95C1C"/>
    <w:rsid w:val="00F95C9D"/>
    <w:rsid w:val="00F95D83"/>
    <w:rsid w:val="00F95E18"/>
    <w:rsid w:val="00F95E63"/>
    <w:rsid w:val="00F95E65"/>
    <w:rsid w:val="00F95E7A"/>
    <w:rsid w:val="00F95E8C"/>
    <w:rsid w:val="00F95EBF"/>
    <w:rsid w:val="00F95F56"/>
    <w:rsid w:val="00F96030"/>
    <w:rsid w:val="00F960E8"/>
    <w:rsid w:val="00F962B0"/>
    <w:rsid w:val="00F963C4"/>
    <w:rsid w:val="00F963E1"/>
    <w:rsid w:val="00F9641B"/>
    <w:rsid w:val="00F96467"/>
    <w:rsid w:val="00F964A8"/>
    <w:rsid w:val="00F965BF"/>
    <w:rsid w:val="00F9687A"/>
    <w:rsid w:val="00F968DA"/>
    <w:rsid w:val="00F96915"/>
    <w:rsid w:val="00F9691F"/>
    <w:rsid w:val="00F96962"/>
    <w:rsid w:val="00F96B43"/>
    <w:rsid w:val="00F96C18"/>
    <w:rsid w:val="00F96C3F"/>
    <w:rsid w:val="00F96E32"/>
    <w:rsid w:val="00F96E34"/>
    <w:rsid w:val="00F96EFD"/>
    <w:rsid w:val="00F96F51"/>
    <w:rsid w:val="00F96FA1"/>
    <w:rsid w:val="00F96FF3"/>
    <w:rsid w:val="00F97006"/>
    <w:rsid w:val="00F97073"/>
    <w:rsid w:val="00F9709E"/>
    <w:rsid w:val="00F971ED"/>
    <w:rsid w:val="00F971EF"/>
    <w:rsid w:val="00F97229"/>
    <w:rsid w:val="00F97246"/>
    <w:rsid w:val="00F97291"/>
    <w:rsid w:val="00F973B4"/>
    <w:rsid w:val="00F973EA"/>
    <w:rsid w:val="00F9745A"/>
    <w:rsid w:val="00F974AA"/>
    <w:rsid w:val="00F974B8"/>
    <w:rsid w:val="00F975A1"/>
    <w:rsid w:val="00F9763E"/>
    <w:rsid w:val="00F9775A"/>
    <w:rsid w:val="00F9775D"/>
    <w:rsid w:val="00F9777E"/>
    <w:rsid w:val="00F97816"/>
    <w:rsid w:val="00F9792F"/>
    <w:rsid w:val="00F97935"/>
    <w:rsid w:val="00F97988"/>
    <w:rsid w:val="00F9798E"/>
    <w:rsid w:val="00F97B09"/>
    <w:rsid w:val="00F97B32"/>
    <w:rsid w:val="00F97B7E"/>
    <w:rsid w:val="00F97C3E"/>
    <w:rsid w:val="00F97CBC"/>
    <w:rsid w:val="00F97CD6"/>
    <w:rsid w:val="00F97D66"/>
    <w:rsid w:val="00F97DB3"/>
    <w:rsid w:val="00F97F2E"/>
    <w:rsid w:val="00F97F7D"/>
    <w:rsid w:val="00F97F7F"/>
    <w:rsid w:val="00F97FDD"/>
    <w:rsid w:val="00F9E625"/>
    <w:rsid w:val="00FA002A"/>
    <w:rsid w:val="00FA0059"/>
    <w:rsid w:val="00FA005A"/>
    <w:rsid w:val="00FA005C"/>
    <w:rsid w:val="00FA0180"/>
    <w:rsid w:val="00FA01C2"/>
    <w:rsid w:val="00FA01D8"/>
    <w:rsid w:val="00FA0304"/>
    <w:rsid w:val="00FA03A6"/>
    <w:rsid w:val="00FA040C"/>
    <w:rsid w:val="00FA047D"/>
    <w:rsid w:val="00FA062A"/>
    <w:rsid w:val="00FA0677"/>
    <w:rsid w:val="00FA07AF"/>
    <w:rsid w:val="00FA0898"/>
    <w:rsid w:val="00FA08F5"/>
    <w:rsid w:val="00FA0ABD"/>
    <w:rsid w:val="00FA0BD6"/>
    <w:rsid w:val="00FA0CA2"/>
    <w:rsid w:val="00FA0CD4"/>
    <w:rsid w:val="00FA0D81"/>
    <w:rsid w:val="00FA0D8B"/>
    <w:rsid w:val="00FA0EC7"/>
    <w:rsid w:val="00FA1030"/>
    <w:rsid w:val="00FA10ED"/>
    <w:rsid w:val="00FA114F"/>
    <w:rsid w:val="00FA12FB"/>
    <w:rsid w:val="00FA1339"/>
    <w:rsid w:val="00FA1393"/>
    <w:rsid w:val="00FA139C"/>
    <w:rsid w:val="00FA1433"/>
    <w:rsid w:val="00FA1452"/>
    <w:rsid w:val="00FA1629"/>
    <w:rsid w:val="00FA1667"/>
    <w:rsid w:val="00FA16D7"/>
    <w:rsid w:val="00FA1704"/>
    <w:rsid w:val="00FA1738"/>
    <w:rsid w:val="00FA17C1"/>
    <w:rsid w:val="00FA1802"/>
    <w:rsid w:val="00FA1914"/>
    <w:rsid w:val="00FA1C11"/>
    <w:rsid w:val="00FA1D07"/>
    <w:rsid w:val="00FA1D39"/>
    <w:rsid w:val="00FA1DB3"/>
    <w:rsid w:val="00FA1EAD"/>
    <w:rsid w:val="00FA1EC0"/>
    <w:rsid w:val="00FA1F61"/>
    <w:rsid w:val="00FA1F63"/>
    <w:rsid w:val="00FA1F79"/>
    <w:rsid w:val="00FA1F7C"/>
    <w:rsid w:val="00FA1FDB"/>
    <w:rsid w:val="00FA20BA"/>
    <w:rsid w:val="00FA23F5"/>
    <w:rsid w:val="00FA23F7"/>
    <w:rsid w:val="00FA2406"/>
    <w:rsid w:val="00FA241B"/>
    <w:rsid w:val="00FA254B"/>
    <w:rsid w:val="00FA2596"/>
    <w:rsid w:val="00FA25C7"/>
    <w:rsid w:val="00FA25F8"/>
    <w:rsid w:val="00FA2659"/>
    <w:rsid w:val="00FA27CA"/>
    <w:rsid w:val="00FA2803"/>
    <w:rsid w:val="00FA2936"/>
    <w:rsid w:val="00FA2B90"/>
    <w:rsid w:val="00FA2BE9"/>
    <w:rsid w:val="00FA2D1F"/>
    <w:rsid w:val="00FA2DA8"/>
    <w:rsid w:val="00FA2DE9"/>
    <w:rsid w:val="00FA2FBD"/>
    <w:rsid w:val="00FA3009"/>
    <w:rsid w:val="00FA3238"/>
    <w:rsid w:val="00FA32A8"/>
    <w:rsid w:val="00FA3300"/>
    <w:rsid w:val="00FA3484"/>
    <w:rsid w:val="00FA348E"/>
    <w:rsid w:val="00FA3528"/>
    <w:rsid w:val="00FA3552"/>
    <w:rsid w:val="00FA368C"/>
    <w:rsid w:val="00FA37A3"/>
    <w:rsid w:val="00FA38E5"/>
    <w:rsid w:val="00FA38F6"/>
    <w:rsid w:val="00FA391D"/>
    <w:rsid w:val="00FA39FC"/>
    <w:rsid w:val="00FA3A73"/>
    <w:rsid w:val="00FA3AA4"/>
    <w:rsid w:val="00FA3AF9"/>
    <w:rsid w:val="00FA3C7A"/>
    <w:rsid w:val="00FA3C7E"/>
    <w:rsid w:val="00FA3D1E"/>
    <w:rsid w:val="00FA3D90"/>
    <w:rsid w:val="00FA3EDD"/>
    <w:rsid w:val="00FA3F89"/>
    <w:rsid w:val="00FA3FA3"/>
    <w:rsid w:val="00FA3FD2"/>
    <w:rsid w:val="00FA4059"/>
    <w:rsid w:val="00FA40C0"/>
    <w:rsid w:val="00FA4104"/>
    <w:rsid w:val="00FA41D3"/>
    <w:rsid w:val="00FA4231"/>
    <w:rsid w:val="00FA455E"/>
    <w:rsid w:val="00FA46B0"/>
    <w:rsid w:val="00FA46EA"/>
    <w:rsid w:val="00FA4757"/>
    <w:rsid w:val="00FA486A"/>
    <w:rsid w:val="00FA4907"/>
    <w:rsid w:val="00FA497E"/>
    <w:rsid w:val="00FA4A30"/>
    <w:rsid w:val="00FA4AB3"/>
    <w:rsid w:val="00FA4B05"/>
    <w:rsid w:val="00FA4C3A"/>
    <w:rsid w:val="00FA4CCC"/>
    <w:rsid w:val="00FA4DDC"/>
    <w:rsid w:val="00FA4EB8"/>
    <w:rsid w:val="00FA4ED4"/>
    <w:rsid w:val="00FA4ED6"/>
    <w:rsid w:val="00FA4F31"/>
    <w:rsid w:val="00FA4FF8"/>
    <w:rsid w:val="00FA500C"/>
    <w:rsid w:val="00FA50ED"/>
    <w:rsid w:val="00FA513B"/>
    <w:rsid w:val="00FA524C"/>
    <w:rsid w:val="00FA5391"/>
    <w:rsid w:val="00FA53E4"/>
    <w:rsid w:val="00FA5442"/>
    <w:rsid w:val="00FA54B2"/>
    <w:rsid w:val="00FA569A"/>
    <w:rsid w:val="00FA57DF"/>
    <w:rsid w:val="00FA57F9"/>
    <w:rsid w:val="00FA5822"/>
    <w:rsid w:val="00FA5826"/>
    <w:rsid w:val="00FA58B8"/>
    <w:rsid w:val="00FA5B27"/>
    <w:rsid w:val="00FA5C76"/>
    <w:rsid w:val="00FA5D9B"/>
    <w:rsid w:val="00FA5EEC"/>
    <w:rsid w:val="00FA62E4"/>
    <w:rsid w:val="00FA62EA"/>
    <w:rsid w:val="00FA6325"/>
    <w:rsid w:val="00FA640E"/>
    <w:rsid w:val="00FA64B5"/>
    <w:rsid w:val="00FA661D"/>
    <w:rsid w:val="00FA66E5"/>
    <w:rsid w:val="00FA6724"/>
    <w:rsid w:val="00FA6782"/>
    <w:rsid w:val="00FA67AD"/>
    <w:rsid w:val="00FA6810"/>
    <w:rsid w:val="00FA6819"/>
    <w:rsid w:val="00FA6823"/>
    <w:rsid w:val="00FA6AFA"/>
    <w:rsid w:val="00FA6D57"/>
    <w:rsid w:val="00FA6DBF"/>
    <w:rsid w:val="00FA6DD8"/>
    <w:rsid w:val="00FA6EAF"/>
    <w:rsid w:val="00FA704A"/>
    <w:rsid w:val="00FA70E7"/>
    <w:rsid w:val="00FA7194"/>
    <w:rsid w:val="00FA7198"/>
    <w:rsid w:val="00FA7229"/>
    <w:rsid w:val="00FA7253"/>
    <w:rsid w:val="00FA74FD"/>
    <w:rsid w:val="00FA7561"/>
    <w:rsid w:val="00FA761F"/>
    <w:rsid w:val="00FA7637"/>
    <w:rsid w:val="00FA76AB"/>
    <w:rsid w:val="00FA7728"/>
    <w:rsid w:val="00FA773D"/>
    <w:rsid w:val="00FA7857"/>
    <w:rsid w:val="00FA787A"/>
    <w:rsid w:val="00FA7949"/>
    <w:rsid w:val="00FA7A7D"/>
    <w:rsid w:val="00FA7A96"/>
    <w:rsid w:val="00FA7AEC"/>
    <w:rsid w:val="00FA7B83"/>
    <w:rsid w:val="00FA7B96"/>
    <w:rsid w:val="00FA7BFA"/>
    <w:rsid w:val="00FA7CA8"/>
    <w:rsid w:val="00FA7CBD"/>
    <w:rsid w:val="00FA7CF7"/>
    <w:rsid w:val="00FA7D02"/>
    <w:rsid w:val="00FA7D4B"/>
    <w:rsid w:val="00FA7D82"/>
    <w:rsid w:val="00FA7E16"/>
    <w:rsid w:val="00FA7F59"/>
    <w:rsid w:val="00FB00A0"/>
    <w:rsid w:val="00FB015F"/>
    <w:rsid w:val="00FB0167"/>
    <w:rsid w:val="00FB0170"/>
    <w:rsid w:val="00FB047F"/>
    <w:rsid w:val="00FB0605"/>
    <w:rsid w:val="00FB065D"/>
    <w:rsid w:val="00FB067B"/>
    <w:rsid w:val="00FB0793"/>
    <w:rsid w:val="00FB07D2"/>
    <w:rsid w:val="00FB07FF"/>
    <w:rsid w:val="00FB0820"/>
    <w:rsid w:val="00FB0900"/>
    <w:rsid w:val="00FB0905"/>
    <w:rsid w:val="00FB0A75"/>
    <w:rsid w:val="00FB0AB2"/>
    <w:rsid w:val="00FB0ADF"/>
    <w:rsid w:val="00FB0B01"/>
    <w:rsid w:val="00FB0C0E"/>
    <w:rsid w:val="00FB0C36"/>
    <w:rsid w:val="00FB0C8D"/>
    <w:rsid w:val="00FB0DFE"/>
    <w:rsid w:val="00FB0EC8"/>
    <w:rsid w:val="00FB0FE7"/>
    <w:rsid w:val="00FB1181"/>
    <w:rsid w:val="00FB11C3"/>
    <w:rsid w:val="00FB14C4"/>
    <w:rsid w:val="00FB14E5"/>
    <w:rsid w:val="00FB1650"/>
    <w:rsid w:val="00FB1665"/>
    <w:rsid w:val="00FB1742"/>
    <w:rsid w:val="00FB177F"/>
    <w:rsid w:val="00FB17C6"/>
    <w:rsid w:val="00FB17E9"/>
    <w:rsid w:val="00FB17ED"/>
    <w:rsid w:val="00FB182C"/>
    <w:rsid w:val="00FB1971"/>
    <w:rsid w:val="00FB19CA"/>
    <w:rsid w:val="00FB1AE4"/>
    <w:rsid w:val="00FB1BC6"/>
    <w:rsid w:val="00FB1CC6"/>
    <w:rsid w:val="00FB1D68"/>
    <w:rsid w:val="00FB1E3C"/>
    <w:rsid w:val="00FB1EED"/>
    <w:rsid w:val="00FB1F4E"/>
    <w:rsid w:val="00FB1F7F"/>
    <w:rsid w:val="00FB2083"/>
    <w:rsid w:val="00FB2085"/>
    <w:rsid w:val="00FB21C6"/>
    <w:rsid w:val="00FB2290"/>
    <w:rsid w:val="00FB232C"/>
    <w:rsid w:val="00FB248E"/>
    <w:rsid w:val="00FB25A9"/>
    <w:rsid w:val="00FB2732"/>
    <w:rsid w:val="00FB2781"/>
    <w:rsid w:val="00FB285F"/>
    <w:rsid w:val="00FB286D"/>
    <w:rsid w:val="00FB2950"/>
    <w:rsid w:val="00FB2976"/>
    <w:rsid w:val="00FB2A7C"/>
    <w:rsid w:val="00FB2A91"/>
    <w:rsid w:val="00FB2AA5"/>
    <w:rsid w:val="00FB2AB4"/>
    <w:rsid w:val="00FB2AE4"/>
    <w:rsid w:val="00FB2B45"/>
    <w:rsid w:val="00FB2C00"/>
    <w:rsid w:val="00FB2C0E"/>
    <w:rsid w:val="00FB2C4F"/>
    <w:rsid w:val="00FB2C57"/>
    <w:rsid w:val="00FB2CF3"/>
    <w:rsid w:val="00FB2D7F"/>
    <w:rsid w:val="00FB2D99"/>
    <w:rsid w:val="00FB2E12"/>
    <w:rsid w:val="00FB2E9D"/>
    <w:rsid w:val="00FB2FF9"/>
    <w:rsid w:val="00FB3050"/>
    <w:rsid w:val="00FB30C4"/>
    <w:rsid w:val="00FB30E5"/>
    <w:rsid w:val="00FB3197"/>
    <w:rsid w:val="00FB33F1"/>
    <w:rsid w:val="00FB3599"/>
    <w:rsid w:val="00FB36E3"/>
    <w:rsid w:val="00FB386F"/>
    <w:rsid w:val="00FB3876"/>
    <w:rsid w:val="00FB3972"/>
    <w:rsid w:val="00FB3A46"/>
    <w:rsid w:val="00FB3A82"/>
    <w:rsid w:val="00FB3B2B"/>
    <w:rsid w:val="00FB3E22"/>
    <w:rsid w:val="00FB3F43"/>
    <w:rsid w:val="00FB40C3"/>
    <w:rsid w:val="00FB40E0"/>
    <w:rsid w:val="00FB41D3"/>
    <w:rsid w:val="00FB4250"/>
    <w:rsid w:val="00FB4290"/>
    <w:rsid w:val="00FB42B9"/>
    <w:rsid w:val="00FB4337"/>
    <w:rsid w:val="00FB4395"/>
    <w:rsid w:val="00FB441C"/>
    <w:rsid w:val="00FB4686"/>
    <w:rsid w:val="00FB4728"/>
    <w:rsid w:val="00FB47DB"/>
    <w:rsid w:val="00FB4AEA"/>
    <w:rsid w:val="00FB4B94"/>
    <w:rsid w:val="00FB4BBD"/>
    <w:rsid w:val="00FB4C85"/>
    <w:rsid w:val="00FB4E62"/>
    <w:rsid w:val="00FB4EF7"/>
    <w:rsid w:val="00FB4F1C"/>
    <w:rsid w:val="00FB4F49"/>
    <w:rsid w:val="00FB5169"/>
    <w:rsid w:val="00FB52D2"/>
    <w:rsid w:val="00FB533A"/>
    <w:rsid w:val="00FB5462"/>
    <w:rsid w:val="00FB54EB"/>
    <w:rsid w:val="00FB55CC"/>
    <w:rsid w:val="00FB5665"/>
    <w:rsid w:val="00FB56C3"/>
    <w:rsid w:val="00FB5983"/>
    <w:rsid w:val="00FB59D2"/>
    <w:rsid w:val="00FB59EF"/>
    <w:rsid w:val="00FB5A9F"/>
    <w:rsid w:val="00FB5AD8"/>
    <w:rsid w:val="00FB5B98"/>
    <w:rsid w:val="00FB5D03"/>
    <w:rsid w:val="00FB5F5B"/>
    <w:rsid w:val="00FB6209"/>
    <w:rsid w:val="00FB6226"/>
    <w:rsid w:val="00FB6445"/>
    <w:rsid w:val="00FB6660"/>
    <w:rsid w:val="00FB672F"/>
    <w:rsid w:val="00FB6797"/>
    <w:rsid w:val="00FB6864"/>
    <w:rsid w:val="00FB6880"/>
    <w:rsid w:val="00FB68D1"/>
    <w:rsid w:val="00FB6B58"/>
    <w:rsid w:val="00FB6BB6"/>
    <w:rsid w:val="00FB6E25"/>
    <w:rsid w:val="00FB6EC7"/>
    <w:rsid w:val="00FB6FB6"/>
    <w:rsid w:val="00FB7026"/>
    <w:rsid w:val="00FB706E"/>
    <w:rsid w:val="00FB709D"/>
    <w:rsid w:val="00FB70B7"/>
    <w:rsid w:val="00FB71C7"/>
    <w:rsid w:val="00FB7420"/>
    <w:rsid w:val="00FB748F"/>
    <w:rsid w:val="00FB74A8"/>
    <w:rsid w:val="00FB74F6"/>
    <w:rsid w:val="00FB7681"/>
    <w:rsid w:val="00FB76F0"/>
    <w:rsid w:val="00FB76FF"/>
    <w:rsid w:val="00FB771C"/>
    <w:rsid w:val="00FB77A6"/>
    <w:rsid w:val="00FB797E"/>
    <w:rsid w:val="00FB79F3"/>
    <w:rsid w:val="00FB7B0B"/>
    <w:rsid w:val="00FB7B21"/>
    <w:rsid w:val="00FB7BC9"/>
    <w:rsid w:val="00FB7C26"/>
    <w:rsid w:val="00FB7CFC"/>
    <w:rsid w:val="00FB7D19"/>
    <w:rsid w:val="00FB7ED0"/>
    <w:rsid w:val="00FB7EF1"/>
    <w:rsid w:val="00FB7FE1"/>
    <w:rsid w:val="00FB7FF1"/>
    <w:rsid w:val="00FB7FFE"/>
    <w:rsid w:val="00FC001C"/>
    <w:rsid w:val="00FC0115"/>
    <w:rsid w:val="00FC0121"/>
    <w:rsid w:val="00FC018A"/>
    <w:rsid w:val="00FC0229"/>
    <w:rsid w:val="00FC023A"/>
    <w:rsid w:val="00FC036A"/>
    <w:rsid w:val="00FC03CE"/>
    <w:rsid w:val="00FC0468"/>
    <w:rsid w:val="00FC0473"/>
    <w:rsid w:val="00FC05BA"/>
    <w:rsid w:val="00FC062D"/>
    <w:rsid w:val="00FC06F5"/>
    <w:rsid w:val="00FC074A"/>
    <w:rsid w:val="00FC07A4"/>
    <w:rsid w:val="00FC0945"/>
    <w:rsid w:val="00FC096F"/>
    <w:rsid w:val="00FC0A55"/>
    <w:rsid w:val="00FC0BF4"/>
    <w:rsid w:val="00FC0CAF"/>
    <w:rsid w:val="00FC0D1A"/>
    <w:rsid w:val="00FC0D30"/>
    <w:rsid w:val="00FC0D39"/>
    <w:rsid w:val="00FC0D95"/>
    <w:rsid w:val="00FC0EA2"/>
    <w:rsid w:val="00FC0FBB"/>
    <w:rsid w:val="00FC1010"/>
    <w:rsid w:val="00FC10A5"/>
    <w:rsid w:val="00FC111E"/>
    <w:rsid w:val="00FC1156"/>
    <w:rsid w:val="00FC1191"/>
    <w:rsid w:val="00FC11B7"/>
    <w:rsid w:val="00FC12CC"/>
    <w:rsid w:val="00FC1311"/>
    <w:rsid w:val="00FC1331"/>
    <w:rsid w:val="00FC14AF"/>
    <w:rsid w:val="00FC14F9"/>
    <w:rsid w:val="00FC153C"/>
    <w:rsid w:val="00FC158E"/>
    <w:rsid w:val="00FC1607"/>
    <w:rsid w:val="00FC185B"/>
    <w:rsid w:val="00FC18EF"/>
    <w:rsid w:val="00FC198E"/>
    <w:rsid w:val="00FC19AB"/>
    <w:rsid w:val="00FC1A26"/>
    <w:rsid w:val="00FC1A78"/>
    <w:rsid w:val="00FC1A9C"/>
    <w:rsid w:val="00FC1B2C"/>
    <w:rsid w:val="00FC1C1D"/>
    <w:rsid w:val="00FC1DAE"/>
    <w:rsid w:val="00FC1DBE"/>
    <w:rsid w:val="00FC2047"/>
    <w:rsid w:val="00FC207E"/>
    <w:rsid w:val="00FC208B"/>
    <w:rsid w:val="00FC20E0"/>
    <w:rsid w:val="00FC20F3"/>
    <w:rsid w:val="00FC2104"/>
    <w:rsid w:val="00FC2130"/>
    <w:rsid w:val="00FC2214"/>
    <w:rsid w:val="00FC2403"/>
    <w:rsid w:val="00FC2659"/>
    <w:rsid w:val="00FC273F"/>
    <w:rsid w:val="00FC27BB"/>
    <w:rsid w:val="00FC299E"/>
    <w:rsid w:val="00FC2AEE"/>
    <w:rsid w:val="00FC2B3F"/>
    <w:rsid w:val="00FC2B72"/>
    <w:rsid w:val="00FC2BB4"/>
    <w:rsid w:val="00FC2CF3"/>
    <w:rsid w:val="00FC2D5A"/>
    <w:rsid w:val="00FC2E04"/>
    <w:rsid w:val="00FC2F6A"/>
    <w:rsid w:val="00FC31A4"/>
    <w:rsid w:val="00FC3246"/>
    <w:rsid w:val="00FC3296"/>
    <w:rsid w:val="00FC335F"/>
    <w:rsid w:val="00FC3387"/>
    <w:rsid w:val="00FC33D4"/>
    <w:rsid w:val="00FC34DA"/>
    <w:rsid w:val="00FC351C"/>
    <w:rsid w:val="00FC3581"/>
    <w:rsid w:val="00FC35F3"/>
    <w:rsid w:val="00FC366A"/>
    <w:rsid w:val="00FC3700"/>
    <w:rsid w:val="00FC37BA"/>
    <w:rsid w:val="00FC387F"/>
    <w:rsid w:val="00FC38EE"/>
    <w:rsid w:val="00FC38F8"/>
    <w:rsid w:val="00FC3960"/>
    <w:rsid w:val="00FC3A41"/>
    <w:rsid w:val="00FC3B89"/>
    <w:rsid w:val="00FC3BF1"/>
    <w:rsid w:val="00FC3C0F"/>
    <w:rsid w:val="00FC3C21"/>
    <w:rsid w:val="00FC3CCC"/>
    <w:rsid w:val="00FC3D3D"/>
    <w:rsid w:val="00FC3DCE"/>
    <w:rsid w:val="00FC3E2C"/>
    <w:rsid w:val="00FC3E43"/>
    <w:rsid w:val="00FC3EDB"/>
    <w:rsid w:val="00FC3EEE"/>
    <w:rsid w:val="00FC3F26"/>
    <w:rsid w:val="00FC3FF8"/>
    <w:rsid w:val="00FC4161"/>
    <w:rsid w:val="00FC419A"/>
    <w:rsid w:val="00FC41EB"/>
    <w:rsid w:val="00FC424E"/>
    <w:rsid w:val="00FC4387"/>
    <w:rsid w:val="00FC4393"/>
    <w:rsid w:val="00FC439C"/>
    <w:rsid w:val="00FC43CB"/>
    <w:rsid w:val="00FC4513"/>
    <w:rsid w:val="00FC4540"/>
    <w:rsid w:val="00FC4553"/>
    <w:rsid w:val="00FC46E4"/>
    <w:rsid w:val="00FC478B"/>
    <w:rsid w:val="00FC4898"/>
    <w:rsid w:val="00FC4AF2"/>
    <w:rsid w:val="00FC4AF6"/>
    <w:rsid w:val="00FC4B80"/>
    <w:rsid w:val="00FC4BA3"/>
    <w:rsid w:val="00FC4BE9"/>
    <w:rsid w:val="00FC4C21"/>
    <w:rsid w:val="00FC4C62"/>
    <w:rsid w:val="00FC4CC5"/>
    <w:rsid w:val="00FC4DAB"/>
    <w:rsid w:val="00FC4E45"/>
    <w:rsid w:val="00FC4F0B"/>
    <w:rsid w:val="00FC4F17"/>
    <w:rsid w:val="00FC4FAF"/>
    <w:rsid w:val="00FC5095"/>
    <w:rsid w:val="00FC51CC"/>
    <w:rsid w:val="00FC521A"/>
    <w:rsid w:val="00FC52D4"/>
    <w:rsid w:val="00FC52D6"/>
    <w:rsid w:val="00FC52ED"/>
    <w:rsid w:val="00FC562F"/>
    <w:rsid w:val="00FC5694"/>
    <w:rsid w:val="00FC5732"/>
    <w:rsid w:val="00FC57FD"/>
    <w:rsid w:val="00FC58EA"/>
    <w:rsid w:val="00FC5993"/>
    <w:rsid w:val="00FC59EE"/>
    <w:rsid w:val="00FC5A7B"/>
    <w:rsid w:val="00FC5A92"/>
    <w:rsid w:val="00FC5C1F"/>
    <w:rsid w:val="00FC5CA1"/>
    <w:rsid w:val="00FC5DC1"/>
    <w:rsid w:val="00FC5EC9"/>
    <w:rsid w:val="00FC5F00"/>
    <w:rsid w:val="00FC5F81"/>
    <w:rsid w:val="00FC5FE5"/>
    <w:rsid w:val="00FC60B9"/>
    <w:rsid w:val="00FC61A8"/>
    <w:rsid w:val="00FC625C"/>
    <w:rsid w:val="00FC634A"/>
    <w:rsid w:val="00FC6368"/>
    <w:rsid w:val="00FC6390"/>
    <w:rsid w:val="00FC6396"/>
    <w:rsid w:val="00FC63E5"/>
    <w:rsid w:val="00FC64D0"/>
    <w:rsid w:val="00FC673D"/>
    <w:rsid w:val="00FC67CA"/>
    <w:rsid w:val="00FC67E2"/>
    <w:rsid w:val="00FC6836"/>
    <w:rsid w:val="00FC696D"/>
    <w:rsid w:val="00FC6B25"/>
    <w:rsid w:val="00FC6B76"/>
    <w:rsid w:val="00FC6BA5"/>
    <w:rsid w:val="00FC6BEA"/>
    <w:rsid w:val="00FC6BEF"/>
    <w:rsid w:val="00FC6BF7"/>
    <w:rsid w:val="00FC6C75"/>
    <w:rsid w:val="00FC6CA4"/>
    <w:rsid w:val="00FC6D3A"/>
    <w:rsid w:val="00FC6DC9"/>
    <w:rsid w:val="00FC6EFE"/>
    <w:rsid w:val="00FC6F0A"/>
    <w:rsid w:val="00FC700D"/>
    <w:rsid w:val="00FC70BB"/>
    <w:rsid w:val="00FC719E"/>
    <w:rsid w:val="00FC71B9"/>
    <w:rsid w:val="00FC71FF"/>
    <w:rsid w:val="00FC72BA"/>
    <w:rsid w:val="00FC73DC"/>
    <w:rsid w:val="00FC741D"/>
    <w:rsid w:val="00FC7442"/>
    <w:rsid w:val="00FC75E8"/>
    <w:rsid w:val="00FC779D"/>
    <w:rsid w:val="00FC77AD"/>
    <w:rsid w:val="00FC77B8"/>
    <w:rsid w:val="00FC77CF"/>
    <w:rsid w:val="00FC781A"/>
    <w:rsid w:val="00FC78F7"/>
    <w:rsid w:val="00FC792E"/>
    <w:rsid w:val="00FC7C27"/>
    <w:rsid w:val="00FC7C34"/>
    <w:rsid w:val="00FC7C6D"/>
    <w:rsid w:val="00FC7CCB"/>
    <w:rsid w:val="00FC7D21"/>
    <w:rsid w:val="00FC7DEE"/>
    <w:rsid w:val="00FC7EFE"/>
    <w:rsid w:val="00FC7F1E"/>
    <w:rsid w:val="00FC7F86"/>
    <w:rsid w:val="00FD007F"/>
    <w:rsid w:val="00FD0094"/>
    <w:rsid w:val="00FD00DD"/>
    <w:rsid w:val="00FD014E"/>
    <w:rsid w:val="00FD015E"/>
    <w:rsid w:val="00FD019B"/>
    <w:rsid w:val="00FD0375"/>
    <w:rsid w:val="00FD0423"/>
    <w:rsid w:val="00FD04C4"/>
    <w:rsid w:val="00FD0870"/>
    <w:rsid w:val="00FD0A19"/>
    <w:rsid w:val="00FD0A8D"/>
    <w:rsid w:val="00FD0ABA"/>
    <w:rsid w:val="00FD0B67"/>
    <w:rsid w:val="00FD0BAA"/>
    <w:rsid w:val="00FD0EB6"/>
    <w:rsid w:val="00FD1005"/>
    <w:rsid w:val="00FD11A1"/>
    <w:rsid w:val="00FD1285"/>
    <w:rsid w:val="00FD1392"/>
    <w:rsid w:val="00FD1421"/>
    <w:rsid w:val="00FD147B"/>
    <w:rsid w:val="00FD149B"/>
    <w:rsid w:val="00FD16D1"/>
    <w:rsid w:val="00FD1727"/>
    <w:rsid w:val="00FD17E3"/>
    <w:rsid w:val="00FD1896"/>
    <w:rsid w:val="00FD18A6"/>
    <w:rsid w:val="00FD18A8"/>
    <w:rsid w:val="00FD194E"/>
    <w:rsid w:val="00FD1B04"/>
    <w:rsid w:val="00FD1B0A"/>
    <w:rsid w:val="00FD1BE5"/>
    <w:rsid w:val="00FD1BE9"/>
    <w:rsid w:val="00FD1C7E"/>
    <w:rsid w:val="00FD1C8B"/>
    <w:rsid w:val="00FD1CFC"/>
    <w:rsid w:val="00FD1D0B"/>
    <w:rsid w:val="00FD1EE0"/>
    <w:rsid w:val="00FD1F4F"/>
    <w:rsid w:val="00FD221C"/>
    <w:rsid w:val="00FD2228"/>
    <w:rsid w:val="00FD2243"/>
    <w:rsid w:val="00FD225B"/>
    <w:rsid w:val="00FD22FA"/>
    <w:rsid w:val="00FD2349"/>
    <w:rsid w:val="00FD243C"/>
    <w:rsid w:val="00FD2480"/>
    <w:rsid w:val="00FD251B"/>
    <w:rsid w:val="00FD2601"/>
    <w:rsid w:val="00FD2625"/>
    <w:rsid w:val="00FD2635"/>
    <w:rsid w:val="00FD271D"/>
    <w:rsid w:val="00FD285C"/>
    <w:rsid w:val="00FD28DE"/>
    <w:rsid w:val="00FD29CC"/>
    <w:rsid w:val="00FD29F5"/>
    <w:rsid w:val="00FD2B1C"/>
    <w:rsid w:val="00FD2BAD"/>
    <w:rsid w:val="00FD2C13"/>
    <w:rsid w:val="00FD2D13"/>
    <w:rsid w:val="00FD2D3A"/>
    <w:rsid w:val="00FD2E0A"/>
    <w:rsid w:val="00FD2E4C"/>
    <w:rsid w:val="00FD319B"/>
    <w:rsid w:val="00FD32D7"/>
    <w:rsid w:val="00FD32DB"/>
    <w:rsid w:val="00FD32E4"/>
    <w:rsid w:val="00FD3340"/>
    <w:rsid w:val="00FD344F"/>
    <w:rsid w:val="00FD357F"/>
    <w:rsid w:val="00FD3709"/>
    <w:rsid w:val="00FD37CF"/>
    <w:rsid w:val="00FD3892"/>
    <w:rsid w:val="00FD38A3"/>
    <w:rsid w:val="00FD3954"/>
    <w:rsid w:val="00FD3980"/>
    <w:rsid w:val="00FD39B9"/>
    <w:rsid w:val="00FD39E9"/>
    <w:rsid w:val="00FD3AB5"/>
    <w:rsid w:val="00FD3B3C"/>
    <w:rsid w:val="00FD3B66"/>
    <w:rsid w:val="00FD3C7C"/>
    <w:rsid w:val="00FD3CF8"/>
    <w:rsid w:val="00FD3ED1"/>
    <w:rsid w:val="00FD3F1E"/>
    <w:rsid w:val="00FD4156"/>
    <w:rsid w:val="00FD41AD"/>
    <w:rsid w:val="00FD4321"/>
    <w:rsid w:val="00FD4396"/>
    <w:rsid w:val="00FD43E6"/>
    <w:rsid w:val="00FD469C"/>
    <w:rsid w:val="00FD46BE"/>
    <w:rsid w:val="00FD47A8"/>
    <w:rsid w:val="00FD483A"/>
    <w:rsid w:val="00FD4858"/>
    <w:rsid w:val="00FD4974"/>
    <w:rsid w:val="00FD4BB0"/>
    <w:rsid w:val="00FD4BCC"/>
    <w:rsid w:val="00FD4BF2"/>
    <w:rsid w:val="00FD4D68"/>
    <w:rsid w:val="00FD4EED"/>
    <w:rsid w:val="00FD4FB4"/>
    <w:rsid w:val="00FD504D"/>
    <w:rsid w:val="00FD50E8"/>
    <w:rsid w:val="00FD51E4"/>
    <w:rsid w:val="00FD5306"/>
    <w:rsid w:val="00FD55F4"/>
    <w:rsid w:val="00FD561E"/>
    <w:rsid w:val="00FD565C"/>
    <w:rsid w:val="00FD56FE"/>
    <w:rsid w:val="00FD57A1"/>
    <w:rsid w:val="00FD5912"/>
    <w:rsid w:val="00FD5A92"/>
    <w:rsid w:val="00FD5AB0"/>
    <w:rsid w:val="00FD5B85"/>
    <w:rsid w:val="00FD5D30"/>
    <w:rsid w:val="00FD5E69"/>
    <w:rsid w:val="00FD5E90"/>
    <w:rsid w:val="00FD5EA7"/>
    <w:rsid w:val="00FD5EDF"/>
    <w:rsid w:val="00FD5FAF"/>
    <w:rsid w:val="00FD6153"/>
    <w:rsid w:val="00FD6387"/>
    <w:rsid w:val="00FD63E3"/>
    <w:rsid w:val="00FD646F"/>
    <w:rsid w:val="00FD651F"/>
    <w:rsid w:val="00FD6542"/>
    <w:rsid w:val="00FD6614"/>
    <w:rsid w:val="00FD679B"/>
    <w:rsid w:val="00FD683F"/>
    <w:rsid w:val="00FD6981"/>
    <w:rsid w:val="00FD6AB4"/>
    <w:rsid w:val="00FD6B16"/>
    <w:rsid w:val="00FD6DE8"/>
    <w:rsid w:val="00FD6F93"/>
    <w:rsid w:val="00FD7050"/>
    <w:rsid w:val="00FD70DC"/>
    <w:rsid w:val="00FD70FC"/>
    <w:rsid w:val="00FD7436"/>
    <w:rsid w:val="00FD74AF"/>
    <w:rsid w:val="00FD74CD"/>
    <w:rsid w:val="00FD75F3"/>
    <w:rsid w:val="00FD76AC"/>
    <w:rsid w:val="00FD76FB"/>
    <w:rsid w:val="00FD772D"/>
    <w:rsid w:val="00FD7752"/>
    <w:rsid w:val="00FD7837"/>
    <w:rsid w:val="00FD7850"/>
    <w:rsid w:val="00FD787A"/>
    <w:rsid w:val="00FD788F"/>
    <w:rsid w:val="00FD7933"/>
    <w:rsid w:val="00FD794D"/>
    <w:rsid w:val="00FD7A11"/>
    <w:rsid w:val="00FD7C4C"/>
    <w:rsid w:val="00FD7D89"/>
    <w:rsid w:val="00FD7D8B"/>
    <w:rsid w:val="00FD7DAA"/>
    <w:rsid w:val="00FD7DF0"/>
    <w:rsid w:val="00FD7F0A"/>
    <w:rsid w:val="00FD7F7A"/>
    <w:rsid w:val="00FE015D"/>
    <w:rsid w:val="00FE022B"/>
    <w:rsid w:val="00FE03D1"/>
    <w:rsid w:val="00FE046F"/>
    <w:rsid w:val="00FE05B9"/>
    <w:rsid w:val="00FE0603"/>
    <w:rsid w:val="00FE0687"/>
    <w:rsid w:val="00FE06C6"/>
    <w:rsid w:val="00FE0872"/>
    <w:rsid w:val="00FE087F"/>
    <w:rsid w:val="00FE0897"/>
    <w:rsid w:val="00FE0909"/>
    <w:rsid w:val="00FE0957"/>
    <w:rsid w:val="00FE099E"/>
    <w:rsid w:val="00FE0A30"/>
    <w:rsid w:val="00FE0A52"/>
    <w:rsid w:val="00FE0B5A"/>
    <w:rsid w:val="00FE0C00"/>
    <w:rsid w:val="00FE0DEC"/>
    <w:rsid w:val="00FE0E15"/>
    <w:rsid w:val="00FE1055"/>
    <w:rsid w:val="00FE1080"/>
    <w:rsid w:val="00FE10FE"/>
    <w:rsid w:val="00FE1147"/>
    <w:rsid w:val="00FE121B"/>
    <w:rsid w:val="00FE12EC"/>
    <w:rsid w:val="00FE139B"/>
    <w:rsid w:val="00FE1442"/>
    <w:rsid w:val="00FE14F8"/>
    <w:rsid w:val="00FE1515"/>
    <w:rsid w:val="00FE15CD"/>
    <w:rsid w:val="00FE1648"/>
    <w:rsid w:val="00FE16D1"/>
    <w:rsid w:val="00FE1702"/>
    <w:rsid w:val="00FE1796"/>
    <w:rsid w:val="00FE17C5"/>
    <w:rsid w:val="00FE181B"/>
    <w:rsid w:val="00FE18F5"/>
    <w:rsid w:val="00FE1955"/>
    <w:rsid w:val="00FE19AC"/>
    <w:rsid w:val="00FE1AEA"/>
    <w:rsid w:val="00FE1B2E"/>
    <w:rsid w:val="00FE1B31"/>
    <w:rsid w:val="00FE1C42"/>
    <w:rsid w:val="00FE1CB4"/>
    <w:rsid w:val="00FE1FF8"/>
    <w:rsid w:val="00FE2017"/>
    <w:rsid w:val="00FE20D0"/>
    <w:rsid w:val="00FE212C"/>
    <w:rsid w:val="00FE2195"/>
    <w:rsid w:val="00FE21A7"/>
    <w:rsid w:val="00FE21B7"/>
    <w:rsid w:val="00FE2261"/>
    <w:rsid w:val="00FE22A5"/>
    <w:rsid w:val="00FE2414"/>
    <w:rsid w:val="00FE242E"/>
    <w:rsid w:val="00FE256E"/>
    <w:rsid w:val="00FE25A3"/>
    <w:rsid w:val="00FE270A"/>
    <w:rsid w:val="00FE2807"/>
    <w:rsid w:val="00FE2818"/>
    <w:rsid w:val="00FE28A2"/>
    <w:rsid w:val="00FE297E"/>
    <w:rsid w:val="00FE2B63"/>
    <w:rsid w:val="00FE2B79"/>
    <w:rsid w:val="00FE2CDE"/>
    <w:rsid w:val="00FE2D35"/>
    <w:rsid w:val="00FE2D9F"/>
    <w:rsid w:val="00FE2E28"/>
    <w:rsid w:val="00FE2E7D"/>
    <w:rsid w:val="00FE2E87"/>
    <w:rsid w:val="00FE2E8C"/>
    <w:rsid w:val="00FE2EEA"/>
    <w:rsid w:val="00FE2EFB"/>
    <w:rsid w:val="00FE2F67"/>
    <w:rsid w:val="00FE2FF5"/>
    <w:rsid w:val="00FE31AD"/>
    <w:rsid w:val="00FE3201"/>
    <w:rsid w:val="00FE3239"/>
    <w:rsid w:val="00FE332C"/>
    <w:rsid w:val="00FE344E"/>
    <w:rsid w:val="00FE3450"/>
    <w:rsid w:val="00FE3598"/>
    <w:rsid w:val="00FE3796"/>
    <w:rsid w:val="00FE37F0"/>
    <w:rsid w:val="00FE3867"/>
    <w:rsid w:val="00FE38EA"/>
    <w:rsid w:val="00FE3972"/>
    <w:rsid w:val="00FE3A6D"/>
    <w:rsid w:val="00FE3B1C"/>
    <w:rsid w:val="00FE3B34"/>
    <w:rsid w:val="00FE3BF2"/>
    <w:rsid w:val="00FE3C44"/>
    <w:rsid w:val="00FE3D27"/>
    <w:rsid w:val="00FE3E18"/>
    <w:rsid w:val="00FE3E33"/>
    <w:rsid w:val="00FE3E7C"/>
    <w:rsid w:val="00FE3EEC"/>
    <w:rsid w:val="00FE3F3C"/>
    <w:rsid w:val="00FE3FAB"/>
    <w:rsid w:val="00FE3FD3"/>
    <w:rsid w:val="00FE401D"/>
    <w:rsid w:val="00FE4183"/>
    <w:rsid w:val="00FE41A4"/>
    <w:rsid w:val="00FE42B0"/>
    <w:rsid w:val="00FE42D1"/>
    <w:rsid w:val="00FE4347"/>
    <w:rsid w:val="00FE4375"/>
    <w:rsid w:val="00FE438F"/>
    <w:rsid w:val="00FE43FF"/>
    <w:rsid w:val="00FE44C9"/>
    <w:rsid w:val="00FE4539"/>
    <w:rsid w:val="00FE4559"/>
    <w:rsid w:val="00FE4589"/>
    <w:rsid w:val="00FE4599"/>
    <w:rsid w:val="00FE4621"/>
    <w:rsid w:val="00FE4644"/>
    <w:rsid w:val="00FE4740"/>
    <w:rsid w:val="00FE475F"/>
    <w:rsid w:val="00FE47D7"/>
    <w:rsid w:val="00FE48DE"/>
    <w:rsid w:val="00FE4A18"/>
    <w:rsid w:val="00FE4A82"/>
    <w:rsid w:val="00FE4ACE"/>
    <w:rsid w:val="00FE4B5D"/>
    <w:rsid w:val="00FE4B9E"/>
    <w:rsid w:val="00FE4CBB"/>
    <w:rsid w:val="00FE4CDB"/>
    <w:rsid w:val="00FE4F74"/>
    <w:rsid w:val="00FE4F90"/>
    <w:rsid w:val="00FE505C"/>
    <w:rsid w:val="00FE507C"/>
    <w:rsid w:val="00FE52D8"/>
    <w:rsid w:val="00FE5366"/>
    <w:rsid w:val="00FE551F"/>
    <w:rsid w:val="00FE5702"/>
    <w:rsid w:val="00FE5A50"/>
    <w:rsid w:val="00FE5EC7"/>
    <w:rsid w:val="00FE5FE4"/>
    <w:rsid w:val="00FE6111"/>
    <w:rsid w:val="00FE61DF"/>
    <w:rsid w:val="00FE621D"/>
    <w:rsid w:val="00FE6360"/>
    <w:rsid w:val="00FE6408"/>
    <w:rsid w:val="00FE643F"/>
    <w:rsid w:val="00FE64AF"/>
    <w:rsid w:val="00FE6507"/>
    <w:rsid w:val="00FE650A"/>
    <w:rsid w:val="00FE657B"/>
    <w:rsid w:val="00FE65D3"/>
    <w:rsid w:val="00FE6641"/>
    <w:rsid w:val="00FE66EB"/>
    <w:rsid w:val="00FE6775"/>
    <w:rsid w:val="00FE68DC"/>
    <w:rsid w:val="00FE6960"/>
    <w:rsid w:val="00FE69AF"/>
    <w:rsid w:val="00FE6B51"/>
    <w:rsid w:val="00FE6BB1"/>
    <w:rsid w:val="00FE6D04"/>
    <w:rsid w:val="00FE6D9A"/>
    <w:rsid w:val="00FE6E43"/>
    <w:rsid w:val="00FE6EFF"/>
    <w:rsid w:val="00FE7077"/>
    <w:rsid w:val="00FE7087"/>
    <w:rsid w:val="00FE7089"/>
    <w:rsid w:val="00FE7113"/>
    <w:rsid w:val="00FE7330"/>
    <w:rsid w:val="00FE73A4"/>
    <w:rsid w:val="00FE73DD"/>
    <w:rsid w:val="00FE75C8"/>
    <w:rsid w:val="00FE75D9"/>
    <w:rsid w:val="00FE75E7"/>
    <w:rsid w:val="00FE76D8"/>
    <w:rsid w:val="00FE7759"/>
    <w:rsid w:val="00FE7937"/>
    <w:rsid w:val="00FE793B"/>
    <w:rsid w:val="00FE7C2B"/>
    <w:rsid w:val="00FE7CFB"/>
    <w:rsid w:val="00FE7D29"/>
    <w:rsid w:val="00FE7D5D"/>
    <w:rsid w:val="00FE7D6D"/>
    <w:rsid w:val="00FE7ECD"/>
    <w:rsid w:val="00FE7EF7"/>
    <w:rsid w:val="00FE7F00"/>
    <w:rsid w:val="00FE7F1C"/>
    <w:rsid w:val="00FE7FBF"/>
    <w:rsid w:val="00FF0103"/>
    <w:rsid w:val="00FF015B"/>
    <w:rsid w:val="00FF021E"/>
    <w:rsid w:val="00FF03C9"/>
    <w:rsid w:val="00FF047D"/>
    <w:rsid w:val="00FF054C"/>
    <w:rsid w:val="00FF0664"/>
    <w:rsid w:val="00FF0668"/>
    <w:rsid w:val="00FF067B"/>
    <w:rsid w:val="00FF0682"/>
    <w:rsid w:val="00FF06D2"/>
    <w:rsid w:val="00FF073C"/>
    <w:rsid w:val="00FF0907"/>
    <w:rsid w:val="00FF0C7C"/>
    <w:rsid w:val="00FF0D8B"/>
    <w:rsid w:val="00FF0E78"/>
    <w:rsid w:val="00FF0EA9"/>
    <w:rsid w:val="00FF0F4D"/>
    <w:rsid w:val="00FF0FF8"/>
    <w:rsid w:val="00FF1057"/>
    <w:rsid w:val="00FF1074"/>
    <w:rsid w:val="00FF1109"/>
    <w:rsid w:val="00FF1128"/>
    <w:rsid w:val="00FF121C"/>
    <w:rsid w:val="00FF12E0"/>
    <w:rsid w:val="00FF12E7"/>
    <w:rsid w:val="00FF1423"/>
    <w:rsid w:val="00FF153C"/>
    <w:rsid w:val="00FF154E"/>
    <w:rsid w:val="00FF1666"/>
    <w:rsid w:val="00FF16A7"/>
    <w:rsid w:val="00FF16AA"/>
    <w:rsid w:val="00FF17F7"/>
    <w:rsid w:val="00FF1974"/>
    <w:rsid w:val="00FF1998"/>
    <w:rsid w:val="00FF1A49"/>
    <w:rsid w:val="00FF1A4A"/>
    <w:rsid w:val="00FF1A5E"/>
    <w:rsid w:val="00FF1B59"/>
    <w:rsid w:val="00FF1C2D"/>
    <w:rsid w:val="00FF1C37"/>
    <w:rsid w:val="00FF1CE1"/>
    <w:rsid w:val="00FF1DA9"/>
    <w:rsid w:val="00FF1EA3"/>
    <w:rsid w:val="00FF1EEA"/>
    <w:rsid w:val="00FF1FD5"/>
    <w:rsid w:val="00FF2028"/>
    <w:rsid w:val="00FF20F3"/>
    <w:rsid w:val="00FF2297"/>
    <w:rsid w:val="00FF22E6"/>
    <w:rsid w:val="00FF24C5"/>
    <w:rsid w:val="00FF2636"/>
    <w:rsid w:val="00FF2653"/>
    <w:rsid w:val="00FF26A8"/>
    <w:rsid w:val="00FF2734"/>
    <w:rsid w:val="00FF2736"/>
    <w:rsid w:val="00FF2955"/>
    <w:rsid w:val="00FF2970"/>
    <w:rsid w:val="00FF2AAB"/>
    <w:rsid w:val="00FF2ACE"/>
    <w:rsid w:val="00FF2B8E"/>
    <w:rsid w:val="00FF2BCE"/>
    <w:rsid w:val="00FF2C7E"/>
    <w:rsid w:val="00FF2C87"/>
    <w:rsid w:val="00FF2D77"/>
    <w:rsid w:val="00FF2DE6"/>
    <w:rsid w:val="00FF2ECD"/>
    <w:rsid w:val="00FF2F33"/>
    <w:rsid w:val="00FF305D"/>
    <w:rsid w:val="00FF309D"/>
    <w:rsid w:val="00FF3102"/>
    <w:rsid w:val="00FF3112"/>
    <w:rsid w:val="00FF31CA"/>
    <w:rsid w:val="00FF323E"/>
    <w:rsid w:val="00FF328A"/>
    <w:rsid w:val="00FF32DC"/>
    <w:rsid w:val="00FF3350"/>
    <w:rsid w:val="00FF3426"/>
    <w:rsid w:val="00FF3475"/>
    <w:rsid w:val="00FF3579"/>
    <w:rsid w:val="00FF364D"/>
    <w:rsid w:val="00FF3676"/>
    <w:rsid w:val="00FF37E1"/>
    <w:rsid w:val="00FF382C"/>
    <w:rsid w:val="00FF38C9"/>
    <w:rsid w:val="00FF3BA3"/>
    <w:rsid w:val="00FF3C3C"/>
    <w:rsid w:val="00FF3C50"/>
    <w:rsid w:val="00FF3C8A"/>
    <w:rsid w:val="00FF3D36"/>
    <w:rsid w:val="00FF3DAA"/>
    <w:rsid w:val="00FF3DD6"/>
    <w:rsid w:val="00FF3F07"/>
    <w:rsid w:val="00FF3FAE"/>
    <w:rsid w:val="00FF3FF6"/>
    <w:rsid w:val="00FF4032"/>
    <w:rsid w:val="00FF4082"/>
    <w:rsid w:val="00FF41E7"/>
    <w:rsid w:val="00FF4284"/>
    <w:rsid w:val="00FF43FE"/>
    <w:rsid w:val="00FF45FD"/>
    <w:rsid w:val="00FF4615"/>
    <w:rsid w:val="00FF4637"/>
    <w:rsid w:val="00FF4767"/>
    <w:rsid w:val="00FF47A1"/>
    <w:rsid w:val="00FF48B7"/>
    <w:rsid w:val="00FF4A5A"/>
    <w:rsid w:val="00FF4B6F"/>
    <w:rsid w:val="00FF4BF0"/>
    <w:rsid w:val="00FF4DD0"/>
    <w:rsid w:val="00FF4E4A"/>
    <w:rsid w:val="00FF4FC6"/>
    <w:rsid w:val="00FF5005"/>
    <w:rsid w:val="00FF502E"/>
    <w:rsid w:val="00FF50C9"/>
    <w:rsid w:val="00FF50EA"/>
    <w:rsid w:val="00FF51E0"/>
    <w:rsid w:val="00FF531C"/>
    <w:rsid w:val="00FF5356"/>
    <w:rsid w:val="00FF5456"/>
    <w:rsid w:val="00FF5507"/>
    <w:rsid w:val="00FF550E"/>
    <w:rsid w:val="00FF55E0"/>
    <w:rsid w:val="00FF561B"/>
    <w:rsid w:val="00FF570B"/>
    <w:rsid w:val="00FF5761"/>
    <w:rsid w:val="00FF578C"/>
    <w:rsid w:val="00FF57EC"/>
    <w:rsid w:val="00FF5981"/>
    <w:rsid w:val="00FF5A5E"/>
    <w:rsid w:val="00FF5AA6"/>
    <w:rsid w:val="00FF5AE3"/>
    <w:rsid w:val="00FF5AE4"/>
    <w:rsid w:val="00FF5B61"/>
    <w:rsid w:val="00FF5C8B"/>
    <w:rsid w:val="00FF5CE0"/>
    <w:rsid w:val="00FF5D35"/>
    <w:rsid w:val="00FF5D4A"/>
    <w:rsid w:val="00FF5DC3"/>
    <w:rsid w:val="00FF5F3E"/>
    <w:rsid w:val="00FF5F6F"/>
    <w:rsid w:val="00FF5F91"/>
    <w:rsid w:val="00FF603E"/>
    <w:rsid w:val="00FF6189"/>
    <w:rsid w:val="00FF61CD"/>
    <w:rsid w:val="00FF628C"/>
    <w:rsid w:val="00FF6429"/>
    <w:rsid w:val="00FF6536"/>
    <w:rsid w:val="00FF665F"/>
    <w:rsid w:val="00FF6676"/>
    <w:rsid w:val="00FF677C"/>
    <w:rsid w:val="00FF69AC"/>
    <w:rsid w:val="00FF69F2"/>
    <w:rsid w:val="00FF6A02"/>
    <w:rsid w:val="00FF6A58"/>
    <w:rsid w:val="00FF6B05"/>
    <w:rsid w:val="00FF6B5B"/>
    <w:rsid w:val="00FF6C1E"/>
    <w:rsid w:val="00FF6CC0"/>
    <w:rsid w:val="00FF6DA6"/>
    <w:rsid w:val="00FF6DE8"/>
    <w:rsid w:val="00FF6E33"/>
    <w:rsid w:val="00FF6EFB"/>
    <w:rsid w:val="00FF6FC9"/>
    <w:rsid w:val="00FF700C"/>
    <w:rsid w:val="00FF702B"/>
    <w:rsid w:val="00FF706C"/>
    <w:rsid w:val="00FF70A4"/>
    <w:rsid w:val="00FF71EC"/>
    <w:rsid w:val="00FF71F8"/>
    <w:rsid w:val="00FF71FC"/>
    <w:rsid w:val="00FF725D"/>
    <w:rsid w:val="00FF72D7"/>
    <w:rsid w:val="00FF735B"/>
    <w:rsid w:val="00FF736C"/>
    <w:rsid w:val="00FF73A3"/>
    <w:rsid w:val="00FF74BA"/>
    <w:rsid w:val="00FF75BD"/>
    <w:rsid w:val="00FF75E5"/>
    <w:rsid w:val="00FF781B"/>
    <w:rsid w:val="00FF7861"/>
    <w:rsid w:val="00FF789E"/>
    <w:rsid w:val="00FF78AC"/>
    <w:rsid w:val="00FF78B1"/>
    <w:rsid w:val="00FF79B6"/>
    <w:rsid w:val="00FF7A05"/>
    <w:rsid w:val="00FF7A0E"/>
    <w:rsid w:val="00FF7AD6"/>
    <w:rsid w:val="00FF7B63"/>
    <w:rsid w:val="00FF7B6E"/>
    <w:rsid w:val="00FF7C38"/>
    <w:rsid w:val="00FF7C56"/>
    <w:rsid w:val="00FF7C9C"/>
    <w:rsid w:val="00FF7EEA"/>
    <w:rsid w:val="00FF7F1A"/>
    <w:rsid w:val="00FF7F99"/>
    <w:rsid w:val="00FF7FEC"/>
    <w:rsid w:val="01218435"/>
    <w:rsid w:val="012C630C"/>
    <w:rsid w:val="01328335"/>
    <w:rsid w:val="0133872A"/>
    <w:rsid w:val="013BEEC9"/>
    <w:rsid w:val="01691AA4"/>
    <w:rsid w:val="01C97398"/>
    <w:rsid w:val="01FA9175"/>
    <w:rsid w:val="02076F92"/>
    <w:rsid w:val="022B24E7"/>
    <w:rsid w:val="0233FAFA"/>
    <w:rsid w:val="02458A3C"/>
    <w:rsid w:val="026167A6"/>
    <w:rsid w:val="0267C4D1"/>
    <w:rsid w:val="028A332A"/>
    <w:rsid w:val="02A90149"/>
    <w:rsid w:val="02F80088"/>
    <w:rsid w:val="03274369"/>
    <w:rsid w:val="03468E76"/>
    <w:rsid w:val="03524666"/>
    <w:rsid w:val="035A86AB"/>
    <w:rsid w:val="0365EA6C"/>
    <w:rsid w:val="03854E58"/>
    <w:rsid w:val="039F47DB"/>
    <w:rsid w:val="03A48C72"/>
    <w:rsid w:val="03B9614B"/>
    <w:rsid w:val="03CFFB68"/>
    <w:rsid w:val="03E3AE15"/>
    <w:rsid w:val="041BD269"/>
    <w:rsid w:val="0421A797"/>
    <w:rsid w:val="042374BA"/>
    <w:rsid w:val="0426D335"/>
    <w:rsid w:val="0452DA23"/>
    <w:rsid w:val="0470008F"/>
    <w:rsid w:val="04B51E7D"/>
    <w:rsid w:val="04B6A8DB"/>
    <w:rsid w:val="04EF0211"/>
    <w:rsid w:val="04EF4DF6"/>
    <w:rsid w:val="05060C6C"/>
    <w:rsid w:val="0514E1B2"/>
    <w:rsid w:val="053CC6C4"/>
    <w:rsid w:val="05437F19"/>
    <w:rsid w:val="0559BD2F"/>
    <w:rsid w:val="0580CBFD"/>
    <w:rsid w:val="059B0F56"/>
    <w:rsid w:val="05AE18E1"/>
    <w:rsid w:val="05C3AF62"/>
    <w:rsid w:val="05D37CA4"/>
    <w:rsid w:val="05D8D948"/>
    <w:rsid w:val="05D9D3AD"/>
    <w:rsid w:val="05FAD527"/>
    <w:rsid w:val="0603BCDB"/>
    <w:rsid w:val="06197588"/>
    <w:rsid w:val="0620202B"/>
    <w:rsid w:val="0634213C"/>
    <w:rsid w:val="06554220"/>
    <w:rsid w:val="065CED87"/>
    <w:rsid w:val="0669F505"/>
    <w:rsid w:val="067C8490"/>
    <w:rsid w:val="06B0A3AF"/>
    <w:rsid w:val="06F6C5BF"/>
    <w:rsid w:val="0716CD0B"/>
    <w:rsid w:val="072F12BD"/>
    <w:rsid w:val="073AE836"/>
    <w:rsid w:val="07473292"/>
    <w:rsid w:val="076BD1D7"/>
    <w:rsid w:val="078DBAEB"/>
    <w:rsid w:val="079DB81B"/>
    <w:rsid w:val="07A53EBB"/>
    <w:rsid w:val="07CA22FE"/>
    <w:rsid w:val="07EB4BC3"/>
    <w:rsid w:val="07FF5032"/>
    <w:rsid w:val="0807D15C"/>
    <w:rsid w:val="080BF4BB"/>
    <w:rsid w:val="08218ADF"/>
    <w:rsid w:val="083C0D42"/>
    <w:rsid w:val="08539F25"/>
    <w:rsid w:val="085BB44D"/>
    <w:rsid w:val="0885D9E3"/>
    <w:rsid w:val="08B398AB"/>
    <w:rsid w:val="08C42C71"/>
    <w:rsid w:val="08DD4DA3"/>
    <w:rsid w:val="0970B113"/>
    <w:rsid w:val="0984265D"/>
    <w:rsid w:val="099F3AA9"/>
    <w:rsid w:val="09B12E83"/>
    <w:rsid w:val="09CAAB19"/>
    <w:rsid w:val="09CE258A"/>
    <w:rsid w:val="09DA142A"/>
    <w:rsid w:val="09DFF71E"/>
    <w:rsid w:val="09FCFF7D"/>
    <w:rsid w:val="0A0734FD"/>
    <w:rsid w:val="0A143A0B"/>
    <w:rsid w:val="0A75A621"/>
    <w:rsid w:val="0A777DE7"/>
    <w:rsid w:val="0A814785"/>
    <w:rsid w:val="0A81A3FB"/>
    <w:rsid w:val="0AAE70B3"/>
    <w:rsid w:val="0ABB2D53"/>
    <w:rsid w:val="0AC531FF"/>
    <w:rsid w:val="0AD663E5"/>
    <w:rsid w:val="0AF7D64C"/>
    <w:rsid w:val="0B25F63B"/>
    <w:rsid w:val="0B2F4E35"/>
    <w:rsid w:val="0B36FC73"/>
    <w:rsid w:val="0B3AD7D1"/>
    <w:rsid w:val="0B418781"/>
    <w:rsid w:val="0B6B57D3"/>
    <w:rsid w:val="0B6DEBF9"/>
    <w:rsid w:val="0B85B27C"/>
    <w:rsid w:val="0BB8BF06"/>
    <w:rsid w:val="0BCA7474"/>
    <w:rsid w:val="0BF6410F"/>
    <w:rsid w:val="0BFBE404"/>
    <w:rsid w:val="0C025279"/>
    <w:rsid w:val="0C1B5289"/>
    <w:rsid w:val="0C2CEE1A"/>
    <w:rsid w:val="0C2DD53B"/>
    <w:rsid w:val="0C6C11FF"/>
    <w:rsid w:val="0C711A63"/>
    <w:rsid w:val="0C864A8F"/>
    <w:rsid w:val="0C969C6E"/>
    <w:rsid w:val="0CBF1546"/>
    <w:rsid w:val="0CD5BF81"/>
    <w:rsid w:val="0CDCC81C"/>
    <w:rsid w:val="0CEE67B9"/>
    <w:rsid w:val="0CF43242"/>
    <w:rsid w:val="0CF998D4"/>
    <w:rsid w:val="0D000489"/>
    <w:rsid w:val="0D0B692C"/>
    <w:rsid w:val="0D3377E8"/>
    <w:rsid w:val="0D397435"/>
    <w:rsid w:val="0D399526"/>
    <w:rsid w:val="0D47562F"/>
    <w:rsid w:val="0D553988"/>
    <w:rsid w:val="0D5B2321"/>
    <w:rsid w:val="0D6577D0"/>
    <w:rsid w:val="0D748F5B"/>
    <w:rsid w:val="0D89A38D"/>
    <w:rsid w:val="0D94AD96"/>
    <w:rsid w:val="0DAF1575"/>
    <w:rsid w:val="0DCC49A6"/>
    <w:rsid w:val="0DD5138D"/>
    <w:rsid w:val="0DD90FB8"/>
    <w:rsid w:val="0DDFDECC"/>
    <w:rsid w:val="0DE49767"/>
    <w:rsid w:val="0DE58D68"/>
    <w:rsid w:val="0DF594C8"/>
    <w:rsid w:val="0DFDD11A"/>
    <w:rsid w:val="0E15CD11"/>
    <w:rsid w:val="0E199070"/>
    <w:rsid w:val="0E1B832D"/>
    <w:rsid w:val="0E37600B"/>
    <w:rsid w:val="0E58478F"/>
    <w:rsid w:val="0E5C1EC8"/>
    <w:rsid w:val="0E7C5DC1"/>
    <w:rsid w:val="0E8D3717"/>
    <w:rsid w:val="0EDBAF70"/>
    <w:rsid w:val="0EE0D736"/>
    <w:rsid w:val="0EF04D5F"/>
    <w:rsid w:val="0EFDEC50"/>
    <w:rsid w:val="0F038B22"/>
    <w:rsid w:val="0F075404"/>
    <w:rsid w:val="0F16FA18"/>
    <w:rsid w:val="0F289E3B"/>
    <w:rsid w:val="0F320446"/>
    <w:rsid w:val="0F49EBFA"/>
    <w:rsid w:val="0F60F293"/>
    <w:rsid w:val="0F646B04"/>
    <w:rsid w:val="0FA744D7"/>
    <w:rsid w:val="0FAA5380"/>
    <w:rsid w:val="0FADFE9D"/>
    <w:rsid w:val="0FC3482E"/>
    <w:rsid w:val="0FDF9130"/>
    <w:rsid w:val="0FE5A056"/>
    <w:rsid w:val="10118929"/>
    <w:rsid w:val="10220EE3"/>
    <w:rsid w:val="10434A38"/>
    <w:rsid w:val="105EA2F8"/>
    <w:rsid w:val="1069A0ED"/>
    <w:rsid w:val="1076C315"/>
    <w:rsid w:val="10A740F5"/>
    <w:rsid w:val="10B52181"/>
    <w:rsid w:val="10E0BDB7"/>
    <w:rsid w:val="112D576A"/>
    <w:rsid w:val="11391128"/>
    <w:rsid w:val="1162F403"/>
    <w:rsid w:val="116583CF"/>
    <w:rsid w:val="118836C8"/>
    <w:rsid w:val="119566B2"/>
    <w:rsid w:val="11BB3C00"/>
    <w:rsid w:val="11CA24AF"/>
    <w:rsid w:val="11D6A1C8"/>
    <w:rsid w:val="11DB329F"/>
    <w:rsid w:val="11EBDD02"/>
    <w:rsid w:val="11F0B648"/>
    <w:rsid w:val="123320F2"/>
    <w:rsid w:val="123DA7B1"/>
    <w:rsid w:val="1248F6F0"/>
    <w:rsid w:val="124F96D5"/>
    <w:rsid w:val="126F1273"/>
    <w:rsid w:val="1279300C"/>
    <w:rsid w:val="12878CB5"/>
    <w:rsid w:val="1288AC6B"/>
    <w:rsid w:val="12AC09BB"/>
    <w:rsid w:val="12BD7A85"/>
    <w:rsid w:val="12C36A64"/>
    <w:rsid w:val="12DD5634"/>
    <w:rsid w:val="12E2AAE3"/>
    <w:rsid w:val="130C14FE"/>
    <w:rsid w:val="131DF24D"/>
    <w:rsid w:val="131F88D9"/>
    <w:rsid w:val="132DDB0A"/>
    <w:rsid w:val="13401FB8"/>
    <w:rsid w:val="13689F42"/>
    <w:rsid w:val="136E868C"/>
    <w:rsid w:val="138AF3DE"/>
    <w:rsid w:val="139FB0F1"/>
    <w:rsid w:val="13A1ACCF"/>
    <w:rsid w:val="13A5FD13"/>
    <w:rsid w:val="13A71B26"/>
    <w:rsid w:val="13AE0E43"/>
    <w:rsid w:val="13DEBB0A"/>
    <w:rsid w:val="13E6C14C"/>
    <w:rsid w:val="141C775E"/>
    <w:rsid w:val="141DDA2D"/>
    <w:rsid w:val="14290598"/>
    <w:rsid w:val="143B0DA7"/>
    <w:rsid w:val="1466EEA8"/>
    <w:rsid w:val="14683E59"/>
    <w:rsid w:val="1475E012"/>
    <w:rsid w:val="14885F24"/>
    <w:rsid w:val="1491BD4E"/>
    <w:rsid w:val="14B72212"/>
    <w:rsid w:val="14C0714F"/>
    <w:rsid w:val="14C4230F"/>
    <w:rsid w:val="14D219DC"/>
    <w:rsid w:val="14D62B5E"/>
    <w:rsid w:val="14E61549"/>
    <w:rsid w:val="14E6782B"/>
    <w:rsid w:val="14E78E06"/>
    <w:rsid w:val="14F7C951"/>
    <w:rsid w:val="150BE5B3"/>
    <w:rsid w:val="151A254F"/>
    <w:rsid w:val="15423AB5"/>
    <w:rsid w:val="1554F0DA"/>
    <w:rsid w:val="1569E789"/>
    <w:rsid w:val="157996B5"/>
    <w:rsid w:val="157FDB6A"/>
    <w:rsid w:val="15829D39"/>
    <w:rsid w:val="15A63865"/>
    <w:rsid w:val="15B79F49"/>
    <w:rsid w:val="15BADF6C"/>
    <w:rsid w:val="15BFE18A"/>
    <w:rsid w:val="15CC5091"/>
    <w:rsid w:val="1602773E"/>
    <w:rsid w:val="16255BA4"/>
    <w:rsid w:val="1646473B"/>
    <w:rsid w:val="164AA0F8"/>
    <w:rsid w:val="1650FD1D"/>
    <w:rsid w:val="16587FF0"/>
    <w:rsid w:val="166377B6"/>
    <w:rsid w:val="167191FE"/>
    <w:rsid w:val="167717B4"/>
    <w:rsid w:val="16783835"/>
    <w:rsid w:val="16936D85"/>
    <w:rsid w:val="1699C0D5"/>
    <w:rsid w:val="16A72E7A"/>
    <w:rsid w:val="16C72638"/>
    <w:rsid w:val="16D9E776"/>
    <w:rsid w:val="16EA5B63"/>
    <w:rsid w:val="16FEB490"/>
    <w:rsid w:val="170F63D7"/>
    <w:rsid w:val="1710362C"/>
    <w:rsid w:val="172002BE"/>
    <w:rsid w:val="17276862"/>
    <w:rsid w:val="1738A7A2"/>
    <w:rsid w:val="174FAEA0"/>
    <w:rsid w:val="17754083"/>
    <w:rsid w:val="177C9543"/>
    <w:rsid w:val="1780D65A"/>
    <w:rsid w:val="17A7C119"/>
    <w:rsid w:val="17D3C5E7"/>
    <w:rsid w:val="17D4EB0D"/>
    <w:rsid w:val="17DFE64E"/>
    <w:rsid w:val="17F8D984"/>
    <w:rsid w:val="18180DE4"/>
    <w:rsid w:val="1824F889"/>
    <w:rsid w:val="1826F66A"/>
    <w:rsid w:val="183283F5"/>
    <w:rsid w:val="1879DDBD"/>
    <w:rsid w:val="18B44F20"/>
    <w:rsid w:val="18BC8732"/>
    <w:rsid w:val="18F8EC31"/>
    <w:rsid w:val="190A3591"/>
    <w:rsid w:val="191B5AC5"/>
    <w:rsid w:val="192E422F"/>
    <w:rsid w:val="19365031"/>
    <w:rsid w:val="19368811"/>
    <w:rsid w:val="194D39E8"/>
    <w:rsid w:val="19564A9F"/>
    <w:rsid w:val="1966E33F"/>
    <w:rsid w:val="196DC55C"/>
    <w:rsid w:val="196E0D80"/>
    <w:rsid w:val="197230AC"/>
    <w:rsid w:val="1999CB0F"/>
    <w:rsid w:val="19AAA8EB"/>
    <w:rsid w:val="19C50873"/>
    <w:rsid w:val="19C613F7"/>
    <w:rsid w:val="19CFF809"/>
    <w:rsid w:val="19D08B4C"/>
    <w:rsid w:val="1A4A0891"/>
    <w:rsid w:val="1A5CFC92"/>
    <w:rsid w:val="1A65807A"/>
    <w:rsid w:val="1A741700"/>
    <w:rsid w:val="1A797291"/>
    <w:rsid w:val="1A8DD7D5"/>
    <w:rsid w:val="1A99D5F7"/>
    <w:rsid w:val="1AAC890C"/>
    <w:rsid w:val="1AC01CCB"/>
    <w:rsid w:val="1AC2DB52"/>
    <w:rsid w:val="1AD33677"/>
    <w:rsid w:val="1ADA1CEF"/>
    <w:rsid w:val="1AE679BB"/>
    <w:rsid w:val="1AF5E5CA"/>
    <w:rsid w:val="1B08A781"/>
    <w:rsid w:val="1B190011"/>
    <w:rsid w:val="1B467465"/>
    <w:rsid w:val="1B57D13B"/>
    <w:rsid w:val="1B5F045F"/>
    <w:rsid w:val="1B6D61AB"/>
    <w:rsid w:val="1B703767"/>
    <w:rsid w:val="1B8F25F2"/>
    <w:rsid w:val="1B937B74"/>
    <w:rsid w:val="1B995C2C"/>
    <w:rsid w:val="1BAB69E1"/>
    <w:rsid w:val="1BB15137"/>
    <w:rsid w:val="1BB4C089"/>
    <w:rsid w:val="1BC0E2A9"/>
    <w:rsid w:val="1BCAD914"/>
    <w:rsid w:val="1BD9CD40"/>
    <w:rsid w:val="1BDF9233"/>
    <w:rsid w:val="1BEC31E4"/>
    <w:rsid w:val="1C347FA1"/>
    <w:rsid w:val="1C37453C"/>
    <w:rsid w:val="1C45BE65"/>
    <w:rsid w:val="1C47CB83"/>
    <w:rsid w:val="1C8DC81D"/>
    <w:rsid w:val="1CBFC4A1"/>
    <w:rsid w:val="1CCA5B62"/>
    <w:rsid w:val="1CD0E386"/>
    <w:rsid w:val="1CE50F67"/>
    <w:rsid w:val="1D0E9ED6"/>
    <w:rsid w:val="1D238AA3"/>
    <w:rsid w:val="1D3AD171"/>
    <w:rsid w:val="1D68DCB9"/>
    <w:rsid w:val="1D7A64FC"/>
    <w:rsid w:val="1D8493C9"/>
    <w:rsid w:val="1D98D4F4"/>
    <w:rsid w:val="1D999461"/>
    <w:rsid w:val="1DBFC94E"/>
    <w:rsid w:val="1DC85EDF"/>
    <w:rsid w:val="1DE411C3"/>
    <w:rsid w:val="1DF9C668"/>
    <w:rsid w:val="1E286457"/>
    <w:rsid w:val="1E2DB767"/>
    <w:rsid w:val="1E2F37CC"/>
    <w:rsid w:val="1E302C63"/>
    <w:rsid w:val="1E470397"/>
    <w:rsid w:val="1E4DB9B5"/>
    <w:rsid w:val="1E4F3490"/>
    <w:rsid w:val="1E52B258"/>
    <w:rsid w:val="1E6B21BB"/>
    <w:rsid w:val="1E7F8D46"/>
    <w:rsid w:val="1E8C9DE6"/>
    <w:rsid w:val="1E915DCB"/>
    <w:rsid w:val="1E91BC5F"/>
    <w:rsid w:val="1E99C8E3"/>
    <w:rsid w:val="1EA54806"/>
    <w:rsid w:val="1EBB33A9"/>
    <w:rsid w:val="1ECF3FB6"/>
    <w:rsid w:val="1ED5E2FA"/>
    <w:rsid w:val="1EDB2E85"/>
    <w:rsid w:val="1EDE06FD"/>
    <w:rsid w:val="1EE0647E"/>
    <w:rsid w:val="1EE882D9"/>
    <w:rsid w:val="1F215CEB"/>
    <w:rsid w:val="1F24E094"/>
    <w:rsid w:val="1F4FEBE1"/>
    <w:rsid w:val="1F5E7EA3"/>
    <w:rsid w:val="1F9B0D66"/>
    <w:rsid w:val="1FA00472"/>
    <w:rsid w:val="1FB5DCB8"/>
    <w:rsid w:val="1FCF6D13"/>
    <w:rsid w:val="1FE05659"/>
    <w:rsid w:val="1FEF1577"/>
    <w:rsid w:val="200CE08A"/>
    <w:rsid w:val="20419FED"/>
    <w:rsid w:val="204BE970"/>
    <w:rsid w:val="207E7C4C"/>
    <w:rsid w:val="208DB0AD"/>
    <w:rsid w:val="20995639"/>
    <w:rsid w:val="20A75382"/>
    <w:rsid w:val="20D283D4"/>
    <w:rsid w:val="20F65E94"/>
    <w:rsid w:val="2116F538"/>
    <w:rsid w:val="2137E77D"/>
    <w:rsid w:val="215324B3"/>
    <w:rsid w:val="215B76A3"/>
    <w:rsid w:val="2178293C"/>
    <w:rsid w:val="2183555C"/>
    <w:rsid w:val="21AF688F"/>
    <w:rsid w:val="21E58DB3"/>
    <w:rsid w:val="21FA933B"/>
    <w:rsid w:val="220442CE"/>
    <w:rsid w:val="221ED7E2"/>
    <w:rsid w:val="22600B35"/>
    <w:rsid w:val="227511C0"/>
    <w:rsid w:val="227D6B8F"/>
    <w:rsid w:val="227D8165"/>
    <w:rsid w:val="228263E7"/>
    <w:rsid w:val="22838AB9"/>
    <w:rsid w:val="228E744E"/>
    <w:rsid w:val="22B081B7"/>
    <w:rsid w:val="22D1EB3F"/>
    <w:rsid w:val="2330BE60"/>
    <w:rsid w:val="2333F6B0"/>
    <w:rsid w:val="234C61ED"/>
    <w:rsid w:val="236CB187"/>
    <w:rsid w:val="23760E02"/>
    <w:rsid w:val="23AFF7F2"/>
    <w:rsid w:val="23B297E6"/>
    <w:rsid w:val="23BA62DD"/>
    <w:rsid w:val="23BBF419"/>
    <w:rsid w:val="23BEB19D"/>
    <w:rsid w:val="23EF7F6F"/>
    <w:rsid w:val="23F047AA"/>
    <w:rsid w:val="24081578"/>
    <w:rsid w:val="240DA687"/>
    <w:rsid w:val="2426C267"/>
    <w:rsid w:val="242A0DF4"/>
    <w:rsid w:val="242E7CDD"/>
    <w:rsid w:val="243A5001"/>
    <w:rsid w:val="2443C097"/>
    <w:rsid w:val="244A6BC0"/>
    <w:rsid w:val="244C1439"/>
    <w:rsid w:val="246E906A"/>
    <w:rsid w:val="2472FE99"/>
    <w:rsid w:val="2475418F"/>
    <w:rsid w:val="24890B95"/>
    <w:rsid w:val="248F6FFD"/>
    <w:rsid w:val="24A91658"/>
    <w:rsid w:val="24CCD212"/>
    <w:rsid w:val="24D76CC1"/>
    <w:rsid w:val="24E817EC"/>
    <w:rsid w:val="24EB70A3"/>
    <w:rsid w:val="251D71F0"/>
    <w:rsid w:val="2582D1D7"/>
    <w:rsid w:val="2583F025"/>
    <w:rsid w:val="258D8B75"/>
    <w:rsid w:val="25CDE55B"/>
    <w:rsid w:val="25F670B3"/>
    <w:rsid w:val="25F88385"/>
    <w:rsid w:val="26189B52"/>
    <w:rsid w:val="264BFA79"/>
    <w:rsid w:val="2659590A"/>
    <w:rsid w:val="2664D979"/>
    <w:rsid w:val="2673D41D"/>
    <w:rsid w:val="267953F3"/>
    <w:rsid w:val="268C151D"/>
    <w:rsid w:val="26970E9A"/>
    <w:rsid w:val="26AE2567"/>
    <w:rsid w:val="26D1B005"/>
    <w:rsid w:val="26D5943F"/>
    <w:rsid w:val="26DE9C88"/>
    <w:rsid w:val="26DF5309"/>
    <w:rsid w:val="26E19260"/>
    <w:rsid w:val="2733E173"/>
    <w:rsid w:val="27357EB0"/>
    <w:rsid w:val="2753004F"/>
    <w:rsid w:val="27625C2E"/>
    <w:rsid w:val="276C9CDD"/>
    <w:rsid w:val="27B458D4"/>
    <w:rsid w:val="27D6EA85"/>
    <w:rsid w:val="27D7739B"/>
    <w:rsid w:val="27DE363A"/>
    <w:rsid w:val="27DECD44"/>
    <w:rsid w:val="27E0567C"/>
    <w:rsid w:val="27ED20DE"/>
    <w:rsid w:val="280D1D5B"/>
    <w:rsid w:val="281CDE02"/>
    <w:rsid w:val="281FD4C8"/>
    <w:rsid w:val="28681843"/>
    <w:rsid w:val="287506CD"/>
    <w:rsid w:val="287D8BD1"/>
    <w:rsid w:val="2890B957"/>
    <w:rsid w:val="28A5DA4B"/>
    <w:rsid w:val="28A85F67"/>
    <w:rsid w:val="28AAAE4B"/>
    <w:rsid w:val="28AB133F"/>
    <w:rsid w:val="28E516A1"/>
    <w:rsid w:val="28EC921A"/>
    <w:rsid w:val="2912BB59"/>
    <w:rsid w:val="29229561"/>
    <w:rsid w:val="293B97AF"/>
    <w:rsid w:val="295CEFB8"/>
    <w:rsid w:val="295F33D9"/>
    <w:rsid w:val="299AA240"/>
    <w:rsid w:val="29A0B172"/>
    <w:rsid w:val="29A1EBF9"/>
    <w:rsid w:val="29BC06BD"/>
    <w:rsid w:val="29CF1492"/>
    <w:rsid w:val="29CF4D10"/>
    <w:rsid w:val="29D93565"/>
    <w:rsid w:val="29E27705"/>
    <w:rsid w:val="29F0AA92"/>
    <w:rsid w:val="2A0C6CC7"/>
    <w:rsid w:val="2A15E3FF"/>
    <w:rsid w:val="2A45899E"/>
    <w:rsid w:val="2A878FF0"/>
    <w:rsid w:val="2ABC8294"/>
    <w:rsid w:val="2ABE6627"/>
    <w:rsid w:val="2ACA72F8"/>
    <w:rsid w:val="2AE97DE8"/>
    <w:rsid w:val="2B09863A"/>
    <w:rsid w:val="2B130474"/>
    <w:rsid w:val="2B296C46"/>
    <w:rsid w:val="2B354D5D"/>
    <w:rsid w:val="2B374866"/>
    <w:rsid w:val="2B729D01"/>
    <w:rsid w:val="2B740D00"/>
    <w:rsid w:val="2B78142E"/>
    <w:rsid w:val="2BA4440D"/>
    <w:rsid w:val="2BC705A9"/>
    <w:rsid w:val="2BC9DDC1"/>
    <w:rsid w:val="2BD0547F"/>
    <w:rsid w:val="2BE633BD"/>
    <w:rsid w:val="2BED2B95"/>
    <w:rsid w:val="2C0DFB81"/>
    <w:rsid w:val="2C19C850"/>
    <w:rsid w:val="2C23FD80"/>
    <w:rsid w:val="2C317C86"/>
    <w:rsid w:val="2C3667B5"/>
    <w:rsid w:val="2C7F3F96"/>
    <w:rsid w:val="2C892A92"/>
    <w:rsid w:val="2CAC600E"/>
    <w:rsid w:val="2CB29FB1"/>
    <w:rsid w:val="2CDA4F1E"/>
    <w:rsid w:val="2CE7761C"/>
    <w:rsid w:val="2D0A4947"/>
    <w:rsid w:val="2D21032A"/>
    <w:rsid w:val="2D2A9F9A"/>
    <w:rsid w:val="2D34D855"/>
    <w:rsid w:val="2D41146E"/>
    <w:rsid w:val="2D6DCE27"/>
    <w:rsid w:val="2D9C1BDB"/>
    <w:rsid w:val="2DB1F536"/>
    <w:rsid w:val="2DB568B8"/>
    <w:rsid w:val="2DB833AE"/>
    <w:rsid w:val="2DB98246"/>
    <w:rsid w:val="2DE1EC6E"/>
    <w:rsid w:val="2DE4C4EB"/>
    <w:rsid w:val="2DE8A3DD"/>
    <w:rsid w:val="2E20863D"/>
    <w:rsid w:val="2E211F8B"/>
    <w:rsid w:val="2E23CD56"/>
    <w:rsid w:val="2E2A867F"/>
    <w:rsid w:val="2E4311C5"/>
    <w:rsid w:val="2E5397A7"/>
    <w:rsid w:val="2E56A6E2"/>
    <w:rsid w:val="2E6E0EAC"/>
    <w:rsid w:val="2E979600"/>
    <w:rsid w:val="2EA68D8C"/>
    <w:rsid w:val="2EB6F8A5"/>
    <w:rsid w:val="2EBBA47F"/>
    <w:rsid w:val="2ECA370A"/>
    <w:rsid w:val="2EED8B09"/>
    <w:rsid w:val="2EF7F1FA"/>
    <w:rsid w:val="2EFB0B10"/>
    <w:rsid w:val="2F08FC47"/>
    <w:rsid w:val="2F095E84"/>
    <w:rsid w:val="2F18B1D0"/>
    <w:rsid w:val="2F635B8E"/>
    <w:rsid w:val="2F8BC309"/>
    <w:rsid w:val="2FB3221F"/>
    <w:rsid w:val="2FD183DB"/>
    <w:rsid w:val="300276EF"/>
    <w:rsid w:val="3011ABA8"/>
    <w:rsid w:val="30423CCB"/>
    <w:rsid w:val="305A06F3"/>
    <w:rsid w:val="306726AE"/>
    <w:rsid w:val="3069D307"/>
    <w:rsid w:val="3079B667"/>
    <w:rsid w:val="30A3FAC0"/>
    <w:rsid w:val="30EE4621"/>
    <w:rsid w:val="30FBA813"/>
    <w:rsid w:val="31282BAC"/>
    <w:rsid w:val="312D01F5"/>
    <w:rsid w:val="31300478"/>
    <w:rsid w:val="31307D71"/>
    <w:rsid w:val="3146C9A3"/>
    <w:rsid w:val="3154311D"/>
    <w:rsid w:val="3160D5A7"/>
    <w:rsid w:val="3177868C"/>
    <w:rsid w:val="31B43BDB"/>
    <w:rsid w:val="31DFD8D7"/>
    <w:rsid w:val="31E0BAAB"/>
    <w:rsid w:val="31F01B6B"/>
    <w:rsid w:val="32003207"/>
    <w:rsid w:val="32229F15"/>
    <w:rsid w:val="32389120"/>
    <w:rsid w:val="32430F36"/>
    <w:rsid w:val="3260B8D5"/>
    <w:rsid w:val="3265339D"/>
    <w:rsid w:val="32A46887"/>
    <w:rsid w:val="32A5ACE1"/>
    <w:rsid w:val="32B349CC"/>
    <w:rsid w:val="32DC1E07"/>
    <w:rsid w:val="32E48639"/>
    <w:rsid w:val="32FCD52C"/>
    <w:rsid w:val="33024F7A"/>
    <w:rsid w:val="330EA372"/>
    <w:rsid w:val="3326E925"/>
    <w:rsid w:val="333D6AA8"/>
    <w:rsid w:val="33555C9D"/>
    <w:rsid w:val="33784E01"/>
    <w:rsid w:val="3378703A"/>
    <w:rsid w:val="338AADBD"/>
    <w:rsid w:val="33909CAA"/>
    <w:rsid w:val="33A7B8A9"/>
    <w:rsid w:val="33D6F2FE"/>
    <w:rsid w:val="33E2E7BF"/>
    <w:rsid w:val="33F3BDC4"/>
    <w:rsid w:val="341CC398"/>
    <w:rsid w:val="34320675"/>
    <w:rsid w:val="344AB010"/>
    <w:rsid w:val="34632866"/>
    <w:rsid w:val="350E0AB7"/>
    <w:rsid w:val="35154ED3"/>
    <w:rsid w:val="3531143D"/>
    <w:rsid w:val="3533E8D2"/>
    <w:rsid w:val="3541F9C5"/>
    <w:rsid w:val="3567BB30"/>
    <w:rsid w:val="357BEA2A"/>
    <w:rsid w:val="358F05F5"/>
    <w:rsid w:val="35991DAB"/>
    <w:rsid w:val="35ACD3A8"/>
    <w:rsid w:val="35D4F5FB"/>
    <w:rsid w:val="35FE8ABE"/>
    <w:rsid w:val="362C855C"/>
    <w:rsid w:val="3650C28B"/>
    <w:rsid w:val="36675D3D"/>
    <w:rsid w:val="369F53CF"/>
    <w:rsid w:val="36AE8A00"/>
    <w:rsid w:val="36B0626F"/>
    <w:rsid w:val="36C0AA64"/>
    <w:rsid w:val="36D938D3"/>
    <w:rsid w:val="36DC5DA2"/>
    <w:rsid w:val="36DD5228"/>
    <w:rsid w:val="36E2280D"/>
    <w:rsid w:val="370868BF"/>
    <w:rsid w:val="373B9CAC"/>
    <w:rsid w:val="3763EE3D"/>
    <w:rsid w:val="37AFF446"/>
    <w:rsid w:val="37B7F3EF"/>
    <w:rsid w:val="37DE53C3"/>
    <w:rsid w:val="381F895D"/>
    <w:rsid w:val="38433910"/>
    <w:rsid w:val="38702EB4"/>
    <w:rsid w:val="388B1109"/>
    <w:rsid w:val="38A966A5"/>
    <w:rsid w:val="38C10D12"/>
    <w:rsid w:val="38C5038A"/>
    <w:rsid w:val="38C6BD9F"/>
    <w:rsid w:val="38CA015A"/>
    <w:rsid w:val="38CB0EFF"/>
    <w:rsid w:val="38DC36DB"/>
    <w:rsid w:val="38DE9B41"/>
    <w:rsid w:val="38E3E38E"/>
    <w:rsid w:val="38E44F81"/>
    <w:rsid w:val="38E67541"/>
    <w:rsid w:val="38FE43D0"/>
    <w:rsid w:val="3909A65C"/>
    <w:rsid w:val="3910AC2B"/>
    <w:rsid w:val="3915FBCA"/>
    <w:rsid w:val="391B6785"/>
    <w:rsid w:val="3946201A"/>
    <w:rsid w:val="39498CB9"/>
    <w:rsid w:val="3949FE39"/>
    <w:rsid w:val="394CC1C8"/>
    <w:rsid w:val="3958B55B"/>
    <w:rsid w:val="39BFD386"/>
    <w:rsid w:val="39F9F8C1"/>
    <w:rsid w:val="39FA9644"/>
    <w:rsid w:val="39FC7ECF"/>
    <w:rsid w:val="3A12612C"/>
    <w:rsid w:val="3A3A8A5E"/>
    <w:rsid w:val="3A454BAB"/>
    <w:rsid w:val="3A73D94E"/>
    <w:rsid w:val="3A93D77C"/>
    <w:rsid w:val="3AA67ADA"/>
    <w:rsid w:val="3AC58EFB"/>
    <w:rsid w:val="3ACF72DC"/>
    <w:rsid w:val="3B03AE54"/>
    <w:rsid w:val="3B13FDD1"/>
    <w:rsid w:val="3B1B895A"/>
    <w:rsid w:val="3B1C94F0"/>
    <w:rsid w:val="3B1E5674"/>
    <w:rsid w:val="3B282968"/>
    <w:rsid w:val="3B4E4EB4"/>
    <w:rsid w:val="3B5BD43C"/>
    <w:rsid w:val="3B6C5CE8"/>
    <w:rsid w:val="3B77BEC4"/>
    <w:rsid w:val="3B7DA01E"/>
    <w:rsid w:val="3B8BA996"/>
    <w:rsid w:val="3BB8F8B5"/>
    <w:rsid w:val="3BC00A5B"/>
    <w:rsid w:val="3BCF9584"/>
    <w:rsid w:val="3BE56725"/>
    <w:rsid w:val="3BE8A63E"/>
    <w:rsid w:val="3C0E4C91"/>
    <w:rsid w:val="3C1D3FDB"/>
    <w:rsid w:val="3C381133"/>
    <w:rsid w:val="3C5B0190"/>
    <w:rsid w:val="3C6EE9A9"/>
    <w:rsid w:val="3D451A7C"/>
    <w:rsid w:val="3D528603"/>
    <w:rsid w:val="3D66339A"/>
    <w:rsid w:val="3D9E0419"/>
    <w:rsid w:val="3DB67639"/>
    <w:rsid w:val="3DC4CD71"/>
    <w:rsid w:val="3DD92D2C"/>
    <w:rsid w:val="3DE0DBF2"/>
    <w:rsid w:val="3E66F78E"/>
    <w:rsid w:val="3E8009AA"/>
    <w:rsid w:val="3EBBFBB2"/>
    <w:rsid w:val="3EC453AB"/>
    <w:rsid w:val="3ECD0E5A"/>
    <w:rsid w:val="3F186DCC"/>
    <w:rsid w:val="3F1AF590"/>
    <w:rsid w:val="3F27ADCA"/>
    <w:rsid w:val="3F4DE542"/>
    <w:rsid w:val="3F4E1B61"/>
    <w:rsid w:val="3F52AFC5"/>
    <w:rsid w:val="3F6D441D"/>
    <w:rsid w:val="3F7D8C3F"/>
    <w:rsid w:val="3F8E31DC"/>
    <w:rsid w:val="3F959382"/>
    <w:rsid w:val="3F9B4E84"/>
    <w:rsid w:val="3FAB3204"/>
    <w:rsid w:val="3FAB3646"/>
    <w:rsid w:val="3FC4CEF0"/>
    <w:rsid w:val="3FF4F350"/>
    <w:rsid w:val="3FF5B7C5"/>
    <w:rsid w:val="3FFBF51B"/>
    <w:rsid w:val="3FFD418D"/>
    <w:rsid w:val="4001B7E0"/>
    <w:rsid w:val="4016EADF"/>
    <w:rsid w:val="402C0533"/>
    <w:rsid w:val="404B833E"/>
    <w:rsid w:val="4050CE8E"/>
    <w:rsid w:val="4055DF59"/>
    <w:rsid w:val="4058BC87"/>
    <w:rsid w:val="405CD905"/>
    <w:rsid w:val="40635B10"/>
    <w:rsid w:val="406D1345"/>
    <w:rsid w:val="406EDAD3"/>
    <w:rsid w:val="40DFE8E7"/>
    <w:rsid w:val="40E39967"/>
    <w:rsid w:val="40FC62D3"/>
    <w:rsid w:val="4108A198"/>
    <w:rsid w:val="41198FAB"/>
    <w:rsid w:val="4157F2FE"/>
    <w:rsid w:val="416D87DE"/>
    <w:rsid w:val="417353EC"/>
    <w:rsid w:val="417B4CB4"/>
    <w:rsid w:val="4189A14A"/>
    <w:rsid w:val="418B22FB"/>
    <w:rsid w:val="41B38FC2"/>
    <w:rsid w:val="41BA228F"/>
    <w:rsid w:val="41D0F157"/>
    <w:rsid w:val="41D4C2A2"/>
    <w:rsid w:val="4218E772"/>
    <w:rsid w:val="42753324"/>
    <w:rsid w:val="427D15D1"/>
    <w:rsid w:val="42853215"/>
    <w:rsid w:val="42BFD7FF"/>
    <w:rsid w:val="42CAD1BC"/>
    <w:rsid w:val="42D6AFAF"/>
    <w:rsid w:val="42FCCF6B"/>
    <w:rsid w:val="4327861D"/>
    <w:rsid w:val="433D5E44"/>
    <w:rsid w:val="436CD877"/>
    <w:rsid w:val="4380CA1C"/>
    <w:rsid w:val="438253A5"/>
    <w:rsid w:val="4399DD2A"/>
    <w:rsid w:val="439CFA25"/>
    <w:rsid w:val="439DA621"/>
    <w:rsid w:val="43A0E642"/>
    <w:rsid w:val="43C88519"/>
    <w:rsid w:val="43E95EC3"/>
    <w:rsid w:val="440AA346"/>
    <w:rsid w:val="440D7A8F"/>
    <w:rsid w:val="443D593F"/>
    <w:rsid w:val="4446D02A"/>
    <w:rsid w:val="444C6333"/>
    <w:rsid w:val="4453465A"/>
    <w:rsid w:val="449740C6"/>
    <w:rsid w:val="44B0042A"/>
    <w:rsid w:val="44B0DD6E"/>
    <w:rsid w:val="44C4EC6F"/>
    <w:rsid w:val="44D1AB3C"/>
    <w:rsid w:val="44DC9C9D"/>
    <w:rsid w:val="44F3D9B8"/>
    <w:rsid w:val="450BE057"/>
    <w:rsid w:val="451D3E8D"/>
    <w:rsid w:val="45243EE7"/>
    <w:rsid w:val="452955CF"/>
    <w:rsid w:val="455402C9"/>
    <w:rsid w:val="457A0486"/>
    <w:rsid w:val="4592C62E"/>
    <w:rsid w:val="459BD6C6"/>
    <w:rsid w:val="460CD953"/>
    <w:rsid w:val="461E87E3"/>
    <w:rsid w:val="462E3EB2"/>
    <w:rsid w:val="466F5E8A"/>
    <w:rsid w:val="46810EB1"/>
    <w:rsid w:val="46D37F14"/>
    <w:rsid w:val="46EFA05D"/>
    <w:rsid w:val="46F09754"/>
    <w:rsid w:val="46FC3D68"/>
    <w:rsid w:val="470AFCD5"/>
    <w:rsid w:val="470B59C9"/>
    <w:rsid w:val="470E0A35"/>
    <w:rsid w:val="4729D811"/>
    <w:rsid w:val="473551F6"/>
    <w:rsid w:val="474F9E1F"/>
    <w:rsid w:val="4754E7B4"/>
    <w:rsid w:val="47704953"/>
    <w:rsid w:val="4772FC89"/>
    <w:rsid w:val="479F5BDD"/>
    <w:rsid w:val="47AA913C"/>
    <w:rsid w:val="47B33941"/>
    <w:rsid w:val="47B3E518"/>
    <w:rsid w:val="47CFF20B"/>
    <w:rsid w:val="47DDCFBC"/>
    <w:rsid w:val="47E467D4"/>
    <w:rsid w:val="47F11EF6"/>
    <w:rsid w:val="47FB8F96"/>
    <w:rsid w:val="47FCF35D"/>
    <w:rsid w:val="482E0F0E"/>
    <w:rsid w:val="483AAF4F"/>
    <w:rsid w:val="483E441A"/>
    <w:rsid w:val="48629B4B"/>
    <w:rsid w:val="486B750B"/>
    <w:rsid w:val="487698EF"/>
    <w:rsid w:val="48785892"/>
    <w:rsid w:val="48808078"/>
    <w:rsid w:val="48A61F72"/>
    <w:rsid w:val="48CA80E1"/>
    <w:rsid w:val="48CFC64D"/>
    <w:rsid w:val="48D57F29"/>
    <w:rsid w:val="48DF19A2"/>
    <w:rsid w:val="49096621"/>
    <w:rsid w:val="49161202"/>
    <w:rsid w:val="493B9F0F"/>
    <w:rsid w:val="499B4312"/>
    <w:rsid w:val="49F619A1"/>
    <w:rsid w:val="49F96586"/>
    <w:rsid w:val="49FE2274"/>
    <w:rsid w:val="49FEBEE9"/>
    <w:rsid w:val="49FEEAF6"/>
    <w:rsid w:val="4A0B7555"/>
    <w:rsid w:val="4A18C0ED"/>
    <w:rsid w:val="4A2D8E17"/>
    <w:rsid w:val="4A38D9A7"/>
    <w:rsid w:val="4A41FDFC"/>
    <w:rsid w:val="4A839F5D"/>
    <w:rsid w:val="4A86EBF1"/>
    <w:rsid w:val="4A8902D6"/>
    <w:rsid w:val="4A8C47A9"/>
    <w:rsid w:val="4A9B73F7"/>
    <w:rsid w:val="4AA6AA6F"/>
    <w:rsid w:val="4AA82C0C"/>
    <w:rsid w:val="4ACAD215"/>
    <w:rsid w:val="4ADCA8DA"/>
    <w:rsid w:val="4AF5B82A"/>
    <w:rsid w:val="4AFB7FEB"/>
    <w:rsid w:val="4B269728"/>
    <w:rsid w:val="4B324CA1"/>
    <w:rsid w:val="4B49199D"/>
    <w:rsid w:val="4B657854"/>
    <w:rsid w:val="4B696A8B"/>
    <w:rsid w:val="4B6E51D9"/>
    <w:rsid w:val="4B8FBA82"/>
    <w:rsid w:val="4B9AAB7B"/>
    <w:rsid w:val="4B9F212F"/>
    <w:rsid w:val="4BCE9F81"/>
    <w:rsid w:val="4BEA70A8"/>
    <w:rsid w:val="4C1D0DE3"/>
    <w:rsid w:val="4C20ABB9"/>
    <w:rsid w:val="4C33E2D1"/>
    <w:rsid w:val="4C4321C4"/>
    <w:rsid w:val="4C4910D1"/>
    <w:rsid w:val="4C7D11C6"/>
    <w:rsid w:val="4C96913F"/>
    <w:rsid w:val="4CA47279"/>
    <w:rsid w:val="4CB766D8"/>
    <w:rsid w:val="4CC92DCF"/>
    <w:rsid w:val="4CC9638E"/>
    <w:rsid w:val="4CD2819C"/>
    <w:rsid w:val="4CD427E8"/>
    <w:rsid w:val="4CF7394F"/>
    <w:rsid w:val="4D269F8E"/>
    <w:rsid w:val="4D27F79A"/>
    <w:rsid w:val="4D28D9D2"/>
    <w:rsid w:val="4D29A337"/>
    <w:rsid w:val="4D3B4C79"/>
    <w:rsid w:val="4D3D7A81"/>
    <w:rsid w:val="4D550C4E"/>
    <w:rsid w:val="4D6720B0"/>
    <w:rsid w:val="4D98E236"/>
    <w:rsid w:val="4D99AB36"/>
    <w:rsid w:val="4DCE144B"/>
    <w:rsid w:val="4DF23AE6"/>
    <w:rsid w:val="4DF40236"/>
    <w:rsid w:val="4DF5AE65"/>
    <w:rsid w:val="4DF5B4CF"/>
    <w:rsid w:val="4E02EB51"/>
    <w:rsid w:val="4E04BF0B"/>
    <w:rsid w:val="4E0EFDB6"/>
    <w:rsid w:val="4E267459"/>
    <w:rsid w:val="4E3D7D47"/>
    <w:rsid w:val="4E403B2E"/>
    <w:rsid w:val="4E41EE8D"/>
    <w:rsid w:val="4E50101B"/>
    <w:rsid w:val="4E7F920F"/>
    <w:rsid w:val="4E95D3DC"/>
    <w:rsid w:val="4E9EC212"/>
    <w:rsid w:val="4EC12178"/>
    <w:rsid w:val="4ECB0316"/>
    <w:rsid w:val="4EF187CF"/>
    <w:rsid w:val="4F0734A9"/>
    <w:rsid w:val="4F1C6FA4"/>
    <w:rsid w:val="4F27288D"/>
    <w:rsid w:val="4F280322"/>
    <w:rsid w:val="4F2DD021"/>
    <w:rsid w:val="4F3BDE54"/>
    <w:rsid w:val="4F4260BE"/>
    <w:rsid w:val="4F4B2E74"/>
    <w:rsid w:val="4F64014F"/>
    <w:rsid w:val="4F6C9B2A"/>
    <w:rsid w:val="4F76CEAD"/>
    <w:rsid w:val="4F8825EC"/>
    <w:rsid w:val="4FB2AD49"/>
    <w:rsid w:val="50142644"/>
    <w:rsid w:val="50624CA9"/>
    <w:rsid w:val="5066E564"/>
    <w:rsid w:val="5071A99D"/>
    <w:rsid w:val="509664C2"/>
    <w:rsid w:val="50AC5221"/>
    <w:rsid w:val="50B9AD62"/>
    <w:rsid w:val="50C4B0E9"/>
    <w:rsid w:val="50D95D44"/>
    <w:rsid w:val="50FB0032"/>
    <w:rsid w:val="511DA7E2"/>
    <w:rsid w:val="513C74D8"/>
    <w:rsid w:val="515D9DD7"/>
    <w:rsid w:val="516971EC"/>
    <w:rsid w:val="51718B7B"/>
    <w:rsid w:val="51886077"/>
    <w:rsid w:val="518C6C66"/>
    <w:rsid w:val="5195E551"/>
    <w:rsid w:val="51A55A32"/>
    <w:rsid w:val="51AA7959"/>
    <w:rsid w:val="51AFADD6"/>
    <w:rsid w:val="51CA0361"/>
    <w:rsid w:val="51E401F9"/>
    <w:rsid w:val="51E882E1"/>
    <w:rsid w:val="51EFB9B2"/>
    <w:rsid w:val="52014D4D"/>
    <w:rsid w:val="52048F72"/>
    <w:rsid w:val="5219759B"/>
    <w:rsid w:val="521A15F4"/>
    <w:rsid w:val="52270E89"/>
    <w:rsid w:val="52618BE6"/>
    <w:rsid w:val="5266E308"/>
    <w:rsid w:val="526F40A5"/>
    <w:rsid w:val="528BCBB4"/>
    <w:rsid w:val="529E7591"/>
    <w:rsid w:val="52B0DE5E"/>
    <w:rsid w:val="52CB9D8E"/>
    <w:rsid w:val="52CE0DB1"/>
    <w:rsid w:val="530D0BBD"/>
    <w:rsid w:val="531A89FD"/>
    <w:rsid w:val="532D2982"/>
    <w:rsid w:val="536A12B8"/>
    <w:rsid w:val="53BEA7F6"/>
    <w:rsid w:val="53E3F479"/>
    <w:rsid w:val="53E7DE56"/>
    <w:rsid w:val="53EBBAB0"/>
    <w:rsid w:val="53F82BED"/>
    <w:rsid w:val="541F109D"/>
    <w:rsid w:val="542713B4"/>
    <w:rsid w:val="54298E5A"/>
    <w:rsid w:val="54309EFA"/>
    <w:rsid w:val="544530B7"/>
    <w:rsid w:val="54578C73"/>
    <w:rsid w:val="5461EA14"/>
    <w:rsid w:val="5469674B"/>
    <w:rsid w:val="547DD059"/>
    <w:rsid w:val="547FF8B7"/>
    <w:rsid w:val="54BD8C15"/>
    <w:rsid w:val="54C599B1"/>
    <w:rsid w:val="54CFD686"/>
    <w:rsid w:val="54D175CC"/>
    <w:rsid w:val="54E09456"/>
    <w:rsid w:val="54F3F913"/>
    <w:rsid w:val="55160068"/>
    <w:rsid w:val="551A3D60"/>
    <w:rsid w:val="55574EAF"/>
    <w:rsid w:val="556DD741"/>
    <w:rsid w:val="55988DEF"/>
    <w:rsid w:val="55A4BDA3"/>
    <w:rsid w:val="55D8A57F"/>
    <w:rsid w:val="56070AF3"/>
    <w:rsid w:val="56217DA7"/>
    <w:rsid w:val="5621C941"/>
    <w:rsid w:val="562A7D45"/>
    <w:rsid w:val="563E26AC"/>
    <w:rsid w:val="564820FE"/>
    <w:rsid w:val="565967A4"/>
    <w:rsid w:val="56638701"/>
    <w:rsid w:val="568C9DE8"/>
    <w:rsid w:val="569BBF60"/>
    <w:rsid w:val="569BC166"/>
    <w:rsid w:val="56AD38F4"/>
    <w:rsid w:val="56B3EB7B"/>
    <w:rsid w:val="56C96946"/>
    <w:rsid w:val="56D2460F"/>
    <w:rsid w:val="56D480C7"/>
    <w:rsid w:val="57276950"/>
    <w:rsid w:val="5742D885"/>
    <w:rsid w:val="57456929"/>
    <w:rsid w:val="576F9327"/>
    <w:rsid w:val="578BCC58"/>
    <w:rsid w:val="57C0B5A4"/>
    <w:rsid w:val="5816641D"/>
    <w:rsid w:val="5820C5A6"/>
    <w:rsid w:val="5833B69A"/>
    <w:rsid w:val="584D75D0"/>
    <w:rsid w:val="585743C4"/>
    <w:rsid w:val="58981F14"/>
    <w:rsid w:val="58A0B95F"/>
    <w:rsid w:val="58A5A452"/>
    <w:rsid w:val="58EE4A4F"/>
    <w:rsid w:val="5936A4FA"/>
    <w:rsid w:val="5948D84E"/>
    <w:rsid w:val="5952E79B"/>
    <w:rsid w:val="5973D80E"/>
    <w:rsid w:val="59750FF8"/>
    <w:rsid w:val="5981EC4C"/>
    <w:rsid w:val="59850CC8"/>
    <w:rsid w:val="599A2DF2"/>
    <w:rsid w:val="59A8F338"/>
    <w:rsid w:val="59BE275C"/>
    <w:rsid w:val="59C2650B"/>
    <w:rsid w:val="59C4FC92"/>
    <w:rsid w:val="59D74786"/>
    <w:rsid w:val="59FE1B4F"/>
    <w:rsid w:val="5A417E56"/>
    <w:rsid w:val="5A7C2328"/>
    <w:rsid w:val="5AA96CB0"/>
    <w:rsid w:val="5AD484FA"/>
    <w:rsid w:val="5ADC3452"/>
    <w:rsid w:val="5ADEBF48"/>
    <w:rsid w:val="5AE6C12C"/>
    <w:rsid w:val="5AEF00DB"/>
    <w:rsid w:val="5AFCE61D"/>
    <w:rsid w:val="5B09F119"/>
    <w:rsid w:val="5B2CDCFC"/>
    <w:rsid w:val="5B3B8AEB"/>
    <w:rsid w:val="5B5F7EDA"/>
    <w:rsid w:val="5B7FEFFB"/>
    <w:rsid w:val="5B98D3F5"/>
    <w:rsid w:val="5BA4A8ED"/>
    <w:rsid w:val="5BB67C6C"/>
    <w:rsid w:val="5BDBF7A0"/>
    <w:rsid w:val="5C0469DD"/>
    <w:rsid w:val="5C317555"/>
    <w:rsid w:val="5C346B33"/>
    <w:rsid w:val="5C3A9A11"/>
    <w:rsid w:val="5C3C8FEA"/>
    <w:rsid w:val="5C65D75F"/>
    <w:rsid w:val="5C8CCD2E"/>
    <w:rsid w:val="5C8F211D"/>
    <w:rsid w:val="5CAB06AC"/>
    <w:rsid w:val="5CB496C7"/>
    <w:rsid w:val="5CDEBD7F"/>
    <w:rsid w:val="5CF8E301"/>
    <w:rsid w:val="5CFAFBFD"/>
    <w:rsid w:val="5D13013F"/>
    <w:rsid w:val="5D15683D"/>
    <w:rsid w:val="5D3729DE"/>
    <w:rsid w:val="5D44A792"/>
    <w:rsid w:val="5D74643D"/>
    <w:rsid w:val="5D7A1913"/>
    <w:rsid w:val="5D7DA77F"/>
    <w:rsid w:val="5D9522D5"/>
    <w:rsid w:val="5D9DE5FE"/>
    <w:rsid w:val="5DB0B981"/>
    <w:rsid w:val="5DD8BEDF"/>
    <w:rsid w:val="5E0E2A0F"/>
    <w:rsid w:val="5E535A59"/>
    <w:rsid w:val="5E53B4C1"/>
    <w:rsid w:val="5E8D3DC2"/>
    <w:rsid w:val="5E9D8A7F"/>
    <w:rsid w:val="5EC1C67C"/>
    <w:rsid w:val="5EC775B1"/>
    <w:rsid w:val="5EE10B28"/>
    <w:rsid w:val="5EE8236D"/>
    <w:rsid w:val="5EEC0019"/>
    <w:rsid w:val="5EEF899E"/>
    <w:rsid w:val="5F0B04FC"/>
    <w:rsid w:val="5F241966"/>
    <w:rsid w:val="5F2DC143"/>
    <w:rsid w:val="5F31D3A5"/>
    <w:rsid w:val="5F6B0607"/>
    <w:rsid w:val="5F6EF4C8"/>
    <w:rsid w:val="5F770D1A"/>
    <w:rsid w:val="5F7B2053"/>
    <w:rsid w:val="5F89872B"/>
    <w:rsid w:val="5F93CDC8"/>
    <w:rsid w:val="5FA2D14F"/>
    <w:rsid w:val="5FA70E1E"/>
    <w:rsid w:val="5FBEAA19"/>
    <w:rsid w:val="5FCA9E2D"/>
    <w:rsid w:val="5FD0354D"/>
    <w:rsid w:val="5FD6CC98"/>
    <w:rsid w:val="601289DE"/>
    <w:rsid w:val="6013349C"/>
    <w:rsid w:val="60181C97"/>
    <w:rsid w:val="6041DE64"/>
    <w:rsid w:val="6075C993"/>
    <w:rsid w:val="6096F2B3"/>
    <w:rsid w:val="609852D3"/>
    <w:rsid w:val="609DF23A"/>
    <w:rsid w:val="60C972BE"/>
    <w:rsid w:val="60DE2CC3"/>
    <w:rsid w:val="60E756C4"/>
    <w:rsid w:val="60EC0728"/>
    <w:rsid w:val="60F2982C"/>
    <w:rsid w:val="61222982"/>
    <w:rsid w:val="6124C11F"/>
    <w:rsid w:val="612AD7AF"/>
    <w:rsid w:val="61334C46"/>
    <w:rsid w:val="6139BD98"/>
    <w:rsid w:val="61663E06"/>
    <w:rsid w:val="61913DB1"/>
    <w:rsid w:val="61B9671B"/>
    <w:rsid w:val="61C71657"/>
    <w:rsid w:val="61E336AD"/>
    <w:rsid w:val="61E7EB5F"/>
    <w:rsid w:val="61EB307B"/>
    <w:rsid w:val="6228D5D0"/>
    <w:rsid w:val="626A32E7"/>
    <w:rsid w:val="62824BA7"/>
    <w:rsid w:val="62B20551"/>
    <w:rsid w:val="6311ABE8"/>
    <w:rsid w:val="634B25F6"/>
    <w:rsid w:val="634FD1BC"/>
    <w:rsid w:val="635CEE25"/>
    <w:rsid w:val="6360EFA6"/>
    <w:rsid w:val="636568CC"/>
    <w:rsid w:val="636643CC"/>
    <w:rsid w:val="638A2458"/>
    <w:rsid w:val="639988D7"/>
    <w:rsid w:val="639B2C06"/>
    <w:rsid w:val="639DF67F"/>
    <w:rsid w:val="63B5D63E"/>
    <w:rsid w:val="63F2A573"/>
    <w:rsid w:val="6406E645"/>
    <w:rsid w:val="642D6B58"/>
    <w:rsid w:val="6435D586"/>
    <w:rsid w:val="6456788B"/>
    <w:rsid w:val="64568DB4"/>
    <w:rsid w:val="6464C04F"/>
    <w:rsid w:val="64669CFA"/>
    <w:rsid w:val="64762A43"/>
    <w:rsid w:val="648418AD"/>
    <w:rsid w:val="648E1F96"/>
    <w:rsid w:val="64A8A3FC"/>
    <w:rsid w:val="64ACF862"/>
    <w:rsid w:val="64B2B099"/>
    <w:rsid w:val="64C2BDE8"/>
    <w:rsid w:val="64F4B48B"/>
    <w:rsid w:val="64F66340"/>
    <w:rsid w:val="653D2B0F"/>
    <w:rsid w:val="6546C613"/>
    <w:rsid w:val="655B7D8F"/>
    <w:rsid w:val="65720FF8"/>
    <w:rsid w:val="65781FD6"/>
    <w:rsid w:val="658B42B2"/>
    <w:rsid w:val="658F773C"/>
    <w:rsid w:val="659CE666"/>
    <w:rsid w:val="65A020DB"/>
    <w:rsid w:val="65E1835E"/>
    <w:rsid w:val="65EE20B0"/>
    <w:rsid w:val="660384C5"/>
    <w:rsid w:val="661279D4"/>
    <w:rsid w:val="663095E1"/>
    <w:rsid w:val="663B6664"/>
    <w:rsid w:val="6645D48C"/>
    <w:rsid w:val="6649FBB1"/>
    <w:rsid w:val="664E9CC3"/>
    <w:rsid w:val="66505F84"/>
    <w:rsid w:val="666109DE"/>
    <w:rsid w:val="66655BDD"/>
    <w:rsid w:val="6669E39B"/>
    <w:rsid w:val="66AD69C3"/>
    <w:rsid w:val="66B3121C"/>
    <w:rsid w:val="66FC6E3C"/>
    <w:rsid w:val="66FFD60E"/>
    <w:rsid w:val="6711516C"/>
    <w:rsid w:val="673CCD08"/>
    <w:rsid w:val="6744527D"/>
    <w:rsid w:val="67460734"/>
    <w:rsid w:val="674CD48C"/>
    <w:rsid w:val="67594D29"/>
    <w:rsid w:val="67737B8A"/>
    <w:rsid w:val="678E858D"/>
    <w:rsid w:val="67991261"/>
    <w:rsid w:val="679E1AC6"/>
    <w:rsid w:val="67AF5DF2"/>
    <w:rsid w:val="67AFCBCC"/>
    <w:rsid w:val="67C25EA3"/>
    <w:rsid w:val="67CF8194"/>
    <w:rsid w:val="67D208E9"/>
    <w:rsid w:val="67D2627D"/>
    <w:rsid w:val="67F25A18"/>
    <w:rsid w:val="682A556C"/>
    <w:rsid w:val="68337133"/>
    <w:rsid w:val="684D3DE8"/>
    <w:rsid w:val="68872C6A"/>
    <w:rsid w:val="6897ABBC"/>
    <w:rsid w:val="68A253F2"/>
    <w:rsid w:val="68A6659B"/>
    <w:rsid w:val="68D68625"/>
    <w:rsid w:val="68DA1276"/>
    <w:rsid w:val="68E02391"/>
    <w:rsid w:val="68EF01E7"/>
    <w:rsid w:val="690A5F74"/>
    <w:rsid w:val="692013F1"/>
    <w:rsid w:val="692090CC"/>
    <w:rsid w:val="69219F1B"/>
    <w:rsid w:val="692A5F8C"/>
    <w:rsid w:val="6935CFD9"/>
    <w:rsid w:val="69392CA2"/>
    <w:rsid w:val="693BC819"/>
    <w:rsid w:val="694A127C"/>
    <w:rsid w:val="695F7896"/>
    <w:rsid w:val="6961C0AC"/>
    <w:rsid w:val="6964B664"/>
    <w:rsid w:val="698AC26E"/>
    <w:rsid w:val="69A08707"/>
    <w:rsid w:val="69D8629D"/>
    <w:rsid w:val="69D91135"/>
    <w:rsid w:val="6A37DC3E"/>
    <w:rsid w:val="6A5108C6"/>
    <w:rsid w:val="6A7B4805"/>
    <w:rsid w:val="6A7DAD42"/>
    <w:rsid w:val="6A95FE79"/>
    <w:rsid w:val="6A99B2D9"/>
    <w:rsid w:val="6AB66278"/>
    <w:rsid w:val="6AB71506"/>
    <w:rsid w:val="6AB7A7B1"/>
    <w:rsid w:val="6AC0C8C6"/>
    <w:rsid w:val="6ADD7C4F"/>
    <w:rsid w:val="6ADEC2E2"/>
    <w:rsid w:val="6AE0345F"/>
    <w:rsid w:val="6AE1A0EC"/>
    <w:rsid w:val="6B21EC56"/>
    <w:rsid w:val="6B276668"/>
    <w:rsid w:val="6B4E8090"/>
    <w:rsid w:val="6B5801C4"/>
    <w:rsid w:val="6B58C286"/>
    <w:rsid w:val="6B6CEEAF"/>
    <w:rsid w:val="6B7476D9"/>
    <w:rsid w:val="6B81B566"/>
    <w:rsid w:val="6B827519"/>
    <w:rsid w:val="6B873F86"/>
    <w:rsid w:val="6B9AC6C6"/>
    <w:rsid w:val="6BC04EF6"/>
    <w:rsid w:val="6BC8F8DE"/>
    <w:rsid w:val="6BD3EF61"/>
    <w:rsid w:val="6BEEDADA"/>
    <w:rsid w:val="6BFF792D"/>
    <w:rsid w:val="6C2274A9"/>
    <w:rsid w:val="6C2CC18F"/>
    <w:rsid w:val="6C364018"/>
    <w:rsid w:val="6C38AA32"/>
    <w:rsid w:val="6C42B1E3"/>
    <w:rsid w:val="6C618BEC"/>
    <w:rsid w:val="6CC210B5"/>
    <w:rsid w:val="6CD29504"/>
    <w:rsid w:val="6CE86521"/>
    <w:rsid w:val="6CF86BF1"/>
    <w:rsid w:val="6D024C8D"/>
    <w:rsid w:val="6D28D3DB"/>
    <w:rsid w:val="6D374D44"/>
    <w:rsid w:val="6D3C6ECF"/>
    <w:rsid w:val="6D59B7FD"/>
    <w:rsid w:val="6D82E61E"/>
    <w:rsid w:val="6DB09AA3"/>
    <w:rsid w:val="6DCBACF3"/>
    <w:rsid w:val="6E69EF64"/>
    <w:rsid w:val="6E8BD4AB"/>
    <w:rsid w:val="6ED523CE"/>
    <w:rsid w:val="6EE76166"/>
    <w:rsid w:val="6EE834B8"/>
    <w:rsid w:val="6F09D79D"/>
    <w:rsid w:val="6F100CA2"/>
    <w:rsid w:val="6F42064C"/>
    <w:rsid w:val="6F425390"/>
    <w:rsid w:val="6F5CF191"/>
    <w:rsid w:val="6F5D4913"/>
    <w:rsid w:val="6F6C2FD7"/>
    <w:rsid w:val="6F7D5384"/>
    <w:rsid w:val="6F95AC3D"/>
    <w:rsid w:val="6FE26C8B"/>
    <w:rsid w:val="6FEB16B9"/>
    <w:rsid w:val="701B766D"/>
    <w:rsid w:val="703B03F6"/>
    <w:rsid w:val="7057AAA8"/>
    <w:rsid w:val="7059436A"/>
    <w:rsid w:val="706C3966"/>
    <w:rsid w:val="706FB9E9"/>
    <w:rsid w:val="70745571"/>
    <w:rsid w:val="7079918B"/>
    <w:rsid w:val="709390BC"/>
    <w:rsid w:val="709A6DF5"/>
    <w:rsid w:val="70A138A9"/>
    <w:rsid w:val="70A98666"/>
    <w:rsid w:val="70B036D0"/>
    <w:rsid w:val="70C61B22"/>
    <w:rsid w:val="70D6CF5B"/>
    <w:rsid w:val="70D6E591"/>
    <w:rsid w:val="70D72F10"/>
    <w:rsid w:val="70F2A806"/>
    <w:rsid w:val="7112A274"/>
    <w:rsid w:val="7113AA4F"/>
    <w:rsid w:val="7120EF9C"/>
    <w:rsid w:val="7147DF1D"/>
    <w:rsid w:val="7156FAD6"/>
    <w:rsid w:val="7162B841"/>
    <w:rsid w:val="7182A9B4"/>
    <w:rsid w:val="718BFC0E"/>
    <w:rsid w:val="71914B54"/>
    <w:rsid w:val="71B9DF74"/>
    <w:rsid w:val="71C608A1"/>
    <w:rsid w:val="71E09E77"/>
    <w:rsid w:val="71FCB052"/>
    <w:rsid w:val="722E0817"/>
    <w:rsid w:val="72392F16"/>
    <w:rsid w:val="72719A19"/>
    <w:rsid w:val="72844DD7"/>
    <w:rsid w:val="728AF399"/>
    <w:rsid w:val="7290B229"/>
    <w:rsid w:val="72A2FA46"/>
    <w:rsid w:val="72B02D3A"/>
    <w:rsid w:val="72B7E909"/>
    <w:rsid w:val="72BB1ED6"/>
    <w:rsid w:val="72C81D40"/>
    <w:rsid w:val="72C84DE8"/>
    <w:rsid w:val="72DD9054"/>
    <w:rsid w:val="72E16BC5"/>
    <w:rsid w:val="72E26E4A"/>
    <w:rsid w:val="72E305B9"/>
    <w:rsid w:val="72E8456B"/>
    <w:rsid w:val="72E9210D"/>
    <w:rsid w:val="72FAAB52"/>
    <w:rsid w:val="73210440"/>
    <w:rsid w:val="7351DC6B"/>
    <w:rsid w:val="735A5806"/>
    <w:rsid w:val="73693124"/>
    <w:rsid w:val="73713BCE"/>
    <w:rsid w:val="737AE843"/>
    <w:rsid w:val="737ED26F"/>
    <w:rsid w:val="7382C42B"/>
    <w:rsid w:val="7382C6D3"/>
    <w:rsid w:val="7395E4FA"/>
    <w:rsid w:val="73992B93"/>
    <w:rsid w:val="73DB7316"/>
    <w:rsid w:val="73FEBB79"/>
    <w:rsid w:val="740F0AC4"/>
    <w:rsid w:val="747E39BF"/>
    <w:rsid w:val="74963D17"/>
    <w:rsid w:val="74CB544D"/>
    <w:rsid w:val="74EE6436"/>
    <w:rsid w:val="75064FCE"/>
    <w:rsid w:val="7507C8DD"/>
    <w:rsid w:val="7507E3C4"/>
    <w:rsid w:val="75443938"/>
    <w:rsid w:val="754DA4D1"/>
    <w:rsid w:val="75E0626D"/>
    <w:rsid w:val="75E37179"/>
    <w:rsid w:val="76245578"/>
    <w:rsid w:val="765D91CB"/>
    <w:rsid w:val="765FF1C8"/>
    <w:rsid w:val="76714412"/>
    <w:rsid w:val="7677530B"/>
    <w:rsid w:val="767ED76A"/>
    <w:rsid w:val="7693C36F"/>
    <w:rsid w:val="76A9A87E"/>
    <w:rsid w:val="76CB42E6"/>
    <w:rsid w:val="76E21761"/>
    <w:rsid w:val="76E9D765"/>
    <w:rsid w:val="76F048A6"/>
    <w:rsid w:val="772F73F3"/>
    <w:rsid w:val="7731D198"/>
    <w:rsid w:val="773B1399"/>
    <w:rsid w:val="774B2141"/>
    <w:rsid w:val="775FDAD2"/>
    <w:rsid w:val="7765EAB4"/>
    <w:rsid w:val="778335EA"/>
    <w:rsid w:val="778CA381"/>
    <w:rsid w:val="779D4ADE"/>
    <w:rsid w:val="77CD87B8"/>
    <w:rsid w:val="77D3E16C"/>
    <w:rsid w:val="77E5754A"/>
    <w:rsid w:val="780D3AD9"/>
    <w:rsid w:val="78128F68"/>
    <w:rsid w:val="783B435A"/>
    <w:rsid w:val="783FD58E"/>
    <w:rsid w:val="784B490D"/>
    <w:rsid w:val="785B3197"/>
    <w:rsid w:val="789DCB67"/>
    <w:rsid w:val="78A0768A"/>
    <w:rsid w:val="78AF8DEA"/>
    <w:rsid w:val="79002877"/>
    <w:rsid w:val="79082388"/>
    <w:rsid w:val="7925ABBC"/>
    <w:rsid w:val="7951D5E7"/>
    <w:rsid w:val="795B0505"/>
    <w:rsid w:val="795FB4E0"/>
    <w:rsid w:val="7962ABC0"/>
    <w:rsid w:val="79752A44"/>
    <w:rsid w:val="797A5230"/>
    <w:rsid w:val="798BF195"/>
    <w:rsid w:val="79CC72ED"/>
    <w:rsid w:val="7A06E0E1"/>
    <w:rsid w:val="7A09BC6A"/>
    <w:rsid w:val="7A19583D"/>
    <w:rsid w:val="7A1B812D"/>
    <w:rsid w:val="7ABB3A55"/>
    <w:rsid w:val="7B12F7A2"/>
    <w:rsid w:val="7B432C47"/>
    <w:rsid w:val="7B56812B"/>
    <w:rsid w:val="7B5DD1D3"/>
    <w:rsid w:val="7B9998E8"/>
    <w:rsid w:val="7B9F4B95"/>
    <w:rsid w:val="7BBA0EB6"/>
    <w:rsid w:val="7BE60790"/>
    <w:rsid w:val="7BFC74DC"/>
    <w:rsid w:val="7C186F5E"/>
    <w:rsid w:val="7C3E025E"/>
    <w:rsid w:val="7C582E3E"/>
    <w:rsid w:val="7C6158B2"/>
    <w:rsid w:val="7C660AEE"/>
    <w:rsid w:val="7C8A51C3"/>
    <w:rsid w:val="7C9666D8"/>
    <w:rsid w:val="7CCEA1E9"/>
    <w:rsid w:val="7CED9C87"/>
    <w:rsid w:val="7D085056"/>
    <w:rsid w:val="7D233A7A"/>
    <w:rsid w:val="7D48AE37"/>
    <w:rsid w:val="7D5FB6F4"/>
    <w:rsid w:val="7D6B72B6"/>
    <w:rsid w:val="7D7CA800"/>
    <w:rsid w:val="7D86B0FD"/>
    <w:rsid w:val="7D8F750C"/>
    <w:rsid w:val="7D99FD4F"/>
    <w:rsid w:val="7D9AF41B"/>
    <w:rsid w:val="7D9C1A90"/>
    <w:rsid w:val="7DA537D7"/>
    <w:rsid w:val="7DAA6CB4"/>
    <w:rsid w:val="7DACAB3B"/>
    <w:rsid w:val="7DC782D6"/>
    <w:rsid w:val="7DE183E2"/>
    <w:rsid w:val="7DE6814B"/>
    <w:rsid w:val="7E2BDF59"/>
    <w:rsid w:val="7E99B0B1"/>
    <w:rsid w:val="7EA1D1AE"/>
    <w:rsid w:val="7F1E67DC"/>
    <w:rsid w:val="7F21533C"/>
    <w:rsid w:val="7F3F9ECC"/>
    <w:rsid w:val="7F485713"/>
    <w:rsid w:val="7F51523B"/>
    <w:rsid w:val="7F6327D1"/>
    <w:rsid w:val="7F734773"/>
    <w:rsid w:val="7F75C371"/>
    <w:rsid w:val="7F9E5A90"/>
    <w:rsid w:val="7FA879C4"/>
    <w:rsid w:val="7FC00B1B"/>
    <w:rsid w:val="7FC29AC0"/>
    <w:rsid w:val="7FD69E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FEC30C7"/>
  <w15:docId w15:val="{31C818EB-DEB5-417B-B911-B29AA0C16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Times New Roman" w:hAnsi="Times New Roman" w:cs="Times New Roman"/>
      <w:sz w:val="24"/>
      <w:lang w:val="pl-PL"/>
    </w:rPr>
  </w:style>
  <w:style w:type="paragraph" w:styleId="Heading1">
    <w:name w:val="heading 1"/>
    <w:basedOn w:val="Normal"/>
    <w:next w:val="Text1"/>
    <w:link w:val="Heading1Char"/>
    <w:uiPriority w:val="9"/>
    <w:qFormat/>
    <w:pPr>
      <w:keepNext/>
      <w:numPr>
        <w:numId w:val="2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5"/>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25"/>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25"/>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25"/>
      </w:numPr>
      <w:outlineLvl w:val="6"/>
    </w:pPr>
    <w:rPr>
      <w:rFonts w:eastAsiaTheme="majorEastAsia"/>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rsid w:val="00AC2BE5"/>
    <w:pPr>
      <w:numPr>
        <w:numId w:val="2"/>
      </w:numPr>
      <w:tabs>
        <w:tab w:val="num" w:pos="360"/>
      </w:tabs>
      <w:ind w:left="0" w:firstLine="0"/>
    </w:pPr>
    <w:rPr>
      <w:rFonts w:eastAsia="Times New Roman"/>
      <w:lang w:eastAsia="de-DE"/>
    </w:rPr>
  </w:style>
  <w:style w:type="paragraph" w:styleId="ListNumber">
    <w:name w:val="List Number"/>
    <w:basedOn w:val="Normal"/>
    <w:rsid w:val="00AC2BE5"/>
    <w:pPr>
      <w:numPr>
        <w:numId w:val="6"/>
      </w:numPr>
    </w:pPr>
    <w:rPr>
      <w:rFonts w:eastAsia="Times New Roman"/>
      <w:lang w:eastAsia="de-DE"/>
    </w:rPr>
  </w:style>
  <w:style w:type="paragraph" w:customStyle="1" w:styleId="ListBullet1">
    <w:name w:val="List Bullet 1"/>
    <w:basedOn w:val="Normal"/>
    <w:rsid w:val="00AC2BE5"/>
    <w:pPr>
      <w:numPr>
        <w:numId w:val="1"/>
      </w:numPr>
    </w:pPr>
    <w:rPr>
      <w:rFonts w:eastAsia="Times New Roman"/>
      <w:lang w:eastAsia="de-DE"/>
    </w:rPr>
  </w:style>
  <w:style w:type="paragraph" w:customStyle="1" w:styleId="ListDash">
    <w:name w:val="List Dash"/>
    <w:basedOn w:val="Normal"/>
    <w:rsid w:val="00AC2BE5"/>
    <w:pPr>
      <w:numPr>
        <w:numId w:val="3"/>
      </w:numPr>
    </w:pPr>
    <w:rPr>
      <w:rFonts w:eastAsia="Times New Roman"/>
      <w:lang w:eastAsia="de-DE"/>
    </w:rPr>
  </w:style>
  <w:style w:type="paragraph" w:customStyle="1" w:styleId="ListDash1">
    <w:name w:val="List Dash 1"/>
    <w:basedOn w:val="Normal"/>
    <w:rsid w:val="00AC2BE5"/>
    <w:pPr>
      <w:numPr>
        <w:numId w:val="4"/>
      </w:numPr>
    </w:pPr>
    <w:rPr>
      <w:rFonts w:eastAsia="Times New Roman"/>
      <w:lang w:eastAsia="de-DE"/>
    </w:rPr>
  </w:style>
  <w:style w:type="paragraph" w:customStyle="1" w:styleId="ListDash2">
    <w:name w:val="List Dash 2"/>
    <w:basedOn w:val="Normal"/>
    <w:rsid w:val="00AC2BE5"/>
    <w:pPr>
      <w:numPr>
        <w:numId w:val="5"/>
      </w:numPr>
    </w:pPr>
    <w:rPr>
      <w:rFonts w:eastAsia="Times New Roman"/>
      <w:lang w:eastAsia="de-DE"/>
    </w:rPr>
  </w:style>
  <w:style w:type="paragraph" w:customStyle="1" w:styleId="ListNumberLevel2">
    <w:name w:val="List Number (Level 2)"/>
    <w:basedOn w:val="Normal"/>
    <w:rsid w:val="00AC2BE5"/>
    <w:pPr>
      <w:numPr>
        <w:ilvl w:val="1"/>
        <w:numId w:val="6"/>
      </w:numPr>
    </w:pPr>
    <w:rPr>
      <w:rFonts w:eastAsia="Times New Roman"/>
      <w:lang w:eastAsia="de-DE"/>
    </w:rPr>
  </w:style>
  <w:style w:type="paragraph" w:customStyle="1" w:styleId="ListNumberLevel3">
    <w:name w:val="List Number (Level 3)"/>
    <w:basedOn w:val="Normal"/>
    <w:rsid w:val="00AC2BE5"/>
    <w:pPr>
      <w:numPr>
        <w:ilvl w:val="2"/>
        <w:numId w:val="6"/>
      </w:numPr>
    </w:pPr>
    <w:rPr>
      <w:rFonts w:eastAsia="Times New Roman"/>
      <w:lang w:eastAsia="de-DE"/>
    </w:rPr>
  </w:style>
  <w:style w:type="paragraph" w:customStyle="1" w:styleId="ListNumberLevel4">
    <w:name w:val="List Number (Level 4)"/>
    <w:basedOn w:val="Normal"/>
    <w:rsid w:val="00AC2BE5"/>
    <w:pPr>
      <w:numPr>
        <w:ilvl w:val="3"/>
        <w:numId w:val="6"/>
      </w:numPr>
    </w:pPr>
    <w:rPr>
      <w:rFonts w:eastAsia="Times New Roman"/>
      <w:lang w:eastAsia="de-DE"/>
    </w:rPr>
  </w:style>
  <w:style w:type="table" w:styleId="TableGrid">
    <w:name w:val="Table Grid"/>
    <w:basedOn w:val="TableNormal"/>
    <w:rsid w:val="00AC2BE5"/>
    <w:pPr>
      <w:spacing w:before="120" w:after="120" w:line="240" w:lineRule="auto"/>
      <w:jc w:val="both"/>
    </w:pPr>
    <w:rPr>
      <w:rFonts w:ascii="Times New Roman" w:eastAsia="Times New Roman" w:hAnsi="Times New Roman" w:cs="Times New Roman"/>
      <w:sz w:val="20"/>
      <w:szCs w:val="20"/>
      <w:lang w:eastAsia="en-IE"/>
    </w:rPr>
    <w:tblPr/>
  </w:style>
  <w:style w:type="character" w:styleId="Hyperlink">
    <w:name w:val="Hyperlink"/>
    <w:uiPriority w:val="99"/>
    <w:rsid w:val="00AC2BE5"/>
    <w:rPr>
      <w:color w:val="0000FF"/>
      <w:u w:val="single"/>
    </w:rPr>
  </w:style>
  <w:style w:type="paragraph" w:styleId="ListBullet">
    <w:name w:val="List Bullet"/>
    <w:basedOn w:val="Normal"/>
    <w:rsid w:val="00AC2BE5"/>
    <w:pPr>
      <w:numPr>
        <w:numId w:val="7"/>
      </w:numPr>
    </w:pPr>
    <w:rPr>
      <w:rFonts w:eastAsia="Times New Roman"/>
      <w:lang w:eastAsia="en-GB"/>
    </w:rPr>
  </w:style>
  <w:style w:type="paragraph" w:styleId="ListBullet2">
    <w:name w:val="List Bullet 2"/>
    <w:basedOn w:val="Normal"/>
    <w:rsid w:val="00AC2BE5"/>
    <w:pPr>
      <w:numPr>
        <w:numId w:val="8"/>
      </w:numPr>
    </w:pPr>
    <w:rPr>
      <w:rFonts w:eastAsia="Times New Roman"/>
      <w:lang w:eastAsia="en-GB"/>
    </w:rPr>
  </w:style>
  <w:style w:type="paragraph" w:styleId="ListBullet3">
    <w:name w:val="List Bullet 3"/>
    <w:basedOn w:val="Normal"/>
    <w:rsid w:val="00AC2BE5"/>
    <w:pPr>
      <w:numPr>
        <w:numId w:val="9"/>
      </w:numPr>
    </w:pPr>
    <w:rPr>
      <w:rFonts w:eastAsia="Times New Roman"/>
      <w:lang w:eastAsia="en-GB"/>
    </w:rPr>
  </w:style>
  <w:style w:type="paragraph" w:styleId="ListNumber2">
    <w:name w:val="List Number 2"/>
    <w:basedOn w:val="Normal"/>
    <w:rsid w:val="00AC2BE5"/>
    <w:pPr>
      <w:numPr>
        <w:numId w:val="13"/>
      </w:numPr>
    </w:pPr>
    <w:rPr>
      <w:rFonts w:eastAsia="Times New Roman"/>
      <w:lang w:eastAsia="en-GB"/>
    </w:rPr>
  </w:style>
  <w:style w:type="paragraph" w:styleId="ListNumber3">
    <w:name w:val="List Number 3"/>
    <w:basedOn w:val="Normal"/>
    <w:rsid w:val="00AC2BE5"/>
    <w:pPr>
      <w:numPr>
        <w:numId w:val="14"/>
      </w:numPr>
    </w:pPr>
    <w:rPr>
      <w:rFonts w:eastAsia="Times New Roman"/>
      <w:lang w:eastAsia="en-GB"/>
    </w:rPr>
  </w:style>
  <w:style w:type="paragraph" w:styleId="ListNumber4">
    <w:name w:val="List Number 4"/>
    <w:basedOn w:val="Normal"/>
    <w:rsid w:val="00AC2BE5"/>
    <w:pPr>
      <w:numPr>
        <w:numId w:val="15"/>
      </w:numPr>
    </w:pPr>
    <w:rPr>
      <w:rFonts w:eastAsia="Times New Roman"/>
      <w:lang w:eastAsia="en-GB"/>
    </w:rPr>
  </w:style>
  <w:style w:type="paragraph" w:customStyle="1" w:styleId="ListDash3">
    <w:name w:val="List Dash 3"/>
    <w:basedOn w:val="Normal"/>
    <w:rsid w:val="00AC2BE5"/>
    <w:pPr>
      <w:numPr>
        <w:numId w:val="10"/>
      </w:numPr>
    </w:pPr>
    <w:rPr>
      <w:rFonts w:eastAsia="Times New Roman"/>
      <w:lang w:eastAsia="en-GB"/>
    </w:rPr>
  </w:style>
  <w:style w:type="paragraph" w:customStyle="1" w:styleId="ListDash4">
    <w:name w:val="List Dash 4"/>
    <w:basedOn w:val="Normal"/>
    <w:rsid w:val="00AC2BE5"/>
    <w:pPr>
      <w:numPr>
        <w:numId w:val="11"/>
      </w:numPr>
    </w:pPr>
    <w:rPr>
      <w:rFonts w:eastAsia="Times New Roman"/>
      <w:lang w:eastAsia="en-GB"/>
    </w:rPr>
  </w:style>
  <w:style w:type="paragraph" w:customStyle="1" w:styleId="ListNumber1">
    <w:name w:val="List Number 1"/>
    <w:basedOn w:val="Text1"/>
    <w:rsid w:val="00AC2BE5"/>
    <w:pPr>
      <w:numPr>
        <w:numId w:val="12"/>
      </w:numPr>
    </w:pPr>
    <w:rPr>
      <w:rFonts w:eastAsia="Times New Roman"/>
      <w:lang w:eastAsia="en-GB"/>
    </w:rPr>
  </w:style>
  <w:style w:type="paragraph" w:customStyle="1" w:styleId="ListNumber1Level2">
    <w:name w:val="List Number 1 (Level 2)"/>
    <w:basedOn w:val="Text1"/>
    <w:rsid w:val="00AC2BE5"/>
    <w:pPr>
      <w:numPr>
        <w:ilvl w:val="1"/>
        <w:numId w:val="12"/>
      </w:numPr>
    </w:pPr>
    <w:rPr>
      <w:rFonts w:eastAsia="Times New Roman"/>
      <w:lang w:eastAsia="en-GB"/>
    </w:rPr>
  </w:style>
  <w:style w:type="paragraph" w:customStyle="1" w:styleId="ListNumber2Level2">
    <w:name w:val="List Number 2 (Level 2)"/>
    <w:basedOn w:val="Text2"/>
    <w:rsid w:val="00AC2BE5"/>
    <w:pPr>
      <w:numPr>
        <w:ilvl w:val="1"/>
        <w:numId w:val="13"/>
      </w:numPr>
    </w:pPr>
    <w:rPr>
      <w:rFonts w:eastAsia="Times New Roman"/>
      <w:lang w:eastAsia="en-GB"/>
    </w:rPr>
  </w:style>
  <w:style w:type="paragraph" w:customStyle="1" w:styleId="ListNumber3Level2">
    <w:name w:val="List Number 3 (Level 2)"/>
    <w:basedOn w:val="Text3"/>
    <w:rsid w:val="00AC2BE5"/>
    <w:pPr>
      <w:numPr>
        <w:ilvl w:val="1"/>
        <w:numId w:val="14"/>
      </w:numPr>
    </w:pPr>
    <w:rPr>
      <w:rFonts w:eastAsia="Times New Roman"/>
      <w:lang w:eastAsia="en-GB"/>
    </w:rPr>
  </w:style>
  <w:style w:type="paragraph" w:customStyle="1" w:styleId="ListNumber4Level2">
    <w:name w:val="List Number 4 (Level 2)"/>
    <w:basedOn w:val="Text4"/>
    <w:rsid w:val="00AC2BE5"/>
    <w:pPr>
      <w:numPr>
        <w:ilvl w:val="1"/>
        <w:numId w:val="15"/>
      </w:numPr>
    </w:pPr>
    <w:rPr>
      <w:rFonts w:eastAsia="Times New Roman"/>
      <w:lang w:eastAsia="en-GB"/>
    </w:rPr>
  </w:style>
  <w:style w:type="paragraph" w:customStyle="1" w:styleId="ListNumber1Level3">
    <w:name w:val="List Number 1 (Level 3)"/>
    <w:basedOn w:val="Text1"/>
    <w:rsid w:val="00AC2BE5"/>
    <w:pPr>
      <w:numPr>
        <w:ilvl w:val="2"/>
        <w:numId w:val="12"/>
      </w:numPr>
    </w:pPr>
    <w:rPr>
      <w:rFonts w:eastAsia="Times New Roman"/>
      <w:lang w:eastAsia="en-GB"/>
    </w:rPr>
  </w:style>
  <w:style w:type="paragraph" w:customStyle="1" w:styleId="ListNumber2Level3">
    <w:name w:val="List Number 2 (Level 3)"/>
    <w:basedOn w:val="Text2"/>
    <w:rsid w:val="00AC2BE5"/>
    <w:pPr>
      <w:numPr>
        <w:ilvl w:val="2"/>
        <w:numId w:val="13"/>
      </w:numPr>
    </w:pPr>
    <w:rPr>
      <w:rFonts w:eastAsia="Times New Roman"/>
      <w:lang w:eastAsia="en-GB"/>
    </w:rPr>
  </w:style>
  <w:style w:type="paragraph" w:customStyle="1" w:styleId="ListNumber3Level3">
    <w:name w:val="List Number 3 (Level 3)"/>
    <w:basedOn w:val="Text3"/>
    <w:rsid w:val="00AC2BE5"/>
    <w:pPr>
      <w:numPr>
        <w:ilvl w:val="2"/>
        <w:numId w:val="14"/>
      </w:numPr>
    </w:pPr>
    <w:rPr>
      <w:rFonts w:eastAsia="Times New Roman"/>
      <w:lang w:eastAsia="en-GB"/>
    </w:rPr>
  </w:style>
  <w:style w:type="paragraph" w:customStyle="1" w:styleId="ListNumber4Level3">
    <w:name w:val="List Number 4 (Level 3)"/>
    <w:basedOn w:val="Text4"/>
    <w:rsid w:val="00AC2BE5"/>
    <w:pPr>
      <w:numPr>
        <w:ilvl w:val="2"/>
        <w:numId w:val="15"/>
      </w:numPr>
    </w:pPr>
    <w:rPr>
      <w:rFonts w:eastAsia="Times New Roman"/>
      <w:lang w:eastAsia="en-GB"/>
    </w:rPr>
  </w:style>
  <w:style w:type="paragraph" w:customStyle="1" w:styleId="ListNumber1Level4">
    <w:name w:val="List Number 1 (Level 4)"/>
    <w:basedOn w:val="Text1"/>
    <w:rsid w:val="00AC2BE5"/>
    <w:pPr>
      <w:numPr>
        <w:ilvl w:val="3"/>
        <w:numId w:val="12"/>
      </w:numPr>
    </w:pPr>
    <w:rPr>
      <w:rFonts w:eastAsia="Times New Roman"/>
      <w:lang w:eastAsia="en-GB"/>
    </w:rPr>
  </w:style>
  <w:style w:type="paragraph" w:customStyle="1" w:styleId="ListNumber2Level4">
    <w:name w:val="List Number 2 (Level 4)"/>
    <w:basedOn w:val="Text2"/>
    <w:rsid w:val="00AC2BE5"/>
    <w:pPr>
      <w:numPr>
        <w:ilvl w:val="3"/>
        <w:numId w:val="13"/>
      </w:numPr>
    </w:pPr>
    <w:rPr>
      <w:rFonts w:eastAsia="Times New Roman"/>
      <w:lang w:eastAsia="en-GB"/>
    </w:rPr>
  </w:style>
  <w:style w:type="paragraph" w:customStyle="1" w:styleId="ListNumber3Level4">
    <w:name w:val="List Number 3 (Level 4)"/>
    <w:basedOn w:val="Text3"/>
    <w:rsid w:val="00AC2BE5"/>
    <w:pPr>
      <w:numPr>
        <w:ilvl w:val="3"/>
        <w:numId w:val="14"/>
      </w:numPr>
    </w:pPr>
    <w:rPr>
      <w:rFonts w:eastAsia="Times New Roman"/>
      <w:lang w:eastAsia="en-GB"/>
    </w:rPr>
  </w:style>
  <w:style w:type="paragraph" w:customStyle="1" w:styleId="ListNumber4Level4">
    <w:name w:val="List Number 4 (Level 4)"/>
    <w:basedOn w:val="Text4"/>
    <w:rsid w:val="00AC2BE5"/>
    <w:pPr>
      <w:numPr>
        <w:ilvl w:val="3"/>
        <w:numId w:val="15"/>
      </w:numPr>
    </w:pPr>
    <w:rPr>
      <w:rFonts w:eastAsia="Times New Roman"/>
      <w:lang w:eastAsia="en-GB"/>
    </w:rPr>
  </w:style>
  <w:style w:type="paragraph" w:customStyle="1" w:styleId="Annexetitreacte">
    <w:name w:val="Annexe titre (acte)"/>
    <w:basedOn w:val="Normal"/>
    <w:next w:val="Normal"/>
    <w:rsid w:val="00AC2BE5"/>
    <w:pPr>
      <w:jc w:val="center"/>
    </w:pPr>
    <w:rPr>
      <w:rFonts w:eastAsia="Times New Roman"/>
      <w:b/>
      <w:u w:val="single"/>
      <w:lang w:eastAsia="en-GB"/>
    </w:rPr>
  </w:style>
  <w:style w:type="paragraph" w:customStyle="1" w:styleId="Annexetitreexposglobal">
    <w:name w:val="Annexe titre (exposé global)"/>
    <w:basedOn w:val="Normal"/>
    <w:next w:val="Normal"/>
    <w:rsid w:val="00AC2BE5"/>
    <w:pPr>
      <w:jc w:val="center"/>
    </w:pPr>
    <w:rPr>
      <w:rFonts w:eastAsia="Times New Roman"/>
      <w:b/>
      <w:u w:val="single"/>
      <w:lang w:eastAsia="en-GB"/>
    </w:rPr>
  </w:style>
  <w:style w:type="paragraph" w:customStyle="1" w:styleId="Annexetitrefichefinacte">
    <w:name w:val="Annexe titre (fiche fin. acte)"/>
    <w:basedOn w:val="Normal"/>
    <w:next w:val="Normal"/>
    <w:rsid w:val="00AC2BE5"/>
    <w:pPr>
      <w:jc w:val="center"/>
    </w:pPr>
    <w:rPr>
      <w:rFonts w:eastAsia="Times New Roman"/>
      <w:b/>
      <w:u w:val="single"/>
      <w:lang w:eastAsia="en-GB"/>
    </w:rPr>
  </w:style>
  <w:style w:type="paragraph" w:customStyle="1" w:styleId="Annexetitrefichefinglobale">
    <w:name w:val="Annexe titre (fiche fin. globale)"/>
    <w:basedOn w:val="Normal"/>
    <w:next w:val="Normal"/>
    <w:rsid w:val="00AC2BE5"/>
    <w:pPr>
      <w:jc w:val="center"/>
    </w:pPr>
    <w:rPr>
      <w:rFonts w:eastAsia="Times New Roman"/>
      <w:b/>
      <w:u w:val="single"/>
      <w:lang w:eastAsia="en-GB"/>
    </w:rPr>
  </w:style>
  <w:style w:type="paragraph" w:customStyle="1" w:styleId="Annexetitreglobale">
    <w:name w:val="Annexe titre (globale)"/>
    <w:basedOn w:val="Normal"/>
    <w:next w:val="Normal"/>
    <w:rsid w:val="00AC2BE5"/>
    <w:pPr>
      <w:jc w:val="center"/>
    </w:pPr>
    <w:rPr>
      <w:rFonts w:eastAsia="Times New Roman"/>
      <w:b/>
      <w:u w:val="single"/>
      <w:lang w:eastAsia="en-GB"/>
    </w:rPr>
  </w:style>
  <w:style w:type="paragraph" w:customStyle="1" w:styleId="Exposdesmotifstitreglobal">
    <w:name w:val="Exposé des motifs titre (global)"/>
    <w:basedOn w:val="Normal"/>
    <w:next w:val="Normal"/>
    <w:rsid w:val="00AC2BE5"/>
    <w:pPr>
      <w:jc w:val="center"/>
    </w:pPr>
    <w:rPr>
      <w:rFonts w:eastAsia="Times New Roman"/>
      <w:b/>
      <w:u w:val="single"/>
      <w:lang w:eastAsia="en-GB"/>
    </w:rPr>
  </w:style>
  <w:style w:type="paragraph" w:customStyle="1" w:styleId="Langueoriginale">
    <w:name w:val="Langue originale"/>
    <w:basedOn w:val="Normal"/>
    <w:rsid w:val="00AC2BE5"/>
    <w:pPr>
      <w:spacing w:before="360"/>
      <w:jc w:val="center"/>
    </w:pPr>
    <w:rPr>
      <w:rFonts w:eastAsia="Times New Roman"/>
      <w:caps/>
      <w:lang w:eastAsia="en-GB"/>
    </w:rPr>
  </w:style>
  <w:style w:type="paragraph" w:customStyle="1" w:styleId="Phrasefinale">
    <w:name w:val="Phrase finale"/>
    <w:basedOn w:val="Normal"/>
    <w:next w:val="Normal"/>
    <w:rsid w:val="00AC2BE5"/>
    <w:pPr>
      <w:spacing w:before="360" w:after="0"/>
      <w:jc w:val="center"/>
    </w:pPr>
    <w:rPr>
      <w:rFonts w:eastAsia="Times New Roman"/>
      <w:lang w:eastAsia="en-GB"/>
    </w:rPr>
  </w:style>
  <w:style w:type="paragraph" w:customStyle="1" w:styleId="Prliminairetitre">
    <w:name w:val="Préliminaire titre"/>
    <w:basedOn w:val="Normal"/>
    <w:next w:val="Normal"/>
    <w:rsid w:val="00AC2BE5"/>
    <w:pPr>
      <w:spacing w:before="360" w:after="360"/>
      <w:jc w:val="center"/>
    </w:pPr>
    <w:rPr>
      <w:rFonts w:eastAsia="Times New Roman"/>
      <w:b/>
      <w:lang w:eastAsia="en-GB"/>
    </w:rPr>
  </w:style>
  <w:style w:type="paragraph" w:customStyle="1" w:styleId="Prliminairetype">
    <w:name w:val="Préliminaire type"/>
    <w:basedOn w:val="Normal"/>
    <w:next w:val="Normal"/>
    <w:rsid w:val="00AC2BE5"/>
    <w:pPr>
      <w:spacing w:before="360" w:after="0"/>
      <w:jc w:val="center"/>
    </w:pPr>
    <w:rPr>
      <w:rFonts w:eastAsia="Times New Roman"/>
      <w:b/>
      <w:lang w:eastAsia="en-GB"/>
    </w:rPr>
  </w:style>
  <w:style w:type="paragraph" w:customStyle="1" w:styleId="Rfrenceinstitutionelle">
    <w:name w:val="Référence institutionelle"/>
    <w:basedOn w:val="Normal"/>
    <w:next w:val="Statut"/>
    <w:rsid w:val="00AC2BE5"/>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rsid w:val="00AC2BE5"/>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rsid w:val="00AC2BE5"/>
    <w:pPr>
      <w:spacing w:before="0" w:after="0"/>
      <w:ind w:left="5103"/>
      <w:jc w:val="left"/>
    </w:pPr>
    <w:rPr>
      <w:rFonts w:eastAsia="Times New Roman"/>
      <w:lang w:eastAsia="en-GB"/>
    </w:rPr>
  </w:style>
  <w:style w:type="paragraph" w:customStyle="1" w:styleId="Sous-titreobjetprliminaire">
    <w:name w:val="Sous-titre objet (préliminaire)"/>
    <w:basedOn w:val="Normal"/>
    <w:rsid w:val="00AC2BE5"/>
    <w:pPr>
      <w:spacing w:before="0" w:after="0"/>
      <w:jc w:val="center"/>
    </w:pPr>
    <w:rPr>
      <w:rFonts w:eastAsia="Times New Roman"/>
      <w:b/>
      <w:lang w:eastAsia="en-GB"/>
    </w:rPr>
  </w:style>
  <w:style w:type="paragraph" w:customStyle="1" w:styleId="Statutprliminaire">
    <w:name w:val="Statut (préliminaire)"/>
    <w:basedOn w:val="Normal"/>
    <w:next w:val="Normal"/>
    <w:rsid w:val="00AC2BE5"/>
    <w:pPr>
      <w:spacing w:before="360" w:after="0"/>
      <w:jc w:val="center"/>
    </w:pPr>
    <w:rPr>
      <w:rFonts w:eastAsia="Times New Roman"/>
      <w:lang w:eastAsia="en-GB"/>
    </w:rPr>
  </w:style>
  <w:style w:type="paragraph" w:customStyle="1" w:styleId="Titreobjetprliminaire">
    <w:name w:val="Titre objet (préliminaire)"/>
    <w:basedOn w:val="Normal"/>
    <w:next w:val="Normal"/>
    <w:rsid w:val="00AC2BE5"/>
    <w:pPr>
      <w:spacing w:before="360" w:after="360"/>
      <w:jc w:val="center"/>
    </w:pPr>
    <w:rPr>
      <w:rFonts w:eastAsia="Times New Roman"/>
      <w:b/>
      <w:lang w:eastAsia="en-GB"/>
    </w:rPr>
  </w:style>
  <w:style w:type="paragraph" w:customStyle="1" w:styleId="Typedudocumentprliminaire">
    <w:name w:val="Type du document (préliminaire)"/>
    <w:basedOn w:val="Normal"/>
    <w:next w:val="Normal"/>
    <w:rsid w:val="00AC2BE5"/>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rsid w:val="00AC2BE5"/>
    <w:pPr>
      <w:jc w:val="center"/>
    </w:pPr>
    <w:rPr>
      <w:rFonts w:eastAsia="Times New Roman"/>
      <w:b/>
      <w:u w:val="single"/>
      <w:lang w:eastAsia="en-GB"/>
    </w:rPr>
  </w:style>
  <w:style w:type="paragraph" w:customStyle="1" w:styleId="Fichefinancirestandardtitreacte">
    <w:name w:val="Fiche financière (standard) titre (acte)"/>
    <w:basedOn w:val="Normal"/>
    <w:next w:val="Normal"/>
    <w:rsid w:val="00AC2BE5"/>
    <w:pPr>
      <w:jc w:val="center"/>
    </w:pPr>
    <w:rPr>
      <w:rFonts w:eastAsia="Times New Roman"/>
      <w:b/>
      <w:u w:val="single"/>
      <w:lang w:eastAsia="en-GB"/>
    </w:rPr>
  </w:style>
  <w:style w:type="paragraph" w:customStyle="1" w:styleId="Fichefinanciretravailtitre">
    <w:name w:val="Fiche financière (travail) titre"/>
    <w:basedOn w:val="Normal"/>
    <w:next w:val="Normal"/>
    <w:rsid w:val="00AC2BE5"/>
    <w:pPr>
      <w:jc w:val="center"/>
    </w:pPr>
    <w:rPr>
      <w:rFonts w:eastAsia="Times New Roman"/>
      <w:b/>
      <w:u w:val="single"/>
      <w:lang w:eastAsia="en-GB"/>
    </w:rPr>
  </w:style>
  <w:style w:type="paragraph" w:customStyle="1" w:styleId="Fichefinanciretravailtitreacte">
    <w:name w:val="Fiche financière (travail) titre (acte)"/>
    <w:basedOn w:val="Normal"/>
    <w:next w:val="Normal"/>
    <w:rsid w:val="00AC2BE5"/>
    <w:pPr>
      <w:jc w:val="center"/>
    </w:pPr>
    <w:rPr>
      <w:rFonts w:eastAsia="Times New Roman"/>
      <w:b/>
      <w:u w:val="single"/>
      <w:lang w:eastAsia="en-GB"/>
    </w:rPr>
  </w:style>
  <w:style w:type="paragraph" w:customStyle="1" w:styleId="Fichefinancireattributiontitre">
    <w:name w:val="Fiche financière (attribution) titre"/>
    <w:basedOn w:val="Normal"/>
    <w:next w:val="Normal"/>
    <w:rsid w:val="00AC2BE5"/>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rsid w:val="00AC2BE5"/>
    <w:pPr>
      <w:jc w:val="center"/>
    </w:pPr>
    <w:rPr>
      <w:rFonts w:eastAsia="Times New Roman"/>
      <w:b/>
      <w:u w:val="single"/>
      <w:lang w:eastAsia="en-GB"/>
    </w:rPr>
  </w:style>
  <w:style w:type="character" w:styleId="CommentReference">
    <w:name w:val="annotation reference"/>
    <w:rsid w:val="00AC2BE5"/>
    <w:rPr>
      <w:rFonts w:cs="Times New Roman"/>
      <w:sz w:val="16"/>
      <w:szCs w:val="16"/>
    </w:rPr>
  </w:style>
  <w:style w:type="paragraph" w:styleId="CommentText">
    <w:name w:val="annotation text"/>
    <w:basedOn w:val="Normal"/>
    <w:link w:val="CommentTextChar"/>
    <w:rsid w:val="00AC2BE5"/>
    <w:rPr>
      <w:rFonts w:eastAsia="Times New Roman"/>
      <w:sz w:val="20"/>
      <w:szCs w:val="20"/>
      <w:lang w:eastAsia="en-GB"/>
    </w:rPr>
  </w:style>
  <w:style w:type="character" w:customStyle="1" w:styleId="CommentTextChar">
    <w:name w:val="Comment Text Char"/>
    <w:basedOn w:val="DefaultParagraphFont"/>
    <w:link w:val="CommentText"/>
    <w:rsid w:val="00AC2BE5"/>
    <w:rPr>
      <w:rFonts w:ascii="Times New Roman" w:eastAsia="Times New Roman" w:hAnsi="Times New Roman" w:cs="Times New Roman"/>
      <w:sz w:val="20"/>
      <w:szCs w:val="20"/>
      <w:lang w:val="pl-PL" w:eastAsia="en-GB"/>
    </w:rPr>
  </w:style>
  <w:style w:type="paragraph" w:styleId="CommentSubject">
    <w:name w:val="annotation subject"/>
    <w:basedOn w:val="CommentText"/>
    <w:next w:val="CommentText"/>
    <w:link w:val="CommentSubjectChar"/>
    <w:rsid w:val="00AC2BE5"/>
    <w:rPr>
      <w:b/>
      <w:bCs/>
    </w:rPr>
  </w:style>
  <w:style w:type="character" w:customStyle="1" w:styleId="CommentSubjectChar">
    <w:name w:val="Comment Subject Char"/>
    <w:basedOn w:val="CommentTextChar"/>
    <w:link w:val="CommentSubject"/>
    <w:rsid w:val="00AC2BE5"/>
    <w:rPr>
      <w:rFonts w:ascii="Times New Roman" w:eastAsia="Times New Roman" w:hAnsi="Times New Roman" w:cs="Times New Roman"/>
      <w:b/>
      <w:bCs/>
      <w:sz w:val="20"/>
      <w:szCs w:val="20"/>
      <w:lang w:val="pl-PL" w:eastAsia="en-GB"/>
    </w:rPr>
  </w:style>
  <w:style w:type="paragraph" w:styleId="BalloonText">
    <w:name w:val="Balloon Text"/>
    <w:basedOn w:val="Normal"/>
    <w:link w:val="BalloonTextChar"/>
    <w:rsid w:val="00AC2BE5"/>
    <w:rPr>
      <w:rFonts w:ascii="Tahoma" w:eastAsia="Times New Roman" w:hAnsi="Tahoma" w:cs="Tahoma"/>
      <w:sz w:val="16"/>
      <w:szCs w:val="16"/>
      <w:lang w:eastAsia="en-GB"/>
    </w:rPr>
  </w:style>
  <w:style w:type="character" w:customStyle="1" w:styleId="BalloonTextChar">
    <w:name w:val="Balloon Text Char"/>
    <w:basedOn w:val="DefaultParagraphFont"/>
    <w:link w:val="BalloonText"/>
    <w:rsid w:val="00AC2BE5"/>
    <w:rPr>
      <w:rFonts w:ascii="Tahoma" w:eastAsia="Times New Roman" w:hAnsi="Tahoma" w:cs="Tahoma"/>
      <w:sz w:val="16"/>
      <w:szCs w:val="16"/>
      <w:lang w:val="pl-PL" w:eastAsia="en-GB"/>
    </w:rPr>
  </w:style>
  <w:style w:type="paragraph" w:styleId="Caption">
    <w:name w:val="caption"/>
    <w:basedOn w:val="Normal"/>
    <w:next w:val="Normal"/>
    <w:qFormat/>
    <w:rsid w:val="00AC2BE5"/>
    <w:rPr>
      <w:rFonts w:eastAsia="Times New Roman"/>
      <w:b/>
      <w:bCs/>
      <w:sz w:val="20"/>
      <w:szCs w:val="20"/>
      <w:lang w:eastAsia="en-GB"/>
    </w:rPr>
  </w:style>
  <w:style w:type="paragraph" w:styleId="TableofFigures">
    <w:name w:val="table of figures"/>
    <w:basedOn w:val="Normal"/>
    <w:next w:val="Normal"/>
    <w:rsid w:val="00AC2BE5"/>
    <w:rPr>
      <w:rFonts w:eastAsia="Times New Roman"/>
      <w:lang w:eastAsia="en-GB"/>
    </w:rPr>
  </w:style>
  <w:style w:type="character" w:styleId="PageNumber">
    <w:name w:val="page number"/>
    <w:rsid w:val="00AC2BE5"/>
  </w:style>
  <w:style w:type="character" w:customStyle="1" w:styleId="tw4winMark">
    <w:name w:val="tw4winMark"/>
    <w:rsid w:val="00AC2BE5"/>
    <w:rPr>
      <w:vanish/>
      <w:color w:val="800080"/>
      <w:vertAlign w:val="subscript"/>
    </w:rPr>
  </w:style>
  <w:style w:type="character" w:styleId="FollowedHyperlink">
    <w:name w:val="FollowedHyperlink"/>
    <w:rsid w:val="00AC2BE5"/>
    <w:rPr>
      <w:color w:val="800080"/>
      <w:u w:val="single"/>
    </w:rPr>
  </w:style>
  <w:style w:type="paragraph" w:customStyle="1" w:styleId="Sous-titreobjet">
    <w:name w:val="Sous-titre objet"/>
    <w:basedOn w:val="Normal"/>
    <w:rsid w:val="00AC2BE5"/>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AC2BE5"/>
  </w:style>
  <w:style w:type="paragraph" w:styleId="Revision">
    <w:name w:val="Revision"/>
    <w:hidden/>
    <w:uiPriority w:val="99"/>
    <w:semiHidden/>
    <w:rsid w:val="00AC2BE5"/>
    <w:rPr>
      <w:rFonts w:ascii="Calibri" w:eastAsia="Calibri" w:hAnsi="Calibri" w:cs="Times New Roman"/>
      <w:sz w:val="24"/>
      <w:lang w:eastAsia="en-GB"/>
    </w:rPr>
  </w:style>
  <w:style w:type="paragraph" w:customStyle="1" w:styleId="FooterCoverPage">
    <w:name w:val="Footer Cover Page"/>
    <w:basedOn w:val="Normal"/>
    <w:link w:val="FooterCoverPageChar"/>
    <w:rsid w:val="00AC2BE5"/>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AC2BE5"/>
    <w:rPr>
      <w:rFonts w:ascii="Times New Roman" w:hAnsi="Times New Roman" w:cs="Times New Roman"/>
      <w:b/>
      <w:sz w:val="28"/>
      <w:lang w:val="pl-PL"/>
    </w:rPr>
  </w:style>
  <w:style w:type="character" w:customStyle="1" w:styleId="FooterCoverPageChar">
    <w:name w:val="Footer Cover Page Char"/>
    <w:link w:val="FooterCoverPage"/>
    <w:rsid w:val="00AC2BE5"/>
    <w:rPr>
      <w:rFonts w:ascii="Times New Roman" w:eastAsia="Calibri" w:hAnsi="Times New Roman" w:cs="Times New Roman"/>
      <w:sz w:val="24"/>
      <w:lang w:val="pl-PL" w:eastAsia="en-GB"/>
    </w:rPr>
  </w:style>
  <w:style w:type="paragraph" w:customStyle="1" w:styleId="HeaderCoverPage">
    <w:name w:val="Header Cover Page"/>
    <w:basedOn w:val="Normal"/>
    <w:link w:val="HeaderCoverPageChar"/>
    <w:rsid w:val="00AC2BE5"/>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AC2BE5"/>
    <w:rPr>
      <w:rFonts w:ascii="Times New Roman" w:eastAsia="Calibri" w:hAnsi="Times New Roman" w:cs="Times New Roman"/>
      <w:sz w:val="24"/>
      <w:lang w:val="pl-PL" w:eastAsia="en-GB"/>
    </w:rPr>
  </w:style>
  <w:style w:type="character" w:customStyle="1" w:styleId="FooterSensitivityChar">
    <w:name w:val="Footer Sensitivity Char"/>
    <w:rsid w:val="00AC2BE5"/>
    <w:rPr>
      <w:rFonts w:ascii="Times New Roman" w:hAnsi="Times New Roman" w:cs="Times New Roman"/>
      <w:b/>
      <w:sz w:val="32"/>
      <w:lang w:val="pl-PL"/>
    </w:rPr>
  </w:style>
  <w:style w:type="character" w:customStyle="1" w:styleId="HeaderSensitivityChar">
    <w:name w:val="Header Sensitivity Char"/>
    <w:rsid w:val="00AC2BE5"/>
    <w:rPr>
      <w:rFonts w:ascii="Times New Roman" w:hAnsi="Times New Roman" w:cs="Times New Roman"/>
      <w:b/>
      <w:sz w:val="32"/>
      <w:lang w:val="pl-PL"/>
    </w:rPr>
  </w:style>
  <w:style w:type="character" w:customStyle="1" w:styleId="HeaderSensitivityRightChar">
    <w:name w:val="Header Sensitivity Right Char"/>
    <w:rsid w:val="00AC2BE5"/>
    <w:rPr>
      <w:rFonts w:ascii="Times New Roman" w:hAnsi="Times New Roman" w:cs="Times New Roman"/>
      <w:sz w:val="28"/>
      <w:lang w:val="pl-PL"/>
    </w:rPr>
  </w:style>
  <w:style w:type="paragraph" w:customStyle="1" w:styleId="LegalNumPar">
    <w:name w:val="LegalNumPar"/>
    <w:basedOn w:val="Normal"/>
    <w:rsid w:val="00AC2BE5"/>
    <w:pPr>
      <w:numPr>
        <w:ilvl w:val="1"/>
        <w:numId w:val="16"/>
      </w:numPr>
      <w:spacing w:line="360" w:lineRule="auto"/>
    </w:pPr>
    <w:rPr>
      <w:rFonts w:eastAsia="Times New Roman"/>
      <w:lang w:eastAsia="en-GB"/>
    </w:rPr>
  </w:style>
  <w:style w:type="paragraph" w:customStyle="1" w:styleId="LegalNumPar2">
    <w:name w:val="LegalNumPar2"/>
    <w:basedOn w:val="Normal"/>
    <w:rsid w:val="00AC2BE5"/>
    <w:pPr>
      <w:spacing w:line="360" w:lineRule="auto"/>
      <w:ind w:left="953" w:hanging="477"/>
    </w:pPr>
    <w:rPr>
      <w:rFonts w:eastAsia="Times New Roman"/>
      <w:lang w:eastAsia="en-GB"/>
    </w:rPr>
  </w:style>
  <w:style w:type="paragraph" w:customStyle="1" w:styleId="LegalNumPar3">
    <w:name w:val="LegalNumPar3"/>
    <w:basedOn w:val="Normal"/>
    <w:rsid w:val="00AC2BE5"/>
    <w:pPr>
      <w:spacing w:line="360" w:lineRule="auto"/>
      <w:ind w:left="1429" w:hanging="476"/>
    </w:pPr>
    <w:rPr>
      <w:rFonts w:eastAsia="Times New Roman"/>
      <w:lang w:eastAsia="en-GB"/>
    </w:rPr>
  </w:style>
  <w:style w:type="paragraph" w:styleId="ListParagraph">
    <w:name w:val="List Paragraph"/>
    <w:basedOn w:val="Normal"/>
    <w:uiPriority w:val="34"/>
    <w:qFormat/>
    <w:rsid w:val="00AC2BE5"/>
    <w:pPr>
      <w:ind w:left="720"/>
      <w:contextualSpacing/>
    </w:pPr>
    <w:rPr>
      <w:rFonts w:eastAsia="Times New Roman"/>
      <w:lang w:eastAsia="en-GB"/>
    </w:rPr>
  </w:style>
  <w:style w:type="character" w:styleId="UnresolvedMention">
    <w:name w:val="Unresolved Mention"/>
    <w:basedOn w:val="DefaultParagraphFont"/>
    <w:uiPriority w:val="99"/>
    <w:semiHidden/>
    <w:unhideWhenUsed/>
    <w:rsid w:val="00AC2BE5"/>
    <w:rPr>
      <w:color w:val="605E5C"/>
      <w:shd w:val="clear" w:color="auto" w:fill="E1DFDD"/>
    </w:rPr>
  </w:style>
  <w:style w:type="character" w:styleId="Strong">
    <w:name w:val="Strong"/>
    <w:basedOn w:val="DefaultParagraphFont"/>
    <w:uiPriority w:val="22"/>
    <w:qFormat/>
    <w:rsid w:val="00AC2BE5"/>
    <w:rPr>
      <w:b/>
      <w:bCs/>
    </w:rPr>
  </w:style>
  <w:style w:type="character" w:styleId="Emphasis">
    <w:name w:val="Emphasis"/>
    <w:basedOn w:val="DefaultParagraphFont"/>
    <w:qFormat/>
    <w:rsid w:val="00AC2BE5"/>
    <w:rPr>
      <w:i/>
      <w:iCs/>
    </w:rPr>
  </w:style>
  <w:style w:type="character" w:styleId="Mention">
    <w:name w:val="Mention"/>
    <w:basedOn w:val="DefaultParagraphFont"/>
    <w:uiPriority w:val="99"/>
    <w:unhideWhenUsed/>
    <w:rsid w:val="00AC2BE5"/>
    <w:rPr>
      <w:color w:val="2B579A"/>
      <w:shd w:val="clear" w:color="auto" w:fill="E1DFDD"/>
    </w:rPr>
  </w:style>
  <w:style w:type="character" w:customStyle="1" w:styleId="normaltextrun">
    <w:name w:val="normaltextrun"/>
    <w:basedOn w:val="DefaultParagraphFont"/>
    <w:rsid w:val="00AC2BE5"/>
  </w:style>
  <w:style w:type="character" w:customStyle="1" w:styleId="eop">
    <w:name w:val="eop"/>
    <w:basedOn w:val="DefaultParagraphFont"/>
    <w:rsid w:val="00AC2BE5"/>
  </w:style>
  <w:style w:type="paragraph" w:customStyle="1" w:styleId="Titreti">
    <w:name w:val="Titre ti"/>
    <w:basedOn w:val="ChapterTitle"/>
    <w:rsid w:val="00264AE1"/>
    <w:rPr>
      <w:b w:val="0"/>
      <w:bCs/>
    </w:rPr>
  </w:style>
  <w:style w:type="paragraph" w:customStyle="1" w:styleId="Point1l">
    <w:name w:val="Point 1 l"/>
    <w:basedOn w:val="Point2letter"/>
    <w:rsid w:val="00933C33"/>
  </w:style>
  <w:style w:type="paragraph" w:styleId="NormalWeb">
    <w:name w:val="Normal (Web)"/>
    <w:basedOn w:val="Normal"/>
    <w:uiPriority w:val="99"/>
    <w:semiHidden/>
    <w:unhideWhenUsed/>
    <w:rsid w:val="00C72017"/>
    <w:pPr>
      <w:spacing w:before="100" w:beforeAutospacing="1" w:after="100" w:afterAutospacing="1"/>
      <w:jc w:val="left"/>
    </w:pPr>
    <w:rPr>
      <w:rFonts w:eastAsia="Times New Roman"/>
      <w:szCs w:val="24"/>
      <w:lang w:eastAsia="en-IE"/>
    </w:rPr>
  </w:style>
  <w:style w:type="paragraph" w:customStyle="1" w:styleId="Article9">
    <w:name w:val="Article 9"/>
    <w:basedOn w:val="Point0number"/>
    <w:rsid w:val="00C72017"/>
  </w:style>
  <w:style w:type="paragraph" w:customStyle="1" w:styleId="Poinr2">
    <w:name w:val="Poinr 2"/>
    <w:basedOn w:val="Point2"/>
    <w:rsid w:val="00C60C5D"/>
    <w:pPr>
      <w:ind w:hanging="544"/>
    </w:pPr>
  </w:style>
  <w:style w:type="paragraph" w:customStyle="1" w:styleId="Point10">
    <w:name w:val="Point 10"/>
    <w:basedOn w:val="Normal"/>
    <w:pPr>
      <w:ind w:left="1417" w:hanging="567"/>
    </w:pPr>
  </w:style>
  <w:style w:type="paragraph" w:customStyle="1" w:styleId="Titre1">
    <w:name w:val="Titre1"/>
    <w:basedOn w:val="Point0number"/>
    <w:rsid w:val="00CA7231"/>
    <w:pPr>
      <w:numPr>
        <w:numId w:val="0"/>
      </w:numPr>
      <w:ind w:left="850"/>
    </w:pPr>
  </w:style>
  <w:style w:type="paragraph" w:customStyle="1" w:styleId="tent0number">
    <w:name w:val="tent 0 (number)"/>
    <w:basedOn w:val="Point0number"/>
    <w:rsid w:val="00AE5D6E"/>
    <w:pPr>
      <w:numPr>
        <w:numId w:val="0"/>
      </w:numPr>
      <w:ind w:left="850"/>
    </w:pPr>
  </w:style>
  <w:style w:type="paragraph" w:customStyle="1" w:styleId="Text0">
    <w:name w:val="Text 0"/>
    <w:basedOn w:val="Text1"/>
    <w:rsid w:val="00396D7D"/>
    <w:pPr>
      <w:ind w:left="0"/>
    </w:pPr>
    <w:rPr>
      <w:rFonts w:eastAsia="Times New Roman"/>
      <w:szCs w:val="20"/>
      <w:lang w:eastAsia="en-IE"/>
    </w:rPr>
  </w:style>
  <w:style w:type="character" w:customStyle="1" w:styleId="cf01">
    <w:name w:val="cf01"/>
    <w:basedOn w:val="DefaultParagraphFont"/>
    <w:rsid w:val="00F5540F"/>
    <w:rPr>
      <w:rFonts w:ascii="Segoe UI" w:hAnsi="Segoe UI" w:cs="Segoe UI" w:hint="default"/>
      <w:sz w:val="18"/>
      <w:szCs w:val="18"/>
    </w:rPr>
  </w:style>
  <w:style w:type="character" w:customStyle="1" w:styleId="cf11">
    <w:name w:val="cf11"/>
    <w:basedOn w:val="DefaultParagraphFont"/>
    <w:rsid w:val="00F5540F"/>
    <w:rPr>
      <w:rFonts w:ascii="Segoe UI" w:hAnsi="Segoe UI" w:cs="Segoe UI" w:hint="default"/>
      <w:i/>
      <w:iCs/>
      <w:sz w:val="18"/>
      <w:szCs w:val="18"/>
    </w:rPr>
  </w:style>
  <w:style w:type="paragraph" w:customStyle="1" w:styleId="Text10">
    <w:name w:val="Text1"/>
    <w:basedOn w:val="ManualNumPar1"/>
    <w:rsid w:val="0039745E"/>
  </w:style>
  <w:style w:type="paragraph" w:customStyle="1" w:styleId="text12">
    <w:name w:val="text 1 2"/>
    <w:basedOn w:val="Point2"/>
    <w:rsid w:val="00677E37"/>
  </w:style>
  <w:style w:type="paragraph" w:customStyle="1" w:styleId="Point">
    <w:name w:val="Point"/>
    <w:basedOn w:val="Point0"/>
    <w:rsid w:val="0043208C"/>
  </w:style>
  <w:style w:type="character" w:customStyle="1" w:styleId="HeaderChar">
    <w:name w:val="Header Char"/>
    <w:basedOn w:val="DefaultParagraphFont"/>
    <w:link w:val="Header"/>
    <w:uiPriority w:val="99"/>
    <w:rPr>
      <w:rFonts w:ascii="Times New Roman" w:hAnsi="Times New Roman" w:cs="Times New Roman"/>
      <w:sz w:val="24"/>
      <w:shd w:val="clear" w:color="auto" w:fill="auto"/>
      <w:lang w:val="en-GB"/>
    </w:r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pl-PL"/>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pl-PL"/>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pl-PL"/>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pl-PL"/>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pl-PL"/>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pl-PL"/>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pl-PL"/>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18"/>
      </w:numPr>
    </w:pPr>
  </w:style>
  <w:style w:type="paragraph" w:customStyle="1" w:styleId="Tiret1">
    <w:name w:val="Tiret 1"/>
    <w:basedOn w:val="Point1"/>
    <w:pPr>
      <w:numPr>
        <w:numId w:val="19"/>
      </w:numPr>
    </w:pPr>
  </w:style>
  <w:style w:type="paragraph" w:customStyle="1" w:styleId="Tiret2">
    <w:name w:val="Tiret 2"/>
    <w:basedOn w:val="Point2"/>
    <w:pPr>
      <w:numPr>
        <w:numId w:val="20"/>
      </w:numPr>
    </w:pPr>
  </w:style>
  <w:style w:type="paragraph" w:customStyle="1" w:styleId="Tiret3">
    <w:name w:val="Tiret 3"/>
    <w:basedOn w:val="Point3"/>
    <w:pPr>
      <w:numPr>
        <w:numId w:val="21"/>
      </w:numPr>
    </w:pPr>
  </w:style>
  <w:style w:type="paragraph" w:customStyle="1" w:styleId="Tiret4">
    <w:name w:val="Tiret 4"/>
    <w:basedOn w:val="Point4"/>
    <w:pPr>
      <w:numPr>
        <w:numId w:val="22"/>
      </w:numPr>
    </w:pPr>
  </w:style>
  <w:style w:type="paragraph" w:customStyle="1" w:styleId="Tiret5">
    <w:name w:val="Tiret 5"/>
    <w:basedOn w:val="Point5"/>
    <w:pPr>
      <w:numPr>
        <w:numId w:val="2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4"/>
      </w:numPr>
    </w:pPr>
  </w:style>
  <w:style w:type="paragraph" w:customStyle="1" w:styleId="NumPar2">
    <w:name w:val="NumPar 2"/>
    <w:basedOn w:val="Normal"/>
    <w:next w:val="Text1"/>
    <w:pPr>
      <w:numPr>
        <w:ilvl w:val="1"/>
        <w:numId w:val="24"/>
      </w:numPr>
    </w:pPr>
  </w:style>
  <w:style w:type="paragraph" w:customStyle="1" w:styleId="NumPar3">
    <w:name w:val="NumPar 3"/>
    <w:basedOn w:val="Normal"/>
    <w:next w:val="Text1"/>
    <w:pPr>
      <w:numPr>
        <w:ilvl w:val="2"/>
        <w:numId w:val="24"/>
      </w:numPr>
    </w:pPr>
  </w:style>
  <w:style w:type="paragraph" w:customStyle="1" w:styleId="NumPar4">
    <w:name w:val="NumPar 4"/>
    <w:basedOn w:val="Normal"/>
    <w:next w:val="Text1"/>
    <w:pPr>
      <w:numPr>
        <w:ilvl w:val="3"/>
        <w:numId w:val="24"/>
      </w:numPr>
    </w:pPr>
  </w:style>
  <w:style w:type="paragraph" w:customStyle="1" w:styleId="NumPar5">
    <w:name w:val="NumPar 5"/>
    <w:basedOn w:val="Normal"/>
    <w:next w:val="Text2"/>
    <w:pPr>
      <w:numPr>
        <w:ilvl w:val="4"/>
        <w:numId w:val="24"/>
      </w:numPr>
    </w:pPr>
  </w:style>
  <w:style w:type="paragraph" w:customStyle="1" w:styleId="NumPar6">
    <w:name w:val="NumPar 6"/>
    <w:basedOn w:val="Normal"/>
    <w:next w:val="Text2"/>
    <w:pPr>
      <w:numPr>
        <w:ilvl w:val="5"/>
        <w:numId w:val="24"/>
      </w:numPr>
    </w:pPr>
  </w:style>
  <w:style w:type="paragraph" w:customStyle="1" w:styleId="NumPar7">
    <w:name w:val="NumPar 7"/>
    <w:basedOn w:val="Normal"/>
    <w:next w:val="Text2"/>
    <w:pPr>
      <w:numPr>
        <w:ilvl w:val="6"/>
        <w:numId w:val="2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6"/>
      </w:numPr>
    </w:pPr>
  </w:style>
  <w:style w:type="paragraph" w:customStyle="1" w:styleId="Point1number">
    <w:name w:val="Point 1 (number)"/>
    <w:basedOn w:val="Normal"/>
    <w:pPr>
      <w:numPr>
        <w:ilvl w:val="2"/>
        <w:numId w:val="26"/>
      </w:numPr>
    </w:pPr>
  </w:style>
  <w:style w:type="paragraph" w:customStyle="1" w:styleId="Point2number">
    <w:name w:val="Point 2 (number)"/>
    <w:basedOn w:val="Normal"/>
    <w:pPr>
      <w:numPr>
        <w:ilvl w:val="4"/>
        <w:numId w:val="26"/>
      </w:numPr>
    </w:pPr>
  </w:style>
  <w:style w:type="paragraph" w:customStyle="1" w:styleId="Point3number">
    <w:name w:val="Point 3 (number)"/>
    <w:basedOn w:val="Normal"/>
    <w:pPr>
      <w:numPr>
        <w:ilvl w:val="6"/>
        <w:numId w:val="26"/>
      </w:numPr>
    </w:pPr>
  </w:style>
  <w:style w:type="paragraph" w:customStyle="1" w:styleId="Point0letter">
    <w:name w:val="Point 0 (letter)"/>
    <w:basedOn w:val="Normal"/>
    <w:pPr>
      <w:numPr>
        <w:ilvl w:val="1"/>
        <w:numId w:val="26"/>
      </w:numPr>
    </w:pPr>
  </w:style>
  <w:style w:type="paragraph" w:customStyle="1" w:styleId="Point1letter">
    <w:name w:val="Point 1 (letter)"/>
    <w:basedOn w:val="Normal"/>
    <w:pPr>
      <w:numPr>
        <w:ilvl w:val="3"/>
        <w:numId w:val="26"/>
      </w:numPr>
    </w:pPr>
  </w:style>
  <w:style w:type="paragraph" w:customStyle="1" w:styleId="Point2letter">
    <w:name w:val="Point 2 (letter)"/>
    <w:basedOn w:val="Normal"/>
    <w:pPr>
      <w:numPr>
        <w:ilvl w:val="5"/>
        <w:numId w:val="26"/>
      </w:numPr>
    </w:pPr>
  </w:style>
  <w:style w:type="paragraph" w:customStyle="1" w:styleId="Point3letter">
    <w:name w:val="Point 3 (letter)"/>
    <w:basedOn w:val="Normal"/>
    <w:pPr>
      <w:numPr>
        <w:ilvl w:val="7"/>
        <w:numId w:val="26"/>
      </w:numPr>
    </w:pPr>
  </w:style>
  <w:style w:type="paragraph" w:customStyle="1" w:styleId="Point4letter">
    <w:name w:val="Point 4 (letter)"/>
    <w:basedOn w:val="Normal"/>
    <w:pPr>
      <w:numPr>
        <w:ilvl w:val="8"/>
        <w:numId w:val="26"/>
      </w:numPr>
    </w:pPr>
  </w:style>
  <w:style w:type="paragraph" w:customStyle="1" w:styleId="Bullet0">
    <w:name w:val="Bullet 0"/>
    <w:basedOn w:val="Normal"/>
    <w:pPr>
      <w:numPr>
        <w:numId w:val="27"/>
      </w:numPr>
    </w:pPr>
  </w:style>
  <w:style w:type="paragraph" w:customStyle="1" w:styleId="Bullet1">
    <w:name w:val="Bullet 1"/>
    <w:basedOn w:val="Normal"/>
    <w:pPr>
      <w:numPr>
        <w:numId w:val="28"/>
      </w:numPr>
    </w:pPr>
  </w:style>
  <w:style w:type="paragraph" w:customStyle="1" w:styleId="Bullet2">
    <w:name w:val="Bullet 2"/>
    <w:basedOn w:val="Normal"/>
    <w:pPr>
      <w:numPr>
        <w:numId w:val="29"/>
      </w:numPr>
    </w:pPr>
  </w:style>
  <w:style w:type="paragraph" w:customStyle="1" w:styleId="Bullet3">
    <w:name w:val="Bullet 3"/>
    <w:basedOn w:val="Normal"/>
    <w:pPr>
      <w:numPr>
        <w:numId w:val="30"/>
      </w:numPr>
    </w:pPr>
  </w:style>
  <w:style w:type="paragraph" w:customStyle="1" w:styleId="Bullet4">
    <w:name w:val="Bullet 4"/>
    <w:basedOn w:val="Normal"/>
    <w:pPr>
      <w:numPr>
        <w:numId w:val="31"/>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rsid w:val="00E664ED"/>
    <w:pPr>
      <w:spacing w:before="360" w:after="24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rsid w:val="00E664ED"/>
    <w:pPr>
      <w:spacing w:after="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Normal"/>
    <w:rsid w:val="00E664ED"/>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Rfrencecroise"/>
    <w:rsid w:val="00E664ED"/>
    <w:pPr>
      <w:spacing w:before="360" w:after="240"/>
      <w:jc w:val="center"/>
    </w:pPr>
  </w:style>
  <w:style w:type="paragraph" w:styleId="Header">
    <w:name w:val="header"/>
    <w:basedOn w:val="Normal"/>
    <w:link w:val="HeaderChar"/>
    <w:uiPriority w:val="99"/>
    <w:unhideWhenUsed/>
    <w:pPr>
      <w:tabs>
        <w:tab w:val="center" w:pos="4535"/>
        <w:tab w:val="right" w:pos="9071"/>
      </w:tabs>
      <w:spacing w:before="0"/>
    </w:pPr>
  </w:style>
  <w:style w:type="paragraph" w:customStyle="1" w:styleId="HeaderLandscape">
    <w:name w:val="HeaderLandscape"/>
    <w:basedOn w:val="Normal"/>
    <w:pPr>
      <w:tabs>
        <w:tab w:val="center" w:pos="7285"/>
        <w:tab w:val="right" w:pos="14003"/>
      </w:tabs>
      <w:spacing w:before="0"/>
    </w:p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50436">
      <w:bodyDiv w:val="1"/>
      <w:marLeft w:val="0"/>
      <w:marRight w:val="0"/>
      <w:marTop w:val="0"/>
      <w:marBottom w:val="0"/>
      <w:divBdr>
        <w:top w:val="none" w:sz="0" w:space="0" w:color="auto"/>
        <w:left w:val="none" w:sz="0" w:space="0" w:color="auto"/>
        <w:bottom w:val="none" w:sz="0" w:space="0" w:color="auto"/>
        <w:right w:val="none" w:sz="0" w:space="0" w:color="auto"/>
      </w:divBdr>
      <w:divsChild>
        <w:div w:id="1039012381">
          <w:marLeft w:val="0"/>
          <w:marRight w:val="0"/>
          <w:marTop w:val="0"/>
          <w:marBottom w:val="0"/>
          <w:divBdr>
            <w:top w:val="none" w:sz="0" w:space="0" w:color="auto"/>
            <w:left w:val="none" w:sz="0" w:space="0" w:color="auto"/>
            <w:bottom w:val="none" w:sz="0" w:space="0" w:color="auto"/>
            <w:right w:val="none" w:sz="0" w:space="0" w:color="auto"/>
          </w:divBdr>
          <w:divsChild>
            <w:div w:id="1353385499">
              <w:marLeft w:val="0"/>
              <w:marRight w:val="0"/>
              <w:marTop w:val="0"/>
              <w:marBottom w:val="0"/>
              <w:divBdr>
                <w:top w:val="none" w:sz="0" w:space="0" w:color="auto"/>
                <w:left w:val="none" w:sz="0" w:space="0" w:color="auto"/>
                <w:bottom w:val="none" w:sz="0" w:space="0" w:color="auto"/>
                <w:right w:val="none" w:sz="0" w:space="0" w:color="auto"/>
              </w:divBdr>
              <w:divsChild>
                <w:div w:id="1756630369">
                  <w:marLeft w:val="0"/>
                  <w:marRight w:val="0"/>
                  <w:marTop w:val="0"/>
                  <w:marBottom w:val="0"/>
                  <w:divBdr>
                    <w:top w:val="none" w:sz="0" w:space="0" w:color="auto"/>
                    <w:left w:val="none" w:sz="0" w:space="0" w:color="auto"/>
                    <w:bottom w:val="none" w:sz="0" w:space="0" w:color="auto"/>
                    <w:right w:val="none" w:sz="0" w:space="0" w:color="auto"/>
                  </w:divBdr>
                  <w:divsChild>
                    <w:div w:id="1905140181">
                      <w:marLeft w:val="0"/>
                      <w:marRight w:val="0"/>
                      <w:marTop w:val="0"/>
                      <w:marBottom w:val="0"/>
                      <w:divBdr>
                        <w:top w:val="none" w:sz="0" w:space="0" w:color="auto"/>
                        <w:left w:val="none" w:sz="0" w:space="0" w:color="auto"/>
                        <w:bottom w:val="none" w:sz="0" w:space="0" w:color="auto"/>
                        <w:right w:val="none" w:sz="0" w:space="0" w:color="auto"/>
                      </w:divBdr>
                      <w:divsChild>
                        <w:div w:id="1488669007">
                          <w:marLeft w:val="0"/>
                          <w:marRight w:val="0"/>
                          <w:marTop w:val="0"/>
                          <w:marBottom w:val="0"/>
                          <w:divBdr>
                            <w:top w:val="none" w:sz="0" w:space="0" w:color="auto"/>
                            <w:left w:val="none" w:sz="0" w:space="0" w:color="auto"/>
                            <w:bottom w:val="none" w:sz="0" w:space="0" w:color="auto"/>
                            <w:right w:val="none" w:sz="0" w:space="0" w:color="auto"/>
                          </w:divBdr>
                          <w:divsChild>
                            <w:div w:id="284697608">
                              <w:marLeft w:val="0"/>
                              <w:marRight w:val="0"/>
                              <w:marTop w:val="0"/>
                              <w:marBottom w:val="0"/>
                              <w:divBdr>
                                <w:top w:val="none" w:sz="0" w:space="0" w:color="auto"/>
                                <w:left w:val="none" w:sz="0" w:space="0" w:color="auto"/>
                                <w:bottom w:val="none" w:sz="0" w:space="0" w:color="auto"/>
                                <w:right w:val="none" w:sz="0" w:space="0" w:color="auto"/>
                              </w:divBdr>
                              <w:divsChild>
                                <w:div w:id="13729956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154543">
      <w:bodyDiv w:val="1"/>
      <w:marLeft w:val="0"/>
      <w:marRight w:val="0"/>
      <w:marTop w:val="0"/>
      <w:marBottom w:val="0"/>
      <w:divBdr>
        <w:top w:val="none" w:sz="0" w:space="0" w:color="auto"/>
        <w:left w:val="none" w:sz="0" w:space="0" w:color="auto"/>
        <w:bottom w:val="none" w:sz="0" w:space="0" w:color="auto"/>
        <w:right w:val="none" w:sz="0" w:space="0" w:color="auto"/>
      </w:divBdr>
    </w:div>
    <w:div w:id="116876462">
      <w:bodyDiv w:val="1"/>
      <w:marLeft w:val="0"/>
      <w:marRight w:val="0"/>
      <w:marTop w:val="0"/>
      <w:marBottom w:val="0"/>
      <w:divBdr>
        <w:top w:val="none" w:sz="0" w:space="0" w:color="auto"/>
        <w:left w:val="none" w:sz="0" w:space="0" w:color="auto"/>
        <w:bottom w:val="none" w:sz="0" w:space="0" w:color="auto"/>
        <w:right w:val="none" w:sz="0" w:space="0" w:color="auto"/>
      </w:divBdr>
      <w:divsChild>
        <w:div w:id="1533567026">
          <w:marLeft w:val="0"/>
          <w:marRight w:val="0"/>
          <w:marTop w:val="0"/>
          <w:marBottom w:val="0"/>
          <w:divBdr>
            <w:top w:val="none" w:sz="0" w:space="0" w:color="auto"/>
            <w:left w:val="none" w:sz="0" w:space="0" w:color="auto"/>
            <w:bottom w:val="none" w:sz="0" w:space="0" w:color="auto"/>
            <w:right w:val="none" w:sz="0" w:space="0" w:color="auto"/>
          </w:divBdr>
        </w:div>
      </w:divsChild>
    </w:div>
    <w:div w:id="118227665">
      <w:bodyDiv w:val="1"/>
      <w:marLeft w:val="0"/>
      <w:marRight w:val="0"/>
      <w:marTop w:val="0"/>
      <w:marBottom w:val="0"/>
      <w:divBdr>
        <w:top w:val="none" w:sz="0" w:space="0" w:color="auto"/>
        <w:left w:val="none" w:sz="0" w:space="0" w:color="auto"/>
        <w:bottom w:val="none" w:sz="0" w:space="0" w:color="auto"/>
        <w:right w:val="none" w:sz="0" w:space="0" w:color="auto"/>
      </w:divBdr>
    </w:div>
    <w:div w:id="164830724">
      <w:bodyDiv w:val="1"/>
      <w:marLeft w:val="0"/>
      <w:marRight w:val="0"/>
      <w:marTop w:val="0"/>
      <w:marBottom w:val="0"/>
      <w:divBdr>
        <w:top w:val="none" w:sz="0" w:space="0" w:color="auto"/>
        <w:left w:val="none" w:sz="0" w:space="0" w:color="auto"/>
        <w:bottom w:val="none" w:sz="0" w:space="0" w:color="auto"/>
        <w:right w:val="none" w:sz="0" w:space="0" w:color="auto"/>
      </w:divBdr>
      <w:divsChild>
        <w:div w:id="20900331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93670">
      <w:bodyDiv w:val="1"/>
      <w:marLeft w:val="0"/>
      <w:marRight w:val="0"/>
      <w:marTop w:val="0"/>
      <w:marBottom w:val="0"/>
      <w:divBdr>
        <w:top w:val="none" w:sz="0" w:space="0" w:color="auto"/>
        <w:left w:val="none" w:sz="0" w:space="0" w:color="auto"/>
        <w:bottom w:val="none" w:sz="0" w:space="0" w:color="auto"/>
        <w:right w:val="none" w:sz="0" w:space="0" w:color="auto"/>
      </w:divBdr>
    </w:div>
    <w:div w:id="201750577">
      <w:bodyDiv w:val="1"/>
      <w:marLeft w:val="0"/>
      <w:marRight w:val="0"/>
      <w:marTop w:val="0"/>
      <w:marBottom w:val="0"/>
      <w:divBdr>
        <w:top w:val="none" w:sz="0" w:space="0" w:color="auto"/>
        <w:left w:val="none" w:sz="0" w:space="0" w:color="auto"/>
        <w:bottom w:val="none" w:sz="0" w:space="0" w:color="auto"/>
        <w:right w:val="none" w:sz="0" w:space="0" w:color="auto"/>
      </w:divBdr>
    </w:div>
    <w:div w:id="207575069">
      <w:bodyDiv w:val="1"/>
      <w:marLeft w:val="0"/>
      <w:marRight w:val="0"/>
      <w:marTop w:val="0"/>
      <w:marBottom w:val="0"/>
      <w:divBdr>
        <w:top w:val="none" w:sz="0" w:space="0" w:color="auto"/>
        <w:left w:val="none" w:sz="0" w:space="0" w:color="auto"/>
        <w:bottom w:val="none" w:sz="0" w:space="0" w:color="auto"/>
        <w:right w:val="none" w:sz="0" w:space="0" w:color="auto"/>
      </w:divBdr>
      <w:divsChild>
        <w:div w:id="8457477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8177036">
      <w:bodyDiv w:val="1"/>
      <w:marLeft w:val="0"/>
      <w:marRight w:val="0"/>
      <w:marTop w:val="0"/>
      <w:marBottom w:val="0"/>
      <w:divBdr>
        <w:top w:val="none" w:sz="0" w:space="0" w:color="auto"/>
        <w:left w:val="none" w:sz="0" w:space="0" w:color="auto"/>
        <w:bottom w:val="none" w:sz="0" w:space="0" w:color="auto"/>
        <w:right w:val="none" w:sz="0" w:space="0" w:color="auto"/>
      </w:divBdr>
      <w:divsChild>
        <w:div w:id="17626795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8902250">
      <w:bodyDiv w:val="1"/>
      <w:marLeft w:val="0"/>
      <w:marRight w:val="0"/>
      <w:marTop w:val="0"/>
      <w:marBottom w:val="0"/>
      <w:divBdr>
        <w:top w:val="none" w:sz="0" w:space="0" w:color="auto"/>
        <w:left w:val="none" w:sz="0" w:space="0" w:color="auto"/>
        <w:bottom w:val="none" w:sz="0" w:space="0" w:color="auto"/>
        <w:right w:val="none" w:sz="0" w:space="0" w:color="auto"/>
      </w:divBdr>
    </w:div>
    <w:div w:id="298347226">
      <w:bodyDiv w:val="1"/>
      <w:marLeft w:val="0"/>
      <w:marRight w:val="0"/>
      <w:marTop w:val="0"/>
      <w:marBottom w:val="0"/>
      <w:divBdr>
        <w:top w:val="none" w:sz="0" w:space="0" w:color="auto"/>
        <w:left w:val="none" w:sz="0" w:space="0" w:color="auto"/>
        <w:bottom w:val="none" w:sz="0" w:space="0" w:color="auto"/>
        <w:right w:val="none" w:sz="0" w:space="0" w:color="auto"/>
      </w:divBdr>
    </w:div>
    <w:div w:id="307822962">
      <w:bodyDiv w:val="1"/>
      <w:marLeft w:val="0"/>
      <w:marRight w:val="0"/>
      <w:marTop w:val="0"/>
      <w:marBottom w:val="0"/>
      <w:divBdr>
        <w:top w:val="none" w:sz="0" w:space="0" w:color="auto"/>
        <w:left w:val="none" w:sz="0" w:space="0" w:color="auto"/>
        <w:bottom w:val="none" w:sz="0" w:space="0" w:color="auto"/>
        <w:right w:val="none" w:sz="0" w:space="0" w:color="auto"/>
      </w:divBdr>
    </w:div>
    <w:div w:id="365564825">
      <w:bodyDiv w:val="1"/>
      <w:marLeft w:val="0"/>
      <w:marRight w:val="0"/>
      <w:marTop w:val="0"/>
      <w:marBottom w:val="0"/>
      <w:divBdr>
        <w:top w:val="none" w:sz="0" w:space="0" w:color="auto"/>
        <w:left w:val="none" w:sz="0" w:space="0" w:color="auto"/>
        <w:bottom w:val="none" w:sz="0" w:space="0" w:color="auto"/>
        <w:right w:val="none" w:sz="0" w:space="0" w:color="auto"/>
      </w:divBdr>
      <w:divsChild>
        <w:div w:id="567300649">
          <w:marLeft w:val="0"/>
          <w:marRight w:val="0"/>
          <w:marTop w:val="0"/>
          <w:marBottom w:val="0"/>
          <w:divBdr>
            <w:top w:val="none" w:sz="0" w:space="0" w:color="auto"/>
            <w:left w:val="none" w:sz="0" w:space="0" w:color="auto"/>
            <w:bottom w:val="none" w:sz="0" w:space="0" w:color="auto"/>
            <w:right w:val="none" w:sz="0" w:space="0" w:color="auto"/>
          </w:divBdr>
        </w:div>
      </w:divsChild>
    </w:div>
    <w:div w:id="369183488">
      <w:bodyDiv w:val="1"/>
      <w:marLeft w:val="0"/>
      <w:marRight w:val="0"/>
      <w:marTop w:val="0"/>
      <w:marBottom w:val="0"/>
      <w:divBdr>
        <w:top w:val="none" w:sz="0" w:space="0" w:color="auto"/>
        <w:left w:val="none" w:sz="0" w:space="0" w:color="auto"/>
        <w:bottom w:val="none" w:sz="0" w:space="0" w:color="auto"/>
        <w:right w:val="none" w:sz="0" w:space="0" w:color="auto"/>
      </w:divBdr>
    </w:div>
    <w:div w:id="380398349">
      <w:bodyDiv w:val="1"/>
      <w:marLeft w:val="0"/>
      <w:marRight w:val="0"/>
      <w:marTop w:val="0"/>
      <w:marBottom w:val="0"/>
      <w:divBdr>
        <w:top w:val="none" w:sz="0" w:space="0" w:color="auto"/>
        <w:left w:val="none" w:sz="0" w:space="0" w:color="auto"/>
        <w:bottom w:val="none" w:sz="0" w:space="0" w:color="auto"/>
        <w:right w:val="none" w:sz="0" w:space="0" w:color="auto"/>
      </w:divBdr>
      <w:divsChild>
        <w:div w:id="267667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5200518">
      <w:bodyDiv w:val="1"/>
      <w:marLeft w:val="0"/>
      <w:marRight w:val="0"/>
      <w:marTop w:val="0"/>
      <w:marBottom w:val="0"/>
      <w:divBdr>
        <w:top w:val="none" w:sz="0" w:space="0" w:color="auto"/>
        <w:left w:val="none" w:sz="0" w:space="0" w:color="auto"/>
        <w:bottom w:val="none" w:sz="0" w:space="0" w:color="auto"/>
        <w:right w:val="none" w:sz="0" w:space="0" w:color="auto"/>
      </w:divBdr>
    </w:div>
    <w:div w:id="403768346">
      <w:bodyDiv w:val="1"/>
      <w:marLeft w:val="0"/>
      <w:marRight w:val="0"/>
      <w:marTop w:val="0"/>
      <w:marBottom w:val="0"/>
      <w:divBdr>
        <w:top w:val="none" w:sz="0" w:space="0" w:color="auto"/>
        <w:left w:val="none" w:sz="0" w:space="0" w:color="auto"/>
        <w:bottom w:val="none" w:sz="0" w:space="0" w:color="auto"/>
        <w:right w:val="none" w:sz="0" w:space="0" w:color="auto"/>
      </w:divBdr>
      <w:divsChild>
        <w:div w:id="185683258">
          <w:marLeft w:val="0"/>
          <w:marRight w:val="0"/>
          <w:marTop w:val="0"/>
          <w:marBottom w:val="0"/>
          <w:divBdr>
            <w:top w:val="none" w:sz="0" w:space="0" w:color="auto"/>
            <w:left w:val="none" w:sz="0" w:space="0" w:color="auto"/>
            <w:bottom w:val="none" w:sz="0" w:space="0" w:color="auto"/>
            <w:right w:val="none" w:sz="0" w:space="0" w:color="auto"/>
          </w:divBdr>
        </w:div>
        <w:div w:id="269435896">
          <w:marLeft w:val="0"/>
          <w:marRight w:val="0"/>
          <w:marTop w:val="0"/>
          <w:marBottom w:val="0"/>
          <w:divBdr>
            <w:top w:val="none" w:sz="0" w:space="0" w:color="auto"/>
            <w:left w:val="none" w:sz="0" w:space="0" w:color="auto"/>
            <w:bottom w:val="none" w:sz="0" w:space="0" w:color="auto"/>
            <w:right w:val="none" w:sz="0" w:space="0" w:color="auto"/>
          </w:divBdr>
        </w:div>
        <w:div w:id="570703038">
          <w:marLeft w:val="0"/>
          <w:marRight w:val="0"/>
          <w:marTop w:val="0"/>
          <w:marBottom w:val="0"/>
          <w:divBdr>
            <w:top w:val="none" w:sz="0" w:space="0" w:color="auto"/>
            <w:left w:val="none" w:sz="0" w:space="0" w:color="auto"/>
            <w:bottom w:val="none" w:sz="0" w:space="0" w:color="auto"/>
            <w:right w:val="none" w:sz="0" w:space="0" w:color="auto"/>
          </w:divBdr>
        </w:div>
        <w:div w:id="630746567">
          <w:marLeft w:val="0"/>
          <w:marRight w:val="0"/>
          <w:marTop w:val="0"/>
          <w:marBottom w:val="0"/>
          <w:divBdr>
            <w:top w:val="none" w:sz="0" w:space="0" w:color="auto"/>
            <w:left w:val="none" w:sz="0" w:space="0" w:color="auto"/>
            <w:bottom w:val="none" w:sz="0" w:space="0" w:color="auto"/>
            <w:right w:val="none" w:sz="0" w:space="0" w:color="auto"/>
          </w:divBdr>
        </w:div>
        <w:div w:id="1262447744">
          <w:marLeft w:val="0"/>
          <w:marRight w:val="0"/>
          <w:marTop w:val="0"/>
          <w:marBottom w:val="0"/>
          <w:divBdr>
            <w:top w:val="none" w:sz="0" w:space="0" w:color="auto"/>
            <w:left w:val="none" w:sz="0" w:space="0" w:color="auto"/>
            <w:bottom w:val="none" w:sz="0" w:space="0" w:color="auto"/>
            <w:right w:val="none" w:sz="0" w:space="0" w:color="auto"/>
          </w:divBdr>
        </w:div>
        <w:div w:id="1582834738">
          <w:marLeft w:val="0"/>
          <w:marRight w:val="0"/>
          <w:marTop w:val="0"/>
          <w:marBottom w:val="0"/>
          <w:divBdr>
            <w:top w:val="none" w:sz="0" w:space="0" w:color="auto"/>
            <w:left w:val="none" w:sz="0" w:space="0" w:color="auto"/>
            <w:bottom w:val="none" w:sz="0" w:space="0" w:color="auto"/>
            <w:right w:val="none" w:sz="0" w:space="0" w:color="auto"/>
          </w:divBdr>
        </w:div>
      </w:divsChild>
    </w:div>
    <w:div w:id="422148881">
      <w:bodyDiv w:val="1"/>
      <w:marLeft w:val="0"/>
      <w:marRight w:val="0"/>
      <w:marTop w:val="0"/>
      <w:marBottom w:val="0"/>
      <w:divBdr>
        <w:top w:val="none" w:sz="0" w:space="0" w:color="auto"/>
        <w:left w:val="none" w:sz="0" w:space="0" w:color="auto"/>
        <w:bottom w:val="none" w:sz="0" w:space="0" w:color="auto"/>
        <w:right w:val="none" w:sz="0" w:space="0" w:color="auto"/>
      </w:divBdr>
    </w:div>
    <w:div w:id="428278799">
      <w:bodyDiv w:val="1"/>
      <w:marLeft w:val="0"/>
      <w:marRight w:val="0"/>
      <w:marTop w:val="0"/>
      <w:marBottom w:val="0"/>
      <w:divBdr>
        <w:top w:val="none" w:sz="0" w:space="0" w:color="auto"/>
        <w:left w:val="none" w:sz="0" w:space="0" w:color="auto"/>
        <w:bottom w:val="none" w:sz="0" w:space="0" w:color="auto"/>
        <w:right w:val="none" w:sz="0" w:space="0" w:color="auto"/>
      </w:divBdr>
    </w:div>
    <w:div w:id="431779071">
      <w:bodyDiv w:val="1"/>
      <w:marLeft w:val="0"/>
      <w:marRight w:val="0"/>
      <w:marTop w:val="0"/>
      <w:marBottom w:val="0"/>
      <w:divBdr>
        <w:top w:val="none" w:sz="0" w:space="0" w:color="auto"/>
        <w:left w:val="none" w:sz="0" w:space="0" w:color="auto"/>
        <w:bottom w:val="none" w:sz="0" w:space="0" w:color="auto"/>
        <w:right w:val="none" w:sz="0" w:space="0" w:color="auto"/>
      </w:divBdr>
    </w:div>
    <w:div w:id="432167925">
      <w:bodyDiv w:val="1"/>
      <w:marLeft w:val="0"/>
      <w:marRight w:val="0"/>
      <w:marTop w:val="0"/>
      <w:marBottom w:val="0"/>
      <w:divBdr>
        <w:top w:val="none" w:sz="0" w:space="0" w:color="auto"/>
        <w:left w:val="none" w:sz="0" w:space="0" w:color="auto"/>
        <w:bottom w:val="none" w:sz="0" w:space="0" w:color="auto"/>
        <w:right w:val="none" w:sz="0" w:space="0" w:color="auto"/>
      </w:divBdr>
    </w:div>
    <w:div w:id="439447206">
      <w:bodyDiv w:val="1"/>
      <w:marLeft w:val="0"/>
      <w:marRight w:val="0"/>
      <w:marTop w:val="0"/>
      <w:marBottom w:val="0"/>
      <w:divBdr>
        <w:top w:val="none" w:sz="0" w:space="0" w:color="auto"/>
        <w:left w:val="none" w:sz="0" w:space="0" w:color="auto"/>
        <w:bottom w:val="none" w:sz="0" w:space="0" w:color="auto"/>
        <w:right w:val="none" w:sz="0" w:space="0" w:color="auto"/>
      </w:divBdr>
      <w:divsChild>
        <w:div w:id="10143770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6363417">
      <w:bodyDiv w:val="1"/>
      <w:marLeft w:val="0"/>
      <w:marRight w:val="0"/>
      <w:marTop w:val="0"/>
      <w:marBottom w:val="0"/>
      <w:divBdr>
        <w:top w:val="none" w:sz="0" w:space="0" w:color="auto"/>
        <w:left w:val="none" w:sz="0" w:space="0" w:color="auto"/>
        <w:bottom w:val="none" w:sz="0" w:space="0" w:color="auto"/>
        <w:right w:val="none" w:sz="0" w:space="0" w:color="auto"/>
      </w:divBdr>
      <w:divsChild>
        <w:div w:id="19296504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2536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6824507">
      <w:bodyDiv w:val="1"/>
      <w:marLeft w:val="0"/>
      <w:marRight w:val="0"/>
      <w:marTop w:val="0"/>
      <w:marBottom w:val="0"/>
      <w:divBdr>
        <w:top w:val="none" w:sz="0" w:space="0" w:color="auto"/>
        <w:left w:val="none" w:sz="0" w:space="0" w:color="auto"/>
        <w:bottom w:val="none" w:sz="0" w:space="0" w:color="auto"/>
        <w:right w:val="none" w:sz="0" w:space="0" w:color="auto"/>
      </w:divBdr>
    </w:div>
    <w:div w:id="502627036">
      <w:bodyDiv w:val="1"/>
      <w:marLeft w:val="0"/>
      <w:marRight w:val="0"/>
      <w:marTop w:val="0"/>
      <w:marBottom w:val="0"/>
      <w:divBdr>
        <w:top w:val="none" w:sz="0" w:space="0" w:color="auto"/>
        <w:left w:val="none" w:sz="0" w:space="0" w:color="auto"/>
        <w:bottom w:val="none" w:sz="0" w:space="0" w:color="auto"/>
        <w:right w:val="none" w:sz="0" w:space="0" w:color="auto"/>
      </w:divBdr>
      <w:divsChild>
        <w:div w:id="10562759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4130888">
      <w:bodyDiv w:val="1"/>
      <w:marLeft w:val="0"/>
      <w:marRight w:val="0"/>
      <w:marTop w:val="0"/>
      <w:marBottom w:val="0"/>
      <w:divBdr>
        <w:top w:val="none" w:sz="0" w:space="0" w:color="auto"/>
        <w:left w:val="none" w:sz="0" w:space="0" w:color="auto"/>
        <w:bottom w:val="none" w:sz="0" w:space="0" w:color="auto"/>
        <w:right w:val="none" w:sz="0" w:space="0" w:color="auto"/>
      </w:divBdr>
    </w:div>
    <w:div w:id="519198038">
      <w:bodyDiv w:val="1"/>
      <w:marLeft w:val="0"/>
      <w:marRight w:val="0"/>
      <w:marTop w:val="0"/>
      <w:marBottom w:val="0"/>
      <w:divBdr>
        <w:top w:val="none" w:sz="0" w:space="0" w:color="auto"/>
        <w:left w:val="none" w:sz="0" w:space="0" w:color="auto"/>
        <w:bottom w:val="none" w:sz="0" w:space="0" w:color="auto"/>
        <w:right w:val="none" w:sz="0" w:space="0" w:color="auto"/>
      </w:divBdr>
      <w:divsChild>
        <w:div w:id="852302620">
          <w:marLeft w:val="0"/>
          <w:marRight w:val="0"/>
          <w:marTop w:val="0"/>
          <w:marBottom w:val="0"/>
          <w:divBdr>
            <w:top w:val="none" w:sz="0" w:space="0" w:color="auto"/>
            <w:left w:val="none" w:sz="0" w:space="0" w:color="auto"/>
            <w:bottom w:val="none" w:sz="0" w:space="0" w:color="auto"/>
            <w:right w:val="none" w:sz="0" w:space="0" w:color="auto"/>
          </w:divBdr>
        </w:div>
      </w:divsChild>
    </w:div>
    <w:div w:id="533074840">
      <w:bodyDiv w:val="1"/>
      <w:marLeft w:val="0"/>
      <w:marRight w:val="0"/>
      <w:marTop w:val="0"/>
      <w:marBottom w:val="0"/>
      <w:divBdr>
        <w:top w:val="none" w:sz="0" w:space="0" w:color="auto"/>
        <w:left w:val="none" w:sz="0" w:space="0" w:color="auto"/>
        <w:bottom w:val="none" w:sz="0" w:space="0" w:color="auto"/>
        <w:right w:val="none" w:sz="0" w:space="0" w:color="auto"/>
      </w:divBdr>
    </w:div>
    <w:div w:id="539056786">
      <w:bodyDiv w:val="1"/>
      <w:marLeft w:val="0"/>
      <w:marRight w:val="0"/>
      <w:marTop w:val="0"/>
      <w:marBottom w:val="0"/>
      <w:divBdr>
        <w:top w:val="none" w:sz="0" w:space="0" w:color="auto"/>
        <w:left w:val="none" w:sz="0" w:space="0" w:color="auto"/>
        <w:bottom w:val="none" w:sz="0" w:space="0" w:color="auto"/>
        <w:right w:val="none" w:sz="0" w:space="0" w:color="auto"/>
      </w:divBdr>
    </w:div>
    <w:div w:id="541332056">
      <w:bodyDiv w:val="1"/>
      <w:marLeft w:val="0"/>
      <w:marRight w:val="0"/>
      <w:marTop w:val="0"/>
      <w:marBottom w:val="0"/>
      <w:divBdr>
        <w:top w:val="none" w:sz="0" w:space="0" w:color="auto"/>
        <w:left w:val="none" w:sz="0" w:space="0" w:color="auto"/>
        <w:bottom w:val="none" w:sz="0" w:space="0" w:color="auto"/>
        <w:right w:val="none" w:sz="0" w:space="0" w:color="auto"/>
      </w:divBdr>
    </w:div>
    <w:div w:id="544416908">
      <w:bodyDiv w:val="1"/>
      <w:marLeft w:val="0"/>
      <w:marRight w:val="0"/>
      <w:marTop w:val="0"/>
      <w:marBottom w:val="0"/>
      <w:divBdr>
        <w:top w:val="none" w:sz="0" w:space="0" w:color="auto"/>
        <w:left w:val="none" w:sz="0" w:space="0" w:color="auto"/>
        <w:bottom w:val="none" w:sz="0" w:space="0" w:color="auto"/>
        <w:right w:val="none" w:sz="0" w:space="0" w:color="auto"/>
      </w:divBdr>
    </w:div>
    <w:div w:id="552470949">
      <w:bodyDiv w:val="1"/>
      <w:marLeft w:val="0"/>
      <w:marRight w:val="0"/>
      <w:marTop w:val="0"/>
      <w:marBottom w:val="0"/>
      <w:divBdr>
        <w:top w:val="none" w:sz="0" w:space="0" w:color="auto"/>
        <w:left w:val="none" w:sz="0" w:space="0" w:color="auto"/>
        <w:bottom w:val="none" w:sz="0" w:space="0" w:color="auto"/>
        <w:right w:val="none" w:sz="0" w:space="0" w:color="auto"/>
      </w:divBdr>
    </w:div>
    <w:div w:id="555699379">
      <w:bodyDiv w:val="1"/>
      <w:marLeft w:val="0"/>
      <w:marRight w:val="0"/>
      <w:marTop w:val="0"/>
      <w:marBottom w:val="0"/>
      <w:divBdr>
        <w:top w:val="none" w:sz="0" w:space="0" w:color="auto"/>
        <w:left w:val="none" w:sz="0" w:space="0" w:color="auto"/>
        <w:bottom w:val="none" w:sz="0" w:space="0" w:color="auto"/>
        <w:right w:val="none" w:sz="0" w:space="0" w:color="auto"/>
      </w:divBdr>
      <w:divsChild>
        <w:div w:id="1520317995">
          <w:marLeft w:val="0"/>
          <w:marRight w:val="0"/>
          <w:marTop w:val="0"/>
          <w:marBottom w:val="0"/>
          <w:divBdr>
            <w:top w:val="none" w:sz="0" w:space="0" w:color="auto"/>
            <w:left w:val="none" w:sz="0" w:space="0" w:color="auto"/>
            <w:bottom w:val="none" w:sz="0" w:space="0" w:color="auto"/>
            <w:right w:val="none" w:sz="0" w:space="0" w:color="auto"/>
          </w:divBdr>
        </w:div>
      </w:divsChild>
    </w:div>
    <w:div w:id="574706008">
      <w:bodyDiv w:val="1"/>
      <w:marLeft w:val="0"/>
      <w:marRight w:val="0"/>
      <w:marTop w:val="0"/>
      <w:marBottom w:val="0"/>
      <w:divBdr>
        <w:top w:val="none" w:sz="0" w:space="0" w:color="auto"/>
        <w:left w:val="none" w:sz="0" w:space="0" w:color="auto"/>
        <w:bottom w:val="none" w:sz="0" w:space="0" w:color="auto"/>
        <w:right w:val="none" w:sz="0" w:space="0" w:color="auto"/>
      </w:divBdr>
    </w:div>
    <w:div w:id="577327627">
      <w:bodyDiv w:val="1"/>
      <w:marLeft w:val="0"/>
      <w:marRight w:val="0"/>
      <w:marTop w:val="0"/>
      <w:marBottom w:val="0"/>
      <w:divBdr>
        <w:top w:val="none" w:sz="0" w:space="0" w:color="auto"/>
        <w:left w:val="none" w:sz="0" w:space="0" w:color="auto"/>
        <w:bottom w:val="none" w:sz="0" w:space="0" w:color="auto"/>
        <w:right w:val="none" w:sz="0" w:space="0" w:color="auto"/>
      </w:divBdr>
    </w:div>
    <w:div w:id="583074283">
      <w:bodyDiv w:val="1"/>
      <w:marLeft w:val="0"/>
      <w:marRight w:val="0"/>
      <w:marTop w:val="0"/>
      <w:marBottom w:val="0"/>
      <w:divBdr>
        <w:top w:val="none" w:sz="0" w:space="0" w:color="auto"/>
        <w:left w:val="none" w:sz="0" w:space="0" w:color="auto"/>
        <w:bottom w:val="none" w:sz="0" w:space="0" w:color="auto"/>
        <w:right w:val="none" w:sz="0" w:space="0" w:color="auto"/>
      </w:divBdr>
    </w:div>
    <w:div w:id="584608092">
      <w:bodyDiv w:val="1"/>
      <w:marLeft w:val="0"/>
      <w:marRight w:val="0"/>
      <w:marTop w:val="0"/>
      <w:marBottom w:val="0"/>
      <w:divBdr>
        <w:top w:val="none" w:sz="0" w:space="0" w:color="auto"/>
        <w:left w:val="none" w:sz="0" w:space="0" w:color="auto"/>
        <w:bottom w:val="none" w:sz="0" w:space="0" w:color="auto"/>
        <w:right w:val="none" w:sz="0" w:space="0" w:color="auto"/>
      </w:divBdr>
    </w:div>
    <w:div w:id="593785143">
      <w:bodyDiv w:val="1"/>
      <w:marLeft w:val="0"/>
      <w:marRight w:val="0"/>
      <w:marTop w:val="0"/>
      <w:marBottom w:val="0"/>
      <w:divBdr>
        <w:top w:val="none" w:sz="0" w:space="0" w:color="auto"/>
        <w:left w:val="none" w:sz="0" w:space="0" w:color="auto"/>
        <w:bottom w:val="none" w:sz="0" w:space="0" w:color="auto"/>
        <w:right w:val="none" w:sz="0" w:space="0" w:color="auto"/>
      </w:divBdr>
      <w:divsChild>
        <w:div w:id="692918582">
          <w:marLeft w:val="0"/>
          <w:marRight w:val="0"/>
          <w:marTop w:val="0"/>
          <w:marBottom w:val="0"/>
          <w:divBdr>
            <w:top w:val="none" w:sz="0" w:space="0" w:color="auto"/>
            <w:left w:val="none" w:sz="0" w:space="0" w:color="auto"/>
            <w:bottom w:val="none" w:sz="0" w:space="0" w:color="auto"/>
            <w:right w:val="none" w:sz="0" w:space="0" w:color="auto"/>
          </w:divBdr>
        </w:div>
      </w:divsChild>
    </w:div>
    <w:div w:id="626857246">
      <w:bodyDiv w:val="1"/>
      <w:marLeft w:val="0"/>
      <w:marRight w:val="0"/>
      <w:marTop w:val="0"/>
      <w:marBottom w:val="0"/>
      <w:divBdr>
        <w:top w:val="none" w:sz="0" w:space="0" w:color="auto"/>
        <w:left w:val="none" w:sz="0" w:space="0" w:color="auto"/>
        <w:bottom w:val="none" w:sz="0" w:space="0" w:color="auto"/>
        <w:right w:val="none" w:sz="0" w:space="0" w:color="auto"/>
      </w:divBdr>
    </w:div>
    <w:div w:id="633828454">
      <w:bodyDiv w:val="1"/>
      <w:marLeft w:val="0"/>
      <w:marRight w:val="0"/>
      <w:marTop w:val="0"/>
      <w:marBottom w:val="0"/>
      <w:divBdr>
        <w:top w:val="none" w:sz="0" w:space="0" w:color="auto"/>
        <w:left w:val="none" w:sz="0" w:space="0" w:color="auto"/>
        <w:bottom w:val="none" w:sz="0" w:space="0" w:color="auto"/>
        <w:right w:val="none" w:sz="0" w:space="0" w:color="auto"/>
      </w:divBdr>
    </w:div>
    <w:div w:id="638269097">
      <w:bodyDiv w:val="1"/>
      <w:marLeft w:val="0"/>
      <w:marRight w:val="0"/>
      <w:marTop w:val="0"/>
      <w:marBottom w:val="0"/>
      <w:divBdr>
        <w:top w:val="none" w:sz="0" w:space="0" w:color="auto"/>
        <w:left w:val="none" w:sz="0" w:space="0" w:color="auto"/>
        <w:bottom w:val="none" w:sz="0" w:space="0" w:color="auto"/>
        <w:right w:val="none" w:sz="0" w:space="0" w:color="auto"/>
      </w:divBdr>
      <w:divsChild>
        <w:div w:id="871575676">
          <w:marLeft w:val="0"/>
          <w:marRight w:val="0"/>
          <w:marTop w:val="0"/>
          <w:marBottom w:val="0"/>
          <w:divBdr>
            <w:top w:val="none" w:sz="0" w:space="0" w:color="auto"/>
            <w:left w:val="none" w:sz="0" w:space="0" w:color="auto"/>
            <w:bottom w:val="none" w:sz="0" w:space="0" w:color="auto"/>
            <w:right w:val="none" w:sz="0" w:space="0" w:color="auto"/>
          </w:divBdr>
        </w:div>
      </w:divsChild>
    </w:div>
    <w:div w:id="653144606">
      <w:bodyDiv w:val="1"/>
      <w:marLeft w:val="0"/>
      <w:marRight w:val="0"/>
      <w:marTop w:val="0"/>
      <w:marBottom w:val="0"/>
      <w:divBdr>
        <w:top w:val="none" w:sz="0" w:space="0" w:color="auto"/>
        <w:left w:val="none" w:sz="0" w:space="0" w:color="auto"/>
        <w:bottom w:val="none" w:sz="0" w:space="0" w:color="auto"/>
        <w:right w:val="none" w:sz="0" w:space="0" w:color="auto"/>
      </w:divBdr>
    </w:div>
    <w:div w:id="689650964">
      <w:bodyDiv w:val="1"/>
      <w:marLeft w:val="0"/>
      <w:marRight w:val="0"/>
      <w:marTop w:val="0"/>
      <w:marBottom w:val="0"/>
      <w:divBdr>
        <w:top w:val="none" w:sz="0" w:space="0" w:color="auto"/>
        <w:left w:val="none" w:sz="0" w:space="0" w:color="auto"/>
        <w:bottom w:val="none" w:sz="0" w:space="0" w:color="auto"/>
        <w:right w:val="none" w:sz="0" w:space="0" w:color="auto"/>
      </w:divBdr>
    </w:div>
    <w:div w:id="703100085">
      <w:bodyDiv w:val="1"/>
      <w:marLeft w:val="0"/>
      <w:marRight w:val="0"/>
      <w:marTop w:val="0"/>
      <w:marBottom w:val="0"/>
      <w:divBdr>
        <w:top w:val="none" w:sz="0" w:space="0" w:color="auto"/>
        <w:left w:val="none" w:sz="0" w:space="0" w:color="auto"/>
        <w:bottom w:val="none" w:sz="0" w:space="0" w:color="auto"/>
        <w:right w:val="none" w:sz="0" w:space="0" w:color="auto"/>
      </w:divBdr>
      <w:divsChild>
        <w:div w:id="78185901">
          <w:marLeft w:val="0"/>
          <w:marRight w:val="0"/>
          <w:marTop w:val="0"/>
          <w:marBottom w:val="0"/>
          <w:divBdr>
            <w:top w:val="none" w:sz="0" w:space="0" w:color="auto"/>
            <w:left w:val="none" w:sz="0" w:space="0" w:color="auto"/>
            <w:bottom w:val="none" w:sz="0" w:space="0" w:color="auto"/>
            <w:right w:val="none" w:sz="0" w:space="0" w:color="auto"/>
          </w:divBdr>
        </w:div>
        <w:div w:id="481118690">
          <w:marLeft w:val="0"/>
          <w:marRight w:val="0"/>
          <w:marTop w:val="0"/>
          <w:marBottom w:val="0"/>
          <w:divBdr>
            <w:top w:val="none" w:sz="0" w:space="0" w:color="auto"/>
            <w:left w:val="none" w:sz="0" w:space="0" w:color="auto"/>
            <w:bottom w:val="none" w:sz="0" w:space="0" w:color="auto"/>
            <w:right w:val="none" w:sz="0" w:space="0" w:color="auto"/>
          </w:divBdr>
        </w:div>
        <w:div w:id="733892491">
          <w:marLeft w:val="0"/>
          <w:marRight w:val="0"/>
          <w:marTop w:val="0"/>
          <w:marBottom w:val="0"/>
          <w:divBdr>
            <w:top w:val="none" w:sz="0" w:space="0" w:color="auto"/>
            <w:left w:val="none" w:sz="0" w:space="0" w:color="auto"/>
            <w:bottom w:val="none" w:sz="0" w:space="0" w:color="auto"/>
            <w:right w:val="none" w:sz="0" w:space="0" w:color="auto"/>
          </w:divBdr>
        </w:div>
        <w:div w:id="1007635176">
          <w:marLeft w:val="0"/>
          <w:marRight w:val="0"/>
          <w:marTop w:val="0"/>
          <w:marBottom w:val="0"/>
          <w:divBdr>
            <w:top w:val="none" w:sz="0" w:space="0" w:color="auto"/>
            <w:left w:val="none" w:sz="0" w:space="0" w:color="auto"/>
            <w:bottom w:val="none" w:sz="0" w:space="0" w:color="auto"/>
            <w:right w:val="none" w:sz="0" w:space="0" w:color="auto"/>
          </w:divBdr>
        </w:div>
        <w:div w:id="1227448605">
          <w:marLeft w:val="0"/>
          <w:marRight w:val="0"/>
          <w:marTop w:val="0"/>
          <w:marBottom w:val="0"/>
          <w:divBdr>
            <w:top w:val="none" w:sz="0" w:space="0" w:color="auto"/>
            <w:left w:val="none" w:sz="0" w:space="0" w:color="auto"/>
            <w:bottom w:val="none" w:sz="0" w:space="0" w:color="auto"/>
            <w:right w:val="none" w:sz="0" w:space="0" w:color="auto"/>
          </w:divBdr>
        </w:div>
        <w:div w:id="1262757515">
          <w:marLeft w:val="0"/>
          <w:marRight w:val="0"/>
          <w:marTop w:val="0"/>
          <w:marBottom w:val="0"/>
          <w:divBdr>
            <w:top w:val="none" w:sz="0" w:space="0" w:color="auto"/>
            <w:left w:val="none" w:sz="0" w:space="0" w:color="auto"/>
            <w:bottom w:val="none" w:sz="0" w:space="0" w:color="auto"/>
            <w:right w:val="none" w:sz="0" w:space="0" w:color="auto"/>
          </w:divBdr>
        </w:div>
      </w:divsChild>
    </w:div>
    <w:div w:id="703478115">
      <w:bodyDiv w:val="1"/>
      <w:marLeft w:val="0"/>
      <w:marRight w:val="0"/>
      <w:marTop w:val="0"/>
      <w:marBottom w:val="0"/>
      <w:divBdr>
        <w:top w:val="none" w:sz="0" w:space="0" w:color="auto"/>
        <w:left w:val="none" w:sz="0" w:space="0" w:color="auto"/>
        <w:bottom w:val="none" w:sz="0" w:space="0" w:color="auto"/>
        <w:right w:val="none" w:sz="0" w:space="0" w:color="auto"/>
      </w:divBdr>
    </w:div>
    <w:div w:id="733048090">
      <w:bodyDiv w:val="1"/>
      <w:marLeft w:val="0"/>
      <w:marRight w:val="0"/>
      <w:marTop w:val="0"/>
      <w:marBottom w:val="0"/>
      <w:divBdr>
        <w:top w:val="none" w:sz="0" w:space="0" w:color="auto"/>
        <w:left w:val="none" w:sz="0" w:space="0" w:color="auto"/>
        <w:bottom w:val="none" w:sz="0" w:space="0" w:color="auto"/>
        <w:right w:val="none" w:sz="0" w:space="0" w:color="auto"/>
      </w:divBdr>
      <w:divsChild>
        <w:div w:id="11368025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5538486">
      <w:bodyDiv w:val="1"/>
      <w:marLeft w:val="0"/>
      <w:marRight w:val="0"/>
      <w:marTop w:val="0"/>
      <w:marBottom w:val="0"/>
      <w:divBdr>
        <w:top w:val="none" w:sz="0" w:space="0" w:color="auto"/>
        <w:left w:val="none" w:sz="0" w:space="0" w:color="auto"/>
        <w:bottom w:val="none" w:sz="0" w:space="0" w:color="auto"/>
        <w:right w:val="none" w:sz="0" w:space="0" w:color="auto"/>
      </w:divBdr>
      <w:divsChild>
        <w:div w:id="560136773">
          <w:marLeft w:val="0"/>
          <w:marRight w:val="0"/>
          <w:marTop w:val="0"/>
          <w:marBottom w:val="0"/>
          <w:divBdr>
            <w:top w:val="none" w:sz="0" w:space="0" w:color="auto"/>
            <w:left w:val="none" w:sz="0" w:space="0" w:color="auto"/>
            <w:bottom w:val="none" w:sz="0" w:space="0" w:color="auto"/>
            <w:right w:val="none" w:sz="0" w:space="0" w:color="auto"/>
          </w:divBdr>
        </w:div>
      </w:divsChild>
    </w:div>
    <w:div w:id="748037582">
      <w:bodyDiv w:val="1"/>
      <w:marLeft w:val="0"/>
      <w:marRight w:val="0"/>
      <w:marTop w:val="0"/>
      <w:marBottom w:val="0"/>
      <w:divBdr>
        <w:top w:val="none" w:sz="0" w:space="0" w:color="auto"/>
        <w:left w:val="none" w:sz="0" w:space="0" w:color="auto"/>
        <w:bottom w:val="none" w:sz="0" w:space="0" w:color="auto"/>
        <w:right w:val="none" w:sz="0" w:space="0" w:color="auto"/>
      </w:divBdr>
    </w:div>
    <w:div w:id="754596771">
      <w:bodyDiv w:val="1"/>
      <w:marLeft w:val="0"/>
      <w:marRight w:val="0"/>
      <w:marTop w:val="0"/>
      <w:marBottom w:val="0"/>
      <w:divBdr>
        <w:top w:val="none" w:sz="0" w:space="0" w:color="auto"/>
        <w:left w:val="none" w:sz="0" w:space="0" w:color="auto"/>
        <w:bottom w:val="none" w:sz="0" w:space="0" w:color="auto"/>
        <w:right w:val="none" w:sz="0" w:space="0" w:color="auto"/>
      </w:divBdr>
    </w:div>
    <w:div w:id="769662249">
      <w:bodyDiv w:val="1"/>
      <w:marLeft w:val="0"/>
      <w:marRight w:val="0"/>
      <w:marTop w:val="0"/>
      <w:marBottom w:val="0"/>
      <w:divBdr>
        <w:top w:val="none" w:sz="0" w:space="0" w:color="auto"/>
        <w:left w:val="none" w:sz="0" w:space="0" w:color="auto"/>
        <w:bottom w:val="none" w:sz="0" w:space="0" w:color="auto"/>
        <w:right w:val="none" w:sz="0" w:space="0" w:color="auto"/>
      </w:divBdr>
      <w:divsChild>
        <w:div w:id="1009412361">
          <w:marLeft w:val="0"/>
          <w:marRight w:val="0"/>
          <w:marTop w:val="0"/>
          <w:marBottom w:val="0"/>
          <w:divBdr>
            <w:top w:val="none" w:sz="0" w:space="0" w:color="auto"/>
            <w:left w:val="none" w:sz="0" w:space="0" w:color="auto"/>
            <w:bottom w:val="none" w:sz="0" w:space="0" w:color="auto"/>
            <w:right w:val="none" w:sz="0" w:space="0" w:color="auto"/>
          </w:divBdr>
        </w:div>
      </w:divsChild>
    </w:div>
    <w:div w:id="781148181">
      <w:bodyDiv w:val="1"/>
      <w:marLeft w:val="0"/>
      <w:marRight w:val="0"/>
      <w:marTop w:val="0"/>
      <w:marBottom w:val="0"/>
      <w:divBdr>
        <w:top w:val="none" w:sz="0" w:space="0" w:color="auto"/>
        <w:left w:val="none" w:sz="0" w:space="0" w:color="auto"/>
        <w:bottom w:val="none" w:sz="0" w:space="0" w:color="auto"/>
        <w:right w:val="none" w:sz="0" w:space="0" w:color="auto"/>
      </w:divBdr>
    </w:div>
    <w:div w:id="784228712">
      <w:bodyDiv w:val="1"/>
      <w:marLeft w:val="0"/>
      <w:marRight w:val="0"/>
      <w:marTop w:val="0"/>
      <w:marBottom w:val="0"/>
      <w:divBdr>
        <w:top w:val="none" w:sz="0" w:space="0" w:color="auto"/>
        <w:left w:val="none" w:sz="0" w:space="0" w:color="auto"/>
        <w:bottom w:val="none" w:sz="0" w:space="0" w:color="auto"/>
        <w:right w:val="none" w:sz="0" w:space="0" w:color="auto"/>
      </w:divBdr>
    </w:div>
    <w:div w:id="822546896">
      <w:bodyDiv w:val="1"/>
      <w:marLeft w:val="0"/>
      <w:marRight w:val="0"/>
      <w:marTop w:val="0"/>
      <w:marBottom w:val="0"/>
      <w:divBdr>
        <w:top w:val="none" w:sz="0" w:space="0" w:color="auto"/>
        <w:left w:val="none" w:sz="0" w:space="0" w:color="auto"/>
        <w:bottom w:val="none" w:sz="0" w:space="0" w:color="auto"/>
        <w:right w:val="none" w:sz="0" w:space="0" w:color="auto"/>
      </w:divBdr>
      <w:divsChild>
        <w:div w:id="323631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3208050">
      <w:bodyDiv w:val="1"/>
      <w:marLeft w:val="0"/>
      <w:marRight w:val="0"/>
      <w:marTop w:val="0"/>
      <w:marBottom w:val="0"/>
      <w:divBdr>
        <w:top w:val="none" w:sz="0" w:space="0" w:color="auto"/>
        <w:left w:val="none" w:sz="0" w:space="0" w:color="auto"/>
        <w:bottom w:val="none" w:sz="0" w:space="0" w:color="auto"/>
        <w:right w:val="none" w:sz="0" w:space="0" w:color="auto"/>
      </w:divBdr>
    </w:div>
    <w:div w:id="894897379">
      <w:bodyDiv w:val="1"/>
      <w:marLeft w:val="0"/>
      <w:marRight w:val="0"/>
      <w:marTop w:val="0"/>
      <w:marBottom w:val="0"/>
      <w:divBdr>
        <w:top w:val="none" w:sz="0" w:space="0" w:color="auto"/>
        <w:left w:val="none" w:sz="0" w:space="0" w:color="auto"/>
        <w:bottom w:val="none" w:sz="0" w:space="0" w:color="auto"/>
        <w:right w:val="none" w:sz="0" w:space="0" w:color="auto"/>
      </w:divBdr>
    </w:div>
    <w:div w:id="899100402">
      <w:bodyDiv w:val="1"/>
      <w:marLeft w:val="0"/>
      <w:marRight w:val="0"/>
      <w:marTop w:val="0"/>
      <w:marBottom w:val="0"/>
      <w:divBdr>
        <w:top w:val="none" w:sz="0" w:space="0" w:color="auto"/>
        <w:left w:val="none" w:sz="0" w:space="0" w:color="auto"/>
        <w:bottom w:val="none" w:sz="0" w:space="0" w:color="auto"/>
        <w:right w:val="none" w:sz="0" w:space="0" w:color="auto"/>
      </w:divBdr>
      <w:divsChild>
        <w:div w:id="529344606">
          <w:marLeft w:val="0"/>
          <w:marRight w:val="0"/>
          <w:marTop w:val="0"/>
          <w:marBottom w:val="0"/>
          <w:divBdr>
            <w:top w:val="none" w:sz="0" w:space="0" w:color="auto"/>
            <w:left w:val="none" w:sz="0" w:space="0" w:color="auto"/>
            <w:bottom w:val="none" w:sz="0" w:space="0" w:color="auto"/>
            <w:right w:val="none" w:sz="0" w:space="0" w:color="auto"/>
          </w:divBdr>
          <w:divsChild>
            <w:div w:id="166628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17134">
      <w:bodyDiv w:val="1"/>
      <w:marLeft w:val="0"/>
      <w:marRight w:val="0"/>
      <w:marTop w:val="0"/>
      <w:marBottom w:val="0"/>
      <w:divBdr>
        <w:top w:val="none" w:sz="0" w:space="0" w:color="auto"/>
        <w:left w:val="none" w:sz="0" w:space="0" w:color="auto"/>
        <w:bottom w:val="none" w:sz="0" w:space="0" w:color="auto"/>
        <w:right w:val="none" w:sz="0" w:space="0" w:color="auto"/>
      </w:divBdr>
      <w:divsChild>
        <w:div w:id="4028018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7227337">
      <w:bodyDiv w:val="1"/>
      <w:marLeft w:val="0"/>
      <w:marRight w:val="0"/>
      <w:marTop w:val="0"/>
      <w:marBottom w:val="0"/>
      <w:divBdr>
        <w:top w:val="none" w:sz="0" w:space="0" w:color="auto"/>
        <w:left w:val="none" w:sz="0" w:space="0" w:color="auto"/>
        <w:bottom w:val="none" w:sz="0" w:space="0" w:color="auto"/>
        <w:right w:val="none" w:sz="0" w:space="0" w:color="auto"/>
      </w:divBdr>
    </w:div>
    <w:div w:id="962542180">
      <w:bodyDiv w:val="1"/>
      <w:marLeft w:val="0"/>
      <w:marRight w:val="0"/>
      <w:marTop w:val="0"/>
      <w:marBottom w:val="0"/>
      <w:divBdr>
        <w:top w:val="none" w:sz="0" w:space="0" w:color="auto"/>
        <w:left w:val="none" w:sz="0" w:space="0" w:color="auto"/>
        <w:bottom w:val="none" w:sz="0" w:space="0" w:color="auto"/>
        <w:right w:val="none" w:sz="0" w:space="0" w:color="auto"/>
      </w:divBdr>
    </w:div>
    <w:div w:id="979383237">
      <w:bodyDiv w:val="1"/>
      <w:marLeft w:val="0"/>
      <w:marRight w:val="0"/>
      <w:marTop w:val="0"/>
      <w:marBottom w:val="0"/>
      <w:divBdr>
        <w:top w:val="none" w:sz="0" w:space="0" w:color="auto"/>
        <w:left w:val="none" w:sz="0" w:space="0" w:color="auto"/>
        <w:bottom w:val="none" w:sz="0" w:space="0" w:color="auto"/>
        <w:right w:val="none" w:sz="0" w:space="0" w:color="auto"/>
      </w:divBdr>
      <w:divsChild>
        <w:div w:id="88627985">
          <w:marLeft w:val="0"/>
          <w:marRight w:val="0"/>
          <w:marTop w:val="0"/>
          <w:marBottom w:val="0"/>
          <w:divBdr>
            <w:top w:val="none" w:sz="0" w:space="0" w:color="auto"/>
            <w:left w:val="none" w:sz="0" w:space="0" w:color="auto"/>
            <w:bottom w:val="none" w:sz="0" w:space="0" w:color="auto"/>
            <w:right w:val="none" w:sz="0" w:space="0" w:color="auto"/>
          </w:divBdr>
          <w:divsChild>
            <w:div w:id="487551014">
              <w:marLeft w:val="0"/>
              <w:marRight w:val="0"/>
              <w:marTop w:val="0"/>
              <w:marBottom w:val="0"/>
              <w:divBdr>
                <w:top w:val="none" w:sz="0" w:space="0" w:color="auto"/>
                <w:left w:val="none" w:sz="0" w:space="0" w:color="auto"/>
                <w:bottom w:val="none" w:sz="0" w:space="0" w:color="auto"/>
                <w:right w:val="none" w:sz="0" w:space="0" w:color="auto"/>
              </w:divBdr>
              <w:divsChild>
                <w:div w:id="1185051747">
                  <w:marLeft w:val="0"/>
                  <w:marRight w:val="0"/>
                  <w:marTop w:val="0"/>
                  <w:marBottom w:val="0"/>
                  <w:divBdr>
                    <w:top w:val="none" w:sz="0" w:space="0" w:color="auto"/>
                    <w:left w:val="none" w:sz="0" w:space="0" w:color="auto"/>
                    <w:bottom w:val="none" w:sz="0" w:space="0" w:color="auto"/>
                    <w:right w:val="none" w:sz="0" w:space="0" w:color="auto"/>
                  </w:divBdr>
                  <w:divsChild>
                    <w:div w:id="18286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596083">
      <w:bodyDiv w:val="1"/>
      <w:marLeft w:val="0"/>
      <w:marRight w:val="0"/>
      <w:marTop w:val="0"/>
      <w:marBottom w:val="0"/>
      <w:divBdr>
        <w:top w:val="none" w:sz="0" w:space="0" w:color="auto"/>
        <w:left w:val="none" w:sz="0" w:space="0" w:color="auto"/>
        <w:bottom w:val="none" w:sz="0" w:space="0" w:color="auto"/>
        <w:right w:val="none" w:sz="0" w:space="0" w:color="auto"/>
      </w:divBdr>
    </w:div>
    <w:div w:id="996230589">
      <w:bodyDiv w:val="1"/>
      <w:marLeft w:val="0"/>
      <w:marRight w:val="0"/>
      <w:marTop w:val="0"/>
      <w:marBottom w:val="0"/>
      <w:divBdr>
        <w:top w:val="none" w:sz="0" w:space="0" w:color="auto"/>
        <w:left w:val="none" w:sz="0" w:space="0" w:color="auto"/>
        <w:bottom w:val="none" w:sz="0" w:space="0" w:color="auto"/>
        <w:right w:val="none" w:sz="0" w:space="0" w:color="auto"/>
      </w:divBdr>
    </w:div>
    <w:div w:id="1002002284">
      <w:bodyDiv w:val="1"/>
      <w:marLeft w:val="0"/>
      <w:marRight w:val="0"/>
      <w:marTop w:val="0"/>
      <w:marBottom w:val="0"/>
      <w:divBdr>
        <w:top w:val="none" w:sz="0" w:space="0" w:color="auto"/>
        <w:left w:val="none" w:sz="0" w:space="0" w:color="auto"/>
        <w:bottom w:val="none" w:sz="0" w:space="0" w:color="auto"/>
        <w:right w:val="none" w:sz="0" w:space="0" w:color="auto"/>
      </w:divBdr>
      <w:divsChild>
        <w:div w:id="1558660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6178197">
      <w:bodyDiv w:val="1"/>
      <w:marLeft w:val="0"/>
      <w:marRight w:val="0"/>
      <w:marTop w:val="0"/>
      <w:marBottom w:val="0"/>
      <w:divBdr>
        <w:top w:val="none" w:sz="0" w:space="0" w:color="auto"/>
        <w:left w:val="none" w:sz="0" w:space="0" w:color="auto"/>
        <w:bottom w:val="none" w:sz="0" w:space="0" w:color="auto"/>
        <w:right w:val="none" w:sz="0" w:space="0" w:color="auto"/>
      </w:divBdr>
    </w:div>
    <w:div w:id="1012024046">
      <w:bodyDiv w:val="1"/>
      <w:marLeft w:val="0"/>
      <w:marRight w:val="0"/>
      <w:marTop w:val="0"/>
      <w:marBottom w:val="0"/>
      <w:divBdr>
        <w:top w:val="none" w:sz="0" w:space="0" w:color="auto"/>
        <w:left w:val="none" w:sz="0" w:space="0" w:color="auto"/>
        <w:bottom w:val="none" w:sz="0" w:space="0" w:color="auto"/>
        <w:right w:val="none" w:sz="0" w:space="0" w:color="auto"/>
      </w:divBdr>
    </w:div>
    <w:div w:id="1026561742">
      <w:bodyDiv w:val="1"/>
      <w:marLeft w:val="0"/>
      <w:marRight w:val="0"/>
      <w:marTop w:val="0"/>
      <w:marBottom w:val="0"/>
      <w:divBdr>
        <w:top w:val="none" w:sz="0" w:space="0" w:color="auto"/>
        <w:left w:val="none" w:sz="0" w:space="0" w:color="auto"/>
        <w:bottom w:val="none" w:sz="0" w:space="0" w:color="auto"/>
        <w:right w:val="none" w:sz="0" w:space="0" w:color="auto"/>
      </w:divBdr>
    </w:div>
    <w:div w:id="1044402688">
      <w:bodyDiv w:val="1"/>
      <w:marLeft w:val="0"/>
      <w:marRight w:val="0"/>
      <w:marTop w:val="0"/>
      <w:marBottom w:val="0"/>
      <w:divBdr>
        <w:top w:val="none" w:sz="0" w:space="0" w:color="auto"/>
        <w:left w:val="none" w:sz="0" w:space="0" w:color="auto"/>
        <w:bottom w:val="none" w:sz="0" w:space="0" w:color="auto"/>
        <w:right w:val="none" w:sz="0" w:space="0" w:color="auto"/>
      </w:divBdr>
    </w:div>
    <w:div w:id="1113666987">
      <w:bodyDiv w:val="1"/>
      <w:marLeft w:val="0"/>
      <w:marRight w:val="0"/>
      <w:marTop w:val="0"/>
      <w:marBottom w:val="0"/>
      <w:divBdr>
        <w:top w:val="none" w:sz="0" w:space="0" w:color="auto"/>
        <w:left w:val="none" w:sz="0" w:space="0" w:color="auto"/>
        <w:bottom w:val="none" w:sz="0" w:space="0" w:color="auto"/>
        <w:right w:val="none" w:sz="0" w:space="0" w:color="auto"/>
      </w:divBdr>
      <w:divsChild>
        <w:div w:id="1144734513">
          <w:marLeft w:val="0"/>
          <w:marRight w:val="0"/>
          <w:marTop w:val="0"/>
          <w:marBottom w:val="0"/>
          <w:divBdr>
            <w:top w:val="none" w:sz="0" w:space="0" w:color="auto"/>
            <w:left w:val="none" w:sz="0" w:space="0" w:color="auto"/>
            <w:bottom w:val="none" w:sz="0" w:space="0" w:color="auto"/>
            <w:right w:val="none" w:sz="0" w:space="0" w:color="auto"/>
          </w:divBdr>
          <w:divsChild>
            <w:div w:id="18995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536838">
      <w:bodyDiv w:val="1"/>
      <w:marLeft w:val="0"/>
      <w:marRight w:val="0"/>
      <w:marTop w:val="0"/>
      <w:marBottom w:val="0"/>
      <w:divBdr>
        <w:top w:val="none" w:sz="0" w:space="0" w:color="auto"/>
        <w:left w:val="none" w:sz="0" w:space="0" w:color="auto"/>
        <w:bottom w:val="none" w:sz="0" w:space="0" w:color="auto"/>
        <w:right w:val="none" w:sz="0" w:space="0" w:color="auto"/>
      </w:divBdr>
      <w:divsChild>
        <w:div w:id="9335130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5296315">
      <w:bodyDiv w:val="1"/>
      <w:marLeft w:val="0"/>
      <w:marRight w:val="0"/>
      <w:marTop w:val="0"/>
      <w:marBottom w:val="0"/>
      <w:divBdr>
        <w:top w:val="none" w:sz="0" w:space="0" w:color="auto"/>
        <w:left w:val="none" w:sz="0" w:space="0" w:color="auto"/>
        <w:bottom w:val="none" w:sz="0" w:space="0" w:color="auto"/>
        <w:right w:val="none" w:sz="0" w:space="0" w:color="auto"/>
      </w:divBdr>
    </w:div>
    <w:div w:id="1155684572">
      <w:bodyDiv w:val="1"/>
      <w:marLeft w:val="0"/>
      <w:marRight w:val="0"/>
      <w:marTop w:val="0"/>
      <w:marBottom w:val="0"/>
      <w:divBdr>
        <w:top w:val="none" w:sz="0" w:space="0" w:color="auto"/>
        <w:left w:val="none" w:sz="0" w:space="0" w:color="auto"/>
        <w:bottom w:val="none" w:sz="0" w:space="0" w:color="auto"/>
        <w:right w:val="none" w:sz="0" w:space="0" w:color="auto"/>
      </w:divBdr>
    </w:div>
    <w:div w:id="1156065463">
      <w:bodyDiv w:val="1"/>
      <w:marLeft w:val="0"/>
      <w:marRight w:val="0"/>
      <w:marTop w:val="0"/>
      <w:marBottom w:val="0"/>
      <w:divBdr>
        <w:top w:val="none" w:sz="0" w:space="0" w:color="auto"/>
        <w:left w:val="none" w:sz="0" w:space="0" w:color="auto"/>
        <w:bottom w:val="none" w:sz="0" w:space="0" w:color="auto"/>
        <w:right w:val="none" w:sz="0" w:space="0" w:color="auto"/>
      </w:divBdr>
    </w:div>
    <w:div w:id="1215388181">
      <w:bodyDiv w:val="1"/>
      <w:marLeft w:val="0"/>
      <w:marRight w:val="0"/>
      <w:marTop w:val="0"/>
      <w:marBottom w:val="0"/>
      <w:divBdr>
        <w:top w:val="none" w:sz="0" w:space="0" w:color="auto"/>
        <w:left w:val="none" w:sz="0" w:space="0" w:color="auto"/>
        <w:bottom w:val="none" w:sz="0" w:space="0" w:color="auto"/>
        <w:right w:val="none" w:sz="0" w:space="0" w:color="auto"/>
      </w:divBdr>
      <w:divsChild>
        <w:div w:id="2036610948">
          <w:marLeft w:val="0"/>
          <w:marRight w:val="0"/>
          <w:marTop w:val="0"/>
          <w:marBottom w:val="0"/>
          <w:divBdr>
            <w:top w:val="none" w:sz="0" w:space="0" w:color="auto"/>
            <w:left w:val="none" w:sz="0" w:space="0" w:color="auto"/>
            <w:bottom w:val="none" w:sz="0" w:space="0" w:color="auto"/>
            <w:right w:val="none" w:sz="0" w:space="0" w:color="auto"/>
          </w:divBdr>
          <w:divsChild>
            <w:div w:id="158271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873666">
      <w:bodyDiv w:val="1"/>
      <w:marLeft w:val="0"/>
      <w:marRight w:val="0"/>
      <w:marTop w:val="0"/>
      <w:marBottom w:val="0"/>
      <w:divBdr>
        <w:top w:val="none" w:sz="0" w:space="0" w:color="auto"/>
        <w:left w:val="none" w:sz="0" w:space="0" w:color="auto"/>
        <w:bottom w:val="none" w:sz="0" w:space="0" w:color="auto"/>
        <w:right w:val="none" w:sz="0" w:space="0" w:color="auto"/>
      </w:divBdr>
    </w:div>
    <w:div w:id="1238396865">
      <w:bodyDiv w:val="1"/>
      <w:marLeft w:val="0"/>
      <w:marRight w:val="0"/>
      <w:marTop w:val="0"/>
      <w:marBottom w:val="0"/>
      <w:divBdr>
        <w:top w:val="none" w:sz="0" w:space="0" w:color="auto"/>
        <w:left w:val="none" w:sz="0" w:space="0" w:color="auto"/>
        <w:bottom w:val="none" w:sz="0" w:space="0" w:color="auto"/>
        <w:right w:val="none" w:sz="0" w:space="0" w:color="auto"/>
      </w:divBdr>
    </w:div>
    <w:div w:id="1239903553">
      <w:bodyDiv w:val="1"/>
      <w:marLeft w:val="0"/>
      <w:marRight w:val="0"/>
      <w:marTop w:val="0"/>
      <w:marBottom w:val="0"/>
      <w:divBdr>
        <w:top w:val="none" w:sz="0" w:space="0" w:color="auto"/>
        <w:left w:val="none" w:sz="0" w:space="0" w:color="auto"/>
        <w:bottom w:val="none" w:sz="0" w:space="0" w:color="auto"/>
        <w:right w:val="none" w:sz="0" w:space="0" w:color="auto"/>
      </w:divBdr>
    </w:div>
    <w:div w:id="1261449249">
      <w:bodyDiv w:val="1"/>
      <w:marLeft w:val="0"/>
      <w:marRight w:val="0"/>
      <w:marTop w:val="0"/>
      <w:marBottom w:val="0"/>
      <w:divBdr>
        <w:top w:val="none" w:sz="0" w:space="0" w:color="auto"/>
        <w:left w:val="none" w:sz="0" w:space="0" w:color="auto"/>
        <w:bottom w:val="none" w:sz="0" w:space="0" w:color="auto"/>
        <w:right w:val="none" w:sz="0" w:space="0" w:color="auto"/>
      </w:divBdr>
      <w:divsChild>
        <w:div w:id="13718044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5386234">
      <w:bodyDiv w:val="1"/>
      <w:marLeft w:val="0"/>
      <w:marRight w:val="0"/>
      <w:marTop w:val="0"/>
      <w:marBottom w:val="0"/>
      <w:divBdr>
        <w:top w:val="none" w:sz="0" w:space="0" w:color="auto"/>
        <w:left w:val="none" w:sz="0" w:space="0" w:color="auto"/>
        <w:bottom w:val="none" w:sz="0" w:space="0" w:color="auto"/>
        <w:right w:val="none" w:sz="0" w:space="0" w:color="auto"/>
      </w:divBdr>
    </w:div>
    <w:div w:id="1290208460">
      <w:bodyDiv w:val="1"/>
      <w:marLeft w:val="0"/>
      <w:marRight w:val="0"/>
      <w:marTop w:val="0"/>
      <w:marBottom w:val="0"/>
      <w:divBdr>
        <w:top w:val="none" w:sz="0" w:space="0" w:color="auto"/>
        <w:left w:val="none" w:sz="0" w:space="0" w:color="auto"/>
        <w:bottom w:val="none" w:sz="0" w:space="0" w:color="auto"/>
        <w:right w:val="none" w:sz="0" w:space="0" w:color="auto"/>
      </w:divBdr>
    </w:div>
    <w:div w:id="1291861249">
      <w:bodyDiv w:val="1"/>
      <w:marLeft w:val="0"/>
      <w:marRight w:val="0"/>
      <w:marTop w:val="0"/>
      <w:marBottom w:val="0"/>
      <w:divBdr>
        <w:top w:val="none" w:sz="0" w:space="0" w:color="auto"/>
        <w:left w:val="none" w:sz="0" w:space="0" w:color="auto"/>
        <w:bottom w:val="none" w:sz="0" w:space="0" w:color="auto"/>
        <w:right w:val="none" w:sz="0" w:space="0" w:color="auto"/>
      </w:divBdr>
      <w:divsChild>
        <w:div w:id="280964094">
          <w:marLeft w:val="0"/>
          <w:marRight w:val="0"/>
          <w:marTop w:val="0"/>
          <w:marBottom w:val="0"/>
          <w:divBdr>
            <w:top w:val="none" w:sz="0" w:space="0" w:color="auto"/>
            <w:left w:val="none" w:sz="0" w:space="0" w:color="auto"/>
            <w:bottom w:val="none" w:sz="0" w:space="0" w:color="auto"/>
            <w:right w:val="none" w:sz="0" w:space="0" w:color="auto"/>
          </w:divBdr>
          <w:divsChild>
            <w:div w:id="371079920">
              <w:marLeft w:val="0"/>
              <w:marRight w:val="0"/>
              <w:marTop w:val="0"/>
              <w:marBottom w:val="0"/>
              <w:divBdr>
                <w:top w:val="none" w:sz="0" w:space="0" w:color="auto"/>
                <w:left w:val="none" w:sz="0" w:space="0" w:color="auto"/>
                <w:bottom w:val="none" w:sz="0" w:space="0" w:color="auto"/>
                <w:right w:val="none" w:sz="0" w:space="0" w:color="auto"/>
              </w:divBdr>
              <w:divsChild>
                <w:div w:id="2016034007">
                  <w:marLeft w:val="0"/>
                  <w:marRight w:val="0"/>
                  <w:marTop w:val="0"/>
                  <w:marBottom w:val="0"/>
                  <w:divBdr>
                    <w:top w:val="none" w:sz="0" w:space="0" w:color="auto"/>
                    <w:left w:val="none" w:sz="0" w:space="0" w:color="auto"/>
                    <w:bottom w:val="none" w:sz="0" w:space="0" w:color="auto"/>
                    <w:right w:val="none" w:sz="0" w:space="0" w:color="auto"/>
                  </w:divBdr>
                  <w:divsChild>
                    <w:div w:id="346559446">
                      <w:marLeft w:val="0"/>
                      <w:marRight w:val="0"/>
                      <w:marTop w:val="0"/>
                      <w:marBottom w:val="0"/>
                      <w:divBdr>
                        <w:top w:val="none" w:sz="0" w:space="0" w:color="auto"/>
                        <w:left w:val="none" w:sz="0" w:space="0" w:color="auto"/>
                        <w:bottom w:val="none" w:sz="0" w:space="0" w:color="auto"/>
                        <w:right w:val="none" w:sz="0" w:space="0" w:color="auto"/>
                      </w:divBdr>
                      <w:divsChild>
                        <w:div w:id="972907401">
                          <w:marLeft w:val="0"/>
                          <w:marRight w:val="0"/>
                          <w:marTop w:val="0"/>
                          <w:marBottom w:val="0"/>
                          <w:divBdr>
                            <w:top w:val="none" w:sz="0" w:space="0" w:color="auto"/>
                            <w:left w:val="none" w:sz="0" w:space="0" w:color="auto"/>
                            <w:bottom w:val="none" w:sz="0" w:space="0" w:color="auto"/>
                            <w:right w:val="none" w:sz="0" w:space="0" w:color="auto"/>
                          </w:divBdr>
                          <w:divsChild>
                            <w:div w:id="187261100">
                              <w:marLeft w:val="0"/>
                              <w:marRight w:val="0"/>
                              <w:marTop w:val="0"/>
                              <w:marBottom w:val="0"/>
                              <w:divBdr>
                                <w:top w:val="none" w:sz="0" w:space="0" w:color="auto"/>
                                <w:left w:val="none" w:sz="0" w:space="0" w:color="auto"/>
                                <w:bottom w:val="none" w:sz="0" w:space="0" w:color="auto"/>
                                <w:right w:val="none" w:sz="0" w:space="0" w:color="auto"/>
                              </w:divBdr>
                              <w:divsChild>
                                <w:div w:id="18649009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2245802">
      <w:bodyDiv w:val="1"/>
      <w:marLeft w:val="0"/>
      <w:marRight w:val="0"/>
      <w:marTop w:val="0"/>
      <w:marBottom w:val="0"/>
      <w:divBdr>
        <w:top w:val="none" w:sz="0" w:space="0" w:color="auto"/>
        <w:left w:val="none" w:sz="0" w:space="0" w:color="auto"/>
        <w:bottom w:val="none" w:sz="0" w:space="0" w:color="auto"/>
        <w:right w:val="none" w:sz="0" w:space="0" w:color="auto"/>
      </w:divBdr>
    </w:div>
    <w:div w:id="1313096823">
      <w:bodyDiv w:val="1"/>
      <w:marLeft w:val="0"/>
      <w:marRight w:val="0"/>
      <w:marTop w:val="0"/>
      <w:marBottom w:val="0"/>
      <w:divBdr>
        <w:top w:val="none" w:sz="0" w:space="0" w:color="auto"/>
        <w:left w:val="none" w:sz="0" w:space="0" w:color="auto"/>
        <w:bottom w:val="none" w:sz="0" w:space="0" w:color="auto"/>
        <w:right w:val="none" w:sz="0" w:space="0" w:color="auto"/>
      </w:divBdr>
    </w:div>
    <w:div w:id="1315599136">
      <w:bodyDiv w:val="1"/>
      <w:marLeft w:val="0"/>
      <w:marRight w:val="0"/>
      <w:marTop w:val="0"/>
      <w:marBottom w:val="0"/>
      <w:divBdr>
        <w:top w:val="none" w:sz="0" w:space="0" w:color="auto"/>
        <w:left w:val="none" w:sz="0" w:space="0" w:color="auto"/>
        <w:bottom w:val="none" w:sz="0" w:space="0" w:color="auto"/>
        <w:right w:val="none" w:sz="0" w:space="0" w:color="auto"/>
      </w:divBdr>
      <w:divsChild>
        <w:div w:id="641882264">
          <w:marLeft w:val="0"/>
          <w:marRight w:val="0"/>
          <w:marTop w:val="0"/>
          <w:marBottom w:val="0"/>
          <w:divBdr>
            <w:top w:val="none" w:sz="0" w:space="0" w:color="auto"/>
            <w:left w:val="none" w:sz="0" w:space="0" w:color="auto"/>
            <w:bottom w:val="none" w:sz="0" w:space="0" w:color="auto"/>
            <w:right w:val="none" w:sz="0" w:space="0" w:color="auto"/>
          </w:divBdr>
          <w:divsChild>
            <w:div w:id="492990249">
              <w:marLeft w:val="0"/>
              <w:marRight w:val="0"/>
              <w:marTop w:val="120"/>
              <w:marBottom w:val="0"/>
              <w:divBdr>
                <w:top w:val="none" w:sz="0" w:space="0" w:color="auto"/>
                <w:left w:val="none" w:sz="0" w:space="0" w:color="auto"/>
                <w:bottom w:val="none" w:sz="0" w:space="0" w:color="auto"/>
                <w:right w:val="none" w:sz="0" w:space="0" w:color="auto"/>
              </w:divBdr>
            </w:div>
            <w:div w:id="657879179">
              <w:marLeft w:val="0"/>
              <w:marRight w:val="0"/>
              <w:marTop w:val="0"/>
              <w:marBottom w:val="0"/>
              <w:divBdr>
                <w:top w:val="none" w:sz="0" w:space="0" w:color="auto"/>
                <w:left w:val="none" w:sz="0" w:space="0" w:color="auto"/>
                <w:bottom w:val="none" w:sz="0" w:space="0" w:color="auto"/>
                <w:right w:val="none" w:sz="0" w:space="0" w:color="auto"/>
              </w:divBdr>
            </w:div>
          </w:divsChild>
        </w:div>
        <w:div w:id="1014960021">
          <w:marLeft w:val="0"/>
          <w:marRight w:val="0"/>
          <w:marTop w:val="0"/>
          <w:marBottom w:val="0"/>
          <w:divBdr>
            <w:top w:val="none" w:sz="0" w:space="0" w:color="auto"/>
            <w:left w:val="none" w:sz="0" w:space="0" w:color="auto"/>
            <w:bottom w:val="none" w:sz="0" w:space="0" w:color="auto"/>
            <w:right w:val="none" w:sz="0" w:space="0" w:color="auto"/>
          </w:divBdr>
          <w:divsChild>
            <w:div w:id="544176125">
              <w:marLeft w:val="0"/>
              <w:marRight w:val="0"/>
              <w:marTop w:val="120"/>
              <w:marBottom w:val="0"/>
              <w:divBdr>
                <w:top w:val="none" w:sz="0" w:space="0" w:color="auto"/>
                <w:left w:val="none" w:sz="0" w:space="0" w:color="auto"/>
                <w:bottom w:val="none" w:sz="0" w:space="0" w:color="auto"/>
                <w:right w:val="none" w:sz="0" w:space="0" w:color="auto"/>
              </w:divBdr>
            </w:div>
            <w:div w:id="1145469695">
              <w:marLeft w:val="0"/>
              <w:marRight w:val="0"/>
              <w:marTop w:val="0"/>
              <w:marBottom w:val="0"/>
              <w:divBdr>
                <w:top w:val="none" w:sz="0" w:space="0" w:color="auto"/>
                <w:left w:val="none" w:sz="0" w:space="0" w:color="auto"/>
                <w:bottom w:val="none" w:sz="0" w:space="0" w:color="auto"/>
                <w:right w:val="none" w:sz="0" w:space="0" w:color="auto"/>
              </w:divBdr>
            </w:div>
          </w:divsChild>
        </w:div>
        <w:div w:id="1120689810">
          <w:marLeft w:val="0"/>
          <w:marRight w:val="0"/>
          <w:marTop w:val="0"/>
          <w:marBottom w:val="0"/>
          <w:divBdr>
            <w:top w:val="none" w:sz="0" w:space="0" w:color="auto"/>
            <w:left w:val="none" w:sz="0" w:space="0" w:color="auto"/>
            <w:bottom w:val="none" w:sz="0" w:space="0" w:color="auto"/>
            <w:right w:val="none" w:sz="0" w:space="0" w:color="auto"/>
          </w:divBdr>
          <w:divsChild>
            <w:div w:id="525338206">
              <w:marLeft w:val="0"/>
              <w:marRight w:val="0"/>
              <w:marTop w:val="0"/>
              <w:marBottom w:val="0"/>
              <w:divBdr>
                <w:top w:val="none" w:sz="0" w:space="0" w:color="auto"/>
                <w:left w:val="none" w:sz="0" w:space="0" w:color="auto"/>
                <w:bottom w:val="none" w:sz="0" w:space="0" w:color="auto"/>
                <w:right w:val="none" w:sz="0" w:space="0" w:color="auto"/>
              </w:divBdr>
            </w:div>
            <w:div w:id="959723735">
              <w:marLeft w:val="0"/>
              <w:marRight w:val="0"/>
              <w:marTop w:val="120"/>
              <w:marBottom w:val="0"/>
              <w:divBdr>
                <w:top w:val="none" w:sz="0" w:space="0" w:color="auto"/>
                <w:left w:val="none" w:sz="0" w:space="0" w:color="auto"/>
                <w:bottom w:val="none" w:sz="0" w:space="0" w:color="auto"/>
                <w:right w:val="none" w:sz="0" w:space="0" w:color="auto"/>
              </w:divBdr>
            </w:div>
          </w:divsChild>
        </w:div>
        <w:div w:id="1562717329">
          <w:marLeft w:val="0"/>
          <w:marRight w:val="0"/>
          <w:marTop w:val="0"/>
          <w:marBottom w:val="0"/>
          <w:divBdr>
            <w:top w:val="none" w:sz="0" w:space="0" w:color="auto"/>
            <w:left w:val="none" w:sz="0" w:space="0" w:color="auto"/>
            <w:bottom w:val="none" w:sz="0" w:space="0" w:color="auto"/>
            <w:right w:val="none" w:sz="0" w:space="0" w:color="auto"/>
          </w:divBdr>
          <w:divsChild>
            <w:div w:id="478838271">
              <w:marLeft w:val="0"/>
              <w:marRight w:val="0"/>
              <w:marTop w:val="0"/>
              <w:marBottom w:val="0"/>
              <w:divBdr>
                <w:top w:val="none" w:sz="0" w:space="0" w:color="auto"/>
                <w:left w:val="none" w:sz="0" w:space="0" w:color="auto"/>
                <w:bottom w:val="none" w:sz="0" w:space="0" w:color="auto"/>
                <w:right w:val="none" w:sz="0" w:space="0" w:color="auto"/>
              </w:divBdr>
            </w:div>
            <w:div w:id="180920604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26937650">
      <w:bodyDiv w:val="1"/>
      <w:marLeft w:val="0"/>
      <w:marRight w:val="0"/>
      <w:marTop w:val="0"/>
      <w:marBottom w:val="0"/>
      <w:divBdr>
        <w:top w:val="none" w:sz="0" w:space="0" w:color="auto"/>
        <w:left w:val="none" w:sz="0" w:space="0" w:color="auto"/>
        <w:bottom w:val="none" w:sz="0" w:space="0" w:color="auto"/>
        <w:right w:val="none" w:sz="0" w:space="0" w:color="auto"/>
      </w:divBdr>
    </w:div>
    <w:div w:id="1340811830">
      <w:bodyDiv w:val="1"/>
      <w:marLeft w:val="0"/>
      <w:marRight w:val="0"/>
      <w:marTop w:val="0"/>
      <w:marBottom w:val="0"/>
      <w:divBdr>
        <w:top w:val="none" w:sz="0" w:space="0" w:color="auto"/>
        <w:left w:val="none" w:sz="0" w:space="0" w:color="auto"/>
        <w:bottom w:val="none" w:sz="0" w:space="0" w:color="auto"/>
        <w:right w:val="none" w:sz="0" w:space="0" w:color="auto"/>
      </w:divBdr>
    </w:div>
    <w:div w:id="1359812284">
      <w:bodyDiv w:val="1"/>
      <w:marLeft w:val="0"/>
      <w:marRight w:val="0"/>
      <w:marTop w:val="0"/>
      <w:marBottom w:val="0"/>
      <w:divBdr>
        <w:top w:val="none" w:sz="0" w:space="0" w:color="auto"/>
        <w:left w:val="none" w:sz="0" w:space="0" w:color="auto"/>
        <w:bottom w:val="none" w:sz="0" w:space="0" w:color="auto"/>
        <w:right w:val="none" w:sz="0" w:space="0" w:color="auto"/>
      </w:divBdr>
      <w:divsChild>
        <w:div w:id="148137012">
          <w:marLeft w:val="0"/>
          <w:marRight w:val="0"/>
          <w:marTop w:val="0"/>
          <w:marBottom w:val="0"/>
          <w:divBdr>
            <w:top w:val="none" w:sz="0" w:space="0" w:color="auto"/>
            <w:left w:val="none" w:sz="0" w:space="0" w:color="auto"/>
            <w:bottom w:val="none" w:sz="0" w:space="0" w:color="auto"/>
            <w:right w:val="none" w:sz="0" w:space="0" w:color="auto"/>
          </w:divBdr>
        </w:div>
      </w:divsChild>
    </w:div>
    <w:div w:id="1368337617">
      <w:bodyDiv w:val="1"/>
      <w:marLeft w:val="0"/>
      <w:marRight w:val="0"/>
      <w:marTop w:val="0"/>
      <w:marBottom w:val="0"/>
      <w:divBdr>
        <w:top w:val="none" w:sz="0" w:space="0" w:color="auto"/>
        <w:left w:val="none" w:sz="0" w:space="0" w:color="auto"/>
        <w:bottom w:val="none" w:sz="0" w:space="0" w:color="auto"/>
        <w:right w:val="none" w:sz="0" w:space="0" w:color="auto"/>
      </w:divBdr>
      <w:divsChild>
        <w:div w:id="19109181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2317744">
      <w:bodyDiv w:val="1"/>
      <w:marLeft w:val="0"/>
      <w:marRight w:val="0"/>
      <w:marTop w:val="0"/>
      <w:marBottom w:val="0"/>
      <w:divBdr>
        <w:top w:val="none" w:sz="0" w:space="0" w:color="auto"/>
        <w:left w:val="none" w:sz="0" w:space="0" w:color="auto"/>
        <w:bottom w:val="none" w:sz="0" w:space="0" w:color="auto"/>
        <w:right w:val="none" w:sz="0" w:space="0" w:color="auto"/>
      </w:divBdr>
      <w:divsChild>
        <w:div w:id="1805004902">
          <w:marLeft w:val="0"/>
          <w:marRight w:val="0"/>
          <w:marTop w:val="0"/>
          <w:marBottom w:val="0"/>
          <w:divBdr>
            <w:top w:val="none" w:sz="0" w:space="0" w:color="auto"/>
            <w:left w:val="none" w:sz="0" w:space="0" w:color="auto"/>
            <w:bottom w:val="none" w:sz="0" w:space="0" w:color="auto"/>
            <w:right w:val="none" w:sz="0" w:space="0" w:color="auto"/>
          </w:divBdr>
        </w:div>
      </w:divsChild>
    </w:div>
    <w:div w:id="1396394040">
      <w:bodyDiv w:val="1"/>
      <w:marLeft w:val="0"/>
      <w:marRight w:val="0"/>
      <w:marTop w:val="0"/>
      <w:marBottom w:val="0"/>
      <w:divBdr>
        <w:top w:val="none" w:sz="0" w:space="0" w:color="auto"/>
        <w:left w:val="none" w:sz="0" w:space="0" w:color="auto"/>
        <w:bottom w:val="none" w:sz="0" w:space="0" w:color="auto"/>
        <w:right w:val="none" w:sz="0" w:space="0" w:color="auto"/>
      </w:divBdr>
      <w:divsChild>
        <w:div w:id="610933971">
          <w:marLeft w:val="0"/>
          <w:marRight w:val="0"/>
          <w:marTop w:val="0"/>
          <w:marBottom w:val="0"/>
          <w:divBdr>
            <w:top w:val="none" w:sz="0" w:space="0" w:color="auto"/>
            <w:left w:val="none" w:sz="0" w:space="0" w:color="auto"/>
            <w:bottom w:val="none" w:sz="0" w:space="0" w:color="auto"/>
            <w:right w:val="none" w:sz="0" w:space="0" w:color="auto"/>
          </w:divBdr>
          <w:divsChild>
            <w:div w:id="1468661888">
              <w:marLeft w:val="0"/>
              <w:marRight w:val="0"/>
              <w:marTop w:val="0"/>
              <w:marBottom w:val="0"/>
              <w:divBdr>
                <w:top w:val="none" w:sz="0" w:space="0" w:color="auto"/>
                <w:left w:val="none" w:sz="0" w:space="0" w:color="auto"/>
                <w:bottom w:val="none" w:sz="0" w:space="0" w:color="auto"/>
                <w:right w:val="none" w:sz="0" w:space="0" w:color="auto"/>
              </w:divBdr>
              <w:divsChild>
                <w:div w:id="1154640806">
                  <w:marLeft w:val="0"/>
                  <w:marRight w:val="0"/>
                  <w:marTop w:val="0"/>
                  <w:marBottom w:val="0"/>
                  <w:divBdr>
                    <w:top w:val="none" w:sz="0" w:space="0" w:color="auto"/>
                    <w:left w:val="none" w:sz="0" w:space="0" w:color="auto"/>
                    <w:bottom w:val="none" w:sz="0" w:space="0" w:color="auto"/>
                    <w:right w:val="none" w:sz="0" w:space="0" w:color="auto"/>
                  </w:divBdr>
                  <w:divsChild>
                    <w:div w:id="2060593687">
                      <w:marLeft w:val="0"/>
                      <w:marRight w:val="0"/>
                      <w:marTop w:val="0"/>
                      <w:marBottom w:val="0"/>
                      <w:divBdr>
                        <w:top w:val="none" w:sz="0" w:space="0" w:color="auto"/>
                        <w:left w:val="none" w:sz="0" w:space="0" w:color="auto"/>
                        <w:bottom w:val="none" w:sz="0" w:space="0" w:color="auto"/>
                        <w:right w:val="none" w:sz="0" w:space="0" w:color="auto"/>
                      </w:divBdr>
                      <w:divsChild>
                        <w:div w:id="681515236">
                          <w:marLeft w:val="0"/>
                          <w:marRight w:val="0"/>
                          <w:marTop w:val="0"/>
                          <w:marBottom w:val="0"/>
                          <w:divBdr>
                            <w:top w:val="none" w:sz="0" w:space="0" w:color="auto"/>
                            <w:left w:val="none" w:sz="0" w:space="0" w:color="auto"/>
                            <w:bottom w:val="none" w:sz="0" w:space="0" w:color="auto"/>
                            <w:right w:val="none" w:sz="0" w:space="0" w:color="auto"/>
                          </w:divBdr>
                          <w:divsChild>
                            <w:div w:id="1040516417">
                              <w:marLeft w:val="0"/>
                              <w:marRight w:val="0"/>
                              <w:marTop w:val="0"/>
                              <w:marBottom w:val="0"/>
                              <w:divBdr>
                                <w:top w:val="none" w:sz="0" w:space="0" w:color="auto"/>
                                <w:left w:val="none" w:sz="0" w:space="0" w:color="auto"/>
                                <w:bottom w:val="none" w:sz="0" w:space="0" w:color="auto"/>
                                <w:right w:val="none" w:sz="0" w:space="0" w:color="auto"/>
                              </w:divBdr>
                              <w:divsChild>
                                <w:div w:id="1179083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3525434">
      <w:bodyDiv w:val="1"/>
      <w:marLeft w:val="0"/>
      <w:marRight w:val="0"/>
      <w:marTop w:val="0"/>
      <w:marBottom w:val="0"/>
      <w:divBdr>
        <w:top w:val="none" w:sz="0" w:space="0" w:color="auto"/>
        <w:left w:val="none" w:sz="0" w:space="0" w:color="auto"/>
        <w:bottom w:val="none" w:sz="0" w:space="0" w:color="auto"/>
        <w:right w:val="none" w:sz="0" w:space="0" w:color="auto"/>
      </w:divBdr>
    </w:div>
    <w:div w:id="1440291521">
      <w:bodyDiv w:val="1"/>
      <w:marLeft w:val="0"/>
      <w:marRight w:val="0"/>
      <w:marTop w:val="0"/>
      <w:marBottom w:val="0"/>
      <w:divBdr>
        <w:top w:val="none" w:sz="0" w:space="0" w:color="auto"/>
        <w:left w:val="none" w:sz="0" w:space="0" w:color="auto"/>
        <w:bottom w:val="none" w:sz="0" w:space="0" w:color="auto"/>
        <w:right w:val="none" w:sz="0" w:space="0" w:color="auto"/>
      </w:divBdr>
      <w:divsChild>
        <w:div w:id="16069574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9225267">
      <w:bodyDiv w:val="1"/>
      <w:marLeft w:val="0"/>
      <w:marRight w:val="0"/>
      <w:marTop w:val="0"/>
      <w:marBottom w:val="0"/>
      <w:divBdr>
        <w:top w:val="none" w:sz="0" w:space="0" w:color="auto"/>
        <w:left w:val="none" w:sz="0" w:space="0" w:color="auto"/>
        <w:bottom w:val="none" w:sz="0" w:space="0" w:color="auto"/>
        <w:right w:val="none" w:sz="0" w:space="0" w:color="auto"/>
      </w:divBdr>
      <w:divsChild>
        <w:div w:id="2098556080">
          <w:marLeft w:val="0"/>
          <w:marRight w:val="0"/>
          <w:marTop w:val="0"/>
          <w:marBottom w:val="0"/>
          <w:divBdr>
            <w:top w:val="none" w:sz="0" w:space="0" w:color="auto"/>
            <w:left w:val="none" w:sz="0" w:space="0" w:color="auto"/>
            <w:bottom w:val="none" w:sz="0" w:space="0" w:color="auto"/>
            <w:right w:val="none" w:sz="0" w:space="0" w:color="auto"/>
          </w:divBdr>
          <w:divsChild>
            <w:div w:id="168015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921692">
      <w:bodyDiv w:val="1"/>
      <w:marLeft w:val="0"/>
      <w:marRight w:val="0"/>
      <w:marTop w:val="0"/>
      <w:marBottom w:val="0"/>
      <w:divBdr>
        <w:top w:val="none" w:sz="0" w:space="0" w:color="auto"/>
        <w:left w:val="none" w:sz="0" w:space="0" w:color="auto"/>
        <w:bottom w:val="none" w:sz="0" w:space="0" w:color="auto"/>
        <w:right w:val="none" w:sz="0" w:space="0" w:color="auto"/>
      </w:divBdr>
    </w:div>
    <w:div w:id="1475416719">
      <w:bodyDiv w:val="1"/>
      <w:marLeft w:val="0"/>
      <w:marRight w:val="0"/>
      <w:marTop w:val="0"/>
      <w:marBottom w:val="0"/>
      <w:divBdr>
        <w:top w:val="none" w:sz="0" w:space="0" w:color="auto"/>
        <w:left w:val="none" w:sz="0" w:space="0" w:color="auto"/>
        <w:bottom w:val="none" w:sz="0" w:space="0" w:color="auto"/>
        <w:right w:val="none" w:sz="0" w:space="0" w:color="auto"/>
      </w:divBdr>
    </w:div>
    <w:div w:id="1502964331">
      <w:bodyDiv w:val="1"/>
      <w:marLeft w:val="0"/>
      <w:marRight w:val="0"/>
      <w:marTop w:val="0"/>
      <w:marBottom w:val="0"/>
      <w:divBdr>
        <w:top w:val="none" w:sz="0" w:space="0" w:color="auto"/>
        <w:left w:val="none" w:sz="0" w:space="0" w:color="auto"/>
        <w:bottom w:val="none" w:sz="0" w:space="0" w:color="auto"/>
        <w:right w:val="none" w:sz="0" w:space="0" w:color="auto"/>
      </w:divBdr>
    </w:div>
    <w:div w:id="1511414259">
      <w:bodyDiv w:val="1"/>
      <w:marLeft w:val="0"/>
      <w:marRight w:val="0"/>
      <w:marTop w:val="0"/>
      <w:marBottom w:val="0"/>
      <w:divBdr>
        <w:top w:val="none" w:sz="0" w:space="0" w:color="auto"/>
        <w:left w:val="none" w:sz="0" w:space="0" w:color="auto"/>
        <w:bottom w:val="none" w:sz="0" w:space="0" w:color="auto"/>
        <w:right w:val="none" w:sz="0" w:space="0" w:color="auto"/>
      </w:divBdr>
    </w:div>
    <w:div w:id="1522236910">
      <w:bodyDiv w:val="1"/>
      <w:marLeft w:val="0"/>
      <w:marRight w:val="0"/>
      <w:marTop w:val="0"/>
      <w:marBottom w:val="0"/>
      <w:divBdr>
        <w:top w:val="none" w:sz="0" w:space="0" w:color="auto"/>
        <w:left w:val="none" w:sz="0" w:space="0" w:color="auto"/>
        <w:bottom w:val="none" w:sz="0" w:space="0" w:color="auto"/>
        <w:right w:val="none" w:sz="0" w:space="0" w:color="auto"/>
      </w:divBdr>
      <w:divsChild>
        <w:div w:id="104927789">
          <w:marLeft w:val="0"/>
          <w:marRight w:val="0"/>
          <w:marTop w:val="0"/>
          <w:marBottom w:val="0"/>
          <w:divBdr>
            <w:top w:val="none" w:sz="0" w:space="0" w:color="auto"/>
            <w:left w:val="none" w:sz="0" w:space="0" w:color="auto"/>
            <w:bottom w:val="none" w:sz="0" w:space="0" w:color="auto"/>
            <w:right w:val="none" w:sz="0" w:space="0" w:color="auto"/>
          </w:divBdr>
        </w:div>
        <w:div w:id="230233836">
          <w:marLeft w:val="0"/>
          <w:marRight w:val="0"/>
          <w:marTop w:val="0"/>
          <w:marBottom w:val="0"/>
          <w:divBdr>
            <w:top w:val="none" w:sz="0" w:space="0" w:color="auto"/>
            <w:left w:val="none" w:sz="0" w:space="0" w:color="auto"/>
            <w:bottom w:val="none" w:sz="0" w:space="0" w:color="auto"/>
            <w:right w:val="none" w:sz="0" w:space="0" w:color="auto"/>
          </w:divBdr>
        </w:div>
        <w:div w:id="1039012505">
          <w:marLeft w:val="0"/>
          <w:marRight w:val="0"/>
          <w:marTop w:val="0"/>
          <w:marBottom w:val="0"/>
          <w:divBdr>
            <w:top w:val="none" w:sz="0" w:space="0" w:color="auto"/>
            <w:left w:val="none" w:sz="0" w:space="0" w:color="auto"/>
            <w:bottom w:val="none" w:sz="0" w:space="0" w:color="auto"/>
            <w:right w:val="none" w:sz="0" w:space="0" w:color="auto"/>
          </w:divBdr>
          <w:divsChild>
            <w:div w:id="1984308879">
              <w:marLeft w:val="-75"/>
              <w:marRight w:val="0"/>
              <w:marTop w:val="30"/>
              <w:marBottom w:val="30"/>
              <w:divBdr>
                <w:top w:val="none" w:sz="0" w:space="0" w:color="auto"/>
                <w:left w:val="none" w:sz="0" w:space="0" w:color="auto"/>
                <w:bottom w:val="none" w:sz="0" w:space="0" w:color="auto"/>
                <w:right w:val="none" w:sz="0" w:space="0" w:color="auto"/>
              </w:divBdr>
              <w:divsChild>
                <w:div w:id="54013387">
                  <w:marLeft w:val="0"/>
                  <w:marRight w:val="0"/>
                  <w:marTop w:val="0"/>
                  <w:marBottom w:val="0"/>
                  <w:divBdr>
                    <w:top w:val="none" w:sz="0" w:space="0" w:color="auto"/>
                    <w:left w:val="none" w:sz="0" w:space="0" w:color="auto"/>
                    <w:bottom w:val="none" w:sz="0" w:space="0" w:color="auto"/>
                    <w:right w:val="none" w:sz="0" w:space="0" w:color="auto"/>
                  </w:divBdr>
                  <w:divsChild>
                    <w:div w:id="1830748847">
                      <w:marLeft w:val="0"/>
                      <w:marRight w:val="0"/>
                      <w:marTop w:val="0"/>
                      <w:marBottom w:val="0"/>
                      <w:divBdr>
                        <w:top w:val="none" w:sz="0" w:space="0" w:color="auto"/>
                        <w:left w:val="none" w:sz="0" w:space="0" w:color="auto"/>
                        <w:bottom w:val="none" w:sz="0" w:space="0" w:color="auto"/>
                        <w:right w:val="none" w:sz="0" w:space="0" w:color="auto"/>
                      </w:divBdr>
                    </w:div>
                  </w:divsChild>
                </w:div>
                <w:div w:id="57285287">
                  <w:marLeft w:val="0"/>
                  <w:marRight w:val="0"/>
                  <w:marTop w:val="0"/>
                  <w:marBottom w:val="0"/>
                  <w:divBdr>
                    <w:top w:val="none" w:sz="0" w:space="0" w:color="auto"/>
                    <w:left w:val="none" w:sz="0" w:space="0" w:color="auto"/>
                    <w:bottom w:val="none" w:sz="0" w:space="0" w:color="auto"/>
                    <w:right w:val="none" w:sz="0" w:space="0" w:color="auto"/>
                  </w:divBdr>
                  <w:divsChild>
                    <w:div w:id="1242910762">
                      <w:marLeft w:val="0"/>
                      <w:marRight w:val="0"/>
                      <w:marTop w:val="0"/>
                      <w:marBottom w:val="0"/>
                      <w:divBdr>
                        <w:top w:val="none" w:sz="0" w:space="0" w:color="auto"/>
                        <w:left w:val="none" w:sz="0" w:space="0" w:color="auto"/>
                        <w:bottom w:val="none" w:sz="0" w:space="0" w:color="auto"/>
                        <w:right w:val="none" w:sz="0" w:space="0" w:color="auto"/>
                      </w:divBdr>
                    </w:div>
                  </w:divsChild>
                </w:div>
                <w:div w:id="93408842">
                  <w:marLeft w:val="0"/>
                  <w:marRight w:val="0"/>
                  <w:marTop w:val="0"/>
                  <w:marBottom w:val="0"/>
                  <w:divBdr>
                    <w:top w:val="none" w:sz="0" w:space="0" w:color="auto"/>
                    <w:left w:val="none" w:sz="0" w:space="0" w:color="auto"/>
                    <w:bottom w:val="none" w:sz="0" w:space="0" w:color="auto"/>
                    <w:right w:val="none" w:sz="0" w:space="0" w:color="auto"/>
                  </w:divBdr>
                  <w:divsChild>
                    <w:div w:id="1223175338">
                      <w:marLeft w:val="0"/>
                      <w:marRight w:val="0"/>
                      <w:marTop w:val="0"/>
                      <w:marBottom w:val="0"/>
                      <w:divBdr>
                        <w:top w:val="none" w:sz="0" w:space="0" w:color="auto"/>
                        <w:left w:val="none" w:sz="0" w:space="0" w:color="auto"/>
                        <w:bottom w:val="none" w:sz="0" w:space="0" w:color="auto"/>
                        <w:right w:val="none" w:sz="0" w:space="0" w:color="auto"/>
                      </w:divBdr>
                    </w:div>
                  </w:divsChild>
                </w:div>
                <w:div w:id="146436903">
                  <w:marLeft w:val="0"/>
                  <w:marRight w:val="0"/>
                  <w:marTop w:val="0"/>
                  <w:marBottom w:val="0"/>
                  <w:divBdr>
                    <w:top w:val="none" w:sz="0" w:space="0" w:color="auto"/>
                    <w:left w:val="none" w:sz="0" w:space="0" w:color="auto"/>
                    <w:bottom w:val="none" w:sz="0" w:space="0" w:color="auto"/>
                    <w:right w:val="none" w:sz="0" w:space="0" w:color="auto"/>
                  </w:divBdr>
                  <w:divsChild>
                    <w:div w:id="393433517">
                      <w:marLeft w:val="0"/>
                      <w:marRight w:val="0"/>
                      <w:marTop w:val="0"/>
                      <w:marBottom w:val="0"/>
                      <w:divBdr>
                        <w:top w:val="none" w:sz="0" w:space="0" w:color="auto"/>
                        <w:left w:val="none" w:sz="0" w:space="0" w:color="auto"/>
                        <w:bottom w:val="none" w:sz="0" w:space="0" w:color="auto"/>
                        <w:right w:val="none" w:sz="0" w:space="0" w:color="auto"/>
                      </w:divBdr>
                    </w:div>
                  </w:divsChild>
                </w:div>
                <w:div w:id="237249660">
                  <w:marLeft w:val="0"/>
                  <w:marRight w:val="0"/>
                  <w:marTop w:val="0"/>
                  <w:marBottom w:val="0"/>
                  <w:divBdr>
                    <w:top w:val="none" w:sz="0" w:space="0" w:color="auto"/>
                    <w:left w:val="none" w:sz="0" w:space="0" w:color="auto"/>
                    <w:bottom w:val="none" w:sz="0" w:space="0" w:color="auto"/>
                    <w:right w:val="none" w:sz="0" w:space="0" w:color="auto"/>
                  </w:divBdr>
                  <w:divsChild>
                    <w:div w:id="1482235910">
                      <w:marLeft w:val="0"/>
                      <w:marRight w:val="0"/>
                      <w:marTop w:val="0"/>
                      <w:marBottom w:val="0"/>
                      <w:divBdr>
                        <w:top w:val="none" w:sz="0" w:space="0" w:color="auto"/>
                        <w:left w:val="none" w:sz="0" w:space="0" w:color="auto"/>
                        <w:bottom w:val="none" w:sz="0" w:space="0" w:color="auto"/>
                        <w:right w:val="none" w:sz="0" w:space="0" w:color="auto"/>
                      </w:divBdr>
                    </w:div>
                  </w:divsChild>
                </w:div>
                <w:div w:id="251858169">
                  <w:marLeft w:val="0"/>
                  <w:marRight w:val="0"/>
                  <w:marTop w:val="0"/>
                  <w:marBottom w:val="0"/>
                  <w:divBdr>
                    <w:top w:val="none" w:sz="0" w:space="0" w:color="auto"/>
                    <w:left w:val="none" w:sz="0" w:space="0" w:color="auto"/>
                    <w:bottom w:val="none" w:sz="0" w:space="0" w:color="auto"/>
                    <w:right w:val="none" w:sz="0" w:space="0" w:color="auto"/>
                  </w:divBdr>
                  <w:divsChild>
                    <w:div w:id="988556251">
                      <w:marLeft w:val="0"/>
                      <w:marRight w:val="0"/>
                      <w:marTop w:val="0"/>
                      <w:marBottom w:val="0"/>
                      <w:divBdr>
                        <w:top w:val="none" w:sz="0" w:space="0" w:color="auto"/>
                        <w:left w:val="none" w:sz="0" w:space="0" w:color="auto"/>
                        <w:bottom w:val="none" w:sz="0" w:space="0" w:color="auto"/>
                        <w:right w:val="none" w:sz="0" w:space="0" w:color="auto"/>
                      </w:divBdr>
                    </w:div>
                  </w:divsChild>
                </w:div>
                <w:div w:id="302851924">
                  <w:marLeft w:val="0"/>
                  <w:marRight w:val="0"/>
                  <w:marTop w:val="0"/>
                  <w:marBottom w:val="0"/>
                  <w:divBdr>
                    <w:top w:val="none" w:sz="0" w:space="0" w:color="auto"/>
                    <w:left w:val="none" w:sz="0" w:space="0" w:color="auto"/>
                    <w:bottom w:val="none" w:sz="0" w:space="0" w:color="auto"/>
                    <w:right w:val="none" w:sz="0" w:space="0" w:color="auto"/>
                  </w:divBdr>
                  <w:divsChild>
                    <w:div w:id="1519466">
                      <w:marLeft w:val="0"/>
                      <w:marRight w:val="0"/>
                      <w:marTop w:val="0"/>
                      <w:marBottom w:val="0"/>
                      <w:divBdr>
                        <w:top w:val="none" w:sz="0" w:space="0" w:color="auto"/>
                        <w:left w:val="none" w:sz="0" w:space="0" w:color="auto"/>
                        <w:bottom w:val="none" w:sz="0" w:space="0" w:color="auto"/>
                        <w:right w:val="none" w:sz="0" w:space="0" w:color="auto"/>
                      </w:divBdr>
                    </w:div>
                  </w:divsChild>
                </w:div>
                <w:div w:id="426116369">
                  <w:marLeft w:val="0"/>
                  <w:marRight w:val="0"/>
                  <w:marTop w:val="0"/>
                  <w:marBottom w:val="0"/>
                  <w:divBdr>
                    <w:top w:val="none" w:sz="0" w:space="0" w:color="auto"/>
                    <w:left w:val="none" w:sz="0" w:space="0" w:color="auto"/>
                    <w:bottom w:val="none" w:sz="0" w:space="0" w:color="auto"/>
                    <w:right w:val="none" w:sz="0" w:space="0" w:color="auto"/>
                  </w:divBdr>
                  <w:divsChild>
                    <w:div w:id="201286827">
                      <w:marLeft w:val="0"/>
                      <w:marRight w:val="0"/>
                      <w:marTop w:val="0"/>
                      <w:marBottom w:val="0"/>
                      <w:divBdr>
                        <w:top w:val="none" w:sz="0" w:space="0" w:color="auto"/>
                        <w:left w:val="none" w:sz="0" w:space="0" w:color="auto"/>
                        <w:bottom w:val="none" w:sz="0" w:space="0" w:color="auto"/>
                        <w:right w:val="none" w:sz="0" w:space="0" w:color="auto"/>
                      </w:divBdr>
                    </w:div>
                  </w:divsChild>
                </w:div>
                <w:div w:id="472020172">
                  <w:marLeft w:val="0"/>
                  <w:marRight w:val="0"/>
                  <w:marTop w:val="0"/>
                  <w:marBottom w:val="0"/>
                  <w:divBdr>
                    <w:top w:val="none" w:sz="0" w:space="0" w:color="auto"/>
                    <w:left w:val="none" w:sz="0" w:space="0" w:color="auto"/>
                    <w:bottom w:val="none" w:sz="0" w:space="0" w:color="auto"/>
                    <w:right w:val="none" w:sz="0" w:space="0" w:color="auto"/>
                  </w:divBdr>
                  <w:divsChild>
                    <w:div w:id="1554806326">
                      <w:marLeft w:val="0"/>
                      <w:marRight w:val="0"/>
                      <w:marTop w:val="0"/>
                      <w:marBottom w:val="0"/>
                      <w:divBdr>
                        <w:top w:val="none" w:sz="0" w:space="0" w:color="auto"/>
                        <w:left w:val="none" w:sz="0" w:space="0" w:color="auto"/>
                        <w:bottom w:val="none" w:sz="0" w:space="0" w:color="auto"/>
                        <w:right w:val="none" w:sz="0" w:space="0" w:color="auto"/>
                      </w:divBdr>
                    </w:div>
                  </w:divsChild>
                </w:div>
                <w:div w:id="485514561">
                  <w:marLeft w:val="0"/>
                  <w:marRight w:val="0"/>
                  <w:marTop w:val="0"/>
                  <w:marBottom w:val="0"/>
                  <w:divBdr>
                    <w:top w:val="none" w:sz="0" w:space="0" w:color="auto"/>
                    <w:left w:val="none" w:sz="0" w:space="0" w:color="auto"/>
                    <w:bottom w:val="none" w:sz="0" w:space="0" w:color="auto"/>
                    <w:right w:val="none" w:sz="0" w:space="0" w:color="auto"/>
                  </w:divBdr>
                  <w:divsChild>
                    <w:div w:id="2075662081">
                      <w:marLeft w:val="0"/>
                      <w:marRight w:val="0"/>
                      <w:marTop w:val="0"/>
                      <w:marBottom w:val="0"/>
                      <w:divBdr>
                        <w:top w:val="none" w:sz="0" w:space="0" w:color="auto"/>
                        <w:left w:val="none" w:sz="0" w:space="0" w:color="auto"/>
                        <w:bottom w:val="none" w:sz="0" w:space="0" w:color="auto"/>
                        <w:right w:val="none" w:sz="0" w:space="0" w:color="auto"/>
                      </w:divBdr>
                    </w:div>
                  </w:divsChild>
                </w:div>
                <w:div w:id="547650307">
                  <w:marLeft w:val="0"/>
                  <w:marRight w:val="0"/>
                  <w:marTop w:val="0"/>
                  <w:marBottom w:val="0"/>
                  <w:divBdr>
                    <w:top w:val="none" w:sz="0" w:space="0" w:color="auto"/>
                    <w:left w:val="none" w:sz="0" w:space="0" w:color="auto"/>
                    <w:bottom w:val="none" w:sz="0" w:space="0" w:color="auto"/>
                    <w:right w:val="none" w:sz="0" w:space="0" w:color="auto"/>
                  </w:divBdr>
                  <w:divsChild>
                    <w:div w:id="905990551">
                      <w:marLeft w:val="0"/>
                      <w:marRight w:val="0"/>
                      <w:marTop w:val="0"/>
                      <w:marBottom w:val="0"/>
                      <w:divBdr>
                        <w:top w:val="none" w:sz="0" w:space="0" w:color="auto"/>
                        <w:left w:val="none" w:sz="0" w:space="0" w:color="auto"/>
                        <w:bottom w:val="none" w:sz="0" w:space="0" w:color="auto"/>
                        <w:right w:val="none" w:sz="0" w:space="0" w:color="auto"/>
                      </w:divBdr>
                    </w:div>
                    <w:div w:id="1640568648">
                      <w:marLeft w:val="0"/>
                      <w:marRight w:val="0"/>
                      <w:marTop w:val="0"/>
                      <w:marBottom w:val="0"/>
                      <w:divBdr>
                        <w:top w:val="none" w:sz="0" w:space="0" w:color="auto"/>
                        <w:left w:val="none" w:sz="0" w:space="0" w:color="auto"/>
                        <w:bottom w:val="none" w:sz="0" w:space="0" w:color="auto"/>
                        <w:right w:val="none" w:sz="0" w:space="0" w:color="auto"/>
                      </w:divBdr>
                    </w:div>
                  </w:divsChild>
                </w:div>
                <w:div w:id="663240734">
                  <w:marLeft w:val="0"/>
                  <w:marRight w:val="0"/>
                  <w:marTop w:val="0"/>
                  <w:marBottom w:val="0"/>
                  <w:divBdr>
                    <w:top w:val="none" w:sz="0" w:space="0" w:color="auto"/>
                    <w:left w:val="none" w:sz="0" w:space="0" w:color="auto"/>
                    <w:bottom w:val="none" w:sz="0" w:space="0" w:color="auto"/>
                    <w:right w:val="none" w:sz="0" w:space="0" w:color="auto"/>
                  </w:divBdr>
                  <w:divsChild>
                    <w:div w:id="1672298438">
                      <w:marLeft w:val="0"/>
                      <w:marRight w:val="0"/>
                      <w:marTop w:val="0"/>
                      <w:marBottom w:val="0"/>
                      <w:divBdr>
                        <w:top w:val="none" w:sz="0" w:space="0" w:color="auto"/>
                        <w:left w:val="none" w:sz="0" w:space="0" w:color="auto"/>
                        <w:bottom w:val="none" w:sz="0" w:space="0" w:color="auto"/>
                        <w:right w:val="none" w:sz="0" w:space="0" w:color="auto"/>
                      </w:divBdr>
                    </w:div>
                  </w:divsChild>
                </w:div>
                <w:div w:id="737170082">
                  <w:marLeft w:val="0"/>
                  <w:marRight w:val="0"/>
                  <w:marTop w:val="0"/>
                  <w:marBottom w:val="0"/>
                  <w:divBdr>
                    <w:top w:val="none" w:sz="0" w:space="0" w:color="auto"/>
                    <w:left w:val="none" w:sz="0" w:space="0" w:color="auto"/>
                    <w:bottom w:val="none" w:sz="0" w:space="0" w:color="auto"/>
                    <w:right w:val="none" w:sz="0" w:space="0" w:color="auto"/>
                  </w:divBdr>
                  <w:divsChild>
                    <w:div w:id="2077045531">
                      <w:marLeft w:val="0"/>
                      <w:marRight w:val="0"/>
                      <w:marTop w:val="0"/>
                      <w:marBottom w:val="0"/>
                      <w:divBdr>
                        <w:top w:val="none" w:sz="0" w:space="0" w:color="auto"/>
                        <w:left w:val="none" w:sz="0" w:space="0" w:color="auto"/>
                        <w:bottom w:val="none" w:sz="0" w:space="0" w:color="auto"/>
                        <w:right w:val="none" w:sz="0" w:space="0" w:color="auto"/>
                      </w:divBdr>
                    </w:div>
                  </w:divsChild>
                </w:div>
                <w:div w:id="841091569">
                  <w:marLeft w:val="0"/>
                  <w:marRight w:val="0"/>
                  <w:marTop w:val="0"/>
                  <w:marBottom w:val="0"/>
                  <w:divBdr>
                    <w:top w:val="none" w:sz="0" w:space="0" w:color="auto"/>
                    <w:left w:val="none" w:sz="0" w:space="0" w:color="auto"/>
                    <w:bottom w:val="none" w:sz="0" w:space="0" w:color="auto"/>
                    <w:right w:val="none" w:sz="0" w:space="0" w:color="auto"/>
                  </w:divBdr>
                  <w:divsChild>
                    <w:div w:id="207375801">
                      <w:marLeft w:val="0"/>
                      <w:marRight w:val="0"/>
                      <w:marTop w:val="0"/>
                      <w:marBottom w:val="0"/>
                      <w:divBdr>
                        <w:top w:val="none" w:sz="0" w:space="0" w:color="auto"/>
                        <w:left w:val="none" w:sz="0" w:space="0" w:color="auto"/>
                        <w:bottom w:val="none" w:sz="0" w:space="0" w:color="auto"/>
                        <w:right w:val="none" w:sz="0" w:space="0" w:color="auto"/>
                      </w:divBdr>
                    </w:div>
                    <w:div w:id="1313870864">
                      <w:marLeft w:val="0"/>
                      <w:marRight w:val="0"/>
                      <w:marTop w:val="0"/>
                      <w:marBottom w:val="0"/>
                      <w:divBdr>
                        <w:top w:val="none" w:sz="0" w:space="0" w:color="auto"/>
                        <w:left w:val="none" w:sz="0" w:space="0" w:color="auto"/>
                        <w:bottom w:val="none" w:sz="0" w:space="0" w:color="auto"/>
                        <w:right w:val="none" w:sz="0" w:space="0" w:color="auto"/>
                      </w:divBdr>
                    </w:div>
                  </w:divsChild>
                </w:div>
                <w:div w:id="1012297598">
                  <w:marLeft w:val="0"/>
                  <w:marRight w:val="0"/>
                  <w:marTop w:val="0"/>
                  <w:marBottom w:val="0"/>
                  <w:divBdr>
                    <w:top w:val="none" w:sz="0" w:space="0" w:color="auto"/>
                    <w:left w:val="none" w:sz="0" w:space="0" w:color="auto"/>
                    <w:bottom w:val="none" w:sz="0" w:space="0" w:color="auto"/>
                    <w:right w:val="none" w:sz="0" w:space="0" w:color="auto"/>
                  </w:divBdr>
                  <w:divsChild>
                    <w:div w:id="720254294">
                      <w:marLeft w:val="0"/>
                      <w:marRight w:val="0"/>
                      <w:marTop w:val="0"/>
                      <w:marBottom w:val="0"/>
                      <w:divBdr>
                        <w:top w:val="none" w:sz="0" w:space="0" w:color="auto"/>
                        <w:left w:val="none" w:sz="0" w:space="0" w:color="auto"/>
                        <w:bottom w:val="none" w:sz="0" w:space="0" w:color="auto"/>
                        <w:right w:val="none" w:sz="0" w:space="0" w:color="auto"/>
                      </w:divBdr>
                    </w:div>
                  </w:divsChild>
                </w:div>
                <w:div w:id="1018040797">
                  <w:marLeft w:val="0"/>
                  <w:marRight w:val="0"/>
                  <w:marTop w:val="0"/>
                  <w:marBottom w:val="0"/>
                  <w:divBdr>
                    <w:top w:val="none" w:sz="0" w:space="0" w:color="auto"/>
                    <w:left w:val="none" w:sz="0" w:space="0" w:color="auto"/>
                    <w:bottom w:val="none" w:sz="0" w:space="0" w:color="auto"/>
                    <w:right w:val="none" w:sz="0" w:space="0" w:color="auto"/>
                  </w:divBdr>
                  <w:divsChild>
                    <w:div w:id="1138184669">
                      <w:marLeft w:val="0"/>
                      <w:marRight w:val="0"/>
                      <w:marTop w:val="0"/>
                      <w:marBottom w:val="0"/>
                      <w:divBdr>
                        <w:top w:val="none" w:sz="0" w:space="0" w:color="auto"/>
                        <w:left w:val="none" w:sz="0" w:space="0" w:color="auto"/>
                        <w:bottom w:val="none" w:sz="0" w:space="0" w:color="auto"/>
                        <w:right w:val="none" w:sz="0" w:space="0" w:color="auto"/>
                      </w:divBdr>
                    </w:div>
                  </w:divsChild>
                </w:div>
                <w:div w:id="1072238216">
                  <w:marLeft w:val="0"/>
                  <w:marRight w:val="0"/>
                  <w:marTop w:val="0"/>
                  <w:marBottom w:val="0"/>
                  <w:divBdr>
                    <w:top w:val="none" w:sz="0" w:space="0" w:color="auto"/>
                    <w:left w:val="none" w:sz="0" w:space="0" w:color="auto"/>
                    <w:bottom w:val="none" w:sz="0" w:space="0" w:color="auto"/>
                    <w:right w:val="none" w:sz="0" w:space="0" w:color="auto"/>
                  </w:divBdr>
                  <w:divsChild>
                    <w:div w:id="389571356">
                      <w:marLeft w:val="0"/>
                      <w:marRight w:val="0"/>
                      <w:marTop w:val="0"/>
                      <w:marBottom w:val="0"/>
                      <w:divBdr>
                        <w:top w:val="none" w:sz="0" w:space="0" w:color="auto"/>
                        <w:left w:val="none" w:sz="0" w:space="0" w:color="auto"/>
                        <w:bottom w:val="none" w:sz="0" w:space="0" w:color="auto"/>
                        <w:right w:val="none" w:sz="0" w:space="0" w:color="auto"/>
                      </w:divBdr>
                    </w:div>
                  </w:divsChild>
                </w:div>
                <w:div w:id="1123226628">
                  <w:marLeft w:val="0"/>
                  <w:marRight w:val="0"/>
                  <w:marTop w:val="0"/>
                  <w:marBottom w:val="0"/>
                  <w:divBdr>
                    <w:top w:val="none" w:sz="0" w:space="0" w:color="auto"/>
                    <w:left w:val="none" w:sz="0" w:space="0" w:color="auto"/>
                    <w:bottom w:val="none" w:sz="0" w:space="0" w:color="auto"/>
                    <w:right w:val="none" w:sz="0" w:space="0" w:color="auto"/>
                  </w:divBdr>
                  <w:divsChild>
                    <w:div w:id="1192307336">
                      <w:marLeft w:val="0"/>
                      <w:marRight w:val="0"/>
                      <w:marTop w:val="0"/>
                      <w:marBottom w:val="0"/>
                      <w:divBdr>
                        <w:top w:val="none" w:sz="0" w:space="0" w:color="auto"/>
                        <w:left w:val="none" w:sz="0" w:space="0" w:color="auto"/>
                        <w:bottom w:val="none" w:sz="0" w:space="0" w:color="auto"/>
                        <w:right w:val="none" w:sz="0" w:space="0" w:color="auto"/>
                      </w:divBdr>
                    </w:div>
                  </w:divsChild>
                </w:div>
                <w:div w:id="1133056981">
                  <w:marLeft w:val="0"/>
                  <w:marRight w:val="0"/>
                  <w:marTop w:val="0"/>
                  <w:marBottom w:val="0"/>
                  <w:divBdr>
                    <w:top w:val="none" w:sz="0" w:space="0" w:color="auto"/>
                    <w:left w:val="none" w:sz="0" w:space="0" w:color="auto"/>
                    <w:bottom w:val="none" w:sz="0" w:space="0" w:color="auto"/>
                    <w:right w:val="none" w:sz="0" w:space="0" w:color="auto"/>
                  </w:divBdr>
                  <w:divsChild>
                    <w:div w:id="1263807363">
                      <w:marLeft w:val="0"/>
                      <w:marRight w:val="0"/>
                      <w:marTop w:val="0"/>
                      <w:marBottom w:val="0"/>
                      <w:divBdr>
                        <w:top w:val="none" w:sz="0" w:space="0" w:color="auto"/>
                        <w:left w:val="none" w:sz="0" w:space="0" w:color="auto"/>
                        <w:bottom w:val="none" w:sz="0" w:space="0" w:color="auto"/>
                        <w:right w:val="none" w:sz="0" w:space="0" w:color="auto"/>
                      </w:divBdr>
                    </w:div>
                  </w:divsChild>
                </w:div>
                <w:div w:id="1275939619">
                  <w:marLeft w:val="0"/>
                  <w:marRight w:val="0"/>
                  <w:marTop w:val="0"/>
                  <w:marBottom w:val="0"/>
                  <w:divBdr>
                    <w:top w:val="none" w:sz="0" w:space="0" w:color="auto"/>
                    <w:left w:val="none" w:sz="0" w:space="0" w:color="auto"/>
                    <w:bottom w:val="none" w:sz="0" w:space="0" w:color="auto"/>
                    <w:right w:val="none" w:sz="0" w:space="0" w:color="auto"/>
                  </w:divBdr>
                  <w:divsChild>
                    <w:div w:id="522328781">
                      <w:marLeft w:val="0"/>
                      <w:marRight w:val="0"/>
                      <w:marTop w:val="0"/>
                      <w:marBottom w:val="0"/>
                      <w:divBdr>
                        <w:top w:val="none" w:sz="0" w:space="0" w:color="auto"/>
                        <w:left w:val="none" w:sz="0" w:space="0" w:color="auto"/>
                        <w:bottom w:val="none" w:sz="0" w:space="0" w:color="auto"/>
                        <w:right w:val="none" w:sz="0" w:space="0" w:color="auto"/>
                      </w:divBdr>
                    </w:div>
                  </w:divsChild>
                </w:div>
                <w:div w:id="1337464731">
                  <w:marLeft w:val="0"/>
                  <w:marRight w:val="0"/>
                  <w:marTop w:val="0"/>
                  <w:marBottom w:val="0"/>
                  <w:divBdr>
                    <w:top w:val="none" w:sz="0" w:space="0" w:color="auto"/>
                    <w:left w:val="none" w:sz="0" w:space="0" w:color="auto"/>
                    <w:bottom w:val="none" w:sz="0" w:space="0" w:color="auto"/>
                    <w:right w:val="none" w:sz="0" w:space="0" w:color="auto"/>
                  </w:divBdr>
                  <w:divsChild>
                    <w:div w:id="1269124193">
                      <w:marLeft w:val="0"/>
                      <w:marRight w:val="0"/>
                      <w:marTop w:val="0"/>
                      <w:marBottom w:val="0"/>
                      <w:divBdr>
                        <w:top w:val="none" w:sz="0" w:space="0" w:color="auto"/>
                        <w:left w:val="none" w:sz="0" w:space="0" w:color="auto"/>
                        <w:bottom w:val="none" w:sz="0" w:space="0" w:color="auto"/>
                        <w:right w:val="none" w:sz="0" w:space="0" w:color="auto"/>
                      </w:divBdr>
                    </w:div>
                  </w:divsChild>
                </w:div>
                <w:div w:id="1388725817">
                  <w:marLeft w:val="0"/>
                  <w:marRight w:val="0"/>
                  <w:marTop w:val="0"/>
                  <w:marBottom w:val="0"/>
                  <w:divBdr>
                    <w:top w:val="none" w:sz="0" w:space="0" w:color="auto"/>
                    <w:left w:val="none" w:sz="0" w:space="0" w:color="auto"/>
                    <w:bottom w:val="none" w:sz="0" w:space="0" w:color="auto"/>
                    <w:right w:val="none" w:sz="0" w:space="0" w:color="auto"/>
                  </w:divBdr>
                  <w:divsChild>
                    <w:div w:id="1724056828">
                      <w:marLeft w:val="0"/>
                      <w:marRight w:val="0"/>
                      <w:marTop w:val="0"/>
                      <w:marBottom w:val="0"/>
                      <w:divBdr>
                        <w:top w:val="none" w:sz="0" w:space="0" w:color="auto"/>
                        <w:left w:val="none" w:sz="0" w:space="0" w:color="auto"/>
                        <w:bottom w:val="none" w:sz="0" w:space="0" w:color="auto"/>
                        <w:right w:val="none" w:sz="0" w:space="0" w:color="auto"/>
                      </w:divBdr>
                    </w:div>
                  </w:divsChild>
                </w:div>
                <w:div w:id="1413041011">
                  <w:marLeft w:val="0"/>
                  <w:marRight w:val="0"/>
                  <w:marTop w:val="0"/>
                  <w:marBottom w:val="0"/>
                  <w:divBdr>
                    <w:top w:val="none" w:sz="0" w:space="0" w:color="auto"/>
                    <w:left w:val="none" w:sz="0" w:space="0" w:color="auto"/>
                    <w:bottom w:val="none" w:sz="0" w:space="0" w:color="auto"/>
                    <w:right w:val="none" w:sz="0" w:space="0" w:color="auto"/>
                  </w:divBdr>
                  <w:divsChild>
                    <w:div w:id="734621499">
                      <w:marLeft w:val="0"/>
                      <w:marRight w:val="0"/>
                      <w:marTop w:val="0"/>
                      <w:marBottom w:val="0"/>
                      <w:divBdr>
                        <w:top w:val="none" w:sz="0" w:space="0" w:color="auto"/>
                        <w:left w:val="none" w:sz="0" w:space="0" w:color="auto"/>
                        <w:bottom w:val="none" w:sz="0" w:space="0" w:color="auto"/>
                        <w:right w:val="none" w:sz="0" w:space="0" w:color="auto"/>
                      </w:divBdr>
                    </w:div>
                    <w:div w:id="1237130803">
                      <w:marLeft w:val="0"/>
                      <w:marRight w:val="0"/>
                      <w:marTop w:val="0"/>
                      <w:marBottom w:val="0"/>
                      <w:divBdr>
                        <w:top w:val="none" w:sz="0" w:space="0" w:color="auto"/>
                        <w:left w:val="none" w:sz="0" w:space="0" w:color="auto"/>
                        <w:bottom w:val="none" w:sz="0" w:space="0" w:color="auto"/>
                        <w:right w:val="none" w:sz="0" w:space="0" w:color="auto"/>
                      </w:divBdr>
                    </w:div>
                  </w:divsChild>
                </w:div>
                <w:div w:id="1432164167">
                  <w:marLeft w:val="0"/>
                  <w:marRight w:val="0"/>
                  <w:marTop w:val="0"/>
                  <w:marBottom w:val="0"/>
                  <w:divBdr>
                    <w:top w:val="none" w:sz="0" w:space="0" w:color="auto"/>
                    <w:left w:val="none" w:sz="0" w:space="0" w:color="auto"/>
                    <w:bottom w:val="none" w:sz="0" w:space="0" w:color="auto"/>
                    <w:right w:val="none" w:sz="0" w:space="0" w:color="auto"/>
                  </w:divBdr>
                  <w:divsChild>
                    <w:div w:id="2035417320">
                      <w:marLeft w:val="0"/>
                      <w:marRight w:val="0"/>
                      <w:marTop w:val="0"/>
                      <w:marBottom w:val="0"/>
                      <w:divBdr>
                        <w:top w:val="none" w:sz="0" w:space="0" w:color="auto"/>
                        <w:left w:val="none" w:sz="0" w:space="0" w:color="auto"/>
                        <w:bottom w:val="none" w:sz="0" w:space="0" w:color="auto"/>
                        <w:right w:val="none" w:sz="0" w:space="0" w:color="auto"/>
                      </w:divBdr>
                    </w:div>
                  </w:divsChild>
                </w:div>
                <w:div w:id="1470826473">
                  <w:marLeft w:val="0"/>
                  <w:marRight w:val="0"/>
                  <w:marTop w:val="0"/>
                  <w:marBottom w:val="0"/>
                  <w:divBdr>
                    <w:top w:val="none" w:sz="0" w:space="0" w:color="auto"/>
                    <w:left w:val="none" w:sz="0" w:space="0" w:color="auto"/>
                    <w:bottom w:val="none" w:sz="0" w:space="0" w:color="auto"/>
                    <w:right w:val="none" w:sz="0" w:space="0" w:color="auto"/>
                  </w:divBdr>
                  <w:divsChild>
                    <w:div w:id="607928807">
                      <w:marLeft w:val="0"/>
                      <w:marRight w:val="0"/>
                      <w:marTop w:val="0"/>
                      <w:marBottom w:val="0"/>
                      <w:divBdr>
                        <w:top w:val="none" w:sz="0" w:space="0" w:color="auto"/>
                        <w:left w:val="none" w:sz="0" w:space="0" w:color="auto"/>
                        <w:bottom w:val="none" w:sz="0" w:space="0" w:color="auto"/>
                        <w:right w:val="none" w:sz="0" w:space="0" w:color="auto"/>
                      </w:divBdr>
                    </w:div>
                  </w:divsChild>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1548369183">
                      <w:marLeft w:val="0"/>
                      <w:marRight w:val="0"/>
                      <w:marTop w:val="0"/>
                      <w:marBottom w:val="0"/>
                      <w:divBdr>
                        <w:top w:val="none" w:sz="0" w:space="0" w:color="auto"/>
                        <w:left w:val="none" w:sz="0" w:space="0" w:color="auto"/>
                        <w:bottom w:val="none" w:sz="0" w:space="0" w:color="auto"/>
                        <w:right w:val="none" w:sz="0" w:space="0" w:color="auto"/>
                      </w:divBdr>
                    </w:div>
                  </w:divsChild>
                </w:div>
                <w:div w:id="1709604342">
                  <w:marLeft w:val="0"/>
                  <w:marRight w:val="0"/>
                  <w:marTop w:val="0"/>
                  <w:marBottom w:val="0"/>
                  <w:divBdr>
                    <w:top w:val="none" w:sz="0" w:space="0" w:color="auto"/>
                    <w:left w:val="none" w:sz="0" w:space="0" w:color="auto"/>
                    <w:bottom w:val="none" w:sz="0" w:space="0" w:color="auto"/>
                    <w:right w:val="none" w:sz="0" w:space="0" w:color="auto"/>
                  </w:divBdr>
                  <w:divsChild>
                    <w:div w:id="1992250390">
                      <w:marLeft w:val="0"/>
                      <w:marRight w:val="0"/>
                      <w:marTop w:val="0"/>
                      <w:marBottom w:val="0"/>
                      <w:divBdr>
                        <w:top w:val="none" w:sz="0" w:space="0" w:color="auto"/>
                        <w:left w:val="none" w:sz="0" w:space="0" w:color="auto"/>
                        <w:bottom w:val="none" w:sz="0" w:space="0" w:color="auto"/>
                        <w:right w:val="none" w:sz="0" w:space="0" w:color="auto"/>
                      </w:divBdr>
                    </w:div>
                  </w:divsChild>
                </w:div>
                <w:div w:id="1766413827">
                  <w:marLeft w:val="0"/>
                  <w:marRight w:val="0"/>
                  <w:marTop w:val="0"/>
                  <w:marBottom w:val="0"/>
                  <w:divBdr>
                    <w:top w:val="none" w:sz="0" w:space="0" w:color="auto"/>
                    <w:left w:val="none" w:sz="0" w:space="0" w:color="auto"/>
                    <w:bottom w:val="none" w:sz="0" w:space="0" w:color="auto"/>
                    <w:right w:val="none" w:sz="0" w:space="0" w:color="auto"/>
                  </w:divBdr>
                  <w:divsChild>
                    <w:div w:id="211889031">
                      <w:marLeft w:val="0"/>
                      <w:marRight w:val="0"/>
                      <w:marTop w:val="0"/>
                      <w:marBottom w:val="0"/>
                      <w:divBdr>
                        <w:top w:val="none" w:sz="0" w:space="0" w:color="auto"/>
                        <w:left w:val="none" w:sz="0" w:space="0" w:color="auto"/>
                        <w:bottom w:val="none" w:sz="0" w:space="0" w:color="auto"/>
                        <w:right w:val="none" w:sz="0" w:space="0" w:color="auto"/>
                      </w:divBdr>
                    </w:div>
                  </w:divsChild>
                </w:div>
                <w:div w:id="1901403686">
                  <w:marLeft w:val="0"/>
                  <w:marRight w:val="0"/>
                  <w:marTop w:val="0"/>
                  <w:marBottom w:val="0"/>
                  <w:divBdr>
                    <w:top w:val="none" w:sz="0" w:space="0" w:color="auto"/>
                    <w:left w:val="none" w:sz="0" w:space="0" w:color="auto"/>
                    <w:bottom w:val="none" w:sz="0" w:space="0" w:color="auto"/>
                    <w:right w:val="none" w:sz="0" w:space="0" w:color="auto"/>
                  </w:divBdr>
                  <w:divsChild>
                    <w:div w:id="1035882975">
                      <w:marLeft w:val="0"/>
                      <w:marRight w:val="0"/>
                      <w:marTop w:val="0"/>
                      <w:marBottom w:val="0"/>
                      <w:divBdr>
                        <w:top w:val="none" w:sz="0" w:space="0" w:color="auto"/>
                        <w:left w:val="none" w:sz="0" w:space="0" w:color="auto"/>
                        <w:bottom w:val="none" w:sz="0" w:space="0" w:color="auto"/>
                        <w:right w:val="none" w:sz="0" w:space="0" w:color="auto"/>
                      </w:divBdr>
                    </w:div>
                  </w:divsChild>
                </w:div>
                <w:div w:id="1909799526">
                  <w:marLeft w:val="0"/>
                  <w:marRight w:val="0"/>
                  <w:marTop w:val="0"/>
                  <w:marBottom w:val="0"/>
                  <w:divBdr>
                    <w:top w:val="none" w:sz="0" w:space="0" w:color="auto"/>
                    <w:left w:val="none" w:sz="0" w:space="0" w:color="auto"/>
                    <w:bottom w:val="none" w:sz="0" w:space="0" w:color="auto"/>
                    <w:right w:val="none" w:sz="0" w:space="0" w:color="auto"/>
                  </w:divBdr>
                  <w:divsChild>
                    <w:div w:id="1472093327">
                      <w:marLeft w:val="0"/>
                      <w:marRight w:val="0"/>
                      <w:marTop w:val="0"/>
                      <w:marBottom w:val="0"/>
                      <w:divBdr>
                        <w:top w:val="none" w:sz="0" w:space="0" w:color="auto"/>
                        <w:left w:val="none" w:sz="0" w:space="0" w:color="auto"/>
                        <w:bottom w:val="none" w:sz="0" w:space="0" w:color="auto"/>
                        <w:right w:val="none" w:sz="0" w:space="0" w:color="auto"/>
                      </w:divBdr>
                    </w:div>
                  </w:divsChild>
                </w:div>
                <w:div w:id="2015566975">
                  <w:marLeft w:val="0"/>
                  <w:marRight w:val="0"/>
                  <w:marTop w:val="0"/>
                  <w:marBottom w:val="0"/>
                  <w:divBdr>
                    <w:top w:val="none" w:sz="0" w:space="0" w:color="auto"/>
                    <w:left w:val="none" w:sz="0" w:space="0" w:color="auto"/>
                    <w:bottom w:val="none" w:sz="0" w:space="0" w:color="auto"/>
                    <w:right w:val="none" w:sz="0" w:space="0" w:color="auto"/>
                  </w:divBdr>
                  <w:divsChild>
                    <w:div w:id="20718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595322">
          <w:marLeft w:val="0"/>
          <w:marRight w:val="0"/>
          <w:marTop w:val="0"/>
          <w:marBottom w:val="0"/>
          <w:divBdr>
            <w:top w:val="none" w:sz="0" w:space="0" w:color="auto"/>
            <w:left w:val="none" w:sz="0" w:space="0" w:color="auto"/>
            <w:bottom w:val="none" w:sz="0" w:space="0" w:color="auto"/>
            <w:right w:val="none" w:sz="0" w:space="0" w:color="auto"/>
          </w:divBdr>
        </w:div>
        <w:div w:id="1717270100">
          <w:marLeft w:val="0"/>
          <w:marRight w:val="0"/>
          <w:marTop w:val="0"/>
          <w:marBottom w:val="0"/>
          <w:divBdr>
            <w:top w:val="none" w:sz="0" w:space="0" w:color="auto"/>
            <w:left w:val="none" w:sz="0" w:space="0" w:color="auto"/>
            <w:bottom w:val="none" w:sz="0" w:space="0" w:color="auto"/>
            <w:right w:val="none" w:sz="0" w:space="0" w:color="auto"/>
          </w:divBdr>
          <w:divsChild>
            <w:div w:id="1083189213">
              <w:marLeft w:val="-75"/>
              <w:marRight w:val="0"/>
              <w:marTop w:val="30"/>
              <w:marBottom w:val="30"/>
              <w:divBdr>
                <w:top w:val="none" w:sz="0" w:space="0" w:color="auto"/>
                <w:left w:val="none" w:sz="0" w:space="0" w:color="auto"/>
                <w:bottom w:val="none" w:sz="0" w:space="0" w:color="auto"/>
                <w:right w:val="none" w:sz="0" w:space="0" w:color="auto"/>
              </w:divBdr>
              <w:divsChild>
                <w:div w:id="27875135">
                  <w:marLeft w:val="0"/>
                  <w:marRight w:val="0"/>
                  <w:marTop w:val="0"/>
                  <w:marBottom w:val="0"/>
                  <w:divBdr>
                    <w:top w:val="none" w:sz="0" w:space="0" w:color="auto"/>
                    <w:left w:val="none" w:sz="0" w:space="0" w:color="auto"/>
                    <w:bottom w:val="none" w:sz="0" w:space="0" w:color="auto"/>
                    <w:right w:val="none" w:sz="0" w:space="0" w:color="auto"/>
                  </w:divBdr>
                  <w:divsChild>
                    <w:div w:id="930356640">
                      <w:marLeft w:val="0"/>
                      <w:marRight w:val="0"/>
                      <w:marTop w:val="0"/>
                      <w:marBottom w:val="0"/>
                      <w:divBdr>
                        <w:top w:val="none" w:sz="0" w:space="0" w:color="auto"/>
                        <w:left w:val="none" w:sz="0" w:space="0" w:color="auto"/>
                        <w:bottom w:val="none" w:sz="0" w:space="0" w:color="auto"/>
                        <w:right w:val="none" w:sz="0" w:space="0" w:color="auto"/>
                      </w:divBdr>
                    </w:div>
                  </w:divsChild>
                </w:div>
                <w:div w:id="74787681">
                  <w:marLeft w:val="0"/>
                  <w:marRight w:val="0"/>
                  <w:marTop w:val="0"/>
                  <w:marBottom w:val="0"/>
                  <w:divBdr>
                    <w:top w:val="none" w:sz="0" w:space="0" w:color="auto"/>
                    <w:left w:val="none" w:sz="0" w:space="0" w:color="auto"/>
                    <w:bottom w:val="none" w:sz="0" w:space="0" w:color="auto"/>
                    <w:right w:val="none" w:sz="0" w:space="0" w:color="auto"/>
                  </w:divBdr>
                  <w:divsChild>
                    <w:div w:id="461265916">
                      <w:marLeft w:val="0"/>
                      <w:marRight w:val="0"/>
                      <w:marTop w:val="0"/>
                      <w:marBottom w:val="0"/>
                      <w:divBdr>
                        <w:top w:val="none" w:sz="0" w:space="0" w:color="auto"/>
                        <w:left w:val="none" w:sz="0" w:space="0" w:color="auto"/>
                        <w:bottom w:val="none" w:sz="0" w:space="0" w:color="auto"/>
                        <w:right w:val="none" w:sz="0" w:space="0" w:color="auto"/>
                      </w:divBdr>
                    </w:div>
                  </w:divsChild>
                </w:div>
                <w:div w:id="102966365">
                  <w:marLeft w:val="0"/>
                  <w:marRight w:val="0"/>
                  <w:marTop w:val="0"/>
                  <w:marBottom w:val="0"/>
                  <w:divBdr>
                    <w:top w:val="none" w:sz="0" w:space="0" w:color="auto"/>
                    <w:left w:val="none" w:sz="0" w:space="0" w:color="auto"/>
                    <w:bottom w:val="none" w:sz="0" w:space="0" w:color="auto"/>
                    <w:right w:val="none" w:sz="0" w:space="0" w:color="auto"/>
                  </w:divBdr>
                  <w:divsChild>
                    <w:div w:id="252592014">
                      <w:marLeft w:val="0"/>
                      <w:marRight w:val="0"/>
                      <w:marTop w:val="0"/>
                      <w:marBottom w:val="0"/>
                      <w:divBdr>
                        <w:top w:val="none" w:sz="0" w:space="0" w:color="auto"/>
                        <w:left w:val="none" w:sz="0" w:space="0" w:color="auto"/>
                        <w:bottom w:val="none" w:sz="0" w:space="0" w:color="auto"/>
                        <w:right w:val="none" w:sz="0" w:space="0" w:color="auto"/>
                      </w:divBdr>
                    </w:div>
                    <w:div w:id="1151673410">
                      <w:marLeft w:val="0"/>
                      <w:marRight w:val="0"/>
                      <w:marTop w:val="0"/>
                      <w:marBottom w:val="0"/>
                      <w:divBdr>
                        <w:top w:val="none" w:sz="0" w:space="0" w:color="auto"/>
                        <w:left w:val="none" w:sz="0" w:space="0" w:color="auto"/>
                        <w:bottom w:val="none" w:sz="0" w:space="0" w:color="auto"/>
                        <w:right w:val="none" w:sz="0" w:space="0" w:color="auto"/>
                      </w:divBdr>
                    </w:div>
                  </w:divsChild>
                </w:div>
                <w:div w:id="223832579">
                  <w:marLeft w:val="0"/>
                  <w:marRight w:val="0"/>
                  <w:marTop w:val="0"/>
                  <w:marBottom w:val="0"/>
                  <w:divBdr>
                    <w:top w:val="none" w:sz="0" w:space="0" w:color="auto"/>
                    <w:left w:val="none" w:sz="0" w:space="0" w:color="auto"/>
                    <w:bottom w:val="none" w:sz="0" w:space="0" w:color="auto"/>
                    <w:right w:val="none" w:sz="0" w:space="0" w:color="auto"/>
                  </w:divBdr>
                  <w:divsChild>
                    <w:div w:id="790175582">
                      <w:marLeft w:val="0"/>
                      <w:marRight w:val="0"/>
                      <w:marTop w:val="0"/>
                      <w:marBottom w:val="0"/>
                      <w:divBdr>
                        <w:top w:val="none" w:sz="0" w:space="0" w:color="auto"/>
                        <w:left w:val="none" w:sz="0" w:space="0" w:color="auto"/>
                        <w:bottom w:val="none" w:sz="0" w:space="0" w:color="auto"/>
                        <w:right w:val="none" w:sz="0" w:space="0" w:color="auto"/>
                      </w:divBdr>
                    </w:div>
                    <w:div w:id="1608342798">
                      <w:marLeft w:val="0"/>
                      <w:marRight w:val="0"/>
                      <w:marTop w:val="0"/>
                      <w:marBottom w:val="0"/>
                      <w:divBdr>
                        <w:top w:val="none" w:sz="0" w:space="0" w:color="auto"/>
                        <w:left w:val="none" w:sz="0" w:space="0" w:color="auto"/>
                        <w:bottom w:val="none" w:sz="0" w:space="0" w:color="auto"/>
                        <w:right w:val="none" w:sz="0" w:space="0" w:color="auto"/>
                      </w:divBdr>
                    </w:div>
                  </w:divsChild>
                </w:div>
                <w:div w:id="253560853">
                  <w:marLeft w:val="0"/>
                  <w:marRight w:val="0"/>
                  <w:marTop w:val="0"/>
                  <w:marBottom w:val="0"/>
                  <w:divBdr>
                    <w:top w:val="none" w:sz="0" w:space="0" w:color="auto"/>
                    <w:left w:val="none" w:sz="0" w:space="0" w:color="auto"/>
                    <w:bottom w:val="none" w:sz="0" w:space="0" w:color="auto"/>
                    <w:right w:val="none" w:sz="0" w:space="0" w:color="auto"/>
                  </w:divBdr>
                  <w:divsChild>
                    <w:div w:id="1769814821">
                      <w:marLeft w:val="0"/>
                      <w:marRight w:val="0"/>
                      <w:marTop w:val="0"/>
                      <w:marBottom w:val="0"/>
                      <w:divBdr>
                        <w:top w:val="none" w:sz="0" w:space="0" w:color="auto"/>
                        <w:left w:val="none" w:sz="0" w:space="0" w:color="auto"/>
                        <w:bottom w:val="none" w:sz="0" w:space="0" w:color="auto"/>
                        <w:right w:val="none" w:sz="0" w:space="0" w:color="auto"/>
                      </w:divBdr>
                    </w:div>
                  </w:divsChild>
                </w:div>
                <w:div w:id="382563490">
                  <w:marLeft w:val="0"/>
                  <w:marRight w:val="0"/>
                  <w:marTop w:val="0"/>
                  <w:marBottom w:val="0"/>
                  <w:divBdr>
                    <w:top w:val="none" w:sz="0" w:space="0" w:color="auto"/>
                    <w:left w:val="none" w:sz="0" w:space="0" w:color="auto"/>
                    <w:bottom w:val="none" w:sz="0" w:space="0" w:color="auto"/>
                    <w:right w:val="none" w:sz="0" w:space="0" w:color="auto"/>
                  </w:divBdr>
                  <w:divsChild>
                    <w:div w:id="353456034">
                      <w:marLeft w:val="0"/>
                      <w:marRight w:val="0"/>
                      <w:marTop w:val="0"/>
                      <w:marBottom w:val="0"/>
                      <w:divBdr>
                        <w:top w:val="none" w:sz="0" w:space="0" w:color="auto"/>
                        <w:left w:val="none" w:sz="0" w:space="0" w:color="auto"/>
                        <w:bottom w:val="none" w:sz="0" w:space="0" w:color="auto"/>
                        <w:right w:val="none" w:sz="0" w:space="0" w:color="auto"/>
                      </w:divBdr>
                    </w:div>
                  </w:divsChild>
                </w:div>
                <w:div w:id="420638041">
                  <w:marLeft w:val="0"/>
                  <w:marRight w:val="0"/>
                  <w:marTop w:val="0"/>
                  <w:marBottom w:val="0"/>
                  <w:divBdr>
                    <w:top w:val="none" w:sz="0" w:space="0" w:color="auto"/>
                    <w:left w:val="none" w:sz="0" w:space="0" w:color="auto"/>
                    <w:bottom w:val="none" w:sz="0" w:space="0" w:color="auto"/>
                    <w:right w:val="none" w:sz="0" w:space="0" w:color="auto"/>
                  </w:divBdr>
                  <w:divsChild>
                    <w:div w:id="1797409888">
                      <w:marLeft w:val="0"/>
                      <w:marRight w:val="0"/>
                      <w:marTop w:val="0"/>
                      <w:marBottom w:val="0"/>
                      <w:divBdr>
                        <w:top w:val="none" w:sz="0" w:space="0" w:color="auto"/>
                        <w:left w:val="none" w:sz="0" w:space="0" w:color="auto"/>
                        <w:bottom w:val="none" w:sz="0" w:space="0" w:color="auto"/>
                        <w:right w:val="none" w:sz="0" w:space="0" w:color="auto"/>
                      </w:divBdr>
                    </w:div>
                  </w:divsChild>
                </w:div>
                <w:div w:id="484591731">
                  <w:marLeft w:val="0"/>
                  <w:marRight w:val="0"/>
                  <w:marTop w:val="0"/>
                  <w:marBottom w:val="0"/>
                  <w:divBdr>
                    <w:top w:val="none" w:sz="0" w:space="0" w:color="auto"/>
                    <w:left w:val="none" w:sz="0" w:space="0" w:color="auto"/>
                    <w:bottom w:val="none" w:sz="0" w:space="0" w:color="auto"/>
                    <w:right w:val="none" w:sz="0" w:space="0" w:color="auto"/>
                  </w:divBdr>
                  <w:divsChild>
                    <w:div w:id="347296010">
                      <w:marLeft w:val="0"/>
                      <w:marRight w:val="0"/>
                      <w:marTop w:val="0"/>
                      <w:marBottom w:val="0"/>
                      <w:divBdr>
                        <w:top w:val="none" w:sz="0" w:space="0" w:color="auto"/>
                        <w:left w:val="none" w:sz="0" w:space="0" w:color="auto"/>
                        <w:bottom w:val="none" w:sz="0" w:space="0" w:color="auto"/>
                        <w:right w:val="none" w:sz="0" w:space="0" w:color="auto"/>
                      </w:divBdr>
                    </w:div>
                  </w:divsChild>
                </w:div>
                <w:div w:id="519315997">
                  <w:marLeft w:val="0"/>
                  <w:marRight w:val="0"/>
                  <w:marTop w:val="0"/>
                  <w:marBottom w:val="0"/>
                  <w:divBdr>
                    <w:top w:val="none" w:sz="0" w:space="0" w:color="auto"/>
                    <w:left w:val="none" w:sz="0" w:space="0" w:color="auto"/>
                    <w:bottom w:val="none" w:sz="0" w:space="0" w:color="auto"/>
                    <w:right w:val="none" w:sz="0" w:space="0" w:color="auto"/>
                  </w:divBdr>
                  <w:divsChild>
                    <w:div w:id="1358966798">
                      <w:marLeft w:val="0"/>
                      <w:marRight w:val="0"/>
                      <w:marTop w:val="0"/>
                      <w:marBottom w:val="0"/>
                      <w:divBdr>
                        <w:top w:val="none" w:sz="0" w:space="0" w:color="auto"/>
                        <w:left w:val="none" w:sz="0" w:space="0" w:color="auto"/>
                        <w:bottom w:val="none" w:sz="0" w:space="0" w:color="auto"/>
                        <w:right w:val="none" w:sz="0" w:space="0" w:color="auto"/>
                      </w:divBdr>
                    </w:div>
                  </w:divsChild>
                </w:div>
                <w:div w:id="783228611">
                  <w:marLeft w:val="0"/>
                  <w:marRight w:val="0"/>
                  <w:marTop w:val="0"/>
                  <w:marBottom w:val="0"/>
                  <w:divBdr>
                    <w:top w:val="none" w:sz="0" w:space="0" w:color="auto"/>
                    <w:left w:val="none" w:sz="0" w:space="0" w:color="auto"/>
                    <w:bottom w:val="none" w:sz="0" w:space="0" w:color="auto"/>
                    <w:right w:val="none" w:sz="0" w:space="0" w:color="auto"/>
                  </w:divBdr>
                  <w:divsChild>
                    <w:div w:id="724068430">
                      <w:marLeft w:val="0"/>
                      <w:marRight w:val="0"/>
                      <w:marTop w:val="0"/>
                      <w:marBottom w:val="0"/>
                      <w:divBdr>
                        <w:top w:val="none" w:sz="0" w:space="0" w:color="auto"/>
                        <w:left w:val="none" w:sz="0" w:space="0" w:color="auto"/>
                        <w:bottom w:val="none" w:sz="0" w:space="0" w:color="auto"/>
                        <w:right w:val="none" w:sz="0" w:space="0" w:color="auto"/>
                      </w:divBdr>
                    </w:div>
                  </w:divsChild>
                </w:div>
                <w:div w:id="849756788">
                  <w:marLeft w:val="0"/>
                  <w:marRight w:val="0"/>
                  <w:marTop w:val="0"/>
                  <w:marBottom w:val="0"/>
                  <w:divBdr>
                    <w:top w:val="none" w:sz="0" w:space="0" w:color="auto"/>
                    <w:left w:val="none" w:sz="0" w:space="0" w:color="auto"/>
                    <w:bottom w:val="none" w:sz="0" w:space="0" w:color="auto"/>
                    <w:right w:val="none" w:sz="0" w:space="0" w:color="auto"/>
                  </w:divBdr>
                  <w:divsChild>
                    <w:div w:id="1786457709">
                      <w:marLeft w:val="0"/>
                      <w:marRight w:val="0"/>
                      <w:marTop w:val="0"/>
                      <w:marBottom w:val="0"/>
                      <w:divBdr>
                        <w:top w:val="none" w:sz="0" w:space="0" w:color="auto"/>
                        <w:left w:val="none" w:sz="0" w:space="0" w:color="auto"/>
                        <w:bottom w:val="none" w:sz="0" w:space="0" w:color="auto"/>
                        <w:right w:val="none" w:sz="0" w:space="0" w:color="auto"/>
                      </w:divBdr>
                    </w:div>
                  </w:divsChild>
                </w:div>
                <w:div w:id="872234438">
                  <w:marLeft w:val="0"/>
                  <w:marRight w:val="0"/>
                  <w:marTop w:val="0"/>
                  <w:marBottom w:val="0"/>
                  <w:divBdr>
                    <w:top w:val="none" w:sz="0" w:space="0" w:color="auto"/>
                    <w:left w:val="none" w:sz="0" w:space="0" w:color="auto"/>
                    <w:bottom w:val="none" w:sz="0" w:space="0" w:color="auto"/>
                    <w:right w:val="none" w:sz="0" w:space="0" w:color="auto"/>
                  </w:divBdr>
                  <w:divsChild>
                    <w:div w:id="1777208365">
                      <w:marLeft w:val="0"/>
                      <w:marRight w:val="0"/>
                      <w:marTop w:val="0"/>
                      <w:marBottom w:val="0"/>
                      <w:divBdr>
                        <w:top w:val="none" w:sz="0" w:space="0" w:color="auto"/>
                        <w:left w:val="none" w:sz="0" w:space="0" w:color="auto"/>
                        <w:bottom w:val="none" w:sz="0" w:space="0" w:color="auto"/>
                        <w:right w:val="none" w:sz="0" w:space="0" w:color="auto"/>
                      </w:divBdr>
                    </w:div>
                  </w:divsChild>
                </w:div>
                <w:div w:id="1029989070">
                  <w:marLeft w:val="0"/>
                  <w:marRight w:val="0"/>
                  <w:marTop w:val="0"/>
                  <w:marBottom w:val="0"/>
                  <w:divBdr>
                    <w:top w:val="none" w:sz="0" w:space="0" w:color="auto"/>
                    <w:left w:val="none" w:sz="0" w:space="0" w:color="auto"/>
                    <w:bottom w:val="none" w:sz="0" w:space="0" w:color="auto"/>
                    <w:right w:val="none" w:sz="0" w:space="0" w:color="auto"/>
                  </w:divBdr>
                  <w:divsChild>
                    <w:div w:id="867185332">
                      <w:marLeft w:val="0"/>
                      <w:marRight w:val="0"/>
                      <w:marTop w:val="0"/>
                      <w:marBottom w:val="0"/>
                      <w:divBdr>
                        <w:top w:val="none" w:sz="0" w:space="0" w:color="auto"/>
                        <w:left w:val="none" w:sz="0" w:space="0" w:color="auto"/>
                        <w:bottom w:val="none" w:sz="0" w:space="0" w:color="auto"/>
                        <w:right w:val="none" w:sz="0" w:space="0" w:color="auto"/>
                      </w:divBdr>
                    </w:div>
                  </w:divsChild>
                </w:div>
                <w:div w:id="1195726934">
                  <w:marLeft w:val="0"/>
                  <w:marRight w:val="0"/>
                  <w:marTop w:val="0"/>
                  <w:marBottom w:val="0"/>
                  <w:divBdr>
                    <w:top w:val="none" w:sz="0" w:space="0" w:color="auto"/>
                    <w:left w:val="none" w:sz="0" w:space="0" w:color="auto"/>
                    <w:bottom w:val="none" w:sz="0" w:space="0" w:color="auto"/>
                    <w:right w:val="none" w:sz="0" w:space="0" w:color="auto"/>
                  </w:divBdr>
                  <w:divsChild>
                    <w:div w:id="912200994">
                      <w:marLeft w:val="0"/>
                      <w:marRight w:val="0"/>
                      <w:marTop w:val="0"/>
                      <w:marBottom w:val="0"/>
                      <w:divBdr>
                        <w:top w:val="none" w:sz="0" w:space="0" w:color="auto"/>
                        <w:left w:val="none" w:sz="0" w:space="0" w:color="auto"/>
                        <w:bottom w:val="none" w:sz="0" w:space="0" w:color="auto"/>
                        <w:right w:val="none" w:sz="0" w:space="0" w:color="auto"/>
                      </w:divBdr>
                    </w:div>
                  </w:divsChild>
                </w:div>
                <w:div w:id="1228682648">
                  <w:marLeft w:val="0"/>
                  <w:marRight w:val="0"/>
                  <w:marTop w:val="0"/>
                  <w:marBottom w:val="0"/>
                  <w:divBdr>
                    <w:top w:val="none" w:sz="0" w:space="0" w:color="auto"/>
                    <w:left w:val="none" w:sz="0" w:space="0" w:color="auto"/>
                    <w:bottom w:val="none" w:sz="0" w:space="0" w:color="auto"/>
                    <w:right w:val="none" w:sz="0" w:space="0" w:color="auto"/>
                  </w:divBdr>
                  <w:divsChild>
                    <w:div w:id="1100953425">
                      <w:marLeft w:val="0"/>
                      <w:marRight w:val="0"/>
                      <w:marTop w:val="0"/>
                      <w:marBottom w:val="0"/>
                      <w:divBdr>
                        <w:top w:val="none" w:sz="0" w:space="0" w:color="auto"/>
                        <w:left w:val="none" w:sz="0" w:space="0" w:color="auto"/>
                        <w:bottom w:val="none" w:sz="0" w:space="0" w:color="auto"/>
                        <w:right w:val="none" w:sz="0" w:space="0" w:color="auto"/>
                      </w:divBdr>
                    </w:div>
                  </w:divsChild>
                </w:div>
                <w:div w:id="1304040532">
                  <w:marLeft w:val="0"/>
                  <w:marRight w:val="0"/>
                  <w:marTop w:val="0"/>
                  <w:marBottom w:val="0"/>
                  <w:divBdr>
                    <w:top w:val="none" w:sz="0" w:space="0" w:color="auto"/>
                    <w:left w:val="none" w:sz="0" w:space="0" w:color="auto"/>
                    <w:bottom w:val="none" w:sz="0" w:space="0" w:color="auto"/>
                    <w:right w:val="none" w:sz="0" w:space="0" w:color="auto"/>
                  </w:divBdr>
                  <w:divsChild>
                    <w:div w:id="1862039879">
                      <w:marLeft w:val="0"/>
                      <w:marRight w:val="0"/>
                      <w:marTop w:val="0"/>
                      <w:marBottom w:val="0"/>
                      <w:divBdr>
                        <w:top w:val="none" w:sz="0" w:space="0" w:color="auto"/>
                        <w:left w:val="none" w:sz="0" w:space="0" w:color="auto"/>
                        <w:bottom w:val="none" w:sz="0" w:space="0" w:color="auto"/>
                        <w:right w:val="none" w:sz="0" w:space="0" w:color="auto"/>
                      </w:divBdr>
                    </w:div>
                  </w:divsChild>
                </w:div>
                <w:div w:id="1314412973">
                  <w:marLeft w:val="0"/>
                  <w:marRight w:val="0"/>
                  <w:marTop w:val="0"/>
                  <w:marBottom w:val="0"/>
                  <w:divBdr>
                    <w:top w:val="none" w:sz="0" w:space="0" w:color="auto"/>
                    <w:left w:val="none" w:sz="0" w:space="0" w:color="auto"/>
                    <w:bottom w:val="none" w:sz="0" w:space="0" w:color="auto"/>
                    <w:right w:val="none" w:sz="0" w:space="0" w:color="auto"/>
                  </w:divBdr>
                  <w:divsChild>
                    <w:div w:id="1317799084">
                      <w:marLeft w:val="0"/>
                      <w:marRight w:val="0"/>
                      <w:marTop w:val="0"/>
                      <w:marBottom w:val="0"/>
                      <w:divBdr>
                        <w:top w:val="none" w:sz="0" w:space="0" w:color="auto"/>
                        <w:left w:val="none" w:sz="0" w:space="0" w:color="auto"/>
                        <w:bottom w:val="none" w:sz="0" w:space="0" w:color="auto"/>
                        <w:right w:val="none" w:sz="0" w:space="0" w:color="auto"/>
                      </w:divBdr>
                    </w:div>
                  </w:divsChild>
                </w:div>
                <w:div w:id="1405682763">
                  <w:marLeft w:val="0"/>
                  <w:marRight w:val="0"/>
                  <w:marTop w:val="0"/>
                  <w:marBottom w:val="0"/>
                  <w:divBdr>
                    <w:top w:val="none" w:sz="0" w:space="0" w:color="auto"/>
                    <w:left w:val="none" w:sz="0" w:space="0" w:color="auto"/>
                    <w:bottom w:val="none" w:sz="0" w:space="0" w:color="auto"/>
                    <w:right w:val="none" w:sz="0" w:space="0" w:color="auto"/>
                  </w:divBdr>
                  <w:divsChild>
                    <w:div w:id="399598965">
                      <w:marLeft w:val="0"/>
                      <w:marRight w:val="0"/>
                      <w:marTop w:val="0"/>
                      <w:marBottom w:val="0"/>
                      <w:divBdr>
                        <w:top w:val="none" w:sz="0" w:space="0" w:color="auto"/>
                        <w:left w:val="none" w:sz="0" w:space="0" w:color="auto"/>
                        <w:bottom w:val="none" w:sz="0" w:space="0" w:color="auto"/>
                        <w:right w:val="none" w:sz="0" w:space="0" w:color="auto"/>
                      </w:divBdr>
                    </w:div>
                    <w:div w:id="1628512550">
                      <w:marLeft w:val="0"/>
                      <w:marRight w:val="0"/>
                      <w:marTop w:val="0"/>
                      <w:marBottom w:val="0"/>
                      <w:divBdr>
                        <w:top w:val="none" w:sz="0" w:space="0" w:color="auto"/>
                        <w:left w:val="none" w:sz="0" w:space="0" w:color="auto"/>
                        <w:bottom w:val="none" w:sz="0" w:space="0" w:color="auto"/>
                        <w:right w:val="none" w:sz="0" w:space="0" w:color="auto"/>
                      </w:divBdr>
                    </w:div>
                  </w:divsChild>
                </w:div>
                <w:div w:id="1419327051">
                  <w:marLeft w:val="0"/>
                  <w:marRight w:val="0"/>
                  <w:marTop w:val="0"/>
                  <w:marBottom w:val="0"/>
                  <w:divBdr>
                    <w:top w:val="none" w:sz="0" w:space="0" w:color="auto"/>
                    <w:left w:val="none" w:sz="0" w:space="0" w:color="auto"/>
                    <w:bottom w:val="none" w:sz="0" w:space="0" w:color="auto"/>
                    <w:right w:val="none" w:sz="0" w:space="0" w:color="auto"/>
                  </w:divBdr>
                  <w:divsChild>
                    <w:div w:id="1037925921">
                      <w:marLeft w:val="0"/>
                      <w:marRight w:val="0"/>
                      <w:marTop w:val="0"/>
                      <w:marBottom w:val="0"/>
                      <w:divBdr>
                        <w:top w:val="none" w:sz="0" w:space="0" w:color="auto"/>
                        <w:left w:val="none" w:sz="0" w:space="0" w:color="auto"/>
                        <w:bottom w:val="none" w:sz="0" w:space="0" w:color="auto"/>
                        <w:right w:val="none" w:sz="0" w:space="0" w:color="auto"/>
                      </w:divBdr>
                    </w:div>
                  </w:divsChild>
                </w:div>
                <w:div w:id="1521042513">
                  <w:marLeft w:val="0"/>
                  <w:marRight w:val="0"/>
                  <w:marTop w:val="0"/>
                  <w:marBottom w:val="0"/>
                  <w:divBdr>
                    <w:top w:val="none" w:sz="0" w:space="0" w:color="auto"/>
                    <w:left w:val="none" w:sz="0" w:space="0" w:color="auto"/>
                    <w:bottom w:val="none" w:sz="0" w:space="0" w:color="auto"/>
                    <w:right w:val="none" w:sz="0" w:space="0" w:color="auto"/>
                  </w:divBdr>
                  <w:divsChild>
                    <w:div w:id="694312105">
                      <w:marLeft w:val="0"/>
                      <w:marRight w:val="0"/>
                      <w:marTop w:val="0"/>
                      <w:marBottom w:val="0"/>
                      <w:divBdr>
                        <w:top w:val="none" w:sz="0" w:space="0" w:color="auto"/>
                        <w:left w:val="none" w:sz="0" w:space="0" w:color="auto"/>
                        <w:bottom w:val="none" w:sz="0" w:space="0" w:color="auto"/>
                        <w:right w:val="none" w:sz="0" w:space="0" w:color="auto"/>
                      </w:divBdr>
                    </w:div>
                  </w:divsChild>
                </w:div>
                <w:div w:id="1595747913">
                  <w:marLeft w:val="0"/>
                  <w:marRight w:val="0"/>
                  <w:marTop w:val="0"/>
                  <w:marBottom w:val="0"/>
                  <w:divBdr>
                    <w:top w:val="none" w:sz="0" w:space="0" w:color="auto"/>
                    <w:left w:val="none" w:sz="0" w:space="0" w:color="auto"/>
                    <w:bottom w:val="none" w:sz="0" w:space="0" w:color="auto"/>
                    <w:right w:val="none" w:sz="0" w:space="0" w:color="auto"/>
                  </w:divBdr>
                  <w:divsChild>
                    <w:div w:id="2091728893">
                      <w:marLeft w:val="0"/>
                      <w:marRight w:val="0"/>
                      <w:marTop w:val="0"/>
                      <w:marBottom w:val="0"/>
                      <w:divBdr>
                        <w:top w:val="none" w:sz="0" w:space="0" w:color="auto"/>
                        <w:left w:val="none" w:sz="0" w:space="0" w:color="auto"/>
                        <w:bottom w:val="none" w:sz="0" w:space="0" w:color="auto"/>
                        <w:right w:val="none" w:sz="0" w:space="0" w:color="auto"/>
                      </w:divBdr>
                    </w:div>
                  </w:divsChild>
                </w:div>
                <w:div w:id="1621107431">
                  <w:marLeft w:val="0"/>
                  <w:marRight w:val="0"/>
                  <w:marTop w:val="0"/>
                  <w:marBottom w:val="0"/>
                  <w:divBdr>
                    <w:top w:val="none" w:sz="0" w:space="0" w:color="auto"/>
                    <w:left w:val="none" w:sz="0" w:space="0" w:color="auto"/>
                    <w:bottom w:val="none" w:sz="0" w:space="0" w:color="auto"/>
                    <w:right w:val="none" w:sz="0" w:space="0" w:color="auto"/>
                  </w:divBdr>
                  <w:divsChild>
                    <w:div w:id="1884704919">
                      <w:marLeft w:val="0"/>
                      <w:marRight w:val="0"/>
                      <w:marTop w:val="0"/>
                      <w:marBottom w:val="0"/>
                      <w:divBdr>
                        <w:top w:val="none" w:sz="0" w:space="0" w:color="auto"/>
                        <w:left w:val="none" w:sz="0" w:space="0" w:color="auto"/>
                        <w:bottom w:val="none" w:sz="0" w:space="0" w:color="auto"/>
                        <w:right w:val="none" w:sz="0" w:space="0" w:color="auto"/>
                      </w:divBdr>
                    </w:div>
                  </w:divsChild>
                </w:div>
                <w:div w:id="1721591103">
                  <w:marLeft w:val="0"/>
                  <w:marRight w:val="0"/>
                  <w:marTop w:val="0"/>
                  <w:marBottom w:val="0"/>
                  <w:divBdr>
                    <w:top w:val="none" w:sz="0" w:space="0" w:color="auto"/>
                    <w:left w:val="none" w:sz="0" w:space="0" w:color="auto"/>
                    <w:bottom w:val="none" w:sz="0" w:space="0" w:color="auto"/>
                    <w:right w:val="none" w:sz="0" w:space="0" w:color="auto"/>
                  </w:divBdr>
                  <w:divsChild>
                    <w:div w:id="933513647">
                      <w:marLeft w:val="0"/>
                      <w:marRight w:val="0"/>
                      <w:marTop w:val="0"/>
                      <w:marBottom w:val="0"/>
                      <w:divBdr>
                        <w:top w:val="none" w:sz="0" w:space="0" w:color="auto"/>
                        <w:left w:val="none" w:sz="0" w:space="0" w:color="auto"/>
                        <w:bottom w:val="none" w:sz="0" w:space="0" w:color="auto"/>
                        <w:right w:val="none" w:sz="0" w:space="0" w:color="auto"/>
                      </w:divBdr>
                    </w:div>
                  </w:divsChild>
                </w:div>
                <w:div w:id="1807703041">
                  <w:marLeft w:val="0"/>
                  <w:marRight w:val="0"/>
                  <w:marTop w:val="0"/>
                  <w:marBottom w:val="0"/>
                  <w:divBdr>
                    <w:top w:val="none" w:sz="0" w:space="0" w:color="auto"/>
                    <w:left w:val="none" w:sz="0" w:space="0" w:color="auto"/>
                    <w:bottom w:val="none" w:sz="0" w:space="0" w:color="auto"/>
                    <w:right w:val="none" w:sz="0" w:space="0" w:color="auto"/>
                  </w:divBdr>
                  <w:divsChild>
                    <w:div w:id="667445291">
                      <w:marLeft w:val="0"/>
                      <w:marRight w:val="0"/>
                      <w:marTop w:val="0"/>
                      <w:marBottom w:val="0"/>
                      <w:divBdr>
                        <w:top w:val="none" w:sz="0" w:space="0" w:color="auto"/>
                        <w:left w:val="none" w:sz="0" w:space="0" w:color="auto"/>
                        <w:bottom w:val="none" w:sz="0" w:space="0" w:color="auto"/>
                        <w:right w:val="none" w:sz="0" w:space="0" w:color="auto"/>
                      </w:divBdr>
                    </w:div>
                  </w:divsChild>
                </w:div>
                <w:div w:id="1854224589">
                  <w:marLeft w:val="0"/>
                  <w:marRight w:val="0"/>
                  <w:marTop w:val="0"/>
                  <w:marBottom w:val="0"/>
                  <w:divBdr>
                    <w:top w:val="none" w:sz="0" w:space="0" w:color="auto"/>
                    <w:left w:val="none" w:sz="0" w:space="0" w:color="auto"/>
                    <w:bottom w:val="none" w:sz="0" w:space="0" w:color="auto"/>
                    <w:right w:val="none" w:sz="0" w:space="0" w:color="auto"/>
                  </w:divBdr>
                  <w:divsChild>
                    <w:div w:id="227423355">
                      <w:marLeft w:val="0"/>
                      <w:marRight w:val="0"/>
                      <w:marTop w:val="0"/>
                      <w:marBottom w:val="0"/>
                      <w:divBdr>
                        <w:top w:val="none" w:sz="0" w:space="0" w:color="auto"/>
                        <w:left w:val="none" w:sz="0" w:space="0" w:color="auto"/>
                        <w:bottom w:val="none" w:sz="0" w:space="0" w:color="auto"/>
                        <w:right w:val="none" w:sz="0" w:space="0" w:color="auto"/>
                      </w:divBdr>
                    </w:div>
                  </w:divsChild>
                </w:div>
                <w:div w:id="1972711613">
                  <w:marLeft w:val="0"/>
                  <w:marRight w:val="0"/>
                  <w:marTop w:val="0"/>
                  <w:marBottom w:val="0"/>
                  <w:divBdr>
                    <w:top w:val="none" w:sz="0" w:space="0" w:color="auto"/>
                    <w:left w:val="none" w:sz="0" w:space="0" w:color="auto"/>
                    <w:bottom w:val="none" w:sz="0" w:space="0" w:color="auto"/>
                    <w:right w:val="none" w:sz="0" w:space="0" w:color="auto"/>
                  </w:divBdr>
                  <w:divsChild>
                    <w:div w:id="1948854625">
                      <w:marLeft w:val="0"/>
                      <w:marRight w:val="0"/>
                      <w:marTop w:val="0"/>
                      <w:marBottom w:val="0"/>
                      <w:divBdr>
                        <w:top w:val="none" w:sz="0" w:space="0" w:color="auto"/>
                        <w:left w:val="none" w:sz="0" w:space="0" w:color="auto"/>
                        <w:bottom w:val="none" w:sz="0" w:space="0" w:color="auto"/>
                        <w:right w:val="none" w:sz="0" w:space="0" w:color="auto"/>
                      </w:divBdr>
                    </w:div>
                  </w:divsChild>
                </w:div>
                <w:div w:id="1975939688">
                  <w:marLeft w:val="0"/>
                  <w:marRight w:val="0"/>
                  <w:marTop w:val="0"/>
                  <w:marBottom w:val="0"/>
                  <w:divBdr>
                    <w:top w:val="none" w:sz="0" w:space="0" w:color="auto"/>
                    <w:left w:val="none" w:sz="0" w:space="0" w:color="auto"/>
                    <w:bottom w:val="none" w:sz="0" w:space="0" w:color="auto"/>
                    <w:right w:val="none" w:sz="0" w:space="0" w:color="auto"/>
                  </w:divBdr>
                  <w:divsChild>
                    <w:div w:id="389690204">
                      <w:marLeft w:val="0"/>
                      <w:marRight w:val="0"/>
                      <w:marTop w:val="0"/>
                      <w:marBottom w:val="0"/>
                      <w:divBdr>
                        <w:top w:val="none" w:sz="0" w:space="0" w:color="auto"/>
                        <w:left w:val="none" w:sz="0" w:space="0" w:color="auto"/>
                        <w:bottom w:val="none" w:sz="0" w:space="0" w:color="auto"/>
                        <w:right w:val="none" w:sz="0" w:space="0" w:color="auto"/>
                      </w:divBdr>
                    </w:div>
                  </w:divsChild>
                </w:div>
                <w:div w:id="1994748953">
                  <w:marLeft w:val="0"/>
                  <w:marRight w:val="0"/>
                  <w:marTop w:val="0"/>
                  <w:marBottom w:val="0"/>
                  <w:divBdr>
                    <w:top w:val="none" w:sz="0" w:space="0" w:color="auto"/>
                    <w:left w:val="none" w:sz="0" w:space="0" w:color="auto"/>
                    <w:bottom w:val="none" w:sz="0" w:space="0" w:color="auto"/>
                    <w:right w:val="none" w:sz="0" w:space="0" w:color="auto"/>
                  </w:divBdr>
                  <w:divsChild>
                    <w:div w:id="716582972">
                      <w:marLeft w:val="0"/>
                      <w:marRight w:val="0"/>
                      <w:marTop w:val="0"/>
                      <w:marBottom w:val="0"/>
                      <w:divBdr>
                        <w:top w:val="none" w:sz="0" w:space="0" w:color="auto"/>
                        <w:left w:val="none" w:sz="0" w:space="0" w:color="auto"/>
                        <w:bottom w:val="none" w:sz="0" w:space="0" w:color="auto"/>
                        <w:right w:val="none" w:sz="0" w:space="0" w:color="auto"/>
                      </w:divBdr>
                    </w:div>
                  </w:divsChild>
                </w:div>
                <w:div w:id="2025936399">
                  <w:marLeft w:val="0"/>
                  <w:marRight w:val="0"/>
                  <w:marTop w:val="0"/>
                  <w:marBottom w:val="0"/>
                  <w:divBdr>
                    <w:top w:val="none" w:sz="0" w:space="0" w:color="auto"/>
                    <w:left w:val="none" w:sz="0" w:space="0" w:color="auto"/>
                    <w:bottom w:val="none" w:sz="0" w:space="0" w:color="auto"/>
                    <w:right w:val="none" w:sz="0" w:space="0" w:color="auto"/>
                  </w:divBdr>
                  <w:divsChild>
                    <w:div w:id="1206866095">
                      <w:marLeft w:val="0"/>
                      <w:marRight w:val="0"/>
                      <w:marTop w:val="0"/>
                      <w:marBottom w:val="0"/>
                      <w:divBdr>
                        <w:top w:val="none" w:sz="0" w:space="0" w:color="auto"/>
                        <w:left w:val="none" w:sz="0" w:space="0" w:color="auto"/>
                        <w:bottom w:val="none" w:sz="0" w:space="0" w:color="auto"/>
                        <w:right w:val="none" w:sz="0" w:space="0" w:color="auto"/>
                      </w:divBdr>
                    </w:div>
                  </w:divsChild>
                </w:div>
                <w:div w:id="2070878304">
                  <w:marLeft w:val="0"/>
                  <w:marRight w:val="0"/>
                  <w:marTop w:val="0"/>
                  <w:marBottom w:val="0"/>
                  <w:divBdr>
                    <w:top w:val="none" w:sz="0" w:space="0" w:color="auto"/>
                    <w:left w:val="none" w:sz="0" w:space="0" w:color="auto"/>
                    <w:bottom w:val="none" w:sz="0" w:space="0" w:color="auto"/>
                    <w:right w:val="none" w:sz="0" w:space="0" w:color="auto"/>
                  </w:divBdr>
                  <w:divsChild>
                    <w:div w:id="674963074">
                      <w:marLeft w:val="0"/>
                      <w:marRight w:val="0"/>
                      <w:marTop w:val="0"/>
                      <w:marBottom w:val="0"/>
                      <w:divBdr>
                        <w:top w:val="none" w:sz="0" w:space="0" w:color="auto"/>
                        <w:left w:val="none" w:sz="0" w:space="0" w:color="auto"/>
                        <w:bottom w:val="none" w:sz="0" w:space="0" w:color="auto"/>
                        <w:right w:val="none" w:sz="0" w:space="0" w:color="auto"/>
                      </w:divBdr>
                    </w:div>
                  </w:divsChild>
                </w:div>
                <w:div w:id="2116169340">
                  <w:marLeft w:val="0"/>
                  <w:marRight w:val="0"/>
                  <w:marTop w:val="0"/>
                  <w:marBottom w:val="0"/>
                  <w:divBdr>
                    <w:top w:val="none" w:sz="0" w:space="0" w:color="auto"/>
                    <w:left w:val="none" w:sz="0" w:space="0" w:color="auto"/>
                    <w:bottom w:val="none" w:sz="0" w:space="0" w:color="auto"/>
                    <w:right w:val="none" w:sz="0" w:space="0" w:color="auto"/>
                  </w:divBdr>
                  <w:divsChild>
                    <w:div w:id="9182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760615">
          <w:marLeft w:val="0"/>
          <w:marRight w:val="0"/>
          <w:marTop w:val="0"/>
          <w:marBottom w:val="0"/>
          <w:divBdr>
            <w:top w:val="none" w:sz="0" w:space="0" w:color="auto"/>
            <w:left w:val="none" w:sz="0" w:space="0" w:color="auto"/>
            <w:bottom w:val="none" w:sz="0" w:space="0" w:color="auto"/>
            <w:right w:val="none" w:sz="0" w:space="0" w:color="auto"/>
          </w:divBdr>
        </w:div>
        <w:div w:id="1950970857">
          <w:marLeft w:val="0"/>
          <w:marRight w:val="0"/>
          <w:marTop w:val="0"/>
          <w:marBottom w:val="0"/>
          <w:divBdr>
            <w:top w:val="none" w:sz="0" w:space="0" w:color="auto"/>
            <w:left w:val="none" w:sz="0" w:space="0" w:color="auto"/>
            <w:bottom w:val="none" w:sz="0" w:space="0" w:color="auto"/>
            <w:right w:val="none" w:sz="0" w:space="0" w:color="auto"/>
          </w:divBdr>
        </w:div>
        <w:div w:id="1983079485">
          <w:marLeft w:val="0"/>
          <w:marRight w:val="0"/>
          <w:marTop w:val="0"/>
          <w:marBottom w:val="0"/>
          <w:divBdr>
            <w:top w:val="none" w:sz="0" w:space="0" w:color="auto"/>
            <w:left w:val="none" w:sz="0" w:space="0" w:color="auto"/>
            <w:bottom w:val="none" w:sz="0" w:space="0" w:color="auto"/>
            <w:right w:val="none" w:sz="0" w:space="0" w:color="auto"/>
          </w:divBdr>
        </w:div>
      </w:divsChild>
    </w:div>
    <w:div w:id="1596669144">
      <w:bodyDiv w:val="1"/>
      <w:marLeft w:val="0"/>
      <w:marRight w:val="0"/>
      <w:marTop w:val="0"/>
      <w:marBottom w:val="0"/>
      <w:divBdr>
        <w:top w:val="none" w:sz="0" w:space="0" w:color="auto"/>
        <w:left w:val="none" w:sz="0" w:space="0" w:color="auto"/>
        <w:bottom w:val="none" w:sz="0" w:space="0" w:color="auto"/>
        <w:right w:val="none" w:sz="0" w:space="0" w:color="auto"/>
      </w:divBdr>
    </w:div>
    <w:div w:id="1603537394">
      <w:bodyDiv w:val="1"/>
      <w:marLeft w:val="0"/>
      <w:marRight w:val="0"/>
      <w:marTop w:val="0"/>
      <w:marBottom w:val="0"/>
      <w:divBdr>
        <w:top w:val="none" w:sz="0" w:space="0" w:color="auto"/>
        <w:left w:val="none" w:sz="0" w:space="0" w:color="auto"/>
        <w:bottom w:val="none" w:sz="0" w:space="0" w:color="auto"/>
        <w:right w:val="none" w:sz="0" w:space="0" w:color="auto"/>
      </w:divBdr>
      <w:divsChild>
        <w:div w:id="1908221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3439880">
      <w:bodyDiv w:val="1"/>
      <w:marLeft w:val="0"/>
      <w:marRight w:val="0"/>
      <w:marTop w:val="0"/>
      <w:marBottom w:val="0"/>
      <w:divBdr>
        <w:top w:val="none" w:sz="0" w:space="0" w:color="auto"/>
        <w:left w:val="none" w:sz="0" w:space="0" w:color="auto"/>
        <w:bottom w:val="none" w:sz="0" w:space="0" w:color="auto"/>
        <w:right w:val="none" w:sz="0" w:space="0" w:color="auto"/>
      </w:divBdr>
    </w:div>
    <w:div w:id="1615939502">
      <w:bodyDiv w:val="1"/>
      <w:marLeft w:val="0"/>
      <w:marRight w:val="0"/>
      <w:marTop w:val="0"/>
      <w:marBottom w:val="0"/>
      <w:divBdr>
        <w:top w:val="none" w:sz="0" w:space="0" w:color="auto"/>
        <w:left w:val="none" w:sz="0" w:space="0" w:color="auto"/>
        <w:bottom w:val="none" w:sz="0" w:space="0" w:color="auto"/>
        <w:right w:val="none" w:sz="0" w:space="0" w:color="auto"/>
      </w:divBdr>
      <w:divsChild>
        <w:div w:id="325210174">
          <w:marLeft w:val="0"/>
          <w:marRight w:val="0"/>
          <w:marTop w:val="0"/>
          <w:marBottom w:val="0"/>
          <w:divBdr>
            <w:top w:val="none" w:sz="0" w:space="0" w:color="auto"/>
            <w:left w:val="none" w:sz="0" w:space="0" w:color="auto"/>
            <w:bottom w:val="none" w:sz="0" w:space="0" w:color="auto"/>
            <w:right w:val="none" w:sz="0" w:space="0" w:color="auto"/>
          </w:divBdr>
        </w:div>
        <w:div w:id="387843003">
          <w:marLeft w:val="0"/>
          <w:marRight w:val="0"/>
          <w:marTop w:val="0"/>
          <w:marBottom w:val="0"/>
          <w:divBdr>
            <w:top w:val="none" w:sz="0" w:space="0" w:color="auto"/>
            <w:left w:val="none" w:sz="0" w:space="0" w:color="auto"/>
            <w:bottom w:val="none" w:sz="0" w:space="0" w:color="auto"/>
            <w:right w:val="none" w:sz="0" w:space="0" w:color="auto"/>
          </w:divBdr>
          <w:divsChild>
            <w:div w:id="2111123733">
              <w:marLeft w:val="-75"/>
              <w:marRight w:val="0"/>
              <w:marTop w:val="30"/>
              <w:marBottom w:val="30"/>
              <w:divBdr>
                <w:top w:val="none" w:sz="0" w:space="0" w:color="auto"/>
                <w:left w:val="none" w:sz="0" w:space="0" w:color="auto"/>
                <w:bottom w:val="none" w:sz="0" w:space="0" w:color="auto"/>
                <w:right w:val="none" w:sz="0" w:space="0" w:color="auto"/>
              </w:divBdr>
              <w:divsChild>
                <w:div w:id="133642495">
                  <w:marLeft w:val="0"/>
                  <w:marRight w:val="0"/>
                  <w:marTop w:val="0"/>
                  <w:marBottom w:val="0"/>
                  <w:divBdr>
                    <w:top w:val="none" w:sz="0" w:space="0" w:color="auto"/>
                    <w:left w:val="none" w:sz="0" w:space="0" w:color="auto"/>
                    <w:bottom w:val="none" w:sz="0" w:space="0" w:color="auto"/>
                    <w:right w:val="none" w:sz="0" w:space="0" w:color="auto"/>
                  </w:divBdr>
                  <w:divsChild>
                    <w:div w:id="527335053">
                      <w:marLeft w:val="0"/>
                      <w:marRight w:val="0"/>
                      <w:marTop w:val="0"/>
                      <w:marBottom w:val="0"/>
                      <w:divBdr>
                        <w:top w:val="none" w:sz="0" w:space="0" w:color="auto"/>
                        <w:left w:val="none" w:sz="0" w:space="0" w:color="auto"/>
                        <w:bottom w:val="none" w:sz="0" w:space="0" w:color="auto"/>
                        <w:right w:val="none" w:sz="0" w:space="0" w:color="auto"/>
                      </w:divBdr>
                    </w:div>
                  </w:divsChild>
                </w:div>
                <w:div w:id="315837896">
                  <w:marLeft w:val="0"/>
                  <w:marRight w:val="0"/>
                  <w:marTop w:val="0"/>
                  <w:marBottom w:val="0"/>
                  <w:divBdr>
                    <w:top w:val="none" w:sz="0" w:space="0" w:color="auto"/>
                    <w:left w:val="none" w:sz="0" w:space="0" w:color="auto"/>
                    <w:bottom w:val="none" w:sz="0" w:space="0" w:color="auto"/>
                    <w:right w:val="none" w:sz="0" w:space="0" w:color="auto"/>
                  </w:divBdr>
                  <w:divsChild>
                    <w:div w:id="155920517">
                      <w:marLeft w:val="0"/>
                      <w:marRight w:val="0"/>
                      <w:marTop w:val="0"/>
                      <w:marBottom w:val="0"/>
                      <w:divBdr>
                        <w:top w:val="none" w:sz="0" w:space="0" w:color="auto"/>
                        <w:left w:val="none" w:sz="0" w:space="0" w:color="auto"/>
                        <w:bottom w:val="none" w:sz="0" w:space="0" w:color="auto"/>
                        <w:right w:val="none" w:sz="0" w:space="0" w:color="auto"/>
                      </w:divBdr>
                    </w:div>
                  </w:divsChild>
                </w:div>
                <w:div w:id="342249820">
                  <w:marLeft w:val="0"/>
                  <w:marRight w:val="0"/>
                  <w:marTop w:val="0"/>
                  <w:marBottom w:val="0"/>
                  <w:divBdr>
                    <w:top w:val="none" w:sz="0" w:space="0" w:color="auto"/>
                    <w:left w:val="none" w:sz="0" w:space="0" w:color="auto"/>
                    <w:bottom w:val="none" w:sz="0" w:space="0" w:color="auto"/>
                    <w:right w:val="none" w:sz="0" w:space="0" w:color="auto"/>
                  </w:divBdr>
                  <w:divsChild>
                    <w:div w:id="1143161224">
                      <w:marLeft w:val="0"/>
                      <w:marRight w:val="0"/>
                      <w:marTop w:val="0"/>
                      <w:marBottom w:val="0"/>
                      <w:divBdr>
                        <w:top w:val="none" w:sz="0" w:space="0" w:color="auto"/>
                        <w:left w:val="none" w:sz="0" w:space="0" w:color="auto"/>
                        <w:bottom w:val="none" w:sz="0" w:space="0" w:color="auto"/>
                        <w:right w:val="none" w:sz="0" w:space="0" w:color="auto"/>
                      </w:divBdr>
                    </w:div>
                  </w:divsChild>
                </w:div>
                <w:div w:id="375156334">
                  <w:marLeft w:val="0"/>
                  <w:marRight w:val="0"/>
                  <w:marTop w:val="0"/>
                  <w:marBottom w:val="0"/>
                  <w:divBdr>
                    <w:top w:val="none" w:sz="0" w:space="0" w:color="auto"/>
                    <w:left w:val="none" w:sz="0" w:space="0" w:color="auto"/>
                    <w:bottom w:val="none" w:sz="0" w:space="0" w:color="auto"/>
                    <w:right w:val="none" w:sz="0" w:space="0" w:color="auto"/>
                  </w:divBdr>
                  <w:divsChild>
                    <w:div w:id="1413769544">
                      <w:marLeft w:val="0"/>
                      <w:marRight w:val="0"/>
                      <w:marTop w:val="0"/>
                      <w:marBottom w:val="0"/>
                      <w:divBdr>
                        <w:top w:val="none" w:sz="0" w:space="0" w:color="auto"/>
                        <w:left w:val="none" w:sz="0" w:space="0" w:color="auto"/>
                        <w:bottom w:val="none" w:sz="0" w:space="0" w:color="auto"/>
                        <w:right w:val="none" w:sz="0" w:space="0" w:color="auto"/>
                      </w:divBdr>
                    </w:div>
                  </w:divsChild>
                </w:div>
                <w:div w:id="405156362">
                  <w:marLeft w:val="0"/>
                  <w:marRight w:val="0"/>
                  <w:marTop w:val="0"/>
                  <w:marBottom w:val="0"/>
                  <w:divBdr>
                    <w:top w:val="none" w:sz="0" w:space="0" w:color="auto"/>
                    <w:left w:val="none" w:sz="0" w:space="0" w:color="auto"/>
                    <w:bottom w:val="none" w:sz="0" w:space="0" w:color="auto"/>
                    <w:right w:val="none" w:sz="0" w:space="0" w:color="auto"/>
                  </w:divBdr>
                  <w:divsChild>
                    <w:div w:id="1476753297">
                      <w:marLeft w:val="0"/>
                      <w:marRight w:val="0"/>
                      <w:marTop w:val="0"/>
                      <w:marBottom w:val="0"/>
                      <w:divBdr>
                        <w:top w:val="none" w:sz="0" w:space="0" w:color="auto"/>
                        <w:left w:val="none" w:sz="0" w:space="0" w:color="auto"/>
                        <w:bottom w:val="none" w:sz="0" w:space="0" w:color="auto"/>
                        <w:right w:val="none" w:sz="0" w:space="0" w:color="auto"/>
                      </w:divBdr>
                    </w:div>
                  </w:divsChild>
                </w:div>
                <w:div w:id="420219743">
                  <w:marLeft w:val="0"/>
                  <w:marRight w:val="0"/>
                  <w:marTop w:val="0"/>
                  <w:marBottom w:val="0"/>
                  <w:divBdr>
                    <w:top w:val="none" w:sz="0" w:space="0" w:color="auto"/>
                    <w:left w:val="none" w:sz="0" w:space="0" w:color="auto"/>
                    <w:bottom w:val="none" w:sz="0" w:space="0" w:color="auto"/>
                    <w:right w:val="none" w:sz="0" w:space="0" w:color="auto"/>
                  </w:divBdr>
                  <w:divsChild>
                    <w:div w:id="1000042458">
                      <w:marLeft w:val="0"/>
                      <w:marRight w:val="0"/>
                      <w:marTop w:val="0"/>
                      <w:marBottom w:val="0"/>
                      <w:divBdr>
                        <w:top w:val="none" w:sz="0" w:space="0" w:color="auto"/>
                        <w:left w:val="none" w:sz="0" w:space="0" w:color="auto"/>
                        <w:bottom w:val="none" w:sz="0" w:space="0" w:color="auto"/>
                        <w:right w:val="none" w:sz="0" w:space="0" w:color="auto"/>
                      </w:divBdr>
                    </w:div>
                  </w:divsChild>
                </w:div>
                <w:div w:id="536163901">
                  <w:marLeft w:val="0"/>
                  <w:marRight w:val="0"/>
                  <w:marTop w:val="0"/>
                  <w:marBottom w:val="0"/>
                  <w:divBdr>
                    <w:top w:val="none" w:sz="0" w:space="0" w:color="auto"/>
                    <w:left w:val="none" w:sz="0" w:space="0" w:color="auto"/>
                    <w:bottom w:val="none" w:sz="0" w:space="0" w:color="auto"/>
                    <w:right w:val="none" w:sz="0" w:space="0" w:color="auto"/>
                  </w:divBdr>
                  <w:divsChild>
                    <w:div w:id="694965472">
                      <w:marLeft w:val="0"/>
                      <w:marRight w:val="0"/>
                      <w:marTop w:val="0"/>
                      <w:marBottom w:val="0"/>
                      <w:divBdr>
                        <w:top w:val="none" w:sz="0" w:space="0" w:color="auto"/>
                        <w:left w:val="none" w:sz="0" w:space="0" w:color="auto"/>
                        <w:bottom w:val="none" w:sz="0" w:space="0" w:color="auto"/>
                        <w:right w:val="none" w:sz="0" w:space="0" w:color="auto"/>
                      </w:divBdr>
                    </w:div>
                    <w:div w:id="844199888">
                      <w:marLeft w:val="0"/>
                      <w:marRight w:val="0"/>
                      <w:marTop w:val="0"/>
                      <w:marBottom w:val="0"/>
                      <w:divBdr>
                        <w:top w:val="none" w:sz="0" w:space="0" w:color="auto"/>
                        <w:left w:val="none" w:sz="0" w:space="0" w:color="auto"/>
                        <w:bottom w:val="none" w:sz="0" w:space="0" w:color="auto"/>
                        <w:right w:val="none" w:sz="0" w:space="0" w:color="auto"/>
                      </w:divBdr>
                    </w:div>
                  </w:divsChild>
                </w:div>
                <w:div w:id="611212060">
                  <w:marLeft w:val="0"/>
                  <w:marRight w:val="0"/>
                  <w:marTop w:val="0"/>
                  <w:marBottom w:val="0"/>
                  <w:divBdr>
                    <w:top w:val="none" w:sz="0" w:space="0" w:color="auto"/>
                    <w:left w:val="none" w:sz="0" w:space="0" w:color="auto"/>
                    <w:bottom w:val="none" w:sz="0" w:space="0" w:color="auto"/>
                    <w:right w:val="none" w:sz="0" w:space="0" w:color="auto"/>
                  </w:divBdr>
                  <w:divsChild>
                    <w:div w:id="533883002">
                      <w:marLeft w:val="0"/>
                      <w:marRight w:val="0"/>
                      <w:marTop w:val="0"/>
                      <w:marBottom w:val="0"/>
                      <w:divBdr>
                        <w:top w:val="none" w:sz="0" w:space="0" w:color="auto"/>
                        <w:left w:val="none" w:sz="0" w:space="0" w:color="auto"/>
                        <w:bottom w:val="none" w:sz="0" w:space="0" w:color="auto"/>
                        <w:right w:val="none" w:sz="0" w:space="0" w:color="auto"/>
                      </w:divBdr>
                    </w:div>
                  </w:divsChild>
                </w:div>
                <w:div w:id="738869063">
                  <w:marLeft w:val="0"/>
                  <w:marRight w:val="0"/>
                  <w:marTop w:val="0"/>
                  <w:marBottom w:val="0"/>
                  <w:divBdr>
                    <w:top w:val="none" w:sz="0" w:space="0" w:color="auto"/>
                    <w:left w:val="none" w:sz="0" w:space="0" w:color="auto"/>
                    <w:bottom w:val="none" w:sz="0" w:space="0" w:color="auto"/>
                    <w:right w:val="none" w:sz="0" w:space="0" w:color="auto"/>
                  </w:divBdr>
                  <w:divsChild>
                    <w:div w:id="318272471">
                      <w:marLeft w:val="0"/>
                      <w:marRight w:val="0"/>
                      <w:marTop w:val="0"/>
                      <w:marBottom w:val="0"/>
                      <w:divBdr>
                        <w:top w:val="none" w:sz="0" w:space="0" w:color="auto"/>
                        <w:left w:val="none" w:sz="0" w:space="0" w:color="auto"/>
                        <w:bottom w:val="none" w:sz="0" w:space="0" w:color="auto"/>
                        <w:right w:val="none" w:sz="0" w:space="0" w:color="auto"/>
                      </w:divBdr>
                    </w:div>
                  </w:divsChild>
                </w:div>
                <w:div w:id="871386702">
                  <w:marLeft w:val="0"/>
                  <w:marRight w:val="0"/>
                  <w:marTop w:val="0"/>
                  <w:marBottom w:val="0"/>
                  <w:divBdr>
                    <w:top w:val="none" w:sz="0" w:space="0" w:color="auto"/>
                    <w:left w:val="none" w:sz="0" w:space="0" w:color="auto"/>
                    <w:bottom w:val="none" w:sz="0" w:space="0" w:color="auto"/>
                    <w:right w:val="none" w:sz="0" w:space="0" w:color="auto"/>
                  </w:divBdr>
                  <w:divsChild>
                    <w:div w:id="44719776">
                      <w:marLeft w:val="0"/>
                      <w:marRight w:val="0"/>
                      <w:marTop w:val="0"/>
                      <w:marBottom w:val="0"/>
                      <w:divBdr>
                        <w:top w:val="none" w:sz="0" w:space="0" w:color="auto"/>
                        <w:left w:val="none" w:sz="0" w:space="0" w:color="auto"/>
                        <w:bottom w:val="none" w:sz="0" w:space="0" w:color="auto"/>
                        <w:right w:val="none" w:sz="0" w:space="0" w:color="auto"/>
                      </w:divBdr>
                    </w:div>
                  </w:divsChild>
                </w:div>
                <w:div w:id="900285174">
                  <w:marLeft w:val="0"/>
                  <w:marRight w:val="0"/>
                  <w:marTop w:val="0"/>
                  <w:marBottom w:val="0"/>
                  <w:divBdr>
                    <w:top w:val="none" w:sz="0" w:space="0" w:color="auto"/>
                    <w:left w:val="none" w:sz="0" w:space="0" w:color="auto"/>
                    <w:bottom w:val="none" w:sz="0" w:space="0" w:color="auto"/>
                    <w:right w:val="none" w:sz="0" w:space="0" w:color="auto"/>
                  </w:divBdr>
                  <w:divsChild>
                    <w:div w:id="2066904430">
                      <w:marLeft w:val="0"/>
                      <w:marRight w:val="0"/>
                      <w:marTop w:val="0"/>
                      <w:marBottom w:val="0"/>
                      <w:divBdr>
                        <w:top w:val="none" w:sz="0" w:space="0" w:color="auto"/>
                        <w:left w:val="none" w:sz="0" w:space="0" w:color="auto"/>
                        <w:bottom w:val="none" w:sz="0" w:space="0" w:color="auto"/>
                        <w:right w:val="none" w:sz="0" w:space="0" w:color="auto"/>
                      </w:divBdr>
                    </w:div>
                  </w:divsChild>
                </w:div>
                <w:div w:id="920988876">
                  <w:marLeft w:val="0"/>
                  <w:marRight w:val="0"/>
                  <w:marTop w:val="0"/>
                  <w:marBottom w:val="0"/>
                  <w:divBdr>
                    <w:top w:val="none" w:sz="0" w:space="0" w:color="auto"/>
                    <w:left w:val="none" w:sz="0" w:space="0" w:color="auto"/>
                    <w:bottom w:val="none" w:sz="0" w:space="0" w:color="auto"/>
                    <w:right w:val="none" w:sz="0" w:space="0" w:color="auto"/>
                  </w:divBdr>
                  <w:divsChild>
                    <w:div w:id="467170927">
                      <w:marLeft w:val="0"/>
                      <w:marRight w:val="0"/>
                      <w:marTop w:val="0"/>
                      <w:marBottom w:val="0"/>
                      <w:divBdr>
                        <w:top w:val="none" w:sz="0" w:space="0" w:color="auto"/>
                        <w:left w:val="none" w:sz="0" w:space="0" w:color="auto"/>
                        <w:bottom w:val="none" w:sz="0" w:space="0" w:color="auto"/>
                        <w:right w:val="none" w:sz="0" w:space="0" w:color="auto"/>
                      </w:divBdr>
                    </w:div>
                  </w:divsChild>
                </w:div>
                <w:div w:id="1117331978">
                  <w:marLeft w:val="0"/>
                  <w:marRight w:val="0"/>
                  <w:marTop w:val="0"/>
                  <w:marBottom w:val="0"/>
                  <w:divBdr>
                    <w:top w:val="none" w:sz="0" w:space="0" w:color="auto"/>
                    <w:left w:val="none" w:sz="0" w:space="0" w:color="auto"/>
                    <w:bottom w:val="none" w:sz="0" w:space="0" w:color="auto"/>
                    <w:right w:val="none" w:sz="0" w:space="0" w:color="auto"/>
                  </w:divBdr>
                  <w:divsChild>
                    <w:div w:id="1139305288">
                      <w:marLeft w:val="0"/>
                      <w:marRight w:val="0"/>
                      <w:marTop w:val="0"/>
                      <w:marBottom w:val="0"/>
                      <w:divBdr>
                        <w:top w:val="none" w:sz="0" w:space="0" w:color="auto"/>
                        <w:left w:val="none" w:sz="0" w:space="0" w:color="auto"/>
                        <w:bottom w:val="none" w:sz="0" w:space="0" w:color="auto"/>
                        <w:right w:val="none" w:sz="0" w:space="0" w:color="auto"/>
                      </w:divBdr>
                    </w:div>
                  </w:divsChild>
                </w:div>
                <w:div w:id="1121345395">
                  <w:marLeft w:val="0"/>
                  <w:marRight w:val="0"/>
                  <w:marTop w:val="0"/>
                  <w:marBottom w:val="0"/>
                  <w:divBdr>
                    <w:top w:val="none" w:sz="0" w:space="0" w:color="auto"/>
                    <w:left w:val="none" w:sz="0" w:space="0" w:color="auto"/>
                    <w:bottom w:val="none" w:sz="0" w:space="0" w:color="auto"/>
                    <w:right w:val="none" w:sz="0" w:space="0" w:color="auto"/>
                  </w:divBdr>
                  <w:divsChild>
                    <w:div w:id="381440011">
                      <w:marLeft w:val="0"/>
                      <w:marRight w:val="0"/>
                      <w:marTop w:val="0"/>
                      <w:marBottom w:val="0"/>
                      <w:divBdr>
                        <w:top w:val="none" w:sz="0" w:space="0" w:color="auto"/>
                        <w:left w:val="none" w:sz="0" w:space="0" w:color="auto"/>
                        <w:bottom w:val="none" w:sz="0" w:space="0" w:color="auto"/>
                        <w:right w:val="none" w:sz="0" w:space="0" w:color="auto"/>
                      </w:divBdr>
                    </w:div>
                  </w:divsChild>
                </w:div>
                <w:div w:id="1144277976">
                  <w:marLeft w:val="0"/>
                  <w:marRight w:val="0"/>
                  <w:marTop w:val="0"/>
                  <w:marBottom w:val="0"/>
                  <w:divBdr>
                    <w:top w:val="none" w:sz="0" w:space="0" w:color="auto"/>
                    <w:left w:val="none" w:sz="0" w:space="0" w:color="auto"/>
                    <w:bottom w:val="none" w:sz="0" w:space="0" w:color="auto"/>
                    <w:right w:val="none" w:sz="0" w:space="0" w:color="auto"/>
                  </w:divBdr>
                  <w:divsChild>
                    <w:div w:id="701326301">
                      <w:marLeft w:val="0"/>
                      <w:marRight w:val="0"/>
                      <w:marTop w:val="0"/>
                      <w:marBottom w:val="0"/>
                      <w:divBdr>
                        <w:top w:val="none" w:sz="0" w:space="0" w:color="auto"/>
                        <w:left w:val="none" w:sz="0" w:space="0" w:color="auto"/>
                        <w:bottom w:val="none" w:sz="0" w:space="0" w:color="auto"/>
                        <w:right w:val="none" w:sz="0" w:space="0" w:color="auto"/>
                      </w:divBdr>
                    </w:div>
                  </w:divsChild>
                </w:div>
                <w:div w:id="1190334985">
                  <w:marLeft w:val="0"/>
                  <w:marRight w:val="0"/>
                  <w:marTop w:val="0"/>
                  <w:marBottom w:val="0"/>
                  <w:divBdr>
                    <w:top w:val="none" w:sz="0" w:space="0" w:color="auto"/>
                    <w:left w:val="none" w:sz="0" w:space="0" w:color="auto"/>
                    <w:bottom w:val="none" w:sz="0" w:space="0" w:color="auto"/>
                    <w:right w:val="none" w:sz="0" w:space="0" w:color="auto"/>
                  </w:divBdr>
                  <w:divsChild>
                    <w:div w:id="1916085549">
                      <w:marLeft w:val="0"/>
                      <w:marRight w:val="0"/>
                      <w:marTop w:val="0"/>
                      <w:marBottom w:val="0"/>
                      <w:divBdr>
                        <w:top w:val="none" w:sz="0" w:space="0" w:color="auto"/>
                        <w:left w:val="none" w:sz="0" w:space="0" w:color="auto"/>
                        <w:bottom w:val="none" w:sz="0" w:space="0" w:color="auto"/>
                        <w:right w:val="none" w:sz="0" w:space="0" w:color="auto"/>
                      </w:divBdr>
                    </w:div>
                  </w:divsChild>
                </w:div>
                <w:div w:id="1244875412">
                  <w:marLeft w:val="0"/>
                  <w:marRight w:val="0"/>
                  <w:marTop w:val="0"/>
                  <w:marBottom w:val="0"/>
                  <w:divBdr>
                    <w:top w:val="none" w:sz="0" w:space="0" w:color="auto"/>
                    <w:left w:val="none" w:sz="0" w:space="0" w:color="auto"/>
                    <w:bottom w:val="none" w:sz="0" w:space="0" w:color="auto"/>
                    <w:right w:val="none" w:sz="0" w:space="0" w:color="auto"/>
                  </w:divBdr>
                  <w:divsChild>
                    <w:div w:id="356393474">
                      <w:marLeft w:val="0"/>
                      <w:marRight w:val="0"/>
                      <w:marTop w:val="0"/>
                      <w:marBottom w:val="0"/>
                      <w:divBdr>
                        <w:top w:val="none" w:sz="0" w:space="0" w:color="auto"/>
                        <w:left w:val="none" w:sz="0" w:space="0" w:color="auto"/>
                        <w:bottom w:val="none" w:sz="0" w:space="0" w:color="auto"/>
                        <w:right w:val="none" w:sz="0" w:space="0" w:color="auto"/>
                      </w:divBdr>
                    </w:div>
                  </w:divsChild>
                </w:div>
                <w:div w:id="1256548656">
                  <w:marLeft w:val="0"/>
                  <w:marRight w:val="0"/>
                  <w:marTop w:val="0"/>
                  <w:marBottom w:val="0"/>
                  <w:divBdr>
                    <w:top w:val="none" w:sz="0" w:space="0" w:color="auto"/>
                    <w:left w:val="none" w:sz="0" w:space="0" w:color="auto"/>
                    <w:bottom w:val="none" w:sz="0" w:space="0" w:color="auto"/>
                    <w:right w:val="none" w:sz="0" w:space="0" w:color="auto"/>
                  </w:divBdr>
                  <w:divsChild>
                    <w:div w:id="23143742">
                      <w:marLeft w:val="0"/>
                      <w:marRight w:val="0"/>
                      <w:marTop w:val="0"/>
                      <w:marBottom w:val="0"/>
                      <w:divBdr>
                        <w:top w:val="none" w:sz="0" w:space="0" w:color="auto"/>
                        <w:left w:val="none" w:sz="0" w:space="0" w:color="auto"/>
                        <w:bottom w:val="none" w:sz="0" w:space="0" w:color="auto"/>
                        <w:right w:val="none" w:sz="0" w:space="0" w:color="auto"/>
                      </w:divBdr>
                    </w:div>
                  </w:divsChild>
                </w:div>
                <w:div w:id="1439327607">
                  <w:marLeft w:val="0"/>
                  <w:marRight w:val="0"/>
                  <w:marTop w:val="0"/>
                  <w:marBottom w:val="0"/>
                  <w:divBdr>
                    <w:top w:val="none" w:sz="0" w:space="0" w:color="auto"/>
                    <w:left w:val="none" w:sz="0" w:space="0" w:color="auto"/>
                    <w:bottom w:val="none" w:sz="0" w:space="0" w:color="auto"/>
                    <w:right w:val="none" w:sz="0" w:space="0" w:color="auto"/>
                  </w:divBdr>
                  <w:divsChild>
                    <w:div w:id="1638024936">
                      <w:marLeft w:val="0"/>
                      <w:marRight w:val="0"/>
                      <w:marTop w:val="0"/>
                      <w:marBottom w:val="0"/>
                      <w:divBdr>
                        <w:top w:val="none" w:sz="0" w:space="0" w:color="auto"/>
                        <w:left w:val="none" w:sz="0" w:space="0" w:color="auto"/>
                        <w:bottom w:val="none" w:sz="0" w:space="0" w:color="auto"/>
                        <w:right w:val="none" w:sz="0" w:space="0" w:color="auto"/>
                      </w:divBdr>
                    </w:div>
                  </w:divsChild>
                </w:div>
                <w:div w:id="1546680315">
                  <w:marLeft w:val="0"/>
                  <w:marRight w:val="0"/>
                  <w:marTop w:val="0"/>
                  <w:marBottom w:val="0"/>
                  <w:divBdr>
                    <w:top w:val="none" w:sz="0" w:space="0" w:color="auto"/>
                    <w:left w:val="none" w:sz="0" w:space="0" w:color="auto"/>
                    <w:bottom w:val="none" w:sz="0" w:space="0" w:color="auto"/>
                    <w:right w:val="none" w:sz="0" w:space="0" w:color="auto"/>
                  </w:divBdr>
                  <w:divsChild>
                    <w:div w:id="1298997993">
                      <w:marLeft w:val="0"/>
                      <w:marRight w:val="0"/>
                      <w:marTop w:val="0"/>
                      <w:marBottom w:val="0"/>
                      <w:divBdr>
                        <w:top w:val="none" w:sz="0" w:space="0" w:color="auto"/>
                        <w:left w:val="none" w:sz="0" w:space="0" w:color="auto"/>
                        <w:bottom w:val="none" w:sz="0" w:space="0" w:color="auto"/>
                        <w:right w:val="none" w:sz="0" w:space="0" w:color="auto"/>
                      </w:divBdr>
                    </w:div>
                  </w:divsChild>
                </w:div>
                <w:div w:id="1611087427">
                  <w:marLeft w:val="0"/>
                  <w:marRight w:val="0"/>
                  <w:marTop w:val="0"/>
                  <w:marBottom w:val="0"/>
                  <w:divBdr>
                    <w:top w:val="none" w:sz="0" w:space="0" w:color="auto"/>
                    <w:left w:val="none" w:sz="0" w:space="0" w:color="auto"/>
                    <w:bottom w:val="none" w:sz="0" w:space="0" w:color="auto"/>
                    <w:right w:val="none" w:sz="0" w:space="0" w:color="auto"/>
                  </w:divBdr>
                  <w:divsChild>
                    <w:div w:id="491408185">
                      <w:marLeft w:val="0"/>
                      <w:marRight w:val="0"/>
                      <w:marTop w:val="0"/>
                      <w:marBottom w:val="0"/>
                      <w:divBdr>
                        <w:top w:val="none" w:sz="0" w:space="0" w:color="auto"/>
                        <w:left w:val="none" w:sz="0" w:space="0" w:color="auto"/>
                        <w:bottom w:val="none" w:sz="0" w:space="0" w:color="auto"/>
                        <w:right w:val="none" w:sz="0" w:space="0" w:color="auto"/>
                      </w:divBdr>
                    </w:div>
                  </w:divsChild>
                </w:div>
                <w:div w:id="1618753803">
                  <w:marLeft w:val="0"/>
                  <w:marRight w:val="0"/>
                  <w:marTop w:val="0"/>
                  <w:marBottom w:val="0"/>
                  <w:divBdr>
                    <w:top w:val="none" w:sz="0" w:space="0" w:color="auto"/>
                    <w:left w:val="none" w:sz="0" w:space="0" w:color="auto"/>
                    <w:bottom w:val="none" w:sz="0" w:space="0" w:color="auto"/>
                    <w:right w:val="none" w:sz="0" w:space="0" w:color="auto"/>
                  </w:divBdr>
                  <w:divsChild>
                    <w:div w:id="836925611">
                      <w:marLeft w:val="0"/>
                      <w:marRight w:val="0"/>
                      <w:marTop w:val="0"/>
                      <w:marBottom w:val="0"/>
                      <w:divBdr>
                        <w:top w:val="none" w:sz="0" w:space="0" w:color="auto"/>
                        <w:left w:val="none" w:sz="0" w:space="0" w:color="auto"/>
                        <w:bottom w:val="none" w:sz="0" w:space="0" w:color="auto"/>
                        <w:right w:val="none" w:sz="0" w:space="0" w:color="auto"/>
                      </w:divBdr>
                    </w:div>
                  </w:divsChild>
                </w:div>
                <w:div w:id="1624380421">
                  <w:marLeft w:val="0"/>
                  <w:marRight w:val="0"/>
                  <w:marTop w:val="0"/>
                  <w:marBottom w:val="0"/>
                  <w:divBdr>
                    <w:top w:val="none" w:sz="0" w:space="0" w:color="auto"/>
                    <w:left w:val="none" w:sz="0" w:space="0" w:color="auto"/>
                    <w:bottom w:val="none" w:sz="0" w:space="0" w:color="auto"/>
                    <w:right w:val="none" w:sz="0" w:space="0" w:color="auto"/>
                  </w:divBdr>
                  <w:divsChild>
                    <w:div w:id="1858233050">
                      <w:marLeft w:val="0"/>
                      <w:marRight w:val="0"/>
                      <w:marTop w:val="0"/>
                      <w:marBottom w:val="0"/>
                      <w:divBdr>
                        <w:top w:val="none" w:sz="0" w:space="0" w:color="auto"/>
                        <w:left w:val="none" w:sz="0" w:space="0" w:color="auto"/>
                        <w:bottom w:val="none" w:sz="0" w:space="0" w:color="auto"/>
                        <w:right w:val="none" w:sz="0" w:space="0" w:color="auto"/>
                      </w:divBdr>
                    </w:div>
                  </w:divsChild>
                </w:div>
                <w:div w:id="1627002685">
                  <w:marLeft w:val="0"/>
                  <w:marRight w:val="0"/>
                  <w:marTop w:val="0"/>
                  <w:marBottom w:val="0"/>
                  <w:divBdr>
                    <w:top w:val="none" w:sz="0" w:space="0" w:color="auto"/>
                    <w:left w:val="none" w:sz="0" w:space="0" w:color="auto"/>
                    <w:bottom w:val="none" w:sz="0" w:space="0" w:color="auto"/>
                    <w:right w:val="none" w:sz="0" w:space="0" w:color="auto"/>
                  </w:divBdr>
                  <w:divsChild>
                    <w:div w:id="1416853585">
                      <w:marLeft w:val="0"/>
                      <w:marRight w:val="0"/>
                      <w:marTop w:val="0"/>
                      <w:marBottom w:val="0"/>
                      <w:divBdr>
                        <w:top w:val="none" w:sz="0" w:space="0" w:color="auto"/>
                        <w:left w:val="none" w:sz="0" w:space="0" w:color="auto"/>
                        <w:bottom w:val="none" w:sz="0" w:space="0" w:color="auto"/>
                        <w:right w:val="none" w:sz="0" w:space="0" w:color="auto"/>
                      </w:divBdr>
                    </w:div>
                    <w:div w:id="1680347740">
                      <w:marLeft w:val="0"/>
                      <w:marRight w:val="0"/>
                      <w:marTop w:val="0"/>
                      <w:marBottom w:val="0"/>
                      <w:divBdr>
                        <w:top w:val="none" w:sz="0" w:space="0" w:color="auto"/>
                        <w:left w:val="none" w:sz="0" w:space="0" w:color="auto"/>
                        <w:bottom w:val="none" w:sz="0" w:space="0" w:color="auto"/>
                        <w:right w:val="none" w:sz="0" w:space="0" w:color="auto"/>
                      </w:divBdr>
                    </w:div>
                  </w:divsChild>
                </w:div>
                <w:div w:id="1842692844">
                  <w:marLeft w:val="0"/>
                  <w:marRight w:val="0"/>
                  <w:marTop w:val="0"/>
                  <w:marBottom w:val="0"/>
                  <w:divBdr>
                    <w:top w:val="none" w:sz="0" w:space="0" w:color="auto"/>
                    <w:left w:val="none" w:sz="0" w:space="0" w:color="auto"/>
                    <w:bottom w:val="none" w:sz="0" w:space="0" w:color="auto"/>
                    <w:right w:val="none" w:sz="0" w:space="0" w:color="auto"/>
                  </w:divBdr>
                  <w:divsChild>
                    <w:div w:id="1853451601">
                      <w:marLeft w:val="0"/>
                      <w:marRight w:val="0"/>
                      <w:marTop w:val="0"/>
                      <w:marBottom w:val="0"/>
                      <w:divBdr>
                        <w:top w:val="none" w:sz="0" w:space="0" w:color="auto"/>
                        <w:left w:val="none" w:sz="0" w:space="0" w:color="auto"/>
                        <w:bottom w:val="none" w:sz="0" w:space="0" w:color="auto"/>
                        <w:right w:val="none" w:sz="0" w:space="0" w:color="auto"/>
                      </w:divBdr>
                    </w:div>
                  </w:divsChild>
                </w:div>
                <w:div w:id="1848859474">
                  <w:marLeft w:val="0"/>
                  <w:marRight w:val="0"/>
                  <w:marTop w:val="0"/>
                  <w:marBottom w:val="0"/>
                  <w:divBdr>
                    <w:top w:val="none" w:sz="0" w:space="0" w:color="auto"/>
                    <w:left w:val="none" w:sz="0" w:space="0" w:color="auto"/>
                    <w:bottom w:val="none" w:sz="0" w:space="0" w:color="auto"/>
                    <w:right w:val="none" w:sz="0" w:space="0" w:color="auto"/>
                  </w:divBdr>
                  <w:divsChild>
                    <w:div w:id="2141880282">
                      <w:marLeft w:val="0"/>
                      <w:marRight w:val="0"/>
                      <w:marTop w:val="0"/>
                      <w:marBottom w:val="0"/>
                      <w:divBdr>
                        <w:top w:val="none" w:sz="0" w:space="0" w:color="auto"/>
                        <w:left w:val="none" w:sz="0" w:space="0" w:color="auto"/>
                        <w:bottom w:val="none" w:sz="0" w:space="0" w:color="auto"/>
                        <w:right w:val="none" w:sz="0" w:space="0" w:color="auto"/>
                      </w:divBdr>
                    </w:div>
                  </w:divsChild>
                </w:div>
                <w:div w:id="1895500739">
                  <w:marLeft w:val="0"/>
                  <w:marRight w:val="0"/>
                  <w:marTop w:val="0"/>
                  <w:marBottom w:val="0"/>
                  <w:divBdr>
                    <w:top w:val="none" w:sz="0" w:space="0" w:color="auto"/>
                    <w:left w:val="none" w:sz="0" w:space="0" w:color="auto"/>
                    <w:bottom w:val="none" w:sz="0" w:space="0" w:color="auto"/>
                    <w:right w:val="none" w:sz="0" w:space="0" w:color="auto"/>
                  </w:divBdr>
                  <w:divsChild>
                    <w:div w:id="557013268">
                      <w:marLeft w:val="0"/>
                      <w:marRight w:val="0"/>
                      <w:marTop w:val="0"/>
                      <w:marBottom w:val="0"/>
                      <w:divBdr>
                        <w:top w:val="none" w:sz="0" w:space="0" w:color="auto"/>
                        <w:left w:val="none" w:sz="0" w:space="0" w:color="auto"/>
                        <w:bottom w:val="none" w:sz="0" w:space="0" w:color="auto"/>
                        <w:right w:val="none" w:sz="0" w:space="0" w:color="auto"/>
                      </w:divBdr>
                    </w:div>
                  </w:divsChild>
                </w:div>
                <w:div w:id="1950432879">
                  <w:marLeft w:val="0"/>
                  <w:marRight w:val="0"/>
                  <w:marTop w:val="0"/>
                  <w:marBottom w:val="0"/>
                  <w:divBdr>
                    <w:top w:val="none" w:sz="0" w:space="0" w:color="auto"/>
                    <w:left w:val="none" w:sz="0" w:space="0" w:color="auto"/>
                    <w:bottom w:val="none" w:sz="0" w:space="0" w:color="auto"/>
                    <w:right w:val="none" w:sz="0" w:space="0" w:color="auto"/>
                  </w:divBdr>
                  <w:divsChild>
                    <w:div w:id="603152824">
                      <w:marLeft w:val="0"/>
                      <w:marRight w:val="0"/>
                      <w:marTop w:val="0"/>
                      <w:marBottom w:val="0"/>
                      <w:divBdr>
                        <w:top w:val="none" w:sz="0" w:space="0" w:color="auto"/>
                        <w:left w:val="none" w:sz="0" w:space="0" w:color="auto"/>
                        <w:bottom w:val="none" w:sz="0" w:space="0" w:color="auto"/>
                        <w:right w:val="none" w:sz="0" w:space="0" w:color="auto"/>
                      </w:divBdr>
                    </w:div>
                  </w:divsChild>
                </w:div>
                <w:div w:id="2070372775">
                  <w:marLeft w:val="0"/>
                  <w:marRight w:val="0"/>
                  <w:marTop w:val="0"/>
                  <w:marBottom w:val="0"/>
                  <w:divBdr>
                    <w:top w:val="none" w:sz="0" w:space="0" w:color="auto"/>
                    <w:left w:val="none" w:sz="0" w:space="0" w:color="auto"/>
                    <w:bottom w:val="none" w:sz="0" w:space="0" w:color="auto"/>
                    <w:right w:val="none" w:sz="0" w:space="0" w:color="auto"/>
                  </w:divBdr>
                  <w:divsChild>
                    <w:div w:id="1874926040">
                      <w:marLeft w:val="0"/>
                      <w:marRight w:val="0"/>
                      <w:marTop w:val="0"/>
                      <w:marBottom w:val="0"/>
                      <w:divBdr>
                        <w:top w:val="none" w:sz="0" w:space="0" w:color="auto"/>
                        <w:left w:val="none" w:sz="0" w:space="0" w:color="auto"/>
                        <w:bottom w:val="none" w:sz="0" w:space="0" w:color="auto"/>
                        <w:right w:val="none" w:sz="0" w:space="0" w:color="auto"/>
                      </w:divBdr>
                    </w:div>
                  </w:divsChild>
                </w:div>
                <w:div w:id="2106534985">
                  <w:marLeft w:val="0"/>
                  <w:marRight w:val="0"/>
                  <w:marTop w:val="0"/>
                  <w:marBottom w:val="0"/>
                  <w:divBdr>
                    <w:top w:val="none" w:sz="0" w:space="0" w:color="auto"/>
                    <w:left w:val="none" w:sz="0" w:space="0" w:color="auto"/>
                    <w:bottom w:val="none" w:sz="0" w:space="0" w:color="auto"/>
                    <w:right w:val="none" w:sz="0" w:space="0" w:color="auto"/>
                  </w:divBdr>
                  <w:divsChild>
                    <w:div w:id="1189104288">
                      <w:marLeft w:val="0"/>
                      <w:marRight w:val="0"/>
                      <w:marTop w:val="0"/>
                      <w:marBottom w:val="0"/>
                      <w:divBdr>
                        <w:top w:val="none" w:sz="0" w:space="0" w:color="auto"/>
                        <w:left w:val="none" w:sz="0" w:space="0" w:color="auto"/>
                        <w:bottom w:val="none" w:sz="0" w:space="0" w:color="auto"/>
                        <w:right w:val="none" w:sz="0" w:space="0" w:color="auto"/>
                      </w:divBdr>
                    </w:div>
                  </w:divsChild>
                </w:div>
                <w:div w:id="2124374233">
                  <w:marLeft w:val="0"/>
                  <w:marRight w:val="0"/>
                  <w:marTop w:val="0"/>
                  <w:marBottom w:val="0"/>
                  <w:divBdr>
                    <w:top w:val="none" w:sz="0" w:space="0" w:color="auto"/>
                    <w:left w:val="none" w:sz="0" w:space="0" w:color="auto"/>
                    <w:bottom w:val="none" w:sz="0" w:space="0" w:color="auto"/>
                    <w:right w:val="none" w:sz="0" w:space="0" w:color="auto"/>
                  </w:divBdr>
                  <w:divsChild>
                    <w:div w:id="242954894">
                      <w:marLeft w:val="0"/>
                      <w:marRight w:val="0"/>
                      <w:marTop w:val="0"/>
                      <w:marBottom w:val="0"/>
                      <w:divBdr>
                        <w:top w:val="none" w:sz="0" w:space="0" w:color="auto"/>
                        <w:left w:val="none" w:sz="0" w:space="0" w:color="auto"/>
                        <w:bottom w:val="none" w:sz="0" w:space="0" w:color="auto"/>
                        <w:right w:val="none" w:sz="0" w:space="0" w:color="auto"/>
                      </w:divBdr>
                    </w:div>
                    <w:div w:id="111313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558668">
          <w:marLeft w:val="0"/>
          <w:marRight w:val="0"/>
          <w:marTop w:val="0"/>
          <w:marBottom w:val="0"/>
          <w:divBdr>
            <w:top w:val="none" w:sz="0" w:space="0" w:color="auto"/>
            <w:left w:val="none" w:sz="0" w:space="0" w:color="auto"/>
            <w:bottom w:val="none" w:sz="0" w:space="0" w:color="auto"/>
            <w:right w:val="none" w:sz="0" w:space="0" w:color="auto"/>
          </w:divBdr>
          <w:divsChild>
            <w:div w:id="779648373">
              <w:marLeft w:val="-75"/>
              <w:marRight w:val="0"/>
              <w:marTop w:val="30"/>
              <w:marBottom w:val="30"/>
              <w:divBdr>
                <w:top w:val="none" w:sz="0" w:space="0" w:color="auto"/>
                <w:left w:val="none" w:sz="0" w:space="0" w:color="auto"/>
                <w:bottom w:val="none" w:sz="0" w:space="0" w:color="auto"/>
                <w:right w:val="none" w:sz="0" w:space="0" w:color="auto"/>
              </w:divBdr>
              <w:divsChild>
                <w:div w:id="42485136">
                  <w:marLeft w:val="0"/>
                  <w:marRight w:val="0"/>
                  <w:marTop w:val="0"/>
                  <w:marBottom w:val="0"/>
                  <w:divBdr>
                    <w:top w:val="none" w:sz="0" w:space="0" w:color="auto"/>
                    <w:left w:val="none" w:sz="0" w:space="0" w:color="auto"/>
                    <w:bottom w:val="none" w:sz="0" w:space="0" w:color="auto"/>
                    <w:right w:val="none" w:sz="0" w:space="0" w:color="auto"/>
                  </w:divBdr>
                  <w:divsChild>
                    <w:div w:id="1059010287">
                      <w:marLeft w:val="0"/>
                      <w:marRight w:val="0"/>
                      <w:marTop w:val="0"/>
                      <w:marBottom w:val="0"/>
                      <w:divBdr>
                        <w:top w:val="none" w:sz="0" w:space="0" w:color="auto"/>
                        <w:left w:val="none" w:sz="0" w:space="0" w:color="auto"/>
                        <w:bottom w:val="none" w:sz="0" w:space="0" w:color="auto"/>
                        <w:right w:val="none" w:sz="0" w:space="0" w:color="auto"/>
                      </w:divBdr>
                    </w:div>
                  </w:divsChild>
                </w:div>
                <w:div w:id="100610888">
                  <w:marLeft w:val="0"/>
                  <w:marRight w:val="0"/>
                  <w:marTop w:val="0"/>
                  <w:marBottom w:val="0"/>
                  <w:divBdr>
                    <w:top w:val="none" w:sz="0" w:space="0" w:color="auto"/>
                    <w:left w:val="none" w:sz="0" w:space="0" w:color="auto"/>
                    <w:bottom w:val="none" w:sz="0" w:space="0" w:color="auto"/>
                    <w:right w:val="none" w:sz="0" w:space="0" w:color="auto"/>
                  </w:divBdr>
                  <w:divsChild>
                    <w:div w:id="1114863114">
                      <w:marLeft w:val="0"/>
                      <w:marRight w:val="0"/>
                      <w:marTop w:val="0"/>
                      <w:marBottom w:val="0"/>
                      <w:divBdr>
                        <w:top w:val="none" w:sz="0" w:space="0" w:color="auto"/>
                        <w:left w:val="none" w:sz="0" w:space="0" w:color="auto"/>
                        <w:bottom w:val="none" w:sz="0" w:space="0" w:color="auto"/>
                        <w:right w:val="none" w:sz="0" w:space="0" w:color="auto"/>
                      </w:divBdr>
                    </w:div>
                  </w:divsChild>
                </w:div>
                <w:div w:id="283586834">
                  <w:marLeft w:val="0"/>
                  <w:marRight w:val="0"/>
                  <w:marTop w:val="0"/>
                  <w:marBottom w:val="0"/>
                  <w:divBdr>
                    <w:top w:val="none" w:sz="0" w:space="0" w:color="auto"/>
                    <w:left w:val="none" w:sz="0" w:space="0" w:color="auto"/>
                    <w:bottom w:val="none" w:sz="0" w:space="0" w:color="auto"/>
                    <w:right w:val="none" w:sz="0" w:space="0" w:color="auto"/>
                  </w:divBdr>
                  <w:divsChild>
                    <w:div w:id="610481103">
                      <w:marLeft w:val="0"/>
                      <w:marRight w:val="0"/>
                      <w:marTop w:val="0"/>
                      <w:marBottom w:val="0"/>
                      <w:divBdr>
                        <w:top w:val="none" w:sz="0" w:space="0" w:color="auto"/>
                        <w:left w:val="none" w:sz="0" w:space="0" w:color="auto"/>
                        <w:bottom w:val="none" w:sz="0" w:space="0" w:color="auto"/>
                        <w:right w:val="none" w:sz="0" w:space="0" w:color="auto"/>
                      </w:divBdr>
                    </w:div>
                  </w:divsChild>
                </w:div>
                <w:div w:id="326130822">
                  <w:marLeft w:val="0"/>
                  <w:marRight w:val="0"/>
                  <w:marTop w:val="0"/>
                  <w:marBottom w:val="0"/>
                  <w:divBdr>
                    <w:top w:val="none" w:sz="0" w:space="0" w:color="auto"/>
                    <w:left w:val="none" w:sz="0" w:space="0" w:color="auto"/>
                    <w:bottom w:val="none" w:sz="0" w:space="0" w:color="auto"/>
                    <w:right w:val="none" w:sz="0" w:space="0" w:color="auto"/>
                  </w:divBdr>
                  <w:divsChild>
                    <w:div w:id="1540052742">
                      <w:marLeft w:val="0"/>
                      <w:marRight w:val="0"/>
                      <w:marTop w:val="0"/>
                      <w:marBottom w:val="0"/>
                      <w:divBdr>
                        <w:top w:val="none" w:sz="0" w:space="0" w:color="auto"/>
                        <w:left w:val="none" w:sz="0" w:space="0" w:color="auto"/>
                        <w:bottom w:val="none" w:sz="0" w:space="0" w:color="auto"/>
                        <w:right w:val="none" w:sz="0" w:space="0" w:color="auto"/>
                      </w:divBdr>
                    </w:div>
                    <w:div w:id="1970621785">
                      <w:marLeft w:val="0"/>
                      <w:marRight w:val="0"/>
                      <w:marTop w:val="0"/>
                      <w:marBottom w:val="0"/>
                      <w:divBdr>
                        <w:top w:val="none" w:sz="0" w:space="0" w:color="auto"/>
                        <w:left w:val="none" w:sz="0" w:space="0" w:color="auto"/>
                        <w:bottom w:val="none" w:sz="0" w:space="0" w:color="auto"/>
                        <w:right w:val="none" w:sz="0" w:space="0" w:color="auto"/>
                      </w:divBdr>
                    </w:div>
                  </w:divsChild>
                </w:div>
                <w:div w:id="398670238">
                  <w:marLeft w:val="0"/>
                  <w:marRight w:val="0"/>
                  <w:marTop w:val="0"/>
                  <w:marBottom w:val="0"/>
                  <w:divBdr>
                    <w:top w:val="none" w:sz="0" w:space="0" w:color="auto"/>
                    <w:left w:val="none" w:sz="0" w:space="0" w:color="auto"/>
                    <w:bottom w:val="none" w:sz="0" w:space="0" w:color="auto"/>
                    <w:right w:val="none" w:sz="0" w:space="0" w:color="auto"/>
                  </w:divBdr>
                  <w:divsChild>
                    <w:div w:id="1583563211">
                      <w:marLeft w:val="0"/>
                      <w:marRight w:val="0"/>
                      <w:marTop w:val="0"/>
                      <w:marBottom w:val="0"/>
                      <w:divBdr>
                        <w:top w:val="none" w:sz="0" w:space="0" w:color="auto"/>
                        <w:left w:val="none" w:sz="0" w:space="0" w:color="auto"/>
                        <w:bottom w:val="none" w:sz="0" w:space="0" w:color="auto"/>
                        <w:right w:val="none" w:sz="0" w:space="0" w:color="auto"/>
                      </w:divBdr>
                    </w:div>
                  </w:divsChild>
                </w:div>
                <w:div w:id="419180023">
                  <w:marLeft w:val="0"/>
                  <w:marRight w:val="0"/>
                  <w:marTop w:val="0"/>
                  <w:marBottom w:val="0"/>
                  <w:divBdr>
                    <w:top w:val="none" w:sz="0" w:space="0" w:color="auto"/>
                    <w:left w:val="none" w:sz="0" w:space="0" w:color="auto"/>
                    <w:bottom w:val="none" w:sz="0" w:space="0" w:color="auto"/>
                    <w:right w:val="none" w:sz="0" w:space="0" w:color="auto"/>
                  </w:divBdr>
                  <w:divsChild>
                    <w:div w:id="1757901776">
                      <w:marLeft w:val="0"/>
                      <w:marRight w:val="0"/>
                      <w:marTop w:val="0"/>
                      <w:marBottom w:val="0"/>
                      <w:divBdr>
                        <w:top w:val="none" w:sz="0" w:space="0" w:color="auto"/>
                        <w:left w:val="none" w:sz="0" w:space="0" w:color="auto"/>
                        <w:bottom w:val="none" w:sz="0" w:space="0" w:color="auto"/>
                        <w:right w:val="none" w:sz="0" w:space="0" w:color="auto"/>
                      </w:divBdr>
                    </w:div>
                  </w:divsChild>
                </w:div>
                <w:div w:id="521744979">
                  <w:marLeft w:val="0"/>
                  <w:marRight w:val="0"/>
                  <w:marTop w:val="0"/>
                  <w:marBottom w:val="0"/>
                  <w:divBdr>
                    <w:top w:val="none" w:sz="0" w:space="0" w:color="auto"/>
                    <w:left w:val="none" w:sz="0" w:space="0" w:color="auto"/>
                    <w:bottom w:val="none" w:sz="0" w:space="0" w:color="auto"/>
                    <w:right w:val="none" w:sz="0" w:space="0" w:color="auto"/>
                  </w:divBdr>
                  <w:divsChild>
                    <w:div w:id="1064840766">
                      <w:marLeft w:val="0"/>
                      <w:marRight w:val="0"/>
                      <w:marTop w:val="0"/>
                      <w:marBottom w:val="0"/>
                      <w:divBdr>
                        <w:top w:val="none" w:sz="0" w:space="0" w:color="auto"/>
                        <w:left w:val="none" w:sz="0" w:space="0" w:color="auto"/>
                        <w:bottom w:val="none" w:sz="0" w:space="0" w:color="auto"/>
                        <w:right w:val="none" w:sz="0" w:space="0" w:color="auto"/>
                      </w:divBdr>
                    </w:div>
                  </w:divsChild>
                </w:div>
                <w:div w:id="654914625">
                  <w:marLeft w:val="0"/>
                  <w:marRight w:val="0"/>
                  <w:marTop w:val="0"/>
                  <w:marBottom w:val="0"/>
                  <w:divBdr>
                    <w:top w:val="none" w:sz="0" w:space="0" w:color="auto"/>
                    <w:left w:val="none" w:sz="0" w:space="0" w:color="auto"/>
                    <w:bottom w:val="none" w:sz="0" w:space="0" w:color="auto"/>
                    <w:right w:val="none" w:sz="0" w:space="0" w:color="auto"/>
                  </w:divBdr>
                  <w:divsChild>
                    <w:div w:id="613295177">
                      <w:marLeft w:val="0"/>
                      <w:marRight w:val="0"/>
                      <w:marTop w:val="0"/>
                      <w:marBottom w:val="0"/>
                      <w:divBdr>
                        <w:top w:val="none" w:sz="0" w:space="0" w:color="auto"/>
                        <w:left w:val="none" w:sz="0" w:space="0" w:color="auto"/>
                        <w:bottom w:val="none" w:sz="0" w:space="0" w:color="auto"/>
                        <w:right w:val="none" w:sz="0" w:space="0" w:color="auto"/>
                      </w:divBdr>
                    </w:div>
                  </w:divsChild>
                </w:div>
                <w:div w:id="780688723">
                  <w:marLeft w:val="0"/>
                  <w:marRight w:val="0"/>
                  <w:marTop w:val="0"/>
                  <w:marBottom w:val="0"/>
                  <w:divBdr>
                    <w:top w:val="none" w:sz="0" w:space="0" w:color="auto"/>
                    <w:left w:val="none" w:sz="0" w:space="0" w:color="auto"/>
                    <w:bottom w:val="none" w:sz="0" w:space="0" w:color="auto"/>
                    <w:right w:val="none" w:sz="0" w:space="0" w:color="auto"/>
                  </w:divBdr>
                  <w:divsChild>
                    <w:div w:id="873688303">
                      <w:marLeft w:val="0"/>
                      <w:marRight w:val="0"/>
                      <w:marTop w:val="0"/>
                      <w:marBottom w:val="0"/>
                      <w:divBdr>
                        <w:top w:val="none" w:sz="0" w:space="0" w:color="auto"/>
                        <w:left w:val="none" w:sz="0" w:space="0" w:color="auto"/>
                        <w:bottom w:val="none" w:sz="0" w:space="0" w:color="auto"/>
                        <w:right w:val="none" w:sz="0" w:space="0" w:color="auto"/>
                      </w:divBdr>
                    </w:div>
                  </w:divsChild>
                </w:div>
                <w:div w:id="803544126">
                  <w:marLeft w:val="0"/>
                  <w:marRight w:val="0"/>
                  <w:marTop w:val="0"/>
                  <w:marBottom w:val="0"/>
                  <w:divBdr>
                    <w:top w:val="none" w:sz="0" w:space="0" w:color="auto"/>
                    <w:left w:val="none" w:sz="0" w:space="0" w:color="auto"/>
                    <w:bottom w:val="none" w:sz="0" w:space="0" w:color="auto"/>
                    <w:right w:val="none" w:sz="0" w:space="0" w:color="auto"/>
                  </w:divBdr>
                  <w:divsChild>
                    <w:div w:id="1895696482">
                      <w:marLeft w:val="0"/>
                      <w:marRight w:val="0"/>
                      <w:marTop w:val="0"/>
                      <w:marBottom w:val="0"/>
                      <w:divBdr>
                        <w:top w:val="none" w:sz="0" w:space="0" w:color="auto"/>
                        <w:left w:val="none" w:sz="0" w:space="0" w:color="auto"/>
                        <w:bottom w:val="none" w:sz="0" w:space="0" w:color="auto"/>
                        <w:right w:val="none" w:sz="0" w:space="0" w:color="auto"/>
                      </w:divBdr>
                    </w:div>
                  </w:divsChild>
                </w:div>
                <w:div w:id="844515503">
                  <w:marLeft w:val="0"/>
                  <w:marRight w:val="0"/>
                  <w:marTop w:val="0"/>
                  <w:marBottom w:val="0"/>
                  <w:divBdr>
                    <w:top w:val="none" w:sz="0" w:space="0" w:color="auto"/>
                    <w:left w:val="none" w:sz="0" w:space="0" w:color="auto"/>
                    <w:bottom w:val="none" w:sz="0" w:space="0" w:color="auto"/>
                    <w:right w:val="none" w:sz="0" w:space="0" w:color="auto"/>
                  </w:divBdr>
                  <w:divsChild>
                    <w:div w:id="1014381533">
                      <w:marLeft w:val="0"/>
                      <w:marRight w:val="0"/>
                      <w:marTop w:val="0"/>
                      <w:marBottom w:val="0"/>
                      <w:divBdr>
                        <w:top w:val="none" w:sz="0" w:space="0" w:color="auto"/>
                        <w:left w:val="none" w:sz="0" w:space="0" w:color="auto"/>
                        <w:bottom w:val="none" w:sz="0" w:space="0" w:color="auto"/>
                        <w:right w:val="none" w:sz="0" w:space="0" w:color="auto"/>
                      </w:divBdr>
                    </w:div>
                  </w:divsChild>
                </w:div>
                <w:div w:id="905720439">
                  <w:marLeft w:val="0"/>
                  <w:marRight w:val="0"/>
                  <w:marTop w:val="0"/>
                  <w:marBottom w:val="0"/>
                  <w:divBdr>
                    <w:top w:val="none" w:sz="0" w:space="0" w:color="auto"/>
                    <w:left w:val="none" w:sz="0" w:space="0" w:color="auto"/>
                    <w:bottom w:val="none" w:sz="0" w:space="0" w:color="auto"/>
                    <w:right w:val="none" w:sz="0" w:space="0" w:color="auto"/>
                  </w:divBdr>
                  <w:divsChild>
                    <w:div w:id="110127533">
                      <w:marLeft w:val="0"/>
                      <w:marRight w:val="0"/>
                      <w:marTop w:val="0"/>
                      <w:marBottom w:val="0"/>
                      <w:divBdr>
                        <w:top w:val="none" w:sz="0" w:space="0" w:color="auto"/>
                        <w:left w:val="none" w:sz="0" w:space="0" w:color="auto"/>
                        <w:bottom w:val="none" w:sz="0" w:space="0" w:color="auto"/>
                        <w:right w:val="none" w:sz="0" w:space="0" w:color="auto"/>
                      </w:divBdr>
                    </w:div>
                  </w:divsChild>
                </w:div>
                <w:div w:id="975600356">
                  <w:marLeft w:val="0"/>
                  <w:marRight w:val="0"/>
                  <w:marTop w:val="0"/>
                  <w:marBottom w:val="0"/>
                  <w:divBdr>
                    <w:top w:val="none" w:sz="0" w:space="0" w:color="auto"/>
                    <w:left w:val="none" w:sz="0" w:space="0" w:color="auto"/>
                    <w:bottom w:val="none" w:sz="0" w:space="0" w:color="auto"/>
                    <w:right w:val="none" w:sz="0" w:space="0" w:color="auto"/>
                  </w:divBdr>
                  <w:divsChild>
                    <w:div w:id="622199930">
                      <w:marLeft w:val="0"/>
                      <w:marRight w:val="0"/>
                      <w:marTop w:val="0"/>
                      <w:marBottom w:val="0"/>
                      <w:divBdr>
                        <w:top w:val="none" w:sz="0" w:space="0" w:color="auto"/>
                        <w:left w:val="none" w:sz="0" w:space="0" w:color="auto"/>
                        <w:bottom w:val="none" w:sz="0" w:space="0" w:color="auto"/>
                        <w:right w:val="none" w:sz="0" w:space="0" w:color="auto"/>
                      </w:divBdr>
                    </w:div>
                  </w:divsChild>
                </w:div>
                <w:div w:id="995035113">
                  <w:marLeft w:val="0"/>
                  <w:marRight w:val="0"/>
                  <w:marTop w:val="0"/>
                  <w:marBottom w:val="0"/>
                  <w:divBdr>
                    <w:top w:val="none" w:sz="0" w:space="0" w:color="auto"/>
                    <w:left w:val="none" w:sz="0" w:space="0" w:color="auto"/>
                    <w:bottom w:val="none" w:sz="0" w:space="0" w:color="auto"/>
                    <w:right w:val="none" w:sz="0" w:space="0" w:color="auto"/>
                  </w:divBdr>
                  <w:divsChild>
                    <w:div w:id="1126504658">
                      <w:marLeft w:val="0"/>
                      <w:marRight w:val="0"/>
                      <w:marTop w:val="0"/>
                      <w:marBottom w:val="0"/>
                      <w:divBdr>
                        <w:top w:val="none" w:sz="0" w:space="0" w:color="auto"/>
                        <w:left w:val="none" w:sz="0" w:space="0" w:color="auto"/>
                        <w:bottom w:val="none" w:sz="0" w:space="0" w:color="auto"/>
                        <w:right w:val="none" w:sz="0" w:space="0" w:color="auto"/>
                      </w:divBdr>
                    </w:div>
                  </w:divsChild>
                </w:div>
                <w:div w:id="1013729577">
                  <w:marLeft w:val="0"/>
                  <w:marRight w:val="0"/>
                  <w:marTop w:val="0"/>
                  <w:marBottom w:val="0"/>
                  <w:divBdr>
                    <w:top w:val="none" w:sz="0" w:space="0" w:color="auto"/>
                    <w:left w:val="none" w:sz="0" w:space="0" w:color="auto"/>
                    <w:bottom w:val="none" w:sz="0" w:space="0" w:color="auto"/>
                    <w:right w:val="none" w:sz="0" w:space="0" w:color="auto"/>
                  </w:divBdr>
                  <w:divsChild>
                    <w:div w:id="179320684">
                      <w:marLeft w:val="0"/>
                      <w:marRight w:val="0"/>
                      <w:marTop w:val="0"/>
                      <w:marBottom w:val="0"/>
                      <w:divBdr>
                        <w:top w:val="none" w:sz="0" w:space="0" w:color="auto"/>
                        <w:left w:val="none" w:sz="0" w:space="0" w:color="auto"/>
                        <w:bottom w:val="none" w:sz="0" w:space="0" w:color="auto"/>
                        <w:right w:val="none" w:sz="0" w:space="0" w:color="auto"/>
                      </w:divBdr>
                    </w:div>
                  </w:divsChild>
                </w:div>
                <w:div w:id="1132019933">
                  <w:marLeft w:val="0"/>
                  <w:marRight w:val="0"/>
                  <w:marTop w:val="0"/>
                  <w:marBottom w:val="0"/>
                  <w:divBdr>
                    <w:top w:val="none" w:sz="0" w:space="0" w:color="auto"/>
                    <w:left w:val="none" w:sz="0" w:space="0" w:color="auto"/>
                    <w:bottom w:val="none" w:sz="0" w:space="0" w:color="auto"/>
                    <w:right w:val="none" w:sz="0" w:space="0" w:color="auto"/>
                  </w:divBdr>
                  <w:divsChild>
                    <w:div w:id="343674526">
                      <w:marLeft w:val="0"/>
                      <w:marRight w:val="0"/>
                      <w:marTop w:val="0"/>
                      <w:marBottom w:val="0"/>
                      <w:divBdr>
                        <w:top w:val="none" w:sz="0" w:space="0" w:color="auto"/>
                        <w:left w:val="none" w:sz="0" w:space="0" w:color="auto"/>
                        <w:bottom w:val="none" w:sz="0" w:space="0" w:color="auto"/>
                        <w:right w:val="none" w:sz="0" w:space="0" w:color="auto"/>
                      </w:divBdr>
                    </w:div>
                  </w:divsChild>
                </w:div>
                <w:div w:id="1239168004">
                  <w:marLeft w:val="0"/>
                  <w:marRight w:val="0"/>
                  <w:marTop w:val="0"/>
                  <w:marBottom w:val="0"/>
                  <w:divBdr>
                    <w:top w:val="none" w:sz="0" w:space="0" w:color="auto"/>
                    <w:left w:val="none" w:sz="0" w:space="0" w:color="auto"/>
                    <w:bottom w:val="none" w:sz="0" w:space="0" w:color="auto"/>
                    <w:right w:val="none" w:sz="0" w:space="0" w:color="auto"/>
                  </w:divBdr>
                  <w:divsChild>
                    <w:div w:id="495535199">
                      <w:marLeft w:val="0"/>
                      <w:marRight w:val="0"/>
                      <w:marTop w:val="0"/>
                      <w:marBottom w:val="0"/>
                      <w:divBdr>
                        <w:top w:val="none" w:sz="0" w:space="0" w:color="auto"/>
                        <w:left w:val="none" w:sz="0" w:space="0" w:color="auto"/>
                        <w:bottom w:val="none" w:sz="0" w:space="0" w:color="auto"/>
                        <w:right w:val="none" w:sz="0" w:space="0" w:color="auto"/>
                      </w:divBdr>
                    </w:div>
                    <w:div w:id="2111049738">
                      <w:marLeft w:val="0"/>
                      <w:marRight w:val="0"/>
                      <w:marTop w:val="0"/>
                      <w:marBottom w:val="0"/>
                      <w:divBdr>
                        <w:top w:val="none" w:sz="0" w:space="0" w:color="auto"/>
                        <w:left w:val="none" w:sz="0" w:space="0" w:color="auto"/>
                        <w:bottom w:val="none" w:sz="0" w:space="0" w:color="auto"/>
                        <w:right w:val="none" w:sz="0" w:space="0" w:color="auto"/>
                      </w:divBdr>
                    </w:div>
                  </w:divsChild>
                </w:div>
                <w:div w:id="1247035016">
                  <w:marLeft w:val="0"/>
                  <w:marRight w:val="0"/>
                  <w:marTop w:val="0"/>
                  <w:marBottom w:val="0"/>
                  <w:divBdr>
                    <w:top w:val="none" w:sz="0" w:space="0" w:color="auto"/>
                    <w:left w:val="none" w:sz="0" w:space="0" w:color="auto"/>
                    <w:bottom w:val="none" w:sz="0" w:space="0" w:color="auto"/>
                    <w:right w:val="none" w:sz="0" w:space="0" w:color="auto"/>
                  </w:divBdr>
                  <w:divsChild>
                    <w:div w:id="2048069111">
                      <w:marLeft w:val="0"/>
                      <w:marRight w:val="0"/>
                      <w:marTop w:val="0"/>
                      <w:marBottom w:val="0"/>
                      <w:divBdr>
                        <w:top w:val="none" w:sz="0" w:space="0" w:color="auto"/>
                        <w:left w:val="none" w:sz="0" w:space="0" w:color="auto"/>
                        <w:bottom w:val="none" w:sz="0" w:space="0" w:color="auto"/>
                        <w:right w:val="none" w:sz="0" w:space="0" w:color="auto"/>
                      </w:divBdr>
                    </w:div>
                  </w:divsChild>
                </w:div>
                <w:div w:id="1275481847">
                  <w:marLeft w:val="0"/>
                  <w:marRight w:val="0"/>
                  <w:marTop w:val="0"/>
                  <w:marBottom w:val="0"/>
                  <w:divBdr>
                    <w:top w:val="none" w:sz="0" w:space="0" w:color="auto"/>
                    <w:left w:val="none" w:sz="0" w:space="0" w:color="auto"/>
                    <w:bottom w:val="none" w:sz="0" w:space="0" w:color="auto"/>
                    <w:right w:val="none" w:sz="0" w:space="0" w:color="auto"/>
                  </w:divBdr>
                  <w:divsChild>
                    <w:div w:id="1562791376">
                      <w:marLeft w:val="0"/>
                      <w:marRight w:val="0"/>
                      <w:marTop w:val="0"/>
                      <w:marBottom w:val="0"/>
                      <w:divBdr>
                        <w:top w:val="none" w:sz="0" w:space="0" w:color="auto"/>
                        <w:left w:val="none" w:sz="0" w:space="0" w:color="auto"/>
                        <w:bottom w:val="none" w:sz="0" w:space="0" w:color="auto"/>
                        <w:right w:val="none" w:sz="0" w:space="0" w:color="auto"/>
                      </w:divBdr>
                    </w:div>
                  </w:divsChild>
                </w:div>
                <w:div w:id="1301810498">
                  <w:marLeft w:val="0"/>
                  <w:marRight w:val="0"/>
                  <w:marTop w:val="0"/>
                  <w:marBottom w:val="0"/>
                  <w:divBdr>
                    <w:top w:val="none" w:sz="0" w:space="0" w:color="auto"/>
                    <w:left w:val="none" w:sz="0" w:space="0" w:color="auto"/>
                    <w:bottom w:val="none" w:sz="0" w:space="0" w:color="auto"/>
                    <w:right w:val="none" w:sz="0" w:space="0" w:color="auto"/>
                  </w:divBdr>
                  <w:divsChild>
                    <w:div w:id="120849170">
                      <w:marLeft w:val="0"/>
                      <w:marRight w:val="0"/>
                      <w:marTop w:val="0"/>
                      <w:marBottom w:val="0"/>
                      <w:divBdr>
                        <w:top w:val="none" w:sz="0" w:space="0" w:color="auto"/>
                        <w:left w:val="none" w:sz="0" w:space="0" w:color="auto"/>
                        <w:bottom w:val="none" w:sz="0" w:space="0" w:color="auto"/>
                        <w:right w:val="none" w:sz="0" w:space="0" w:color="auto"/>
                      </w:divBdr>
                    </w:div>
                  </w:divsChild>
                </w:div>
                <w:div w:id="1439789441">
                  <w:marLeft w:val="0"/>
                  <w:marRight w:val="0"/>
                  <w:marTop w:val="0"/>
                  <w:marBottom w:val="0"/>
                  <w:divBdr>
                    <w:top w:val="none" w:sz="0" w:space="0" w:color="auto"/>
                    <w:left w:val="none" w:sz="0" w:space="0" w:color="auto"/>
                    <w:bottom w:val="none" w:sz="0" w:space="0" w:color="auto"/>
                    <w:right w:val="none" w:sz="0" w:space="0" w:color="auto"/>
                  </w:divBdr>
                  <w:divsChild>
                    <w:div w:id="93022010">
                      <w:marLeft w:val="0"/>
                      <w:marRight w:val="0"/>
                      <w:marTop w:val="0"/>
                      <w:marBottom w:val="0"/>
                      <w:divBdr>
                        <w:top w:val="none" w:sz="0" w:space="0" w:color="auto"/>
                        <w:left w:val="none" w:sz="0" w:space="0" w:color="auto"/>
                        <w:bottom w:val="none" w:sz="0" w:space="0" w:color="auto"/>
                        <w:right w:val="none" w:sz="0" w:space="0" w:color="auto"/>
                      </w:divBdr>
                    </w:div>
                  </w:divsChild>
                </w:div>
                <w:div w:id="1557547911">
                  <w:marLeft w:val="0"/>
                  <w:marRight w:val="0"/>
                  <w:marTop w:val="0"/>
                  <w:marBottom w:val="0"/>
                  <w:divBdr>
                    <w:top w:val="none" w:sz="0" w:space="0" w:color="auto"/>
                    <w:left w:val="none" w:sz="0" w:space="0" w:color="auto"/>
                    <w:bottom w:val="none" w:sz="0" w:space="0" w:color="auto"/>
                    <w:right w:val="none" w:sz="0" w:space="0" w:color="auto"/>
                  </w:divBdr>
                  <w:divsChild>
                    <w:div w:id="1525289557">
                      <w:marLeft w:val="0"/>
                      <w:marRight w:val="0"/>
                      <w:marTop w:val="0"/>
                      <w:marBottom w:val="0"/>
                      <w:divBdr>
                        <w:top w:val="none" w:sz="0" w:space="0" w:color="auto"/>
                        <w:left w:val="none" w:sz="0" w:space="0" w:color="auto"/>
                        <w:bottom w:val="none" w:sz="0" w:space="0" w:color="auto"/>
                        <w:right w:val="none" w:sz="0" w:space="0" w:color="auto"/>
                      </w:divBdr>
                    </w:div>
                  </w:divsChild>
                </w:div>
                <w:div w:id="1574465938">
                  <w:marLeft w:val="0"/>
                  <w:marRight w:val="0"/>
                  <w:marTop w:val="0"/>
                  <w:marBottom w:val="0"/>
                  <w:divBdr>
                    <w:top w:val="none" w:sz="0" w:space="0" w:color="auto"/>
                    <w:left w:val="none" w:sz="0" w:space="0" w:color="auto"/>
                    <w:bottom w:val="none" w:sz="0" w:space="0" w:color="auto"/>
                    <w:right w:val="none" w:sz="0" w:space="0" w:color="auto"/>
                  </w:divBdr>
                  <w:divsChild>
                    <w:div w:id="2082942007">
                      <w:marLeft w:val="0"/>
                      <w:marRight w:val="0"/>
                      <w:marTop w:val="0"/>
                      <w:marBottom w:val="0"/>
                      <w:divBdr>
                        <w:top w:val="none" w:sz="0" w:space="0" w:color="auto"/>
                        <w:left w:val="none" w:sz="0" w:space="0" w:color="auto"/>
                        <w:bottom w:val="none" w:sz="0" w:space="0" w:color="auto"/>
                        <w:right w:val="none" w:sz="0" w:space="0" w:color="auto"/>
                      </w:divBdr>
                    </w:div>
                  </w:divsChild>
                </w:div>
                <w:div w:id="1611278843">
                  <w:marLeft w:val="0"/>
                  <w:marRight w:val="0"/>
                  <w:marTop w:val="0"/>
                  <w:marBottom w:val="0"/>
                  <w:divBdr>
                    <w:top w:val="none" w:sz="0" w:space="0" w:color="auto"/>
                    <w:left w:val="none" w:sz="0" w:space="0" w:color="auto"/>
                    <w:bottom w:val="none" w:sz="0" w:space="0" w:color="auto"/>
                    <w:right w:val="none" w:sz="0" w:space="0" w:color="auto"/>
                  </w:divBdr>
                  <w:divsChild>
                    <w:div w:id="88543642">
                      <w:marLeft w:val="0"/>
                      <w:marRight w:val="0"/>
                      <w:marTop w:val="0"/>
                      <w:marBottom w:val="0"/>
                      <w:divBdr>
                        <w:top w:val="none" w:sz="0" w:space="0" w:color="auto"/>
                        <w:left w:val="none" w:sz="0" w:space="0" w:color="auto"/>
                        <w:bottom w:val="none" w:sz="0" w:space="0" w:color="auto"/>
                        <w:right w:val="none" w:sz="0" w:space="0" w:color="auto"/>
                      </w:divBdr>
                    </w:div>
                  </w:divsChild>
                </w:div>
                <w:div w:id="1683236690">
                  <w:marLeft w:val="0"/>
                  <w:marRight w:val="0"/>
                  <w:marTop w:val="0"/>
                  <w:marBottom w:val="0"/>
                  <w:divBdr>
                    <w:top w:val="none" w:sz="0" w:space="0" w:color="auto"/>
                    <w:left w:val="none" w:sz="0" w:space="0" w:color="auto"/>
                    <w:bottom w:val="none" w:sz="0" w:space="0" w:color="auto"/>
                    <w:right w:val="none" w:sz="0" w:space="0" w:color="auto"/>
                  </w:divBdr>
                  <w:divsChild>
                    <w:div w:id="93983621">
                      <w:marLeft w:val="0"/>
                      <w:marRight w:val="0"/>
                      <w:marTop w:val="0"/>
                      <w:marBottom w:val="0"/>
                      <w:divBdr>
                        <w:top w:val="none" w:sz="0" w:space="0" w:color="auto"/>
                        <w:left w:val="none" w:sz="0" w:space="0" w:color="auto"/>
                        <w:bottom w:val="none" w:sz="0" w:space="0" w:color="auto"/>
                        <w:right w:val="none" w:sz="0" w:space="0" w:color="auto"/>
                      </w:divBdr>
                    </w:div>
                  </w:divsChild>
                </w:div>
                <w:div w:id="1685325273">
                  <w:marLeft w:val="0"/>
                  <w:marRight w:val="0"/>
                  <w:marTop w:val="0"/>
                  <w:marBottom w:val="0"/>
                  <w:divBdr>
                    <w:top w:val="none" w:sz="0" w:space="0" w:color="auto"/>
                    <w:left w:val="none" w:sz="0" w:space="0" w:color="auto"/>
                    <w:bottom w:val="none" w:sz="0" w:space="0" w:color="auto"/>
                    <w:right w:val="none" w:sz="0" w:space="0" w:color="auto"/>
                  </w:divBdr>
                  <w:divsChild>
                    <w:div w:id="733888843">
                      <w:marLeft w:val="0"/>
                      <w:marRight w:val="0"/>
                      <w:marTop w:val="0"/>
                      <w:marBottom w:val="0"/>
                      <w:divBdr>
                        <w:top w:val="none" w:sz="0" w:space="0" w:color="auto"/>
                        <w:left w:val="none" w:sz="0" w:space="0" w:color="auto"/>
                        <w:bottom w:val="none" w:sz="0" w:space="0" w:color="auto"/>
                        <w:right w:val="none" w:sz="0" w:space="0" w:color="auto"/>
                      </w:divBdr>
                    </w:div>
                  </w:divsChild>
                </w:div>
                <w:div w:id="1722362758">
                  <w:marLeft w:val="0"/>
                  <w:marRight w:val="0"/>
                  <w:marTop w:val="0"/>
                  <w:marBottom w:val="0"/>
                  <w:divBdr>
                    <w:top w:val="none" w:sz="0" w:space="0" w:color="auto"/>
                    <w:left w:val="none" w:sz="0" w:space="0" w:color="auto"/>
                    <w:bottom w:val="none" w:sz="0" w:space="0" w:color="auto"/>
                    <w:right w:val="none" w:sz="0" w:space="0" w:color="auto"/>
                  </w:divBdr>
                  <w:divsChild>
                    <w:div w:id="1308709786">
                      <w:marLeft w:val="0"/>
                      <w:marRight w:val="0"/>
                      <w:marTop w:val="0"/>
                      <w:marBottom w:val="0"/>
                      <w:divBdr>
                        <w:top w:val="none" w:sz="0" w:space="0" w:color="auto"/>
                        <w:left w:val="none" w:sz="0" w:space="0" w:color="auto"/>
                        <w:bottom w:val="none" w:sz="0" w:space="0" w:color="auto"/>
                        <w:right w:val="none" w:sz="0" w:space="0" w:color="auto"/>
                      </w:divBdr>
                    </w:div>
                  </w:divsChild>
                </w:div>
                <w:div w:id="2001301257">
                  <w:marLeft w:val="0"/>
                  <w:marRight w:val="0"/>
                  <w:marTop w:val="0"/>
                  <w:marBottom w:val="0"/>
                  <w:divBdr>
                    <w:top w:val="none" w:sz="0" w:space="0" w:color="auto"/>
                    <w:left w:val="none" w:sz="0" w:space="0" w:color="auto"/>
                    <w:bottom w:val="none" w:sz="0" w:space="0" w:color="auto"/>
                    <w:right w:val="none" w:sz="0" w:space="0" w:color="auto"/>
                  </w:divBdr>
                  <w:divsChild>
                    <w:div w:id="816144694">
                      <w:marLeft w:val="0"/>
                      <w:marRight w:val="0"/>
                      <w:marTop w:val="0"/>
                      <w:marBottom w:val="0"/>
                      <w:divBdr>
                        <w:top w:val="none" w:sz="0" w:space="0" w:color="auto"/>
                        <w:left w:val="none" w:sz="0" w:space="0" w:color="auto"/>
                        <w:bottom w:val="none" w:sz="0" w:space="0" w:color="auto"/>
                        <w:right w:val="none" w:sz="0" w:space="0" w:color="auto"/>
                      </w:divBdr>
                    </w:div>
                    <w:div w:id="890579181">
                      <w:marLeft w:val="0"/>
                      <w:marRight w:val="0"/>
                      <w:marTop w:val="0"/>
                      <w:marBottom w:val="0"/>
                      <w:divBdr>
                        <w:top w:val="none" w:sz="0" w:space="0" w:color="auto"/>
                        <w:left w:val="none" w:sz="0" w:space="0" w:color="auto"/>
                        <w:bottom w:val="none" w:sz="0" w:space="0" w:color="auto"/>
                        <w:right w:val="none" w:sz="0" w:space="0" w:color="auto"/>
                      </w:divBdr>
                    </w:div>
                  </w:divsChild>
                </w:div>
                <w:div w:id="2061707281">
                  <w:marLeft w:val="0"/>
                  <w:marRight w:val="0"/>
                  <w:marTop w:val="0"/>
                  <w:marBottom w:val="0"/>
                  <w:divBdr>
                    <w:top w:val="none" w:sz="0" w:space="0" w:color="auto"/>
                    <w:left w:val="none" w:sz="0" w:space="0" w:color="auto"/>
                    <w:bottom w:val="none" w:sz="0" w:space="0" w:color="auto"/>
                    <w:right w:val="none" w:sz="0" w:space="0" w:color="auto"/>
                  </w:divBdr>
                  <w:divsChild>
                    <w:div w:id="2134783633">
                      <w:marLeft w:val="0"/>
                      <w:marRight w:val="0"/>
                      <w:marTop w:val="0"/>
                      <w:marBottom w:val="0"/>
                      <w:divBdr>
                        <w:top w:val="none" w:sz="0" w:space="0" w:color="auto"/>
                        <w:left w:val="none" w:sz="0" w:space="0" w:color="auto"/>
                        <w:bottom w:val="none" w:sz="0" w:space="0" w:color="auto"/>
                        <w:right w:val="none" w:sz="0" w:space="0" w:color="auto"/>
                      </w:divBdr>
                    </w:div>
                  </w:divsChild>
                </w:div>
                <w:div w:id="2069450352">
                  <w:marLeft w:val="0"/>
                  <w:marRight w:val="0"/>
                  <w:marTop w:val="0"/>
                  <w:marBottom w:val="0"/>
                  <w:divBdr>
                    <w:top w:val="none" w:sz="0" w:space="0" w:color="auto"/>
                    <w:left w:val="none" w:sz="0" w:space="0" w:color="auto"/>
                    <w:bottom w:val="none" w:sz="0" w:space="0" w:color="auto"/>
                    <w:right w:val="none" w:sz="0" w:space="0" w:color="auto"/>
                  </w:divBdr>
                  <w:divsChild>
                    <w:div w:id="2030981499">
                      <w:marLeft w:val="0"/>
                      <w:marRight w:val="0"/>
                      <w:marTop w:val="0"/>
                      <w:marBottom w:val="0"/>
                      <w:divBdr>
                        <w:top w:val="none" w:sz="0" w:space="0" w:color="auto"/>
                        <w:left w:val="none" w:sz="0" w:space="0" w:color="auto"/>
                        <w:bottom w:val="none" w:sz="0" w:space="0" w:color="auto"/>
                        <w:right w:val="none" w:sz="0" w:space="0" w:color="auto"/>
                      </w:divBdr>
                    </w:div>
                  </w:divsChild>
                </w:div>
                <w:div w:id="2081752436">
                  <w:marLeft w:val="0"/>
                  <w:marRight w:val="0"/>
                  <w:marTop w:val="0"/>
                  <w:marBottom w:val="0"/>
                  <w:divBdr>
                    <w:top w:val="none" w:sz="0" w:space="0" w:color="auto"/>
                    <w:left w:val="none" w:sz="0" w:space="0" w:color="auto"/>
                    <w:bottom w:val="none" w:sz="0" w:space="0" w:color="auto"/>
                    <w:right w:val="none" w:sz="0" w:space="0" w:color="auto"/>
                  </w:divBdr>
                  <w:divsChild>
                    <w:div w:id="64423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631458">
          <w:marLeft w:val="0"/>
          <w:marRight w:val="0"/>
          <w:marTop w:val="0"/>
          <w:marBottom w:val="0"/>
          <w:divBdr>
            <w:top w:val="none" w:sz="0" w:space="0" w:color="auto"/>
            <w:left w:val="none" w:sz="0" w:space="0" w:color="auto"/>
            <w:bottom w:val="none" w:sz="0" w:space="0" w:color="auto"/>
            <w:right w:val="none" w:sz="0" w:space="0" w:color="auto"/>
          </w:divBdr>
        </w:div>
        <w:div w:id="580912027">
          <w:marLeft w:val="0"/>
          <w:marRight w:val="0"/>
          <w:marTop w:val="0"/>
          <w:marBottom w:val="0"/>
          <w:divBdr>
            <w:top w:val="none" w:sz="0" w:space="0" w:color="auto"/>
            <w:left w:val="none" w:sz="0" w:space="0" w:color="auto"/>
            <w:bottom w:val="none" w:sz="0" w:space="0" w:color="auto"/>
            <w:right w:val="none" w:sz="0" w:space="0" w:color="auto"/>
          </w:divBdr>
        </w:div>
        <w:div w:id="890531332">
          <w:marLeft w:val="0"/>
          <w:marRight w:val="0"/>
          <w:marTop w:val="0"/>
          <w:marBottom w:val="0"/>
          <w:divBdr>
            <w:top w:val="none" w:sz="0" w:space="0" w:color="auto"/>
            <w:left w:val="none" w:sz="0" w:space="0" w:color="auto"/>
            <w:bottom w:val="none" w:sz="0" w:space="0" w:color="auto"/>
            <w:right w:val="none" w:sz="0" w:space="0" w:color="auto"/>
          </w:divBdr>
        </w:div>
        <w:div w:id="1499273572">
          <w:marLeft w:val="0"/>
          <w:marRight w:val="0"/>
          <w:marTop w:val="0"/>
          <w:marBottom w:val="0"/>
          <w:divBdr>
            <w:top w:val="none" w:sz="0" w:space="0" w:color="auto"/>
            <w:left w:val="none" w:sz="0" w:space="0" w:color="auto"/>
            <w:bottom w:val="none" w:sz="0" w:space="0" w:color="auto"/>
            <w:right w:val="none" w:sz="0" w:space="0" w:color="auto"/>
          </w:divBdr>
        </w:div>
        <w:div w:id="1698388402">
          <w:marLeft w:val="0"/>
          <w:marRight w:val="0"/>
          <w:marTop w:val="0"/>
          <w:marBottom w:val="0"/>
          <w:divBdr>
            <w:top w:val="none" w:sz="0" w:space="0" w:color="auto"/>
            <w:left w:val="none" w:sz="0" w:space="0" w:color="auto"/>
            <w:bottom w:val="none" w:sz="0" w:space="0" w:color="auto"/>
            <w:right w:val="none" w:sz="0" w:space="0" w:color="auto"/>
          </w:divBdr>
        </w:div>
      </w:divsChild>
    </w:div>
    <w:div w:id="1630817192">
      <w:bodyDiv w:val="1"/>
      <w:marLeft w:val="0"/>
      <w:marRight w:val="0"/>
      <w:marTop w:val="0"/>
      <w:marBottom w:val="0"/>
      <w:divBdr>
        <w:top w:val="none" w:sz="0" w:space="0" w:color="auto"/>
        <w:left w:val="none" w:sz="0" w:space="0" w:color="auto"/>
        <w:bottom w:val="none" w:sz="0" w:space="0" w:color="auto"/>
        <w:right w:val="none" w:sz="0" w:space="0" w:color="auto"/>
      </w:divBdr>
      <w:divsChild>
        <w:div w:id="365955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0863426">
      <w:bodyDiv w:val="1"/>
      <w:marLeft w:val="0"/>
      <w:marRight w:val="0"/>
      <w:marTop w:val="0"/>
      <w:marBottom w:val="0"/>
      <w:divBdr>
        <w:top w:val="none" w:sz="0" w:space="0" w:color="auto"/>
        <w:left w:val="none" w:sz="0" w:space="0" w:color="auto"/>
        <w:bottom w:val="none" w:sz="0" w:space="0" w:color="auto"/>
        <w:right w:val="none" w:sz="0" w:space="0" w:color="auto"/>
      </w:divBdr>
    </w:div>
    <w:div w:id="1651011094">
      <w:bodyDiv w:val="1"/>
      <w:marLeft w:val="0"/>
      <w:marRight w:val="0"/>
      <w:marTop w:val="0"/>
      <w:marBottom w:val="0"/>
      <w:divBdr>
        <w:top w:val="none" w:sz="0" w:space="0" w:color="auto"/>
        <w:left w:val="none" w:sz="0" w:space="0" w:color="auto"/>
        <w:bottom w:val="none" w:sz="0" w:space="0" w:color="auto"/>
        <w:right w:val="none" w:sz="0" w:space="0" w:color="auto"/>
      </w:divBdr>
      <w:divsChild>
        <w:div w:id="9073487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7518382">
      <w:bodyDiv w:val="1"/>
      <w:marLeft w:val="0"/>
      <w:marRight w:val="0"/>
      <w:marTop w:val="0"/>
      <w:marBottom w:val="0"/>
      <w:divBdr>
        <w:top w:val="none" w:sz="0" w:space="0" w:color="auto"/>
        <w:left w:val="none" w:sz="0" w:space="0" w:color="auto"/>
        <w:bottom w:val="none" w:sz="0" w:space="0" w:color="auto"/>
        <w:right w:val="none" w:sz="0" w:space="0" w:color="auto"/>
      </w:divBdr>
      <w:divsChild>
        <w:div w:id="10451035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0399422">
      <w:bodyDiv w:val="1"/>
      <w:marLeft w:val="0"/>
      <w:marRight w:val="0"/>
      <w:marTop w:val="0"/>
      <w:marBottom w:val="0"/>
      <w:divBdr>
        <w:top w:val="none" w:sz="0" w:space="0" w:color="auto"/>
        <w:left w:val="none" w:sz="0" w:space="0" w:color="auto"/>
        <w:bottom w:val="none" w:sz="0" w:space="0" w:color="auto"/>
        <w:right w:val="none" w:sz="0" w:space="0" w:color="auto"/>
      </w:divBdr>
    </w:div>
    <w:div w:id="1712028477">
      <w:bodyDiv w:val="1"/>
      <w:marLeft w:val="0"/>
      <w:marRight w:val="0"/>
      <w:marTop w:val="0"/>
      <w:marBottom w:val="0"/>
      <w:divBdr>
        <w:top w:val="none" w:sz="0" w:space="0" w:color="auto"/>
        <w:left w:val="none" w:sz="0" w:space="0" w:color="auto"/>
        <w:bottom w:val="none" w:sz="0" w:space="0" w:color="auto"/>
        <w:right w:val="none" w:sz="0" w:space="0" w:color="auto"/>
      </w:divBdr>
      <w:divsChild>
        <w:div w:id="571937059">
          <w:marLeft w:val="0"/>
          <w:marRight w:val="0"/>
          <w:marTop w:val="0"/>
          <w:marBottom w:val="0"/>
          <w:divBdr>
            <w:top w:val="none" w:sz="0" w:space="0" w:color="auto"/>
            <w:left w:val="none" w:sz="0" w:space="0" w:color="auto"/>
            <w:bottom w:val="none" w:sz="0" w:space="0" w:color="auto"/>
            <w:right w:val="none" w:sz="0" w:space="0" w:color="auto"/>
          </w:divBdr>
          <w:divsChild>
            <w:div w:id="1185635719">
              <w:marLeft w:val="0"/>
              <w:marRight w:val="0"/>
              <w:marTop w:val="0"/>
              <w:marBottom w:val="0"/>
              <w:divBdr>
                <w:top w:val="none" w:sz="0" w:space="0" w:color="auto"/>
                <w:left w:val="none" w:sz="0" w:space="0" w:color="auto"/>
                <w:bottom w:val="none" w:sz="0" w:space="0" w:color="auto"/>
                <w:right w:val="none" w:sz="0" w:space="0" w:color="auto"/>
              </w:divBdr>
              <w:divsChild>
                <w:div w:id="1206680234">
                  <w:marLeft w:val="0"/>
                  <w:marRight w:val="0"/>
                  <w:marTop w:val="0"/>
                  <w:marBottom w:val="0"/>
                  <w:divBdr>
                    <w:top w:val="none" w:sz="0" w:space="0" w:color="auto"/>
                    <w:left w:val="none" w:sz="0" w:space="0" w:color="auto"/>
                    <w:bottom w:val="none" w:sz="0" w:space="0" w:color="auto"/>
                    <w:right w:val="none" w:sz="0" w:space="0" w:color="auto"/>
                  </w:divBdr>
                  <w:divsChild>
                    <w:div w:id="590772675">
                      <w:marLeft w:val="0"/>
                      <w:marRight w:val="0"/>
                      <w:marTop w:val="0"/>
                      <w:marBottom w:val="0"/>
                      <w:divBdr>
                        <w:top w:val="none" w:sz="0" w:space="0" w:color="auto"/>
                        <w:left w:val="none" w:sz="0" w:space="0" w:color="auto"/>
                        <w:bottom w:val="none" w:sz="0" w:space="0" w:color="auto"/>
                        <w:right w:val="none" w:sz="0" w:space="0" w:color="auto"/>
                      </w:divBdr>
                    </w:div>
                    <w:div w:id="1092433868">
                      <w:marLeft w:val="0"/>
                      <w:marRight w:val="0"/>
                      <w:marTop w:val="0"/>
                      <w:marBottom w:val="0"/>
                      <w:divBdr>
                        <w:top w:val="none" w:sz="0" w:space="0" w:color="auto"/>
                        <w:left w:val="none" w:sz="0" w:space="0" w:color="auto"/>
                        <w:bottom w:val="none" w:sz="0" w:space="0" w:color="auto"/>
                        <w:right w:val="none" w:sz="0" w:space="0" w:color="auto"/>
                      </w:divBdr>
                    </w:div>
                  </w:divsChild>
                </w:div>
                <w:div w:id="1434282560">
                  <w:marLeft w:val="0"/>
                  <w:marRight w:val="0"/>
                  <w:marTop w:val="0"/>
                  <w:marBottom w:val="0"/>
                  <w:divBdr>
                    <w:top w:val="none" w:sz="0" w:space="0" w:color="auto"/>
                    <w:left w:val="none" w:sz="0" w:space="0" w:color="auto"/>
                    <w:bottom w:val="none" w:sz="0" w:space="0" w:color="auto"/>
                    <w:right w:val="none" w:sz="0" w:space="0" w:color="auto"/>
                  </w:divBdr>
                  <w:divsChild>
                    <w:div w:id="1508474514">
                      <w:marLeft w:val="0"/>
                      <w:marRight w:val="0"/>
                      <w:marTop w:val="0"/>
                      <w:marBottom w:val="0"/>
                      <w:divBdr>
                        <w:top w:val="none" w:sz="0" w:space="0" w:color="auto"/>
                        <w:left w:val="none" w:sz="0" w:space="0" w:color="auto"/>
                        <w:bottom w:val="none" w:sz="0" w:space="0" w:color="auto"/>
                        <w:right w:val="none" w:sz="0" w:space="0" w:color="auto"/>
                      </w:divBdr>
                    </w:div>
                    <w:div w:id="1847669749">
                      <w:marLeft w:val="0"/>
                      <w:marRight w:val="0"/>
                      <w:marTop w:val="0"/>
                      <w:marBottom w:val="0"/>
                      <w:divBdr>
                        <w:top w:val="none" w:sz="0" w:space="0" w:color="auto"/>
                        <w:left w:val="none" w:sz="0" w:space="0" w:color="auto"/>
                        <w:bottom w:val="none" w:sz="0" w:space="0" w:color="auto"/>
                        <w:right w:val="none" w:sz="0" w:space="0" w:color="auto"/>
                      </w:divBdr>
                    </w:div>
                  </w:divsChild>
                </w:div>
                <w:div w:id="1841508294">
                  <w:marLeft w:val="0"/>
                  <w:marRight w:val="0"/>
                  <w:marTop w:val="0"/>
                  <w:marBottom w:val="0"/>
                  <w:divBdr>
                    <w:top w:val="none" w:sz="0" w:space="0" w:color="auto"/>
                    <w:left w:val="none" w:sz="0" w:space="0" w:color="auto"/>
                    <w:bottom w:val="none" w:sz="0" w:space="0" w:color="auto"/>
                    <w:right w:val="none" w:sz="0" w:space="0" w:color="auto"/>
                  </w:divBdr>
                  <w:divsChild>
                    <w:div w:id="1061028179">
                      <w:marLeft w:val="0"/>
                      <w:marRight w:val="0"/>
                      <w:marTop w:val="0"/>
                      <w:marBottom w:val="0"/>
                      <w:divBdr>
                        <w:top w:val="none" w:sz="0" w:space="0" w:color="auto"/>
                        <w:left w:val="none" w:sz="0" w:space="0" w:color="auto"/>
                        <w:bottom w:val="none" w:sz="0" w:space="0" w:color="auto"/>
                        <w:right w:val="none" w:sz="0" w:space="0" w:color="auto"/>
                      </w:divBdr>
                    </w:div>
                    <w:div w:id="169784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918060">
      <w:bodyDiv w:val="1"/>
      <w:marLeft w:val="0"/>
      <w:marRight w:val="0"/>
      <w:marTop w:val="0"/>
      <w:marBottom w:val="0"/>
      <w:divBdr>
        <w:top w:val="none" w:sz="0" w:space="0" w:color="auto"/>
        <w:left w:val="none" w:sz="0" w:space="0" w:color="auto"/>
        <w:bottom w:val="none" w:sz="0" w:space="0" w:color="auto"/>
        <w:right w:val="none" w:sz="0" w:space="0" w:color="auto"/>
      </w:divBdr>
    </w:div>
    <w:div w:id="1723669969">
      <w:bodyDiv w:val="1"/>
      <w:marLeft w:val="0"/>
      <w:marRight w:val="0"/>
      <w:marTop w:val="0"/>
      <w:marBottom w:val="0"/>
      <w:divBdr>
        <w:top w:val="none" w:sz="0" w:space="0" w:color="auto"/>
        <w:left w:val="none" w:sz="0" w:space="0" w:color="auto"/>
        <w:bottom w:val="none" w:sz="0" w:space="0" w:color="auto"/>
        <w:right w:val="none" w:sz="0" w:space="0" w:color="auto"/>
      </w:divBdr>
    </w:div>
    <w:div w:id="1730566403">
      <w:bodyDiv w:val="1"/>
      <w:marLeft w:val="0"/>
      <w:marRight w:val="0"/>
      <w:marTop w:val="0"/>
      <w:marBottom w:val="0"/>
      <w:divBdr>
        <w:top w:val="none" w:sz="0" w:space="0" w:color="auto"/>
        <w:left w:val="none" w:sz="0" w:space="0" w:color="auto"/>
        <w:bottom w:val="none" w:sz="0" w:space="0" w:color="auto"/>
        <w:right w:val="none" w:sz="0" w:space="0" w:color="auto"/>
      </w:divBdr>
      <w:divsChild>
        <w:div w:id="1644037660">
          <w:marLeft w:val="0"/>
          <w:marRight w:val="0"/>
          <w:marTop w:val="0"/>
          <w:marBottom w:val="0"/>
          <w:divBdr>
            <w:top w:val="none" w:sz="0" w:space="0" w:color="auto"/>
            <w:left w:val="none" w:sz="0" w:space="0" w:color="auto"/>
            <w:bottom w:val="none" w:sz="0" w:space="0" w:color="auto"/>
            <w:right w:val="none" w:sz="0" w:space="0" w:color="auto"/>
          </w:divBdr>
          <w:divsChild>
            <w:div w:id="22486494">
              <w:marLeft w:val="0"/>
              <w:marRight w:val="0"/>
              <w:marTop w:val="0"/>
              <w:marBottom w:val="0"/>
              <w:divBdr>
                <w:top w:val="none" w:sz="0" w:space="0" w:color="auto"/>
                <w:left w:val="none" w:sz="0" w:space="0" w:color="auto"/>
                <w:bottom w:val="none" w:sz="0" w:space="0" w:color="auto"/>
                <w:right w:val="none" w:sz="0" w:space="0" w:color="auto"/>
              </w:divBdr>
              <w:divsChild>
                <w:div w:id="1741632963">
                  <w:marLeft w:val="0"/>
                  <w:marRight w:val="0"/>
                  <w:marTop w:val="0"/>
                  <w:marBottom w:val="0"/>
                  <w:divBdr>
                    <w:top w:val="none" w:sz="0" w:space="0" w:color="auto"/>
                    <w:left w:val="none" w:sz="0" w:space="0" w:color="auto"/>
                    <w:bottom w:val="none" w:sz="0" w:space="0" w:color="auto"/>
                    <w:right w:val="none" w:sz="0" w:space="0" w:color="auto"/>
                  </w:divBdr>
                  <w:divsChild>
                    <w:div w:id="151696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589425">
      <w:bodyDiv w:val="1"/>
      <w:marLeft w:val="0"/>
      <w:marRight w:val="0"/>
      <w:marTop w:val="0"/>
      <w:marBottom w:val="0"/>
      <w:divBdr>
        <w:top w:val="none" w:sz="0" w:space="0" w:color="auto"/>
        <w:left w:val="none" w:sz="0" w:space="0" w:color="auto"/>
        <w:bottom w:val="none" w:sz="0" w:space="0" w:color="auto"/>
        <w:right w:val="none" w:sz="0" w:space="0" w:color="auto"/>
      </w:divBdr>
      <w:divsChild>
        <w:div w:id="19101126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5542773">
      <w:bodyDiv w:val="1"/>
      <w:marLeft w:val="0"/>
      <w:marRight w:val="0"/>
      <w:marTop w:val="0"/>
      <w:marBottom w:val="0"/>
      <w:divBdr>
        <w:top w:val="none" w:sz="0" w:space="0" w:color="auto"/>
        <w:left w:val="none" w:sz="0" w:space="0" w:color="auto"/>
        <w:bottom w:val="none" w:sz="0" w:space="0" w:color="auto"/>
        <w:right w:val="none" w:sz="0" w:space="0" w:color="auto"/>
      </w:divBdr>
      <w:divsChild>
        <w:div w:id="1831022504">
          <w:marLeft w:val="0"/>
          <w:marRight w:val="0"/>
          <w:marTop w:val="0"/>
          <w:marBottom w:val="0"/>
          <w:divBdr>
            <w:top w:val="none" w:sz="0" w:space="0" w:color="auto"/>
            <w:left w:val="none" w:sz="0" w:space="0" w:color="auto"/>
            <w:bottom w:val="none" w:sz="0" w:space="0" w:color="auto"/>
            <w:right w:val="none" w:sz="0" w:space="0" w:color="auto"/>
          </w:divBdr>
        </w:div>
      </w:divsChild>
    </w:div>
    <w:div w:id="1793555137">
      <w:bodyDiv w:val="1"/>
      <w:marLeft w:val="0"/>
      <w:marRight w:val="0"/>
      <w:marTop w:val="0"/>
      <w:marBottom w:val="0"/>
      <w:divBdr>
        <w:top w:val="none" w:sz="0" w:space="0" w:color="auto"/>
        <w:left w:val="none" w:sz="0" w:space="0" w:color="auto"/>
        <w:bottom w:val="none" w:sz="0" w:space="0" w:color="auto"/>
        <w:right w:val="none" w:sz="0" w:space="0" w:color="auto"/>
      </w:divBdr>
      <w:divsChild>
        <w:div w:id="1706589849">
          <w:marLeft w:val="0"/>
          <w:marRight w:val="0"/>
          <w:marTop w:val="0"/>
          <w:marBottom w:val="0"/>
          <w:divBdr>
            <w:top w:val="none" w:sz="0" w:space="0" w:color="auto"/>
            <w:left w:val="none" w:sz="0" w:space="0" w:color="auto"/>
            <w:bottom w:val="none" w:sz="0" w:space="0" w:color="auto"/>
            <w:right w:val="none" w:sz="0" w:space="0" w:color="auto"/>
          </w:divBdr>
          <w:divsChild>
            <w:div w:id="1002274547">
              <w:marLeft w:val="0"/>
              <w:marRight w:val="0"/>
              <w:marTop w:val="0"/>
              <w:marBottom w:val="0"/>
              <w:divBdr>
                <w:top w:val="none" w:sz="0" w:space="0" w:color="auto"/>
                <w:left w:val="none" w:sz="0" w:space="0" w:color="auto"/>
                <w:bottom w:val="none" w:sz="0" w:space="0" w:color="auto"/>
                <w:right w:val="none" w:sz="0" w:space="0" w:color="auto"/>
              </w:divBdr>
              <w:divsChild>
                <w:div w:id="489174878">
                  <w:marLeft w:val="0"/>
                  <w:marRight w:val="0"/>
                  <w:marTop w:val="0"/>
                  <w:marBottom w:val="0"/>
                  <w:divBdr>
                    <w:top w:val="none" w:sz="0" w:space="0" w:color="auto"/>
                    <w:left w:val="none" w:sz="0" w:space="0" w:color="auto"/>
                    <w:bottom w:val="none" w:sz="0" w:space="0" w:color="auto"/>
                    <w:right w:val="none" w:sz="0" w:space="0" w:color="auto"/>
                  </w:divBdr>
                  <w:divsChild>
                    <w:div w:id="246767773">
                      <w:marLeft w:val="0"/>
                      <w:marRight w:val="0"/>
                      <w:marTop w:val="0"/>
                      <w:marBottom w:val="0"/>
                      <w:divBdr>
                        <w:top w:val="none" w:sz="0" w:space="0" w:color="auto"/>
                        <w:left w:val="none" w:sz="0" w:space="0" w:color="auto"/>
                        <w:bottom w:val="none" w:sz="0" w:space="0" w:color="auto"/>
                        <w:right w:val="none" w:sz="0" w:space="0" w:color="auto"/>
                      </w:divBdr>
                      <w:divsChild>
                        <w:div w:id="1216433565">
                          <w:marLeft w:val="0"/>
                          <w:marRight w:val="0"/>
                          <w:marTop w:val="0"/>
                          <w:marBottom w:val="0"/>
                          <w:divBdr>
                            <w:top w:val="none" w:sz="0" w:space="0" w:color="auto"/>
                            <w:left w:val="none" w:sz="0" w:space="0" w:color="auto"/>
                            <w:bottom w:val="none" w:sz="0" w:space="0" w:color="auto"/>
                            <w:right w:val="none" w:sz="0" w:space="0" w:color="auto"/>
                          </w:divBdr>
                          <w:divsChild>
                            <w:div w:id="1390884963">
                              <w:marLeft w:val="0"/>
                              <w:marRight w:val="0"/>
                              <w:marTop w:val="0"/>
                              <w:marBottom w:val="0"/>
                              <w:divBdr>
                                <w:top w:val="none" w:sz="0" w:space="0" w:color="auto"/>
                                <w:left w:val="none" w:sz="0" w:space="0" w:color="auto"/>
                                <w:bottom w:val="none" w:sz="0" w:space="0" w:color="auto"/>
                                <w:right w:val="none" w:sz="0" w:space="0" w:color="auto"/>
                              </w:divBdr>
                              <w:divsChild>
                                <w:div w:id="3854213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1945921">
      <w:bodyDiv w:val="1"/>
      <w:marLeft w:val="0"/>
      <w:marRight w:val="0"/>
      <w:marTop w:val="0"/>
      <w:marBottom w:val="0"/>
      <w:divBdr>
        <w:top w:val="none" w:sz="0" w:space="0" w:color="auto"/>
        <w:left w:val="none" w:sz="0" w:space="0" w:color="auto"/>
        <w:bottom w:val="none" w:sz="0" w:space="0" w:color="auto"/>
        <w:right w:val="none" w:sz="0" w:space="0" w:color="auto"/>
      </w:divBdr>
    </w:div>
    <w:div w:id="1819154725">
      <w:bodyDiv w:val="1"/>
      <w:marLeft w:val="0"/>
      <w:marRight w:val="0"/>
      <w:marTop w:val="0"/>
      <w:marBottom w:val="0"/>
      <w:divBdr>
        <w:top w:val="none" w:sz="0" w:space="0" w:color="auto"/>
        <w:left w:val="none" w:sz="0" w:space="0" w:color="auto"/>
        <w:bottom w:val="none" w:sz="0" w:space="0" w:color="auto"/>
        <w:right w:val="none" w:sz="0" w:space="0" w:color="auto"/>
      </w:divBdr>
      <w:divsChild>
        <w:div w:id="14866272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2378752">
      <w:bodyDiv w:val="1"/>
      <w:marLeft w:val="0"/>
      <w:marRight w:val="0"/>
      <w:marTop w:val="0"/>
      <w:marBottom w:val="0"/>
      <w:divBdr>
        <w:top w:val="none" w:sz="0" w:space="0" w:color="auto"/>
        <w:left w:val="none" w:sz="0" w:space="0" w:color="auto"/>
        <w:bottom w:val="none" w:sz="0" w:space="0" w:color="auto"/>
        <w:right w:val="none" w:sz="0" w:space="0" w:color="auto"/>
      </w:divBdr>
    </w:div>
    <w:div w:id="1877041445">
      <w:bodyDiv w:val="1"/>
      <w:marLeft w:val="0"/>
      <w:marRight w:val="0"/>
      <w:marTop w:val="0"/>
      <w:marBottom w:val="0"/>
      <w:divBdr>
        <w:top w:val="none" w:sz="0" w:space="0" w:color="auto"/>
        <w:left w:val="none" w:sz="0" w:space="0" w:color="auto"/>
        <w:bottom w:val="none" w:sz="0" w:space="0" w:color="auto"/>
        <w:right w:val="none" w:sz="0" w:space="0" w:color="auto"/>
      </w:divBdr>
    </w:div>
    <w:div w:id="1913345798">
      <w:bodyDiv w:val="1"/>
      <w:marLeft w:val="0"/>
      <w:marRight w:val="0"/>
      <w:marTop w:val="0"/>
      <w:marBottom w:val="0"/>
      <w:divBdr>
        <w:top w:val="none" w:sz="0" w:space="0" w:color="auto"/>
        <w:left w:val="none" w:sz="0" w:space="0" w:color="auto"/>
        <w:bottom w:val="none" w:sz="0" w:space="0" w:color="auto"/>
        <w:right w:val="none" w:sz="0" w:space="0" w:color="auto"/>
      </w:divBdr>
    </w:div>
    <w:div w:id="1915361227">
      <w:bodyDiv w:val="1"/>
      <w:marLeft w:val="0"/>
      <w:marRight w:val="0"/>
      <w:marTop w:val="0"/>
      <w:marBottom w:val="0"/>
      <w:divBdr>
        <w:top w:val="none" w:sz="0" w:space="0" w:color="auto"/>
        <w:left w:val="none" w:sz="0" w:space="0" w:color="auto"/>
        <w:bottom w:val="none" w:sz="0" w:space="0" w:color="auto"/>
        <w:right w:val="none" w:sz="0" w:space="0" w:color="auto"/>
      </w:divBdr>
      <w:divsChild>
        <w:div w:id="536086541">
          <w:marLeft w:val="0"/>
          <w:marRight w:val="0"/>
          <w:marTop w:val="0"/>
          <w:marBottom w:val="0"/>
          <w:divBdr>
            <w:top w:val="none" w:sz="0" w:space="0" w:color="auto"/>
            <w:left w:val="none" w:sz="0" w:space="0" w:color="auto"/>
            <w:bottom w:val="none" w:sz="0" w:space="0" w:color="auto"/>
            <w:right w:val="none" w:sz="0" w:space="0" w:color="auto"/>
          </w:divBdr>
          <w:divsChild>
            <w:div w:id="629282915">
              <w:marLeft w:val="0"/>
              <w:marRight w:val="0"/>
              <w:marTop w:val="0"/>
              <w:marBottom w:val="0"/>
              <w:divBdr>
                <w:top w:val="none" w:sz="0" w:space="0" w:color="auto"/>
                <w:left w:val="none" w:sz="0" w:space="0" w:color="auto"/>
                <w:bottom w:val="none" w:sz="0" w:space="0" w:color="auto"/>
                <w:right w:val="none" w:sz="0" w:space="0" w:color="auto"/>
              </w:divBdr>
              <w:divsChild>
                <w:div w:id="160581226">
                  <w:marLeft w:val="0"/>
                  <w:marRight w:val="0"/>
                  <w:marTop w:val="0"/>
                  <w:marBottom w:val="0"/>
                  <w:divBdr>
                    <w:top w:val="none" w:sz="0" w:space="0" w:color="auto"/>
                    <w:left w:val="none" w:sz="0" w:space="0" w:color="auto"/>
                    <w:bottom w:val="none" w:sz="0" w:space="0" w:color="auto"/>
                    <w:right w:val="none" w:sz="0" w:space="0" w:color="auto"/>
                  </w:divBdr>
                  <w:divsChild>
                    <w:div w:id="568422533">
                      <w:marLeft w:val="0"/>
                      <w:marRight w:val="0"/>
                      <w:marTop w:val="0"/>
                      <w:marBottom w:val="0"/>
                      <w:divBdr>
                        <w:top w:val="none" w:sz="0" w:space="0" w:color="auto"/>
                        <w:left w:val="none" w:sz="0" w:space="0" w:color="auto"/>
                        <w:bottom w:val="none" w:sz="0" w:space="0" w:color="auto"/>
                        <w:right w:val="none" w:sz="0" w:space="0" w:color="auto"/>
                      </w:divBdr>
                    </w:div>
                    <w:div w:id="925764826">
                      <w:marLeft w:val="0"/>
                      <w:marRight w:val="0"/>
                      <w:marTop w:val="0"/>
                      <w:marBottom w:val="0"/>
                      <w:divBdr>
                        <w:top w:val="none" w:sz="0" w:space="0" w:color="auto"/>
                        <w:left w:val="none" w:sz="0" w:space="0" w:color="auto"/>
                        <w:bottom w:val="none" w:sz="0" w:space="0" w:color="auto"/>
                        <w:right w:val="none" w:sz="0" w:space="0" w:color="auto"/>
                      </w:divBdr>
                    </w:div>
                  </w:divsChild>
                </w:div>
                <w:div w:id="1016230023">
                  <w:marLeft w:val="0"/>
                  <w:marRight w:val="0"/>
                  <w:marTop w:val="0"/>
                  <w:marBottom w:val="0"/>
                  <w:divBdr>
                    <w:top w:val="none" w:sz="0" w:space="0" w:color="auto"/>
                    <w:left w:val="none" w:sz="0" w:space="0" w:color="auto"/>
                    <w:bottom w:val="none" w:sz="0" w:space="0" w:color="auto"/>
                    <w:right w:val="none" w:sz="0" w:space="0" w:color="auto"/>
                  </w:divBdr>
                  <w:divsChild>
                    <w:div w:id="79062043">
                      <w:marLeft w:val="0"/>
                      <w:marRight w:val="0"/>
                      <w:marTop w:val="0"/>
                      <w:marBottom w:val="0"/>
                      <w:divBdr>
                        <w:top w:val="none" w:sz="0" w:space="0" w:color="auto"/>
                        <w:left w:val="none" w:sz="0" w:space="0" w:color="auto"/>
                        <w:bottom w:val="none" w:sz="0" w:space="0" w:color="auto"/>
                        <w:right w:val="none" w:sz="0" w:space="0" w:color="auto"/>
                      </w:divBdr>
                    </w:div>
                    <w:div w:id="280113557">
                      <w:marLeft w:val="0"/>
                      <w:marRight w:val="0"/>
                      <w:marTop w:val="0"/>
                      <w:marBottom w:val="0"/>
                      <w:divBdr>
                        <w:top w:val="none" w:sz="0" w:space="0" w:color="auto"/>
                        <w:left w:val="none" w:sz="0" w:space="0" w:color="auto"/>
                        <w:bottom w:val="none" w:sz="0" w:space="0" w:color="auto"/>
                        <w:right w:val="none" w:sz="0" w:space="0" w:color="auto"/>
                      </w:divBdr>
                    </w:div>
                  </w:divsChild>
                </w:div>
                <w:div w:id="1734423766">
                  <w:marLeft w:val="0"/>
                  <w:marRight w:val="0"/>
                  <w:marTop w:val="0"/>
                  <w:marBottom w:val="0"/>
                  <w:divBdr>
                    <w:top w:val="none" w:sz="0" w:space="0" w:color="auto"/>
                    <w:left w:val="none" w:sz="0" w:space="0" w:color="auto"/>
                    <w:bottom w:val="none" w:sz="0" w:space="0" w:color="auto"/>
                    <w:right w:val="none" w:sz="0" w:space="0" w:color="auto"/>
                  </w:divBdr>
                  <w:divsChild>
                    <w:div w:id="1439522982">
                      <w:marLeft w:val="0"/>
                      <w:marRight w:val="0"/>
                      <w:marTop w:val="0"/>
                      <w:marBottom w:val="0"/>
                      <w:divBdr>
                        <w:top w:val="none" w:sz="0" w:space="0" w:color="auto"/>
                        <w:left w:val="none" w:sz="0" w:space="0" w:color="auto"/>
                        <w:bottom w:val="none" w:sz="0" w:space="0" w:color="auto"/>
                        <w:right w:val="none" w:sz="0" w:space="0" w:color="auto"/>
                      </w:divBdr>
                    </w:div>
                    <w:div w:id="155399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622050">
      <w:bodyDiv w:val="1"/>
      <w:marLeft w:val="0"/>
      <w:marRight w:val="0"/>
      <w:marTop w:val="0"/>
      <w:marBottom w:val="0"/>
      <w:divBdr>
        <w:top w:val="none" w:sz="0" w:space="0" w:color="auto"/>
        <w:left w:val="none" w:sz="0" w:space="0" w:color="auto"/>
        <w:bottom w:val="none" w:sz="0" w:space="0" w:color="auto"/>
        <w:right w:val="none" w:sz="0" w:space="0" w:color="auto"/>
      </w:divBdr>
      <w:divsChild>
        <w:div w:id="1576360993">
          <w:marLeft w:val="0"/>
          <w:marRight w:val="0"/>
          <w:marTop w:val="0"/>
          <w:marBottom w:val="0"/>
          <w:divBdr>
            <w:top w:val="none" w:sz="0" w:space="0" w:color="auto"/>
            <w:left w:val="none" w:sz="0" w:space="0" w:color="auto"/>
            <w:bottom w:val="none" w:sz="0" w:space="0" w:color="auto"/>
            <w:right w:val="none" w:sz="0" w:space="0" w:color="auto"/>
          </w:divBdr>
          <w:divsChild>
            <w:div w:id="175532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280769">
      <w:bodyDiv w:val="1"/>
      <w:marLeft w:val="0"/>
      <w:marRight w:val="0"/>
      <w:marTop w:val="0"/>
      <w:marBottom w:val="0"/>
      <w:divBdr>
        <w:top w:val="none" w:sz="0" w:space="0" w:color="auto"/>
        <w:left w:val="none" w:sz="0" w:space="0" w:color="auto"/>
        <w:bottom w:val="none" w:sz="0" w:space="0" w:color="auto"/>
        <w:right w:val="none" w:sz="0" w:space="0" w:color="auto"/>
      </w:divBdr>
      <w:divsChild>
        <w:div w:id="731274289">
          <w:marLeft w:val="0"/>
          <w:marRight w:val="0"/>
          <w:marTop w:val="0"/>
          <w:marBottom w:val="0"/>
          <w:divBdr>
            <w:top w:val="none" w:sz="0" w:space="0" w:color="auto"/>
            <w:left w:val="none" w:sz="0" w:space="0" w:color="auto"/>
            <w:bottom w:val="none" w:sz="0" w:space="0" w:color="auto"/>
            <w:right w:val="none" w:sz="0" w:space="0" w:color="auto"/>
          </w:divBdr>
          <w:divsChild>
            <w:div w:id="172139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884769">
      <w:bodyDiv w:val="1"/>
      <w:marLeft w:val="0"/>
      <w:marRight w:val="0"/>
      <w:marTop w:val="0"/>
      <w:marBottom w:val="0"/>
      <w:divBdr>
        <w:top w:val="none" w:sz="0" w:space="0" w:color="auto"/>
        <w:left w:val="none" w:sz="0" w:space="0" w:color="auto"/>
        <w:bottom w:val="none" w:sz="0" w:space="0" w:color="auto"/>
        <w:right w:val="none" w:sz="0" w:space="0" w:color="auto"/>
      </w:divBdr>
    </w:div>
    <w:div w:id="1967929694">
      <w:bodyDiv w:val="1"/>
      <w:marLeft w:val="0"/>
      <w:marRight w:val="0"/>
      <w:marTop w:val="0"/>
      <w:marBottom w:val="0"/>
      <w:divBdr>
        <w:top w:val="none" w:sz="0" w:space="0" w:color="auto"/>
        <w:left w:val="none" w:sz="0" w:space="0" w:color="auto"/>
        <w:bottom w:val="none" w:sz="0" w:space="0" w:color="auto"/>
        <w:right w:val="none" w:sz="0" w:space="0" w:color="auto"/>
      </w:divBdr>
    </w:div>
    <w:div w:id="2030597798">
      <w:bodyDiv w:val="1"/>
      <w:marLeft w:val="0"/>
      <w:marRight w:val="0"/>
      <w:marTop w:val="0"/>
      <w:marBottom w:val="0"/>
      <w:divBdr>
        <w:top w:val="none" w:sz="0" w:space="0" w:color="auto"/>
        <w:left w:val="none" w:sz="0" w:space="0" w:color="auto"/>
        <w:bottom w:val="none" w:sz="0" w:space="0" w:color="auto"/>
        <w:right w:val="none" w:sz="0" w:space="0" w:color="auto"/>
      </w:divBdr>
      <w:divsChild>
        <w:div w:id="490297115">
          <w:marLeft w:val="0"/>
          <w:marRight w:val="0"/>
          <w:marTop w:val="0"/>
          <w:marBottom w:val="0"/>
          <w:divBdr>
            <w:top w:val="none" w:sz="0" w:space="0" w:color="auto"/>
            <w:left w:val="none" w:sz="0" w:space="0" w:color="auto"/>
            <w:bottom w:val="none" w:sz="0" w:space="0" w:color="auto"/>
            <w:right w:val="none" w:sz="0" w:space="0" w:color="auto"/>
          </w:divBdr>
        </w:div>
        <w:div w:id="1215391557">
          <w:marLeft w:val="0"/>
          <w:marRight w:val="0"/>
          <w:marTop w:val="0"/>
          <w:marBottom w:val="0"/>
          <w:divBdr>
            <w:top w:val="none" w:sz="0" w:space="0" w:color="auto"/>
            <w:left w:val="none" w:sz="0" w:space="0" w:color="auto"/>
            <w:bottom w:val="none" w:sz="0" w:space="0" w:color="auto"/>
            <w:right w:val="none" w:sz="0" w:space="0" w:color="auto"/>
          </w:divBdr>
        </w:div>
        <w:div w:id="1509902214">
          <w:marLeft w:val="0"/>
          <w:marRight w:val="0"/>
          <w:marTop w:val="0"/>
          <w:marBottom w:val="0"/>
          <w:divBdr>
            <w:top w:val="none" w:sz="0" w:space="0" w:color="auto"/>
            <w:left w:val="none" w:sz="0" w:space="0" w:color="auto"/>
            <w:bottom w:val="none" w:sz="0" w:space="0" w:color="auto"/>
            <w:right w:val="none" w:sz="0" w:space="0" w:color="auto"/>
          </w:divBdr>
        </w:div>
        <w:div w:id="1553231278">
          <w:marLeft w:val="0"/>
          <w:marRight w:val="0"/>
          <w:marTop w:val="0"/>
          <w:marBottom w:val="0"/>
          <w:divBdr>
            <w:top w:val="none" w:sz="0" w:space="0" w:color="auto"/>
            <w:left w:val="none" w:sz="0" w:space="0" w:color="auto"/>
            <w:bottom w:val="none" w:sz="0" w:space="0" w:color="auto"/>
            <w:right w:val="none" w:sz="0" w:space="0" w:color="auto"/>
          </w:divBdr>
        </w:div>
        <w:div w:id="1701201835">
          <w:marLeft w:val="0"/>
          <w:marRight w:val="0"/>
          <w:marTop w:val="0"/>
          <w:marBottom w:val="0"/>
          <w:divBdr>
            <w:top w:val="none" w:sz="0" w:space="0" w:color="auto"/>
            <w:left w:val="none" w:sz="0" w:space="0" w:color="auto"/>
            <w:bottom w:val="none" w:sz="0" w:space="0" w:color="auto"/>
            <w:right w:val="none" w:sz="0" w:space="0" w:color="auto"/>
          </w:divBdr>
        </w:div>
        <w:div w:id="2112240865">
          <w:marLeft w:val="0"/>
          <w:marRight w:val="0"/>
          <w:marTop w:val="0"/>
          <w:marBottom w:val="0"/>
          <w:divBdr>
            <w:top w:val="none" w:sz="0" w:space="0" w:color="auto"/>
            <w:left w:val="none" w:sz="0" w:space="0" w:color="auto"/>
            <w:bottom w:val="none" w:sz="0" w:space="0" w:color="auto"/>
            <w:right w:val="none" w:sz="0" w:space="0" w:color="auto"/>
          </w:divBdr>
        </w:div>
      </w:divsChild>
    </w:div>
    <w:div w:id="2032104166">
      <w:bodyDiv w:val="1"/>
      <w:marLeft w:val="0"/>
      <w:marRight w:val="0"/>
      <w:marTop w:val="0"/>
      <w:marBottom w:val="0"/>
      <w:divBdr>
        <w:top w:val="none" w:sz="0" w:space="0" w:color="auto"/>
        <w:left w:val="none" w:sz="0" w:space="0" w:color="auto"/>
        <w:bottom w:val="none" w:sz="0" w:space="0" w:color="auto"/>
        <w:right w:val="none" w:sz="0" w:space="0" w:color="auto"/>
      </w:divBdr>
    </w:div>
    <w:div w:id="2041740196">
      <w:bodyDiv w:val="1"/>
      <w:marLeft w:val="0"/>
      <w:marRight w:val="0"/>
      <w:marTop w:val="0"/>
      <w:marBottom w:val="0"/>
      <w:divBdr>
        <w:top w:val="none" w:sz="0" w:space="0" w:color="auto"/>
        <w:left w:val="none" w:sz="0" w:space="0" w:color="auto"/>
        <w:bottom w:val="none" w:sz="0" w:space="0" w:color="auto"/>
        <w:right w:val="none" w:sz="0" w:space="0" w:color="auto"/>
      </w:divBdr>
      <w:divsChild>
        <w:div w:id="4204943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9934590">
      <w:bodyDiv w:val="1"/>
      <w:marLeft w:val="0"/>
      <w:marRight w:val="0"/>
      <w:marTop w:val="0"/>
      <w:marBottom w:val="0"/>
      <w:divBdr>
        <w:top w:val="none" w:sz="0" w:space="0" w:color="auto"/>
        <w:left w:val="none" w:sz="0" w:space="0" w:color="auto"/>
        <w:bottom w:val="none" w:sz="0" w:space="0" w:color="auto"/>
        <w:right w:val="none" w:sz="0" w:space="0" w:color="auto"/>
      </w:divBdr>
      <w:divsChild>
        <w:div w:id="570389388">
          <w:marLeft w:val="0"/>
          <w:marRight w:val="0"/>
          <w:marTop w:val="0"/>
          <w:marBottom w:val="0"/>
          <w:divBdr>
            <w:top w:val="none" w:sz="0" w:space="0" w:color="auto"/>
            <w:left w:val="none" w:sz="0" w:space="0" w:color="auto"/>
            <w:bottom w:val="none" w:sz="0" w:space="0" w:color="auto"/>
            <w:right w:val="none" w:sz="0" w:space="0" w:color="auto"/>
          </w:divBdr>
        </w:div>
      </w:divsChild>
    </w:div>
    <w:div w:id="2073115397">
      <w:bodyDiv w:val="1"/>
      <w:marLeft w:val="0"/>
      <w:marRight w:val="0"/>
      <w:marTop w:val="0"/>
      <w:marBottom w:val="0"/>
      <w:divBdr>
        <w:top w:val="none" w:sz="0" w:space="0" w:color="auto"/>
        <w:left w:val="none" w:sz="0" w:space="0" w:color="auto"/>
        <w:bottom w:val="none" w:sz="0" w:space="0" w:color="auto"/>
        <w:right w:val="none" w:sz="0" w:space="0" w:color="auto"/>
      </w:divBdr>
    </w:div>
    <w:div w:id="2095777549">
      <w:bodyDiv w:val="1"/>
      <w:marLeft w:val="0"/>
      <w:marRight w:val="0"/>
      <w:marTop w:val="0"/>
      <w:marBottom w:val="0"/>
      <w:divBdr>
        <w:top w:val="none" w:sz="0" w:space="0" w:color="auto"/>
        <w:left w:val="none" w:sz="0" w:space="0" w:color="auto"/>
        <w:bottom w:val="none" w:sz="0" w:space="0" w:color="auto"/>
        <w:right w:val="none" w:sz="0" w:space="0" w:color="auto"/>
      </w:divBdr>
      <w:divsChild>
        <w:div w:id="83310149">
          <w:marLeft w:val="0"/>
          <w:marRight w:val="0"/>
          <w:marTop w:val="0"/>
          <w:marBottom w:val="0"/>
          <w:divBdr>
            <w:top w:val="none" w:sz="0" w:space="0" w:color="auto"/>
            <w:left w:val="none" w:sz="0" w:space="0" w:color="auto"/>
            <w:bottom w:val="none" w:sz="0" w:space="0" w:color="auto"/>
            <w:right w:val="none" w:sz="0" w:space="0" w:color="auto"/>
          </w:divBdr>
          <w:divsChild>
            <w:div w:id="854466782">
              <w:marLeft w:val="0"/>
              <w:marRight w:val="0"/>
              <w:marTop w:val="0"/>
              <w:marBottom w:val="0"/>
              <w:divBdr>
                <w:top w:val="none" w:sz="0" w:space="0" w:color="auto"/>
                <w:left w:val="none" w:sz="0" w:space="0" w:color="auto"/>
                <w:bottom w:val="none" w:sz="0" w:space="0" w:color="auto"/>
                <w:right w:val="none" w:sz="0" w:space="0" w:color="auto"/>
              </w:divBdr>
            </w:div>
            <w:div w:id="1634629485">
              <w:marLeft w:val="0"/>
              <w:marRight w:val="0"/>
              <w:marTop w:val="120"/>
              <w:marBottom w:val="0"/>
              <w:divBdr>
                <w:top w:val="none" w:sz="0" w:space="0" w:color="auto"/>
                <w:left w:val="none" w:sz="0" w:space="0" w:color="auto"/>
                <w:bottom w:val="none" w:sz="0" w:space="0" w:color="auto"/>
                <w:right w:val="none" w:sz="0" w:space="0" w:color="auto"/>
              </w:divBdr>
            </w:div>
          </w:divsChild>
        </w:div>
        <w:div w:id="909191687">
          <w:marLeft w:val="0"/>
          <w:marRight w:val="0"/>
          <w:marTop w:val="0"/>
          <w:marBottom w:val="0"/>
          <w:divBdr>
            <w:top w:val="none" w:sz="0" w:space="0" w:color="auto"/>
            <w:left w:val="none" w:sz="0" w:space="0" w:color="auto"/>
            <w:bottom w:val="none" w:sz="0" w:space="0" w:color="auto"/>
            <w:right w:val="none" w:sz="0" w:space="0" w:color="auto"/>
          </w:divBdr>
          <w:divsChild>
            <w:div w:id="772483280">
              <w:marLeft w:val="0"/>
              <w:marRight w:val="0"/>
              <w:marTop w:val="0"/>
              <w:marBottom w:val="0"/>
              <w:divBdr>
                <w:top w:val="none" w:sz="0" w:space="0" w:color="auto"/>
                <w:left w:val="none" w:sz="0" w:space="0" w:color="auto"/>
                <w:bottom w:val="none" w:sz="0" w:space="0" w:color="auto"/>
                <w:right w:val="none" w:sz="0" w:space="0" w:color="auto"/>
              </w:divBdr>
            </w:div>
            <w:div w:id="2049721336">
              <w:marLeft w:val="0"/>
              <w:marRight w:val="0"/>
              <w:marTop w:val="120"/>
              <w:marBottom w:val="0"/>
              <w:divBdr>
                <w:top w:val="none" w:sz="0" w:space="0" w:color="auto"/>
                <w:left w:val="none" w:sz="0" w:space="0" w:color="auto"/>
                <w:bottom w:val="none" w:sz="0" w:space="0" w:color="auto"/>
                <w:right w:val="none" w:sz="0" w:space="0" w:color="auto"/>
              </w:divBdr>
            </w:div>
          </w:divsChild>
        </w:div>
        <w:div w:id="1546525153">
          <w:marLeft w:val="0"/>
          <w:marRight w:val="0"/>
          <w:marTop w:val="0"/>
          <w:marBottom w:val="0"/>
          <w:divBdr>
            <w:top w:val="none" w:sz="0" w:space="0" w:color="auto"/>
            <w:left w:val="none" w:sz="0" w:space="0" w:color="auto"/>
            <w:bottom w:val="none" w:sz="0" w:space="0" w:color="auto"/>
            <w:right w:val="none" w:sz="0" w:space="0" w:color="auto"/>
          </w:divBdr>
          <w:divsChild>
            <w:div w:id="834614158">
              <w:marLeft w:val="0"/>
              <w:marRight w:val="0"/>
              <w:marTop w:val="120"/>
              <w:marBottom w:val="0"/>
              <w:divBdr>
                <w:top w:val="none" w:sz="0" w:space="0" w:color="auto"/>
                <w:left w:val="none" w:sz="0" w:space="0" w:color="auto"/>
                <w:bottom w:val="none" w:sz="0" w:space="0" w:color="auto"/>
                <w:right w:val="none" w:sz="0" w:space="0" w:color="auto"/>
              </w:divBdr>
            </w:div>
            <w:div w:id="1834224393">
              <w:marLeft w:val="0"/>
              <w:marRight w:val="0"/>
              <w:marTop w:val="0"/>
              <w:marBottom w:val="0"/>
              <w:divBdr>
                <w:top w:val="none" w:sz="0" w:space="0" w:color="auto"/>
                <w:left w:val="none" w:sz="0" w:space="0" w:color="auto"/>
                <w:bottom w:val="none" w:sz="0" w:space="0" w:color="auto"/>
                <w:right w:val="none" w:sz="0" w:space="0" w:color="auto"/>
              </w:divBdr>
            </w:div>
          </w:divsChild>
        </w:div>
        <w:div w:id="2045710905">
          <w:marLeft w:val="0"/>
          <w:marRight w:val="0"/>
          <w:marTop w:val="0"/>
          <w:marBottom w:val="0"/>
          <w:divBdr>
            <w:top w:val="none" w:sz="0" w:space="0" w:color="auto"/>
            <w:left w:val="none" w:sz="0" w:space="0" w:color="auto"/>
            <w:bottom w:val="none" w:sz="0" w:space="0" w:color="auto"/>
            <w:right w:val="none" w:sz="0" w:space="0" w:color="auto"/>
          </w:divBdr>
          <w:divsChild>
            <w:div w:id="713702717">
              <w:marLeft w:val="0"/>
              <w:marRight w:val="0"/>
              <w:marTop w:val="0"/>
              <w:marBottom w:val="0"/>
              <w:divBdr>
                <w:top w:val="none" w:sz="0" w:space="0" w:color="auto"/>
                <w:left w:val="none" w:sz="0" w:space="0" w:color="auto"/>
                <w:bottom w:val="none" w:sz="0" w:space="0" w:color="auto"/>
                <w:right w:val="none" w:sz="0" w:space="0" w:color="auto"/>
              </w:divBdr>
            </w:div>
            <w:div w:id="154817817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112894111">
      <w:bodyDiv w:val="1"/>
      <w:marLeft w:val="0"/>
      <w:marRight w:val="0"/>
      <w:marTop w:val="0"/>
      <w:marBottom w:val="0"/>
      <w:divBdr>
        <w:top w:val="none" w:sz="0" w:space="0" w:color="auto"/>
        <w:left w:val="none" w:sz="0" w:space="0" w:color="auto"/>
        <w:bottom w:val="none" w:sz="0" w:space="0" w:color="auto"/>
        <w:right w:val="none" w:sz="0" w:space="0" w:color="auto"/>
      </w:divBdr>
      <w:divsChild>
        <w:div w:id="395012717">
          <w:marLeft w:val="0"/>
          <w:marRight w:val="0"/>
          <w:marTop w:val="0"/>
          <w:marBottom w:val="0"/>
          <w:divBdr>
            <w:top w:val="none" w:sz="0" w:space="0" w:color="auto"/>
            <w:left w:val="none" w:sz="0" w:space="0" w:color="auto"/>
            <w:bottom w:val="none" w:sz="0" w:space="0" w:color="auto"/>
            <w:right w:val="none" w:sz="0" w:space="0" w:color="auto"/>
          </w:divBdr>
        </w:div>
        <w:div w:id="1125974465">
          <w:marLeft w:val="0"/>
          <w:marRight w:val="0"/>
          <w:marTop w:val="0"/>
          <w:marBottom w:val="0"/>
          <w:divBdr>
            <w:top w:val="none" w:sz="0" w:space="0" w:color="auto"/>
            <w:left w:val="none" w:sz="0" w:space="0" w:color="auto"/>
            <w:bottom w:val="none" w:sz="0" w:space="0" w:color="auto"/>
            <w:right w:val="none" w:sz="0" w:space="0" w:color="auto"/>
          </w:divBdr>
        </w:div>
        <w:div w:id="1208765227">
          <w:marLeft w:val="0"/>
          <w:marRight w:val="0"/>
          <w:marTop w:val="0"/>
          <w:marBottom w:val="0"/>
          <w:divBdr>
            <w:top w:val="none" w:sz="0" w:space="0" w:color="auto"/>
            <w:left w:val="none" w:sz="0" w:space="0" w:color="auto"/>
            <w:bottom w:val="none" w:sz="0" w:space="0" w:color="auto"/>
            <w:right w:val="none" w:sz="0" w:space="0" w:color="auto"/>
          </w:divBdr>
        </w:div>
        <w:div w:id="1265384910">
          <w:marLeft w:val="0"/>
          <w:marRight w:val="0"/>
          <w:marTop w:val="0"/>
          <w:marBottom w:val="0"/>
          <w:divBdr>
            <w:top w:val="none" w:sz="0" w:space="0" w:color="auto"/>
            <w:left w:val="none" w:sz="0" w:space="0" w:color="auto"/>
            <w:bottom w:val="none" w:sz="0" w:space="0" w:color="auto"/>
            <w:right w:val="none" w:sz="0" w:space="0" w:color="auto"/>
          </w:divBdr>
        </w:div>
        <w:div w:id="1385449612">
          <w:marLeft w:val="0"/>
          <w:marRight w:val="0"/>
          <w:marTop w:val="0"/>
          <w:marBottom w:val="0"/>
          <w:divBdr>
            <w:top w:val="none" w:sz="0" w:space="0" w:color="auto"/>
            <w:left w:val="none" w:sz="0" w:space="0" w:color="auto"/>
            <w:bottom w:val="none" w:sz="0" w:space="0" w:color="auto"/>
            <w:right w:val="none" w:sz="0" w:space="0" w:color="auto"/>
          </w:divBdr>
        </w:div>
        <w:div w:id="1823040846">
          <w:marLeft w:val="0"/>
          <w:marRight w:val="0"/>
          <w:marTop w:val="0"/>
          <w:marBottom w:val="0"/>
          <w:divBdr>
            <w:top w:val="none" w:sz="0" w:space="0" w:color="auto"/>
            <w:left w:val="none" w:sz="0" w:space="0" w:color="auto"/>
            <w:bottom w:val="none" w:sz="0" w:space="0" w:color="auto"/>
            <w:right w:val="none" w:sz="0" w:space="0" w:color="auto"/>
          </w:divBdr>
        </w:div>
      </w:divsChild>
    </w:div>
    <w:div w:id="2126583638">
      <w:bodyDiv w:val="1"/>
      <w:marLeft w:val="0"/>
      <w:marRight w:val="0"/>
      <w:marTop w:val="0"/>
      <w:marBottom w:val="0"/>
      <w:divBdr>
        <w:top w:val="none" w:sz="0" w:space="0" w:color="auto"/>
        <w:left w:val="none" w:sz="0" w:space="0" w:color="auto"/>
        <w:bottom w:val="none" w:sz="0" w:space="0" w:color="auto"/>
        <w:right w:val="none" w:sz="0" w:space="0" w:color="auto"/>
      </w:divBdr>
    </w:div>
    <w:div w:id="2139257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http://data.europa.eu/eli/reg/2019/2088/oj"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data.europa.eu/eli/reg_del/2021/473/oj" TargetMode="Externa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data.europa.eu/eli/reg/2020/852/oj"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data.europa.eu/eli/dir/2016/2341/oj" TargetMode="External"/><Relationship Id="rId18" Type="http://schemas.openxmlformats.org/officeDocument/2006/relationships/hyperlink" Target="https://commission.europa.eu/topics/eu-competitiveness/competitiveness-compass_pl" TargetMode="External"/><Relationship Id="rId26" Type="http://schemas.openxmlformats.org/officeDocument/2006/relationships/hyperlink" Target="https://www.eca.europa.eu/pl/publications/sr-2025-14" TargetMode="External"/><Relationship Id="rId3" Type="http://schemas.openxmlformats.org/officeDocument/2006/relationships/hyperlink" Target="https://www.consilium.europa.eu/media/ny3j24sm/much-more-than-a-market-report-by-enrico-letta.pdf" TargetMode="External"/><Relationship Id="rId21" Type="http://schemas.openxmlformats.org/officeDocument/2006/relationships/hyperlink" Target="https://www.eiopa.europa.eu/publications/technical-input-reviews-iorp-ii-directive-and-pepp-regulation-context-savings-and-investments-union_pl" TargetMode="External"/><Relationship Id="rId34" Type="http://schemas.openxmlformats.org/officeDocument/2006/relationships/hyperlink" Target="http://data.europa.eu/eli/dir/2002/58/oj" TargetMode="External"/><Relationship Id="rId7" Type="http://schemas.openxmlformats.org/officeDocument/2006/relationships/hyperlink" Target="https://www.eca.europa.eu/pl/publications?ref=SR-2025-14" TargetMode="External"/><Relationship Id="rId12" Type="http://schemas.openxmlformats.org/officeDocument/2006/relationships/hyperlink" Target="https://eur-lex.europa.eu/legal-content/pl/TXT/PDF/?uri=CELEX:32003L0041" TargetMode="External"/><Relationship Id="rId17" Type="http://schemas.openxmlformats.org/officeDocument/2006/relationships/hyperlink" Target="http://data.europa.eu/eli/reg/2019/1238/oj" TargetMode="External"/><Relationship Id="rId25" Type="http://schemas.openxmlformats.org/officeDocument/2006/relationships/hyperlink" Target="https://www.eiopa.europa.eu/document/download/d3e95b85-875f-4b7e-83de-e3b7c829afa4_en?filename=EIOPA-BoS-25-418-Technical%20input%20to%20EC%20IORP%20II%20PEPP.pdf" TargetMode="External"/><Relationship Id="rId33" Type="http://schemas.openxmlformats.org/officeDocument/2006/relationships/hyperlink" Target="http://data.europa.eu/eli/reg/2011/182/oj" TargetMode="External"/><Relationship Id="rId2" Type="http://schemas.openxmlformats.org/officeDocument/2006/relationships/hyperlink" Target="https://commission.europa.eu/topics/eu-competitiveness/draghi-report_pl" TargetMode="External"/><Relationship Id="rId16" Type="http://schemas.openxmlformats.org/officeDocument/2006/relationships/hyperlink" Target="http://data.europa.eu/eli/dir/2016/2341/oj" TargetMode="External"/><Relationship Id="rId20" Type="http://schemas.openxmlformats.org/officeDocument/2006/relationships/hyperlink" Target="https://finance.ec.europa.eu/events/stakeholder-forum-reality-check-retirement-savings-2025-06-16_pl" TargetMode="External"/><Relationship Id="rId29" Type="http://schemas.openxmlformats.org/officeDocument/2006/relationships/hyperlink" Target="http://data.europa.eu/eli/reg/2019/1238/oj" TargetMode="External"/><Relationship Id="rId1" Type="http://schemas.openxmlformats.org/officeDocument/2006/relationships/hyperlink" Target="https://commission.europa.eu/system/files/2017-11/social-summit-european-pillar-social-rights-booklet_en.pdf" TargetMode="External"/><Relationship Id="rId6" Type="http://schemas.openxmlformats.org/officeDocument/2006/relationships/hyperlink" Target="https://ec.europa.eu/social/BlobServlet?docId=26001&amp;langId=pl" TargetMode="External"/><Relationship Id="rId11" Type="http://schemas.openxmlformats.org/officeDocument/2006/relationships/hyperlink" Target="http://data.europa.eu/eli/dir/2003/41/oj" TargetMode="External"/><Relationship Id="rId24" Type="http://schemas.openxmlformats.org/officeDocument/2006/relationships/hyperlink" Target="https://www.eiopa.europa.eu/system/files/2023-09/EIOPA-BoS-23-341-Advice_IORPII_review.pdf" TargetMode="External"/><Relationship Id="rId32" Type="http://schemas.openxmlformats.org/officeDocument/2006/relationships/hyperlink" Target="http://data.europa.eu/eli/dir/2009/138/oj" TargetMode="External"/><Relationship Id="rId5" Type="http://schemas.openxmlformats.org/officeDocument/2006/relationships/hyperlink" Target="https://www.consilium.europa.eu/media/x3tplb5k/european-council-conclusions-pl.pdf" TargetMode="External"/><Relationship Id="rId15" Type="http://schemas.openxmlformats.org/officeDocument/2006/relationships/hyperlink" Target="http://data.europa.eu/eli/dir/2014/50/oj" TargetMode="External"/><Relationship Id="rId23" Type="http://schemas.openxmlformats.org/officeDocument/2006/relationships/hyperlink" Target="https://eur-lex.europa.eu/legal-content/pl/TXT/?uri=celex:52025DC0124" TargetMode="External"/><Relationship Id="rId28" Type="http://schemas.openxmlformats.org/officeDocument/2006/relationships/hyperlink" Target="http://data.europa.eu/eli/reg/2018/231/oj" TargetMode="External"/><Relationship Id="rId10" Type="http://schemas.openxmlformats.org/officeDocument/2006/relationships/hyperlink" Target="http://data.europa.eu/eli/dir/2008/94/oj" TargetMode="External"/><Relationship Id="rId19" Type="http://schemas.openxmlformats.org/officeDocument/2006/relationships/hyperlink" Target="https://www.eiopa.europa.eu/publications/technical-advice-review-iorp-ii-directive_pl" TargetMode="External"/><Relationship Id="rId31" Type="http://schemas.openxmlformats.org/officeDocument/2006/relationships/hyperlink" Target="http://data.europa.eu/eli/dir/2009/65/oj" TargetMode="External"/><Relationship Id="rId4" Type="http://schemas.openxmlformats.org/officeDocument/2006/relationships/hyperlink" Target="https://data.consilium.europa.eu/doc/document/ST-12-2024-INIT/pl/pdf" TargetMode="External"/><Relationship Id="rId9" Type="http://schemas.openxmlformats.org/officeDocument/2006/relationships/hyperlink" Target="https://commission.europa.eu/document/download/ac06a896-2645-4857-9958-467d2ce6f221_pl?filename=Mission%20letter%20-%20ALBUQUERQUE.pdf" TargetMode="External"/><Relationship Id="rId14" Type="http://schemas.openxmlformats.org/officeDocument/2006/relationships/hyperlink" Target="http://data.europa.eu/eli/dir/1998/49/oj" TargetMode="External"/><Relationship Id="rId22" Type="http://schemas.openxmlformats.org/officeDocument/2006/relationships/hyperlink" Target="http://data.europa.eu/eli/dir/2016/2341/oj" TargetMode="External"/><Relationship Id="rId27" Type="http://schemas.openxmlformats.org/officeDocument/2006/relationships/hyperlink" Target="https://www.oecd.org/content/dam/oecd/en/publications/reports/2016/09/oecd-core-principles-of-private-pension-regulation_daeacf05/c950bb36-en.pdf" TargetMode="External"/><Relationship Id="rId30" Type="http://schemas.openxmlformats.org/officeDocument/2006/relationships/hyperlink" Target="http://data.europa.eu/eli/dir/1979/267/oj" TargetMode="External"/><Relationship Id="rId8" Type="http://schemas.openxmlformats.org/officeDocument/2006/relationships/hyperlink" Target="https://eceuropaeu.sharepoint.com/teams/GRP-FISMAD4/Shared%20Documents/Pension%20issues(IORP%20II%20rev,%20PEPP,%20gen%20pension%20iss)/IORP%20and%20PEPP%202025%20reviews/Draft%20legislative%20proposals/e6cd4328-673c-4e7a-8683-f63ffb2cf648_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75CF20-F4A8-4DBC-AA29-07356B324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5</TotalTime>
  <Pages>2</Pages>
  <Words>28835</Words>
  <Characters>198385</Characters>
  <Application>Microsoft Office Word</Application>
  <DocSecurity>0</DocSecurity>
  <Lines>11669</Lines>
  <Paragraphs>7100</Paragraphs>
  <ScaleCrop>false</ScaleCrop>
  <Manager/>
  <Company/>
  <LinksUpToDate>false</LinksUpToDate>
  <CharactersWithSpaces>220120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2025-11-15T17:26:00Z</dcterms:created>
  <dcterms:modified xsi:type="dcterms:W3CDTF">2026-02-09T17:09:00Z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9.2, Build 20250828</vt:lpwstr>
  </property>
  <property fmtid="{D5CDD505-2E9C-101B-9397-08002B2CF9AE}" pid="3" name="MSIP_Label_6bd9ddd1-4d20-43f6-abfa-fc3c07406f94_Enabled">
    <vt:lpwstr>true</vt:lpwstr>
  </property>
  <property fmtid="{D5CDD505-2E9C-101B-9397-08002B2CF9AE}" pid="4" name="MSIP_Label_6bd9ddd1-4d20-43f6-abfa-fc3c07406f94_SetDate">
    <vt:lpwstr>2025-11-15T17:09:10Z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936aced0-b690-43a5-bae8-8e88d4905e0b</vt:lpwstr>
  </property>
  <property fmtid="{D5CDD505-2E9C-101B-9397-08002B2CF9AE}" pid="9" name="MSIP_Label_6bd9ddd1-4d20-43f6-abfa-fc3c07406f94_ContentBits">
    <vt:lpwstr>0</vt:lpwstr>
  </property>
  <property fmtid="{D5CDD505-2E9C-101B-9397-08002B2CF9AE}" pid="10" name="MSIP_Label_6bd9ddd1-4d20-43f6-abfa-fc3c07406f94_Tag">
    <vt:lpwstr>10, 3, 0, 1</vt:lpwstr>
  </property>
  <property fmtid="{D5CDD505-2E9C-101B-9397-08002B2CF9AE}" pid="11" name="Category">
    <vt:lpwstr>COM/PL/ORG</vt:lpwstr>
  </property>
  <property fmtid="{D5CDD505-2E9C-101B-9397-08002B2CF9AE}" pid="12" name="Level of sensitivity">
    <vt:lpwstr>Standard treatment</vt:lpwstr>
  </property>
  <property fmtid="{D5CDD505-2E9C-101B-9397-08002B2CF9AE}" pid="13" name="Part">
    <vt:lpwstr>1</vt:lpwstr>
  </property>
  <property fmtid="{D5CDD505-2E9C-101B-9397-08002B2CF9AE}" pid="14" name="Total parts">
    <vt:lpwstr>1</vt:lpwstr>
  </property>
  <property fmtid="{D5CDD505-2E9C-101B-9397-08002B2CF9AE}" pid="15" name="LWTemplateID">
    <vt:lpwstr>SJ-024</vt:lpwstr>
  </property>
  <property fmtid="{D5CDD505-2E9C-101B-9397-08002B2CF9AE}" pid="16" name="DQCStatus">
    <vt:lpwstr>Yellow (DQC version 03)</vt:lpwstr>
  </property>
</Properties>
</file>