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28" w:rsidRPr="009B7420" w:rsidRDefault="00893B9B" w:rsidP="00893B9B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91614EF5-D1C0-40F3-8F35-B47DCAF362C0" style="width:455.25pt;height:355.5pt">
            <v:imagedata r:id="rId11" o:title=""/>
          </v:shape>
        </w:pict>
      </w:r>
    </w:p>
    <w:p w:rsidR="00090D28" w:rsidRPr="009B7420" w:rsidRDefault="00090D28" w:rsidP="00090D28">
      <w:pPr>
        <w:rPr>
          <w:noProof/>
        </w:rPr>
        <w:sectPr w:rsidR="00090D28" w:rsidRPr="009B7420" w:rsidSect="00893B9B">
          <w:footerReference w:type="even" r:id="rId12"/>
          <w:footerReference w:type="defaul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090D28" w:rsidRPr="009B7420" w:rsidRDefault="00090D28" w:rsidP="002E4E88">
      <w:pPr>
        <w:pStyle w:val="Exposdesmotifstitre"/>
        <w:rPr>
          <w:noProof/>
        </w:rPr>
      </w:pPr>
      <w:bookmarkStart w:id="0" w:name="_GoBack"/>
      <w:bookmarkEnd w:id="0"/>
      <w:r w:rsidRPr="009B7420">
        <w:rPr>
          <w:noProof/>
        </w:rPr>
        <w:lastRenderedPageBreak/>
        <w:t>UZASADNIENIE</w:t>
      </w:r>
    </w:p>
    <w:p w:rsidR="00090D28" w:rsidRPr="009B7420" w:rsidRDefault="00090D28" w:rsidP="002E4E88">
      <w:pPr>
        <w:pStyle w:val="ManualHeading1"/>
        <w:rPr>
          <w:noProof/>
        </w:rPr>
      </w:pPr>
      <w:r w:rsidRPr="009B7420">
        <w:rPr>
          <w:noProof/>
        </w:rPr>
        <w:t>1.</w:t>
      </w:r>
      <w:r w:rsidRPr="009B7420">
        <w:rPr>
          <w:noProof/>
        </w:rPr>
        <w:tab/>
        <w:t>KONTEKST WNIOSKU</w:t>
      </w:r>
    </w:p>
    <w:p w:rsidR="00090D28" w:rsidRPr="009B7420" w:rsidRDefault="00090D28" w:rsidP="002E4E88">
      <w:pPr>
        <w:pStyle w:val="ManualHeading2"/>
        <w:rPr>
          <w:rFonts w:eastAsia="Arial Unicode MS"/>
          <w:noProof/>
        </w:rPr>
      </w:pPr>
      <w:r w:rsidRPr="009B7420">
        <w:rPr>
          <w:noProof/>
          <w:color w:val="000000"/>
          <w:u w:color="000000"/>
          <w:bdr w:val="nil"/>
        </w:rPr>
        <w:t>•</w:t>
      </w:r>
      <w:r w:rsidRPr="009B7420">
        <w:rPr>
          <w:noProof/>
        </w:rPr>
        <w:tab/>
        <w:t>Przyczyny</w:t>
      </w:r>
      <w:r w:rsidR="009B7420" w:rsidRPr="009B7420">
        <w:rPr>
          <w:noProof/>
        </w:rPr>
        <w:t xml:space="preserve"> i cel</w:t>
      </w:r>
      <w:r w:rsidRPr="009B7420">
        <w:rPr>
          <w:noProof/>
        </w:rPr>
        <w:t>e wniosku</w:t>
      </w:r>
    </w:p>
    <w:p w:rsidR="00FA15BD" w:rsidRPr="009B7420" w:rsidRDefault="00FA15BD" w:rsidP="00FA15BD">
      <w:pPr>
        <w:rPr>
          <w:noProof/>
        </w:rPr>
      </w:pPr>
      <w:r w:rsidRPr="009B7420">
        <w:rPr>
          <w:noProof/>
        </w:rPr>
        <w:t>Dyrektywa Rady (UE) 2020/262</w:t>
      </w:r>
      <w:r w:rsidRPr="009B7420">
        <w:rPr>
          <w:rStyle w:val="FootnoteReference"/>
          <w:noProof/>
        </w:rPr>
        <w:footnoteReference w:id="2"/>
      </w:r>
      <w:r w:rsidRPr="009B7420">
        <w:rPr>
          <w:noProof/>
        </w:rPr>
        <w:t xml:space="preserve"> (zwana dalej „dyrektywą”) określa ogólne zasady dotyczące wyrobów objętych podatkiem akcyzowym, ze szczególnym uwzględnieniem produkcji, magazynowania</w:t>
      </w:r>
      <w:r w:rsidR="009B7420" w:rsidRPr="009B7420">
        <w:rPr>
          <w:noProof/>
        </w:rPr>
        <w:t xml:space="preserve"> i prz</w:t>
      </w:r>
      <w:r w:rsidRPr="009B7420">
        <w:rPr>
          <w:noProof/>
        </w:rPr>
        <w:t>emieszczania wyrobów akcyzowych między państwami członkowskimi. Dyrektywa ta zastąpiła dyrektywę Rady 2008/118/WE</w:t>
      </w:r>
      <w:r w:rsidRPr="009B7420">
        <w:rPr>
          <w:rStyle w:val="FootnoteReference"/>
          <w:noProof/>
        </w:rPr>
        <w:footnoteReference w:id="3"/>
      </w:r>
      <w:r w:rsidRPr="009B7420">
        <w:rPr>
          <w:noProof/>
        </w:rPr>
        <w:t>. Głównym celem dyrektywy jest umożliwienie swobodnego przepływu towarów w UE,</w:t>
      </w:r>
      <w:r w:rsidR="009B7420" w:rsidRPr="009B7420">
        <w:rPr>
          <w:noProof/>
        </w:rPr>
        <w:t xml:space="preserve"> a jed</w:t>
      </w:r>
      <w:r w:rsidRPr="009B7420">
        <w:rPr>
          <w:noProof/>
        </w:rPr>
        <w:t>nocześnie zapewnienie poboru prawidłowych należności podatkowych przez państwa członkowskie.</w:t>
      </w:r>
    </w:p>
    <w:p w:rsidR="00F23E94" w:rsidRPr="009B7420" w:rsidRDefault="009922AF" w:rsidP="00F23E94">
      <w:pPr>
        <w:rPr>
          <w:noProof/>
        </w:rPr>
      </w:pPr>
      <w:r w:rsidRPr="009B7420">
        <w:rPr>
          <w:noProof/>
        </w:rPr>
        <w:t>Niniejsza techniczna zmiana dyrektywy wynika</w:t>
      </w:r>
      <w:r w:rsidR="009B7420" w:rsidRPr="009B7420">
        <w:rPr>
          <w:noProof/>
        </w:rPr>
        <w:t xml:space="preserve"> z prz</w:t>
      </w:r>
      <w:r w:rsidRPr="009B7420">
        <w:rPr>
          <w:noProof/>
        </w:rPr>
        <w:t>eglądu dyrektywy Rady 2011/64/UE</w:t>
      </w:r>
      <w:r w:rsidR="009B7420" w:rsidRPr="009B7420">
        <w:rPr>
          <w:noProof/>
        </w:rPr>
        <w:t xml:space="preserve"> w spr</w:t>
      </w:r>
      <w:r w:rsidRPr="009B7420">
        <w:rPr>
          <w:noProof/>
        </w:rPr>
        <w:t>awie struktury oraz stawek akcyzy stosowanych do wyrobów tytoniowych</w:t>
      </w:r>
      <w:r w:rsidRPr="009B7420">
        <w:rPr>
          <w:rStyle w:val="FootnoteReference"/>
          <w:noProof/>
        </w:rPr>
        <w:footnoteReference w:id="4"/>
      </w:r>
      <w:r w:rsidRPr="009B7420">
        <w:rPr>
          <w:noProof/>
        </w:rPr>
        <w:t>. Kontekst niniejszej inicjatywy przedstawiono szczegółowo</w:t>
      </w:r>
      <w:r w:rsidR="009B7420" w:rsidRPr="009B7420">
        <w:rPr>
          <w:noProof/>
        </w:rPr>
        <w:t xml:space="preserve"> w uza</w:t>
      </w:r>
      <w:r w:rsidRPr="009B7420">
        <w:rPr>
          <w:noProof/>
        </w:rPr>
        <w:t>sadnieniu wniosku dotyczącego dyrektywy Rady</w:t>
      </w:r>
      <w:r w:rsidR="009B7420" w:rsidRPr="009B7420">
        <w:rPr>
          <w:noProof/>
        </w:rPr>
        <w:t xml:space="preserve"> w spr</w:t>
      </w:r>
      <w:r w:rsidRPr="009B7420">
        <w:rPr>
          <w:noProof/>
        </w:rPr>
        <w:t>awie struktury oraz stawek akcyzy stosowanych do tytoniu</w:t>
      </w:r>
      <w:r w:rsidR="009B7420" w:rsidRPr="009B7420">
        <w:rPr>
          <w:noProof/>
        </w:rPr>
        <w:t xml:space="preserve"> i sub</w:t>
      </w:r>
      <w:r w:rsidRPr="009B7420">
        <w:rPr>
          <w:noProof/>
        </w:rPr>
        <w:t>stytucyjnych wyrobów tytoniowych</w:t>
      </w:r>
      <w:r w:rsidRPr="009B7420">
        <w:rPr>
          <w:rStyle w:val="FootnoteReference"/>
          <w:noProof/>
        </w:rPr>
        <w:footnoteReference w:id="5"/>
      </w:r>
      <w:r w:rsidRPr="009B7420">
        <w:rPr>
          <w:noProof/>
        </w:rPr>
        <w:t>. Projekt wniosku przewiduje zmianę dyrektywy Rady 2011/64/UE polegającą na lepszym przystosowaniu opodatkowania tytoniu</w:t>
      </w:r>
      <w:r w:rsidR="009B7420" w:rsidRPr="009B7420">
        <w:rPr>
          <w:noProof/>
        </w:rPr>
        <w:t xml:space="preserve"> i sub</w:t>
      </w:r>
      <w:r w:rsidRPr="009B7420">
        <w:rPr>
          <w:noProof/>
        </w:rPr>
        <w:t>stytucyjnych wyrobów tytoniowych do celów zdrowotnych oraz na dostosowaniu tego opodatkowania do zmian</w:t>
      </w:r>
      <w:r w:rsidR="009B7420" w:rsidRPr="009B7420">
        <w:rPr>
          <w:noProof/>
        </w:rPr>
        <w:t xml:space="preserve"> i now</w:t>
      </w:r>
      <w:r w:rsidRPr="009B7420">
        <w:rPr>
          <w:noProof/>
        </w:rPr>
        <w:t>ych tendencji rynkowych poprzez wprowadzenie zharmonizowanych przepisów dotyczących podatku akcyzowego od nowych wyrobów (takich jak podgrzewane wyroby tytoniowe, płyny do papierosów elektronicznych</w:t>
      </w:r>
      <w:r w:rsidR="009B7420" w:rsidRPr="009B7420">
        <w:rPr>
          <w:noProof/>
        </w:rPr>
        <w:t xml:space="preserve"> i inn</w:t>
      </w:r>
      <w:r w:rsidRPr="009B7420">
        <w:rPr>
          <w:noProof/>
        </w:rPr>
        <w:t>e wyroby zawierające nikotynę) oraz od surowca tytoniowego.</w:t>
      </w:r>
    </w:p>
    <w:p w:rsidR="009922AF" w:rsidRPr="009B7420" w:rsidRDefault="00F23E94" w:rsidP="00FA15BD">
      <w:pPr>
        <w:rPr>
          <w:noProof/>
        </w:rPr>
      </w:pPr>
      <w:r w:rsidRPr="009B7420">
        <w:rPr>
          <w:noProof/>
        </w:rPr>
        <w:t>Wniosek dotyczący zmiany dyrektywy jest konieczny, by zagwarantować pewność prawa</w:t>
      </w:r>
      <w:r w:rsidR="009B7420" w:rsidRPr="009B7420">
        <w:rPr>
          <w:noProof/>
        </w:rPr>
        <w:t xml:space="preserve"> i zap</w:t>
      </w:r>
      <w:r w:rsidRPr="009B7420">
        <w:rPr>
          <w:noProof/>
        </w:rPr>
        <w:t>ewnić, że ogólne zasady dotyczące podatku akcyzowego będą miały również zastosowanie do nowo zdefiniowanych: tytoniu</w:t>
      </w:r>
      <w:r w:rsidR="009B7420" w:rsidRPr="009B7420">
        <w:rPr>
          <w:noProof/>
        </w:rPr>
        <w:t xml:space="preserve"> i sub</w:t>
      </w:r>
      <w:r w:rsidRPr="009B7420">
        <w:rPr>
          <w:noProof/>
        </w:rPr>
        <w:t xml:space="preserve">stytucyjnych wyrobów tytoniowych oraz do surowca tytoniowego. </w:t>
      </w:r>
    </w:p>
    <w:p w:rsidR="00090D28" w:rsidRPr="009B7420" w:rsidRDefault="00090D28" w:rsidP="002E4E88">
      <w:pPr>
        <w:pStyle w:val="ManualHeading2"/>
        <w:rPr>
          <w:rFonts w:eastAsia="Arial Unicode MS"/>
          <w:noProof/>
          <w:color w:val="000000"/>
          <w:u w:color="000000"/>
          <w:bdr w:val="nil"/>
        </w:rPr>
      </w:pPr>
      <w:r w:rsidRPr="009B7420">
        <w:rPr>
          <w:noProof/>
          <w:color w:val="000000"/>
          <w:u w:color="000000"/>
          <w:bdr w:val="nil"/>
        </w:rPr>
        <w:t>•</w:t>
      </w:r>
      <w:r w:rsidRPr="009B7420">
        <w:rPr>
          <w:noProof/>
        </w:rPr>
        <w:tab/>
        <w:t>Spójność</w:t>
      </w:r>
      <w:r w:rsidR="009B7420" w:rsidRPr="009B7420">
        <w:rPr>
          <w:noProof/>
        </w:rPr>
        <w:t xml:space="preserve"> z prz</w:t>
      </w:r>
      <w:r w:rsidRPr="009B7420">
        <w:rPr>
          <w:noProof/>
        </w:rPr>
        <w:t>episami obowiązującymi</w:t>
      </w:r>
      <w:r w:rsidR="009B7420" w:rsidRPr="009B7420">
        <w:rPr>
          <w:noProof/>
        </w:rPr>
        <w:t xml:space="preserve"> w tej</w:t>
      </w:r>
      <w:r w:rsidRPr="009B7420">
        <w:rPr>
          <w:noProof/>
        </w:rPr>
        <w:t xml:space="preserve"> dziedzinie polityki</w:t>
      </w:r>
    </w:p>
    <w:p w:rsidR="00414C92" w:rsidRPr="009B7420" w:rsidRDefault="00414C92" w:rsidP="00414C92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9B7420">
        <w:rPr>
          <w:noProof/>
        </w:rPr>
        <w:t>Wniosek jest zgodny</w:t>
      </w:r>
      <w:r w:rsidR="009B7420" w:rsidRPr="009B7420">
        <w:rPr>
          <w:noProof/>
        </w:rPr>
        <w:t xml:space="preserve"> z cel</w:t>
      </w:r>
      <w:r w:rsidRPr="009B7420">
        <w:rPr>
          <w:noProof/>
        </w:rPr>
        <w:t>ami dyrektywy, tj.</w:t>
      </w:r>
      <w:r w:rsidR="009B7420" w:rsidRPr="009B7420">
        <w:rPr>
          <w:noProof/>
        </w:rPr>
        <w:t xml:space="preserve"> z zap</w:t>
      </w:r>
      <w:r w:rsidRPr="009B7420">
        <w:rPr>
          <w:noProof/>
        </w:rPr>
        <w:t>ewnieniem sprawnego funkcjonowania rynku wewnętrznego</w:t>
      </w:r>
      <w:r w:rsidR="009B7420" w:rsidRPr="009B7420">
        <w:rPr>
          <w:noProof/>
        </w:rPr>
        <w:t xml:space="preserve"> i zap</w:t>
      </w:r>
      <w:r w:rsidRPr="009B7420">
        <w:rPr>
          <w:noProof/>
        </w:rPr>
        <w:t xml:space="preserve">ewnieniem skutecznego opodatkowania. </w:t>
      </w:r>
    </w:p>
    <w:p w:rsidR="00090D28" w:rsidRPr="009B7420" w:rsidRDefault="00090D28" w:rsidP="002E4E88">
      <w:pPr>
        <w:pStyle w:val="ManualHeading2"/>
        <w:rPr>
          <w:rFonts w:eastAsia="Arial Unicode MS"/>
          <w:noProof/>
        </w:rPr>
      </w:pPr>
      <w:r w:rsidRPr="009B7420">
        <w:rPr>
          <w:noProof/>
          <w:color w:val="000000"/>
          <w:u w:color="000000"/>
          <w:bdr w:val="nil"/>
        </w:rPr>
        <w:t>•</w:t>
      </w:r>
      <w:r w:rsidRPr="009B7420">
        <w:rPr>
          <w:noProof/>
        </w:rPr>
        <w:tab/>
        <w:t>Spójność</w:t>
      </w:r>
      <w:r w:rsidR="009B7420" w:rsidRPr="009B7420">
        <w:rPr>
          <w:noProof/>
        </w:rPr>
        <w:t xml:space="preserve"> z inn</w:t>
      </w:r>
      <w:r w:rsidRPr="009B7420">
        <w:rPr>
          <w:noProof/>
        </w:rPr>
        <w:t>ymi politykami Unii</w:t>
      </w:r>
    </w:p>
    <w:p w:rsidR="00414C92" w:rsidRPr="009B7420" w:rsidRDefault="00414C92" w:rsidP="00414C92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9B7420">
        <w:rPr>
          <w:noProof/>
        </w:rPr>
        <w:t>Zmiana dyrektywy jest spójna</w:t>
      </w:r>
      <w:r w:rsidR="009B7420" w:rsidRPr="009B7420">
        <w:rPr>
          <w:noProof/>
        </w:rPr>
        <w:t xml:space="preserve"> z pro</w:t>
      </w:r>
      <w:r w:rsidRPr="009B7420">
        <w:rPr>
          <w:noProof/>
        </w:rPr>
        <w:t>ponowanym przeglądem dyrektywy Rady 2011/64/UE, której cele są takie same jak cele dyrektywy</w:t>
      </w:r>
      <w:r w:rsidR="009B7420" w:rsidRPr="009B7420">
        <w:rPr>
          <w:noProof/>
        </w:rPr>
        <w:t xml:space="preserve"> i pol</w:t>
      </w:r>
      <w:r w:rsidRPr="009B7420">
        <w:rPr>
          <w:noProof/>
        </w:rPr>
        <w:t>egają na zapewnieniu prawidłowego funkcjonowania rynku wewnętrznego</w:t>
      </w:r>
      <w:r w:rsidR="009B7420" w:rsidRPr="009B7420">
        <w:rPr>
          <w:noProof/>
        </w:rPr>
        <w:t xml:space="preserve"> i sku</w:t>
      </w:r>
      <w:r w:rsidRPr="009B7420">
        <w:rPr>
          <w:noProof/>
        </w:rPr>
        <w:t>tecznego zarządzania akcyzą.</w:t>
      </w:r>
    </w:p>
    <w:p w:rsidR="00090D28" w:rsidRPr="009B7420" w:rsidRDefault="00090D28" w:rsidP="002E4E88">
      <w:pPr>
        <w:pStyle w:val="ManualHeading1"/>
        <w:rPr>
          <w:noProof/>
        </w:rPr>
      </w:pPr>
      <w:r w:rsidRPr="009B7420">
        <w:rPr>
          <w:noProof/>
        </w:rPr>
        <w:t>2.</w:t>
      </w:r>
      <w:r w:rsidRPr="009B7420">
        <w:rPr>
          <w:noProof/>
        </w:rPr>
        <w:tab/>
        <w:t>PODSTAWA PRAWNA, POMOCNICZOŚĆ I PROPORCJONALNOŚĆ</w:t>
      </w:r>
    </w:p>
    <w:p w:rsidR="00090D28" w:rsidRPr="009B7420" w:rsidRDefault="00090D28" w:rsidP="002E4E88">
      <w:pPr>
        <w:pStyle w:val="ManualHeading2"/>
        <w:rPr>
          <w:rFonts w:eastAsia="Arial Unicode MS"/>
          <w:noProof/>
          <w:u w:color="000000"/>
          <w:bdr w:val="nil"/>
        </w:rPr>
      </w:pPr>
      <w:r w:rsidRPr="009B7420">
        <w:rPr>
          <w:noProof/>
          <w:u w:color="000000"/>
          <w:bdr w:val="nil"/>
        </w:rPr>
        <w:t>•</w:t>
      </w:r>
      <w:r w:rsidRPr="009B7420">
        <w:rPr>
          <w:noProof/>
        </w:rPr>
        <w:tab/>
      </w:r>
      <w:r w:rsidRPr="009B7420">
        <w:rPr>
          <w:noProof/>
          <w:u w:color="000000"/>
          <w:bdr w:val="nil"/>
        </w:rPr>
        <w:t>Podstawa prawna</w:t>
      </w:r>
    </w:p>
    <w:p w:rsidR="00414C92" w:rsidRPr="009B7420" w:rsidRDefault="00414C92" w:rsidP="00414C92">
      <w:pPr>
        <w:rPr>
          <w:noProof/>
        </w:rPr>
      </w:pPr>
      <w:r w:rsidRPr="009B7420">
        <w:rPr>
          <w:noProof/>
        </w:rPr>
        <w:t>Podstawę niniejszego wniosku stanowi art. 113 Traktatu</w:t>
      </w:r>
      <w:r w:rsidR="009B7420" w:rsidRPr="009B7420">
        <w:rPr>
          <w:noProof/>
        </w:rPr>
        <w:t xml:space="preserve"> o fun</w:t>
      </w:r>
      <w:r w:rsidRPr="009B7420">
        <w:rPr>
          <w:noProof/>
        </w:rPr>
        <w:t>kcjonowaniu Unii Europejskiej (TFUE)</w:t>
      </w:r>
      <w:r w:rsidRPr="009B7420">
        <w:rPr>
          <w:rStyle w:val="FootnoteReference"/>
          <w:noProof/>
        </w:rPr>
        <w:footnoteReference w:id="6"/>
      </w:r>
      <w:r w:rsidRPr="009B7420">
        <w:rPr>
          <w:noProof/>
        </w:rPr>
        <w:t>. Artykuł ten przewiduje, że Rada, stanowiąc jednomyślnie zgodnie ze specjalną procedurą ustawodawczą i po konsultacji</w:t>
      </w:r>
      <w:r w:rsidR="009B7420" w:rsidRPr="009B7420">
        <w:rPr>
          <w:noProof/>
        </w:rPr>
        <w:t xml:space="preserve"> z Par</w:t>
      </w:r>
      <w:r w:rsidRPr="009B7420">
        <w:rPr>
          <w:noProof/>
        </w:rPr>
        <w:t>lamentem Europejskim oraz Komitetem Ekonomiczno-Społecznym, uchwala przepisy dotyczące harmonizacji ustawodawstw państw członkowskich odnoszących się do podatków pośrednich.</w:t>
      </w:r>
    </w:p>
    <w:p w:rsidR="00090D28" w:rsidRPr="009B7420" w:rsidRDefault="00090D28" w:rsidP="002E4E88">
      <w:pPr>
        <w:pStyle w:val="ManualHeading2"/>
        <w:rPr>
          <w:rFonts w:eastAsia="Arial Unicode MS"/>
          <w:noProof/>
          <w:u w:color="000000"/>
          <w:bdr w:val="nil"/>
        </w:rPr>
      </w:pPr>
      <w:r w:rsidRPr="009B7420">
        <w:rPr>
          <w:noProof/>
          <w:u w:color="000000"/>
          <w:bdr w:val="nil"/>
        </w:rPr>
        <w:t>•</w:t>
      </w:r>
      <w:r w:rsidRPr="009B7420">
        <w:rPr>
          <w:noProof/>
        </w:rPr>
        <w:tab/>
      </w:r>
      <w:r w:rsidRPr="009B7420">
        <w:rPr>
          <w:noProof/>
          <w:u w:color="000000"/>
          <w:bdr w:val="nil"/>
        </w:rPr>
        <w:t xml:space="preserve">Pomocniczość (w przypadku kompetencji niewyłącznych) </w:t>
      </w:r>
    </w:p>
    <w:p w:rsidR="00414C92" w:rsidRPr="009B7420" w:rsidRDefault="00414C92" w:rsidP="00414C92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9B7420">
        <w:rPr>
          <w:noProof/>
        </w:rPr>
        <w:t>Zgodnie</w:t>
      </w:r>
      <w:r w:rsidR="009B7420" w:rsidRPr="009B7420">
        <w:rPr>
          <w:noProof/>
        </w:rPr>
        <w:t xml:space="preserve"> z zas</w:t>
      </w:r>
      <w:r w:rsidRPr="009B7420">
        <w:rPr>
          <w:noProof/>
        </w:rPr>
        <w:t>adami pomocniczości</w:t>
      </w:r>
      <w:r w:rsidR="009B7420" w:rsidRPr="009B7420">
        <w:rPr>
          <w:noProof/>
        </w:rPr>
        <w:t xml:space="preserve"> i pro</w:t>
      </w:r>
      <w:r w:rsidRPr="009B7420">
        <w:rPr>
          <w:noProof/>
        </w:rPr>
        <w:t>porcjonalności określonymi</w:t>
      </w:r>
      <w:r w:rsidR="009B7420" w:rsidRPr="009B7420">
        <w:rPr>
          <w:noProof/>
        </w:rPr>
        <w:t xml:space="preserve"> w art</w:t>
      </w:r>
      <w:r w:rsidRPr="009B7420">
        <w:rPr>
          <w:noProof/>
        </w:rPr>
        <w:t>.</w:t>
      </w:r>
      <w:r w:rsidR="009B7420" w:rsidRPr="009B7420">
        <w:rPr>
          <w:noProof/>
        </w:rPr>
        <w:t> </w:t>
      </w:r>
      <w:r w:rsidRPr="009B7420">
        <w:rPr>
          <w:noProof/>
        </w:rPr>
        <w:t>5 TFUE cele niniejszego wniosku nie mogą zostać</w:t>
      </w:r>
      <w:r w:rsidR="009B7420" w:rsidRPr="009B7420">
        <w:rPr>
          <w:noProof/>
        </w:rPr>
        <w:t xml:space="preserve"> w wys</w:t>
      </w:r>
      <w:r w:rsidRPr="009B7420">
        <w:rPr>
          <w:noProof/>
        </w:rPr>
        <w:t xml:space="preserve">tarczającym stopniu osiągnięte przez same państwa członkowskie, natomiast możliwe jest ich skuteczniejsze osiągnięcie na szczeblu Unii. </w:t>
      </w:r>
    </w:p>
    <w:p w:rsidR="00090D28" w:rsidRPr="009B7420" w:rsidRDefault="00090D28" w:rsidP="002E4E88">
      <w:pPr>
        <w:pStyle w:val="ManualHeading2"/>
        <w:rPr>
          <w:rFonts w:eastAsia="Arial Unicode MS"/>
          <w:noProof/>
          <w:u w:color="000000"/>
          <w:bdr w:val="nil"/>
        </w:rPr>
      </w:pPr>
      <w:r w:rsidRPr="009B7420">
        <w:rPr>
          <w:noProof/>
          <w:u w:color="000000"/>
          <w:bdr w:val="nil"/>
        </w:rPr>
        <w:t>•</w:t>
      </w:r>
      <w:r w:rsidRPr="009B7420">
        <w:rPr>
          <w:noProof/>
        </w:rPr>
        <w:tab/>
      </w:r>
      <w:r w:rsidRPr="009B7420">
        <w:rPr>
          <w:noProof/>
          <w:u w:color="000000"/>
          <w:bdr w:val="nil"/>
        </w:rPr>
        <w:t>Proporcjonalność</w:t>
      </w:r>
    </w:p>
    <w:p w:rsidR="00414C92" w:rsidRPr="009B7420" w:rsidRDefault="00414C92" w:rsidP="00414C92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9B7420">
        <w:rPr>
          <w:noProof/>
        </w:rPr>
        <w:t>Niniejszy wniosek jest zgodny</w:t>
      </w:r>
      <w:r w:rsidR="009B7420" w:rsidRPr="009B7420">
        <w:rPr>
          <w:noProof/>
        </w:rPr>
        <w:t xml:space="preserve"> z zas</w:t>
      </w:r>
      <w:r w:rsidRPr="009B7420">
        <w:rPr>
          <w:noProof/>
        </w:rPr>
        <w:t>adą proporcjonalności określoną</w:t>
      </w:r>
      <w:r w:rsidR="009B7420" w:rsidRPr="009B7420">
        <w:rPr>
          <w:noProof/>
        </w:rPr>
        <w:t xml:space="preserve"> w art</w:t>
      </w:r>
      <w:r w:rsidRPr="009B7420">
        <w:rPr>
          <w:noProof/>
        </w:rPr>
        <w:t>.</w:t>
      </w:r>
      <w:r w:rsidR="009B7420" w:rsidRPr="009B7420">
        <w:rPr>
          <w:noProof/>
        </w:rPr>
        <w:t> </w:t>
      </w:r>
      <w:r w:rsidRPr="009B7420">
        <w:rPr>
          <w:noProof/>
        </w:rPr>
        <w:t>5 ust.</w:t>
      </w:r>
      <w:r w:rsidR="009B7420" w:rsidRPr="009B7420">
        <w:rPr>
          <w:noProof/>
        </w:rPr>
        <w:t> </w:t>
      </w:r>
      <w:r w:rsidRPr="009B7420">
        <w:rPr>
          <w:noProof/>
        </w:rPr>
        <w:t>4 TFUE. Proponowane zmiany nie wykraczają poza to, co jest konieczne do rozwiązania przedmiotowych kwestii i do zapewnienia prawidłowego</w:t>
      </w:r>
      <w:r w:rsidR="009B7420" w:rsidRPr="009B7420">
        <w:rPr>
          <w:noProof/>
        </w:rPr>
        <w:t xml:space="preserve"> i sku</w:t>
      </w:r>
      <w:r w:rsidRPr="009B7420">
        <w:rPr>
          <w:noProof/>
        </w:rPr>
        <w:t>tecznego funkcjonowania rynku wewnętrznego.</w:t>
      </w:r>
    </w:p>
    <w:p w:rsidR="00090D28" w:rsidRPr="009B7420" w:rsidRDefault="00090D28" w:rsidP="002E4E88">
      <w:pPr>
        <w:pStyle w:val="ManualHeading2"/>
        <w:rPr>
          <w:rFonts w:eastAsia="Arial Unicode MS"/>
          <w:noProof/>
          <w:u w:color="000000"/>
          <w:bdr w:val="nil"/>
        </w:rPr>
      </w:pPr>
      <w:r w:rsidRPr="009B7420">
        <w:rPr>
          <w:noProof/>
          <w:u w:color="000000"/>
          <w:bdr w:val="nil"/>
        </w:rPr>
        <w:t>•</w:t>
      </w:r>
      <w:r w:rsidRPr="009B7420">
        <w:rPr>
          <w:noProof/>
        </w:rPr>
        <w:tab/>
      </w:r>
      <w:r w:rsidRPr="009B7420">
        <w:rPr>
          <w:noProof/>
          <w:u w:color="000000"/>
          <w:bdr w:val="nil"/>
        </w:rPr>
        <w:t>Wybór instrumentu</w:t>
      </w:r>
    </w:p>
    <w:p w:rsidR="003B3798" w:rsidRPr="009B7420" w:rsidRDefault="00384923" w:rsidP="003B3798">
      <w:pPr>
        <w:rPr>
          <w:noProof/>
        </w:rPr>
      </w:pPr>
      <w:r w:rsidRPr="009B7420">
        <w:rPr>
          <w:noProof/>
        </w:rPr>
        <w:t>Wniosek dotyczy dyrektywy.</w:t>
      </w:r>
    </w:p>
    <w:p w:rsidR="00090D28" w:rsidRPr="009B7420" w:rsidRDefault="00090D28" w:rsidP="002E4E88">
      <w:pPr>
        <w:pStyle w:val="ManualHeading1"/>
        <w:rPr>
          <w:noProof/>
        </w:rPr>
      </w:pPr>
      <w:r w:rsidRPr="009B7420">
        <w:rPr>
          <w:noProof/>
        </w:rPr>
        <w:t>3.</w:t>
      </w:r>
      <w:r w:rsidRPr="009B7420">
        <w:rPr>
          <w:noProof/>
        </w:rPr>
        <w:tab/>
        <w:t xml:space="preserve">WYNIKI OCEN </w:t>
      </w:r>
      <w:r w:rsidRPr="009B7420">
        <w:rPr>
          <w:i/>
          <w:noProof/>
        </w:rPr>
        <w:t>EX POST</w:t>
      </w:r>
      <w:r w:rsidRPr="009B7420">
        <w:rPr>
          <w:noProof/>
        </w:rPr>
        <w:t>, KONSULTACJI Z ZAINTERESOWANYMI STRONAMI I OCEN SKUTKÓW</w:t>
      </w:r>
    </w:p>
    <w:p w:rsidR="00090D28" w:rsidRPr="009B7420" w:rsidRDefault="00090D28" w:rsidP="002E4E88">
      <w:pPr>
        <w:pStyle w:val="ManualHeading2"/>
        <w:rPr>
          <w:rFonts w:eastAsia="Arial Unicode MS"/>
          <w:noProof/>
          <w:u w:color="000000"/>
          <w:bdr w:val="nil"/>
        </w:rPr>
      </w:pPr>
      <w:r w:rsidRPr="009B7420">
        <w:rPr>
          <w:noProof/>
          <w:u w:color="000000"/>
          <w:bdr w:val="nil"/>
        </w:rPr>
        <w:t>•</w:t>
      </w:r>
      <w:r w:rsidRPr="009B7420">
        <w:rPr>
          <w:noProof/>
        </w:rPr>
        <w:tab/>
      </w:r>
      <w:r w:rsidRPr="009B7420">
        <w:rPr>
          <w:noProof/>
          <w:u w:color="000000"/>
          <w:bdr w:val="nil"/>
        </w:rPr>
        <w:t xml:space="preserve">Oceny </w:t>
      </w:r>
      <w:r w:rsidRPr="009B7420">
        <w:rPr>
          <w:i/>
          <w:noProof/>
          <w:u w:color="000000"/>
          <w:bdr w:val="nil"/>
        </w:rPr>
        <w:t>ex post</w:t>
      </w:r>
      <w:r w:rsidRPr="009B7420">
        <w:rPr>
          <w:noProof/>
          <w:u w:color="000000"/>
          <w:bdr w:val="nil"/>
        </w:rPr>
        <w:t>/oceny adekwatności obowiązującego prawodawstwa</w:t>
      </w:r>
    </w:p>
    <w:p w:rsidR="00414C92" w:rsidRPr="009B7420" w:rsidRDefault="00A60AB8" w:rsidP="535517C9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9B7420">
        <w:rPr>
          <w:noProof/>
        </w:rPr>
        <w:t>Zmiany</w:t>
      </w:r>
      <w:r w:rsidR="009B7420" w:rsidRPr="009B7420">
        <w:rPr>
          <w:noProof/>
        </w:rPr>
        <w:t xml:space="preserve"> w dyr</w:t>
      </w:r>
      <w:r w:rsidRPr="009B7420">
        <w:rPr>
          <w:noProof/>
        </w:rPr>
        <w:t>ektywie są niezbędne</w:t>
      </w:r>
      <w:r w:rsidR="009B7420" w:rsidRPr="009B7420">
        <w:rPr>
          <w:noProof/>
        </w:rPr>
        <w:t xml:space="preserve"> w zwi</w:t>
      </w:r>
      <w:r w:rsidRPr="009B7420">
        <w:rPr>
          <w:noProof/>
        </w:rPr>
        <w:t>ązku ze zmianami zaproponowanymi</w:t>
      </w:r>
      <w:r w:rsidR="009B7420" w:rsidRPr="009B7420">
        <w:rPr>
          <w:noProof/>
        </w:rPr>
        <w:t xml:space="preserve"> w ram</w:t>
      </w:r>
      <w:r w:rsidRPr="009B7420">
        <w:rPr>
          <w:noProof/>
        </w:rPr>
        <w:t>ach przeglądu dyrektywy Rady 2011/64/UE, który obejmuje rozszerzenie zakresu tej dyrektywy na nowe wyroby i na surowiec tytoniowy. Proponowany przegląd dyrektywy Rady 2011/64/UE został już poddany procesowi oceny, który przedstawiono szczegółowo</w:t>
      </w:r>
      <w:r w:rsidR="009B7420" w:rsidRPr="009B7420">
        <w:rPr>
          <w:noProof/>
        </w:rPr>
        <w:t xml:space="preserve"> w uza</w:t>
      </w:r>
      <w:r w:rsidRPr="009B7420">
        <w:rPr>
          <w:noProof/>
        </w:rPr>
        <w:t xml:space="preserve">sadnieniu wniosku dotyczącego zmiany dyrektywy Rady 2011/64/UE. </w:t>
      </w:r>
    </w:p>
    <w:p w:rsidR="00090D28" w:rsidRPr="009B7420" w:rsidRDefault="00090D28" w:rsidP="002E4E88">
      <w:pPr>
        <w:pStyle w:val="ManualHeading2"/>
        <w:rPr>
          <w:rFonts w:eastAsia="Arial Unicode MS"/>
          <w:noProof/>
          <w:u w:color="000000"/>
          <w:bdr w:val="nil"/>
        </w:rPr>
      </w:pPr>
      <w:r w:rsidRPr="009B7420">
        <w:rPr>
          <w:noProof/>
          <w:u w:color="000000"/>
          <w:bdr w:val="nil"/>
        </w:rPr>
        <w:t>•</w:t>
      </w:r>
      <w:r w:rsidRPr="009B7420">
        <w:rPr>
          <w:noProof/>
        </w:rPr>
        <w:tab/>
      </w:r>
      <w:bookmarkStart w:id="1" w:name="_Hlk188863485"/>
      <w:r w:rsidRPr="009B7420">
        <w:rPr>
          <w:noProof/>
          <w:u w:color="000000"/>
          <w:bdr w:val="nil"/>
        </w:rPr>
        <w:t>Konsultacje</w:t>
      </w:r>
      <w:r w:rsidR="009B7420" w:rsidRPr="009B7420">
        <w:rPr>
          <w:noProof/>
          <w:u w:color="000000"/>
          <w:bdr w:val="nil"/>
        </w:rPr>
        <w:t xml:space="preserve"> z zai</w:t>
      </w:r>
      <w:r w:rsidRPr="009B7420">
        <w:rPr>
          <w:noProof/>
          <w:u w:color="000000"/>
          <w:bdr w:val="nil"/>
        </w:rPr>
        <w:t>nteresowanymi stronami</w:t>
      </w:r>
    </w:p>
    <w:p w:rsidR="00A60AB8" w:rsidRPr="009B7420" w:rsidRDefault="00A60AB8" w:rsidP="00A60AB8">
      <w:pPr>
        <w:rPr>
          <w:noProof/>
        </w:rPr>
      </w:pPr>
      <w:r w:rsidRPr="009B7420">
        <w:rPr>
          <w:noProof/>
        </w:rPr>
        <w:t>Szczegółowe informacje na temat konsultacji</w:t>
      </w:r>
      <w:r w:rsidR="009B7420" w:rsidRPr="009B7420">
        <w:rPr>
          <w:noProof/>
        </w:rPr>
        <w:t xml:space="preserve"> z zai</w:t>
      </w:r>
      <w:r w:rsidRPr="009B7420">
        <w:rPr>
          <w:noProof/>
        </w:rPr>
        <w:t>nteresowanymi stronami przedstawiono</w:t>
      </w:r>
      <w:r w:rsidR="009B7420" w:rsidRPr="009B7420">
        <w:rPr>
          <w:noProof/>
        </w:rPr>
        <w:t xml:space="preserve"> w </w:t>
      </w:r>
      <w:bookmarkStart w:id="2" w:name="_Hlk119497257"/>
      <w:r w:rsidR="009B7420" w:rsidRPr="009B7420">
        <w:rPr>
          <w:noProof/>
        </w:rPr>
        <w:t>uza</w:t>
      </w:r>
      <w:r w:rsidRPr="009B7420">
        <w:rPr>
          <w:noProof/>
        </w:rPr>
        <w:t>sadnieniu</w:t>
      </w:r>
      <w:bookmarkEnd w:id="2"/>
      <w:r w:rsidRPr="009B7420">
        <w:rPr>
          <w:noProof/>
        </w:rPr>
        <w:t xml:space="preserve"> wniosku dotyczącego dyrektywy Rady</w:t>
      </w:r>
      <w:r w:rsidR="009B7420" w:rsidRPr="009B7420">
        <w:rPr>
          <w:noProof/>
        </w:rPr>
        <w:t xml:space="preserve"> w spr</w:t>
      </w:r>
      <w:r w:rsidRPr="009B7420">
        <w:rPr>
          <w:noProof/>
        </w:rPr>
        <w:t>awie struktury oraz stawek akcyzy stosowanych do tytoniu</w:t>
      </w:r>
      <w:r w:rsidR="009B7420" w:rsidRPr="009B7420">
        <w:rPr>
          <w:noProof/>
        </w:rPr>
        <w:t xml:space="preserve"> i sub</w:t>
      </w:r>
      <w:r w:rsidRPr="009B7420">
        <w:rPr>
          <w:noProof/>
        </w:rPr>
        <w:t>stytucyjnych wyrobów tytoniowych.</w:t>
      </w:r>
    </w:p>
    <w:p w:rsidR="00414C92" w:rsidRPr="009B7420" w:rsidRDefault="00414C92" w:rsidP="00414C92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9B7420">
        <w:rPr>
          <w:noProof/>
        </w:rPr>
        <w:t>Celem konsultacji dotyczących przeglądu dyrektywy Rady 2011/64/UE było zebranie informacji zwrotnych od zainteresowanych stron na temat stosowania obecnych przepisów dotyczących struktury podatku akcyzowego stosowanego do wyrobów tytoniowych oraz potrzeby aktualizacji ram regulacyjnych UE,</w:t>
      </w:r>
      <w:r w:rsidR="009B7420" w:rsidRPr="009B7420">
        <w:rPr>
          <w:noProof/>
        </w:rPr>
        <w:t xml:space="preserve"> a tak</w:t>
      </w:r>
      <w:r w:rsidRPr="009B7420">
        <w:rPr>
          <w:noProof/>
        </w:rPr>
        <w:t>że pozyskanie ich opinii na temat ewentualnych zmian.</w:t>
      </w:r>
    </w:p>
    <w:bookmarkEnd w:id="1"/>
    <w:p w:rsidR="00090D28" w:rsidRPr="009B7420" w:rsidRDefault="00090D28" w:rsidP="002E4E88">
      <w:pPr>
        <w:pStyle w:val="ManualHeading2"/>
        <w:rPr>
          <w:rFonts w:eastAsia="Arial Unicode MS"/>
          <w:noProof/>
          <w:u w:color="000000"/>
          <w:bdr w:val="nil"/>
        </w:rPr>
      </w:pPr>
      <w:r w:rsidRPr="009B7420">
        <w:rPr>
          <w:noProof/>
          <w:u w:color="000000"/>
          <w:bdr w:val="nil"/>
        </w:rPr>
        <w:t>•</w:t>
      </w:r>
      <w:r w:rsidRPr="009B7420">
        <w:rPr>
          <w:noProof/>
        </w:rPr>
        <w:tab/>
      </w:r>
      <w:r w:rsidRPr="009B7420">
        <w:rPr>
          <w:noProof/>
          <w:u w:color="000000"/>
          <w:bdr w:val="nil"/>
        </w:rPr>
        <w:t>Gromadzenie</w:t>
      </w:r>
      <w:r w:rsidR="009B7420" w:rsidRPr="009B7420">
        <w:rPr>
          <w:noProof/>
          <w:u w:color="000000"/>
          <w:bdr w:val="nil"/>
        </w:rPr>
        <w:t xml:space="preserve"> i wyk</w:t>
      </w:r>
      <w:r w:rsidRPr="009B7420">
        <w:rPr>
          <w:noProof/>
          <w:u w:color="000000"/>
          <w:bdr w:val="nil"/>
        </w:rPr>
        <w:t>orzystanie wiedzy eksperckiej</w:t>
      </w:r>
    </w:p>
    <w:p w:rsidR="00766D47" w:rsidRPr="009B7420" w:rsidRDefault="006D70FB" w:rsidP="00414C92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9B7420">
        <w:rPr>
          <w:noProof/>
        </w:rPr>
        <w:t>Gromadzenie</w:t>
      </w:r>
      <w:r w:rsidR="009B7420" w:rsidRPr="009B7420">
        <w:rPr>
          <w:noProof/>
        </w:rPr>
        <w:t xml:space="preserve"> i wyk</w:t>
      </w:r>
      <w:r w:rsidRPr="009B7420">
        <w:rPr>
          <w:noProof/>
        </w:rPr>
        <w:t>orzystanie wiedzy eksperckiej przedstawiono szczegółowo</w:t>
      </w:r>
      <w:r w:rsidR="009B7420" w:rsidRPr="009B7420">
        <w:rPr>
          <w:noProof/>
        </w:rPr>
        <w:t xml:space="preserve"> w uza</w:t>
      </w:r>
      <w:r w:rsidRPr="009B7420">
        <w:rPr>
          <w:noProof/>
        </w:rPr>
        <w:t>sadnieniu wniosku dotyczącego dyrektywy Rady</w:t>
      </w:r>
      <w:r w:rsidR="009B7420" w:rsidRPr="009B7420">
        <w:rPr>
          <w:noProof/>
        </w:rPr>
        <w:t xml:space="preserve"> w spr</w:t>
      </w:r>
      <w:r w:rsidRPr="009B7420">
        <w:rPr>
          <w:noProof/>
        </w:rPr>
        <w:t>awie struktury oraz stawek akcyzy stosowanych do tytoniu</w:t>
      </w:r>
      <w:r w:rsidR="009B7420" w:rsidRPr="009B7420">
        <w:rPr>
          <w:noProof/>
        </w:rPr>
        <w:t xml:space="preserve"> i sub</w:t>
      </w:r>
      <w:r w:rsidRPr="009B7420">
        <w:rPr>
          <w:noProof/>
        </w:rPr>
        <w:t xml:space="preserve">stytucyjnych wyrobów tytoniowych. </w:t>
      </w:r>
    </w:p>
    <w:p w:rsidR="00090D28" w:rsidRPr="009B7420" w:rsidRDefault="00090D28" w:rsidP="002E4E88">
      <w:pPr>
        <w:pStyle w:val="ManualHeading2"/>
        <w:rPr>
          <w:rFonts w:eastAsia="Arial Unicode MS"/>
          <w:noProof/>
          <w:u w:color="000000"/>
          <w:bdr w:val="nil"/>
        </w:rPr>
      </w:pPr>
      <w:r w:rsidRPr="009B7420">
        <w:rPr>
          <w:noProof/>
          <w:u w:color="000000"/>
          <w:bdr w:val="nil"/>
        </w:rPr>
        <w:t>•</w:t>
      </w:r>
      <w:r w:rsidRPr="009B7420">
        <w:rPr>
          <w:noProof/>
        </w:rPr>
        <w:tab/>
      </w:r>
      <w:r w:rsidRPr="009B7420">
        <w:rPr>
          <w:noProof/>
          <w:u w:color="000000"/>
          <w:bdr w:val="nil"/>
        </w:rPr>
        <w:t>Ocena skutków</w:t>
      </w:r>
    </w:p>
    <w:p w:rsidR="006D70FB" w:rsidRPr="009B7420" w:rsidRDefault="006D70FB" w:rsidP="00414C92">
      <w:pPr>
        <w:rPr>
          <w:noProof/>
        </w:rPr>
      </w:pPr>
      <w:r w:rsidRPr="009B7420">
        <w:rPr>
          <w:noProof/>
        </w:rPr>
        <w:t>Ocenę skutków przedstawiono</w:t>
      </w:r>
      <w:r w:rsidR="009B7420" w:rsidRPr="009B7420">
        <w:rPr>
          <w:noProof/>
        </w:rPr>
        <w:t xml:space="preserve"> w uza</w:t>
      </w:r>
      <w:r w:rsidRPr="009B7420">
        <w:rPr>
          <w:noProof/>
        </w:rPr>
        <w:t>sadnieniu wniosku dotyczącego dyrektywy Rady</w:t>
      </w:r>
      <w:r w:rsidR="009B7420" w:rsidRPr="009B7420">
        <w:rPr>
          <w:noProof/>
        </w:rPr>
        <w:t xml:space="preserve"> w spr</w:t>
      </w:r>
      <w:r w:rsidRPr="009B7420">
        <w:rPr>
          <w:noProof/>
        </w:rPr>
        <w:t>awie struktury oraz stawek akcyzy stosowanych do tytoniu</w:t>
      </w:r>
      <w:r w:rsidR="009B7420" w:rsidRPr="009B7420">
        <w:rPr>
          <w:noProof/>
        </w:rPr>
        <w:t xml:space="preserve"> i sub</w:t>
      </w:r>
      <w:r w:rsidRPr="009B7420">
        <w:rPr>
          <w:noProof/>
        </w:rPr>
        <w:t>stytucyjnych wyrobów tytoniowych.</w:t>
      </w:r>
    </w:p>
    <w:p w:rsidR="00090D28" w:rsidRPr="009B7420" w:rsidRDefault="00090D28" w:rsidP="002E4E88">
      <w:pPr>
        <w:pStyle w:val="ManualHeading2"/>
        <w:rPr>
          <w:rFonts w:eastAsia="Arial Unicode MS"/>
          <w:noProof/>
          <w:u w:color="000000"/>
          <w:bdr w:val="nil"/>
        </w:rPr>
      </w:pPr>
      <w:r w:rsidRPr="009B7420">
        <w:rPr>
          <w:noProof/>
          <w:u w:color="000000"/>
          <w:bdr w:val="nil"/>
        </w:rPr>
        <w:t>•</w:t>
      </w:r>
      <w:r w:rsidRPr="009B7420">
        <w:rPr>
          <w:noProof/>
        </w:rPr>
        <w:tab/>
      </w:r>
      <w:r w:rsidRPr="009B7420">
        <w:rPr>
          <w:noProof/>
          <w:u w:color="000000"/>
          <w:bdr w:val="nil"/>
        </w:rPr>
        <w:t>Sprawność regulacyjna</w:t>
      </w:r>
      <w:r w:rsidR="009B7420" w:rsidRPr="009B7420">
        <w:rPr>
          <w:noProof/>
          <w:u w:color="000000"/>
          <w:bdr w:val="nil"/>
        </w:rPr>
        <w:t xml:space="preserve"> i upr</w:t>
      </w:r>
      <w:r w:rsidRPr="009B7420">
        <w:rPr>
          <w:noProof/>
          <w:u w:color="000000"/>
          <w:bdr w:val="nil"/>
        </w:rPr>
        <w:t>oszczenie</w:t>
      </w:r>
    </w:p>
    <w:p w:rsidR="006D70FB" w:rsidRPr="009B7420" w:rsidRDefault="006D70FB" w:rsidP="006D70FB">
      <w:pPr>
        <w:rPr>
          <w:noProof/>
        </w:rPr>
      </w:pPr>
      <w:r w:rsidRPr="009B7420">
        <w:rPr>
          <w:noProof/>
        </w:rPr>
        <w:t>Szczegółowe informacje na temat sprawności regulacyjnej</w:t>
      </w:r>
      <w:r w:rsidR="009B7420" w:rsidRPr="009B7420">
        <w:rPr>
          <w:noProof/>
        </w:rPr>
        <w:t xml:space="preserve"> i upr</w:t>
      </w:r>
      <w:r w:rsidRPr="009B7420">
        <w:rPr>
          <w:noProof/>
        </w:rPr>
        <w:t>oszczenia przedstawiono</w:t>
      </w:r>
      <w:r w:rsidR="009B7420" w:rsidRPr="009B7420">
        <w:rPr>
          <w:noProof/>
        </w:rPr>
        <w:t xml:space="preserve"> w uza</w:t>
      </w:r>
      <w:r w:rsidRPr="009B7420">
        <w:rPr>
          <w:noProof/>
        </w:rPr>
        <w:t>sadnieniu wniosku dotyczącego dyrektywy Rady</w:t>
      </w:r>
      <w:r w:rsidR="009B7420" w:rsidRPr="009B7420">
        <w:rPr>
          <w:noProof/>
        </w:rPr>
        <w:t xml:space="preserve"> w spr</w:t>
      </w:r>
      <w:r w:rsidRPr="009B7420">
        <w:rPr>
          <w:noProof/>
        </w:rPr>
        <w:t>awie struktury oraz stawek akcyzy stosowanych do tytoniu</w:t>
      </w:r>
      <w:r w:rsidR="009B7420" w:rsidRPr="009B7420">
        <w:rPr>
          <w:noProof/>
        </w:rPr>
        <w:t xml:space="preserve"> i sub</w:t>
      </w:r>
      <w:r w:rsidRPr="009B7420">
        <w:rPr>
          <w:noProof/>
        </w:rPr>
        <w:t>stytucyjnych wyrobów tytoniowych.</w:t>
      </w:r>
    </w:p>
    <w:p w:rsidR="00090D28" w:rsidRPr="009B7420" w:rsidRDefault="006D70FB" w:rsidP="002E4E88">
      <w:pPr>
        <w:pStyle w:val="ManualHeading2"/>
        <w:rPr>
          <w:rFonts w:eastAsia="Arial Unicode MS"/>
          <w:noProof/>
          <w:u w:color="000000"/>
          <w:bdr w:val="nil"/>
        </w:rPr>
      </w:pPr>
      <w:r w:rsidRPr="009B7420">
        <w:rPr>
          <w:noProof/>
        </w:rPr>
        <w:t xml:space="preserve"> </w:t>
      </w:r>
      <w:r w:rsidRPr="009B7420">
        <w:rPr>
          <w:noProof/>
          <w:u w:color="000000"/>
          <w:bdr w:val="nil"/>
        </w:rPr>
        <w:t>•</w:t>
      </w:r>
      <w:r w:rsidRPr="009B7420">
        <w:rPr>
          <w:noProof/>
        </w:rPr>
        <w:tab/>
      </w:r>
      <w:r w:rsidRPr="009B7420">
        <w:rPr>
          <w:noProof/>
          <w:u w:color="000000"/>
          <w:bdr w:val="nil"/>
        </w:rPr>
        <w:t>Prawa podstawowe</w:t>
      </w:r>
    </w:p>
    <w:p w:rsidR="003B3798" w:rsidRPr="009B7420" w:rsidRDefault="003B3798" w:rsidP="003B379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9B7420">
        <w:rPr>
          <w:noProof/>
        </w:rPr>
        <w:t>Środek nie ma wpływu na prawa podstawowe.</w:t>
      </w:r>
    </w:p>
    <w:p w:rsidR="00090D28" w:rsidRPr="009B7420" w:rsidRDefault="00090D28" w:rsidP="002E4E88">
      <w:pPr>
        <w:pStyle w:val="ManualHeading1"/>
        <w:rPr>
          <w:noProof/>
        </w:rPr>
      </w:pPr>
      <w:r w:rsidRPr="009B7420">
        <w:rPr>
          <w:noProof/>
        </w:rPr>
        <w:t>4.</w:t>
      </w:r>
      <w:r w:rsidRPr="009B7420">
        <w:rPr>
          <w:noProof/>
        </w:rPr>
        <w:tab/>
        <w:t>WPŁYW NA BUDŻET</w:t>
      </w:r>
    </w:p>
    <w:p w:rsidR="00414C92" w:rsidRPr="009B7420" w:rsidRDefault="00414C92" w:rsidP="00414C92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9B7420">
        <w:rPr>
          <w:noProof/>
        </w:rPr>
        <w:t>Podatek akcyzowy jest dochodem krajowych budżetów państw członkowskich</w:t>
      </w:r>
      <w:r w:rsidR="009B7420" w:rsidRPr="009B7420">
        <w:rPr>
          <w:noProof/>
        </w:rPr>
        <w:t>. W dec</w:t>
      </w:r>
      <w:r w:rsidRPr="009B7420">
        <w:rPr>
          <w:noProof/>
        </w:rPr>
        <w:t>yzji</w:t>
      </w:r>
      <w:r w:rsidR="009B7420" w:rsidRPr="009B7420">
        <w:rPr>
          <w:noProof/>
        </w:rPr>
        <w:t xml:space="preserve"> w spr</w:t>
      </w:r>
      <w:r w:rsidRPr="009B7420">
        <w:rPr>
          <w:noProof/>
        </w:rPr>
        <w:t>awie zasobów własnych przedstawionej równolegle</w:t>
      </w:r>
      <w:r w:rsidR="009B7420" w:rsidRPr="009B7420">
        <w:rPr>
          <w:noProof/>
        </w:rPr>
        <w:t xml:space="preserve"> z nin</w:t>
      </w:r>
      <w:r w:rsidRPr="009B7420">
        <w:rPr>
          <w:noProof/>
        </w:rPr>
        <w:t>iejszym wnioskiem przewidziano nowe zasoby własne,</w:t>
      </w:r>
      <w:r w:rsidR="009B7420" w:rsidRPr="009B7420">
        <w:rPr>
          <w:noProof/>
        </w:rPr>
        <w:t xml:space="preserve"> a mia</w:t>
      </w:r>
      <w:r w:rsidRPr="009B7420">
        <w:rPr>
          <w:noProof/>
        </w:rPr>
        <w:t>nowicie udział</w:t>
      </w:r>
      <w:r w:rsidR="009B7420" w:rsidRPr="009B7420">
        <w:rPr>
          <w:noProof/>
        </w:rPr>
        <w:t xml:space="preserve"> w sta</w:t>
      </w:r>
      <w:r w:rsidRPr="009B7420">
        <w:rPr>
          <w:noProof/>
        </w:rPr>
        <w:t>wce minimalnej od tytoniu</w:t>
      </w:r>
      <w:r w:rsidR="009B7420" w:rsidRPr="009B7420">
        <w:rPr>
          <w:noProof/>
        </w:rPr>
        <w:t xml:space="preserve"> i sub</w:t>
      </w:r>
      <w:r w:rsidRPr="009B7420">
        <w:rPr>
          <w:noProof/>
        </w:rPr>
        <w:t>stytucyjnych wyrobów tytoniowych. Chociaż decyzja ta nie jest prawnie powiązana</w:t>
      </w:r>
      <w:r w:rsidR="009B7420" w:rsidRPr="009B7420">
        <w:rPr>
          <w:noProof/>
        </w:rPr>
        <w:t xml:space="preserve"> z pro</w:t>
      </w:r>
      <w:r w:rsidRPr="009B7420">
        <w:rPr>
          <w:noProof/>
        </w:rPr>
        <w:t>ponowaną zmianą niniejszej dyrektywy, opiera się ona na wyborach politycznych dokonanych</w:t>
      </w:r>
      <w:r w:rsidR="009B7420" w:rsidRPr="009B7420">
        <w:rPr>
          <w:noProof/>
        </w:rPr>
        <w:t xml:space="preserve"> w dyr</w:t>
      </w:r>
      <w:r w:rsidRPr="009B7420">
        <w:rPr>
          <w:noProof/>
        </w:rPr>
        <w:t>ektywie (i jej przeglądach). Wzmacnia ona zaangażowanie na rzecz ochrony</w:t>
      </w:r>
      <w:r w:rsidR="009B7420" w:rsidRPr="009B7420">
        <w:rPr>
          <w:noProof/>
        </w:rPr>
        <w:t xml:space="preserve"> i pop</w:t>
      </w:r>
      <w:r w:rsidRPr="009B7420">
        <w:rPr>
          <w:noProof/>
        </w:rPr>
        <w:t>rawy ogólnego zdrowia obywateli,</w:t>
      </w:r>
      <w:r w:rsidR="009B7420" w:rsidRPr="009B7420">
        <w:rPr>
          <w:noProof/>
        </w:rPr>
        <w:t xml:space="preserve"> a tak</w:t>
      </w:r>
      <w:r w:rsidRPr="009B7420">
        <w:rPr>
          <w:noProof/>
        </w:rPr>
        <w:t>że łagodzenia zakłóceń powodowanych przez transgraniczny handel produktami objętymi zakresem dyrektywy.</w:t>
      </w:r>
    </w:p>
    <w:p w:rsidR="00090D28" w:rsidRPr="009B7420" w:rsidRDefault="00090D28" w:rsidP="002E4E88">
      <w:pPr>
        <w:pStyle w:val="ManualHeading1"/>
        <w:rPr>
          <w:noProof/>
        </w:rPr>
      </w:pPr>
      <w:r w:rsidRPr="009B7420">
        <w:rPr>
          <w:noProof/>
        </w:rPr>
        <w:t>5.</w:t>
      </w:r>
      <w:r w:rsidRPr="009B7420">
        <w:rPr>
          <w:noProof/>
        </w:rPr>
        <w:tab/>
        <w:t>ELEMENTY FAKULTATYWNE</w:t>
      </w:r>
    </w:p>
    <w:p w:rsidR="00090D28" w:rsidRPr="009B7420" w:rsidRDefault="00090D28" w:rsidP="002E4E88">
      <w:pPr>
        <w:pStyle w:val="ManualHeading2"/>
        <w:rPr>
          <w:rFonts w:eastAsia="Arial Unicode MS"/>
          <w:noProof/>
          <w:u w:color="000000"/>
          <w:bdr w:val="nil"/>
        </w:rPr>
      </w:pPr>
      <w:r w:rsidRPr="009B7420">
        <w:rPr>
          <w:noProof/>
          <w:u w:color="000000"/>
          <w:bdr w:val="nil"/>
        </w:rPr>
        <w:t>•</w:t>
      </w:r>
      <w:r w:rsidRPr="009B7420">
        <w:rPr>
          <w:noProof/>
        </w:rPr>
        <w:tab/>
      </w:r>
      <w:r w:rsidRPr="009B7420">
        <w:rPr>
          <w:noProof/>
          <w:u w:color="000000"/>
          <w:bdr w:val="nil"/>
        </w:rPr>
        <w:t>Plany wdrożenia</w:t>
      </w:r>
      <w:r w:rsidR="009B7420" w:rsidRPr="009B7420">
        <w:rPr>
          <w:noProof/>
          <w:u w:color="000000"/>
          <w:bdr w:val="nil"/>
        </w:rPr>
        <w:t xml:space="preserve"> i mon</w:t>
      </w:r>
      <w:r w:rsidRPr="009B7420">
        <w:rPr>
          <w:noProof/>
          <w:u w:color="000000"/>
          <w:bdr w:val="nil"/>
        </w:rPr>
        <w:t>itorowanie, ocena</w:t>
      </w:r>
      <w:r w:rsidR="009B7420" w:rsidRPr="009B7420">
        <w:rPr>
          <w:noProof/>
          <w:u w:color="000000"/>
          <w:bdr w:val="nil"/>
        </w:rPr>
        <w:t xml:space="preserve"> i spr</w:t>
      </w:r>
      <w:r w:rsidRPr="009B7420">
        <w:rPr>
          <w:noProof/>
          <w:u w:color="000000"/>
          <w:bdr w:val="nil"/>
        </w:rPr>
        <w:t>awozdania</w:t>
      </w:r>
    </w:p>
    <w:p w:rsidR="00090D28" w:rsidRPr="009B7420" w:rsidRDefault="003B3798" w:rsidP="003B3798">
      <w:pPr>
        <w:rPr>
          <w:noProof/>
        </w:rPr>
      </w:pPr>
      <w:r w:rsidRPr="009B7420">
        <w:rPr>
          <w:noProof/>
        </w:rPr>
        <w:t>Plan wdrażania nie jest konieczny, ponieważ niniejszy wniosek stanowi zmianę techniczną.</w:t>
      </w:r>
    </w:p>
    <w:p w:rsidR="00090D28" w:rsidRPr="009B7420" w:rsidRDefault="00090D28" w:rsidP="003B3798">
      <w:pPr>
        <w:rPr>
          <w:noProof/>
        </w:rPr>
        <w:sectPr w:rsidR="00090D28" w:rsidRPr="009B7420" w:rsidSect="00893B9B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:rsidR="00280F12" w:rsidRDefault="000A26B8">
      <w:pPr>
        <w:pStyle w:val="Rfrenceinterinstitutionnelle"/>
        <w:rPr>
          <w:noProof/>
        </w:rPr>
      </w:pPr>
      <w:r>
        <w:rPr>
          <w:noProof/>
        </w:rPr>
        <w:t>2025/0581 (CNS)</w:t>
      </w:r>
    </w:p>
    <w:p w:rsidR="00090D28" w:rsidRPr="009B7420" w:rsidRDefault="009B7420" w:rsidP="009B7420">
      <w:pPr>
        <w:pStyle w:val="Statut"/>
        <w:rPr>
          <w:noProof/>
        </w:rPr>
      </w:pPr>
      <w:r w:rsidRPr="009B7420">
        <w:rPr>
          <w:noProof/>
        </w:rPr>
        <w:t>Wniosek</w:t>
      </w:r>
    </w:p>
    <w:p w:rsidR="00090D28" w:rsidRPr="009B7420" w:rsidRDefault="009B7420" w:rsidP="009B7420">
      <w:pPr>
        <w:pStyle w:val="Typedudocument"/>
        <w:rPr>
          <w:noProof/>
        </w:rPr>
      </w:pPr>
      <w:r w:rsidRPr="009B7420">
        <w:rPr>
          <w:noProof/>
        </w:rPr>
        <w:t>DYREKTYWA RADY</w:t>
      </w:r>
    </w:p>
    <w:p w:rsidR="00090D28" w:rsidRPr="009B7420" w:rsidRDefault="009B7420" w:rsidP="009B7420">
      <w:pPr>
        <w:pStyle w:val="Titreobjet"/>
        <w:rPr>
          <w:noProof/>
        </w:rPr>
      </w:pPr>
      <w:r w:rsidRPr="009B7420">
        <w:rPr>
          <w:noProof/>
        </w:rPr>
        <w:t>zmieniająca dyrektywę (UE) 2020/262 w odniesieniu do ogólnych zasad dotyczących podatku akcyzowego stosowanego do tytoniu i substytucyjnych wyrobów tytoniowych</w:t>
      </w:r>
    </w:p>
    <w:p w:rsidR="00090D28" w:rsidRPr="009B7420" w:rsidRDefault="00090D28" w:rsidP="002E4E88">
      <w:pPr>
        <w:pStyle w:val="Institutionquiagit"/>
        <w:rPr>
          <w:noProof/>
        </w:rPr>
      </w:pPr>
      <w:r w:rsidRPr="009B7420">
        <w:rPr>
          <w:noProof/>
        </w:rPr>
        <w:t>RADA UNII EUROPEJSKIEJ,</w:t>
      </w:r>
    </w:p>
    <w:p w:rsidR="00090D28" w:rsidRPr="009B7420" w:rsidRDefault="00090D28" w:rsidP="002E4E88">
      <w:pPr>
        <w:rPr>
          <w:noProof/>
        </w:rPr>
      </w:pPr>
      <w:r w:rsidRPr="009B7420">
        <w:rPr>
          <w:noProof/>
        </w:rPr>
        <w:t>uwzględniając Traktat</w:t>
      </w:r>
      <w:r w:rsidR="009B7420" w:rsidRPr="009B7420">
        <w:rPr>
          <w:noProof/>
        </w:rPr>
        <w:t xml:space="preserve"> o fun</w:t>
      </w:r>
      <w:r w:rsidRPr="009B7420">
        <w:rPr>
          <w:noProof/>
        </w:rPr>
        <w:t>kcjonowaniu Unii Europejskiej,</w:t>
      </w:r>
      <w:r w:rsidR="009B7420" w:rsidRPr="009B7420">
        <w:rPr>
          <w:noProof/>
        </w:rPr>
        <w:t xml:space="preserve"> w szc</w:t>
      </w:r>
      <w:r w:rsidRPr="009B7420">
        <w:rPr>
          <w:noProof/>
        </w:rPr>
        <w:t>zególności jego art.</w:t>
      </w:r>
      <w:r w:rsidR="009B7420" w:rsidRPr="009B7420">
        <w:rPr>
          <w:noProof/>
        </w:rPr>
        <w:t> </w:t>
      </w:r>
      <w:r w:rsidRPr="009B7420">
        <w:rPr>
          <w:noProof/>
        </w:rPr>
        <w:t>113,</w:t>
      </w:r>
    </w:p>
    <w:p w:rsidR="00090D28" w:rsidRPr="009B7420" w:rsidRDefault="00090D28" w:rsidP="002E4E88">
      <w:pPr>
        <w:rPr>
          <w:noProof/>
        </w:rPr>
      </w:pPr>
      <w:r w:rsidRPr="009B7420">
        <w:rPr>
          <w:noProof/>
        </w:rPr>
        <w:t>uwzględniając wniosek Komisji Europejskiej,</w:t>
      </w:r>
    </w:p>
    <w:p w:rsidR="00090D28" w:rsidRPr="009B7420" w:rsidRDefault="00090D28" w:rsidP="002E4E88">
      <w:pPr>
        <w:rPr>
          <w:noProof/>
        </w:rPr>
      </w:pPr>
      <w:r w:rsidRPr="009B7420">
        <w:rPr>
          <w:noProof/>
        </w:rPr>
        <w:t>po przekazaniu projektu aktu ustawodawczego parlamentom narodowym,</w:t>
      </w:r>
    </w:p>
    <w:p w:rsidR="00090D28" w:rsidRPr="009B7420" w:rsidRDefault="00090D28" w:rsidP="002E4E88">
      <w:pPr>
        <w:rPr>
          <w:noProof/>
        </w:rPr>
      </w:pPr>
      <w:r w:rsidRPr="009B7420">
        <w:rPr>
          <w:noProof/>
        </w:rPr>
        <w:t>uwzględniając opinię Parlamentu Europejskiego</w:t>
      </w:r>
      <w:r w:rsidRPr="009B7420">
        <w:rPr>
          <w:rStyle w:val="FootnoteReference"/>
          <w:noProof/>
        </w:rPr>
        <w:footnoteReference w:id="7"/>
      </w:r>
      <w:r w:rsidRPr="009B7420">
        <w:rPr>
          <w:noProof/>
        </w:rPr>
        <w:t>,</w:t>
      </w:r>
    </w:p>
    <w:p w:rsidR="00090D28" w:rsidRPr="009B7420" w:rsidRDefault="00090D28" w:rsidP="002E4E88">
      <w:pPr>
        <w:rPr>
          <w:noProof/>
        </w:rPr>
      </w:pPr>
      <w:r w:rsidRPr="009B7420">
        <w:rPr>
          <w:noProof/>
        </w:rPr>
        <w:t>uwzględniając opinię Europejskiego Komitetu Ekonomiczno-Społecznego</w:t>
      </w:r>
      <w:r w:rsidRPr="009B7420">
        <w:rPr>
          <w:rStyle w:val="FootnoteReference"/>
          <w:noProof/>
        </w:rPr>
        <w:footnoteReference w:id="8"/>
      </w:r>
      <w:r w:rsidRPr="009B7420">
        <w:rPr>
          <w:noProof/>
        </w:rPr>
        <w:t>,</w:t>
      </w:r>
    </w:p>
    <w:p w:rsidR="00090D28" w:rsidRPr="009B7420" w:rsidRDefault="00090D28" w:rsidP="002E4E88">
      <w:pPr>
        <w:rPr>
          <w:noProof/>
        </w:rPr>
      </w:pPr>
      <w:r w:rsidRPr="009B7420">
        <w:rPr>
          <w:noProof/>
        </w:rPr>
        <w:t>stanowiąc zgodnie ze specjalną procedurą ustawodawczą,</w:t>
      </w:r>
    </w:p>
    <w:p w:rsidR="00090D28" w:rsidRPr="009B7420" w:rsidRDefault="00090D28" w:rsidP="002E4E88">
      <w:pPr>
        <w:rPr>
          <w:noProof/>
        </w:rPr>
      </w:pPr>
      <w:r w:rsidRPr="009B7420">
        <w:rPr>
          <w:noProof/>
        </w:rPr>
        <w:t>a także mając na uwadze, co następuje:</w:t>
      </w:r>
    </w:p>
    <w:p w:rsidR="003715AD" w:rsidRPr="009B7420" w:rsidRDefault="0051093F" w:rsidP="0051093F">
      <w:pPr>
        <w:pStyle w:val="ManualConsidrant"/>
        <w:rPr>
          <w:noProof/>
        </w:rPr>
      </w:pPr>
      <w:r w:rsidRPr="0051093F">
        <w:rPr>
          <w:noProof/>
        </w:rPr>
        <w:t>(1)</w:t>
      </w:r>
      <w:r w:rsidRPr="0051093F">
        <w:rPr>
          <w:noProof/>
        </w:rPr>
        <w:tab/>
      </w:r>
      <w:r w:rsidR="00A934D6" w:rsidRPr="009B7420">
        <w:rPr>
          <w:noProof/>
        </w:rPr>
        <w:t>W dyrektywie Rady (UE) 2020/262</w:t>
      </w:r>
      <w:r w:rsidR="00A934D6" w:rsidRPr="009B7420">
        <w:rPr>
          <w:rStyle w:val="FootnoteReference"/>
          <w:noProof/>
        </w:rPr>
        <w:footnoteReference w:id="9"/>
      </w:r>
      <w:r w:rsidR="00A934D6" w:rsidRPr="009B7420">
        <w:rPr>
          <w:noProof/>
        </w:rPr>
        <w:t xml:space="preserve"> ustanowiono ogólne zasady dotyczące podatku akcyzowego pobieranego od konsumpcji niektórych wyrobów akcyzowych,</w:t>
      </w:r>
      <w:r w:rsidR="009B7420" w:rsidRPr="009B7420">
        <w:rPr>
          <w:noProof/>
        </w:rPr>
        <w:t xml:space="preserve"> w tym</w:t>
      </w:r>
      <w:r w:rsidR="00A934D6" w:rsidRPr="009B7420">
        <w:rPr>
          <w:noProof/>
        </w:rPr>
        <w:t xml:space="preserve"> wyrobów tytoniowych objętych dyrektywą Rady 2011/64/UE</w:t>
      </w:r>
      <w:r w:rsidR="00A934D6" w:rsidRPr="009B7420">
        <w:rPr>
          <w:rStyle w:val="FootnoteReference"/>
          <w:noProof/>
        </w:rPr>
        <w:footnoteReference w:id="10"/>
      </w:r>
      <w:r w:rsidR="00A934D6" w:rsidRPr="009B7420">
        <w:rPr>
          <w:noProof/>
        </w:rPr>
        <w:t>. Dyrektywę 2011/64/UE, którą ustanowiono strukturę oraz stawki akcyzy na wyroby tytoniowe, zastąpiono dyrektywą Rady (UE) XX/XXX [Urząd Publikacji: proszę wstawić numer</w:t>
      </w:r>
      <w:r w:rsidR="009B7420" w:rsidRPr="009B7420">
        <w:rPr>
          <w:noProof/>
        </w:rPr>
        <w:t xml:space="preserve"> i rok</w:t>
      </w:r>
      <w:r w:rsidR="00A934D6" w:rsidRPr="009B7420">
        <w:rPr>
          <w:noProof/>
        </w:rPr>
        <w:t xml:space="preserve"> dyrektywy Rady</w:t>
      </w:r>
      <w:r w:rsidR="009B7420" w:rsidRPr="009B7420">
        <w:rPr>
          <w:noProof/>
        </w:rPr>
        <w:t xml:space="preserve"> w spr</w:t>
      </w:r>
      <w:r w:rsidR="00A934D6" w:rsidRPr="009B7420">
        <w:rPr>
          <w:noProof/>
        </w:rPr>
        <w:t>awie struktury oraz stawek akcyzy stosowanych do tytoniu</w:t>
      </w:r>
      <w:r w:rsidR="009B7420" w:rsidRPr="009B7420">
        <w:rPr>
          <w:noProof/>
        </w:rPr>
        <w:t xml:space="preserve"> i sub</w:t>
      </w:r>
      <w:r w:rsidR="00A934D6" w:rsidRPr="009B7420">
        <w:rPr>
          <w:noProof/>
        </w:rPr>
        <w:t>stytucyjnych wyrobów tytoniowych przyjętej</w:t>
      </w:r>
      <w:r w:rsidR="009B7420" w:rsidRPr="009B7420">
        <w:rPr>
          <w:noProof/>
        </w:rPr>
        <w:t xml:space="preserve"> w tym</w:t>
      </w:r>
      <w:r w:rsidR="00A934D6" w:rsidRPr="009B7420">
        <w:rPr>
          <w:noProof/>
        </w:rPr>
        <w:t xml:space="preserve"> samym dniu co niniejsza dyrektywa]</w:t>
      </w:r>
      <w:r w:rsidR="00A934D6" w:rsidRPr="009B7420">
        <w:rPr>
          <w:rStyle w:val="FootnoteReference"/>
          <w:noProof/>
        </w:rPr>
        <w:footnoteReference w:id="11"/>
      </w:r>
      <w:r w:rsidR="00A934D6" w:rsidRPr="009B7420">
        <w:rPr>
          <w:noProof/>
        </w:rPr>
        <w:t xml:space="preserve"> ze skutkiem od</w:t>
      </w:r>
      <w:r w:rsidR="009B7420" w:rsidRPr="009B7420">
        <w:rPr>
          <w:noProof/>
        </w:rPr>
        <w:t> </w:t>
      </w:r>
      <w:r w:rsidR="00A934D6" w:rsidRPr="009B7420">
        <w:rPr>
          <w:noProof/>
        </w:rPr>
        <w:t>1 stycznia 2028</w:t>
      </w:r>
      <w:r w:rsidR="009B7420" w:rsidRPr="009B7420">
        <w:rPr>
          <w:noProof/>
        </w:rPr>
        <w:t> </w:t>
      </w:r>
      <w:r w:rsidR="00A934D6" w:rsidRPr="009B7420">
        <w:rPr>
          <w:noProof/>
        </w:rPr>
        <w:t>r. Dyrektywa (UE) XX/XXX [Urząd Publikacji: proszę wstawić numer</w:t>
      </w:r>
      <w:r w:rsidR="009B7420" w:rsidRPr="009B7420">
        <w:rPr>
          <w:noProof/>
        </w:rPr>
        <w:t xml:space="preserve"> i rok</w:t>
      </w:r>
      <w:r w:rsidR="00A934D6" w:rsidRPr="009B7420">
        <w:rPr>
          <w:noProof/>
        </w:rPr>
        <w:t xml:space="preserve"> dyrektywy Rady</w:t>
      </w:r>
      <w:r w:rsidR="009B7420" w:rsidRPr="009B7420">
        <w:rPr>
          <w:noProof/>
        </w:rPr>
        <w:t xml:space="preserve"> w spr</w:t>
      </w:r>
      <w:r w:rsidR="00A934D6" w:rsidRPr="009B7420">
        <w:rPr>
          <w:noProof/>
        </w:rPr>
        <w:t>awie struktury oraz stawek akcyzy stosowanych do tytoniu</w:t>
      </w:r>
      <w:r w:rsidR="009B7420" w:rsidRPr="009B7420">
        <w:rPr>
          <w:noProof/>
        </w:rPr>
        <w:t xml:space="preserve"> i sub</w:t>
      </w:r>
      <w:r w:rsidR="00A934D6" w:rsidRPr="009B7420">
        <w:rPr>
          <w:noProof/>
        </w:rPr>
        <w:t>stytucyjnych wyrobów tytoniowych przyjętej</w:t>
      </w:r>
      <w:r w:rsidR="009B7420" w:rsidRPr="009B7420">
        <w:rPr>
          <w:noProof/>
        </w:rPr>
        <w:t xml:space="preserve"> w tym</w:t>
      </w:r>
      <w:r w:rsidR="00A934D6" w:rsidRPr="009B7420">
        <w:rPr>
          <w:noProof/>
        </w:rPr>
        <w:t xml:space="preserve"> samym dniu co niniejsza dyrektywa] obejmuje szereg nowych wyrobów funkcjonujących jako substytuty wyrobów tytoniowych, zawierających tytoń lub nikotynę, oraz surowiec tytoniowy</w:t>
      </w:r>
      <w:r w:rsidR="009B7420" w:rsidRPr="009B7420">
        <w:rPr>
          <w:noProof/>
        </w:rPr>
        <w:t>. W zwi</w:t>
      </w:r>
      <w:r w:rsidR="00A934D6" w:rsidRPr="009B7420">
        <w:rPr>
          <w:noProof/>
        </w:rPr>
        <w:t>ązku</w:t>
      </w:r>
      <w:r w:rsidR="009B7420" w:rsidRPr="009B7420">
        <w:rPr>
          <w:noProof/>
        </w:rPr>
        <w:t xml:space="preserve"> z tym</w:t>
      </w:r>
      <w:r w:rsidR="00A934D6" w:rsidRPr="009B7420">
        <w:rPr>
          <w:noProof/>
        </w:rPr>
        <w:t xml:space="preserve"> wykaz wyrobów akcyzowych, do których ma zastosowanie dyrektywa (UE) 2020/262, powinien również obejmować wszystkie te wyroby.</w:t>
      </w:r>
    </w:p>
    <w:p w:rsidR="00783BE1" w:rsidRPr="009B7420" w:rsidRDefault="0051093F" w:rsidP="0051093F">
      <w:pPr>
        <w:pStyle w:val="ManualConsidrant"/>
        <w:rPr>
          <w:noProof/>
        </w:rPr>
      </w:pPr>
      <w:r w:rsidRPr="0051093F">
        <w:rPr>
          <w:noProof/>
        </w:rPr>
        <w:t>(2)</w:t>
      </w:r>
      <w:r w:rsidRPr="0051093F">
        <w:rPr>
          <w:noProof/>
        </w:rPr>
        <w:tab/>
      </w:r>
      <w:r w:rsidR="00783BE1" w:rsidRPr="009B7420">
        <w:rPr>
          <w:noProof/>
        </w:rPr>
        <w:t>Aby zapewnić wykrywanie nieprawidłowości</w:t>
      </w:r>
      <w:r w:rsidR="009B7420" w:rsidRPr="009B7420">
        <w:rPr>
          <w:noProof/>
        </w:rPr>
        <w:t xml:space="preserve"> i pot</w:t>
      </w:r>
      <w:r w:rsidR="00783BE1" w:rsidRPr="009B7420">
        <w:rPr>
          <w:noProof/>
        </w:rPr>
        <w:t>encjalnych przypadków przekierowywania, operacje</w:t>
      </w:r>
      <w:r w:rsidR="009B7420" w:rsidRPr="009B7420">
        <w:rPr>
          <w:noProof/>
        </w:rPr>
        <w:t xml:space="preserve"> w łań</w:t>
      </w:r>
      <w:r w:rsidR="00783BE1" w:rsidRPr="009B7420">
        <w:rPr>
          <w:noProof/>
        </w:rPr>
        <w:t>cuchu dostaw surowca tytoniowego powinny podlegać wymogom dotyczącym kontroli</w:t>
      </w:r>
      <w:r w:rsidR="009B7420" w:rsidRPr="009B7420">
        <w:rPr>
          <w:noProof/>
        </w:rPr>
        <w:t xml:space="preserve"> i prz</w:t>
      </w:r>
      <w:r w:rsidR="00783BE1" w:rsidRPr="009B7420">
        <w:rPr>
          <w:noProof/>
        </w:rPr>
        <w:t>emieszczania określonym</w:t>
      </w:r>
      <w:r w:rsidR="009B7420" w:rsidRPr="009B7420">
        <w:rPr>
          <w:noProof/>
        </w:rPr>
        <w:t xml:space="preserve"> w dyr</w:t>
      </w:r>
      <w:r w:rsidR="00783BE1" w:rsidRPr="009B7420">
        <w:rPr>
          <w:noProof/>
        </w:rPr>
        <w:t>ektywie Rady (UE) 2020/262. Ze względu na obciążenie, jakie stanowiłoby to dla drobnych producentów, oraz ograniczone ryzyko oszustw państwa członkowskie powinny zwolnić plantatorów tytoniu, ich organizacje</w:t>
      </w:r>
      <w:r w:rsidR="009B7420" w:rsidRPr="009B7420">
        <w:rPr>
          <w:noProof/>
        </w:rPr>
        <w:t xml:space="preserve"> i sto</w:t>
      </w:r>
      <w:r w:rsidR="00783BE1" w:rsidRPr="009B7420">
        <w:rPr>
          <w:noProof/>
        </w:rPr>
        <w:t>warzyszenia</w:t>
      </w:r>
      <w:r w:rsidR="009B7420" w:rsidRPr="009B7420">
        <w:rPr>
          <w:noProof/>
        </w:rPr>
        <w:t xml:space="preserve"> z wym</w:t>
      </w:r>
      <w:r w:rsidR="00783BE1" w:rsidRPr="009B7420">
        <w:rPr>
          <w:noProof/>
        </w:rPr>
        <w:t>ogów dotyczących kontroli</w:t>
      </w:r>
      <w:r w:rsidR="009B7420" w:rsidRPr="009B7420">
        <w:rPr>
          <w:noProof/>
        </w:rPr>
        <w:t xml:space="preserve"> i prz</w:t>
      </w:r>
      <w:r w:rsidR="00783BE1" w:rsidRPr="009B7420">
        <w:rPr>
          <w:noProof/>
        </w:rPr>
        <w:t>emieszczania, pod warunkiem że nie uczestniczą oni</w:t>
      </w:r>
      <w:r w:rsidR="009B7420" w:rsidRPr="009B7420">
        <w:rPr>
          <w:noProof/>
        </w:rPr>
        <w:t xml:space="preserve"> w prz</w:t>
      </w:r>
      <w:r w:rsidR="00783BE1" w:rsidRPr="009B7420">
        <w:rPr>
          <w:noProof/>
        </w:rPr>
        <w:t>ekształcaniu tytoniu dojrzewanego lub suszu tytoniowego</w:t>
      </w:r>
      <w:r w:rsidR="009B7420" w:rsidRPr="009B7420">
        <w:rPr>
          <w:noProof/>
        </w:rPr>
        <w:t xml:space="preserve"> w tyt</w:t>
      </w:r>
      <w:r w:rsidR="00783BE1" w:rsidRPr="009B7420">
        <w:rPr>
          <w:noProof/>
        </w:rPr>
        <w:t>oń przetworzony.</w:t>
      </w:r>
    </w:p>
    <w:p w:rsidR="006B0AB9" w:rsidRPr="009B7420" w:rsidRDefault="0051093F" w:rsidP="0051093F">
      <w:pPr>
        <w:pStyle w:val="ManualConsidrant"/>
        <w:rPr>
          <w:noProof/>
        </w:rPr>
      </w:pPr>
      <w:r w:rsidRPr="0051093F">
        <w:rPr>
          <w:noProof/>
        </w:rPr>
        <w:t>(3)</w:t>
      </w:r>
      <w:r w:rsidRPr="0051093F">
        <w:rPr>
          <w:noProof/>
        </w:rPr>
        <w:tab/>
      </w:r>
      <w:r w:rsidR="003715AD" w:rsidRPr="009B7420">
        <w:rPr>
          <w:noProof/>
        </w:rPr>
        <w:t>Należy zatem odpowiednio zmienić dyrektywę (UE) 2020/262,</w:t>
      </w:r>
    </w:p>
    <w:p w:rsidR="00090D28" w:rsidRPr="009B7420" w:rsidRDefault="00090D28" w:rsidP="00B77549">
      <w:pPr>
        <w:pStyle w:val="Formuledadoption"/>
        <w:rPr>
          <w:noProof/>
        </w:rPr>
      </w:pPr>
      <w:r w:rsidRPr="009B7420">
        <w:rPr>
          <w:noProof/>
        </w:rPr>
        <w:t>PRZYJMUJE NINIEJSZĄ DYREKTYWĘ:</w:t>
      </w:r>
    </w:p>
    <w:p w:rsidR="00090D28" w:rsidRPr="009B7420" w:rsidRDefault="00090D28" w:rsidP="002E4E88">
      <w:pPr>
        <w:pStyle w:val="Titrearticle"/>
        <w:rPr>
          <w:noProof/>
        </w:rPr>
      </w:pPr>
      <w:r w:rsidRPr="009B7420">
        <w:rPr>
          <w:noProof/>
        </w:rPr>
        <w:t>Artykuł 1</w:t>
      </w:r>
    </w:p>
    <w:p w:rsidR="00783BE1" w:rsidRPr="009B7420" w:rsidRDefault="00783BE1" w:rsidP="00783BE1">
      <w:pPr>
        <w:rPr>
          <w:noProof/>
        </w:rPr>
      </w:pPr>
    </w:p>
    <w:p w:rsidR="00783BE1" w:rsidRPr="009B7420" w:rsidRDefault="00783BE1" w:rsidP="00783BE1">
      <w:pPr>
        <w:rPr>
          <w:noProof/>
        </w:rPr>
      </w:pPr>
      <w:r w:rsidRPr="009B7420">
        <w:rPr>
          <w:noProof/>
        </w:rPr>
        <w:t xml:space="preserve">W dyrektywie (UE) 2020/262 wprowadza się następujące zmiany: </w:t>
      </w:r>
    </w:p>
    <w:p w:rsidR="00C14DA2" w:rsidRPr="009B7420" w:rsidRDefault="0053253A" w:rsidP="00C60A0E">
      <w:pPr>
        <w:rPr>
          <w:noProof/>
        </w:rPr>
      </w:pPr>
      <w:r w:rsidRPr="009B7420">
        <w:rPr>
          <w:noProof/>
        </w:rPr>
        <w:t>art.</w:t>
      </w:r>
      <w:r w:rsidR="009B7420" w:rsidRPr="009B7420">
        <w:rPr>
          <w:noProof/>
        </w:rPr>
        <w:t> </w:t>
      </w:r>
      <w:r w:rsidRPr="009B7420">
        <w:rPr>
          <w:noProof/>
        </w:rPr>
        <w:t>1 ust.</w:t>
      </w:r>
      <w:r w:rsidR="009B7420" w:rsidRPr="009B7420">
        <w:rPr>
          <w:noProof/>
        </w:rPr>
        <w:t> </w:t>
      </w:r>
      <w:r w:rsidRPr="009B7420">
        <w:rPr>
          <w:noProof/>
        </w:rPr>
        <w:t>1 lit.</w:t>
      </w:r>
      <w:r w:rsidR="009B7420" w:rsidRPr="009B7420">
        <w:rPr>
          <w:noProof/>
        </w:rPr>
        <w:t> </w:t>
      </w:r>
      <w:r w:rsidRPr="009B7420">
        <w:rPr>
          <w:noProof/>
        </w:rPr>
        <w:t>c) dyrektywy (UE) 2020/262 otrzymuje brzmienie:</w:t>
      </w:r>
    </w:p>
    <w:p w:rsidR="0009733B" w:rsidRPr="009B7420" w:rsidRDefault="002C1D5B" w:rsidP="00C14DA2">
      <w:pPr>
        <w:rPr>
          <w:noProof/>
        </w:rPr>
      </w:pPr>
      <w:r w:rsidRPr="009B7420">
        <w:rPr>
          <w:noProof/>
        </w:rPr>
        <w:t>„c) tytoń</w:t>
      </w:r>
      <w:r w:rsidR="009B7420" w:rsidRPr="009B7420">
        <w:rPr>
          <w:noProof/>
        </w:rPr>
        <w:t xml:space="preserve"> i sub</w:t>
      </w:r>
      <w:r w:rsidRPr="009B7420">
        <w:rPr>
          <w:noProof/>
        </w:rPr>
        <w:t>stytucyjne wyroby tytoniowe objęte dyrektywą Rady (UE) XX/XXX*.</w:t>
      </w:r>
    </w:p>
    <w:p w:rsidR="0053253A" w:rsidRPr="009B7420" w:rsidRDefault="0053253A" w:rsidP="00C60A0E">
      <w:pPr>
        <w:rPr>
          <w:noProof/>
        </w:rPr>
      </w:pPr>
      <w:r w:rsidRPr="009B7420">
        <w:rPr>
          <w:noProof/>
        </w:rPr>
        <w:t>dodaje się artykuł</w:t>
      </w:r>
      <w:r w:rsidR="009B7420" w:rsidRPr="009B7420">
        <w:rPr>
          <w:noProof/>
        </w:rPr>
        <w:t xml:space="preserve"> w brz</w:t>
      </w:r>
      <w:r w:rsidRPr="009B7420">
        <w:rPr>
          <w:noProof/>
        </w:rPr>
        <w:t>mieniu:</w:t>
      </w:r>
    </w:p>
    <w:p w:rsidR="0053253A" w:rsidRPr="009B7420" w:rsidRDefault="0053253A" w:rsidP="0053253A">
      <w:pPr>
        <w:pStyle w:val="ListParagraph"/>
        <w:rPr>
          <w:noProof/>
        </w:rPr>
      </w:pPr>
    </w:p>
    <w:p w:rsidR="0053253A" w:rsidRPr="009B7420" w:rsidRDefault="0053253A" w:rsidP="0053253A">
      <w:pPr>
        <w:pStyle w:val="ListParagraph"/>
        <w:jc w:val="center"/>
        <w:rPr>
          <w:i/>
          <w:iCs/>
          <w:noProof/>
        </w:rPr>
      </w:pPr>
      <w:r w:rsidRPr="009B7420">
        <w:rPr>
          <w:noProof/>
        </w:rPr>
        <w:t>„</w:t>
      </w:r>
      <w:r w:rsidRPr="009B7420">
        <w:rPr>
          <w:i/>
          <w:noProof/>
        </w:rPr>
        <w:t>Artykuł 50a</w:t>
      </w:r>
    </w:p>
    <w:p w:rsidR="00AB7AFC" w:rsidRPr="009B7420" w:rsidRDefault="00752641" w:rsidP="0053253A">
      <w:pPr>
        <w:pStyle w:val="ListParagraph"/>
        <w:jc w:val="center"/>
        <w:rPr>
          <w:noProof/>
        </w:rPr>
      </w:pPr>
      <w:r w:rsidRPr="009B7420">
        <w:rPr>
          <w:noProof/>
        </w:rPr>
        <w:t>Plantatorzy tytoniu, ich organizacje</w:t>
      </w:r>
      <w:r w:rsidR="009B7420" w:rsidRPr="009B7420">
        <w:rPr>
          <w:noProof/>
        </w:rPr>
        <w:t xml:space="preserve"> i sto</w:t>
      </w:r>
      <w:r w:rsidRPr="009B7420">
        <w:rPr>
          <w:noProof/>
        </w:rPr>
        <w:t>warzyszenia</w:t>
      </w:r>
    </w:p>
    <w:p w:rsidR="0053253A" w:rsidRPr="009B7420" w:rsidRDefault="00E0309C" w:rsidP="00C14DA2">
      <w:pPr>
        <w:rPr>
          <w:noProof/>
        </w:rPr>
      </w:pPr>
      <w:r w:rsidRPr="009B7420">
        <w:rPr>
          <w:noProof/>
        </w:rPr>
        <w:t>Państwa członkowskie zwalniają plantatorów tytoniu, ich organizacje</w:t>
      </w:r>
      <w:r w:rsidR="009B7420" w:rsidRPr="009B7420">
        <w:rPr>
          <w:noProof/>
        </w:rPr>
        <w:t xml:space="preserve"> i sto</w:t>
      </w:r>
      <w:r w:rsidRPr="009B7420">
        <w:rPr>
          <w:noProof/>
        </w:rPr>
        <w:t>warzyszenia</w:t>
      </w:r>
      <w:r w:rsidR="009B7420" w:rsidRPr="009B7420">
        <w:rPr>
          <w:noProof/>
        </w:rPr>
        <w:t xml:space="preserve"> z wym</w:t>
      </w:r>
      <w:r w:rsidRPr="009B7420">
        <w:rPr>
          <w:noProof/>
        </w:rPr>
        <w:t>ogów określonych</w:t>
      </w:r>
      <w:r w:rsidR="009B7420" w:rsidRPr="009B7420">
        <w:rPr>
          <w:noProof/>
        </w:rPr>
        <w:t xml:space="preserve"> w art</w:t>
      </w:r>
      <w:r w:rsidRPr="009B7420">
        <w:rPr>
          <w:noProof/>
        </w:rPr>
        <w:t>.</w:t>
      </w:r>
      <w:r w:rsidR="009B7420" w:rsidRPr="009B7420">
        <w:rPr>
          <w:noProof/>
        </w:rPr>
        <w:t> </w:t>
      </w:r>
      <w:r w:rsidRPr="009B7420">
        <w:rPr>
          <w:noProof/>
        </w:rPr>
        <w:t>14–21, 24–28, 30–31, 33–47 oraz</w:t>
      </w:r>
      <w:r w:rsidR="009B7420" w:rsidRPr="009B7420">
        <w:rPr>
          <w:noProof/>
        </w:rPr>
        <w:t xml:space="preserve"> z inn</w:t>
      </w:r>
      <w:r w:rsidRPr="009B7420">
        <w:rPr>
          <w:noProof/>
        </w:rPr>
        <w:t>ych wymogów dotyczących wymagalności podatku akcyzowego, pod warunkiem że plantatorzy ci, ich organizacje</w:t>
      </w:r>
      <w:r w:rsidR="009B7420" w:rsidRPr="009B7420">
        <w:rPr>
          <w:noProof/>
        </w:rPr>
        <w:t xml:space="preserve"> i sto</w:t>
      </w:r>
      <w:r w:rsidRPr="009B7420">
        <w:rPr>
          <w:noProof/>
        </w:rPr>
        <w:t>warzyszenia nie uczestniczą</w:t>
      </w:r>
      <w:r w:rsidR="009B7420" w:rsidRPr="009B7420">
        <w:rPr>
          <w:noProof/>
        </w:rPr>
        <w:t xml:space="preserve"> w prz</w:t>
      </w:r>
      <w:r w:rsidRPr="009B7420">
        <w:rPr>
          <w:noProof/>
        </w:rPr>
        <w:t>ekształcaniu tytoniu dojrzewanego lub suszu tytoniowego</w:t>
      </w:r>
      <w:r w:rsidR="009B7420" w:rsidRPr="009B7420">
        <w:rPr>
          <w:noProof/>
        </w:rPr>
        <w:t xml:space="preserve"> w tyt</w:t>
      </w:r>
      <w:r w:rsidRPr="009B7420">
        <w:rPr>
          <w:noProof/>
        </w:rPr>
        <w:t>oń przetworzony.”.</w:t>
      </w:r>
    </w:p>
    <w:p w:rsidR="00B7748E" w:rsidRPr="009B7420" w:rsidRDefault="00B7748E" w:rsidP="00B7748E">
      <w:pPr>
        <w:rPr>
          <w:noProof/>
        </w:rPr>
      </w:pPr>
      <w:r w:rsidRPr="009B7420">
        <w:rPr>
          <w:noProof/>
        </w:rPr>
        <w:t>___________</w:t>
      </w:r>
    </w:p>
    <w:p w:rsidR="00090D28" w:rsidRPr="009B7420" w:rsidRDefault="0009733B" w:rsidP="00C14DA2">
      <w:pPr>
        <w:rPr>
          <w:noProof/>
        </w:rPr>
      </w:pPr>
      <w:r w:rsidRPr="009B7420">
        <w:rPr>
          <w:noProof/>
          <w:sz w:val="20"/>
        </w:rPr>
        <w:t>* Dyrektywa Rady XX/XXX [Urząd Publikacji: proszę wstawić numer</w:t>
      </w:r>
      <w:r w:rsidR="009B7420" w:rsidRPr="009B7420">
        <w:rPr>
          <w:noProof/>
          <w:sz w:val="20"/>
        </w:rPr>
        <w:t xml:space="preserve"> i rok</w:t>
      </w:r>
      <w:r w:rsidRPr="009B7420">
        <w:rPr>
          <w:noProof/>
          <w:sz w:val="20"/>
        </w:rPr>
        <w:t>, odniesienie do Dz.U. oraz ELI dyrektywy Rady</w:t>
      </w:r>
      <w:r w:rsidR="009B7420" w:rsidRPr="009B7420">
        <w:rPr>
          <w:noProof/>
          <w:sz w:val="20"/>
        </w:rPr>
        <w:t xml:space="preserve"> w spr</w:t>
      </w:r>
      <w:r w:rsidRPr="009B7420">
        <w:rPr>
          <w:noProof/>
          <w:sz w:val="20"/>
        </w:rPr>
        <w:t>awie struktury oraz stawek akcyzy stosowanych do tytoniu</w:t>
      </w:r>
      <w:r w:rsidR="009B7420" w:rsidRPr="009B7420">
        <w:rPr>
          <w:noProof/>
          <w:sz w:val="20"/>
        </w:rPr>
        <w:t xml:space="preserve"> i sub</w:t>
      </w:r>
      <w:r w:rsidRPr="009B7420">
        <w:rPr>
          <w:noProof/>
          <w:sz w:val="20"/>
        </w:rPr>
        <w:t>stytucyjnych wyrobów tytoniowych przyjętej</w:t>
      </w:r>
      <w:r w:rsidR="009B7420" w:rsidRPr="009B7420">
        <w:rPr>
          <w:noProof/>
          <w:sz w:val="20"/>
        </w:rPr>
        <w:t xml:space="preserve"> w tym</w:t>
      </w:r>
      <w:r w:rsidRPr="009B7420">
        <w:rPr>
          <w:noProof/>
          <w:sz w:val="20"/>
        </w:rPr>
        <w:t xml:space="preserve"> samym dniu co niniejsza dyrektywa].</w:t>
      </w:r>
      <w:r w:rsidRPr="009B7420">
        <w:rPr>
          <w:noProof/>
        </w:rPr>
        <w:t>”;</w:t>
      </w:r>
    </w:p>
    <w:p w:rsidR="00763A42" w:rsidRPr="009B7420" w:rsidRDefault="00763A42" w:rsidP="002E4E88">
      <w:pPr>
        <w:pStyle w:val="Titrearticle"/>
        <w:rPr>
          <w:noProof/>
        </w:rPr>
      </w:pPr>
      <w:r w:rsidRPr="009B7420">
        <w:rPr>
          <w:noProof/>
        </w:rPr>
        <w:t>Artykuł 2</w:t>
      </w:r>
    </w:p>
    <w:p w:rsidR="00763A42" w:rsidRPr="009B7420" w:rsidRDefault="00B77549" w:rsidP="00B77549">
      <w:pPr>
        <w:rPr>
          <w:noProof/>
        </w:rPr>
      </w:pPr>
      <w:r w:rsidRPr="009B7420">
        <w:rPr>
          <w:noProof/>
        </w:rPr>
        <w:t>1.</w:t>
      </w:r>
      <w:r w:rsidRPr="009B7420">
        <w:rPr>
          <w:noProof/>
        </w:rPr>
        <w:tab/>
        <w:t>Państwa członkowskie przyjmują</w:t>
      </w:r>
      <w:r w:rsidR="009B7420" w:rsidRPr="009B7420">
        <w:rPr>
          <w:noProof/>
        </w:rPr>
        <w:t xml:space="preserve"> i pub</w:t>
      </w:r>
      <w:r w:rsidRPr="009B7420">
        <w:rPr>
          <w:noProof/>
        </w:rPr>
        <w:t>likują, najpóźniej do dnia 31 grudnia 2027</w:t>
      </w:r>
      <w:r w:rsidR="009B7420" w:rsidRPr="009B7420">
        <w:rPr>
          <w:noProof/>
        </w:rPr>
        <w:t> </w:t>
      </w:r>
      <w:r w:rsidRPr="009B7420">
        <w:rPr>
          <w:noProof/>
        </w:rPr>
        <w:t>r., przepisy ustawowe, wykonawcze</w:t>
      </w:r>
      <w:r w:rsidR="009B7420" w:rsidRPr="009B7420">
        <w:rPr>
          <w:noProof/>
        </w:rPr>
        <w:t xml:space="preserve"> i adm</w:t>
      </w:r>
      <w:r w:rsidRPr="009B7420">
        <w:rPr>
          <w:noProof/>
        </w:rPr>
        <w:t>inistracyjne niezbędne do wykonania niniejszej dyrektywy. Niezwłocznie przekazują Komisji tekst tych przepisów.</w:t>
      </w:r>
    </w:p>
    <w:p w:rsidR="00763A42" w:rsidRPr="009B7420" w:rsidRDefault="00763A42" w:rsidP="00B77549">
      <w:pPr>
        <w:rPr>
          <w:noProof/>
        </w:rPr>
      </w:pPr>
      <w:r w:rsidRPr="009B7420">
        <w:rPr>
          <w:noProof/>
        </w:rPr>
        <w:t>Państwa członkowskie stosują te przepisy od dnia 1 stycznia 2028 r.</w:t>
      </w:r>
    </w:p>
    <w:p w:rsidR="00763A42" w:rsidRPr="009B7420" w:rsidRDefault="00763A42" w:rsidP="00B77549">
      <w:pPr>
        <w:rPr>
          <w:noProof/>
        </w:rPr>
      </w:pPr>
      <w:r w:rsidRPr="009B7420">
        <w:rPr>
          <w:noProof/>
        </w:rPr>
        <w:t>Przepisy przyjęte przez państwa członkowskie zawierają odniesienie do niniejszej dyrektywy lub odniesienie takie towarzyszy ich urzędowej publikacji. Metody dokonywania takiego odniesienia określane są przez państwa członkowskie.</w:t>
      </w:r>
    </w:p>
    <w:p w:rsidR="00763A42" w:rsidRPr="009B7420" w:rsidRDefault="00763A42" w:rsidP="00B77549">
      <w:pPr>
        <w:rPr>
          <w:noProof/>
        </w:rPr>
      </w:pPr>
      <w:r w:rsidRPr="009B7420">
        <w:rPr>
          <w:noProof/>
        </w:rPr>
        <w:t>2.</w:t>
      </w:r>
      <w:r w:rsidRPr="009B7420">
        <w:rPr>
          <w:noProof/>
        </w:rPr>
        <w:tab/>
        <w:t>Państwa członkowskie przekazują Komisji tekst podstawowych przepisów prawa krajowego przyjętych</w:t>
      </w:r>
      <w:r w:rsidR="009B7420" w:rsidRPr="009B7420">
        <w:rPr>
          <w:noProof/>
        </w:rPr>
        <w:t xml:space="preserve"> w dzi</w:t>
      </w:r>
      <w:r w:rsidRPr="009B7420">
        <w:rPr>
          <w:noProof/>
        </w:rPr>
        <w:t>edzinie objętej niniejszą dyrektywą.</w:t>
      </w:r>
    </w:p>
    <w:p w:rsidR="00090D28" w:rsidRPr="009B7420" w:rsidRDefault="00090D28" w:rsidP="002E4E88">
      <w:pPr>
        <w:pStyle w:val="Titrearticle"/>
        <w:rPr>
          <w:noProof/>
        </w:rPr>
      </w:pPr>
      <w:r w:rsidRPr="009B7420">
        <w:rPr>
          <w:noProof/>
        </w:rPr>
        <w:t>Artykuł 3</w:t>
      </w:r>
    </w:p>
    <w:p w:rsidR="00080188" w:rsidRPr="009B7420" w:rsidRDefault="00090D28" w:rsidP="002E4E88">
      <w:pPr>
        <w:rPr>
          <w:noProof/>
        </w:rPr>
      </w:pPr>
      <w:r w:rsidRPr="009B7420">
        <w:rPr>
          <w:noProof/>
        </w:rPr>
        <w:t>Niniejsza dyrektywa wchodzi</w:t>
      </w:r>
      <w:r w:rsidR="009B7420" w:rsidRPr="009B7420">
        <w:rPr>
          <w:noProof/>
        </w:rPr>
        <w:t xml:space="preserve"> w życ</w:t>
      </w:r>
      <w:r w:rsidRPr="009B7420">
        <w:rPr>
          <w:noProof/>
        </w:rPr>
        <w:t>ie dwudziestego dnia po jej opublikowaniu</w:t>
      </w:r>
      <w:r w:rsidR="009B7420" w:rsidRPr="009B7420">
        <w:rPr>
          <w:noProof/>
        </w:rPr>
        <w:t xml:space="preserve"> w </w:t>
      </w:r>
      <w:r w:rsidR="009B7420" w:rsidRPr="009B7420">
        <w:rPr>
          <w:i/>
          <w:noProof/>
        </w:rPr>
        <w:t>Dzi</w:t>
      </w:r>
      <w:r w:rsidRPr="009B7420">
        <w:rPr>
          <w:i/>
          <w:noProof/>
        </w:rPr>
        <w:t>enniku Urzędowym Unii Europejskiej</w:t>
      </w:r>
      <w:r w:rsidRPr="009B7420">
        <w:rPr>
          <w:noProof/>
        </w:rPr>
        <w:t>.</w:t>
      </w:r>
    </w:p>
    <w:p w:rsidR="00090D28" w:rsidRPr="009B7420" w:rsidRDefault="00090D28" w:rsidP="00E9347B">
      <w:pPr>
        <w:pStyle w:val="Titrearticle"/>
        <w:rPr>
          <w:noProof/>
        </w:rPr>
      </w:pPr>
      <w:r w:rsidRPr="009B7420">
        <w:rPr>
          <w:noProof/>
        </w:rPr>
        <w:t>Artykuł 4</w:t>
      </w:r>
    </w:p>
    <w:p w:rsidR="00090D28" w:rsidRPr="009B7420" w:rsidRDefault="00090D28" w:rsidP="002E4E88">
      <w:pPr>
        <w:rPr>
          <w:noProof/>
        </w:rPr>
      </w:pPr>
      <w:r w:rsidRPr="009B7420">
        <w:rPr>
          <w:noProof/>
        </w:rPr>
        <w:t>Niniejsza dyrektywa skierowana jest do państw członkowskich.</w:t>
      </w:r>
    </w:p>
    <w:p w:rsidR="00090D28" w:rsidRPr="009B7420" w:rsidRDefault="009B7420" w:rsidP="00E9347B">
      <w:pPr>
        <w:pStyle w:val="Fait"/>
        <w:rPr>
          <w:noProof/>
        </w:rPr>
      </w:pPr>
      <w:r>
        <w:rPr>
          <w:noProof/>
        </w:rPr>
        <w:t>Sporządzono w Brukseli dnia  r.</w:t>
      </w:r>
    </w:p>
    <w:p w:rsidR="00090D28" w:rsidRPr="009B7420" w:rsidRDefault="00090D28" w:rsidP="00E9347B">
      <w:pPr>
        <w:pStyle w:val="Institutionquisigne"/>
        <w:rPr>
          <w:noProof/>
        </w:rPr>
      </w:pPr>
      <w:r w:rsidRPr="009B7420">
        <w:rPr>
          <w:noProof/>
        </w:rPr>
        <w:tab/>
        <w:t>W imieniu Rady</w:t>
      </w:r>
    </w:p>
    <w:p w:rsidR="00090D28" w:rsidRPr="009B7420" w:rsidRDefault="00090D28" w:rsidP="00090D28">
      <w:pPr>
        <w:pStyle w:val="Personnequisigne"/>
        <w:rPr>
          <w:noProof/>
        </w:rPr>
      </w:pPr>
      <w:r w:rsidRPr="009B7420">
        <w:rPr>
          <w:noProof/>
        </w:rPr>
        <w:tab/>
        <w:t>Przewodniczący</w:t>
      </w:r>
    </w:p>
    <w:sectPr w:rsidR="00090D28" w:rsidRPr="009B7420" w:rsidSect="00893B9B">
      <w:footnotePr>
        <w:numRestart w:val="eachSect"/>
      </w:footnote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DCB" w:rsidRPr="009B7420" w:rsidRDefault="00BF2DCB" w:rsidP="00090D28">
      <w:pPr>
        <w:spacing w:before="0" w:after="0"/>
      </w:pPr>
      <w:r w:rsidRPr="009B7420">
        <w:separator/>
      </w:r>
    </w:p>
  </w:endnote>
  <w:endnote w:type="continuationSeparator" w:id="0">
    <w:p w:rsidR="00BF2DCB" w:rsidRPr="009B7420" w:rsidRDefault="00BF2DCB" w:rsidP="00090D28">
      <w:pPr>
        <w:spacing w:before="0" w:after="0"/>
      </w:pPr>
      <w:r w:rsidRPr="009B7420">
        <w:continuationSeparator/>
      </w:r>
    </w:p>
  </w:endnote>
  <w:endnote w:type="continuationNotice" w:id="1">
    <w:p w:rsidR="00BF2DCB" w:rsidRPr="009B7420" w:rsidRDefault="00BF2DC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9B" w:rsidRPr="00893B9B" w:rsidRDefault="00893B9B" w:rsidP="00893B9B">
    <w:pPr>
      <w:pStyle w:val="Footer"/>
      <w:rPr>
        <w:rFonts w:ascii="Arial" w:hAnsi="Arial" w:cs="Arial"/>
        <w:b/>
        <w:sz w:val="48"/>
      </w:rPr>
    </w:pPr>
    <w:r w:rsidRPr="00893B9B">
      <w:rPr>
        <w:rFonts w:ascii="Arial" w:hAnsi="Arial" w:cs="Arial"/>
        <w:b/>
        <w:sz w:val="48"/>
      </w:rPr>
      <w:t>PL</w:t>
    </w:r>
    <w:r w:rsidRPr="00893B9B">
      <w:rPr>
        <w:rFonts w:ascii="Arial" w:hAnsi="Arial" w:cs="Arial"/>
        <w:b/>
        <w:sz w:val="48"/>
      </w:rPr>
      <w:tab/>
    </w:r>
    <w:r w:rsidRPr="00893B9B">
      <w:rPr>
        <w:rFonts w:ascii="Arial" w:hAnsi="Arial" w:cs="Arial"/>
        <w:b/>
        <w:sz w:val="48"/>
      </w:rPr>
      <w:tab/>
    </w:r>
    <w:r w:rsidRPr="00893B9B">
      <w:tab/>
    </w:r>
    <w:r w:rsidRPr="00893B9B">
      <w:rPr>
        <w:rFonts w:ascii="Arial" w:hAnsi="Arial" w:cs="Arial"/>
        <w:b/>
        <w:sz w:val="48"/>
      </w:rPr>
      <w:t>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9B" w:rsidRPr="00893B9B" w:rsidRDefault="00893B9B" w:rsidP="00893B9B">
    <w:pPr>
      <w:pStyle w:val="Footer"/>
      <w:rPr>
        <w:rFonts w:ascii="Arial" w:hAnsi="Arial" w:cs="Arial"/>
        <w:b/>
        <w:sz w:val="48"/>
      </w:rPr>
    </w:pPr>
    <w:r w:rsidRPr="00893B9B">
      <w:rPr>
        <w:rFonts w:ascii="Arial" w:hAnsi="Arial" w:cs="Arial"/>
        <w:b/>
        <w:sz w:val="48"/>
      </w:rPr>
      <w:t>PL</w:t>
    </w:r>
    <w:r w:rsidRPr="00893B9B">
      <w:rPr>
        <w:rFonts w:ascii="Arial" w:hAnsi="Arial" w:cs="Arial"/>
        <w:b/>
        <w:sz w:val="48"/>
      </w:rPr>
      <w:tab/>
    </w:r>
    <w:r w:rsidRPr="00893B9B">
      <w:rPr>
        <w:rFonts w:ascii="Arial" w:hAnsi="Arial" w:cs="Arial"/>
        <w:b/>
        <w:sz w:val="48"/>
      </w:rPr>
      <w:tab/>
    </w:r>
    <w:r w:rsidRPr="00893B9B">
      <w:tab/>
    </w:r>
    <w:r w:rsidRPr="00893B9B"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9B" w:rsidRDefault="00893B9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9B" w:rsidRPr="00893B9B" w:rsidRDefault="00893B9B" w:rsidP="00893B9B">
    <w:pPr>
      <w:pStyle w:val="Footer"/>
      <w:rPr>
        <w:rFonts w:ascii="Arial" w:hAnsi="Arial" w:cs="Arial"/>
        <w:b/>
        <w:sz w:val="48"/>
      </w:rPr>
    </w:pPr>
    <w:r w:rsidRPr="00893B9B">
      <w:rPr>
        <w:rFonts w:ascii="Arial" w:hAnsi="Arial" w:cs="Arial"/>
        <w:b/>
        <w:sz w:val="48"/>
      </w:rPr>
      <w:t>PL</w:t>
    </w:r>
    <w:r w:rsidRPr="00893B9B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0A26B8">
      <w:rPr>
        <w:noProof/>
      </w:rPr>
      <w:t>1</w:t>
    </w:r>
    <w:r>
      <w:fldChar w:fldCharType="end"/>
    </w:r>
    <w:r>
      <w:tab/>
    </w:r>
    <w:r w:rsidRPr="00893B9B">
      <w:tab/>
    </w:r>
    <w:r w:rsidRPr="00893B9B">
      <w:rPr>
        <w:rFonts w:ascii="Arial" w:hAnsi="Arial" w:cs="Arial"/>
        <w:b/>
        <w:sz w:val="48"/>
      </w:rPr>
      <w:t>PL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9B" w:rsidRDefault="00893B9B" w:rsidP="00893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DCB" w:rsidRPr="009B7420" w:rsidRDefault="00BF2DCB" w:rsidP="00090D28">
      <w:pPr>
        <w:spacing w:before="0" w:after="0"/>
      </w:pPr>
      <w:r w:rsidRPr="009B7420">
        <w:separator/>
      </w:r>
    </w:p>
  </w:footnote>
  <w:footnote w:type="continuationSeparator" w:id="0">
    <w:p w:rsidR="00BF2DCB" w:rsidRPr="009B7420" w:rsidRDefault="00BF2DCB" w:rsidP="00090D28">
      <w:pPr>
        <w:spacing w:before="0" w:after="0"/>
      </w:pPr>
      <w:r w:rsidRPr="009B7420">
        <w:continuationSeparator/>
      </w:r>
    </w:p>
  </w:footnote>
  <w:footnote w:type="continuationNotice" w:id="1">
    <w:p w:rsidR="00BF2DCB" w:rsidRPr="009B7420" w:rsidRDefault="00BF2DCB">
      <w:pPr>
        <w:spacing w:before="0" w:after="0"/>
      </w:pPr>
    </w:p>
  </w:footnote>
  <w:footnote w:id="2">
    <w:p w:rsidR="00FA15BD" w:rsidRPr="009B7420" w:rsidRDefault="00FA15BD" w:rsidP="00FA15BD">
      <w:pPr>
        <w:pStyle w:val="FootnoteText"/>
      </w:pPr>
      <w:r w:rsidRPr="009B7420">
        <w:rPr>
          <w:rStyle w:val="FootnoteReference"/>
        </w:rPr>
        <w:footnoteRef/>
      </w:r>
      <w:r w:rsidRPr="009B7420">
        <w:tab/>
      </w:r>
      <w:hyperlink r:id="rId1" w:history="1">
        <w:r w:rsidRPr="009B7420">
          <w:rPr>
            <w:rStyle w:val="Hyperlink"/>
          </w:rPr>
          <w:t>Dyrektywa Rady (UE) 2020/262</w:t>
        </w:r>
      </w:hyperlink>
      <w:r w:rsidR="009B7420" w:rsidRPr="009B7420">
        <w:t xml:space="preserve"> z dni</w:t>
      </w:r>
      <w:r w:rsidRPr="009B7420">
        <w:t>a 19 grudnia 2019</w:t>
      </w:r>
      <w:r w:rsidR="009B7420" w:rsidRPr="009B7420">
        <w:t> </w:t>
      </w:r>
      <w:r w:rsidRPr="009B7420">
        <w:t>r. ustanawiająca ogólne zasady dotyczące podatku akcyzowego (przekształcenie), Dz.U. L 58</w:t>
      </w:r>
      <w:r w:rsidR="009B7420" w:rsidRPr="009B7420">
        <w:t xml:space="preserve"> z 2</w:t>
      </w:r>
      <w:r w:rsidRPr="009B7420">
        <w:t>7.2.2020, s. 4.</w:t>
      </w:r>
    </w:p>
  </w:footnote>
  <w:footnote w:id="3">
    <w:p w:rsidR="00FA15BD" w:rsidRPr="009B7420" w:rsidRDefault="00FA15BD" w:rsidP="00FA15BD">
      <w:pPr>
        <w:pStyle w:val="FootnoteText"/>
      </w:pPr>
      <w:r w:rsidRPr="009B7420">
        <w:rPr>
          <w:rStyle w:val="FootnoteReference"/>
        </w:rPr>
        <w:footnoteRef/>
      </w:r>
      <w:r w:rsidRPr="009B7420">
        <w:tab/>
      </w:r>
      <w:hyperlink r:id="rId2" w:history="1">
        <w:r w:rsidRPr="009B7420">
          <w:rPr>
            <w:rStyle w:val="Hyperlink"/>
          </w:rPr>
          <w:t>Dyrektywa Rady 2008/118/WE</w:t>
        </w:r>
      </w:hyperlink>
      <w:r w:rsidR="009B7420" w:rsidRPr="009B7420">
        <w:t xml:space="preserve"> z dni</w:t>
      </w:r>
      <w:r w:rsidRPr="009B7420">
        <w:t>a 16 grudnia 2008</w:t>
      </w:r>
      <w:r w:rsidR="009B7420" w:rsidRPr="009B7420">
        <w:t> </w:t>
      </w:r>
      <w:r w:rsidRPr="009B7420">
        <w:t>r.</w:t>
      </w:r>
      <w:r w:rsidR="009B7420" w:rsidRPr="009B7420">
        <w:t xml:space="preserve"> w spr</w:t>
      </w:r>
      <w:r w:rsidRPr="009B7420">
        <w:t>awie ogólnych zasad dotyczących podatku akcyzowego, uchylająca dyrektywę 92/12/EWG, Dz.U. L 9</w:t>
      </w:r>
      <w:r w:rsidR="009B7420" w:rsidRPr="009B7420">
        <w:t xml:space="preserve"> z 1</w:t>
      </w:r>
      <w:r w:rsidRPr="009B7420">
        <w:t>4.1.2009, s. 12.</w:t>
      </w:r>
    </w:p>
  </w:footnote>
  <w:footnote w:id="4">
    <w:p w:rsidR="006E4BA6" w:rsidRPr="009B7420" w:rsidRDefault="006E4BA6" w:rsidP="0008798F">
      <w:pPr>
        <w:pStyle w:val="FootnoteText"/>
      </w:pPr>
      <w:r w:rsidRPr="009B7420">
        <w:rPr>
          <w:rStyle w:val="FootnoteReference"/>
        </w:rPr>
        <w:footnoteRef/>
      </w:r>
      <w:r w:rsidRPr="009B7420">
        <w:tab/>
      </w:r>
      <w:hyperlink r:id="rId3" w:history="1">
        <w:r w:rsidRPr="009B7420">
          <w:rPr>
            <w:rStyle w:val="Hyperlink"/>
          </w:rPr>
          <w:t>Dyrektywa Rady 2011/64/UE</w:t>
        </w:r>
      </w:hyperlink>
      <w:r w:rsidR="009B7420" w:rsidRPr="009B7420">
        <w:t xml:space="preserve"> w spr</w:t>
      </w:r>
      <w:r w:rsidRPr="009B7420">
        <w:t>awie struktury oraz stawek akcyzy stosowanych do wyrobów tytoniowych, Dz.U. L 176</w:t>
      </w:r>
      <w:r w:rsidR="009B7420" w:rsidRPr="009B7420">
        <w:t xml:space="preserve"> z 5</w:t>
      </w:r>
      <w:r w:rsidRPr="009B7420">
        <w:t>.7.2011, s. 24.</w:t>
      </w:r>
    </w:p>
  </w:footnote>
  <w:footnote w:id="5">
    <w:p w:rsidR="006E4BA6" w:rsidRPr="009B7420" w:rsidRDefault="006E4BA6" w:rsidP="006E4BA6">
      <w:pPr>
        <w:pStyle w:val="FootnoteText"/>
      </w:pPr>
      <w:r w:rsidRPr="009B7420">
        <w:rPr>
          <w:rStyle w:val="FootnoteReference"/>
        </w:rPr>
        <w:footnoteRef/>
      </w:r>
      <w:r w:rsidRPr="009B7420">
        <w:tab/>
        <w:t>Proszę podać odniesienie, kiedy będzie dostępne.</w:t>
      </w:r>
    </w:p>
  </w:footnote>
  <w:footnote w:id="6">
    <w:p w:rsidR="00414C92" w:rsidRPr="009B7420" w:rsidRDefault="00414C92" w:rsidP="00414C92">
      <w:pPr>
        <w:pStyle w:val="FootnoteText"/>
      </w:pPr>
      <w:r w:rsidRPr="009B7420">
        <w:rPr>
          <w:rStyle w:val="FootnoteReference"/>
        </w:rPr>
        <w:footnoteRef/>
      </w:r>
      <w:r w:rsidRPr="009B7420">
        <w:tab/>
        <w:t xml:space="preserve">Wersja skonsolidowana </w:t>
      </w:r>
      <w:hyperlink r:id="rId4" w:history="1">
        <w:r w:rsidRPr="009B7420">
          <w:rPr>
            <w:rStyle w:val="Hyperlink"/>
          </w:rPr>
          <w:t>Traktatu</w:t>
        </w:r>
        <w:r w:rsidR="009B7420" w:rsidRPr="009B7420">
          <w:rPr>
            <w:rStyle w:val="Hyperlink"/>
          </w:rPr>
          <w:t xml:space="preserve"> o fun</w:t>
        </w:r>
        <w:r w:rsidRPr="009B7420">
          <w:rPr>
            <w:rStyle w:val="Hyperlink"/>
          </w:rPr>
          <w:t>kcjonowaniu Unii Europejskiej</w:t>
        </w:r>
      </w:hyperlink>
      <w:r w:rsidRPr="009B7420">
        <w:t>, Dz.U. C 326</w:t>
      </w:r>
      <w:r w:rsidR="009B7420" w:rsidRPr="009B7420">
        <w:t xml:space="preserve"> z 2</w:t>
      </w:r>
      <w:r w:rsidRPr="009B7420">
        <w:t>6.10.2012, s. 47.</w:t>
      </w:r>
    </w:p>
  </w:footnote>
  <w:footnote w:id="7">
    <w:p w:rsidR="00A22674" w:rsidRPr="009B7420" w:rsidRDefault="00A22674" w:rsidP="00A22674">
      <w:pPr>
        <w:pStyle w:val="FootnoteText"/>
      </w:pPr>
      <w:r w:rsidRPr="009B7420">
        <w:rPr>
          <w:rStyle w:val="FootnoteReference"/>
        </w:rPr>
        <w:footnoteRef/>
      </w:r>
      <w:r w:rsidRPr="009B7420">
        <w:tab/>
        <w:t>Dz.U. C  z , s. .</w:t>
      </w:r>
    </w:p>
  </w:footnote>
  <w:footnote w:id="8">
    <w:p w:rsidR="00A22674" w:rsidRPr="009B7420" w:rsidRDefault="00A22674" w:rsidP="00A22674">
      <w:pPr>
        <w:pStyle w:val="FootnoteText"/>
      </w:pPr>
      <w:r w:rsidRPr="009B7420">
        <w:rPr>
          <w:rStyle w:val="FootnoteReference"/>
        </w:rPr>
        <w:footnoteRef/>
      </w:r>
      <w:r w:rsidRPr="009B7420">
        <w:tab/>
        <w:t>Dz.U. C  z , s. .</w:t>
      </w:r>
    </w:p>
  </w:footnote>
  <w:footnote w:id="9">
    <w:p w:rsidR="00C939E4" w:rsidRPr="009B7420" w:rsidRDefault="00C939E4" w:rsidP="003715AD">
      <w:pPr>
        <w:pStyle w:val="FootnoteText"/>
      </w:pPr>
      <w:r w:rsidRPr="009B7420">
        <w:rPr>
          <w:rStyle w:val="FootnoteReference"/>
        </w:rPr>
        <w:footnoteRef/>
      </w:r>
      <w:r w:rsidRPr="009B7420">
        <w:tab/>
        <w:t>Dyrektywa Rady (UE) 2020/262</w:t>
      </w:r>
      <w:r w:rsidR="009B7420" w:rsidRPr="009B7420">
        <w:t xml:space="preserve"> z dni</w:t>
      </w:r>
      <w:r w:rsidRPr="009B7420">
        <w:t>a 19 grudnia 2019</w:t>
      </w:r>
      <w:r w:rsidR="009B7420" w:rsidRPr="009B7420">
        <w:t> </w:t>
      </w:r>
      <w:r w:rsidRPr="009B7420">
        <w:t>r. ustanawiająca ogólne zasady dotyczące podatku akcyzowego (Dz.U. L 58 z 27.2.2020, s. 4,</w:t>
      </w:r>
      <w:r w:rsidRPr="009B7420">
        <w:rPr>
          <w:rStyle w:val="Footnote1"/>
        </w:rPr>
        <w:t xml:space="preserve"> ELI: </w:t>
      </w:r>
      <w:hyperlink r:id="rId5" w:history="1">
        <w:r w:rsidRPr="009B7420">
          <w:rPr>
            <w:rStyle w:val="Hyperlink"/>
          </w:rPr>
          <w:t>http://data.europa.eu/eli/dir/2020/262/oj</w:t>
        </w:r>
      </w:hyperlink>
      <w:r w:rsidRPr="009B7420">
        <w:t>).</w:t>
      </w:r>
    </w:p>
  </w:footnote>
  <w:footnote w:id="10">
    <w:p w:rsidR="00F65E49" w:rsidRPr="009B7420" w:rsidRDefault="00F65E49" w:rsidP="00F65E49">
      <w:pPr>
        <w:pStyle w:val="FootnoteText"/>
      </w:pPr>
      <w:r w:rsidRPr="009B7420">
        <w:rPr>
          <w:rStyle w:val="FootnoteReference"/>
        </w:rPr>
        <w:footnoteRef/>
      </w:r>
      <w:r w:rsidRPr="009B7420">
        <w:tab/>
        <w:t>Dyrektywa Rady 2011/64/UE</w:t>
      </w:r>
      <w:r w:rsidR="009B7420" w:rsidRPr="009B7420">
        <w:t xml:space="preserve"> z dni</w:t>
      </w:r>
      <w:r w:rsidRPr="009B7420">
        <w:t>a 21 czerwca 2011</w:t>
      </w:r>
      <w:r w:rsidR="009B7420" w:rsidRPr="009B7420">
        <w:t> </w:t>
      </w:r>
      <w:r w:rsidRPr="009B7420">
        <w:t>r.</w:t>
      </w:r>
      <w:r w:rsidR="009B7420" w:rsidRPr="009B7420">
        <w:t xml:space="preserve"> w spr</w:t>
      </w:r>
      <w:r w:rsidRPr="009B7420">
        <w:t>awie struktury oraz stawek akcyzy stosowanych do wyrobów tytoniowych (Dz.U. L 176</w:t>
      </w:r>
      <w:r w:rsidR="009B7420" w:rsidRPr="009B7420">
        <w:t xml:space="preserve"> z 5</w:t>
      </w:r>
      <w:r w:rsidRPr="009B7420">
        <w:t>.7.2011, s. 24,</w:t>
      </w:r>
      <w:r w:rsidRPr="009B7420">
        <w:rPr>
          <w:rStyle w:val="Hyperlink"/>
        </w:rPr>
        <w:t xml:space="preserve"> </w:t>
      </w:r>
      <w:r w:rsidRPr="009B7420">
        <w:rPr>
          <w:rStyle w:val="Footnote1"/>
        </w:rPr>
        <w:t xml:space="preserve">ELI: </w:t>
      </w:r>
      <w:hyperlink r:id="rId6" w:history="1">
        <w:r w:rsidRPr="009B7420">
          <w:rPr>
            <w:rStyle w:val="Hyperlink"/>
          </w:rPr>
          <w:t>http://data.europa.eu/eli/dir/2011/64/oj</w:t>
        </w:r>
      </w:hyperlink>
      <w:r w:rsidRPr="009B7420">
        <w:t>).</w:t>
      </w:r>
    </w:p>
  </w:footnote>
  <w:footnote w:id="11">
    <w:p w:rsidR="00730D4C" w:rsidRPr="009B7420" w:rsidRDefault="00730D4C">
      <w:pPr>
        <w:pStyle w:val="FootnoteText"/>
      </w:pPr>
      <w:r w:rsidRPr="009B7420">
        <w:rPr>
          <w:rStyle w:val="FootnoteReference"/>
        </w:rPr>
        <w:footnoteRef/>
      </w:r>
      <w:r w:rsidRPr="009B7420">
        <w:tab/>
        <w:t>Dyrektywa Rady XX/XXX [Urząd Publikacji: proszę wstawić numer</w:t>
      </w:r>
      <w:r w:rsidR="009B7420" w:rsidRPr="009B7420">
        <w:t xml:space="preserve"> i rok</w:t>
      </w:r>
      <w:r w:rsidRPr="009B7420">
        <w:t xml:space="preserve"> oraz odniesienie do Dz.U. dyrektywy Rady</w:t>
      </w:r>
      <w:r w:rsidR="009B7420" w:rsidRPr="009B7420">
        <w:t xml:space="preserve"> w spr</w:t>
      </w:r>
      <w:r w:rsidRPr="009B7420">
        <w:t>awie struktury oraz stawek akcyzy stosowanych do tytoniu</w:t>
      </w:r>
      <w:r w:rsidR="009B7420" w:rsidRPr="009B7420">
        <w:t xml:space="preserve"> i sub</w:t>
      </w:r>
      <w:r w:rsidRPr="009B7420">
        <w:t>stytucyjnych wyrobów tytoniowych przyjętej</w:t>
      </w:r>
      <w:r w:rsidR="009B7420" w:rsidRPr="009B7420">
        <w:t xml:space="preserve"> w tym</w:t>
      </w:r>
      <w:r w:rsidRPr="009B7420">
        <w:t xml:space="preserve"> samym dniu co niniejsza dyrektywa].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9B" w:rsidRDefault="00893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9B" w:rsidRDefault="00893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8878C6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2BE9D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15ACDD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B8AE61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AE8D3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16B20A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DC229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F2CD7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2"/>
    <w:lvlOverride w:ilvl="0">
      <w:startOverride w:val="1"/>
    </w:lvlOverride>
  </w:num>
  <w:num w:numId="10">
    <w:abstractNumId w:val="19"/>
  </w:num>
  <w:num w:numId="11">
    <w:abstractNumId w:val="12"/>
  </w:num>
  <w:num w:numId="12">
    <w:abstractNumId w:val="21"/>
  </w:num>
  <w:num w:numId="13">
    <w:abstractNumId w:val="11"/>
  </w:num>
  <w:num w:numId="14">
    <w:abstractNumId w:val="13"/>
  </w:num>
  <w:num w:numId="15">
    <w:abstractNumId w:val="14"/>
  </w:num>
  <w:num w:numId="16">
    <w:abstractNumId w:val="9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8"/>
  </w:num>
  <w:num w:numId="22">
    <w:abstractNumId w:val="10"/>
  </w:num>
  <w:num w:numId="23">
    <w:abstractNumId w:val="16"/>
  </w:num>
  <w:num w:numId="2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5-09-04 18:19:53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91614EF5-D1C0-40F3-8F35-B47DCAF362C0"/>
    <w:docVar w:name="LW_COVERPAGE_TYPE" w:val="1"/>
    <w:docVar w:name="LW_CROSSREFERENCE" w:val="&lt;UNUSED&gt;"/>
    <w:docVar w:name="LW_DocType" w:val="COM"/>
    <w:docVar w:name="LW_EMISSION" w:val="16.7.2025"/>
    <w:docVar w:name="LW_EMISSION_ISODATE" w:val="2025-07-16"/>
    <w:docVar w:name="LW_EMISSION_LOCATION" w:val="BRX"/>
    <w:docVar w:name="LW_EMISSION_PREFIX" w:val="Bruksela, dnia "/>
    <w:docVar w:name="LW_EMISSION_SUFFIX" w:val=" r."/>
    <w:docVar w:name="LW_ID_DOCMODEL" w:val="SJ-017"/>
    <w:docVar w:name="LW_ID_DOCSIGNATURE" w:val="SJ-017"/>
    <w:docVar w:name="LW_ID_DOCSTRUCTURE" w:val="COM/PL/ORG"/>
    <w:docVar w:name="LW_ID_DOCTYPE" w:val="SJ-017"/>
    <w:docVar w:name="LW_ID_EXP.MOTIFS.NEW" w:val="EM_PL_"/>
    <w:docVar w:name="LW_ID_STATUT" w:val="SJ-017"/>
    <w:docVar w:name="LW_INTERETEEE.CP" w:val="&lt;UNUSED&gt;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I.NEW.CP" w:val="CNS"/>
    <w:docVar w:name="LW_REF.II.NEW.CP_NUMBER" w:val="0581"/>
    <w:docVar w:name="LW_REF.II.NEW.CP_YEAR" w:val="2025"/>
    <w:docVar w:name="LW_REF.INST.NEW" w:val="COM"/>
    <w:docVar w:name="LW_REF.INST.NEW_ADOPTED" w:val="final"/>
    <w:docVar w:name="LW_REF.INST.NEW_TEXT" w:val="(2025) 581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Wniosek"/>
    <w:docVar w:name="LW_SUPERTITRE" w:val="&lt;UNUSED&gt;"/>
    <w:docVar w:name="LW_TITRE.OBJ.CP" w:val="zmieniaj\u261?ca dyrektyw\u281? (UE) 2020/262 w odniesieniu do ogólnych zasad dotycz\u261?cych podatku akcyzowego stosowanego do tytoniu i substytucyjnych wyrobów tytoniowych"/>
    <w:docVar w:name="LW_TYPE.DOC.CP" w:val="DYREKTYWA RADY"/>
    <w:docVar w:name="LwApiVersions" w:val="LW4CoDe 1.24.5.0; LW 9.0, Build 20240221"/>
  </w:docVars>
  <w:rsids>
    <w:rsidRoot w:val="00090D28"/>
    <w:rsid w:val="000153CA"/>
    <w:rsid w:val="0003732C"/>
    <w:rsid w:val="000439C2"/>
    <w:rsid w:val="00075306"/>
    <w:rsid w:val="00080188"/>
    <w:rsid w:val="00080B54"/>
    <w:rsid w:val="0008798F"/>
    <w:rsid w:val="00090D28"/>
    <w:rsid w:val="0009733B"/>
    <w:rsid w:val="000A26B8"/>
    <w:rsid w:val="000B73A9"/>
    <w:rsid w:val="000B7A7D"/>
    <w:rsid w:val="000C031E"/>
    <w:rsid w:val="000C0F36"/>
    <w:rsid w:val="000C729F"/>
    <w:rsid w:val="000D08FF"/>
    <w:rsid w:val="000D0F8C"/>
    <w:rsid w:val="000D1E21"/>
    <w:rsid w:val="000D447E"/>
    <w:rsid w:val="000E324D"/>
    <w:rsid w:val="000F4B8A"/>
    <w:rsid w:val="001217B6"/>
    <w:rsid w:val="00152894"/>
    <w:rsid w:val="001562AE"/>
    <w:rsid w:val="00156F56"/>
    <w:rsid w:val="001574FB"/>
    <w:rsid w:val="00173647"/>
    <w:rsid w:val="00186B2B"/>
    <w:rsid w:val="0019636C"/>
    <w:rsid w:val="001A4145"/>
    <w:rsid w:val="001A7EDA"/>
    <w:rsid w:val="001B5471"/>
    <w:rsid w:val="001C5000"/>
    <w:rsid w:val="001C6654"/>
    <w:rsid w:val="001D4DDA"/>
    <w:rsid w:val="001D5E2D"/>
    <w:rsid w:val="001E2142"/>
    <w:rsid w:val="001E2EC8"/>
    <w:rsid w:val="001E36AB"/>
    <w:rsid w:val="001F547B"/>
    <w:rsid w:val="001F55EF"/>
    <w:rsid w:val="002062DA"/>
    <w:rsid w:val="002134E7"/>
    <w:rsid w:val="0022078B"/>
    <w:rsid w:val="002256E0"/>
    <w:rsid w:val="00227DCA"/>
    <w:rsid w:val="002360AA"/>
    <w:rsid w:val="002509CA"/>
    <w:rsid w:val="00253B47"/>
    <w:rsid w:val="00256CE5"/>
    <w:rsid w:val="00257F9A"/>
    <w:rsid w:val="00280F12"/>
    <w:rsid w:val="00293C64"/>
    <w:rsid w:val="00296901"/>
    <w:rsid w:val="002A7D02"/>
    <w:rsid w:val="002C1D5B"/>
    <w:rsid w:val="002D0FD5"/>
    <w:rsid w:val="002D2C28"/>
    <w:rsid w:val="002D352F"/>
    <w:rsid w:val="002E4E88"/>
    <w:rsid w:val="002F018D"/>
    <w:rsid w:val="002F12FA"/>
    <w:rsid w:val="002F733B"/>
    <w:rsid w:val="00304040"/>
    <w:rsid w:val="003109F3"/>
    <w:rsid w:val="00311D54"/>
    <w:rsid w:val="00313EFA"/>
    <w:rsid w:val="00320E84"/>
    <w:rsid w:val="00327F37"/>
    <w:rsid w:val="0033210E"/>
    <w:rsid w:val="00334A90"/>
    <w:rsid w:val="00340C3E"/>
    <w:rsid w:val="00347A2A"/>
    <w:rsid w:val="00360184"/>
    <w:rsid w:val="003715AD"/>
    <w:rsid w:val="00384923"/>
    <w:rsid w:val="00387F22"/>
    <w:rsid w:val="00391F6F"/>
    <w:rsid w:val="003944D9"/>
    <w:rsid w:val="00396172"/>
    <w:rsid w:val="00396ACD"/>
    <w:rsid w:val="003A5C71"/>
    <w:rsid w:val="003B3798"/>
    <w:rsid w:val="003B37C4"/>
    <w:rsid w:val="003C0672"/>
    <w:rsid w:val="003D141F"/>
    <w:rsid w:val="003E196F"/>
    <w:rsid w:val="003F00D0"/>
    <w:rsid w:val="00414C92"/>
    <w:rsid w:val="00417DC1"/>
    <w:rsid w:val="00427248"/>
    <w:rsid w:val="00436ADB"/>
    <w:rsid w:val="00437AA5"/>
    <w:rsid w:val="00440724"/>
    <w:rsid w:val="00454991"/>
    <w:rsid w:val="00457C17"/>
    <w:rsid w:val="00464C01"/>
    <w:rsid w:val="00477651"/>
    <w:rsid w:val="00480F7B"/>
    <w:rsid w:val="0048626A"/>
    <w:rsid w:val="00491F28"/>
    <w:rsid w:val="00492396"/>
    <w:rsid w:val="004A1764"/>
    <w:rsid w:val="004A5F5A"/>
    <w:rsid w:val="004B2360"/>
    <w:rsid w:val="004E19F9"/>
    <w:rsid w:val="004E1E9D"/>
    <w:rsid w:val="004E3ECC"/>
    <w:rsid w:val="004E66EB"/>
    <w:rsid w:val="004F32B4"/>
    <w:rsid w:val="00502E0C"/>
    <w:rsid w:val="00504A28"/>
    <w:rsid w:val="0051093F"/>
    <w:rsid w:val="00517205"/>
    <w:rsid w:val="00520C81"/>
    <w:rsid w:val="00520FD0"/>
    <w:rsid w:val="00522649"/>
    <w:rsid w:val="005229AB"/>
    <w:rsid w:val="00524EB0"/>
    <w:rsid w:val="00530328"/>
    <w:rsid w:val="0053253A"/>
    <w:rsid w:val="00542487"/>
    <w:rsid w:val="00544F49"/>
    <w:rsid w:val="005457B1"/>
    <w:rsid w:val="0054672C"/>
    <w:rsid w:val="00555BD0"/>
    <w:rsid w:val="00564F0F"/>
    <w:rsid w:val="00575CF2"/>
    <w:rsid w:val="00582810"/>
    <w:rsid w:val="00586740"/>
    <w:rsid w:val="00591BA8"/>
    <w:rsid w:val="0059378B"/>
    <w:rsid w:val="00595540"/>
    <w:rsid w:val="005A092D"/>
    <w:rsid w:val="005A1899"/>
    <w:rsid w:val="005B21C4"/>
    <w:rsid w:val="005B5FA6"/>
    <w:rsid w:val="005D62B6"/>
    <w:rsid w:val="00603022"/>
    <w:rsid w:val="00612FC9"/>
    <w:rsid w:val="0061616B"/>
    <w:rsid w:val="0061679B"/>
    <w:rsid w:val="006224F1"/>
    <w:rsid w:val="00625126"/>
    <w:rsid w:val="00627804"/>
    <w:rsid w:val="006311E1"/>
    <w:rsid w:val="00642A61"/>
    <w:rsid w:val="006654AB"/>
    <w:rsid w:val="00671985"/>
    <w:rsid w:val="006740F6"/>
    <w:rsid w:val="00677DAE"/>
    <w:rsid w:val="006932A5"/>
    <w:rsid w:val="006B0AB9"/>
    <w:rsid w:val="006B750F"/>
    <w:rsid w:val="006D70FB"/>
    <w:rsid w:val="006E4BA6"/>
    <w:rsid w:val="006E6CDC"/>
    <w:rsid w:val="006F7EFE"/>
    <w:rsid w:val="00712B25"/>
    <w:rsid w:val="00721236"/>
    <w:rsid w:val="00730D4C"/>
    <w:rsid w:val="00733D82"/>
    <w:rsid w:val="00742927"/>
    <w:rsid w:val="00743225"/>
    <w:rsid w:val="00746396"/>
    <w:rsid w:val="00752641"/>
    <w:rsid w:val="00755C9E"/>
    <w:rsid w:val="00763A42"/>
    <w:rsid w:val="00766D47"/>
    <w:rsid w:val="0077124B"/>
    <w:rsid w:val="00783BE1"/>
    <w:rsid w:val="007901AC"/>
    <w:rsid w:val="00793D7C"/>
    <w:rsid w:val="00796278"/>
    <w:rsid w:val="007A4DFC"/>
    <w:rsid w:val="007A4E24"/>
    <w:rsid w:val="007B043A"/>
    <w:rsid w:val="007C3E98"/>
    <w:rsid w:val="007D0861"/>
    <w:rsid w:val="007D5F41"/>
    <w:rsid w:val="007D7E4C"/>
    <w:rsid w:val="007E0102"/>
    <w:rsid w:val="007E010B"/>
    <w:rsid w:val="007E1AC6"/>
    <w:rsid w:val="00802FC2"/>
    <w:rsid w:val="008058ED"/>
    <w:rsid w:val="00806831"/>
    <w:rsid w:val="008222E8"/>
    <w:rsid w:val="00825EE0"/>
    <w:rsid w:val="008262DE"/>
    <w:rsid w:val="008323C1"/>
    <w:rsid w:val="00847F53"/>
    <w:rsid w:val="00877A0F"/>
    <w:rsid w:val="00885249"/>
    <w:rsid w:val="00887FD8"/>
    <w:rsid w:val="00890155"/>
    <w:rsid w:val="0089337C"/>
    <w:rsid w:val="00893B9B"/>
    <w:rsid w:val="00893E14"/>
    <w:rsid w:val="00894912"/>
    <w:rsid w:val="00896D84"/>
    <w:rsid w:val="008B61DC"/>
    <w:rsid w:val="008C6A7A"/>
    <w:rsid w:val="008D1B1E"/>
    <w:rsid w:val="008D20FA"/>
    <w:rsid w:val="008D75F1"/>
    <w:rsid w:val="008E2694"/>
    <w:rsid w:val="008E388C"/>
    <w:rsid w:val="008E69AF"/>
    <w:rsid w:val="008F45B0"/>
    <w:rsid w:val="009063E6"/>
    <w:rsid w:val="00915C65"/>
    <w:rsid w:val="00924A3D"/>
    <w:rsid w:val="00927020"/>
    <w:rsid w:val="0093767C"/>
    <w:rsid w:val="00940731"/>
    <w:rsid w:val="0094265B"/>
    <w:rsid w:val="0095088A"/>
    <w:rsid w:val="009534AD"/>
    <w:rsid w:val="00953D77"/>
    <w:rsid w:val="009647C2"/>
    <w:rsid w:val="009742AB"/>
    <w:rsid w:val="00976B17"/>
    <w:rsid w:val="009922AF"/>
    <w:rsid w:val="009957C5"/>
    <w:rsid w:val="00995DA4"/>
    <w:rsid w:val="00996C05"/>
    <w:rsid w:val="009A251A"/>
    <w:rsid w:val="009B27F9"/>
    <w:rsid w:val="009B4CFF"/>
    <w:rsid w:val="009B53D7"/>
    <w:rsid w:val="009B7420"/>
    <w:rsid w:val="009C4C08"/>
    <w:rsid w:val="00A02C8A"/>
    <w:rsid w:val="00A07223"/>
    <w:rsid w:val="00A11C25"/>
    <w:rsid w:val="00A22674"/>
    <w:rsid w:val="00A357A7"/>
    <w:rsid w:val="00A35A32"/>
    <w:rsid w:val="00A44242"/>
    <w:rsid w:val="00A5552A"/>
    <w:rsid w:val="00A55EE9"/>
    <w:rsid w:val="00A565C7"/>
    <w:rsid w:val="00A60AB8"/>
    <w:rsid w:val="00A61CB1"/>
    <w:rsid w:val="00A61DF9"/>
    <w:rsid w:val="00A75BB5"/>
    <w:rsid w:val="00A934D6"/>
    <w:rsid w:val="00A93611"/>
    <w:rsid w:val="00A956A3"/>
    <w:rsid w:val="00A97063"/>
    <w:rsid w:val="00A97D57"/>
    <w:rsid w:val="00AA2971"/>
    <w:rsid w:val="00AB47F8"/>
    <w:rsid w:val="00AB7AFC"/>
    <w:rsid w:val="00AC0397"/>
    <w:rsid w:val="00AC0411"/>
    <w:rsid w:val="00AC0DB9"/>
    <w:rsid w:val="00AC5E49"/>
    <w:rsid w:val="00AC5F8A"/>
    <w:rsid w:val="00AD1640"/>
    <w:rsid w:val="00AD26D9"/>
    <w:rsid w:val="00AD5CF6"/>
    <w:rsid w:val="00AE0D24"/>
    <w:rsid w:val="00B06C1A"/>
    <w:rsid w:val="00B0793E"/>
    <w:rsid w:val="00B132DE"/>
    <w:rsid w:val="00B310D1"/>
    <w:rsid w:val="00B4061A"/>
    <w:rsid w:val="00B45DE1"/>
    <w:rsid w:val="00B5586E"/>
    <w:rsid w:val="00B55F0E"/>
    <w:rsid w:val="00B75451"/>
    <w:rsid w:val="00B7748E"/>
    <w:rsid w:val="00B77549"/>
    <w:rsid w:val="00B77674"/>
    <w:rsid w:val="00B9615C"/>
    <w:rsid w:val="00BA60B2"/>
    <w:rsid w:val="00BB049C"/>
    <w:rsid w:val="00BC012C"/>
    <w:rsid w:val="00BC4306"/>
    <w:rsid w:val="00BD7188"/>
    <w:rsid w:val="00BE0144"/>
    <w:rsid w:val="00BE0288"/>
    <w:rsid w:val="00BF2DCB"/>
    <w:rsid w:val="00BF43AA"/>
    <w:rsid w:val="00BF456F"/>
    <w:rsid w:val="00C10E49"/>
    <w:rsid w:val="00C127E8"/>
    <w:rsid w:val="00C14DA2"/>
    <w:rsid w:val="00C16CC5"/>
    <w:rsid w:val="00C20014"/>
    <w:rsid w:val="00C206EB"/>
    <w:rsid w:val="00C212A4"/>
    <w:rsid w:val="00C2797C"/>
    <w:rsid w:val="00C31145"/>
    <w:rsid w:val="00C326A6"/>
    <w:rsid w:val="00C3731F"/>
    <w:rsid w:val="00C46D74"/>
    <w:rsid w:val="00C52F78"/>
    <w:rsid w:val="00C60A0E"/>
    <w:rsid w:val="00C61BA2"/>
    <w:rsid w:val="00C756B1"/>
    <w:rsid w:val="00C939E4"/>
    <w:rsid w:val="00C94110"/>
    <w:rsid w:val="00CA50EF"/>
    <w:rsid w:val="00CA558B"/>
    <w:rsid w:val="00CB74F5"/>
    <w:rsid w:val="00CC16D7"/>
    <w:rsid w:val="00CD2160"/>
    <w:rsid w:val="00CE21A7"/>
    <w:rsid w:val="00CF24DD"/>
    <w:rsid w:val="00CF2FD6"/>
    <w:rsid w:val="00CF30C4"/>
    <w:rsid w:val="00D030B7"/>
    <w:rsid w:val="00D10ECF"/>
    <w:rsid w:val="00D168B4"/>
    <w:rsid w:val="00D270AA"/>
    <w:rsid w:val="00D271AB"/>
    <w:rsid w:val="00D5004E"/>
    <w:rsid w:val="00D51CB3"/>
    <w:rsid w:val="00D53F9E"/>
    <w:rsid w:val="00D75540"/>
    <w:rsid w:val="00D85604"/>
    <w:rsid w:val="00D87FA6"/>
    <w:rsid w:val="00D9635D"/>
    <w:rsid w:val="00DA3AFD"/>
    <w:rsid w:val="00DA5A78"/>
    <w:rsid w:val="00DB4B20"/>
    <w:rsid w:val="00DB7424"/>
    <w:rsid w:val="00DD014B"/>
    <w:rsid w:val="00DD5D5B"/>
    <w:rsid w:val="00DE18A4"/>
    <w:rsid w:val="00DE59BC"/>
    <w:rsid w:val="00DF0CD9"/>
    <w:rsid w:val="00E0309C"/>
    <w:rsid w:val="00E04E9D"/>
    <w:rsid w:val="00E07235"/>
    <w:rsid w:val="00E10CC0"/>
    <w:rsid w:val="00E14BC4"/>
    <w:rsid w:val="00E1663A"/>
    <w:rsid w:val="00E16960"/>
    <w:rsid w:val="00E171CC"/>
    <w:rsid w:val="00E33C9F"/>
    <w:rsid w:val="00E35D64"/>
    <w:rsid w:val="00E52A9D"/>
    <w:rsid w:val="00E534C2"/>
    <w:rsid w:val="00E60053"/>
    <w:rsid w:val="00E636F8"/>
    <w:rsid w:val="00E6418F"/>
    <w:rsid w:val="00E66A40"/>
    <w:rsid w:val="00E67649"/>
    <w:rsid w:val="00E764DD"/>
    <w:rsid w:val="00E83AE2"/>
    <w:rsid w:val="00E9347B"/>
    <w:rsid w:val="00E979AB"/>
    <w:rsid w:val="00EA10B0"/>
    <w:rsid w:val="00EA4F35"/>
    <w:rsid w:val="00EA620B"/>
    <w:rsid w:val="00EB5CD5"/>
    <w:rsid w:val="00EB6F95"/>
    <w:rsid w:val="00EC39BC"/>
    <w:rsid w:val="00EC7F99"/>
    <w:rsid w:val="00ED7385"/>
    <w:rsid w:val="00EE140B"/>
    <w:rsid w:val="00EE358A"/>
    <w:rsid w:val="00EE3634"/>
    <w:rsid w:val="00EE65C7"/>
    <w:rsid w:val="00EE6BE1"/>
    <w:rsid w:val="00EE6E7A"/>
    <w:rsid w:val="00EE7117"/>
    <w:rsid w:val="00EF5ED5"/>
    <w:rsid w:val="00F075A5"/>
    <w:rsid w:val="00F133DE"/>
    <w:rsid w:val="00F14FDB"/>
    <w:rsid w:val="00F23E94"/>
    <w:rsid w:val="00F33C49"/>
    <w:rsid w:val="00F349D1"/>
    <w:rsid w:val="00F44493"/>
    <w:rsid w:val="00F5281C"/>
    <w:rsid w:val="00F64CA7"/>
    <w:rsid w:val="00F65E49"/>
    <w:rsid w:val="00F66D37"/>
    <w:rsid w:val="00F7169F"/>
    <w:rsid w:val="00F8049A"/>
    <w:rsid w:val="00F80AE4"/>
    <w:rsid w:val="00F95E14"/>
    <w:rsid w:val="00FA15BD"/>
    <w:rsid w:val="00FB2245"/>
    <w:rsid w:val="00FB7221"/>
    <w:rsid w:val="00FC2396"/>
    <w:rsid w:val="00FC3730"/>
    <w:rsid w:val="00FD32D7"/>
    <w:rsid w:val="00FE2C42"/>
    <w:rsid w:val="00FE57A0"/>
    <w:rsid w:val="00FE5E65"/>
    <w:rsid w:val="2E430B0F"/>
    <w:rsid w:val="3C21BF90"/>
    <w:rsid w:val="40EE5436"/>
    <w:rsid w:val="535517C9"/>
    <w:rsid w:val="5B7DC7BF"/>
    <w:rsid w:val="5BEB0BCE"/>
    <w:rsid w:val="6465B7DF"/>
    <w:rsid w:val="6CD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502942C1-5CD9-4978-BFD2-F8622A79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7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7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7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60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semiHidden/>
    <w:unhideWhenUsed/>
    <w:rsid w:val="00464C0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64C0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64C0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64C01"/>
    <w:pPr>
      <w:numPr>
        <w:numId w:val="4"/>
      </w:numPr>
      <w:contextualSpacing/>
    </w:pPr>
  </w:style>
  <w:style w:type="character" w:styleId="Emphasis">
    <w:name w:val="Emphasis"/>
    <w:basedOn w:val="DefaultParagraphFont"/>
    <w:uiPriority w:val="20"/>
    <w:qFormat/>
    <w:rsid w:val="00464C01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2EC8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E2EC8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1E2EC8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E2EC8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E2EC8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E2EC8"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36F8"/>
    <w:rPr>
      <w:sz w:val="16"/>
      <w:szCs w:val="16"/>
    </w:rPr>
  </w:style>
  <w:style w:type="paragraph" w:styleId="CommentText">
    <w:name w:val="annotation text"/>
    <w:aliases w:val="Char2"/>
    <w:basedOn w:val="Normal"/>
    <w:link w:val="CommentTextChar"/>
    <w:uiPriority w:val="99"/>
    <w:unhideWhenUsed/>
    <w:rsid w:val="00E636F8"/>
    <w:rPr>
      <w:sz w:val="20"/>
      <w:szCs w:val="20"/>
    </w:rPr>
  </w:style>
  <w:style w:type="character" w:customStyle="1" w:styleId="CommentTextChar">
    <w:name w:val="Comment Text Char"/>
    <w:aliases w:val="Char2 Char"/>
    <w:basedOn w:val="DefaultParagraphFont"/>
    <w:link w:val="CommentText"/>
    <w:uiPriority w:val="99"/>
    <w:rsid w:val="00E636F8"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6F8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6F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6F8"/>
    <w:rPr>
      <w:rFonts w:ascii="Segoe UI" w:hAnsi="Segoe UI" w:cs="Segoe UI"/>
      <w:sz w:val="18"/>
      <w:szCs w:val="18"/>
      <w:lang w:val="pl-P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4E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5C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14C92"/>
    <w:rPr>
      <w:color w:val="800080" w:themeColor="followedHyperlink"/>
      <w:u w:val="single"/>
    </w:rPr>
  </w:style>
  <w:style w:type="character" w:customStyle="1" w:styleId="CRMarker">
    <w:name w:val="CR Marker"/>
    <w:basedOn w:val="DefaultParagraphFont"/>
    <w:rsid w:val="002A7D02"/>
    <w:rPr>
      <w:rFonts w:ascii="Wingdings" w:hAnsi="Wingdings"/>
    </w:rPr>
  </w:style>
  <w:style w:type="character" w:customStyle="1" w:styleId="CRDeleted">
    <w:name w:val="CR Deleted"/>
    <w:basedOn w:val="DefaultParagraphFont"/>
    <w:rsid w:val="002A7D02"/>
    <w:rPr>
      <w:strike w:val="0"/>
      <w:dstrike/>
    </w:rPr>
  </w:style>
  <w:style w:type="paragraph" w:styleId="Revision">
    <w:name w:val="Revision"/>
    <w:hidden/>
    <w:uiPriority w:val="99"/>
    <w:semiHidden/>
    <w:rsid w:val="00F349D1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10D1"/>
    <w:rPr>
      <w:color w:val="605E5C"/>
      <w:shd w:val="clear" w:color="auto" w:fill="E1DFDD"/>
    </w:rPr>
  </w:style>
  <w:style w:type="character" w:customStyle="1" w:styleId="Footnote1">
    <w:name w:val="Footnote|1_"/>
    <w:basedOn w:val="DefaultParagraphFont"/>
    <w:link w:val="Footnote10"/>
    <w:rsid w:val="001D4DDA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1D4DDA"/>
    <w:pPr>
      <w:widowControl w:val="0"/>
      <w:spacing w:before="0" w:after="0"/>
      <w:ind w:left="95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93B9B"/>
    <w:rPr>
      <w:rFonts w:ascii="Times New Roman" w:hAnsi="Times New Roman" w:cs="Times New Roman"/>
      <w:sz w:val="24"/>
      <w:lang w:val="pl-PL"/>
    </w:rPr>
  </w:style>
  <w:style w:type="character" w:customStyle="1" w:styleId="FooterChar">
    <w:name w:val="Footer Char"/>
    <w:basedOn w:val="DefaultParagraphFont"/>
    <w:link w:val="Footer"/>
    <w:uiPriority w:val="99"/>
    <w:rsid w:val="00893B9B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pl-PL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pl-PL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pl-PL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pl-PL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893B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893B9B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893B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Tiret5">
    <w:name w:val="Tiret 5"/>
    <w:basedOn w:val="Point5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6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6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93B9B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893B9B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893B9B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893B9B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'1.0' encoding='UTF-8' standalone='yes'?>
<Relationships xmlns="http://schemas.openxmlformats.org/package/2006/relationships"><Relationship Id="rId3" Type="http://schemas.openxmlformats.org/officeDocument/2006/relationships/hyperlink" Target="https://eur-lex.europa.eu/legal-content/pl/ALL/?uri=CELEX%3A32011L0064" TargetMode="External"/><Relationship Id="rId2" Type="http://schemas.openxmlformats.org/officeDocument/2006/relationships/hyperlink" Target="https://eur-lex.europa.eu/legal-content/PL/TXT/?uri=CELEX%3A32008L0118&amp;qid=1611485686532" TargetMode="External"/><Relationship Id="rId1" Type="http://schemas.openxmlformats.org/officeDocument/2006/relationships/hyperlink" Target="https://eur-lex.europa.eu/eli/dir/2020/262/oj" TargetMode="External"/><Relationship Id="rId6" Type="http://schemas.openxmlformats.org/officeDocument/2006/relationships/hyperlink" Target="http://data.europa.eu/eli/dir/2011/64/oj)." TargetMode="External"/><Relationship Id="rId5" Type="http://schemas.openxmlformats.org/officeDocument/2006/relationships/hyperlink" Target="http://data.europa.eu/eli/dir/2020/262/oj)." TargetMode="External"/><Relationship Id="rId4" Type="http://schemas.openxmlformats.org/officeDocument/2006/relationships/hyperlink" Target="https://eur-lex.europa.eu/eli/treaty/tfeu_2012/oj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124CE2E9D724C90B9D71771966EB5" ma:contentTypeVersion="3" ma:contentTypeDescription="Create a new document." ma:contentTypeScope="" ma:versionID="d20e893ca40c59b23bf4570cc0b8c171">
  <xsd:schema xmlns:xsd="http://www.w3.org/2001/XMLSchema" xmlns:xs="http://www.w3.org/2001/XMLSchema" xmlns:p="http://schemas.microsoft.com/office/2006/metadata/properties" xmlns:ns2="b7b8b0f0-18f5-4523-b4b0-d653a3c47291" targetNamespace="http://schemas.microsoft.com/office/2006/metadata/properties" ma:root="true" ma:fieldsID="893b145c932eea2c3534cbe2f709931d" ns2:_="">
    <xsd:import namespace="b7b8b0f0-18f5-4523-b4b0-d653a3c47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b0f0-18f5-4523-b4b0-d653a3c47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19081-A47E-4719-B684-FAFCA8281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8b0f0-18f5-4523-b4b0-d653a3c47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ACFC8-DD80-483C-B436-47FD3DFFFF3E}">
  <ds:schemaRefs>
    <ds:schemaRef ds:uri="http://purl.org/dc/dcmitype/"/>
    <ds:schemaRef ds:uri="http://www.w3.org/XML/1998/namespace"/>
    <ds:schemaRef ds:uri="b7b8b0f0-18f5-4523-b4b0-d653a3c47291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62F7700-C22F-4DD5-A3F6-53D6200543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9570A-A092-42F4-B910-36E17506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13</TotalTime>
  <Pages>7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10421</CharactersWithSpaces>
  <SharedDoc>false</SharedDoc>
  <HLinks>
    <vt:vector size="24" baseType="variant">
      <vt:variant>
        <vt:i4>3735558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https://eur-lex.europa.eu/eli/treaty/tfeu_2012/oj</vt:lpwstr>
      </vt:variant>
      <vt:variant>
        <vt:lpwstr/>
      </vt:variant>
      <vt:variant>
        <vt:i4>8126561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https://eur-lex.europa.eu/legal-content/en/ALL/?uri=CELEX%3A32011L0064</vt:lpwstr>
      </vt:variant>
      <vt:variant>
        <vt:lpwstr/>
      </vt:variant>
      <vt:variant>
        <vt:i4>5636101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https://eur-lex.europa.eu/legal-content/EN/TXT/?uri=CELEX%3A32008L0118&amp;qid=1611485686532</vt:lpwstr>
      </vt:variant>
      <vt:variant>
        <vt:lpwstr/>
      </vt:variant>
      <vt:variant>
        <vt:i4>5832787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https://eur-lex.europa.eu/eli/dir/2020/262/oj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32</cp:revision>
  <cp:lastPrinted>2022-10-10T23:15:00Z</cp:lastPrinted>
  <dcterms:created xsi:type="dcterms:W3CDTF">2025-07-11T10:44:00Z</dcterms:created>
  <dcterms:modified xsi:type="dcterms:W3CDTF">2025-09-04T16:19:00Z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8.0.25.0</vt:lpwstr>
  </property>
  <property fmtid="{D5CDD505-2E9C-101B-9397-08002B2CF9AE}" pid="4" name="Last edited using">
    <vt:lpwstr>LW 9.1, Build 20240808</vt:lpwstr>
  </property>
  <property fmtid="{D5CDD505-2E9C-101B-9397-08002B2CF9AE}" pid="5" name="Created using">
    <vt:lpwstr>LW 8.0.1, Build 20220429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SJ-017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2022-09-22T14:54:53Z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9a5d5417-4e4e-43b4-99c1-f389487b83e2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ContentTypeId">
    <vt:lpwstr>0x0101008ED124CE2E9D724C90B9D71771966EB5</vt:lpwstr>
  </property>
  <property fmtid="{D5CDD505-2E9C-101B-9397-08002B2CF9AE}" pid="18" name="MediaServiceImageTags">
    <vt:lpwstr/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DQCStatus">
    <vt:lpwstr>Green (DQC version 03)</vt:lpwstr>
  </property>
</Properties>
</file>