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E8655" w14:textId="0B1A9B38" w:rsidR="0029533F" w:rsidRPr="006C02FE" w:rsidRDefault="00C7708A" w:rsidP="00C7708A">
      <w:pPr>
        <w:pStyle w:val="Pagedecouverture"/>
        <w:rPr>
          <w:noProof/>
        </w:rPr>
      </w:pPr>
      <w:r>
        <w:rPr>
          <w:noProof/>
        </w:rPr>
        <w:pict w14:anchorId="0DF51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468C998-6BF5-4142-9BA9-E2BEE317F765" style="width:455.25pt;height:433.5pt">
            <v:imagedata r:id="rId10" o:title=""/>
          </v:shape>
        </w:pict>
      </w:r>
    </w:p>
    <w:p w14:paraId="2A64301D" w14:textId="77777777" w:rsidR="00CC6B9B" w:rsidRPr="006C02FE" w:rsidRDefault="00CC6B9B">
      <w:pPr>
        <w:rPr>
          <w:noProof/>
        </w:rPr>
        <w:sectPr w:rsidR="00CC6B9B" w:rsidRPr="006C02FE" w:rsidSect="00C7708A">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32970B01" w14:textId="0B290BD7" w:rsidR="00881479" w:rsidRPr="006C02FE" w:rsidRDefault="0038545D" w:rsidP="0038545D">
      <w:pPr>
        <w:pStyle w:val="Rfrenceinterinstitutionnelle"/>
        <w:rPr>
          <w:noProof/>
        </w:rPr>
      </w:pPr>
      <w:bookmarkStart w:id="0" w:name="_GoBack"/>
      <w:bookmarkEnd w:id="0"/>
      <w:r>
        <w:rPr>
          <w:noProof/>
        </w:rPr>
        <w:lastRenderedPageBreak/>
        <w:t>2023/0379 (COD)</w:t>
      </w:r>
    </w:p>
    <w:p w14:paraId="60969C14" w14:textId="347A493C" w:rsidR="00CC6B9B" w:rsidRPr="006C02FE" w:rsidRDefault="0038545D" w:rsidP="0038545D">
      <w:pPr>
        <w:pStyle w:val="Typedudocument"/>
        <w:rPr>
          <w:noProof/>
        </w:rPr>
      </w:pPr>
      <w:r w:rsidRPr="0038545D">
        <w:rPr>
          <w:noProof/>
        </w:rPr>
        <w:t xml:space="preserve">KOMUNIKAT KOMISJI </w:t>
      </w:r>
      <w:r w:rsidRPr="0038545D">
        <w:rPr>
          <w:noProof/>
        </w:rPr>
        <w:br/>
        <w:t>DO PARLAMENTU EUROPEJSKIEGO</w:t>
      </w:r>
      <w:r w:rsidRPr="0038545D">
        <w:rPr>
          <w:noProof/>
        </w:rPr>
        <w:br/>
      </w:r>
      <w:r w:rsidRPr="0038545D">
        <w:rPr>
          <w:noProof/>
        </w:rPr>
        <w:br/>
        <w:t>na podstawie art. 294 ust. 6 Traktatu o funkcjonowaniu Unii Europejskiej</w:t>
      </w:r>
      <w:r w:rsidRPr="0038545D">
        <w:rPr>
          <w:noProof/>
        </w:rPr>
        <w:br/>
      </w:r>
      <w:r w:rsidRPr="0038545D">
        <w:rPr>
          <w:noProof/>
        </w:rPr>
        <w:br/>
        <w:t>dotyczący</w:t>
      </w:r>
    </w:p>
    <w:p w14:paraId="0CEE996A" w14:textId="516734D9" w:rsidR="00CC6B9B" w:rsidRPr="006C02FE" w:rsidRDefault="0038545D" w:rsidP="0038545D">
      <w:pPr>
        <w:pStyle w:val="Titreobjet"/>
        <w:rPr>
          <w:noProof/>
        </w:rPr>
      </w:pPr>
      <w:r w:rsidRPr="0038545D">
        <w:rPr>
          <w:noProof/>
        </w:rPr>
        <w:t>stanowiska Rady w sprawie przyjęcia rozporządzenia Parlamentu Europejskiego i Rady zmieniającego rozporządzenie (UE) 2016/1011 w odniesieniu do zakresu przepisów dotyczących wskaźników referencyjnych, stosowania w Unii wskaźników referencyjnych opracowywanych przez administratora mającego siedzibę lub miejsce zamieszkania w państwie trzecim oraz niektórych wymogów sprawozdawczych</w:t>
      </w:r>
    </w:p>
    <w:p w14:paraId="38802B6F" w14:textId="77777777" w:rsidR="00CC6B9B" w:rsidRPr="006C02FE" w:rsidRDefault="00CC6B9B" w:rsidP="001704B9">
      <w:pPr>
        <w:pStyle w:val="ManualHeading1"/>
        <w:rPr>
          <w:noProof/>
          <w:sz w:val="22"/>
        </w:rPr>
      </w:pPr>
      <w:r w:rsidRPr="006C02FE">
        <w:rPr>
          <w:noProof/>
        </w:rPr>
        <w:t>1.</w:t>
      </w:r>
      <w:r w:rsidRPr="006C02FE">
        <w:rPr>
          <w:noProof/>
        </w:rPr>
        <w:tab/>
        <w:t>Przebieg procedury</w:t>
      </w:r>
    </w:p>
    <w:tbl>
      <w:tblPr>
        <w:tblW w:w="0" w:type="auto"/>
        <w:tblLayout w:type="fixed"/>
        <w:tblLook w:val="0000" w:firstRow="0" w:lastRow="0" w:firstColumn="0" w:lastColumn="0" w:noHBand="0" w:noVBand="0"/>
      </w:tblPr>
      <w:tblGrid>
        <w:gridCol w:w="6804"/>
        <w:gridCol w:w="2483"/>
      </w:tblGrid>
      <w:tr w:rsidR="00874E86" w:rsidRPr="006C02FE" w14:paraId="63C0D3BD" w14:textId="77777777" w:rsidTr="00FC48CE">
        <w:tc>
          <w:tcPr>
            <w:tcW w:w="6804" w:type="dxa"/>
          </w:tcPr>
          <w:p w14:paraId="280F1672" w14:textId="77777777" w:rsidR="00CC6B9B" w:rsidRPr="006C02FE" w:rsidRDefault="00CC6B9B" w:rsidP="00FC48CE">
            <w:pPr>
              <w:jc w:val="left"/>
              <w:rPr>
                <w:noProof/>
              </w:rPr>
            </w:pPr>
            <w:r w:rsidRPr="006C02FE">
              <w:rPr>
                <w:noProof/>
              </w:rPr>
              <w:t xml:space="preserve">Data przekazania wniosku Parlamentowi Europejskiemu i Radzie </w:t>
            </w:r>
            <w:r w:rsidRPr="006C02FE">
              <w:rPr>
                <w:noProof/>
              </w:rPr>
              <w:br/>
              <w:t>(dokument COM(2023) 660 final – 2023/0379 COD):</w:t>
            </w:r>
          </w:p>
        </w:tc>
        <w:tc>
          <w:tcPr>
            <w:tcW w:w="2483" w:type="dxa"/>
          </w:tcPr>
          <w:p w14:paraId="65DCD413" w14:textId="77777777" w:rsidR="00CC6B9B" w:rsidRPr="006C02FE" w:rsidRDefault="003A6DE2" w:rsidP="00FC48CE">
            <w:pPr>
              <w:jc w:val="left"/>
              <w:rPr>
                <w:noProof/>
              </w:rPr>
            </w:pPr>
            <w:r w:rsidRPr="006C02FE">
              <w:rPr>
                <w:noProof/>
              </w:rPr>
              <w:t>17 października 2023 r.</w:t>
            </w:r>
          </w:p>
        </w:tc>
      </w:tr>
      <w:tr w:rsidR="00874E86" w:rsidRPr="006C02FE" w14:paraId="5AAC7BC8" w14:textId="77777777" w:rsidTr="00FC48CE">
        <w:tc>
          <w:tcPr>
            <w:tcW w:w="6804" w:type="dxa"/>
          </w:tcPr>
          <w:p w14:paraId="7787D6A5" w14:textId="77777777" w:rsidR="00CC6B9B" w:rsidRPr="006C02FE" w:rsidRDefault="00CC6B9B" w:rsidP="00FC48CE">
            <w:pPr>
              <w:rPr>
                <w:noProof/>
              </w:rPr>
            </w:pPr>
            <w:r w:rsidRPr="006C02FE">
              <w:rPr>
                <w:noProof/>
              </w:rPr>
              <w:t>Data wydania opinii przez Europejski Komitet Ekonomiczno-Społeczny:</w:t>
            </w:r>
          </w:p>
        </w:tc>
        <w:tc>
          <w:tcPr>
            <w:tcW w:w="2483" w:type="dxa"/>
          </w:tcPr>
          <w:p w14:paraId="314261BE" w14:textId="77777777" w:rsidR="00CC6B9B" w:rsidRPr="006C02FE" w:rsidRDefault="0056358C" w:rsidP="00FC48CE">
            <w:pPr>
              <w:jc w:val="left"/>
              <w:rPr>
                <w:noProof/>
              </w:rPr>
            </w:pPr>
            <w:r w:rsidRPr="006C02FE">
              <w:rPr>
                <w:noProof/>
              </w:rPr>
              <w:t>14 lutego 2024 r.</w:t>
            </w:r>
          </w:p>
        </w:tc>
      </w:tr>
      <w:tr w:rsidR="00874E86" w:rsidRPr="006C02FE" w14:paraId="6733BC93" w14:textId="77777777" w:rsidTr="00FC48CE">
        <w:tc>
          <w:tcPr>
            <w:tcW w:w="6804" w:type="dxa"/>
          </w:tcPr>
          <w:p w14:paraId="2615859E" w14:textId="77777777" w:rsidR="00CC6B9B" w:rsidRPr="006C02FE" w:rsidRDefault="00CC6B9B" w:rsidP="00FC48CE">
            <w:pPr>
              <w:rPr>
                <w:noProof/>
              </w:rPr>
            </w:pPr>
            <w:r w:rsidRPr="006C02FE">
              <w:rPr>
                <w:noProof/>
              </w:rPr>
              <w:t>Data uchwalenia stanowiska Parlamentu Europejskiego w pierwszym czytaniu:</w:t>
            </w:r>
          </w:p>
        </w:tc>
        <w:tc>
          <w:tcPr>
            <w:tcW w:w="2483" w:type="dxa"/>
          </w:tcPr>
          <w:p w14:paraId="22B3CFB3" w14:textId="77777777" w:rsidR="00CC6B9B" w:rsidRPr="006C02FE" w:rsidRDefault="0056358C" w:rsidP="00FC48CE">
            <w:pPr>
              <w:jc w:val="left"/>
              <w:rPr>
                <w:noProof/>
              </w:rPr>
            </w:pPr>
            <w:r w:rsidRPr="006C02FE">
              <w:rPr>
                <w:noProof/>
              </w:rPr>
              <w:t>22 kwietnia 2024 r.</w:t>
            </w:r>
          </w:p>
        </w:tc>
      </w:tr>
      <w:tr w:rsidR="00874E86" w:rsidRPr="006C02FE" w14:paraId="3BA87B6F" w14:textId="77777777" w:rsidTr="00FC48CE">
        <w:tc>
          <w:tcPr>
            <w:tcW w:w="6804" w:type="dxa"/>
          </w:tcPr>
          <w:p w14:paraId="46D6363C" w14:textId="77777777" w:rsidR="00CC6B9B" w:rsidRPr="006C02FE" w:rsidRDefault="00CC6B9B" w:rsidP="00FC48CE">
            <w:pPr>
              <w:rPr>
                <w:noProof/>
              </w:rPr>
            </w:pPr>
            <w:r w:rsidRPr="006C02FE">
              <w:rPr>
                <w:noProof/>
              </w:rPr>
              <w:t>Data przekazania zmienionego wniosku:</w:t>
            </w:r>
          </w:p>
        </w:tc>
        <w:tc>
          <w:tcPr>
            <w:tcW w:w="2483" w:type="dxa"/>
          </w:tcPr>
          <w:p w14:paraId="22EB65AE" w14:textId="77777777" w:rsidR="00CC6B9B" w:rsidRPr="006C02FE" w:rsidRDefault="0056358C" w:rsidP="00FC48CE">
            <w:pPr>
              <w:jc w:val="left"/>
              <w:rPr>
                <w:noProof/>
              </w:rPr>
            </w:pPr>
            <w:r w:rsidRPr="006C02FE">
              <w:rPr>
                <w:noProof/>
              </w:rPr>
              <w:t>nie dotyczy</w:t>
            </w:r>
          </w:p>
        </w:tc>
      </w:tr>
      <w:tr w:rsidR="00874E86" w:rsidRPr="006C02FE" w14:paraId="28F0BC2D" w14:textId="77777777" w:rsidTr="00FC48CE">
        <w:tc>
          <w:tcPr>
            <w:tcW w:w="6804" w:type="dxa"/>
          </w:tcPr>
          <w:p w14:paraId="49942625" w14:textId="77777777" w:rsidR="00CC6B9B" w:rsidRPr="006C02FE" w:rsidRDefault="00CC6B9B" w:rsidP="00FC48CE">
            <w:pPr>
              <w:rPr>
                <w:noProof/>
              </w:rPr>
            </w:pPr>
            <w:r w:rsidRPr="006C02FE">
              <w:rPr>
                <w:noProof/>
              </w:rPr>
              <w:t>Data przyjęcia stanowiska Rady:</w:t>
            </w:r>
          </w:p>
        </w:tc>
        <w:tc>
          <w:tcPr>
            <w:tcW w:w="2483" w:type="dxa"/>
          </w:tcPr>
          <w:p w14:paraId="53882498" w14:textId="3802E070" w:rsidR="00CC6B9B" w:rsidRPr="006C02FE" w:rsidRDefault="003A6DE2" w:rsidP="00FC48CE">
            <w:pPr>
              <w:jc w:val="left"/>
              <w:rPr>
                <w:noProof/>
              </w:rPr>
            </w:pPr>
            <w:r w:rsidRPr="006C02FE">
              <w:rPr>
                <w:noProof/>
              </w:rPr>
              <w:t>24 marca 2025 r.</w:t>
            </w:r>
          </w:p>
        </w:tc>
      </w:tr>
    </w:tbl>
    <w:p w14:paraId="366FE5D6" w14:textId="77777777" w:rsidR="00CC6B9B" w:rsidRPr="006C02FE" w:rsidRDefault="00CC6B9B" w:rsidP="001704B9">
      <w:pPr>
        <w:pStyle w:val="ManualHeading1"/>
        <w:rPr>
          <w:noProof/>
        </w:rPr>
      </w:pPr>
      <w:r w:rsidRPr="006C02FE">
        <w:rPr>
          <w:noProof/>
        </w:rPr>
        <w:t>2.</w:t>
      </w:r>
      <w:r w:rsidRPr="006C02FE">
        <w:rPr>
          <w:noProof/>
        </w:rPr>
        <w:tab/>
        <w:t>Przedmiot wniosku Komisji</w:t>
      </w:r>
    </w:p>
    <w:p w14:paraId="7DD11443" w14:textId="77777777" w:rsidR="00CC6B9B" w:rsidRPr="006C02FE" w:rsidRDefault="004500FA" w:rsidP="001704B9">
      <w:pPr>
        <w:rPr>
          <w:noProof/>
        </w:rPr>
      </w:pPr>
      <w:r w:rsidRPr="006C02FE">
        <w:rPr>
          <w:noProof/>
        </w:rPr>
        <w:t>Wniosek Komisji ma dwa cele: (i) zmniejszenie obciążeń regulacyjnych i administracyjnych dla unijnych przedsiębiorstw i inwestorów dzięki skoncentrowaniu zakresu rozporządzenia (UE) 2016/1011 na tych wskaźnikach referencyjnych, które mają największe skutki gospodarcze, oraz (ii) zapewnienie użytkownikom wskaźników referencyjnych w UE ciągłego dostępu do możliwie najszerszego zestawu wskaźników referencyjnych, w tym wskaźników referencyjnych państw trzecich.</w:t>
      </w:r>
    </w:p>
    <w:p w14:paraId="59034028" w14:textId="77777777" w:rsidR="00CC6B9B" w:rsidRPr="006C02FE" w:rsidRDefault="00CC6B9B" w:rsidP="001704B9">
      <w:pPr>
        <w:pStyle w:val="ManualHeading1"/>
        <w:rPr>
          <w:noProof/>
        </w:rPr>
      </w:pPr>
      <w:r w:rsidRPr="006C02FE">
        <w:rPr>
          <w:noProof/>
        </w:rPr>
        <w:t>3.</w:t>
      </w:r>
      <w:r w:rsidRPr="006C02FE">
        <w:rPr>
          <w:noProof/>
        </w:rPr>
        <w:tab/>
        <w:t>Uwagi dotyczące stanowiska Rady</w:t>
      </w:r>
    </w:p>
    <w:p w14:paraId="6CC11512" w14:textId="77777777" w:rsidR="00DE2A95" w:rsidRPr="006C02FE" w:rsidRDefault="003860BA" w:rsidP="00E80589">
      <w:pPr>
        <w:widowControl w:val="0"/>
        <w:rPr>
          <w:noProof/>
        </w:rPr>
      </w:pPr>
      <w:r w:rsidRPr="006C02FE">
        <w:rPr>
          <w:noProof/>
        </w:rPr>
        <w:t>Stanowisko Rady przyjęte w pierwszym czytaniu w pełni odzwierciedla porozumienie polityczne osiągnięte przez Parlament Europejski i Radę w dniu 12 grudnia 2024 r. Komisja popiera to porozumienie, którego główne punkty przedstawiono poniżej.</w:t>
      </w:r>
    </w:p>
    <w:p w14:paraId="46524BE0" w14:textId="6CA62C3B" w:rsidR="002B6D75" w:rsidRPr="006C02FE" w:rsidRDefault="002B6D75" w:rsidP="00EE7904">
      <w:pPr>
        <w:pStyle w:val="Tiret0"/>
        <w:numPr>
          <w:ilvl w:val="0"/>
          <w:numId w:val="5"/>
        </w:numPr>
        <w:rPr>
          <w:noProof/>
        </w:rPr>
      </w:pPr>
      <w:r w:rsidRPr="006C02FE">
        <w:rPr>
          <w:noProof/>
          <w:u w:val="single"/>
        </w:rPr>
        <w:t>Istotne wskaźniki referencyjne</w:t>
      </w:r>
      <w:r w:rsidRPr="006C02FE">
        <w:rPr>
          <w:noProof/>
        </w:rPr>
        <w:t xml:space="preserve">: Współprawodawcy uzgodnili wprowadzenie pewnych zmian dotyczących istotnych wskaźników referencyjnych w stosunku do wniosku Komisji. Oprócz progu 50 mld EUR wprowadzono kryteria jakościowe służące określeniu istotnych wskaźników referencyjnych. Przy obliczaniu progu 50 mld EUR uwzględnia się obecnie szereg wariantów dotyczących okresów zapadalności, walut i obliczania zwrotu. Uzupełnienia te mają na celu zapewnienie </w:t>
      </w:r>
      <w:r w:rsidRPr="006C02FE">
        <w:rPr>
          <w:noProof/>
        </w:rPr>
        <w:lastRenderedPageBreak/>
        <w:t>bardziej kompleksowej oceny istotności wskaźnika referencyjnego poprzez uwzględnienie jego różnorodnych zastosowań oraz potencjalnych skutków zaprzestania jego opracowywania lub jego braku wiarygodności. W projekcie porozumienia wprowadzono również uprawnienie Komisji do przyjęcia aktu delegowanego w celu określenia metodyki obliczania progu 50 mld EUR oraz ustalenia jasnych kryteriów oceny stosowania wskaźników referencyjnych. Ponadto Komisja została zobowiązana do dokonania przeglądu adekwatności tego progu w ciągu trzech lat i przedstawienia swoich ustaleń Parlamentowi Europejskiemu i Radzie.</w:t>
      </w:r>
    </w:p>
    <w:p w14:paraId="5E359F6C" w14:textId="77777777" w:rsidR="002B6D75" w:rsidRPr="006C02FE" w:rsidRDefault="002B6D75" w:rsidP="002B6D75">
      <w:pPr>
        <w:pStyle w:val="Tiret0"/>
        <w:rPr>
          <w:noProof/>
          <w:u w:val="single"/>
        </w:rPr>
      </w:pPr>
      <w:r w:rsidRPr="006C02FE">
        <w:rPr>
          <w:noProof/>
          <w:u w:val="single"/>
        </w:rPr>
        <w:t>Stosowanie wskaźników referencyjnych</w:t>
      </w:r>
      <w:r w:rsidRPr="006C02FE">
        <w:rPr>
          <w:noProof/>
        </w:rPr>
        <w:t>: W stanowisku Rady w pierwszym czytaniu wprowadzono specjalny mechanizm umożliwiający dalsze stosowanie wskaźnika referencyjnego po opublikowaniu publicznego ogłoszenia, które w zwykłych warunkach zakazywałoby jego stosowania. Europejski Urząd Nadzoru Giełd i Papierów Wartościowych (ESMA) lub właściwy organ mogą zezwolić na stosowanie takiego wskaźnika referencyjnego przez 6–24 miesięcy od opublikowania publicznego ogłoszenia. Zmiana ta ma na celu zapobieganie poważnym zakłóceniom rynku poprzez zapewnienie stopniowego przejścia. Dokonywana przez ESMA lub właściwy organ ocena ewentualnego przedłużenia stosowania opiera się na szczegółowych kryteriach wprowadzonych w rozporządzeniu zmieniającym, co ma zapewnić, aby każde przedłużenie było uzasadnione i ograniczone do przypadków, w których jest ono rzeczywiście konieczne.</w:t>
      </w:r>
    </w:p>
    <w:p w14:paraId="4A31E446" w14:textId="77777777" w:rsidR="002B6D75" w:rsidRPr="006C02FE" w:rsidRDefault="002B6D75" w:rsidP="002B6D75">
      <w:pPr>
        <w:pStyle w:val="Tiret0"/>
        <w:rPr>
          <w:noProof/>
        </w:rPr>
      </w:pPr>
      <w:r w:rsidRPr="006C02FE">
        <w:rPr>
          <w:noProof/>
          <w:u w:val="single"/>
        </w:rPr>
        <w:t>Towarowe wskaźniki referencyjne</w:t>
      </w:r>
      <w:r w:rsidRPr="006C02FE">
        <w:rPr>
          <w:noProof/>
        </w:rPr>
        <w:t>: Współprawodawcy uzgodnili wprowadzenie zmian w traktowaniu regulacyjnym towarowych wskaźników referencyjnych, aby lepiej odzwierciedlić ich specyfikę i zapewnić proporcjonalne obciążenie regulacyjne. Towarowe wskaźniki referencyjne oparte na danych pochodzących od podmiotów nienadzorowanych będą podlegały przepisom rozporządzenia (UE) 2016/1011, gdy tylko łączna średnia wartość referencyjna instrumentów finansowych, w których stosuje się dany wskaźnik referencyjny, przekroczy 200 mln EUR w okresie 12 miesięcy. Towarowe wskaźniki referencyjne oparte na danych regulowanych lub pochodzących od podmiotów nadzorowanych będą jednak nadal podlegać progowi 50 mld EUR zgodnie z ogólnymi zasadami dotyczącymi finansowych wskaźników referencyjnych.</w:t>
      </w:r>
    </w:p>
    <w:p w14:paraId="770F3CCD" w14:textId="77777777" w:rsidR="00AE62AD" w:rsidRPr="006C02FE" w:rsidRDefault="00AE62AD" w:rsidP="00AE62AD">
      <w:pPr>
        <w:pStyle w:val="Tiret0"/>
        <w:rPr>
          <w:noProof/>
          <w:u w:val="single"/>
        </w:rPr>
      </w:pPr>
      <w:r w:rsidRPr="006C02FE">
        <w:rPr>
          <w:noProof/>
          <w:u w:val="single"/>
        </w:rPr>
        <w:t>Walutowe wskaźniki referencyjne spot</w:t>
      </w:r>
      <w:r w:rsidRPr="006C02FE">
        <w:rPr>
          <w:noProof/>
        </w:rPr>
        <w:t>: W stanowisku Rady w pierwszym czytaniu wprowadzono pewne zmiany dotyczące wyłączenia walutowych wskaźników referencyjnych spot. Współprawodawcy zgodzili się utrzymać to wyłączenie, które zostało skreślone we wniosku Komisji, aby zapewnić użytkownikom wskaźników referencyjnych w UE dostęp do instrumentów zabezpieczających, w przypadku których stosuje się kontrole dewizowe. Komisja będzie obecnie uprawniona do wyznaczenia w drodze aktów wykonawczych niektórych walutowych wskaźników referencyjnych jako wyłączonych, co zapewni elastyczność w miarę zmian kontroli dewizowych z upływem czasu.</w:t>
      </w:r>
    </w:p>
    <w:p w14:paraId="1E9C697A" w14:textId="77777777" w:rsidR="00E80589" w:rsidRPr="006C02FE" w:rsidRDefault="00E80589" w:rsidP="00DE2A95">
      <w:pPr>
        <w:pStyle w:val="Tiret0"/>
        <w:rPr>
          <w:noProof/>
          <w:u w:val="single"/>
        </w:rPr>
      </w:pPr>
      <w:r w:rsidRPr="006C02FE">
        <w:rPr>
          <w:noProof/>
          <w:u w:val="single"/>
        </w:rPr>
        <w:t>System dobrowolnego poddania się przepisom rozporządzenia („opt-in”)</w:t>
      </w:r>
      <w:r w:rsidRPr="006C02FE">
        <w:rPr>
          <w:noProof/>
        </w:rPr>
        <w:t xml:space="preserve">: Współprawodawcy uzgodnili, że umożliwią administratorom, którzy byliby wyłączeni z zakresu stosowania rozporządzenia, na dobrowolną decyzję o stosowaniu jego przepisów („opt-in”) pod pewnymi warunkami. Właściwy organ może wyznaczyć wskaźnik referencyjny jako istotny, jeżeli: (i) administrator złoży pisemny wniosek, w którym wyraźnie wskaże powody złożenia wniosku o wyznaczenie, oraz (ii) wskaźnik referencyjny jest stosowany w ramach kombinacji wskaźników referencyjnych w UE jako punkt odniesienia dla instrumentów </w:t>
      </w:r>
      <w:r w:rsidRPr="006C02FE">
        <w:rPr>
          <w:noProof/>
        </w:rPr>
        <w:lastRenderedPageBreak/>
        <w:t>finansowych, umów finansowych lub funduszy inwestycyjnych o łącznej średniej wartości co najmniej 20 mld EUR. Dzięki temu administratorzy, którzy chcą zachować swój status regulowany i opracowywać wskaźniki referencyjne w systemie nadzorowanych ram, mogą to uczynić, jeżeli spełniają kryteria „opt-in”.</w:t>
      </w:r>
    </w:p>
    <w:p w14:paraId="71874176" w14:textId="77777777" w:rsidR="00E80589" w:rsidRPr="006C02FE" w:rsidRDefault="00F25307" w:rsidP="00DE2A95">
      <w:pPr>
        <w:pStyle w:val="Tiret0"/>
        <w:rPr>
          <w:noProof/>
          <w:u w:val="single"/>
        </w:rPr>
      </w:pPr>
      <w:r w:rsidRPr="006C02FE">
        <w:rPr>
          <w:noProof/>
          <w:u w:val="single"/>
        </w:rPr>
        <w:t>Wskaźniki referencyjne dotyczące deklaracji z zakresu ochrony środowiska, polityki społecznej i ładu korporacyjnego (ESG)</w:t>
      </w:r>
      <w:r w:rsidRPr="006C02FE">
        <w:rPr>
          <w:noProof/>
        </w:rPr>
        <w:t xml:space="preserve">: Współprawodawcy uzgodnili wprowadzenie wymogu rejestracji, autoryzacji, uznawania lub zatwierdzania administratorów unijnych wskaźników referencyjnych transformacji klimatycznej i unijnych wskaźników referencyjnych dostosowanych do porozumienia paryskiego, co ma zapewnić nadzór regulacyjny i zapobiec wprowadzającym w błąd deklaracjom z zakresu ESG. Projekt porozumienia zawiera również wymóg, aby administratorzy, którzy podlegają nadzorowi na mocy rozporządzenia (UE) 2016/1011 w odniesieniu do co najmniej jednego z ich wskaźników referencyjnych, ujawniali informacje z zakresu ESG dotyczące wszystkich ich wskaźników referencyjnych, które realizują cele ESG. Współprawodawcy wprowadzili również wymóg, aby Komisja do dnia 30 czerwca 2029 r. oceniła adekwatność obecnych wymogów dotyczących ujawniania informacji z zakresu ESG oraz ich dostosowanie do innych regulacji związanych ze zrównoważonym rozwojem. To perspektywiczne podejście zapewnia zachowanie adekwatności i skuteczności ujawniania informacji związanych z ESG. </w:t>
      </w:r>
    </w:p>
    <w:p w14:paraId="6CE74B65" w14:textId="77777777" w:rsidR="00AE62AD" w:rsidRPr="006C02FE" w:rsidRDefault="00AE62AD" w:rsidP="00AE62AD">
      <w:pPr>
        <w:pStyle w:val="Tiret0"/>
        <w:rPr>
          <w:noProof/>
          <w:u w:val="single"/>
        </w:rPr>
      </w:pPr>
      <w:r w:rsidRPr="006C02FE">
        <w:rPr>
          <w:noProof/>
          <w:u w:val="single"/>
        </w:rPr>
        <w:t>Nadzór nad administratorami wskaźników referencyjnych z państw trzecich w UE</w:t>
      </w:r>
      <w:r w:rsidRPr="006C02FE">
        <w:rPr>
          <w:noProof/>
        </w:rPr>
        <w:t>: Współprawodawcy uzgodnili rozszerzenie uprawnień nadzorczych ESMA w odniesieniu do administratorów wskaźników referencyjnych z państw trzecich prowadzących działalność w UE. Administratorzy wskaźników referencyjnych z państw trzecich, którzy mają dostęp do rynku UE dzięki systemowi uznawania, są już nadzorowani przez ESMA. Dostosowanie nadzoru ESMA zarówno w odniesieniu do systemów uznawania, jak i zatwierdzania zapewnia równe warunki funkcjonowania dla wszystkich wskaźników referencyjnych państw trzecich stosowanych w UE. Ponadto ustanawia się ESMA jako jedyny organ sprawujący nadzór nad administratorami, usprawniając współpracę transgraniczną, skuteczność regulacyjną i uproszczenie. Nowe zadania powierzone ESMA w zakresie nadzoru nad podmiotami zatwierdzającymi nie powodowałyby zwiększenia zapotrzebowania na personel i środki finansowe dla ESMA (tj. te nowe zadania powinny zostać zrekompensowane ograniczeniem istniejących zadań i opłatami uiszczanymi przez nowo nadzorowane podmioty).</w:t>
      </w:r>
    </w:p>
    <w:p w14:paraId="00444187" w14:textId="77777777" w:rsidR="00CC6B9B" w:rsidRPr="006C02FE" w:rsidRDefault="00CC6B9B" w:rsidP="4EC19BF3">
      <w:pPr>
        <w:pStyle w:val="ManualHeading1"/>
        <w:rPr>
          <w:noProof/>
          <w:u w:val="single"/>
        </w:rPr>
      </w:pPr>
      <w:r w:rsidRPr="006C02FE">
        <w:rPr>
          <w:noProof/>
        </w:rPr>
        <w:t>4.</w:t>
      </w:r>
      <w:r w:rsidRPr="006C02FE">
        <w:rPr>
          <w:noProof/>
        </w:rPr>
        <w:tab/>
        <w:t>Podsumowanie</w:t>
      </w:r>
    </w:p>
    <w:p w14:paraId="559297CE" w14:textId="77777777" w:rsidR="004A2A14" w:rsidRPr="006C02FE" w:rsidRDefault="004A2A14" w:rsidP="004A2A14">
      <w:pPr>
        <w:rPr>
          <w:rStyle w:val="Strong"/>
          <w:b w:val="0"/>
          <w:bCs w:val="0"/>
          <w:noProof/>
        </w:rPr>
      </w:pPr>
      <w:r w:rsidRPr="006C02FE">
        <w:rPr>
          <w:noProof/>
        </w:rPr>
        <w:t>Komisja popiera wyniki negocjacji międzyinstytucjonalnych i w związku z tym może zaakceptować stanowisko Rady w pierwszym czytaniu.</w:t>
      </w:r>
    </w:p>
    <w:p w14:paraId="37A2BF3A" w14:textId="77777777" w:rsidR="00F1092D" w:rsidRDefault="00F1092D" w:rsidP="004A2A14">
      <w:pPr>
        <w:rPr>
          <w:noProof/>
        </w:rPr>
      </w:pPr>
    </w:p>
    <w:p w14:paraId="73D6A9C7" w14:textId="3C76E101" w:rsidR="00CC6B9B" w:rsidRPr="006C02FE" w:rsidRDefault="00CC6B9B" w:rsidP="004A2A14">
      <w:pPr>
        <w:rPr>
          <w:noProof/>
        </w:rPr>
      </w:pPr>
    </w:p>
    <w:sectPr w:rsidR="00CC6B9B" w:rsidRPr="006C02FE" w:rsidSect="00C7708A">
      <w:headerReference w:type="even" r:id="rId17"/>
      <w:footerReference w:type="even" r:id="rId18"/>
      <w:footerReference w:type="default" r:id="rId19"/>
      <w:headerReference w:type="firs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47D0E" w14:textId="77777777" w:rsidR="00D366A9" w:rsidRDefault="00D366A9" w:rsidP="00CC6B9B">
      <w:pPr>
        <w:spacing w:before="0" w:after="0"/>
      </w:pPr>
      <w:r>
        <w:separator/>
      </w:r>
    </w:p>
  </w:endnote>
  <w:endnote w:type="continuationSeparator" w:id="0">
    <w:p w14:paraId="221FE75C" w14:textId="77777777" w:rsidR="00D366A9" w:rsidRDefault="00D366A9" w:rsidP="00CC6B9B">
      <w:pPr>
        <w:spacing w:before="0" w:after="0"/>
      </w:pPr>
      <w:r>
        <w:continuationSeparator/>
      </w:r>
    </w:p>
  </w:endnote>
  <w:endnote w:type="continuationNotice" w:id="1">
    <w:p w14:paraId="149CAAEB" w14:textId="77777777" w:rsidR="00D366A9" w:rsidRDefault="00D366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1D99" w14:textId="56B76F22" w:rsidR="00C7708A" w:rsidRPr="00C7708A" w:rsidRDefault="00C7708A" w:rsidP="00C7708A">
    <w:pPr>
      <w:pStyle w:val="Footer"/>
      <w:rPr>
        <w:rFonts w:ascii="Arial" w:hAnsi="Arial" w:cs="Arial"/>
        <w:b/>
        <w:sz w:val="48"/>
      </w:rPr>
    </w:pPr>
    <w:r w:rsidRPr="00C7708A">
      <w:rPr>
        <w:rFonts w:ascii="Arial" w:hAnsi="Arial" w:cs="Arial"/>
        <w:b/>
        <w:sz w:val="48"/>
      </w:rPr>
      <w:t>PL</w:t>
    </w:r>
    <w:r w:rsidRPr="00C7708A">
      <w:rPr>
        <w:rFonts w:ascii="Arial" w:hAnsi="Arial" w:cs="Arial"/>
        <w:b/>
        <w:sz w:val="48"/>
      </w:rPr>
      <w:tab/>
    </w:r>
    <w:r w:rsidRPr="00C7708A">
      <w:rPr>
        <w:rFonts w:ascii="Arial" w:hAnsi="Arial" w:cs="Arial"/>
        <w:b/>
        <w:sz w:val="48"/>
      </w:rPr>
      <w:tab/>
    </w:r>
    <w:r w:rsidRPr="00C7708A">
      <w:tab/>
    </w:r>
    <w:r w:rsidRPr="00C7708A">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D5B6" w14:textId="2FC93F85" w:rsidR="00C7708A" w:rsidRPr="00C7708A" w:rsidRDefault="00C7708A" w:rsidP="00C7708A">
    <w:pPr>
      <w:pStyle w:val="Footer"/>
      <w:rPr>
        <w:rFonts w:ascii="Arial" w:hAnsi="Arial" w:cs="Arial"/>
        <w:b/>
        <w:sz w:val="48"/>
      </w:rPr>
    </w:pPr>
    <w:r w:rsidRPr="00C7708A">
      <w:rPr>
        <w:rFonts w:ascii="Arial" w:hAnsi="Arial" w:cs="Arial"/>
        <w:b/>
        <w:sz w:val="48"/>
      </w:rPr>
      <w:t>PL</w:t>
    </w:r>
    <w:r w:rsidRPr="00C7708A">
      <w:rPr>
        <w:rFonts w:ascii="Arial" w:hAnsi="Arial" w:cs="Arial"/>
        <w:b/>
        <w:sz w:val="48"/>
      </w:rPr>
      <w:tab/>
    </w:r>
    <w:r w:rsidRPr="00C7708A">
      <w:rPr>
        <w:rFonts w:ascii="Arial" w:hAnsi="Arial" w:cs="Arial"/>
        <w:b/>
        <w:sz w:val="48"/>
      </w:rPr>
      <w:tab/>
    </w:r>
    <w:r w:rsidRPr="00C7708A">
      <w:tab/>
    </w:r>
    <w:r w:rsidRPr="00C7708A">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799D" w14:textId="77777777" w:rsidR="00C7708A" w:rsidRPr="00C7708A" w:rsidRDefault="00C7708A" w:rsidP="00C770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360C" w14:textId="77777777" w:rsidR="00C7708A" w:rsidRDefault="00C770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EF11" w14:textId="4AD876E6" w:rsidR="00C7708A" w:rsidRPr="00C7708A" w:rsidRDefault="00C7708A" w:rsidP="00C7708A">
    <w:pPr>
      <w:pStyle w:val="Footer"/>
      <w:rPr>
        <w:rFonts w:ascii="Arial" w:hAnsi="Arial" w:cs="Arial"/>
        <w:b/>
        <w:sz w:val="48"/>
      </w:rPr>
    </w:pPr>
    <w:r w:rsidRPr="00C7708A">
      <w:rPr>
        <w:rFonts w:ascii="Arial" w:hAnsi="Arial" w:cs="Arial"/>
        <w:b/>
        <w:sz w:val="48"/>
      </w:rPr>
      <w:t>PL</w:t>
    </w:r>
    <w:r w:rsidRPr="00C7708A">
      <w:rPr>
        <w:rFonts w:ascii="Arial" w:hAnsi="Arial" w:cs="Arial"/>
        <w:b/>
        <w:sz w:val="48"/>
      </w:rPr>
      <w:tab/>
    </w:r>
    <w:r>
      <w:fldChar w:fldCharType="begin"/>
    </w:r>
    <w:r>
      <w:instrText xml:space="preserve"> PAGE  \* MERGEFORMAT </w:instrText>
    </w:r>
    <w:r>
      <w:fldChar w:fldCharType="separate"/>
    </w:r>
    <w:r w:rsidR="00F1092D">
      <w:rPr>
        <w:noProof/>
      </w:rPr>
      <w:t>3</w:t>
    </w:r>
    <w:r>
      <w:fldChar w:fldCharType="end"/>
    </w:r>
    <w:r>
      <w:tab/>
    </w:r>
    <w:r w:rsidRPr="00C7708A">
      <w:tab/>
    </w:r>
    <w:r w:rsidRPr="00C7708A">
      <w:rPr>
        <w:rFonts w:ascii="Arial" w:hAnsi="Arial" w:cs="Arial"/>
        <w:b/>
        <w:sz w:val="48"/>
      </w:rPr>
      <w:t>PL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F439" w14:textId="77777777" w:rsidR="00C7708A" w:rsidRDefault="00C7708A" w:rsidP="00C7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5DFA6" w14:textId="77777777" w:rsidR="00D366A9" w:rsidRDefault="00D366A9" w:rsidP="00CC6B9B">
      <w:pPr>
        <w:spacing w:before="0" w:after="0"/>
      </w:pPr>
      <w:r>
        <w:separator/>
      </w:r>
    </w:p>
  </w:footnote>
  <w:footnote w:type="continuationSeparator" w:id="0">
    <w:p w14:paraId="68483C15" w14:textId="77777777" w:rsidR="00D366A9" w:rsidRDefault="00D366A9" w:rsidP="00CC6B9B">
      <w:pPr>
        <w:spacing w:before="0" w:after="0"/>
      </w:pPr>
      <w:r>
        <w:continuationSeparator/>
      </w:r>
    </w:p>
  </w:footnote>
  <w:footnote w:type="continuationNotice" w:id="1">
    <w:p w14:paraId="493E8718" w14:textId="77777777" w:rsidR="00D366A9" w:rsidRDefault="00D366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A080" w14:textId="77777777" w:rsidR="00C7708A" w:rsidRPr="00C7708A" w:rsidRDefault="00C7708A" w:rsidP="00C77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A052" w14:textId="77777777" w:rsidR="00C7708A" w:rsidRPr="00C7708A" w:rsidRDefault="00C7708A" w:rsidP="00C77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B10A" w14:textId="77777777" w:rsidR="00C7708A" w:rsidRPr="00C7708A" w:rsidRDefault="00C7708A" w:rsidP="00C770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B3D" w14:textId="77777777" w:rsidR="00C7708A" w:rsidRDefault="00C770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8999" w14:textId="77777777" w:rsidR="00C7708A" w:rsidRDefault="00C77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3E25ED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460366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5EEDAE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CBED5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3-27 15:09: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468C998-6BF5-4142-9BA9-E2BEE317F765"/>
    <w:docVar w:name="LW_COVERPAGE_TYPE" w:val="1"/>
    <w:docVar w:name="LW_CreatedUtc" w:val="2025-02-26T10:12:53.8848244Z"/>
    <w:docVar w:name="LW_CROSSREFERENCE" w:val="&lt;UNUSED&gt;"/>
    <w:docVar w:name="LW_DocType" w:val="COM"/>
    <w:docVar w:name="LW_EMISSION" w:val="28.3.2025"/>
    <w:docVar w:name="LW_EMISSION_ISODATE" w:val="2025-03-28"/>
    <w:docVar w:name="LW_EMISSION_LOCATION" w:val="BRX"/>
    <w:docVar w:name="LW_EMISSION_PREFIX" w:val="Bruksela, dnia "/>
    <w:docVar w:name="LW_EMISSION_SUFFIX" w:val=" r."/>
    <w:docVar w:name="LW_ID_DOCMODEL" w:val="SJ-028"/>
    <w:docVar w:name="LW_ID_DOCSTRUCTURE" w:val="COM/PL/CODEC"/>
    <w:docVar w:name="LW_ID_DOCTYPE" w:val="SJ-028"/>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79"/>
    <w:docVar w:name="LW_REF.II.NEW.CP_YEAR" w:val="2023"/>
    <w:docVar w:name="LW_REF.INST.NEW" w:val="COM"/>
    <w:docVar w:name="LW_REF.INST.NEW_ADOPTED" w:val="final"/>
    <w:docVar w:name="LW_REF.INST.NEW_TEXT" w:val="(2025) 15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anowiska Rady w sprawie przyj\u281?cia rozporz\u261?dzenia Parlamentu Europejskiego i Rady zmieniaj\u261?cego rozporz\u261?dzenie (UE) 2016/1011 w odniesieniu do zakresu przepisów dotycz\u261?cych wska\u378?ników referencyjnych, stosowania w Unii wska\u378?ników referencyjnych opracowywanych przez administratora maj\u261?cego siedzib\u281? lub miejsce zamieszkania w pa\u324?stwie trzecim oraz niektórych wymogów sprawozdawczych"/>
    <w:docVar w:name="LW_TYPE.DOC.CP" w:val="KOMUNIKAT KOMISJI _x000b_DO PARLAMENTU EUROPEJSKIEGO_x000b__x000b_na podstawie art. 294 ust. 6 Traktatu o funkcjonowaniu Unii Europejskiej_x000b__x000b_dotycz\u261?cy"/>
    <w:docVar w:name="LwApiVersions" w:val="LW4CoDe 1.24.5.0; LW 9.0, Build 20240221"/>
  </w:docVars>
  <w:rsids>
    <w:rsidRoot w:val="00CC6B9B"/>
    <w:rsid w:val="00001465"/>
    <w:rsid w:val="00004CFB"/>
    <w:rsid w:val="00035E16"/>
    <w:rsid w:val="00053CEF"/>
    <w:rsid w:val="00074385"/>
    <w:rsid w:val="00075519"/>
    <w:rsid w:val="0007744C"/>
    <w:rsid w:val="000902FA"/>
    <w:rsid w:val="000971D4"/>
    <w:rsid w:val="00097DB8"/>
    <w:rsid w:val="000A35C3"/>
    <w:rsid w:val="000A398B"/>
    <w:rsid w:val="000B4481"/>
    <w:rsid w:val="000D5075"/>
    <w:rsid w:val="000E72B8"/>
    <w:rsid w:val="000F0BF7"/>
    <w:rsid w:val="000F5B47"/>
    <w:rsid w:val="001065F5"/>
    <w:rsid w:val="00106C71"/>
    <w:rsid w:val="00115AD3"/>
    <w:rsid w:val="001238EF"/>
    <w:rsid w:val="00134B8E"/>
    <w:rsid w:val="001622B7"/>
    <w:rsid w:val="00164330"/>
    <w:rsid w:val="001708D4"/>
    <w:rsid w:val="0018372C"/>
    <w:rsid w:val="00184DBF"/>
    <w:rsid w:val="00197613"/>
    <w:rsid w:val="001C03CD"/>
    <w:rsid w:val="001C4E71"/>
    <w:rsid w:val="001D579C"/>
    <w:rsid w:val="00200EB8"/>
    <w:rsid w:val="00220ACA"/>
    <w:rsid w:val="00220C84"/>
    <w:rsid w:val="002219F8"/>
    <w:rsid w:val="00233DC7"/>
    <w:rsid w:val="00247779"/>
    <w:rsid w:val="002672E7"/>
    <w:rsid w:val="00285BEE"/>
    <w:rsid w:val="00294327"/>
    <w:rsid w:val="0029533F"/>
    <w:rsid w:val="00296201"/>
    <w:rsid w:val="002B30AF"/>
    <w:rsid w:val="002B6D75"/>
    <w:rsid w:val="00332D7D"/>
    <w:rsid w:val="003333A6"/>
    <w:rsid w:val="0033344A"/>
    <w:rsid w:val="0035252E"/>
    <w:rsid w:val="0035690F"/>
    <w:rsid w:val="003845A2"/>
    <w:rsid w:val="0038540C"/>
    <w:rsid w:val="0038545D"/>
    <w:rsid w:val="003860BA"/>
    <w:rsid w:val="00394F69"/>
    <w:rsid w:val="003953AB"/>
    <w:rsid w:val="003A59C6"/>
    <w:rsid w:val="003A6DE2"/>
    <w:rsid w:val="003A7993"/>
    <w:rsid w:val="003C0008"/>
    <w:rsid w:val="003C5DD3"/>
    <w:rsid w:val="003C735C"/>
    <w:rsid w:val="00411C6E"/>
    <w:rsid w:val="0042648E"/>
    <w:rsid w:val="004500FA"/>
    <w:rsid w:val="00477F73"/>
    <w:rsid w:val="004936D2"/>
    <w:rsid w:val="00496336"/>
    <w:rsid w:val="004A2A14"/>
    <w:rsid w:val="004B6304"/>
    <w:rsid w:val="004D0839"/>
    <w:rsid w:val="004E2D9F"/>
    <w:rsid w:val="004E4014"/>
    <w:rsid w:val="004F3D39"/>
    <w:rsid w:val="00524AAB"/>
    <w:rsid w:val="005265D6"/>
    <w:rsid w:val="00536FEF"/>
    <w:rsid w:val="0055095D"/>
    <w:rsid w:val="0056358C"/>
    <w:rsid w:val="005904BF"/>
    <w:rsid w:val="005B1EB6"/>
    <w:rsid w:val="005B384C"/>
    <w:rsid w:val="005B45B9"/>
    <w:rsid w:val="005C0A2C"/>
    <w:rsid w:val="005F500C"/>
    <w:rsid w:val="00605F51"/>
    <w:rsid w:val="006071D7"/>
    <w:rsid w:val="00630661"/>
    <w:rsid w:val="00640F77"/>
    <w:rsid w:val="006770A9"/>
    <w:rsid w:val="00685992"/>
    <w:rsid w:val="006B4EDE"/>
    <w:rsid w:val="006C02FE"/>
    <w:rsid w:val="006C36B2"/>
    <w:rsid w:val="006D266E"/>
    <w:rsid w:val="006D5153"/>
    <w:rsid w:val="006E477B"/>
    <w:rsid w:val="007003D3"/>
    <w:rsid w:val="00702C39"/>
    <w:rsid w:val="00731D8A"/>
    <w:rsid w:val="007546E6"/>
    <w:rsid w:val="0075564F"/>
    <w:rsid w:val="007627B5"/>
    <w:rsid w:val="00773331"/>
    <w:rsid w:val="007932EF"/>
    <w:rsid w:val="007A2EC7"/>
    <w:rsid w:val="007C1804"/>
    <w:rsid w:val="007C2009"/>
    <w:rsid w:val="007C464B"/>
    <w:rsid w:val="007D130F"/>
    <w:rsid w:val="007D4F5F"/>
    <w:rsid w:val="007E05B0"/>
    <w:rsid w:val="007F39C0"/>
    <w:rsid w:val="0081652F"/>
    <w:rsid w:val="008278D9"/>
    <w:rsid w:val="00835FBE"/>
    <w:rsid w:val="00850EF1"/>
    <w:rsid w:val="008640B0"/>
    <w:rsid w:val="00874D22"/>
    <w:rsid w:val="00874E86"/>
    <w:rsid w:val="00881479"/>
    <w:rsid w:val="00885146"/>
    <w:rsid w:val="008A2914"/>
    <w:rsid w:val="008B0316"/>
    <w:rsid w:val="008C3211"/>
    <w:rsid w:val="008C4AA1"/>
    <w:rsid w:val="008E4D8E"/>
    <w:rsid w:val="008E7F10"/>
    <w:rsid w:val="008F65D6"/>
    <w:rsid w:val="00903D6E"/>
    <w:rsid w:val="009367E3"/>
    <w:rsid w:val="00947CFB"/>
    <w:rsid w:val="00962B52"/>
    <w:rsid w:val="00970C23"/>
    <w:rsid w:val="0097504D"/>
    <w:rsid w:val="009C1971"/>
    <w:rsid w:val="009C2258"/>
    <w:rsid w:val="009D0B9A"/>
    <w:rsid w:val="009D345E"/>
    <w:rsid w:val="009D4BF6"/>
    <w:rsid w:val="009D5115"/>
    <w:rsid w:val="009E171A"/>
    <w:rsid w:val="009E6A3D"/>
    <w:rsid w:val="00A15379"/>
    <w:rsid w:val="00A344E7"/>
    <w:rsid w:val="00A71BCF"/>
    <w:rsid w:val="00AA72AA"/>
    <w:rsid w:val="00AA72C1"/>
    <w:rsid w:val="00AE62AD"/>
    <w:rsid w:val="00AF0804"/>
    <w:rsid w:val="00B05B6A"/>
    <w:rsid w:val="00B21E01"/>
    <w:rsid w:val="00B36BFA"/>
    <w:rsid w:val="00B505A9"/>
    <w:rsid w:val="00B81F24"/>
    <w:rsid w:val="00B9664F"/>
    <w:rsid w:val="00BB56B8"/>
    <w:rsid w:val="00BB7BA3"/>
    <w:rsid w:val="00BE4B57"/>
    <w:rsid w:val="00C00EBD"/>
    <w:rsid w:val="00C05FCD"/>
    <w:rsid w:val="00C12301"/>
    <w:rsid w:val="00C13BA9"/>
    <w:rsid w:val="00C24434"/>
    <w:rsid w:val="00C435A3"/>
    <w:rsid w:val="00C52534"/>
    <w:rsid w:val="00C61F0E"/>
    <w:rsid w:val="00C72CB4"/>
    <w:rsid w:val="00C7708A"/>
    <w:rsid w:val="00C80AC2"/>
    <w:rsid w:val="00C82205"/>
    <w:rsid w:val="00C9098C"/>
    <w:rsid w:val="00C945B3"/>
    <w:rsid w:val="00CA53CA"/>
    <w:rsid w:val="00CB41F7"/>
    <w:rsid w:val="00CC012B"/>
    <w:rsid w:val="00CC6B9B"/>
    <w:rsid w:val="00CE5017"/>
    <w:rsid w:val="00D1211F"/>
    <w:rsid w:val="00D20381"/>
    <w:rsid w:val="00D25B7B"/>
    <w:rsid w:val="00D3001B"/>
    <w:rsid w:val="00D31D5A"/>
    <w:rsid w:val="00D32666"/>
    <w:rsid w:val="00D366A9"/>
    <w:rsid w:val="00D5195D"/>
    <w:rsid w:val="00D606A4"/>
    <w:rsid w:val="00D6363F"/>
    <w:rsid w:val="00D637C0"/>
    <w:rsid w:val="00D670ED"/>
    <w:rsid w:val="00D747E6"/>
    <w:rsid w:val="00D94AC9"/>
    <w:rsid w:val="00D96D93"/>
    <w:rsid w:val="00DC223E"/>
    <w:rsid w:val="00DC795F"/>
    <w:rsid w:val="00DE2A95"/>
    <w:rsid w:val="00DE50A6"/>
    <w:rsid w:val="00DF2E15"/>
    <w:rsid w:val="00E16F69"/>
    <w:rsid w:val="00E202F4"/>
    <w:rsid w:val="00E230A3"/>
    <w:rsid w:val="00E654AA"/>
    <w:rsid w:val="00E770ED"/>
    <w:rsid w:val="00E80589"/>
    <w:rsid w:val="00EE7904"/>
    <w:rsid w:val="00F0026A"/>
    <w:rsid w:val="00F03710"/>
    <w:rsid w:val="00F04843"/>
    <w:rsid w:val="00F1092D"/>
    <w:rsid w:val="00F25307"/>
    <w:rsid w:val="00F40856"/>
    <w:rsid w:val="00F50375"/>
    <w:rsid w:val="00F657BA"/>
    <w:rsid w:val="00F75F18"/>
    <w:rsid w:val="00F91F0D"/>
    <w:rsid w:val="00FB6BED"/>
    <w:rsid w:val="00FC226B"/>
    <w:rsid w:val="00FC38F8"/>
    <w:rsid w:val="00FD19B9"/>
    <w:rsid w:val="00FE1AD6"/>
    <w:rsid w:val="00FE6092"/>
    <w:rsid w:val="00FF20AC"/>
    <w:rsid w:val="4EC19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F0BDD1"/>
  <w15:docId w15:val="{CB9F9DAF-EFB2-48B0-B730-65E95185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A2A14"/>
    <w:rPr>
      <w:b/>
      <w:bCs/>
    </w:rPr>
  </w:style>
  <w:style w:type="paragraph" w:styleId="ListBullet">
    <w:name w:val="List Bullet"/>
    <w:basedOn w:val="Normal"/>
    <w:uiPriority w:val="99"/>
    <w:semiHidden/>
    <w:unhideWhenUsed/>
    <w:rsid w:val="004500FA"/>
    <w:pPr>
      <w:numPr>
        <w:numId w:val="1"/>
      </w:numPr>
      <w:contextualSpacing/>
    </w:pPr>
  </w:style>
  <w:style w:type="paragraph" w:styleId="ListBullet2">
    <w:name w:val="List Bullet 2"/>
    <w:basedOn w:val="Normal"/>
    <w:uiPriority w:val="99"/>
    <w:semiHidden/>
    <w:unhideWhenUsed/>
    <w:rsid w:val="004500FA"/>
    <w:pPr>
      <w:numPr>
        <w:numId w:val="2"/>
      </w:numPr>
      <w:contextualSpacing/>
    </w:pPr>
  </w:style>
  <w:style w:type="paragraph" w:styleId="ListBullet3">
    <w:name w:val="List Bullet 3"/>
    <w:basedOn w:val="Normal"/>
    <w:uiPriority w:val="99"/>
    <w:semiHidden/>
    <w:unhideWhenUsed/>
    <w:rsid w:val="004500FA"/>
    <w:pPr>
      <w:numPr>
        <w:numId w:val="3"/>
      </w:numPr>
      <w:contextualSpacing/>
    </w:pPr>
  </w:style>
  <w:style w:type="paragraph" w:styleId="ListBullet4">
    <w:name w:val="List Bullet 4"/>
    <w:basedOn w:val="Normal"/>
    <w:uiPriority w:val="99"/>
    <w:semiHidden/>
    <w:unhideWhenUsed/>
    <w:rsid w:val="004500FA"/>
    <w:pPr>
      <w:numPr>
        <w:numId w:val="4"/>
      </w:numPr>
      <w:contextualSpacing/>
    </w:pPr>
  </w:style>
  <w:style w:type="paragraph" w:styleId="ListParagraph">
    <w:name w:val="List Paragraph"/>
    <w:basedOn w:val="Normal"/>
    <w:uiPriority w:val="34"/>
    <w:qFormat/>
    <w:rsid w:val="00E80589"/>
    <w:pPr>
      <w:spacing w:before="0" w:after="0" w:line="360" w:lineRule="auto"/>
      <w:ind w:left="720"/>
      <w:contextualSpacing/>
      <w:jc w:val="left"/>
    </w:pPr>
    <w:rPr>
      <w:rFonts w:cstheme="minorBidi"/>
    </w:rPr>
  </w:style>
  <w:style w:type="paragraph" w:styleId="Revision">
    <w:name w:val="Revision"/>
    <w:hidden/>
    <w:uiPriority w:val="99"/>
    <w:semiHidden/>
    <w:rsid w:val="007D4F5F"/>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DF2E15"/>
    <w:rPr>
      <w:sz w:val="16"/>
      <w:szCs w:val="16"/>
    </w:rPr>
  </w:style>
  <w:style w:type="paragraph" w:styleId="CommentText">
    <w:name w:val="annotation text"/>
    <w:basedOn w:val="Normal"/>
    <w:link w:val="CommentTextChar"/>
    <w:uiPriority w:val="99"/>
    <w:unhideWhenUsed/>
    <w:rsid w:val="00DF2E15"/>
    <w:rPr>
      <w:sz w:val="20"/>
      <w:szCs w:val="20"/>
    </w:rPr>
  </w:style>
  <w:style w:type="character" w:customStyle="1" w:styleId="CommentTextChar">
    <w:name w:val="Comment Text Char"/>
    <w:basedOn w:val="DefaultParagraphFont"/>
    <w:link w:val="CommentText"/>
    <w:uiPriority w:val="99"/>
    <w:rsid w:val="00DF2E15"/>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sid w:val="00DF2E15"/>
    <w:rPr>
      <w:b/>
      <w:bCs/>
    </w:rPr>
  </w:style>
  <w:style w:type="character" w:customStyle="1" w:styleId="CommentSubjectChar">
    <w:name w:val="Comment Subject Char"/>
    <w:basedOn w:val="CommentTextChar"/>
    <w:link w:val="CommentSubject"/>
    <w:uiPriority w:val="99"/>
    <w:semiHidden/>
    <w:rsid w:val="00DF2E15"/>
    <w:rPr>
      <w:rFonts w:ascii="Times New Roman" w:hAnsi="Times New Roman" w:cs="Times New Roman"/>
      <w:b/>
      <w:bCs/>
      <w:sz w:val="20"/>
      <w:szCs w:val="20"/>
      <w:lang w:val="pl-PL"/>
    </w:rPr>
  </w:style>
  <w:style w:type="character" w:styleId="Hyperlink">
    <w:name w:val="Hyperlink"/>
    <w:basedOn w:val="DefaultParagraphFont"/>
    <w:uiPriority w:val="99"/>
    <w:semiHidden/>
    <w:unhideWhenUsed/>
    <w:rsid w:val="00C72CB4"/>
    <w:rPr>
      <w:color w:val="0000FF" w:themeColor="hyperlink"/>
      <w:u w:val="single"/>
    </w:rPr>
  </w:style>
  <w:style w:type="character" w:customStyle="1" w:styleId="HeaderChar">
    <w:name w:val="Header Char"/>
    <w:basedOn w:val="DefaultParagraphFont"/>
    <w:link w:val="Header"/>
    <w:uiPriority w:val="99"/>
    <w:rsid w:val="00C7708A"/>
    <w:rPr>
      <w:rFonts w:ascii="Times New Roman" w:hAnsi="Times New Roman" w:cs="Times New Roman"/>
      <w:sz w:val="24"/>
      <w:lang w:val="pl-PL"/>
    </w:rPr>
  </w:style>
  <w:style w:type="character" w:customStyle="1" w:styleId="FooterChar">
    <w:name w:val="Footer Char"/>
    <w:basedOn w:val="DefaultParagraphFont"/>
    <w:link w:val="Footer"/>
    <w:uiPriority w:val="99"/>
    <w:rsid w:val="00C7708A"/>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7708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708A"/>
    <w:pPr>
      <w:spacing w:before="0"/>
      <w:jc w:val="right"/>
    </w:pPr>
    <w:rPr>
      <w:sz w:val="28"/>
    </w:rPr>
  </w:style>
  <w:style w:type="paragraph" w:customStyle="1" w:styleId="FooterSensitivity">
    <w:name w:val="Footer Sensitivity"/>
    <w:basedOn w:val="Normal"/>
    <w:rsid w:val="00C7708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7708A"/>
    <w:pPr>
      <w:tabs>
        <w:tab w:val="center" w:pos="4535"/>
        <w:tab w:val="right" w:pos="9071"/>
      </w:tabs>
      <w:spacing w:before="0"/>
    </w:pPr>
  </w:style>
  <w:style w:type="paragraph" w:customStyle="1" w:styleId="HeaderLandscape">
    <w:name w:val="HeaderLandscape"/>
    <w:basedOn w:val="Normal"/>
    <w:rsid w:val="00C7708A"/>
    <w:pPr>
      <w:tabs>
        <w:tab w:val="center" w:pos="7285"/>
        <w:tab w:val="right" w:pos="14003"/>
      </w:tabs>
      <w:spacing w:before="0"/>
    </w:pPr>
  </w:style>
  <w:style w:type="paragraph" w:styleId="Footer">
    <w:name w:val="footer"/>
    <w:basedOn w:val="Normal"/>
    <w:link w:val="FooterChar"/>
    <w:uiPriority w:val="99"/>
    <w:unhideWhenUsed/>
    <w:rsid w:val="00C7708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7708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15" ma:contentTypeDescription="Create a new document." ma:contentTypeScope="" ma:versionID="ca9d6177fa0181ac0e41d392f763ee0d">
  <xsd:schema xmlns:xsd="http://www.w3.org/2001/XMLSchema" xmlns:xs="http://www.w3.org/2001/XMLSchema" xmlns:p="http://schemas.microsoft.com/office/2006/metadata/properties" xmlns:ns2="a280f3ed-f921-4226-9525-27fa6d577539" xmlns:ns3="278287c8-5be4-4613-8138-480f9be48247" targetNamespace="http://schemas.microsoft.com/office/2006/metadata/properties" ma:root="true" ma:fieldsID="389eef80898cc7fc4100ad89a46dc559" ns2:_="" ns3:_="">
    <xsd:import namespace="a280f3ed-f921-4226-9525-27fa6d577539"/>
    <xsd:import namespace="278287c8-5be4-4613-8138-480f9be48247"/>
    <xsd:element name="properties">
      <xsd:complexType>
        <xsd:sequence>
          <xsd:element name="documentManagement">
            <xsd:complexType>
              <xsd:all>
                <xsd:element ref="ns2:MediaServiceMetadata" minOccurs="0"/>
                <xsd:element ref="ns2:MediaServiceFastMetadata" minOccurs="0"/>
                <xsd:element ref="ns2:DocStatus"/>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Status" ma:index="10" ma:displayName="Doc Status" ma:format="Dropdown" ma:indexed="true" ma:internalName="DocStatus">
      <xsd:simpleType>
        <xsd:restriction base="dms:Choice">
          <xsd:enumeration value="Draft"/>
          <xsd:enumeration value="Final"/>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a201d3d-60fb-479e-b5be-4da6b1dc61cd}"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280f3ed-f921-4226-9525-27fa6d577539" xsi:nil="true"/>
    <DocStatus xmlns="a280f3ed-f921-4226-9525-27fa6d577539">Draft</DocStatus>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278287c8-5be4-4613-8138-480f9be48247" xsi:nil="true"/>
  </documentManagement>
</p:properties>
</file>

<file path=customXml/itemProps1.xml><?xml version="1.0" encoding="utf-8"?>
<ds:datastoreItem xmlns:ds="http://schemas.openxmlformats.org/officeDocument/2006/customXml" ds:itemID="{BA27FE06-B427-422F-9196-B61D13EA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f3ed-f921-4226-9525-27fa6d577539"/>
    <ds:schemaRef ds:uri="278287c8-5be4-4613-8138-480f9be48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2F165-37E7-4753-8A42-C09BF33D3E46}">
  <ds:schemaRefs>
    <ds:schemaRef ds:uri="http://schemas.microsoft.com/sharepoint/v3/contenttype/forms"/>
  </ds:schemaRefs>
</ds:datastoreItem>
</file>

<file path=customXml/itemProps3.xml><?xml version="1.0" encoding="utf-8"?>
<ds:datastoreItem xmlns:ds="http://schemas.openxmlformats.org/officeDocument/2006/customXml" ds:itemID="{13E36A15-0EB5-401D-B109-6631558ED4AD}">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278287c8-5be4-4613-8138-480f9be48247"/>
    <ds:schemaRef ds:uri="a280f3ed-f921-4226-9525-27fa6d57753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COM.dotm</Template>
  <TotalTime>40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56</cp:revision>
  <dcterms:created xsi:type="dcterms:W3CDTF">2025-03-20T16:27:00Z</dcterms:created>
  <dcterms:modified xsi:type="dcterms:W3CDTF">2025-03-27T14:09:00Z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ContentTypeId">
    <vt:lpwstr>0x010100F099A588E0F14746BFAC081FD6A566B8</vt:lpwstr>
  </property>
  <property fmtid="{D5CDD505-2E9C-101B-9397-08002B2CF9AE}" pid="11" name="MSIP_Label_6bd9ddd1-4d20-43f6-abfa-fc3c07406f94_Enabled">
    <vt:lpwstr>true</vt:lpwstr>
  </property>
  <property fmtid="{D5CDD505-2E9C-101B-9397-08002B2CF9AE}" pid="12" name="MSIP_Label_6bd9ddd1-4d20-43f6-abfa-fc3c07406f94_SetDate">
    <vt:lpwstr>2025-02-26T10:13:32Z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f1a4ce71-416b-4590-9e33-1d583b012085</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