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41780" w14:textId="6E8194CB" w:rsidR="007F1C63" w:rsidRDefault="003753B6" w:rsidP="003753B6">
      <w:pPr>
        <w:pStyle w:val="Pagedecouverture"/>
        <w:rPr>
          <w:rStyle w:val="Heading11"/>
          <w:smallCaps/>
          <w:noProof/>
          <w:sz w:val="24"/>
          <w:szCs w:val="24"/>
        </w:rPr>
      </w:pPr>
      <w:bookmarkStart w:id="0" w:name="LW_BM_COVERPAGE"/>
      <w:r>
        <w:rPr>
          <w:rStyle w:val="Heading11"/>
          <w:smallCaps/>
          <w:noProof/>
          <w:sz w:val="24"/>
          <w:szCs w:val="24"/>
        </w:rPr>
        <w:pict w14:anchorId="6D712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673F6EA-B6B1-488A-BDEE-F2E38BB2BC30" style="width:455.25pt;height:405.75pt">
            <v:imagedata r:id="rId8" o:title=""/>
          </v:shape>
        </w:pict>
      </w:r>
    </w:p>
    <w:bookmarkEnd w:id="0"/>
    <w:p w14:paraId="5C793B7A" w14:textId="77777777" w:rsidR="007F1C63" w:rsidRDefault="007F1C63" w:rsidP="007F1C63">
      <w:pPr>
        <w:rPr>
          <w:rStyle w:val="Heading11"/>
          <w:rFonts w:ascii="Times New Roman" w:hAnsi="Times New Roman" w:cs="Times New Roman"/>
          <w:smallCaps/>
          <w:noProof/>
          <w:sz w:val="24"/>
          <w:szCs w:val="24"/>
        </w:rPr>
        <w:sectPr w:rsidR="007F1C63" w:rsidSect="003753B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D616DB2" w14:textId="1E638864" w:rsidR="004B181D" w:rsidRPr="001E1863" w:rsidRDefault="004B181D" w:rsidP="004B181D">
      <w:pPr>
        <w:pStyle w:val="Heading110"/>
        <w:keepNext/>
        <w:keepLines/>
        <w:numPr>
          <w:ilvl w:val="0"/>
          <w:numId w:val="1"/>
        </w:numPr>
        <w:tabs>
          <w:tab w:val="left" w:pos="552"/>
          <w:tab w:val="left" w:pos="557"/>
        </w:tabs>
        <w:jc w:val="both"/>
        <w:rPr>
          <w:rFonts w:ascii="Times New Roman" w:hAnsi="Times New Roman" w:cs="Times New Roman"/>
          <w:noProof/>
          <w:sz w:val="24"/>
          <w:szCs w:val="24"/>
        </w:rPr>
      </w:pPr>
      <w:bookmarkStart w:id="1" w:name="_GoBack"/>
      <w:bookmarkEnd w:id="1"/>
      <w:r>
        <w:rPr>
          <w:rStyle w:val="Heading11"/>
          <w:rFonts w:ascii="Times New Roman" w:hAnsi="Times New Roman"/>
          <w:smallCaps/>
          <w:noProof/>
          <w:sz w:val="24"/>
        </w:rPr>
        <w:lastRenderedPageBreak/>
        <w:t>Wprowadzenie</w:t>
      </w:r>
    </w:p>
    <w:p w14:paraId="6DB9F7CA" w14:textId="1CF170F2" w:rsidR="004B181D" w:rsidRPr="000C6D51" w:rsidRDefault="003A5CC5" w:rsidP="004B181D">
      <w:pPr>
        <w:pStyle w:val="Bodytext10"/>
        <w:ind w:left="580"/>
        <w:jc w:val="both"/>
        <w:rPr>
          <w:rFonts w:ascii="Times New Roman" w:hAnsi="Times New Roman" w:cs="Times New Roman"/>
          <w:noProof/>
          <w:color w:val="333333"/>
          <w:sz w:val="24"/>
          <w:szCs w:val="24"/>
          <w:shd w:val="clear" w:color="auto" w:fill="FFFFFF"/>
        </w:rPr>
      </w:pPr>
      <w:r>
        <w:rPr>
          <w:rStyle w:val="Bodytext1"/>
          <w:rFonts w:ascii="Times New Roman" w:hAnsi="Times New Roman"/>
          <w:noProof/>
          <w:sz w:val="24"/>
        </w:rPr>
        <w:t>Rozporządzenie Parlamentu Europejskiego</w:t>
      </w:r>
      <w:r w:rsidR="00324660">
        <w:rPr>
          <w:rStyle w:val="Bodytext1"/>
          <w:rFonts w:ascii="Times New Roman" w:hAnsi="Times New Roman"/>
          <w:noProof/>
          <w:sz w:val="24"/>
        </w:rPr>
        <w:t xml:space="preserve"> i Rad</w:t>
      </w:r>
      <w:r>
        <w:rPr>
          <w:rStyle w:val="Bodytext1"/>
          <w:rFonts w:ascii="Times New Roman" w:hAnsi="Times New Roman"/>
          <w:noProof/>
          <w:sz w:val="24"/>
        </w:rPr>
        <w:t>y (UE)</w:t>
      </w:r>
      <w:r>
        <w:rPr>
          <w:rStyle w:val="FootnoteReference"/>
          <w:rFonts w:ascii="Times New Roman" w:hAnsi="Times New Roman" w:cs="Times New Roman"/>
          <w:noProof/>
          <w:sz w:val="24"/>
          <w:szCs w:val="24"/>
        </w:rPr>
        <w:footnoteReference w:id="1"/>
      </w:r>
      <w:r>
        <w:rPr>
          <w:rStyle w:val="Bodytext1"/>
          <w:rFonts w:ascii="Times New Roman" w:hAnsi="Times New Roman"/>
          <w:noProof/>
          <w:sz w:val="24"/>
        </w:rPr>
        <w:t xml:space="preserve"> 2019/787</w:t>
      </w:r>
      <w:r w:rsidR="00324660">
        <w:rPr>
          <w:rStyle w:val="Bodytext1"/>
          <w:rFonts w:ascii="Times New Roman" w:hAnsi="Times New Roman"/>
          <w:noProof/>
          <w:sz w:val="24"/>
        </w:rPr>
        <w:t xml:space="preserve"> z dni</w:t>
      </w:r>
      <w:r>
        <w:rPr>
          <w:rStyle w:val="Bodytext1"/>
          <w:rFonts w:ascii="Times New Roman" w:hAnsi="Times New Roman"/>
          <w:noProof/>
          <w:sz w:val="24"/>
        </w:rPr>
        <w:t>a 17 kwietnia 20</w:t>
      </w:r>
      <w:r w:rsidRPr="00324660">
        <w:rPr>
          <w:rStyle w:val="Bodytext1"/>
          <w:rFonts w:ascii="Times New Roman" w:hAnsi="Times New Roman"/>
          <w:noProof/>
          <w:sz w:val="24"/>
        </w:rPr>
        <w:t>19</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r.</w:t>
      </w:r>
      <w:r w:rsidR="00324660">
        <w:rPr>
          <w:rStyle w:val="Bodytext1"/>
          <w:rFonts w:ascii="Times New Roman" w:hAnsi="Times New Roman"/>
          <w:noProof/>
          <w:sz w:val="24"/>
        </w:rPr>
        <w:t xml:space="preserve"> w spr</w:t>
      </w:r>
      <w:r>
        <w:rPr>
          <w:rStyle w:val="Bodytext1"/>
          <w:rFonts w:ascii="Times New Roman" w:hAnsi="Times New Roman"/>
          <w:noProof/>
          <w:sz w:val="24"/>
        </w:rPr>
        <w:t>awie definicji, opisu, prezentacji</w:t>
      </w:r>
      <w:r w:rsidR="00324660">
        <w:rPr>
          <w:rStyle w:val="Bodytext1"/>
          <w:rFonts w:ascii="Times New Roman" w:hAnsi="Times New Roman"/>
          <w:noProof/>
          <w:sz w:val="24"/>
        </w:rPr>
        <w:t xml:space="preserve"> i ety</w:t>
      </w:r>
      <w:r>
        <w:rPr>
          <w:rStyle w:val="Bodytext1"/>
          <w:rFonts w:ascii="Times New Roman" w:hAnsi="Times New Roman"/>
          <w:noProof/>
          <w:sz w:val="24"/>
        </w:rPr>
        <w:t>kietowania napojów spirytusowych, stosowania nazw napojów spirytusowych</w:t>
      </w:r>
      <w:r w:rsidR="00324660">
        <w:rPr>
          <w:rStyle w:val="Bodytext1"/>
          <w:rFonts w:ascii="Times New Roman" w:hAnsi="Times New Roman"/>
          <w:noProof/>
          <w:sz w:val="24"/>
        </w:rPr>
        <w:t xml:space="preserve"> w pre</w:t>
      </w:r>
      <w:r>
        <w:rPr>
          <w:rStyle w:val="Bodytext1"/>
          <w:rFonts w:ascii="Times New Roman" w:hAnsi="Times New Roman"/>
          <w:noProof/>
          <w:sz w:val="24"/>
        </w:rPr>
        <w:t>zentacji</w:t>
      </w:r>
      <w:r w:rsidR="00324660">
        <w:rPr>
          <w:rStyle w:val="Bodytext1"/>
          <w:rFonts w:ascii="Times New Roman" w:hAnsi="Times New Roman"/>
          <w:noProof/>
          <w:sz w:val="24"/>
        </w:rPr>
        <w:t xml:space="preserve"> i ety</w:t>
      </w:r>
      <w:r>
        <w:rPr>
          <w:rStyle w:val="Bodytext1"/>
          <w:rFonts w:ascii="Times New Roman" w:hAnsi="Times New Roman"/>
          <w:noProof/>
          <w:sz w:val="24"/>
        </w:rPr>
        <w:t>kietowaniu innych środków spożywczych, ochrony oznaczeń geograficznych napojów spirytusowych, wykorzystywania alkoholu etylowego</w:t>
      </w:r>
      <w:r w:rsidR="00324660">
        <w:rPr>
          <w:rStyle w:val="Bodytext1"/>
          <w:rFonts w:ascii="Times New Roman" w:hAnsi="Times New Roman"/>
          <w:noProof/>
          <w:sz w:val="24"/>
        </w:rPr>
        <w:t xml:space="preserve"> i des</w:t>
      </w:r>
      <w:r>
        <w:rPr>
          <w:rStyle w:val="Bodytext1"/>
          <w:rFonts w:ascii="Times New Roman" w:hAnsi="Times New Roman"/>
          <w:noProof/>
          <w:sz w:val="24"/>
        </w:rPr>
        <w:t>tylatów pochodzenia rolniczego</w:t>
      </w:r>
      <w:r w:rsidR="00324660">
        <w:rPr>
          <w:rStyle w:val="Bodytext1"/>
          <w:rFonts w:ascii="Times New Roman" w:hAnsi="Times New Roman"/>
          <w:noProof/>
          <w:sz w:val="24"/>
        </w:rPr>
        <w:t xml:space="preserve"> w nap</w:t>
      </w:r>
      <w:r>
        <w:rPr>
          <w:rStyle w:val="Bodytext1"/>
          <w:rFonts w:ascii="Times New Roman" w:hAnsi="Times New Roman"/>
          <w:noProof/>
          <w:sz w:val="24"/>
        </w:rPr>
        <w:t>ojach alkoholowych,</w:t>
      </w:r>
      <w:r w:rsidR="00324660">
        <w:rPr>
          <w:rStyle w:val="Bodytext1"/>
          <w:rFonts w:ascii="Times New Roman" w:hAnsi="Times New Roman"/>
          <w:noProof/>
          <w:sz w:val="24"/>
        </w:rPr>
        <w:t xml:space="preserve"> a tak</w:t>
      </w:r>
      <w:r>
        <w:rPr>
          <w:rStyle w:val="Bodytext1"/>
          <w:rFonts w:ascii="Times New Roman" w:hAnsi="Times New Roman"/>
          <w:noProof/>
          <w:sz w:val="24"/>
        </w:rPr>
        <w:t xml:space="preserve">że uchylające rozporządzenie (WE) </w:t>
      </w:r>
      <w:r w:rsidRPr="00324660">
        <w:rPr>
          <w:rStyle w:val="Bodytext1"/>
          <w:rFonts w:ascii="Times New Roman" w:hAnsi="Times New Roman"/>
          <w:noProof/>
          <w:sz w:val="24"/>
        </w:rPr>
        <w:t>nr</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Pr>
          <w:rStyle w:val="Bodytext1"/>
          <w:rFonts w:ascii="Times New Roman" w:hAnsi="Times New Roman"/>
          <w:noProof/>
          <w:sz w:val="24"/>
        </w:rPr>
        <w:t>10/2008</w:t>
      </w:r>
      <w:r>
        <w:rPr>
          <w:rFonts w:ascii="Times New Roman" w:hAnsi="Times New Roman"/>
          <w:noProof/>
          <w:color w:val="333333"/>
          <w:sz w:val="24"/>
          <w:shd w:val="clear" w:color="auto" w:fill="FFFFFF"/>
        </w:rPr>
        <w:t xml:space="preserve"> ustanawia wspólne ramy prawne dla napojów spirytusowych produkowanych</w:t>
      </w:r>
      <w:r w:rsidR="00324660">
        <w:rPr>
          <w:rFonts w:ascii="Times New Roman" w:hAnsi="Times New Roman"/>
          <w:noProof/>
          <w:color w:val="333333"/>
          <w:sz w:val="24"/>
          <w:shd w:val="clear" w:color="auto" w:fill="FFFFFF"/>
        </w:rPr>
        <w:t xml:space="preserve"> w Uni</w:t>
      </w:r>
      <w:r>
        <w:rPr>
          <w:rFonts w:ascii="Times New Roman" w:hAnsi="Times New Roman"/>
          <w:noProof/>
          <w:color w:val="333333"/>
          <w:sz w:val="24"/>
          <w:shd w:val="clear" w:color="auto" w:fill="FFFFFF"/>
        </w:rPr>
        <w:t>i</w:t>
      </w:r>
      <w:r w:rsidR="00324660">
        <w:rPr>
          <w:rFonts w:ascii="Times New Roman" w:hAnsi="Times New Roman"/>
          <w:noProof/>
          <w:color w:val="333333"/>
          <w:sz w:val="24"/>
          <w:shd w:val="clear" w:color="auto" w:fill="FFFFFF"/>
        </w:rPr>
        <w:t>. W szc</w:t>
      </w:r>
      <w:r>
        <w:rPr>
          <w:rFonts w:ascii="Times New Roman" w:hAnsi="Times New Roman"/>
          <w:noProof/>
          <w:color w:val="333333"/>
          <w:sz w:val="24"/>
          <w:shd w:val="clear" w:color="auto" w:fill="FFFFFF"/>
        </w:rPr>
        <w:t>zególności zawiera ono przepisy dotyczące definicji, opisu, prezentacji</w:t>
      </w:r>
      <w:r w:rsidR="00324660">
        <w:rPr>
          <w:rFonts w:ascii="Times New Roman" w:hAnsi="Times New Roman"/>
          <w:noProof/>
          <w:color w:val="333333"/>
          <w:sz w:val="24"/>
          <w:shd w:val="clear" w:color="auto" w:fill="FFFFFF"/>
        </w:rPr>
        <w:t xml:space="preserve"> i ety</w:t>
      </w:r>
      <w:r>
        <w:rPr>
          <w:rFonts w:ascii="Times New Roman" w:hAnsi="Times New Roman"/>
          <w:noProof/>
          <w:color w:val="333333"/>
          <w:sz w:val="24"/>
          <w:shd w:val="clear" w:color="auto" w:fill="FFFFFF"/>
        </w:rPr>
        <w:t>kietowania napojów spirytusowych oraz ich kontroli</w:t>
      </w:r>
      <w:r w:rsidR="00324660">
        <w:rPr>
          <w:rFonts w:ascii="Times New Roman" w:hAnsi="Times New Roman"/>
          <w:noProof/>
          <w:color w:val="333333"/>
          <w:sz w:val="24"/>
          <w:shd w:val="clear" w:color="auto" w:fill="FFFFFF"/>
        </w:rPr>
        <w:t xml:space="preserve"> i nad</w:t>
      </w:r>
      <w:r>
        <w:rPr>
          <w:rFonts w:ascii="Times New Roman" w:hAnsi="Times New Roman"/>
          <w:noProof/>
          <w:color w:val="333333"/>
          <w:sz w:val="24"/>
          <w:shd w:val="clear" w:color="auto" w:fill="FFFFFF"/>
        </w:rPr>
        <w:t>zoru nad nimi oraz jest aktem podstawowym dla unijnych systemów oznaczeń geograficznych</w:t>
      </w:r>
      <w:r w:rsidR="00324660">
        <w:rPr>
          <w:rFonts w:ascii="Times New Roman" w:hAnsi="Times New Roman"/>
          <w:noProof/>
          <w:color w:val="333333"/>
          <w:sz w:val="24"/>
          <w:shd w:val="clear" w:color="auto" w:fill="FFFFFF"/>
        </w:rPr>
        <w:t xml:space="preserve"> w sek</w:t>
      </w:r>
      <w:r>
        <w:rPr>
          <w:rFonts w:ascii="Times New Roman" w:hAnsi="Times New Roman"/>
          <w:noProof/>
          <w:color w:val="333333"/>
          <w:sz w:val="24"/>
          <w:shd w:val="clear" w:color="auto" w:fill="FFFFFF"/>
        </w:rPr>
        <w:t>torze napojów spirytusowych</w:t>
      </w:r>
      <w:r>
        <w:rPr>
          <w:rStyle w:val="Bodytext1"/>
          <w:rFonts w:ascii="Times New Roman" w:hAnsi="Times New Roman"/>
          <w:noProof/>
          <w:sz w:val="24"/>
        </w:rPr>
        <w:t>.</w:t>
      </w:r>
      <w:r>
        <w:rPr>
          <w:noProof/>
        </w:rPr>
        <w:t xml:space="preserve"> </w:t>
      </w:r>
    </w:p>
    <w:p w14:paraId="500270ED" w14:textId="3CDCA146" w:rsidR="00766E2D" w:rsidRDefault="00766E2D" w:rsidP="00766E2D">
      <w:pPr>
        <w:pStyle w:val="Bodytext10"/>
        <w:ind w:left="580"/>
        <w:jc w:val="both"/>
        <w:rPr>
          <w:rFonts w:ascii="Times New Roman" w:hAnsi="Times New Roman" w:cs="Times New Roman"/>
          <w:noProof/>
          <w:sz w:val="24"/>
          <w:szCs w:val="24"/>
        </w:rPr>
      </w:pPr>
      <w:r>
        <w:rPr>
          <w:rFonts w:ascii="Times New Roman" w:hAnsi="Times New Roman"/>
          <w:noProof/>
          <w:sz w:val="24"/>
        </w:rPr>
        <w:t>Rozporządzenie dostosowuje prawodawstwo UE dotyczące napojów spirytusowych do Traktatu</w:t>
      </w:r>
      <w:r w:rsidR="00324660">
        <w:rPr>
          <w:rFonts w:ascii="Times New Roman" w:hAnsi="Times New Roman"/>
          <w:noProof/>
          <w:sz w:val="24"/>
        </w:rPr>
        <w:t xml:space="preserve"> o fun</w:t>
      </w:r>
      <w:r>
        <w:rPr>
          <w:rFonts w:ascii="Times New Roman" w:hAnsi="Times New Roman"/>
          <w:noProof/>
          <w:sz w:val="24"/>
        </w:rPr>
        <w:t>kcjonowaniu Unii Europejskiej (TFUE)</w:t>
      </w:r>
      <w:r w:rsidR="00324660">
        <w:rPr>
          <w:rFonts w:ascii="Times New Roman" w:hAnsi="Times New Roman"/>
          <w:noProof/>
          <w:sz w:val="24"/>
        </w:rPr>
        <w:t xml:space="preserve"> w zak</w:t>
      </w:r>
      <w:r>
        <w:rPr>
          <w:rFonts w:ascii="Times New Roman" w:hAnsi="Times New Roman"/>
          <w:noProof/>
          <w:sz w:val="24"/>
        </w:rPr>
        <w:t>resie przepisów, które mają zostać przyjęte przez Komisję (akty delegowane</w:t>
      </w:r>
      <w:r w:rsidR="00324660">
        <w:rPr>
          <w:rFonts w:ascii="Times New Roman" w:hAnsi="Times New Roman"/>
          <w:noProof/>
          <w:sz w:val="24"/>
        </w:rPr>
        <w:t xml:space="preserve"> i wyk</w:t>
      </w:r>
      <w:r>
        <w:rPr>
          <w:rFonts w:ascii="Times New Roman" w:hAnsi="Times New Roman"/>
          <w:noProof/>
          <w:sz w:val="24"/>
        </w:rPr>
        <w:t xml:space="preserve">onawcze). </w:t>
      </w:r>
    </w:p>
    <w:p w14:paraId="281F2D1B" w14:textId="20924588" w:rsidR="00AD2419" w:rsidRDefault="00766E2D" w:rsidP="00766E2D">
      <w:pPr>
        <w:pStyle w:val="Bodytext10"/>
        <w:ind w:left="580"/>
        <w:jc w:val="both"/>
        <w:rPr>
          <w:rFonts w:ascii="Times New Roman" w:hAnsi="Times New Roman" w:cs="Times New Roman"/>
          <w:noProof/>
          <w:sz w:val="24"/>
          <w:szCs w:val="24"/>
        </w:rPr>
      </w:pPr>
      <w:r>
        <w:rPr>
          <w:rFonts w:ascii="Times New Roman" w:hAnsi="Times New Roman"/>
          <w:noProof/>
          <w:sz w:val="24"/>
        </w:rPr>
        <w:t>Oprócz dostosowania do TFUE rozporządzenie poprawia</w:t>
      </w:r>
      <w:r w:rsidR="00324660">
        <w:rPr>
          <w:rFonts w:ascii="Times New Roman" w:hAnsi="Times New Roman"/>
          <w:noProof/>
          <w:sz w:val="24"/>
        </w:rPr>
        <w:t xml:space="preserve"> i akt</w:t>
      </w:r>
      <w:r>
        <w:rPr>
          <w:rFonts w:ascii="Times New Roman" w:hAnsi="Times New Roman"/>
          <w:noProof/>
          <w:sz w:val="24"/>
        </w:rPr>
        <w:t>ualizuje ramy ochrony oznaczeń geograficznych napojów spirytusowych, wcześniej uregulowane rozporządzeniem Parlamentu Europejskiego</w:t>
      </w:r>
      <w:r w:rsidR="00324660">
        <w:rPr>
          <w:rFonts w:ascii="Times New Roman" w:hAnsi="Times New Roman"/>
          <w:noProof/>
          <w:sz w:val="24"/>
        </w:rPr>
        <w:t xml:space="preserve"> i Rad</w:t>
      </w:r>
      <w:r>
        <w:rPr>
          <w:rFonts w:ascii="Times New Roman" w:hAnsi="Times New Roman"/>
          <w:noProof/>
          <w:sz w:val="24"/>
        </w:rPr>
        <w:t xml:space="preserve">y (WE) </w:t>
      </w:r>
      <w:r w:rsidRPr="00324660">
        <w:rPr>
          <w:rFonts w:ascii="Times New Roman" w:hAnsi="Times New Roman"/>
          <w:noProof/>
          <w:sz w:val="24"/>
        </w:rPr>
        <w:t>nr</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10/2008</w:t>
      </w:r>
      <w:r>
        <w:rPr>
          <w:rStyle w:val="FootnoteReference"/>
          <w:rFonts w:ascii="Times New Roman" w:hAnsi="Times New Roman" w:cs="Times New Roman"/>
          <w:noProof/>
          <w:sz w:val="24"/>
          <w:szCs w:val="24"/>
          <w:lang w:bidi="en-US"/>
        </w:rPr>
        <w:footnoteReference w:id="2"/>
      </w:r>
      <w:r w:rsidR="00324660">
        <w:rPr>
          <w:rFonts w:ascii="Times New Roman" w:hAnsi="Times New Roman"/>
          <w:noProof/>
          <w:sz w:val="24"/>
        </w:rPr>
        <w:t xml:space="preserve"> z dni</w:t>
      </w:r>
      <w:r>
        <w:rPr>
          <w:rFonts w:ascii="Times New Roman" w:hAnsi="Times New Roman"/>
          <w:noProof/>
          <w:sz w:val="24"/>
        </w:rPr>
        <w:t>a 15 stycznia 20</w:t>
      </w:r>
      <w:r w:rsidRPr="00324660">
        <w:rPr>
          <w:rFonts w:ascii="Times New Roman" w:hAnsi="Times New Roman"/>
          <w:noProof/>
          <w:sz w:val="24"/>
        </w:rPr>
        <w:t>08</w:t>
      </w:r>
      <w:r w:rsidR="00324660" w:rsidRPr="00324660">
        <w:rPr>
          <w:rFonts w:ascii="Times New Roman" w:hAnsi="Times New Roman"/>
          <w:noProof/>
          <w:sz w:val="24"/>
        </w:rPr>
        <w:t> </w:t>
      </w:r>
      <w:r w:rsidRPr="00324660">
        <w:rPr>
          <w:rFonts w:ascii="Times New Roman" w:hAnsi="Times New Roman"/>
          <w:noProof/>
          <w:sz w:val="24"/>
        </w:rPr>
        <w:t>r.</w:t>
      </w:r>
      <w:r w:rsidR="00324660">
        <w:rPr>
          <w:rFonts w:ascii="Times New Roman" w:hAnsi="Times New Roman"/>
          <w:noProof/>
          <w:sz w:val="24"/>
        </w:rPr>
        <w:t xml:space="preserve"> w spr</w:t>
      </w:r>
      <w:r>
        <w:rPr>
          <w:rFonts w:ascii="Times New Roman" w:hAnsi="Times New Roman"/>
          <w:noProof/>
          <w:sz w:val="24"/>
        </w:rPr>
        <w:t>awie definicji, opisu, prezentacji, etykietowania</w:t>
      </w:r>
      <w:r w:rsidR="00324660">
        <w:rPr>
          <w:rFonts w:ascii="Times New Roman" w:hAnsi="Times New Roman"/>
          <w:noProof/>
          <w:sz w:val="24"/>
        </w:rPr>
        <w:t xml:space="preserve"> i och</w:t>
      </w:r>
      <w:r>
        <w:rPr>
          <w:rFonts w:ascii="Times New Roman" w:hAnsi="Times New Roman"/>
          <w:noProof/>
          <w:sz w:val="24"/>
        </w:rPr>
        <w:t xml:space="preserve">rony oznaczeń geograficznych napojów spirytusowych oraz uchylającym rozporządzenie Rady (EWG) </w:t>
      </w:r>
      <w:r w:rsidRPr="00324660">
        <w:rPr>
          <w:rFonts w:ascii="Times New Roman" w:hAnsi="Times New Roman"/>
          <w:noProof/>
          <w:sz w:val="24"/>
        </w:rPr>
        <w:t>nr</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576/89. Obowiązujące przepisy dotyczące ochrony, procedur rejestracji, zmiany</w:t>
      </w:r>
      <w:r w:rsidR="00324660">
        <w:rPr>
          <w:rFonts w:ascii="Times New Roman" w:hAnsi="Times New Roman"/>
          <w:noProof/>
          <w:sz w:val="24"/>
        </w:rPr>
        <w:t xml:space="preserve"> i cof</w:t>
      </w:r>
      <w:r>
        <w:rPr>
          <w:rFonts w:ascii="Times New Roman" w:hAnsi="Times New Roman"/>
          <w:noProof/>
          <w:sz w:val="24"/>
        </w:rPr>
        <w:t>nięcia rejestracji oznaczeń geograficznych</w:t>
      </w:r>
      <w:r w:rsidR="00324660">
        <w:rPr>
          <w:rFonts w:ascii="Times New Roman" w:hAnsi="Times New Roman"/>
          <w:noProof/>
          <w:sz w:val="24"/>
        </w:rPr>
        <w:t xml:space="preserve"> w sek</w:t>
      </w:r>
      <w:r>
        <w:rPr>
          <w:rFonts w:ascii="Times New Roman" w:hAnsi="Times New Roman"/>
          <w:noProof/>
          <w:sz w:val="24"/>
        </w:rPr>
        <w:t>torze napojów spirytusowych,</w:t>
      </w:r>
      <w:r w:rsidR="00324660">
        <w:rPr>
          <w:rFonts w:ascii="Times New Roman" w:hAnsi="Times New Roman"/>
          <w:noProof/>
          <w:sz w:val="24"/>
        </w:rPr>
        <w:t xml:space="preserve"> a tak</w:t>
      </w:r>
      <w:r>
        <w:rPr>
          <w:rFonts w:ascii="Times New Roman" w:hAnsi="Times New Roman"/>
          <w:noProof/>
          <w:sz w:val="24"/>
        </w:rPr>
        <w:t>że przepisy dotyczące rejestru, zostają zastąpione nowymi przepisami</w:t>
      </w:r>
      <w:r w:rsidR="00324660">
        <w:rPr>
          <w:rFonts w:ascii="Times New Roman" w:hAnsi="Times New Roman"/>
          <w:noProof/>
          <w:sz w:val="24"/>
        </w:rPr>
        <w:t xml:space="preserve"> i pro</w:t>
      </w:r>
      <w:r>
        <w:rPr>
          <w:rFonts w:ascii="Times New Roman" w:hAnsi="Times New Roman"/>
          <w:noProof/>
          <w:sz w:val="24"/>
        </w:rPr>
        <w:t>cedurami opierającymi się na bardziej wyczerpujących</w:t>
      </w:r>
      <w:r w:rsidR="00324660">
        <w:rPr>
          <w:rFonts w:ascii="Times New Roman" w:hAnsi="Times New Roman"/>
          <w:noProof/>
          <w:sz w:val="24"/>
        </w:rPr>
        <w:t xml:space="preserve"> i dob</w:t>
      </w:r>
      <w:r>
        <w:rPr>
          <w:rFonts w:ascii="Times New Roman" w:hAnsi="Times New Roman"/>
          <w:noProof/>
          <w:sz w:val="24"/>
        </w:rPr>
        <w:t>rze przetestowanych procedurach dotyczących produktów rolnych</w:t>
      </w:r>
      <w:r w:rsidR="00324660">
        <w:rPr>
          <w:rFonts w:ascii="Times New Roman" w:hAnsi="Times New Roman"/>
          <w:noProof/>
          <w:sz w:val="24"/>
        </w:rPr>
        <w:t xml:space="preserve"> i śro</w:t>
      </w:r>
      <w:r>
        <w:rPr>
          <w:rFonts w:ascii="Times New Roman" w:hAnsi="Times New Roman"/>
          <w:noProof/>
          <w:sz w:val="24"/>
        </w:rPr>
        <w:t xml:space="preserve">dków spożywczych. </w:t>
      </w:r>
    </w:p>
    <w:p w14:paraId="55B4793F" w14:textId="31163D2E" w:rsidR="003A5CC5" w:rsidRDefault="004D29D4" w:rsidP="003A5CC5">
      <w:pPr>
        <w:pStyle w:val="Bodytext10"/>
        <w:ind w:left="580"/>
        <w:jc w:val="both"/>
        <w:rPr>
          <w:rStyle w:val="Bodytext1"/>
          <w:rFonts w:ascii="Times New Roman" w:hAnsi="Times New Roman" w:cs="Times New Roman"/>
          <w:noProof/>
          <w:sz w:val="24"/>
          <w:szCs w:val="24"/>
        </w:rPr>
      </w:pPr>
      <w:r>
        <w:rPr>
          <w:rStyle w:val="Bodytext1"/>
          <w:rFonts w:ascii="Times New Roman" w:hAnsi="Times New Roman"/>
          <w:noProof/>
          <w:sz w:val="24"/>
        </w:rPr>
        <w:t>Rozporządzenie (UE) 2019/787 upoważnia Komisję do przyjmowania aktów delegowanych uzupełniających lub zmieniających niektóre</w:t>
      </w:r>
      <w:r w:rsidR="00324660">
        <w:rPr>
          <w:rStyle w:val="Bodytext1"/>
          <w:rFonts w:ascii="Times New Roman" w:hAnsi="Times New Roman"/>
          <w:noProof/>
          <w:sz w:val="24"/>
        </w:rPr>
        <w:t xml:space="preserve"> z tyc</w:t>
      </w:r>
      <w:r>
        <w:rPr>
          <w:rStyle w:val="Bodytext1"/>
          <w:rFonts w:ascii="Times New Roman" w:hAnsi="Times New Roman"/>
          <w:noProof/>
          <w:sz w:val="24"/>
        </w:rPr>
        <w:t>h przepisów oraz,</w:t>
      </w:r>
      <w:r w:rsidR="00324660">
        <w:rPr>
          <w:rStyle w:val="Bodytext1"/>
          <w:rFonts w:ascii="Times New Roman" w:hAnsi="Times New Roman"/>
          <w:noProof/>
          <w:sz w:val="24"/>
        </w:rPr>
        <w:t xml:space="preserve"> w odn</w:t>
      </w:r>
      <w:r>
        <w:rPr>
          <w:rStyle w:val="Bodytext1"/>
          <w:rFonts w:ascii="Times New Roman" w:hAnsi="Times New Roman"/>
          <w:noProof/>
          <w:sz w:val="24"/>
        </w:rPr>
        <w:t>iesieniu do niektórych aktów, nakłada na Komisję obowiązek informowania współprawodawców</w:t>
      </w:r>
      <w:r w:rsidR="00324660">
        <w:rPr>
          <w:rStyle w:val="Bodytext1"/>
          <w:rFonts w:ascii="Times New Roman" w:hAnsi="Times New Roman"/>
          <w:noProof/>
          <w:sz w:val="24"/>
        </w:rPr>
        <w:t xml:space="preserve"> o wyk</w:t>
      </w:r>
      <w:r>
        <w:rPr>
          <w:rStyle w:val="Bodytext1"/>
          <w:rFonts w:ascii="Times New Roman" w:hAnsi="Times New Roman"/>
          <w:noProof/>
          <w:sz w:val="24"/>
        </w:rPr>
        <w:t>onaniu przewidzianych</w:t>
      </w:r>
      <w:r w:rsidR="00324660">
        <w:rPr>
          <w:rStyle w:val="Bodytext1"/>
          <w:rFonts w:ascii="Times New Roman" w:hAnsi="Times New Roman"/>
          <w:noProof/>
          <w:sz w:val="24"/>
        </w:rPr>
        <w:t xml:space="preserve"> w nic</w:t>
      </w:r>
      <w:r>
        <w:rPr>
          <w:rStyle w:val="Bodytext1"/>
          <w:rFonts w:ascii="Times New Roman" w:hAnsi="Times New Roman"/>
          <w:noProof/>
          <w:sz w:val="24"/>
        </w:rPr>
        <w:t>h przekazanych uprawnień.</w:t>
      </w:r>
    </w:p>
    <w:p w14:paraId="4D22B018" w14:textId="0D85AFB5" w:rsidR="004A6981" w:rsidRDefault="00E20F34" w:rsidP="002B20C5">
      <w:pPr>
        <w:pStyle w:val="Bodytext10"/>
        <w:ind w:left="580"/>
        <w:jc w:val="both"/>
        <w:rPr>
          <w:rStyle w:val="Bodytext1"/>
          <w:rFonts w:ascii="Times New Roman" w:hAnsi="Times New Roman" w:cs="Times New Roman"/>
          <w:noProof/>
          <w:sz w:val="24"/>
          <w:szCs w:val="24"/>
        </w:rPr>
      </w:pPr>
      <w:r>
        <w:rPr>
          <w:rFonts w:ascii="Times New Roman" w:hAnsi="Times New Roman"/>
          <w:noProof/>
          <w:sz w:val="24"/>
        </w:rPr>
        <w:t>W szczególności, zgodnie</w:t>
      </w:r>
      <w:r w:rsidR="00324660">
        <w:rPr>
          <w:rFonts w:ascii="Times New Roman" w:hAnsi="Times New Roman"/>
          <w:noProof/>
          <w:sz w:val="24"/>
        </w:rPr>
        <w:t xml:space="preserve"> z </w:t>
      </w:r>
      <w:r w:rsidR="00324660" w:rsidRPr="00324660">
        <w:rPr>
          <w:rFonts w:ascii="Times New Roman" w:hAnsi="Times New Roman"/>
          <w:noProof/>
          <w:sz w:val="24"/>
        </w:rPr>
        <w:t>art</w:t>
      </w:r>
      <w:r w:rsidRPr="00324660">
        <w:rPr>
          <w:rFonts w:ascii="Times New Roman" w:hAnsi="Times New Roman"/>
          <w:noProof/>
          <w:sz w:val="24"/>
        </w:rPr>
        <w: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6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 rozporządzenia (UE) 2019/787, Komisji powierza się</w:t>
      </w:r>
      <w:r>
        <w:rPr>
          <w:rStyle w:val="Bodytext1"/>
          <w:rFonts w:ascii="Times New Roman" w:hAnsi="Times New Roman"/>
          <w:noProof/>
          <w:sz w:val="24"/>
        </w:rPr>
        <w:t xml:space="preserve"> na okres pięciu lat, począwszy od dnia 24 maja 2019 r.</w:t>
      </w:r>
      <w:r>
        <w:rPr>
          <w:rFonts w:ascii="Times New Roman" w:hAnsi="Times New Roman"/>
          <w:noProof/>
          <w:sz w:val="24"/>
        </w:rPr>
        <w:t>, uprawnienia do przyjmowania aktów delegowanych dotyczących następujących kwestii:</w:t>
      </w:r>
      <w:r>
        <w:rPr>
          <w:rStyle w:val="Bodytext1"/>
          <w:rFonts w:ascii="Times New Roman" w:hAnsi="Times New Roman"/>
          <w:noProof/>
          <w:sz w:val="24"/>
        </w:rPr>
        <w:t xml:space="preserve"> </w:t>
      </w:r>
    </w:p>
    <w:p w14:paraId="64BDD584" w14:textId="13E13F02" w:rsidR="00C15B67" w:rsidRDefault="002B20C5" w:rsidP="00A42F52">
      <w:pPr>
        <w:pStyle w:val="ListParagraph"/>
        <w:numPr>
          <w:ilvl w:val="0"/>
          <w:numId w:val="10"/>
        </w:numPr>
        <w:ind w:left="993"/>
        <w:jc w:val="both"/>
        <w:rPr>
          <w:rStyle w:val="Bodytext1"/>
          <w:rFonts w:ascii="Times New Roman" w:hAnsi="Times New Roman" w:cs="Times New Roman"/>
          <w:noProof/>
          <w:sz w:val="24"/>
          <w:szCs w:val="24"/>
        </w:rPr>
      </w:pPr>
      <w:r>
        <w:rPr>
          <w:rStyle w:val="Bodytext1"/>
          <w:rFonts w:ascii="Times New Roman" w:hAnsi="Times New Roman"/>
          <w:noProof/>
          <w:sz w:val="24"/>
        </w:rPr>
        <w:t xml:space="preserve">w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3</w:t>
      </w:r>
      <w:r>
        <w:rPr>
          <w:rStyle w:val="Bodytext1"/>
          <w:rFonts w:ascii="Times New Roman" w:hAnsi="Times New Roman"/>
          <w:noProof/>
          <w:sz w:val="24"/>
        </w:rPr>
        <w:t xml:space="preserve">3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Pr>
          <w:rStyle w:val="Bodytext1"/>
          <w:rFonts w:ascii="Times New Roman" w:hAnsi="Times New Roman"/>
          <w:noProof/>
          <w:sz w:val="24"/>
        </w:rPr>
        <w:t>: Ustanowienie powszechnie dostępnego elektronicznego rejestru oznaczeń geograficznych napojów spirytusowych uznanych</w:t>
      </w:r>
      <w:r w:rsidR="00324660">
        <w:rPr>
          <w:rStyle w:val="Bodytext1"/>
          <w:rFonts w:ascii="Times New Roman" w:hAnsi="Times New Roman"/>
          <w:noProof/>
          <w:sz w:val="24"/>
        </w:rPr>
        <w:t xml:space="preserve"> w ram</w:t>
      </w:r>
      <w:r>
        <w:rPr>
          <w:rStyle w:val="Bodytext1"/>
          <w:rFonts w:ascii="Times New Roman" w:hAnsi="Times New Roman"/>
          <w:noProof/>
          <w:sz w:val="24"/>
        </w:rPr>
        <w:t>ach niniejszego systemu (zwanego dalej „rejestrem”);</w:t>
      </w:r>
    </w:p>
    <w:p w14:paraId="7C75FD7A" w14:textId="77777777" w:rsidR="00C15B67" w:rsidRDefault="00C15B67" w:rsidP="00C15B67">
      <w:pPr>
        <w:pStyle w:val="ListParagraph"/>
        <w:ind w:left="993"/>
        <w:jc w:val="both"/>
        <w:rPr>
          <w:rStyle w:val="Bodytext1"/>
          <w:rFonts w:ascii="Times New Roman" w:hAnsi="Times New Roman" w:cs="Times New Roman"/>
          <w:noProof/>
          <w:sz w:val="24"/>
          <w:szCs w:val="24"/>
        </w:rPr>
      </w:pPr>
    </w:p>
    <w:p w14:paraId="4E28C1E1" w14:textId="3BB82FD6" w:rsidR="00C07284" w:rsidRDefault="00C15B67" w:rsidP="00A42F52">
      <w:pPr>
        <w:pStyle w:val="ListParagraph"/>
        <w:numPr>
          <w:ilvl w:val="0"/>
          <w:numId w:val="10"/>
        </w:numPr>
        <w:ind w:left="993"/>
        <w:jc w:val="both"/>
        <w:rPr>
          <w:rStyle w:val="Bodytext1"/>
          <w:rFonts w:ascii="Times New Roman" w:hAnsi="Times New Roman" w:cs="Times New Roman"/>
          <w:noProof/>
          <w:sz w:val="24"/>
          <w:szCs w:val="24"/>
        </w:rPr>
      </w:pPr>
      <w:r>
        <w:rPr>
          <w:rStyle w:val="Bodytext1"/>
          <w:rFonts w:ascii="Times New Roman" w:hAnsi="Times New Roman"/>
          <w:noProof/>
          <w:sz w:val="24"/>
        </w:rPr>
        <w:t xml:space="preserve">w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3</w:t>
      </w:r>
      <w:r>
        <w:rPr>
          <w:rStyle w:val="Bodytext1"/>
          <w:rFonts w:ascii="Times New Roman" w:hAnsi="Times New Roman"/>
          <w:noProof/>
          <w:sz w:val="24"/>
        </w:rPr>
        <w:t xml:space="preserve">3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2</w:t>
      </w:r>
      <w:r>
        <w:rPr>
          <w:rStyle w:val="Bodytext1"/>
          <w:rFonts w:ascii="Times New Roman" w:hAnsi="Times New Roman"/>
          <w:noProof/>
          <w:sz w:val="24"/>
        </w:rPr>
        <w:t xml:space="preserve"> akapit czwarty: ustanowienie dodatkowych szczegółowych przepisów dotyczących formy</w:t>
      </w:r>
      <w:r w:rsidR="00324660">
        <w:rPr>
          <w:rStyle w:val="Bodytext1"/>
          <w:rFonts w:ascii="Times New Roman" w:hAnsi="Times New Roman"/>
          <w:noProof/>
          <w:sz w:val="24"/>
        </w:rPr>
        <w:t xml:space="preserve"> i tre</w:t>
      </w:r>
      <w:r>
        <w:rPr>
          <w:rStyle w:val="Bodytext1"/>
          <w:rFonts w:ascii="Times New Roman" w:hAnsi="Times New Roman"/>
          <w:noProof/>
          <w:sz w:val="24"/>
        </w:rPr>
        <w:t>ści rejestru oznaczeń geograficznych napojów spirytusowych;</w:t>
      </w:r>
    </w:p>
    <w:p w14:paraId="54A4F070" w14:textId="751EE8C5" w:rsidR="00C15B67" w:rsidRPr="00C15B67" w:rsidRDefault="002B20C5" w:rsidP="005643A6">
      <w:pPr>
        <w:pStyle w:val="Bodytext10"/>
        <w:numPr>
          <w:ilvl w:val="0"/>
          <w:numId w:val="10"/>
        </w:numPr>
        <w:ind w:left="993"/>
        <w:jc w:val="both"/>
        <w:rPr>
          <w:rStyle w:val="Bodytext1"/>
          <w:rFonts w:ascii="Times New Roman" w:hAnsi="Times New Roman" w:cs="Times New Roman"/>
          <w:noProof/>
          <w:kern w:val="0"/>
          <w:sz w:val="24"/>
          <w:szCs w:val="24"/>
          <w14:ligatures w14:val="none"/>
        </w:rPr>
      </w:pPr>
      <w:r>
        <w:rPr>
          <w:rStyle w:val="Bodytext1"/>
          <w:rFonts w:ascii="Times New Roman" w:hAnsi="Times New Roman"/>
          <w:noProof/>
          <w:sz w:val="24"/>
        </w:rPr>
        <w:t xml:space="preserve">w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4</w:t>
      </w:r>
      <w:r>
        <w:rPr>
          <w:rStyle w:val="Bodytext1"/>
          <w:rFonts w:ascii="Times New Roman" w:hAnsi="Times New Roman"/>
          <w:noProof/>
          <w:sz w:val="24"/>
        </w:rPr>
        <w:t xml:space="preserve">1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Pr>
          <w:rStyle w:val="Bodytext1"/>
          <w:rFonts w:ascii="Times New Roman" w:hAnsi="Times New Roman"/>
          <w:noProof/>
          <w:sz w:val="24"/>
        </w:rPr>
        <w:t xml:space="preserve"> </w:t>
      </w:r>
      <w:r w:rsidRPr="00324660">
        <w:rPr>
          <w:rStyle w:val="Bodytext1"/>
          <w:rFonts w:ascii="Times New Roman" w:hAnsi="Times New Roman"/>
          <w:noProof/>
          <w:sz w:val="24"/>
        </w:rPr>
        <w:t>lit.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a)</w:t>
      </w:r>
      <w:r>
        <w:rPr>
          <w:rStyle w:val="Bodytext1"/>
          <w:rFonts w:ascii="Times New Roman" w:hAnsi="Times New Roman"/>
          <w:noProof/>
          <w:sz w:val="24"/>
        </w:rPr>
        <w:t>: określenie dalszych warunków, jakie należy spełnić</w:t>
      </w:r>
      <w:r w:rsidR="00324660">
        <w:rPr>
          <w:rStyle w:val="Bodytext1"/>
          <w:rFonts w:ascii="Times New Roman" w:hAnsi="Times New Roman"/>
          <w:noProof/>
          <w:sz w:val="24"/>
        </w:rPr>
        <w:t xml:space="preserve"> w odn</w:t>
      </w:r>
      <w:r>
        <w:rPr>
          <w:rStyle w:val="Bodytext1"/>
          <w:rFonts w:ascii="Times New Roman" w:hAnsi="Times New Roman"/>
          <w:noProof/>
          <w:sz w:val="24"/>
        </w:rPr>
        <w:t>iesieniu do wniosków</w:t>
      </w:r>
      <w:r w:rsidR="00324660">
        <w:rPr>
          <w:rStyle w:val="Bodytext1"/>
          <w:rFonts w:ascii="Times New Roman" w:hAnsi="Times New Roman"/>
          <w:noProof/>
          <w:sz w:val="24"/>
        </w:rPr>
        <w:t xml:space="preserve"> o rej</w:t>
      </w:r>
      <w:r>
        <w:rPr>
          <w:rStyle w:val="Bodytext1"/>
          <w:rFonts w:ascii="Times New Roman" w:hAnsi="Times New Roman"/>
          <w:noProof/>
          <w:sz w:val="24"/>
        </w:rPr>
        <w:t>estrację oznaczenia geograficznego,</w:t>
      </w:r>
      <w:r w:rsidR="00324660">
        <w:rPr>
          <w:rStyle w:val="Bodytext1"/>
          <w:rFonts w:ascii="Times New Roman" w:hAnsi="Times New Roman"/>
          <w:noProof/>
          <w:sz w:val="24"/>
        </w:rPr>
        <w:t xml:space="preserve"> o któ</w:t>
      </w:r>
      <w:r>
        <w:rPr>
          <w:rStyle w:val="Bodytext1"/>
          <w:rFonts w:ascii="Times New Roman" w:hAnsi="Times New Roman"/>
          <w:noProof/>
          <w:sz w:val="24"/>
        </w:rPr>
        <w:t>rych mowa</w:t>
      </w:r>
      <w:r w:rsidR="00324660">
        <w:rPr>
          <w:rStyle w:val="Bodytext1"/>
          <w:rFonts w:ascii="Times New Roman" w:hAnsi="Times New Roman"/>
          <w:noProof/>
          <w:sz w:val="24"/>
        </w:rPr>
        <w:t xml:space="preserve"> w </w:t>
      </w:r>
      <w:r w:rsidR="00324660" w:rsidRPr="00324660">
        <w:rPr>
          <w:rStyle w:val="Bodytext1"/>
          <w:rFonts w:ascii="Times New Roman" w:hAnsi="Times New Roman"/>
          <w:noProof/>
          <w:sz w:val="24"/>
        </w:rPr>
        <w:t>art</w:t>
      </w:r>
      <w:r w:rsidRPr="00324660">
        <w:rPr>
          <w:rStyle w:val="Bodytext1"/>
          <w:rFonts w:ascii="Times New Roman" w:hAnsi="Times New Roman"/>
          <w:noProof/>
          <w:sz w:val="24"/>
        </w:rPr>
        <w: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2</w:t>
      </w:r>
      <w:r>
        <w:rPr>
          <w:rStyle w:val="Bodytext1"/>
          <w:rFonts w:ascii="Times New Roman" w:hAnsi="Times New Roman"/>
          <w:noProof/>
          <w:sz w:val="24"/>
        </w:rPr>
        <w:t>3</w:t>
      </w:r>
      <w:r w:rsidR="00324660">
        <w:rPr>
          <w:rStyle w:val="Bodytext1"/>
          <w:rFonts w:ascii="Times New Roman" w:hAnsi="Times New Roman"/>
          <w:noProof/>
          <w:sz w:val="24"/>
        </w:rPr>
        <w:t xml:space="preserve"> i 2</w:t>
      </w:r>
      <w:r>
        <w:rPr>
          <w:rStyle w:val="Bodytext1"/>
          <w:rFonts w:ascii="Times New Roman" w:hAnsi="Times New Roman"/>
          <w:noProof/>
          <w:sz w:val="24"/>
        </w:rPr>
        <w:t>4 tego rozporządzenia; również</w:t>
      </w:r>
      <w:r w:rsidR="00324660">
        <w:rPr>
          <w:rStyle w:val="Bodytext1"/>
          <w:rFonts w:ascii="Times New Roman" w:hAnsi="Times New Roman"/>
          <w:noProof/>
          <w:sz w:val="24"/>
        </w:rPr>
        <w:t xml:space="preserve"> w prz</w:t>
      </w:r>
      <w:r>
        <w:rPr>
          <w:rStyle w:val="Bodytext1"/>
          <w:rFonts w:ascii="Times New Roman" w:hAnsi="Times New Roman"/>
          <w:noProof/>
          <w:sz w:val="24"/>
        </w:rPr>
        <w:t xml:space="preserve">ypadkach, gdy obszar geograficzny obejmuje więcej niż jedno państwo; </w:t>
      </w:r>
    </w:p>
    <w:p w14:paraId="76B51877" w14:textId="79429824" w:rsidR="00C15B67" w:rsidRPr="00324660" w:rsidRDefault="002B20C5" w:rsidP="008D5D1C">
      <w:pPr>
        <w:pStyle w:val="Bodytext10"/>
        <w:numPr>
          <w:ilvl w:val="0"/>
          <w:numId w:val="10"/>
        </w:numPr>
        <w:ind w:left="993"/>
        <w:jc w:val="both"/>
        <w:rPr>
          <w:rStyle w:val="Bodytext1"/>
          <w:rFonts w:ascii="Times New Roman" w:hAnsi="Times New Roman" w:cs="Times New Roman"/>
          <w:noProof/>
          <w:sz w:val="24"/>
          <w:szCs w:val="24"/>
        </w:rPr>
      </w:pPr>
      <w:r>
        <w:rPr>
          <w:rStyle w:val="Bodytext1"/>
          <w:rFonts w:ascii="Times New Roman" w:hAnsi="Times New Roman"/>
          <w:noProof/>
          <w:sz w:val="24"/>
        </w:rPr>
        <w:t xml:space="preserve">w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4</w:t>
      </w:r>
      <w:r>
        <w:rPr>
          <w:rStyle w:val="Bodytext1"/>
          <w:rFonts w:ascii="Times New Roman" w:hAnsi="Times New Roman"/>
          <w:noProof/>
          <w:sz w:val="24"/>
        </w:rPr>
        <w:t xml:space="preserve">1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Pr>
          <w:rStyle w:val="Bodytext1"/>
          <w:rFonts w:ascii="Times New Roman" w:hAnsi="Times New Roman"/>
          <w:noProof/>
          <w:sz w:val="24"/>
        </w:rPr>
        <w:t xml:space="preserve"> </w:t>
      </w:r>
      <w:r w:rsidRPr="00324660">
        <w:rPr>
          <w:rStyle w:val="Bodytext1"/>
          <w:rFonts w:ascii="Times New Roman" w:hAnsi="Times New Roman"/>
          <w:noProof/>
          <w:sz w:val="24"/>
        </w:rPr>
        <w:t>lit.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b)</w:t>
      </w:r>
      <w:r>
        <w:rPr>
          <w:rStyle w:val="Bodytext1"/>
          <w:rFonts w:ascii="Times New Roman" w:hAnsi="Times New Roman"/>
          <w:noProof/>
          <w:sz w:val="24"/>
        </w:rPr>
        <w:t>:</w:t>
      </w:r>
      <w:r>
        <w:rPr>
          <w:noProof/>
        </w:rPr>
        <w:t xml:space="preserve"> </w:t>
      </w:r>
      <w:r>
        <w:rPr>
          <w:rStyle w:val="Bodytext1"/>
          <w:rFonts w:ascii="Times New Roman" w:hAnsi="Times New Roman"/>
          <w:noProof/>
          <w:sz w:val="24"/>
        </w:rPr>
        <w:t>określenie dalszych warunków, jakie należy spełnić</w:t>
      </w:r>
      <w:r w:rsidR="00324660">
        <w:rPr>
          <w:rStyle w:val="Bodytext1"/>
          <w:rFonts w:ascii="Times New Roman" w:hAnsi="Times New Roman"/>
          <w:noProof/>
          <w:sz w:val="24"/>
        </w:rPr>
        <w:t xml:space="preserve"> w odn</w:t>
      </w:r>
      <w:r>
        <w:rPr>
          <w:rStyle w:val="Bodytext1"/>
          <w:rFonts w:ascii="Times New Roman" w:hAnsi="Times New Roman"/>
          <w:noProof/>
          <w:sz w:val="24"/>
        </w:rPr>
        <w:t>iesieniu do wstępnych procedur krajowych,</w:t>
      </w:r>
      <w:r w:rsidR="00324660">
        <w:rPr>
          <w:rStyle w:val="Bodytext1"/>
          <w:rFonts w:ascii="Times New Roman" w:hAnsi="Times New Roman"/>
          <w:noProof/>
          <w:sz w:val="24"/>
        </w:rPr>
        <w:t xml:space="preserve"> o któ</w:t>
      </w:r>
      <w:r>
        <w:rPr>
          <w:rStyle w:val="Bodytext1"/>
          <w:rFonts w:ascii="Times New Roman" w:hAnsi="Times New Roman"/>
          <w:noProof/>
          <w:sz w:val="24"/>
        </w:rPr>
        <w:t>rych mowa</w:t>
      </w:r>
      <w:r w:rsidR="00324660">
        <w:rPr>
          <w:rStyle w:val="Bodytext1"/>
          <w:rFonts w:ascii="Times New Roman" w:hAnsi="Times New Roman"/>
          <w:noProof/>
          <w:sz w:val="24"/>
        </w:rPr>
        <w:t xml:space="preserve"> w </w:t>
      </w:r>
      <w:r w:rsidR="00324660" w:rsidRPr="00324660">
        <w:rPr>
          <w:rStyle w:val="Bodytext1"/>
          <w:rFonts w:ascii="Times New Roman" w:hAnsi="Times New Roman"/>
          <w:noProof/>
          <w:sz w:val="24"/>
        </w:rPr>
        <w:t>art</w:t>
      </w:r>
      <w:r w:rsidRPr="00324660">
        <w:rPr>
          <w:rStyle w:val="Bodytext1"/>
          <w:rFonts w:ascii="Times New Roman" w:hAnsi="Times New Roman"/>
          <w:noProof/>
          <w:sz w:val="24"/>
        </w:rPr>
        <w: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2</w:t>
      </w:r>
      <w:r>
        <w:rPr>
          <w:rStyle w:val="Bodytext1"/>
          <w:rFonts w:ascii="Times New Roman" w:hAnsi="Times New Roman"/>
          <w:noProof/>
          <w:sz w:val="24"/>
        </w:rPr>
        <w:t>4 tego rozporządzenia, rozpatrywania wniosków przez Komisję, procedury sprzeciwu</w:t>
      </w:r>
      <w:r w:rsidR="00324660">
        <w:rPr>
          <w:rStyle w:val="Bodytext1"/>
          <w:rFonts w:ascii="Times New Roman" w:hAnsi="Times New Roman"/>
          <w:noProof/>
          <w:sz w:val="24"/>
        </w:rPr>
        <w:t xml:space="preserve"> i cof</w:t>
      </w:r>
      <w:r>
        <w:rPr>
          <w:rStyle w:val="Bodytext1"/>
          <w:rFonts w:ascii="Times New Roman" w:hAnsi="Times New Roman"/>
          <w:noProof/>
          <w:sz w:val="24"/>
        </w:rPr>
        <w:t>nięcia rejestracji oznaczeń geograficznych, również</w:t>
      </w:r>
      <w:r w:rsidR="00324660">
        <w:rPr>
          <w:rStyle w:val="Bodytext1"/>
          <w:rFonts w:ascii="Times New Roman" w:hAnsi="Times New Roman"/>
          <w:noProof/>
          <w:sz w:val="24"/>
        </w:rPr>
        <w:t xml:space="preserve"> w prz</w:t>
      </w:r>
      <w:r>
        <w:rPr>
          <w:rStyle w:val="Bodytext1"/>
          <w:rFonts w:ascii="Times New Roman" w:hAnsi="Times New Roman"/>
          <w:noProof/>
          <w:sz w:val="24"/>
        </w:rPr>
        <w:t>ypadkach, gdy obszar geograficzny obejmuje więcej niż jedno państwo;</w:t>
      </w:r>
    </w:p>
    <w:p w14:paraId="331891CB" w14:textId="42E790F2" w:rsidR="00C15B67" w:rsidRDefault="00C15B67" w:rsidP="00743C3D">
      <w:pPr>
        <w:pStyle w:val="Bodytext10"/>
        <w:numPr>
          <w:ilvl w:val="0"/>
          <w:numId w:val="10"/>
        </w:numPr>
        <w:ind w:left="993"/>
        <w:jc w:val="both"/>
        <w:rPr>
          <w:rFonts w:ascii="Times New Roman" w:hAnsi="Times New Roman" w:cs="Times New Roman"/>
          <w:noProof/>
          <w:sz w:val="24"/>
          <w:szCs w:val="24"/>
        </w:rPr>
      </w:pPr>
      <w:r w:rsidRPr="00324660">
        <w:rPr>
          <w:rFonts w:ascii="Times New Roman" w:hAnsi="Times New Roman"/>
          <w:noProof/>
          <w:sz w:val="24"/>
        </w:rPr>
        <w:t>w</w:t>
      </w:r>
      <w:r>
        <w:rPr>
          <w:rFonts w:ascii="Times New Roman" w:hAnsi="Times New Roman"/>
          <w:noProof/>
          <w:sz w:val="24"/>
        </w:rPr>
        <w:t xml:space="preserv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w:t>
      </w:r>
      <w:r>
        <w:rPr>
          <w:noProof/>
        </w:rPr>
        <w:t xml:space="preserve"> </w:t>
      </w:r>
      <w:r>
        <w:rPr>
          <w:rFonts w:ascii="Times New Roman" w:hAnsi="Times New Roman"/>
          <w:noProof/>
          <w:sz w:val="24"/>
        </w:rPr>
        <w:t>ustanowienie warunków</w:t>
      </w:r>
      <w:r w:rsidR="00324660">
        <w:rPr>
          <w:rFonts w:ascii="Times New Roman" w:hAnsi="Times New Roman"/>
          <w:noProof/>
          <w:sz w:val="24"/>
        </w:rPr>
        <w:t xml:space="preserve"> i wym</w:t>
      </w:r>
      <w:r>
        <w:rPr>
          <w:rFonts w:ascii="Times New Roman" w:hAnsi="Times New Roman"/>
          <w:noProof/>
          <w:sz w:val="24"/>
        </w:rPr>
        <w:t>ogów proceduralnych dotyczących zmian na poziomie Unii</w:t>
      </w:r>
      <w:r w:rsidR="00324660">
        <w:rPr>
          <w:rFonts w:ascii="Times New Roman" w:hAnsi="Times New Roman"/>
          <w:noProof/>
          <w:sz w:val="24"/>
        </w:rPr>
        <w:t xml:space="preserve"> i zmi</w:t>
      </w:r>
      <w:r>
        <w:rPr>
          <w:rFonts w:ascii="Times New Roman" w:hAnsi="Times New Roman"/>
          <w:noProof/>
          <w:sz w:val="24"/>
        </w:rPr>
        <w:t>an standardowych,</w:t>
      </w:r>
      <w:r w:rsidR="00324660">
        <w:rPr>
          <w:rFonts w:ascii="Times New Roman" w:hAnsi="Times New Roman"/>
          <w:noProof/>
          <w:sz w:val="24"/>
        </w:rPr>
        <w:t xml:space="preserve"> w tym</w:t>
      </w:r>
      <w:r>
        <w:rPr>
          <w:rFonts w:ascii="Times New Roman" w:hAnsi="Times New Roman"/>
          <w:noProof/>
          <w:sz w:val="24"/>
        </w:rPr>
        <w:t xml:space="preserve"> zmian tymczasowych,</w:t>
      </w:r>
      <w:r w:rsidR="00324660">
        <w:rPr>
          <w:rFonts w:ascii="Times New Roman" w:hAnsi="Times New Roman"/>
          <w:noProof/>
          <w:sz w:val="24"/>
        </w:rPr>
        <w:t xml:space="preserve"> w spe</w:t>
      </w:r>
      <w:r>
        <w:rPr>
          <w:rFonts w:ascii="Times New Roman" w:hAnsi="Times New Roman"/>
          <w:noProof/>
          <w:sz w:val="24"/>
        </w:rPr>
        <w:t>cyfikacji produktu,</w:t>
      </w:r>
      <w:r w:rsidR="00324660">
        <w:rPr>
          <w:rFonts w:ascii="Times New Roman" w:hAnsi="Times New Roman"/>
          <w:noProof/>
          <w:sz w:val="24"/>
        </w:rPr>
        <w:t xml:space="preserve"> o któ</w:t>
      </w:r>
      <w:r>
        <w:rPr>
          <w:rFonts w:ascii="Times New Roman" w:hAnsi="Times New Roman"/>
          <w:noProof/>
          <w:sz w:val="24"/>
        </w:rPr>
        <w:t>rych mowa</w:t>
      </w:r>
      <w:r w:rsidR="00324660">
        <w:rPr>
          <w:rFonts w:ascii="Times New Roman" w:hAnsi="Times New Roman"/>
          <w:noProof/>
          <w:sz w:val="24"/>
        </w:rPr>
        <w:t xml:space="preserve"> w </w:t>
      </w:r>
      <w:r w:rsidR="00324660" w:rsidRPr="00324660">
        <w:rPr>
          <w:rFonts w:ascii="Times New Roman" w:hAnsi="Times New Roman"/>
          <w:noProof/>
          <w:sz w:val="24"/>
        </w:rPr>
        <w:t>art</w:t>
      </w:r>
      <w:r w:rsidRPr="00324660">
        <w:rPr>
          <w:rFonts w:ascii="Times New Roman" w:hAnsi="Times New Roman"/>
          <w:noProof/>
          <w:sz w:val="24"/>
        </w:rPr>
        <w: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1 tego rozporządzenia. </w:t>
      </w:r>
    </w:p>
    <w:p w14:paraId="69B8EE20" w14:textId="6605C58B" w:rsidR="00557BD0" w:rsidRDefault="00557BD0" w:rsidP="00A42F52">
      <w:pPr>
        <w:pStyle w:val="Bodytext10"/>
        <w:ind w:left="567"/>
        <w:jc w:val="both"/>
        <w:rPr>
          <w:rFonts w:ascii="Times New Roman" w:hAnsi="Times New Roman" w:cs="Times New Roman"/>
          <w:noProof/>
          <w:sz w:val="24"/>
          <w:szCs w:val="24"/>
        </w:rPr>
      </w:pPr>
      <w:r>
        <w:rPr>
          <w:rFonts w:ascii="Times New Roman" w:hAnsi="Times New Roman"/>
          <w:noProof/>
          <w:sz w:val="24"/>
        </w:rPr>
        <w:t>Komisja ma obowiązek przyjęcia aktu delegowanego ustanawiającego powszechnie dostępny rejestr elektroniczny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3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do dnia 8 czerwca 20</w:t>
      </w:r>
      <w:r w:rsidRPr="00324660">
        <w:rPr>
          <w:rFonts w:ascii="Times New Roman" w:hAnsi="Times New Roman"/>
          <w:noProof/>
          <w:sz w:val="24"/>
        </w:rPr>
        <w:t>21</w:t>
      </w:r>
      <w:r w:rsidR="00324660" w:rsidRPr="00324660">
        <w:rPr>
          <w:rFonts w:ascii="Times New Roman" w:hAnsi="Times New Roman"/>
          <w:noProof/>
          <w:sz w:val="24"/>
        </w:rPr>
        <w:t> </w:t>
      </w:r>
      <w:r w:rsidRPr="00324660">
        <w:rPr>
          <w:rFonts w:ascii="Times New Roman" w:hAnsi="Times New Roman"/>
          <w:noProof/>
          <w:sz w:val="24"/>
        </w:rPr>
        <w:t>r.</w:t>
      </w:r>
      <w:r>
        <w:rPr>
          <w:rFonts w:ascii="Times New Roman" w:hAnsi="Times New Roman"/>
          <w:noProof/>
          <w:sz w:val="24"/>
        </w:rPr>
        <w:t xml:space="preserve"> </w:t>
      </w:r>
    </w:p>
    <w:p w14:paraId="20902414" w14:textId="2B739726" w:rsidR="00BA607F" w:rsidRDefault="00BA607F" w:rsidP="00A42F52">
      <w:pPr>
        <w:pStyle w:val="Bodytext10"/>
        <w:ind w:left="567"/>
        <w:jc w:val="both"/>
        <w:rPr>
          <w:rFonts w:ascii="Times New Roman" w:hAnsi="Times New Roman" w:cs="Times New Roman"/>
          <w:noProof/>
          <w:sz w:val="24"/>
          <w:szCs w:val="24"/>
        </w:rPr>
      </w:pPr>
      <w:r>
        <w:rPr>
          <w:rFonts w:ascii="Times New Roman" w:hAnsi="Times New Roman"/>
          <w:noProof/>
          <w:sz w:val="24"/>
        </w:rPr>
        <w:t>Komisja jest zobowiązana do sporządzenia sprawozdania dotyczącego przekazania uprawnień nie później niż dziewięć miesięcy przed upływem okresu pięciu lat. Przekazanie uprawnień musi zostać automatycznie przedłużone na takie same okresy, chyba że Parlament Europejski lub Rada sprzeciwią się takiemu przedłużeniu nie później niż trzy miesiące przed końcem każdego okresu.</w:t>
      </w:r>
    </w:p>
    <w:p w14:paraId="3FC8BD05" w14:textId="6AFC4593" w:rsidR="008E0AF5" w:rsidRPr="008E0AF5" w:rsidRDefault="008E0AF5" w:rsidP="008E0AF5">
      <w:pPr>
        <w:pStyle w:val="Bodytext10"/>
        <w:ind w:left="567"/>
        <w:jc w:val="both"/>
        <w:rPr>
          <w:rFonts w:ascii="Times New Roman" w:hAnsi="Times New Roman" w:cs="Times New Roman"/>
          <w:noProof/>
          <w:sz w:val="24"/>
          <w:szCs w:val="24"/>
        </w:rPr>
      </w:pPr>
      <w:r>
        <w:rPr>
          <w:rFonts w:ascii="Times New Roman" w:hAnsi="Times New Roman"/>
          <w:noProof/>
          <w:sz w:val="24"/>
        </w:rPr>
        <w:t>Rozporządzenie (UE) 2019/787 weszło</w:t>
      </w:r>
      <w:r w:rsidR="00324660">
        <w:rPr>
          <w:rFonts w:ascii="Times New Roman" w:hAnsi="Times New Roman"/>
          <w:noProof/>
          <w:sz w:val="24"/>
        </w:rPr>
        <w:t xml:space="preserve"> w życ</w:t>
      </w:r>
      <w:r>
        <w:rPr>
          <w:rFonts w:ascii="Times New Roman" w:hAnsi="Times New Roman"/>
          <w:noProof/>
          <w:sz w:val="24"/>
        </w:rPr>
        <w:t>ie</w:t>
      </w:r>
      <w:r w:rsidR="00324660">
        <w:rPr>
          <w:rFonts w:ascii="Times New Roman" w:hAnsi="Times New Roman"/>
          <w:noProof/>
          <w:sz w:val="24"/>
        </w:rPr>
        <w:t xml:space="preserve"> w dni</w:t>
      </w:r>
      <w:r>
        <w:rPr>
          <w:rFonts w:ascii="Times New Roman" w:hAnsi="Times New Roman"/>
          <w:noProof/>
          <w:sz w:val="24"/>
        </w:rPr>
        <w:t>u 24 kwietnia 2019 r. Od dnia 25 maja 20</w:t>
      </w:r>
      <w:r w:rsidRPr="00324660">
        <w:rPr>
          <w:rFonts w:ascii="Times New Roman" w:hAnsi="Times New Roman"/>
          <w:noProof/>
          <w:sz w:val="24"/>
        </w:rPr>
        <w:t>21</w:t>
      </w:r>
      <w:r w:rsidR="00324660" w:rsidRPr="00324660">
        <w:rPr>
          <w:rFonts w:ascii="Times New Roman" w:hAnsi="Times New Roman"/>
          <w:noProof/>
          <w:sz w:val="24"/>
        </w:rPr>
        <w:t> </w:t>
      </w:r>
      <w:r w:rsidRPr="00324660">
        <w:rPr>
          <w:rFonts w:ascii="Times New Roman" w:hAnsi="Times New Roman"/>
          <w:noProof/>
          <w:sz w:val="24"/>
        </w:rPr>
        <w:t>r.</w:t>
      </w:r>
      <w:r>
        <w:rPr>
          <w:rFonts w:ascii="Times New Roman" w:hAnsi="Times New Roman"/>
          <w:noProof/>
          <w:sz w:val="24"/>
        </w:rPr>
        <w:t xml:space="preserve"> miało ono zastosowanie ogólne, ale wszystkie przepisy dotyczące oznaczeń geograficznych,</w:t>
      </w:r>
      <w:r w:rsidR="00324660">
        <w:rPr>
          <w:rFonts w:ascii="Times New Roman" w:hAnsi="Times New Roman"/>
          <w:noProof/>
          <w:sz w:val="24"/>
        </w:rPr>
        <w:t xml:space="preserve"> z wyj</w:t>
      </w:r>
      <w:r>
        <w:rPr>
          <w:rFonts w:ascii="Times New Roman" w:hAnsi="Times New Roman"/>
          <w:noProof/>
          <w:sz w:val="24"/>
        </w:rPr>
        <w:t>ątkiem niektórych przepisów dotyczących krajowego etapu procedury rejestracji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4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 akapit trzeci</w:t>
      </w:r>
      <w:r w:rsidR="00324660">
        <w:rPr>
          <w:rFonts w:ascii="Times New Roman" w:hAnsi="Times New Roman"/>
          <w:noProof/>
          <w:sz w:val="24"/>
        </w:rPr>
        <w:t xml:space="preserve"> i </w:t>
      </w:r>
      <w:r w:rsidR="00324660" w:rsidRPr="00324660">
        <w:rPr>
          <w:rFonts w:ascii="Times New Roman" w:hAnsi="Times New Roman"/>
          <w:noProof/>
          <w:sz w:val="24"/>
        </w:rPr>
        <w:t>art</w:t>
      </w:r>
      <w:r w:rsidRPr="00324660">
        <w:rPr>
          <w:rFonts w:ascii="Times New Roman" w:hAnsi="Times New Roman"/>
          <w:noProof/>
          <w:sz w:val="24"/>
        </w:rPr>
        <w: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4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5</w:t>
      </w:r>
      <w:r>
        <w:rPr>
          <w:rFonts w:ascii="Times New Roman" w:hAnsi="Times New Roman"/>
          <w:noProof/>
          <w:sz w:val="24"/>
        </w:rPr>
        <w:t>–7), zaczęły obowiązywać</w:t>
      </w:r>
      <w:r w:rsidR="00324660">
        <w:rPr>
          <w:rFonts w:ascii="Times New Roman" w:hAnsi="Times New Roman"/>
          <w:noProof/>
          <w:sz w:val="24"/>
        </w:rPr>
        <w:t xml:space="preserve"> z dni</w:t>
      </w:r>
      <w:r>
        <w:rPr>
          <w:rFonts w:ascii="Times New Roman" w:hAnsi="Times New Roman"/>
          <w:noProof/>
          <w:sz w:val="24"/>
        </w:rPr>
        <w:t>em 8 czerwca 20</w:t>
      </w:r>
      <w:r w:rsidRPr="00324660">
        <w:rPr>
          <w:rFonts w:ascii="Times New Roman" w:hAnsi="Times New Roman"/>
          <w:noProof/>
          <w:sz w:val="24"/>
        </w:rPr>
        <w:t>19</w:t>
      </w:r>
      <w:r w:rsidR="00324660" w:rsidRPr="00324660">
        <w:rPr>
          <w:rFonts w:ascii="Times New Roman" w:hAnsi="Times New Roman"/>
          <w:noProof/>
          <w:sz w:val="24"/>
        </w:rPr>
        <w:t> </w:t>
      </w:r>
      <w:r w:rsidRPr="00324660">
        <w:rPr>
          <w:rFonts w:ascii="Times New Roman" w:hAnsi="Times New Roman"/>
          <w:noProof/>
          <w:sz w:val="24"/>
        </w:rPr>
        <w:t>r.</w:t>
      </w:r>
    </w:p>
    <w:p w14:paraId="57BA5FD0" w14:textId="48CBC3EE" w:rsidR="00E20F34" w:rsidRDefault="00E20F34" w:rsidP="00A42F52">
      <w:pPr>
        <w:pStyle w:val="Bodytext10"/>
        <w:ind w:left="567"/>
        <w:jc w:val="both"/>
        <w:rPr>
          <w:rFonts w:ascii="Times New Roman" w:hAnsi="Times New Roman" w:cs="Times New Roman"/>
          <w:noProof/>
          <w:sz w:val="24"/>
          <w:szCs w:val="24"/>
        </w:rPr>
      </w:pPr>
      <w:r>
        <w:rPr>
          <w:rFonts w:ascii="Times New Roman" w:hAnsi="Times New Roman"/>
          <w:noProof/>
          <w:sz w:val="24"/>
        </w:rPr>
        <w:t>W niniejszym sprawozdaniu opisano działalność Komisji</w:t>
      </w:r>
      <w:r w:rsidR="00324660">
        <w:rPr>
          <w:rFonts w:ascii="Times New Roman" w:hAnsi="Times New Roman"/>
          <w:noProof/>
          <w:sz w:val="24"/>
        </w:rPr>
        <w:t xml:space="preserve"> w okr</w:t>
      </w:r>
      <w:r>
        <w:rPr>
          <w:rFonts w:ascii="Times New Roman" w:hAnsi="Times New Roman"/>
          <w:noProof/>
          <w:sz w:val="24"/>
        </w:rPr>
        <w:t>esie od dnia 8 czerwca</w:t>
      </w:r>
      <w:r>
        <w:rPr>
          <w:rStyle w:val="Bodytext1"/>
          <w:rFonts w:ascii="Times New Roman" w:hAnsi="Times New Roman"/>
          <w:noProof/>
          <w:sz w:val="24"/>
        </w:rPr>
        <w:t xml:space="preserve"> 20</w:t>
      </w:r>
      <w:r w:rsidRPr="00324660">
        <w:rPr>
          <w:rStyle w:val="Bodytext1"/>
          <w:rFonts w:ascii="Times New Roman" w:hAnsi="Times New Roman"/>
          <w:noProof/>
          <w:sz w:val="24"/>
        </w:rPr>
        <w:t>19</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r.</w:t>
      </w:r>
    </w:p>
    <w:p w14:paraId="4CF990BE" w14:textId="38C0F5E1" w:rsidR="004B181D" w:rsidRPr="00324660" w:rsidRDefault="004B181D" w:rsidP="004B181D">
      <w:pPr>
        <w:pStyle w:val="Heading110"/>
        <w:keepNext/>
        <w:keepLines/>
        <w:numPr>
          <w:ilvl w:val="0"/>
          <w:numId w:val="1"/>
        </w:numPr>
        <w:tabs>
          <w:tab w:val="left" w:pos="552"/>
        </w:tabs>
        <w:jc w:val="both"/>
        <w:rPr>
          <w:rStyle w:val="Heading11"/>
          <w:rFonts w:ascii="Times New Roman" w:hAnsi="Times New Roman" w:cs="Times New Roman"/>
          <w:b/>
          <w:bCs/>
          <w:noProof/>
          <w:sz w:val="24"/>
          <w:szCs w:val="24"/>
        </w:rPr>
      </w:pPr>
      <w:r>
        <w:rPr>
          <w:rStyle w:val="Heading11"/>
          <w:rFonts w:ascii="Times New Roman" w:hAnsi="Times New Roman"/>
          <w:smallCaps/>
          <w:noProof/>
          <w:sz w:val="24"/>
        </w:rPr>
        <w:t>Wykonywanie przekazanych uprawnie</w:t>
      </w:r>
      <w:r w:rsidRPr="00324660">
        <w:rPr>
          <w:rStyle w:val="Heading11"/>
          <w:rFonts w:ascii="Times New Roman" w:hAnsi="Times New Roman"/>
          <w:smallCaps/>
          <w:noProof/>
          <w:sz w:val="24"/>
        </w:rPr>
        <w:t>ń</w:t>
      </w:r>
      <w:r w:rsidR="00324660" w:rsidRPr="00324660">
        <w:rPr>
          <w:rStyle w:val="Heading11"/>
          <w:rFonts w:ascii="Times New Roman" w:hAnsi="Times New Roman"/>
          <w:smallCaps/>
          <w:noProof/>
          <w:sz w:val="24"/>
        </w:rPr>
        <w:t xml:space="preserve"> </w:t>
      </w:r>
    </w:p>
    <w:p w14:paraId="41C1B8AB" w14:textId="75D32A9D" w:rsidR="006E625E" w:rsidRPr="006E625E" w:rsidRDefault="006E625E" w:rsidP="006E625E">
      <w:pPr>
        <w:pStyle w:val="Bodytext10"/>
        <w:ind w:left="580"/>
        <w:jc w:val="both"/>
        <w:rPr>
          <w:rFonts w:ascii="Times New Roman" w:hAnsi="Times New Roman" w:cs="Times New Roman"/>
          <w:noProof/>
          <w:sz w:val="24"/>
          <w:szCs w:val="24"/>
        </w:rPr>
      </w:pPr>
      <w:r>
        <w:rPr>
          <w:rFonts w:ascii="Times New Roman" w:hAnsi="Times New Roman"/>
          <w:noProof/>
          <w:sz w:val="24"/>
        </w:rPr>
        <w:t>Uprawnienia do przyjmowania aktów delegowanych były wykonywane</w:t>
      </w:r>
      <w:r w:rsidR="00324660">
        <w:rPr>
          <w:rFonts w:ascii="Times New Roman" w:hAnsi="Times New Roman"/>
          <w:noProof/>
          <w:sz w:val="24"/>
        </w:rPr>
        <w:t xml:space="preserve"> w cel</w:t>
      </w:r>
      <w:r>
        <w:rPr>
          <w:rFonts w:ascii="Times New Roman" w:hAnsi="Times New Roman"/>
          <w:noProof/>
          <w:sz w:val="24"/>
        </w:rPr>
        <w:t>u zapewnienia prawidłowego</w:t>
      </w:r>
      <w:r w:rsidR="00324660">
        <w:rPr>
          <w:rFonts w:ascii="Times New Roman" w:hAnsi="Times New Roman"/>
          <w:noProof/>
          <w:sz w:val="24"/>
        </w:rPr>
        <w:t xml:space="preserve"> i sku</w:t>
      </w:r>
      <w:r>
        <w:rPr>
          <w:rFonts w:ascii="Times New Roman" w:hAnsi="Times New Roman"/>
          <w:noProof/>
          <w:sz w:val="24"/>
        </w:rPr>
        <w:t>tecznego funkcjonowania rozporządzenia (UE) 2019/787 oraz sprawnego przejścia</w:t>
      </w:r>
      <w:r w:rsidR="00324660">
        <w:rPr>
          <w:rFonts w:ascii="Times New Roman" w:hAnsi="Times New Roman"/>
          <w:noProof/>
          <w:sz w:val="24"/>
        </w:rPr>
        <w:t xml:space="preserve"> z sys</w:t>
      </w:r>
      <w:r>
        <w:rPr>
          <w:rFonts w:ascii="Times New Roman" w:hAnsi="Times New Roman"/>
          <w:noProof/>
          <w:sz w:val="24"/>
        </w:rPr>
        <w:t xml:space="preserve">temu regulowanego rozporządzeniem Rady (WE) </w:t>
      </w:r>
      <w:r w:rsidRPr="00324660">
        <w:rPr>
          <w:rFonts w:ascii="Times New Roman" w:hAnsi="Times New Roman"/>
          <w:noProof/>
          <w:sz w:val="24"/>
        </w:rPr>
        <w:t>nr</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10/2008 na nowy system. </w:t>
      </w:r>
    </w:p>
    <w:p w14:paraId="20AFB4A8" w14:textId="14F06243" w:rsidR="0099534C" w:rsidRPr="00324660" w:rsidRDefault="006E625E" w:rsidP="0099534C">
      <w:pPr>
        <w:pStyle w:val="Bodytext10"/>
        <w:ind w:left="580"/>
        <w:jc w:val="both"/>
        <w:rPr>
          <w:rFonts w:ascii="Times New Roman" w:hAnsi="Times New Roman" w:cs="Times New Roman"/>
          <w:noProof/>
          <w:sz w:val="24"/>
          <w:szCs w:val="24"/>
        </w:rPr>
      </w:pPr>
      <w:r>
        <w:rPr>
          <w:rFonts w:ascii="Times New Roman" w:hAnsi="Times New Roman"/>
          <w:noProof/>
          <w:sz w:val="24"/>
        </w:rPr>
        <w:t>Komisja korzystała</w:t>
      </w:r>
      <w:r w:rsidR="00324660">
        <w:rPr>
          <w:rFonts w:ascii="Times New Roman" w:hAnsi="Times New Roman"/>
          <w:noProof/>
          <w:sz w:val="24"/>
        </w:rPr>
        <w:t xml:space="preserve"> z tyc</w:t>
      </w:r>
      <w:r>
        <w:rPr>
          <w:rFonts w:ascii="Times New Roman" w:hAnsi="Times New Roman"/>
          <w:noProof/>
          <w:sz w:val="24"/>
        </w:rPr>
        <w:t>h uprawnień</w:t>
      </w:r>
      <w:r w:rsidR="00324660">
        <w:rPr>
          <w:rFonts w:ascii="Times New Roman" w:hAnsi="Times New Roman"/>
          <w:noProof/>
          <w:sz w:val="24"/>
        </w:rPr>
        <w:t xml:space="preserve"> z umi</w:t>
      </w:r>
      <w:r>
        <w:rPr>
          <w:rFonts w:ascii="Times New Roman" w:hAnsi="Times New Roman"/>
          <w:noProof/>
          <w:sz w:val="24"/>
        </w:rPr>
        <w:t>arem</w:t>
      </w:r>
      <w:r w:rsidR="00324660">
        <w:rPr>
          <w:rFonts w:ascii="Times New Roman" w:hAnsi="Times New Roman"/>
          <w:noProof/>
          <w:sz w:val="24"/>
        </w:rPr>
        <w:t xml:space="preserve"> i prz</w:t>
      </w:r>
      <w:r>
        <w:rPr>
          <w:rFonts w:ascii="Times New Roman" w:hAnsi="Times New Roman"/>
          <w:noProof/>
          <w:sz w:val="24"/>
        </w:rPr>
        <w:t>yjęła jedno rozporządzenie,</w:t>
      </w:r>
      <w:r w:rsidR="00324660">
        <w:rPr>
          <w:rFonts w:ascii="Times New Roman" w:hAnsi="Times New Roman"/>
          <w:noProof/>
          <w:sz w:val="24"/>
        </w:rPr>
        <w:t xml:space="preserve"> a mia</w:t>
      </w:r>
      <w:r>
        <w:rPr>
          <w:rFonts w:ascii="Times New Roman" w:hAnsi="Times New Roman"/>
          <w:noProof/>
          <w:sz w:val="24"/>
        </w:rPr>
        <w:t>nowicie rozporządzenie delegowane Komisji (UE) 2021/1235</w:t>
      </w:r>
      <w:r>
        <w:rPr>
          <w:rStyle w:val="FootnoteReference"/>
          <w:rFonts w:ascii="Times New Roman" w:hAnsi="Times New Roman" w:cs="Times New Roman"/>
          <w:noProof/>
          <w:sz w:val="24"/>
          <w:szCs w:val="24"/>
        </w:rPr>
        <w:footnoteReference w:id="3"/>
      </w:r>
      <w:r w:rsidR="00324660">
        <w:rPr>
          <w:rFonts w:ascii="Times New Roman" w:hAnsi="Times New Roman"/>
          <w:noProof/>
          <w:sz w:val="24"/>
        </w:rPr>
        <w:t xml:space="preserve"> z dni</w:t>
      </w:r>
      <w:r>
        <w:rPr>
          <w:rFonts w:ascii="Times New Roman" w:hAnsi="Times New Roman"/>
          <w:noProof/>
          <w:sz w:val="24"/>
        </w:rPr>
        <w:t>a 12 maja 2021 r. uzupełniające rozporządzenie Parlamentu Europejskiego</w:t>
      </w:r>
      <w:r w:rsidR="00324660">
        <w:rPr>
          <w:rFonts w:ascii="Times New Roman" w:hAnsi="Times New Roman"/>
          <w:noProof/>
          <w:sz w:val="24"/>
        </w:rPr>
        <w:t xml:space="preserve"> i Rad</w:t>
      </w:r>
      <w:r>
        <w:rPr>
          <w:rFonts w:ascii="Times New Roman" w:hAnsi="Times New Roman"/>
          <w:noProof/>
          <w:sz w:val="24"/>
        </w:rPr>
        <w:t>y (UE) 2019/787</w:t>
      </w:r>
      <w:r w:rsidR="00324660">
        <w:rPr>
          <w:rFonts w:ascii="Times New Roman" w:hAnsi="Times New Roman"/>
          <w:noProof/>
          <w:sz w:val="24"/>
        </w:rPr>
        <w:t xml:space="preserve"> o prz</w:t>
      </w:r>
      <w:r>
        <w:rPr>
          <w:rFonts w:ascii="Times New Roman" w:hAnsi="Times New Roman"/>
          <w:noProof/>
          <w:sz w:val="24"/>
        </w:rPr>
        <w:t>episy dotyczące wniosków</w:t>
      </w:r>
      <w:r w:rsidR="00324660">
        <w:rPr>
          <w:rFonts w:ascii="Times New Roman" w:hAnsi="Times New Roman"/>
          <w:noProof/>
          <w:sz w:val="24"/>
        </w:rPr>
        <w:t xml:space="preserve"> o rej</w:t>
      </w:r>
      <w:r>
        <w:rPr>
          <w:rFonts w:ascii="Times New Roman" w:hAnsi="Times New Roman"/>
          <w:noProof/>
          <w:sz w:val="24"/>
        </w:rPr>
        <w:t>estrację oznaczeń geograficznych napojów spirytusowych, zmian</w:t>
      </w:r>
      <w:r w:rsidR="00324660">
        <w:rPr>
          <w:rFonts w:ascii="Times New Roman" w:hAnsi="Times New Roman"/>
          <w:noProof/>
          <w:sz w:val="24"/>
        </w:rPr>
        <w:t xml:space="preserve"> w spe</w:t>
      </w:r>
      <w:r>
        <w:rPr>
          <w:rFonts w:ascii="Times New Roman" w:hAnsi="Times New Roman"/>
          <w:noProof/>
          <w:sz w:val="24"/>
        </w:rPr>
        <w:t>cyfikacji produktu, cofnięcia rejestracji</w:t>
      </w:r>
      <w:r w:rsidR="00324660">
        <w:rPr>
          <w:rFonts w:ascii="Times New Roman" w:hAnsi="Times New Roman"/>
          <w:noProof/>
          <w:sz w:val="24"/>
        </w:rPr>
        <w:t xml:space="preserve"> i rej</w:t>
      </w:r>
      <w:r>
        <w:rPr>
          <w:rFonts w:ascii="Times New Roman" w:hAnsi="Times New Roman"/>
          <w:noProof/>
          <w:sz w:val="24"/>
        </w:rPr>
        <w:t>estr</w:t>
      </w:r>
      <w:r w:rsidRPr="00324660">
        <w:rPr>
          <w:rFonts w:ascii="Times New Roman" w:hAnsi="Times New Roman"/>
          <w:noProof/>
          <w:sz w:val="24"/>
        </w:rPr>
        <w:t>u</w:t>
      </w:r>
      <w:r w:rsidR="00324660" w:rsidRPr="00324660">
        <w:rPr>
          <w:rFonts w:ascii="Times New Roman" w:hAnsi="Times New Roman"/>
          <w:noProof/>
          <w:sz w:val="24"/>
        </w:rPr>
        <w:t xml:space="preserve"> </w:t>
      </w:r>
    </w:p>
    <w:p w14:paraId="78EB8CD2" w14:textId="4E09006E" w:rsidR="006E625E" w:rsidRPr="006E625E" w:rsidRDefault="006E625E" w:rsidP="0099534C">
      <w:pPr>
        <w:pStyle w:val="Bodytext10"/>
        <w:ind w:left="580"/>
        <w:jc w:val="both"/>
        <w:rPr>
          <w:rFonts w:ascii="Times New Roman" w:hAnsi="Times New Roman" w:cs="Times New Roman"/>
          <w:noProof/>
          <w:sz w:val="24"/>
          <w:szCs w:val="24"/>
        </w:rPr>
      </w:pPr>
      <w:r>
        <w:rPr>
          <w:rFonts w:ascii="Times New Roman" w:hAnsi="Times New Roman"/>
          <w:noProof/>
          <w:sz w:val="24"/>
        </w:rPr>
        <w:t>Rozporządzenie delegowane Komisji (UE) 2021/1235 zawiera szczegółowe przepisy,</w:t>
      </w:r>
      <w:r w:rsidR="00324660">
        <w:rPr>
          <w:rFonts w:ascii="Times New Roman" w:hAnsi="Times New Roman"/>
          <w:noProof/>
          <w:sz w:val="24"/>
        </w:rPr>
        <w:t xml:space="preserve"> w któ</w:t>
      </w:r>
      <w:r>
        <w:rPr>
          <w:rFonts w:ascii="Times New Roman" w:hAnsi="Times New Roman"/>
          <w:noProof/>
          <w:sz w:val="24"/>
        </w:rPr>
        <w:t>rych określono dodatkowe wymogi dotyczące jednolitego dokumentu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a)</w:t>
      </w:r>
      <w:r>
        <w:rPr>
          <w:rFonts w:ascii="Times New Roman" w:hAnsi="Times New Roman"/>
          <w:noProof/>
          <w:sz w:val="24"/>
        </w:rPr>
        <w:t xml:space="preserve"> rozp. 2019/787), dokumentacji wniosku państwa członkowskiego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a)</w:t>
      </w:r>
      <w:r>
        <w:rPr>
          <w:rFonts w:ascii="Times New Roman" w:hAnsi="Times New Roman"/>
          <w:noProof/>
          <w:sz w:val="24"/>
        </w:rPr>
        <w:t xml:space="preserve"> rozp. 2019/787), dopuszczalności wniosku </w:t>
      </w:r>
      <w:r w:rsidR="00324660">
        <w:rPr>
          <w:rFonts w:ascii="Times New Roman" w:hAnsi="Times New Roman"/>
          <w:noProof/>
          <w:sz w:val="24"/>
        </w:rPr>
        <w:t>(a</w:t>
      </w:r>
      <w:r>
        <w:rPr>
          <w:rFonts w:ascii="Times New Roman" w:hAnsi="Times New Roman"/>
          <w:noProof/>
          <w:sz w:val="24"/>
        </w:rPr>
        <w:t>rt.4,</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b)</w:t>
      </w:r>
      <w:r>
        <w:rPr>
          <w:rFonts w:ascii="Times New Roman" w:hAnsi="Times New Roman"/>
          <w:noProof/>
          <w:sz w:val="24"/>
        </w:rPr>
        <w:t xml:space="preserve"> rozp. 2019/787), krajowego okresu przejściowego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5</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b)</w:t>
      </w:r>
      <w:r>
        <w:rPr>
          <w:rFonts w:ascii="Times New Roman" w:hAnsi="Times New Roman"/>
          <w:noProof/>
          <w:sz w:val="24"/>
        </w:rPr>
        <w:t xml:space="preserve"> rozp. 2019/787), wniosków</w:t>
      </w:r>
      <w:r w:rsidR="00324660">
        <w:rPr>
          <w:rFonts w:ascii="Times New Roman" w:hAnsi="Times New Roman"/>
          <w:noProof/>
          <w:sz w:val="24"/>
        </w:rPr>
        <w:t xml:space="preserve"> o zmi</w:t>
      </w:r>
      <w:r>
        <w:rPr>
          <w:rFonts w:ascii="Times New Roman" w:hAnsi="Times New Roman"/>
          <w:noProof/>
          <w:sz w:val="24"/>
        </w:rPr>
        <w:t>any na poziomie Unii</w:t>
      </w:r>
      <w:r w:rsidR="00324660">
        <w:rPr>
          <w:rFonts w:ascii="Times New Roman" w:hAnsi="Times New Roman"/>
          <w:noProof/>
          <w:sz w:val="24"/>
        </w:rPr>
        <w:t xml:space="preserve"> w spe</w:t>
      </w:r>
      <w:r>
        <w:rPr>
          <w:rFonts w:ascii="Times New Roman" w:hAnsi="Times New Roman"/>
          <w:noProof/>
          <w:sz w:val="24"/>
        </w:rPr>
        <w:t>cyfikacjach produktów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6</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 rozp. 2019/787), dopuszczalności wniosków</w:t>
      </w:r>
      <w:r w:rsidR="00324660">
        <w:rPr>
          <w:rFonts w:ascii="Times New Roman" w:hAnsi="Times New Roman"/>
          <w:noProof/>
          <w:sz w:val="24"/>
        </w:rPr>
        <w:t xml:space="preserve"> o zat</w:t>
      </w:r>
      <w:r>
        <w:rPr>
          <w:rFonts w:ascii="Times New Roman" w:hAnsi="Times New Roman"/>
          <w:noProof/>
          <w:sz w:val="24"/>
        </w:rPr>
        <w:t>wierdzenie zmian na poziomie Unii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7</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 rozp. 2019/787), zmian standardowych</w:t>
      </w:r>
      <w:r w:rsidR="00324660">
        <w:rPr>
          <w:rFonts w:ascii="Times New Roman" w:hAnsi="Times New Roman"/>
          <w:noProof/>
          <w:sz w:val="24"/>
        </w:rPr>
        <w:t xml:space="preserve"> w spe</w:t>
      </w:r>
      <w:r>
        <w:rPr>
          <w:rFonts w:ascii="Times New Roman" w:hAnsi="Times New Roman"/>
          <w:noProof/>
          <w:sz w:val="24"/>
        </w:rPr>
        <w:t>cyfikacji produktu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8</w:t>
      </w:r>
      <w:r>
        <w:rPr>
          <w:rFonts w:ascii="Times New Roman" w:hAnsi="Times New Roman"/>
          <w:noProof/>
          <w:sz w:val="24"/>
        </w:rPr>
        <w:t>,</w:t>
      </w:r>
      <w:r>
        <w:rPr>
          <w:noProof/>
        </w:rPr>
        <w:t xml:space="preserve"> </w:t>
      </w:r>
      <w:r>
        <w:rPr>
          <w:rFonts w:ascii="Times New Roman" w:hAnsi="Times New Roman"/>
          <w:noProof/>
          <w:sz w:val="24"/>
        </w:rPr>
        <w:t xml:space="preserve">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 rozp. 2019/787), związku między zmianą na poziomie Unii</w:t>
      </w:r>
      <w:r w:rsidR="00324660">
        <w:rPr>
          <w:rFonts w:ascii="Times New Roman" w:hAnsi="Times New Roman"/>
          <w:noProof/>
          <w:sz w:val="24"/>
        </w:rPr>
        <w:t xml:space="preserve"> a zmi</w:t>
      </w:r>
      <w:r>
        <w:rPr>
          <w:rFonts w:ascii="Times New Roman" w:hAnsi="Times New Roman"/>
          <w:noProof/>
          <w:sz w:val="24"/>
        </w:rPr>
        <w:t>aną standardową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9</w:t>
      </w:r>
      <w:r>
        <w:rPr>
          <w:rFonts w:ascii="Times New Roman" w:hAnsi="Times New Roman"/>
          <w:noProof/>
          <w:sz w:val="24"/>
        </w:rPr>
        <w:t xml:space="preserve">, 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 rozp. 2019/787), zmian tymczasowych</w:t>
      </w:r>
      <w:r w:rsidR="00324660">
        <w:rPr>
          <w:rFonts w:ascii="Times New Roman" w:hAnsi="Times New Roman"/>
          <w:noProof/>
          <w:sz w:val="24"/>
        </w:rPr>
        <w:t xml:space="preserve"> w spe</w:t>
      </w:r>
      <w:r>
        <w:rPr>
          <w:rFonts w:ascii="Times New Roman" w:hAnsi="Times New Roman"/>
          <w:noProof/>
          <w:sz w:val="24"/>
        </w:rPr>
        <w:t>cyfikacji produktu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0, 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2</w:t>
      </w:r>
      <w:r>
        <w:rPr>
          <w:rFonts w:ascii="Times New Roman" w:hAnsi="Times New Roman"/>
          <w:noProof/>
          <w:sz w:val="24"/>
        </w:rPr>
        <w:t xml:space="preserve"> rozp. 2019/787), procedury cofnięcia rejestracji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1, 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b)</w:t>
      </w:r>
      <w:r>
        <w:rPr>
          <w:rFonts w:ascii="Times New Roman" w:hAnsi="Times New Roman"/>
          <w:noProof/>
          <w:sz w:val="24"/>
        </w:rPr>
        <w:t xml:space="preserve"> rozp. 2019/787), dopuszczalności wniosków</w:t>
      </w:r>
      <w:r w:rsidR="00324660">
        <w:rPr>
          <w:rFonts w:ascii="Times New Roman" w:hAnsi="Times New Roman"/>
          <w:noProof/>
          <w:sz w:val="24"/>
        </w:rPr>
        <w:t xml:space="preserve"> o cof</w:t>
      </w:r>
      <w:r>
        <w:rPr>
          <w:rFonts w:ascii="Times New Roman" w:hAnsi="Times New Roman"/>
          <w:noProof/>
          <w:sz w:val="24"/>
        </w:rPr>
        <w:t>nięcie rejestracji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2, 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1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 </w:t>
      </w:r>
      <w:r w:rsidRPr="00324660">
        <w:rPr>
          <w:rFonts w:ascii="Times New Roman" w:hAnsi="Times New Roman"/>
          <w:noProof/>
          <w:sz w:val="24"/>
        </w:rPr>
        <w:t>lit.</w:t>
      </w:r>
      <w:r w:rsidR="00324660" w:rsidRPr="00324660">
        <w:rPr>
          <w:rFonts w:ascii="Times New Roman" w:hAnsi="Times New Roman"/>
          <w:noProof/>
          <w:sz w:val="24"/>
        </w:rPr>
        <w:t> </w:t>
      </w:r>
      <w:r w:rsidRPr="00324660">
        <w:rPr>
          <w:rFonts w:ascii="Times New Roman" w:hAnsi="Times New Roman"/>
          <w:noProof/>
          <w:sz w:val="24"/>
        </w:rPr>
        <w:t>b)</w:t>
      </w:r>
      <w:r>
        <w:rPr>
          <w:rFonts w:ascii="Times New Roman" w:hAnsi="Times New Roman"/>
          <w:noProof/>
          <w:sz w:val="24"/>
        </w:rPr>
        <w:t xml:space="preserve"> rozp. 2019/787) oraz rejestru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3, przekazane uprawnienia na podstawie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3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sidR="00324660">
        <w:rPr>
          <w:rFonts w:ascii="Times New Roman" w:hAnsi="Times New Roman"/>
          <w:noProof/>
          <w:sz w:val="24"/>
        </w:rPr>
        <w:t xml:space="preserve"> i 2</w:t>
      </w:r>
      <w:r>
        <w:rPr>
          <w:rFonts w:ascii="Times New Roman" w:hAnsi="Times New Roman"/>
          <w:noProof/>
          <w:sz w:val="24"/>
        </w:rPr>
        <w:t xml:space="preserve"> rozp. 2019/787).</w:t>
      </w:r>
    </w:p>
    <w:p w14:paraId="5DB7EADD" w14:textId="47A4C2B9" w:rsidR="006E625E" w:rsidRPr="006E625E" w:rsidRDefault="007746AA" w:rsidP="006E625E">
      <w:pPr>
        <w:pStyle w:val="Bodytext10"/>
        <w:ind w:left="580"/>
        <w:jc w:val="both"/>
        <w:rPr>
          <w:rFonts w:ascii="Times New Roman" w:hAnsi="Times New Roman" w:cs="Times New Roman"/>
          <w:noProof/>
          <w:sz w:val="24"/>
          <w:szCs w:val="24"/>
        </w:rPr>
      </w:pPr>
      <w:r>
        <w:rPr>
          <w:rFonts w:ascii="Times New Roman" w:hAnsi="Times New Roman"/>
          <w:noProof/>
          <w:sz w:val="24"/>
        </w:rPr>
        <w:t>Podczas procesu przygotowywania aktów zasięgnięto opinii ekspertów</w:t>
      </w:r>
      <w:r w:rsidR="00324660">
        <w:rPr>
          <w:rFonts w:ascii="Times New Roman" w:hAnsi="Times New Roman"/>
          <w:noProof/>
          <w:sz w:val="24"/>
        </w:rPr>
        <w:t xml:space="preserve"> w ram</w:t>
      </w:r>
      <w:r>
        <w:rPr>
          <w:rFonts w:ascii="Times New Roman" w:hAnsi="Times New Roman"/>
          <w:noProof/>
          <w:sz w:val="24"/>
        </w:rPr>
        <w:t>ach grupy ekspertów ds. napojów spirytusowych, wyznaczonych przez każde państwo członkowskie. Komisja zapewniła jednoczesne, terminowe</w:t>
      </w:r>
      <w:r w:rsidR="00324660">
        <w:rPr>
          <w:rFonts w:ascii="Times New Roman" w:hAnsi="Times New Roman"/>
          <w:noProof/>
          <w:sz w:val="24"/>
        </w:rPr>
        <w:t xml:space="preserve"> i odp</w:t>
      </w:r>
      <w:r>
        <w:rPr>
          <w:rFonts w:ascii="Times New Roman" w:hAnsi="Times New Roman"/>
          <w:noProof/>
          <w:sz w:val="24"/>
        </w:rPr>
        <w:t>owiednie przekazywanie stosownych dokumentów Parlamentowi Europejskiemu</w:t>
      </w:r>
      <w:r w:rsidR="00324660">
        <w:rPr>
          <w:rFonts w:ascii="Times New Roman" w:hAnsi="Times New Roman"/>
          <w:noProof/>
          <w:sz w:val="24"/>
        </w:rPr>
        <w:t xml:space="preserve"> i Rad</w:t>
      </w:r>
      <w:r>
        <w:rPr>
          <w:rFonts w:ascii="Times New Roman" w:hAnsi="Times New Roman"/>
          <w:noProof/>
          <w:sz w:val="24"/>
        </w:rPr>
        <w:t xml:space="preserve">zie. </w:t>
      </w:r>
    </w:p>
    <w:p w14:paraId="73BA07E8" w14:textId="5792FBFE" w:rsidR="006E625E" w:rsidRPr="006E625E" w:rsidRDefault="006E625E" w:rsidP="006E625E">
      <w:pPr>
        <w:pStyle w:val="Bodytext10"/>
        <w:ind w:left="580"/>
        <w:jc w:val="both"/>
        <w:rPr>
          <w:rFonts w:ascii="Times New Roman" w:hAnsi="Times New Roman" w:cs="Times New Roman"/>
          <w:noProof/>
          <w:sz w:val="24"/>
          <w:szCs w:val="24"/>
        </w:rPr>
      </w:pPr>
      <w:r>
        <w:rPr>
          <w:rFonts w:ascii="Times New Roman" w:hAnsi="Times New Roman"/>
          <w:noProof/>
          <w:sz w:val="24"/>
        </w:rPr>
        <w:t>W dniu 12 maja 20</w:t>
      </w:r>
      <w:r w:rsidRPr="00324660">
        <w:rPr>
          <w:rFonts w:ascii="Times New Roman" w:hAnsi="Times New Roman"/>
          <w:noProof/>
          <w:sz w:val="24"/>
        </w:rPr>
        <w:t>21</w:t>
      </w:r>
      <w:r w:rsidR="00324660" w:rsidRPr="00324660">
        <w:rPr>
          <w:rFonts w:ascii="Times New Roman" w:hAnsi="Times New Roman"/>
          <w:noProof/>
          <w:sz w:val="24"/>
        </w:rPr>
        <w:t> </w:t>
      </w:r>
      <w:r w:rsidRPr="00324660">
        <w:rPr>
          <w:rFonts w:ascii="Times New Roman" w:hAnsi="Times New Roman"/>
          <w:noProof/>
          <w:sz w:val="24"/>
        </w:rPr>
        <w:t>r.</w:t>
      </w:r>
      <w:r>
        <w:rPr>
          <w:rFonts w:ascii="Times New Roman" w:hAnsi="Times New Roman"/>
          <w:noProof/>
          <w:sz w:val="24"/>
        </w:rPr>
        <w:t xml:space="preserve"> Komisja przyjęła rozporządzenie delegowane Komisji (UE) 2021/1235, przestrzegając terminu sporządzenia rejestru oznaczeń geograficznych</w:t>
      </w:r>
      <w:r w:rsidR="00324660">
        <w:rPr>
          <w:rFonts w:ascii="Times New Roman" w:hAnsi="Times New Roman"/>
          <w:noProof/>
          <w:sz w:val="24"/>
        </w:rPr>
        <w:t xml:space="preserve"> w sek</w:t>
      </w:r>
      <w:r>
        <w:rPr>
          <w:rFonts w:ascii="Times New Roman" w:hAnsi="Times New Roman"/>
          <w:noProof/>
          <w:sz w:val="24"/>
        </w:rPr>
        <w:t>torach napojów spirytusowych określonego</w:t>
      </w:r>
      <w:r w:rsidR="00324660">
        <w:rPr>
          <w:rFonts w:ascii="Times New Roman" w:hAnsi="Times New Roman"/>
          <w:noProof/>
          <w:sz w:val="24"/>
        </w:rPr>
        <w:t xml:space="preserve"> w </w:t>
      </w:r>
      <w:r w:rsidR="00324660" w:rsidRPr="00324660">
        <w:rPr>
          <w:rFonts w:ascii="Times New Roman" w:hAnsi="Times New Roman"/>
          <w:noProof/>
          <w:sz w:val="24"/>
        </w:rPr>
        <w:t>art</w:t>
      </w:r>
      <w:r w:rsidRPr="00324660">
        <w:rPr>
          <w:rFonts w:ascii="Times New Roman" w:hAnsi="Times New Roman"/>
          <w:noProof/>
          <w:sz w:val="24"/>
        </w:rPr>
        <w: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3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Przyjęte rozporządzenie delegowane zostało następnie zgłoszone Parlamentowi Europejskiemu</w:t>
      </w:r>
      <w:r w:rsidR="00324660">
        <w:rPr>
          <w:rFonts w:ascii="Times New Roman" w:hAnsi="Times New Roman"/>
          <w:noProof/>
          <w:sz w:val="24"/>
        </w:rPr>
        <w:t xml:space="preserve"> i Rad</w:t>
      </w:r>
      <w:r>
        <w:rPr>
          <w:rFonts w:ascii="Times New Roman" w:hAnsi="Times New Roman"/>
          <w:noProof/>
          <w:sz w:val="24"/>
        </w:rPr>
        <w:t>zie, aby umożliwić tym instytucjom wyrażenie sprzeciwu</w:t>
      </w:r>
      <w:r w:rsidR="00324660">
        <w:rPr>
          <w:rFonts w:ascii="Times New Roman" w:hAnsi="Times New Roman"/>
          <w:noProof/>
          <w:sz w:val="24"/>
        </w:rPr>
        <w:t xml:space="preserve"> w ter</w:t>
      </w:r>
      <w:r>
        <w:rPr>
          <w:rFonts w:ascii="Times New Roman" w:hAnsi="Times New Roman"/>
          <w:noProof/>
          <w:sz w:val="24"/>
        </w:rPr>
        <w:t>minie dwóch miesięcy od powiadomienia</w:t>
      </w:r>
      <w:r w:rsidR="00324660">
        <w:rPr>
          <w:rFonts w:ascii="Times New Roman" w:hAnsi="Times New Roman"/>
          <w:noProof/>
          <w:sz w:val="24"/>
        </w:rPr>
        <w:t xml:space="preserve"> o akc</w:t>
      </w:r>
      <w:r>
        <w:rPr>
          <w:rFonts w:ascii="Times New Roman" w:hAnsi="Times New Roman"/>
          <w:noProof/>
          <w:sz w:val="24"/>
        </w:rPr>
        <w:t xml:space="preserve">ie. </w:t>
      </w:r>
    </w:p>
    <w:p w14:paraId="62F40280" w14:textId="3FEBE62B" w:rsidR="006E625E" w:rsidRDefault="006E625E" w:rsidP="006E625E">
      <w:pPr>
        <w:pStyle w:val="Bodytext10"/>
        <w:ind w:left="580"/>
        <w:jc w:val="both"/>
        <w:rPr>
          <w:rFonts w:ascii="Times New Roman" w:hAnsi="Times New Roman" w:cs="Times New Roman"/>
          <w:noProof/>
          <w:sz w:val="24"/>
          <w:szCs w:val="24"/>
        </w:rPr>
      </w:pPr>
      <w:r>
        <w:rPr>
          <w:rFonts w:ascii="Times New Roman" w:hAnsi="Times New Roman"/>
          <w:noProof/>
          <w:sz w:val="24"/>
        </w:rPr>
        <w:t>Ani Parlament Europejski, ani Rada nie wniosły sprzeciwu wobec przekazanego rozporządzenia delegowanego. Po upływie terminu, rozporządzenie delegowane Komisji (UE) 2021/1235 zostało opublikowane</w:t>
      </w:r>
      <w:r w:rsidR="00324660">
        <w:rPr>
          <w:rFonts w:ascii="Times New Roman" w:hAnsi="Times New Roman"/>
          <w:noProof/>
          <w:sz w:val="24"/>
        </w:rPr>
        <w:t xml:space="preserve"> w Dzi</w:t>
      </w:r>
      <w:r>
        <w:rPr>
          <w:rFonts w:ascii="Times New Roman" w:hAnsi="Times New Roman"/>
          <w:noProof/>
          <w:sz w:val="24"/>
        </w:rPr>
        <w:t>enniku Urzędowym Unii Europejskiej L 270</w:t>
      </w:r>
      <w:r w:rsidR="00324660">
        <w:rPr>
          <w:rFonts w:ascii="Times New Roman" w:hAnsi="Times New Roman"/>
          <w:noProof/>
          <w:sz w:val="24"/>
        </w:rPr>
        <w:t xml:space="preserve"> z dni</w:t>
      </w:r>
      <w:r>
        <w:rPr>
          <w:rFonts w:ascii="Times New Roman" w:hAnsi="Times New Roman"/>
          <w:noProof/>
          <w:sz w:val="24"/>
        </w:rPr>
        <w:t>a 29 lipca 20</w:t>
      </w:r>
      <w:r w:rsidRPr="00324660">
        <w:rPr>
          <w:rFonts w:ascii="Times New Roman" w:hAnsi="Times New Roman"/>
          <w:noProof/>
          <w:sz w:val="24"/>
        </w:rPr>
        <w:t>21</w:t>
      </w:r>
      <w:r w:rsidR="00324660" w:rsidRPr="00324660">
        <w:rPr>
          <w:rFonts w:ascii="Times New Roman" w:hAnsi="Times New Roman"/>
          <w:noProof/>
          <w:sz w:val="24"/>
        </w:rPr>
        <w:t> </w:t>
      </w:r>
      <w:r w:rsidRPr="00324660">
        <w:rPr>
          <w:rFonts w:ascii="Times New Roman" w:hAnsi="Times New Roman"/>
          <w:noProof/>
          <w:sz w:val="24"/>
        </w:rPr>
        <w:t>r.</w:t>
      </w:r>
      <w:r w:rsidR="00324660">
        <w:rPr>
          <w:rFonts w:ascii="Times New Roman" w:hAnsi="Times New Roman"/>
          <w:noProof/>
          <w:sz w:val="24"/>
        </w:rPr>
        <w:t xml:space="preserve"> i wes</w:t>
      </w:r>
      <w:r>
        <w:rPr>
          <w:rFonts w:ascii="Times New Roman" w:hAnsi="Times New Roman"/>
          <w:noProof/>
          <w:sz w:val="24"/>
        </w:rPr>
        <w:t>zło</w:t>
      </w:r>
      <w:r w:rsidR="00324660">
        <w:rPr>
          <w:rFonts w:ascii="Times New Roman" w:hAnsi="Times New Roman"/>
          <w:noProof/>
          <w:sz w:val="24"/>
        </w:rPr>
        <w:t xml:space="preserve"> w życ</w:t>
      </w:r>
      <w:r>
        <w:rPr>
          <w:rFonts w:ascii="Times New Roman" w:hAnsi="Times New Roman"/>
          <w:noProof/>
          <w:sz w:val="24"/>
        </w:rPr>
        <w:t>ie dnia 1 sierpnia 20</w:t>
      </w:r>
      <w:r w:rsidRPr="00324660">
        <w:rPr>
          <w:rFonts w:ascii="Times New Roman" w:hAnsi="Times New Roman"/>
          <w:noProof/>
          <w:sz w:val="24"/>
        </w:rPr>
        <w:t>21</w:t>
      </w:r>
      <w:r w:rsidR="00324660" w:rsidRPr="00324660">
        <w:rPr>
          <w:rFonts w:ascii="Times New Roman" w:hAnsi="Times New Roman"/>
          <w:noProof/>
          <w:sz w:val="24"/>
        </w:rPr>
        <w:t> </w:t>
      </w:r>
      <w:r w:rsidRPr="00324660">
        <w:rPr>
          <w:rFonts w:ascii="Times New Roman" w:hAnsi="Times New Roman"/>
          <w:noProof/>
          <w:sz w:val="24"/>
        </w:rPr>
        <w:t>r.</w:t>
      </w:r>
    </w:p>
    <w:p w14:paraId="7E5AA913" w14:textId="0C41EA7A" w:rsidR="001623A2" w:rsidRPr="001623A2" w:rsidRDefault="001623A2" w:rsidP="001623A2">
      <w:pPr>
        <w:pStyle w:val="Heading110"/>
        <w:keepNext/>
        <w:keepLines/>
        <w:numPr>
          <w:ilvl w:val="0"/>
          <w:numId w:val="1"/>
        </w:numPr>
        <w:tabs>
          <w:tab w:val="left" w:pos="552"/>
        </w:tabs>
        <w:jc w:val="both"/>
        <w:rPr>
          <w:rStyle w:val="Heading11"/>
          <w:rFonts w:ascii="Times New Roman" w:hAnsi="Times New Roman" w:cs="Times New Roman"/>
          <w:b/>
          <w:bCs/>
          <w:noProof/>
          <w:sz w:val="24"/>
          <w:szCs w:val="24"/>
        </w:rPr>
      </w:pPr>
      <w:r>
        <w:rPr>
          <w:rStyle w:val="Heading11"/>
          <w:rFonts w:ascii="Times New Roman" w:hAnsi="Times New Roman"/>
          <w:smallCaps/>
          <w:noProof/>
          <w:sz w:val="24"/>
        </w:rPr>
        <w:t>Obecna sytuacja</w:t>
      </w:r>
    </w:p>
    <w:p w14:paraId="3CE7C12E" w14:textId="685D99F2" w:rsidR="000E6959" w:rsidRDefault="000E6959" w:rsidP="000E6959">
      <w:pPr>
        <w:pStyle w:val="Bodytext10"/>
        <w:ind w:left="580"/>
        <w:jc w:val="both"/>
        <w:rPr>
          <w:rStyle w:val="Bodytext1"/>
          <w:rFonts w:ascii="Times New Roman" w:hAnsi="Times New Roman" w:cs="Times New Roman"/>
          <w:noProof/>
          <w:sz w:val="24"/>
          <w:szCs w:val="24"/>
        </w:rPr>
      </w:pPr>
      <w:r>
        <w:rPr>
          <w:rStyle w:val="Bodytext1"/>
          <w:rFonts w:ascii="Times New Roman" w:hAnsi="Times New Roman"/>
          <w:noProof/>
          <w:sz w:val="24"/>
        </w:rPr>
        <w:t>Za pomocą wspomnianego wyżej rozporządzenia delegowanego</w:t>
      </w:r>
      <w:r w:rsidR="00324660">
        <w:rPr>
          <w:rStyle w:val="Bodytext1"/>
          <w:rFonts w:ascii="Times New Roman" w:hAnsi="Times New Roman"/>
          <w:noProof/>
          <w:sz w:val="24"/>
        </w:rPr>
        <w:t xml:space="preserve"> w spo</w:t>
      </w:r>
      <w:r>
        <w:rPr>
          <w:rStyle w:val="Bodytext1"/>
          <w:rFonts w:ascii="Times New Roman" w:hAnsi="Times New Roman"/>
          <w:noProof/>
          <w:sz w:val="24"/>
        </w:rPr>
        <w:t>sób zadowalający osiągnięto cel, jakim jest uzupełnienie</w:t>
      </w:r>
      <w:r w:rsidR="00324660">
        <w:rPr>
          <w:rStyle w:val="Bodytext1"/>
          <w:rFonts w:ascii="Times New Roman" w:hAnsi="Times New Roman"/>
          <w:noProof/>
          <w:sz w:val="24"/>
        </w:rPr>
        <w:t xml:space="preserve"> i zmi</w:t>
      </w:r>
      <w:r>
        <w:rPr>
          <w:rStyle w:val="Bodytext1"/>
          <w:rFonts w:ascii="Times New Roman" w:hAnsi="Times New Roman"/>
          <w:noProof/>
          <w:sz w:val="24"/>
        </w:rPr>
        <w:t>ana rozporządzenia (UE) 2019/787</w:t>
      </w:r>
      <w:r w:rsidR="00324660">
        <w:rPr>
          <w:rStyle w:val="Bodytext1"/>
          <w:rFonts w:ascii="Times New Roman" w:hAnsi="Times New Roman"/>
          <w:noProof/>
          <w:sz w:val="24"/>
        </w:rPr>
        <w:t xml:space="preserve"> o prz</w:t>
      </w:r>
      <w:r>
        <w:rPr>
          <w:rStyle w:val="Bodytext1"/>
          <w:rFonts w:ascii="Times New Roman" w:hAnsi="Times New Roman"/>
          <w:noProof/>
          <w:sz w:val="24"/>
        </w:rPr>
        <w:t>episy niezbędne do zapewnienia jego prawidłowego</w:t>
      </w:r>
      <w:r w:rsidR="00324660">
        <w:rPr>
          <w:rStyle w:val="Bodytext1"/>
          <w:rFonts w:ascii="Times New Roman" w:hAnsi="Times New Roman"/>
          <w:noProof/>
          <w:sz w:val="24"/>
        </w:rPr>
        <w:t xml:space="preserve"> i sku</w:t>
      </w:r>
      <w:r>
        <w:rPr>
          <w:rStyle w:val="Bodytext1"/>
          <w:rFonts w:ascii="Times New Roman" w:hAnsi="Times New Roman"/>
          <w:noProof/>
          <w:sz w:val="24"/>
        </w:rPr>
        <w:t>tecznego funkcjonowania.</w:t>
      </w:r>
    </w:p>
    <w:p w14:paraId="216874BB" w14:textId="0774BA90" w:rsidR="006A7B76" w:rsidRPr="006A7B76" w:rsidRDefault="006A7B76" w:rsidP="006A7B76">
      <w:pPr>
        <w:pStyle w:val="Bodytext10"/>
        <w:ind w:left="580"/>
        <w:jc w:val="both"/>
        <w:rPr>
          <w:rFonts w:ascii="Times New Roman" w:hAnsi="Times New Roman" w:cs="Times New Roman"/>
          <w:noProof/>
          <w:sz w:val="24"/>
          <w:szCs w:val="24"/>
        </w:rPr>
      </w:pPr>
      <w:r>
        <w:rPr>
          <w:rFonts w:ascii="Times New Roman" w:hAnsi="Times New Roman"/>
          <w:noProof/>
          <w:sz w:val="24"/>
        </w:rPr>
        <w:t>Państwa członkowskie nie wystosowały żadnych wniosków</w:t>
      </w:r>
      <w:r w:rsidR="00324660">
        <w:rPr>
          <w:rFonts w:ascii="Times New Roman" w:hAnsi="Times New Roman"/>
          <w:noProof/>
          <w:sz w:val="24"/>
        </w:rPr>
        <w:t xml:space="preserve"> o prz</w:t>
      </w:r>
      <w:r>
        <w:rPr>
          <w:rFonts w:ascii="Times New Roman" w:hAnsi="Times New Roman"/>
          <w:noProof/>
          <w:sz w:val="24"/>
        </w:rPr>
        <w:t>ekazanie Komisji dalszych uprawnień ani</w:t>
      </w:r>
      <w:r w:rsidR="00324660">
        <w:rPr>
          <w:rFonts w:ascii="Times New Roman" w:hAnsi="Times New Roman"/>
          <w:noProof/>
          <w:sz w:val="24"/>
        </w:rPr>
        <w:t xml:space="preserve"> o cof</w:t>
      </w:r>
      <w:r>
        <w:rPr>
          <w:rFonts w:ascii="Times New Roman" w:hAnsi="Times New Roman"/>
          <w:noProof/>
          <w:sz w:val="24"/>
        </w:rPr>
        <w:t>nięcie przekazanych uprawnień. Nie wyrażono żadnych oczekiwań co do zmiany równowagi uprawnień określonych</w:t>
      </w:r>
      <w:r w:rsidR="00324660">
        <w:rPr>
          <w:rFonts w:ascii="Times New Roman" w:hAnsi="Times New Roman"/>
          <w:noProof/>
          <w:sz w:val="24"/>
        </w:rPr>
        <w:t xml:space="preserve"> w roz</w:t>
      </w:r>
      <w:r>
        <w:rPr>
          <w:rFonts w:ascii="Times New Roman" w:hAnsi="Times New Roman"/>
          <w:noProof/>
          <w:sz w:val="24"/>
        </w:rPr>
        <w:t>porządzeniu (UE) 2019/787</w:t>
      </w:r>
      <w:r w:rsidR="00324660">
        <w:rPr>
          <w:rFonts w:ascii="Times New Roman" w:hAnsi="Times New Roman"/>
          <w:noProof/>
          <w:sz w:val="24"/>
        </w:rPr>
        <w:t>. W okr</w:t>
      </w:r>
      <w:r>
        <w:rPr>
          <w:rFonts w:ascii="Times New Roman" w:hAnsi="Times New Roman"/>
          <w:noProof/>
          <w:sz w:val="24"/>
        </w:rPr>
        <w:t>esie tym nie wpłynął również żaden wniosek</w:t>
      </w:r>
      <w:r w:rsidR="00324660">
        <w:rPr>
          <w:rFonts w:ascii="Times New Roman" w:hAnsi="Times New Roman"/>
          <w:noProof/>
          <w:sz w:val="24"/>
        </w:rPr>
        <w:t xml:space="preserve"> o zmi</w:t>
      </w:r>
      <w:r>
        <w:rPr>
          <w:rFonts w:ascii="Times New Roman" w:hAnsi="Times New Roman"/>
          <w:noProof/>
          <w:sz w:val="24"/>
        </w:rPr>
        <w:t>anę któregokolwiek</w:t>
      </w:r>
      <w:r w:rsidR="00324660">
        <w:rPr>
          <w:rFonts w:ascii="Times New Roman" w:hAnsi="Times New Roman"/>
          <w:noProof/>
          <w:sz w:val="24"/>
        </w:rPr>
        <w:t xml:space="preserve"> z dwó</w:t>
      </w:r>
      <w:r>
        <w:rPr>
          <w:rFonts w:ascii="Times New Roman" w:hAnsi="Times New Roman"/>
          <w:noProof/>
          <w:sz w:val="24"/>
        </w:rPr>
        <w:t xml:space="preserve">ch wspomnianych rozporządzeń delegowanych. </w:t>
      </w:r>
    </w:p>
    <w:p w14:paraId="343F7CC6" w14:textId="6D0CF460" w:rsidR="004C631B" w:rsidRPr="00EF1413" w:rsidRDefault="004C631B" w:rsidP="00860177">
      <w:pPr>
        <w:ind w:left="580"/>
        <w:jc w:val="both"/>
        <w:rPr>
          <w:rFonts w:ascii="Times New Roman" w:eastAsia="Calibri" w:hAnsi="Times New Roman" w:cs="Times New Roman"/>
          <w:noProof/>
          <w:sz w:val="24"/>
        </w:rPr>
      </w:pPr>
      <w:r>
        <w:rPr>
          <w:rStyle w:val="Bodytext1"/>
          <w:rFonts w:ascii="Times New Roman" w:hAnsi="Times New Roman"/>
          <w:noProof/>
          <w:sz w:val="24"/>
        </w:rPr>
        <w:t>Rozporządzenie (UE) 2019/787 dało początek procesowi stopniowej harmonizacji unijnych przepisów proceduralnych</w:t>
      </w:r>
      <w:r w:rsidR="00324660">
        <w:rPr>
          <w:rStyle w:val="Bodytext1"/>
          <w:rFonts w:ascii="Times New Roman" w:hAnsi="Times New Roman"/>
          <w:noProof/>
          <w:sz w:val="24"/>
        </w:rPr>
        <w:t xml:space="preserve"> i prz</w:t>
      </w:r>
      <w:r>
        <w:rPr>
          <w:rStyle w:val="Bodytext1"/>
          <w:rFonts w:ascii="Times New Roman" w:hAnsi="Times New Roman"/>
          <w:noProof/>
          <w:sz w:val="24"/>
        </w:rPr>
        <w:t>episów dotyczących ochrony oznaczeń geograficznych</w:t>
      </w:r>
      <w:r w:rsidR="00324660">
        <w:rPr>
          <w:rStyle w:val="Bodytext1"/>
          <w:rFonts w:ascii="Times New Roman" w:hAnsi="Times New Roman"/>
          <w:noProof/>
          <w:sz w:val="24"/>
        </w:rPr>
        <w:t xml:space="preserve"> w sek</w:t>
      </w:r>
      <w:r>
        <w:rPr>
          <w:rStyle w:val="Bodytext1"/>
          <w:rFonts w:ascii="Times New Roman" w:hAnsi="Times New Roman"/>
          <w:noProof/>
          <w:sz w:val="24"/>
        </w:rPr>
        <w:t>torach rolnych,</w:t>
      </w:r>
      <w:r w:rsidR="00324660">
        <w:rPr>
          <w:rStyle w:val="Bodytext1"/>
          <w:rFonts w:ascii="Times New Roman" w:hAnsi="Times New Roman"/>
          <w:noProof/>
          <w:sz w:val="24"/>
        </w:rPr>
        <w:t xml:space="preserve"> a zak</w:t>
      </w:r>
      <w:r>
        <w:rPr>
          <w:rStyle w:val="Bodytext1"/>
          <w:rFonts w:ascii="Times New Roman" w:hAnsi="Times New Roman"/>
          <w:noProof/>
          <w:sz w:val="24"/>
        </w:rPr>
        <w:t>ończyło go przyjęcie rozporządzenia Parlamentu Europejskiego</w:t>
      </w:r>
      <w:r w:rsidR="00324660">
        <w:rPr>
          <w:rStyle w:val="Bodytext1"/>
          <w:rFonts w:ascii="Times New Roman" w:hAnsi="Times New Roman"/>
          <w:noProof/>
          <w:sz w:val="24"/>
        </w:rPr>
        <w:t xml:space="preserve"> i Rad</w:t>
      </w:r>
      <w:r>
        <w:rPr>
          <w:rStyle w:val="Bodytext1"/>
          <w:rFonts w:ascii="Times New Roman" w:hAnsi="Times New Roman"/>
          <w:noProof/>
          <w:sz w:val="24"/>
        </w:rPr>
        <w:t xml:space="preserve">y (UE) </w:t>
      </w:r>
      <w:r>
        <w:rPr>
          <w:rFonts w:ascii="Times New Roman" w:hAnsi="Times New Roman"/>
          <w:noProof/>
          <w:sz w:val="24"/>
        </w:rPr>
        <w:t>2024/1143</w:t>
      </w:r>
      <w:r>
        <w:rPr>
          <w:rFonts w:ascii="Times New Roman" w:eastAsia="Calibri" w:hAnsi="Times New Roman" w:cs="Times New Roman"/>
          <w:noProof/>
          <w:sz w:val="24"/>
          <w:vertAlign w:val="superscript"/>
          <w:lang w:val="en-GB"/>
        </w:rPr>
        <w:footnoteReference w:id="4"/>
      </w:r>
      <w:r w:rsidR="00324660">
        <w:rPr>
          <w:rFonts w:ascii="Times New Roman" w:hAnsi="Times New Roman"/>
          <w:noProof/>
          <w:sz w:val="24"/>
        </w:rPr>
        <w:t xml:space="preserve"> z dni</w:t>
      </w:r>
      <w:r>
        <w:rPr>
          <w:rFonts w:ascii="Times New Roman" w:hAnsi="Times New Roman"/>
          <w:noProof/>
          <w:sz w:val="24"/>
        </w:rPr>
        <w:t>a 11 kwietnia 20</w:t>
      </w:r>
      <w:r w:rsidRPr="00324660">
        <w:rPr>
          <w:rFonts w:ascii="Times New Roman" w:hAnsi="Times New Roman"/>
          <w:noProof/>
          <w:sz w:val="24"/>
        </w:rPr>
        <w:t>24</w:t>
      </w:r>
      <w:r w:rsidR="00324660" w:rsidRPr="00324660">
        <w:rPr>
          <w:rFonts w:ascii="Times New Roman" w:hAnsi="Times New Roman"/>
          <w:noProof/>
          <w:sz w:val="24"/>
        </w:rPr>
        <w:t> </w:t>
      </w:r>
      <w:r w:rsidRPr="00324660">
        <w:rPr>
          <w:rFonts w:ascii="Times New Roman" w:hAnsi="Times New Roman"/>
          <w:noProof/>
          <w:sz w:val="24"/>
        </w:rPr>
        <w:t>r.</w:t>
      </w:r>
      <w:r w:rsidR="00324660">
        <w:rPr>
          <w:rFonts w:ascii="Times New Roman" w:hAnsi="Times New Roman"/>
          <w:noProof/>
          <w:sz w:val="24"/>
        </w:rPr>
        <w:t xml:space="preserve"> w spr</w:t>
      </w:r>
      <w:r>
        <w:rPr>
          <w:rFonts w:ascii="Times New Roman" w:hAnsi="Times New Roman"/>
          <w:noProof/>
          <w:sz w:val="24"/>
        </w:rPr>
        <w:t>awie oznaczeń geograficznych wina, napojów spirytusowych</w:t>
      </w:r>
      <w:r w:rsidR="00324660">
        <w:rPr>
          <w:rFonts w:ascii="Times New Roman" w:hAnsi="Times New Roman"/>
          <w:noProof/>
          <w:sz w:val="24"/>
        </w:rPr>
        <w:t xml:space="preserve"> i pro</w:t>
      </w:r>
      <w:r>
        <w:rPr>
          <w:rFonts w:ascii="Times New Roman" w:hAnsi="Times New Roman"/>
          <w:noProof/>
          <w:sz w:val="24"/>
        </w:rPr>
        <w:t>duktów rolnych oraz gwarantowanych tradycyjnych specjalności</w:t>
      </w:r>
      <w:r w:rsidR="00324660">
        <w:rPr>
          <w:rFonts w:ascii="Times New Roman" w:hAnsi="Times New Roman"/>
          <w:noProof/>
          <w:sz w:val="24"/>
        </w:rPr>
        <w:t xml:space="preserve"> i okr</w:t>
      </w:r>
      <w:r>
        <w:rPr>
          <w:rFonts w:ascii="Times New Roman" w:hAnsi="Times New Roman"/>
          <w:noProof/>
          <w:sz w:val="24"/>
        </w:rPr>
        <w:t>eśleń jakościowych stosowanych fakultatywnie</w:t>
      </w:r>
      <w:r w:rsidR="00324660">
        <w:rPr>
          <w:rFonts w:ascii="Times New Roman" w:hAnsi="Times New Roman"/>
          <w:noProof/>
          <w:sz w:val="24"/>
        </w:rPr>
        <w:t xml:space="preserve"> w odn</w:t>
      </w:r>
      <w:r>
        <w:rPr>
          <w:rFonts w:ascii="Times New Roman" w:hAnsi="Times New Roman"/>
          <w:noProof/>
          <w:sz w:val="24"/>
        </w:rPr>
        <w:t xml:space="preserve">iesieniu do produktów rolnych, zmieniającego rozporządzenia (UE) </w:t>
      </w:r>
      <w:r w:rsidRPr="00324660">
        <w:rPr>
          <w:rFonts w:ascii="Times New Roman" w:hAnsi="Times New Roman"/>
          <w:noProof/>
          <w:sz w:val="24"/>
        </w:rPr>
        <w:t>nr</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 xml:space="preserve">308/2013, (UE) 2019/787 i (UE) 2019/1753 oraz uchylającego rozporządzenie (UE) </w:t>
      </w:r>
      <w:r w:rsidRPr="00324660">
        <w:rPr>
          <w:rFonts w:ascii="Times New Roman" w:hAnsi="Times New Roman"/>
          <w:noProof/>
          <w:sz w:val="24"/>
        </w:rPr>
        <w:t>nr</w:t>
      </w:r>
      <w:r w:rsidR="00324660" w:rsidRPr="00324660">
        <w:rPr>
          <w:rFonts w:ascii="Times New Roman" w:hAnsi="Times New Roman"/>
          <w:noProof/>
          <w:sz w:val="24"/>
        </w:rPr>
        <w:t> </w:t>
      </w:r>
      <w:r w:rsidRPr="00324660">
        <w:rPr>
          <w:rFonts w:ascii="Times New Roman" w:hAnsi="Times New Roman"/>
          <w:noProof/>
          <w:sz w:val="24"/>
        </w:rPr>
        <w:t>1</w:t>
      </w:r>
      <w:r>
        <w:rPr>
          <w:rFonts w:ascii="Times New Roman" w:hAnsi="Times New Roman"/>
          <w:noProof/>
          <w:sz w:val="24"/>
        </w:rPr>
        <w:t>151/2012. Rozporządzenie (UE) 2024/1143 ustanawia jednolite unijne ramy dotyczące oznaczeń geograficznych we wszystkich sektorach rolnych, tj.</w:t>
      </w:r>
      <w:r w:rsidR="00324660">
        <w:rPr>
          <w:rFonts w:ascii="Times New Roman" w:hAnsi="Times New Roman"/>
          <w:noProof/>
          <w:sz w:val="24"/>
        </w:rPr>
        <w:t xml:space="preserve"> w odn</w:t>
      </w:r>
      <w:r>
        <w:rPr>
          <w:rFonts w:ascii="Times New Roman" w:hAnsi="Times New Roman"/>
          <w:noProof/>
          <w:sz w:val="24"/>
        </w:rPr>
        <w:t>iesieniu do wina, napojów spirytusowych</w:t>
      </w:r>
      <w:r w:rsidR="00324660">
        <w:rPr>
          <w:rFonts w:ascii="Times New Roman" w:hAnsi="Times New Roman"/>
          <w:noProof/>
          <w:sz w:val="24"/>
        </w:rPr>
        <w:t xml:space="preserve"> i pro</w:t>
      </w:r>
      <w:r>
        <w:rPr>
          <w:rFonts w:ascii="Times New Roman" w:hAnsi="Times New Roman"/>
          <w:noProof/>
          <w:sz w:val="24"/>
        </w:rPr>
        <w:t>duktów rolnych,</w:t>
      </w:r>
      <w:r w:rsidR="00324660">
        <w:rPr>
          <w:rFonts w:ascii="Times New Roman" w:hAnsi="Times New Roman"/>
          <w:noProof/>
          <w:sz w:val="24"/>
        </w:rPr>
        <w:t xml:space="preserve"> i okr</w:t>
      </w:r>
      <w:r>
        <w:rPr>
          <w:rFonts w:ascii="Times New Roman" w:hAnsi="Times New Roman"/>
          <w:noProof/>
          <w:sz w:val="24"/>
        </w:rPr>
        <w:t>eśla jednolity zbiór przepisów dotyczących ochrony</w:t>
      </w:r>
      <w:r w:rsidR="00324660">
        <w:rPr>
          <w:rFonts w:ascii="Times New Roman" w:hAnsi="Times New Roman"/>
          <w:noProof/>
          <w:sz w:val="24"/>
        </w:rPr>
        <w:t xml:space="preserve"> i prz</w:t>
      </w:r>
      <w:r>
        <w:rPr>
          <w:rFonts w:ascii="Times New Roman" w:hAnsi="Times New Roman"/>
          <w:noProof/>
          <w:sz w:val="24"/>
        </w:rPr>
        <w:t>episów proceduralnych, które mają zastosowanie do tych trzech sektorów. Zmienia ono rozporządzenie (UE) 2019/787,</w:t>
      </w:r>
      <w:r w:rsidR="00324660">
        <w:rPr>
          <w:rFonts w:ascii="Times New Roman" w:hAnsi="Times New Roman"/>
          <w:noProof/>
          <w:sz w:val="24"/>
        </w:rPr>
        <w:t xml:space="preserve"> a zak</w:t>
      </w:r>
      <w:r>
        <w:rPr>
          <w:rFonts w:ascii="Times New Roman" w:hAnsi="Times New Roman"/>
          <w:noProof/>
          <w:sz w:val="24"/>
        </w:rPr>
        <w:t>res zmian sprawia, że przepisy dotyczące ochrony, procedur (rejestracji, zmiany</w:t>
      </w:r>
      <w:r w:rsidR="00324660">
        <w:rPr>
          <w:rFonts w:ascii="Times New Roman" w:hAnsi="Times New Roman"/>
          <w:noProof/>
          <w:sz w:val="24"/>
        </w:rPr>
        <w:t xml:space="preserve"> i cof</w:t>
      </w:r>
      <w:r>
        <w:rPr>
          <w:rFonts w:ascii="Times New Roman" w:hAnsi="Times New Roman"/>
          <w:noProof/>
          <w:sz w:val="24"/>
        </w:rPr>
        <w:t>nięcia rejestracji oznaczenia geograficznego) oraz rejestru oznaczeń geograficznych napojów spirytusowych znajdują się obecnie wyłącznie</w:t>
      </w:r>
      <w:r w:rsidR="00324660">
        <w:rPr>
          <w:rFonts w:ascii="Times New Roman" w:hAnsi="Times New Roman"/>
          <w:noProof/>
          <w:sz w:val="24"/>
        </w:rPr>
        <w:t xml:space="preserve"> w roz</w:t>
      </w:r>
      <w:r>
        <w:rPr>
          <w:rFonts w:ascii="Times New Roman" w:hAnsi="Times New Roman"/>
          <w:noProof/>
          <w:sz w:val="24"/>
        </w:rPr>
        <w:t>porządzeniu (UE) 2024/1143.</w:t>
      </w:r>
    </w:p>
    <w:p w14:paraId="74CF7931" w14:textId="0EEBDE50" w:rsidR="00191A59" w:rsidRDefault="00191A59" w:rsidP="004C631B">
      <w:pPr>
        <w:ind w:left="580"/>
        <w:jc w:val="both"/>
        <w:rPr>
          <w:rStyle w:val="Bodytext1"/>
          <w:rFonts w:ascii="Times New Roman" w:hAnsi="Times New Roman" w:cs="Times New Roman"/>
          <w:noProof/>
          <w:sz w:val="24"/>
          <w:szCs w:val="24"/>
        </w:rPr>
      </w:pPr>
      <w:r>
        <w:rPr>
          <w:rStyle w:val="Bodytext1"/>
          <w:rFonts w:ascii="Times New Roman" w:hAnsi="Times New Roman"/>
          <w:noProof/>
          <w:sz w:val="24"/>
        </w:rPr>
        <w:t xml:space="preserve">Rozporządzenie (UE) 2024/1143 uchyliło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3</w:t>
      </w:r>
      <w:r>
        <w:rPr>
          <w:rStyle w:val="Bodytext1"/>
          <w:rFonts w:ascii="Times New Roman" w:hAnsi="Times New Roman"/>
          <w:noProof/>
          <w:sz w:val="24"/>
        </w:rPr>
        <w:t xml:space="preserve">3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sidR="00324660">
        <w:rPr>
          <w:rStyle w:val="Bodytext1"/>
          <w:rFonts w:ascii="Times New Roman" w:hAnsi="Times New Roman"/>
          <w:noProof/>
          <w:sz w:val="24"/>
        </w:rPr>
        <w:t xml:space="preserve"> i </w:t>
      </w:r>
      <w:bookmarkStart w:id="3" w:name="_Hlk194656818"/>
      <w:r w:rsidR="00324660">
        <w:rPr>
          <w:rStyle w:val="Bodytext1"/>
          <w:rFonts w:ascii="Times New Roman" w:hAnsi="Times New Roman"/>
          <w:noProof/>
          <w:sz w:val="24"/>
        </w:rPr>
        <w:t>2</w:t>
      </w:r>
      <w:r>
        <w:rPr>
          <w:rStyle w:val="Bodytext1"/>
          <w:rFonts w:ascii="Times New Roman" w:hAnsi="Times New Roman"/>
          <w:noProof/>
          <w:sz w:val="24"/>
        </w:rPr>
        <w:t>rozporządzenia (UE) 2019/787</w:t>
      </w:r>
      <w:bookmarkEnd w:id="3"/>
      <w:r>
        <w:rPr>
          <w:rStyle w:val="Bodytext1"/>
          <w:rFonts w:ascii="Times New Roman" w:hAnsi="Times New Roman"/>
          <w:noProof/>
          <w:sz w:val="24"/>
        </w:rPr>
        <w:t xml:space="preserve">. </w:t>
      </w:r>
    </w:p>
    <w:p w14:paraId="5FBE5C3B" w14:textId="21FD984D" w:rsidR="00191A59" w:rsidRDefault="00191A59" w:rsidP="004C631B">
      <w:pPr>
        <w:ind w:left="580"/>
        <w:jc w:val="both"/>
        <w:rPr>
          <w:rStyle w:val="Bodytext1"/>
          <w:rFonts w:ascii="Times New Roman" w:hAnsi="Times New Roman" w:cs="Times New Roman"/>
          <w:noProof/>
          <w:sz w:val="24"/>
          <w:szCs w:val="24"/>
        </w:rPr>
      </w:pPr>
      <w:r>
        <w:rPr>
          <w:rStyle w:val="Bodytext1"/>
          <w:rFonts w:ascii="Times New Roman" w:hAnsi="Times New Roman"/>
          <w:noProof/>
          <w:sz w:val="24"/>
        </w:rPr>
        <w:t xml:space="preserve">Nie uchyliło ono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4</w:t>
      </w:r>
      <w:r>
        <w:rPr>
          <w:rStyle w:val="Bodytext1"/>
          <w:rFonts w:ascii="Times New Roman" w:hAnsi="Times New Roman"/>
          <w:noProof/>
          <w:sz w:val="24"/>
        </w:rPr>
        <w:t>1 rozporządzenia (UE) 2019/787, ponieważ ta podstawa prawna była niezbędna do uchylenia rozporządzenia delegowanego Komisji (UE) 2021/1235</w:t>
      </w:r>
      <w:r w:rsidR="00324660">
        <w:rPr>
          <w:rStyle w:val="Bodytext1"/>
          <w:rFonts w:ascii="Times New Roman" w:hAnsi="Times New Roman"/>
          <w:noProof/>
          <w:sz w:val="24"/>
        </w:rPr>
        <w:t xml:space="preserve"> w cel</w:t>
      </w:r>
      <w:r>
        <w:rPr>
          <w:rStyle w:val="Bodytext1"/>
          <w:rFonts w:ascii="Times New Roman" w:hAnsi="Times New Roman"/>
          <w:noProof/>
          <w:sz w:val="24"/>
        </w:rPr>
        <w:t xml:space="preserve">u przyjęcia nowego rozporządzenia delegowanego Komisji uzupełniającego rozporządzenie (UE) 2024/1143, które ma ogólne zastosowanie do trzech sektorów rolnictwa. </w:t>
      </w:r>
    </w:p>
    <w:p w14:paraId="5DD50A44" w14:textId="5B550E24" w:rsidR="004C631B" w:rsidRDefault="00191A59" w:rsidP="00980B60">
      <w:pPr>
        <w:ind w:left="580"/>
        <w:jc w:val="both"/>
        <w:rPr>
          <w:rStyle w:val="Bodytext1"/>
          <w:rFonts w:ascii="Times New Roman" w:hAnsi="Times New Roman" w:cs="Times New Roman"/>
          <w:noProof/>
          <w:sz w:val="24"/>
          <w:szCs w:val="24"/>
        </w:rPr>
      </w:pPr>
      <w:r>
        <w:rPr>
          <w:rStyle w:val="Bodytext1"/>
          <w:rFonts w:ascii="Times New Roman" w:hAnsi="Times New Roman"/>
          <w:noProof/>
          <w:sz w:val="24"/>
        </w:rPr>
        <w:t>W związku</w:t>
      </w:r>
      <w:r w:rsidR="00324660">
        <w:rPr>
          <w:rStyle w:val="Bodytext1"/>
          <w:rFonts w:ascii="Times New Roman" w:hAnsi="Times New Roman"/>
          <w:noProof/>
          <w:sz w:val="24"/>
        </w:rPr>
        <w:t xml:space="preserve"> z </w:t>
      </w:r>
      <w:r w:rsidR="00324660" w:rsidRPr="00324660">
        <w:rPr>
          <w:rStyle w:val="Bodytext1"/>
          <w:rFonts w:ascii="Times New Roman" w:hAnsi="Times New Roman"/>
          <w:noProof/>
          <w:sz w:val="24"/>
        </w:rPr>
        <w:t>tym </w:t>
      </w:r>
      <w:r w:rsidRPr="00324660">
        <w:rPr>
          <w:rStyle w:val="Bodytext1"/>
          <w:rFonts w:ascii="Times New Roman" w:hAnsi="Times New Roman"/>
          <w:noProof/>
          <w:sz w:val="24"/>
        </w:rPr>
        <w:t>3</w:t>
      </w:r>
      <w:r>
        <w:rPr>
          <w:rStyle w:val="Bodytext1"/>
          <w:rFonts w:ascii="Times New Roman" w:hAnsi="Times New Roman"/>
          <w:noProof/>
          <w:sz w:val="24"/>
        </w:rPr>
        <w:t>0 października 20</w:t>
      </w:r>
      <w:r w:rsidRPr="00324660">
        <w:rPr>
          <w:rStyle w:val="Bodytext1"/>
          <w:rFonts w:ascii="Times New Roman" w:hAnsi="Times New Roman"/>
          <w:noProof/>
          <w:sz w:val="24"/>
        </w:rPr>
        <w:t>24</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r.</w:t>
      </w:r>
      <w:r>
        <w:rPr>
          <w:rStyle w:val="Bodytext1"/>
          <w:rFonts w:ascii="Times New Roman" w:hAnsi="Times New Roman"/>
          <w:noProof/>
          <w:sz w:val="24"/>
        </w:rPr>
        <w:t xml:space="preserve"> przyjęto dwa rozporządzenia delegowane Komisji: rozporządzenie delegowane Komisji (UE) 2025/27</w:t>
      </w:r>
      <w:r>
        <w:rPr>
          <w:rStyle w:val="FootnoteReference"/>
          <w:rFonts w:ascii="Times New Roman" w:hAnsi="Times New Roman" w:cs="Times New Roman"/>
          <w:noProof/>
          <w:sz w:val="24"/>
          <w:szCs w:val="24"/>
        </w:rPr>
        <w:footnoteReference w:id="5"/>
      </w:r>
      <w:r w:rsidR="00324660">
        <w:rPr>
          <w:rStyle w:val="Bodytext1"/>
          <w:rFonts w:ascii="Times New Roman" w:hAnsi="Times New Roman"/>
          <w:noProof/>
          <w:sz w:val="24"/>
        </w:rPr>
        <w:t xml:space="preserve"> z dni</w:t>
      </w:r>
      <w:r>
        <w:rPr>
          <w:rStyle w:val="Bodytext1"/>
          <w:rFonts w:ascii="Times New Roman" w:hAnsi="Times New Roman"/>
          <w:noProof/>
          <w:sz w:val="24"/>
        </w:rPr>
        <w:t>a 30 października 20</w:t>
      </w:r>
      <w:r w:rsidRPr="00324660">
        <w:rPr>
          <w:rStyle w:val="Bodytext1"/>
          <w:rFonts w:ascii="Times New Roman" w:hAnsi="Times New Roman"/>
          <w:noProof/>
          <w:sz w:val="24"/>
        </w:rPr>
        <w:t>24</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r.</w:t>
      </w:r>
      <w:r>
        <w:rPr>
          <w:rStyle w:val="Bodytext1"/>
          <w:rFonts w:ascii="Times New Roman" w:hAnsi="Times New Roman"/>
          <w:noProof/>
          <w:sz w:val="24"/>
        </w:rPr>
        <w:t xml:space="preserve"> uzupełniające rozporządzenie Parlamentu Europejskiego</w:t>
      </w:r>
      <w:r w:rsidR="00324660">
        <w:rPr>
          <w:rStyle w:val="Bodytext1"/>
          <w:rFonts w:ascii="Times New Roman" w:hAnsi="Times New Roman"/>
          <w:noProof/>
          <w:sz w:val="24"/>
        </w:rPr>
        <w:t xml:space="preserve"> i Rad</w:t>
      </w:r>
      <w:r>
        <w:rPr>
          <w:rStyle w:val="Bodytext1"/>
          <w:rFonts w:ascii="Times New Roman" w:hAnsi="Times New Roman"/>
          <w:noProof/>
          <w:sz w:val="24"/>
        </w:rPr>
        <w:t>y (UE) 2024/1143</w:t>
      </w:r>
      <w:r w:rsidR="00324660">
        <w:rPr>
          <w:rStyle w:val="Bodytext1"/>
          <w:rFonts w:ascii="Times New Roman" w:hAnsi="Times New Roman"/>
          <w:noProof/>
          <w:sz w:val="24"/>
        </w:rPr>
        <w:t xml:space="preserve"> o prz</w:t>
      </w:r>
      <w:r>
        <w:rPr>
          <w:rStyle w:val="Bodytext1"/>
          <w:rFonts w:ascii="Times New Roman" w:hAnsi="Times New Roman"/>
          <w:noProof/>
          <w:sz w:val="24"/>
        </w:rPr>
        <w:t>episy dotyczące rejestracji</w:t>
      </w:r>
      <w:r w:rsidR="00324660">
        <w:rPr>
          <w:rStyle w:val="Bodytext1"/>
          <w:rFonts w:ascii="Times New Roman" w:hAnsi="Times New Roman"/>
          <w:noProof/>
          <w:sz w:val="24"/>
        </w:rPr>
        <w:t xml:space="preserve"> i och</w:t>
      </w:r>
      <w:r>
        <w:rPr>
          <w:rStyle w:val="Bodytext1"/>
          <w:rFonts w:ascii="Times New Roman" w:hAnsi="Times New Roman"/>
          <w:noProof/>
          <w:sz w:val="24"/>
        </w:rPr>
        <w:t>rony oznaczeń geograficznych, gwarantowanych tradycyjnych specjalności</w:t>
      </w:r>
      <w:r w:rsidR="00324660">
        <w:rPr>
          <w:rStyle w:val="Bodytext1"/>
          <w:rFonts w:ascii="Times New Roman" w:hAnsi="Times New Roman"/>
          <w:noProof/>
          <w:sz w:val="24"/>
        </w:rPr>
        <w:t xml:space="preserve"> i okr</w:t>
      </w:r>
      <w:r>
        <w:rPr>
          <w:rStyle w:val="Bodytext1"/>
          <w:rFonts w:ascii="Times New Roman" w:hAnsi="Times New Roman"/>
          <w:noProof/>
          <w:sz w:val="24"/>
        </w:rPr>
        <w:t xml:space="preserve">eśleń jakościowych stosowanych fakultatywnie oraz uchylające rozporządzenie delegowane (UE) </w:t>
      </w:r>
      <w:r w:rsidRPr="00324660">
        <w:rPr>
          <w:rStyle w:val="Bodytext1"/>
          <w:rFonts w:ascii="Times New Roman" w:hAnsi="Times New Roman"/>
          <w:noProof/>
          <w:sz w:val="24"/>
        </w:rPr>
        <w:t>nr</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6</w:t>
      </w:r>
      <w:r>
        <w:rPr>
          <w:rStyle w:val="Bodytext1"/>
          <w:rFonts w:ascii="Times New Roman" w:hAnsi="Times New Roman"/>
          <w:noProof/>
          <w:sz w:val="24"/>
        </w:rPr>
        <w:t>64/2014 oraz rozporządzenie delegowane Komisji (UE) 2025/29</w:t>
      </w:r>
      <w:r>
        <w:rPr>
          <w:rStyle w:val="FootnoteReference"/>
          <w:rFonts w:ascii="Times New Roman" w:hAnsi="Times New Roman" w:cs="Times New Roman"/>
          <w:noProof/>
          <w:sz w:val="24"/>
          <w:szCs w:val="24"/>
        </w:rPr>
        <w:footnoteReference w:id="6"/>
      </w:r>
      <w:r w:rsidR="00324660">
        <w:rPr>
          <w:rStyle w:val="Bodytext1"/>
          <w:rFonts w:ascii="Times New Roman" w:hAnsi="Times New Roman"/>
          <w:noProof/>
          <w:sz w:val="24"/>
        </w:rPr>
        <w:t xml:space="preserve"> z dni</w:t>
      </w:r>
      <w:r>
        <w:rPr>
          <w:rStyle w:val="Bodytext1"/>
          <w:rFonts w:ascii="Times New Roman" w:hAnsi="Times New Roman"/>
          <w:noProof/>
          <w:sz w:val="24"/>
        </w:rPr>
        <w:t>a 30 października 20</w:t>
      </w:r>
      <w:r w:rsidRPr="00324660">
        <w:rPr>
          <w:rStyle w:val="Bodytext1"/>
          <w:rFonts w:ascii="Times New Roman" w:hAnsi="Times New Roman"/>
          <w:noProof/>
          <w:sz w:val="24"/>
        </w:rPr>
        <w:t>24</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r.</w:t>
      </w:r>
      <w:r>
        <w:rPr>
          <w:rStyle w:val="Bodytext1"/>
          <w:rFonts w:ascii="Times New Roman" w:hAnsi="Times New Roman"/>
          <w:noProof/>
          <w:sz w:val="24"/>
        </w:rPr>
        <w:t xml:space="preserve"> uchylające rozporządzenie delegowane (UE) 2021/1235 uzupełniające rozporządzenie Parlamentu Europejskiego</w:t>
      </w:r>
      <w:r w:rsidR="00324660">
        <w:rPr>
          <w:rStyle w:val="Bodytext1"/>
          <w:rFonts w:ascii="Times New Roman" w:hAnsi="Times New Roman"/>
          <w:noProof/>
          <w:sz w:val="24"/>
        </w:rPr>
        <w:t xml:space="preserve"> i Rad</w:t>
      </w:r>
      <w:r>
        <w:rPr>
          <w:rStyle w:val="Bodytext1"/>
          <w:rFonts w:ascii="Times New Roman" w:hAnsi="Times New Roman"/>
          <w:noProof/>
          <w:sz w:val="24"/>
        </w:rPr>
        <w:t>y (UE) 2019/787</w:t>
      </w:r>
      <w:r w:rsidR="00324660">
        <w:rPr>
          <w:rStyle w:val="Bodytext1"/>
          <w:rFonts w:ascii="Times New Roman" w:hAnsi="Times New Roman"/>
          <w:noProof/>
          <w:sz w:val="24"/>
        </w:rPr>
        <w:t xml:space="preserve"> o prz</w:t>
      </w:r>
      <w:r>
        <w:rPr>
          <w:rStyle w:val="Bodytext1"/>
          <w:rFonts w:ascii="Times New Roman" w:hAnsi="Times New Roman"/>
          <w:noProof/>
          <w:sz w:val="24"/>
        </w:rPr>
        <w:t>episy dotyczące wniosków</w:t>
      </w:r>
      <w:r w:rsidR="00324660">
        <w:rPr>
          <w:rStyle w:val="Bodytext1"/>
          <w:rFonts w:ascii="Times New Roman" w:hAnsi="Times New Roman"/>
          <w:noProof/>
          <w:sz w:val="24"/>
        </w:rPr>
        <w:t xml:space="preserve"> o rej</w:t>
      </w:r>
      <w:r>
        <w:rPr>
          <w:rStyle w:val="Bodytext1"/>
          <w:rFonts w:ascii="Times New Roman" w:hAnsi="Times New Roman"/>
          <w:noProof/>
          <w:sz w:val="24"/>
        </w:rPr>
        <w:t>estrację oznaczeń geograficznych napojów spirytusowych, zmian</w:t>
      </w:r>
      <w:r w:rsidR="00324660">
        <w:rPr>
          <w:rStyle w:val="Bodytext1"/>
          <w:rFonts w:ascii="Times New Roman" w:hAnsi="Times New Roman"/>
          <w:noProof/>
          <w:sz w:val="24"/>
        </w:rPr>
        <w:t xml:space="preserve"> w spe</w:t>
      </w:r>
      <w:r>
        <w:rPr>
          <w:rStyle w:val="Bodytext1"/>
          <w:rFonts w:ascii="Times New Roman" w:hAnsi="Times New Roman"/>
          <w:noProof/>
          <w:sz w:val="24"/>
        </w:rPr>
        <w:t>cyfikacji produktu, cofnięcia rejestracji</w:t>
      </w:r>
      <w:r w:rsidR="00324660">
        <w:rPr>
          <w:rStyle w:val="Bodytext1"/>
          <w:rFonts w:ascii="Times New Roman" w:hAnsi="Times New Roman"/>
          <w:noProof/>
          <w:sz w:val="24"/>
        </w:rPr>
        <w:t xml:space="preserve"> i rej</w:t>
      </w:r>
      <w:r>
        <w:rPr>
          <w:rStyle w:val="Bodytext1"/>
          <w:rFonts w:ascii="Times New Roman" w:hAnsi="Times New Roman"/>
          <w:noProof/>
          <w:sz w:val="24"/>
        </w:rPr>
        <w:t xml:space="preserve">estru. </w:t>
      </w:r>
    </w:p>
    <w:p w14:paraId="3C722650" w14:textId="0878F810" w:rsidR="00E27986" w:rsidRDefault="00E27986" w:rsidP="004C631B">
      <w:pPr>
        <w:ind w:left="580"/>
        <w:jc w:val="both"/>
        <w:rPr>
          <w:rFonts w:ascii="Times New Roman" w:hAnsi="Times New Roman" w:cs="Times New Roman"/>
          <w:noProof/>
          <w:sz w:val="24"/>
          <w:szCs w:val="24"/>
        </w:rPr>
      </w:pPr>
      <w:r>
        <w:rPr>
          <w:rFonts w:ascii="Times New Roman" w:hAnsi="Times New Roman"/>
          <w:noProof/>
          <w:sz w:val="24"/>
        </w:rPr>
        <w:t>Przepisy dotyczące procedur rejestracji, zmiany</w:t>
      </w:r>
      <w:r w:rsidR="00324660">
        <w:rPr>
          <w:rFonts w:ascii="Times New Roman" w:hAnsi="Times New Roman"/>
          <w:noProof/>
          <w:sz w:val="24"/>
        </w:rPr>
        <w:t xml:space="preserve"> i cof</w:t>
      </w:r>
      <w:r>
        <w:rPr>
          <w:rFonts w:ascii="Times New Roman" w:hAnsi="Times New Roman"/>
          <w:noProof/>
          <w:sz w:val="24"/>
        </w:rPr>
        <w:t>nięcia rejestracji oznaczeń geograficznych</w:t>
      </w:r>
      <w:r w:rsidR="00324660">
        <w:rPr>
          <w:rFonts w:ascii="Times New Roman" w:hAnsi="Times New Roman"/>
          <w:noProof/>
          <w:sz w:val="24"/>
        </w:rPr>
        <w:t xml:space="preserve"> w sek</w:t>
      </w:r>
      <w:r>
        <w:rPr>
          <w:rFonts w:ascii="Times New Roman" w:hAnsi="Times New Roman"/>
          <w:noProof/>
          <w:sz w:val="24"/>
        </w:rPr>
        <w:t>torze napojów spirytusowych, zawarte</w:t>
      </w:r>
      <w:r w:rsidR="00324660">
        <w:rPr>
          <w:rFonts w:ascii="Times New Roman" w:hAnsi="Times New Roman"/>
          <w:noProof/>
          <w:sz w:val="24"/>
        </w:rPr>
        <w:t xml:space="preserve"> w roz</w:t>
      </w:r>
      <w:r>
        <w:rPr>
          <w:rFonts w:ascii="Times New Roman" w:hAnsi="Times New Roman"/>
          <w:noProof/>
          <w:sz w:val="24"/>
        </w:rPr>
        <w:t>porządzeniu delegowanym Komisji (UE) 2021/1235, zostały uchylone</w:t>
      </w:r>
      <w:r w:rsidR="00324660">
        <w:rPr>
          <w:rFonts w:ascii="Times New Roman" w:hAnsi="Times New Roman"/>
          <w:noProof/>
          <w:sz w:val="24"/>
        </w:rPr>
        <w:t xml:space="preserve"> i zas</w:t>
      </w:r>
      <w:r>
        <w:rPr>
          <w:rFonts w:ascii="Times New Roman" w:hAnsi="Times New Roman"/>
          <w:noProof/>
          <w:sz w:val="24"/>
        </w:rPr>
        <w:t>tąpione odpowiednimi przepisami rozporządzenia delegowanego Komisji (UE) 2025/27. Przepisy dotyczące rejestru oznaczeń geograficznych</w:t>
      </w:r>
      <w:r w:rsidR="00324660">
        <w:rPr>
          <w:rFonts w:ascii="Times New Roman" w:hAnsi="Times New Roman"/>
          <w:noProof/>
          <w:sz w:val="24"/>
        </w:rPr>
        <w:t xml:space="preserve"> w sek</w:t>
      </w:r>
      <w:r>
        <w:rPr>
          <w:rFonts w:ascii="Times New Roman" w:hAnsi="Times New Roman"/>
          <w:noProof/>
          <w:sz w:val="24"/>
        </w:rPr>
        <w:t>torze napojów spirytusowych, które były zawarte</w:t>
      </w:r>
      <w:r w:rsidR="00324660">
        <w:rPr>
          <w:rFonts w:ascii="Times New Roman" w:hAnsi="Times New Roman"/>
          <w:noProof/>
          <w:sz w:val="24"/>
        </w:rPr>
        <w:t xml:space="preserve"> w roz</w:t>
      </w:r>
      <w:r>
        <w:rPr>
          <w:rFonts w:ascii="Times New Roman" w:hAnsi="Times New Roman"/>
          <w:noProof/>
          <w:sz w:val="24"/>
        </w:rPr>
        <w:t>porządzeniu delegowanym Komisji (UE) 2021/1235, uchylono</w:t>
      </w:r>
      <w:r w:rsidR="00324660">
        <w:rPr>
          <w:rFonts w:ascii="Times New Roman" w:hAnsi="Times New Roman"/>
          <w:noProof/>
          <w:sz w:val="24"/>
        </w:rPr>
        <w:t xml:space="preserve"> i zas</w:t>
      </w:r>
      <w:r>
        <w:rPr>
          <w:rFonts w:ascii="Times New Roman" w:hAnsi="Times New Roman"/>
          <w:noProof/>
          <w:sz w:val="24"/>
        </w:rPr>
        <w:t>tąpiono odpowiednimi przepisami rozporządzenia wykonawczego Komisji (UE) 2025/26</w:t>
      </w:r>
      <w:r>
        <w:rPr>
          <w:rStyle w:val="FootnoteReference"/>
          <w:rFonts w:ascii="Times New Roman" w:hAnsi="Times New Roman" w:cs="Times New Roman"/>
          <w:noProof/>
          <w:sz w:val="24"/>
          <w:szCs w:val="24"/>
        </w:rPr>
        <w:footnoteReference w:id="7"/>
      </w:r>
      <w:r w:rsidR="00324660">
        <w:rPr>
          <w:rFonts w:ascii="Times New Roman" w:hAnsi="Times New Roman"/>
          <w:noProof/>
          <w:sz w:val="24"/>
        </w:rPr>
        <w:t xml:space="preserve"> z dni</w:t>
      </w:r>
      <w:r>
        <w:rPr>
          <w:rFonts w:ascii="Times New Roman" w:hAnsi="Times New Roman"/>
          <w:noProof/>
          <w:sz w:val="24"/>
        </w:rPr>
        <w:t>a 30 października 2024 r. ustanawiającego zasady stosowania rozporządzenia Parlamentu Europejskiego</w:t>
      </w:r>
      <w:r w:rsidR="00324660">
        <w:rPr>
          <w:rFonts w:ascii="Times New Roman" w:hAnsi="Times New Roman"/>
          <w:noProof/>
          <w:sz w:val="24"/>
        </w:rPr>
        <w:t xml:space="preserve"> i Rad</w:t>
      </w:r>
      <w:r>
        <w:rPr>
          <w:rFonts w:ascii="Times New Roman" w:hAnsi="Times New Roman"/>
          <w:noProof/>
          <w:sz w:val="24"/>
        </w:rPr>
        <w:t>y (UE) 2024/1143</w:t>
      </w:r>
      <w:r w:rsidR="00324660">
        <w:rPr>
          <w:rFonts w:ascii="Times New Roman" w:hAnsi="Times New Roman"/>
          <w:noProof/>
          <w:sz w:val="24"/>
        </w:rPr>
        <w:t xml:space="preserve"> w odn</w:t>
      </w:r>
      <w:r>
        <w:rPr>
          <w:rFonts w:ascii="Times New Roman" w:hAnsi="Times New Roman"/>
          <w:noProof/>
          <w:sz w:val="24"/>
        </w:rPr>
        <w:t>iesieniu do rejestracji, zmian, cofnięć rejestracji, egzekwowania ochrony, etykietowania</w:t>
      </w:r>
      <w:r w:rsidR="00324660">
        <w:rPr>
          <w:rFonts w:ascii="Times New Roman" w:hAnsi="Times New Roman"/>
          <w:noProof/>
          <w:sz w:val="24"/>
        </w:rPr>
        <w:t xml:space="preserve"> i pow</w:t>
      </w:r>
      <w:r>
        <w:rPr>
          <w:rFonts w:ascii="Times New Roman" w:hAnsi="Times New Roman"/>
          <w:noProof/>
          <w:sz w:val="24"/>
        </w:rPr>
        <w:t>iadomień dotyczących oznaczeń geograficznych</w:t>
      </w:r>
      <w:r w:rsidR="00324660">
        <w:rPr>
          <w:rFonts w:ascii="Times New Roman" w:hAnsi="Times New Roman"/>
          <w:noProof/>
          <w:sz w:val="24"/>
        </w:rPr>
        <w:t xml:space="preserve"> i gwa</w:t>
      </w:r>
      <w:r>
        <w:rPr>
          <w:rFonts w:ascii="Times New Roman" w:hAnsi="Times New Roman"/>
          <w:noProof/>
          <w:sz w:val="24"/>
        </w:rPr>
        <w:t>rantowanych tradycyjnych specjalności oraz zmieniającego rozporządzenie wykonawcze (UE) 2019/34</w:t>
      </w:r>
      <w:r w:rsidR="00324660">
        <w:rPr>
          <w:rFonts w:ascii="Times New Roman" w:hAnsi="Times New Roman"/>
          <w:noProof/>
          <w:sz w:val="24"/>
        </w:rPr>
        <w:t xml:space="preserve"> w odn</w:t>
      </w:r>
      <w:r>
        <w:rPr>
          <w:rFonts w:ascii="Times New Roman" w:hAnsi="Times New Roman"/>
          <w:noProof/>
          <w:sz w:val="24"/>
        </w:rPr>
        <w:t>iesieniu do oznaczeń geograficznych</w:t>
      </w:r>
      <w:r w:rsidR="00324660">
        <w:rPr>
          <w:rFonts w:ascii="Times New Roman" w:hAnsi="Times New Roman"/>
          <w:noProof/>
          <w:sz w:val="24"/>
        </w:rPr>
        <w:t xml:space="preserve"> w sek</w:t>
      </w:r>
      <w:r>
        <w:rPr>
          <w:rFonts w:ascii="Times New Roman" w:hAnsi="Times New Roman"/>
          <w:noProof/>
          <w:sz w:val="24"/>
        </w:rPr>
        <w:t xml:space="preserve">torze wina oraz uchylającego rozporządzenia wykonawcze (UE) nr 668/2014 i (UE) 2021/1236. </w:t>
      </w:r>
    </w:p>
    <w:p w14:paraId="341EF162" w14:textId="153461DB" w:rsidR="00DC501C" w:rsidRDefault="00DC501C" w:rsidP="004C631B">
      <w:pPr>
        <w:ind w:left="580"/>
        <w:jc w:val="both"/>
        <w:rPr>
          <w:rFonts w:ascii="Times New Roman" w:hAnsi="Times New Roman" w:cs="Times New Roman"/>
          <w:noProof/>
          <w:sz w:val="24"/>
          <w:szCs w:val="24"/>
        </w:rPr>
      </w:pPr>
      <w:r>
        <w:rPr>
          <w:rFonts w:ascii="Times New Roman" w:hAnsi="Times New Roman"/>
          <w:noProof/>
          <w:sz w:val="24"/>
        </w:rPr>
        <w:t xml:space="preserve">Podsumowując,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1 rozporządzenia (UE) 2019/787 został uchylony. Art. 41 rozporządzenia (UE) 2019/787 należy uznać za nieaktualny, ponieważ zawiera uprawnienia, które nie będą już wykorzystywane, gdyż zastąpiono je odpowiednimi uprawnieniami określonymi</w:t>
      </w:r>
      <w:r w:rsidR="00324660">
        <w:rPr>
          <w:rFonts w:ascii="Times New Roman" w:hAnsi="Times New Roman"/>
          <w:noProof/>
          <w:sz w:val="24"/>
        </w:rPr>
        <w:t xml:space="preserve"> w roz</w:t>
      </w:r>
      <w:r>
        <w:rPr>
          <w:rFonts w:ascii="Times New Roman" w:hAnsi="Times New Roman"/>
          <w:noProof/>
          <w:sz w:val="24"/>
        </w:rPr>
        <w:t>porządzeniu (UE) 2024/1143. Rozporządzenie delegowane Komisji (UE) 2021/1235, które było jedynym aktem delegowanym przyjętym na podstawie uprawnień przewidzianych</w:t>
      </w:r>
      <w:r w:rsidR="00324660">
        <w:rPr>
          <w:rFonts w:ascii="Times New Roman" w:hAnsi="Times New Roman"/>
          <w:noProof/>
          <w:sz w:val="24"/>
        </w:rPr>
        <w:t xml:space="preserve"> w </w:t>
      </w:r>
      <w:r w:rsidR="00324660" w:rsidRPr="00324660">
        <w:rPr>
          <w:rFonts w:ascii="Times New Roman" w:hAnsi="Times New Roman"/>
          <w:noProof/>
          <w:sz w:val="24"/>
        </w:rPr>
        <w:t>art</w:t>
      </w:r>
      <w:r w:rsidRPr="00324660">
        <w:rPr>
          <w:rFonts w:ascii="Times New Roman" w:hAnsi="Times New Roman"/>
          <w:noProof/>
          <w:sz w:val="24"/>
        </w:rPr>
        <w: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6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zostało uchylone.</w:t>
      </w:r>
    </w:p>
    <w:p w14:paraId="5C800A60" w14:textId="098B146A" w:rsidR="00983AB4" w:rsidRPr="00983AB4" w:rsidRDefault="00DC501C" w:rsidP="00983AB4">
      <w:pPr>
        <w:ind w:left="580"/>
        <w:jc w:val="both"/>
        <w:rPr>
          <w:rFonts w:ascii="Times New Roman" w:hAnsi="Times New Roman" w:cs="Times New Roman"/>
          <w:noProof/>
          <w:sz w:val="24"/>
          <w:szCs w:val="24"/>
        </w:rPr>
      </w:pPr>
      <w:r>
        <w:rPr>
          <w:rFonts w:ascii="Times New Roman" w:hAnsi="Times New Roman"/>
          <w:noProof/>
          <w:sz w:val="24"/>
        </w:rPr>
        <w:t>W związku</w:t>
      </w:r>
      <w:r w:rsidR="00324660">
        <w:rPr>
          <w:rFonts w:ascii="Times New Roman" w:hAnsi="Times New Roman"/>
          <w:noProof/>
          <w:sz w:val="24"/>
        </w:rPr>
        <w:t xml:space="preserve"> z pow</w:t>
      </w:r>
      <w:r>
        <w:rPr>
          <w:rFonts w:ascii="Times New Roman" w:hAnsi="Times New Roman"/>
          <w:noProof/>
          <w:sz w:val="24"/>
        </w:rPr>
        <w:t>yższym Komisja nie może korzystać</w:t>
      </w:r>
      <w:r w:rsidR="00324660">
        <w:rPr>
          <w:rFonts w:ascii="Times New Roman" w:hAnsi="Times New Roman"/>
          <w:noProof/>
          <w:sz w:val="24"/>
        </w:rPr>
        <w:t xml:space="preserve"> z upr</w:t>
      </w:r>
      <w:r>
        <w:rPr>
          <w:rFonts w:ascii="Times New Roman" w:hAnsi="Times New Roman"/>
          <w:noProof/>
          <w:sz w:val="24"/>
        </w:rPr>
        <w:t xml:space="preserve">awnienia na mocy </w:t>
      </w:r>
      <w:r w:rsidRPr="00324660">
        <w:rPr>
          <w:rFonts w:ascii="Times New Roman" w:hAnsi="Times New Roman"/>
          <w:noProof/>
          <w:sz w:val="24"/>
        </w:rPr>
        <w:t>art.</w:t>
      </w:r>
      <w:r w:rsidR="00324660" w:rsidRPr="00324660">
        <w:rPr>
          <w:rFonts w:ascii="Times New Roman" w:hAnsi="Times New Roman"/>
          <w:noProof/>
          <w:sz w:val="24"/>
        </w:rPr>
        <w:t> </w:t>
      </w:r>
      <w:r w:rsidRPr="00324660">
        <w:rPr>
          <w:rFonts w:ascii="Times New Roman" w:hAnsi="Times New Roman"/>
          <w:noProof/>
          <w:sz w:val="24"/>
        </w:rPr>
        <w:t>4</w:t>
      </w:r>
      <w:r>
        <w:rPr>
          <w:rFonts w:ascii="Times New Roman" w:hAnsi="Times New Roman"/>
          <w:noProof/>
          <w:sz w:val="24"/>
        </w:rPr>
        <w:t xml:space="preserve">6 </w:t>
      </w:r>
      <w:r w:rsidRPr="00324660">
        <w:rPr>
          <w:rFonts w:ascii="Times New Roman" w:hAnsi="Times New Roman"/>
          <w:noProof/>
          <w:sz w:val="24"/>
        </w:rPr>
        <w:t>ust.</w:t>
      </w:r>
      <w:r w:rsidR="00324660" w:rsidRPr="00324660">
        <w:rPr>
          <w:rFonts w:ascii="Times New Roman" w:hAnsi="Times New Roman"/>
          <w:noProof/>
          <w:sz w:val="24"/>
        </w:rPr>
        <w:t> </w:t>
      </w:r>
      <w:r w:rsidRPr="00324660">
        <w:rPr>
          <w:rFonts w:ascii="Times New Roman" w:hAnsi="Times New Roman"/>
          <w:noProof/>
          <w:sz w:val="24"/>
        </w:rPr>
        <w:t>3</w:t>
      </w:r>
      <w:r>
        <w:rPr>
          <w:rFonts w:ascii="Times New Roman" w:hAnsi="Times New Roman"/>
          <w:noProof/>
          <w:sz w:val="24"/>
        </w:rPr>
        <w:t xml:space="preserve"> rozporządzenia (UE) 2019/787, które upoważnia Komisję do przyjmowania aktów delegowanych.</w:t>
      </w:r>
    </w:p>
    <w:p w14:paraId="6AF865A9" w14:textId="28C3766E" w:rsidR="000E6959" w:rsidRDefault="000E6959" w:rsidP="00876397">
      <w:pPr>
        <w:pStyle w:val="Bodytext10"/>
        <w:ind w:left="580"/>
        <w:jc w:val="both"/>
        <w:rPr>
          <w:rStyle w:val="Bodytext1"/>
          <w:rFonts w:ascii="Times New Roman" w:hAnsi="Times New Roman" w:cs="Times New Roman"/>
          <w:noProof/>
          <w:sz w:val="24"/>
          <w:szCs w:val="24"/>
        </w:rPr>
      </w:pPr>
      <w:r>
        <w:rPr>
          <w:rStyle w:val="Bodytext1"/>
          <w:rFonts w:ascii="Times New Roman" w:hAnsi="Times New Roman"/>
          <w:noProof/>
          <w:sz w:val="24"/>
        </w:rPr>
        <w:t>Z tych względów Komisja nie wnosi</w:t>
      </w:r>
      <w:r w:rsidR="00324660">
        <w:rPr>
          <w:rStyle w:val="Bodytext1"/>
          <w:rFonts w:ascii="Times New Roman" w:hAnsi="Times New Roman"/>
          <w:noProof/>
          <w:sz w:val="24"/>
        </w:rPr>
        <w:t xml:space="preserve"> o prz</w:t>
      </w:r>
      <w:r>
        <w:rPr>
          <w:rStyle w:val="Bodytext1"/>
          <w:rFonts w:ascii="Times New Roman" w:hAnsi="Times New Roman"/>
          <w:noProof/>
          <w:sz w:val="24"/>
        </w:rPr>
        <w:t>edłużenie przekazania uprawnień.</w:t>
      </w:r>
    </w:p>
    <w:p w14:paraId="73B72466" w14:textId="77777777" w:rsidR="004B181D" w:rsidRPr="00F64939" w:rsidRDefault="004B181D" w:rsidP="004B181D">
      <w:pPr>
        <w:pStyle w:val="Heading110"/>
        <w:keepNext/>
        <w:keepLines/>
        <w:numPr>
          <w:ilvl w:val="0"/>
          <w:numId w:val="1"/>
        </w:numPr>
        <w:tabs>
          <w:tab w:val="left" w:pos="557"/>
        </w:tabs>
        <w:jc w:val="both"/>
        <w:rPr>
          <w:rStyle w:val="Heading11"/>
          <w:rFonts w:ascii="Times New Roman" w:hAnsi="Times New Roman" w:cs="Times New Roman"/>
          <w:b/>
          <w:bCs/>
          <w:noProof/>
          <w:sz w:val="24"/>
          <w:szCs w:val="24"/>
        </w:rPr>
      </w:pPr>
      <w:r>
        <w:rPr>
          <w:rStyle w:val="Heading11"/>
          <w:rFonts w:ascii="Times New Roman" w:hAnsi="Times New Roman"/>
          <w:noProof/>
          <w:sz w:val="24"/>
        </w:rPr>
        <w:t>WNIOSKI</w:t>
      </w:r>
    </w:p>
    <w:p w14:paraId="3F85803B" w14:textId="20E1C376" w:rsidR="00BC51EE" w:rsidRPr="000E6959" w:rsidRDefault="00F64939" w:rsidP="000F5BF6">
      <w:pPr>
        <w:pStyle w:val="Bodytext10"/>
        <w:ind w:left="567"/>
        <w:jc w:val="both"/>
        <w:rPr>
          <w:noProof/>
        </w:rPr>
      </w:pPr>
      <w:r>
        <w:rPr>
          <w:rStyle w:val="Bodytext1"/>
          <w:rFonts w:ascii="Times New Roman" w:hAnsi="Times New Roman"/>
          <w:noProof/>
          <w:sz w:val="24"/>
        </w:rPr>
        <w:t>W okresie objętym niniejszym sprawozdaniem Komisja skorzystała</w:t>
      </w:r>
      <w:r w:rsidR="00324660">
        <w:rPr>
          <w:rStyle w:val="Bodytext1"/>
          <w:rFonts w:ascii="Times New Roman" w:hAnsi="Times New Roman"/>
          <w:noProof/>
          <w:sz w:val="24"/>
        </w:rPr>
        <w:t xml:space="preserve"> z upr</w:t>
      </w:r>
      <w:r>
        <w:rPr>
          <w:rStyle w:val="Bodytext1"/>
          <w:rFonts w:ascii="Times New Roman" w:hAnsi="Times New Roman"/>
          <w:noProof/>
          <w:sz w:val="24"/>
        </w:rPr>
        <w:t xml:space="preserve">awnień przekazanych jej na mocy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3</w:t>
      </w:r>
      <w:r>
        <w:rPr>
          <w:rStyle w:val="Bodytext1"/>
          <w:rFonts w:ascii="Times New Roman" w:hAnsi="Times New Roman"/>
          <w:noProof/>
          <w:sz w:val="24"/>
        </w:rPr>
        <w:t xml:space="preserve">3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sidR="00324660">
        <w:rPr>
          <w:rStyle w:val="Bodytext1"/>
          <w:rFonts w:ascii="Times New Roman" w:hAnsi="Times New Roman"/>
          <w:noProof/>
          <w:sz w:val="24"/>
        </w:rPr>
        <w:t xml:space="preserve"> i 2</w:t>
      </w:r>
      <w:r>
        <w:rPr>
          <w:rStyle w:val="Bodytext1"/>
          <w:rFonts w:ascii="Times New Roman" w:hAnsi="Times New Roman"/>
          <w:noProof/>
          <w:sz w:val="24"/>
        </w:rPr>
        <w:t xml:space="preserve">,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4</w:t>
      </w:r>
      <w:r>
        <w:rPr>
          <w:rStyle w:val="Bodytext1"/>
          <w:rFonts w:ascii="Times New Roman" w:hAnsi="Times New Roman"/>
          <w:noProof/>
          <w:sz w:val="24"/>
        </w:rPr>
        <w:t xml:space="preserve">1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1</w:t>
      </w:r>
      <w:r>
        <w:rPr>
          <w:rStyle w:val="Bodytext1"/>
          <w:rFonts w:ascii="Times New Roman" w:hAnsi="Times New Roman"/>
          <w:noProof/>
          <w:sz w:val="24"/>
        </w:rPr>
        <w:t xml:space="preserve"> </w:t>
      </w:r>
      <w:r w:rsidRPr="00324660">
        <w:rPr>
          <w:rStyle w:val="Bodytext1"/>
          <w:rFonts w:ascii="Times New Roman" w:hAnsi="Times New Roman"/>
          <w:noProof/>
          <w:sz w:val="24"/>
        </w:rPr>
        <w:t>lit.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a)</w:t>
      </w:r>
      <w:r>
        <w:rPr>
          <w:rStyle w:val="Bodytext1"/>
          <w:rFonts w:ascii="Times New Roman" w:hAnsi="Times New Roman"/>
          <w:noProof/>
          <w:sz w:val="24"/>
        </w:rPr>
        <w:t xml:space="preserve"> i b) oraz </w:t>
      </w:r>
      <w:r w:rsidRPr="00324660">
        <w:rPr>
          <w:rStyle w:val="Bodytext1"/>
          <w:rFonts w:ascii="Times New Roman" w:hAnsi="Times New Roman"/>
          <w:noProof/>
          <w:sz w:val="24"/>
        </w:rPr>
        <w:t>ust.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2</w:t>
      </w:r>
      <w:r w:rsidR="00324660" w:rsidRPr="00324660">
        <w:rPr>
          <w:rStyle w:val="Bodytext1"/>
          <w:rFonts w:ascii="Times New Roman" w:hAnsi="Times New Roman"/>
          <w:noProof/>
          <w:sz w:val="24"/>
        </w:rPr>
        <w:t xml:space="preserve"> </w:t>
      </w:r>
      <w:r w:rsidRPr="00324660">
        <w:rPr>
          <w:rFonts w:ascii="Times New Roman" w:hAnsi="Times New Roman"/>
          <w:noProof/>
          <w:sz w:val="24"/>
        </w:rPr>
        <w:t>r</w:t>
      </w:r>
      <w:r>
        <w:rPr>
          <w:rFonts w:ascii="Times New Roman" w:hAnsi="Times New Roman"/>
          <w:noProof/>
          <w:sz w:val="24"/>
        </w:rPr>
        <w:t>ozporządzenia (UE) 2019/787</w:t>
      </w:r>
      <w:r>
        <w:rPr>
          <w:rStyle w:val="Bodytext1"/>
          <w:rFonts w:ascii="Times New Roman" w:hAnsi="Times New Roman"/>
          <w:noProof/>
          <w:sz w:val="24"/>
        </w:rPr>
        <w:t xml:space="preserve">. Na podstawie tych uprawnień przyjęto rozporządzenie delegowane Komisji (UE) 2021/1235, które od tego czasu zostało uchylone rozporządzeniem delegowanym Komisji (UE) 2025/29. Uchylono </w:t>
      </w:r>
      <w:r w:rsidRPr="00324660">
        <w:rPr>
          <w:rStyle w:val="Bodytext1"/>
          <w:rFonts w:ascii="Times New Roman" w:hAnsi="Times New Roman"/>
          <w:noProof/>
          <w:sz w:val="24"/>
        </w:rPr>
        <w:t>art.</w:t>
      </w:r>
      <w:r w:rsidR="00324660" w:rsidRPr="00324660">
        <w:rPr>
          <w:rStyle w:val="Bodytext1"/>
          <w:rFonts w:ascii="Times New Roman" w:hAnsi="Times New Roman"/>
          <w:noProof/>
          <w:sz w:val="24"/>
        </w:rPr>
        <w:t> </w:t>
      </w:r>
      <w:r w:rsidRPr="00324660">
        <w:rPr>
          <w:rStyle w:val="Bodytext1"/>
          <w:rFonts w:ascii="Times New Roman" w:hAnsi="Times New Roman"/>
          <w:noProof/>
          <w:sz w:val="24"/>
        </w:rPr>
        <w:t>3</w:t>
      </w:r>
      <w:r>
        <w:rPr>
          <w:rStyle w:val="Bodytext1"/>
          <w:rFonts w:ascii="Times New Roman" w:hAnsi="Times New Roman"/>
          <w:noProof/>
          <w:sz w:val="24"/>
        </w:rPr>
        <w:t>3 rozporządzenia (UE) 2019/787. Art. 41 należy uznać za nieaktualny. Komisja nie wnosi</w:t>
      </w:r>
      <w:r w:rsidR="00324660">
        <w:rPr>
          <w:rStyle w:val="Bodytext1"/>
          <w:rFonts w:ascii="Times New Roman" w:hAnsi="Times New Roman"/>
          <w:noProof/>
          <w:sz w:val="24"/>
        </w:rPr>
        <w:t xml:space="preserve"> o prz</w:t>
      </w:r>
      <w:r>
        <w:rPr>
          <w:rStyle w:val="Bodytext1"/>
          <w:rFonts w:ascii="Times New Roman" w:hAnsi="Times New Roman"/>
          <w:noProof/>
          <w:sz w:val="24"/>
        </w:rPr>
        <w:t>edłużenie okresu przekazania wspomnianych wyżej uprawnień</w:t>
      </w:r>
      <w:r w:rsidR="00324660">
        <w:rPr>
          <w:rStyle w:val="Bodytext1"/>
          <w:rFonts w:ascii="Times New Roman" w:hAnsi="Times New Roman"/>
          <w:noProof/>
          <w:sz w:val="24"/>
        </w:rPr>
        <w:t xml:space="preserve"> i zwr</w:t>
      </w:r>
      <w:r>
        <w:rPr>
          <w:rStyle w:val="Bodytext1"/>
          <w:rFonts w:ascii="Times New Roman" w:hAnsi="Times New Roman"/>
          <w:noProof/>
          <w:sz w:val="24"/>
        </w:rPr>
        <w:t>aca się do Parlamentu Europejskiego</w:t>
      </w:r>
      <w:r w:rsidR="00324660">
        <w:rPr>
          <w:rStyle w:val="Bodytext1"/>
          <w:rFonts w:ascii="Times New Roman" w:hAnsi="Times New Roman"/>
          <w:noProof/>
          <w:sz w:val="24"/>
        </w:rPr>
        <w:t xml:space="preserve"> i Rad</w:t>
      </w:r>
      <w:r>
        <w:rPr>
          <w:rStyle w:val="Bodytext1"/>
          <w:rFonts w:ascii="Times New Roman" w:hAnsi="Times New Roman"/>
          <w:noProof/>
          <w:sz w:val="24"/>
        </w:rPr>
        <w:t>y</w:t>
      </w:r>
      <w:r w:rsidR="00324660">
        <w:rPr>
          <w:rStyle w:val="Bodytext1"/>
          <w:rFonts w:ascii="Times New Roman" w:hAnsi="Times New Roman"/>
          <w:noProof/>
          <w:sz w:val="24"/>
        </w:rPr>
        <w:t xml:space="preserve"> o zap</w:t>
      </w:r>
      <w:r>
        <w:rPr>
          <w:rStyle w:val="Bodytext1"/>
          <w:rFonts w:ascii="Times New Roman" w:hAnsi="Times New Roman"/>
          <w:noProof/>
          <w:sz w:val="24"/>
        </w:rPr>
        <w:t>oznanie się</w:t>
      </w:r>
      <w:r w:rsidR="00324660">
        <w:rPr>
          <w:rStyle w:val="Bodytext1"/>
          <w:rFonts w:ascii="Times New Roman" w:hAnsi="Times New Roman"/>
          <w:noProof/>
          <w:sz w:val="24"/>
        </w:rPr>
        <w:t xml:space="preserve"> z nin</w:t>
      </w:r>
      <w:r>
        <w:rPr>
          <w:rStyle w:val="Bodytext1"/>
          <w:rFonts w:ascii="Times New Roman" w:hAnsi="Times New Roman"/>
          <w:noProof/>
          <w:sz w:val="24"/>
        </w:rPr>
        <w:t>iejszym sprawozdaniem.</w:t>
      </w:r>
    </w:p>
    <w:sectPr w:rsidR="00BC51EE" w:rsidRPr="000E6959" w:rsidSect="007F1C6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688F" w14:textId="77777777" w:rsidR="003F0428" w:rsidRDefault="003F0428" w:rsidP="004B181D">
      <w:pPr>
        <w:spacing w:after="0" w:line="240" w:lineRule="auto"/>
      </w:pPr>
      <w:r>
        <w:separator/>
      </w:r>
    </w:p>
  </w:endnote>
  <w:endnote w:type="continuationSeparator" w:id="0">
    <w:p w14:paraId="5FB96C0D" w14:textId="77777777" w:rsidR="003F0428" w:rsidRDefault="003F0428" w:rsidP="004B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4C65" w14:textId="0FCB7242" w:rsidR="003753B6" w:rsidRPr="003753B6" w:rsidRDefault="003753B6" w:rsidP="003753B6">
    <w:pPr>
      <w:pStyle w:val="FooterCoverPage"/>
      <w:rPr>
        <w:rFonts w:ascii="Arial" w:hAnsi="Arial" w:cs="Arial"/>
        <w:b/>
        <w:sz w:val="48"/>
      </w:rPr>
    </w:pPr>
    <w:r w:rsidRPr="003753B6">
      <w:rPr>
        <w:rFonts w:ascii="Arial" w:hAnsi="Arial" w:cs="Arial"/>
        <w:b/>
        <w:sz w:val="48"/>
      </w:rPr>
      <w:t>PL</w:t>
    </w:r>
    <w:r w:rsidRPr="003753B6">
      <w:rPr>
        <w:rFonts w:ascii="Arial" w:hAnsi="Arial" w:cs="Arial"/>
        <w:b/>
        <w:sz w:val="48"/>
      </w:rPr>
      <w:tab/>
    </w:r>
    <w:r w:rsidRPr="003753B6">
      <w:rPr>
        <w:rFonts w:ascii="Arial" w:hAnsi="Arial" w:cs="Arial"/>
        <w:b/>
        <w:sz w:val="48"/>
      </w:rPr>
      <w:tab/>
    </w:r>
    <w:r w:rsidRPr="003753B6">
      <w:tab/>
    </w:r>
    <w:r w:rsidRPr="003753B6">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2EE7" w14:textId="73BDAF88" w:rsidR="003753B6" w:rsidRPr="003753B6" w:rsidRDefault="003753B6" w:rsidP="003753B6">
    <w:pPr>
      <w:pStyle w:val="FooterCoverPage"/>
      <w:rPr>
        <w:rFonts w:ascii="Arial" w:hAnsi="Arial" w:cs="Arial"/>
        <w:b/>
        <w:sz w:val="48"/>
      </w:rPr>
    </w:pPr>
    <w:r w:rsidRPr="003753B6">
      <w:rPr>
        <w:rFonts w:ascii="Arial" w:hAnsi="Arial" w:cs="Arial"/>
        <w:b/>
        <w:sz w:val="48"/>
      </w:rPr>
      <w:t>PL</w:t>
    </w:r>
    <w:r w:rsidRPr="003753B6">
      <w:rPr>
        <w:rFonts w:ascii="Arial" w:hAnsi="Arial" w:cs="Arial"/>
        <w:b/>
        <w:sz w:val="48"/>
      </w:rPr>
      <w:tab/>
    </w:r>
    <w:r w:rsidRPr="003753B6">
      <w:rPr>
        <w:rFonts w:ascii="Arial" w:hAnsi="Arial" w:cs="Arial"/>
        <w:b/>
        <w:sz w:val="48"/>
      </w:rPr>
      <w:tab/>
    </w:r>
    <w:r w:rsidRPr="003753B6">
      <w:tab/>
    </w:r>
    <w:r w:rsidRPr="003753B6">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7A5FB" w14:textId="77777777" w:rsidR="003753B6" w:rsidRPr="003753B6" w:rsidRDefault="003753B6" w:rsidP="003753B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8662" w14:textId="77777777" w:rsidR="007F1C63" w:rsidRDefault="007F1C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A3CB6" w14:textId="76BE60A4" w:rsidR="00F704C0" w:rsidRPr="00F704C0" w:rsidRDefault="00F704C0">
    <w:pPr>
      <w:pStyle w:val="Footer"/>
      <w:jc w:val="center"/>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753B6">
      <w:rPr>
        <w:rFonts w:ascii="Times New Roman" w:hAnsi="Times New Roman" w:cs="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3545C194" w14:textId="77777777" w:rsidR="007F1C63" w:rsidRDefault="007F1C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3F9C" w14:textId="77777777" w:rsidR="007F1C63" w:rsidRDefault="007F1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2C2BD" w14:textId="77777777" w:rsidR="003F0428" w:rsidRDefault="003F0428" w:rsidP="004B181D">
      <w:pPr>
        <w:spacing w:after="0" w:line="240" w:lineRule="auto"/>
      </w:pPr>
      <w:r>
        <w:separator/>
      </w:r>
    </w:p>
  </w:footnote>
  <w:footnote w:type="continuationSeparator" w:id="0">
    <w:p w14:paraId="24A10375" w14:textId="77777777" w:rsidR="003F0428" w:rsidRDefault="003F0428" w:rsidP="004B181D">
      <w:pPr>
        <w:spacing w:after="0" w:line="240" w:lineRule="auto"/>
      </w:pPr>
      <w:r>
        <w:continuationSeparator/>
      </w:r>
    </w:p>
  </w:footnote>
  <w:footnote w:id="1">
    <w:p w14:paraId="302FCE92" w14:textId="37A6CCB4" w:rsidR="00CC3BF4" w:rsidRPr="00CC3BF4" w:rsidRDefault="00CC3BF4">
      <w:pPr>
        <w:pStyle w:val="FootnoteText"/>
      </w:pPr>
      <w:r>
        <w:rPr>
          <w:rStyle w:val="FootnoteReference"/>
        </w:rPr>
        <w:footnoteRef/>
      </w:r>
      <w:r>
        <w:tab/>
      </w:r>
      <w:r>
        <w:rPr>
          <w:color w:val="333333"/>
        </w:rPr>
        <w:t>Dz.U. L 130</w:t>
      </w:r>
      <w:r w:rsidR="00324660">
        <w:rPr>
          <w:color w:val="333333"/>
        </w:rPr>
        <w:t xml:space="preserve"> z 1</w:t>
      </w:r>
      <w:r>
        <w:rPr>
          <w:color w:val="333333"/>
        </w:rPr>
        <w:t>7.5.2019, s. 1, ELI:</w:t>
      </w:r>
      <w:r>
        <w:rPr>
          <w:rFonts w:asciiTheme="minorHAnsi" w:hAnsiTheme="minorHAnsi"/>
          <w:sz w:val="22"/>
        </w:rPr>
        <w:t xml:space="preserve"> </w:t>
      </w:r>
      <w:hyperlink r:id="rId1" w:tooltip="Dostęp do dokumentu poprzez identyfikator URI w systemie ELI." w:history="1">
        <w:r>
          <w:rPr>
            <w:rStyle w:val="Hyperlink"/>
          </w:rPr>
          <w:t>http://data.europa.eu/eli/reg/2019/787/oj</w:t>
        </w:r>
      </w:hyperlink>
      <w:r>
        <w:rPr>
          <w:rStyle w:val="Hyperlink"/>
          <w:color w:val="auto"/>
          <w:u w:val="none"/>
        </w:rPr>
        <w:t>.</w:t>
      </w:r>
      <w:r>
        <w:rPr>
          <w:rStyle w:val="Emphasis"/>
          <w:color w:val="333333"/>
        </w:rPr>
        <w:t xml:space="preserve"> </w:t>
      </w:r>
    </w:p>
  </w:footnote>
  <w:footnote w:id="2">
    <w:p w14:paraId="54AC7199" w14:textId="39CF7C13" w:rsidR="006E625E" w:rsidRPr="008959AA" w:rsidRDefault="006E625E" w:rsidP="006E625E">
      <w:pPr>
        <w:pStyle w:val="FootnoteText"/>
      </w:pPr>
      <w:r>
        <w:rPr>
          <w:rStyle w:val="FootnoteReference"/>
        </w:rPr>
        <w:footnoteRef/>
      </w:r>
      <w:r>
        <w:tab/>
        <w:t>Dz.U. L 39</w:t>
      </w:r>
      <w:r w:rsidR="00324660">
        <w:t xml:space="preserve"> z 1</w:t>
      </w:r>
      <w:r>
        <w:t xml:space="preserve">3.2.2008, s. 16, ELI: </w:t>
      </w:r>
      <w:hyperlink r:id="rId2" w:history="1">
        <w:r>
          <w:rPr>
            <w:rStyle w:val="Hyperlink"/>
          </w:rPr>
          <w:t>http://data.europa.eu/eli/reg/2008/110(1)/oj</w:t>
        </w:r>
      </w:hyperlink>
      <w:r>
        <w:rPr>
          <w:rStyle w:val="Hyperlink"/>
          <w:color w:val="auto"/>
          <w:u w:val="none"/>
        </w:rPr>
        <w:t>.</w:t>
      </w:r>
    </w:p>
  </w:footnote>
  <w:footnote w:id="3">
    <w:p w14:paraId="3B66EC9A" w14:textId="58833E8F" w:rsidR="008959AA" w:rsidRPr="008959AA" w:rsidRDefault="0099534C">
      <w:pPr>
        <w:pStyle w:val="FootnoteText"/>
      </w:pPr>
      <w:r>
        <w:rPr>
          <w:rStyle w:val="FootnoteReference"/>
        </w:rPr>
        <w:footnoteRef/>
      </w:r>
      <w:r>
        <w:tab/>
        <w:t>Dz.U. L 270</w:t>
      </w:r>
      <w:r w:rsidR="00324660">
        <w:t xml:space="preserve"> z 2</w:t>
      </w:r>
      <w:r>
        <w:t xml:space="preserve">9.7.2021, s. 1, ELI: </w:t>
      </w:r>
      <w:hyperlink r:id="rId3" w:history="1">
        <w:r>
          <w:rPr>
            <w:rStyle w:val="Hyperlink"/>
          </w:rPr>
          <w:t>http://data.europa.eu/eli/reg_del/2021/1235/oj</w:t>
        </w:r>
      </w:hyperlink>
      <w:r>
        <w:rPr>
          <w:rStyle w:val="Hyperlink"/>
          <w:color w:val="auto"/>
          <w:u w:val="none"/>
        </w:rPr>
        <w:t>.</w:t>
      </w:r>
    </w:p>
  </w:footnote>
  <w:footnote w:id="4">
    <w:p w14:paraId="2834C514" w14:textId="489FACA3" w:rsidR="00860177" w:rsidRPr="00E27BE1" w:rsidRDefault="00860177" w:rsidP="00860177">
      <w:pPr>
        <w:pStyle w:val="FootnoteText"/>
      </w:pPr>
      <w:r>
        <w:rPr>
          <w:rStyle w:val="FootnoteReference"/>
        </w:rPr>
        <w:footnoteRef/>
      </w:r>
      <w:bookmarkStart w:id="2" w:name="_Hlk194659361"/>
      <w:r>
        <w:tab/>
        <w:t xml:space="preserve">Dz.U. L, 2024/1143, 23.4.2024, </w:t>
      </w:r>
      <w:bookmarkEnd w:id="2"/>
      <w:r>
        <w:t xml:space="preserve">ELI: </w:t>
      </w:r>
      <w:hyperlink r:id="rId4" w:history="1">
        <w:r>
          <w:rPr>
            <w:rStyle w:val="Hyperlink"/>
          </w:rPr>
          <w:t>http://data.europa.eu/eli/reg/2024/1143/oj</w:t>
        </w:r>
      </w:hyperlink>
      <w:r>
        <w:rPr>
          <w:rStyle w:val="Hyperlink"/>
          <w:color w:val="auto"/>
          <w:u w:val="none"/>
        </w:rPr>
        <w:t>.</w:t>
      </w:r>
    </w:p>
  </w:footnote>
  <w:footnote w:id="5">
    <w:p w14:paraId="736C124C" w14:textId="521E1F9E" w:rsidR="00860177" w:rsidRPr="008959AA" w:rsidRDefault="00860177" w:rsidP="00860177">
      <w:pPr>
        <w:pStyle w:val="FootnoteText"/>
      </w:pPr>
      <w:r>
        <w:rPr>
          <w:rStyle w:val="FootnoteReference"/>
        </w:rPr>
        <w:footnoteRef/>
      </w:r>
      <w:r>
        <w:tab/>
        <w:t xml:space="preserve">Dz.U. L, 2025/27, 15.1.2025, ELI: </w:t>
      </w:r>
      <w:hyperlink r:id="rId5" w:history="1">
        <w:r>
          <w:rPr>
            <w:rStyle w:val="Hyperlink"/>
          </w:rPr>
          <w:t>http://data.europa.eu/eli/reg_del/2025/27/oj</w:t>
        </w:r>
      </w:hyperlink>
      <w:r>
        <w:rPr>
          <w:rStyle w:val="Hyperlink"/>
          <w:color w:val="auto"/>
          <w:u w:val="none"/>
        </w:rPr>
        <w:t>.</w:t>
      </w:r>
    </w:p>
  </w:footnote>
  <w:footnote w:id="6">
    <w:p w14:paraId="178DDB8C" w14:textId="68AFCC1C" w:rsidR="00860177" w:rsidRPr="008959AA" w:rsidRDefault="00860177" w:rsidP="00860177">
      <w:pPr>
        <w:pStyle w:val="FootnoteText"/>
      </w:pPr>
      <w:r>
        <w:rPr>
          <w:rStyle w:val="FootnoteReference"/>
        </w:rPr>
        <w:footnoteRef/>
      </w:r>
      <w:r>
        <w:tab/>
        <w:t xml:space="preserve">Dz.U. L, 2025/29, 15.1.2025, ELI: </w:t>
      </w:r>
      <w:hyperlink r:id="rId6" w:history="1">
        <w:r>
          <w:rPr>
            <w:rStyle w:val="Hyperlink"/>
          </w:rPr>
          <w:t>http://data.europa.eu/eli/reg_del/2025/29/oj</w:t>
        </w:r>
      </w:hyperlink>
      <w:r>
        <w:rPr>
          <w:rStyle w:val="Hyperlink"/>
          <w:color w:val="auto"/>
          <w:u w:val="none"/>
        </w:rPr>
        <w:t>.</w:t>
      </w:r>
    </w:p>
  </w:footnote>
  <w:footnote w:id="7">
    <w:p w14:paraId="091C37B8" w14:textId="3B363499" w:rsidR="00860177" w:rsidRPr="001F36FD" w:rsidRDefault="00860177" w:rsidP="00860177">
      <w:pPr>
        <w:pStyle w:val="FootnoteText"/>
      </w:pPr>
      <w:r>
        <w:rPr>
          <w:rStyle w:val="FootnoteReference"/>
        </w:rPr>
        <w:footnoteRef/>
      </w:r>
      <w:r>
        <w:tab/>
        <w:t xml:space="preserve">Dz.U. L, 2025/26, 15.1.2025, ELI: </w:t>
      </w:r>
      <w:hyperlink r:id="rId7" w:history="1">
        <w:r>
          <w:rPr>
            <w:rStyle w:val="Hyperlink"/>
          </w:rPr>
          <w:t>http://data.europa.eu/eli/reg_impl/2025/26/oj</w:t>
        </w:r>
      </w:hyperlink>
      <w:r>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2799" w14:textId="77777777" w:rsidR="003753B6" w:rsidRPr="003753B6" w:rsidRDefault="003753B6" w:rsidP="003753B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C694" w14:textId="77777777" w:rsidR="003753B6" w:rsidRPr="003753B6" w:rsidRDefault="003753B6" w:rsidP="003753B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8AE16" w14:textId="77777777" w:rsidR="003753B6" w:rsidRPr="003753B6" w:rsidRDefault="003753B6" w:rsidP="003753B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7659" w14:textId="77777777" w:rsidR="007F1C63" w:rsidRDefault="007F1C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E87C" w14:textId="77777777" w:rsidR="007F1C63" w:rsidRDefault="007F1C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AA1B" w14:textId="77777777" w:rsidR="007F1C63" w:rsidRDefault="007F1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60F"/>
    <w:multiLevelType w:val="hybridMultilevel"/>
    <w:tmpl w:val="24F08FEA"/>
    <w:lvl w:ilvl="0" w:tplc="4E102B94">
      <w:start w:val="1"/>
      <w:numFmt w:val="decimal"/>
      <w:lvlText w:val="%1)"/>
      <w:lvlJc w:val="left"/>
      <w:pPr>
        <w:ind w:left="940" w:hanging="360"/>
      </w:pPr>
      <w:rPr>
        <w:rFonts w:hint="default"/>
      </w:rPr>
    </w:lvl>
    <w:lvl w:ilvl="1" w:tplc="18090019" w:tentative="1">
      <w:start w:val="1"/>
      <w:numFmt w:val="lowerLetter"/>
      <w:lvlText w:val="%2."/>
      <w:lvlJc w:val="left"/>
      <w:pPr>
        <w:ind w:left="1660" w:hanging="360"/>
      </w:pPr>
    </w:lvl>
    <w:lvl w:ilvl="2" w:tplc="1809001B" w:tentative="1">
      <w:start w:val="1"/>
      <w:numFmt w:val="lowerRoman"/>
      <w:lvlText w:val="%3."/>
      <w:lvlJc w:val="right"/>
      <w:pPr>
        <w:ind w:left="2380" w:hanging="180"/>
      </w:pPr>
    </w:lvl>
    <w:lvl w:ilvl="3" w:tplc="1809000F" w:tentative="1">
      <w:start w:val="1"/>
      <w:numFmt w:val="decimal"/>
      <w:lvlText w:val="%4."/>
      <w:lvlJc w:val="left"/>
      <w:pPr>
        <w:ind w:left="3100" w:hanging="360"/>
      </w:pPr>
    </w:lvl>
    <w:lvl w:ilvl="4" w:tplc="18090019" w:tentative="1">
      <w:start w:val="1"/>
      <w:numFmt w:val="lowerLetter"/>
      <w:lvlText w:val="%5."/>
      <w:lvlJc w:val="left"/>
      <w:pPr>
        <w:ind w:left="3820" w:hanging="360"/>
      </w:pPr>
    </w:lvl>
    <w:lvl w:ilvl="5" w:tplc="1809001B" w:tentative="1">
      <w:start w:val="1"/>
      <w:numFmt w:val="lowerRoman"/>
      <w:lvlText w:val="%6."/>
      <w:lvlJc w:val="right"/>
      <w:pPr>
        <w:ind w:left="4540" w:hanging="180"/>
      </w:pPr>
    </w:lvl>
    <w:lvl w:ilvl="6" w:tplc="1809000F" w:tentative="1">
      <w:start w:val="1"/>
      <w:numFmt w:val="decimal"/>
      <w:lvlText w:val="%7."/>
      <w:lvlJc w:val="left"/>
      <w:pPr>
        <w:ind w:left="5260" w:hanging="360"/>
      </w:pPr>
    </w:lvl>
    <w:lvl w:ilvl="7" w:tplc="18090019" w:tentative="1">
      <w:start w:val="1"/>
      <w:numFmt w:val="lowerLetter"/>
      <w:lvlText w:val="%8."/>
      <w:lvlJc w:val="left"/>
      <w:pPr>
        <w:ind w:left="5980" w:hanging="360"/>
      </w:pPr>
    </w:lvl>
    <w:lvl w:ilvl="8" w:tplc="1809001B" w:tentative="1">
      <w:start w:val="1"/>
      <w:numFmt w:val="lowerRoman"/>
      <w:lvlText w:val="%9."/>
      <w:lvlJc w:val="right"/>
      <w:pPr>
        <w:ind w:left="6700" w:hanging="180"/>
      </w:pPr>
    </w:lvl>
  </w:abstractNum>
  <w:abstractNum w:abstractNumId="1" w15:restartNumberingAfterBreak="0">
    <w:nsid w:val="11285974"/>
    <w:multiLevelType w:val="hybridMultilevel"/>
    <w:tmpl w:val="8F60BE82"/>
    <w:lvl w:ilvl="0" w:tplc="2A9628D4">
      <w:start w:val="1"/>
      <w:numFmt w:val="lowerLetter"/>
      <w:lvlText w:val="%1)"/>
      <w:lvlJc w:val="left"/>
      <w:pPr>
        <w:ind w:left="1300" w:hanging="360"/>
      </w:pPr>
      <w:rPr>
        <w:rFonts w:hint="default"/>
      </w:rPr>
    </w:lvl>
    <w:lvl w:ilvl="1" w:tplc="18090019" w:tentative="1">
      <w:start w:val="1"/>
      <w:numFmt w:val="lowerLetter"/>
      <w:lvlText w:val="%2."/>
      <w:lvlJc w:val="left"/>
      <w:pPr>
        <w:ind w:left="2020" w:hanging="360"/>
      </w:pPr>
    </w:lvl>
    <w:lvl w:ilvl="2" w:tplc="1809001B" w:tentative="1">
      <w:start w:val="1"/>
      <w:numFmt w:val="lowerRoman"/>
      <w:lvlText w:val="%3."/>
      <w:lvlJc w:val="right"/>
      <w:pPr>
        <w:ind w:left="2740" w:hanging="180"/>
      </w:pPr>
    </w:lvl>
    <w:lvl w:ilvl="3" w:tplc="1809000F" w:tentative="1">
      <w:start w:val="1"/>
      <w:numFmt w:val="decimal"/>
      <w:lvlText w:val="%4."/>
      <w:lvlJc w:val="left"/>
      <w:pPr>
        <w:ind w:left="3460" w:hanging="360"/>
      </w:pPr>
    </w:lvl>
    <w:lvl w:ilvl="4" w:tplc="18090019" w:tentative="1">
      <w:start w:val="1"/>
      <w:numFmt w:val="lowerLetter"/>
      <w:lvlText w:val="%5."/>
      <w:lvlJc w:val="left"/>
      <w:pPr>
        <w:ind w:left="4180" w:hanging="360"/>
      </w:pPr>
    </w:lvl>
    <w:lvl w:ilvl="5" w:tplc="1809001B" w:tentative="1">
      <w:start w:val="1"/>
      <w:numFmt w:val="lowerRoman"/>
      <w:lvlText w:val="%6."/>
      <w:lvlJc w:val="right"/>
      <w:pPr>
        <w:ind w:left="4900" w:hanging="180"/>
      </w:pPr>
    </w:lvl>
    <w:lvl w:ilvl="6" w:tplc="1809000F" w:tentative="1">
      <w:start w:val="1"/>
      <w:numFmt w:val="decimal"/>
      <w:lvlText w:val="%7."/>
      <w:lvlJc w:val="left"/>
      <w:pPr>
        <w:ind w:left="5620" w:hanging="360"/>
      </w:pPr>
    </w:lvl>
    <w:lvl w:ilvl="7" w:tplc="18090019" w:tentative="1">
      <w:start w:val="1"/>
      <w:numFmt w:val="lowerLetter"/>
      <w:lvlText w:val="%8."/>
      <w:lvlJc w:val="left"/>
      <w:pPr>
        <w:ind w:left="6340" w:hanging="360"/>
      </w:pPr>
    </w:lvl>
    <w:lvl w:ilvl="8" w:tplc="1809001B" w:tentative="1">
      <w:start w:val="1"/>
      <w:numFmt w:val="lowerRoman"/>
      <w:lvlText w:val="%9."/>
      <w:lvlJc w:val="right"/>
      <w:pPr>
        <w:ind w:left="7060" w:hanging="180"/>
      </w:pPr>
    </w:lvl>
  </w:abstractNum>
  <w:abstractNum w:abstractNumId="2" w15:restartNumberingAfterBreak="0">
    <w:nsid w:val="2F58072F"/>
    <w:multiLevelType w:val="hybridMultilevel"/>
    <w:tmpl w:val="91469B5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DD255B9"/>
    <w:multiLevelType w:val="hybridMultilevel"/>
    <w:tmpl w:val="E5F47766"/>
    <w:lvl w:ilvl="0" w:tplc="254C2E6A">
      <w:start w:val="4"/>
      <w:numFmt w:val="bullet"/>
      <w:lvlText w:val="-"/>
      <w:lvlJc w:val="left"/>
      <w:pPr>
        <w:ind w:left="940" w:hanging="360"/>
      </w:pPr>
      <w:rPr>
        <w:rFonts w:ascii="Times New Roman" w:eastAsiaTheme="minorHAnsi" w:hAnsi="Times New Roman" w:cs="Times New Roman" w:hint="default"/>
      </w:rPr>
    </w:lvl>
    <w:lvl w:ilvl="1" w:tplc="18090003" w:tentative="1">
      <w:start w:val="1"/>
      <w:numFmt w:val="bullet"/>
      <w:lvlText w:val="o"/>
      <w:lvlJc w:val="left"/>
      <w:pPr>
        <w:ind w:left="1660" w:hanging="360"/>
      </w:pPr>
      <w:rPr>
        <w:rFonts w:ascii="Courier New" w:hAnsi="Courier New" w:cs="Courier New" w:hint="default"/>
      </w:rPr>
    </w:lvl>
    <w:lvl w:ilvl="2" w:tplc="18090005" w:tentative="1">
      <w:start w:val="1"/>
      <w:numFmt w:val="bullet"/>
      <w:lvlText w:val=""/>
      <w:lvlJc w:val="left"/>
      <w:pPr>
        <w:ind w:left="2380" w:hanging="360"/>
      </w:pPr>
      <w:rPr>
        <w:rFonts w:ascii="Wingdings" w:hAnsi="Wingdings" w:hint="default"/>
      </w:rPr>
    </w:lvl>
    <w:lvl w:ilvl="3" w:tplc="18090001" w:tentative="1">
      <w:start w:val="1"/>
      <w:numFmt w:val="bullet"/>
      <w:lvlText w:val=""/>
      <w:lvlJc w:val="left"/>
      <w:pPr>
        <w:ind w:left="3100" w:hanging="360"/>
      </w:pPr>
      <w:rPr>
        <w:rFonts w:ascii="Symbol" w:hAnsi="Symbol" w:hint="default"/>
      </w:rPr>
    </w:lvl>
    <w:lvl w:ilvl="4" w:tplc="18090003" w:tentative="1">
      <w:start w:val="1"/>
      <w:numFmt w:val="bullet"/>
      <w:lvlText w:val="o"/>
      <w:lvlJc w:val="left"/>
      <w:pPr>
        <w:ind w:left="3820" w:hanging="360"/>
      </w:pPr>
      <w:rPr>
        <w:rFonts w:ascii="Courier New" w:hAnsi="Courier New" w:cs="Courier New" w:hint="default"/>
      </w:rPr>
    </w:lvl>
    <w:lvl w:ilvl="5" w:tplc="18090005" w:tentative="1">
      <w:start w:val="1"/>
      <w:numFmt w:val="bullet"/>
      <w:lvlText w:val=""/>
      <w:lvlJc w:val="left"/>
      <w:pPr>
        <w:ind w:left="4540" w:hanging="360"/>
      </w:pPr>
      <w:rPr>
        <w:rFonts w:ascii="Wingdings" w:hAnsi="Wingdings" w:hint="default"/>
      </w:rPr>
    </w:lvl>
    <w:lvl w:ilvl="6" w:tplc="18090001" w:tentative="1">
      <w:start w:val="1"/>
      <w:numFmt w:val="bullet"/>
      <w:lvlText w:val=""/>
      <w:lvlJc w:val="left"/>
      <w:pPr>
        <w:ind w:left="5260" w:hanging="360"/>
      </w:pPr>
      <w:rPr>
        <w:rFonts w:ascii="Symbol" w:hAnsi="Symbol" w:hint="default"/>
      </w:rPr>
    </w:lvl>
    <w:lvl w:ilvl="7" w:tplc="18090003" w:tentative="1">
      <w:start w:val="1"/>
      <w:numFmt w:val="bullet"/>
      <w:lvlText w:val="o"/>
      <w:lvlJc w:val="left"/>
      <w:pPr>
        <w:ind w:left="5980" w:hanging="360"/>
      </w:pPr>
      <w:rPr>
        <w:rFonts w:ascii="Courier New" w:hAnsi="Courier New" w:cs="Courier New" w:hint="default"/>
      </w:rPr>
    </w:lvl>
    <w:lvl w:ilvl="8" w:tplc="18090005" w:tentative="1">
      <w:start w:val="1"/>
      <w:numFmt w:val="bullet"/>
      <w:lvlText w:val=""/>
      <w:lvlJc w:val="left"/>
      <w:pPr>
        <w:ind w:left="6700" w:hanging="360"/>
      </w:pPr>
      <w:rPr>
        <w:rFonts w:ascii="Wingdings" w:hAnsi="Wingdings" w:hint="default"/>
      </w:rPr>
    </w:lvl>
  </w:abstractNum>
  <w:abstractNum w:abstractNumId="4" w15:restartNumberingAfterBreak="0">
    <w:nsid w:val="40AC3A95"/>
    <w:multiLevelType w:val="hybridMultilevel"/>
    <w:tmpl w:val="BA221E54"/>
    <w:lvl w:ilvl="0" w:tplc="870ECF14">
      <w:start w:val="1"/>
      <w:numFmt w:val="lowerRoman"/>
      <w:lvlText w:val="(%1)"/>
      <w:lvlJc w:val="left"/>
      <w:pPr>
        <w:ind w:left="1300" w:hanging="720"/>
      </w:pPr>
      <w:rPr>
        <w:rFonts w:hint="default"/>
      </w:rPr>
    </w:lvl>
    <w:lvl w:ilvl="1" w:tplc="20000019" w:tentative="1">
      <w:start w:val="1"/>
      <w:numFmt w:val="lowerLetter"/>
      <w:lvlText w:val="%2."/>
      <w:lvlJc w:val="left"/>
      <w:pPr>
        <w:ind w:left="1660" w:hanging="360"/>
      </w:pPr>
    </w:lvl>
    <w:lvl w:ilvl="2" w:tplc="2000001B" w:tentative="1">
      <w:start w:val="1"/>
      <w:numFmt w:val="lowerRoman"/>
      <w:lvlText w:val="%3."/>
      <w:lvlJc w:val="right"/>
      <w:pPr>
        <w:ind w:left="2380" w:hanging="180"/>
      </w:pPr>
    </w:lvl>
    <w:lvl w:ilvl="3" w:tplc="2000000F" w:tentative="1">
      <w:start w:val="1"/>
      <w:numFmt w:val="decimal"/>
      <w:lvlText w:val="%4."/>
      <w:lvlJc w:val="left"/>
      <w:pPr>
        <w:ind w:left="3100" w:hanging="360"/>
      </w:pPr>
    </w:lvl>
    <w:lvl w:ilvl="4" w:tplc="20000019" w:tentative="1">
      <w:start w:val="1"/>
      <w:numFmt w:val="lowerLetter"/>
      <w:lvlText w:val="%5."/>
      <w:lvlJc w:val="left"/>
      <w:pPr>
        <w:ind w:left="3820" w:hanging="360"/>
      </w:pPr>
    </w:lvl>
    <w:lvl w:ilvl="5" w:tplc="2000001B" w:tentative="1">
      <w:start w:val="1"/>
      <w:numFmt w:val="lowerRoman"/>
      <w:lvlText w:val="%6."/>
      <w:lvlJc w:val="right"/>
      <w:pPr>
        <w:ind w:left="4540" w:hanging="180"/>
      </w:pPr>
    </w:lvl>
    <w:lvl w:ilvl="6" w:tplc="2000000F" w:tentative="1">
      <w:start w:val="1"/>
      <w:numFmt w:val="decimal"/>
      <w:lvlText w:val="%7."/>
      <w:lvlJc w:val="left"/>
      <w:pPr>
        <w:ind w:left="5260" w:hanging="360"/>
      </w:pPr>
    </w:lvl>
    <w:lvl w:ilvl="7" w:tplc="20000019" w:tentative="1">
      <w:start w:val="1"/>
      <w:numFmt w:val="lowerLetter"/>
      <w:lvlText w:val="%8."/>
      <w:lvlJc w:val="left"/>
      <w:pPr>
        <w:ind w:left="5980" w:hanging="360"/>
      </w:pPr>
    </w:lvl>
    <w:lvl w:ilvl="8" w:tplc="2000001B" w:tentative="1">
      <w:start w:val="1"/>
      <w:numFmt w:val="lowerRoman"/>
      <w:lvlText w:val="%9."/>
      <w:lvlJc w:val="right"/>
      <w:pPr>
        <w:ind w:left="6700" w:hanging="180"/>
      </w:pPr>
    </w:lvl>
  </w:abstractNum>
  <w:abstractNum w:abstractNumId="5" w15:restartNumberingAfterBreak="0">
    <w:nsid w:val="4C7D2AAA"/>
    <w:multiLevelType w:val="hybridMultilevel"/>
    <w:tmpl w:val="DA3A7832"/>
    <w:lvl w:ilvl="0" w:tplc="18090017">
      <w:start w:val="1"/>
      <w:numFmt w:val="lowerLetter"/>
      <w:lvlText w:val="%1)"/>
      <w:lvlJc w:val="left"/>
      <w:pPr>
        <w:ind w:left="2265" w:hanging="360"/>
      </w:pPr>
    </w:lvl>
    <w:lvl w:ilvl="1" w:tplc="18090019" w:tentative="1">
      <w:start w:val="1"/>
      <w:numFmt w:val="lowerLetter"/>
      <w:lvlText w:val="%2."/>
      <w:lvlJc w:val="left"/>
      <w:pPr>
        <w:ind w:left="2985" w:hanging="360"/>
      </w:pPr>
    </w:lvl>
    <w:lvl w:ilvl="2" w:tplc="1809001B" w:tentative="1">
      <w:start w:val="1"/>
      <w:numFmt w:val="lowerRoman"/>
      <w:lvlText w:val="%3."/>
      <w:lvlJc w:val="right"/>
      <w:pPr>
        <w:ind w:left="3705" w:hanging="180"/>
      </w:pPr>
    </w:lvl>
    <w:lvl w:ilvl="3" w:tplc="1809000F" w:tentative="1">
      <w:start w:val="1"/>
      <w:numFmt w:val="decimal"/>
      <w:lvlText w:val="%4."/>
      <w:lvlJc w:val="left"/>
      <w:pPr>
        <w:ind w:left="4425" w:hanging="360"/>
      </w:pPr>
    </w:lvl>
    <w:lvl w:ilvl="4" w:tplc="18090019" w:tentative="1">
      <w:start w:val="1"/>
      <w:numFmt w:val="lowerLetter"/>
      <w:lvlText w:val="%5."/>
      <w:lvlJc w:val="left"/>
      <w:pPr>
        <w:ind w:left="5145" w:hanging="360"/>
      </w:pPr>
    </w:lvl>
    <w:lvl w:ilvl="5" w:tplc="1809001B" w:tentative="1">
      <w:start w:val="1"/>
      <w:numFmt w:val="lowerRoman"/>
      <w:lvlText w:val="%6."/>
      <w:lvlJc w:val="right"/>
      <w:pPr>
        <w:ind w:left="5865" w:hanging="180"/>
      </w:pPr>
    </w:lvl>
    <w:lvl w:ilvl="6" w:tplc="1809000F" w:tentative="1">
      <w:start w:val="1"/>
      <w:numFmt w:val="decimal"/>
      <w:lvlText w:val="%7."/>
      <w:lvlJc w:val="left"/>
      <w:pPr>
        <w:ind w:left="6585" w:hanging="360"/>
      </w:pPr>
    </w:lvl>
    <w:lvl w:ilvl="7" w:tplc="18090019" w:tentative="1">
      <w:start w:val="1"/>
      <w:numFmt w:val="lowerLetter"/>
      <w:lvlText w:val="%8."/>
      <w:lvlJc w:val="left"/>
      <w:pPr>
        <w:ind w:left="7305" w:hanging="360"/>
      </w:pPr>
    </w:lvl>
    <w:lvl w:ilvl="8" w:tplc="1809001B" w:tentative="1">
      <w:start w:val="1"/>
      <w:numFmt w:val="lowerRoman"/>
      <w:lvlText w:val="%9."/>
      <w:lvlJc w:val="right"/>
      <w:pPr>
        <w:ind w:left="8025" w:hanging="180"/>
      </w:pPr>
    </w:lvl>
  </w:abstractNum>
  <w:abstractNum w:abstractNumId="6" w15:restartNumberingAfterBreak="0">
    <w:nsid w:val="527E6BAE"/>
    <w:multiLevelType w:val="hybridMultilevel"/>
    <w:tmpl w:val="5EA2F92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5B72016"/>
    <w:multiLevelType w:val="hybridMultilevel"/>
    <w:tmpl w:val="5378B5A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5A9A19A9"/>
    <w:multiLevelType w:val="hybridMultilevel"/>
    <w:tmpl w:val="C434AECA"/>
    <w:lvl w:ilvl="0" w:tplc="18090001">
      <w:start w:val="1"/>
      <w:numFmt w:val="bullet"/>
      <w:lvlText w:val=""/>
      <w:lvlJc w:val="left"/>
      <w:pPr>
        <w:ind w:left="2020" w:hanging="360"/>
      </w:pPr>
      <w:rPr>
        <w:rFonts w:ascii="Symbol" w:hAnsi="Symbol" w:hint="default"/>
      </w:rPr>
    </w:lvl>
    <w:lvl w:ilvl="1" w:tplc="18090003" w:tentative="1">
      <w:start w:val="1"/>
      <w:numFmt w:val="bullet"/>
      <w:lvlText w:val="o"/>
      <w:lvlJc w:val="left"/>
      <w:pPr>
        <w:ind w:left="2740" w:hanging="360"/>
      </w:pPr>
      <w:rPr>
        <w:rFonts w:ascii="Courier New" w:hAnsi="Courier New" w:cs="Courier New" w:hint="default"/>
      </w:rPr>
    </w:lvl>
    <w:lvl w:ilvl="2" w:tplc="18090005" w:tentative="1">
      <w:start w:val="1"/>
      <w:numFmt w:val="bullet"/>
      <w:lvlText w:val=""/>
      <w:lvlJc w:val="left"/>
      <w:pPr>
        <w:ind w:left="3460" w:hanging="360"/>
      </w:pPr>
      <w:rPr>
        <w:rFonts w:ascii="Wingdings" w:hAnsi="Wingdings" w:hint="default"/>
      </w:rPr>
    </w:lvl>
    <w:lvl w:ilvl="3" w:tplc="18090001" w:tentative="1">
      <w:start w:val="1"/>
      <w:numFmt w:val="bullet"/>
      <w:lvlText w:val=""/>
      <w:lvlJc w:val="left"/>
      <w:pPr>
        <w:ind w:left="4180" w:hanging="360"/>
      </w:pPr>
      <w:rPr>
        <w:rFonts w:ascii="Symbol" w:hAnsi="Symbol" w:hint="default"/>
      </w:rPr>
    </w:lvl>
    <w:lvl w:ilvl="4" w:tplc="18090003" w:tentative="1">
      <w:start w:val="1"/>
      <w:numFmt w:val="bullet"/>
      <w:lvlText w:val="o"/>
      <w:lvlJc w:val="left"/>
      <w:pPr>
        <w:ind w:left="4900" w:hanging="360"/>
      </w:pPr>
      <w:rPr>
        <w:rFonts w:ascii="Courier New" w:hAnsi="Courier New" w:cs="Courier New" w:hint="default"/>
      </w:rPr>
    </w:lvl>
    <w:lvl w:ilvl="5" w:tplc="18090005" w:tentative="1">
      <w:start w:val="1"/>
      <w:numFmt w:val="bullet"/>
      <w:lvlText w:val=""/>
      <w:lvlJc w:val="left"/>
      <w:pPr>
        <w:ind w:left="5620" w:hanging="360"/>
      </w:pPr>
      <w:rPr>
        <w:rFonts w:ascii="Wingdings" w:hAnsi="Wingdings" w:hint="default"/>
      </w:rPr>
    </w:lvl>
    <w:lvl w:ilvl="6" w:tplc="18090001" w:tentative="1">
      <w:start w:val="1"/>
      <w:numFmt w:val="bullet"/>
      <w:lvlText w:val=""/>
      <w:lvlJc w:val="left"/>
      <w:pPr>
        <w:ind w:left="6340" w:hanging="360"/>
      </w:pPr>
      <w:rPr>
        <w:rFonts w:ascii="Symbol" w:hAnsi="Symbol" w:hint="default"/>
      </w:rPr>
    </w:lvl>
    <w:lvl w:ilvl="7" w:tplc="18090003" w:tentative="1">
      <w:start w:val="1"/>
      <w:numFmt w:val="bullet"/>
      <w:lvlText w:val="o"/>
      <w:lvlJc w:val="left"/>
      <w:pPr>
        <w:ind w:left="7060" w:hanging="360"/>
      </w:pPr>
      <w:rPr>
        <w:rFonts w:ascii="Courier New" w:hAnsi="Courier New" w:cs="Courier New" w:hint="default"/>
      </w:rPr>
    </w:lvl>
    <w:lvl w:ilvl="8" w:tplc="18090005" w:tentative="1">
      <w:start w:val="1"/>
      <w:numFmt w:val="bullet"/>
      <w:lvlText w:val=""/>
      <w:lvlJc w:val="left"/>
      <w:pPr>
        <w:ind w:left="7780" w:hanging="360"/>
      </w:pPr>
      <w:rPr>
        <w:rFonts w:ascii="Wingdings" w:hAnsi="Wingdings" w:hint="default"/>
      </w:rPr>
    </w:lvl>
  </w:abstractNum>
  <w:abstractNum w:abstractNumId="9" w15:restartNumberingAfterBreak="0">
    <w:nsid w:val="5B145B3C"/>
    <w:multiLevelType w:val="hybridMultilevel"/>
    <w:tmpl w:val="B4746C0E"/>
    <w:lvl w:ilvl="0" w:tplc="D99A7472">
      <w:start w:val="1"/>
      <w:numFmt w:val="lowerLetter"/>
      <w:lvlText w:val="(%1)"/>
      <w:lvlJc w:val="left"/>
      <w:pPr>
        <w:ind w:left="1300" w:hanging="360"/>
      </w:pPr>
      <w:rPr>
        <w:rFonts w:hint="default"/>
      </w:rPr>
    </w:lvl>
    <w:lvl w:ilvl="1" w:tplc="18090019" w:tentative="1">
      <w:start w:val="1"/>
      <w:numFmt w:val="lowerLetter"/>
      <w:lvlText w:val="%2."/>
      <w:lvlJc w:val="left"/>
      <w:pPr>
        <w:ind w:left="2020" w:hanging="360"/>
      </w:pPr>
    </w:lvl>
    <w:lvl w:ilvl="2" w:tplc="1809001B" w:tentative="1">
      <w:start w:val="1"/>
      <w:numFmt w:val="lowerRoman"/>
      <w:lvlText w:val="%3."/>
      <w:lvlJc w:val="right"/>
      <w:pPr>
        <w:ind w:left="2740" w:hanging="180"/>
      </w:pPr>
    </w:lvl>
    <w:lvl w:ilvl="3" w:tplc="1809000F" w:tentative="1">
      <w:start w:val="1"/>
      <w:numFmt w:val="decimal"/>
      <w:lvlText w:val="%4."/>
      <w:lvlJc w:val="left"/>
      <w:pPr>
        <w:ind w:left="3460" w:hanging="360"/>
      </w:pPr>
    </w:lvl>
    <w:lvl w:ilvl="4" w:tplc="18090019" w:tentative="1">
      <w:start w:val="1"/>
      <w:numFmt w:val="lowerLetter"/>
      <w:lvlText w:val="%5."/>
      <w:lvlJc w:val="left"/>
      <w:pPr>
        <w:ind w:left="4180" w:hanging="360"/>
      </w:pPr>
    </w:lvl>
    <w:lvl w:ilvl="5" w:tplc="1809001B" w:tentative="1">
      <w:start w:val="1"/>
      <w:numFmt w:val="lowerRoman"/>
      <w:lvlText w:val="%6."/>
      <w:lvlJc w:val="right"/>
      <w:pPr>
        <w:ind w:left="4900" w:hanging="180"/>
      </w:pPr>
    </w:lvl>
    <w:lvl w:ilvl="6" w:tplc="1809000F" w:tentative="1">
      <w:start w:val="1"/>
      <w:numFmt w:val="decimal"/>
      <w:lvlText w:val="%7."/>
      <w:lvlJc w:val="left"/>
      <w:pPr>
        <w:ind w:left="5620" w:hanging="360"/>
      </w:pPr>
    </w:lvl>
    <w:lvl w:ilvl="7" w:tplc="18090019" w:tentative="1">
      <w:start w:val="1"/>
      <w:numFmt w:val="lowerLetter"/>
      <w:lvlText w:val="%8."/>
      <w:lvlJc w:val="left"/>
      <w:pPr>
        <w:ind w:left="6340" w:hanging="360"/>
      </w:pPr>
    </w:lvl>
    <w:lvl w:ilvl="8" w:tplc="1809001B" w:tentative="1">
      <w:start w:val="1"/>
      <w:numFmt w:val="lowerRoman"/>
      <w:lvlText w:val="%9."/>
      <w:lvlJc w:val="right"/>
      <w:pPr>
        <w:ind w:left="7060" w:hanging="180"/>
      </w:pPr>
    </w:lvl>
  </w:abstractNum>
  <w:abstractNum w:abstractNumId="10" w15:restartNumberingAfterBreak="0">
    <w:nsid w:val="5CB96490"/>
    <w:multiLevelType w:val="hybridMultilevel"/>
    <w:tmpl w:val="1BD65232"/>
    <w:lvl w:ilvl="0" w:tplc="64D84764">
      <w:start w:val="1"/>
      <w:numFmt w:val="lowerLetter"/>
      <w:lvlText w:val="%1)"/>
      <w:lvlJc w:val="left"/>
      <w:pPr>
        <w:ind w:left="940" w:hanging="360"/>
      </w:pPr>
      <w:rPr>
        <w:rFonts w:hint="default"/>
      </w:rPr>
    </w:lvl>
    <w:lvl w:ilvl="1" w:tplc="18090019" w:tentative="1">
      <w:start w:val="1"/>
      <w:numFmt w:val="lowerLetter"/>
      <w:lvlText w:val="%2."/>
      <w:lvlJc w:val="left"/>
      <w:pPr>
        <w:ind w:left="1660" w:hanging="360"/>
      </w:pPr>
    </w:lvl>
    <w:lvl w:ilvl="2" w:tplc="1809001B" w:tentative="1">
      <w:start w:val="1"/>
      <w:numFmt w:val="lowerRoman"/>
      <w:lvlText w:val="%3."/>
      <w:lvlJc w:val="right"/>
      <w:pPr>
        <w:ind w:left="2380" w:hanging="180"/>
      </w:pPr>
    </w:lvl>
    <w:lvl w:ilvl="3" w:tplc="1809000F" w:tentative="1">
      <w:start w:val="1"/>
      <w:numFmt w:val="decimal"/>
      <w:lvlText w:val="%4."/>
      <w:lvlJc w:val="left"/>
      <w:pPr>
        <w:ind w:left="3100" w:hanging="360"/>
      </w:pPr>
    </w:lvl>
    <w:lvl w:ilvl="4" w:tplc="18090019" w:tentative="1">
      <w:start w:val="1"/>
      <w:numFmt w:val="lowerLetter"/>
      <w:lvlText w:val="%5."/>
      <w:lvlJc w:val="left"/>
      <w:pPr>
        <w:ind w:left="3820" w:hanging="360"/>
      </w:pPr>
    </w:lvl>
    <w:lvl w:ilvl="5" w:tplc="1809001B" w:tentative="1">
      <w:start w:val="1"/>
      <w:numFmt w:val="lowerRoman"/>
      <w:lvlText w:val="%6."/>
      <w:lvlJc w:val="right"/>
      <w:pPr>
        <w:ind w:left="4540" w:hanging="180"/>
      </w:pPr>
    </w:lvl>
    <w:lvl w:ilvl="6" w:tplc="1809000F" w:tentative="1">
      <w:start w:val="1"/>
      <w:numFmt w:val="decimal"/>
      <w:lvlText w:val="%7."/>
      <w:lvlJc w:val="left"/>
      <w:pPr>
        <w:ind w:left="5260" w:hanging="360"/>
      </w:pPr>
    </w:lvl>
    <w:lvl w:ilvl="7" w:tplc="18090019" w:tentative="1">
      <w:start w:val="1"/>
      <w:numFmt w:val="lowerLetter"/>
      <w:lvlText w:val="%8."/>
      <w:lvlJc w:val="left"/>
      <w:pPr>
        <w:ind w:left="5980" w:hanging="360"/>
      </w:pPr>
    </w:lvl>
    <w:lvl w:ilvl="8" w:tplc="1809001B" w:tentative="1">
      <w:start w:val="1"/>
      <w:numFmt w:val="lowerRoman"/>
      <w:lvlText w:val="%9."/>
      <w:lvlJc w:val="right"/>
      <w:pPr>
        <w:ind w:left="6700" w:hanging="180"/>
      </w:pPr>
    </w:lvl>
  </w:abstractNum>
  <w:abstractNum w:abstractNumId="11" w15:restartNumberingAfterBreak="0">
    <w:nsid w:val="6DAD4244"/>
    <w:multiLevelType w:val="multilevel"/>
    <w:tmpl w:val="DC8ED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9"/>
  </w:num>
  <w:num w:numId="4">
    <w:abstractNumId w:val="10"/>
  </w:num>
  <w:num w:numId="5">
    <w:abstractNumId w:val="5"/>
  </w:num>
  <w:num w:numId="6">
    <w:abstractNumId w:val="7"/>
  </w:num>
  <w:num w:numId="7">
    <w:abstractNumId w:val="8"/>
  </w:num>
  <w:num w:numId="8">
    <w:abstractNumId w:val="1"/>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673F6EA-B6B1-488A-BDEE-F2E38BB2BC30"/>
    <w:docVar w:name="LW_COVERPAGE_TYPE" w:val="1"/>
    <w:docVar w:name="LW_CROSSREFERENCE" w:val="&lt;UNUSED&gt;"/>
    <w:docVar w:name="LW_DocType" w:val="NORMAL"/>
    <w:docVar w:name="LW_EMISSION" w:val="12.6.2025"/>
    <w:docVar w:name="LW_EMISSION_ISODATE" w:val="2025-06-12"/>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5) 3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Aptos CE&gt;dotycz\u261?ce wykonania uprawnie\u324? &lt;/FMT&gt;&lt;FMT:Font=Aptos&gt;do przyjmowania aktów delegowanych na podstawie art. 46 ust. 3 r&lt;/FMT&gt;&lt;FMT:Font=Aptos CE&gt;ozporz\u261?dzeni&lt;/FMT&gt;&lt;FMT:Font=Aptos&gt;a Parlamentu Europejskiego i Rady (UE) 2019/787 z dnia 17 kwietnia 2019 r. &lt;/FMT&gt;&lt;FMT:Font=Aptos CE&gt;w sprawie definicji, opisu, prezentacji i etykietowania napojów spirytusowych, stosowania nazw napojów spirytusowych w prezentacji i etykietowaniu innych \u347?rodków spo\u380?ywczych, ochrony oznacze\u324? geograficznych napojów spirytusowych, wykorzystywania alkoholu etylowego i destylatów pochodzenia rolniczego w napojach alkoholowych, a tak\u380?e uchylaj\u261?ce&lt;/FMT&gt;&lt;FMT:Font=Aptos&gt;go&lt;/FMT&gt;&lt;FMT:Font=Aptos CE&gt; rozporz\u261?dzenie (WE) nr 110/2008&lt;/FMT&gt;_x000d__x000d__x000b_"/>
    <w:docVar w:name="LW_TYPE.DOC.CP" w:val="SPRAWOZDANIE KOMISJI DLA PARLAMENTU EUROPEJSKIEGO I RADY"/>
    <w:docVar w:name="LwApiVersions" w:val="LW4CoDe 1.24.5.0; LW 9.0, Build 20240221"/>
  </w:docVars>
  <w:rsids>
    <w:rsidRoot w:val="004B181D"/>
    <w:rsid w:val="00043D16"/>
    <w:rsid w:val="00052D6C"/>
    <w:rsid w:val="0005795A"/>
    <w:rsid w:val="00085834"/>
    <w:rsid w:val="000D2F48"/>
    <w:rsid w:val="000D5CA8"/>
    <w:rsid w:val="000E00ED"/>
    <w:rsid w:val="000E6959"/>
    <w:rsid w:val="000F5BF6"/>
    <w:rsid w:val="001015FA"/>
    <w:rsid w:val="00126C4B"/>
    <w:rsid w:val="001459E0"/>
    <w:rsid w:val="001555AC"/>
    <w:rsid w:val="001623A2"/>
    <w:rsid w:val="00191A59"/>
    <w:rsid w:val="001A382C"/>
    <w:rsid w:val="001C6C4A"/>
    <w:rsid w:val="001D4095"/>
    <w:rsid w:val="001F36FD"/>
    <w:rsid w:val="001F548E"/>
    <w:rsid w:val="00217C9F"/>
    <w:rsid w:val="002207C1"/>
    <w:rsid w:val="002B20C5"/>
    <w:rsid w:val="002D07FF"/>
    <w:rsid w:val="002E5AF9"/>
    <w:rsid w:val="00313BC6"/>
    <w:rsid w:val="00313E09"/>
    <w:rsid w:val="00316507"/>
    <w:rsid w:val="00324660"/>
    <w:rsid w:val="003474A6"/>
    <w:rsid w:val="00355861"/>
    <w:rsid w:val="00357102"/>
    <w:rsid w:val="003752CD"/>
    <w:rsid w:val="003753B6"/>
    <w:rsid w:val="00376481"/>
    <w:rsid w:val="003903D7"/>
    <w:rsid w:val="003A2BA6"/>
    <w:rsid w:val="003A4439"/>
    <w:rsid w:val="003A5CC5"/>
    <w:rsid w:val="003E0C63"/>
    <w:rsid w:val="003F0428"/>
    <w:rsid w:val="003F4BD8"/>
    <w:rsid w:val="0041305B"/>
    <w:rsid w:val="00414AA1"/>
    <w:rsid w:val="00455614"/>
    <w:rsid w:val="004564AF"/>
    <w:rsid w:val="00494748"/>
    <w:rsid w:val="004A5189"/>
    <w:rsid w:val="004A6981"/>
    <w:rsid w:val="004B181D"/>
    <w:rsid w:val="004B618A"/>
    <w:rsid w:val="004C631B"/>
    <w:rsid w:val="004D29D4"/>
    <w:rsid w:val="004D68A1"/>
    <w:rsid w:val="004D7B26"/>
    <w:rsid w:val="004F56AA"/>
    <w:rsid w:val="0050241A"/>
    <w:rsid w:val="00515950"/>
    <w:rsid w:val="00524335"/>
    <w:rsid w:val="00524434"/>
    <w:rsid w:val="0055061D"/>
    <w:rsid w:val="00557BD0"/>
    <w:rsid w:val="00564F70"/>
    <w:rsid w:val="00585D9E"/>
    <w:rsid w:val="00585F9B"/>
    <w:rsid w:val="005B4957"/>
    <w:rsid w:val="005D131B"/>
    <w:rsid w:val="005D6C58"/>
    <w:rsid w:val="005E2AB0"/>
    <w:rsid w:val="005F7EC0"/>
    <w:rsid w:val="006451C5"/>
    <w:rsid w:val="006A7B76"/>
    <w:rsid w:val="006C3663"/>
    <w:rsid w:val="006E625E"/>
    <w:rsid w:val="00705AE1"/>
    <w:rsid w:val="0071428A"/>
    <w:rsid w:val="00756320"/>
    <w:rsid w:val="007625AB"/>
    <w:rsid w:val="00762D02"/>
    <w:rsid w:val="00766445"/>
    <w:rsid w:val="00766E2D"/>
    <w:rsid w:val="007746AA"/>
    <w:rsid w:val="007939C6"/>
    <w:rsid w:val="007C722A"/>
    <w:rsid w:val="007D2068"/>
    <w:rsid w:val="007D2AE5"/>
    <w:rsid w:val="007F1C63"/>
    <w:rsid w:val="0080294A"/>
    <w:rsid w:val="00822134"/>
    <w:rsid w:val="008258DE"/>
    <w:rsid w:val="008351A6"/>
    <w:rsid w:val="00842935"/>
    <w:rsid w:val="0084544A"/>
    <w:rsid w:val="00860177"/>
    <w:rsid w:val="00876397"/>
    <w:rsid w:val="008959AA"/>
    <w:rsid w:val="008A119E"/>
    <w:rsid w:val="008A1797"/>
    <w:rsid w:val="008B758A"/>
    <w:rsid w:val="008E0AF5"/>
    <w:rsid w:val="008E5983"/>
    <w:rsid w:val="008F36AF"/>
    <w:rsid w:val="0093406A"/>
    <w:rsid w:val="009577DC"/>
    <w:rsid w:val="009602CE"/>
    <w:rsid w:val="00980B60"/>
    <w:rsid w:val="00983AB4"/>
    <w:rsid w:val="00990AF1"/>
    <w:rsid w:val="0099534C"/>
    <w:rsid w:val="009B08C7"/>
    <w:rsid w:val="009B45C3"/>
    <w:rsid w:val="009C0452"/>
    <w:rsid w:val="00A07509"/>
    <w:rsid w:val="00A16C25"/>
    <w:rsid w:val="00A4217A"/>
    <w:rsid w:val="00A42F52"/>
    <w:rsid w:val="00A5431E"/>
    <w:rsid w:val="00AA48F5"/>
    <w:rsid w:val="00AB00E3"/>
    <w:rsid w:val="00AB10F9"/>
    <w:rsid w:val="00AB37E6"/>
    <w:rsid w:val="00AD2419"/>
    <w:rsid w:val="00B01494"/>
    <w:rsid w:val="00B23542"/>
    <w:rsid w:val="00B27048"/>
    <w:rsid w:val="00B51492"/>
    <w:rsid w:val="00B519C5"/>
    <w:rsid w:val="00B6741F"/>
    <w:rsid w:val="00B70ABA"/>
    <w:rsid w:val="00B8286E"/>
    <w:rsid w:val="00BA0E0E"/>
    <w:rsid w:val="00BA0EA3"/>
    <w:rsid w:val="00BA607F"/>
    <w:rsid w:val="00BB25E8"/>
    <w:rsid w:val="00BC1323"/>
    <w:rsid w:val="00BC51EE"/>
    <w:rsid w:val="00BD34B7"/>
    <w:rsid w:val="00BF1E2D"/>
    <w:rsid w:val="00C07284"/>
    <w:rsid w:val="00C10D64"/>
    <w:rsid w:val="00C15B67"/>
    <w:rsid w:val="00C2747B"/>
    <w:rsid w:val="00C438B7"/>
    <w:rsid w:val="00C61441"/>
    <w:rsid w:val="00C66875"/>
    <w:rsid w:val="00C814A6"/>
    <w:rsid w:val="00C91F8C"/>
    <w:rsid w:val="00C959CE"/>
    <w:rsid w:val="00CB22F0"/>
    <w:rsid w:val="00CB3B19"/>
    <w:rsid w:val="00CC3BF4"/>
    <w:rsid w:val="00D12016"/>
    <w:rsid w:val="00D576FE"/>
    <w:rsid w:val="00D75A25"/>
    <w:rsid w:val="00DA487F"/>
    <w:rsid w:val="00DC23C0"/>
    <w:rsid w:val="00DC501C"/>
    <w:rsid w:val="00DF4CA6"/>
    <w:rsid w:val="00DF718E"/>
    <w:rsid w:val="00E02414"/>
    <w:rsid w:val="00E162B9"/>
    <w:rsid w:val="00E20353"/>
    <w:rsid w:val="00E20F34"/>
    <w:rsid w:val="00E27986"/>
    <w:rsid w:val="00E46FFC"/>
    <w:rsid w:val="00E47382"/>
    <w:rsid w:val="00E56ED6"/>
    <w:rsid w:val="00E755AD"/>
    <w:rsid w:val="00E803DF"/>
    <w:rsid w:val="00E8421E"/>
    <w:rsid w:val="00E90559"/>
    <w:rsid w:val="00E93E2B"/>
    <w:rsid w:val="00E97588"/>
    <w:rsid w:val="00EB3EDA"/>
    <w:rsid w:val="00EB7028"/>
    <w:rsid w:val="00EC1987"/>
    <w:rsid w:val="00ED16DC"/>
    <w:rsid w:val="00ED1CEB"/>
    <w:rsid w:val="00EF1413"/>
    <w:rsid w:val="00F64939"/>
    <w:rsid w:val="00F704C0"/>
    <w:rsid w:val="00F9504E"/>
    <w:rsid w:val="00F955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C6BD01"/>
  <w15:chartTrackingRefBased/>
  <w15:docId w15:val="{8D0C2779-6F72-4546-B099-819FA6FB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1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4B181D"/>
  </w:style>
  <w:style w:type="character" w:customStyle="1" w:styleId="Heading11">
    <w:name w:val="Heading #1|1_"/>
    <w:basedOn w:val="DefaultParagraphFont"/>
    <w:link w:val="Heading110"/>
    <w:rsid w:val="004B181D"/>
    <w:rPr>
      <w:b/>
      <w:bCs/>
      <w:sz w:val="19"/>
      <w:szCs w:val="19"/>
    </w:rPr>
  </w:style>
  <w:style w:type="paragraph" w:customStyle="1" w:styleId="Bodytext10">
    <w:name w:val="Body text|1"/>
    <w:basedOn w:val="Normal"/>
    <w:link w:val="Bodytext1"/>
    <w:rsid w:val="004B181D"/>
    <w:pPr>
      <w:widowControl w:val="0"/>
      <w:spacing w:after="260" w:line="240" w:lineRule="auto"/>
    </w:pPr>
    <w:rPr>
      <w:kern w:val="2"/>
      <w14:ligatures w14:val="standardContextual"/>
    </w:rPr>
  </w:style>
  <w:style w:type="paragraph" w:customStyle="1" w:styleId="Heading110">
    <w:name w:val="Heading #1|1"/>
    <w:basedOn w:val="Normal"/>
    <w:link w:val="Heading11"/>
    <w:rsid w:val="004B181D"/>
    <w:pPr>
      <w:widowControl w:val="0"/>
      <w:spacing w:after="260" w:line="240" w:lineRule="auto"/>
      <w:outlineLvl w:val="0"/>
    </w:pPr>
    <w:rPr>
      <w:b/>
      <w:bCs/>
      <w:kern w:val="2"/>
      <w:sz w:val="19"/>
      <w:szCs w:val="19"/>
      <w14:ligatures w14:val="standardContextual"/>
    </w:rPr>
  </w:style>
  <w:style w:type="character" w:styleId="Emphasis">
    <w:name w:val="Emphasis"/>
    <w:basedOn w:val="DefaultParagraphFont"/>
    <w:uiPriority w:val="20"/>
    <w:qFormat/>
    <w:rsid w:val="004B181D"/>
    <w:rPr>
      <w:i/>
      <w:iCs/>
    </w:rPr>
  </w:style>
  <w:style w:type="paragraph" w:styleId="FootnoteText">
    <w:name w:val="footnote text"/>
    <w:basedOn w:val="Normal"/>
    <w:link w:val="FootnoteTextChar"/>
    <w:uiPriority w:val="99"/>
    <w:semiHidden/>
    <w:unhideWhenUsed/>
    <w:rsid w:val="004B181D"/>
    <w:pPr>
      <w:widowControl w:val="0"/>
      <w:spacing w:after="0" w:line="240" w:lineRule="auto"/>
    </w:pPr>
    <w:rPr>
      <w:rFonts w:ascii="Times New Roman" w:eastAsia="Times New Roman" w:hAnsi="Times New Roman" w:cs="Times New Roman"/>
      <w:color w:val="000000"/>
      <w:sz w:val="20"/>
      <w:szCs w:val="20"/>
      <w:lang w:eastAsia="hr-HR" w:bidi="hr-HR"/>
    </w:rPr>
  </w:style>
  <w:style w:type="character" w:customStyle="1" w:styleId="FootnoteTextChar">
    <w:name w:val="Footnote Text Char"/>
    <w:basedOn w:val="DefaultParagraphFont"/>
    <w:link w:val="FootnoteText"/>
    <w:uiPriority w:val="99"/>
    <w:semiHidden/>
    <w:rsid w:val="004B181D"/>
    <w:rPr>
      <w:rFonts w:ascii="Times New Roman" w:eastAsia="Times New Roman" w:hAnsi="Times New Roman" w:cs="Times New Roman"/>
      <w:color w:val="000000"/>
      <w:kern w:val="0"/>
      <w:sz w:val="20"/>
      <w:szCs w:val="20"/>
      <w:lang w:val="pl-PL" w:eastAsia="hr-HR" w:bidi="hr-HR"/>
      <w14:ligatures w14:val="none"/>
    </w:rPr>
  </w:style>
  <w:style w:type="character" w:styleId="FootnoteReference">
    <w:name w:val="footnote reference"/>
    <w:basedOn w:val="DefaultParagraphFont"/>
    <w:uiPriority w:val="99"/>
    <w:semiHidden/>
    <w:unhideWhenUsed/>
    <w:rsid w:val="004B181D"/>
    <w:rPr>
      <w:vertAlign w:val="superscript"/>
    </w:rPr>
  </w:style>
  <w:style w:type="paragraph" w:customStyle="1" w:styleId="title-bold">
    <w:name w:val="title-bold"/>
    <w:basedOn w:val="Normal"/>
    <w:rsid w:val="004B181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Marker">
    <w:name w:val="Marker"/>
    <w:basedOn w:val="DefaultParagraphFont"/>
    <w:rsid w:val="007F1C63"/>
    <w:rPr>
      <w:color w:val="0000FF"/>
      <w:shd w:val="clear" w:color="auto" w:fill="auto"/>
    </w:rPr>
  </w:style>
  <w:style w:type="paragraph" w:styleId="Header">
    <w:name w:val="header"/>
    <w:basedOn w:val="Normal"/>
    <w:link w:val="HeaderChar"/>
    <w:uiPriority w:val="99"/>
    <w:unhideWhenUsed/>
    <w:rsid w:val="007F1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C63"/>
    <w:rPr>
      <w:kern w:val="0"/>
      <w:lang w:val="pl-PL"/>
      <w14:ligatures w14:val="none"/>
    </w:rPr>
  </w:style>
  <w:style w:type="paragraph" w:styleId="Footer">
    <w:name w:val="footer"/>
    <w:basedOn w:val="Normal"/>
    <w:link w:val="FooterChar"/>
    <w:uiPriority w:val="99"/>
    <w:unhideWhenUsed/>
    <w:rsid w:val="007F1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C63"/>
    <w:rPr>
      <w:kern w:val="0"/>
      <w:lang w:val="pl-PL"/>
      <w14:ligatures w14:val="none"/>
    </w:rPr>
  </w:style>
  <w:style w:type="paragraph" w:customStyle="1" w:styleId="Pagedecouverture">
    <w:name w:val="Page de couverture"/>
    <w:basedOn w:val="Normal"/>
    <w:next w:val="Normal"/>
    <w:link w:val="PagedecouvertureChar"/>
    <w:rsid w:val="007F1C6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F1C6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7F1C63"/>
    <w:rPr>
      <w:rFonts w:ascii="Times New Roman" w:hAnsi="Times New Roman" w:cs="Times New Roman"/>
      <w:kern w:val="0"/>
      <w:sz w:val="24"/>
      <w:lang w:val="pl-PL"/>
      <w14:ligatures w14:val="none"/>
    </w:rPr>
  </w:style>
  <w:style w:type="character" w:customStyle="1" w:styleId="FooterCoverPageChar">
    <w:name w:val="Footer Cover Page Char"/>
    <w:basedOn w:val="PagedecouvertureChar"/>
    <w:link w:val="FooterCoverPage"/>
    <w:rsid w:val="007F1C63"/>
    <w:rPr>
      <w:rFonts w:ascii="Times New Roman" w:hAnsi="Times New Roman" w:cs="Times New Roman"/>
      <w:kern w:val="0"/>
      <w:sz w:val="24"/>
      <w:lang w:val="pl-PL"/>
      <w14:ligatures w14:val="none"/>
    </w:rPr>
  </w:style>
  <w:style w:type="paragraph" w:customStyle="1" w:styleId="FooterSensitivity">
    <w:name w:val="Footer Sensitivity"/>
    <w:basedOn w:val="Normal"/>
    <w:link w:val="FooterSensitivityChar"/>
    <w:rsid w:val="007F1C6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7F1C63"/>
    <w:rPr>
      <w:rFonts w:ascii="Times New Roman" w:hAnsi="Times New Roman" w:cs="Times New Roman"/>
      <w:b/>
      <w:kern w:val="0"/>
      <w:sz w:val="32"/>
      <w:lang w:val="pl-PL"/>
      <w14:ligatures w14:val="none"/>
    </w:rPr>
  </w:style>
  <w:style w:type="paragraph" w:customStyle="1" w:styleId="HeaderCoverPage">
    <w:name w:val="Header Cover Page"/>
    <w:basedOn w:val="Normal"/>
    <w:link w:val="HeaderCoverPageChar"/>
    <w:rsid w:val="007F1C6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7F1C63"/>
    <w:rPr>
      <w:rFonts w:ascii="Times New Roman" w:hAnsi="Times New Roman" w:cs="Times New Roman"/>
      <w:kern w:val="0"/>
      <w:sz w:val="24"/>
      <w:lang w:val="pl-PL"/>
      <w14:ligatures w14:val="none"/>
    </w:rPr>
  </w:style>
  <w:style w:type="paragraph" w:customStyle="1" w:styleId="HeaderSensitivity">
    <w:name w:val="Header Sensitivity"/>
    <w:basedOn w:val="Normal"/>
    <w:link w:val="HeaderSensitivityChar"/>
    <w:rsid w:val="007F1C6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7F1C63"/>
    <w:rPr>
      <w:rFonts w:ascii="Times New Roman" w:hAnsi="Times New Roman" w:cs="Times New Roman"/>
      <w:b/>
      <w:kern w:val="0"/>
      <w:sz w:val="32"/>
      <w:lang w:val="pl-PL"/>
      <w14:ligatures w14:val="none"/>
    </w:rPr>
  </w:style>
  <w:style w:type="paragraph" w:customStyle="1" w:styleId="HeaderSensitivityRight">
    <w:name w:val="Header Sensitivity Right"/>
    <w:basedOn w:val="Normal"/>
    <w:link w:val="HeaderSensitivityRightChar"/>
    <w:rsid w:val="007F1C6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7F1C63"/>
    <w:rPr>
      <w:rFonts w:ascii="Times New Roman" w:hAnsi="Times New Roman" w:cs="Times New Roman"/>
      <w:kern w:val="0"/>
      <w:sz w:val="28"/>
      <w:lang w:val="pl-PL"/>
      <w14:ligatures w14:val="none"/>
    </w:rPr>
  </w:style>
  <w:style w:type="paragraph" w:styleId="Revision">
    <w:name w:val="Revision"/>
    <w:hidden/>
    <w:uiPriority w:val="99"/>
    <w:semiHidden/>
    <w:rsid w:val="00DC23C0"/>
    <w:pPr>
      <w:spacing w:after="0" w:line="240" w:lineRule="auto"/>
    </w:pPr>
    <w:rPr>
      <w:kern w:val="0"/>
      <w14:ligatures w14:val="none"/>
    </w:rPr>
  </w:style>
  <w:style w:type="character" w:styleId="CommentReference">
    <w:name w:val="annotation reference"/>
    <w:basedOn w:val="DefaultParagraphFont"/>
    <w:uiPriority w:val="99"/>
    <w:semiHidden/>
    <w:unhideWhenUsed/>
    <w:rsid w:val="00DC23C0"/>
    <w:rPr>
      <w:sz w:val="16"/>
      <w:szCs w:val="16"/>
    </w:rPr>
  </w:style>
  <w:style w:type="paragraph" w:styleId="CommentText">
    <w:name w:val="annotation text"/>
    <w:basedOn w:val="Normal"/>
    <w:link w:val="CommentTextChar"/>
    <w:uiPriority w:val="99"/>
    <w:unhideWhenUsed/>
    <w:rsid w:val="00DC23C0"/>
    <w:pPr>
      <w:spacing w:line="240" w:lineRule="auto"/>
    </w:pPr>
    <w:rPr>
      <w:sz w:val="20"/>
      <w:szCs w:val="20"/>
    </w:rPr>
  </w:style>
  <w:style w:type="character" w:customStyle="1" w:styleId="CommentTextChar">
    <w:name w:val="Comment Text Char"/>
    <w:basedOn w:val="DefaultParagraphFont"/>
    <w:link w:val="CommentText"/>
    <w:uiPriority w:val="99"/>
    <w:rsid w:val="00DC23C0"/>
    <w:rPr>
      <w:kern w:val="0"/>
      <w:sz w:val="20"/>
      <w:szCs w:val="20"/>
      <w:lang w:val="pl-PL"/>
      <w14:ligatures w14:val="none"/>
    </w:rPr>
  </w:style>
  <w:style w:type="paragraph" w:styleId="CommentSubject">
    <w:name w:val="annotation subject"/>
    <w:basedOn w:val="CommentText"/>
    <w:next w:val="CommentText"/>
    <w:link w:val="CommentSubjectChar"/>
    <w:uiPriority w:val="99"/>
    <w:semiHidden/>
    <w:unhideWhenUsed/>
    <w:rsid w:val="00DC23C0"/>
    <w:rPr>
      <w:b/>
      <w:bCs/>
    </w:rPr>
  </w:style>
  <w:style w:type="character" w:customStyle="1" w:styleId="CommentSubjectChar">
    <w:name w:val="Comment Subject Char"/>
    <w:basedOn w:val="CommentTextChar"/>
    <w:link w:val="CommentSubject"/>
    <w:uiPriority w:val="99"/>
    <w:semiHidden/>
    <w:rsid w:val="00DC23C0"/>
    <w:rPr>
      <w:b/>
      <w:bCs/>
      <w:kern w:val="0"/>
      <w:sz w:val="20"/>
      <w:szCs w:val="20"/>
      <w:lang w:val="pl-PL"/>
      <w14:ligatures w14:val="none"/>
    </w:rPr>
  </w:style>
  <w:style w:type="character" w:styleId="Hyperlink">
    <w:name w:val="Hyperlink"/>
    <w:basedOn w:val="DefaultParagraphFont"/>
    <w:uiPriority w:val="99"/>
    <w:unhideWhenUsed/>
    <w:rsid w:val="00E97588"/>
    <w:rPr>
      <w:color w:val="0000FF"/>
      <w:u w:val="single"/>
    </w:rPr>
  </w:style>
  <w:style w:type="paragraph" w:styleId="ListParagraph">
    <w:name w:val="List Paragraph"/>
    <w:basedOn w:val="Normal"/>
    <w:uiPriority w:val="34"/>
    <w:qFormat/>
    <w:rsid w:val="00E20353"/>
    <w:pPr>
      <w:ind w:left="720"/>
      <w:contextualSpacing/>
    </w:pPr>
  </w:style>
  <w:style w:type="character" w:customStyle="1" w:styleId="UnresolvedMention">
    <w:name w:val="Unresolved Mention"/>
    <w:basedOn w:val="DefaultParagraphFont"/>
    <w:uiPriority w:val="99"/>
    <w:semiHidden/>
    <w:unhideWhenUsed/>
    <w:rsid w:val="003A5CC5"/>
    <w:rPr>
      <w:color w:val="605E5C"/>
      <w:shd w:val="clear" w:color="auto" w:fill="E1DFDD"/>
    </w:rPr>
  </w:style>
  <w:style w:type="character" w:styleId="FollowedHyperlink">
    <w:name w:val="FollowedHyperlink"/>
    <w:basedOn w:val="DefaultParagraphFont"/>
    <w:uiPriority w:val="99"/>
    <w:semiHidden/>
    <w:unhideWhenUsed/>
    <w:rsid w:val="003A5CC5"/>
    <w:rPr>
      <w:color w:val="954F72" w:themeColor="followedHyperlink"/>
      <w:u w:val="single"/>
    </w:rPr>
  </w:style>
  <w:style w:type="character" w:customStyle="1" w:styleId="BodyPlaceholderText">
    <w:name w:val="BodyPlaceholderText"/>
    <w:basedOn w:val="PlaceholderText"/>
    <w:semiHidden/>
    <w:rsid w:val="005F7EC0"/>
    <w:rPr>
      <w:color w:val="3366CC"/>
    </w:rPr>
  </w:style>
  <w:style w:type="character" w:styleId="PlaceholderText">
    <w:name w:val="Placeholder Text"/>
    <w:basedOn w:val="DefaultParagraphFont"/>
    <w:uiPriority w:val="99"/>
    <w:semiHidden/>
    <w:rsid w:val="005F7E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5236">
      <w:bodyDiv w:val="1"/>
      <w:marLeft w:val="0"/>
      <w:marRight w:val="0"/>
      <w:marTop w:val="0"/>
      <w:marBottom w:val="0"/>
      <w:divBdr>
        <w:top w:val="none" w:sz="0" w:space="0" w:color="auto"/>
        <w:left w:val="none" w:sz="0" w:space="0" w:color="auto"/>
        <w:bottom w:val="none" w:sz="0" w:space="0" w:color="auto"/>
        <w:right w:val="none" w:sz="0" w:space="0" w:color="auto"/>
      </w:divBdr>
    </w:div>
    <w:div w:id="1116875150">
      <w:bodyDiv w:val="1"/>
      <w:marLeft w:val="0"/>
      <w:marRight w:val="0"/>
      <w:marTop w:val="0"/>
      <w:marBottom w:val="0"/>
      <w:divBdr>
        <w:top w:val="none" w:sz="0" w:space="0" w:color="auto"/>
        <w:left w:val="none" w:sz="0" w:space="0" w:color="auto"/>
        <w:bottom w:val="none" w:sz="0" w:space="0" w:color="auto"/>
        <w:right w:val="none" w:sz="0" w:space="0" w:color="auto"/>
      </w:divBdr>
    </w:div>
    <w:div w:id="1370687444">
      <w:bodyDiv w:val="1"/>
      <w:marLeft w:val="0"/>
      <w:marRight w:val="0"/>
      <w:marTop w:val="0"/>
      <w:marBottom w:val="0"/>
      <w:divBdr>
        <w:top w:val="none" w:sz="0" w:space="0" w:color="auto"/>
        <w:left w:val="none" w:sz="0" w:space="0" w:color="auto"/>
        <w:bottom w:val="none" w:sz="0" w:space="0" w:color="auto"/>
        <w:right w:val="none" w:sz="0" w:space="0" w:color="auto"/>
      </w:divBdr>
    </w:div>
    <w:div w:id="1491366771">
      <w:bodyDiv w:val="1"/>
      <w:marLeft w:val="0"/>
      <w:marRight w:val="0"/>
      <w:marTop w:val="0"/>
      <w:marBottom w:val="0"/>
      <w:divBdr>
        <w:top w:val="none" w:sz="0" w:space="0" w:color="auto"/>
        <w:left w:val="none" w:sz="0" w:space="0" w:color="auto"/>
        <w:bottom w:val="none" w:sz="0" w:space="0" w:color="auto"/>
        <w:right w:val="none" w:sz="0" w:space="0" w:color="auto"/>
      </w:divBdr>
    </w:div>
    <w:div w:id="1642810729">
      <w:bodyDiv w:val="1"/>
      <w:marLeft w:val="0"/>
      <w:marRight w:val="0"/>
      <w:marTop w:val="0"/>
      <w:marBottom w:val="0"/>
      <w:divBdr>
        <w:top w:val="none" w:sz="0" w:space="0" w:color="auto"/>
        <w:left w:val="none" w:sz="0" w:space="0" w:color="auto"/>
        <w:bottom w:val="none" w:sz="0" w:space="0" w:color="auto"/>
        <w:right w:val="none" w:sz="0" w:space="0" w:color="auto"/>
      </w:divBdr>
    </w:div>
    <w:div w:id="1647008080">
      <w:bodyDiv w:val="1"/>
      <w:marLeft w:val="0"/>
      <w:marRight w:val="0"/>
      <w:marTop w:val="0"/>
      <w:marBottom w:val="0"/>
      <w:divBdr>
        <w:top w:val="none" w:sz="0" w:space="0" w:color="auto"/>
        <w:left w:val="none" w:sz="0" w:space="0" w:color="auto"/>
        <w:bottom w:val="none" w:sz="0" w:space="0" w:color="auto"/>
        <w:right w:val="none" w:sz="0" w:space="0" w:color="auto"/>
      </w:divBdr>
    </w:div>
    <w:div w:id="1929146786">
      <w:bodyDiv w:val="1"/>
      <w:marLeft w:val="0"/>
      <w:marRight w:val="0"/>
      <w:marTop w:val="0"/>
      <w:marBottom w:val="0"/>
      <w:divBdr>
        <w:top w:val="none" w:sz="0" w:space="0" w:color="auto"/>
        <w:left w:val="none" w:sz="0" w:space="0" w:color="auto"/>
        <w:bottom w:val="none" w:sz="0" w:space="0" w:color="auto"/>
        <w:right w:val="none" w:sz="0" w:space="0" w:color="auto"/>
      </w:divBdr>
    </w:div>
    <w:div w:id="19341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21/1235/oj" TargetMode="External"/><Relationship Id="rId7" Type="http://schemas.openxmlformats.org/officeDocument/2006/relationships/hyperlink" Target="http://data.europa.eu/eli/reg_impl/2025/26/oj" TargetMode="External"/><Relationship Id="rId2" Type="http://schemas.openxmlformats.org/officeDocument/2006/relationships/hyperlink" Target="http://data.europa.eu/eli/reg/2008/110(1)/oj" TargetMode="External"/><Relationship Id="rId1" Type="http://schemas.openxmlformats.org/officeDocument/2006/relationships/hyperlink" Target="http://data.europa.eu/eli/reg/2019/787/oj" TargetMode="External"/><Relationship Id="rId6" Type="http://schemas.openxmlformats.org/officeDocument/2006/relationships/hyperlink" Target="http://data.europa.eu/eli/reg_del/2025/29/oj" TargetMode="External"/><Relationship Id="rId5" Type="http://schemas.openxmlformats.org/officeDocument/2006/relationships/hyperlink" Target="http://data.europa.eu/eli/reg_del/2025/27/oj" TargetMode="External"/><Relationship Id="rId4" Type="http://schemas.openxmlformats.org/officeDocument/2006/relationships/hyperlink" Target="http://data.europa.eu/eli/reg/2024/1143/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DE29-282B-42DC-AD94-0CE9601B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2025-04-04T09:20:00Z</cp:lastPrinted>
  <dcterms:created xsi:type="dcterms:W3CDTF">2025-05-12T15:05:00Z</dcterms:created>
  <dcterms:modified xsi:type="dcterms:W3CDTF">2025-06-11T21:19:00Z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2024-04-05T14:43:48Z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13d92e9d-0af8-43a0-b6dc-adbce80fb090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9.1, Build 20240808</vt:lpwstr>
  </property>
  <property fmtid="{D5CDD505-2E9C-101B-9397-08002B2CF9AE}" pid="15" name="Created using">
    <vt:lpwstr>LW 9.0, Build 20230317</vt:lpwstr>
  </property>
</Properties>
</file>