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CD116" w14:textId="20BB9C6E" w:rsidR="00BC107C" w:rsidRPr="0099317C" w:rsidRDefault="00466CC8" w:rsidP="00466CC8">
      <w:pPr>
        <w:pStyle w:val="Pagedecouverture"/>
        <w:rPr>
          <w:noProof/>
        </w:rPr>
      </w:pPr>
      <w:bookmarkStart w:id="0" w:name="LW_BM_COVERPAGE"/>
      <w:r>
        <w:rPr>
          <w:noProof/>
        </w:rPr>
        <w:pict w14:anchorId="3582C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5601C23-73F8-4B22-AC1E-C678E289B825" style="width:455.25pt;height:336.75pt">
            <v:imagedata r:id="rId14" o:title=""/>
          </v:shape>
        </w:pict>
      </w:r>
    </w:p>
    <w:bookmarkEnd w:id="0"/>
    <w:p w14:paraId="728A67AC" w14:textId="77777777" w:rsidR="00BC107C" w:rsidRPr="0099317C" w:rsidRDefault="00BC107C">
      <w:pPr>
        <w:pStyle w:val="ZFlag"/>
        <w:rPr>
          <w:noProof/>
        </w:rPr>
        <w:sectPr w:rsidR="00BC107C" w:rsidRPr="0099317C" w:rsidSect="00466CC8">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p w14:paraId="1D262128" w14:textId="5AD2B7EC" w:rsidR="007A6510" w:rsidRPr="007A6510" w:rsidRDefault="007A6510" w:rsidP="007A6510">
      <w:pPr>
        <w:pStyle w:val="Typedudocument"/>
        <w:rPr>
          <w:noProof/>
        </w:rPr>
      </w:pPr>
      <w:bookmarkStart w:id="1" w:name="_GoBack"/>
      <w:bookmarkEnd w:id="1"/>
      <w:r w:rsidRPr="007A6510">
        <w:rPr>
          <w:noProof/>
        </w:rPr>
        <w:lastRenderedPageBreak/>
        <w:t>SPRAWOZDANIE KOMISJI DLA RADY I PARLAMENTU EUROPEJSKIEGO</w:t>
      </w:r>
    </w:p>
    <w:p w14:paraId="30C31A3E" w14:textId="734711D2" w:rsidR="007A6510" w:rsidRPr="007A6510" w:rsidRDefault="007A6510" w:rsidP="007A6510">
      <w:pPr>
        <w:pStyle w:val="Titreobjet"/>
        <w:rPr>
          <w:noProof/>
        </w:rPr>
      </w:pPr>
      <w:r w:rsidRPr="007A6510">
        <w:rPr>
          <w:noProof/>
        </w:rPr>
        <w:t>dotyczące transpozycji dyrektywy Parlamentu Europejskiego i Rady (UE) 2019/1 z dnia 11 grudnia 2018 r. mającej na celu nadanie organom ochrony konkurencji państw członkowskich uprawnień w celu skuteczniejszego egzekwowania prawa i zapewnienia należytego funkcjonowania rynku wewnętrznego</w:t>
      </w:r>
    </w:p>
    <w:p w14:paraId="1C9E6049" w14:textId="14237EC5" w:rsidR="00492613" w:rsidRPr="0099317C" w:rsidRDefault="00492613" w:rsidP="00572EE8">
      <w:pPr>
        <w:pStyle w:val="Heading1"/>
        <w:rPr>
          <w:noProof/>
        </w:rPr>
      </w:pPr>
      <w:r w:rsidRPr="0099317C">
        <w:rPr>
          <w:noProof/>
        </w:rPr>
        <w:t>Dyrektywa ECN+: jej geneza</w:t>
      </w:r>
      <w:r w:rsidR="0099317C" w:rsidRPr="0099317C">
        <w:rPr>
          <w:noProof/>
        </w:rPr>
        <w:t xml:space="preserve"> i cel</w:t>
      </w:r>
      <w:r w:rsidRPr="0099317C">
        <w:rPr>
          <w:noProof/>
        </w:rPr>
        <w:t xml:space="preserve">e </w:t>
      </w:r>
    </w:p>
    <w:p w14:paraId="3727C30A" w14:textId="64B809AA" w:rsidR="00CF5C84" w:rsidRPr="0099317C" w:rsidRDefault="00163C96" w:rsidP="00A42522">
      <w:pPr>
        <w:spacing w:after="160" w:line="256" w:lineRule="auto"/>
        <w:rPr>
          <w:noProof/>
        </w:rPr>
      </w:pPr>
      <w:r w:rsidRPr="0099317C">
        <w:rPr>
          <w:noProof/>
        </w:rPr>
        <w:t>Unijne przepisy antymonopolowe mają na celu zapewnienie skutecznej konkurencji na rynku wewnętrznym. Art. 101 Traktatu</w:t>
      </w:r>
      <w:r w:rsidR="0099317C" w:rsidRPr="0099317C">
        <w:rPr>
          <w:noProof/>
        </w:rPr>
        <w:t xml:space="preserve"> o fun</w:t>
      </w:r>
      <w:r w:rsidRPr="0099317C">
        <w:rPr>
          <w:noProof/>
        </w:rPr>
        <w:t xml:space="preserve">kcjonowaniu Unii Europejskiej („TFUE”) zakazuje porozumień ograniczających konkurencję między co najmniej dwoma przedsiębiorstwami, takich jak kartele między konkurentami służące ustalaniu cen. Art. 102 TFUE zakazuje przedsiębiorstwom zajmującym pozycję dominującą na rynku nadużywania tej pozycji, na przykład poprzez udzielanie nielegalnych upustów lub stosowanie cen drapieżnych. </w:t>
      </w:r>
    </w:p>
    <w:p w14:paraId="490AC6B1" w14:textId="4A10D835" w:rsidR="0016645C" w:rsidRPr="0099317C" w:rsidRDefault="005759D5" w:rsidP="00A42522">
      <w:pPr>
        <w:spacing w:after="160" w:line="256" w:lineRule="auto"/>
        <w:rPr>
          <w:noProof/>
        </w:rPr>
      </w:pPr>
      <w:r w:rsidRPr="0099317C">
        <w:rPr>
          <w:noProof/>
        </w:rPr>
        <w:t>Począwszy od</w:t>
      </w:r>
      <w:r w:rsidR="0099317C" w:rsidRPr="0099317C">
        <w:rPr>
          <w:noProof/>
        </w:rPr>
        <w:t> </w:t>
      </w:r>
      <w:r w:rsidRPr="0099317C">
        <w:rPr>
          <w:noProof/>
        </w:rPr>
        <w:t>2004</w:t>
      </w:r>
      <w:r w:rsidR="0099317C" w:rsidRPr="0099317C">
        <w:rPr>
          <w:noProof/>
        </w:rPr>
        <w:t> </w:t>
      </w:r>
      <w:r w:rsidRPr="0099317C">
        <w:rPr>
          <w:noProof/>
        </w:rPr>
        <w:t>r. organy ochrony konkurencji państw członkowskich UE („krajowe organy ochrony konkurencji”) są uprawnione, na podstawie rozporządzenia Rady (WE) nr</w:t>
      </w:r>
      <w:r w:rsidR="0099317C" w:rsidRPr="0099317C">
        <w:rPr>
          <w:noProof/>
        </w:rPr>
        <w:t> </w:t>
      </w:r>
      <w:r w:rsidRPr="0099317C">
        <w:rPr>
          <w:noProof/>
        </w:rPr>
        <w:t>1/2003 (</w:t>
      </w:r>
      <w:r w:rsidRPr="0099317C">
        <w:rPr>
          <w:noProof/>
          <w:vertAlign w:val="superscript"/>
        </w:rPr>
        <w:footnoteReference w:id="2"/>
      </w:r>
      <w:r w:rsidRPr="0099317C">
        <w:rPr>
          <w:noProof/>
        </w:rPr>
        <w:t>), do stosowania unijnych przepisów antymonopolowych równolegle</w:t>
      </w:r>
      <w:r w:rsidR="0099317C" w:rsidRPr="0099317C">
        <w:rPr>
          <w:noProof/>
        </w:rPr>
        <w:t xml:space="preserve"> z Kom</w:t>
      </w:r>
      <w:r w:rsidRPr="0099317C">
        <w:rPr>
          <w:noProof/>
        </w:rPr>
        <w:t xml:space="preserve">isją Europejską. </w:t>
      </w:r>
    </w:p>
    <w:p w14:paraId="7341F75F" w14:textId="293F6E38" w:rsidR="00EA2B7B" w:rsidRPr="0099317C" w:rsidRDefault="00803DE6" w:rsidP="00413327">
      <w:pPr>
        <w:spacing w:after="160" w:line="256" w:lineRule="auto"/>
        <w:rPr>
          <w:noProof/>
        </w:rPr>
      </w:pPr>
      <w:r w:rsidRPr="0099317C">
        <w:rPr>
          <w:noProof/>
        </w:rPr>
        <w:t>Komisja</w:t>
      </w:r>
      <w:r w:rsidR="0099317C" w:rsidRPr="0099317C">
        <w:rPr>
          <w:noProof/>
        </w:rPr>
        <w:t xml:space="preserve"> i kra</w:t>
      </w:r>
      <w:r w:rsidRPr="0099317C">
        <w:rPr>
          <w:noProof/>
        </w:rPr>
        <w:t>jowe organy ochrony konkurencji egzekwują unijne przepisy antymonopolowe</w:t>
      </w:r>
      <w:r w:rsidR="0099317C" w:rsidRPr="0099317C">
        <w:rPr>
          <w:noProof/>
        </w:rPr>
        <w:t xml:space="preserve"> w ści</w:t>
      </w:r>
      <w:r w:rsidRPr="0099317C">
        <w:rPr>
          <w:noProof/>
        </w:rPr>
        <w:t>słej współpracy</w:t>
      </w:r>
      <w:r w:rsidR="0099317C" w:rsidRPr="0099317C">
        <w:rPr>
          <w:noProof/>
        </w:rPr>
        <w:t xml:space="preserve"> w ram</w:t>
      </w:r>
      <w:r w:rsidRPr="0099317C">
        <w:rPr>
          <w:noProof/>
        </w:rPr>
        <w:t>ach Europejskiej Sieci Konkurencji. Komisja prowadzi zazwyczaj dochodzenie</w:t>
      </w:r>
      <w:r w:rsidR="0099317C" w:rsidRPr="0099317C">
        <w:rPr>
          <w:noProof/>
        </w:rPr>
        <w:t xml:space="preserve"> w prz</w:t>
      </w:r>
      <w:r w:rsidRPr="0099317C">
        <w:rPr>
          <w:noProof/>
        </w:rPr>
        <w:t>ypadku antykonkurencyjnych praktyk lub porozumień, jeżeli mają one oddziaływanie na konkurencję w co najmniej trzech państwach członkowskich lub jeżeli przydatnym może okazać się ustanowienie ogólnoeuropejskiego precedensu. Krajowe organy ochrony konkurencji mają natomiast korzystną pozycję wyjściową</w:t>
      </w:r>
      <w:r w:rsidR="0099317C" w:rsidRPr="0099317C">
        <w:rPr>
          <w:noProof/>
        </w:rPr>
        <w:t xml:space="preserve"> w syt</w:t>
      </w:r>
      <w:r w:rsidRPr="0099317C">
        <w:rPr>
          <w:noProof/>
        </w:rPr>
        <w:t>uacji, gdy występuje znaczące oddziaływanie na konkurencję na ich terytorium działania (</w:t>
      </w:r>
      <w:r w:rsidR="007E641F" w:rsidRPr="0099317C">
        <w:rPr>
          <w:noProof/>
          <w:vertAlign w:val="superscript"/>
        </w:rPr>
        <w:footnoteReference w:id="3"/>
      </w:r>
      <w:r w:rsidRPr="0099317C">
        <w:rPr>
          <w:noProof/>
        </w:rPr>
        <w:t xml:space="preserve">). </w:t>
      </w:r>
    </w:p>
    <w:p w14:paraId="139833A0" w14:textId="1C820A81" w:rsidR="000E4907" w:rsidRPr="0099317C" w:rsidRDefault="0079205D" w:rsidP="00413327">
      <w:pPr>
        <w:spacing w:after="160" w:line="256" w:lineRule="auto"/>
        <w:rPr>
          <w:noProof/>
        </w:rPr>
      </w:pPr>
      <w:r w:rsidRPr="0099317C">
        <w:rPr>
          <w:noProof/>
        </w:rPr>
        <w:t>Nadając uprawnienia krajowym organom ochrony konkurencji, rozporządzeniem Rady (WE) nr</w:t>
      </w:r>
      <w:r w:rsidR="0099317C" w:rsidRPr="0099317C">
        <w:rPr>
          <w:noProof/>
        </w:rPr>
        <w:t> </w:t>
      </w:r>
      <w:r w:rsidRPr="0099317C">
        <w:rPr>
          <w:noProof/>
        </w:rPr>
        <w:t>1/2003 stworzono zdecentralizowany system egzekwowania unijnych przepisów antymonopolowych, ale nie ustanowiono szczegółowych środków</w:t>
      </w:r>
      <w:r w:rsidR="0099317C" w:rsidRPr="0099317C">
        <w:rPr>
          <w:noProof/>
        </w:rPr>
        <w:t xml:space="preserve"> i ins</w:t>
      </w:r>
      <w:r w:rsidRPr="0099317C">
        <w:rPr>
          <w:noProof/>
        </w:rPr>
        <w:t>trumentów stosowania tych przepisów na szczeblu krajowym. Oznacza to, że chociaż krajowe organy ochrony konkurencji stosowały te same przepisy prawa materialnego, ich uprawnienia dochodzeniowe</w:t>
      </w:r>
      <w:r w:rsidR="0099317C" w:rsidRPr="0099317C">
        <w:rPr>
          <w:noProof/>
        </w:rPr>
        <w:t xml:space="preserve"> i dec</w:t>
      </w:r>
      <w:r w:rsidRPr="0099317C">
        <w:rPr>
          <w:noProof/>
        </w:rPr>
        <w:t>yzyjne podlegały prawu krajowemu.</w:t>
      </w:r>
    </w:p>
    <w:p w14:paraId="29300E3E" w14:textId="251038C5" w:rsidR="00D95772" w:rsidRPr="0099317C" w:rsidRDefault="00381F47" w:rsidP="00413327">
      <w:pPr>
        <w:spacing w:after="160" w:line="256" w:lineRule="auto"/>
        <w:rPr>
          <w:noProof/>
        </w:rPr>
      </w:pPr>
      <w:r w:rsidRPr="0099317C">
        <w:rPr>
          <w:noProof/>
        </w:rPr>
        <w:t>Opierając się na dziesięcioletnim doświadczeniu związanym ze zdecentralizowanym systemem egzekwowania prawa, Komisja zidentyfikowała pewne obszary,</w:t>
      </w:r>
      <w:r w:rsidR="0099317C" w:rsidRPr="0099317C">
        <w:rPr>
          <w:noProof/>
        </w:rPr>
        <w:t xml:space="preserve"> w któ</w:t>
      </w:r>
      <w:r w:rsidRPr="0099317C">
        <w:rPr>
          <w:noProof/>
        </w:rPr>
        <w:t>rych konieczne są dalsze działania (</w:t>
      </w:r>
      <w:r w:rsidR="00374239" w:rsidRPr="0099317C">
        <w:rPr>
          <w:rStyle w:val="FootnoteReference"/>
          <w:noProof/>
        </w:rPr>
        <w:footnoteReference w:id="4"/>
      </w:r>
      <w:r w:rsidRPr="0099317C">
        <w:rPr>
          <w:noProof/>
        </w:rPr>
        <w:t>)</w:t>
      </w:r>
      <w:r w:rsidR="0099317C" w:rsidRPr="0099317C">
        <w:rPr>
          <w:noProof/>
        </w:rPr>
        <w:t>. W dni</w:t>
      </w:r>
      <w:r w:rsidRPr="0099317C">
        <w:rPr>
          <w:noProof/>
        </w:rPr>
        <w:t>u 22 marca 2017</w:t>
      </w:r>
      <w:r w:rsidR="0099317C" w:rsidRPr="0099317C">
        <w:rPr>
          <w:noProof/>
        </w:rPr>
        <w:t> </w:t>
      </w:r>
      <w:r w:rsidRPr="0099317C">
        <w:rPr>
          <w:noProof/>
        </w:rPr>
        <w:t>r. Komisja zaproponowała dyrektywę mającą na celu nadanie organom ochrony konkurencji państw członkowskich uprawnień</w:t>
      </w:r>
      <w:r w:rsidR="0099317C" w:rsidRPr="0099317C">
        <w:rPr>
          <w:noProof/>
        </w:rPr>
        <w:t xml:space="preserve"> w cel</w:t>
      </w:r>
      <w:r w:rsidRPr="0099317C">
        <w:rPr>
          <w:noProof/>
        </w:rPr>
        <w:t>u skuteczniejszego egzekwowania prawa</w:t>
      </w:r>
      <w:r w:rsidR="0099317C" w:rsidRPr="0099317C">
        <w:rPr>
          <w:noProof/>
        </w:rPr>
        <w:t xml:space="preserve"> i zap</w:t>
      </w:r>
      <w:r w:rsidRPr="0099317C">
        <w:rPr>
          <w:noProof/>
        </w:rPr>
        <w:t>ewnienia należytego funkcjonowania rynku wewnętrznego (</w:t>
      </w:r>
      <w:r w:rsidR="007324E2" w:rsidRPr="0099317C">
        <w:rPr>
          <w:noProof/>
          <w:vertAlign w:val="superscript"/>
        </w:rPr>
        <w:footnoteReference w:id="5"/>
      </w:r>
      <w:r w:rsidRPr="0099317C">
        <w:rPr>
          <w:noProof/>
        </w:rPr>
        <w:t>).</w:t>
      </w:r>
    </w:p>
    <w:p w14:paraId="6A41D06B" w14:textId="38EF70FB" w:rsidR="000D4259" w:rsidRPr="0099317C" w:rsidRDefault="005B6BE5" w:rsidP="00413327">
      <w:pPr>
        <w:spacing w:after="160" w:line="256" w:lineRule="auto"/>
        <w:rPr>
          <w:noProof/>
        </w:rPr>
      </w:pPr>
      <w:r w:rsidRPr="0099317C">
        <w:rPr>
          <w:noProof/>
        </w:rPr>
        <w:t>W dniu 11 grudnia 2018</w:t>
      </w:r>
      <w:r w:rsidR="0099317C" w:rsidRPr="0099317C">
        <w:rPr>
          <w:noProof/>
        </w:rPr>
        <w:t> </w:t>
      </w:r>
      <w:r w:rsidRPr="0099317C">
        <w:rPr>
          <w:noProof/>
        </w:rPr>
        <w:t>r. Parlament Europejski</w:t>
      </w:r>
      <w:r w:rsidR="0099317C" w:rsidRPr="0099317C">
        <w:rPr>
          <w:noProof/>
        </w:rPr>
        <w:t xml:space="preserve"> i Rad</w:t>
      </w:r>
      <w:r w:rsidRPr="0099317C">
        <w:rPr>
          <w:noProof/>
        </w:rPr>
        <w:t>a należycie przyjęły dyrektywę (UE) 2019/1 (</w:t>
      </w:r>
      <w:r w:rsidR="006F3EB5" w:rsidRPr="0099317C">
        <w:rPr>
          <w:noProof/>
          <w:vertAlign w:val="superscript"/>
        </w:rPr>
        <w:footnoteReference w:id="6"/>
      </w:r>
      <w:r w:rsidRPr="0099317C">
        <w:rPr>
          <w:noProof/>
        </w:rPr>
        <w:t>) („dyrektywa ECN+”). Cel dyrektywy polegał na tym, by zapewnić krajowym organom ochrony konkurencji: (i) podstawowe gwarancje niezależności</w:t>
      </w:r>
      <w:r w:rsidR="0099317C" w:rsidRPr="0099317C">
        <w:rPr>
          <w:noProof/>
        </w:rPr>
        <w:t xml:space="preserve"> i zas</w:t>
      </w:r>
      <w:r w:rsidRPr="0099317C">
        <w:rPr>
          <w:noProof/>
        </w:rPr>
        <w:t>obów; (ii) podstawowe uprawnienia</w:t>
      </w:r>
      <w:r w:rsidR="0099317C" w:rsidRPr="0099317C">
        <w:rPr>
          <w:noProof/>
        </w:rPr>
        <w:t xml:space="preserve"> w zak</w:t>
      </w:r>
      <w:r w:rsidRPr="0099317C">
        <w:rPr>
          <w:noProof/>
        </w:rPr>
        <w:t>resie prowadzenia postępowań wyjaśniających, podejmowania decyzji</w:t>
      </w:r>
      <w:r w:rsidR="0099317C" w:rsidRPr="0099317C">
        <w:rPr>
          <w:noProof/>
        </w:rPr>
        <w:t xml:space="preserve"> i nak</w:t>
      </w:r>
      <w:r w:rsidRPr="0099317C">
        <w:rPr>
          <w:noProof/>
        </w:rPr>
        <w:t>ładania kar; (iii) programy łagodzenia kar; oraz (iv) mechanizmy wzajemnej pomocy.</w:t>
      </w:r>
    </w:p>
    <w:p w14:paraId="4AA08A34" w14:textId="44E48C31" w:rsidR="00B753A6" w:rsidRPr="0099317C" w:rsidRDefault="0039319B" w:rsidP="008928E1">
      <w:pPr>
        <w:spacing w:after="0" w:line="257" w:lineRule="auto"/>
        <w:rPr>
          <w:noProof/>
        </w:rPr>
      </w:pPr>
      <w:r w:rsidRPr="0099317C">
        <w:rPr>
          <w:noProof/>
        </w:rPr>
        <w:t>Dyrektywa ECN+ weszła</w:t>
      </w:r>
      <w:r w:rsidR="0099317C" w:rsidRPr="0099317C">
        <w:rPr>
          <w:noProof/>
        </w:rPr>
        <w:t xml:space="preserve"> w życ</w:t>
      </w:r>
      <w:r w:rsidRPr="0099317C">
        <w:rPr>
          <w:noProof/>
        </w:rPr>
        <w:t>ie</w:t>
      </w:r>
      <w:r w:rsidR="0099317C" w:rsidRPr="0099317C">
        <w:rPr>
          <w:noProof/>
        </w:rPr>
        <w:t xml:space="preserve"> w dni</w:t>
      </w:r>
      <w:r w:rsidRPr="0099317C">
        <w:rPr>
          <w:noProof/>
        </w:rPr>
        <w:t>u 3 lutego 2019</w:t>
      </w:r>
      <w:r w:rsidR="0099317C" w:rsidRPr="0099317C">
        <w:rPr>
          <w:noProof/>
        </w:rPr>
        <w:t> </w:t>
      </w:r>
      <w:r w:rsidRPr="0099317C">
        <w:rPr>
          <w:noProof/>
        </w:rPr>
        <w:t>r. Państwa członkowskie miały dokonać transpozycji dyrektywy ECN+ do prawa krajowego do dnia 4 lutego 2021</w:t>
      </w:r>
      <w:r w:rsidR="0099317C" w:rsidRPr="0099317C">
        <w:rPr>
          <w:noProof/>
        </w:rPr>
        <w:t> </w:t>
      </w:r>
      <w:r w:rsidRPr="0099317C">
        <w:rPr>
          <w:noProof/>
        </w:rPr>
        <w:t>r.</w:t>
      </w:r>
    </w:p>
    <w:p w14:paraId="0DB55E2F" w14:textId="2A1CB5BD" w:rsidR="00AF1F02" w:rsidRPr="0099317C" w:rsidRDefault="00AF1F02" w:rsidP="00572EE8">
      <w:pPr>
        <w:pStyle w:val="Heading1"/>
        <w:rPr>
          <w:noProof/>
        </w:rPr>
      </w:pPr>
      <w:r w:rsidRPr="0099317C">
        <w:rPr>
          <w:noProof/>
        </w:rPr>
        <w:t>Zakres niniejszego sprawozdania</w:t>
      </w:r>
    </w:p>
    <w:p w14:paraId="1C88FC3C" w14:textId="4068C1A0" w:rsidR="00867F9F" w:rsidRPr="0099317C" w:rsidRDefault="00F06D28" w:rsidP="001546BB">
      <w:pPr>
        <w:rPr>
          <w:noProof/>
        </w:rPr>
      </w:pPr>
      <w:r w:rsidRPr="0099317C">
        <w:rPr>
          <w:noProof/>
        </w:rPr>
        <w:t>Zgodnie</w:t>
      </w:r>
      <w:r w:rsidR="0099317C" w:rsidRPr="0099317C">
        <w:rPr>
          <w:noProof/>
        </w:rPr>
        <w:t xml:space="preserve"> z art</w:t>
      </w:r>
      <w:r w:rsidRPr="0099317C">
        <w:rPr>
          <w:noProof/>
        </w:rPr>
        <w:t>.</w:t>
      </w:r>
      <w:r w:rsidR="0099317C" w:rsidRPr="0099317C">
        <w:rPr>
          <w:noProof/>
        </w:rPr>
        <w:t> </w:t>
      </w:r>
      <w:r w:rsidRPr="0099317C">
        <w:rPr>
          <w:noProof/>
        </w:rPr>
        <w:t>35 dyrektywy ECN+ Komisja musi przedstawić Parlamentowi Europejskiemu</w:t>
      </w:r>
      <w:r w:rsidR="0099317C" w:rsidRPr="0099317C">
        <w:rPr>
          <w:noProof/>
        </w:rPr>
        <w:t xml:space="preserve"> i Rad</w:t>
      </w:r>
      <w:r w:rsidRPr="0099317C">
        <w:rPr>
          <w:noProof/>
        </w:rPr>
        <w:t>zie do dnia 12 grudnia 2024</w:t>
      </w:r>
      <w:r w:rsidR="0099317C" w:rsidRPr="0099317C">
        <w:rPr>
          <w:noProof/>
        </w:rPr>
        <w:t> </w:t>
      </w:r>
      <w:r w:rsidRPr="0099317C">
        <w:rPr>
          <w:noProof/>
        </w:rPr>
        <w:t>r. sprawozdanie</w:t>
      </w:r>
      <w:r w:rsidR="0099317C" w:rsidRPr="0099317C">
        <w:rPr>
          <w:noProof/>
        </w:rPr>
        <w:t xml:space="preserve"> z tra</w:t>
      </w:r>
      <w:r w:rsidRPr="0099317C">
        <w:rPr>
          <w:noProof/>
        </w:rPr>
        <w:t>nspozycji</w:t>
      </w:r>
      <w:r w:rsidR="0099317C" w:rsidRPr="0099317C">
        <w:rPr>
          <w:noProof/>
        </w:rPr>
        <w:t xml:space="preserve"> i wyk</w:t>
      </w:r>
      <w:r w:rsidRPr="0099317C">
        <w:rPr>
          <w:noProof/>
        </w:rPr>
        <w:t>onania przedmiotowej dyrektywy</w:t>
      </w:r>
      <w:r w:rsidR="0099317C" w:rsidRPr="0099317C">
        <w:rPr>
          <w:noProof/>
        </w:rPr>
        <w:t>. W </w:t>
      </w:r>
      <w:r w:rsidR="0099317C" w:rsidRPr="0099317C">
        <w:rPr>
          <w:noProof/>
          <w:color w:val="000000"/>
          <w:shd w:val="clear" w:color="auto" w:fill="FFFFFF"/>
        </w:rPr>
        <w:t>sto</w:t>
      </w:r>
      <w:r w:rsidRPr="0099317C">
        <w:rPr>
          <w:noProof/>
          <w:color w:val="000000"/>
          <w:shd w:val="clear" w:color="auto" w:fill="FFFFFF"/>
        </w:rPr>
        <w:t>sownym przypadku Komisja może dokonać przeglądu dyrektywy ECN+</w:t>
      </w:r>
      <w:r w:rsidR="0099317C" w:rsidRPr="0099317C">
        <w:rPr>
          <w:noProof/>
          <w:color w:val="000000"/>
          <w:shd w:val="clear" w:color="auto" w:fill="FFFFFF"/>
        </w:rPr>
        <w:t xml:space="preserve"> i prz</w:t>
      </w:r>
      <w:r w:rsidRPr="0099317C">
        <w:rPr>
          <w:noProof/>
          <w:color w:val="000000"/>
          <w:shd w:val="clear" w:color="auto" w:fill="FFFFFF"/>
        </w:rPr>
        <w:t>edstawić</w:t>
      </w:r>
      <w:r w:rsidR="0099317C" w:rsidRPr="0099317C">
        <w:rPr>
          <w:noProof/>
          <w:color w:val="000000"/>
          <w:shd w:val="clear" w:color="auto" w:fill="FFFFFF"/>
        </w:rPr>
        <w:t xml:space="preserve"> w raz</w:t>
      </w:r>
      <w:r w:rsidRPr="0099317C">
        <w:rPr>
          <w:noProof/>
          <w:color w:val="000000"/>
          <w:shd w:val="clear" w:color="auto" w:fill="FFFFFF"/>
        </w:rPr>
        <w:t>ie konieczności stosowny wniosek ustawodawczy.</w:t>
      </w:r>
    </w:p>
    <w:p w14:paraId="1657B78C" w14:textId="148DE100" w:rsidR="00030DCB" w:rsidRPr="0099317C" w:rsidRDefault="000B7AA4" w:rsidP="00030DCB">
      <w:pPr>
        <w:rPr>
          <w:noProof/>
        </w:rPr>
      </w:pPr>
      <w:r w:rsidRPr="0099317C">
        <w:rPr>
          <w:noProof/>
        </w:rPr>
        <w:t>W niniejszym sprawozdaniu skupiono się na sposobie transpozycji głównych przepisów dyrektywy ECN+</w:t>
      </w:r>
      <w:r w:rsidR="0099317C" w:rsidRPr="0099317C">
        <w:rPr>
          <w:noProof/>
        </w:rPr>
        <w:t xml:space="preserve"> w tyc</w:t>
      </w:r>
      <w:r w:rsidRPr="0099317C">
        <w:rPr>
          <w:noProof/>
        </w:rPr>
        <w:t>h państwach członkowskich, które zakończyły proces transpozycji. Zwrócono</w:t>
      </w:r>
      <w:r w:rsidR="0099317C" w:rsidRPr="0099317C">
        <w:rPr>
          <w:noProof/>
        </w:rPr>
        <w:t xml:space="preserve"> w nim</w:t>
      </w:r>
      <w:r w:rsidRPr="0099317C">
        <w:rPr>
          <w:noProof/>
        </w:rPr>
        <w:t xml:space="preserve"> uwagę na główne usprawnienia wprowadzone dyrektywą ECN+</w:t>
      </w:r>
      <w:r w:rsidR="0099317C" w:rsidRPr="0099317C">
        <w:rPr>
          <w:noProof/>
        </w:rPr>
        <w:t xml:space="preserve"> w tyc</w:t>
      </w:r>
      <w:r w:rsidRPr="0099317C">
        <w:rPr>
          <w:noProof/>
        </w:rPr>
        <w:t>h państwach członkowskich oraz na główne problemy stwierdzone</w:t>
      </w:r>
      <w:r w:rsidR="0099317C" w:rsidRPr="0099317C">
        <w:rPr>
          <w:noProof/>
        </w:rPr>
        <w:t xml:space="preserve"> w zwi</w:t>
      </w:r>
      <w:r w:rsidRPr="0099317C">
        <w:rPr>
          <w:noProof/>
        </w:rPr>
        <w:t>ązku</w:t>
      </w:r>
      <w:r w:rsidR="0099317C" w:rsidRPr="0099317C">
        <w:rPr>
          <w:noProof/>
        </w:rPr>
        <w:t xml:space="preserve"> z tra</w:t>
      </w:r>
      <w:r w:rsidRPr="0099317C">
        <w:rPr>
          <w:noProof/>
        </w:rPr>
        <w:t>nspozycją dyrektywy. Wyszczególniono</w:t>
      </w:r>
      <w:r w:rsidR="0099317C" w:rsidRPr="0099317C">
        <w:rPr>
          <w:noProof/>
        </w:rPr>
        <w:t xml:space="preserve"> w nim</w:t>
      </w:r>
      <w:r w:rsidRPr="0099317C">
        <w:rPr>
          <w:noProof/>
        </w:rPr>
        <w:t xml:space="preserve"> również spodziewane zmiany</w:t>
      </w:r>
      <w:r w:rsidR="0099317C" w:rsidRPr="0099317C">
        <w:rPr>
          <w:noProof/>
        </w:rPr>
        <w:t xml:space="preserve"> w orz</w:t>
      </w:r>
      <w:r w:rsidRPr="0099317C">
        <w:rPr>
          <w:noProof/>
        </w:rPr>
        <w:t>ecznictwie Trybunału Sprawiedliwości Unii Europejskiej („TSUE”), które mogą dalej kształtować niektóre aspekty dyrektywy ECN+.</w:t>
      </w:r>
    </w:p>
    <w:p w14:paraId="1427182F" w14:textId="74D45E44" w:rsidR="00B55EBB" w:rsidRPr="0099317C" w:rsidRDefault="00B55EBB" w:rsidP="008928E1">
      <w:pPr>
        <w:spacing w:after="0"/>
        <w:rPr>
          <w:noProof/>
        </w:rPr>
      </w:pPr>
      <w:r w:rsidRPr="0099317C">
        <w:rPr>
          <w:noProof/>
        </w:rPr>
        <w:t xml:space="preserve">Ponieważ wiele państw członkowskich nie dotrzymało dwuletniego terminu transpozycji, jest jeszcze zbyt wcześnie, aby przedstawić sprawozdanie na temat sposobu wykonania dyrektywy ECN+ lub dokonać jej miarodajnego przeglądu. </w:t>
      </w:r>
    </w:p>
    <w:p w14:paraId="154C3BD8" w14:textId="080BC7F8" w:rsidR="00C4410E" w:rsidRPr="0099317C" w:rsidRDefault="00C4410E" w:rsidP="00C4410E">
      <w:pPr>
        <w:pStyle w:val="Heading1"/>
        <w:rPr>
          <w:noProof/>
        </w:rPr>
      </w:pPr>
      <w:r w:rsidRPr="0099317C">
        <w:rPr>
          <w:noProof/>
        </w:rPr>
        <w:t>Rola Komisji</w:t>
      </w:r>
      <w:r w:rsidR="0099317C" w:rsidRPr="0099317C">
        <w:rPr>
          <w:noProof/>
        </w:rPr>
        <w:t xml:space="preserve"> w pro</w:t>
      </w:r>
      <w:r w:rsidRPr="0099317C">
        <w:rPr>
          <w:noProof/>
        </w:rPr>
        <w:t>cesie transpozycji i po jego zakończeniu</w:t>
      </w:r>
    </w:p>
    <w:p w14:paraId="28A078DB" w14:textId="164B1EB6" w:rsidR="00C4410E" w:rsidRPr="0099317C" w:rsidRDefault="00C4410E" w:rsidP="00C4410E">
      <w:pPr>
        <w:pStyle w:val="Heading2"/>
        <w:rPr>
          <w:noProof/>
        </w:rPr>
      </w:pPr>
      <w:r w:rsidRPr="0099317C">
        <w:rPr>
          <w:noProof/>
        </w:rPr>
        <w:t>Pomoc techniczna Komisji dla państw członkowskich</w:t>
      </w:r>
    </w:p>
    <w:p w14:paraId="584749C9" w14:textId="58B156A7" w:rsidR="00063B08" w:rsidRPr="0099317C" w:rsidRDefault="00E745B9" w:rsidP="00063B08">
      <w:pPr>
        <w:pStyle w:val="Text2"/>
        <w:ind w:left="0"/>
        <w:rPr>
          <w:noProof/>
        </w:rPr>
      </w:pPr>
      <w:r w:rsidRPr="0099317C">
        <w:rPr>
          <w:noProof/>
        </w:rPr>
        <w:t>Wkrótce po przyjęciu dyrektywy ECN+ Komisja odbyła spotkanie ze wszystkimi państwami członkowskimi</w:t>
      </w:r>
      <w:r w:rsidR="0099317C" w:rsidRPr="0099317C">
        <w:rPr>
          <w:noProof/>
        </w:rPr>
        <w:t xml:space="preserve"> w cel</w:t>
      </w:r>
      <w:r w:rsidRPr="0099317C">
        <w:rPr>
          <w:noProof/>
        </w:rPr>
        <w:t>u omówienia jej przepisów</w:t>
      </w:r>
      <w:r w:rsidR="0099317C" w:rsidRPr="0099317C">
        <w:rPr>
          <w:noProof/>
        </w:rPr>
        <w:t>. W ram</w:t>
      </w:r>
      <w:r w:rsidRPr="0099317C">
        <w:rPr>
          <w:noProof/>
        </w:rPr>
        <w:t>ach działań następczych</w:t>
      </w:r>
      <w:r w:rsidR="0099317C" w:rsidRPr="0099317C">
        <w:rPr>
          <w:noProof/>
        </w:rPr>
        <w:t xml:space="preserve"> i w tra</w:t>
      </w:r>
      <w:r w:rsidRPr="0099317C">
        <w:rPr>
          <w:noProof/>
        </w:rPr>
        <w:t>kcie krajowych procesów ustawodawczych Komisja odpowiadała na pytania państw członkowskich dotyczące sposobu interpretacji przepisów dyrektywy ECN+, omawiała możliwe warianty jej transpozycji</w:t>
      </w:r>
      <w:r w:rsidR="0099317C" w:rsidRPr="0099317C">
        <w:rPr>
          <w:noProof/>
        </w:rPr>
        <w:t xml:space="preserve"> i prz</w:t>
      </w:r>
      <w:r w:rsidRPr="0099317C">
        <w:rPr>
          <w:noProof/>
        </w:rPr>
        <w:t>edstawiła nieformalne uwagi na temat projektów krajowych środków transpozycji (</w:t>
      </w:r>
      <w:r w:rsidR="005E58A3" w:rsidRPr="0099317C">
        <w:rPr>
          <w:rStyle w:val="FootnoteReference"/>
          <w:noProof/>
        </w:rPr>
        <w:footnoteReference w:id="7"/>
      </w:r>
      <w:r w:rsidRPr="0099317C">
        <w:rPr>
          <w:noProof/>
        </w:rPr>
        <w:t>).</w:t>
      </w:r>
    </w:p>
    <w:p w14:paraId="3880BAD2" w14:textId="2F9653AA" w:rsidR="0080593F" w:rsidRPr="0099317C" w:rsidRDefault="0080593F" w:rsidP="0080593F">
      <w:pPr>
        <w:pStyle w:val="Heading2"/>
        <w:rPr>
          <w:noProof/>
        </w:rPr>
      </w:pPr>
      <w:r w:rsidRPr="0099317C">
        <w:rPr>
          <w:noProof/>
        </w:rPr>
        <w:t>Uchybienia</w:t>
      </w:r>
      <w:r w:rsidR="0099317C" w:rsidRPr="0099317C">
        <w:rPr>
          <w:noProof/>
        </w:rPr>
        <w:t xml:space="preserve"> w zwi</w:t>
      </w:r>
      <w:r w:rsidRPr="0099317C">
        <w:rPr>
          <w:noProof/>
        </w:rPr>
        <w:t>ązku</w:t>
      </w:r>
      <w:r w:rsidR="0099317C" w:rsidRPr="0099317C">
        <w:rPr>
          <w:noProof/>
        </w:rPr>
        <w:t xml:space="preserve"> z nie</w:t>
      </w:r>
      <w:r w:rsidRPr="0099317C">
        <w:rPr>
          <w:noProof/>
        </w:rPr>
        <w:t>dopełnieniem obowiązku zgłoszenia środków transpozycji</w:t>
      </w:r>
    </w:p>
    <w:p w14:paraId="09C5DA93" w14:textId="7D0A992C" w:rsidR="00574596" w:rsidRPr="0099317C" w:rsidRDefault="00697CC0" w:rsidP="00574596">
      <w:pPr>
        <w:pStyle w:val="ContNum"/>
        <w:numPr>
          <w:ilvl w:val="0"/>
          <w:numId w:val="0"/>
        </w:numPr>
        <w:rPr>
          <w:noProof/>
        </w:rPr>
      </w:pPr>
      <w:r w:rsidRPr="0099317C">
        <w:rPr>
          <w:noProof/>
        </w:rPr>
        <w:t>Dwadzieścia dwa państwa członkowskie nie dotrzymały dwuletniego terminu transpozycji (</w:t>
      </w:r>
      <w:r w:rsidR="00CB008A" w:rsidRPr="0099317C">
        <w:rPr>
          <w:rStyle w:val="FootnoteReference"/>
          <w:noProof/>
        </w:rPr>
        <w:footnoteReference w:id="8"/>
      </w:r>
      <w:r w:rsidRPr="0099317C">
        <w:rPr>
          <w:noProof/>
        </w:rPr>
        <w:t>)</w:t>
      </w:r>
      <w:r w:rsidR="0099317C" w:rsidRPr="0099317C">
        <w:rPr>
          <w:noProof/>
        </w:rPr>
        <w:t>. W mar</w:t>
      </w:r>
      <w:r w:rsidRPr="0099317C">
        <w:rPr>
          <w:noProof/>
        </w:rPr>
        <w:t>cu 2021</w:t>
      </w:r>
      <w:r w:rsidR="0099317C" w:rsidRPr="0099317C">
        <w:rPr>
          <w:noProof/>
        </w:rPr>
        <w:t> </w:t>
      </w:r>
      <w:r w:rsidRPr="0099317C">
        <w:rPr>
          <w:noProof/>
        </w:rPr>
        <w:t>r. Komisja wszczęła przeciwko tym państwom członkowskim postępowanie</w:t>
      </w:r>
      <w:r w:rsidR="0099317C" w:rsidRPr="0099317C">
        <w:rPr>
          <w:noProof/>
        </w:rPr>
        <w:t xml:space="preserve"> w spr</w:t>
      </w:r>
      <w:r w:rsidRPr="0099317C">
        <w:rPr>
          <w:noProof/>
        </w:rPr>
        <w:t>awie uchybienia zobowiązaniom państwa członkowskiego</w:t>
      </w:r>
      <w:r w:rsidR="0099317C" w:rsidRPr="0099317C">
        <w:rPr>
          <w:noProof/>
        </w:rPr>
        <w:t xml:space="preserve"> w zwi</w:t>
      </w:r>
      <w:r w:rsidRPr="0099317C">
        <w:rPr>
          <w:noProof/>
        </w:rPr>
        <w:t>ązku</w:t>
      </w:r>
      <w:r w:rsidR="0099317C" w:rsidRPr="0099317C">
        <w:rPr>
          <w:noProof/>
        </w:rPr>
        <w:t xml:space="preserve"> z nie</w:t>
      </w:r>
      <w:r w:rsidRPr="0099317C">
        <w:rPr>
          <w:noProof/>
        </w:rPr>
        <w:t>dopełnieniem obowiązku zgłoszenia środków transpozycji</w:t>
      </w:r>
      <w:r w:rsidR="0099317C" w:rsidRPr="0099317C">
        <w:rPr>
          <w:noProof/>
        </w:rPr>
        <w:t>. W lat</w:t>
      </w:r>
      <w:r w:rsidRPr="0099317C">
        <w:rPr>
          <w:noProof/>
        </w:rPr>
        <w:t>ach 2022</w:t>
      </w:r>
      <w:r w:rsidR="0099317C" w:rsidRPr="0099317C">
        <w:rPr>
          <w:noProof/>
        </w:rPr>
        <w:t xml:space="preserve"> i 2</w:t>
      </w:r>
      <w:r w:rsidRPr="0099317C">
        <w:rPr>
          <w:noProof/>
        </w:rPr>
        <w:t>023 Komisja podjęła kolejne kroki</w:t>
      </w:r>
      <w:r w:rsidR="0099317C" w:rsidRPr="0099317C">
        <w:rPr>
          <w:noProof/>
        </w:rPr>
        <w:t xml:space="preserve"> w ram</w:t>
      </w:r>
      <w:r w:rsidRPr="0099317C">
        <w:rPr>
          <w:noProof/>
        </w:rPr>
        <w:t>ach postępowania</w:t>
      </w:r>
      <w:r w:rsidR="0099317C" w:rsidRPr="0099317C">
        <w:rPr>
          <w:noProof/>
        </w:rPr>
        <w:t xml:space="preserve"> w spr</w:t>
      </w:r>
      <w:r w:rsidRPr="0099317C">
        <w:rPr>
          <w:noProof/>
        </w:rPr>
        <w:t>awie uchybienia zobowiązaniom państwa członkowskiego przeciwko państwom członkowskim, które nadal nie zgłosiły żadnych środków transpozycji: we wrześniu 2022</w:t>
      </w:r>
      <w:r w:rsidR="0099317C" w:rsidRPr="0099317C">
        <w:rPr>
          <w:noProof/>
        </w:rPr>
        <w:t> </w:t>
      </w:r>
      <w:r w:rsidRPr="0099317C">
        <w:rPr>
          <w:noProof/>
        </w:rPr>
        <w:t>r. Komisja wystosowała uzasadnione opinie do Estonii, Luksemburga, Polski</w:t>
      </w:r>
      <w:r w:rsidR="0099317C" w:rsidRPr="0099317C">
        <w:rPr>
          <w:noProof/>
        </w:rPr>
        <w:t xml:space="preserve"> i Sło</w:t>
      </w:r>
      <w:r w:rsidRPr="0099317C">
        <w:rPr>
          <w:noProof/>
        </w:rPr>
        <w:t>wenii</w:t>
      </w:r>
      <w:r w:rsidR="0099317C" w:rsidRPr="0099317C">
        <w:rPr>
          <w:noProof/>
        </w:rPr>
        <w:t xml:space="preserve"> w zwi</w:t>
      </w:r>
      <w:r w:rsidRPr="0099317C">
        <w:rPr>
          <w:noProof/>
        </w:rPr>
        <w:t>ązku</w:t>
      </w:r>
      <w:r w:rsidR="0099317C" w:rsidRPr="0099317C">
        <w:rPr>
          <w:noProof/>
        </w:rPr>
        <w:t xml:space="preserve"> z bra</w:t>
      </w:r>
      <w:r w:rsidRPr="0099317C">
        <w:rPr>
          <w:noProof/>
        </w:rPr>
        <w:t>kiem transpozycji;</w:t>
      </w:r>
      <w:r w:rsidR="0099317C" w:rsidRPr="0099317C">
        <w:rPr>
          <w:noProof/>
        </w:rPr>
        <w:t xml:space="preserve"> w lip</w:t>
      </w:r>
      <w:r w:rsidRPr="0099317C">
        <w:rPr>
          <w:noProof/>
        </w:rPr>
        <w:t>cu 2023</w:t>
      </w:r>
      <w:r w:rsidR="0099317C" w:rsidRPr="0099317C">
        <w:rPr>
          <w:noProof/>
        </w:rPr>
        <w:t> </w:t>
      </w:r>
      <w:r w:rsidRPr="0099317C">
        <w:rPr>
          <w:noProof/>
        </w:rPr>
        <w:t>r. Komisja wydała uzasadnioną opinię</w:t>
      </w:r>
      <w:r w:rsidR="0099317C" w:rsidRPr="0099317C">
        <w:rPr>
          <w:noProof/>
        </w:rPr>
        <w:t xml:space="preserve"> w sto</w:t>
      </w:r>
      <w:r w:rsidRPr="0099317C">
        <w:rPr>
          <w:noProof/>
        </w:rPr>
        <w:t>sunku do Rumunii</w:t>
      </w:r>
      <w:r w:rsidR="0099317C" w:rsidRPr="0099317C">
        <w:rPr>
          <w:noProof/>
        </w:rPr>
        <w:t xml:space="preserve"> i ski</w:t>
      </w:r>
      <w:r w:rsidRPr="0099317C">
        <w:rPr>
          <w:noProof/>
        </w:rPr>
        <w:t xml:space="preserve">erowała do TSUE sprawę przeciwko Estonii. </w:t>
      </w:r>
    </w:p>
    <w:p w14:paraId="08C82E76" w14:textId="51257321" w:rsidR="00A8630E" w:rsidRPr="0099317C" w:rsidRDefault="00574596" w:rsidP="003A2006">
      <w:pPr>
        <w:pStyle w:val="ContNum"/>
        <w:numPr>
          <w:ilvl w:val="0"/>
          <w:numId w:val="0"/>
        </w:numPr>
        <w:rPr>
          <w:noProof/>
        </w:rPr>
      </w:pPr>
      <w:r w:rsidRPr="0099317C">
        <w:rPr>
          <w:noProof/>
        </w:rPr>
        <w:t>Do grudnia 2023</w:t>
      </w:r>
      <w:r w:rsidR="0099317C" w:rsidRPr="0099317C">
        <w:rPr>
          <w:noProof/>
        </w:rPr>
        <w:t> </w:t>
      </w:r>
      <w:r w:rsidRPr="0099317C">
        <w:rPr>
          <w:noProof/>
        </w:rPr>
        <w:t>r. wszystkie państwa członkowskie,</w:t>
      </w:r>
      <w:r w:rsidR="0099317C" w:rsidRPr="0099317C">
        <w:rPr>
          <w:noProof/>
        </w:rPr>
        <w:t xml:space="preserve"> z wyj</w:t>
      </w:r>
      <w:r w:rsidRPr="0099317C">
        <w:rPr>
          <w:noProof/>
        </w:rPr>
        <w:t>ątkiem Estonii, dokonały transpozycji dyrektywy ECN+. Przed TSUE toczy się postępowanie</w:t>
      </w:r>
      <w:r w:rsidR="0099317C" w:rsidRPr="0099317C">
        <w:rPr>
          <w:noProof/>
        </w:rPr>
        <w:t xml:space="preserve"> w spr</w:t>
      </w:r>
      <w:r w:rsidRPr="0099317C">
        <w:rPr>
          <w:noProof/>
        </w:rPr>
        <w:t>awie uchybienia zobowiązaniom państwa członkowskiego przeciwko Estonii</w:t>
      </w:r>
      <w:r w:rsidR="0099317C" w:rsidRPr="0099317C">
        <w:rPr>
          <w:noProof/>
        </w:rPr>
        <w:t xml:space="preserve"> w zwi</w:t>
      </w:r>
      <w:r w:rsidRPr="0099317C">
        <w:rPr>
          <w:noProof/>
        </w:rPr>
        <w:t>ązku</w:t>
      </w:r>
      <w:r w:rsidR="0099317C" w:rsidRPr="0099317C">
        <w:rPr>
          <w:noProof/>
        </w:rPr>
        <w:t xml:space="preserve"> z bra</w:t>
      </w:r>
      <w:r w:rsidRPr="0099317C">
        <w:rPr>
          <w:noProof/>
        </w:rPr>
        <w:t>kiem transpozycji (</w:t>
      </w:r>
      <w:r w:rsidRPr="0099317C">
        <w:rPr>
          <w:rStyle w:val="FootnoteReference"/>
          <w:noProof/>
        </w:rPr>
        <w:footnoteReference w:id="9"/>
      </w:r>
      <w:r w:rsidRPr="0099317C">
        <w:rPr>
          <w:noProof/>
        </w:rPr>
        <w:t>).</w:t>
      </w:r>
    </w:p>
    <w:p w14:paraId="5AA4166A" w14:textId="4B0D37D3" w:rsidR="00C4410E" w:rsidRPr="0099317C" w:rsidRDefault="00C4410E" w:rsidP="00C4410E">
      <w:pPr>
        <w:pStyle w:val="Heading2"/>
        <w:rPr>
          <w:noProof/>
        </w:rPr>
      </w:pPr>
      <w:r w:rsidRPr="0099317C">
        <w:rPr>
          <w:noProof/>
        </w:rPr>
        <w:t>Oceny zgodności środków transpozycji przeprowadzone przez Komisję</w:t>
      </w:r>
    </w:p>
    <w:p w14:paraId="63FCD325" w14:textId="10CB4EAD" w:rsidR="00C4410E" w:rsidRPr="0099317C" w:rsidRDefault="00C4410E" w:rsidP="00C4410E">
      <w:pPr>
        <w:shd w:val="clear" w:color="auto" w:fill="FFFFFF"/>
        <w:spacing w:after="120"/>
        <w:rPr>
          <w:noProof/>
        </w:rPr>
      </w:pPr>
      <w:r w:rsidRPr="0099317C">
        <w:rPr>
          <w:noProof/>
        </w:rPr>
        <w:t>Zgodnie ze swoimi wytycznymi dotyczącymi lepszego stanowienia prawa (</w:t>
      </w:r>
      <w:r w:rsidRPr="0099317C">
        <w:rPr>
          <w:rStyle w:val="FootnoteReference"/>
          <w:noProof/>
        </w:rPr>
        <w:footnoteReference w:id="10"/>
      </w:r>
      <w:r w:rsidRPr="0099317C">
        <w:rPr>
          <w:noProof/>
        </w:rPr>
        <w:t>) Komisja monitorowała transpozycję dyrektywy ECN+</w:t>
      </w:r>
      <w:r w:rsidR="0099317C" w:rsidRPr="0099317C">
        <w:rPr>
          <w:noProof/>
        </w:rPr>
        <w:t xml:space="preserve"> w pań</w:t>
      </w:r>
      <w:r w:rsidRPr="0099317C">
        <w:rPr>
          <w:noProof/>
        </w:rPr>
        <w:t>stwach członkowskich, przeprowadzając oceny zgodności zarówno pod względem kompletności, jak</w:t>
      </w:r>
      <w:r w:rsidR="0099317C" w:rsidRPr="0099317C">
        <w:rPr>
          <w:noProof/>
        </w:rPr>
        <w:t xml:space="preserve"> i zgo</w:t>
      </w:r>
      <w:r w:rsidRPr="0099317C">
        <w:rPr>
          <w:noProof/>
        </w:rPr>
        <w:t>dności krajowych środków transpozycji.</w:t>
      </w:r>
    </w:p>
    <w:p w14:paraId="7723126B" w14:textId="4A5BE785" w:rsidR="008D0D3E" w:rsidRPr="0099317C" w:rsidRDefault="00DD058A" w:rsidP="00572EE8">
      <w:pPr>
        <w:pStyle w:val="Heading1"/>
        <w:rPr>
          <w:noProof/>
        </w:rPr>
      </w:pPr>
      <w:r w:rsidRPr="0099317C">
        <w:rPr>
          <w:noProof/>
        </w:rPr>
        <w:t>Główne przepisy dyrektywy ECN+</w:t>
      </w:r>
      <w:r w:rsidR="0099317C" w:rsidRPr="0099317C">
        <w:rPr>
          <w:noProof/>
        </w:rPr>
        <w:t xml:space="preserve"> i tra</w:t>
      </w:r>
      <w:r w:rsidRPr="0099317C">
        <w:rPr>
          <w:noProof/>
        </w:rPr>
        <w:t>nspozycja</w:t>
      </w:r>
    </w:p>
    <w:p w14:paraId="42AA08EA" w14:textId="29C7FCD7" w:rsidR="00135870" w:rsidRPr="0099317C" w:rsidRDefault="00BE5F49" w:rsidP="00CB3092">
      <w:pPr>
        <w:pStyle w:val="Heading2"/>
        <w:rPr>
          <w:noProof/>
        </w:rPr>
      </w:pPr>
      <w:r w:rsidRPr="0099317C">
        <w:rPr>
          <w:noProof/>
        </w:rPr>
        <w:t>Niezależność</w:t>
      </w:r>
      <w:r w:rsidR="0099317C" w:rsidRPr="0099317C">
        <w:rPr>
          <w:noProof/>
        </w:rPr>
        <w:t xml:space="preserve"> i zas</w:t>
      </w:r>
      <w:r w:rsidRPr="0099317C">
        <w:rPr>
          <w:noProof/>
        </w:rPr>
        <w:t>oby</w:t>
      </w:r>
    </w:p>
    <w:p w14:paraId="3E4B5B37" w14:textId="4CA81E9F" w:rsidR="001F1D54" w:rsidRPr="0099317C" w:rsidRDefault="00D509C8" w:rsidP="00117583">
      <w:pPr>
        <w:rPr>
          <w:noProof/>
        </w:rPr>
      </w:pPr>
      <w:r w:rsidRPr="0099317C">
        <w:rPr>
          <w:noProof/>
        </w:rPr>
        <w:t>W rozdziale III dyrektywy ECN+ zapewniono, aby krajowe organy ochrony konkurencji egzekwujące unijne przepisy antymonopolowe miały do dyspozycji niezbędne gwarancje niezależności oraz zasoby niezbędne do prowadzenia swoich działań, co stanowi warunek wstępny skutecznego egzekwowania unijnych przepisów antymonopolowych.</w:t>
      </w:r>
    </w:p>
    <w:p w14:paraId="2F442FC1" w14:textId="383CB9F0" w:rsidR="00EE5E7D" w:rsidRPr="0099317C" w:rsidRDefault="00913A80" w:rsidP="00E27F7A">
      <w:pPr>
        <w:rPr>
          <w:noProof/>
        </w:rPr>
      </w:pPr>
      <w:r w:rsidRPr="0099317C">
        <w:rPr>
          <w:noProof/>
        </w:rPr>
        <w:t>W art.</w:t>
      </w:r>
      <w:r w:rsidR="0099317C" w:rsidRPr="0099317C">
        <w:rPr>
          <w:noProof/>
        </w:rPr>
        <w:t> </w:t>
      </w:r>
      <w:r w:rsidRPr="0099317C">
        <w:rPr>
          <w:noProof/>
        </w:rPr>
        <w:t>4 wprowadzono minimalny zestaw gwarancji niezależności dla krajowych organów ochrony konkurencji. Państwa członkowskie mają swobodę ustanawiania dodatkowych gwarancji niezależności</w:t>
      </w:r>
      <w:r w:rsidR="0099317C" w:rsidRPr="0099317C">
        <w:rPr>
          <w:noProof/>
        </w:rPr>
        <w:t>. W prz</w:t>
      </w:r>
      <w:r w:rsidRPr="0099317C">
        <w:rPr>
          <w:noProof/>
        </w:rPr>
        <w:t>edmiotowej dyrektywie przewidziano niezależność operacyjną, która oznacza, że krajowe organy ochrony konkurencji są niezależne podczas wykonywania swoich obowiązków</w:t>
      </w:r>
      <w:r w:rsidR="0099317C" w:rsidRPr="0099317C">
        <w:rPr>
          <w:noProof/>
        </w:rPr>
        <w:t xml:space="preserve"> i upr</w:t>
      </w:r>
      <w:r w:rsidRPr="0099317C">
        <w:rPr>
          <w:noProof/>
        </w:rPr>
        <w:t>awnień (zob. motywy 17, 18</w:t>
      </w:r>
      <w:r w:rsidR="0099317C" w:rsidRPr="0099317C">
        <w:rPr>
          <w:noProof/>
        </w:rPr>
        <w:t xml:space="preserve"> i 2</w:t>
      </w:r>
      <w:r w:rsidRPr="0099317C">
        <w:rPr>
          <w:noProof/>
        </w:rPr>
        <w:t xml:space="preserve">2). Państwa członkowskie powinny zapewnić, aby pracownicy krajowych organów ochrony konkurencji </w:t>
      </w:r>
      <w:r w:rsidRPr="0099317C">
        <w:rPr>
          <w:noProof/>
          <w:color w:val="000000"/>
          <w:shd w:val="clear" w:color="auto" w:fill="FFFFFF"/>
        </w:rPr>
        <w:t>nie zwracali się</w:t>
      </w:r>
      <w:r w:rsidR="0099317C" w:rsidRPr="0099317C">
        <w:rPr>
          <w:noProof/>
          <w:color w:val="000000"/>
          <w:shd w:val="clear" w:color="auto" w:fill="FFFFFF"/>
        </w:rPr>
        <w:t xml:space="preserve"> o ins</w:t>
      </w:r>
      <w:r w:rsidRPr="0099317C">
        <w:rPr>
          <w:noProof/>
          <w:color w:val="000000"/>
          <w:shd w:val="clear" w:color="auto" w:fill="FFFFFF"/>
        </w:rPr>
        <w:t>trukcje do rządu ani innego podmiotu publicznego lub prywatnego ani nie przyjmowali od nich żadnych instrukcji oraz aby powstrzymywali się od działań niezgodnych</w:t>
      </w:r>
      <w:r w:rsidR="0099317C" w:rsidRPr="0099317C">
        <w:rPr>
          <w:noProof/>
          <w:color w:val="000000"/>
          <w:shd w:val="clear" w:color="auto" w:fill="FFFFFF"/>
        </w:rPr>
        <w:t xml:space="preserve"> z ich</w:t>
      </w:r>
      <w:r w:rsidRPr="0099317C">
        <w:rPr>
          <w:noProof/>
          <w:color w:val="000000"/>
          <w:shd w:val="clear" w:color="auto" w:fill="FFFFFF"/>
        </w:rPr>
        <w:t xml:space="preserve"> obowiązkami</w:t>
      </w:r>
      <w:r w:rsidR="0099317C" w:rsidRPr="0099317C">
        <w:rPr>
          <w:noProof/>
          <w:color w:val="000000"/>
          <w:shd w:val="clear" w:color="auto" w:fill="FFFFFF"/>
        </w:rPr>
        <w:t xml:space="preserve"> i upr</w:t>
      </w:r>
      <w:r w:rsidRPr="0099317C">
        <w:rPr>
          <w:noProof/>
          <w:color w:val="000000"/>
          <w:shd w:val="clear" w:color="auto" w:fill="FFFFFF"/>
        </w:rPr>
        <w:t>awnieniami; aby członkowie organu decyzyjnego nie mogli być odwoływani</w:t>
      </w:r>
      <w:r w:rsidR="0099317C" w:rsidRPr="0099317C">
        <w:rPr>
          <w:noProof/>
          <w:color w:val="000000"/>
          <w:shd w:val="clear" w:color="auto" w:fill="FFFFFF"/>
        </w:rPr>
        <w:t xml:space="preserve"> z prz</w:t>
      </w:r>
      <w:r w:rsidRPr="0099317C">
        <w:rPr>
          <w:noProof/>
          <w:color w:val="000000"/>
          <w:shd w:val="clear" w:color="auto" w:fill="FFFFFF"/>
        </w:rPr>
        <w:t>yczyn związanych</w:t>
      </w:r>
      <w:r w:rsidR="0099317C" w:rsidRPr="0099317C">
        <w:rPr>
          <w:noProof/>
          <w:color w:val="000000"/>
          <w:shd w:val="clear" w:color="auto" w:fill="FFFFFF"/>
        </w:rPr>
        <w:t xml:space="preserve"> z wła</w:t>
      </w:r>
      <w:r w:rsidRPr="0099317C">
        <w:rPr>
          <w:noProof/>
          <w:color w:val="000000"/>
          <w:shd w:val="clear" w:color="auto" w:fill="FFFFFF"/>
        </w:rPr>
        <w:t>ściwym wykonywaniem swoich obowiązków</w:t>
      </w:r>
      <w:r w:rsidR="0099317C" w:rsidRPr="0099317C">
        <w:rPr>
          <w:noProof/>
          <w:color w:val="000000"/>
          <w:shd w:val="clear" w:color="auto" w:fill="FFFFFF"/>
        </w:rPr>
        <w:t xml:space="preserve"> i upr</w:t>
      </w:r>
      <w:r w:rsidRPr="0099317C">
        <w:rPr>
          <w:noProof/>
          <w:color w:val="000000"/>
          <w:shd w:val="clear" w:color="auto" w:fill="FFFFFF"/>
        </w:rPr>
        <w:t>awnień oraz byli wybierani, rekrutowani lub mianowani zgodnie</w:t>
      </w:r>
      <w:r w:rsidR="0099317C" w:rsidRPr="0099317C">
        <w:rPr>
          <w:noProof/>
          <w:color w:val="000000"/>
          <w:shd w:val="clear" w:color="auto" w:fill="FFFFFF"/>
        </w:rPr>
        <w:t xml:space="preserve"> z jas</w:t>
      </w:r>
      <w:r w:rsidRPr="0099317C">
        <w:rPr>
          <w:noProof/>
          <w:color w:val="000000"/>
          <w:shd w:val="clear" w:color="auto" w:fill="FFFFFF"/>
        </w:rPr>
        <w:t>nymi</w:t>
      </w:r>
      <w:r w:rsidR="0099317C" w:rsidRPr="0099317C">
        <w:rPr>
          <w:noProof/>
          <w:color w:val="000000"/>
          <w:shd w:val="clear" w:color="auto" w:fill="FFFFFF"/>
        </w:rPr>
        <w:t xml:space="preserve"> i prz</w:t>
      </w:r>
      <w:r w:rsidRPr="0099317C">
        <w:rPr>
          <w:noProof/>
          <w:color w:val="000000"/>
          <w:shd w:val="clear" w:color="auto" w:fill="FFFFFF"/>
        </w:rPr>
        <w:t xml:space="preserve">ejrzystymi procedurami. Ponadto </w:t>
      </w:r>
      <w:r w:rsidRPr="0099317C">
        <w:rPr>
          <w:noProof/>
        </w:rPr>
        <w:t>krajowe organy ochrony konkurencji</w:t>
      </w:r>
      <w:r w:rsidRPr="0099317C">
        <w:rPr>
          <w:noProof/>
          <w:color w:val="000000"/>
          <w:shd w:val="clear" w:color="auto" w:fill="FFFFFF"/>
        </w:rPr>
        <w:t xml:space="preserve"> powinny być uprawnione do określania</w:t>
      </w:r>
      <w:r w:rsidR="0099317C" w:rsidRPr="0099317C">
        <w:rPr>
          <w:noProof/>
          <w:color w:val="000000"/>
          <w:shd w:val="clear" w:color="auto" w:fill="FFFFFF"/>
        </w:rPr>
        <w:t xml:space="preserve"> w peł</w:t>
      </w:r>
      <w:r w:rsidRPr="0099317C">
        <w:rPr>
          <w:noProof/>
          <w:color w:val="000000"/>
          <w:shd w:val="clear" w:color="auto" w:fill="FFFFFF"/>
        </w:rPr>
        <w:t>ni swoich priorytetów</w:t>
      </w:r>
      <w:r w:rsidR="0099317C" w:rsidRPr="0099317C">
        <w:rPr>
          <w:noProof/>
          <w:color w:val="000000"/>
          <w:shd w:val="clear" w:color="auto" w:fill="FFFFFF"/>
        </w:rPr>
        <w:t xml:space="preserve"> i pow</w:t>
      </w:r>
      <w:r w:rsidRPr="0099317C">
        <w:rPr>
          <w:noProof/>
          <w:color w:val="000000"/>
          <w:shd w:val="clear" w:color="auto" w:fill="FFFFFF"/>
        </w:rPr>
        <w:t xml:space="preserve">inny mieć możliwość odrzucania skarg formalnych ze względu na nieuznawanie ich za priorytet. </w:t>
      </w:r>
    </w:p>
    <w:p w14:paraId="78A43883" w14:textId="6EE67EC7" w:rsidR="00D3500B" w:rsidRPr="0099317C" w:rsidRDefault="00686B0C" w:rsidP="00FA1848">
      <w:pPr>
        <w:pStyle w:val="Text2"/>
        <w:ind w:left="0"/>
        <w:rPr>
          <w:noProof/>
        </w:rPr>
      </w:pPr>
      <w:r w:rsidRPr="0099317C">
        <w:rPr>
          <w:noProof/>
        </w:rPr>
        <w:t>W art.</w:t>
      </w:r>
      <w:r w:rsidR="0099317C" w:rsidRPr="0099317C">
        <w:rPr>
          <w:noProof/>
        </w:rPr>
        <w:t> </w:t>
      </w:r>
      <w:r w:rsidRPr="0099317C">
        <w:rPr>
          <w:noProof/>
        </w:rPr>
        <w:t>5 wprowadzono wymóg, aby państwa członkowskie (i) zapewniły krajowym organom ochrony konkurencji zasoby ludzkie, finansowe, techniczne</w:t>
      </w:r>
      <w:r w:rsidR="0099317C" w:rsidRPr="0099317C">
        <w:rPr>
          <w:noProof/>
        </w:rPr>
        <w:t xml:space="preserve"> i tec</w:t>
      </w:r>
      <w:r w:rsidRPr="0099317C">
        <w:rPr>
          <w:noProof/>
        </w:rPr>
        <w:t>hnologiczne niezbędne do wykonywania ich podstawowych zadań określonych</w:t>
      </w:r>
      <w:r w:rsidR="0099317C" w:rsidRPr="0099317C">
        <w:rPr>
          <w:noProof/>
        </w:rPr>
        <w:t xml:space="preserve"> w uni</w:t>
      </w:r>
      <w:r w:rsidRPr="0099317C">
        <w:rPr>
          <w:noProof/>
        </w:rPr>
        <w:t>jnych przepisach antymonopolowych; oraz (ii) zapewniły tym organom niezależność</w:t>
      </w:r>
      <w:r w:rsidR="0099317C" w:rsidRPr="0099317C">
        <w:rPr>
          <w:noProof/>
        </w:rPr>
        <w:t xml:space="preserve"> w wyk</w:t>
      </w:r>
      <w:r w:rsidRPr="0099317C">
        <w:rPr>
          <w:noProof/>
        </w:rPr>
        <w:t>orzystywaniu przyznanego budżetu do celów wykonywania tych zadań</w:t>
      </w:r>
      <w:r w:rsidR="0099317C" w:rsidRPr="0099317C">
        <w:rPr>
          <w:noProof/>
        </w:rPr>
        <w:t>. W mot</w:t>
      </w:r>
      <w:r w:rsidRPr="0099317C">
        <w:rPr>
          <w:noProof/>
        </w:rPr>
        <w:t>ywie 17 przewidziano, że kary nakładane przez krajowe organy ochrony konkurencji za naruszenia unijnych przepisów antymonopolowych nie powinny być wykorzystywane do bezpośredniego finansowania działania tych organów. Ma to zapewnić bezstronność tych organów.</w:t>
      </w:r>
    </w:p>
    <w:p w14:paraId="058B0EAD" w14:textId="469666AC" w:rsidR="00717FC2" w:rsidRPr="0099317C" w:rsidRDefault="004A2094" w:rsidP="00FA1848">
      <w:pPr>
        <w:pStyle w:val="Text2"/>
        <w:ind w:left="0"/>
        <w:rPr>
          <w:noProof/>
        </w:rPr>
      </w:pPr>
      <w:r w:rsidRPr="0099317C">
        <w:rPr>
          <w:noProof/>
        </w:rPr>
        <w:t>Prawie wszystkie państwa członkowskie posiadają obecnie</w:t>
      </w:r>
      <w:r w:rsidR="0099317C" w:rsidRPr="0099317C">
        <w:rPr>
          <w:noProof/>
        </w:rPr>
        <w:t xml:space="preserve"> w swo</w:t>
      </w:r>
      <w:r w:rsidRPr="0099317C">
        <w:rPr>
          <w:noProof/>
        </w:rPr>
        <w:t>im prawie krajowym minimalny zestaw gwarancji niezależności wymaganych na mocy dyrektywy ECN+,</w:t>
      </w:r>
      <w:r w:rsidR="0099317C" w:rsidRPr="0099317C">
        <w:rPr>
          <w:noProof/>
        </w:rPr>
        <w:t xml:space="preserve"> w tym</w:t>
      </w:r>
      <w:r w:rsidRPr="0099317C">
        <w:rPr>
          <w:noProof/>
        </w:rPr>
        <w:t xml:space="preserve"> wyraźny przepis gwarantujący niezależność operacyjną krajowych organów ochrony konkurencji. Zdecydowana większość państw członkowskich gwarantuje również dysponowanie przez krajowe organy ochrony konkurencji zasobami wystarczającymi do wykonywania ich zadań. Albo</w:t>
      </w:r>
      <w:r w:rsidR="0099317C" w:rsidRPr="0099317C">
        <w:rPr>
          <w:noProof/>
        </w:rPr>
        <w:t xml:space="preserve"> w pra</w:t>
      </w:r>
      <w:r w:rsidRPr="0099317C">
        <w:rPr>
          <w:noProof/>
        </w:rPr>
        <w:t>wie krajowym przewidziana jest wyraźna gwarancja, albo istnieje dorozumiana gwarancja, że krajowe organy ochrony konkurencji mogą wywierać wpływ na zasoby, którymi dysponują</w:t>
      </w:r>
      <w:r w:rsidR="0099317C" w:rsidRPr="0099317C">
        <w:rPr>
          <w:noProof/>
        </w:rPr>
        <w:t xml:space="preserve"> w pro</w:t>
      </w:r>
      <w:r w:rsidRPr="0099317C">
        <w:rPr>
          <w:noProof/>
        </w:rPr>
        <w:t>cesie przydziału środków budżetowych</w:t>
      </w:r>
      <w:r w:rsidR="0099317C" w:rsidRPr="0099317C">
        <w:rPr>
          <w:noProof/>
        </w:rPr>
        <w:t>. W inn</w:t>
      </w:r>
      <w:r w:rsidRPr="0099317C">
        <w:rPr>
          <w:noProof/>
        </w:rPr>
        <w:t>ych przypadkach krajowe organy ochrony konkurencji są finansowane głównie ze środków własnych pochodzących</w:t>
      </w:r>
      <w:r w:rsidR="0099317C" w:rsidRPr="0099317C">
        <w:rPr>
          <w:noProof/>
        </w:rPr>
        <w:t xml:space="preserve"> z obo</w:t>
      </w:r>
      <w:r w:rsidRPr="0099317C">
        <w:rPr>
          <w:noProof/>
        </w:rPr>
        <w:t>wiązkowych składek przedsiębiorstw.</w:t>
      </w:r>
    </w:p>
    <w:p w14:paraId="250CA83F" w14:textId="7C63C2F3" w:rsidR="00160397" w:rsidRPr="0099317C" w:rsidRDefault="00E4426C" w:rsidP="00FA1848">
      <w:pPr>
        <w:pStyle w:val="Text2"/>
        <w:ind w:left="0"/>
        <w:rPr>
          <w:noProof/>
        </w:rPr>
      </w:pPr>
      <w:r w:rsidRPr="0099317C">
        <w:rPr>
          <w:noProof/>
        </w:rPr>
        <w:t>Transpozycja tego rozdziału dyrektywy ECN+ wzmocniła niezależność krajowych organów ochrony konkurencji</w:t>
      </w:r>
      <w:r w:rsidR="0099317C" w:rsidRPr="0099317C">
        <w:rPr>
          <w:noProof/>
        </w:rPr>
        <w:t xml:space="preserve"> w wię</w:t>
      </w:r>
      <w:r w:rsidRPr="0099317C">
        <w:rPr>
          <w:noProof/>
        </w:rPr>
        <w:t>kszości państw członkowskich. Dokonano tego poprzez przyjęcie wyraźnych przepisów gwarantujących niezależność operacyjną</w:t>
      </w:r>
      <w:r w:rsidR="0099317C" w:rsidRPr="0099317C">
        <w:rPr>
          <w:noProof/>
        </w:rPr>
        <w:t xml:space="preserve"> i bud</w:t>
      </w:r>
      <w:r w:rsidRPr="0099317C">
        <w:rPr>
          <w:noProof/>
        </w:rPr>
        <w:t>żetową tych organów, zniesienie wcześniejszych kontroli ministerialnych, wprowadzenie nowych przepisów mających na celu zapobieganie konfliktom interesów, zwiększenie ochrony członków organu decyzyjnego przed nieuzasadnionym odwołaniem oraz wprowadzenie jasnych kryteriów wyboru takich osób. Znaczna poprawa</w:t>
      </w:r>
      <w:r w:rsidR="0099317C" w:rsidRPr="0099317C">
        <w:rPr>
          <w:noProof/>
        </w:rPr>
        <w:t xml:space="preserve"> w nie</w:t>
      </w:r>
      <w:r w:rsidRPr="0099317C">
        <w:rPr>
          <w:noProof/>
        </w:rPr>
        <w:t>których państwach członkowskich dotyczy również uprawnienia do ustalania priorytetów</w:t>
      </w:r>
      <w:r w:rsidR="0099317C" w:rsidRPr="0099317C">
        <w:rPr>
          <w:noProof/>
        </w:rPr>
        <w:t xml:space="preserve"> w egz</w:t>
      </w:r>
      <w:r w:rsidRPr="0099317C">
        <w:rPr>
          <w:noProof/>
        </w:rPr>
        <w:t>ekwowaniu przepisów</w:t>
      </w:r>
      <w:r w:rsidR="0099317C" w:rsidRPr="0099317C">
        <w:rPr>
          <w:noProof/>
        </w:rPr>
        <w:t xml:space="preserve"> i odr</w:t>
      </w:r>
      <w:r w:rsidRPr="0099317C">
        <w:rPr>
          <w:noProof/>
        </w:rPr>
        <w:t>zucania skarg formalnych ze względu na nieuznawanie ich za priorytet.</w:t>
      </w:r>
    </w:p>
    <w:p w14:paraId="2DE8AAAF" w14:textId="167D005F" w:rsidR="00CA69D1" w:rsidRPr="0099317C" w:rsidRDefault="005437DE" w:rsidP="00FA1848">
      <w:pPr>
        <w:pStyle w:val="Text2"/>
        <w:ind w:left="0"/>
        <w:rPr>
          <w:noProof/>
        </w:rPr>
      </w:pPr>
      <w:r w:rsidRPr="0099317C">
        <w:rPr>
          <w:noProof/>
        </w:rPr>
        <w:t>Niektóre państwa członkowskie przyjęły wyraźne przepisy stanowiące, że krajowy organ ochrony konkurencji powinien dysponować zasobami wystarczającymi do wykonywania swoich zadań</w:t>
      </w:r>
      <w:r w:rsidR="0099317C" w:rsidRPr="0099317C">
        <w:rPr>
          <w:noProof/>
        </w:rPr>
        <w:t>. W kil</w:t>
      </w:r>
      <w:r w:rsidRPr="0099317C">
        <w:rPr>
          <w:noProof/>
        </w:rPr>
        <w:t>ku państwach członkowskich po dokonaniu transpozycji dyrektywy krajowy organ ochrony konkurencji otrzymał dodatkowe zasoby</w:t>
      </w:r>
      <w:r w:rsidR="0099317C" w:rsidRPr="0099317C">
        <w:rPr>
          <w:noProof/>
        </w:rPr>
        <w:t xml:space="preserve"> w pos</w:t>
      </w:r>
      <w:r w:rsidRPr="0099317C">
        <w:rPr>
          <w:noProof/>
        </w:rPr>
        <w:t>taci środków budżetowych lub personelu.</w:t>
      </w:r>
    </w:p>
    <w:p w14:paraId="23EF0EF3" w14:textId="6E51513D" w:rsidR="009211F7" w:rsidRPr="0099317C" w:rsidRDefault="00FC3FEF" w:rsidP="009211F7">
      <w:pPr>
        <w:autoSpaceDE w:val="0"/>
        <w:autoSpaceDN w:val="0"/>
        <w:spacing w:after="0"/>
        <w:rPr>
          <w:noProof/>
        </w:rPr>
      </w:pPr>
      <w:r w:rsidRPr="0099317C">
        <w:rPr>
          <w:noProof/>
        </w:rPr>
        <w:t>Z ocen zgodności wynika jednak, że</w:t>
      </w:r>
      <w:r w:rsidR="0099317C" w:rsidRPr="0099317C">
        <w:rPr>
          <w:noProof/>
        </w:rPr>
        <w:t xml:space="preserve"> w kil</w:t>
      </w:r>
      <w:r w:rsidRPr="0099317C">
        <w:rPr>
          <w:noProof/>
        </w:rPr>
        <w:t>ku państwach członkowskich prawo krajowe zezwala urzędnikom państwowym na udział</w:t>
      </w:r>
      <w:r w:rsidR="0099317C" w:rsidRPr="0099317C">
        <w:rPr>
          <w:noProof/>
        </w:rPr>
        <w:t xml:space="preserve"> w pos</w:t>
      </w:r>
      <w:r w:rsidRPr="0099317C">
        <w:rPr>
          <w:noProof/>
        </w:rPr>
        <w:t>tępowaniach prowadzonych przez krajowe organy ochrony konkurencji.</w:t>
      </w:r>
    </w:p>
    <w:p w14:paraId="4912FB0E" w14:textId="52EA586D" w:rsidR="000D36B7" w:rsidRPr="0099317C" w:rsidRDefault="006C450E" w:rsidP="000D36B7">
      <w:pPr>
        <w:pStyle w:val="ContNum"/>
        <w:numPr>
          <w:ilvl w:val="0"/>
          <w:numId w:val="0"/>
        </w:numPr>
        <w:rPr>
          <w:noProof/>
        </w:rPr>
      </w:pPr>
      <w:r w:rsidRPr="0099317C">
        <w:rPr>
          <w:noProof/>
        </w:rPr>
        <w:br/>
        <w:t>W jednym państwie członkowskim wymagana na mocy art.</w:t>
      </w:r>
      <w:r w:rsidR="0099317C" w:rsidRPr="0099317C">
        <w:rPr>
          <w:noProof/>
        </w:rPr>
        <w:t> </w:t>
      </w:r>
      <w:r w:rsidRPr="0099317C">
        <w:rPr>
          <w:noProof/>
        </w:rPr>
        <w:t>4 ust.</w:t>
      </w:r>
      <w:r w:rsidR="0099317C" w:rsidRPr="0099317C">
        <w:rPr>
          <w:noProof/>
        </w:rPr>
        <w:t> </w:t>
      </w:r>
      <w:r w:rsidRPr="0099317C">
        <w:rPr>
          <w:noProof/>
        </w:rPr>
        <w:t>3 dyrektywy ochrona przed nieuzasadnionym odwołaniem członków organu decyzyjnego nie obejmuje wszystkich takich osób</w:t>
      </w:r>
      <w:r w:rsidR="0099317C" w:rsidRPr="0099317C">
        <w:rPr>
          <w:noProof/>
        </w:rPr>
        <w:t xml:space="preserve"> w kra</w:t>
      </w:r>
      <w:r w:rsidRPr="0099317C">
        <w:rPr>
          <w:noProof/>
        </w:rPr>
        <w:t>jowym organie ochrony konkurencji. Ponadto</w:t>
      </w:r>
      <w:r w:rsidR="0099317C" w:rsidRPr="0099317C">
        <w:rPr>
          <w:noProof/>
        </w:rPr>
        <w:t xml:space="preserve"> w kil</w:t>
      </w:r>
      <w:r w:rsidRPr="0099317C">
        <w:rPr>
          <w:noProof/>
        </w:rPr>
        <w:t>ku państwach członkowskich prawo krajowe nie określa jasno, jakie są dopuszczalne podstawy do odwołania,</w:t>
      </w:r>
      <w:r w:rsidR="0099317C" w:rsidRPr="0099317C">
        <w:rPr>
          <w:noProof/>
        </w:rPr>
        <w:t xml:space="preserve"> a w szc</w:t>
      </w:r>
      <w:r w:rsidRPr="0099317C">
        <w:rPr>
          <w:noProof/>
        </w:rPr>
        <w:t>zególności – co stanowi „poważne uchybienie”, które mogłoby prowadzić do odwołania. Jedno państwo członkowskie ustanowiło również dodatkową podstawę do odwołania, wykraczającą poza te określone</w:t>
      </w:r>
      <w:r w:rsidR="0099317C" w:rsidRPr="0099317C">
        <w:rPr>
          <w:noProof/>
        </w:rPr>
        <w:t xml:space="preserve"> w prz</w:t>
      </w:r>
      <w:r w:rsidRPr="0099317C">
        <w:rPr>
          <w:noProof/>
        </w:rPr>
        <w:t>edmiotowej dyrektywie.</w:t>
      </w:r>
    </w:p>
    <w:p w14:paraId="6B4159CE" w14:textId="35BDB922" w:rsidR="00DF7796" w:rsidRPr="0099317C" w:rsidRDefault="00DF7796" w:rsidP="00DF7796">
      <w:pPr>
        <w:pStyle w:val="ContNum"/>
        <w:numPr>
          <w:ilvl w:val="0"/>
          <w:numId w:val="0"/>
        </w:numPr>
        <w:rPr>
          <w:noProof/>
        </w:rPr>
      </w:pPr>
      <w:r w:rsidRPr="0099317C">
        <w:rPr>
          <w:noProof/>
        </w:rPr>
        <w:t>W kilku państwach członkowskich brakuje przejrzystej procedury mianowania</w:t>
      </w:r>
      <w:r w:rsidR="0099317C" w:rsidRPr="0099317C">
        <w:rPr>
          <w:noProof/>
        </w:rPr>
        <w:t xml:space="preserve"> i jas</w:t>
      </w:r>
      <w:r w:rsidRPr="0099317C">
        <w:rPr>
          <w:noProof/>
        </w:rPr>
        <w:t>nych kryteriów wyboru członków organu decyzyjnego</w:t>
      </w:r>
      <w:r w:rsidR="0099317C" w:rsidRPr="0099317C">
        <w:rPr>
          <w:noProof/>
        </w:rPr>
        <w:t xml:space="preserve"> w ram</w:t>
      </w:r>
      <w:r w:rsidRPr="0099317C">
        <w:rPr>
          <w:noProof/>
        </w:rPr>
        <w:t>ach krajowych organów ochrony konkurencji.</w:t>
      </w:r>
    </w:p>
    <w:p w14:paraId="34F85708" w14:textId="2CE583C4" w:rsidR="00DF16D7" w:rsidRPr="0099317C" w:rsidRDefault="00DF16D7" w:rsidP="00DF7796">
      <w:pPr>
        <w:pStyle w:val="ContNum"/>
        <w:numPr>
          <w:ilvl w:val="0"/>
          <w:numId w:val="0"/>
        </w:numPr>
        <w:rPr>
          <w:noProof/>
        </w:rPr>
      </w:pPr>
      <w:r w:rsidRPr="0099317C">
        <w:rPr>
          <w:noProof/>
        </w:rPr>
        <w:t>W jednym państwie członkowskim krajowy organ ochrony konkurencji nie ma wyraźnego uprawnienia do odrzucania skarg formalnych ze względu na nieuznawanie ich za priorytet.</w:t>
      </w:r>
    </w:p>
    <w:p w14:paraId="4CFB9431" w14:textId="7CC98434" w:rsidR="00F81BF8" w:rsidRPr="0099317C" w:rsidRDefault="00F81BF8" w:rsidP="00DF7796">
      <w:pPr>
        <w:pStyle w:val="ContNum"/>
        <w:numPr>
          <w:ilvl w:val="0"/>
          <w:numId w:val="0"/>
        </w:numPr>
        <w:rPr>
          <w:noProof/>
        </w:rPr>
      </w:pPr>
      <w:r w:rsidRPr="0099317C">
        <w:rPr>
          <w:noProof/>
        </w:rPr>
        <w:t>W kilku państwach członkowskich nie ma gwarancji zapewniających krajowym organom ochrony konkurencji dostęp do wystarczających zasobów.</w:t>
      </w:r>
    </w:p>
    <w:p w14:paraId="13E39A95" w14:textId="5A13DFAD" w:rsidR="0074505B" w:rsidRPr="0099317C" w:rsidRDefault="0074505B" w:rsidP="00DF7796">
      <w:pPr>
        <w:pStyle w:val="ContNum"/>
        <w:numPr>
          <w:ilvl w:val="0"/>
          <w:numId w:val="0"/>
        </w:numPr>
        <w:rPr>
          <w:noProof/>
        </w:rPr>
      </w:pPr>
      <w:r w:rsidRPr="0099317C">
        <w:rPr>
          <w:noProof/>
        </w:rPr>
        <w:t>Ponadto</w:t>
      </w:r>
      <w:r w:rsidR="0099317C" w:rsidRPr="0099317C">
        <w:rPr>
          <w:noProof/>
        </w:rPr>
        <w:t xml:space="preserve"> w kil</w:t>
      </w:r>
      <w:r w:rsidRPr="0099317C">
        <w:rPr>
          <w:noProof/>
        </w:rPr>
        <w:t>ku państwach członkowskich krajowe organy ochrony konkurencji muszą uzyskać pewne zgody władz przy wydatkowaniu przydzielonego im budżetu.</w:t>
      </w:r>
    </w:p>
    <w:p w14:paraId="14AB4839" w14:textId="12CD8BCC" w:rsidR="00FE0EDA" w:rsidRPr="0099317C" w:rsidRDefault="001C1D40" w:rsidP="00BE5F49">
      <w:pPr>
        <w:pStyle w:val="Heading2"/>
        <w:rPr>
          <w:noProof/>
        </w:rPr>
      </w:pPr>
      <w:r w:rsidRPr="0099317C">
        <w:rPr>
          <w:noProof/>
        </w:rPr>
        <w:t>Uprawnienia dochodzeniowe</w:t>
      </w:r>
      <w:r w:rsidR="0099317C" w:rsidRPr="0099317C">
        <w:rPr>
          <w:noProof/>
        </w:rPr>
        <w:t xml:space="preserve"> i dec</w:t>
      </w:r>
      <w:r w:rsidRPr="0099317C">
        <w:rPr>
          <w:noProof/>
        </w:rPr>
        <w:t>yzyjne</w:t>
      </w:r>
    </w:p>
    <w:p w14:paraId="468158A6" w14:textId="3794FA84" w:rsidR="000945D5" w:rsidRPr="0099317C" w:rsidRDefault="00C93E76" w:rsidP="00117583">
      <w:pPr>
        <w:rPr>
          <w:noProof/>
        </w:rPr>
      </w:pPr>
      <w:r w:rsidRPr="0099317C">
        <w:rPr>
          <w:noProof/>
        </w:rPr>
        <w:t>W rozdziale IV dyrektywy ECN+ określono minimalne skuteczne uprawnienia krajowych organów ochrony konkurencji do prowadzenia dochodzeń</w:t>
      </w:r>
      <w:r w:rsidR="0099317C" w:rsidRPr="0099317C">
        <w:rPr>
          <w:noProof/>
        </w:rPr>
        <w:t xml:space="preserve"> i pod</w:t>
      </w:r>
      <w:r w:rsidRPr="0099317C">
        <w:rPr>
          <w:noProof/>
        </w:rPr>
        <w:t>ejmowania decyzji. Celem jest zapewnienie, aby krajowe organy ochrony konkurencji nie były pozbawione możliwości skutecznego położenia kresu naruszaniu unijnych przepisów antymonopolowych</w:t>
      </w:r>
      <w:r w:rsidR="0099317C" w:rsidRPr="0099317C">
        <w:rPr>
          <w:noProof/>
        </w:rPr>
        <w:t xml:space="preserve"> z pow</w:t>
      </w:r>
      <w:r w:rsidRPr="0099317C">
        <w:rPr>
          <w:noProof/>
        </w:rPr>
        <w:t>odu braku takich uprawnień lub ograniczeń</w:t>
      </w:r>
      <w:r w:rsidR="0099317C" w:rsidRPr="0099317C">
        <w:rPr>
          <w:noProof/>
        </w:rPr>
        <w:t xml:space="preserve"> w ich</w:t>
      </w:r>
      <w:r w:rsidRPr="0099317C">
        <w:rPr>
          <w:noProof/>
        </w:rPr>
        <w:t xml:space="preserve"> zakresie.</w:t>
      </w:r>
    </w:p>
    <w:p w14:paraId="25807DFE" w14:textId="3F5855E5" w:rsidR="00F9028B" w:rsidRPr="0099317C" w:rsidRDefault="00CF0C53" w:rsidP="00A16543">
      <w:pPr>
        <w:rPr>
          <w:noProof/>
        </w:rPr>
      </w:pPr>
      <w:r w:rsidRPr="0099317C">
        <w:rPr>
          <w:noProof/>
        </w:rPr>
        <w:t>W art.</w:t>
      </w:r>
      <w:r w:rsidR="0099317C" w:rsidRPr="0099317C">
        <w:rPr>
          <w:noProof/>
        </w:rPr>
        <w:t> </w:t>
      </w:r>
      <w:r w:rsidRPr="0099317C">
        <w:rPr>
          <w:noProof/>
        </w:rPr>
        <w:t>6–9 zapewniono, aby krajowe organy ochrony konkurencji dysponowały skutecznymi narzędziami dochodzeniowymi. Zgodnie</w:t>
      </w:r>
      <w:r w:rsidR="0099317C" w:rsidRPr="0099317C">
        <w:rPr>
          <w:noProof/>
        </w:rPr>
        <w:t xml:space="preserve"> z art</w:t>
      </w:r>
      <w:r w:rsidRPr="0099317C">
        <w:rPr>
          <w:noProof/>
        </w:rPr>
        <w:t>.</w:t>
      </w:r>
      <w:r w:rsidR="0099317C" w:rsidRPr="0099317C">
        <w:rPr>
          <w:noProof/>
        </w:rPr>
        <w:t> </w:t>
      </w:r>
      <w:r w:rsidRPr="0099317C">
        <w:rPr>
          <w:noProof/>
        </w:rPr>
        <w:t>6</w:t>
      </w:r>
      <w:r w:rsidR="0099317C" w:rsidRPr="0099317C">
        <w:rPr>
          <w:noProof/>
        </w:rPr>
        <w:t xml:space="preserve"> i 7</w:t>
      </w:r>
      <w:r w:rsidRPr="0099317C">
        <w:rPr>
          <w:noProof/>
        </w:rPr>
        <w:t xml:space="preserve"> organy te są uprawnione do przeprowadzania niezapowiedzianych kontroli</w:t>
      </w:r>
      <w:r w:rsidR="0099317C" w:rsidRPr="0099317C">
        <w:rPr>
          <w:noProof/>
        </w:rPr>
        <w:t xml:space="preserve"> w lok</w:t>
      </w:r>
      <w:r w:rsidRPr="0099317C">
        <w:rPr>
          <w:noProof/>
        </w:rPr>
        <w:t>alach przedsiębiorstwa</w:t>
      </w:r>
      <w:r w:rsidR="0099317C" w:rsidRPr="0099317C">
        <w:rPr>
          <w:noProof/>
        </w:rPr>
        <w:t xml:space="preserve"> i poz</w:t>
      </w:r>
      <w:r w:rsidRPr="0099317C">
        <w:rPr>
          <w:noProof/>
        </w:rPr>
        <w:t>a nimi. Zgodnie</w:t>
      </w:r>
      <w:r w:rsidR="0099317C" w:rsidRPr="0099317C">
        <w:rPr>
          <w:noProof/>
        </w:rPr>
        <w:t xml:space="preserve"> z art</w:t>
      </w:r>
      <w:r w:rsidRPr="0099317C">
        <w:rPr>
          <w:noProof/>
        </w:rPr>
        <w:t>.</w:t>
      </w:r>
      <w:r w:rsidR="0099317C" w:rsidRPr="0099317C">
        <w:rPr>
          <w:noProof/>
        </w:rPr>
        <w:t> </w:t>
      </w:r>
      <w:r w:rsidRPr="0099317C">
        <w:rPr>
          <w:noProof/>
        </w:rPr>
        <w:t>8 są one uprawnione do wzywania do udzielenia informacji, a na mocy art.</w:t>
      </w:r>
      <w:r w:rsidR="0099317C" w:rsidRPr="0099317C">
        <w:rPr>
          <w:noProof/>
        </w:rPr>
        <w:t> </w:t>
      </w:r>
      <w:r w:rsidRPr="0099317C">
        <w:rPr>
          <w:noProof/>
        </w:rPr>
        <w:t>9 – do wzywania na przesłuchanie przedstawicieli przedsiębiorstw, przedstawicieli osób prawnych innych niż przedsiębiorstwa oraz osób fizycznych.</w:t>
      </w:r>
    </w:p>
    <w:p w14:paraId="1EEAAF1A" w14:textId="3A0AE01B" w:rsidR="00C73D75" w:rsidRPr="0099317C" w:rsidRDefault="00360A85" w:rsidP="00FA1848">
      <w:pPr>
        <w:pStyle w:val="Text2"/>
        <w:ind w:left="0"/>
        <w:rPr>
          <w:noProof/>
        </w:rPr>
      </w:pPr>
      <w:r w:rsidRPr="0099317C">
        <w:rPr>
          <w:noProof/>
        </w:rPr>
        <w:t>W art.</w:t>
      </w:r>
      <w:r w:rsidR="0099317C" w:rsidRPr="0099317C">
        <w:rPr>
          <w:noProof/>
        </w:rPr>
        <w:t> </w:t>
      </w:r>
      <w:r w:rsidRPr="0099317C">
        <w:rPr>
          <w:noProof/>
        </w:rPr>
        <w:t>10–12 wprowadzono minimalny zestaw uprawnień decyzyjnych, które powinny posiadać krajowe organy ochrony konkurencji. Zgodnie</w:t>
      </w:r>
      <w:r w:rsidR="0099317C" w:rsidRPr="0099317C">
        <w:rPr>
          <w:noProof/>
        </w:rPr>
        <w:t xml:space="preserve"> z art</w:t>
      </w:r>
      <w:r w:rsidRPr="0099317C">
        <w:rPr>
          <w:noProof/>
        </w:rPr>
        <w:t>.</w:t>
      </w:r>
      <w:r w:rsidR="0099317C" w:rsidRPr="0099317C">
        <w:rPr>
          <w:noProof/>
        </w:rPr>
        <w:t> </w:t>
      </w:r>
      <w:r w:rsidRPr="0099317C">
        <w:rPr>
          <w:noProof/>
        </w:rPr>
        <w:t>10 organy te są uprawnione do stwierdzenia naruszenia, nakazania przedsiębiorstwu zaprzestania naruszenia oraz nałożenia środków zaradczych</w:t>
      </w:r>
      <w:r w:rsidR="0099317C" w:rsidRPr="0099317C">
        <w:rPr>
          <w:noProof/>
        </w:rPr>
        <w:t xml:space="preserve"> o cha</w:t>
      </w:r>
      <w:r w:rsidRPr="0099317C">
        <w:rPr>
          <w:noProof/>
        </w:rPr>
        <w:t>rakterze behawioralnym lub strukturalnym. Mogą one również stwierdzić, że naruszenie miało miejsce</w:t>
      </w:r>
      <w:r w:rsidR="0099317C" w:rsidRPr="0099317C">
        <w:rPr>
          <w:noProof/>
        </w:rPr>
        <w:t xml:space="preserve"> w prz</w:t>
      </w:r>
      <w:r w:rsidRPr="0099317C">
        <w:rPr>
          <w:noProof/>
        </w:rPr>
        <w:t>eszłości. Zgodnie</w:t>
      </w:r>
      <w:r w:rsidR="0099317C" w:rsidRPr="0099317C">
        <w:rPr>
          <w:noProof/>
        </w:rPr>
        <w:t xml:space="preserve"> z art</w:t>
      </w:r>
      <w:r w:rsidRPr="0099317C">
        <w:rPr>
          <w:noProof/>
        </w:rPr>
        <w:t>.</w:t>
      </w:r>
      <w:r w:rsidR="0099317C" w:rsidRPr="0099317C">
        <w:rPr>
          <w:noProof/>
        </w:rPr>
        <w:t> </w:t>
      </w:r>
      <w:r w:rsidRPr="0099317C">
        <w:rPr>
          <w:noProof/>
        </w:rPr>
        <w:t>11 krajowe organy ochrony konkurencji są uprawnione do przyjmowania</w:t>
      </w:r>
      <w:r w:rsidR="0099317C" w:rsidRPr="0099317C">
        <w:rPr>
          <w:noProof/>
        </w:rPr>
        <w:t xml:space="preserve"> z wła</w:t>
      </w:r>
      <w:r w:rsidRPr="0099317C">
        <w:rPr>
          <w:noProof/>
        </w:rPr>
        <w:t>snej inicjatywy (z urzędu) środków tymczasowych. Zgodnie</w:t>
      </w:r>
      <w:r w:rsidR="0099317C" w:rsidRPr="0099317C">
        <w:rPr>
          <w:noProof/>
        </w:rPr>
        <w:t xml:space="preserve"> z art</w:t>
      </w:r>
      <w:r w:rsidRPr="0099317C">
        <w:rPr>
          <w:noProof/>
        </w:rPr>
        <w:t>.</w:t>
      </w:r>
      <w:r w:rsidR="0099317C" w:rsidRPr="0099317C">
        <w:rPr>
          <w:noProof/>
        </w:rPr>
        <w:t> </w:t>
      </w:r>
      <w:r w:rsidRPr="0099317C">
        <w:rPr>
          <w:noProof/>
        </w:rPr>
        <w:t>12 mogą one akceptować zobowiązania przedsiębiorstw.</w:t>
      </w:r>
    </w:p>
    <w:p w14:paraId="4F547AB9" w14:textId="309F70BA" w:rsidR="005E48A5" w:rsidRPr="0099317C" w:rsidRDefault="00642E1F" w:rsidP="003B380B">
      <w:pPr>
        <w:pStyle w:val="Text2"/>
        <w:ind w:left="0"/>
        <w:rPr>
          <w:noProof/>
        </w:rPr>
      </w:pPr>
      <w:r w:rsidRPr="0099317C">
        <w:rPr>
          <w:noProof/>
        </w:rPr>
        <w:t>Jeżeli chodzi</w:t>
      </w:r>
      <w:r w:rsidR="0099317C" w:rsidRPr="0099317C">
        <w:rPr>
          <w:noProof/>
        </w:rPr>
        <w:t xml:space="preserve"> o upr</w:t>
      </w:r>
      <w:r w:rsidRPr="0099317C">
        <w:rPr>
          <w:noProof/>
        </w:rPr>
        <w:t>awnienia dochodzeniowe, prawie wszystkie państwa członkowskie dostosowały swoje przepisy krajowe do przedmiotowej dyrektywy</w:t>
      </w:r>
      <w:r w:rsidR="0099317C" w:rsidRPr="0099317C">
        <w:rPr>
          <w:noProof/>
        </w:rPr>
        <w:t>. W nie</w:t>
      </w:r>
      <w:r w:rsidRPr="0099317C">
        <w:rPr>
          <w:noProof/>
        </w:rPr>
        <w:t>których państwach członkowskich doprowadziło to do wprowadzenia nowych uprawnień, takich jak uprawnienia do przeprowadzania kontroli</w:t>
      </w:r>
      <w:r w:rsidR="0099317C" w:rsidRPr="0099317C">
        <w:rPr>
          <w:noProof/>
        </w:rPr>
        <w:t xml:space="preserve"> w lok</w:t>
      </w:r>
      <w:r w:rsidRPr="0099317C">
        <w:rPr>
          <w:noProof/>
        </w:rPr>
        <w:t>alach, które nie stanowią miejsca prowadzenia działalności gospodarczej, przeprowadzania kontroli przy wsparciu policji, kontynuowania kontroli we własnych lub wyznaczonych pomieszczeniach, wysyłania wezwań do udzielenia informacji do innych osób prawnych</w:t>
      </w:r>
      <w:r w:rsidR="0099317C" w:rsidRPr="0099317C">
        <w:rPr>
          <w:noProof/>
        </w:rPr>
        <w:t xml:space="preserve"> i fiz</w:t>
      </w:r>
      <w:r w:rsidRPr="0099317C">
        <w:rPr>
          <w:noProof/>
        </w:rPr>
        <w:t>ycznych oraz wzywania odpowiednich osób na przesłuchanie. Niektóre państwa członkowskie wykroczyły poza minimalne wymogi określone</w:t>
      </w:r>
      <w:r w:rsidR="0099317C" w:rsidRPr="0099317C">
        <w:rPr>
          <w:noProof/>
        </w:rPr>
        <w:t xml:space="preserve"> w dyr</w:t>
      </w:r>
      <w:r w:rsidRPr="0099317C">
        <w:rPr>
          <w:noProof/>
        </w:rPr>
        <w:t>ektywie, przyznając krajowym organom ochrony konkurencji prawo do zadawania pytań podczas kontroli</w:t>
      </w:r>
      <w:r w:rsidR="0099317C" w:rsidRPr="0099317C">
        <w:rPr>
          <w:noProof/>
        </w:rPr>
        <w:t xml:space="preserve"> w lok</w:t>
      </w:r>
      <w:r w:rsidRPr="0099317C">
        <w:rPr>
          <w:noProof/>
        </w:rPr>
        <w:t>alach, które nie stanowią miejsca prowadzenia działalności gospodarczej, oraz prawo do zapieczętowania takich lokali</w:t>
      </w:r>
      <w:r w:rsidR="0099317C" w:rsidRPr="0099317C">
        <w:rPr>
          <w:noProof/>
        </w:rPr>
        <w:t xml:space="preserve"> i odp</w:t>
      </w:r>
      <w:r w:rsidRPr="0099317C">
        <w:rPr>
          <w:noProof/>
        </w:rPr>
        <w:t xml:space="preserve">owiedniej dokumentacji. </w:t>
      </w:r>
    </w:p>
    <w:p w14:paraId="6D7A4E8C" w14:textId="18DB7FF8" w:rsidR="00204F4C" w:rsidRPr="0099317C" w:rsidRDefault="0070523D" w:rsidP="00D71F3E">
      <w:pPr>
        <w:rPr>
          <w:noProof/>
        </w:rPr>
      </w:pPr>
      <w:r w:rsidRPr="0099317C">
        <w:rPr>
          <w:noProof/>
        </w:rPr>
        <w:t>Oceny zgodności wskazują jednak, że</w:t>
      </w:r>
      <w:r w:rsidR="0099317C" w:rsidRPr="0099317C">
        <w:rPr>
          <w:noProof/>
        </w:rPr>
        <w:t xml:space="preserve"> w kil</w:t>
      </w:r>
      <w:r w:rsidRPr="0099317C">
        <w:rPr>
          <w:noProof/>
        </w:rPr>
        <w:t>ku państwach członkowskich istnieją na pewne ograniczenia uprawnień krajowego organu ochrony konkurencji</w:t>
      </w:r>
      <w:r w:rsidR="0099317C" w:rsidRPr="0099317C">
        <w:rPr>
          <w:noProof/>
        </w:rPr>
        <w:t xml:space="preserve"> w zak</w:t>
      </w:r>
      <w:r w:rsidRPr="0099317C">
        <w:rPr>
          <w:noProof/>
        </w:rPr>
        <w:t>resie przeprowadzania niezapowiedzianych kontroli</w:t>
      </w:r>
      <w:r w:rsidR="0099317C" w:rsidRPr="0099317C">
        <w:rPr>
          <w:noProof/>
        </w:rPr>
        <w:t xml:space="preserve"> w lok</w:t>
      </w:r>
      <w:r w:rsidRPr="0099317C">
        <w:rPr>
          <w:noProof/>
        </w:rPr>
        <w:t>alach przedsiębiorstwa</w:t>
      </w:r>
      <w:r w:rsidR="0099317C" w:rsidRPr="0099317C">
        <w:rPr>
          <w:noProof/>
        </w:rPr>
        <w:t xml:space="preserve"> i poz</w:t>
      </w:r>
      <w:r w:rsidRPr="0099317C">
        <w:rPr>
          <w:noProof/>
        </w:rPr>
        <w:t>a nimi. Najczęściej ograniczenie polega na tym, że organ jest zobowiązany do spełnienia norm prawnych, które nie są zgodne</w:t>
      </w:r>
      <w:r w:rsidR="0099317C" w:rsidRPr="0099317C">
        <w:rPr>
          <w:noProof/>
        </w:rPr>
        <w:t xml:space="preserve"> z nor</w:t>
      </w:r>
      <w:r w:rsidRPr="0099317C">
        <w:rPr>
          <w:noProof/>
        </w:rPr>
        <w:t>mami przewidzianymi</w:t>
      </w:r>
      <w:r w:rsidR="0099317C" w:rsidRPr="0099317C">
        <w:rPr>
          <w:noProof/>
        </w:rPr>
        <w:t xml:space="preserve"> w dyr</w:t>
      </w:r>
      <w:r w:rsidRPr="0099317C">
        <w:rPr>
          <w:noProof/>
        </w:rPr>
        <w:t>ektywie. Stwierdzono również pewne ograniczenia</w:t>
      </w:r>
      <w:r w:rsidR="0099317C" w:rsidRPr="0099317C">
        <w:rPr>
          <w:noProof/>
        </w:rPr>
        <w:t xml:space="preserve"> w odn</w:t>
      </w:r>
      <w:r w:rsidRPr="0099317C">
        <w:rPr>
          <w:noProof/>
        </w:rPr>
        <w:t>iesieniu do uprawnień krajowego organu ochrony konkurencji do przeszukiwania</w:t>
      </w:r>
      <w:r w:rsidR="0099317C" w:rsidRPr="0099317C">
        <w:rPr>
          <w:noProof/>
        </w:rPr>
        <w:t xml:space="preserve"> i kop</w:t>
      </w:r>
      <w:r w:rsidRPr="0099317C">
        <w:rPr>
          <w:noProof/>
        </w:rPr>
        <w:t>iowania dokumentów elektronicznych</w:t>
      </w:r>
      <w:r w:rsidR="0099317C" w:rsidRPr="0099317C">
        <w:rPr>
          <w:noProof/>
        </w:rPr>
        <w:t xml:space="preserve"> w lok</w:t>
      </w:r>
      <w:r w:rsidRPr="0099317C">
        <w:rPr>
          <w:noProof/>
        </w:rPr>
        <w:t>alach przedsiębiorstwa oraz do kontynuowania kontroli we własnych lub wyznaczonych pomieszczeniach. Nie wszystkie państwa członkowskie dokonały transpozycji uprzedniej zgody organu sądowego wymaganej na mocy dyrektywy ECN+</w:t>
      </w:r>
      <w:r w:rsidR="0099317C" w:rsidRPr="0099317C">
        <w:rPr>
          <w:noProof/>
        </w:rPr>
        <w:t xml:space="preserve"> w odn</w:t>
      </w:r>
      <w:r w:rsidRPr="0099317C">
        <w:rPr>
          <w:noProof/>
        </w:rPr>
        <w:t>iesieniu do kontroli</w:t>
      </w:r>
      <w:r w:rsidR="0099317C" w:rsidRPr="0099317C">
        <w:rPr>
          <w:noProof/>
        </w:rPr>
        <w:t xml:space="preserve"> w lok</w:t>
      </w:r>
      <w:r w:rsidRPr="0099317C">
        <w:rPr>
          <w:noProof/>
        </w:rPr>
        <w:t>alach, które nie stanowią miejsca prowadzenia działalności gospodarczej.</w:t>
      </w:r>
    </w:p>
    <w:p w14:paraId="25AA1327" w14:textId="30EFFED1" w:rsidR="00BB5B79" w:rsidRPr="0099317C" w:rsidRDefault="00B65BE9" w:rsidP="00D71F3E">
      <w:pPr>
        <w:rPr>
          <w:noProof/>
        </w:rPr>
      </w:pPr>
      <w:r w:rsidRPr="0099317C">
        <w:rPr>
          <w:noProof/>
        </w:rPr>
        <w:t>Ponadto</w:t>
      </w:r>
      <w:r w:rsidR="0099317C" w:rsidRPr="0099317C">
        <w:rPr>
          <w:noProof/>
        </w:rPr>
        <w:t xml:space="preserve"> w kil</w:t>
      </w:r>
      <w:r w:rsidRPr="0099317C">
        <w:rPr>
          <w:noProof/>
        </w:rPr>
        <w:t>ku państwach członkowskich krajowy organ ochrony konkurencji nie może żądać informacji od innych osób fizycznych</w:t>
      </w:r>
      <w:r w:rsidR="0099317C" w:rsidRPr="0099317C">
        <w:rPr>
          <w:noProof/>
        </w:rPr>
        <w:t xml:space="preserve"> i pra</w:t>
      </w:r>
      <w:r w:rsidRPr="0099317C">
        <w:rPr>
          <w:noProof/>
        </w:rPr>
        <w:t xml:space="preserve">wnych. </w:t>
      </w:r>
    </w:p>
    <w:p w14:paraId="3CE3DFC2" w14:textId="06803770" w:rsidR="00D71F3E" w:rsidRPr="0099317C" w:rsidRDefault="00D71F3E" w:rsidP="00D71F3E">
      <w:pPr>
        <w:rPr>
          <w:noProof/>
        </w:rPr>
      </w:pPr>
      <w:r w:rsidRPr="0099317C">
        <w:rPr>
          <w:noProof/>
        </w:rPr>
        <w:t>W kilku innych przypadkach krajowy organ ochrony konkurencji nie może wzywać na przesłuchanie przedstawicieli innych osób prawnych lub osób fizycznych.</w:t>
      </w:r>
    </w:p>
    <w:p w14:paraId="4EB90DFF" w14:textId="461BAA59" w:rsidR="00B06E78" w:rsidRPr="0099317C" w:rsidRDefault="00C8728F" w:rsidP="0012500C">
      <w:pPr>
        <w:rPr>
          <w:i/>
          <w:noProof/>
        </w:rPr>
      </w:pPr>
      <w:r w:rsidRPr="0099317C">
        <w:rPr>
          <w:noProof/>
        </w:rPr>
        <w:t>Jeżeli chodzi</w:t>
      </w:r>
      <w:r w:rsidR="0099317C" w:rsidRPr="0099317C">
        <w:rPr>
          <w:noProof/>
        </w:rPr>
        <w:t xml:space="preserve"> o upr</w:t>
      </w:r>
      <w:r w:rsidRPr="0099317C">
        <w:rPr>
          <w:noProof/>
        </w:rPr>
        <w:t>awnienia decyzyjne, wszystkie państwa członkowskie posiadają obecnie</w:t>
      </w:r>
      <w:r w:rsidR="0099317C" w:rsidRPr="0099317C">
        <w:rPr>
          <w:noProof/>
        </w:rPr>
        <w:t xml:space="preserve"> w swo</w:t>
      </w:r>
      <w:r w:rsidRPr="0099317C">
        <w:rPr>
          <w:noProof/>
        </w:rPr>
        <w:t>im prawie krajowym minimalny zestaw uprawnień przewidzianych</w:t>
      </w:r>
      <w:r w:rsidR="0099317C" w:rsidRPr="0099317C">
        <w:rPr>
          <w:noProof/>
        </w:rPr>
        <w:t xml:space="preserve"> w dyr</w:t>
      </w:r>
      <w:r w:rsidRPr="0099317C">
        <w:rPr>
          <w:noProof/>
        </w:rPr>
        <w:t>ektywie ECN+</w:t>
      </w:r>
      <w:r w:rsidR="0099317C" w:rsidRPr="0099317C">
        <w:rPr>
          <w:noProof/>
        </w:rPr>
        <w:t>. W nie</w:t>
      </w:r>
      <w:r w:rsidRPr="0099317C">
        <w:rPr>
          <w:noProof/>
        </w:rPr>
        <w:t>których państwach członkowskich,</w:t>
      </w:r>
      <w:r w:rsidR="0099317C" w:rsidRPr="0099317C">
        <w:rPr>
          <w:noProof/>
        </w:rPr>
        <w:t xml:space="preserve"> w któ</w:t>
      </w:r>
      <w:r w:rsidRPr="0099317C">
        <w:rPr>
          <w:noProof/>
        </w:rPr>
        <w:t>rych krajowy organ ochrony konkurencji nie miał jeszcze uprawnień do nakładania środków zaradczych</w:t>
      </w:r>
      <w:r w:rsidR="0099317C" w:rsidRPr="0099317C">
        <w:rPr>
          <w:noProof/>
        </w:rPr>
        <w:t xml:space="preserve"> o cha</w:t>
      </w:r>
      <w:r w:rsidRPr="0099317C">
        <w:rPr>
          <w:noProof/>
        </w:rPr>
        <w:t>rakterze behawioralnym lub strukturalnym, oraz</w:t>
      </w:r>
      <w:r w:rsidR="0099317C" w:rsidRPr="0099317C">
        <w:rPr>
          <w:noProof/>
        </w:rPr>
        <w:t xml:space="preserve"> w kil</w:t>
      </w:r>
      <w:r w:rsidRPr="0099317C">
        <w:rPr>
          <w:noProof/>
        </w:rPr>
        <w:t>ku państwach członkowskich,</w:t>
      </w:r>
      <w:r w:rsidR="0099317C" w:rsidRPr="0099317C">
        <w:rPr>
          <w:noProof/>
        </w:rPr>
        <w:t xml:space="preserve"> w któ</w:t>
      </w:r>
      <w:r w:rsidRPr="0099317C">
        <w:rPr>
          <w:noProof/>
        </w:rPr>
        <w:t>rych wcześniej krajowe organy ochrony konkurencji były pozbawione możliwości przyjmowania</w:t>
      </w:r>
      <w:r w:rsidR="0099317C" w:rsidRPr="0099317C">
        <w:rPr>
          <w:noProof/>
        </w:rPr>
        <w:t xml:space="preserve"> z wła</w:t>
      </w:r>
      <w:r w:rsidRPr="0099317C">
        <w:rPr>
          <w:noProof/>
        </w:rPr>
        <w:t>snej inicjatywy środków tymczasowych, wprowadzono znaczące usprawnienia</w:t>
      </w:r>
      <w:r w:rsidR="0099317C" w:rsidRPr="0099317C">
        <w:rPr>
          <w:noProof/>
        </w:rPr>
        <w:t>. W kil</w:t>
      </w:r>
      <w:r w:rsidRPr="0099317C">
        <w:rPr>
          <w:noProof/>
        </w:rPr>
        <w:t>ku państwach członkowskich</w:t>
      </w:r>
      <w:r w:rsidR="0099317C" w:rsidRPr="0099317C">
        <w:rPr>
          <w:noProof/>
        </w:rPr>
        <w:t xml:space="preserve"> w ram</w:t>
      </w:r>
      <w:r w:rsidRPr="0099317C">
        <w:rPr>
          <w:noProof/>
        </w:rPr>
        <w:t>ach procedury podejmowania decyzji</w:t>
      </w:r>
      <w:r w:rsidR="0099317C" w:rsidRPr="0099317C">
        <w:rPr>
          <w:noProof/>
        </w:rPr>
        <w:t xml:space="preserve"> w spr</w:t>
      </w:r>
      <w:r w:rsidRPr="0099317C">
        <w:rPr>
          <w:noProof/>
        </w:rPr>
        <w:t>awie zobowiązań wprowadzono badanie rynku. Niektóre państwa członkowskie wykorzystały transpozycję dyrektywy ECN+, aby upoważnić swoje krajowe organy ochrony konkurencji do przyjmowania decyzji</w:t>
      </w:r>
      <w:r w:rsidR="0099317C" w:rsidRPr="0099317C">
        <w:rPr>
          <w:noProof/>
        </w:rPr>
        <w:t xml:space="preserve"> w spr</w:t>
      </w:r>
      <w:r w:rsidRPr="0099317C">
        <w:rPr>
          <w:noProof/>
        </w:rPr>
        <w:t>awie ugody, chociaż uprawnienie to nie jest objęte przedmiotową dyrektywą.</w:t>
      </w:r>
    </w:p>
    <w:p w14:paraId="5DEC89FE" w14:textId="339291EC" w:rsidR="00F93B38" w:rsidRPr="0099317C" w:rsidRDefault="00655E95" w:rsidP="003B380B">
      <w:pPr>
        <w:pStyle w:val="Text2"/>
        <w:ind w:left="0"/>
        <w:rPr>
          <w:i/>
          <w:noProof/>
        </w:rPr>
      </w:pPr>
      <w:r w:rsidRPr="0099317C">
        <w:rPr>
          <w:noProof/>
        </w:rPr>
        <w:t>Z oceny zgodności wynika jednak, że</w:t>
      </w:r>
      <w:r w:rsidR="0099317C" w:rsidRPr="0099317C">
        <w:rPr>
          <w:noProof/>
        </w:rPr>
        <w:t xml:space="preserve"> w kil</w:t>
      </w:r>
      <w:r w:rsidRPr="0099317C">
        <w:rPr>
          <w:noProof/>
        </w:rPr>
        <w:t>ku państwach członkowskich krajowy organ ochrony konkurencji jest zobowiązany wykazać „uzasadniony interes”</w:t>
      </w:r>
      <w:r w:rsidR="0099317C" w:rsidRPr="0099317C">
        <w:rPr>
          <w:noProof/>
        </w:rPr>
        <w:t xml:space="preserve"> w stw</w:t>
      </w:r>
      <w:r w:rsidRPr="0099317C">
        <w:rPr>
          <w:noProof/>
        </w:rPr>
        <w:t>ierdzeniu naruszenia popełnionego</w:t>
      </w:r>
      <w:r w:rsidR="0099317C" w:rsidRPr="0099317C">
        <w:rPr>
          <w:noProof/>
        </w:rPr>
        <w:t xml:space="preserve"> w prz</w:t>
      </w:r>
      <w:r w:rsidRPr="0099317C">
        <w:rPr>
          <w:noProof/>
        </w:rPr>
        <w:t>eszłości, co jest wymogiem nieprzewidzianym</w:t>
      </w:r>
      <w:r w:rsidR="0099317C" w:rsidRPr="0099317C">
        <w:rPr>
          <w:noProof/>
        </w:rPr>
        <w:t xml:space="preserve"> w dyr</w:t>
      </w:r>
      <w:r w:rsidRPr="0099317C">
        <w:rPr>
          <w:noProof/>
        </w:rPr>
        <w:t>ektywie ECN+.</w:t>
      </w:r>
    </w:p>
    <w:p w14:paraId="7BF08AEA" w14:textId="2CD59B28" w:rsidR="001C1D40" w:rsidRPr="0099317C" w:rsidRDefault="007B5489" w:rsidP="001C1D40">
      <w:pPr>
        <w:pStyle w:val="Heading2"/>
        <w:rPr>
          <w:noProof/>
        </w:rPr>
      </w:pPr>
      <w:r w:rsidRPr="0099317C">
        <w:rPr>
          <w:noProof/>
        </w:rPr>
        <w:t>Kary</w:t>
      </w:r>
      <w:r w:rsidR="0099317C" w:rsidRPr="0099317C">
        <w:rPr>
          <w:noProof/>
        </w:rPr>
        <w:t xml:space="preserve"> i okr</w:t>
      </w:r>
      <w:r w:rsidRPr="0099317C">
        <w:rPr>
          <w:noProof/>
        </w:rPr>
        <w:t xml:space="preserve">esowe kary pieniężne </w:t>
      </w:r>
    </w:p>
    <w:p w14:paraId="7C563A8E" w14:textId="59B9C68D" w:rsidR="005D2AE6" w:rsidRPr="0099317C" w:rsidRDefault="00D94551" w:rsidP="009E696A">
      <w:pPr>
        <w:pStyle w:val="Text2"/>
        <w:ind w:left="0"/>
        <w:rPr>
          <w:noProof/>
        </w:rPr>
      </w:pPr>
      <w:r w:rsidRPr="0099317C">
        <w:rPr>
          <w:noProof/>
        </w:rPr>
        <w:t>Zgodnie</w:t>
      </w:r>
      <w:r w:rsidR="0099317C" w:rsidRPr="0099317C">
        <w:rPr>
          <w:noProof/>
        </w:rPr>
        <w:t xml:space="preserve"> z roz</w:t>
      </w:r>
      <w:r w:rsidRPr="0099317C">
        <w:rPr>
          <w:noProof/>
        </w:rPr>
        <w:t xml:space="preserve">działem V dyrektywy ECN+ krajowe organy ochrony konkurencji mogą nakładać na przedsiębiorstwa odstraszające kary. </w:t>
      </w:r>
    </w:p>
    <w:p w14:paraId="1C71E357" w14:textId="01774E9A" w:rsidR="005D2AE6" w:rsidRPr="0099317C" w:rsidRDefault="00A96449" w:rsidP="009E696A">
      <w:pPr>
        <w:pStyle w:val="Text2"/>
        <w:ind w:left="0"/>
        <w:rPr>
          <w:noProof/>
        </w:rPr>
      </w:pPr>
      <w:r w:rsidRPr="0099317C">
        <w:rPr>
          <w:noProof/>
        </w:rPr>
        <w:t>W art.</w:t>
      </w:r>
      <w:r w:rsidR="0099317C" w:rsidRPr="0099317C">
        <w:rPr>
          <w:noProof/>
        </w:rPr>
        <w:t> </w:t>
      </w:r>
      <w:r w:rsidRPr="0099317C">
        <w:rPr>
          <w:noProof/>
        </w:rPr>
        <w:t>13 przewidziano, że</w:t>
      </w:r>
      <w:r w:rsidR="0099317C" w:rsidRPr="0099317C">
        <w:rPr>
          <w:noProof/>
        </w:rPr>
        <w:t xml:space="preserve"> w prz</w:t>
      </w:r>
      <w:r w:rsidRPr="0099317C">
        <w:rPr>
          <w:noProof/>
        </w:rPr>
        <w:t>ypadku naruszenia przez przedsiębiorstwa unijnych przepisów antymonopolowych krajowe organy ochrony konkurencji mogą nakładać kary</w:t>
      </w:r>
      <w:r w:rsidR="0099317C" w:rsidRPr="0099317C">
        <w:rPr>
          <w:noProof/>
        </w:rPr>
        <w:t xml:space="preserve"> w pro</w:t>
      </w:r>
      <w:r w:rsidRPr="0099317C">
        <w:rPr>
          <w:noProof/>
        </w:rPr>
        <w:t>wadzonym przez siebie postępowaniu administracyjnym lub wystąpić</w:t>
      </w:r>
      <w:r w:rsidR="0099317C" w:rsidRPr="0099317C">
        <w:rPr>
          <w:noProof/>
        </w:rPr>
        <w:t xml:space="preserve"> o nał</w:t>
      </w:r>
      <w:r w:rsidRPr="0099317C">
        <w:rPr>
          <w:noProof/>
        </w:rPr>
        <w:t>ożenie kar</w:t>
      </w:r>
      <w:r w:rsidR="0099317C" w:rsidRPr="0099317C">
        <w:rPr>
          <w:noProof/>
        </w:rPr>
        <w:t xml:space="preserve"> w pos</w:t>
      </w:r>
      <w:r w:rsidRPr="0099317C">
        <w:rPr>
          <w:noProof/>
        </w:rPr>
        <w:t>tępowaniu sądowym innym niż karne</w:t>
      </w:r>
      <w:r w:rsidR="0099317C" w:rsidRPr="0099317C">
        <w:rPr>
          <w:noProof/>
        </w:rPr>
        <w:t>. W art</w:t>
      </w:r>
      <w:r w:rsidRPr="0099317C">
        <w:rPr>
          <w:noProof/>
        </w:rPr>
        <w:t xml:space="preserve">ykule tym zapewniono również możliwość nakładania kar za nierespektowanie działań dochodzeniowych lub decyzji. </w:t>
      </w:r>
    </w:p>
    <w:p w14:paraId="55730A05" w14:textId="580D47D5" w:rsidR="005D2AE6" w:rsidRPr="0099317C" w:rsidRDefault="006D43C7" w:rsidP="009E696A">
      <w:pPr>
        <w:pStyle w:val="Text2"/>
        <w:ind w:left="0"/>
        <w:rPr>
          <w:noProof/>
        </w:rPr>
      </w:pPr>
      <w:r w:rsidRPr="0099317C">
        <w:rPr>
          <w:noProof/>
        </w:rPr>
        <w:t>W art.</w:t>
      </w:r>
      <w:r w:rsidR="0099317C" w:rsidRPr="0099317C">
        <w:rPr>
          <w:noProof/>
        </w:rPr>
        <w:t> </w:t>
      </w:r>
      <w:r w:rsidRPr="0099317C">
        <w:rPr>
          <w:noProof/>
        </w:rPr>
        <w:t>14 wprowadzono podstawowe parametry, które krajowe organy ochrony konkurencji powinny uwzględniać przy obliczaniu wysokości kary</w:t>
      </w:r>
      <w:r w:rsidR="0099317C" w:rsidRPr="0099317C">
        <w:rPr>
          <w:noProof/>
        </w:rPr>
        <w:t>. W art</w:t>
      </w:r>
      <w:r w:rsidRPr="0099317C">
        <w:rPr>
          <w:noProof/>
        </w:rPr>
        <w:t>ykule tym przewidziano również możliwość nakładania kar na związki przedsiębiorstw</w:t>
      </w:r>
      <w:r w:rsidR="0099317C" w:rsidRPr="0099317C">
        <w:rPr>
          <w:noProof/>
        </w:rPr>
        <w:t xml:space="preserve"> z uwz</w:t>
      </w:r>
      <w:r w:rsidRPr="0099317C">
        <w:rPr>
          <w:noProof/>
        </w:rPr>
        <w:t>ględnieniem obrotów ich członków</w:t>
      </w:r>
      <w:r w:rsidR="0099317C" w:rsidRPr="0099317C">
        <w:rPr>
          <w:noProof/>
        </w:rPr>
        <w:t>. W art</w:t>
      </w:r>
      <w:r w:rsidRPr="0099317C">
        <w:rPr>
          <w:noProof/>
        </w:rPr>
        <w:t>.</w:t>
      </w:r>
      <w:r w:rsidR="0099317C" w:rsidRPr="0099317C">
        <w:rPr>
          <w:noProof/>
        </w:rPr>
        <w:t> </w:t>
      </w:r>
      <w:r w:rsidRPr="0099317C">
        <w:rPr>
          <w:noProof/>
        </w:rPr>
        <w:t>15 określono wspólną minimalną podstawę maksymalnej dopuszczalnej prawnie kary, która może zostać nałożona za naruszenie unijnych przepisów antymonopolowych. Państwa członkowskie mogą wprowadzić wyższe maksymalne kary.</w:t>
      </w:r>
    </w:p>
    <w:p w14:paraId="1C60B42B" w14:textId="14188723" w:rsidR="009E696A" w:rsidRPr="0099317C" w:rsidRDefault="00A3646F" w:rsidP="009E696A">
      <w:pPr>
        <w:pStyle w:val="Text2"/>
        <w:ind w:left="0"/>
        <w:rPr>
          <w:noProof/>
        </w:rPr>
      </w:pPr>
      <w:r w:rsidRPr="0099317C">
        <w:rPr>
          <w:noProof/>
        </w:rPr>
        <w:t>W art.</w:t>
      </w:r>
      <w:r w:rsidR="0099317C" w:rsidRPr="0099317C">
        <w:rPr>
          <w:noProof/>
        </w:rPr>
        <w:t> </w:t>
      </w:r>
      <w:r w:rsidRPr="0099317C">
        <w:rPr>
          <w:noProof/>
        </w:rPr>
        <w:t>16 przewidziano uprawnienie do nakładania okresowych kar pieniężnych mających na celu zapewnienie respektowania działań dochodzeniowych</w:t>
      </w:r>
      <w:r w:rsidR="0099317C" w:rsidRPr="0099317C">
        <w:rPr>
          <w:noProof/>
        </w:rPr>
        <w:t xml:space="preserve"> i dec</w:t>
      </w:r>
      <w:r w:rsidRPr="0099317C">
        <w:rPr>
          <w:noProof/>
        </w:rPr>
        <w:t xml:space="preserve">yzji. </w:t>
      </w:r>
    </w:p>
    <w:p w14:paraId="01FF1359" w14:textId="26D20F34" w:rsidR="002660C9" w:rsidRPr="0099317C" w:rsidRDefault="006907CB" w:rsidP="001E41AE">
      <w:pPr>
        <w:pStyle w:val="Text2"/>
        <w:ind w:left="0"/>
        <w:rPr>
          <w:noProof/>
        </w:rPr>
      </w:pPr>
      <w:r w:rsidRPr="0099317C">
        <w:rPr>
          <w:noProof/>
        </w:rPr>
        <w:t>Po transpozycji dyrektywy ECN+ krajowe organy ochrony konkurencji</w:t>
      </w:r>
      <w:r w:rsidR="0099317C" w:rsidRPr="0099317C">
        <w:rPr>
          <w:noProof/>
        </w:rPr>
        <w:t xml:space="preserve"> w pra</w:t>
      </w:r>
      <w:r w:rsidRPr="0099317C">
        <w:rPr>
          <w:noProof/>
        </w:rPr>
        <w:t>wie wszystkich państwach członkowskich są uprawnione do nakładania skutecznych, proporcjonalnych</w:t>
      </w:r>
      <w:r w:rsidR="0099317C" w:rsidRPr="0099317C">
        <w:rPr>
          <w:noProof/>
        </w:rPr>
        <w:t xml:space="preserve"> i ods</w:t>
      </w:r>
      <w:r w:rsidRPr="0099317C">
        <w:rPr>
          <w:noProof/>
        </w:rPr>
        <w:t>traszających kar,</w:t>
      </w:r>
      <w:r w:rsidR="0099317C" w:rsidRPr="0099317C">
        <w:rPr>
          <w:noProof/>
        </w:rPr>
        <w:t xml:space="preserve"> a tak</w:t>
      </w:r>
      <w:r w:rsidRPr="0099317C">
        <w:rPr>
          <w:noProof/>
        </w:rPr>
        <w:t>że okresowych kar pieniężnych na przedsiębiorstwa</w:t>
      </w:r>
      <w:r w:rsidR="0099317C" w:rsidRPr="0099317C">
        <w:rPr>
          <w:noProof/>
        </w:rPr>
        <w:t xml:space="preserve"> i zwi</w:t>
      </w:r>
      <w:r w:rsidRPr="0099317C">
        <w:rPr>
          <w:noProof/>
        </w:rPr>
        <w:t xml:space="preserve">ązki przedsiębiorstw. </w:t>
      </w:r>
    </w:p>
    <w:p w14:paraId="0133A3DC" w14:textId="0601C7B5" w:rsidR="003338A7" w:rsidRPr="0099317C" w:rsidRDefault="00295BD4" w:rsidP="009B0721">
      <w:pPr>
        <w:pStyle w:val="Text2"/>
        <w:ind w:left="0"/>
        <w:rPr>
          <w:noProof/>
        </w:rPr>
      </w:pPr>
      <w:r w:rsidRPr="0099317C">
        <w:rPr>
          <w:noProof/>
        </w:rPr>
        <w:t>W kilku państwach członkowskich wdrożenie dyrektywy ECN+ doprowadziło do znacznych usprawnień, które przyczyniły się do istotnych zmian</w:t>
      </w:r>
      <w:r w:rsidR="0099317C" w:rsidRPr="0099317C">
        <w:rPr>
          <w:noProof/>
        </w:rPr>
        <w:t xml:space="preserve"> w sys</w:t>
      </w:r>
      <w:r w:rsidRPr="0099317C">
        <w:rPr>
          <w:noProof/>
        </w:rPr>
        <w:t>temach egzekwowania prawa tych państw. Dwa państwa członkowskie przeszły</w:t>
      </w:r>
      <w:r w:rsidR="0099317C" w:rsidRPr="0099317C">
        <w:rPr>
          <w:noProof/>
        </w:rPr>
        <w:t xml:space="preserve"> z czy</w:t>
      </w:r>
      <w:r w:rsidRPr="0099317C">
        <w:rPr>
          <w:noProof/>
        </w:rPr>
        <w:t>sto karnego systemu egzekwowania prawa do mieszanego systemu cywilno-karnego,</w:t>
      </w:r>
      <w:r w:rsidR="0099317C" w:rsidRPr="0099317C">
        <w:rPr>
          <w:noProof/>
        </w:rPr>
        <w:t xml:space="preserve"> w któ</w:t>
      </w:r>
      <w:r w:rsidRPr="0099317C">
        <w:rPr>
          <w:noProof/>
        </w:rPr>
        <w:t>rym kary mogą być obecnie nakładane lub zatwierdzane również przez sąd cywilny. Dwa inne państwa członkowskie, które posiadały już system egzekwowania prawa zgodny</w:t>
      </w:r>
      <w:r w:rsidR="0099317C" w:rsidRPr="0099317C">
        <w:rPr>
          <w:noProof/>
        </w:rPr>
        <w:t xml:space="preserve"> z prz</w:t>
      </w:r>
      <w:r w:rsidRPr="0099317C">
        <w:rPr>
          <w:noProof/>
        </w:rPr>
        <w:t>edmiotową dyrektywą, skorzystały ze sposobności, aby zwiększyć skuteczność swoich systemów:</w:t>
      </w:r>
      <w:r w:rsidR="0099317C" w:rsidRPr="0099317C">
        <w:rPr>
          <w:noProof/>
        </w:rPr>
        <w:t xml:space="preserve"> w jed</w:t>
      </w:r>
      <w:r w:rsidRPr="0099317C">
        <w:rPr>
          <w:noProof/>
        </w:rPr>
        <w:t>nym</w:t>
      </w:r>
      <w:r w:rsidR="0099317C" w:rsidRPr="0099317C">
        <w:rPr>
          <w:noProof/>
        </w:rPr>
        <w:t xml:space="preserve"> z tyc</w:t>
      </w:r>
      <w:r w:rsidRPr="0099317C">
        <w:rPr>
          <w:noProof/>
        </w:rPr>
        <w:t>h państw członkowskich krajowy organ ochrony konkurencji nie jest już zobowiązany do występowania do sądu, tylko może nakładać kary we własnym postępowaniu administracyjnym; zaś</w:t>
      </w:r>
      <w:r w:rsidR="0099317C" w:rsidRPr="0099317C">
        <w:rPr>
          <w:noProof/>
        </w:rPr>
        <w:t xml:space="preserve"> w dru</w:t>
      </w:r>
      <w:r w:rsidRPr="0099317C">
        <w:rPr>
          <w:noProof/>
        </w:rPr>
        <w:t>gim państwie członkowskim krajowy organ ochrony konkurencji nie musi już stosować procedury karnej</w:t>
      </w:r>
      <w:r w:rsidR="0099317C" w:rsidRPr="0099317C">
        <w:rPr>
          <w:noProof/>
        </w:rPr>
        <w:t xml:space="preserve"> w cel</w:t>
      </w:r>
      <w:r w:rsidRPr="0099317C">
        <w:rPr>
          <w:noProof/>
        </w:rPr>
        <w:t>u nakładania kar na przedsiębiorstwa.</w:t>
      </w:r>
    </w:p>
    <w:p w14:paraId="7A47F73E" w14:textId="41167034" w:rsidR="00A01EDE" w:rsidRPr="0099317C" w:rsidRDefault="001F37ED" w:rsidP="001E41AE">
      <w:pPr>
        <w:pStyle w:val="Text2"/>
        <w:ind w:left="0"/>
        <w:rPr>
          <w:noProof/>
        </w:rPr>
      </w:pPr>
      <w:r w:rsidRPr="0099317C">
        <w:rPr>
          <w:noProof/>
        </w:rPr>
        <w:t>Ponadto niektóre państwa członkowskie podniosły maksymalną wysokość kar,</w:t>
      </w:r>
      <w:r w:rsidR="0099317C" w:rsidRPr="0099317C">
        <w:rPr>
          <w:noProof/>
        </w:rPr>
        <w:t xml:space="preserve"> a inn</w:t>
      </w:r>
      <w:r w:rsidRPr="0099317C">
        <w:rPr>
          <w:noProof/>
        </w:rPr>
        <w:t>e umożliwiły nakładanie kar za naruszenia proceduralne</w:t>
      </w:r>
      <w:r w:rsidR="0099317C" w:rsidRPr="0099317C">
        <w:rPr>
          <w:noProof/>
        </w:rPr>
        <w:t>. W inn</w:t>
      </w:r>
      <w:r w:rsidRPr="0099317C">
        <w:rPr>
          <w:noProof/>
        </w:rPr>
        <w:t>ym państwie członkowskim,</w:t>
      </w:r>
      <w:r w:rsidR="0099317C" w:rsidRPr="0099317C">
        <w:rPr>
          <w:noProof/>
        </w:rPr>
        <w:t xml:space="preserve"> w któ</w:t>
      </w:r>
      <w:r w:rsidRPr="0099317C">
        <w:rPr>
          <w:noProof/>
        </w:rPr>
        <w:t>rym obecnie kary mogą być nakładane na spółki dominujące</w:t>
      </w:r>
      <w:r w:rsidR="0099317C" w:rsidRPr="0099317C">
        <w:rPr>
          <w:noProof/>
        </w:rPr>
        <w:t xml:space="preserve"> i nas</w:t>
      </w:r>
      <w:r w:rsidRPr="0099317C">
        <w:rPr>
          <w:noProof/>
        </w:rPr>
        <w:t>tępców prawnych, wprowadzono pojęcie „przedsiębiorstwa”</w:t>
      </w:r>
      <w:r w:rsidR="0099317C" w:rsidRPr="0099317C">
        <w:rPr>
          <w:noProof/>
        </w:rPr>
        <w:t>. W inn</w:t>
      </w:r>
      <w:r w:rsidRPr="0099317C">
        <w:rPr>
          <w:noProof/>
        </w:rPr>
        <w:t>ych państwach członkowskich krajowe organy ochrony konkurencji są obecnie uprawnione do nakładania kar na związki przedsiębiorstw</w:t>
      </w:r>
      <w:r w:rsidR="0099317C" w:rsidRPr="0099317C">
        <w:rPr>
          <w:noProof/>
        </w:rPr>
        <w:t xml:space="preserve"> z uwz</w:t>
      </w:r>
      <w:r w:rsidRPr="0099317C">
        <w:rPr>
          <w:noProof/>
        </w:rPr>
        <w:t>ględnieniem obrotów ich członków oraz do zobowiązania związku do wezwania swoich członków do wniesienia wkładów</w:t>
      </w:r>
      <w:r w:rsidR="0099317C" w:rsidRPr="0099317C">
        <w:rPr>
          <w:noProof/>
        </w:rPr>
        <w:t xml:space="preserve"> w cel</w:t>
      </w:r>
      <w:r w:rsidRPr="0099317C">
        <w:rPr>
          <w:noProof/>
        </w:rPr>
        <w:t>u pokrycia kwoty kary.</w:t>
      </w:r>
    </w:p>
    <w:p w14:paraId="7752ED52" w14:textId="44E25D63" w:rsidR="009E696A" w:rsidRPr="0099317C" w:rsidRDefault="00463772" w:rsidP="009E696A">
      <w:pPr>
        <w:pStyle w:val="Text2"/>
        <w:ind w:left="0"/>
        <w:rPr>
          <w:noProof/>
        </w:rPr>
      </w:pPr>
      <w:r w:rsidRPr="0099317C">
        <w:rPr>
          <w:noProof/>
        </w:rPr>
        <w:t>Z ocen zgodności wynika jednak, że</w:t>
      </w:r>
      <w:r w:rsidR="0099317C" w:rsidRPr="0099317C">
        <w:rPr>
          <w:noProof/>
        </w:rPr>
        <w:t xml:space="preserve"> w kil</w:t>
      </w:r>
      <w:r w:rsidRPr="0099317C">
        <w:rPr>
          <w:noProof/>
        </w:rPr>
        <w:t>ku państwach członkowskich,</w:t>
      </w:r>
      <w:r w:rsidR="0099317C" w:rsidRPr="0099317C">
        <w:rPr>
          <w:noProof/>
        </w:rPr>
        <w:t xml:space="preserve"> w któ</w:t>
      </w:r>
      <w:r w:rsidRPr="0099317C">
        <w:rPr>
          <w:noProof/>
        </w:rPr>
        <w:t>rych krajowe organy ochrony konkurencji nie mogą nakładać kar proceduralnych za nierespektowanie działań dochodzeniowych lub decyzji lub mogą nakładać takie kary wyłącznie</w:t>
      </w:r>
      <w:r w:rsidR="0099317C" w:rsidRPr="0099317C">
        <w:rPr>
          <w:noProof/>
        </w:rPr>
        <w:t xml:space="preserve"> w odn</w:t>
      </w:r>
      <w:r w:rsidRPr="0099317C">
        <w:rPr>
          <w:noProof/>
        </w:rPr>
        <w:t>iesieniu do niektórych rodzajów niezgodności, utrzymują się pewne ograniczenia Ponadto</w:t>
      </w:r>
      <w:r w:rsidR="0099317C" w:rsidRPr="0099317C">
        <w:rPr>
          <w:noProof/>
        </w:rPr>
        <w:t xml:space="preserve"> w jed</w:t>
      </w:r>
      <w:r w:rsidRPr="0099317C">
        <w:rPr>
          <w:noProof/>
        </w:rPr>
        <w:t>nym państwie członkowskim krajowy organ ochrony konkurencji powinien najpierw pociągnąć osobę fizyczną pełniącą funkcję kierowniczą do odpowiedzialności za dane naruszenie, zanim nałoży karę za naruszenie na przedsiębiorstwo</w:t>
      </w:r>
      <w:r w:rsidR="0099317C" w:rsidRPr="0099317C">
        <w:rPr>
          <w:noProof/>
        </w:rPr>
        <w:t>. Z kol</w:t>
      </w:r>
      <w:r w:rsidRPr="0099317C">
        <w:rPr>
          <w:noProof/>
        </w:rPr>
        <w:t>ei</w:t>
      </w:r>
      <w:r w:rsidR="0099317C" w:rsidRPr="0099317C">
        <w:rPr>
          <w:noProof/>
        </w:rPr>
        <w:t xml:space="preserve"> w inn</w:t>
      </w:r>
      <w:r w:rsidRPr="0099317C">
        <w:rPr>
          <w:noProof/>
        </w:rPr>
        <w:t>ym państwie członkowskim maksymalna wysokość kary, jaką krajowy organ ochrony konkurencji może nałożyć za naruszenia unijnych przepisów antymonopolowych, nie jest zgodna</w:t>
      </w:r>
      <w:r w:rsidR="0099317C" w:rsidRPr="0099317C">
        <w:rPr>
          <w:noProof/>
        </w:rPr>
        <w:t xml:space="preserve"> z wym</w:t>
      </w:r>
      <w:r w:rsidRPr="0099317C">
        <w:rPr>
          <w:noProof/>
        </w:rPr>
        <w:t>ogami dyrektywy ECN+.</w:t>
      </w:r>
      <w:r w:rsidRPr="0099317C">
        <w:rPr>
          <w:noProof/>
        </w:rPr>
        <w:tab/>
      </w:r>
    </w:p>
    <w:p w14:paraId="30E75BC7" w14:textId="160F5434" w:rsidR="007B5489" w:rsidRPr="0099317C" w:rsidRDefault="007B5489" w:rsidP="007B5489">
      <w:pPr>
        <w:pStyle w:val="Heading2"/>
        <w:rPr>
          <w:noProof/>
        </w:rPr>
      </w:pPr>
      <w:r w:rsidRPr="0099317C">
        <w:rPr>
          <w:noProof/>
        </w:rPr>
        <w:t xml:space="preserve">Łagodzenie kar </w:t>
      </w:r>
    </w:p>
    <w:p w14:paraId="0DB17D7C" w14:textId="39820187" w:rsidR="00D4603C" w:rsidRPr="0099317C" w:rsidRDefault="00307FEB" w:rsidP="00BA5B87">
      <w:pPr>
        <w:rPr>
          <w:noProof/>
        </w:rPr>
      </w:pPr>
      <w:r w:rsidRPr="0099317C">
        <w:rPr>
          <w:noProof/>
        </w:rPr>
        <w:t>W rozdziale VI dyrektywy ECN+ ustanowiono zharmonizowane zasady dotyczące krajowych programów łagodzenia kar. Dla wykrywania karteli kluczowe znaczenie mają programy łagodzenia kar. Celem jest zwiększenie pewności prawa dla przedsiębiorstw, które chcą ubiegać się</w:t>
      </w:r>
      <w:r w:rsidR="0099317C" w:rsidRPr="0099317C">
        <w:rPr>
          <w:noProof/>
        </w:rPr>
        <w:t xml:space="preserve"> o zła</w:t>
      </w:r>
      <w:r w:rsidRPr="0099317C">
        <w:rPr>
          <w:noProof/>
        </w:rPr>
        <w:t>godzenie kary,</w:t>
      </w:r>
      <w:r w:rsidR="0099317C" w:rsidRPr="0099317C">
        <w:rPr>
          <w:noProof/>
        </w:rPr>
        <w:t xml:space="preserve"> a tym</w:t>
      </w:r>
      <w:r w:rsidRPr="0099317C">
        <w:rPr>
          <w:noProof/>
        </w:rPr>
        <w:t xml:space="preserve"> samym utrzymanie ich motywacji do współpracy</w:t>
      </w:r>
      <w:r w:rsidR="0099317C" w:rsidRPr="0099317C">
        <w:rPr>
          <w:noProof/>
        </w:rPr>
        <w:t xml:space="preserve"> z Kom</w:t>
      </w:r>
      <w:r w:rsidRPr="0099317C">
        <w:rPr>
          <w:noProof/>
        </w:rPr>
        <w:t>isją oraz krajowymi organami ochrony konkurencji przez ograniczenie różnic między programami łagodzenia kar obowiązującymi</w:t>
      </w:r>
      <w:r w:rsidR="0099317C" w:rsidRPr="0099317C">
        <w:rPr>
          <w:noProof/>
        </w:rPr>
        <w:t xml:space="preserve"> w pos</w:t>
      </w:r>
      <w:r w:rsidRPr="0099317C">
        <w:rPr>
          <w:noProof/>
        </w:rPr>
        <w:t>zczególnych państwach członkowskich.</w:t>
      </w:r>
    </w:p>
    <w:p w14:paraId="02A17756" w14:textId="4DE02AD5" w:rsidR="00E047DF" w:rsidRPr="0099317C" w:rsidRDefault="0063750D" w:rsidP="00673594">
      <w:pPr>
        <w:rPr>
          <w:noProof/>
        </w:rPr>
      </w:pPr>
      <w:r w:rsidRPr="0099317C">
        <w:rPr>
          <w:noProof/>
        </w:rPr>
        <w:t>W art.</w:t>
      </w:r>
      <w:r w:rsidR="0099317C" w:rsidRPr="0099317C">
        <w:rPr>
          <w:noProof/>
        </w:rPr>
        <w:t> </w:t>
      </w:r>
      <w:r w:rsidRPr="0099317C">
        <w:rPr>
          <w:noProof/>
        </w:rPr>
        <w:t>17 określono jednolite warunki przyznawania zwolnienia</w:t>
      </w:r>
      <w:r w:rsidR="0099317C" w:rsidRPr="0099317C">
        <w:rPr>
          <w:noProof/>
        </w:rPr>
        <w:t xml:space="preserve"> z kar</w:t>
      </w:r>
      <w:r w:rsidRPr="0099317C">
        <w:rPr>
          <w:noProof/>
        </w:rPr>
        <w:t xml:space="preserve"> przedsiębiorstwom, które ujawnią swoje uczestnictwo</w:t>
      </w:r>
      <w:r w:rsidR="0099317C" w:rsidRPr="0099317C">
        <w:rPr>
          <w:noProof/>
        </w:rPr>
        <w:t xml:space="preserve"> w taj</w:t>
      </w:r>
      <w:r w:rsidRPr="0099317C">
        <w:rPr>
          <w:noProof/>
        </w:rPr>
        <w:t>nych kartelach</w:t>
      </w:r>
      <w:r w:rsidR="0099317C" w:rsidRPr="0099317C">
        <w:rPr>
          <w:noProof/>
        </w:rPr>
        <w:t>. W art</w:t>
      </w:r>
      <w:r w:rsidRPr="0099317C">
        <w:rPr>
          <w:noProof/>
        </w:rPr>
        <w:t>.</w:t>
      </w:r>
      <w:r w:rsidR="0099317C" w:rsidRPr="0099317C">
        <w:rPr>
          <w:noProof/>
        </w:rPr>
        <w:t> </w:t>
      </w:r>
      <w:r w:rsidRPr="0099317C">
        <w:rPr>
          <w:noProof/>
        </w:rPr>
        <w:t>18 określono warunki przyznawania obniżenia kar przedsiębiorstwom, które nie kwalifikują się do całkowitego zwolnienia</w:t>
      </w:r>
      <w:r w:rsidR="0099317C" w:rsidRPr="0099317C">
        <w:rPr>
          <w:noProof/>
        </w:rPr>
        <w:t xml:space="preserve"> z kar</w:t>
      </w:r>
      <w:r w:rsidRPr="0099317C">
        <w:rPr>
          <w:noProof/>
        </w:rPr>
        <w:t>y, ale które przedstawią dowody</w:t>
      </w:r>
      <w:r w:rsidR="0099317C" w:rsidRPr="0099317C">
        <w:rPr>
          <w:noProof/>
        </w:rPr>
        <w:t xml:space="preserve"> o zna</w:t>
      </w:r>
      <w:r w:rsidRPr="0099317C">
        <w:rPr>
          <w:noProof/>
        </w:rPr>
        <w:t>cznej wartości dodanej, jeżeli chodzi</w:t>
      </w:r>
      <w:r w:rsidR="0099317C" w:rsidRPr="0099317C">
        <w:rPr>
          <w:noProof/>
        </w:rPr>
        <w:t xml:space="preserve"> o udo</w:t>
      </w:r>
      <w:r w:rsidRPr="0099317C">
        <w:rPr>
          <w:noProof/>
        </w:rPr>
        <w:t>wodnienie istnienia tajnego kartelu</w:t>
      </w:r>
      <w:r w:rsidR="0099317C" w:rsidRPr="0099317C">
        <w:rPr>
          <w:noProof/>
        </w:rPr>
        <w:t>. W art</w:t>
      </w:r>
      <w:r w:rsidRPr="0099317C">
        <w:rPr>
          <w:noProof/>
        </w:rPr>
        <w:t>.</w:t>
      </w:r>
      <w:r w:rsidR="0099317C" w:rsidRPr="0099317C">
        <w:rPr>
          <w:noProof/>
        </w:rPr>
        <w:t> </w:t>
      </w:r>
      <w:r w:rsidRPr="0099317C">
        <w:rPr>
          <w:noProof/>
        </w:rPr>
        <w:t>19 wyszczególniono ogólne warunki, jakie musi spełnić każdy wnioskodawca ubiegający się</w:t>
      </w:r>
      <w:r w:rsidR="0099317C" w:rsidRPr="0099317C">
        <w:rPr>
          <w:noProof/>
        </w:rPr>
        <w:t xml:space="preserve"> o zła</w:t>
      </w:r>
      <w:r w:rsidRPr="0099317C">
        <w:rPr>
          <w:noProof/>
        </w:rPr>
        <w:t>godzenie kary, gwarantujący swoją pełną współpracę</w:t>
      </w:r>
      <w:r w:rsidR="0099317C" w:rsidRPr="0099317C">
        <w:rPr>
          <w:noProof/>
        </w:rPr>
        <w:t xml:space="preserve"> i zap</w:t>
      </w:r>
      <w:r w:rsidRPr="0099317C">
        <w:rPr>
          <w:noProof/>
        </w:rPr>
        <w:t>rzestanie udziału</w:t>
      </w:r>
      <w:r w:rsidR="0099317C" w:rsidRPr="0099317C">
        <w:rPr>
          <w:noProof/>
        </w:rPr>
        <w:t xml:space="preserve"> w kar</w:t>
      </w:r>
      <w:r w:rsidRPr="0099317C">
        <w:rPr>
          <w:noProof/>
        </w:rPr>
        <w:t>telu</w:t>
      </w:r>
      <w:r w:rsidR="0099317C" w:rsidRPr="0099317C">
        <w:rPr>
          <w:noProof/>
        </w:rPr>
        <w:t>. W art</w:t>
      </w:r>
      <w:r w:rsidRPr="0099317C">
        <w:rPr>
          <w:noProof/>
        </w:rPr>
        <w:t>.</w:t>
      </w:r>
      <w:r w:rsidR="0099317C" w:rsidRPr="0099317C">
        <w:rPr>
          <w:noProof/>
        </w:rPr>
        <w:t> </w:t>
      </w:r>
      <w:r w:rsidRPr="0099317C">
        <w:rPr>
          <w:noProof/>
        </w:rPr>
        <w:t>20 określono jednolite zasady dotyczące formy, składania</w:t>
      </w:r>
      <w:r w:rsidR="0099317C" w:rsidRPr="0099317C">
        <w:rPr>
          <w:noProof/>
        </w:rPr>
        <w:t xml:space="preserve"> i jęz</w:t>
      </w:r>
      <w:r w:rsidRPr="0099317C">
        <w:rPr>
          <w:noProof/>
        </w:rPr>
        <w:t>yka oświadczeń</w:t>
      </w:r>
      <w:r w:rsidR="0099317C" w:rsidRPr="0099317C">
        <w:rPr>
          <w:noProof/>
        </w:rPr>
        <w:t xml:space="preserve"> w ram</w:t>
      </w:r>
      <w:r w:rsidRPr="0099317C">
        <w:rPr>
          <w:noProof/>
        </w:rPr>
        <w:t xml:space="preserve">ach programu łagodzenia kar. </w:t>
      </w:r>
    </w:p>
    <w:p w14:paraId="7CD66A52" w14:textId="499C0923" w:rsidR="00804DD7" w:rsidRPr="0099317C" w:rsidRDefault="003F6668" w:rsidP="00673594">
      <w:pPr>
        <w:rPr>
          <w:noProof/>
        </w:rPr>
      </w:pPr>
      <w:r w:rsidRPr="0099317C">
        <w:rPr>
          <w:noProof/>
        </w:rPr>
        <w:t>W art.</w:t>
      </w:r>
      <w:r w:rsidR="0099317C" w:rsidRPr="0099317C">
        <w:rPr>
          <w:noProof/>
        </w:rPr>
        <w:t> </w:t>
      </w:r>
      <w:r w:rsidRPr="0099317C">
        <w:rPr>
          <w:noProof/>
        </w:rPr>
        <w:t>21 wprowadzono zharmonizowane zasady mające zastosowanie do „poświadczeń” dotyczących wniosków</w:t>
      </w:r>
      <w:r w:rsidR="0099317C" w:rsidRPr="0099317C">
        <w:rPr>
          <w:noProof/>
        </w:rPr>
        <w:t xml:space="preserve"> o zwo</w:t>
      </w:r>
      <w:r w:rsidRPr="0099317C">
        <w:rPr>
          <w:noProof/>
        </w:rPr>
        <w:t>lnienie</w:t>
      </w:r>
      <w:r w:rsidR="0099317C" w:rsidRPr="0099317C">
        <w:rPr>
          <w:noProof/>
        </w:rPr>
        <w:t xml:space="preserve"> z kar</w:t>
      </w:r>
      <w:r w:rsidRPr="0099317C">
        <w:rPr>
          <w:noProof/>
        </w:rPr>
        <w:t>. Te skrócone wnioski</w:t>
      </w:r>
      <w:r w:rsidR="0099317C" w:rsidRPr="0099317C">
        <w:rPr>
          <w:noProof/>
        </w:rPr>
        <w:t xml:space="preserve"> o zwo</w:t>
      </w:r>
      <w:r w:rsidRPr="0099317C">
        <w:rPr>
          <w:noProof/>
        </w:rPr>
        <w:t>lnienie</w:t>
      </w:r>
      <w:r w:rsidR="0099317C" w:rsidRPr="0099317C">
        <w:rPr>
          <w:noProof/>
        </w:rPr>
        <w:t xml:space="preserve"> z kar</w:t>
      </w:r>
      <w:r w:rsidRPr="0099317C">
        <w:rPr>
          <w:noProof/>
        </w:rPr>
        <w:t xml:space="preserve"> umożliwiają przedsiębiorstwom uzyskanie miejsca</w:t>
      </w:r>
      <w:r w:rsidR="0099317C" w:rsidRPr="0099317C">
        <w:rPr>
          <w:noProof/>
        </w:rPr>
        <w:t xml:space="preserve"> w kol</w:t>
      </w:r>
      <w:r w:rsidRPr="0099317C">
        <w:rPr>
          <w:noProof/>
        </w:rPr>
        <w:t>ejce do złagodzenia kary,</w:t>
      </w:r>
      <w:r w:rsidR="0099317C" w:rsidRPr="0099317C">
        <w:rPr>
          <w:noProof/>
        </w:rPr>
        <w:t xml:space="preserve"> a jed</w:t>
      </w:r>
      <w:r w:rsidRPr="0099317C">
        <w:rPr>
          <w:noProof/>
        </w:rPr>
        <w:t>nocześnie pozwalają zgromadzić wystarczające informacje</w:t>
      </w:r>
      <w:r w:rsidR="0099317C" w:rsidRPr="0099317C">
        <w:rPr>
          <w:noProof/>
        </w:rPr>
        <w:t xml:space="preserve"> i dow</w:t>
      </w:r>
      <w:r w:rsidRPr="0099317C">
        <w:rPr>
          <w:noProof/>
        </w:rPr>
        <w:t>ody, aby można było zakwalifikować przedsiębiorstwo do zwolnienia</w:t>
      </w:r>
      <w:r w:rsidR="0099317C" w:rsidRPr="0099317C">
        <w:rPr>
          <w:noProof/>
        </w:rPr>
        <w:t xml:space="preserve"> z kar</w:t>
      </w:r>
      <w:r w:rsidRPr="0099317C">
        <w:rPr>
          <w:noProof/>
        </w:rPr>
        <w:t>y</w:t>
      </w:r>
      <w:r w:rsidR="0099317C" w:rsidRPr="0099317C">
        <w:rPr>
          <w:noProof/>
        </w:rPr>
        <w:t>. W art</w:t>
      </w:r>
      <w:r w:rsidRPr="0099317C">
        <w:rPr>
          <w:noProof/>
        </w:rPr>
        <w:t>.</w:t>
      </w:r>
      <w:r w:rsidR="0099317C" w:rsidRPr="0099317C">
        <w:rPr>
          <w:noProof/>
        </w:rPr>
        <w:t> </w:t>
      </w:r>
      <w:r w:rsidRPr="0099317C">
        <w:rPr>
          <w:noProof/>
        </w:rPr>
        <w:t>22 wprowadzono usprawniony system wniosków</w:t>
      </w:r>
      <w:r w:rsidR="0099317C" w:rsidRPr="0099317C">
        <w:rPr>
          <w:noProof/>
        </w:rPr>
        <w:t xml:space="preserve"> w for</w:t>
      </w:r>
      <w:r w:rsidRPr="0099317C">
        <w:rPr>
          <w:noProof/>
        </w:rPr>
        <w:t>mie uproszczonej. System ten umożliwia wnioskodawcom, którzy wnieśli do Komisji</w:t>
      </w:r>
      <w:r w:rsidR="0099317C" w:rsidRPr="0099317C">
        <w:rPr>
          <w:noProof/>
        </w:rPr>
        <w:t xml:space="preserve"> o zła</w:t>
      </w:r>
      <w:r w:rsidRPr="0099317C">
        <w:rPr>
          <w:noProof/>
        </w:rPr>
        <w:t>godzenie kary, składanie wniosków</w:t>
      </w:r>
      <w:r w:rsidR="0099317C" w:rsidRPr="0099317C">
        <w:rPr>
          <w:noProof/>
        </w:rPr>
        <w:t xml:space="preserve"> w for</w:t>
      </w:r>
      <w:r w:rsidRPr="0099317C">
        <w:rPr>
          <w:noProof/>
        </w:rPr>
        <w:t>mie uproszczonej do krajowych organów ochrony konkurencji</w:t>
      </w:r>
      <w:r w:rsidR="0099317C" w:rsidRPr="0099317C">
        <w:rPr>
          <w:noProof/>
        </w:rPr>
        <w:t xml:space="preserve"> w odn</w:t>
      </w:r>
      <w:r w:rsidRPr="0099317C">
        <w:rPr>
          <w:noProof/>
        </w:rPr>
        <w:t>iesieniu do tego samego tajnego kartelu.</w:t>
      </w:r>
    </w:p>
    <w:p w14:paraId="047FD89E" w14:textId="5E05A2C7" w:rsidR="00182ECA" w:rsidRPr="0099317C" w:rsidRDefault="00182ECA" w:rsidP="00673594">
      <w:pPr>
        <w:rPr>
          <w:noProof/>
        </w:rPr>
      </w:pPr>
      <w:r w:rsidRPr="0099317C">
        <w:rPr>
          <w:noProof/>
        </w:rPr>
        <w:t>Ponadto</w:t>
      </w:r>
      <w:r w:rsidR="0099317C" w:rsidRPr="0099317C">
        <w:rPr>
          <w:noProof/>
        </w:rPr>
        <w:t xml:space="preserve"> w art</w:t>
      </w:r>
      <w:r w:rsidRPr="0099317C">
        <w:rPr>
          <w:noProof/>
        </w:rPr>
        <w:t>.</w:t>
      </w:r>
      <w:r w:rsidR="0099317C" w:rsidRPr="0099317C">
        <w:rPr>
          <w:noProof/>
        </w:rPr>
        <w:t> </w:t>
      </w:r>
      <w:r w:rsidRPr="0099317C">
        <w:rPr>
          <w:noProof/>
        </w:rPr>
        <w:t>23 wprowadzono ochronę przed sankcjami administracyjnymi</w:t>
      </w:r>
      <w:r w:rsidR="0099317C" w:rsidRPr="0099317C">
        <w:rPr>
          <w:noProof/>
        </w:rPr>
        <w:t xml:space="preserve"> i kar</w:t>
      </w:r>
      <w:r w:rsidRPr="0099317C">
        <w:rPr>
          <w:noProof/>
        </w:rPr>
        <w:t>nymi dla obecnych</w:t>
      </w:r>
      <w:r w:rsidR="0099317C" w:rsidRPr="0099317C">
        <w:rPr>
          <w:noProof/>
        </w:rPr>
        <w:t xml:space="preserve"> i był</w:t>
      </w:r>
      <w:r w:rsidRPr="0099317C">
        <w:rPr>
          <w:noProof/>
        </w:rPr>
        <w:t>ych pracowników wnioskodawców ubiegających się</w:t>
      </w:r>
      <w:r w:rsidR="0099317C" w:rsidRPr="0099317C">
        <w:rPr>
          <w:noProof/>
        </w:rPr>
        <w:t xml:space="preserve"> o zwo</w:t>
      </w:r>
      <w:r w:rsidRPr="0099317C">
        <w:rPr>
          <w:noProof/>
        </w:rPr>
        <w:t>lnienie</w:t>
      </w:r>
      <w:r w:rsidR="0099317C" w:rsidRPr="0099317C">
        <w:rPr>
          <w:noProof/>
        </w:rPr>
        <w:t xml:space="preserve"> z kar</w:t>
      </w:r>
      <w:r w:rsidRPr="0099317C">
        <w:rPr>
          <w:noProof/>
        </w:rPr>
        <w:t>,</w:t>
      </w:r>
      <w:r w:rsidR="0099317C" w:rsidRPr="0099317C">
        <w:rPr>
          <w:noProof/>
        </w:rPr>
        <w:t xml:space="preserve"> o ile</w:t>
      </w:r>
      <w:r w:rsidRPr="0099317C">
        <w:rPr>
          <w:noProof/>
        </w:rPr>
        <w:t xml:space="preserve"> spełnione są określone warunki.</w:t>
      </w:r>
    </w:p>
    <w:p w14:paraId="2DFF516D" w14:textId="09D8834D" w:rsidR="00B33EA8" w:rsidRPr="0099317C" w:rsidRDefault="00AE0CC1" w:rsidP="00893B69">
      <w:pPr>
        <w:rPr>
          <w:noProof/>
        </w:rPr>
      </w:pPr>
      <w:r w:rsidRPr="0099317C">
        <w:rPr>
          <w:noProof/>
        </w:rPr>
        <w:t>Wszystkie państwa członkowskie dysponują obecnie programami łagodzenia kar, które są zgodne</w:t>
      </w:r>
      <w:r w:rsidR="0099317C" w:rsidRPr="0099317C">
        <w:rPr>
          <w:noProof/>
        </w:rPr>
        <w:t xml:space="preserve"> z jed</w:t>
      </w:r>
      <w:r w:rsidRPr="0099317C">
        <w:rPr>
          <w:noProof/>
        </w:rPr>
        <w:t>nolitymi zasadami</w:t>
      </w:r>
      <w:r w:rsidR="0099317C" w:rsidRPr="0099317C">
        <w:rPr>
          <w:noProof/>
        </w:rPr>
        <w:t xml:space="preserve"> i pro</w:t>
      </w:r>
      <w:r w:rsidRPr="0099317C">
        <w:rPr>
          <w:noProof/>
        </w:rPr>
        <w:t>cedurami. Transpozycja dyrektywy ECN+ doprowadziła do wprowadzenia programów łagodzenia kar administracyjnych</w:t>
      </w:r>
      <w:r w:rsidR="0099317C" w:rsidRPr="0099317C">
        <w:rPr>
          <w:noProof/>
        </w:rPr>
        <w:t xml:space="preserve"> w dwó</w:t>
      </w:r>
      <w:r w:rsidRPr="0099317C">
        <w:rPr>
          <w:noProof/>
        </w:rPr>
        <w:t>ch państwach członkowskich</w:t>
      </w:r>
      <w:r w:rsidR="0099317C" w:rsidRPr="0099317C">
        <w:rPr>
          <w:noProof/>
        </w:rPr>
        <w:t>. W inn</w:t>
      </w:r>
      <w:r w:rsidRPr="0099317C">
        <w:rPr>
          <w:noProof/>
        </w:rPr>
        <w:t>ych państwach członkowskich programy łagodzenia kar zostały skodyfikowane</w:t>
      </w:r>
      <w:r w:rsidR="0099317C" w:rsidRPr="0099317C">
        <w:rPr>
          <w:noProof/>
        </w:rPr>
        <w:t xml:space="preserve"> w pra</w:t>
      </w:r>
      <w:r w:rsidRPr="0099317C">
        <w:rPr>
          <w:noProof/>
        </w:rPr>
        <w:t>wie pierwotnym lub wtórnym. Ogólnie rzecz biorąc, transpozycja doprowadziła do większej harmonizacji programów łagodzenia kar</w:t>
      </w:r>
      <w:r w:rsidR="0099317C" w:rsidRPr="0099317C">
        <w:rPr>
          <w:noProof/>
        </w:rPr>
        <w:t xml:space="preserve"> w cał</w:t>
      </w:r>
      <w:r w:rsidRPr="0099317C">
        <w:rPr>
          <w:noProof/>
        </w:rPr>
        <w:t>ej UE</w:t>
      </w:r>
      <w:r w:rsidR="0099317C" w:rsidRPr="0099317C">
        <w:rPr>
          <w:noProof/>
        </w:rPr>
        <w:t>. W nie</w:t>
      </w:r>
      <w:r w:rsidRPr="0099317C">
        <w:rPr>
          <w:noProof/>
        </w:rPr>
        <w:t>których państwach członkowskich transpozycja doprowadziła również do wprowadzenia poświadczeń</w:t>
      </w:r>
      <w:r w:rsidR="0099317C" w:rsidRPr="0099317C">
        <w:rPr>
          <w:noProof/>
        </w:rPr>
        <w:t xml:space="preserve"> i wni</w:t>
      </w:r>
      <w:r w:rsidRPr="0099317C">
        <w:rPr>
          <w:noProof/>
        </w:rPr>
        <w:t>osków</w:t>
      </w:r>
      <w:r w:rsidR="0099317C" w:rsidRPr="0099317C">
        <w:rPr>
          <w:noProof/>
        </w:rPr>
        <w:t xml:space="preserve"> w for</w:t>
      </w:r>
      <w:r w:rsidRPr="0099317C">
        <w:rPr>
          <w:noProof/>
        </w:rPr>
        <w:t>mie uproszczonej. Inne państwa członkowskie wprowadziły ochronę przed sankcjami karnymi dla pracowników wnioskodawców ubiegających się</w:t>
      </w:r>
      <w:r w:rsidR="0099317C" w:rsidRPr="0099317C">
        <w:rPr>
          <w:noProof/>
        </w:rPr>
        <w:t xml:space="preserve"> o zwo</w:t>
      </w:r>
      <w:r w:rsidRPr="0099317C">
        <w:rPr>
          <w:noProof/>
        </w:rPr>
        <w:t>lnienie</w:t>
      </w:r>
      <w:r w:rsidR="0099317C" w:rsidRPr="0099317C">
        <w:rPr>
          <w:noProof/>
        </w:rPr>
        <w:t xml:space="preserve"> z kar</w:t>
      </w:r>
      <w:r w:rsidRPr="0099317C">
        <w:rPr>
          <w:noProof/>
        </w:rPr>
        <w:t xml:space="preserve">. </w:t>
      </w:r>
    </w:p>
    <w:p w14:paraId="200791A4" w14:textId="6CB254AD" w:rsidR="008F6063" w:rsidRPr="0099317C" w:rsidRDefault="00FD0BC4" w:rsidP="00893B69">
      <w:pPr>
        <w:rPr>
          <w:noProof/>
        </w:rPr>
      </w:pPr>
      <w:r w:rsidRPr="0099317C">
        <w:rPr>
          <w:noProof/>
        </w:rPr>
        <w:t>Wszystkie państwa członkowskie wdrożyły podstawowe przepisy dyrektywy ECN+ dotyczące łagodzenia kar</w:t>
      </w:r>
      <w:r w:rsidR="0099317C" w:rsidRPr="0099317C">
        <w:rPr>
          <w:noProof/>
        </w:rPr>
        <w:t>. Z oce</w:t>
      </w:r>
      <w:r w:rsidRPr="0099317C">
        <w:rPr>
          <w:noProof/>
        </w:rPr>
        <w:t>n zgodności wynika jednak, że</w:t>
      </w:r>
      <w:r w:rsidR="0099317C" w:rsidRPr="0099317C">
        <w:rPr>
          <w:noProof/>
        </w:rPr>
        <w:t xml:space="preserve"> w kil</w:t>
      </w:r>
      <w:r w:rsidRPr="0099317C">
        <w:rPr>
          <w:noProof/>
        </w:rPr>
        <w:t>ku państwach członkowskich krajowe organy ochrony konkurencji nie są pozbawione możliwości żądania od przedsiębiorstw dodatkowych informacji po złożeniu przez nie wniosku</w:t>
      </w:r>
      <w:r w:rsidR="0099317C" w:rsidRPr="0099317C">
        <w:rPr>
          <w:noProof/>
        </w:rPr>
        <w:t xml:space="preserve"> w for</w:t>
      </w:r>
      <w:r w:rsidRPr="0099317C">
        <w:rPr>
          <w:noProof/>
        </w:rPr>
        <w:t>mie uproszczonej lub nie są zobowiązane do żądania pełnego wniosku jedynie</w:t>
      </w:r>
      <w:r w:rsidR="0099317C" w:rsidRPr="0099317C">
        <w:rPr>
          <w:noProof/>
        </w:rPr>
        <w:t xml:space="preserve"> w wyj</w:t>
      </w:r>
      <w:r w:rsidRPr="0099317C">
        <w:rPr>
          <w:noProof/>
        </w:rPr>
        <w:t>ątkowych okolicznościach, zanim Komisja podejmie decyzję</w:t>
      </w:r>
      <w:r w:rsidR="0099317C" w:rsidRPr="0099317C">
        <w:rPr>
          <w:noProof/>
        </w:rPr>
        <w:t xml:space="preserve"> w spr</w:t>
      </w:r>
      <w:r w:rsidRPr="0099317C">
        <w:rPr>
          <w:noProof/>
        </w:rPr>
        <w:t>awie dalszego rozpatrywania danej sprawy.</w:t>
      </w:r>
    </w:p>
    <w:p w14:paraId="6AFF5EA8" w14:textId="09BC297B" w:rsidR="00CC6156" w:rsidRPr="0099317C" w:rsidRDefault="00CC6156" w:rsidP="008F6063">
      <w:pPr>
        <w:rPr>
          <w:noProof/>
        </w:rPr>
      </w:pPr>
      <w:r w:rsidRPr="0099317C">
        <w:rPr>
          <w:noProof/>
        </w:rPr>
        <w:t>W kilku państwach członkowskich ochrona pracowników wnioskodawców ubiegających się</w:t>
      </w:r>
      <w:r w:rsidR="0099317C" w:rsidRPr="0099317C">
        <w:rPr>
          <w:noProof/>
        </w:rPr>
        <w:t xml:space="preserve"> o zwo</w:t>
      </w:r>
      <w:r w:rsidRPr="0099317C">
        <w:rPr>
          <w:noProof/>
        </w:rPr>
        <w:t>lnienie</w:t>
      </w:r>
      <w:r w:rsidR="0099317C" w:rsidRPr="0099317C">
        <w:rPr>
          <w:noProof/>
        </w:rPr>
        <w:t xml:space="preserve"> z kar</w:t>
      </w:r>
      <w:r w:rsidRPr="0099317C">
        <w:rPr>
          <w:noProof/>
        </w:rPr>
        <w:t xml:space="preserve"> przed sankcjami administracyjnymi lub karnymi nie jest przewidziana</w:t>
      </w:r>
      <w:r w:rsidR="0099317C" w:rsidRPr="0099317C">
        <w:rPr>
          <w:noProof/>
        </w:rPr>
        <w:t xml:space="preserve"> w pra</w:t>
      </w:r>
      <w:r w:rsidRPr="0099317C">
        <w:rPr>
          <w:noProof/>
        </w:rPr>
        <w:t>wie krajowym lub dodatkowo wymagałaby od pracownika złożenia indywidualnego wniosku</w:t>
      </w:r>
      <w:r w:rsidR="0099317C" w:rsidRPr="0099317C">
        <w:rPr>
          <w:noProof/>
        </w:rPr>
        <w:t xml:space="preserve"> o zwo</w:t>
      </w:r>
      <w:r w:rsidRPr="0099317C">
        <w:rPr>
          <w:noProof/>
        </w:rPr>
        <w:t>lnienie</w:t>
      </w:r>
      <w:r w:rsidR="0099317C" w:rsidRPr="0099317C">
        <w:rPr>
          <w:noProof/>
        </w:rPr>
        <w:t xml:space="preserve"> z kar</w:t>
      </w:r>
      <w:r w:rsidRPr="0099317C">
        <w:rPr>
          <w:noProof/>
        </w:rPr>
        <w:t>y</w:t>
      </w:r>
      <w:r w:rsidR="0099317C" w:rsidRPr="0099317C">
        <w:rPr>
          <w:noProof/>
        </w:rPr>
        <w:t>. W inn</w:t>
      </w:r>
      <w:r w:rsidRPr="0099317C">
        <w:rPr>
          <w:noProof/>
        </w:rPr>
        <w:t>ym państwie członkowskim prawo krajowe przyznaje prokuratorowi dużą swobodę decydowania</w:t>
      </w:r>
      <w:r w:rsidR="0099317C" w:rsidRPr="0099317C">
        <w:rPr>
          <w:noProof/>
        </w:rPr>
        <w:t xml:space="preserve"> o tym</w:t>
      </w:r>
      <w:r w:rsidRPr="0099317C">
        <w:rPr>
          <w:noProof/>
        </w:rPr>
        <w:t xml:space="preserve">, czy ścigać czy ukarać te osoby. </w:t>
      </w:r>
    </w:p>
    <w:p w14:paraId="0A9C4231" w14:textId="1FDDCC71" w:rsidR="008F6063" w:rsidRPr="0099317C" w:rsidRDefault="008F6063" w:rsidP="008F6063">
      <w:pPr>
        <w:rPr>
          <w:noProof/>
        </w:rPr>
      </w:pPr>
      <w:r w:rsidRPr="0099317C">
        <w:rPr>
          <w:noProof/>
        </w:rPr>
        <w:t>Powiązaną</w:t>
      </w:r>
      <w:r w:rsidR="0099317C" w:rsidRPr="0099317C">
        <w:rPr>
          <w:noProof/>
        </w:rPr>
        <w:t xml:space="preserve"> z tym</w:t>
      </w:r>
      <w:r w:rsidRPr="0099317C">
        <w:rPr>
          <w:noProof/>
        </w:rPr>
        <w:t xml:space="preserve"> kwestią jest fakt, że kilka państw członkowskich nie wymaga wyraźnie od krajowych organów ochrony konkurencji zapewnienia niezbędnych kontaktów między właściwymi organami ścigania lub nakładającymi sankcje</w:t>
      </w:r>
      <w:r w:rsidR="0099317C" w:rsidRPr="0099317C">
        <w:rPr>
          <w:noProof/>
        </w:rPr>
        <w:t xml:space="preserve"> w ich</w:t>
      </w:r>
      <w:r w:rsidRPr="0099317C">
        <w:rPr>
          <w:noProof/>
        </w:rPr>
        <w:t xml:space="preserve"> państwach członkowskich</w:t>
      </w:r>
      <w:r w:rsidR="0099317C" w:rsidRPr="0099317C">
        <w:rPr>
          <w:noProof/>
        </w:rPr>
        <w:t xml:space="preserve"> a org</w:t>
      </w:r>
      <w:r w:rsidRPr="0099317C">
        <w:rPr>
          <w:noProof/>
        </w:rPr>
        <w:t>anami ochrony konkurencji innych państw członkowskich</w:t>
      </w:r>
      <w:r w:rsidR="0099317C" w:rsidRPr="0099317C">
        <w:rPr>
          <w:noProof/>
        </w:rPr>
        <w:t xml:space="preserve"> w cel</w:t>
      </w:r>
      <w:r w:rsidRPr="0099317C">
        <w:rPr>
          <w:noProof/>
        </w:rPr>
        <w:t>u zagwarantowania ochrony pracowników wnioskodawców ubiegających się</w:t>
      </w:r>
      <w:r w:rsidR="0099317C" w:rsidRPr="0099317C">
        <w:rPr>
          <w:noProof/>
        </w:rPr>
        <w:t xml:space="preserve"> o zwo</w:t>
      </w:r>
      <w:r w:rsidRPr="0099317C">
        <w:rPr>
          <w:noProof/>
        </w:rPr>
        <w:t>lnienie</w:t>
      </w:r>
      <w:r w:rsidR="0099317C" w:rsidRPr="0099317C">
        <w:rPr>
          <w:noProof/>
        </w:rPr>
        <w:t xml:space="preserve"> z kar</w:t>
      </w:r>
      <w:r w:rsidRPr="0099317C">
        <w:rPr>
          <w:noProof/>
        </w:rPr>
        <w:t xml:space="preserve"> przed sankcjami administracyjnymi lub karnymi</w:t>
      </w:r>
      <w:r w:rsidR="0099317C" w:rsidRPr="0099317C">
        <w:rPr>
          <w:noProof/>
        </w:rPr>
        <w:t xml:space="preserve"> w syt</w:t>
      </w:r>
      <w:r w:rsidRPr="0099317C">
        <w:rPr>
          <w:noProof/>
        </w:rPr>
        <w:t>uacjach transgranicznych.</w:t>
      </w:r>
    </w:p>
    <w:p w14:paraId="755B50D9" w14:textId="1AB93541" w:rsidR="007B5489" w:rsidRPr="0099317C" w:rsidRDefault="007B5489" w:rsidP="00572EE8">
      <w:pPr>
        <w:pStyle w:val="Heading2"/>
        <w:rPr>
          <w:noProof/>
        </w:rPr>
      </w:pPr>
      <w:r w:rsidRPr="0099317C">
        <w:rPr>
          <w:noProof/>
        </w:rPr>
        <w:t>Wzajemna pomoc</w:t>
      </w:r>
    </w:p>
    <w:p w14:paraId="61809425" w14:textId="28303588" w:rsidR="00BB60E9" w:rsidRPr="0099317C" w:rsidRDefault="00350A46" w:rsidP="003509C1">
      <w:pPr>
        <w:rPr>
          <w:noProof/>
        </w:rPr>
      </w:pPr>
      <w:r w:rsidRPr="0099317C">
        <w:rPr>
          <w:noProof/>
        </w:rPr>
        <w:t>W rozdziale VII dyrektywy ECN+ wprowadzono zharmonizowane przepisy ułatwiające wzajemną pomoc między krajowymi organami ochrony konkurencji. Te mechanizmy wzajemnej pomocy uprawniają krajowe organy ochrony konkurencji do skutecznego egzekwowania prawa konkurencji poza granicami ich państw, umożliwiając</w:t>
      </w:r>
      <w:r w:rsidR="0099317C" w:rsidRPr="0099317C">
        <w:rPr>
          <w:noProof/>
        </w:rPr>
        <w:t xml:space="preserve"> w ten</w:t>
      </w:r>
      <w:r w:rsidRPr="0099317C">
        <w:rPr>
          <w:noProof/>
        </w:rPr>
        <w:t xml:space="preserve"> sposób funkcjonowanie zdecentralizowanego systemu egzekwowania unijnych przepisów antymonopolowych jako spójnej całości.</w:t>
      </w:r>
    </w:p>
    <w:p w14:paraId="1718A0E1" w14:textId="69F3C147" w:rsidR="00911822" w:rsidRPr="0099317C" w:rsidRDefault="00F91455" w:rsidP="003509C1">
      <w:pPr>
        <w:pStyle w:val="Default"/>
        <w:jc w:val="both"/>
        <w:rPr>
          <w:noProof/>
        </w:rPr>
      </w:pPr>
      <w:r w:rsidRPr="0099317C">
        <w:rPr>
          <w:noProof/>
        </w:rPr>
        <w:t>W art.</w:t>
      </w:r>
      <w:r w:rsidR="0099317C" w:rsidRPr="0099317C">
        <w:rPr>
          <w:noProof/>
        </w:rPr>
        <w:t> </w:t>
      </w:r>
      <w:r w:rsidRPr="0099317C">
        <w:rPr>
          <w:noProof/>
        </w:rPr>
        <w:t>24 zezwolono urzędnikom krajowych organów ochrony konkurencji na uczestnictwo</w:t>
      </w:r>
      <w:r w:rsidR="0099317C" w:rsidRPr="0099317C">
        <w:rPr>
          <w:noProof/>
        </w:rPr>
        <w:t xml:space="preserve"> i udz</w:t>
      </w:r>
      <w:r w:rsidRPr="0099317C">
        <w:rPr>
          <w:noProof/>
        </w:rPr>
        <w:t>ielanie wsparcia</w:t>
      </w:r>
      <w:r w:rsidR="0099317C" w:rsidRPr="0099317C">
        <w:rPr>
          <w:noProof/>
        </w:rPr>
        <w:t xml:space="preserve"> w kon</w:t>
      </w:r>
      <w:r w:rsidRPr="0099317C">
        <w:rPr>
          <w:noProof/>
        </w:rPr>
        <w:t>trolach</w:t>
      </w:r>
      <w:r w:rsidR="0099317C" w:rsidRPr="0099317C">
        <w:rPr>
          <w:noProof/>
        </w:rPr>
        <w:t xml:space="preserve"> i prz</w:t>
      </w:r>
      <w:r w:rsidRPr="0099317C">
        <w:rPr>
          <w:noProof/>
        </w:rPr>
        <w:t>esłuchaniach prowadzonych</w:t>
      </w:r>
      <w:r w:rsidR="0099317C" w:rsidRPr="0099317C">
        <w:rPr>
          <w:noProof/>
        </w:rPr>
        <w:t xml:space="preserve"> w ich</w:t>
      </w:r>
      <w:r w:rsidRPr="0099317C">
        <w:rPr>
          <w:noProof/>
        </w:rPr>
        <w:t xml:space="preserve"> imieniu przez inny krajowy organ ochrony konkurencji. Uprawniono również krajowe organy ochrony konkurencji do wykonywania uprawnień dochodzeniowych</w:t>
      </w:r>
      <w:r w:rsidR="0099317C" w:rsidRPr="0099317C">
        <w:rPr>
          <w:noProof/>
        </w:rPr>
        <w:t xml:space="preserve"> w cel</w:t>
      </w:r>
      <w:r w:rsidRPr="0099317C">
        <w:rPr>
          <w:noProof/>
        </w:rPr>
        <w:t>u ustalenia, czy dostosowano się do działań</w:t>
      </w:r>
      <w:r w:rsidR="0099317C" w:rsidRPr="0099317C">
        <w:rPr>
          <w:noProof/>
        </w:rPr>
        <w:t xml:space="preserve"> i dec</w:t>
      </w:r>
      <w:r w:rsidRPr="0099317C">
        <w:rPr>
          <w:noProof/>
        </w:rPr>
        <w:t>yzji podejmowanych przez inne krajowe organy ochrony konkurencji. Zgodnie</w:t>
      </w:r>
      <w:r w:rsidR="0099317C" w:rsidRPr="0099317C">
        <w:rPr>
          <w:noProof/>
        </w:rPr>
        <w:t xml:space="preserve"> z art</w:t>
      </w:r>
      <w:r w:rsidRPr="0099317C">
        <w:rPr>
          <w:noProof/>
        </w:rPr>
        <w:t>.</w:t>
      </w:r>
      <w:r w:rsidR="0099317C" w:rsidRPr="0099317C">
        <w:rPr>
          <w:noProof/>
        </w:rPr>
        <w:t> </w:t>
      </w:r>
      <w:r w:rsidRPr="0099317C">
        <w:rPr>
          <w:noProof/>
        </w:rPr>
        <w:t>25</w:t>
      </w:r>
      <w:r w:rsidR="0099317C" w:rsidRPr="0099317C">
        <w:rPr>
          <w:noProof/>
        </w:rPr>
        <w:t xml:space="preserve"> i 2</w:t>
      </w:r>
      <w:r w:rsidRPr="0099317C">
        <w:rPr>
          <w:noProof/>
        </w:rPr>
        <w:t>6 krajowe organy ochrony konkurencji mogą zwracać się do siebie</w:t>
      </w:r>
      <w:r w:rsidR="0099317C" w:rsidRPr="0099317C">
        <w:rPr>
          <w:noProof/>
        </w:rPr>
        <w:t xml:space="preserve"> o pow</w:t>
      </w:r>
      <w:r w:rsidRPr="0099317C">
        <w:rPr>
          <w:noProof/>
        </w:rPr>
        <w:t>iadomienie</w:t>
      </w:r>
      <w:r w:rsidR="0099317C" w:rsidRPr="0099317C">
        <w:rPr>
          <w:noProof/>
        </w:rPr>
        <w:t xml:space="preserve"> o dok</w:t>
      </w:r>
      <w:r w:rsidRPr="0099317C">
        <w:rPr>
          <w:noProof/>
        </w:rPr>
        <w:t>umentach</w:t>
      </w:r>
      <w:r w:rsidR="0099317C" w:rsidRPr="0099317C">
        <w:rPr>
          <w:noProof/>
        </w:rPr>
        <w:t xml:space="preserve"> i wyk</w:t>
      </w:r>
      <w:r w:rsidRPr="0099317C">
        <w:rPr>
          <w:noProof/>
        </w:rPr>
        <w:t>onanie decyzji</w:t>
      </w:r>
      <w:r w:rsidR="0099317C" w:rsidRPr="0099317C">
        <w:rPr>
          <w:noProof/>
        </w:rPr>
        <w:t xml:space="preserve"> w swo</w:t>
      </w:r>
      <w:r w:rsidRPr="0099317C">
        <w:rPr>
          <w:noProof/>
        </w:rPr>
        <w:t>im imieniu, korzystając</w:t>
      </w:r>
      <w:r w:rsidR="0099317C" w:rsidRPr="0099317C">
        <w:rPr>
          <w:noProof/>
        </w:rPr>
        <w:t xml:space="preserve"> z jed</w:t>
      </w:r>
      <w:r w:rsidRPr="0099317C">
        <w:rPr>
          <w:noProof/>
        </w:rPr>
        <w:t>nolitego instrumentu.</w:t>
      </w:r>
    </w:p>
    <w:p w14:paraId="7A631207" w14:textId="77777777" w:rsidR="008976E8" w:rsidRPr="0099317C" w:rsidRDefault="008976E8" w:rsidP="003509C1">
      <w:pPr>
        <w:pStyle w:val="Default"/>
        <w:jc w:val="both"/>
        <w:rPr>
          <w:noProof/>
        </w:rPr>
      </w:pPr>
    </w:p>
    <w:p w14:paraId="08C57696" w14:textId="48E6DCC4" w:rsidR="00782F07" w:rsidRPr="0099317C" w:rsidRDefault="00AC186A" w:rsidP="003509C1">
      <w:pPr>
        <w:pStyle w:val="Default"/>
        <w:jc w:val="both"/>
        <w:rPr>
          <w:noProof/>
        </w:rPr>
      </w:pPr>
      <w:r w:rsidRPr="0099317C">
        <w:rPr>
          <w:noProof/>
        </w:rPr>
        <w:t>W art.</w:t>
      </w:r>
      <w:r w:rsidR="0099317C" w:rsidRPr="0099317C">
        <w:rPr>
          <w:noProof/>
        </w:rPr>
        <w:t> </w:t>
      </w:r>
      <w:r w:rsidRPr="0099317C">
        <w:rPr>
          <w:noProof/>
        </w:rPr>
        <w:t>27</w:t>
      </w:r>
      <w:r w:rsidR="0099317C" w:rsidRPr="0099317C">
        <w:rPr>
          <w:noProof/>
        </w:rPr>
        <w:t xml:space="preserve"> i 2</w:t>
      </w:r>
      <w:r w:rsidRPr="0099317C">
        <w:rPr>
          <w:noProof/>
        </w:rPr>
        <w:t>8 określono ogólne zasady współpracy, na przykład</w:t>
      </w:r>
      <w:r w:rsidR="0099317C" w:rsidRPr="0099317C">
        <w:rPr>
          <w:noProof/>
        </w:rPr>
        <w:t xml:space="preserve"> w odn</w:t>
      </w:r>
      <w:r w:rsidRPr="0099317C">
        <w:rPr>
          <w:noProof/>
        </w:rPr>
        <w:t>iesieniu do prawa właściwego, treści jednolitego instrumentu, wymogów językowych, pokrycia kosztów, możliwości odmowy udzielenia pomocy</w:t>
      </w:r>
      <w:r w:rsidR="0099317C" w:rsidRPr="0099317C">
        <w:rPr>
          <w:noProof/>
        </w:rPr>
        <w:t xml:space="preserve"> i roz</w:t>
      </w:r>
      <w:r w:rsidRPr="0099317C">
        <w:rPr>
          <w:noProof/>
        </w:rPr>
        <w:t>strzygania sporów dotyczących wniosków</w:t>
      </w:r>
      <w:r w:rsidR="0099317C" w:rsidRPr="0099317C">
        <w:rPr>
          <w:noProof/>
        </w:rPr>
        <w:t xml:space="preserve"> o wza</w:t>
      </w:r>
      <w:r w:rsidRPr="0099317C">
        <w:rPr>
          <w:noProof/>
        </w:rPr>
        <w:t>jemną pomoc.</w:t>
      </w:r>
    </w:p>
    <w:p w14:paraId="4CCD6D5B" w14:textId="77777777" w:rsidR="00782F07" w:rsidRPr="0099317C" w:rsidRDefault="00782F07" w:rsidP="003509C1">
      <w:pPr>
        <w:pStyle w:val="Default"/>
        <w:jc w:val="both"/>
        <w:rPr>
          <w:noProof/>
        </w:rPr>
      </w:pPr>
    </w:p>
    <w:p w14:paraId="3F9A4166" w14:textId="40651BD2" w:rsidR="001C5BF1" w:rsidRPr="0099317C" w:rsidRDefault="001C5BF1" w:rsidP="001E41AE">
      <w:pPr>
        <w:pStyle w:val="Text2"/>
        <w:ind w:left="0"/>
        <w:rPr>
          <w:noProof/>
        </w:rPr>
      </w:pPr>
      <w:r w:rsidRPr="0099317C">
        <w:rPr>
          <w:noProof/>
        </w:rPr>
        <w:t>Dyrektywa ECN+ wzmocniła współpracę między krajowymi organami ochrony konkurencji. Nadała ona tym organom nowe uprawnienia do stosowania ich środków dochodzeniowych</w:t>
      </w:r>
      <w:r w:rsidR="0099317C" w:rsidRPr="0099317C">
        <w:rPr>
          <w:noProof/>
        </w:rPr>
        <w:t xml:space="preserve"> w cel</w:t>
      </w:r>
      <w:r w:rsidRPr="0099317C">
        <w:rPr>
          <w:noProof/>
        </w:rPr>
        <w:t>u ustalenia, czy dostosowano się do działań dochodzeniowych</w:t>
      </w:r>
      <w:r w:rsidR="0099317C" w:rsidRPr="0099317C">
        <w:rPr>
          <w:noProof/>
        </w:rPr>
        <w:t xml:space="preserve"> i dec</w:t>
      </w:r>
      <w:r w:rsidRPr="0099317C">
        <w:rPr>
          <w:noProof/>
        </w:rPr>
        <w:t>yzji podejmowanych przez inne krajowe organy ochrony konkurencji. Wprowadziła również „jednolity instrument”, który ułatwia obecnie krajowym organom ochrony konkurencji powiadamianie</w:t>
      </w:r>
      <w:r w:rsidR="0099317C" w:rsidRPr="0099317C">
        <w:rPr>
          <w:noProof/>
        </w:rPr>
        <w:t xml:space="preserve"> o swo</w:t>
      </w:r>
      <w:r w:rsidRPr="0099317C">
        <w:rPr>
          <w:noProof/>
        </w:rPr>
        <w:t>ich działaniach inne państwa członkowskie lub egzekwowanie tych działań</w:t>
      </w:r>
      <w:r w:rsidR="0099317C" w:rsidRPr="0099317C">
        <w:rPr>
          <w:noProof/>
        </w:rPr>
        <w:t xml:space="preserve"> w inn</w:t>
      </w:r>
      <w:r w:rsidRPr="0099317C">
        <w:rPr>
          <w:noProof/>
        </w:rPr>
        <w:t>ych państwach członkowskich.</w:t>
      </w:r>
    </w:p>
    <w:p w14:paraId="27FE6F64" w14:textId="68E2494A" w:rsidR="00D901AF" w:rsidRPr="0099317C" w:rsidRDefault="00233CA3" w:rsidP="001E41AE">
      <w:pPr>
        <w:pStyle w:val="Text2"/>
        <w:ind w:left="0"/>
        <w:rPr>
          <w:noProof/>
        </w:rPr>
      </w:pPr>
      <w:r w:rsidRPr="0099317C">
        <w:rPr>
          <w:noProof/>
        </w:rPr>
        <w:t>Z ocen zgodności wynika jednak, że</w:t>
      </w:r>
      <w:r w:rsidR="0099317C" w:rsidRPr="0099317C">
        <w:rPr>
          <w:noProof/>
        </w:rPr>
        <w:t xml:space="preserve"> w kil</w:t>
      </w:r>
      <w:r w:rsidRPr="0099317C">
        <w:rPr>
          <w:noProof/>
        </w:rPr>
        <w:t>ku państwach członkowskich krajowe organy ochrony konkurencji nie są wyraźnie uprawnione do stosowania środków dochodzeniowych</w:t>
      </w:r>
      <w:r w:rsidR="0099317C" w:rsidRPr="0099317C">
        <w:rPr>
          <w:noProof/>
        </w:rPr>
        <w:t xml:space="preserve"> w cel</w:t>
      </w:r>
      <w:r w:rsidRPr="0099317C">
        <w:rPr>
          <w:noProof/>
        </w:rPr>
        <w:t>u ustalenia, czy dostosowano się do działań dochodzeniowych</w:t>
      </w:r>
      <w:r w:rsidR="0099317C" w:rsidRPr="0099317C">
        <w:rPr>
          <w:noProof/>
        </w:rPr>
        <w:t xml:space="preserve"> i dec</w:t>
      </w:r>
      <w:r w:rsidRPr="0099317C">
        <w:rPr>
          <w:noProof/>
        </w:rPr>
        <w:t>yzji podejmowanych przez inne krajowe organy ochrony konkurencji, czy też do zwracania się</w:t>
      </w:r>
      <w:r w:rsidR="0099317C" w:rsidRPr="0099317C">
        <w:rPr>
          <w:noProof/>
        </w:rPr>
        <w:t xml:space="preserve"> o tak</w:t>
      </w:r>
      <w:r w:rsidRPr="0099317C">
        <w:rPr>
          <w:noProof/>
        </w:rPr>
        <w:t>ą wzajemną pomoc lub do wymiany informacji zgromadzonych</w:t>
      </w:r>
      <w:r w:rsidR="0099317C" w:rsidRPr="0099317C">
        <w:rPr>
          <w:noProof/>
        </w:rPr>
        <w:t xml:space="preserve"> w tym</w:t>
      </w:r>
      <w:r w:rsidRPr="0099317C">
        <w:rPr>
          <w:noProof/>
        </w:rPr>
        <w:t xml:space="preserve"> kontekście</w:t>
      </w:r>
      <w:r w:rsidR="0099317C" w:rsidRPr="0099317C">
        <w:rPr>
          <w:noProof/>
        </w:rPr>
        <w:t xml:space="preserve"> w cel</w:t>
      </w:r>
      <w:r w:rsidRPr="0099317C">
        <w:rPr>
          <w:noProof/>
        </w:rPr>
        <w:t>u wykorzystania ich jako dowodów</w:t>
      </w:r>
      <w:r w:rsidR="0099317C" w:rsidRPr="0099317C">
        <w:rPr>
          <w:noProof/>
        </w:rPr>
        <w:t xml:space="preserve"> w pro</w:t>
      </w:r>
      <w:r w:rsidRPr="0099317C">
        <w:rPr>
          <w:noProof/>
        </w:rPr>
        <w:t>wadzonych przez nie postępowaniach</w:t>
      </w:r>
      <w:r w:rsidR="0099317C" w:rsidRPr="0099317C">
        <w:rPr>
          <w:noProof/>
        </w:rPr>
        <w:t xml:space="preserve"> w spr</w:t>
      </w:r>
      <w:r w:rsidRPr="0099317C">
        <w:rPr>
          <w:noProof/>
        </w:rPr>
        <w:t>awie stosowania prawa.</w:t>
      </w:r>
    </w:p>
    <w:p w14:paraId="3F831A09" w14:textId="2FA8CB81" w:rsidR="00EA5ABF" w:rsidRPr="0099317C" w:rsidRDefault="00EA5ABF" w:rsidP="001E41AE">
      <w:pPr>
        <w:pStyle w:val="Text2"/>
        <w:ind w:left="0"/>
        <w:rPr>
          <w:noProof/>
        </w:rPr>
      </w:pPr>
      <w:r w:rsidRPr="0099317C">
        <w:rPr>
          <w:noProof/>
        </w:rPr>
        <w:t>W kilku państwach członkowskich prawo nie przewiduje wyraźnie uprawnienia do żądania powiadamiania</w:t>
      </w:r>
      <w:r w:rsidR="0099317C" w:rsidRPr="0099317C">
        <w:rPr>
          <w:noProof/>
        </w:rPr>
        <w:t xml:space="preserve"> o dzi</w:t>
      </w:r>
      <w:r w:rsidRPr="0099317C">
        <w:rPr>
          <w:noProof/>
        </w:rPr>
        <w:t>ałaniach lub egzekwowania decyzji przez inne krajowe organy ochrony konkurencji albo takie uprawnienie podlega surowszym warunkom niż te przewidziane</w:t>
      </w:r>
      <w:r w:rsidR="0099317C" w:rsidRPr="0099317C">
        <w:rPr>
          <w:noProof/>
        </w:rPr>
        <w:t xml:space="preserve"> w prz</w:t>
      </w:r>
      <w:r w:rsidRPr="0099317C">
        <w:rPr>
          <w:noProof/>
        </w:rPr>
        <w:t>edmiotowej dyrektywie. Ponadto kilka państw członkowskich nie wyklucza możliwości stosowania krajowych terminów przedawnienia do decyzji</w:t>
      </w:r>
      <w:r w:rsidR="0099317C" w:rsidRPr="0099317C">
        <w:rPr>
          <w:noProof/>
        </w:rPr>
        <w:t xml:space="preserve"> o nał</w:t>
      </w:r>
      <w:r w:rsidRPr="0099317C">
        <w:rPr>
          <w:noProof/>
        </w:rPr>
        <w:t>ożeniu kar wydanych przez inne krajowe organy ochrony konkurencji, co mogłoby uniemożliwić tym organom udzielenie wzajemnej pomocy,</w:t>
      </w:r>
      <w:r w:rsidR="0099317C" w:rsidRPr="0099317C">
        <w:rPr>
          <w:noProof/>
        </w:rPr>
        <w:t xml:space="preserve"> o któ</w:t>
      </w:r>
      <w:r w:rsidRPr="0099317C">
        <w:rPr>
          <w:noProof/>
        </w:rPr>
        <w:t>rą wnioskowano.</w:t>
      </w:r>
    </w:p>
    <w:p w14:paraId="6A1E9123" w14:textId="34A92B0E" w:rsidR="007439AC" w:rsidRPr="0099317C" w:rsidRDefault="007439AC" w:rsidP="005C3DF5">
      <w:pPr>
        <w:pStyle w:val="Heading2"/>
        <w:rPr>
          <w:noProof/>
        </w:rPr>
      </w:pPr>
      <w:r w:rsidRPr="0099317C">
        <w:rPr>
          <w:noProof/>
        </w:rPr>
        <w:t>Terminy przedawnienia</w:t>
      </w:r>
    </w:p>
    <w:p w14:paraId="6FC92BF3" w14:textId="3BA12EC1" w:rsidR="004A29F7" w:rsidRPr="0099317C" w:rsidRDefault="00C26336" w:rsidP="002579FF">
      <w:pPr>
        <w:rPr>
          <w:noProof/>
        </w:rPr>
      </w:pPr>
      <w:r w:rsidRPr="0099317C">
        <w:rPr>
          <w:noProof/>
        </w:rPr>
        <w:t>W rozdziale VIII dyrektywy ECN+ zawarto przepisy dotyczące terminów przedawnienia</w:t>
      </w:r>
      <w:r w:rsidR="0099317C" w:rsidRPr="0099317C">
        <w:rPr>
          <w:noProof/>
        </w:rPr>
        <w:t xml:space="preserve"> w odn</w:t>
      </w:r>
      <w:r w:rsidRPr="0099317C">
        <w:rPr>
          <w:noProof/>
        </w:rPr>
        <w:t>iesieniu do nakładania kar</w:t>
      </w:r>
      <w:r w:rsidR="0099317C" w:rsidRPr="0099317C">
        <w:rPr>
          <w:noProof/>
        </w:rPr>
        <w:t xml:space="preserve"> i okr</w:t>
      </w:r>
      <w:r w:rsidRPr="0099317C">
        <w:rPr>
          <w:noProof/>
        </w:rPr>
        <w:t>esowych kar pieniężnych przez krajowe organy ochrony konkurencji.</w:t>
      </w:r>
    </w:p>
    <w:p w14:paraId="53B239E0" w14:textId="659BBFBA" w:rsidR="00337350" w:rsidRPr="0099317C" w:rsidRDefault="000A3DF7" w:rsidP="0058464D">
      <w:pPr>
        <w:rPr>
          <w:noProof/>
        </w:rPr>
      </w:pPr>
      <w:r w:rsidRPr="0099317C">
        <w:rPr>
          <w:noProof/>
        </w:rPr>
        <w:t>Jak określono</w:t>
      </w:r>
      <w:r w:rsidR="0099317C" w:rsidRPr="0099317C">
        <w:rPr>
          <w:noProof/>
        </w:rPr>
        <w:t xml:space="preserve"> w art</w:t>
      </w:r>
      <w:r w:rsidRPr="0099317C">
        <w:rPr>
          <w:noProof/>
        </w:rPr>
        <w:t>.</w:t>
      </w:r>
      <w:r w:rsidR="0099317C" w:rsidRPr="0099317C">
        <w:rPr>
          <w:noProof/>
        </w:rPr>
        <w:t> </w:t>
      </w:r>
      <w:r w:rsidRPr="0099317C">
        <w:rPr>
          <w:noProof/>
        </w:rPr>
        <w:t>29 ust.</w:t>
      </w:r>
      <w:r w:rsidR="0099317C" w:rsidRPr="0099317C">
        <w:rPr>
          <w:noProof/>
        </w:rPr>
        <w:t> </w:t>
      </w:r>
      <w:r w:rsidRPr="0099317C">
        <w:rPr>
          <w:noProof/>
        </w:rPr>
        <w:t>1, bieg krajowego terminu przedawnienia musi zostać zawieszony lub przerwany na czas trwania postępowania</w:t>
      </w:r>
      <w:r w:rsidR="0099317C" w:rsidRPr="0099317C">
        <w:rPr>
          <w:noProof/>
        </w:rPr>
        <w:t xml:space="preserve"> w spr</w:t>
      </w:r>
      <w:r w:rsidRPr="0099317C">
        <w:rPr>
          <w:noProof/>
        </w:rPr>
        <w:t>awie stosowania prawa przed innym krajowym organem ochrony konkurencji lub przed Komisją</w:t>
      </w:r>
      <w:r w:rsidR="0099317C" w:rsidRPr="0099317C">
        <w:rPr>
          <w:noProof/>
        </w:rPr>
        <w:t xml:space="preserve"> w odn</w:t>
      </w:r>
      <w:r w:rsidRPr="0099317C">
        <w:rPr>
          <w:noProof/>
        </w:rPr>
        <w:t>iesieniu do tego samego naruszenia unijnych przepisów antymonopolowych. Zapewnia to skuteczność działania systemu kompetencji równoległych</w:t>
      </w:r>
      <w:r w:rsidR="0099317C" w:rsidRPr="0099317C">
        <w:rPr>
          <w:noProof/>
        </w:rPr>
        <w:t xml:space="preserve"> w ram</w:t>
      </w:r>
      <w:r w:rsidRPr="0099317C">
        <w:rPr>
          <w:noProof/>
        </w:rPr>
        <w:t>ach Europejskiej Sieci Konkurencji</w:t>
      </w:r>
      <w:r w:rsidR="0099317C" w:rsidRPr="0099317C">
        <w:rPr>
          <w:noProof/>
        </w:rPr>
        <w:t xml:space="preserve"> i moż</w:t>
      </w:r>
      <w:r w:rsidRPr="0099317C">
        <w:rPr>
          <w:noProof/>
        </w:rPr>
        <w:t>liwość późniejszego badania danego zachowania lub podjęcia decyzji przez krajowe organy ochrony konkurencji.</w:t>
      </w:r>
    </w:p>
    <w:p w14:paraId="1FC6E82C" w14:textId="0476239C" w:rsidR="00525245" w:rsidRPr="0099317C" w:rsidRDefault="47DF18EA" w:rsidP="0058464D">
      <w:pPr>
        <w:rPr>
          <w:noProof/>
          <w:sz w:val="23"/>
        </w:rPr>
      </w:pPr>
      <w:r w:rsidRPr="0099317C">
        <w:rPr>
          <w:noProof/>
        </w:rPr>
        <w:t>W art.</w:t>
      </w:r>
      <w:r w:rsidR="0099317C" w:rsidRPr="0099317C">
        <w:rPr>
          <w:noProof/>
        </w:rPr>
        <w:t> </w:t>
      </w:r>
      <w:r w:rsidRPr="0099317C">
        <w:rPr>
          <w:noProof/>
        </w:rPr>
        <w:t>29 ust.</w:t>
      </w:r>
      <w:r w:rsidR="0099317C" w:rsidRPr="0099317C">
        <w:rPr>
          <w:noProof/>
        </w:rPr>
        <w:t> </w:t>
      </w:r>
      <w:r w:rsidRPr="0099317C">
        <w:rPr>
          <w:noProof/>
        </w:rPr>
        <w:t>2 zobowiązano państwa członkowskie do zapewnienia, aby ich terminy przedawnienia zostały zawieszone lub przerwane na czas, gdy decyzje ich krajowych organów ochrony konkurencji</w:t>
      </w:r>
      <w:r w:rsidR="0099317C" w:rsidRPr="0099317C">
        <w:rPr>
          <w:noProof/>
        </w:rPr>
        <w:t xml:space="preserve"> o nał</w:t>
      </w:r>
      <w:r w:rsidRPr="0099317C">
        <w:rPr>
          <w:noProof/>
        </w:rPr>
        <w:t>ożeniu kar są przedmiotem kontroli sądowej</w:t>
      </w:r>
      <w:r w:rsidR="0099317C" w:rsidRPr="0099317C">
        <w:rPr>
          <w:noProof/>
        </w:rPr>
        <w:t>. W ten</w:t>
      </w:r>
      <w:r w:rsidRPr="0099317C">
        <w:rPr>
          <w:noProof/>
        </w:rPr>
        <w:t xml:space="preserve"> sposób długotrwałe postępowania odwoławcze nie wpływają na uprawnienia krajowych organów ochrony konkurencji do nakładania kar lub okresowych kar pieniężnych.</w:t>
      </w:r>
    </w:p>
    <w:p w14:paraId="24E5EF60" w14:textId="4C4A4778" w:rsidR="004B1846" w:rsidRPr="0099317C" w:rsidRDefault="00525245" w:rsidP="0012500C">
      <w:pPr>
        <w:rPr>
          <w:i/>
          <w:noProof/>
        </w:rPr>
      </w:pPr>
      <w:r w:rsidRPr="0099317C">
        <w:rPr>
          <w:noProof/>
        </w:rPr>
        <w:t>Istotne ulepszenie wprowadzone dyrektywą ECN+ polega na tym, że wszystkie państwa członkowskie mają obecnie przepis zapewniający, że przedawnienie nie uniemożliwia ich krajowym organom ochrony konkurencji nakładania kar</w:t>
      </w:r>
      <w:r w:rsidR="0099317C" w:rsidRPr="0099317C">
        <w:rPr>
          <w:noProof/>
        </w:rPr>
        <w:t xml:space="preserve"> i okr</w:t>
      </w:r>
      <w:r w:rsidRPr="0099317C">
        <w:rPr>
          <w:noProof/>
        </w:rPr>
        <w:t>esowych kar pieniężnych, gdy Komisja lub inny krajowy organ ochrony konkurencji zajmuje się tym samym naruszeniem.</w:t>
      </w:r>
    </w:p>
    <w:p w14:paraId="4AC95DB3" w14:textId="72B70F3D" w:rsidR="0062456C" w:rsidRPr="0099317C" w:rsidRDefault="00525245" w:rsidP="0062456C">
      <w:pPr>
        <w:pStyle w:val="ContNum"/>
        <w:numPr>
          <w:ilvl w:val="0"/>
          <w:numId w:val="0"/>
        </w:numPr>
        <w:rPr>
          <w:noProof/>
        </w:rPr>
      </w:pPr>
      <w:r w:rsidRPr="0099317C">
        <w:rPr>
          <w:noProof/>
        </w:rPr>
        <w:t>Z ocen zgodności wynika jednak, że przepisy krajowe</w:t>
      </w:r>
      <w:r w:rsidR="0099317C" w:rsidRPr="0099317C">
        <w:rPr>
          <w:noProof/>
        </w:rPr>
        <w:t xml:space="preserve"> w kil</w:t>
      </w:r>
      <w:r w:rsidRPr="0099317C">
        <w:rPr>
          <w:noProof/>
        </w:rPr>
        <w:t>ku państwach członkowskich są niejednoznaczne co do tego, czy zawieszenie lub przerwanie obejmuje wszystkie przedsiębiorstwa uczestniczące</w:t>
      </w:r>
      <w:r w:rsidR="0099317C" w:rsidRPr="0099317C">
        <w:rPr>
          <w:noProof/>
        </w:rPr>
        <w:t xml:space="preserve"> w nar</w:t>
      </w:r>
      <w:r w:rsidRPr="0099317C">
        <w:rPr>
          <w:noProof/>
        </w:rPr>
        <w:t>uszeniu. Przepisy krajowe niektórych innych państw zezwalają</w:t>
      </w:r>
      <w:r w:rsidR="0099317C" w:rsidRPr="0099317C">
        <w:rPr>
          <w:noProof/>
        </w:rPr>
        <w:t xml:space="preserve"> z kol</w:t>
      </w:r>
      <w:r w:rsidRPr="0099317C">
        <w:rPr>
          <w:noProof/>
        </w:rPr>
        <w:t>ei na wprowadzenie zawieszenia lub przerwania jedynie pod warunkiem podjęcia określonych kroków (np. formalnego wszczęcia postępowania).</w:t>
      </w:r>
    </w:p>
    <w:p w14:paraId="0C3ECF27" w14:textId="296EA36A" w:rsidR="00BE5F49" w:rsidRPr="0099317C" w:rsidRDefault="00454991" w:rsidP="00BE5F49">
      <w:pPr>
        <w:pStyle w:val="Heading2"/>
        <w:rPr>
          <w:noProof/>
        </w:rPr>
      </w:pPr>
      <w:r w:rsidRPr="0099317C">
        <w:rPr>
          <w:noProof/>
        </w:rPr>
        <w:t xml:space="preserve">Przepisy ogólne </w:t>
      </w:r>
    </w:p>
    <w:p w14:paraId="010279AE" w14:textId="44BB380F" w:rsidR="0049456F" w:rsidRPr="0099317C" w:rsidRDefault="00767206" w:rsidP="0036666E">
      <w:pPr>
        <w:autoSpaceDE w:val="0"/>
        <w:autoSpaceDN w:val="0"/>
        <w:adjustRightInd w:val="0"/>
        <w:spacing w:after="0"/>
        <w:rPr>
          <w:noProof/>
          <w:szCs w:val="24"/>
        </w:rPr>
      </w:pPr>
      <w:r w:rsidRPr="0099317C">
        <w:rPr>
          <w:noProof/>
        </w:rPr>
        <w:t>W rozdziale IX dyrektywy ECN+ zawarto przepisy ogólne dotyczące roli krajowych administracyjnych organów ochrony konkurencji przed sądami krajowymi, dostępu stron do akt, ograniczeń dostępu do informacji</w:t>
      </w:r>
      <w:r w:rsidR="0099317C" w:rsidRPr="0099317C">
        <w:rPr>
          <w:noProof/>
        </w:rPr>
        <w:t xml:space="preserve"> i ich</w:t>
      </w:r>
      <w:r w:rsidRPr="0099317C">
        <w:rPr>
          <w:noProof/>
        </w:rPr>
        <w:t xml:space="preserve"> wykorzystania oraz dopuszczalności dowodu przed krajowymi organami ochrony konkurencji.</w:t>
      </w:r>
    </w:p>
    <w:p w14:paraId="1D5A80D5" w14:textId="77777777" w:rsidR="0049456F" w:rsidRPr="0099317C" w:rsidRDefault="0049456F" w:rsidP="0036666E">
      <w:pPr>
        <w:autoSpaceDE w:val="0"/>
        <w:autoSpaceDN w:val="0"/>
        <w:adjustRightInd w:val="0"/>
        <w:spacing w:after="0"/>
        <w:rPr>
          <w:noProof/>
          <w:szCs w:val="24"/>
        </w:rPr>
      </w:pPr>
    </w:p>
    <w:p w14:paraId="02294FAE" w14:textId="4D7E66EB" w:rsidR="00E94768" w:rsidRPr="0099317C" w:rsidRDefault="00C21842" w:rsidP="0036666E">
      <w:pPr>
        <w:autoSpaceDE w:val="0"/>
        <w:autoSpaceDN w:val="0"/>
        <w:adjustRightInd w:val="0"/>
        <w:spacing w:after="0"/>
        <w:rPr>
          <w:noProof/>
          <w:szCs w:val="24"/>
        </w:rPr>
      </w:pPr>
      <w:r w:rsidRPr="0099317C">
        <w:rPr>
          <w:noProof/>
        </w:rPr>
        <w:t xml:space="preserve">Art. 30 zapewnia krajowym administracyjnym organom ochrony konkurencji prawo do wnoszenia lub obrony swoich spraw przed sądami krajowymi. </w:t>
      </w:r>
    </w:p>
    <w:p w14:paraId="19A66D72" w14:textId="77777777" w:rsidR="00570EDC" w:rsidRPr="0099317C" w:rsidRDefault="00570EDC" w:rsidP="0036666E">
      <w:pPr>
        <w:autoSpaceDE w:val="0"/>
        <w:autoSpaceDN w:val="0"/>
        <w:adjustRightInd w:val="0"/>
        <w:spacing w:after="0"/>
        <w:rPr>
          <w:noProof/>
          <w:szCs w:val="24"/>
        </w:rPr>
      </w:pPr>
    </w:p>
    <w:p w14:paraId="0F96DC2F" w14:textId="7D915803" w:rsidR="00A33E27" w:rsidRPr="0099317C" w:rsidRDefault="00AA6C2F" w:rsidP="00A33E27">
      <w:pPr>
        <w:autoSpaceDE w:val="0"/>
        <w:autoSpaceDN w:val="0"/>
        <w:adjustRightInd w:val="0"/>
        <w:spacing w:after="0"/>
        <w:rPr>
          <w:noProof/>
          <w:szCs w:val="24"/>
        </w:rPr>
      </w:pPr>
      <w:r w:rsidRPr="0099317C">
        <w:rPr>
          <w:noProof/>
        </w:rPr>
        <w:t>Celem art.</w:t>
      </w:r>
      <w:r w:rsidR="0099317C" w:rsidRPr="0099317C">
        <w:rPr>
          <w:noProof/>
        </w:rPr>
        <w:t> </w:t>
      </w:r>
      <w:r w:rsidRPr="0099317C">
        <w:rPr>
          <w:noProof/>
        </w:rPr>
        <w:t>31 jest ograniczenie wykorzystywania niektórych kategorii informacji, które przedsiębiorstwa przekazują krajowym organom ochrony konkurencji</w:t>
      </w:r>
      <w:r w:rsidR="0099317C" w:rsidRPr="0099317C">
        <w:rPr>
          <w:noProof/>
        </w:rPr>
        <w:t xml:space="preserve"> w tra</w:t>
      </w:r>
      <w:r w:rsidRPr="0099317C">
        <w:rPr>
          <w:noProof/>
        </w:rPr>
        <w:t>kcie postępowania</w:t>
      </w:r>
      <w:r w:rsidR="0099317C" w:rsidRPr="0099317C">
        <w:rPr>
          <w:noProof/>
        </w:rPr>
        <w:t xml:space="preserve"> w spr</w:t>
      </w:r>
      <w:r w:rsidRPr="0099317C">
        <w:rPr>
          <w:noProof/>
        </w:rPr>
        <w:t>awie stosowania prawa. Zwiększając pewność prawa</w:t>
      </w:r>
      <w:r w:rsidR="0099317C" w:rsidRPr="0099317C">
        <w:rPr>
          <w:noProof/>
        </w:rPr>
        <w:t xml:space="preserve"> w zak</w:t>
      </w:r>
      <w:r w:rsidRPr="0099317C">
        <w:rPr>
          <w:noProof/>
        </w:rPr>
        <w:t>resie ochrony tych informacji, dyrektywa ECN+ ma na celu zapewnienie skuteczności procedur egzekwowania prawa oraz programów łagodzenia kar</w:t>
      </w:r>
      <w:r w:rsidR="0099317C" w:rsidRPr="0099317C">
        <w:rPr>
          <w:noProof/>
        </w:rPr>
        <w:t xml:space="preserve"> i pos</w:t>
      </w:r>
      <w:r w:rsidRPr="0099317C">
        <w:rPr>
          <w:noProof/>
        </w:rPr>
        <w:t xml:space="preserve">tępowań ugodowych. </w:t>
      </w:r>
    </w:p>
    <w:p w14:paraId="5C5CB861" w14:textId="749066E5" w:rsidR="0014022F" w:rsidRPr="0099317C" w:rsidRDefault="0014022F" w:rsidP="0036666E">
      <w:pPr>
        <w:autoSpaceDE w:val="0"/>
        <w:autoSpaceDN w:val="0"/>
        <w:adjustRightInd w:val="0"/>
        <w:spacing w:after="0"/>
        <w:rPr>
          <w:noProof/>
          <w:szCs w:val="24"/>
        </w:rPr>
      </w:pPr>
    </w:p>
    <w:p w14:paraId="399EE7E9" w14:textId="4BE51B57" w:rsidR="003B2194" w:rsidRPr="0099317C" w:rsidDel="00A33E27" w:rsidRDefault="001D4257" w:rsidP="0036666E">
      <w:pPr>
        <w:autoSpaceDE w:val="0"/>
        <w:autoSpaceDN w:val="0"/>
        <w:adjustRightInd w:val="0"/>
        <w:spacing w:after="0"/>
        <w:rPr>
          <w:noProof/>
        </w:rPr>
      </w:pPr>
      <w:r w:rsidRPr="0099317C">
        <w:rPr>
          <w:noProof/>
        </w:rPr>
        <w:t>W art.</w:t>
      </w:r>
      <w:r w:rsidR="0099317C" w:rsidRPr="0099317C">
        <w:rPr>
          <w:noProof/>
        </w:rPr>
        <w:t> </w:t>
      </w:r>
      <w:r w:rsidRPr="0099317C">
        <w:rPr>
          <w:noProof/>
        </w:rPr>
        <w:t>31 ust.</w:t>
      </w:r>
      <w:r w:rsidR="0099317C" w:rsidRPr="0099317C">
        <w:rPr>
          <w:noProof/>
        </w:rPr>
        <w:t> </w:t>
      </w:r>
      <w:r w:rsidRPr="0099317C">
        <w:rPr>
          <w:noProof/>
        </w:rPr>
        <w:t>2 przewidziano ogólny obowiązek zachowania tajemnicy zawodowej przez krajowe organy ochrony konkurencji</w:t>
      </w:r>
      <w:r w:rsidR="0099317C" w:rsidRPr="0099317C">
        <w:rPr>
          <w:noProof/>
        </w:rPr>
        <w:t xml:space="preserve"> i ich</w:t>
      </w:r>
      <w:r w:rsidRPr="0099317C">
        <w:rPr>
          <w:noProof/>
        </w:rPr>
        <w:t xml:space="preserve"> pracowników</w:t>
      </w:r>
      <w:r w:rsidR="0099317C" w:rsidRPr="0099317C">
        <w:rPr>
          <w:noProof/>
        </w:rPr>
        <w:t>. W art</w:t>
      </w:r>
      <w:r w:rsidRPr="0099317C">
        <w:rPr>
          <w:noProof/>
        </w:rPr>
        <w:t>.</w:t>
      </w:r>
      <w:r w:rsidR="0099317C" w:rsidRPr="0099317C">
        <w:rPr>
          <w:noProof/>
        </w:rPr>
        <w:t> </w:t>
      </w:r>
      <w:r w:rsidRPr="0099317C">
        <w:rPr>
          <w:noProof/>
        </w:rPr>
        <w:t>31 ust.</w:t>
      </w:r>
      <w:r w:rsidR="0099317C" w:rsidRPr="0099317C">
        <w:rPr>
          <w:noProof/>
        </w:rPr>
        <w:t> </w:t>
      </w:r>
      <w:r w:rsidRPr="0099317C">
        <w:rPr>
          <w:noProof/>
        </w:rPr>
        <w:t>3 ograniczono dostęp do oświadczeń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pozycji ugodowych we wszelkich stosownych postępowaniach,</w:t>
      </w:r>
      <w:r w:rsidR="0099317C" w:rsidRPr="0099317C">
        <w:rPr>
          <w:noProof/>
        </w:rPr>
        <w:t xml:space="preserve"> w któ</w:t>
      </w:r>
      <w:r w:rsidRPr="0099317C">
        <w:rPr>
          <w:noProof/>
        </w:rPr>
        <w:t>rych dokumenty te mogą być wykorzystywane, na przykład</w:t>
      </w:r>
      <w:r w:rsidR="0099317C" w:rsidRPr="0099317C">
        <w:rPr>
          <w:noProof/>
        </w:rPr>
        <w:t xml:space="preserve"> w pos</w:t>
      </w:r>
      <w:r w:rsidRPr="0099317C">
        <w:rPr>
          <w:noProof/>
        </w:rPr>
        <w:t>tępowaniu karnym,</w:t>
      </w:r>
      <w:r w:rsidR="0099317C" w:rsidRPr="0099317C">
        <w:rPr>
          <w:noProof/>
        </w:rPr>
        <w:t xml:space="preserve"> w któ</w:t>
      </w:r>
      <w:r w:rsidRPr="0099317C">
        <w:rPr>
          <w:noProof/>
        </w:rPr>
        <w:t>rym krajowe organy ochrony konkurencji są zobowiązane przekazać swoje akta prokuratorowi. Art. 31 ust.</w:t>
      </w:r>
      <w:r w:rsidR="0099317C" w:rsidRPr="0099317C">
        <w:rPr>
          <w:noProof/>
        </w:rPr>
        <w:t> </w:t>
      </w:r>
      <w:r w:rsidRPr="0099317C">
        <w:rPr>
          <w:noProof/>
        </w:rPr>
        <w:t>4 ograniczono to,</w:t>
      </w:r>
      <w:r w:rsidR="0099317C" w:rsidRPr="0099317C">
        <w:rPr>
          <w:noProof/>
        </w:rPr>
        <w:t xml:space="preserve"> w jak</w:t>
      </w:r>
      <w:r w:rsidRPr="0099317C">
        <w:rPr>
          <w:noProof/>
        </w:rPr>
        <w:t>i sposób strony, które uzyskały dostęp do akt postępowania</w:t>
      </w:r>
      <w:r w:rsidR="0099317C" w:rsidRPr="0099317C">
        <w:rPr>
          <w:noProof/>
        </w:rPr>
        <w:t xml:space="preserve"> w spr</w:t>
      </w:r>
      <w:r w:rsidRPr="0099317C">
        <w:rPr>
          <w:noProof/>
        </w:rPr>
        <w:t>awie stosowania prawa prowadzonego przez krajowe organy ochrony konkurencji, mogą wykorzystywać informacje pochodzące</w:t>
      </w:r>
      <w:r w:rsidR="0099317C" w:rsidRPr="0099317C">
        <w:rPr>
          <w:noProof/>
        </w:rPr>
        <w:t xml:space="preserve"> z ośw</w:t>
      </w:r>
      <w:r w:rsidRPr="0099317C">
        <w:rPr>
          <w:noProof/>
        </w:rPr>
        <w:t>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pozycji ugodowych</w:t>
      </w:r>
      <w:r w:rsidR="0099317C" w:rsidRPr="0099317C">
        <w:rPr>
          <w:noProof/>
        </w:rPr>
        <w:t>. W art</w:t>
      </w:r>
      <w:r w:rsidRPr="0099317C">
        <w:rPr>
          <w:noProof/>
        </w:rPr>
        <w:t>.</w:t>
      </w:r>
      <w:r w:rsidR="0099317C" w:rsidRPr="0099317C">
        <w:rPr>
          <w:noProof/>
        </w:rPr>
        <w:t> </w:t>
      </w:r>
      <w:r w:rsidRPr="0099317C">
        <w:rPr>
          <w:noProof/>
        </w:rPr>
        <w:t>31 ust.</w:t>
      </w:r>
      <w:r w:rsidR="0099317C" w:rsidRPr="0099317C">
        <w:rPr>
          <w:noProof/>
        </w:rPr>
        <w:t> </w:t>
      </w:r>
      <w:r w:rsidRPr="0099317C">
        <w:rPr>
          <w:noProof/>
        </w:rPr>
        <w:t>5 zakazano stronom wykorzystywania niektórych kategorii informacji</w:t>
      </w:r>
      <w:r w:rsidR="0099317C" w:rsidRPr="0099317C">
        <w:rPr>
          <w:noProof/>
        </w:rPr>
        <w:t xml:space="preserve"> w pos</w:t>
      </w:r>
      <w:r w:rsidRPr="0099317C">
        <w:rPr>
          <w:noProof/>
        </w:rPr>
        <w:t>tępowaniach przed sądami krajowymi do czasu zamknięcia przez krajowy organ ochrony konkurencji postępowania</w:t>
      </w:r>
      <w:r w:rsidR="0099317C" w:rsidRPr="0099317C">
        <w:rPr>
          <w:noProof/>
        </w:rPr>
        <w:t xml:space="preserve"> w spr</w:t>
      </w:r>
      <w:r w:rsidRPr="0099317C">
        <w:rPr>
          <w:noProof/>
        </w:rPr>
        <w:t>awie stosowania prawa. Ponadto</w:t>
      </w:r>
      <w:r w:rsidR="0099317C" w:rsidRPr="0099317C">
        <w:rPr>
          <w:noProof/>
        </w:rPr>
        <w:t xml:space="preserve"> w art</w:t>
      </w:r>
      <w:r w:rsidRPr="0099317C">
        <w:rPr>
          <w:noProof/>
        </w:rPr>
        <w:t>.</w:t>
      </w:r>
      <w:r w:rsidR="0099317C" w:rsidRPr="0099317C">
        <w:rPr>
          <w:noProof/>
        </w:rPr>
        <w:t> </w:t>
      </w:r>
      <w:r w:rsidRPr="0099317C">
        <w:rPr>
          <w:noProof/>
        </w:rPr>
        <w:t>31 ust.</w:t>
      </w:r>
      <w:r w:rsidR="0099317C" w:rsidRPr="0099317C">
        <w:rPr>
          <w:noProof/>
        </w:rPr>
        <w:t> </w:t>
      </w:r>
      <w:r w:rsidRPr="0099317C">
        <w:rPr>
          <w:noProof/>
        </w:rPr>
        <w:t>6 określono szczególne warunki wymiany oświadczeń</w:t>
      </w:r>
      <w:r w:rsidR="0099317C" w:rsidRPr="0099317C">
        <w:rPr>
          <w:noProof/>
        </w:rPr>
        <w:t xml:space="preserve"> w ram</w:t>
      </w:r>
      <w:r w:rsidRPr="0099317C">
        <w:rPr>
          <w:noProof/>
        </w:rPr>
        <w:t xml:space="preserve">ach programu łagodzenia kar między krajowymi organami ochrony konkurencji. </w:t>
      </w:r>
    </w:p>
    <w:p w14:paraId="138D473A" w14:textId="77777777" w:rsidR="00FD24D5" w:rsidRPr="0099317C" w:rsidRDefault="00FD24D5" w:rsidP="0036666E">
      <w:pPr>
        <w:autoSpaceDE w:val="0"/>
        <w:autoSpaceDN w:val="0"/>
        <w:adjustRightInd w:val="0"/>
        <w:spacing w:after="0"/>
        <w:rPr>
          <w:noProof/>
          <w:szCs w:val="24"/>
        </w:rPr>
      </w:pPr>
    </w:p>
    <w:p w14:paraId="4207FDA6" w14:textId="305CBC35" w:rsidR="00FD24D5" w:rsidRPr="0099317C" w:rsidRDefault="00FD24D5" w:rsidP="0036666E">
      <w:pPr>
        <w:autoSpaceDE w:val="0"/>
        <w:autoSpaceDN w:val="0"/>
        <w:adjustRightInd w:val="0"/>
        <w:spacing w:after="0"/>
        <w:rPr>
          <w:noProof/>
          <w:szCs w:val="24"/>
        </w:rPr>
      </w:pPr>
      <w:r w:rsidRPr="0099317C">
        <w:rPr>
          <w:noProof/>
        </w:rPr>
        <w:t>W art.</w:t>
      </w:r>
      <w:r w:rsidR="0099317C" w:rsidRPr="0099317C">
        <w:rPr>
          <w:noProof/>
        </w:rPr>
        <w:t> </w:t>
      </w:r>
      <w:r w:rsidRPr="0099317C">
        <w:rPr>
          <w:noProof/>
        </w:rPr>
        <w:t>32 zapewniono, aby wszystkie rodzaje środków dowodowych były dopuszczalne jako dowody przed krajowymi organami ochrony konkurencji, bez względu na ich formę oraz rodzaj nośnika, na którym są przechowywane.</w:t>
      </w:r>
    </w:p>
    <w:p w14:paraId="5192BAD8" w14:textId="77777777" w:rsidR="003A0CD2" w:rsidRPr="0099317C" w:rsidRDefault="003A0CD2" w:rsidP="0036666E">
      <w:pPr>
        <w:autoSpaceDE w:val="0"/>
        <w:autoSpaceDN w:val="0"/>
        <w:adjustRightInd w:val="0"/>
        <w:spacing w:after="0"/>
        <w:rPr>
          <w:noProof/>
          <w:szCs w:val="24"/>
        </w:rPr>
      </w:pPr>
    </w:p>
    <w:p w14:paraId="5CA1340F" w14:textId="1A6F26D8" w:rsidR="003A0CD2" w:rsidRPr="0099317C" w:rsidRDefault="003A0CD2" w:rsidP="0036666E">
      <w:pPr>
        <w:autoSpaceDE w:val="0"/>
        <w:autoSpaceDN w:val="0"/>
        <w:adjustRightInd w:val="0"/>
        <w:spacing w:after="0"/>
        <w:rPr>
          <w:noProof/>
          <w:szCs w:val="24"/>
        </w:rPr>
      </w:pPr>
      <w:r w:rsidRPr="0099317C">
        <w:rPr>
          <w:noProof/>
        </w:rPr>
        <w:t>Po transpozycji dyrektywy ECN+ krajowe organy ochrony konkurencji we wszystkich państwach członkowskich są uprawnione do wnoszenia spraw do sądów krajowych lub do ich obrony przed sądami krajowymi</w:t>
      </w:r>
      <w:r w:rsidR="0099317C" w:rsidRPr="0099317C">
        <w:rPr>
          <w:noProof/>
        </w:rPr>
        <w:t>. Z oce</w:t>
      </w:r>
      <w:r w:rsidRPr="0099317C">
        <w:rPr>
          <w:noProof/>
        </w:rPr>
        <w:t>n zgodności wynika jednak, że</w:t>
      </w:r>
      <w:r w:rsidR="0099317C" w:rsidRPr="0099317C">
        <w:rPr>
          <w:noProof/>
        </w:rPr>
        <w:t xml:space="preserve"> w nie</w:t>
      </w:r>
      <w:r w:rsidRPr="0099317C">
        <w:rPr>
          <w:noProof/>
        </w:rPr>
        <w:t>których państwach członkowskich krajowe organy ochrony konkurencji nie dysponują prawem do wniesienia odwołania od odmowy udzielenia przez krajowy organ sądowy uprzedniej zgody na kontrole.</w:t>
      </w:r>
    </w:p>
    <w:p w14:paraId="6391940B" w14:textId="77777777" w:rsidR="001E41AE" w:rsidRPr="0099317C" w:rsidRDefault="001E41AE" w:rsidP="0036666E">
      <w:pPr>
        <w:autoSpaceDE w:val="0"/>
        <w:autoSpaceDN w:val="0"/>
        <w:adjustRightInd w:val="0"/>
        <w:spacing w:after="0"/>
        <w:rPr>
          <w:noProof/>
          <w:szCs w:val="24"/>
        </w:rPr>
      </w:pPr>
    </w:p>
    <w:p w14:paraId="5245CA65" w14:textId="513AD65B" w:rsidR="0050707E" w:rsidRPr="0099317C" w:rsidRDefault="0023571F" w:rsidP="0069023B">
      <w:pPr>
        <w:autoSpaceDE w:val="0"/>
        <w:autoSpaceDN w:val="0"/>
        <w:adjustRightInd w:val="0"/>
        <w:spacing w:after="0"/>
        <w:rPr>
          <w:noProof/>
        </w:rPr>
      </w:pPr>
      <w:r w:rsidRPr="0099317C">
        <w:rPr>
          <w:noProof/>
        </w:rPr>
        <w:t>We wszystkich państwach członkowskich krajowe organy ochrony konkurencji</w:t>
      </w:r>
      <w:r w:rsidR="0099317C" w:rsidRPr="0099317C">
        <w:rPr>
          <w:noProof/>
        </w:rPr>
        <w:t xml:space="preserve"> i ich</w:t>
      </w:r>
      <w:r w:rsidRPr="0099317C">
        <w:rPr>
          <w:noProof/>
        </w:rPr>
        <w:t xml:space="preserve"> pracownicy podlegają obowiązkowi zachowania tajemnicy zawodowej. Ponadto wszystkie państwa członkowskie przewidują</w:t>
      </w:r>
      <w:r w:rsidR="0099317C" w:rsidRPr="0099317C">
        <w:rPr>
          <w:noProof/>
        </w:rPr>
        <w:t xml:space="preserve"> w swo</w:t>
      </w:r>
      <w:r w:rsidRPr="0099317C">
        <w:rPr>
          <w:noProof/>
        </w:rPr>
        <w:t>im prawie krajowym pewne ograniczenia dotyczące wykorzystania niektórych kategorii informacji,</w:t>
      </w:r>
      <w:r w:rsidR="0099317C" w:rsidRPr="0099317C">
        <w:rPr>
          <w:noProof/>
        </w:rPr>
        <w:t xml:space="preserve"> w szc</w:t>
      </w:r>
      <w:r w:rsidRPr="0099317C">
        <w:rPr>
          <w:noProof/>
        </w:rPr>
        <w:t>zególności oświadczeń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 xml:space="preserve">pozycji ugodowych. </w:t>
      </w:r>
    </w:p>
    <w:p w14:paraId="6534C44D" w14:textId="77777777" w:rsidR="0050707E" w:rsidRPr="0099317C" w:rsidRDefault="0050707E" w:rsidP="0069023B">
      <w:pPr>
        <w:autoSpaceDE w:val="0"/>
        <w:autoSpaceDN w:val="0"/>
        <w:adjustRightInd w:val="0"/>
        <w:spacing w:after="0"/>
        <w:rPr>
          <w:noProof/>
        </w:rPr>
      </w:pPr>
    </w:p>
    <w:p w14:paraId="4EEFD179" w14:textId="45FBD9AF" w:rsidR="008476A5" w:rsidRPr="0099317C" w:rsidRDefault="003B7975" w:rsidP="0069023B">
      <w:pPr>
        <w:autoSpaceDE w:val="0"/>
        <w:autoSpaceDN w:val="0"/>
        <w:adjustRightInd w:val="0"/>
        <w:spacing w:after="0"/>
        <w:rPr>
          <w:noProof/>
          <w:szCs w:val="24"/>
        </w:rPr>
      </w:pPr>
      <w:r w:rsidRPr="0099317C">
        <w:rPr>
          <w:noProof/>
        </w:rPr>
        <w:t>Oceny zgodności wykazują jednak pewne ograniczenia</w:t>
      </w:r>
      <w:r w:rsidR="0099317C" w:rsidRPr="0099317C">
        <w:rPr>
          <w:noProof/>
        </w:rPr>
        <w:t>. W zde</w:t>
      </w:r>
      <w:r w:rsidRPr="0099317C">
        <w:rPr>
          <w:noProof/>
        </w:rPr>
        <w:t>cydowanej większości państw członkowskich prawo krajowe nie ogranicza dostępu do oświadczeń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pozycji ugodowych we wszystkich odnośnych postępowaniach,</w:t>
      </w:r>
      <w:r w:rsidR="0099317C" w:rsidRPr="0099317C">
        <w:rPr>
          <w:noProof/>
        </w:rPr>
        <w:t xml:space="preserve"> w któ</w:t>
      </w:r>
      <w:r w:rsidRPr="0099317C">
        <w:rPr>
          <w:noProof/>
        </w:rPr>
        <w:t>rych dokumenty te mogą być wykorzystywane</w:t>
      </w:r>
      <w:r w:rsidR="0099317C" w:rsidRPr="0099317C">
        <w:rPr>
          <w:noProof/>
        </w:rPr>
        <w:t>. W kil</w:t>
      </w:r>
      <w:r w:rsidRPr="0099317C">
        <w:rPr>
          <w:noProof/>
        </w:rPr>
        <w:t>ku państwach członkowskich wykorzystanie informacji uzyskanych</w:t>
      </w:r>
      <w:r w:rsidR="0099317C" w:rsidRPr="0099317C">
        <w:rPr>
          <w:noProof/>
        </w:rPr>
        <w:t xml:space="preserve"> z ośw</w:t>
      </w:r>
      <w:r w:rsidRPr="0099317C">
        <w:rPr>
          <w:noProof/>
        </w:rPr>
        <w:t>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pozycji ugodowych poprzez dostęp do akt nie jest wyraźnie ograniczone do szczególnych okoliczności opisanych</w:t>
      </w:r>
      <w:r w:rsidR="0099317C" w:rsidRPr="0099317C">
        <w:rPr>
          <w:noProof/>
        </w:rPr>
        <w:t xml:space="preserve"> w dyr</w:t>
      </w:r>
      <w:r w:rsidRPr="0099317C">
        <w:rPr>
          <w:noProof/>
        </w:rPr>
        <w:t>ektywie ECN+. Ponadto</w:t>
      </w:r>
      <w:r w:rsidR="0099317C" w:rsidRPr="0099317C">
        <w:rPr>
          <w:noProof/>
        </w:rPr>
        <w:t xml:space="preserve"> w nie</w:t>
      </w:r>
      <w:r w:rsidRPr="0099317C">
        <w:rPr>
          <w:noProof/>
        </w:rPr>
        <w:t>których państwach członkowskich ograniczenie dotyczące wykorzystania niektórych kategorii informacji</w:t>
      </w:r>
      <w:r w:rsidR="0099317C" w:rsidRPr="0099317C">
        <w:rPr>
          <w:noProof/>
        </w:rPr>
        <w:t xml:space="preserve"> w tok</w:t>
      </w:r>
      <w:r w:rsidRPr="0099317C">
        <w:rPr>
          <w:noProof/>
        </w:rPr>
        <w:t>u postępowania</w:t>
      </w:r>
      <w:r w:rsidR="0099317C" w:rsidRPr="0099317C">
        <w:rPr>
          <w:noProof/>
        </w:rPr>
        <w:t xml:space="preserve"> w spr</w:t>
      </w:r>
      <w:r w:rsidRPr="0099317C">
        <w:rPr>
          <w:noProof/>
        </w:rPr>
        <w:t xml:space="preserve">awie stosowania prawa przez krajowy organ ochrony konkurencji albo nie jest przewidziane, albo nie obejmuje wszystkich krajowych postępowań sądowych. </w:t>
      </w:r>
    </w:p>
    <w:p w14:paraId="3D312E9E" w14:textId="77777777" w:rsidR="006D617E" w:rsidRPr="0099317C" w:rsidRDefault="006D617E" w:rsidP="0069023B">
      <w:pPr>
        <w:autoSpaceDE w:val="0"/>
        <w:autoSpaceDN w:val="0"/>
        <w:adjustRightInd w:val="0"/>
        <w:spacing w:after="0"/>
        <w:rPr>
          <w:noProof/>
          <w:szCs w:val="24"/>
        </w:rPr>
      </w:pPr>
    </w:p>
    <w:p w14:paraId="10AA56D1" w14:textId="1BA6FEEC" w:rsidR="006D617E" w:rsidRPr="0099317C" w:rsidRDefault="006D617E" w:rsidP="0069023B">
      <w:pPr>
        <w:autoSpaceDE w:val="0"/>
        <w:autoSpaceDN w:val="0"/>
        <w:adjustRightInd w:val="0"/>
        <w:spacing w:after="0"/>
        <w:rPr>
          <w:noProof/>
          <w:szCs w:val="24"/>
        </w:rPr>
      </w:pPr>
      <w:r w:rsidRPr="0099317C">
        <w:rPr>
          <w:noProof/>
        </w:rPr>
        <w:t xml:space="preserve">We wszystkich państwach członkowskich wszystkie rodzaje środków dowodowych są dopuszczalne jako dowody przed krajowymi organami ochrony konkurencji, bez względu na ich formę oraz rodzaj nośnika, na którym są przechowywane. </w:t>
      </w:r>
    </w:p>
    <w:p w14:paraId="2773A790" w14:textId="18971DED" w:rsidR="00572EE8" w:rsidRPr="0099317C" w:rsidRDefault="00F25EC3" w:rsidP="00DD058A">
      <w:pPr>
        <w:pStyle w:val="Heading1"/>
        <w:rPr>
          <w:noProof/>
        </w:rPr>
      </w:pPr>
      <w:r w:rsidRPr="0099317C">
        <w:rPr>
          <w:noProof/>
        </w:rPr>
        <w:t>Oczekiwane zmiany</w:t>
      </w:r>
      <w:r w:rsidR="0099317C" w:rsidRPr="0099317C">
        <w:rPr>
          <w:noProof/>
        </w:rPr>
        <w:t xml:space="preserve"> w orz</w:t>
      </w:r>
      <w:r w:rsidRPr="0099317C">
        <w:rPr>
          <w:noProof/>
        </w:rPr>
        <w:t>ecznictwie dotyczącym dyrektywy ECN+</w:t>
      </w:r>
    </w:p>
    <w:p w14:paraId="445A1CD2" w14:textId="66F6356A" w:rsidR="00A86AAB" w:rsidRPr="0099317C" w:rsidRDefault="003E4E6C" w:rsidP="00A86AAB">
      <w:pPr>
        <w:rPr>
          <w:noProof/>
        </w:rPr>
      </w:pPr>
      <w:r w:rsidRPr="0099317C">
        <w:rPr>
          <w:noProof/>
        </w:rPr>
        <w:t>Po przyjęciu dyrektywy ECN+ do TSUE zostało złożonych szereg wniosków</w:t>
      </w:r>
      <w:r w:rsidR="0099317C" w:rsidRPr="0099317C">
        <w:rPr>
          <w:noProof/>
        </w:rPr>
        <w:t xml:space="preserve"> o wyd</w:t>
      </w:r>
      <w:r w:rsidRPr="0099317C">
        <w:rPr>
          <w:noProof/>
        </w:rPr>
        <w:t>anie orzeczenia</w:t>
      </w:r>
      <w:r w:rsidR="0099317C" w:rsidRPr="0099317C">
        <w:rPr>
          <w:noProof/>
        </w:rPr>
        <w:t xml:space="preserve"> w try</w:t>
      </w:r>
      <w:r w:rsidRPr="0099317C">
        <w:rPr>
          <w:noProof/>
        </w:rPr>
        <w:t>bie prejudycjalnym dotyczących obowiązków wynikających</w:t>
      </w:r>
      <w:r w:rsidR="0099317C" w:rsidRPr="0099317C">
        <w:rPr>
          <w:noProof/>
        </w:rPr>
        <w:t xml:space="preserve"> z dyr</w:t>
      </w:r>
      <w:r w:rsidRPr="0099317C">
        <w:rPr>
          <w:noProof/>
        </w:rPr>
        <w:t xml:space="preserve">ektywy ECN+. </w:t>
      </w:r>
    </w:p>
    <w:p w14:paraId="40E15013" w14:textId="7DD4BB21" w:rsidR="00103029" w:rsidRPr="0099317C" w:rsidRDefault="00591E69" w:rsidP="00A86AAB">
      <w:pPr>
        <w:rPr>
          <w:i/>
          <w:noProof/>
        </w:rPr>
      </w:pPr>
      <w:r w:rsidRPr="0099317C">
        <w:rPr>
          <w:noProof/>
        </w:rPr>
        <w:t>Sprawa C-2/23, FL und KM Baugesellschaft i S, jest wnioskiem Austrii</w:t>
      </w:r>
      <w:r w:rsidR="0099317C" w:rsidRPr="0099317C">
        <w:rPr>
          <w:noProof/>
        </w:rPr>
        <w:t xml:space="preserve"> o udz</w:t>
      </w:r>
      <w:r w:rsidRPr="0099317C">
        <w:rPr>
          <w:noProof/>
        </w:rPr>
        <w:t>ielenie wskazówek co do tego, czy prawo krajowe może zezwalać prokuratorom na dostęp do oświadczeń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pozycji ugodowych oraz na korzystanie</w:t>
      </w:r>
      <w:r w:rsidR="0099317C" w:rsidRPr="0099317C">
        <w:rPr>
          <w:noProof/>
        </w:rPr>
        <w:t xml:space="preserve"> z nic</w:t>
      </w:r>
      <w:r w:rsidRPr="0099317C">
        <w:rPr>
          <w:noProof/>
        </w:rPr>
        <w:t>h. Oczekuje się, że wyrok TSUE zapewni wytyczne dotyczące ochrony oświadczeń</w:t>
      </w:r>
      <w:r w:rsidR="0099317C" w:rsidRPr="0099317C">
        <w:rPr>
          <w:noProof/>
        </w:rPr>
        <w:t xml:space="preserve"> w ram</w:t>
      </w:r>
      <w:r w:rsidRPr="0099317C">
        <w:rPr>
          <w:noProof/>
        </w:rPr>
        <w:t>ach programu łagodzenia kar</w:t>
      </w:r>
      <w:r w:rsidR="0099317C" w:rsidRPr="0099317C">
        <w:rPr>
          <w:noProof/>
        </w:rPr>
        <w:t xml:space="preserve"> i pro</w:t>
      </w:r>
      <w:r w:rsidRPr="0099317C">
        <w:rPr>
          <w:noProof/>
        </w:rPr>
        <w:t>pozycji ugodowych (art.</w:t>
      </w:r>
      <w:r w:rsidR="0099317C" w:rsidRPr="0099317C">
        <w:rPr>
          <w:noProof/>
        </w:rPr>
        <w:t> </w:t>
      </w:r>
      <w:r w:rsidRPr="0099317C">
        <w:rPr>
          <w:noProof/>
        </w:rPr>
        <w:t>31 ust.</w:t>
      </w:r>
      <w:r w:rsidR="0099317C" w:rsidRPr="0099317C">
        <w:rPr>
          <w:noProof/>
        </w:rPr>
        <w:t> </w:t>
      </w:r>
      <w:r w:rsidRPr="0099317C">
        <w:rPr>
          <w:noProof/>
        </w:rPr>
        <w:t>3)</w:t>
      </w:r>
      <w:r w:rsidR="0099317C" w:rsidRPr="0099317C">
        <w:rPr>
          <w:noProof/>
        </w:rPr>
        <w:t xml:space="preserve"> w kon</w:t>
      </w:r>
      <w:r w:rsidRPr="0099317C">
        <w:rPr>
          <w:noProof/>
        </w:rPr>
        <w:t>tekście współpracy między krajowymi organami ochrony konkurencji</w:t>
      </w:r>
      <w:r w:rsidR="0099317C" w:rsidRPr="0099317C">
        <w:rPr>
          <w:noProof/>
        </w:rPr>
        <w:t xml:space="preserve"> a inn</w:t>
      </w:r>
      <w:r w:rsidRPr="0099317C">
        <w:rPr>
          <w:noProof/>
        </w:rPr>
        <w:t xml:space="preserve">ymi organami regulacyjnymi lub organami ścigania. </w:t>
      </w:r>
    </w:p>
    <w:p w14:paraId="0120520C" w14:textId="5407C38C" w:rsidR="00436A70" w:rsidRPr="0099317C" w:rsidRDefault="00C16A3D" w:rsidP="009E0B29">
      <w:pPr>
        <w:rPr>
          <w:noProof/>
        </w:rPr>
      </w:pPr>
      <w:r w:rsidRPr="0099317C">
        <w:rPr>
          <w:noProof/>
        </w:rPr>
        <w:t>Sprawy połączone od C-258/23 do C260/23, Imagens Médicas Integradas i in.,</w:t>
      </w:r>
      <w:r w:rsidR="0099317C" w:rsidRPr="0099317C">
        <w:rPr>
          <w:noProof/>
        </w:rPr>
        <w:t xml:space="preserve"> a tak</w:t>
      </w:r>
      <w:r w:rsidRPr="0099317C">
        <w:rPr>
          <w:noProof/>
        </w:rPr>
        <w:t>że sprawy C-132/24, Apap i in., oraz C-195/24, Blueotter i in., są wnioskami Portugalii</w:t>
      </w:r>
      <w:r w:rsidR="0099317C" w:rsidRPr="0099317C">
        <w:rPr>
          <w:noProof/>
        </w:rPr>
        <w:t xml:space="preserve"> o udz</w:t>
      </w:r>
      <w:r w:rsidRPr="0099317C">
        <w:rPr>
          <w:noProof/>
        </w:rPr>
        <w:t>ielenie wskazówek co do tego, czy korespondencja elektroniczna może zostać zatrzymana podczas kontroli</w:t>
      </w:r>
      <w:r w:rsidR="0099317C" w:rsidRPr="0099317C">
        <w:rPr>
          <w:noProof/>
        </w:rPr>
        <w:t xml:space="preserve"> w lok</w:t>
      </w:r>
      <w:r w:rsidRPr="0099317C">
        <w:rPr>
          <w:noProof/>
        </w:rPr>
        <w:t xml:space="preserve">alach przedsiębiorstwa bez uprzedniej zgody organu sądowego. </w:t>
      </w:r>
      <w:r w:rsidRPr="0099317C">
        <w:rPr>
          <w:noProof/>
          <w:color w:val="000000"/>
          <w:shd w:val="clear" w:color="auto" w:fill="FFFFFF"/>
        </w:rPr>
        <w:t>Sprawa C-619/23, Ronos, to wniosek Bułgarii</w:t>
      </w:r>
      <w:r w:rsidR="0099317C" w:rsidRPr="0099317C">
        <w:rPr>
          <w:noProof/>
        </w:rPr>
        <w:t xml:space="preserve"> o udz</w:t>
      </w:r>
      <w:r w:rsidRPr="0099317C">
        <w:rPr>
          <w:noProof/>
        </w:rPr>
        <w:t>ielenie wskazówek co do tego, czy gwarancje konstytucyjne mogą ograniczyć uprawnienie do przeszukiwania korespondencji czatu</w:t>
      </w:r>
      <w:r w:rsidR="0099317C" w:rsidRPr="0099317C">
        <w:rPr>
          <w:noProof/>
        </w:rPr>
        <w:t xml:space="preserve"> w apl</w:t>
      </w:r>
      <w:r w:rsidRPr="0099317C">
        <w:rPr>
          <w:noProof/>
        </w:rPr>
        <w:t>ikacji na laptopie znalezionym podczas kontroli lokalu przedsiębiorstwa. Oczekuje się, że te orzeczenia TSUE będą zawierać wyjaśnienia dotyczące uprawnień kontrolnych (art.</w:t>
      </w:r>
      <w:r w:rsidR="0099317C" w:rsidRPr="0099317C">
        <w:rPr>
          <w:noProof/>
        </w:rPr>
        <w:t> </w:t>
      </w:r>
      <w:r w:rsidRPr="0099317C">
        <w:rPr>
          <w:noProof/>
        </w:rPr>
        <w:t>6), dopuszczalności dowodów (art.</w:t>
      </w:r>
      <w:r w:rsidR="0099317C" w:rsidRPr="0099317C">
        <w:rPr>
          <w:noProof/>
        </w:rPr>
        <w:t> </w:t>
      </w:r>
      <w:r w:rsidRPr="0099317C">
        <w:rPr>
          <w:noProof/>
        </w:rPr>
        <w:t xml:space="preserve">32) oraz obowiązku państw członkowskich do </w:t>
      </w:r>
      <w:r w:rsidRPr="0099317C">
        <w:rPr>
          <w:noProof/>
          <w:color w:val="000000"/>
          <w:shd w:val="clear" w:color="auto" w:fill="FFFFFF"/>
        </w:rPr>
        <w:t>opracowania gwarancji proceduralnych</w:t>
      </w:r>
      <w:r w:rsidR="0099317C" w:rsidRPr="0099317C">
        <w:rPr>
          <w:noProof/>
          <w:color w:val="000000"/>
          <w:shd w:val="clear" w:color="auto" w:fill="FFFFFF"/>
        </w:rPr>
        <w:t xml:space="preserve"> w spo</w:t>
      </w:r>
      <w:r w:rsidRPr="0099317C">
        <w:rPr>
          <w:noProof/>
          <w:color w:val="000000"/>
          <w:shd w:val="clear" w:color="auto" w:fill="FFFFFF"/>
        </w:rPr>
        <w:t>sób zapewniający równowagę między prawami podstawowymi przedsiębiorstw</w:t>
      </w:r>
      <w:r w:rsidR="0099317C" w:rsidRPr="0099317C">
        <w:rPr>
          <w:noProof/>
          <w:color w:val="000000"/>
          <w:shd w:val="clear" w:color="auto" w:fill="FFFFFF"/>
        </w:rPr>
        <w:t xml:space="preserve"> a obo</w:t>
      </w:r>
      <w:r w:rsidRPr="0099317C">
        <w:rPr>
          <w:noProof/>
          <w:color w:val="000000"/>
          <w:shd w:val="clear" w:color="auto" w:fill="FFFFFF"/>
        </w:rPr>
        <w:t>wiązkiem zapewnienia skutecznego egzekwowania unijnych przepisów antymonopolowych (motyw 14).</w:t>
      </w:r>
    </w:p>
    <w:p w14:paraId="67FA0324" w14:textId="2FA1A282" w:rsidR="001612F6" w:rsidRPr="0099317C" w:rsidRDefault="001612F6" w:rsidP="009E0B29">
      <w:pPr>
        <w:rPr>
          <w:noProof/>
        </w:rPr>
      </w:pPr>
      <w:r w:rsidRPr="0099317C">
        <w:rPr>
          <w:noProof/>
        </w:rPr>
        <w:t>Sprawa C-511/23, Caronte &amp; Tourist SpA, jest wnioskiem Włoch</w:t>
      </w:r>
      <w:r w:rsidR="0099317C" w:rsidRPr="0099317C">
        <w:rPr>
          <w:noProof/>
        </w:rPr>
        <w:t xml:space="preserve"> o udz</w:t>
      </w:r>
      <w:r w:rsidRPr="0099317C">
        <w:rPr>
          <w:noProof/>
        </w:rPr>
        <w:t>ielenie wskazówek co do tego, czy terminy na przeprowadzenie przez krajowe organy ochrony konkurencji wstępnego dochodzenia</w:t>
      </w:r>
      <w:r w:rsidR="0099317C" w:rsidRPr="0099317C">
        <w:rPr>
          <w:noProof/>
        </w:rPr>
        <w:t xml:space="preserve"> w spr</w:t>
      </w:r>
      <w:r w:rsidRPr="0099317C">
        <w:rPr>
          <w:noProof/>
        </w:rPr>
        <w:t>awie skarg są zgodne ze skutecznym egzekwowaniem unijnych przepisów antymonopolowych. Orzeczenie TSUE może również dotyczyć wpływu, jaki takie terminy mogłyby mieć na uprawnienia krajowych organów ochrony konkurencji do ustalania priorytetów</w:t>
      </w:r>
      <w:r w:rsidR="0099317C" w:rsidRPr="0099317C">
        <w:rPr>
          <w:noProof/>
        </w:rPr>
        <w:t xml:space="preserve"> w zak</w:t>
      </w:r>
      <w:r w:rsidRPr="0099317C">
        <w:rPr>
          <w:noProof/>
        </w:rPr>
        <w:t>resie egzekwowania prawa (art.</w:t>
      </w:r>
      <w:r w:rsidR="0099317C" w:rsidRPr="0099317C">
        <w:rPr>
          <w:noProof/>
        </w:rPr>
        <w:t> </w:t>
      </w:r>
      <w:r w:rsidRPr="0099317C">
        <w:rPr>
          <w:noProof/>
        </w:rPr>
        <w:t>4 ust.</w:t>
      </w:r>
      <w:r w:rsidR="0099317C" w:rsidRPr="0099317C">
        <w:rPr>
          <w:noProof/>
        </w:rPr>
        <w:t> </w:t>
      </w:r>
      <w:r w:rsidRPr="0099317C">
        <w:rPr>
          <w:noProof/>
        </w:rPr>
        <w:t xml:space="preserve">5). </w:t>
      </w:r>
    </w:p>
    <w:p w14:paraId="3DBF22D8" w14:textId="3668CEBC" w:rsidR="00DF420B" w:rsidRPr="0099317C" w:rsidRDefault="006F375F" w:rsidP="008928E1">
      <w:pPr>
        <w:spacing w:after="0"/>
        <w:rPr>
          <w:noProof/>
        </w:rPr>
      </w:pPr>
      <w:r w:rsidRPr="0099317C">
        <w:rPr>
          <w:noProof/>
        </w:rPr>
        <w:t>Wreszcie sprawa C-588/24, Imballaggi Piemontesi, jest wnioskiem Włoch</w:t>
      </w:r>
      <w:r w:rsidR="0099317C" w:rsidRPr="0099317C">
        <w:rPr>
          <w:noProof/>
        </w:rPr>
        <w:t xml:space="preserve"> o udz</w:t>
      </w:r>
      <w:r w:rsidRPr="0099317C">
        <w:rPr>
          <w:noProof/>
        </w:rPr>
        <w:t>ielenie wskazówek co do tego, czy przepis krajowy, który zezwala organowi ochrony konkurencji, pod pewnymi warunkami</w:t>
      </w:r>
      <w:r w:rsidR="0099317C" w:rsidRPr="0099317C">
        <w:rPr>
          <w:noProof/>
        </w:rPr>
        <w:t xml:space="preserve"> i z odp</w:t>
      </w:r>
      <w:r w:rsidRPr="0099317C">
        <w:rPr>
          <w:noProof/>
        </w:rPr>
        <w:t>owiednim uzasadnieniem, na przedłużenie terminów,</w:t>
      </w:r>
      <w:r w:rsidR="0099317C" w:rsidRPr="0099317C">
        <w:rPr>
          <w:noProof/>
        </w:rPr>
        <w:t xml:space="preserve"> w któ</w:t>
      </w:r>
      <w:r w:rsidRPr="0099317C">
        <w:rPr>
          <w:noProof/>
        </w:rPr>
        <w:t>rych należy zakończyć postępowanie</w:t>
      </w:r>
      <w:r w:rsidR="0099317C" w:rsidRPr="0099317C">
        <w:rPr>
          <w:noProof/>
        </w:rPr>
        <w:t xml:space="preserve"> w spr</w:t>
      </w:r>
      <w:r w:rsidRPr="0099317C">
        <w:rPr>
          <w:noProof/>
        </w:rPr>
        <w:t>awie stosowania prawa, jest zgodny</w:t>
      </w:r>
      <w:r w:rsidR="0099317C" w:rsidRPr="0099317C">
        <w:rPr>
          <w:noProof/>
        </w:rPr>
        <w:t xml:space="preserve"> z obo</w:t>
      </w:r>
      <w:r w:rsidRPr="0099317C">
        <w:rPr>
          <w:noProof/>
        </w:rPr>
        <w:t>wiązkiem przeprowadzenia postępowania</w:t>
      </w:r>
      <w:r w:rsidR="0099317C" w:rsidRPr="0099317C">
        <w:rPr>
          <w:noProof/>
        </w:rPr>
        <w:t xml:space="preserve"> w roz</w:t>
      </w:r>
      <w:r w:rsidRPr="0099317C">
        <w:rPr>
          <w:noProof/>
        </w:rPr>
        <w:t>sądnych ramach czasowych (art.</w:t>
      </w:r>
      <w:r w:rsidR="0099317C" w:rsidRPr="0099317C">
        <w:rPr>
          <w:noProof/>
        </w:rPr>
        <w:t> </w:t>
      </w:r>
      <w:r w:rsidRPr="0099317C">
        <w:rPr>
          <w:noProof/>
        </w:rPr>
        <w:t>3 ust.</w:t>
      </w:r>
      <w:r w:rsidR="0099317C" w:rsidRPr="0099317C">
        <w:rPr>
          <w:noProof/>
        </w:rPr>
        <w:t> </w:t>
      </w:r>
      <w:r w:rsidRPr="0099317C">
        <w:rPr>
          <w:noProof/>
        </w:rPr>
        <w:t xml:space="preserve">3). </w:t>
      </w:r>
    </w:p>
    <w:p w14:paraId="59901A60" w14:textId="164E6A1B" w:rsidR="00F134D9" w:rsidRPr="0099317C" w:rsidRDefault="00572EE8" w:rsidP="00F134D9">
      <w:pPr>
        <w:pStyle w:val="Heading1"/>
        <w:rPr>
          <w:noProof/>
        </w:rPr>
      </w:pPr>
      <w:r w:rsidRPr="0099317C">
        <w:rPr>
          <w:noProof/>
        </w:rPr>
        <w:t>Wniosek</w:t>
      </w:r>
    </w:p>
    <w:p w14:paraId="102D0F96" w14:textId="62A3E6B6" w:rsidR="003B3860" w:rsidRPr="0099317C" w:rsidRDefault="006F6073" w:rsidP="00411D1B">
      <w:pPr>
        <w:rPr>
          <w:noProof/>
        </w:rPr>
      </w:pPr>
      <w:r w:rsidRPr="0099317C">
        <w:rPr>
          <w:noProof/>
        </w:rPr>
        <w:t>Dyrektywa ECN+ ma na celu nadanie krajowym organom ochrony konkurencji uprawnień</w:t>
      </w:r>
      <w:r w:rsidR="0099317C" w:rsidRPr="0099317C">
        <w:rPr>
          <w:noProof/>
        </w:rPr>
        <w:t xml:space="preserve"> w cel</w:t>
      </w:r>
      <w:r w:rsidRPr="0099317C">
        <w:rPr>
          <w:noProof/>
        </w:rPr>
        <w:t>u zapewnienia skuteczniejszego egzekwowania unijnych przepisów antymonopolowych poprzez wprowadzenie minimalnego zestawu gwarancji niezależności oraz uprawnień</w:t>
      </w:r>
      <w:r w:rsidR="0099317C" w:rsidRPr="0099317C">
        <w:rPr>
          <w:noProof/>
        </w:rPr>
        <w:t xml:space="preserve"> w zak</w:t>
      </w:r>
      <w:r w:rsidRPr="0099317C">
        <w:rPr>
          <w:noProof/>
        </w:rPr>
        <w:t>resie prowadzenia postępowań wyjaśniających, podejmowania decyzji</w:t>
      </w:r>
      <w:r w:rsidR="0099317C" w:rsidRPr="0099317C">
        <w:rPr>
          <w:noProof/>
        </w:rPr>
        <w:t xml:space="preserve"> i nak</w:t>
      </w:r>
      <w:r w:rsidRPr="0099317C">
        <w:rPr>
          <w:noProof/>
        </w:rPr>
        <w:t>ładania kar, harmonizację programów łagodzenia kar oraz zacieśnienie współpracy między krajowymi organami ochrony konkurencji. Dyrektywa ECN+ stanowi zatem uzupełnienie zdecentralizowanego systemu egzekwowania prawa wprowadzonego rozporządzeniem (WE) nr</w:t>
      </w:r>
      <w:r w:rsidR="0099317C" w:rsidRPr="0099317C">
        <w:rPr>
          <w:noProof/>
        </w:rPr>
        <w:t> </w:t>
      </w:r>
      <w:r w:rsidRPr="0099317C">
        <w:rPr>
          <w:noProof/>
        </w:rPr>
        <w:t>1/2003, które upoważniło krajowe organy ochrony konkurencji do egzekwowania unijnych przepisów antymonopolowych bez przyznawania im zharmonizowanych uprawnień wykonawczych.</w:t>
      </w:r>
    </w:p>
    <w:p w14:paraId="36D0437E" w14:textId="3053BFA2" w:rsidR="00C01DDE" w:rsidRPr="0099317C" w:rsidRDefault="00411D1B" w:rsidP="00411D1B">
      <w:pPr>
        <w:rPr>
          <w:noProof/>
        </w:rPr>
      </w:pPr>
      <w:r w:rsidRPr="0099317C">
        <w:rPr>
          <w:noProof/>
        </w:rPr>
        <w:t>Wszystkie państwa członkowskie</w:t>
      </w:r>
      <w:r w:rsidR="0099317C" w:rsidRPr="0099317C">
        <w:rPr>
          <w:noProof/>
        </w:rPr>
        <w:t xml:space="preserve"> z wyj</w:t>
      </w:r>
      <w:r w:rsidRPr="0099317C">
        <w:rPr>
          <w:noProof/>
        </w:rPr>
        <w:t>ątkiem jednego dokonały transpozycji głównych przepisów dyrektywy, chociaż większość</w:t>
      </w:r>
      <w:r w:rsidR="0099317C" w:rsidRPr="0099317C">
        <w:rPr>
          <w:noProof/>
        </w:rPr>
        <w:t xml:space="preserve"> z nic</w:t>
      </w:r>
      <w:r w:rsidRPr="0099317C">
        <w:rPr>
          <w:noProof/>
        </w:rPr>
        <w:t>h dokonała tego</w:t>
      </w:r>
      <w:r w:rsidR="0099317C" w:rsidRPr="0099317C">
        <w:rPr>
          <w:noProof/>
        </w:rPr>
        <w:t xml:space="preserve"> z opó</w:t>
      </w:r>
      <w:r w:rsidRPr="0099317C">
        <w:rPr>
          <w:noProof/>
        </w:rPr>
        <w:t xml:space="preserve">źnieniem. </w:t>
      </w:r>
    </w:p>
    <w:p w14:paraId="7A3CAC86" w14:textId="0CDF27D3" w:rsidR="00C01DDE" w:rsidRPr="0099317C" w:rsidRDefault="00C01DDE" w:rsidP="00ED51D9">
      <w:pPr>
        <w:rPr>
          <w:noProof/>
        </w:rPr>
      </w:pPr>
      <w:r w:rsidRPr="0099317C">
        <w:rPr>
          <w:noProof/>
        </w:rPr>
        <w:t>Komisja będzie nadal oceniać</w:t>
      </w:r>
      <w:r w:rsidR="0099317C" w:rsidRPr="0099317C">
        <w:rPr>
          <w:noProof/>
        </w:rPr>
        <w:t xml:space="preserve"> i mon</w:t>
      </w:r>
      <w:r w:rsidRPr="0099317C">
        <w:rPr>
          <w:noProof/>
        </w:rPr>
        <w:t>itorować przestrzeganie przez państwa członkowskie dyrektywy ECN+ oraz podejmie odpowiednie środki, obejmujące</w:t>
      </w:r>
      <w:r w:rsidR="0099317C" w:rsidRPr="0099317C">
        <w:rPr>
          <w:noProof/>
        </w:rPr>
        <w:t xml:space="preserve"> w raz</w:t>
      </w:r>
      <w:r w:rsidRPr="0099317C">
        <w:rPr>
          <w:noProof/>
        </w:rPr>
        <w:t>ie konieczności wszczęcie postępowania</w:t>
      </w:r>
      <w:r w:rsidR="0099317C" w:rsidRPr="0099317C">
        <w:rPr>
          <w:noProof/>
        </w:rPr>
        <w:t xml:space="preserve"> w spr</w:t>
      </w:r>
      <w:r w:rsidRPr="0099317C">
        <w:rPr>
          <w:noProof/>
        </w:rPr>
        <w:t>awie uchybienia zobowiązaniom państwa członkowskiego, aby zapewnić pełną</w:t>
      </w:r>
      <w:r w:rsidR="0099317C" w:rsidRPr="0099317C">
        <w:rPr>
          <w:noProof/>
        </w:rPr>
        <w:t xml:space="preserve"> i pra</w:t>
      </w:r>
      <w:r w:rsidRPr="0099317C">
        <w:rPr>
          <w:noProof/>
        </w:rPr>
        <w:t>widłową transpozycję dyrektywy ECN+</w:t>
      </w:r>
      <w:r w:rsidR="0099317C" w:rsidRPr="0099317C">
        <w:rPr>
          <w:noProof/>
        </w:rPr>
        <w:t xml:space="preserve"> w cał</w:t>
      </w:r>
      <w:r w:rsidRPr="0099317C">
        <w:rPr>
          <w:noProof/>
        </w:rPr>
        <w:t>ej UE. Komisja będzie również nadal monitorować rozwój sytuacji</w:t>
      </w:r>
      <w:r w:rsidR="0099317C" w:rsidRPr="0099317C">
        <w:rPr>
          <w:noProof/>
        </w:rPr>
        <w:t xml:space="preserve"> w pań</w:t>
      </w:r>
      <w:r w:rsidRPr="0099317C">
        <w:rPr>
          <w:noProof/>
        </w:rPr>
        <w:t>stwach członkowskich</w:t>
      </w:r>
      <w:r w:rsidR="0099317C" w:rsidRPr="0099317C">
        <w:rPr>
          <w:noProof/>
        </w:rPr>
        <w:t xml:space="preserve"> w tej</w:t>
      </w:r>
      <w:r w:rsidRPr="0099317C">
        <w:rPr>
          <w:noProof/>
        </w:rPr>
        <w:t xml:space="preserve"> dziedzinie</w:t>
      </w:r>
      <w:r w:rsidR="0099317C" w:rsidRPr="0099317C">
        <w:rPr>
          <w:noProof/>
        </w:rPr>
        <w:t xml:space="preserve"> w cel</w:t>
      </w:r>
      <w:r w:rsidRPr="0099317C">
        <w:rPr>
          <w:noProof/>
        </w:rPr>
        <w:t>u dokonania przeglądu dyrektywy ECN+ po zgromadzeniu wystarczających doświadczeń wynikających ze stosowania nowych przepisów.</w:t>
      </w:r>
    </w:p>
    <w:sectPr w:rsidR="00C01DDE" w:rsidRPr="0099317C">
      <w:headerReference w:type="even" r:id="rId21"/>
      <w:headerReference w:type="default" r:id="rId22"/>
      <w:footerReference w:type="even" r:id="rId23"/>
      <w:footerReference w:type="default" r:id="rId24"/>
      <w:headerReference w:type="first" r:id="rId25"/>
      <w:footerReference w:type="first" r:id="rId2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B0680" w14:textId="77777777" w:rsidR="00920FC5" w:rsidRPr="0099317C" w:rsidRDefault="00920FC5">
      <w:pPr>
        <w:spacing w:after="0"/>
      </w:pPr>
      <w:r w:rsidRPr="0099317C">
        <w:separator/>
      </w:r>
    </w:p>
  </w:endnote>
  <w:endnote w:type="continuationSeparator" w:id="0">
    <w:p w14:paraId="262A6CC0" w14:textId="77777777" w:rsidR="00920FC5" w:rsidRPr="0099317C" w:rsidRDefault="00920FC5">
      <w:pPr>
        <w:spacing w:after="0"/>
      </w:pPr>
      <w:r w:rsidRPr="0099317C">
        <w:continuationSeparator/>
      </w:r>
    </w:p>
  </w:endnote>
  <w:endnote w:type="continuationNotice" w:id="1">
    <w:p w14:paraId="026B929A" w14:textId="77777777" w:rsidR="00920FC5" w:rsidRPr="0099317C" w:rsidRDefault="00920F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51FC" w14:textId="6E803679" w:rsidR="00466CC8" w:rsidRPr="00466CC8" w:rsidRDefault="00466CC8" w:rsidP="00466CC8">
    <w:pPr>
      <w:pStyle w:val="FooterCoverPage"/>
      <w:rPr>
        <w:rFonts w:ascii="Arial" w:hAnsi="Arial" w:cs="Arial"/>
        <w:b/>
        <w:sz w:val="48"/>
      </w:rPr>
    </w:pPr>
    <w:r w:rsidRPr="00466CC8">
      <w:rPr>
        <w:rFonts w:ascii="Arial" w:hAnsi="Arial" w:cs="Arial"/>
        <w:b/>
        <w:sz w:val="48"/>
      </w:rPr>
      <w:t>PL</w:t>
    </w:r>
    <w:r w:rsidRPr="00466CC8">
      <w:rPr>
        <w:rFonts w:ascii="Arial" w:hAnsi="Arial" w:cs="Arial"/>
        <w:b/>
        <w:sz w:val="48"/>
      </w:rPr>
      <w:tab/>
    </w:r>
    <w:r w:rsidRPr="00466CC8">
      <w:rPr>
        <w:rFonts w:ascii="Arial" w:hAnsi="Arial" w:cs="Arial"/>
        <w:b/>
        <w:sz w:val="48"/>
      </w:rPr>
      <w:tab/>
    </w:r>
    <w:r w:rsidRPr="00466CC8">
      <w:tab/>
    </w:r>
    <w:r w:rsidRPr="00466CC8">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2448" w14:textId="121248ED" w:rsidR="00466CC8" w:rsidRPr="00466CC8" w:rsidRDefault="00466CC8" w:rsidP="00466CC8">
    <w:pPr>
      <w:pStyle w:val="FooterCoverPage"/>
      <w:rPr>
        <w:rFonts w:ascii="Arial" w:hAnsi="Arial" w:cs="Arial"/>
        <w:b/>
        <w:sz w:val="48"/>
      </w:rPr>
    </w:pPr>
    <w:r w:rsidRPr="00466CC8">
      <w:rPr>
        <w:rFonts w:ascii="Arial" w:hAnsi="Arial" w:cs="Arial"/>
        <w:b/>
        <w:sz w:val="48"/>
      </w:rPr>
      <w:t>PL</w:t>
    </w:r>
    <w:r w:rsidRPr="00466CC8">
      <w:rPr>
        <w:rFonts w:ascii="Arial" w:hAnsi="Arial" w:cs="Arial"/>
        <w:b/>
        <w:sz w:val="48"/>
      </w:rPr>
      <w:tab/>
    </w:r>
    <w:r w:rsidRPr="00466CC8">
      <w:rPr>
        <w:rFonts w:ascii="Arial" w:hAnsi="Arial" w:cs="Arial"/>
        <w:b/>
        <w:sz w:val="48"/>
      </w:rPr>
      <w:tab/>
    </w:r>
    <w:r w:rsidRPr="00466CC8">
      <w:tab/>
    </w:r>
    <w:r w:rsidRPr="00466CC8">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2FAD" w14:textId="77777777" w:rsidR="00466CC8" w:rsidRPr="00466CC8" w:rsidRDefault="00466CC8" w:rsidP="00466CC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1465" w14:textId="77777777" w:rsidR="00BC107C" w:rsidRDefault="00BC107C">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DA22" w14:textId="3FB72AE5" w:rsidR="00BC107C" w:rsidRDefault="00BC107C">
    <w:pPr>
      <w:pStyle w:val="FooterLine"/>
      <w:jc w:val="center"/>
    </w:pPr>
    <w:r>
      <w:fldChar w:fldCharType="begin"/>
    </w:r>
    <w:r>
      <w:instrText>PAGE   \* MERGEFORMAT</w:instrText>
    </w:r>
    <w:r>
      <w:fldChar w:fldCharType="separate"/>
    </w:r>
    <w:r w:rsidR="00466CC8">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Standard "/>
      <w:tag w:val="SVoGAZ38gakDmzcHmLly90-Uz5BECj2qQF70SGAMzDdI0"/>
      <w:id w:val="-1724135156"/>
    </w:sdtPr>
    <w:sdtEndPr/>
    <w:sdtContent>
      <w:p w14:paraId="0AD06431" w14:textId="3E3258A6" w:rsidR="00BC107C" w:rsidRDefault="00BC107C">
        <w:pPr>
          <w:pStyle w:val="Footer"/>
          <w:rPr>
            <w:sz w:val="24"/>
          </w:rPr>
        </w:pPr>
      </w:p>
      <w:p w14:paraId="435DD4B6" w14:textId="342B0D29" w:rsidR="00BC107C" w:rsidRDefault="00466CC8">
        <w:pPr>
          <w:pStyle w:val="Footer"/>
        </w:pPr>
      </w:p>
    </w:sdtContent>
  </w:sdt>
  <w:p w14:paraId="01B62263" w14:textId="6E5DB4BA" w:rsidR="00BC107C" w:rsidRDefault="00466CC8">
    <w:pPr>
      <w:pStyle w:val="Footer"/>
    </w:pPr>
    <w:sdt>
      <w:sdtPr>
        <w:alias w:val="Email Addresses - Standard"/>
        <w:tag w:val="lzJg88SOkI751vM69s8xi7-MjGgt6e7BqMZJMWY5fWzc6"/>
        <w:id w:val="-1754814606"/>
        <w:showingPlcHdr/>
        <w:dataBinding w:xpath="/Author/Email" w:storeItemID="{F82D5BF9-3D6D-4277-8928-E05124EBC77C}"/>
        <w:text w:multiLine="1"/>
      </w:sdtPr>
      <w:sdtEndPr/>
      <w:sdtContent>
        <w:r w:rsidR="00AB64ED">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22A8" w14:textId="77777777" w:rsidR="00920FC5" w:rsidRPr="0099317C" w:rsidRDefault="00920FC5">
      <w:pPr>
        <w:spacing w:after="0"/>
      </w:pPr>
      <w:r w:rsidRPr="0099317C">
        <w:separator/>
      </w:r>
    </w:p>
  </w:footnote>
  <w:footnote w:type="continuationSeparator" w:id="0">
    <w:p w14:paraId="53CD876B" w14:textId="77777777" w:rsidR="00920FC5" w:rsidRPr="0099317C" w:rsidRDefault="00920FC5">
      <w:pPr>
        <w:spacing w:after="0"/>
      </w:pPr>
      <w:r w:rsidRPr="0099317C">
        <w:continuationSeparator/>
      </w:r>
    </w:p>
  </w:footnote>
  <w:footnote w:type="continuationNotice" w:id="1">
    <w:p w14:paraId="7FB236FE" w14:textId="77777777" w:rsidR="00920FC5" w:rsidRPr="0099317C" w:rsidRDefault="00920FC5">
      <w:pPr>
        <w:spacing w:after="0"/>
      </w:pPr>
    </w:p>
  </w:footnote>
  <w:footnote w:id="2">
    <w:p w14:paraId="5DD91EFE" w14:textId="794FAE95" w:rsidR="005759D5" w:rsidRPr="0099317C" w:rsidRDefault="00CB008A" w:rsidP="005759D5">
      <w:pPr>
        <w:pStyle w:val="FootnoteText"/>
      </w:pPr>
      <w:r w:rsidRPr="0099317C">
        <w:t>(</w:t>
      </w:r>
      <w:r w:rsidRPr="0099317C">
        <w:rPr>
          <w:rStyle w:val="FootnoteReference"/>
        </w:rPr>
        <w:footnoteRef/>
      </w:r>
      <w:r w:rsidRPr="0099317C">
        <w:t>)</w:t>
      </w:r>
      <w:r w:rsidRPr="0099317C">
        <w:tab/>
        <w:t>Rozporządzenie Rady (WE) nr</w:t>
      </w:r>
      <w:r w:rsidR="0099317C" w:rsidRPr="0099317C">
        <w:t> </w:t>
      </w:r>
      <w:r w:rsidRPr="0099317C">
        <w:t>1/2003</w:t>
      </w:r>
      <w:r w:rsidR="0099317C" w:rsidRPr="0099317C">
        <w:t xml:space="preserve"> z dni</w:t>
      </w:r>
      <w:r w:rsidRPr="0099317C">
        <w:t>a 16 grudnia 2002</w:t>
      </w:r>
      <w:r w:rsidR="0099317C" w:rsidRPr="0099317C">
        <w:t> </w:t>
      </w:r>
      <w:r w:rsidRPr="0099317C">
        <w:t>r.</w:t>
      </w:r>
      <w:r w:rsidR="0099317C" w:rsidRPr="0099317C">
        <w:t xml:space="preserve"> w spr</w:t>
      </w:r>
      <w:r w:rsidRPr="0099317C">
        <w:t>awie wprowadzenia</w:t>
      </w:r>
      <w:r w:rsidR="0099317C" w:rsidRPr="0099317C">
        <w:t xml:space="preserve"> w życ</w:t>
      </w:r>
      <w:r w:rsidRPr="0099317C">
        <w:t>ie reguł konkurencji ustanowionych</w:t>
      </w:r>
      <w:r w:rsidR="0099317C" w:rsidRPr="0099317C">
        <w:t xml:space="preserve"> w art</w:t>
      </w:r>
      <w:r w:rsidRPr="0099317C">
        <w:t>.</w:t>
      </w:r>
      <w:r w:rsidR="0099317C" w:rsidRPr="0099317C">
        <w:t> </w:t>
      </w:r>
      <w:r w:rsidRPr="0099317C">
        <w:t>81</w:t>
      </w:r>
      <w:r w:rsidR="0099317C" w:rsidRPr="0099317C">
        <w:t xml:space="preserve"> i 8</w:t>
      </w:r>
      <w:r w:rsidRPr="0099317C">
        <w:t>2 Traktatu, Dz.U. L 1</w:t>
      </w:r>
      <w:r w:rsidR="0099317C" w:rsidRPr="0099317C">
        <w:t xml:space="preserve"> z 4</w:t>
      </w:r>
      <w:r w:rsidRPr="0099317C">
        <w:t>.1.2003, ELI: http://data.europa.eu/eli/reg/2003/1/oj („rozporządzenie (WE) nr</w:t>
      </w:r>
      <w:r w:rsidR="0099317C" w:rsidRPr="0099317C">
        <w:t> </w:t>
      </w:r>
      <w:r w:rsidRPr="0099317C">
        <w:t xml:space="preserve">1/2003”). </w:t>
      </w:r>
    </w:p>
  </w:footnote>
  <w:footnote w:id="3">
    <w:p w14:paraId="580BC1B9" w14:textId="12F08AFD" w:rsidR="007E641F" w:rsidRPr="0099317C" w:rsidRDefault="007E641F" w:rsidP="007E641F">
      <w:pPr>
        <w:pStyle w:val="FootnoteText"/>
      </w:pPr>
      <w:r w:rsidRPr="0099317C">
        <w:t>(</w:t>
      </w:r>
      <w:r w:rsidRPr="0099317C">
        <w:rPr>
          <w:rStyle w:val="FootnoteReference"/>
        </w:rPr>
        <w:footnoteRef/>
      </w:r>
      <w:r w:rsidRPr="0099317C">
        <w:t>)</w:t>
      </w:r>
      <w:r w:rsidRPr="0099317C">
        <w:tab/>
        <w:t>Zob. sekcja 2.1 „Zasady przydzielania spraw” komunikatu Komisji</w:t>
      </w:r>
      <w:r w:rsidR="0099317C" w:rsidRPr="0099317C">
        <w:t xml:space="preserve"> w spr</w:t>
      </w:r>
      <w:r w:rsidRPr="0099317C">
        <w:t>awie współpracy</w:t>
      </w:r>
      <w:r w:rsidR="0099317C" w:rsidRPr="0099317C">
        <w:t xml:space="preserve"> w ram</w:t>
      </w:r>
      <w:r w:rsidRPr="0099317C">
        <w:t>ach sieci organów ochrony konkurencji, Dz.U. C 101</w:t>
      </w:r>
      <w:r w:rsidR="0099317C" w:rsidRPr="0099317C">
        <w:t xml:space="preserve"> z 2</w:t>
      </w:r>
      <w:r w:rsidRPr="0099317C">
        <w:t xml:space="preserve">7.4.2004, s. 43. </w:t>
      </w:r>
    </w:p>
  </w:footnote>
  <w:footnote w:id="4">
    <w:p w14:paraId="6A879BB1" w14:textId="2197E6C1" w:rsidR="00374239" w:rsidRPr="0099317C" w:rsidRDefault="00374239">
      <w:pPr>
        <w:pStyle w:val="FootnoteText"/>
      </w:pPr>
      <w:r w:rsidRPr="0099317C">
        <w:t>(</w:t>
      </w:r>
      <w:r w:rsidRPr="0099317C">
        <w:rPr>
          <w:rStyle w:val="FootnoteReference"/>
        </w:rPr>
        <w:footnoteRef/>
      </w:r>
      <w:r w:rsidRPr="0099317C">
        <w:t>)</w:t>
      </w:r>
      <w:r w:rsidRPr="0099317C">
        <w:tab/>
        <w:t>Komunikat Komisji „Dziesięć lat egzekwowania prawa ochrony konkurencji na podstawie rozporządzenia 1/2003 –</w:t>
      </w:r>
      <w:r w:rsidRPr="0099317C">
        <w:rPr>
          <w:i/>
        </w:rPr>
        <w:t xml:space="preserve"> </w:t>
      </w:r>
      <w:r w:rsidRPr="0099317C">
        <w:t>osiągnięcia</w:t>
      </w:r>
      <w:r w:rsidR="0099317C" w:rsidRPr="0099317C">
        <w:t xml:space="preserve"> i per</w:t>
      </w:r>
      <w:r w:rsidRPr="0099317C">
        <w:t>spektywy, COM(2014) 453 final, 9 lipca 2014</w:t>
      </w:r>
      <w:r w:rsidR="0099317C" w:rsidRPr="0099317C">
        <w:t> </w:t>
      </w:r>
      <w:r w:rsidRPr="0099317C">
        <w:t>r.</w:t>
      </w:r>
    </w:p>
  </w:footnote>
  <w:footnote w:id="5">
    <w:p w14:paraId="1F175704" w14:textId="12CAEAB1" w:rsidR="007324E2" w:rsidRPr="0099317C" w:rsidRDefault="00CB008A" w:rsidP="007324E2">
      <w:pPr>
        <w:pStyle w:val="FootnoteText"/>
      </w:pPr>
      <w:r w:rsidRPr="0099317C">
        <w:t>(</w:t>
      </w:r>
      <w:r w:rsidRPr="0099317C">
        <w:rPr>
          <w:rStyle w:val="FootnoteReference"/>
        </w:rPr>
        <w:footnoteRef/>
      </w:r>
      <w:r w:rsidRPr="0099317C">
        <w:t>)</w:t>
      </w:r>
      <w:r w:rsidRPr="0099317C">
        <w:tab/>
        <w:t>COM(2017) 142 final</w:t>
      </w:r>
      <w:r w:rsidR="0099317C" w:rsidRPr="0099317C">
        <w:t xml:space="preserve"> z dni</w:t>
      </w:r>
      <w:r w:rsidRPr="0099317C">
        <w:t>a 22 marca 2017 r.</w:t>
      </w:r>
    </w:p>
  </w:footnote>
  <w:footnote w:id="6">
    <w:p w14:paraId="1BC608C6" w14:textId="1BA70859" w:rsidR="006F3EB5" w:rsidRPr="0099317C" w:rsidRDefault="006F3EB5" w:rsidP="006F3EB5">
      <w:pPr>
        <w:pStyle w:val="FootnoteText"/>
      </w:pPr>
      <w:r w:rsidRPr="0099317C">
        <w:t>(</w:t>
      </w:r>
      <w:r w:rsidRPr="0099317C">
        <w:rPr>
          <w:rStyle w:val="FootnoteReference"/>
        </w:rPr>
        <w:footnoteRef/>
      </w:r>
      <w:r w:rsidRPr="0099317C">
        <w:t>)</w:t>
      </w:r>
      <w:r w:rsidRPr="0099317C">
        <w:tab/>
        <w:t>Dyrektywa Parlamentu Europejskiego</w:t>
      </w:r>
      <w:r w:rsidR="0099317C" w:rsidRPr="0099317C">
        <w:t xml:space="preserve"> i Rad</w:t>
      </w:r>
      <w:r w:rsidRPr="0099317C">
        <w:t>y (UE) 2019/1</w:t>
      </w:r>
      <w:r w:rsidR="0099317C" w:rsidRPr="0099317C">
        <w:t xml:space="preserve"> z dni</w:t>
      </w:r>
      <w:r w:rsidRPr="0099317C">
        <w:t>a 11 grudnia 2018</w:t>
      </w:r>
      <w:r w:rsidR="0099317C" w:rsidRPr="0099317C">
        <w:t> </w:t>
      </w:r>
      <w:r w:rsidRPr="0099317C">
        <w:t>r. mająca na celu nadanie organom ochrony konkurencji państw członkowskich uprawnień</w:t>
      </w:r>
      <w:r w:rsidR="0099317C" w:rsidRPr="0099317C">
        <w:t xml:space="preserve"> w cel</w:t>
      </w:r>
      <w:r w:rsidRPr="0099317C">
        <w:t>u skuteczniejszego egzekwowania prawa</w:t>
      </w:r>
      <w:r w:rsidR="0099317C" w:rsidRPr="0099317C">
        <w:t xml:space="preserve"> i zap</w:t>
      </w:r>
      <w:r w:rsidRPr="0099317C">
        <w:t>ewnienia należytego funkcjonowania rynku wewnętrznego, Dz.U. L 11</w:t>
      </w:r>
      <w:r w:rsidR="0099317C" w:rsidRPr="0099317C">
        <w:t xml:space="preserve"> z 1</w:t>
      </w:r>
      <w:r w:rsidRPr="0099317C">
        <w:t>4.1.2019, ELI: http://data.europa.eu/eli/dir/2019/1/oj („dyrektywa ECN+”).</w:t>
      </w:r>
    </w:p>
  </w:footnote>
  <w:footnote w:id="7">
    <w:p w14:paraId="7FD3C14B" w14:textId="316AB642" w:rsidR="005E58A3" w:rsidRPr="0099317C" w:rsidRDefault="005E58A3">
      <w:pPr>
        <w:pStyle w:val="FootnoteText"/>
      </w:pPr>
      <w:r w:rsidRPr="0099317C">
        <w:t>(</w:t>
      </w:r>
      <w:r w:rsidRPr="0099317C">
        <w:rPr>
          <w:rStyle w:val="FootnoteReference"/>
        </w:rPr>
        <w:footnoteRef/>
      </w:r>
      <w:r w:rsidRPr="0099317C">
        <w:t>)</w:t>
      </w:r>
      <w:r w:rsidRPr="0099317C">
        <w:tab/>
        <w:t>Na przykład zasięgnięto opinii Komisji</w:t>
      </w:r>
      <w:r w:rsidR="0099317C" w:rsidRPr="0099317C">
        <w:t xml:space="preserve"> w spr</w:t>
      </w:r>
      <w:r w:rsidRPr="0099317C">
        <w:t>awie zgodności systemu finansowania krajowego organu ochrony konkurencji</w:t>
      </w:r>
      <w:r w:rsidR="0099317C" w:rsidRPr="0099317C">
        <w:t xml:space="preserve"> w świ</w:t>
      </w:r>
      <w:r w:rsidRPr="0099317C">
        <w:t>etle wymogów niezależności określonych</w:t>
      </w:r>
      <w:r w:rsidR="0099317C" w:rsidRPr="0099317C">
        <w:t xml:space="preserve"> w dyr</w:t>
      </w:r>
      <w:r w:rsidRPr="0099317C">
        <w:t>ektywie ECN+ (zob. art.</w:t>
      </w:r>
      <w:r w:rsidR="0099317C" w:rsidRPr="0099317C">
        <w:t> </w:t>
      </w:r>
      <w:r w:rsidRPr="0099317C">
        <w:t>4</w:t>
      </w:r>
      <w:r w:rsidR="0099317C" w:rsidRPr="0099317C">
        <w:t xml:space="preserve"> i mot</w:t>
      </w:r>
      <w:r w:rsidRPr="0099317C">
        <w:t>yw 17).</w:t>
      </w:r>
    </w:p>
  </w:footnote>
  <w:footnote w:id="8">
    <w:p w14:paraId="72601B37" w14:textId="5D98CE47" w:rsidR="00CB008A" w:rsidRPr="0099317C" w:rsidRDefault="00CB008A">
      <w:pPr>
        <w:pStyle w:val="FootnoteText"/>
      </w:pPr>
      <w:r w:rsidRPr="0099317C">
        <w:t>(</w:t>
      </w:r>
      <w:r w:rsidRPr="0099317C">
        <w:rPr>
          <w:rStyle w:val="FootnoteReference"/>
        </w:rPr>
        <w:footnoteRef/>
      </w:r>
      <w:r w:rsidRPr="0099317C">
        <w:t>)</w:t>
      </w:r>
      <w:r w:rsidRPr="0099317C">
        <w:tab/>
        <w:t>Jedynie Dania, Niemcy, Węgry, Litwa</w:t>
      </w:r>
      <w:r w:rsidR="0099317C" w:rsidRPr="0099317C">
        <w:t xml:space="preserve"> i Nid</w:t>
      </w:r>
      <w:r w:rsidRPr="0099317C">
        <w:t>erlandy zgłosiły Komisji swoje krajowe środki transpozycji do dnia 4 lutego 2021</w:t>
      </w:r>
      <w:r w:rsidR="0099317C" w:rsidRPr="0099317C">
        <w:t> </w:t>
      </w:r>
      <w:r w:rsidRPr="0099317C">
        <w:t>r. (lub wkrótce po tym terminie), zgodnie</w:t>
      </w:r>
      <w:r w:rsidR="0099317C" w:rsidRPr="0099317C">
        <w:t xml:space="preserve"> z wym</w:t>
      </w:r>
      <w:r w:rsidRPr="0099317C">
        <w:t>ogami art.</w:t>
      </w:r>
      <w:r w:rsidR="0099317C" w:rsidRPr="0099317C">
        <w:t> </w:t>
      </w:r>
      <w:r w:rsidRPr="0099317C">
        <w:t>34 dyrektywy ECN+.</w:t>
      </w:r>
    </w:p>
  </w:footnote>
  <w:footnote w:id="9">
    <w:p w14:paraId="57E1DA51" w14:textId="77777777" w:rsidR="00574596" w:rsidRPr="0099317C" w:rsidRDefault="00574596" w:rsidP="00574596">
      <w:pPr>
        <w:pStyle w:val="FootnoteText"/>
      </w:pPr>
      <w:r w:rsidRPr="0099317C">
        <w:t>(</w:t>
      </w:r>
      <w:r w:rsidRPr="0099317C">
        <w:rPr>
          <w:rStyle w:val="FootnoteReference"/>
        </w:rPr>
        <w:footnoteRef/>
      </w:r>
      <w:r w:rsidRPr="0099317C">
        <w:t>)</w:t>
      </w:r>
      <w:r w:rsidRPr="0099317C">
        <w:tab/>
        <w:t>Zob. sprawa C-577/23, Komisja/Estonia (dyrektywa ECN+).</w:t>
      </w:r>
    </w:p>
  </w:footnote>
  <w:footnote w:id="10">
    <w:p w14:paraId="26425EC1" w14:textId="67F109D7" w:rsidR="00C4410E" w:rsidRPr="0099317C" w:rsidRDefault="00C4410E" w:rsidP="00C4410E">
      <w:pPr>
        <w:pStyle w:val="FootnoteText"/>
      </w:pPr>
      <w:r w:rsidRPr="0099317C">
        <w:t>(</w:t>
      </w:r>
      <w:r w:rsidRPr="0099317C">
        <w:rPr>
          <w:rStyle w:val="FootnoteReference"/>
        </w:rPr>
        <w:footnoteRef/>
      </w:r>
      <w:r w:rsidRPr="0099317C">
        <w:t>)</w:t>
      </w:r>
      <w:r w:rsidRPr="0099317C">
        <w:tab/>
        <w:t xml:space="preserve">SWD(2021) 305 final, dokument dostępny na stronie </w:t>
      </w:r>
      <w:hyperlink r:id="rId1" w:history="1">
        <w:r w:rsidRPr="0099317C">
          <w:rPr>
            <w:rStyle w:val="Hyperlink"/>
            <w:color w:val="auto"/>
          </w:rPr>
          <w:t>https://commission.europa.eu/document/download/d0bbd77f-bee5-4ee5-b5c4-6110c7605476_en?filename=swd2021_305_en.pdf</w:t>
        </w:r>
      </w:hyperlink>
      <w:r w:rsidRPr="0099317C">
        <w:t>, s. 39</w:t>
      </w:r>
      <w:r w:rsidR="0099317C" w:rsidRPr="0099317C">
        <w:t xml:space="preserve"> i 4</w:t>
      </w:r>
      <w:r w:rsidRPr="0099317C">
        <w:t xml:space="preserve">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9961" w14:textId="77777777" w:rsidR="00466CC8" w:rsidRPr="00466CC8" w:rsidRDefault="00466CC8" w:rsidP="00466CC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54005" w14:textId="77777777" w:rsidR="00466CC8" w:rsidRPr="00466CC8" w:rsidRDefault="00466CC8" w:rsidP="00466CC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3DC3" w14:textId="77777777" w:rsidR="00466CC8" w:rsidRPr="00466CC8" w:rsidRDefault="00466CC8" w:rsidP="00466CC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BBA3" w14:textId="77777777" w:rsidR="00BC107C" w:rsidRDefault="00BC10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F106D" w14:textId="77777777" w:rsidR="00BC107C" w:rsidRDefault="00BC10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5A2A" w14:textId="77777777" w:rsidR="00BC107C" w:rsidRDefault="00BC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0E8"/>
    <w:multiLevelType w:val="hybridMultilevel"/>
    <w:tmpl w:val="D5ACD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B026E"/>
    <w:multiLevelType w:val="hybridMultilevel"/>
    <w:tmpl w:val="3CFA9DF2"/>
    <w:lvl w:ilvl="0" w:tplc="B5C6F7BC">
      <w:start w:val="1"/>
      <w:numFmt w:val="decimal"/>
      <w:lvlText w:val="%1)"/>
      <w:lvlJc w:val="left"/>
      <w:pPr>
        <w:ind w:left="1196" w:hanging="360"/>
      </w:pPr>
      <w:rPr>
        <w:rFonts w:hint="default"/>
        <w:b w:val="0"/>
        <w:bCs w:val="0"/>
      </w:rPr>
    </w:lvl>
    <w:lvl w:ilvl="1" w:tplc="FFFFFFFF" w:tentative="1">
      <w:start w:val="1"/>
      <w:numFmt w:val="bullet"/>
      <w:lvlText w:val="o"/>
      <w:lvlJc w:val="left"/>
      <w:pPr>
        <w:ind w:left="1916" w:hanging="360"/>
      </w:pPr>
      <w:rPr>
        <w:rFonts w:ascii="Courier New" w:hAnsi="Courier New" w:cs="Courier New" w:hint="default"/>
      </w:rPr>
    </w:lvl>
    <w:lvl w:ilvl="2" w:tplc="FFFFFFFF" w:tentative="1">
      <w:start w:val="1"/>
      <w:numFmt w:val="bullet"/>
      <w:lvlText w:val=""/>
      <w:lvlJc w:val="left"/>
      <w:pPr>
        <w:ind w:left="2636" w:hanging="360"/>
      </w:pPr>
      <w:rPr>
        <w:rFonts w:ascii="Wingdings" w:hAnsi="Wingdings" w:hint="default"/>
      </w:rPr>
    </w:lvl>
    <w:lvl w:ilvl="3" w:tplc="FFFFFFFF" w:tentative="1">
      <w:start w:val="1"/>
      <w:numFmt w:val="bullet"/>
      <w:lvlText w:val=""/>
      <w:lvlJc w:val="left"/>
      <w:pPr>
        <w:ind w:left="3356" w:hanging="360"/>
      </w:pPr>
      <w:rPr>
        <w:rFonts w:ascii="Symbol" w:hAnsi="Symbol" w:hint="default"/>
      </w:rPr>
    </w:lvl>
    <w:lvl w:ilvl="4" w:tplc="FFFFFFFF" w:tentative="1">
      <w:start w:val="1"/>
      <w:numFmt w:val="bullet"/>
      <w:lvlText w:val="o"/>
      <w:lvlJc w:val="left"/>
      <w:pPr>
        <w:ind w:left="4076" w:hanging="360"/>
      </w:pPr>
      <w:rPr>
        <w:rFonts w:ascii="Courier New" w:hAnsi="Courier New" w:cs="Courier New" w:hint="default"/>
      </w:rPr>
    </w:lvl>
    <w:lvl w:ilvl="5" w:tplc="FFFFFFFF" w:tentative="1">
      <w:start w:val="1"/>
      <w:numFmt w:val="bullet"/>
      <w:lvlText w:val=""/>
      <w:lvlJc w:val="left"/>
      <w:pPr>
        <w:ind w:left="4796" w:hanging="360"/>
      </w:pPr>
      <w:rPr>
        <w:rFonts w:ascii="Wingdings" w:hAnsi="Wingdings" w:hint="default"/>
      </w:rPr>
    </w:lvl>
    <w:lvl w:ilvl="6" w:tplc="FFFFFFFF" w:tentative="1">
      <w:start w:val="1"/>
      <w:numFmt w:val="bullet"/>
      <w:lvlText w:val=""/>
      <w:lvlJc w:val="left"/>
      <w:pPr>
        <w:ind w:left="5516" w:hanging="360"/>
      </w:pPr>
      <w:rPr>
        <w:rFonts w:ascii="Symbol" w:hAnsi="Symbol" w:hint="default"/>
      </w:rPr>
    </w:lvl>
    <w:lvl w:ilvl="7" w:tplc="FFFFFFFF" w:tentative="1">
      <w:start w:val="1"/>
      <w:numFmt w:val="bullet"/>
      <w:lvlText w:val="o"/>
      <w:lvlJc w:val="left"/>
      <w:pPr>
        <w:ind w:left="6236" w:hanging="360"/>
      </w:pPr>
      <w:rPr>
        <w:rFonts w:ascii="Courier New" w:hAnsi="Courier New" w:cs="Courier New" w:hint="default"/>
      </w:rPr>
    </w:lvl>
    <w:lvl w:ilvl="8" w:tplc="FFFFFFFF" w:tentative="1">
      <w:start w:val="1"/>
      <w:numFmt w:val="bullet"/>
      <w:lvlText w:val=""/>
      <w:lvlJc w:val="left"/>
      <w:pPr>
        <w:ind w:left="6956" w:hanging="360"/>
      </w:pPr>
      <w:rPr>
        <w:rFonts w:ascii="Wingdings" w:hAnsi="Wingdings" w:hint="default"/>
      </w:rPr>
    </w:lvl>
  </w:abstractNum>
  <w:abstractNum w:abstractNumId="2" w15:restartNumberingAfterBreak="0">
    <w:nsid w:val="0A2900F7"/>
    <w:multiLevelType w:val="multilevel"/>
    <w:tmpl w:val="2F9E4090"/>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8CA298B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E96A194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EFAC66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BC662B7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C16CE28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A76437D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21EA752"/>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FD7224C"/>
    <w:multiLevelType w:val="hybridMultilevel"/>
    <w:tmpl w:val="DC286432"/>
    <w:name w:val="ListNumber1Numbering22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B5769B5"/>
    <w:multiLevelType w:val="hybridMultilevel"/>
    <w:tmpl w:val="4F26FAEA"/>
    <w:lvl w:ilvl="0" w:tplc="1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8DFDF8"/>
    <w:multiLevelType w:val="multilevel"/>
    <w:tmpl w:val="82B4D79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DF36ACE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5212E86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6324F1E"/>
    <w:multiLevelType w:val="multilevel"/>
    <w:tmpl w:val="7C2868E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FEC8E3F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8DC020D"/>
    <w:multiLevelType w:val="hybridMultilevel"/>
    <w:tmpl w:val="5C302A34"/>
    <w:lvl w:ilvl="0" w:tplc="FFFFFFFF">
      <w:start w:val="1"/>
      <w:numFmt w:val="decimal"/>
      <w:lvlText w:val="%1)"/>
      <w:lvlJc w:val="left"/>
      <w:pPr>
        <w:ind w:left="1196" w:hanging="360"/>
      </w:pPr>
      <w:rPr>
        <w:rFonts w:hint="default"/>
        <w:b w:val="0"/>
        <w:bCs w:val="0"/>
      </w:rPr>
    </w:lvl>
    <w:lvl w:ilvl="1" w:tplc="FFFFFFFF" w:tentative="1">
      <w:start w:val="1"/>
      <w:numFmt w:val="bullet"/>
      <w:lvlText w:val="o"/>
      <w:lvlJc w:val="left"/>
      <w:pPr>
        <w:ind w:left="1916" w:hanging="360"/>
      </w:pPr>
      <w:rPr>
        <w:rFonts w:ascii="Courier New" w:hAnsi="Courier New" w:cs="Courier New" w:hint="default"/>
      </w:rPr>
    </w:lvl>
    <w:lvl w:ilvl="2" w:tplc="FFFFFFFF" w:tentative="1">
      <w:start w:val="1"/>
      <w:numFmt w:val="bullet"/>
      <w:lvlText w:val=""/>
      <w:lvlJc w:val="left"/>
      <w:pPr>
        <w:ind w:left="2636" w:hanging="360"/>
      </w:pPr>
      <w:rPr>
        <w:rFonts w:ascii="Wingdings" w:hAnsi="Wingdings" w:hint="default"/>
      </w:rPr>
    </w:lvl>
    <w:lvl w:ilvl="3" w:tplc="FFFFFFFF" w:tentative="1">
      <w:start w:val="1"/>
      <w:numFmt w:val="bullet"/>
      <w:lvlText w:val=""/>
      <w:lvlJc w:val="left"/>
      <w:pPr>
        <w:ind w:left="3356" w:hanging="360"/>
      </w:pPr>
      <w:rPr>
        <w:rFonts w:ascii="Symbol" w:hAnsi="Symbol" w:hint="default"/>
      </w:rPr>
    </w:lvl>
    <w:lvl w:ilvl="4" w:tplc="FFFFFFFF" w:tentative="1">
      <w:start w:val="1"/>
      <w:numFmt w:val="bullet"/>
      <w:lvlText w:val="o"/>
      <w:lvlJc w:val="left"/>
      <w:pPr>
        <w:ind w:left="4076" w:hanging="360"/>
      </w:pPr>
      <w:rPr>
        <w:rFonts w:ascii="Courier New" w:hAnsi="Courier New" w:cs="Courier New" w:hint="default"/>
      </w:rPr>
    </w:lvl>
    <w:lvl w:ilvl="5" w:tplc="FFFFFFFF" w:tentative="1">
      <w:start w:val="1"/>
      <w:numFmt w:val="bullet"/>
      <w:lvlText w:val=""/>
      <w:lvlJc w:val="left"/>
      <w:pPr>
        <w:ind w:left="4796" w:hanging="360"/>
      </w:pPr>
      <w:rPr>
        <w:rFonts w:ascii="Wingdings" w:hAnsi="Wingdings" w:hint="default"/>
      </w:rPr>
    </w:lvl>
    <w:lvl w:ilvl="6" w:tplc="FFFFFFFF" w:tentative="1">
      <w:start w:val="1"/>
      <w:numFmt w:val="bullet"/>
      <w:lvlText w:val=""/>
      <w:lvlJc w:val="left"/>
      <w:pPr>
        <w:ind w:left="5516" w:hanging="360"/>
      </w:pPr>
      <w:rPr>
        <w:rFonts w:ascii="Symbol" w:hAnsi="Symbol" w:hint="default"/>
      </w:rPr>
    </w:lvl>
    <w:lvl w:ilvl="7" w:tplc="FFFFFFFF" w:tentative="1">
      <w:start w:val="1"/>
      <w:numFmt w:val="bullet"/>
      <w:lvlText w:val="o"/>
      <w:lvlJc w:val="left"/>
      <w:pPr>
        <w:ind w:left="6236" w:hanging="360"/>
      </w:pPr>
      <w:rPr>
        <w:rFonts w:ascii="Courier New" w:hAnsi="Courier New" w:cs="Courier New" w:hint="default"/>
      </w:rPr>
    </w:lvl>
    <w:lvl w:ilvl="8" w:tplc="FFFFFFFF" w:tentative="1">
      <w:start w:val="1"/>
      <w:numFmt w:val="bullet"/>
      <w:lvlText w:val=""/>
      <w:lvlJc w:val="left"/>
      <w:pPr>
        <w:ind w:left="6956" w:hanging="360"/>
      </w:pPr>
      <w:rPr>
        <w:rFonts w:ascii="Wingdings" w:hAnsi="Wingdings" w:hint="default"/>
      </w:rPr>
    </w:lvl>
  </w:abstractNum>
  <w:abstractNum w:abstractNumId="18" w15:restartNumberingAfterBreak="0">
    <w:nsid w:val="3A7730C4"/>
    <w:multiLevelType w:val="multilevel"/>
    <w:tmpl w:val="2506C99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B9F023B"/>
    <w:multiLevelType w:val="hybridMultilevel"/>
    <w:tmpl w:val="6258294E"/>
    <w:name w:val="ListNumber1Numbering222"/>
    <w:lvl w:ilvl="0" w:tplc="18090001">
      <w:start w:val="1"/>
      <w:numFmt w:val="bullet"/>
      <w:lvlText w:val=""/>
      <w:lvlJc w:val="left"/>
      <w:pPr>
        <w:ind w:left="1202" w:hanging="360"/>
      </w:pPr>
      <w:rPr>
        <w:rFonts w:ascii="Symbol" w:hAnsi="Symbol" w:hint="default"/>
      </w:rPr>
    </w:lvl>
    <w:lvl w:ilvl="1" w:tplc="18090003" w:tentative="1">
      <w:start w:val="1"/>
      <w:numFmt w:val="bullet"/>
      <w:lvlText w:val="o"/>
      <w:lvlJc w:val="left"/>
      <w:pPr>
        <w:ind w:left="1922" w:hanging="360"/>
      </w:pPr>
      <w:rPr>
        <w:rFonts w:ascii="Courier New" w:hAnsi="Courier New" w:cs="Courier New" w:hint="default"/>
      </w:rPr>
    </w:lvl>
    <w:lvl w:ilvl="2" w:tplc="18090005" w:tentative="1">
      <w:start w:val="1"/>
      <w:numFmt w:val="bullet"/>
      <w:lvlText w:val=""/>
      <w:lvlJc w:val="left"/>
      <w:pPr>
        <w:ind w:left="2642" w:hanging="360"/>
      </w:pPr>
      <w:rPr>
        <w:rFonts w:ascii="Wingdings" w:hAnsi="Wingdings" w:hint="default"/>
      </w:rPr>
    </w:lvl>
    <w:lvl w:ilvl="3" w:tplc="18090001" w:tentative="1">
      <w:start w:val="1"/>
      <w:numFmt w:val="bullet"/>
      <w:lvlText w:val=""/>
      <w:lvlJc w:val="left"/>
      <w:pPr>
        <w:ind w:left="3362" w:hanging="360"/>
      </w:pPr>
      <w:rPr>
        <w:rFonts w:ascii="Symbol" w:hAnsi="Symbol" w:hint="default"/>
      </w:rPr>
    </w:lvl>
    <w:lvl w:ilvl="4" w:tplc="18090003" w:tentative="1">
      <w:start w:val="1"/>
      <w:numFmt w:val="bullet"/>
      <w:lvlText w:val="o"/>
      <w:lvlJc w:val="left"/>
      <w:pPr>
        <w:ind w:left="4082" w:hanging="360"/>
      </w:pPr>
      <w:rPr>
        <w:rFonts w:ascii="Courier New" w:hAnsi="Courier New" w:cs="Courier New" w:hint="default"/>
      </w:rPr>
    </w:lvl>
    <w:lvl w:ilvl="5" w:tplc="18090005" w:tentative="1">
      <w:start w:val="1"/>
      <w:numFmt w:val="bullet"/>
      <w:lvlText w:val=""/>
      <w:lvlJc w:val="left"/>
      <w:pPr>
        <w:ind w:left="4802" w:hanging="360"/>
      </w:pPr>
      <w:rPr>
        <w:rFonts w:ascii="Wingdings" w:hAnsi="Wingdings" w:hint="default"/>
      </w:rPr>
    </w:lvl>
    <w:lvl w:ilvl="6" w:tplc="18090001" w:tentative="1">
      <w:start w:val="1"/>
      <w:numFmt w:val="bullet"/>
      <w:lvlText w:val=""/>
      <w:lvlJc w:val="left"/>
      <w:pPr>
        <w:ind w:left="5522" w:hanging="360"/>
      </w:pPr>
      <w:rPr>
        <w:rFonts w:ascii="Symbol" w:hAnsi="Symbol" w:hint="default"/>
      </w:rPr>
    </w:lvl>
    <w:lvl w:ilvl="7" w:tplc="18090003" w:tentative="1">
      <w:start w:val="1"/>
      <w:numFmt w:val="bullet"/>
      <w:lvlText w:val="o"/>
      <w:lvlJc w:val="left"/>
      <w:pPr>
        <w:ind w:left="6242" w:hanging="360"/>
      </w:pPr>
      <w:rPr>
        <w:rFonts w:ascii="Courier New" w:hAnsi="Courier New" w:cs="Courier New" w:hint="default"/>
      </w:rPr>
    </w:lvl>
    <w:lvl w:ilvl="8" w:tplc="18090005" w:tentative="1">
      <w:start w:val="1"/>
      <w:numFmt w:val="bullet"/>
      <w:lvlText w:val=""/>
      <w:lvlJc w:val="left"/>
      <w:pPr>
        <w:ind w:left="6962" w:hanging="360"/>
      </w:pPr>
      <w:rPr>
        <w:rFonts w:ascii="Wingdings" w:hAnsi="Wingdings" w:hint="default"/>
      </w:rPr>
    </w:lvl>
  </w:abstractNum>
  <w:abstractNum w:abstractNumId="20" w15:restartNumberingAfterBreak="0">
    <w:nsid w:val="403A385E"/>
    <w:multiLevelType w:val="hybridMultilevel"/>
    <w:tmpl w:val="9F3AFDF0"/>
    <w:lvl w:ilvl="0" w:tplc="2CF88A1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9E662A"/>
    <w:multiLevelType w:val="multilevel"/>
    <w:tmpl w:val="A06E3FB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63DF"/>
    <w:multiLevelType w:val="multilevel"/>
    <w:tmpl w:val="E89AFF5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0F3A682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2A70A8"/>
    <w:multiLevelType w:val="hybridMultilevel"/>
    <w:tmpl w:val="7270BEA2"/>
    <w:lvl w:ilvl="0" w:tplc="C30AD46E">
      <w:start w:val="1"/>
      <w:numFmt w:val="decimal"/>
      <w:lvlText w:val="%1."/>
      <w:lvlJc w:val="left"/>
      <w:pPr>
        <w:ind w:left="720" w:hanging="360"/>
      </w:pPr>
    </w:lvl>
    <w:lvl w:ilvl="1" w:tplc="18ACE92C">
      <w:start w:val="1"/>
      <w:numFmt w:val="decimal"/>
      <w:lvlText w:val="%2."/>
      <w:lvlJc w:val="left"/>
      <w:pPr>
        <w:ind w:left="720" w:hanging="360"/>
      </w:pPr>
    </w:lvl>
    <w:lvl w:ilvl="2" w:tplc="D632CEFE">
      <w:start w:val="1"/>
      <w:numFmt w:val="decimal"/>
      <w:lvlText w:val="%3."/>
      <w:lvlJc w:val="left"/>
      <w:pPr>
        <w:ind w:left="720" w:hanging="360"/>
      </w:pPr>
    </w:lvl>
    <w:lvl w:ilvl="3" w:tplc="9CF01D00">
      <w:start w:val="1"/>
      <w:numFmt w:val="decimal"/>
      <w:lvlText w:val="%4."/>
      <w:lvlJc w:val="left"/>
      <w:pPr>
        <w:ind w:left="720" w:hanging="360"/>
      </w:pPr>
    </w:lvl>
    <w:lvl w:ilvl="4" w:tplc="EDF204C2">
      <w:start w:val="1"/>
      <w:numFmt w:val="decimal"/>
      <w:lvlText w:val="%5."/>
      <w:lvlJc w:val="left"/>
      <w:pPr>
        <w:ind w:left="720" w:hanging="360"/>
      </w:pPr>
    </w:lvl>
    <w:lvl w:ilvl="5" w:tplc="CEB21D9A">
      <w:start w:val="1"/>
      <w:numFmt w:val="decimal"/>
      <w:lvlText w:val="%6."/>
      <w:lvlJc w:val="left"/>
      <w:pPr>
        <w:ind w:left="720" w:hanging="360"/>
      </w:pPr>
    </w:lvl>
    <w:lvl w:ilvl="6" w:tplc="0D747EAC">
      <w:start w:val="1"/>
      <w:numFmt w:val="decimal"/>
      <w:lvlText w:val="%7."/>
      <w:lvlJc w:val="left"/>
      <w:pPr>
        <w:ind w:left="720" w:hanging="360"/>
      </w:pPr>
    </w:lvl>
    <w:lvl w:ilvl="7" w:tplc="2FE4BFF6">
      <w:start w:val="1"/>
      <w:numFmt w:val="decimal"/>
      <w:lvlText w:val="%8."/>
      <w:lvlJc w:val="left"/>
      <w:pPr>
        <w:ind w:left="720" w:hanging="360"/>
      </w:pPr>
    </w:lvl>
    <w:lvl w:ilvl="8" w:tplc="F3467A8E">
      <w:start w:val="1"/>
      <w:numFmt w:val="decimal"/>
      <w:lvlText w:val="%9."/>
      <w:lvlJc w:val="left"/>
      <w:pPr>
        <w:ind w:left="720" w:hanging="360"/>
      </w:pPr>
    </w:lvl>
  </w:abstractNum>
  <w:abstractNum w:abstractNumId="25" w15:restartNumberingAfterBreak="0">
    <w:nsid w:val="5072619B"/>
    <w:multiLevelType w:val="multilevel"/>
    <w:tmpl w:val="4A04DB4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9B52"/>
    <w:multiLevelType w:val="multilevel"/>
    <w:tmpl w:val="FD3A416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4B61530"/>
    <w:multiLevelType w:val="hybridMultilevel"/>
    <w:tmpl w:val="1F7A0758"/>
    <w:name w:val="ListNumber1Numbering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3E5F6C"/>
    <w:multiLevelType w:val="hybridMultilevel"/>
    <w:tmpl w:val="BE38FF2E"/>
    <w:lvl w:ilvl="0" w:tplc="FA0C5A6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DCF1398"/>
    <w:multiLevelType w:val="hybridMultilevel"/>
    <w:tmpl w:val="0876F0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3625A5"/>
    <w:multiLevelType w:val="hybridMultilevel"/>
    <w:tmpl w:val="B3B48FF0"/>
    <w:name w:val="ListNumber1Numbering22222"/>
    <w:lvl w:ilvl="0" w:tplc="18090001">
      <w:start w:val="1"/>
      <w:numFmt w:val="bullet"/>
      <w:lvlText w:val=""/>
      <w:lvlJc w:val="left"/>
      <w:pPr>
        <w:ind w:left="1922" w:hanging="360"/>
      </w:pPr>
      <w:rPr>
        <w:rFonts w:ascii="Symbol" w:hAnsi="Symbol" w:hint="default"/>
      </w:rPr>
    </w:lvl>
    <w:lvl w:ilvl="1" w:tplc="18090003" w:tentative="1">
      <w:start w:val="1"/>
      <w:numFmt w:val="bullet"/>
      <w:lvlText w:val="o"/>
      <w:lvlJc w:val="left"/>
      <w:pPr>
        <w:ind w:left="2642" w:hanging="360"/>
      </w:pPr>
      <w:rPr>
        <w:rFonts w:ascii="Courier New" w:hAnsi="Courier New" w:cs="Courier New" w:hint="default"/>
      </w:rPr>
    </w:lvl>
    <w:lvl w:ilvl="2" w:tplc="18090005" w:tentative="1">
      <w:start w:val="1"/>
      <w:numFmt w:val="bullet"/>
      <w:lvlText w:val=""/>
      <w:lvlJc w:val="left"/>
      <w:pPr>
        <w:ind w:left="3362" w:hanging="360"/>
      </w:pPr>
      <w:rPr>
        <w:rFonts w:ascii="Wingdings" w:hAnsi="Wingdings" w:hint="default"/>
      </w:rPr>
    </w:lvl>
    <w:lvl w:ilvl="3" w:tplc="18090001" w:tentative="1">
      <w:start w:val="1"/>
      <w:numFmt w:val="bullet"/>
      <w:lvlText w:val=""/>
      <w:lvlJc w:val="left"/>
      <w:pPr>
        <w:ind w:left="4082" w:hanging="360"/>
      </w:pPr>
      <w:rPr>
        <w:rFonts w:ascii="Symbol" w:hAnsi="Symbol" w:hint="default"/>
      </w:rPr>
    </w:lvl>
    <w:lvl w:ilvl="4" w:tplc="18090003" w:tentative="1">
      <w:start w:val="1"/>
      <w:numFmt w:val="bullet"/>
      <w:lvlText w:val="o"/>
      <w:lvlJc w:val="left"/>
      <w:pPr>
        <w:ind w:left="4802" w:hanging="360"/>
      </w:pPr>
      <w:rPr>
        <w:rFonts w:ascii="Courier New" w:hAnsi="Courier New" w:cs="Courier New" w:hint="default"/>
      </w:rPr>
    </w:lvl>
    <w:lvl w:ilvl="5" w:tplc="18090005" w:tentative="1">
      <w:start w:val="1"/>
      <w:numFmt w:val="bullet"/>
      <w:lvlText w:val=""/>
      <w:lvlJc w:val="left"/>
      <w:pPr>
        <w:ind w:left="5522" w:hanging="360"/>
      </w:pPr>
      <w:rPr>
        <w:rFonts w:ascii="Wingdings" w:hAnsi="Wingdings" w:hint="default"/>
      </w:rPr>
    </w:lvl>
    <w:lvl w:ilvl="6" w:tplc="18090001" w:tentative="1">
      <w:start w:val="1"/>
      <w:numFmt w:val="bullet"/>
      <w:lvlText w:val=""/>
      <w:lvlJc w:val="left"/>
      <w:pPr>
        <w:ind w:left="6242" w:hanging="360"/>
      </w:pPr>
      <w:rPr>
        <w:rFonts w:ascii="Symbol" w:hAnsi="Symbol" w:hint="default"/>
      </w:rPr>
    </w:lvl>
    <w:lvl w:ilvl="7" w:tplc="18090003" w:tentative="1">
      <w:start w:val="1"/>
      <w:numFmt w:val="bullet"/>
      <w:lvlText w:val="o"/>
      <w:lvlJc w:val="left"/>
      <w:pPr>
        <w:ind w:left="6962" w:hanging="360"/>
      </w:pPr>
      <w:rPr>
        <w:rFonts w:ascii="Courier New" w:hAnsi="Courier New" w:cs="Courier New" w:hint="default"/>
      </w:rPr>
    </w:lvl>
    <w:lvl w:ilvl="8" w:tplc="18090005" w:tentative="1">
      <w:start w:val="1"/>
      <w:numFmt w:val="bullet"/>
      <w:lvlText w:val=""/>
      <w:lvlJc w:val="left"/>
      <w:pPr>
        <w:ind w:left="7682" w:hanging="360"/>
      </w:pPr>
      <w:rPr>
        <w:rFonts w:ascii="Wingdings" w:hAnsi="Wingdings" w:hint="default"/>
      </w:rPr>
    </w:lvl>
  </w:abstractNum>
  <w:abstractNum w:abstractNumId="31" w15:restartNumberingAfterBreak="0">
    <w:nsid w:val="6888655C"/>
    <w:multiLevelType w:val="hybridMultilevel"/>
    <w:tmpl w:val="AA8ADAB4"/>
    <w:name w:val="ListNumber1Numbering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77472E"/>
    <w:multiLevelType w:val="multilevel"/>
    <w:tmpl w:val="DE867A0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7C65145E"/>
    <w:multiLevelType w:val="multilevel"/>
    <w:tmpl w:val="AC56FD86"/>
    <w:lvl w:ilvl="0">
      <w:start w:val="1"/>
      <w:numFmt w:val="decimal"/>
      <w:pStyle w:val="Heading1"/>
      <w:lvlText w:val="%1."/>
      <w:lvlJc w:val="left"/>
      <w:pPr>
        <w:tabs>
          <w:tab w:val="num" w:pos="482"/>
        </w:tabs>
        <w:ind w:left="482" w:hanging="482"/>
      </w:pPr>
      <w:rPr>
        <w:lang w:val="en-IE"/>
      </w:r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2438"/>
        </w:tabs>
        <w:ind w:left="2211" w:hanging="1009"/>
      </w:pPr>
    </w:lvl>
    <w:lvl w:ilvl="3">
      <w:start w:val="1"/>
      <w:numFmt w:val="decimal"/>
      <w:pStyle w:val="Heading4"/>
      <w:lvlText w:val="%1.%2.%3.%4."/>
      <w:lvlJc w:val="left"/>
      <w:pPr>
        <w:tabs>
          <w:tab w:val="num" w:pos="2438"/>
        </w:tabs>
        <w:ind w:left="2211" w:hanging="1009"/>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
  </w:num>
  <w:num w:numId="2">
    <w:abstractNumId w:val="15"/>
  </w:num>
  <w:num w:numId="3">
    <w:abstractNumId w:val="9"/>
  </w:num>
  <w:num w:numId="4">
    <w:abstractNumId w:val="16"/>
  </w:num>
  <w:num w:numId="5">
    <w:abstractNumId w:val="25"/>
  </w:num>
  <w:num w:numId="6">
    <w:abstractNumId w:val="32"/>
  </w:num>
  <w:num w:numId="7">
    <w:abstractNumId w:val="3"/>
  </w:num>
  <w:num w:numId="8">
    <w:abstractNumId w:val="8"/>
  </w:num>
  <w:num w:numId="9">
    <w:abstractNumId w:val="21"/>
  </w:num>
  <w:num w:numId="10">
    <w:abstractNumId w:val="4"/>
  </w:num>
  <w:num w:numId="11">
    <w:abstractNumId w:val="6"/>
  </w:num>
  <w:num w:numId="12">
    <w:abstractNumId w:val="7"/>
  </w:num>
  <w:num w:numId="13">
    <w:abstractNumId w:val="12"/>
  </w:num>
  <w:num w:numId="14">
    <w:abstractNumId w:val="18"/>
  </w:num>
  <w:num w:numId="15">
    <w:abstractNumId w:val="23"/>
  </w:num>
  <w:num w:numId="16">
    <w:abstractNumId w:val="33"/>
  </w:num>
  <w:num w:numId="17">
    <w:abstractNumId w:val="13"/>
  </w:num>
  <w:num w:numId="18">
    <w:abstractNumId w:val="14"/>
  </w:num>
  <w:num w:numId="19">
    <w:abstractNumId w:val="34"/>
  </w:num>
  <w:num w:numId="20">
    <w:abstractNumId w:val="22"/>
  </w:num>
  <w:num w:numId="21">
    <w:abstractNumId w:val="26"/>
  </w:num>
  <w:num w:numId="22">
    <w:abstractNumId w:val="5"/>
  </w:num>
  <w:num w:numId="23">
    <w:abstractNumId w:val="31"/>
  </w:num>
  <w:num w:numId="24">
    <w:abstractNumId w:val="0"/>
  </w:num>
  <w:num w:numId="25">
    <w:abstractNumId w:val="27"/>
  </w:num>
  <w:num w:numId="26">
    <w:abstractNumId w:val="19"/>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0"/>
  </w:num>
  <w:num w:numId="30">
    <w:abstractNumId w:val="20"/>
  </w:num>
  <w:num w:numId="31">
    <w:abstractNumId w:val="29"/>
  </w:num>
  <w:num w:numId="32">
    <w:abstractNumId w:val="11"/>
  </w:num>
  <w:num w:numId="33">
    <w:abstractNumId w:val="28"/>
  </w:num>
  <w:num w:numId="34">
    <w:abstractNumId w:val="24"/>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5601C23-73F8-4B22-AC1E-C678E289B825"/>
    <w:docVar w:name="LW_COVERPAGE_TYPE" w:val="1"/>
    <w:docVar w:name="LW_CROSSREFERENCE" w:val="&lt;UNUSED&gt;"/>
    <w:docVar w:name="LW_DocType" w:val="EUROLOOK"/>
    <w:docVar w:name="LW_EMISSION" w:val="29.11.2024"/>
    <w:docVar w:name="LW_EMISSION_ISODATE" w:val="2024-11-29"/>
    <w:docVar w:name="LW_EMISSION_LOCATION" w:val="BRX"/>
    <w:docVar w:name="LW_EMISSION_PREFIX" w:val="Bruksela, dnia "/>
    <w:docVar w:name="LW_EMISSION_SUFFIX" w:val=" r."/>
    <w:docVar w:name="LW_ID_DOCTYPE_NONLW" w:val="CP-005"/>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4) 5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otycz\u261?ce transpozycji dyrektywy Parlamentu Europejskiego i Rady (UE) 2019/1 z dnia 11 grudnia 2018 r. maj\u261?cej na celu nadanie organom ochrony konkurencji pa\u324?stw cz\u322?onkowskich uprawnie\u324? w celu skuteczniejszego egzekwowania prawa i zapewnienia nale\u380?ytego funkcjonowania rynku wewn\u281?trznego"/>
    <w:docVar w:name="LW_TYPE.DOC.CP" w:val="SPRAWOZDANIE KOMISJI DLA RADY I PARLAMENTU EUROPEJSKIEGO"/>
    <w:docVar w:name="LwApiVersions" w:val="LW4CoDe 1.24.5.0; LW 9.0, Build 20240221"/>
  </w:docVars>
  <w:rsids>
    <w:rsidRoot w:val="00492613"/>
    <w:rsid w:val="000009A3"/>
    <w:rsid w:val="000012D3"/>
    <w:rsid w:val="0000192C"/>
    <w:rsid w:val="00002D5A"/>
    <w:rsid w:val="00003803"/>
    <w:rsid w:val="00004004"/>
    <w:rsid w:val="000046DE"/>
    <w:rsid w:val="00005870"/>
    <w:rsid w:val="00006A40"/>
    <w:rsid w:val="000070BC"/>
    <w:rsid w:val="00007108"/>
    <w:rsid w:val="0001007D"/>
    <w:rsid w:val="000103B2"/>
    <w:rsid w:val="000109E6"/>
    <w:rsid w:val="00011633"/>
    <w:rsid w:val="00012664"/>
    <w:rsid w:val="00012B80"/>
    <w:rsid w:val="0001314C"/>
    <w:rsid w:val="000135D7"/>
    <w:rsid w:val="00014644"/>
    <w:rsid w:val="000146B3"/>
    <w:rsid w:val="00014AEB"/>
    <w:rsid w:val="00014DEF"/>
    <w:rsid w:val="00015D57"/>
    <w:rsid w:val="00016D9B"/>
    <w:rsid w:val="00017026"/>
    <w:rsid w:val="0001731B"/>
    <w:rsid w:val="000200E3"/>
    <w:rsid w:val="0002032D"/>
    <w:rsid w:val="00021365"/>
    <w:rsid w:val="00022412"/>
    <w:rsid w:val="000228E8"/>
    <w:rsid w:val="0002291E"/>
    <w:rsid w:val="000229BC"/>
    <w:rsid w:val="00022DCA"/>
    <w:rsid w:val="00023D16"/>
    <w:rsid w:val="0002602D"/>
    <w:rsid w:val="0002649E"/>
    <w:rsid w:val="00026911"/>
    <w:rsid w:val="00026DCD"/>
    <w:rsid w:val="0002719D"/>
    <w:rsid w:val="000272E9"/>
    <w:rsid w:val="000276A8"/>
    <w:rsid w:val="00030C0A"/>
    <w:rsid w:val="00030DCB"/>
    <w:rsid w:val="00030FB0"/>
    <w:rsid w:val="00031E49"/>
    <w:rsid w:val="000322E6"/>
    <w:rsid w:val="000324E0"/>
    <w:rsid w:val="00033F25"/>
    <w:rsid w:val="0003450C"/>
    <w:rsid w:val="00034FC5"/>
    <w:rsid w:val="00035743"/>
    <w:rsid w:val="00035CA9"/>
    <w:rsid w:val="0003626A"/>
    <w:rsid w:val="0003667B"/>
    <w:rsid w:val="000367F4"/>
    <w:rsid w:val="00036E84"/>
    <w:rsid w:val="000376EC"/>
    <w:rsid w:val="00040400"/>
    <w:rsid w:val="00041324"/>
    <w:rsid w:val="000419BA"/>
    <w:rsid w:val="000419FE"/>
    <w:rsid w:val="0004278B"/>
    <w:rsid w:val="00043338"/>
    <w:rsid w:val="0004364E"/>
    <w:rsid w:val="00043A38"/>
    <w:rsid w:val="00043E01"/>
    <w:rsid w:val="00044ED7"/>
    <w:rsid w:val="00045732"/>
    <w:rsid w:val="00045FE1"/>
    <w:rsid w:val="00046593"/>
    <w:rsid w:val="000475CD"/>
    <w:rsid w:val="00050486"/>
    <w:rsid w:val="0005174F"/>
    <w:rsid w:val="0005322B"/>
    <w:rsid w:val="00053BB4"/>
    <w:rsid w:val="000547E1"/>
    <w:rsid w:val="00055456"/>
    <w:rsid w:val="00055743"/>
    <w:rsid w:val="00055A48"/>
    <w:rsid w:val="000562A0"/>
    <w:rsid w:val="00057ADE"/>
    <w:rsid w:val="00057D3E"/>
    <w:rsid w:val="000608DD"/>
    <w:rsid w:val="00060B2C"/>
    <w:rsid w:val="0006123F"/>
    <w:rsid w:val="00061F4C"/>
    <w:rsid w:val="00062477"/>
    <w:rsid w:val="000633A4"/>
    <w:rsid w:val="00063693"/>
    <w:rsid w:val="00063AF9"/>
    <w:rsid w:val="00063B08"/>
    <w:rsid w:val="00063C27"/>
    <w:rsid w:val="00063FD2"/>
    <w:rsid w:val="000642C6"/>
    <w:rsid w:val="000643EB"/>
    <w:rsid w:val="0006473E"/>
    <w:rsid w:val="0006493A"/>
    <w:rsid w:val="00064A10"/>
    <w:rsid w:val="00064A4D"/>
    <w:rsid w:val="00064DE6"/>
    <w:rsid w:val="00065868"/>
    <w:rsid w:val="00065BC3"/>
    <w:rsid w:val="00065D64"/>
    <w:rsid w:val="00066701"/>
    <w:rsid w:val="00066A6F"/>
    <w:rsid w:val="000671E2"/>
    <w:rsid w:val="00070012"/>
    <w:rsid w:val="000705A1"/>
    <w:rsid w:val="00070FBD"/>
    <w:rsid w:val="000714FC"/>
    <w:rsid w:val="00071D3C"/>
    <w:rsid w:val="0007231D"/>
    <w:rsid w:val="000724AC"/>
    <w:rsid w:val="00072DA4"/>
    <w:rsid w:val="00072F10"/>
    <w:rsid w:val="00073BBF"/>
    <w:rsid w:val="000743D0"/>
    <w:rsid w:val="00074EBE"/>
    <w:rsid w:val="00075221"/>
    <w:rsid w:val="00075331"/>
    <w:rsid w:val="000754FC"/>
    <w:rsid w:val="0007768E"/>
    <w:rsid w:val="000808F5"/>
    <w:rsid w:val="00080C9F"/>
    <w:rsid w:val="0008160A"/>
    <w:rsid w:val="0008176F"/>
    <w:rsid w:val="00082389"/>
    <w:rsid w:val="00082C07"/>
    <w:rsid w:val="00082FB8"/>
    <w:rsid w:val="00083143"/>
    <w:rsid w:val="00083395"/>
    <w:rsid w:val="000833F0"/>
    <w:rsid w:val="00083A28"/>
    <w:rsid w:val="00084EF8"/>
    <w:rsid w:val="00085099"/>
    <w:rsid w:val="00085D55"/>
    <w:rsid w:val="00086389"/>
    <w:rsid w:val="000865DA"/>
    <w:rsid w:val="000868B1"/>
    <w:rsid w:val="0008763B"/>
    <w:rsid w:val="00087846"/>
    <w:rsid w:val="00091409"/>
    <w:rsid w:val="00091432"/>
    <w:rsid w:val="000918A2"/>
    <w:rsid w:val="00092455"/>
    <w:rsid w:val="00092A9F"/>
    <w:rsid w:val="00092EE6"/>
    <w:rsid w:val="00092FEE"/>
    <w:rsid w:val="000933B7"/>
    <w:rsid w:val="000936B3"/>
    <w:rsid w:val="00093AF3"/>
    <w:rsid w:val="00093C8C"/>
    <w:rsid w:val="00094238"/>
    <w:rsid w:val="000945D5"/>
    <w:rsid w:val="0009510F"/>
    <w:rsid w:val="00095E7B"/>
    <w:rsid w:val="00096A41"/>
    <w:rsid w:val="00096C6C"/>
    <w:rsid w:val="00096F22"/>
    <w:rsid w:val="00097406"/>
    <w:rsid w:val="00097859"/>
    <w:rsid w:val="000A05DE"/>
    <w:rsid w:val="000A104C"/>
    <w:rsid w:val="000A1345"/>
    <w:rsid w:val="000A194B"/>
    <w:rsid w:val="000A2169"/>
    <w:rsid w:val="000A2D51"/>
    <w:rsid w:val="000A2FD2"/>
    <w:rsid w:val="000A30D4"/>
    <w:rsid w:val="000A3DE6"/>
    <w:rsid w:val="000A3DF7"/>
    <w:rsid w:val="000A4405"/>
    <w:rsid w:val="000A5192"/>
    <w:rsid w:val="000A5498"/>
    <w:rsid w:val="000A5CF4"/>
    <w:rsid w:val="000A6233"/>
    <w:rsid w:val="000A62B1"/>
    <w:rsid w:val="000A639F"/>
    <w:rsid w:val="000A7543"/>
    <w:rsid w:val="000B1413"/>
    <w:rsid w:val="000B1635"/>
    <w:rsid w:val="000B17D6"/>
    <w:rsid w:val="000B2AC2"/>
    <w:rsid w:val="000B34CF"/>
    <w:rsid w:val="000B3610"/>
    <w:rsid w:val="000B6AD4"/>
    <w:rsid w:val="000B77AA"/>
    <w:rsid w:val="000B77BA"/>
    <w:rsid w:val="000B7AA4"/>
    <w:rsid w:val="000C04FD"/>
    <w:rsid w:val="000C108B"/>
    <w:rsid w:val="000C16FA"/>
    <w:rsid w:val="000C1AA1"/>
    <w:rsid w:val="000C2026"/>
    <w:rsid w:val="000C2050"/>
    <w:rsid w:val="000C2205"/>
    <w:rsid w:val="000C3982"/>
    <w:rsid w:val="000C3E84"/>
    <w:rsid w:val="000C4AFF"/>
    <w:rsid w:val="000C4D0F"/>
    <w:rsid w:val="000C4F87"/>
    <w:rsid w:val="000C5867"/>
    <w:rsid w:val="000C5A11"/>
    <w:rsid w:val="000C649D"/>
    <w:rsid w:val="000C6EFC"/>
    <w:rsid w:val="000C7575"/>
    <w:rsid w:val="000D02B6"/>
    <w:rsid w:val="000D140D"/>
    <w:rsid w:val="000D1A6E"/>
    <w:rsid w:val="000D1A8D"/>
    <w:rsid w:val="000D1EEE"/>
    <w:rsid w:val="000D36B7"/>
    <w:rsid w:val="000D401D"/>
    <w:rsid w:val="000D4259"/>
    <w:rsid w:val="000D49E7"/>
    <w:rsid w:val="000D4FC7"/>
    <w:rsid w:val="000D5E7A"/>
    <w:rsid w:val="000D63AD"/>
    <w:rsid w:val="000D65E9"/>
    <w:rsid w:val="000D6691"/>
    <w:rsid w:val="000D6AAF"/>
    <w:rsid w:val="000D7218"/>
    <w:rsid w:val="000D79AB"/>
    <w:rsid w:val="000E064E"/>
    <w:rsid w:val="000E0822"/>
    <w:rsid w:val="000E0B83"/>
    <w:rsid w:val="000E0C78"/>
    <w:rsid w:val="000E17FF"/>
    <w:rsid w:val="000E18C5"/>
    <w:rsid w:val="000E1907"/>
    <w:rsid w:val="000E1A0F"/>
    <w:rsid w:val="000E1E04"/>
    <w:rsid w:val="000E2424"/>
    <w:rsid w:val="000E2A56"/>
    <w:rsid w:val="000E33B6"/>
    <w:rsid w:val="000E34FE"/>
    <w:rsid w:val="000E3626"/>
    <w:rsid w:val="000E4034"/>
    <w:rsid w:val="000E470D"/>
    <w:rsid w:val="000E4907"/>
    <w:rsid w:val="000E5924"/>
    <w:rsid w:val="000E6431"/>
    <w:rsid w:val="000E6966"/>
    <w:rsid w:val="000E704C"/>
    <w:rsid w:val="000E7418"/>
    <w:rsid w:val="000E7860"/>
    <w:rsid w:val="000E79CC"/>
    <w:rsid w:val="000F028D"/>
    <w:rsid w:val="000F07BB"/>
    <w:rsid w:val="000F0E1C"/>
    <w:rsid w:val="000F0FB6"/>
    <w:rsid w:val="000F1720"/>
    <w:rsid w:val="000F1AFF"/>
    <w:rsid w:val="000F2D10"/>
    <w:rsid w:val="000F4423"/>
    <w:rsid w:val="000F4584"/>
    <w:rsid w:val="000F5639"/>
    <w:rsid w:val="000F60D0"/>
    <w:rsid w:val="000F77A6"/>
    <w:rsid w:val="000F7F7A"/>
    <w:rsid w:val="00101011"/>
    <w:rsid w:val="00101410"/>
    <w:rsid w:val="001015FD"/>
    <w:rsid w:val="0010186F"/>
    <w:rsid w:val="00102A50"/>
    <w:rsid w:val="00103029"/>
    <w:rsid w:val="00103C22"/>
    <w:rsid w:val="00103E87"/>
    <w:rsid w:val="001042EE"/>
    <w:rsid w:val="001044B7"/>
    <w:rsid w:val="00104CE8"/>
    <w:rsid w:val="00104EBE"/>
    <w:rsid w:val="0010515B"/>
    <w:rsid w:val="00105427"/>
    <w:rsid w:val="001069B3"/>
    <w:rsid w:val="00106CBA"/>
    <w:rsid w:val="00110555"/>
    <w:rsid w:val="0011104A"/>
    <w:rsid w:val="001122A1"/>
    <w:rsid w:val="00112CDB"/>
    <w:rsid w:val="0011302D"/>
    <w:rsid w:val="00113126"/>
    <w:rsid w:val="00113258"/>
    <w:rsid w:val="001136DE"/>
    <w:rsid w:val="00114599"/>
    <w:rsid w:val="00114811"/>
    <w:rsid w:val="00115F1F"/>
    <w:rsid w:val="0011605A"/>
    <w:rsid w:val="0011637A"/>
    <w:rsid w:val="0011653C"/>
    <w:rsid w:val="001167E1"/>
    <w:rsid w:val="0011730F"/>
    <w:rsid w:val="00117583"/>
    <w:rsid w:val="00117751"/>
    <w:rsid w:val="00117964"/>
    <w:rsid w:val="00117BF3"/>
    <w:rsid w:val="0012181D"/>
    <w:rsid w:val="00123E10"/>
    <w:rsid w:val="0012451D"/>
    <w:rsid w:val="00124F80"/>
    <w:rsid w:val="00124FBA"/>
    <w:rsid w:val="00124FC6"/>
    <w:rsid w:val="00124FE1"/>
    <w:rsid w:val="0012500C"/>
    <w:rsid w:val="00125016"/>
    <w:rsid w:val="0012502C"/>
    <w:rsid w:val="00126116"/>
    <w:rsid w:val="00126142"/>
    <w:rsid w:val="00126B67"/>
    <w:rsid w:val="00126F62"/>
    <w:rsid w:val="00127B40"/>
    <w:rsid w:val="001304D4"/>
    <w:rsid w:val="00130AC6"/>
    <w:rsid w:val="00130E6C"/>
    <w:rsid w:val="001312BB"/>
    <w:rsid w:val="001316EB"/>
    <w:rsid w:val="00133355"/>
    <w:rsid w:val="00134E8C"/>
    <w:rsid w:val="00135457"/>
    <w:rsid w:val="00135517"/>
    <w:rsid w:val="00135870"/>
    <w:rsid w:val="00135940"/>
    <w:rsid w:val="001361FB"/>
    <w:rsid w:val="001364FC"/>
    <w:rsid w:val="0013729E"/>
    <w:rsid w:val="001376A7"/>
    <w:rsid w:val="00137735"/>
    <w:rsid w:val="001377C6"/>
    <w:rsid w:val="00137967"/>
    <w:rsid w:val="00140208"/>
    <w:rsid w:val="0014022F"/>
    <w:rsid w:val="00140BC3"/>
    <w:rsid w:val="001415D5"/>
    <w:rsid w:val="00141A5E"/>
    <w:rsid w:val="00141D14"/>
    <w:rsid w:val="001420A2"/>
    <w:rsid w:val="00142B68"/>
    <w:rsid w:val="001436EC"/>
    <w:rsid w:val="00143897"/>
    <w:rsid w:val="001440D7"/>
    <w:rsid w:val="0014458A"/>
    <w:rsid w:val="00144AA2"/>
    <w:rsid w:val="001451F0"/>
    <w:rsid w:val="001457A5"/>
    <w:rsid w:val="00146464"/>
    <w:rsid w:val="00146DF1"/>
    <w:rsid w:val="0014743C"/>
    <w:rsid w:val="00147581"/>
    <w:rsid w:val="00147BBA"/>
    <w:rsid w:val="001506F8"/>
    <w:rsid w:val="00151381"/>
    <w:rsid w:val="00151F08"/>
    <w:rsid w:val="00152A3D"/>
    <w:rsid w:val="001532DB"/>
    <w:rsid w:val="001533D6"/>
    <w:rsid w:val="0015345E"/>
    <w:rsid w:val="00153476"/>
    <w:rsid w:val="001534D3"/>
    <w:rsid w:val="00153AC3"/>
    <w:rsid w:val="00153BA4"/>
    <w:rsid w:val="0015416F"/>
    <w:rsid w:val="001546BB"/>
    <w:rsid w:val="001546DF"/>
    <w:rsid w:val="00155A38"/>
    <w:rsid w:val="00155DF2"/>
    <w:rsid w:val="00155FED"/>
    <w:rsid w:val="001566E1"/>
    <w:rsid w:val="001577F5"/>
    <w:rsid w:val="00157C7F"/>
    <w:rsid w:val="00160200"/>
    <w:rsid w:val="00160397"/>
    <w:rsid w:val="001608E6"/>
    <w:rsid w:val="00160948"/>
    <w:rsid w:val="001610B6"/>
    <w:rsid w:val="00161247"/>
    <w:rsid w:val="001612F6"/>
    <w:rsid w:val="001616F5"/>
    <w:rsid w:val="00162403"/>
    <w:rsid w:val="00163166"/>
    <w:rsid w:val="00163B89"/>
    <w:rsid w:val="00163C96"/>
    <w:rsid w:val="00164311"/>
    <w:rsid w:val="00164550"/>
    <w:rsid w:val="00165543"/>
    <w:rsid w:val="00165D8F"/>
    <w:rsid w:val="0016618A"/>
    <w:rsid w:val="0016645C"/>
    <w:rsid w:val="0016690A"/>
    <w:rsid w:val="00166991"/>
    <w:rsid w:val="00166F7A"/>
    <w:rsid w:val="00167CDF"/>
    <w:rsid w:val="001701D0"/>
    <w:rsid w:val="0017176A"/>
    <w:rsid w:val="001727F9"/>
    <w:rsid w:val="00172D19"/>
    <w:rsid w:val="00173B62"/>
    <w:rsid w:val="00174323"/>
    <w:rsid w:val="00174B14"/>
    <w:rsid w:val="00174C29"/>
    <w:rsid w:val="00174ED1"/>
    <w:rsid w:val="00175CDB"/>
    <w:rsid w:val="00175EFE"/>
    <w:rsid w:val="001772D4"/>
    <w:rsid w:val="001774F7"/>
    <w:rsid w:val="00181365"/>
    <w:rsid w:val="00181922"/>
    <w:rsid w:val="00182098"/>
    <w:rsid w:val="00182156"/>
    <w:rsid w:val="001828E8"/>
    <w:rsid w:val="00182ECA"/>
    <w:rsid w:val="001841BB"/>
    <w:rsid w:val="001844F0"/>
    <w:rsid w:val="001868F1"/>
    <w:rsid w:val="00186978"/>
    <w:rsid w:val="00186D40"/>
    <w:rsid w:val="00186E4A"/>
    <w:rsid w:val="001872D7"/>
    <w:rsid w:val="00187553"/>
    <w:rsid w:val="0018781E"/>
    <w:rsid w:val="00187ABA"/>
    <w:rsid w:val="00187EEE"/>
    <w:rsid w:val="00191175"/>
    <w:rsid w:val="00191F5F"/>
    <w:rsid w:val="001923F9"/>
    <w:rsid w:val="00192475"/>
    <w:rsid w:val="001924DF"/>
    <w:rsid w:val="00192961"/>
    <w:rsid w:val="00192BAE"/>
    <w:rsid w:val="00193DC3"/>
    <w:rsid w:val="00193E54"/>
    <w:rsid w:val="00194304"/>
    <w:rsid w:val="001949C0"/>
    <w:rsid w:val="00194C45"/>
    <w:rsid w:val="00196135"/>
    <w:rsid w:val="001962F3"/>
    <w:rsid w:val="00196B40"/>
    <w:rsid w:val="00196FB3"/>
    <w:rsid w:val="00197F37"/>
    <w:rsid w:val="001A010A"/>
    <w:rsid w:val="001A06E2"/>
    <w:rsid w:val="001A1BF1"/>
    <w:rsid w:val="001A1E8A"/>
    <w:rsid w:val="001A2377"/>
    <w:rsid w:val="001A2E7B"/>
    <w:rsid w:val="001A3CC3"/>
    <w:rsid w:val="001A4797"/>
    <w:rsid w:val="001A5AA8"/>
    <w:rsid w:val="001A5D78"/>
    <w:rsid w:val="001A6661"/>
    <w:rsid w:val="001A6EE3"/>
    <w:rsid w:val="001A7747"/>
    <w:rsid w:val="001A7783"/>
    <w:rsid w:val="001A7BBA"/>
    <w:rsid w:val="001A7CA9"/>
    <w:rsid w:val="001B00CB"/>
    <w:rsid w:val="001B09E6"/>
    <w:rsid w:val="001B0DE2"/>
    <w:rsid w:val="001B15DF"/>
    <w:rsid w:val="001B1603"/>
    <w:rsid w:val="001B16F4"/>
    <w:rsid w:val="001B1B46"/>
    <w:rsid w:val="001B22A5"/>
    <w:rsid w:val="001B3819"/>
    <w:rsid w:val="001B4D01"/>
    <w:rsid w:val="001B507B"/>
    <w:rsid w:val="001B5215"/>
    <w:rsid w:val="001B6373"/>
    <w:rsid w:val="001B6398"/>
    <w:rsid w:val="001B66D4"/>
    <w:rsid w:val="001B6CB6"/>
    <w:rsid w:val="001B7DED"/>
    <w:rsid w:val="001B7FC0"/>
    <w:rsid w:val="001C00A9"/>
    <w:rsid w:val="001C0190"/>
    <w:rsid w:val="001C0BB0"/>
    <w:rsid w:val="001C0E31"/>
    <w:rsid w:val="001C0E98"/>
    <w:rsid w:val="001C19B1"/>
    <w:rsid w:val="001C1CC0"/>
    <w:rsid w:val="001C1D40"/>
    <w:rsid w:val="001C22B0"/>
    <w:rsid w:val="001C33E0"/>
    <w:rsid w:val="001C3BFA"/>
    <w:rsid w:val="001C40F1"/>
    <w:rsid w:val="001C491E"/>
    <w:rsid w:val="001C4BE1"/>
    <w:rsid w:val="001C5455"/>
    <w:rsid w:val="001C5BF1"/>
    <w:rsid w:val="001C5EAF"/>
    <w:rsid w:val="001C5EF0"/>
    <w:rsid w:val="001C60F0"/>
    <w:rsid w:val="001C64DF"/>
    <w:rsid w:val="001C701C"/>
    <w:rsid w:val="001D012F"/>
    <w:rsid w:val="001D05DB"/>
    <w:rsid w:val="001D0C22"/>
    <w:rsid w:val="001D0EC0"/>
    <w:rsid w:val="001D10DF"/>
    <w:rsid w:val="001D10F5"/>
    <w:rsid w:val="001D1490"/>
    <w:rsid w:val="001D1674"/>
    <w:rsid w:val="001D1ECE"/>
    <w:rsid w:val="001D2477"/>
    <w:rsid w:val="001D25A5"/>
    <w:rsid w:val="001D2B91"/>
    <w:rsid w:val="001D2F36"/>
    <w:rsid w:val="001D30DA"/>
    <w:rsid w:val="001D36F7"/>
    <w:rsid w:val="001D4257"/>
    <w:rsid w:val="001D4337"/>
    <w:rsid w:val="001D4504"/>
    <w:rsid w:val="001D4CF8"/>
    <w:rsid w:val="001D4F93"/>
    <w:rsid w:val="001D566B"/>
    <w:rsid w:val="001D5950"/>
    <w:rsid w:val="001D5B6C"/>
    <w:rsid w:val="001D6FBB"/>
    <w:rsid w:val="001D76BF"/>
    <w:rsid w:val="001D7D81"/>
    <w:rsid w:val="001E0086"/>
    <w:rsid w:val="001E0878"/>
    <w:rsid w:val="001E0DA2"/>
    <w:rsid w:val="001E18C9"/>
    <w:rsid w:val="001E229F"/>
    <w:rsid w:val="001E2821"/>
    <w:rsid w:val="001E2C43"/>
    <w:rsid w:val="001E2F93"/>
    <w:rsid w:val="001E3450"/>
    <w:rsid w:val="001E3770"/>
    <w:rsid w:val="001E3C68"/>
    <w:rsid w:val="001E3FAF"/>
    <w:rsid w:val="001E41AE"/>
    <w:rsid w:val="001E43CE"/>
    <w:rsid w:val="001E483E"/>
    <w:rsid w:val="001E4BE3"/>
    <w:rsid w:val="001E4D9A"/>
    <w:rsid w:val="001E52DC"/>
    <w:rsid w:val="001E53E3"/>
    <w:rsid w:val="001E5B94"/>
    <w:rsid w:val="001E5DF6"/>
    <w:rsid w:val="001E6AE1"/>
    <w:rsid w:val="001E7735"/>
    <w:rsid w:val="001F009F"/>
    <w:rsid w:val="001F1D54"/>
    <w:rsid w:val="001F1EB5"/>
    <w:rsid w:val="001F28E4"/>
    <w:rsid w:val="001F2FAB"/>
    <w:rsid w:val="001F3465"/>
    <w:rsid w:val="001F37C2"/>
    <w:rsid w:val="001F37ED"/>
    <w:rsid w:val="001F3B41"/>
    <w:rsid w:val="001F3FAA"/>
    <w:rsid w:val="001F3FBE"/>
    <w:rsid w:val="001F4958"/>
    <w:rsid w:val="001F4D76"/>
    <w:rsid w:val="001F4F90"/>
    <w:rsid w:val="001F56FF"/>
    <w:rsid w:val="001F5FC3"/>
    <w:rsid w:val="001F633D"/>
    <w:rsid w:val="001F6516"/>
    <w:rsid w:val="001F6935"/>
    <w:rsid w:val="001F7194"/>
    <w:rsid w:val="001F7245"/>
    <w:rsid w:val="001F7782"/>
    <w:rsid w:val="00200CBE"/>
    <w:rsid w:val="0020242B"/>
    <w:rsid w:val="002025A3"/>
    <w:rsid w:val="00202A8E"/>
    <w:rsid w:val="00202F69"/>
    <w:rsid w:val="00203651"/>
    <w:rsid w:val="00203AAA"/>
    <w:rsid w:val="00203DF9"/>
    <w:rsid w:val="00204445"/>
    <w:rsid w:val="00204585"/>
    <w:rsid w:val="00204F4C"/>
    <w:rsid w:val="002056A9"/>
    <w:rsid w:val="00205737"/>
    <w:rsid w:val="00205ABD"/>
    <w:rsid w:val="00206727"/>
    <w:rsid w:val="0020724F"/>
    <w:rsid w:val="002076E8"/>
    <w:rsid w:val="00207F09"/>
    <w:rsid w:val="00210310"/>
    <w:rsid w:val="00210518"/>
    <w:rsid w:val="00210692"/>
    <w:rsid w:val="002106F9"/>
    <w:rsid w:val="002111BC"/>
    <w:rsid w:val="00211EF7"/>
    <w:rsid w:val="00212A7F"/>
    <w:rsid w:val="002135D1"/>
    <w:rsid w:val="002136F3"/>
    <w:rsid w:val="00213B12"/>
    <w:rsid w:val="00213B6F"/>
    <w:rsid w:val="00214D61"/>
    <w:rsid w:val="002152BD"/>
    <w:rsid w:val="0021537B"/>
    <w:rsid w:val="00215B7E"/>
    <w:rsid w:val="00216104"/>
    <w:rsid w:val="00217027"/>
    <w:rsid w:val="002172AD"/>
    <w:rsid w:val="0021793D"/>
    <w:rsid w:val="00217AE0"/>
    <w:rsid w:val="00217EB7"/>
    <w:rsid w:val="002203EC"/>
    <w:rsid w:val="002204E0"/>
    <w:rsid w:val="00220BED"/>
    <w:rsid w:val="0022106B"/>
    <w:rsid w:val="0022128A"/>
    <w:rsid w:val="0022164E"/>
    <w:rsid w:val="00221885"/>
    <w:rsid w:val="00221E72"/>
    <w:rsid w:val="002222FA"/>
    <w:rsid w:val="00222D68"/>
    <w:rsid w:val="00222F5E"/>
    <w:rsid w:val="0022349F"/>
    <w:rsid w:val="00224B49"/>
    <w:rsid w:val="002252B2"/>
    <w:rsid w:val="002257A4"/>
    <w:rsid w:val="00225ACA"/>
    <w:rsid w:val="00225B1C"/>
    <w:rsid w:val="00226CA0"/>
    <w:rsid w:val="00226EC4"/>
    <w:rsid w:val="00227D01"/>
    <w:rsid w:val="002309D2"/>
    <w:rsid w:val="00230AB0"/>
    <w:rsid w:val="00230B77"/>
    <w:rsid w:val="00232C6A"/>
    <w:rsid w:val="00233613"/>
    <w:rsid w:val="00233CA3"/>
    <w:rsid w:val="00234AC6"/>
    <w:rsid w:val="002351E7"/>
    <w:rsid w:val="00235412"/>
    <w:rsid w:val="00235548"/>
    <w:rsid w:val="0023571F"/>
    <w:rsid w:val="0023588D"/>
    <w:rsid w:val="00235E2D"/>
    <w:rsid w:val="002371B4"/>
    <w:rsid w:val="00237536"/>
    <w:rsid w:val="00237CB2"/>
    <w:rsid w:val="002405B2"/>
    <w:rsid w:val="002406D9"/>
    <w:rsid w:val="00241ADE"/>
    <w:rsid w:val="00241AF4"/>
    <w:rsid w:val="00241F35"/>
    <w:rsid w:val="00241F90"/>
    <w:rsid w:val="002426E2"/>
    <w:rsid w:val="002429B3"/>
    <w:rsid w:val="002429D3"/>
    <w:rsid w:val="00242A34"/>
    <w:rsid w:val="002430AE"/>
    <w:rsid w:val="00243FC9"/>
    <w:rsid w:val="00244F42"/>
    <w:rsid w:val="0024520D"/>
    <w:rsid w:val="002464B9"/>
    <w:rsid w:val="0024662F"/>
    <w:rsid w:val="00247348"/>
    <w:rsid w:val="002476F7"/>
    <w:rsid w:val="002477CB"/>
    <w:rsid w:val="00250192"/>
    <w:rsid w:val="00250B36"/>
    <w:rsid w:val="002514C4"/>
    <w:rsid w:val="00251701"/>
    <w:rsid w:val="00251759"/>
    <w:rsid w:val="002517AD"/>
    <w:rsid w:val="002519ED"/>
    <w:rsid w:val="00251E03"/>
    <w:rsid w:val="0025241A"/>
    <w:rsid w:val="002534AC"/>
    <w:rsid w:val="0025395D"/>
    <w:rsid w:val="00253C97"/>
    <w:rsid w:val="00254102"/>
    <w:rsid w:val="002554F6"/>
    <w:rsid w:val="00256722"/>
    <w:rsid w:val="00256D84"/>
    <w:rsid w:val="00256FE5"/>
    <w:rsid w:val="002579FF"/>
    <w:rsid w:val="00260797"/>
    <w:rsid w:val="00260A8B"/>
    <w:rsid w:val="00261392"/>
    <w:rsid w:val="00261DA5"/>
    <w:rsid w:val="0026247D"/>
    <w:rsid w:val="0026253C"/>
    <w:rsid w:val="00262BF4"/>
    <w:rsid w:val="002639AC"/>
    <w:rsid w:val="002644FF"/>
    <w:rsid w:val="0026450E"/>
    <w:rsid w:val="00264847"/>
    <w:rsid w:val="00264905"/>
    <w:rsid w:val="002660C9"/>
    <w:rsid w:val="00266198"/>
    <w:rsid w:val="0026792E"/>
    <w:rsid w:val="00267A7B"/>
    <w:rsid w:val="00267A8E"/>
    <w:rsid w:val="00267B59"/>
    <w:rsid w:val="00267FF6"/>
    <w:rsid w:val="002703C1"/>
    <w:rsid w:val="00270FBF"/>
    <w:rsid w:val="0027222C"/>
    <w:rsid w:val="002722DE"/>
    <w:rsid w:val="002725DF"/>
    <w:rsid w:val="00272B4F"/>
    <w:rsid w:val="00272D81"/>
    <w:rsid w:val="00273EE3"/>
    <w:rsid w:val="002742A7"/>
    <w:rsid w:val="00274FBD"/>
    <w:rsid w:val="0027551C"/>
    <w:rsid w:val="002759CB"/>
    <w:rsid w:val="00275AD7"/>
    <w:rsid w:val="00275ED3"/>
    <w:rsid w:val="00276534"/>
    <w:rsid w:val="002768F0"/>
    <w:rsid w:val="00276B5C"/>
    <w:rsid w:val="00277CA9"/>
    <w:rsid w:val="00280751"/>
    <w:rsid w:val="0028108D"/>
    <w:rsid w:val="002813EA"/>
    <w:rsid w:val="00281AF7"/>
    <w:rsid w:val="00281D5A"/>
    <w:rsid w:val="0028225F"/>
    <w:rsid w:val="0028246C"/>
    <w:rsid w:val="00282E9E"/>
    <w:rsid w:val="00282EAE"/>
    <w:rsid w:val="00283276"/>
    <w:rsid w:val="00283459"/>
    <w:rsid w:val="00283517"/>
    <w:rsid w:val="00283694"/>
    <w:rsid w:val="00283729"/>
    <w:rsid w:val="0028379E"/>
    <w:rsid w:val="00283836"/>
    <w:rsid w:val="00283D5D"/>
    <w:rsid w:val="002840BA"/>
    <w:rsid w:val="00284621"/>
    <w:rsid w:val="002847B0"/>
    <w:rsid w:val="002852F3"/>
    <w:rsid w:val="002858AA"/>
    <w:rsid w:val="00286938"/>
    <w:rsid w:val="00286CEA"/>
    <w:rsid w:val="00287416"/>
    <w:rsid w:val="002879E9"/>
    <w:rsid w:val="0029029C"/>
    <w:rsid w:val="002902FB"/>
    <w:rsid w:val="00290CE8"/>
    <w:rsid w:val="0029118B"/>
    <w:rsid w:val="002917B3"/>
    <w:rsid w:val="00291B74"/>
    <w:rsid w:val="00292958"/>
    <w:rsid w:val="00293ECA"/>
    <w:rsid w:val="00294462"/>
    <w:rsid w:val="00294A18"/>
    <w:rsid w:val="00295139"/>
    <w:rsid w:val="002951B1"/>
    <w:rsid w:val="00295394"/>
    <w:rsid w:val="0029569A"/>
    <w:rsid w:val="002956BC"/>
    <w:rsid w:val="00295BD4"/>
    <w:rsid w:val="00296376"/>
    <w:rsid w:val="00296EB7"/>
    <w:rsid w:val="0029737E"/>
    <w:rsid w:val="00297A59"/>
    <w:rsid w:val="00297EB4"/>
    <w:rsid w:val="002A0A27"/>
    <w:rsid w:val="002A1EF4"/>
    <w:rsid w:val="002A25A2"/>
    <w:rsid w:val="002A2D0B"/>
    <w:rsid w:val="002A316A"/>
    <w:rsid w:val="002A4107"/>
    <w:rsid w:val="002A4295"/>
    <w:rsid w:val="002A42F9"/>
    <w:rsid w:val="002A4FA3"/>
    <w:rsid w:val="002A64C4"/>
    <w:rsid w:val="002A674B"/>
    <w:rsid w:val="002A6EB2"/>
    <w:rsid w:val="002B0500"/>
    <w:rsid w:val="002B1EB1"/>
    <w:rsid w:val="002B2A1E"/>
    <w:rsid w:val="002B364D"/>
    <w:rsid w:val="002B3AF2"/>
    <w:rsid w:val="002B4150"/>
    <w:rsid w:val="002B4695"/>
    <w:rsid w:val="002B4EC1"/>
    <w:rsid w:val="002B5A5D"/>
    <w:rsid w:val="002B67F1"/>
    <w:rsid w:val="002B69D8"/>
    <w:rsid w:val="002B6C8E"/>
    <w:rsid w:val="002B6F1A"/>
    <w:rsid w:val="002B6F89"/>
    <w:rsid w:val="002B7B23"/>
    <w:rsid w:val="002B7E7A"/>
    <w:rsid w:val="002B7F4B"/>
    <w:rsid w:val="002C067C"/>
    <w:rsid w:val="002C095B"/>
    <w:rsid w:val="002C0AA9"/>
    <w:rsid w:val="002C10BE"/>
    <w:rsid w:val="002C1B9C"/>
    <w:rsid w:val="002C2C99"/>
    <w:rsid w:val="002C2DC8"/>
    <w:rsid w:val="002C2E47"/>
    <w:rsid w:val="002C3ED3"/>
    <w:rsid w:val="002C4ACE"/>
    <w:rsid w:val="002C5023"/>
    <w:rsid w:val="002C57EA"/>
    <w:rsid w:val="002C5943"/>
    <w:rsid w:val="002C5D56"/>
    <w:rsid w:val="002C6984"/>
    <w:rsid w:val="002C6D68"/>
    <w:rsid w:val="002D0FE3"/>
    <w:rsid w:val="002D1A21"/>
    <w:rsid w:val="002D2146"/>
    <w:rsid w:val="002D263C"/>
    <w:rsid w:val="002D29CE"/>
    <w:rsid w:val="002D3B2F"/>
    <w:rsid w:val="002D4664"/>
    <w:rsid w:val="002D5844"/>
    <w:rsid w:val="002D6275"/>
    <w:rsid w:val="002D6395"/>
    <w:rsid w:val="002D6845"/>
    <w:rsid w:val="002D6AB8"/>
    <w:rsid w:val="002D6DAB"/>
    <w:rsid w:val="002D77B8"/>
    <w:rsid w:val="002D7925"/>
    <w:rsid w:val="002D7D90"/>
    <w:rsid w:val="002E00CF"/>
    <w:rsid w:val="002E0215"/>
    <w:rsid w:val="002E07CC"/>
    <w:rsid w:val="002E135F"/>
    <w:rsid w:val="002E19DD"/>
    <w:rsid w:val="002E1EF8"/>
    <w:rsid w:val="002E2C1C"/>
    <w:rsid w:val="002E31B5"/>
    <w:rsid w:val="002E384A"/>
    <w:rsid w:val="002E3B57"/>
    <w:rsid w:val="002E3F0A"/>
    <w:rsid w:val="002E4DF4"/>
    <w:rsid w:val="002E50B2"/>
    <w:rsid w:val="002E5F1A"/>
    <w:rsid w:val="002E6474"/>
    <w:rsid w:val="002E6FC8"/>
    <w:rsid w:val="002F0464"/>
    <w:rsid w:val="002F1F15"/>
    <w:rsid w:val="002F222A"/>
    <w:rsid w:val="002F24DD"/>
    <w:rsid w:val="002F2E58"/>
    <w:rsid w:val="002F3122"/>
    <w:rsid w:val="002F3196"/>
    <w:rsid w:val="002F36DC"/>
    <w:rsid w:val="002F3B6C"/>
    <w:rsid w:val="002F410E"/>
    <w:rsid w:val="002F41CE"/>
    <w:rsid w:val="002F5941"/>
    <w:rsid w:val="002F5C39"/>
    <w:rsid w:val="002F634C"/>
    <w:rsid w:val="002F765F"/>
    <w:rsid w:val="002F7985"/>
    <w:rsid w:val="002F7B86"/>
    <w:rsid w:val="00300111"/>
    <w:rsid w:val="003003AA"/>
    <w:rsid w:val="0030070C"/>
    <w:rsid w:val="003013AE"/>
    <w:rsid w:val="00301E6A"/>
    <w:rsid w:val="0030278C"/>
    <w:rsid w:val="00302BB3"/>
    <w:rsid w:val="00302CD4"/>
    <w:rsid w:val="00302CF0"/>
    <w:rsid w:val="0030334B"/>
    <w:rsid w:val="00304063"/>
    <w:rsid w:val="00304375"/>
    <w:rsid w:val="00304578"/>
    <w:rsid w:val="0030469D"/>
    <w:rsid w:val="003052A8"/>
    <w:rsid w:val="003055D3"/>
    <w:rsid w:val="00305B82"/>
    <w:rsid w:val="00305F4C"/>
    <w:rsid w:val="00306397"/>
    <w:rsid w:val="0030676E"/>
    <w:rsid w:val="003068B1"/>
    <w:rsid w:val="003074A8"/>
    <w:rsid w:val="0030772C"/>
    <w:rsid w:val="00307FEB"/>
    <w:rsid w:val="0031092A"/>
    <w:rsid w:val="0031095B"/>
    <w:rsid w:val="00310A8A"/>
    <w:rsid w:val="00310F7F"/>
    <w:rsid w:val="0031112D"/>
    <w:rsid w:val="0031138E"/>
    <w:rsid w:val="00311477"/>
    <w:rsid w:val="003127DC"/>
    <w:rsid w:val="00312B99"/>
    <w:rsid w:val="00313A71"/>
    <w:rsid w:val="00315536"/>
    <w:rsid w:val="00315CB0"/>
    <w:rsid w:val="0031773B"/>
    <w:rsid w:val="00317B6D"/>
    <w:rsid w:val="003205EA"/>
    <w:rsid w:val="0032078D"/>
    <w:rsid w:val="00320DE7"/>
    <w:rsid w:val="003221FC"/>
    <w:rsid w:val="0032340E"/>
    <w:rsid w:val="0032362B"/>
    <w:rsid w:val="00323768"/>
    <w:rsid w:val="00324884"/>
    <w:rsid w:val="00325383"/>
    <w:rsid w:val="0032551C"/>
    <w:rsid w:val="00325A03"/>
    <w:rsid w:val="00325D5F"/>
    <w:rsid w:val="00325D93"/>
    <w:rsid w:val="00326984"/>
    <w:rsid w:val="00327CE1"/>
    <w:rsid w:val="00330CB6"/>
    <w:rsid w:val="0033156C"/>
    <w:rsid w:val="003316AA"/>
    <w:rsid w:val="00331A33"/>
    <w:rsid w:val="00331AA3"/>
    <w:rsid w:val="00331AD9"/>
    <w:rsid w:val="00332060"/>
    <w:rsid w:val="003338A7"/>
    <w:rsid w:val="003340A0"/>
    <w:rsid w:val="00334284"/>
    <w:rsid w:val="003344B2"/>
    <w:rsid w:val="003348A7"/>
    <w:rsid w:val="00334C39"/>
    <w:rsid w:val="00334F5B"/>
    <w:rsid w:val="00335AE5"/>
    <w:rsid w:val="0033619D"/>
    <w:rsid w:val="00337350"/>
    <w:rsid w:val="0033746B"/>
    <w:rsid w:val="003409E9"/>
    <w:rsid w:val="00340E29"/>
    <w:rsid w:val="003410A0"/>
    <w:rsid w:val="0034259A"/>
    <w:rsid w:val="0034264B"/>
    <w:rsid w:val="00342EA8"/>
    <w:rsid w:val="003440EC"/>
    <w:rsid w:val="003440FE"/>
    <w:rsid w:val="00344D4E"/>
    <w:rsid w:val="00345039"/>
    <w:rsid w:val="00345676"/>
    <w:rsid w:val="00345A58"/>
    <w:rsid w:val="00345EEB"/>
    <w:rsid w:val="003463EE"/>
    <w:rsid w:val="00346B4C"/>
    <w:rsid w:val="00346C40"/>
    <w:rsid w:val="00347906"/>
    <w:rsid w:val="00350842"/>
    <w:rsid w:val="003509C1"/>
    <w:rsid w:val="00350A46"/>
    <w:rsid w:val="00350BD4"/>
    <w:rsid w:val="00350EDE"/>
    <w:rsid w:val="00350F6F"/>
    <w:rsid w:val="00352480"/>
    <w:rsid w:val="00352728"/>
    <w:rsid w:val="003531AD"/>
    <w:rsid w:val="00355AD2"/>
    <w:rsid w:val="00355BA9"/>
    <w:rsid w:val="0035621C"/>
    <w:rsid w:val="003563B9"/>
    <w:rsid w:val="0035717A"/>
    <w:rsid w:val="003572CA"/>
    <w:rsid w:val="00357B8F"/>
    <w:rsid w:val="00357F06"/>
    <w:rsid w:val="003603E8"/>
    <w:rsid w:val="003603F6"/>
    <w:rsid w:val="00360A85"/>
    <w:rsid w:val="00360A9F"/>
    <w:rsid w:val="00360F56"/>
    <w:rsid w:val="0036108E"/>
    <w:rsid w:val="0036135A"/>
    <w:rsid w:val="003614A6"/>
    <w:rsid w:val="003616BF"/>
    <w:rsid w:val="003618CA"/>
    <w:rsid w:val="00361DD1"/>
    <w:rsid w:val="00361EC6"/>
    <w:rsid w:val="00362122"/>
    <w:rsid w:val="0036258D"/>
    <w:rsid w:val="003635A6"/>
    <w:rsid w:val="00363CAA"/>
    <w:rsid w:val="00363EBF"/>
    <w:rsid w:val="00364575"/>
    <w:rsid w:val="003646E1"/>
    <w:rsid w:val="00366034"/>
    <w:rsid w:val="003664E4"/>
    <w:rsid w:val="0036666E"/>
    <w:rsid w:val="00366FA9"/>
    <w:rsid w:val="003677DB"/>
    <w:rsid w:val="0036799E"/>
    <w:rsid w:val="00367D90"/>
    <w:rsid w:val="00367F12"/>
    <w:rsid w:val="0037062D"/>
    <w:rsid w:val="00370BE7"/>
    <w:rsid w:val="00370F33"/>
    <w:rsid w:val="00371108"/>
    <w:rsid w:val="0037189F"/>
    <w:rsid w:val="00371B0C"/>
    <w:rsid w:val="003723DC"/>
    <w:rsid w:val="00372A28"/>
    <w:rsid w:val="00372CB9"/>
    <w:rsid w:val="00372E50"/>
    <w:rsid w:val="00372FBC"/>
    <w:rsid w:val="003732AE"/>
    <w:rsid w:val="00374239"/>
    <w:rsid w:val="0037438A"/>
    <w:rsid w:val="00374495"/>
    <w:rsid w:val="00374F74"/>
    <w:rsid w:val="00375BA1"/>
    <w:rsid w:val="00376048"/>
    <w:rsid w:val="00376B96"/>
    <w:rsid w:val="00377627"/>
    <w:rsid w:val="00377E81"/>
    <w:rsid w:val="0038099A"/>
    <w:rsid w:val="00381F47"/>
    <w:rsid w:val="00382E1E"/>
    <w:rsid w:val="00383287"/>
    <w:rsid w:val="003833AB"/>
    <w:rsid w:val="0038360E"/>
    <w:rsid w:val="0038375A"/>
    <w:rsid w:val="003848C6"/>
    <w:rsid w:val="0038532A"/>
    <w:rsid w:val="00385EE0"/>
    <w:rsid w:val="003860CF"/>
    <w:rsid w:val="0038617F"/>
    <w:rsid w:val="003868C4"/>
    <w:rsid w:val="003877B9"/>
    <w:rsid w:val="003904AF"/>
    <w:rsid w:val="00390C52"/>
    <w:rsid w:val="00391BC7"/>
    <w:rsid w:val="00392202"/>
    <w:rsid w:val="00392508"/>
    <w:rsid w:val="003928D5"/>
    <w:rsid w:val="0039319B"/>
    <w:rsid w:val="0039483A"/>
    <w:rsid w:val="003949D0"/>
    <w:rsid w:val="00394AAA"/>
    <w:rsid w:val="0039547F"/>
    <w:rsid w:val="00395868"/>
    <w:rsid w:val="00396822"/>
    <w:rsid w:val="003A0CD2"/>
    <w:rsid w:val="003A1C06"/>
    <w:rsid w:val="003A1EA6"/>
    <w:rsid w:val="003A2006"/>
    <w:rsid w:val="003A21AB"/>
    <w:rsid w:val="003A2616"/>
    <w:rsid w:val="003A3774"/>
    <w:rsid w:val="003A478C"/>
    <w:rsid w:val="003A4B44"/>
    <w:rsid w:val="003A5842"/>
    <w:rsid w:val="003A60DB"/>
    <w:rsid w:val="003A670A"/>
    <w:rsid w:val="003A6D16"/>
    <w:rsid w:val="003A732C"/>
    <w:rsid w:val="003A7BC8"/>
    <w:rsid w:val="003A7C15"/>
    <w:rsid w:val="003A7C67"/>
    <w:rsid w:val="003A7ED9"/>
    <w:rsid w:val="003B0166"/>
    <w:rsid w:val="003B01ED"/>
    <w:rsid w:val="003B086E"/>
    <w:rsid w:val="003B09B2"/>
    <w:rsid w:val="003B0CE7"/>
    <w:rsid w:val="003B0DB4"/>
    <w:rsid w:val="003B15DD"/>
    <w:rsid w:val="003B2194"/>
    <w:rsid w:val="003B21FF"/>
    <w:rsid w:val="003B2B23"/>
    <w:rsid w:val="003B2D6F"/>
    <w:rsid w:val="003B352B"/>
    <w:rsid w:val="003B380B"/>
    <w:rsid w:val="003B3860"/>
    <w:rsid w:val="003B3C8F"/>
    <w:rsid w:val="003B3FF1"/>
    <w:rsid w:val="003B4066"/>
    <w:rsid w:val="003B40B5"/>
    <w:rsid w:val="003B4E27"/>
    <w:rsid w:val="003B510D"/>
    <w:rsid w:val="003B5497"/>
    <w:rsid w:val="003B59B3"/>
    <w:rsid w:val="003B5B18"/>
    <w:rsid w:val="003B6005"/>
    <w:rsid w:val="003B6DE0"/>
    <w:rsid w:val="003B6F29"/>
    <w:rsid w:val="003B719F"/>
    <w:rsid w:val="003B763F"/>
    <w:rsid w:val="003B7874"/>
    <w:rsid w:val="003B7975"/>
    <w:rsid w:val="003C0478"/>
    <w:rsid w:val="003C1048"/>
    <w:rsid w:val="003C2319"/>
    <w:rsid w:val="003C3274"/>
    <w:rsid w:val="003C5886"/>
    <w:rsid w:val="003C5F3B"/>
    <w:rsid w:val="003C6248"/>
    <w:rsid w:val="003C637E"/>
    <w:rsid w:val="003C6704"/>
    <w:rsid w:val="003C6E9E"/>
    <w:rsid w:val="003C738F"/>
    <w:rsid w:val="003C7644"/>
    <w:rsid w:val="003C76ED"/>
    <w:rsid w:val="003C794F"/>
    <w:rsid w:val="003C7D15"/>
    <w:rsid w:val="003D03BE"/>
    <w:rsid w:val="003D0855"/>
    <w:rsid w:val="003D0CE8"/>
    <w:rsid w:val="003D0F5E"/>
    <w:rsid w:val="003D1161"/>
    <w:rsid w:val="003D14D6"/>
    <w:rsid w:val="003D1677"/>
    <w:rsid w:val="003D1916"/>
    <w:rsid w:val="003D1DD3"/>
    <w:rsid w:val="003D1F98"/>
    <w:rsid w:val="003D2926"/>
    <w:rsid w:val="003D402A"/>
    <w:rsid w:val="003D40CA"/>
    <w:rsid w:val="003D411E"/>
    <w:rsid w:val="003D44CE"/>
    <w:rsid w:val="003D4E29"/>
    <w:rsid w:val="003D5572"/>
    <w:rsid w:val="003D5AC8"/>
    <w:rsid w:val="003D5E0B"/>
    <w:rsid w:val="003D683F"/>
    <w:rsid w:val="003D747F"/>
    <w:rsid w:val="003D75C0"/>
    <w:rsid w:val="003E092F"/>
    <w:rsid w:val="003E0B34"/>
    <w:rsid w:val="003E0F38"/>
    <w:rsid w:val="003E14E2"/>
    <w:rsid w:val="003E174B"/>
    <w:rsid w:val="003E1932"/>
    <w:rsid w:val="003E1A85"/>
    <w:rsid w:val="003E2252"/>
    <w:rsid w:val="003E2CC9"/>
    <w:rsid w:val="003E2DB9"/>
    <w:rsid w:val="003E2E80"/>
    <w:rsid w:val="003E30B5"/>
    <w:rsid w:val="003E3518"/>
    <w:rsid w:val="003E3647"/>
    <w:rsid w:val="003E3DD5"/>
    <w:rsid w:val="003E3E69"/>
    <w:rsid w:val="003E4022"/>
    <w:rsid w:val="003E4162"/>
    <w:rsid w:val="003E4988"/>
    <w:rsid w:val="003E4E6C"/>
    <w:rsid w:val="003E55C8"/>
    <w:rsid w:val="003E5617"/>
    <w:rsid w:val="003E5B14"/>
    <w:rsid w:val="003E5CC6"/>
    <w:rsid w:val="003E635B"/>
    <w:rsid w:val="003E66FF"/>
    <w:rsid w:val="003E6C49"/>
    <w:rsid w:val="003E7021"/>
    <w:rsid w:val="003E7042"/>
    <w:rsid w:val="003E7B6A"/>
    <w:rsid w:val="003E7D86"/>
    <w:rsid w:val="003F00C2"/>
    <w:rsid w:val="003F0CDE"/>
    <w:rsid w:val="003F0D30"/>
    <w:rsid w:val="003F1881"/>
    <w:rsid w:val="003F1A53"/>
    <w:rsid w:val="003F25C4"/>
    <w:rsid w:val="003F2A9C"/>
    <w:rsid w:val="003F2B5B"/>
    <w:rsid w:val="003F2DD0"/>
    <w:rsid w:val="003F3A58"/>
    <w:rsid w:val="003F3D87"/>
    <w:rsid w:val="003F4856"/>
    <w:rsid w:val="003F5B4D"/>
    <w:rsid w:val="003F5B5D"/>
    <w:rsid w:val="003F5C51"/>
    <w:rsid w:val="003F5CCA"/>
    <w:rsid w:val="003F6668"/>
    <w:rsid w:val="003F67C2"/>
    <w:rsid w:val="003F6812"/>
    <w:rsid w:val="003F739B"/>
    <w:rsid w:val="003F7A94"/>
    <w:rsid w:val="003F7CF2"/>
    <w:rsid w:val="003F7E51"/>
    <w:rsid w:val="00401E6D"/>
    <w:rsid w:val="004026EC"/>
    <w:rsid w:val="00402E22"/>
    <w:rsid w:val="00403A1E"/>
    <w:rsid w:val="00403FBF"/>
    <w:rsid w:val="00405286"/>
    <w:rsid w:val="004062F2"/>
    <w:rsid w:val="00406804"/>
    <w:rsid w:val="004071EF"/>
    <w:rsid w:val="00407C7D"/>
    <w:rsid w:val="00407D29"/>
    <w:rsid w:val="00407FC7"/>
    <w:rsid w:val="004101CA"/>
    <w:rsid w:val="00410526"/>
    <w:rsid w:val="004108BE"/>
    <w:rsid w:val="004108CE"/>
    <w:rsid w:val="00410A16"/>
    <w:rsid w:val="00410CC3"/>
    <w:rsid w:val="00410F3D"/>
    <w:rsid w:val="00411D1B"/>
    <w:rsid w:val="00411FFE"/>
    <w:rsid w:val="00412ADB"/>
    <w:rsid w:val="00412E0B"/>
    <w:rsid w:val="00413327"/>
    <w:rsid w:val="004135C5"/>
    <w:rsid w:val="00414509"/>
    <w:rsid w:val="00414A53"/>
    <w:rsid w:val="00414C8D"/>
    <w:rsid w:val="00415201"/>
    <w:rsid w:val="004152F3"/>
    <w:rsid w:val="00415924"/>
    <w:rsid w:val="00415D92"/>
    <w:rsid w:val="00416DBE"/>
    <w:rsid w:val="00417B93"/>
    <w:rsid w:val="00421849"/>
    <w:rsid w:val="004225AE"/>
    <w:rsid w:val="004226CF"/>
    <w:rsid w:val="00422AF5"/>
    <w:rsid w:val="00422DBF"/>
    <w:rsid w:val="00422DEA"/>
    <w:rsid w:val="0042346C"/>
    <w:rsid w:val="004235AE"/>
    <w:rsid w:val="00423B03"/>
    <w:rsid w:val="00423D8E"/>
    <w:rsid w:val="00424D75"/>
    <w:rsid w:val="00426599"/>
    <w:rsid w:val="00426C7D"/>
    <w:rsid w:val="00430119"/>
    <w:rsid w:val="00430334"/>
    <w:rsid w:val="004313B5"/>
    <w:rsid w:val="004315DF"/>
    <w:rsid w:val="004321C3"/>
    <w:rsid w:val="00433537"/>
    <w:rsid w:val="0043392A"/>
    <w:rsid w:val="00433B39"/>
    <w:rsid w:val="00433C81"/>
    <w:rsid w:val="00433E73"/>
    <w:rsid w:val="004348EF"/>
    <w:rsid w:val="0043493C"/>
    <w:rsid w:val="00434C87"/>
    <w:rsid w:val="004359F9"/>
    <w:rsid w:val="00435B05"/>
    <w:rsid w:val="00435CF2"/>
    <w:rsid w:val="0043631C"/>
    <w:rsid w:val="00436369"/>
    <w:rsid w:val="00436771"/>
    <w:rsid w:val="00436A70"/>
    <w:rsid w:val="00437277"/>
    <w:rsid w:val="004400E6"/>
    <w:rsid w:val="00440419"/>
    <w:rsid w:val="00440B81"/>
    <w:rsid w:val="0044142C"/>
    <w:rsid w:val="00441C7D"/>
    <w:rsid w:val="00442492"/>
    <w:rsid w:val="00442606"/>
    <w:rsid w:val="00442EA4"/>
    <w:rsid w:val="004432F1"/>
    <w:rsid w:val="004443AF"/>
    <w:rsid w:val="00444D98"/>
    <w:rsid w:val="00445443"/>
    <w:rsid w:val="004454CD"/>
    <w:rsid w:val="00445BF3"/>
    <w:rsid w:val="00445C15"/>
    <w:rsid w:val="004468D5"/>
    <w:rsid w:val="00446FCC"/>
    <w:rsid w:val="004505DD"/>
    <w:rsid w:val="00450701"/>
    <w:rsid w:val="00450E7A"/>
    <w:rsid w:val="004510DA"/>
    <w:rsid w:val="004515F3"/>
    <w:rsid w:val="0045162C"/>
    <w:rsid w:val="00452343"/>
    <w:rsid w:val="0045268C"/>
    <w:rsid w:val="00452766"/>
    <w:rsid w:val="004531AA"/>
    <w:rsid w:val="0045343E"/>
    <w:rsid w:val="00453BA9"/>
    <w:rsid w:val="00453E03"/>
    <w:rsid w:val="00454991"/>
    <w:rsid w:val="00454B01"/>
    <w:rsid w:val="00454D85"/>
    <w:rsid w:val="004555EB"/>
    <w:rsid w:val="00455A5C"/>
    <w:rsid w:val="00455E88"/>
    <w:rsid w:val="004573BF"/>
    <w:rsid w:val="00457562"/>
    <w:rsid w:val="00457E83"/>
    <w:rsid w:val="00457EC5"/>
    <w:rsid w:val="004603BA"/>
    <w:rsid w:val="004603EC"/>
    <w:rsid w:val="00461432"/>
    <w:rsid w:val="0046158B"/>
    <w:rsid w:val="00461C7D"/>
    <w:rsid w:val="00461F35"/>
    <w:rsid w:val="00462C11"/>
    <w:rsid w:val="00462C1E"/>
    <w:rsid w:val="00463210"/>
    <w:rsid w:val="00463349"/>
    <w:rsid w:val="00463772"/>
    <w:rsid w:val="004645D6"/>
    <w:rsid w:val="0046552B"/>
    <w:rsid w:val="004663C6"/>
    <w:rsid w:val="00466CC8"/>
    <w:rsid w:val="00466F6B"/>
    <w:rsid w:val="00470D5C"/>
    <w:rsid w:val="00470F0A"/>
    <w:rsid w:val="00471767"/>
    <w:rsid w:val="00471BFF"/>
    <w:rsid w:val="004720BE"/>
    <w:rsid w:val="00472A9D"/>
    <w:rsid w:val="00472AC2"/>
    <w:rsid w:val="00472DD3"/>
    <w:rsid w:val="00473D6A"/>
    <w:rsid w:val="00474195"/>
    <w:rsid w:val="004746D6"/>
    <w:rsid w:val="00474CDE"/>
    <w:rsid w:val="00475381"/>
    <w:rsid w:val="00475DAA"/>
    <w:rsid w:val="004769C0"/>
    <w:rsid w:val="00476C49"/>
    <w:rsid w:val="00477BEA"/>
    <w:rsid w:val="00480A9C"/>
    <w:rsid w:val="004814BE"/>
    <w:rsid w:val="00481CCB"/>
    <w:rsid w:val="004821F7"/>
    <w:rsid w:val="00482401"/>
    <w:rsid w:val="0048255D"/>
    <w:rsid w:val="004828BC"/>
    <w:rsid w:val="00483952"/>
    <w:rsid w:val="00483CE9"/>
    <w:rsid w:val="00484104"/>
    <w:rsid w:val="004841B1"/>
    <w:rsid w:val="0048422D"/>
    <w:rsid w:val="004845D4"/>
    <w:rsid w:val="00484855"/>
    <w:rsid w:val="00484C8B"/>
    <w:rsid w:val="004852DE"/>
    <w:rsid w:val="004857CE"/>
    <w:rsid w:val="004858C4"/>
    <w:rsid w:val="00485E8F"/>
    <w:rsid w:val="00485EEA"/>
    <w:rsid w:val="004861BA"/>
    <w:rsid w:val="00486305"/>
    <w:rsid w:val="0048659B"/>
    <w:rsid w:val="00486A2B"/>
    <w:rsid w:val="00486DAC"/>
    <w:rsid w:val="00486E5F"/>
    <w:rsid w:val="0049205E"/>
    <w:rsid w:val="00492341"/>
    <w:rsid w:val="00492613"/>
    <w:rsid w:val="00492621"/>
    <w:rsid w:val="0049276D"/>
    <w:rsid w:val="0049390A"/>
    <w:rsid w:val="0049399D"/>
    <w:rsid w:val="0049456F"/>
    <w:rsid w:val="004954DD"/>
    <w:rsid w:val="00497A96"/>
    <w:rsid w:val="00497BB0"/>
    <w:rsid w:val="004A007E"/>
    <w:rsid w:val="004A059A"/>
    <w:rsid w:val="004A1CE6"/>
    <w:rsid w:val="004A1D69"/>
    <w:rsid w:val="004A2060"/>
    <w:rsid w:val="004A2094"/>
    <w:rsid w:val="004A29F7"/>
    <w:rsid w:val="004A2A31"/>
    <w:rsid w:val="004A2C19"/>
    <w:rsid w:val="004A2D5F"/>
    <w:rsid w:val="004A3091"/>
    <w:rsid w:val="004A32A4"/>
    <w:rsid w:val="004A3A1A"/>
    <w:rsid w:val="004A5835"/>
    <w:rsid w:val="004A62FB"/>
    <w:rsid w:val="004A653F"/>
    <w:rsid w:val="004A72E3"/>
    <w:rsid w:val="004A788D"/>
    <w:rsid w:val="004A7B4F"/>
    <w:rsid w:val="004A7EC9"/>
    <w:rsid w:val="004B0338"/>
    <w:rsid w:val="004B0A63"/>
    <w:rsid w:val="004B1846"/>
    <w:rsid w:val="004B1C54"/>
    <w:rsid w:val="004B3CC3"/>
    <w:rsid w:val="004B4007"/>
    <w:rsid w:val="004B4087"/>
    <w:rsid w:val="004B4CF3"/>
    <w:rsid w:val="004B5118"/>
    <w:rsid w:val="004B5257"/>
    <w:rsid w:val="004B53AE"/>
    <w:rsid w:val="004B6E0D"/>
    <w:rsid w:val="004C038E"/>
    <w:rsid w:val="004C0415"/>
    <w:rsid w:val="004C05E6"/>
    <w:rsid w:val="004C0633"/>
    <w:rsid w:val="004C0AE6"/>
    <w:rsid w:val="004C16F2"/>
    <w:rsid w:val="004C1779"/>
    <w:rsid w:val="004C1E36"/>
    <w:rsid w:val="004C3140"/>
    <w:rsid w:val="004C317A"/>
    <w:rsid w:val="004C3B04"/>
    <w:rsid w:val="004C4431"/>
    <w:rsid w:val="004C457F"/>
    <w:rsid w:val="004C470A"/>
    <w:rsid w:val="004C4E0B"/>
    <w:rsid w:val="004C521B"/>
    <w:rsid w:val="004C55A9"/>
    <w:rsid w:val="004C55D2"/>
    <w:rsid w:val="004C5B59"/>
    <w:rsid w:val="004C5CA2"/>
    <w:rsid w:val="004C61C4"/>
    <w:rsid w:val="004C6DE6"/>
    <w:rsid w:val="004C6EFC"/>
    <w:rsid w:val="004C6F05"/>
    <w:rsid w:val="004C7108"/>
    <w:rsid w:val="004D053C"/>
    <w:rsid w:val="004D0ADB"/>
    <w:rsid w:val="004D25A8"/>
    <w:rsid w:val="004D2848"/>
    <w:rsid w:val="004D2C88"/>
    <w:rsid w:val="004D3666"/>
    <w:rsid w:val="004D525E"/>
    <w:rsid w:val="004D612B"/>
    <w:rsid w:val="004D6132"/>
    <w:rsid w:val="004D6381"/>
    <w:rsid w:val="004D63EA"/>
    <w:rsid w:val="004D6747"/>
    <w:rsid w:val="004D698D"/>
    <w:rsid w:val="004D6BB6"/>
    <w:rsid w:val="004D7733"/>
    <w:rsid w:val="004D7FB0"/>
    <w:rsid w:val="004E0527"/>
    <w:rsid w:val="004E0AC7"/>
    <w:rsid w:val="004E0B1B"/>
    <w:rsid w:val="004E0F00"/>
    <w:rsid w:val="004E16C5"/>
    <w:rsid w:val="004E1A93"/>
    <w:rsid w:val="004E257C"/>
    <w:rsid w:val="004E2BEC"/>
    <w:rsid w:val="004E2E95"/>
    <w:rsid w:val="004E3046"/>
    <w:rsid w:val="004E34D5"/>
    <w:rsid w:val="004E369B"/>
    <w:rsid w:val="004E3E34"/>
    <w:rsid w:val="004E4962"/>
    <w:rsid w:val="004E4A66"/>
    <w:rsid w:val="004E4E2F"/>
    <w:rsid w:val="004E5FCF"/>
    <w:rsid w:val="004F037D"/>
    <w:rsid w:val="004F0910"/>
    <w:rsid w:val="004F1074"/>
    <w:rsid w:val="004F14E2"/>
    <w:rsid w:val="004F48D7"/>
    <w:rsid w:val="004F492A"/>
    <w:rsid w:val="004F6DEC"/>
    <w:rsid w:val="004F7857"/>
    <w:rsid w:val="004F7D0F"/>
    <w:rsid w:val="00500B00"/>
    <w:rsid w:val="00500D8B"/>
    <w:rsid w:val="00501125"/>
    <w:rsid w:val="00501BA5"/>
    <w:rsid w:val="00501DF8"/>
    <w:rsid w:val="00502D2C"/>
    <w:rsid w:val="00502FAC"/>
    <w:rsid w:val="00503162"/>
    <w:rsid w:val="00503644"/>
    <w:rsid w:val="0050389C"/>
    <w:rsid w:val="00503D6B"/>
    <w:rsid w:val="00504BAC"/>
    <w:rsid w:val="005051A5"/>
    <w:rsid w:val="005051E9"/>
    <w:rsid w:val="0050532E"/>
    <w:rsid w:val="00506B8D"/>
    <w:rsid w:val="00506E7E"/>
    <w:rsid w:val="00506F87"/>
    <w:rsid w:val="0050707E"/>
    <w:rsid w:val="00507190"/>
    <w:rsid w:val="0050782D"/>
    <w:rsid w:val="00510FCF"/>
    <w:rsid w:val="0051102F"/>
    <w:rsid w:val="00511E6C"/>
    <w:rsid w:val="00512014"/>
    <w:rsid w:val="005122CB"/>
    <w:rsid w:val="00512F5E"/>
    <w:rsid w:val="00513754"/>
    <w:rsid w:val="005149E9"/>
    <w:rsid w:val="00514C49"/>
    <w:rsid w:val="00515CFE"/>
    <w:rsid w:val="00517B08"/>
    <w:rsid w:val="0052077E"/>
    <w:rsid w:val="00520B9E"/>
    <w:rsid w:val="00520EFA"/>
    <w:rsid w:val="005210C6"/>
    <w:rsid w:val="0052172E"/>
    <w:rsid w:val="005219DC"/>
    <w:rsid w:val="005220F9"/>
    <w:rsid w:val="00522224"/>
    <w:rsid w:val="00522286"/>
    <w:rsid w:val="0052312A"/>
    <w:rsid w:val="00523336"/>
    <w:rsid w:val="005237B9"/>
    <w:rsid w:val="00523BC1"/>
    <w:rsid w:val="0052407C"/>
    <w:rsid w:val="00524247"/>
    <w:rsid w:val="005244B2"/>
    <w:rsid w:val="0052451F"/>
    <w:rsid w:val="00524F82"/>
    <w:rsid w:val="00525245"/>
    <w:rsid w:val="00525D76"/>
    <w:rsid w:val="005262A4"/>
    <w:rsid w:val="00526C23"/>
    <w:rsid w:val="00526C3A"/>
    <w:rsid w:val="0052794C"/>
    <w:rsid w:val="00527BA1"/>
    <w:rsid w:val="00527E2F"/>
    <w:rsid w:val="00530045"/>
    <w:rsid w:val="005307C0"/>
    <w:rsid w:val="0053109D"/>
    <w:rsid w:val="00531D15"/>
    <w:rsid w:val="00531D78"/>
    <w:rsid w:val="005322D8"/>
    <w:rsid w:val="00532D51"/>
    <w:rsid w:val="00532E06"/>
    <w:rsid w:val="005339D2"/>
    <w:rsid w:val="00533A5F"/>
    <w:rsid w:val="005342D2"/>
    <w:rsid w:val="00534F60"/>
    <w:rsid w:val="00535FD2"/>
    <w:rsid w:val="0053650A"/>
    <w:rsid w:val="00536746"/>
    <w:rsid w:val="00536C24"/>
    <w:rsid w:val="00536F30"/>
    <w:rsid w:val="0053740D"/>
    <w:rsid w:val="00537892"/>
    <w:rsid w:val="0054039D"/>
    <w:rsid w:val="00540E11"/>
    <w:rsid w:val="00541459"/>
    <w:rsid w:val="00541E1D"/>
    <w:rsid w:val="00543276"/>
    <w:rsid w:val="005433D1"/>
    <w:rsid w:val="005437DE"/>
    <w:rsid w:val="00543891"/>
    <w:rsid w:val="00543A3E"/>
    <w:rsid w:val="0054447E"/>
    <w:rsid w:val="005445C8"/>
    <w:rsid w:val="0054486A"/>
    <w:rsid w:val="00545235"/>
    <w:rsid w:val="00545E84"/>
    <w:rsid w:val="005462C8"/>
    <w:rsid w:val="00546ACB"/>
    <w:rsid w:val="0054783F"/>
    <w:rsid w:val="00550312"/>
    <w:rsid w:val="005504C2"/>
    <w:rsid w:val="00550589"/>
    <w:rsid w:val="00550ADE"/>
    <w:rsid w:val="00550DC3"/>
    <w:rsid w:val="005510A0"/>
    <w:rsid w:val="005523BC"/>
    <w:rsid w:val="00552744"/>
    <w:rsid w:val="00552E70"/>
    <w:rsid w:val="00552F31"/>
    <w:rsid w:val="00552FE2"/>
    <w:rsid w:val="0055317F"/>
    <w:rsid w:val="005539D9"/>
    <w:rsid w:val="0055475E"/>
    <w:rsid w:val="0055498A"/>
    <w:rsid w:val="005554B3"/>
    <w:rsid w:val="00555E91"/>
    <w:rsid w:val="00555FFC"/>
    <w:rsid w:val="0055681E"/>
    <w:rsid w:val="00557425"/>
    <w:rsid w:val="00557DDC"/>
    <w:rsid w:val="005602B9"/>
    <w:rsid w:val="00560A2D"/>
    <w:rsid w:val="00560C1F"/>
    <w:rsid w:val="00560E14"/>
    <w:rsid w:val="0056112E"/>
    <w:rsid w:val="005616A9"/>
    <w:rsid w:val="00561B83"/>
    <w:rsid w:val="00561CFB"/>
    <w:rsid w:val="00562234"/>
    <w:rsid w:val="0056264A"/>
    <w:rsid w:val="0056372B"/>
    <w:rsid w:val="00563EF5"/>
    <w:rsid w:val="00564B2B"/>
    <w:rsid w:val="00565930"/>
    <w:rsid w:val="005659EF"/>
    <w:rsid w:val="00565DD9"/>
    <w:rsid w:val="00565E23"/>
    <w:rsid w:val="005663C3"/>
    <w:rsid w:val="0056720F"/>
    <w:rsid w:val="005707CF"/>
    <w:rsid w:val="005708F1"/>
    <w:rsid w:val="00570EDC"/>
    <w:rsid w:val="00571287"/>
    <w:rsid w:val="00571B0E"/>
    <w:rsid w:val="0057289A"/>
    <w:rsid w:val="00572EE8"/>
    <w:rsid w:val="00573564"/>
    <w:rsid w:val="00574596"/>
    <w:rsid w:val="005755A2"/>
    <w:rsid w:val="005759D5"/>
    <w:rsid w:val="0057663C"/>
    <w:rsid w:val="0057736D"/>
    <w:rsid w:val="00577842"/>
    <w:rsid w:val="005804C2"/>
    <w:rsid w:val="00580AA2"/>
    <w:rsid w:val="005812AA"/>
    <w:rsid w:val="005813AF"/>
    <w:rsid w:val="0058167C"/>
    <w:rsid w:val="0058179F"/>
    <w:rsid w:val="00582265"/>
    <w:rsid w:val="0058292F"/>
    <w:rsid w:val="00583918"/>
    <w:rsid w:val="00583F40"/>
    <w:rsid w:val="00584063"/>
    <w:rsid w:val="0058464D"/>
    <w:rsid w:val="00584A5D"/>
    <w:rsid w:val="00585249"/>
    <w:rsid w:val="005857B6"/>
    <w:rsid w:val="005874FF"/>
    <w:rsid w:val="00587A8F"/>
    <w:rsid w:val="005900B4"/>
    <w:rsid w:val="005908DC"/>
    <w:rsid w:val="00591385"/>
    <w:rsid w:val="0059189E"/>
    <w:rsid w:val="00591E69"/>
    <w:rsid w:val="005920B1"/>
    <w:rsid w:val="00592285"/>
    <w:rsid w:val="005922DA"/>
    <w:rsid w:val="00592D9C"/>
    <w:rsid w:val="00592E48"/>
    <w:rsid w:val="005934F7"/>
    <w:rsid w:val="00594A29"/>
    <w:rsid w:val="00594B1A"/>
    <w:rsid w:val="005950EF"/>
    <w:rsid w:val="0059584E"/>
    <w:rsid w:val="00595B31"/>
    <w:rsid w:val="00595E64"/>
    <w:rsid w:val="00596687"/>
    <w:rsid w:val="00596878"/>
    <w:rsid w:val="00596B77"/>
    <w:rsid w:val="0059751E"/>
    <w:rsid w:val="00597DDD"/>
    <w:rsid w:val="005A015E"/>
    <w:rsid w:val="005A0987"/>
    <w:rsid w:val="005A15BC"/>
    <w:rsid w:val="005A1D0E"/>
    <w:rsid w:val="005A2550"/>
    <w:rsid w:val="005A35D5"/>
    <w:rsid w:val="005A3DBA"/>
    <w:rsid w:val="005A3E2A"/>
    <w:rsid w:val="005A400A"/>
    <w:rsid w:val="005A404D"/>
    <w:rsid w:val="005A405E"/>
    <w:rsid w:val="005A4E1A"/>
    <w:rsid w:val="005A5253"/>
    <w:rsid w:val="005A58AC"/>
    <w:rsid w:val="005A651C"/>
    <w:rsid w:val="005A6B1C"/>
    <w:rsid w:val="005A7350"/>
    <w:rsid w:val="005A7615"/>
    <w:rsid w:val="005B135A"/>
    <w:rsid w:val="005B13E3"/>
    <w:rsid w:val="005B2BB0"/>
    <w:rsid w:val="005B335A"/>
    <w:rsid w:val="005B3661"/>
    <w:rsid w:val="005B3C02"/>
    <w:rsid w:val="005B41C8"/>
    <w:rsid w:val="005B4365"/>
    <w:rsid w:val="005B4838"/>
    <w:rsid w:val="005B5A5E"/>
    <w:rsid w:val="005B6BE5"/>
    <w:rsid w:val="005B6CCB"/>
    <w:rsid w:val="005B6EA0"/>
    <w:rsid w:val="005B7167"/>
    <w:rsid w:val="005B7298"/>
    <w:rsid w:val="005B7EDA"/>
    <w:rsid w:val="005C09AF"/>
    <w:rsid w:val="005C3A65"/>
    <w:rsid w:val="005C3C3C"/>
    <w:rsid w:val="005C3DF5"/>
    <w:rsid w:val="005C3F90"/>
    <w:rsid w:val="005C4150"/>
    <w:rsid w:val="005C47A0"/>
    <w:rsid w:val="005C4A47"/>
    <w:rsid w:val="005C5207"/>
    <w:rsid w:val="005C562E"/>
    <w:rsid w:val="005C5AB0"/>
    <w:rsid w:val="005C64E4"/>
    <w:rsid w:val="005C705D"/>
    <w:rsid w:val="005C76B3"/>
    <w:rsid w:val="005C78D2"/>
    <w:rsid w:val="005C7E8D"/>
    <w:rsid w:val="005D019D"/>
    <w:rsid w:val="005D0EF4"/>
    <w:rsid w:val="005D16A0"/>
    <w:rsid w:val="005D2594"/>
    <w:rsid w:val="005D2AE6"/>
    <w:rsid w:val="005D320B"/>
    <w:rsid w:val="005D347F"/>
    <w:rsid w:val="005D3583"/>
    <w:rsid w:val="005D3BF2"/>
    <w:rsid w:val="005D40D5"/>
    <w:rsid w:val="005D4DDC"/>
    <w:rsid w:val="005D4EC3"/>
    <w:rsid w:val="005D50E6"/>
    <w:rsid w:val="005D54AD"/>
    <w:rsid w:val="005D5C07"/>
    <w:rsid w:val="005D65A6"/>
    <w:rsid w:val="005D66CA"/>
    <w:rsid w:val="005D6B8C"/>
    <w:rsid w:val="005D6EE2"/>
    <w:rsid w:val="005D7667"/>
    <w:rsid w:val="005D7E35"/>
    <w:rsid w:val="005D7EB5"/>
    <w:rsid w:val="005E0244"/>
    <w:rsid w:val="005E034C"/>
    <w:rsid w:val="005E081C"/>
    <w:rsid w:val="005E0A4C"/>
    <w:rsid w:val="005E0C7E"/>
    <w:rsid w:val="005E0FFD"/>
    <w:rsid w:val="005E15C7"/>
    <w:rsid w:val="005E20D9"/>
    <w:rsid w:val="005E3CA5"/>
    <w:rsid w:val="005E3CE0"/>
    <w:rsid w:val="005E48A5"/>
    <w:rsid w:val="005E523A"/>
    <w:rsid w:val="005E58A3"/>
    <w:rsid w:val="005E6625"/>
    <w:rsid w:val="005E68BE"/>
    <w:rsid w:val="005E69F0"/>
    <w:rsid w:val="005E6A24"/>
    <w:rsid w:val="005E6ABA"/>
    <w:rsid w:val="005E6B4F"/>
    <w:rsid w:val="005E6C7A"/>
    <w:rsid w:val="005E708B"/>
    <w:rsid w:val="005E7223"/>
    <w:rsid w:val="005E757F"/>
    <w:rsid w:val="005E7AAC"/>
    <w:rsid w:val="005E7AF4"/>
    <w:rsid w:val="005F032E"/>
    <w:rsid w:val="005F0F34"/>
    <w:rsid w:val="005F1D70"/>
    <w:rsid w:val="005F2536"/>
    <w:rsid w:val="005F3A9D"/>
    <w:rsid w:val="005F3D16"/>
    <w:rsid w:val="005F3EB1"/>
    <w:rsid w:val="005F51E4"/>
    <w:rsid w:val="005F5473"/>
    <w:rsid w:val="005F5B03"/>
    <w:rsid w:val="005F5C12"/>
    <w:rsid w:val="005F5C28"/>
    <w:rsid w:val="005F5D7E"/>
    <w:rsid w:val="005F6146"/>
    <w:rsid w:val="005F61C5"/>
    <w:rsid w:val="005F646F"/>
    <w:rsid w:val="005F6F48"/>
    <w:rsid w:val="005F7E4B"/>
    <w:rsid w:val="00600FCE"/>
    <w:rsid w:val="006017E4"/>
    <w:rsid w:val="00602156"/>
    <w:rsid w:val="00602803"/>
    <w:rsid w:val="0060286A"/>
    <w:rsid w:val="00603832"/>
    <w:rsid w:val="0060433E"/>
    <w:rsid w:val="00604850"/>
    <w:rsid w:val="00605401"/>
    <w:rsid w:val="00605BED"/>
    <w:rsid w:val="00605ED5"/>
    <w:rsid w:val="00605F1F"/>
    <w:rsid w:val="006064B8"/>
    <w:rsid w:val="00606931"/>
    <w:rsid w:val="00606BF8"/>
    <w:rsid w:val="0061040E"/>
    <w:rsid w:val="0061080B"/>
    <w:rsid w:val="006109B4"/>
    <w:rsid w:val="00611023"/>
    <w:rsid w:val="00611CB6"/>
    <w:rsid w:val="006124CC"/>
    <w:rsid w:val="00613369"/>
    <w:rsid w:val="00614054"/>
    <w:rsid w:val="00614110"/>
    <w:rsid w:val="0061509B"/>
    <w:rsid w:val="006151C3"/>
    <w:rsid w:val="006154FE"/>
    <w:rsid w:val="00615571"/>
    <w:rsid w:val="00615944"/>
    <w:rsid w:val="00615F27"/>
    <w:rsid w:val="00616148"/>
    <w:rsid w:val="00616837"/>
    <w:rsid w:val="00616FCC"/>
    <w:rsid w:val="006170FF"/>
    <w:rsid w:val="0061720E"/>
    <w:rsid w:val="00617831"/>
    <w:rsid w:val="006201C9"/>
    <w:rsid w:val="00620623"/>
    <w:rsid w:val="00620A6B"/>
    <w:rsid w:val="00620F5E"/>
    <w:rsid w:val="006230FF"/>
    <w:rsid w:val="00623B44"/>
    <w:rsid w:val="0062456C"/>
    <w:rsid w:val="00624CE1"/>
    <w:rsid w:val="00624DE9"/>
    <w:rsid w:val="00626424"/>
    <w:rsid w:val="00626749"/>
    <w:rsid w:val="00627241"/>
    <w:rsid w:val="0062732F"/>
    <w:rsid w:val="00630333"/>
    <w:rsid w:val="00630BD2"/>
    <w:rsid w:val="0063137A"/>
    <w:rsid w:val="00631A48"/>
    <w:rsid w:val="006323FE"/>
    <w:rsid w:val="006334A5"/>
    <w:rsid w:val="00633662"/>
    <w:rsid w:val="00634F0F"/>
    <w:rsid w:val="006354FA"/>
    <w:rsid w:val="00635769"/>
    <w:rsid w:val="00636342"/>
    <w:rsid w:val="00636BD2"/>
    <w:rsid w:val="00636DD6"/>
    <w:rsid w:val="00636F2D"/>
    <w:rsid w:val="0063750D"/>
    <w:rsid w:val="00637C0F"/>
    <w:rsid w:val="00640533"/>
    <w:rsid w:val="006406A2"/>
    <w:rsid w:val="00640CA9"/>
    <w:rsid w:val="00640EA5"/>
    <w:rsid w:val="00641391"/>
    <w:rsid w:val="00642746"/>
    <w:rsid w:val="00642E1F"/>
    <w:rsid w:val="00642F2E"/>
    <w:rsid w:val="00643227"/>
    <w:rsid w:val="00643826"/>
    <w:rsid w:val="00643ABC"/>
    <w:rsid w:val="00643D38"/>
    <w:rsid w:val="00643FDE"/>
    <w:rsid w:val="006445AD"/>
    <w:rsid w:val="0064593C"/>
    <w:rsid w:val="00645DCA"/>
    <w:rsid w:val="0064602A"/>
    <w:rsid w:val="0064648B"/>
    <w:rsid w:val="00646C4B"/>
    <w:rsid w:val="00646C78"/>
    <w:rsid w:val="006472F2"/>
    <w:rsid w:val="00647DAC"/>
    <w:rsid w:val="00650BAD"/>
    <w:rsid w:val="00650C24"/>
    <w:rsid w:val="00651192"/>
    <w:rsid w:val="00652585"/>
    <w:rsid w:val="00652853"/>
    <w:rsid w:val="00652F92"/>
    <w:rsid w:val="00652FB9"/>
    <w:rsid w:val="00653BF3"/>
    <w:rsid w:val="00653D17"/>
    <w:rsid w:val="006541C8"/>
    <w:rsid w:val="0065425D"/>
    <w:rsid w:val="00654D60"/>
    <w:rsid w:val="00655BB0"/>
    <w:rsid w:val="00655E95"/>
    <w:rsid w:val="0065646D"/>
    <w:rsid w:val="00656774"/>
    <w:rsid w:val="0065684D"/>
    <w:rsid w:val="00656BE6"/>
    <w:rsid w:val="00656CE2"/>
    <w:rsid w:val="00660092"/>
    <w:rsid w:val="0066018B"/>
    <w:rsid w:val="00661015"/>
    <w:rsid w:val="00661705"/>
    <w:rsid w:val="00661D16"/>
    <w:rsid w:val="00661FDB"/>
    <w:rsid w:val="006625B0"/>
    <w:rsid w:val="006626F6"/>
    <w:rsid w:val="0066315E"/>
    <w:rsid w:val="0066394A"/>
    <w:rsid w:val="00664144"/>
    <w:rsid w:val="00664156"/>
    <w:rsid w:val="00664CF6"/>
    <w:rsid w:val="006669A4"/>
    <w:rsid w:val="006670EB"/>
    <w:rsid w:val="006672B0"/>
    <w:rsid w:val="0066784D"/>
    <w:rsid w:val="00667EF7"/>
    <w:rsid w:val="0067025A"/>
    <w:rsid w:val="0067051F"/>
    <w:rsid w:val="00670AEE"/>
    <w:rsid w:val="00670B45"/>
    <w:rsid w:val="00670F39"/>
    <w:rsid w:val="006717B4"/>
    <w:rsid w:val="006721C3"/>
    <w:rsid w:val="00672DFF"/>
    <w:rsid w:val="00672E4A"/>
    <w:rsid w:val="00672FC2"/>
    <w:rsid w:val="006731AD"/>
    <w:rsid w:val="00673352"/>
    <w:rsid w:val="00673594"/>
    <w:rsid w:val="00673D7C"/>
    <w:rsid w:val="00674AFA"/>
    <w:rsid w:val="00675DA7"/>
    <w:rsid w:val="00675DF3"/>
    <w:rsid w:val="0067778B"/>
    <w:rsid w:val="00681081"/>
    <w:rsid w:val="006811B9"/>
    <w:rsid w:val="00681565"/>
    <w:rsid w:val="00681574"/>
    <w:rsid w:val="0068185C"/>
    <w:rsid w:val="00681EBC"/>
    <w:rsid w:val="00682A02"/>
    <w:rsid w:val="0068340D"/>
    <w:rsid w:val="00683454"/>
    <w:rsid w:val="006837DF"/>
    <w:rsid w:val="0068443B"/>
    <w:rsid w:val="00684466"/>
    <w:rsid w:val="00684DD6"/>
    <w:rsid w:val="00685B5F"/>
    <w:rsid w:val="00685C4C"/>
    <w:rsid w:val="00685EBF"/>
    <w:rsid w:val="006864F2"/>
    <w:rsid w:val="006868E1"/>
    <w:rsid w:val="00686A36"/>
    <w:rsid w:val="00686B0C"/>
    <w:rsid w:val="006878D1"/>
    <w:rsid w:val="00687A85"/>
    <w:rsid w:val="0069023B"/>
    <w:rsid w:val="00690539"/>
    <w:rsid w:val="006907CB"/>
    <w:rsid w:val="00690AA9"/>
    <w:rsid w:val="00690C72"/>
    <w:rsid w:val="00693658"/>
    <w:rsid w:val="0069485A"/>
    <w:rsid w:val="00694ABE"/>
    <w:rsid w:val="006953CB"/>
    <w:rsid w:val="006958C0"/>
    <w:rsid w:val="00695F61"/>
    <w:rsid w:val="00697A51"/>
    <w:rsid w:val="00697CC0"/>
    <w:rsid w:val="006A035A"/>
    <w:rsid w:val="006A1111"/>
    <w:rsid w:val="006A15ED"/>
    <w:rsid w:val="006A16F2"/>
    <w:rsid w:val="006A2469"/>
    <w:rsid w:val="006A29B1"/>
    <w:rsid w:val="006A3BF2"/>
    <w:rsid w:val="006A47D8"/>
    <w:rsid w:val="006A4D2B"/>
    <w:rsid w:val="006A51D7"/>
    <w:rsid w:val="006A538C"/>
    <w:rsid w:val="006A5479"/>
    <w:rsid w:val="006A587E"/>
    <w:rsid w:val="006A6270"/>
    <w:rsid w:val="006A671F"/>
    <w:rsid w:val="006A6A88"/>
    <w:rsid w:val="006A754E"/>
    <w:rsid w:val="006A7AB1"/>
    <w:rsid w:val="006B07FE"/>
    <w:rsid w:val="006B113F"/>
    <w:rsid w:val="006B1A25"/>
    <w:rsid w:val="006B1D6D"/>
    <w:rsid w:val="006B2035"/>
    <w:rsid w:val="006B23D7"/>
    <w:rsid w:val="006B2C0A"/>
    <w:rsid w:val="006B2D7D"/>
    <w:rsid w:val="006B3266"/>
    <w:rsid w:val="006B40F2"/>
    <w:rsid w:val="006B6A35"/>
    <w:rsid w:val="006B6E78"/>
    <w:rsid w:val="006B6ECE"/>
    <w:rsid w:val="006B7498"/>
    <w:rsid w:val="006B7693"/>
    <w:rsid w:val="006B79B3"/>
    <w:rsid w:val="006C0094"/>
    <w:rsid w:val="006C0D9B"/>
    <w:rsid w:val="006C0F9E"/>
    <w:rsid w:val="006C0FAC"/>
    <w:rsid w:val="006C140A"/>
    <w:rsid w:val="006C1483"/>
    <w:rsid w:val="006C1716"/>
    <w:rsid w:val="006C1FD5"/>
    <w:rsid w:val="006C2A6C"/>
    <w:rsid w:val="006C2A82"/>
    <w:rsid w:val="006C31B5"/>
    <w:rsid w:val="006C3299"/>
    <w:rsid w:val="006C356D"/>
    <w:rsid w:val="006C3F32"/>
    <w:rsid w:val="006C450E"/>
    <w:rsid w:val="006C5393"/>
    <w:rsid w:val="006C58E2"/>
    <w:rsid w:val="006C60CC"/>
    <w:rsid w:val="006C64DC"/>
    <w:rsid w:val="006C72C0"/>
    <w:rsid w:val="006C77C4"/>
    <w:rsid w:val="006C78AE"/>
    <w:rsid w:val="006D037F"/>
    <w:rsid w:val="006D0CB3"/>
    <w:rsid w:val="006D0F29"/>
    <w:rsid w:val="006D16DE"/>
    <w:rsid w:val="006D3F4E"/>
    <w:rsid w:val="006D43C7"/>
    <w:rsid w:val="006D4A25"/>
    <w:rsid w:val="006D5070"/>
    <w:rsid w:val="006D5825"/>
    <w:rsid w:val="006D5CD2"/>
    <w:rsid w:val="006D602F"/>
    <w:rsid w:val="006D617E"/>
    <w:rsid w:val="006D64BF"/>
    <w:rsid w:val="006D67C0"/>
    <w:rsid w:val="006D6F2C"/>
    <w:rsid w:val="006D7B5B"/>
    <w:rsid w:val="006E007D"/>
    <w:rsid w:val="006E04A8"/>
    <w:rsid w:val="006E1BCE"/>
    <w:rsid w:val="006E1C19"/>
    <w:rsid w:val="006E252D"/>
    <w:rsid w:val="006E3B11"/>
    <w:rsid w:val="006E3E57"/>
    <w:rsid w:val="006E4CAD"/>
    <w:rsid w:val="006E51A0"/>
    <w:rsid w:val="006E56A4"/>
    <w:rsid w:val="006E6487"/>
    <w:rsid w:val="006E65AB"/>
    <w:rsid w:val="006E6876"/>
    <w:rsid w:val="006F0139"/>
    <w:rsid w:val="006F0B51"/>
    <w:rsid w:val="006F0D91"/>
    <w:rsid w:val="006F0ECC"/>
    <w:rsid w:val="006F22A4"/>
    <w:rsid w:val="006F239A"/>
    <w:rsid w:val="006F375F"/>
    <w:rsid w:val="006F3B54"/>
    <w:rsid w:val="006F3CF0"/>
    <w:rsid w:val="006F3EB5"/>
    <w:rsid w:val="006F4016"/>
    <w:rsid w:val="006F41D3"/>
    <w:rsid w:val="006F5646"/>
    <w:rsid w:val="006F5BB8"/>
    <w:rsid w:val="006F6073"/>
    <w:rsid w:val="006F6300"/>
    <w:rsid w:val="006F6F58"/>
    <w:rsid w:val="006F75EF"/>
    <w:rsid w:val="007003CE"/>
    <w:rsid w:val="007003DD"/>
    <w:rsid w:val="0070080E"/>
    <w:rsid w:val="007008A4"/>
    <w:rsid w:val="00701504"/>
    <w:rsid w:val="0070185C"/>
    <w:rsid w:val="007019B2"/>
    <w:rsid w:val="00701B67"/>
    <w:rsid w:val="0070250F"/>
    <w:rsid w:val="007028D3"/>
    <w:rsid w:val="007029C2"/>
    <w:rsid w:val="00702FB1"/>
    <w:rsid w:val="00703229"/>
    <w:rsid w:val="0070335C"/>
    <w:rsid w:val="00703641"/>
    <w:rsid w:val="00703679"/>
    <w:rsid w:val="0070523D"/>
    <w:rsid w:val="00705B67"/>
    <w:rsid w:val="0070652B"/>
    <w:rsid w:val="007076A5"/>
    <w:rsid w:val="00707D15"/>
    <w:rsid w:val="00710ACB"/>
    <w:rsid w:val="00710E63"/>
    <w:rsid w:val="0071269C"/>
    <w:rsid w:val="007127C7"/>
    <w:rsid w:val="00712947"/>
    <w:rsid w:val="0071368E"/>
    <w:rsid w:val="00713E35"/>
    <w:rsid w:val="007148BF"/>
    <w:rsid w:val="00715A54"/>
    <w:rsid w:val="00716DF4"/>
    <w:rsid w:val="0071795D"/>
    <w:rsid w:val="00717FC2"/>
    <w:rsid w:val="0072046E"/>
    <w:rsid w:val="007205E2"/>
    <w:rsid w:val="007209C1"/>
    <w:rsid w:val="007222A0"/>
    <w:rsid w:val="0072250E"/>
    <w:rsid w:val="0072260B"/>
    <w:rsid w:val="00724876"/>
    <w:rsid w:val="007249A2"/>
    <w:rsid w:val="0072506D"/>
    <w:rsid w:val="00725492"/>
    <w:rsid w:val="00725B18"/>
    <w:rsid w:val="0072640F"/>
    <w:rsid w:val="0072678A"/>
    <w:rsid w:val="00726B3A"/>
    <w:rsid w:val="0072734B"/>
    <w:rsid w:val="0072797A"/>
    <w:rsid w:val="007303CD"/>
    <w:rsid w:val="00730562"/>
    <w:rsid w:val="00731931"/>
    <w:rsid w:val="007319A0"/>
    <w:rsid w:val="00731FFD"/>
    <w:rsid w:val="00732249"/>
    <w:rsid w:val="007324E2"/>
    <w:rsid w:val="00732D01"/>
    <w:rsid w:val="007336DF"/>
    <w:rsid w:val="00733B40"/>
    <w:rsid w:val="00733FF5"/>
    <w:rsid w:val="00734D7D"/>
    <w:rsid w:val="00734F2E"/>
    <w:rsid w:val="00735051"/>
    <w:rsid w:val="007353E9"/>
    <w:rsid w:val="00735C60"/>
    <w:rsid w:val="00735DDF"/>
    <w:rsid w:val="00736851"/>
    <w:rsid w:val="00736F78"/>
    <w:rsid w:val="00737955"/>
    <w:rsid w:val="00737E79"/>
    <w:rsid w:val="007415C2"/>
    <w:rsid w:val="00741ECD"/>
    <w:rsid w:val="00741F9E"/>
    <w:rsid w:val="00742C49"/>
    <w:rsid w:val="007439AC"/>
    <w:rsid w:val="00743CD7"/>
    <w:rsid w:val="00743D52"/>
    <w:rsid w:val="00743D67"/>
    <w:rsid w:val="007447BE"/>
    <w:rsid w:val="00744941"/>
    <w:rsid w:val="0074505B"/>
    <w:rsid w:val="007451EE"/>
    <w:rsid w:val="0074735B"/>
    <w:rsid w:val="0074786D"/>
    <w:rsid w:val="00747FFA"/>
    <w:rsid w:val="007502F7"/>
    <w:rsid w:val="00750BEC"/>
    <w:rsid w:val="007516A6"/>
    <w:rsid w:val="007517CC"/>
    <w:rsid w:val="00751BCD"/>
    <w:rsid w:val="00752853"/>
    <w:rsid w:val="007532C8"/>
    <w:rsid w:val="00754156"/>
    <w:rsid w:val="00754E09"/>
    <w:rsid w:val="00755142"/>
    <w:rsid w:val="007551CE"/>
    <w:rsid w:val="00755D22"/>
    <w:rsid w:val="0075728B"/>
    <w:rsid w:val="00757CFB"/>
    <w:rsid w:val="0076026F"/>
    <w:rsid w:val="00761522"/>
    <w:rsid w:val="00761706"/>
    <w:rsid w:val="007619FE"/>
    <w:rsid w:val="00762477"/>
    <w:rsid w:val="0076403D"/>
    <w:rsid w:val="00764C65"/>
    <w:rsid w:val="00765252"/>
    <w:rsid w:val="007657E6"/>
    <w:rsid w:val="00766764"/>
    <w:rsid w:val="00766991"/>
    <w:rsid w:val="00766A8C"/>
    <w:rsid w:val="00766B8B"/>
    <w:rsid w:val="00766F7F"/>
    <w:rsid w:val="00767206"/>
    <w:rsid w:val="00767FD3"/>
    <w:rsid w:val="0077007F"/>
    <w:rsid w:val="0077098F"/>
    <w:rsid w:val="007709A4"/>
    <w:rsid w:val="00770FBE"/>
    <w:rsid w:val="00771297"/>
    <w:rsid w:val="00771640"/>
    <w:rsid w:val="00771693"/>
    <w:rsid w:val="007721D1"/>
    <w:rsid w:val="007725FE"/>
    <w:rsid w:val="0077268E"/>
    <w:rsid w:val="00772A7D"/>
    <w:rsid w:val="00772F06"/>
    <w:rsid w:val="0077363F"/>
    <w:rsid w:val="007738AF"/>
    <w:rsid w:val="007740E7"/>
    <w:rsid w:val="0077474D"/>
    <w:rsid w:val="00775020"/>
    <w:rsid w:val="00775A7D"/>
    <w:rsid w:val="00775B53"/>
    <w:rsid w:val="00776113"/>
    <w:rsid w:val="00776992"/>
    <w:rsid w:val="00776E2A"/>
    <w:rsid w:val="007778FA"/>
    <w:rsid w:val="00777946"/>
    <w:rsid w:val="007801C5"/>
    <w:rsid w:val="00780358"/>
    <w:rsid w:val="007807AE"/>
    <w:rsid w:val="007808A2"/>
    <w:rsid w:val="00780AEE"/>
    <w:rsid w:val="00780FA0"/>
    <w:rsid w:val="007829C1"/>
    <w:rsid w:val="00782F07"/>
    <w:rsid w:val="00782F6C"/>
    <w:rsid w:val="007831C7"/>
    <w:rsid w:val="0078378D"/>
    <w:rsid w:val="00783B5B"/>
    <w:rsid w:val="00784836"/>
    <w:rsid w:val="00784E23"/>
    <w:rsid w:val="00785208"/>
    <w:rsid w:val="007868B1"/>
    <w:rsid w:val="0079022B"/>
    <w:rsid w:val="00790255"/>
    <w:rsid w:val="007904E6"/>
    <w:rsid w:val="0079187A"/>
    <w:rsid w:val="007919BB"/>
    <w:rsid w:val="0079205D"/>
    <w:rsid w:val="007921E6"/>
    <w:rsid w:val="00792C95"/>
    <w:rsid w:val="00793177"/>
    <w:rsid w:val="007934CE"/>
    <w:rsid w:val="00793F90"/>
    <w:rsid w:val="00793FDF"/>
    <w:rsid w:val="007941E6"/>
    <w:rsid w:val="007944BB"/>
    <w:rsid w:val="00794805"/>
    <w:rsid w:val="00794921"/>
    <w:rsid w:val="00794B60"/>
    <w:rsid w:val="007952F0"/>
    <w:rsid w:val="00795BBF"/>
    <w:rsid w:val="00795C71"/>
    <w:rsid w:val="00795D60"/>
    <w:rsid w:val="00796727"/>
    <w:rsid w:val="00797D03"/>
    <w:rsid w:val="007A005E"/>
    <w:rsid w:val="007A01E6"/>
    <w:rsid w:val="007A032D"/>
    <w:rsid w:val="007A109F"/>
    <w:rsid w:val="007A152B"/>
    <w:rsid w:val="007A2644"/>
    <w:rsid w:val="007A273B"/>
    <w:rsid w:val="007A29AD"/>
    <w:rsid w:val="007A29B5"/>
    <w:rsid w:val="007A3BDE"/>
    <w:rsid w:val="007A47CB"/>
    <w:rsid w:val="007A4865"/>
    <w:rsid w:val="007A4BF8"/>
    <w:rsid w:val="007A5032"/>
    <w:rsid w:val="007A570E"/>
    <w:rsid w:val="007A5762"/>
    <w:rsid w:val="007A5F69"/>
    <w:rsid w:val="007A6336"/>
    <w:rsid w:val="007A6510"/>
    <w:rsid w:val="007A7C9C"/>
    <w:rsid w:val="007A7D27"/>
    <w:rsid w:val="007A7E44"/>
    <w:rsid w:val="007B017D"/>
    <w:rsid w:val="007B0278"/>
    <w:rsid w:val="007B04A8"/>
    <w:rsid w:val="007B0929"/>
    <w:rsid w:val="007B3469"/>
    <w:rsid w:val="007B3995"/>
    <w:rsid w:val="007B39B1"/>
    <w:rsid w:val="007B405C"/>
    <w:rsid w:val="007B4917"/>
    <w:rsid w:val="007B4D63"/>
    <w:rsid w:val="007B4E31"/>
    <w:rsid w:val="007B52D9"/>
    <w:rsid w:val="007B5489"/>
    <w:rsid w:val="007B597E"/>
    <w:rsid w:val="007B5F9A"/>
    <w:rsid w:val="007B68D2"/>
    <w:rsid w:val="007B6D01"/>
    <w:rsid w:val="007B7621"/>
    <w:rsid w:val="007B7D24"/>
    <w:rsid w:val="007B7E6D"/>
    <w:rsid w:val="007C0EC3"/>
    <w:rsid w:val="007C16CD"/>
    <w:rsid w:val="007C1A88"/>
    <w:rsid w:val="007C1E95"/>
    <w:rsid w:val="007C2282"/>
    <w:rsid w:val="007C2A4B"/>
    <w:rsid w:val="007C3551"/>
    <w:rsid w:val="007C49C8"/>
    <w:rsid w:val="007C4F35"/>
    <w:rsid w:val="007C54B0"/>
    <w:rsid w:val="007C5BE5"/>
    <w:rsid w:val="007C5F1E"/>
    <w:rsid w:val="007C62B4"/>
    <w:rsid w:val="007C6840"/>
    <w:rsid w:val="007C6B31"/>
    <w:rsid w:val="007C6CDA"/>
    <w:rsid w:val="007C6F25"/>
    <w:rsid w:val="007C71D4"/>
    <w:rsid w:val="007C79E2"/>
    <w:rsid w:val="007D0366"/>
    <w:rsid w:val="007D08A7"/>
    <w:rsid w:val="007D0A56"/>
    <w:rsid w:val="007D1D77"/>
    <w:rsid w:val="007D1FBC"/>
    <w:rsid w:val="007D2B62"/>
    <w:rsid w:val="007D2F35"/>
    <w:rsid w:val="007D2F6A"/>
    <w:rsid w:val="007D37CA"/>
    <w:rsid w:val="007D3C33"/>
    <w:rsid w:val="007D4331"/>
    <w:rsid w:val="007D43F1"/>
    <w:rsid w:val="007D49B4"/>
    <w:rsid w:val="007D4B63"/>
    <w:rsid w:val="007D518E"/>
    <w:rsid w:val="007D5EE0"/>
    <w:rsid w:val="007D6457"/>
    <w:rsid w:val="007D6E97"/>
    <w:rsid w:val="007D71F1"/>
    <w:rsid w:val="007D7466"/>
    <w:rsid w:val="007D74DE"/>
    <w:rsid w:val="007D758D"/>
    <w:rsid w:val="007E0939"/>
    <w:rsid w:val="007E0A94"/>
    <w:rsid w:val="007E0DA3"/>
    <w:rsid w:val="007E0E23"/>
    <w:rsid w:val="007E1034"/>
    <w:rsid w:val="007E13BB"/>
    <w:rsid w:val="007E156E"/>
    <w:rsid w:val="007E178E"/>
    <w:rsid w:val="007E1E2F"/>
    <w:rsid w:val="007E20BC"/>
    <w:rsid w:val="007E279F"/>
    <w:rsid w:val="007E2BFC"/>
    <w:rsid w:val="007E2CCE"/>
    <w:rsid w:val="007E3996"/>
    <w:rsid w:val="007E4D5B"/>
    <w:rsid w:val="007E556B"/>
    <w:rsid w:val="007E5585"/>
    <w:rsid w:val="007E5749"/>
    <w:rsid w:val="007E641F"/>
    <w:rsid w:val="007E75F7"/>
    <w:rsid w:val="007F0881"/>
    <w:rsid w:val="007F1357"/>
    <w:rsid w:val="007F167A"/>
    <w:rsid w:val="007F1EC9"/>
    <w:rsid w:val="007F2AF0"/>
    <w:rsid w:val="007F33A9"/>
    <w:rsid w:val="007F3BF1"/>
    <w:rsid w:val="007F49C8"/>
    <w:rsid w:val="007F4C85"/>
    <w:rsid w:val="007F4FB2"/>
    <w:rsid w:val="007F54DF"/>
    <w:rsid w:val="007F5721"/>
    <w:rsid w:val="007F59F5"/>
    <w:rsid w:val="007F5DFC"/>
    <w:rsid w:val="007F62EB"/>
    <w:rsid w:val="007F6531"/>
    <w:rsid w:val="007F666D"/>
    <w:rsid w:val="007F7461"/>
    <w:rsid w:val="007F758E"/>
    <w:rsid w:val="00800223"/>
    <w:rsid w:val="0080047B"/>
    <w:rsid w:val="0080176E"/>
    <w:rsid w:val="00801E3D"/>
    <w:rsid w:val="00802666"/>
    <w:rsid w:val="00802C2C"/>
    <w:rsid w:val="00802ED0"/>
    <w:rsid w:val="00802F8C"/>
    <w:rsid w:val="00803D7F"/>
    <w:rsid w:val="00803DE6"/>
    <w:rsid w:val="00803FF4"/>
    <w:rsid w:val="00804DD7"/>
    <w:rsid w:val="008053AD"/>
    <w:rsid w:val="0080593F"/>
    <w:rsid w:val="0080655B"/>
    <w:rsid w:val="008067EB"/>
    <w:rsid w:val="008069E3"/>
    <w:rsid w:val="00806D94"/>
    <w:rsid w:val="0080786B"/>
    <w:rsid w:val="00807A9D"/>
    <w:rsid w:val="00810091"/>
    <w:rsid w:val="008113FB"/>
    <w:rsid w:val="00811C18"/>
    <w:rsid w:val="008129C5"/>
    <w:rsid w:val="00813444"/>
    <w:rsid w:val="008138D0"/>
    <w:rsid w:val="00813DF5"/>
    <w:rsid w:val="00813F37"/>
    <w:rsid w:val="00814493"/>
    <w:rsid w:val="008146A8"/>
    <w:rsid w:val="0081484F"/>
    <w:rsid w:val="00815573"/>
    <w:rsid w:val="0081633C"/>
    <w:rsid w:val="00816401"/>
    <w:rsid w:val="008164C1"/>
    <w:rsid w:val="008168B1"/>
    <w:rsid w:val="00816DE7"/>
    <w:rsid w:val="0081758D"/>
    <w:rsid w:val="00817C97"/>
    <w:rsid w:val="00817CA4"/>
    <w:rsid w:val="00820577"/>
    <w:rsid w:val="00820C08"/>
    <w:rsid w:val="00821303"/>
    <w:rsid w:val="0082181F"/>
    <w:rsid w:val="008218DB"/>
    <w:rsid w:val="00822464"/>
    <w:rsid w:val="008225F7"/>
    <w:rsid w:val="00823E22"/>
    <w:rsid w:val="00823F84"/>
    <w:rsid w:val="00824005"/>
    <w:rsid w:val="00824C7C"/>
    <w:rsid w:val="00825600"/>
    <w:rsid w:val="0082596E"/>
    <w:rsid w:val="00825AAF"/>
    <w:rsid w:val="008261F6"/>
    <w:rsid w:val="008275AB"/>
    <w:rsid w:val="008278BA"/>
    <w:rsid w:val="00827A0F"/>
    <w:rsid w:val="00827C77"/>
    <w:rsid w:val="00827EF9"/>
    <w:rsid w:val="008305A2"/>
    <w:rsid w:val="00830817"/>
    <w:rsid w:val="00830893"/>
    <w:rsid w:val="00831205"/>
    <w:rsid w:val="00831462"/>
    <w:rsid w:val="0083157D"/>
    <w:rsid w:val="00831C2D"/>
    <w:rsid w:val="00831FBB"/>
    <w:rsid w:val="00832035"/>
    <w:rsid w:val="0083314E"/>
    <w:rsid w:val="00833C03"/>
    <w:rsid w:val="008343A2"/>
    <w:rsid w:val="00834C0C"/>
    <w:rsid w:val="00834DEF"/>
    <w:rsid w:val="00835170"/>
    <w:rsid w:val="008355AD"/>
    <w:rsid w:val="00836458"/>
    <w:rsid w:val="00837C2F"/>
    <w:rsid w:val="00837EA9"/>
    <w:rsid w:val="00837FB6"/>
    <w:rsid w:val="008400D4"/>
    <w:rsid w:val="00840590"/>
    <w:rsid w:val="00840985"/>
    <w:rsid w:val="00840B1B"/>
    <w:rsid w:val="00841064"/>
    <w:rsid w:val="00841671"/>
    <w:rsid w:val="008419DE"/>
    <w:rsid w:val="00842029"/>
    <w:rsid w:val="008421CC"/>
    <w:rsid w:val="0084242A"/>
    <w:rsid w:val="008425DD"/>
    <w:rsid w:val="008427CF"/>
    <w:rsid w:val="00842AFF"/>
    <w:rsid w:val="00842CEC"/>
    <w:rsid w:val="00843380"/>
    <w:rsid w:val="00843597"/>
    <w:rsid w:val="00843706"/>
    <w:rsid w:val="00843E9B"/>
    <w:rsid w:val="00843F6B"/>
    <w:rsid w:val="008442B5"/>
    <w:rsid w:val="008452F6"/>
    <w:rsid w:val="008458DC"/>
    <w:rsid w:val="00845E55"/>
    <w:rsid w:val="00845F2C"/>
    <w:rsid w:val="008465FF"/>
    <w:rsid w:val="00846624"/>
    <w:rsid w:val="008468A5"/>
    <w:rsid w:val="00847343"/>
    <w:rsid w:val="008476A5"/>
    <w:rsid w:val="008478F0"/>
    <w:rsid w:val="0085027A"/>
    <w:rsid w:val="00850C1B"/>
    <w:rsid w:val="0085109F"/>
    <w:rsid w:val="008510BB"/>
    <w:rsid w:val="00851DAC"/>
    <w:rsid w:val="00851F08"/>
    <w:rsid w:val="0085217A"/>
    <w:rsid w:val="00852FC5"/>
    <w:rsid w:val="008533E2"/>
    <w:rsid w:val="0085398A"/>
    <w:rsid w:val="00853AE4"/>
    <w:rsid w:val="00853D79"/>
    <w:rsid w:val="00853DD3"/>
    <w:rsid w:val="00853F2F"/>
    <w:rsid w:val="0085421E"/>
    <w:rsid w:val="00856053"/>
    <w:rsid w:val="008563B0"/>
    <w:rsid w:val="00856F2F"/>
    <w:rsid w:val="0085717A"/>
    <w:rsid w:val="008573C5"/>
    <w:rsid w:val="0085795F"/>
    <w:rsid w:val="008579EF"/>
    <w:rsid w:val="00860335"/>
    <w:rsid w:val="0086060B"/>
    <w:rsid w:val="008607D7"/>
    <w:rsid w:val="00861054"/>
    <w:rsid w:val="00861280"/>
    <w:rsid w:val="008614E8"/>
    <w:rsid w:val="008618B6"/>
    <w:rsid w:val="00861A95"/>
    <w:rsid w:val="00861D33"/>
    <w:rsid w:val="00861EB5"/>
    <w:rsid w:val="008623B7"/>
    <w:rsid w:val="0086255D"/>
    <w:rsid w:val="008627B4"/>
    <w:rsid w:val="008636F9"/>
    <w:rsid w:val="00863AF0"/>
    <w:rsid w:val="008643A4"/>
    <w:rsid w:val="00865248"/>
    <w:rsid w:val="00865767"/>
    <w:rsid w:val="008657B0"/>
    <w:rsid w:val="00865EF7"/>
    <w:rsid w:val="008669CC"/>
    <w:rsid w:val="00866FC3"/>
    <w:rsid w:val="0086760B"/>
    <w:rsid w:val="00867F9F"/>
    <w:rsid w:val="00867FDA"/>
    <w:rsid w:val="008700D6"/>
    <w:rsid w:val="0087035C"/>
    <w:rsid w:val="00870C03"/>
    <w:rsid w:val="00870C49"/>
    <w:rsid w:val="00870E95"/>
    <w:rsid w:val="00871A7A"/>
    <w:rsid w:val="00871E72"/>
    <w:rsid w:val="00872163"/>
    <w:rsid w:val="008726F2"/>
    <w:rsid w:val="00872935"/>
    <w:rsid w:val="00872B53"/>
    <w:rsid w:val="00872BD1"/>
    <w:rsid w:val="0087433F"/>
    <w:rsid w:val="00874DFB"/>
    <w:rsid w:val="00875518"/>
    <w:rsid w:val="008757FE"/>
    <w:rsid w:val="00875CA7"/>
    <w:rsid w:val="00875D05"/>
    <w:rsid w:val="00875FC6"/>
    <w:rsid w:val="00876268"/>
    <w:rsid w:val="00876330"/>
    <w:rsid w:val="0087666B"/>
    <w:rsid w:val="00876737"/>
    <w:rsid w:val="00876961"/>
    <w:rsid w:val="00876B53"/>
    <w:rsid w:val="00876FFC"/>
    <w:rsid w:val="0087709E"/>
    <w:rsid w:val="00877D82"/>
    <w:rsid w:val="00877EB7"/>
    <w:rsid w:val="00877FCD"/>
    <w:rsid w:val="008813FF"/>
    <w:rsid w:val="00881B01"/>
    <w:rsid w:val="00882055"/>
    <w:rsid w:val="008820EE"/>
    <w:rsid w:val="00882269"/>
    <w:rsid w:val="00882C05"/>
    <w:rsid w:val="0088371F"/>
    <w:rsid w:val="00883D57"/>
    <w:rsid w:val="008851BC"/>
    <w:rsid w:val="00885ED5"/>
    <w:rsid w:val="008863CE"/>
    <w:rsid w:val="008875D7"/>
    <w:rsid w:val="008875D8"/>
    <w:rsid w:val="00887D61"/>
    <w:rsid w:val="00890559"/>
    <w:rsid w:val="00890788"/>
    <w:rsid w:val="008911A8"/>
    <w:rsid w:val="00891737"/>
    <w:rsid w:val="00891F00"/>
    <w:rsid w:val="008921BB"/>
    <w:rsid w:val="008928C8"/>
    <w:rsid w:val="008928E1"/>
    <w:rsid w:val="00893B69"/>
    <w:rsid w:val="00893DDC"/>
    <w:rsid w:val="00893E17"/>
    <w:rsid w:val="00894761"/>
    <w:rsid w:val="00894D33"/>
    <w:rsid w:val="00895F16"/>
    <w:rsid w:val="008970BD"/>
    <w:rsid w:val="008976E8"/>
    <w:rsid w:val="008977B3"/>
    <w:rsid w:val="00897D04"/>
    <w:rsid w:val="008A0527"/>
    <w:rsid w:val="008A103F"/>
    <w:rsid w:val="008A2AED"/>
    <w:rsid w:val="008A317E"/>
    <w:rsid w:val="008A347D"/>
    <w:rsid w:val="008A3700"/>
    <w:rsid w:val="008A3F71"/>
    <w:rsid w:val="008A5DF0"/>
    <w:rsid w:val="008A5F84"/>
    <w:rsid w:val="008A629B"/>
    <w:rsid w:val="008A6906"/>
    <w:rsid w:val="008A6C54"/>
    <w:rsid w:val="008A6F14"/>
    <w:rsid w:val="008A7D1A"/>
    <w:rsid w:val="008B0293"/>
    <w:rsid w:val="008B0CFF"/>
    <w:rsid w:val="008B1445"/>
    <w:rsid w:val="008B15E6"/>
    <w:rsid w:val="008B16A3"/>
    <w:rsid w:val="008B19A4"/>
    <w:rsid w:val="008B1F4D"/>
    <w:rsid w:val="008B2F26"/>
    <w:rsid w:val="008B3427"/>
    <w:rsid w:val="008B3959"/>
    <w:rsid w:val="008B44C8"/>
    <w:rsid w:val="008B5B65"/>
    <w:rsid w:val="008B5C62"/>
    <w:rsid w:val="008B5F39"/>
    <w:rsid w:val="008B6172"/>
    <w:rsid w:val="008B7B04"/>
    <w:rsid w:val="008C0023"/>
    <w:rsid w:val="008C056C"/>
    <w:rsid w:val="008C0D56"/>
    <w:rsid w:val="008C0EB7"/>
    <w:rsid w:val="008C2471"/>
    <w:rsid w:val="008C37FA"/>
    <w:rsid w:val="008C39DF"/>
    <w:rsid w:val="008C42B8"/>
    <w:rsid w:val="008C43D1"/>
    <w:rsid w:val="008C5857"/>
    <w:rsid w:val="008C6097"/>
    <w:rsid w:val="008C60AC"/>
    <w:rsid w:val="008C6516"/>
    <w:rsid w:val="008C67D7"/>
    <w:rsid w:val="008C73AC"/>
    <w:rsid w:val="008C7601"/>
    <w:rsid w:val="008C7E48"/>
    <w:rsid w:val="008D03ED"/>
    <w:rsid w:val="008D0A22"/>
    <w:rsid w:val="008D0A6D"/>
    <w:rsid w:val="008D0D3E"/>
    <w:rsid w:val="008D1D13"/>
    <w:rsid w:val="008D20A8"/>
    <w:rsid w:val="008D2E9C"/>
    <w:rsid w:val="008D30D7"/>
    <w:rsid w:val="008D394E"/>
    <w:rsid w:val="008D3F79"/>
    <w:rsid w:val="008D48CC"/>
    <w:rsid w:val="008D4A6E"/>
    <w:rsid w:val="008D4D56"/>
    <w:rsid w:val="008D4E3D"/>
    <w:rsid w:val="008D6AEE"/>
    <w:rsid w:val="008D716C"/>
    <w:rsid w:val="008D791A"/>
    <w:rsid w:val="008E09CA"/>
    <w:rsid w:val="008E1807"/>
    <w:rsid w:val="008E3408"/>
    <w:rsid w:val="008E46DE"/>
    <w:rsid w:val="008E4705"/>
    <w:rsid w:val="008E47D5"/>
    <w:rsid w:val="008E5E82"/>
    <w:rsid w:val="008E6416"/>
    <w:rsid w:val="008E6C18"/>
    <w:rsid w:val="008E6DDC"/>
    <w:rsid w:val="008E750F"/>
    <w:rsid w:val="008F0B25"/>
    <w:rsid w:val="008F11EB"/>
    <w:rsid w:val="008F1962"/>
    <w:rsid w:val="008F2A58"/>
    <w:rsid w:val="008F2FEC"/>
    <w:rsid w:val="008F3380"/>
    <w:rsid w:val="008F379C"/>
    <w:rsid w:val="008F3A11"/>
    <w:rsid w:val="008F43A9"/>
    <w:rsid w:val="008F4780"/>
    <w:rsid w:val="008F5150"/>
    <w:rsid w:val="008F548C"/>
    <w:rsid w:val="008F5519"/>
    <w:rsid w:val="008F6063"/>
    <w:rsid w:val="008F61F8"/>
    <w:rsid w:val="008F66C8"/>
    <w:rsid w:val="008F7996"/>
    <w:rsid w:val="008F7A9F"/>
    <w:rsid w:val="00900130"/>
    <w:rsid w:val="00900D72"/>
    <w:rsid w:val="00901138"/>
    <w:rsid w:val="0090171C"/>
    <w:rsid w:val="009021AF"/>
    <w:rsid w:val="00902455"/>
    <w:rsid w:val="009030BC"/>
    <w:rsid w:val="009031C0"/>
    <w:rsid w:val="009033B3"/>
    <w:rsid w:val="00903993"/>
    <w:rsid w:val="00904A14"/>
    <w:rsid w:val="00904A28"/>
    <w:rsid w:val="00904A9B"/>
    <w:rsid w:val="00904E89"/>
    <w:rsid w:val="0090589C"/>
    <w:rsid w:val="0090604D"/>
    <w:rsid w:val="009060F3"/>
    <w:rsid w:val="009061BE"/>
    <w:rsid w:val="00906D2C"/>
    <w:rsid w:val="00906D9B"/>
    <w:rsid w:val="00906E66"/>
    <w:rsid w:val="00907043"/>
    <w:rsid w:val="00907295"/>
    <w:rsid w:val="00907344"/>
    <w:rsid w:val="00910303"/>
    <w:rsid w:val="009108E4"/>
    <w:rsid w:val="00910F54"/>
    <w:rsid w:val="0091171F"/>
    <w:rsid w:val="00911774"/>
    <w:rsid w:val="00911822"/>
    <w:rsid w:val="00911B50"/>
    <w:rsid w:val="00911CE6"/>
    <w:rsid w:val="00911F01"/>
    <w:rsid w:val="00912F27"/>
    <w:rsid w:val="00913594"/>
    <w:rsid w:val="00913A80"/>
    <w:rsid w:val="00913CD2"/>
    <w:rsid w:val="00913DA6"/>
    <w:rsid w:val="00914788"/>
    <w:rsid w:val="00914D2A"/>
    <w:rsid w:val="00914D6F"/>
    <w:rsid w:val="0091640D"/>
    <w:rsid w:val="00916CC5"/>
    <w:rsid w:val="009201E5"/>
    <w:rsid w:val="00920B1D"/>
    <w:rsid w:val="00920FC5"/>
    <w:rsid w:val="009211F7"/>
    <w:rsid w:val="00921A48"/>
    <w:rsid w:val="00921CA5"/>
    <w:rsid w:val="00921D1E"/>
    <w:rsid w:val="009224C6"/>
    <w:rsid w:val="00922B70"/>
    <w:rsid w:val="0092322A"/>
    <w:rsid w:val="00923AE8"/>
    <w:rsid w:val="00923D62"/>
    <w:rsid w:val="00924045"/>
    <w:rsid w:val="009265B5"/>
    <w:rsid w:val="00926950"/>
    <w:rsid w:val="00926AA7"/>
    <w:rsid w:val="00926E88"/>
    <w:rsid w:val="00926F1D"/>
    <w:rsid w:val="00926FD5"/>
    <w:rsid w:val="00927B92"/>
    <w:rsid w:val="0093020E"/>
    <w:rsid w:val="00930957"/>
    <w:rsid w:val="009314BD"/>
    <w:rsid w:val="00931564"/>
    <w:rsid w:val="00931FC9"/>
    <w:rsid w:val="00932722"/>
    <w:rsid w:val="0093537B"/>
    <w:rsid w:val="00937435"/>
    <w:rsid w:val="00937EEA"/>
    <w:rsid w:val="009403A3"/>
    <w:rsid w:val="00940851"/>
    <w:rsid w:val="0094090E"/>
    <w:rsid w:val="00940D29"/>
    <w:rsid w:val="009411FD"/>
    <w:rsid w:val="009416D2"/>
    <w:rsid w:val="0094176F"/>
    <w:rsid w:val="00941C3A"/>
    <w:rsid w:val="009421D3"/>
    <w:rsid w:val="009422C9"/>
    <w:rsid w:val="009427F9"/>
    <w:rsid w:val="00942E03"/>
    <w:rsid w:val="00943076"/>
    <w:rsid w:val="009433DA"/>
    <w:rsid w:val="00943E5F"/>
    <w:rsid w:val="0094403D"/>
    <w:rsid w:val="00944625"/>
    <w:rsid w:val="0094485A"/>
    <w:rsid w:val="00946495"/>
    <w:rsid w:val="0094679A"/>
    <w:rsid w:val="00946D6B"/>
    <w:rsid w:val="009501AE"/>
    <w:rsid w:val="00950DA2"/>
    <w:rsid w:val="009511F9"/>
    <w:rsid w:val="009514D0"/>
    <w:rsid w:val="00951572"/>
    <w:rsid w:val="00952F18"/>
    <w:rsid w:val="0095338F"/>
    <w:rsid w:val="00953D8A"/>
    <w:rsid w:val="0095461A"/>
    <w:rsid w:val="009557C9"/>
    <w:rsid w:val="00956E5C"/>
    <w:rsid w:val="009574B9"/>
    <w:rsid w:val="009576D1"/>
    <w:rsid w:val="009579A2"/>
    <w:rsid w:val="00960426"/>
    <w:rsid w:val="009610F3"/>
    <w:rsid w:val="00961259"/>
    <w:rsid w:val="00961E23"/>
    <w:rsid w:val="00962439"/>
    <w:rsid w:val="0096246B"/>
    <w:rsid w:val="009624A4"/>
    <w:rsid w:val="00962A64"/>
    <w:rsid w:val="00962E55"/>
    <w:rsid w:val="00963AE6"/>
    <w:rsid w:val="00964040"/>
    <w:rsid w:val="00964278"/>
    <w:rsid w:val="00964809"/>
    <w:rsid w:val="009650D1"/>
    <w:rsid w:val="009660F5"/>
    <w:rsid w:val="009679A7"/>
    <w:rsid w:val="00970313"/>
    <w:rsid w:val="00970352"/>
    <w:rsid w:val="00970576"/>
    <w:rsid w:val="00970E86"/>
    <w:rsid w:val="00970F41"/>
    <w:rsid w:val="0097100C"/>
    <w:rsid w:val="00971D4E"/>
    <w:rsid w:val="009724EC"/>
    <w:rsid w:val="00972A41"/>
    <w:rsid w:val="00972AA0"/>
    <w:rsid w:val="00973A6C"/>
    <w:rsid w:val="00973FF2"/>
    <w:rsid w:val="0097489E"/>
    <w:rsid w:val="00975677"/>
    <w:rsid w:val="009756F8"/>
    <w:rsid w:val="00975F7F"/>
    <w:rsid w:val="0097786D"/>
    <w:rsid w:val="00977947"/>
    <w:rsid w:val="00977AFA"/>
    <w:rsid w:val="00977DC3"/>
    <w:rsid w:val="00977E2B"/>
    <w:rsid w:val="00980752"/>
    <w:rsid w:val="009812D9"/>
    <w:rsid w:val="00981F3F"/>
    <w:rsid w:val="00981F8A"/>
    <w:rsid w:val="00982121"/>
    <w:rsid w:val="009822C1"/>
    <w:rsid w:val="00982CDB"/>
    <w:rsid w:val="00982E84"/>
    <w:rsid w:val="009831FC"/>
    <w:rsid w:val="00983481"/>
    <w:rsid w:val="00983B7C"/>
    <w:rsid w:val="00984699"/>
    <w:rsid w:val="00985ECE"/>
    <w:rsid w:val="00985FCE"/>
    <w:rsid w:val="00986455"/>
    <w:rsid w:val="00987CA2"/>
    <w:rsid w:val="00990465"/>
    <w:rsid w:val="00990665"/>
    <w:rsid w:val="00990700"/>
    <w:rsid w:val="0099150F"/>
    <w:rsid w:val="009917E7"/>
    <w:rsid w:val="00991FE5"/>
    <w:rsid w:val="009929A6"/>
    <w:rsid w:val="0099317C"/>
    <w:rsid w:val="00993492"/>
    <w:rsid w:val="00993557"/>
    <w:rsid w:val="00994311"/>
    <w:rsid w:val="0099434B"/>
    <w:rsid w:val="009943B4"/>
    <w:rsid w:val="00994758"/>
    <w:rsid w:val="00994C8E"/>
    <w:rsid w:val="0099588E"/>
    <w:rsid w:val="00997D44"/>
    <w:rsid w:val="009A0471"/>
    <w:rsid w:val="009A059E"/>
    <w:rsid w:val="009A0F94"/>
    <w:rsid w:val="009A3FF3"/>
    <w:rsid w:val="009A4852"/>
    <w:rsid w:val="009A55CA"/>
    <w:rsid w:val="009A5D50"/>
    <w:rsid w:val="009A6941"/>
    <w:rsid w:val="009A712E"/>
    <w:rsid w:val="009A7925"/>
    <w:rsid w:val="009A7ABE"/>
    <w:rsid w:val="009B0325"/>
    <w:rsid w:val="009B0721"/>
    <w:rsid w:val="009B0A4B"/>
    <w:rsid w:val="009B15F6"/>
    <w:rsid w:val="009B23C2"/>
    <w:rsid w:val="009B27A7"/>
    <w:rsid w:val="009B2A4C"/>
    <w:rsid w:val="009B3361"/>
    <w:rsid w:val="009B4594"/>
    <w:rsid w:val="009B485E"/>
    <w:rsid w:val="009B4D23"/>
    <w:rsid w:val="009B5023"/>
    <w:rsid w:val="009B5DAE"/>
    <w:rsid w:val="009B6B0F"/>
    <w:rsid w:val="009B72A7"/>
    <w:rsid w:val="009B7E34"/>
    <w:rsid w:val="009C00D0"/>
    <w:rsid w:val="009C08E0"/>
    <w:rsid w:val="009C102B"/>
    <w:rsid w:val="009C1300"/>
    <w:rsid w:val="009C283F"/>
    <w:rsid w:val="009C285A"/>
    <w:rsid w:val="009C2BA2"/>
    <w:rsid w:val="009C2FA6"/>
    <w:rsid w:val="009C33DF"/>
    <w:rsid w:val="009C41CC"/>
    <w:rsid w:val="009C4804"/>
    <w:rsid w:val="009C4E6A"/>
    <w:rsid w:val="009C4E89"/>
    <w:rsid w:val="009C50C4"/>
    <w:rsid w:val="009C5119"/>
    <w:rsid w:val="009C5DC7"/>
    <w:rsid w:val="009C6125"/>
    <w:rsid w:val="009C6255"/>
    <w:rsid w:val="009C630A"/>
    <w:rsid w:val="009C693C"/>
    <w:rsid w:val="009C6EC6"/>
    <w:rsid w:val="009C7378"/>
    <w:rsid w:val="009C778A"/>
    <w:rsid w:val="009C7E4D"/>
    <w:rsid w:val="009D07FA"/>
    <w:rsid w:val="009D133B"/>
    <w:rsid w:val="009D16F5"/>
    <w:rsid w:val="009D1F82"/>
    <w:rsid w:val="009D2305"/>
    <w:rsid w:val="009D231E"/>
    <w:rsid w:val="009D2455"/>
    <w:rsid w:val="009D3346"/>
    <w:rsid w:val="009D3D11"/>
    <w:rsid w:val="009D4398"/>
    <w:rsid w:val="009D4457"/>
    <w:rsid w:val="009D46BF"/>
    <w:rsid w:val="009D4859"/>
    <w:rsid w:val="009D4B6A"/>
    <w:rsid w:val="009D4ECD"/>
    <w:rsid w:val="009D5648"/>
    <w:rsid w:val="009D5935"/>
    <w:rsid w:val="009D5C52"/>
    <w:rsid w:val="009D6C90"/>
    <w:rsid w:val="009D6E07"/>
    <w:rsid w:val="009D7418"/>
    <w:rsid w:val="009E0027"/>
    <w:rsid w:val="009E0238"/>
    <w:rsid w:val="009E03EA"/>
    <w:rsid w:val="009E0B29"/>
    <w:rsid w:val="009E17CB"/>
    <w:rsid w:val="009E1A88"/>
    <w:rsid w:val="009E2841"/>
    <w:rsid w:val="009E3917"/>
    <w:rsid w:val="009E3AC8"/>
    <w:rsid w:val="009E449E"/>
    <w:rsid w:val="009E4501"/>
    <w:rsid w:val="009E4A9D"/>
    <w:rsid w:val="009E56CC"/>
    <w:rsid w:val="009E61B4"/>
    <w:rsid w:val="009E696A"/>
    <w:rsid w:val="009E7B0D"/>
    <w:rsid w:val="009F028A"/>
    <w:rsid w:val="009F03D0"/>
    <w:rsid w:val="009F047E"/>
    <w:rsid w:val="009F07E8"/>
    <w:rsid w:val="009F1088"/>
    <w:rsid w:val="009F17A1"/>
    <w:rsid w:val="009F191C"/>
    <w:rsid w:val="009F1E81"/>
    <w:rsid w:val="009F2871"/>
    <w:rsid w:val="009F35C9"/>
    <w:rsid w:val="009F3CB6"/>
    <w:rsid w:val="009F4842"/>
    <w:rsid w:val="009F4A62"/>
    <w:rsid w:val="009F4E90"/>
    <w:rsid w:val="009F574C"/>
    <w:rsid w:val="009F5D1E"/>
    <w:rsid w:val="009F5E2F"/>
    <w:rsid w:val="009F665F"/>
    <w:rsid w:val="009F6A19"/>
    <w:rsid w:val="009F6D5C"/>
    <w:rsid w:val="009F7BA5"/>
    <w:rsid w:val="009F7CA5"/>
    <w:rsid w:val="009F7DC7"/>
    <w:rsid w:val="00A00800"/>
    <w:rsid w:val="00A00AE1"/>
    <w:rsid w:val="00A0197A"/>
    <w:rsid w:val="00A01EDE"/>
    <w:rsid w:val="00A02341"/>
    <w:rsid w:val="00A02558"/>
    <w:rsid w:val="00A026A0"/>
    <w:rsid w:val="00A0289E"/>
    <w:rsid w:val="00A03F23"/>
    <w:rsid w:val="00A04AEC"/>
    <w:rsid w:val="00A04AF7"/>
    <w:rsid w:val="00A0564A"/>
    <w:rsid w:val="00A0758C"/>
    <w:rsid w:val="00A11402"/>
    <w:rsid w:val="00A1369A"/>
    <w:rsid w:val="00A136C1"/>
    <w:rsid w:val="00A13884"/>
    <w:rsid w:val="00A13E67"/>
    <w:rsid w:val="00A151D3"/>
    <w:rsid w:val="00A159E7"/>
    <w:rsid w:val="00A16543"/>
    <w:rsid w:val="00A2111D"/>
    <w:rsid w:val="00A22372"/>
    <w:rsid w:val="00A22618"/>
    <w:rsid w:val="00A22D70"/>
    <w:rsid w:val="00A23092"/>
    <w:rsid w:val="00A23956"/>
    <w:rsid w:val="00A23BF0"/>
    <w:rsid w:val="00A254D0"/>
    <w:rsid w:val="00A26073"/>
    <w:rsid w:val="00A260B5"/>
    <w:rsid w:val="00A263C0"/>
    <w:rsid w:val="00A266CB"/>
    <w:rsid w:val="00A26D48"/>
    <w:rsid w:val="00A26D98"/>
    <w:rsid w:val="00A32411"/>
    <w:rsid w:val="00A32B13"/>
    <w:rsid w:val="00A33E27"/>
    <w:rsid w:val="00A345CD"/>
    <w:rsid w:val="00A34738"/>
    <w:rsid w:val="00A3568D"/>
    <w:rsid w:val="00A35CAD"/>
    <w:rsid w:val="00A3646F"/>
    <w:rsid w:val="00A364DE"/>
    <w:rsid w:val="00A365D1"/>
    <w:rsid w:val="00A3667B"/>
    <w:rsid w:val="00A36C10"/>
    <w:rsid w:val="00A37022"/>
    <w:rsid w:val="00A4094C"/>
    <w:rsid w:val="00A412BD"/>
    <w:rsid w:val="00A41A94"/>
    <w:rsid w:val="00A420B3"/>
    <w:rsid w:val="00A420D5"/>
    <w:rsid w:val="00A42522"/>
    <w:rsid w:val="00A425E6"/>
    <w:rsid w:val="00A4263B"/>
    <w:rsid w:val="00A43447"/>
    <w:rsid w:val="00A43B41"/>
    <w:rsid w:val="00A4436C"/>
    <w:rsid w:val="00A4487D"/>
    <w:rsid w:val="00A44899"/>
    <w:rsid w:val="00A44D7C"/>
    <w:rsid w:val="00A45D5C"/>
    <w:rsid w:val="00A461D4"/>
    <w:rsid w:val="00A46867"/>
    <w:rsid w:val="00A46DC1"/>
    <w:rsid w:val="00A4739B"/>
    <w:rsid w:val="00A4780C"/>
    <w:rsid w:val="00A47AE8"/>
    <w:rsid w:val="00A47D82"/>
    <w:rsid w:val="00A50B59"/>
    <w:rsid w:val="00A50C2D"/>
    <w:rsid w:val="00A515AE"/>
    <w:rsid w:val="00A51F4B"/>
    <w:rsid w:val="00A53053"/>
    <w:rsid w:val="00A531D9"/>
    <w:rsid w:val="00A5378E"/>
    <w:rsid w:val="00A53C07"/>
    <w:rsid w:val="00A5405C"/>
    <w:rsid w:val="00A545AF"/>
    <w:rsid w:val="00A54679"/>
    <w:rsid w:val="00A54CAD"/>
    <w:rsid w:val="00A55373"/>
    <w:rsid w:val="00A559EB"/>
    <w:rsid w:val="00A5600A"/>
    <w:rsid w:val="00A561B1"/>
    <w:rsid w:val="00A567DA"/>
    <w:rsid w:val="00A56EE7"/>
    <w:rsid w:val="00A57C49"/>
    <w:rsid w:val="00A60B03"/>
    <w:rsid w:val="00A6148E"/>
    <w:rsid w:val="00A61960"/>
    <w:rsid w:val="00A622ED"/>
    <w:rsid w:val="00A6368D"/>
    <w:rsid w:val="00A63DF2"/>
    <w:rsid w:val="00A64EAD"/>
    <w:rsid w:val="00A662D4"/>
    <w:rsid w:val="00A66A54"/>
    <w:rsid w:val="00A66B80"/>
    <w:rsid w:val="00A674A5"/>
    <w:rsid w:val="00A70010"/>
    <w:rsid w:val="00A70F54"/>
    <w:rsid w:val="00A716ED"/>
    <w:rsid w:val="00A7179E"/>
    <w:rsid w:val="00A73D01"/>
    <w:rsid w:val="00A742F2"/>
    <w:rsid w:val="00A7452A"/>
    <w:rsid w:val="00A745DE"/>
    <w:rsid w:val="00A7470E"/>
    <w:rsid w:val="00A74C5D"/>
    <w:rsid w:val="00A74F41"/>
    <w:rsid w:val="00A75DC8"/>
    <w:rsid w:val="00A7623D"/>
    <w:rsid w:val="00A764CB"/>
    <w:rsid w:val="00A805B0"/>
    <w:rsid w:val="00A818B5"/>
    <w:rsid w:val="00A8196E"/>
    <w:rsid w:val="00A81A08"/>
    <w:rsid w:val="00A81E2E"/>
    <w:rsid w:val="00A81EF3"/>
    <w:rsid w:val="00A8277A"/>
    <w:rsid w:val="00A839A9"/>
    <w:rsid w:val="00A83CB2"/>
    <w:rsid w:val="00A850A8"/>
    <w:rsid w:val="00A853B9"/>
    <w:rsid w:val="00A8586B"/>
    <w:rsid w:val="00A858E1"/>
    <w:rsid w:val="00A85D34"/>
    <w:rsid w:val="00A860C3"/>
    <w:rsid w:val="00A8630E"/>
    <w:rsid w:val="00A86AAB"/>
    <w:rsid w:val="00A86FFE"/>
    <w:rsid w:val="00A87A51"/>
    <w:rsid w:val="00A87B31"/>
    <w:rsid w:val="00A87ECA"/>
    <w:rsid w:val="00A900F6"/>
    <w:rsid w:val="00A9012A"/>
    <w:rsid w:val="00A90D8E"/>
    <w:rsid w:val="00A90DBB"/>
    <w:rsid w:val="00A9153B"/>
    <w:rsid w:val="00A91D28"/>
    <w:rsid w:val="00A92F7E"/>
    <w:rsid w:val="00A93494"/>
    <w:rsid w:val="00A935CD"/>
    <w:rsid w:val="00A9393A"/>
    <w:rsid w:val="00A96449"/>
    <w:rsid w:val="00A97534"/>
    <w:rsid w:val="00AA02BB"/>
    <w:rsid w:val="00AA044A"/>
    <w:rsid w:val="00AA0A9C"/>
    <w:rsid w:val="00AA11E0"/>
    <w:rsid w:val="00AA16A1"/>
    <w:rsid w:val="00AA1D96"/>
    <w:rsid w:val="00AA25D9"/>
    <w:rsid w:val="00AA27DC"/>
    <w:rsid w:val="00AA28BD"/>
    <w:rsid w:val="00AA3BDA"/>
    <w:rsid w:val="00AA4440"/>
    <w:rsid w:val="00AA4913"/>
    <w:rsid w:val="00AA568D"/>
    <w:rsid w:val="00AA59E5"/>
    <w:rsid w:val="00AA6497"/>
    <w:rsid w:val="00AA6739"/>
    <w:rsid w:val="00AA6C2F"/>
    <w:rsid w:val="00AA731C"/>
    <w:rsid w:val="00AB114B"/>
    <w:rsid w:val="00AB1E7F"/>
    <w:rsid w:val="00AB25C2"/>
    <w:rsid w:val="00AB2CBE"/>
    <w:rsid w:val="00AB3191"/>
    <w:rsid w:val="00AB388D"/>
    <w:rsid w:val="00AB3EBF"/>
    <w:rsid w:val="00AB422A"/>
    <w:rsid w:val="00AB46DE"/>
    <w:rsid w:val="00AB504F"/>
    <w:rsid w:val="00AB61F8"/>
    <w:rsid w:val="00AB64ED"/>
    <w:rsid w:val="00AB68B9"/>
    <w:rsid w:val="00AB69EB"/>
    <w:rsid w:val="00AB6AB4"/>
    <w:rsid w:val="00AB6F99"/>
    <w:rsid w:val="00AB6FDA"/>
    <w:rsid w:val="00AC05DC"/>
    <w:rsid w:val="00AC186A"/>
    <w:rsid w:val="00AC2711"/>
    <w:rsid w:val="00AC2C94"/>
    <w:rsid w:val="00AC4AF9"/>
    <w:rsid w:val="00AC5489"/>
    <w:rsid w:val="00AC5780"/>
    <w:rsid w:val="00AC5AA0"/>
    <w:rsid w:val="00AC62BB"/>
    <w:rsid w:val="00AC7AEC"/>
    <w:rsid w:val="00AC7E0E"/>
    <w:rsid w:val="00AD03A5"/>
    <w:rsid w:val="00AD09A1"/>
    <w:rsid w:val="00AD0E0F"/>
    <w:rsid w:val="00AD11A2"/>
    <w:rsid w:val="00AD2250"/>
    <w:rsid w:val="00AD380D"/>
    <w:rsid w:val="00AD3F17"/>
    <w:rsid w:val="00AD44AD"/>
    <w:rsid w:val="00AD5CF4"/>
    <w:rsid w:val="00AD6AD8"/>
    <w:rsid w:val="00AD6F80"/>
    <w:rsid w:val="00AD7288"/>
    <w:rsid w:val="00AE0CC1"/>
    <w:rsid w:val="00AE1B7B"/>
    <w:rsid w:val="00AE1C57"/>
    <w:rsid w:val="00AE1E06"/>
    <w:rsid w:val="00AE3052"/>
    <w:rsid w:val="00AE4652"/>
    <w:rsid w:val="00AE4AB2"/>
    <w:rsid w:val="00AE4CE0"/>
    <w:rsid w:val="00AE54A3"/>
    <w:rsid w:val="00AE5606"/>
    <w:rsid w:val="00AE6293"/>
    <w:rsid w:val="00AE62DC"/>
    <w:rsid w:val="00AE6AB2"/>
    <w:rsid w:val="00AF021D"/>
    <w:rsid w:val="00AF0E08"/>
    <w:rsid w:val="00AF0E7C"/>
    <w:rsid w:val="00AF0E8A"/>
    <w:rsid w:val="00AF101F"/>
    <w:rsid w:val="00AF1F02"/>
    <w:rsid w:val="00AF22C0"/>
    <w:rsid w:val="00AF3108"/>
    <w:rsid w:val="00AF3280"/>
    <w:rsid w:val="00AF3563"/>
    <w:rsid w:val="00AF442D"/>
    <w:rsid w:val="00AF4889"/>
    <w:rsid w:val="00AF4D96"/>
    <w:rsid w:val="00AF4DBE"/>
    <w:rsid w:val="00AF53F9"/>
    <w:rsid w:val="00AF5A3B"/>
    <w:rsid w:val="00AF6F67"/>
    <w:rsid w:val="00AF732F"/>
    <w:rsid w:val="00B00658"/>
    <w:rsid w:val="00B019A1"/>
    <w:rsid w:val="00B02123"/>
    <w:rsid w:val="00B024A6"/>
    <w:rsid w:val="00B02CE0"/>
    <w:rsid w:val="00B02F6E"/>
    <w:rsid w:val="00B038E0"/>
    <w:rsid w:val="00B04009"/>
    <w:rsid w:val="00B05825"/>
    <w:rsid w:val="00B05B8C"/>
    <w:rsid w:val="00B0680D"/>
    <w:rsid w:val="00B06C97"/>
    <w:rsid w:val="00B06E78"/>
    <w:rsid w:val="00B06F01"/>
    <w:rsid w:val="00B07630"/>
    <w:rsid w:val="00B077E5"/>
    <w:rsid w:val="00B100EA"/>
    <w:rsid w:val="00B10142"/>
    <w:rsid w:val="00B115C1"/>
    <w:rsid w:val="00B12D03"/>
    <w:rsid w:val="00B13263"/>
    <w:rsid w:val="00B13B9D"/>
    <w:rsid w:val="00B14734"/>
    <w:rsid w:val="00B147DD"/>
    <w:rsid w:val="00B14BD6"/>
    <w:rsid w:val="00B151B4"/>
    <w:rsid w:val="00B15469"/>
    <w:rsid w:val="00B156D6"/>
    <w:rsid w:val="00B15A8F"/>
    <w:rsid w:val="00B16EAD"/>
    <w:rsid w:val="00B17811"/>
    <w:rsid w:val="00B17881"/>
    <w:rsid w:val="00B200E2"/>
    <w:rsid w:val="00B202FA"/>
    <w:rsid w:val="00B207F3"/>
    <w:rsid w:val="00B20C11"/>
    <w:rsid w:val="00B20F6C"/>
    <w:rsid w:val="00B21496"/>
    <w:rsid w:val="00B21DC1"/>
    <w:rsid w:val="00B234B8"/>
    <w:rsid w:val="00B2373B"/>
    <w:rsid w:val="00B23826"/>
    <w:rsid w:val="00B23F92"/>
    <w:rsid w:val="00B26558"/>
    <w:rsid w:val="00B2722D"/>
    <w:rsid w:val="00B30D4E"/>
    <w:rsid w:val="00B310C8"/>
    <w:rsid w:val="00B3212E"/>
    <w:rsid w:val="00B32244"/>
    <w:rsid w:val="00B32575"/>
    <w:rsid w:val="00B32635"/>
    <w:rsid w:val="00B32FB4"/>
    <w:rsid w:val="00B33C02"/>
    <w:rsid w:val="00B33D88"/>
    <w:rsid w:val="00B33DD3"/>
    <w:rsid w:val="00B33E6C"/>
    <w:rsid w:val="00B33EA8"/>
    <w:rsid w:val="00B3433E"/>
    <w:rsid w:val="00B3441D"/>
    <w:rsid w:val="00B3490B"/>
    <w:rsid w:val="00B34954"/>
    <w:rsid w:val="00B34A0E"/>
    <w:rsid w:val="00B35140"/>
    <w:rsid w:val="00B351BE"/>
    <w:rsid w:val="00B35353"/>
    <w:rsid w:val="00B357F1"/>
    <w:rsid w:val="00B35CFB"/>
    <w:rsid w:val="00B363CE"/>
    <w:rsid w:val="00B36413"/>
    <w:rsid w:val="00B368DF"/>
    <w:rsid w:val="00B36CA2"/>
    <w:rsid w:val="00B3772E"/>
    <w:rsid w:val="00B37749"/>
    <w:rsid w:val="00B37BFD"/>
    <w:rsid w:val="00B37CEE"/>
    <w:rsid w:val="00B37FDD"/>
    <w:rsid w:val="00B40886"/>
    <w:rsid w:val="00B40B54"/>
    <w:rsid w:val="00B41022"/>
    <w:rsid w:val="00B415AE"/>
    <w:rsid w:val="00B4179C"/>
    <w:rsid w:val="00B41C19"/>
    <w:rsid w:val="00B41E56"/>
    <w:rsid w:val="00B42155"/>
    <w:rsid w:val="00B42268"/>
    <w:rsid w:val="00B43314"/>
    <w:rsid w:val="00B44799"/>
    <w:rsid w:val="00B449F9"/>
    <w:rsid w:val="00B44FA6"/>
    <w:rsid w:val="00B464E3"/>
    <w:rsid w:val="00B46896"/>
    <w:rsid w:val="00B50CDC"/>
    <w:rsid w:val="00B51449"/>
    <w:rsid w:val="00B52028"/>
    <w:rsid w:val="00B5283C"/>
    <w:rsid w:val="00B5305D"/>
    <w:rsid w:val="00B535AF"/>
    <w:rsid w:val="00B537AC"/>
    <w:rsid w:val="00B53E6D"/>
    <w:rsid w:val="00B544CE"/>
    <w:rsid w:val="00B54DF2"/>
    <w:rsid w:val="00B54EBC"/>
    <w:rsid w:val="00B5573F"/>
    <w:rsid w:val="00B559DB"/>
    <w:rsid w:val="00B55EBB"/>
    <w:rsid w:val="00B567BB"/>
    <w:rsid w:val="00B56C03"/>
    <w:rsid w:val="00B57DF1"/>
    <w:rsid w:val="00B60032"/>
    <w:rsid w:val="00B61064"/>
    <w:rsid w:val="00B611BC"/>
    <w:rsid w:val="00B61248"/>
    <w:rsid w:val="00B616A1"/>
    <w:rsid w:val="00B61B0F"/>
    <w:rsid w:val="00B61C77"/>
    <w:rsid w:val="00B62322"/>
    <w:rsid w:val="00B62655"/>
    <w:rsid w:val="00B63839"/>
    <w:rsid w:val="00B64A0F"/>
    <w:rsid w:val="00B64DB2"/>
    <w:rsid w:val="00B65BE9"/>
    <w:rsid w:val="00B66A32"/>
    <w:rsid w:val="00B6722F"/>
    <w:rsid w:val="00B67F40"/>
    <w:rsid w:val="00B7019C"/>
    <w:rsid w:val="00B71A36"/>
    <w:rsid w:val="00B71AF4"/>
    <w:rsid w:val="00B72633"/>
    <w:rsid w:val="00B74382"/>
    <w:rsid w:val="00B74CE4"/>
    <w:rsid w:val="00B74DE8"/>
    <w:rsid w:val="00B753A6"/>
    <w:rsid w:val="00B754B4"/>
    <w:rsid w:val="00B756DB"/>
    <w:rsid w:val="00B75767"/>
    <w:rsid w:val="00B75B6D"/>
    <w:rsid w:val="00B76461"/>
    <w:rsid w:val="00B77570"/>
    <w:rsid w:val="00B80298"/>
    <w:rsid w:val="00B80C2C"/>
    <w:rsid w:val="00B80CBC"/>
    <w:rsid w:val="00B8107F"/>
    <w:rsid w:val="00B82357"/>
    <w:rsid w:val="00B826C3"/>
    <w:rsid w:val="00B8270A"/>
    <w:rsid w:val="00B82C0F"/>
    <w:rsid w:val="00B8383B"/>
    <w:rsid w:val="00B839C3"/>
    <w:rsid w:val="00B854C1"/>
    <w:rsid w:val="00B86331"/>
    <w:rsid w:val="00B86516"/>
    <w:rsid w:val="00B8656A"/>
    <w:rsid w:val="00B86A51"/>
    <w:rsid w:val="00B86AA3"/>
    <w:rsid w:val="00B86D0B"/>
    <w:rsid w:val="00B86D20"/>
    <w:rsid w:val="00B86FC9"/>
    <w:rsid w:val="00B8720C"/>
    <w:rsid w:val="00B87B73"/>
    <w:rsid w:val="00B9156E"/>
    <w:rsid w:val="00B91950"/>
    <w:rsid w:val="00B91E8E"/>
    <w:rsid w:val="00B92BD2"/>
    <w:rsid w:val="00B92FA8"/>
    <w:rsid w:val="00B94D27"/>
    <w:rsid w:val="00B9561B"/>
    <w:rsid w:val="00B957E1"/>
    <w:rsid w:val="00B9692C"/>
    <w:rsid w:val="00B969FC"/>
    <w:rsid w:val="00B97240"/>
    <w:rsid w:val="00B976AE"/>
    <w:rsid w:val="00B97AAF"/>
    <w:rsid w:val="00B97CC2"/>
    <w:rsid w:val="00BA0B11"/>
    <w:rsid w:val="00BA19EB"/>
    <w:rsid w:val="00BA2698"/>
    <w:rsid w:val="00BA2BCB"/>
    <w:rsid w:val="00BA35A3"/>
    <w:rsid w:val="00BA3963"/>
    <w:rsid w:val="00BA3F03"/>
    <w:rsid w:val="00BA426A"/>
    <w:rsid w:val="00BA4819"/>
    <w:rsid w:val="00BA48EF"/>
    <w:rsid w:val="00BA533C"/>
    <w:rsid w:val="00BA5B87"/>
    <w:rsid w:val="00BA5D93"/>
    <w:rsid w:val="00BA64EC"/>
    <w:rsid w:val="00BA694A"/>
    <w:rsid w:val="00BA6D5B"/>
    <w:rsid w:val="00BA72E5"/>
    <w:rsid w:val="00BA7DDE"/>
    <w:rsid w:val="00BB2E55"/>
    <w:rsid w:val="00BB3402"/>
    <w:rsid w:val="00BB3AAB"/>
    <w:rsid w:val="00BB3BCC"/>
    <w:rsid w:val="00BB45E7"/>
    <w:rsid w:val="00BB4CE8"/>
    <w:rsid w:val="00BB5042"/>
    <w:rsid w:val="00BB54C7"/>
    <w:rsid w:val="00BB5B79"/>
    <w:rsid w:val="00BB60E9"/>
    <w:rsid w:val="00BB6C8B"/>
    <w:rsid w:val="00BB700C"/>
    <w:rsid w:val="00BB7378"/>
    <w:rsid w:val="00BB760F"/>
    <w:rsid w:val="00BC07C8"/>
    <w:rsid w:val="00BC0980"/>
    <w:rsid w:val="00BC107C"/>
    <w:rsid w:val="00BC1088"/>
    <w:rsid w:val="00BC1215"/>
    <w:rsid w:val="00BC1F93"/>
    <w:rsid w:val="00BC221E"/>
    <w:rsid w:val="00BC2C05"/>
    <w:rsid w:val="00BC2D63"/>
    <w:rsid w:val="00BC2F3F"/>
    <w:rsid w:val="00BC3E3D"/>
    <w:rsid w:val="00BC3EF8"/>
    <w:rsid w:val="00BC3FF2"/>
    <w:rsid w:val="00BC488B"/>
    <w:rsid w:val="00BC4D1C"/>
    <w:rsid w:val="00BC64C0"/>
    <w:rsid w:val="00BC6C0D"/>
    <w:rsid w:val="00BC6EBE"/>
    <w:rsid w:val="00BC77DB"/>
    <w:rsid w:val="00BC7D49"/>
    <w:rsid w:val="00BD024B"/>
    <w:rsid w:val="00BD0724"/>
    <w:rsid w:val="00BD0C2D"/>
    <w:rsid w:val="00BD252C"/>
    <w:rsid w:val="00BD2FDD"/>
    <w:rsid w:val="00BD32CB"/>
    <w:rsid w:val="00BD35D0"/>
    <w:rsid w:val="00BD3655"/>
    <w:rsid w:val="00BD3DC0"/>
    <w:rsid w:val="00BD40FA"/>
    <w:rsid w:val="00BD420E"/>
    <w:rsid w:val="00BD45F6"/>
    <w:rsid w:val="00BD4878"/>
    <w:rsid w:val="00BD4F7F"/>
    <w:rsid w:val="00BD53DB"/>
    <w:rsid w:val="00BD562E"/>
    <w:rsid w:val="00BD5840"/>
    <w:rsid w:val="00BD59CD"/>
    <w:rsid w:val="00BD6CCC"/>
    <w:rsid w:val="00BD6F73"/>
    <w:rsid w:val="00BD7A92"/>
    <w:rsid w:val="00BE0372"/>
    <w:rsid w:val="00BE0CFE"/>
    <w:rsid w:val="00BE1764"/>
    <w:rsid w:val="00BE19B4"/>
    <w:rsid w:val="00BE1BD2"/>
    <w:rsid w:val="00BE20D5"/>
    <w:rsid w:val="00BE2D7B"/>
    <w:rsid w:val="00BE2DFB"/>
    <w:rsid w:val="00BE5017"/>
    <w:rsid w:val="00BE5067"/>
    <w:rsid w:val="00BE574E"/>
    <w:rsid w:val="00BE5F49"/>
    <w:rsid w:val="00BE6355"/>
    <w:rsid w:val="00BE6A8E"/>
    <w:rsid w:val="00BE6AA0"/>
    <w:rsid w:val="00BE6FB2"/>
    <w:rsid w:val="00BE7D6B"/>
    <w:rsid w:val="00BF113E"/>
    <w:rsid w:val="00BF144B"/>
    <w:rsid w:val="00BF1702"/>
    <w:rsid w:val="00BF174B"/>
    <w:rsid w:val="00BF1CC2"/>
    <w:rsid w:val="00BF2329"/>
    <w:rsid w:val="00BF25AF"/>
    <w:rsid w:val="00BF28FA"/>
    <w:rsid w:val="00BF308D"/>
    <w:rsid w:val="00BF3583"/>
    <w:rsid w:val="00BF4291"/>
    <w:rsid w:val="00BF4AA5"/>
    <w:rsid w:val="00BF5E7D"/>
    <w:rsid w:val="00BF5FF0"/>
    <w:rsid w:val="00BF6450"/>
    <w:rsid w:val="00BF69A2"/>
    <w:rsid w:val="00BF7235"/>
    <w:rsid w:val="00BF7889"/>
    <w:rsid w:val="00C00578"/>
    <w:rsid w:val="00C010B5"/>
    <w:rsid w:val="00C01391"/>
    <w:rsid w:val="00C01DDE"/>
    <w:rsid w:val="00C02E2C"/>
    <w:rsid w:val="00C031E5"/>
    <w:rsid w:val="00C03523"/>
    <w:rsid w:val="00C04A13"/>
    <w:rsid w:val="00C04A7E"/>
    <w:rsid w:val="00C056F5"/>
    <w:rsid w:val="00C05B8F"/>
    <w:rsid w:val="00C06D20"/>
    <w:rsid w:val="00C06FF6"/>
    <w:rsid w:val="00C076C8"/>
    <w:rsid w:val="00C07F42"/>
    <w:rsid w:val="00C10110"/>
    <w:rsid w:val="00C102F9"/>
    <w:rsid w:val="00C108AE"/>
    <w:rsid w:val="00C10925"/>
    <w:rsid w:val="00C109A5"/>
    <w:rsid w:val="00C10E66"/>
    <w:rsid w:val="00C112BD"/>
    <w:rsid w:val="00C11506"/>
    <w:rsid w:val="00C1150B"/>
    <w:rsid w:val="00C11BEA"/>
    <w:rsid w:val="00C11C8F"/>
    <w:rsid w:val="00C11F10"/>
    <w:rsid w:val="00C132ED"/>
    <w:rsid w:val="00C13629"/>
    <w:rsid w:val="00C13F9C"/>
    <w:rsid w:val="00C13FE5"/>
    <w:rsid w:val="00C14F92"/>
    <w:rsid w:val="00C15989"/>
    <w:rsid w:val="00C159B5"/>
    <w:rsid w:val="00C15D63"/>
    <w:rsid w:val="00C1629B"/>
    <w:rsid w:val="00C167A2"/>
    <w:rsid w:val="00C16A02"/>
    <w:rsid w:val="00C16A3D"/>
    <w:rsid w:val="00C16BF9"/>
    <w:rsid w:val="00C17921"/>
    <w:rsid w:val="00C17E98"/>
    <w:rsid w:val="00C20010"/>
    <w:rsid w:val="00C209AA"/>
    <w:rsid w:val="00C20B5B"/>
    <w:rsid w:val="00C214E4"/>
    <w:rsid w:val="00C21842"/>
    <w:rsid w:val="00C21B43"/>
    <w:rsid w:val="00C21ECA"/>
    <w:rsid w:val="00C22B74"/>
    <w:rsid w:val="00C2306B"/>
    <w:rsid w:val="00C2348B"/>
    <w:rsid w:val="00C23F4E"/>
    <w:rsid w:val="00C241A0"/>
    <w:rsid w:val="00C246BD"/>
    <w:rsid w:val="00C24DC5"/>
    <w:rsid w:val="00C252D2"/>
    <w:rsid w:val="00C255EA"/>
    <w:rsid w:val="00C25C36"/>
    <w:rsid w:val="00C25E53"/>
    <w:rsid w:val="00C26336"/>
    <w:rsid w:val="00C26426"/>
    <w:rsid w:val="00C269EB"/>
    <w:rsid w:val="00C2730A"/>
    <w:rsid w:val="00C30079"/>
    <w:rsid w:val="00C30280"/>
    <w:rsid w:val="00C303EE"/>
    <w:rsid w:val="00C30EEF"/>
    <w:rsid w:val="00C3101C"/>
    <w:rsid w:val="00C31356"/>
    <w:rsid w:val="00C315C4"/>
    <w:rsid w:val="00C315E7"/>
    <w:rsid w:val="00C3207F"/>
    <w:rsid w:val="00C329C8"/>
    <w:rsid w:val="00C32DA7"/>
    <w:rsid w:val="00C330D8"/>
    <w:rsid w:val="00C331CD"/>
    <w:rsid w:val="00C3328C"/>
    <w:rsid w:val="00C33D80"/>
    <w:rsid w:val="00C33FF6"/>
    <w:rsid w:val="00C34306"/>
    <w:rsid w:val="00C352F0"/>
    <w:rsid w:val="00C35551"/>
    <w:rsid w:val="00C3571A"/>
    <w:rsid w:val="00C35F3F"/>
    <w:rsid w:val="00C37B52"/>
    <w:rsid w:val="00C37E21"/>
    <w:rsid w:val="00C40C35"/>
    <w:rsid w:val="00C4124F"/>
    <w:rsid w:val="00C41457"/>
    <w:rsid w:val="00C42C0A"/>
    <w:rsid w:val="00C4410E"/>
    <w:rsid w:val="00C44ADF"/>
    <w:rsid w:val="00C46B6C"/>
    <w:rsid w:val="00C50152"/>
    <w:rsid w:val="00C50743"/>
    <w:rsid w:val="00C512CA"/>
    <w:rsid w:val="00C5172F"/>
    <w:rsid w:val="00C519F8"/>
    <w:rsid w:val="00C51E52"/>
    <w:rsid w:val="00C52216"/>
    <w:rsid w:val="00C52CF3"/>
    <w:rsid w:val="00C531FF"/>
    <w:rsid w:val="00C537A4"/>
    <w:rsid w:val="00C55055"/>
    <w:rsid w:val="00C55F6F"/>
    <w:rsid w:val="00C56A15"/>
    <w:rsid w:val="00C56A5F"/>
    <w:rsid w:val="00C57693"/>
    <w:rsid w:val="00C578AC"/>
    <w:rsid w:val="00C57997"/>
    <w:rsid w:val="00C57CB5"/>
    <w:rsid w:val="00C6017C"/>
    <w:rsid w:val="00C60687"/>
    <w:rsid w:val="00C608F0"/>
    <w:rsid w:val="00C60F95"/>
    <w:rsid w:val="00C61647"/>
    <w:rsid w:val="00C61A7B"/>
    <w:rsid w:val="00C6307C"/>
    <w:rsid w:val="00C6400F"/>
    <w:rsid w:val="00C65405"/>
    <w:rsid w:val="00C65707"/>
    <w:rsid w:val="00C65A50"/>
    <w:rsid w:val="00C66ED2"/>
    <w:rsid w:val="00C67713"/>
    <w:rsid w:val="00C703B4"/>
    <w:rsid w:val="00C70664"/>
    <w:rsid w:val="00C706F6"/>
    <w:rsid w:val="00C70A4B"/>
    <w:rsid w:val="00C72076"/>
    <w:rsid w:val="00C72DAF"/>
    <w:rsid w:val="00C734A6"/>
    <w:rsid w:val="00C73D29"/>
    <w:rsid w:val="00C73D75"/>
    <w:rsid w:val="00C7435A"/>
    <w:rsid w:val="00C74A7E"/>
    <w:rsid w:val="00C75A0D"/>
    <w:rsid w:val="00C75A4B"/>
    <w:rsid w:val="00C75A97"/>
    <w:rsid w:val="00C75E13"/>
    <w:rsid w:val="00C75ECB"/>
    <w:rsid w:val="00C760A0"/>
    <w:rsid w:val="00C770F9"/>
    <w:rsid w:val="00C773E9"/>
    <w:rsid w:val="00C774CF"/>
    <w:rsid w:val="00C801B6"/>
    <w:rsid w:val="00C80767"/>
    <w:rsid w:val="00C80944"/>
    <w:rsid w:val="00C811EF"/>
    <w:rsid w:val="00C81DFC"/>
    <w:rsid w:val="00C832B2"/>
    <w:rsid w:val="00C83630"/>
    <w:rsid w:val="00C8476A"/>
    <w:rsid w:val="00C84F31"/>
    <w:rsid w:val="00C859B3"/>
    <w:rsid w:val="00C85EF8"/>
    <w:rsid w:val="00C8728F"/>
    <w:rsid w:val="00C91154"/>
    <w:rsid w:val="00C911EC"/>
    <w:rsid w:val="00C913C4"/>
    <w:rsid w:val="00C924D3"/>
    <w:rsid w:val="00C92518"/>
    <w:rsid w:val="00C927D3"/>
    <w:rsid w:val="00C92952"/>
    <w:rsid w:val="00C92A85"/>
    <w:rsid w:val="00C935C4"/>
    <w:rsid w:val="00C93E76"/>
    <w:rsid w:val="00C94299"/>
    <w:rsid w:val="00C94D28"/>
    <w:rsid w:val="00C95367"/>
    <w:rsid w:val="00C95E71"/>
    <w:rsid w:val="00C96317"/>
    <w:rsid w:val="00C9637C"/>
    <w:rsid w:val="00C9639B"/>
    <w:rsid w:val="00C964D9"/>
    <w:rsid w:val="00C96C0E"/>
    <w:rsid w:val="00C96EF6"/>
    <w:rsid w:val="00C972D0"/>
    <w:rsid w:val="00C97453"/>
    <w:rsid w:val="00C975CC"/>
    <w:rsid w:val="00C97DEE"/>
    <w:rsid w:val="00CA065B"/>
    <w:rsid w:val="00CA07F3"/>
    <w:rsid w:val="00CA0E15"/>
    <w:rsid w:val="00CA1D35"/>
    <w:rsid w:val="00CA1FE5"/>
    <w:rsid w:val="00CA2649"/>
    <w:rsid w:val="00CA272B"/>
    <w:rsid w:val="00CA321C"/>
    <w:rsid w:val="00CA38F3"/>
    <w:rsid w:val="00CA400D"/>
    <w:rsid w:val="00CA4692"/>
    <w:rsid w:val="00CA52D1"/>
    <w:rsid w:val="00CA55A6"/>
    <w:rsid w:val="00CA55F7"/>
    <w:rsid w:val="00CA69D1"/>
    <w:rsid w:val="00CA6AB2"/>
    <w:rsid w:val="00CB008A"/>
    <w:rsid w:val="00CB0185"/>
    <w:rsid w:val="00CB04C6"/>
    <w:rsid w:val="00CB0AC5"/>
    <w:rsid w:val="00CB1A8E"/>
    <w:rsid w:val="00CB1BFB"/>
    <w:rsid w:val="00CB1D7C"/>
    <w:rsid w:val="00CB2B13"/>
    <w:rsid w:val="00CB2C2E"/>
    <w:rsid w:val="00CB3092"/>
    <w:rsid w:val="00CB35DB"/>
    <w:rsid w:val="00CB37CB"/>
    <w:rsid w:val="00CB3939"/>
    <w:rsid w:val="00CB3BDE"/>
    <w:rsid w:val="00CB3D88"/>
    <w:rsid w:val="00CB41A3"/>
    <w:rsid w:val="00CB4958"/>
    <w:rsid w:val="00CB5516"/>
    <w:rsid w:val="00CB59B1"/>
    <w:rsid w:val="00CB5CF2"/>
    <w:rsid w:val="00CB61BC"/>
    <w:rsid w:val="00CB6F4F"/>
    <w:rsid w:val="00CB72A3"/>
    <w:rsid w:val="00CB7512"/>
    <w:rsid w:val="00CB7BFA"/>
    <w:rsid w:val="00CB7CBD"/>
    <w:rsid w:val="00CB7ECC"/>
    <w:rsid w:val="00CC0298"/>
    <w:rsid w:val="00CC0425"/>
    <w:rsid w:val="00CC0CD5"/>
    <w:rsid w:val="00CC0EE7"/>
    <w:rsid w:val="00CC1A64"/>
    <w:rsid w:val="00CC237C"/>
    <w:rsid w:val="00CC23CD"/>
    <w:rsid w:val="00CC27C3"/>
    <w:rsid w:val="00CC2B30"/>
    <w:rsid w:val="00CC2CC5"/>
    <w:rsid w:val="00CC30B9"/>
    <w:rsid w:val="00CC3B90"/>
    <w:rsid w:val="00CC4B7B"/>
    <w:rsid w:val="00CC4B99"/>
    <w:rsid w:val="00CC555C"/>
    <w:rsid w:val="00CC58D6"/>
    <w:rsid w:val="00CC5BC5"/>
    <w:rsid w:val="00CC5EA5"/>
    <w:rsid w:val="00CC6156"/>
    <w:rsid w:val="00CC74F4"/>
    <w:rsid w:val="00CC7884"/>
    <w:rsid w:val="00CC7B11"/>
    <w:rsid w:val="00CD0280"/>
    <w:rsid w:val="00CD0286"/>
    <w:rsid w:val="00CD03B8"/>
    <w:rsid w:val="00CD149A"/>
    <w:rsid w:val="00CD25AB"/>
    <w:rsid w:val="00CD29FA"/>
    <w:rsid w:val="00CD362B"/>
    <w:rsid w:val="00CD3E77"/>
    <w:rsid w:val="00CD4B3B"/>
    <w:rsid w:val="00CD525B"/>
    <w:rsid w:val="00CD5391"/>
    <w:rsid w:val="00CD57B5"/>
    <w:rsid w:val="00CD61B5"/>
    <w:rsid w:val="00CD6905"/>
    <w:rsid w:val="00CD6ABC"/>
    <w:rsid w:val="00CD7B0C"/>
    <w:rsid w:val="00CD7E3C"/>
    <w:rsid w:val="00CE048E"/>
    <w:rsid w:val="00CE1162"/>
    <w:rsid w:val="00CE1FC9"/>
    <w:rsid w:val="00CE23C7"/>
    <w:rsid w:val="00CE2ADC"/>
    <w:rsid w:val="00CE495C"/>
    <w:rsid w:val="00CE4E9D"/>
    <w:rsid w:val="00CE5815"/>
    <w:rsid w:val="00CE5D4A"/>
    <w:rsid w:val="00CE662A"/>
    <w:rsid w:val="00CE66DF"/>
    <w:rsid w:val="00CE67AE"/>
    <w:rsid w:val="00CE67D9"/>
    <w:rsid w:val="00CE67F0"/>
    <w:rsid w:val="00CE75EB"/>
    <w:rsid w:val="00CE7BE9"/>
    <w:rsid w:val="00CF051D"/>
    <w:rsid w:val="00CF06BD"/>
    <w:rsid w:val="00CF0C53"/>
    <w:rsid w:val="00CF0DB9"/>
    <w:rsid w:val="00CF16D9"/>
    <w:rsid w:val="00CF189B"/>
    <w:rsid w:val="00CF25CB"/>
    <w:rsid w:val="00CF29B9"/>
    <w:rsid w:val="00CF362D"/>
    <w:rsid w:val="00CF429A"/>
    <w:rsid w:val="00CF4592"/>
    <w:rsid w:val="00CF4724"/>
    <w:rsid w:val="00CF477F"/>
    <w:rsid w:val="00CF544A"/>
    <w:rsid w:val="00CF5978"/>
    <w:rsid w:val="00CF5C84"/>
    <w:rsid w:val="00CF611D"/>
    <w:rsid w:val="00CF6148"/>
    <w:rsid w:val="00CF6478"/>
    <w:rsid w:val="00CF7443"/>
    <w:rsid w:val="00CF799C"/>
    <w:rsid w:val="00D0032E"/>
    <w:rsid w:val="00D00524"/>
    <w:rsid w:val="00D01062"/>
    <w:rsid w:val="00D01B1C"/>
    <w:rsid w:val="00D01FE3"/>
    <w:rsid w:val="00D02D51"/>
    <w:rsid w:val="00D03617"/>
    <w:rsid w:val="00D03821"/>
    <w:rsid w:val="00D03E01"/>
    <w:rsid w:val="00D04BB7"/>
    <w:rsid w:val="00D04F5F"/>
    <w:rsid w:val="00D05447"/>
    <w:rsid w:val="00D054F1"/>
    <w:rsid w:val="00D0709E"/>
    <w:rsid w:val="00D07115"/>
    <w:rsid w:val="00D0743E"/>
    <w:rsid w:val="00D077D3"/>
    <w:rsid w:val="00D07DF1"/>
    <w:rsid w:val="00D11133"/>
    <w:rsid w:val="00D11342"/>
    <w:rsid w:val="00D11A1B"/>
    <w:rsid w:val="00D1250B"/>
    <w:rsid w:val="00D1287F"/>
    <w:rsid w:val="00D1389C"/>
    <w:rsid w:val="00D139A5"/>
    <w:rsid w:val="00D14D0C"/>
    <w:rsid w:val="00D1571C"/>
    <w:rsid w:val="00D159DB"/>
    <w:rsid w:val="00D15C48"/>
    <w:rsid w:val="00D16903"/>
    <w:rsid w:val="00D16AF9"/>
    <w:rsid w:val="00D16B6C"/>
    <w:rsid w:val="00D17C2B"/>
    <w:rsid w:val="00D17E89"/>
    <w:rsid w:val="00D2008D"/>
    <w:rsid w:val="00D20236"/>
    <w:rsid w:val="00D21AAD"/>
    <w:rsid w:val="00D21C55"/>
    <w:rsid w:val="00D23A60"/>
    <w:rsid w:val="00D23B71"/>
    <w:rsid w:val="00D24339"/>
    <w:rsid w:val="00D24B88"/>
    <w:rsid w:val="00D2504A"/>
    <w:rsid w:val="00D25A5B"/>
    <w:rsid w:val="00D25ABC"/>
    <w:rsid w:val="00D2655D"/>
    <w:rsid w:val="00D2661A"/>
    <w:rsid w:val="00D2681E"/>
    <w:rsid w:val="00D26BDF"/>
    <w:rsid w:val="00D26D8D"/>
    <w:rsid w:val="00D27179"/>
    <w:rsid w:val="00D30AB1"/>
    <w:rsid w:val="00D31025"/>
    <w:rsid w:val="00D311D7"/>
    <w:rsid w:val="00D311F4"/>
    <w:rsid w:val="00D31AE3"/>
    <w:rsid w:val="00D32B25"/>
    <w:rsid w:val="00D330FF"/>
    <w:rsid w:val="00D334B1"/>
    <w:rsid w:val="00D33E7D"/>
    <w:rsid w:val="00D34194"/>
    <w:rsid w:val="00D34DE7"/>
    <w:rsid w:val="00D34F2F"/>
    <w:rsid w:val="00D3500B"/>
    <w:rsid w:val="00D35438"/>
    <w:rsid w:val="00D35B3C"/>
    <w:rsid w:val="00D35F62"/>
    <w:rsid w:val="00D36CAA"/>
    <w:rsid w:val="00D36D9E"/>
    <w:rsid w:val="00D36E07"/>
    <w:rsid w:val="00D37AD2"/>
    <w:rsid w:val="00D41D0A"/>
    <w:rsid w:val="00D42555"/>
    <w:rsid w:val="00D429E2"/>
    <w:rsid w:val="00D42A05"/>
    <w:rsid w:val="00D42A96"/>
    <w:rsid w:val="00D44004"/>
    <w:rsid w:val="00D444C6"/>
    <w:rsid w:val="00D4455D"/>
    <w:rsid w:val="00D451A7"/>
    <w:rsid w:val="00D457C4"/>
    <w:rsid w:val="00D4603C"/>
    <w:rsid w:val="00D46627"/>
    <w:rsid w:val="00D470BB"/>
    <w:rsid w:val="00D473B6"/>
    <w:rsid w:val="00D47940"/>
    <w:rsid w:val="00D509C8"/>
    <w:rsid w:val="00D50B8F"/>
    <w:rsid w:val="00D50E42"/>
    <w:rsid w:val="00D50F17"/>
    <w:rsid w:val="00D5195A"/>
    <w:rsid w:val="00D51E95"/>
    <w:rsid w:val="00D52399"/>
    <w:rsid w:val="00D52556"/>
    <w:rsid w:val="00D52C16"/>
    <w:rsid w:val="00D52FD2"/>
    <w:rsid w:val="00D53976"/>
    <w:rsid w:val="00D5397A"/>
    <w:rsid w:val="00D53EA2"/>
    <w:rsid w:val="00D54842"/>
    <w:rsid w:val="00D54BBB"/>
    <w:rsid w:val="00D55516"/>
    <w:rsid w:val="00D555B3"/>
    <w:rsid w:val="00D556BC"/>
    <w:rsid w:val="00D55BAE"/>
    <w:rsid w:val="00D5617B"/>
    <w:rsid w:val="00D56FD2"/>
    <w:rsid w:val="00D572DE"/>
    <w:rsid w:val="00D600FC"/>
    <w:rsid w:val="00D608AB"/>
    <w:rsid w:val="00D6192A"/>
    <w:rsid w:val="00D61E04"/>
    <w:rsid w:val="00D627CA"/>
    <w:rsid w:val="00D63076"/>
    <w:rsid w:val="00D637E9"/>
    <w:rsid w:val="00D63D10"/>
    <w:rsid w:val="00D63EDE"/>
    <w:rsid w:val="00D643DD"/>
    <w:rsid w:val="00D65352"/>
    <w:rsid w:val="00D6578A"/>
    <w:rsid w:val="00D665FF"/>
    <w:rsid w:val="00D67A2C"/>
    <w:rsid w:val="00D67D45"/>
    <w:rsid w:val="00D704F1"/>
    <w:rsid w:val="00D70851"/>
    <w:rsid w:val="00D712FE"/>
    <w:rsid w:val="00D71528"/>
    <w:rsid w:val="00D71F3E"/>
    <w:rsid w:val="00D72667"/>
    <w:rsid w:val="00D727A2"/>
    <w:rsid w:val="00D7309E"/>
    <w:rsid w:val="00D732D1"/>
    <w:rsid w:val="00D732FE"/>
    <w:rsid w:val="00D734E5"/>
    <w:rsid w:val="00D73520"/>
    <w:rsid w:val="00D73E06"/>
    <w:rsid w:val="00D7636F"/>
    <w:rsid w:val="00D766D8"/>
    <w:rsid w:val="00D76EF2"/>
    <w:rsid w:val="00D775CB"/>
    <w:rsid w:val="00D778BB"/>
    <w:rsid w:val="00D779E6"/>
    <w:rsid w:val="00D77FDB"/>
    <w:rsid w:val="00D8041B"/>
    <w:rsid w:val="00D80A2E"/>
    <w:rsid w:val="00D816B1"/>
    <w:rsid w:val="00D8229D"/>
    <w:rsid w:val="00D834C9"/>
    <w:rsid w:val="00D83E91"/>
    <w:rsid w:val="00D84205"/>
    <w:rsid w:val="00D84399"/>
    <w:rsid w:val="00D84E07"/>
    <w:rsid w:val="00D8563E"/>
    <w:rsid w:val="00D85865"/>
    <w:rsid w:val="00D86227"/>
    <w:rsid w:val="00D86856"/>
    <w:rsid w:val="00D87398"/>
    <w:rsid w:val="00D877C2"/>
    <w:rsid w:val="00D87BA7"/>
    <w:rsid w:val="00D87E24"/>
    <w:rsid w:val="00D901AF"/>
    <w:rsid w:val="00D9119D"/>
    <w:rsid w:val="00D91259"/>
    <w:rsid w:val="00D915C0"/>
    <w:rsid w:val="00D91CE1"/>
    <w:rsid w:val="00D91E80"/>
    <w:rsid w:val="00D92229"/>
    <w:rsid w:val="00D93A08"/>
    <w:rsid w:val="00D94551"/>
    <w:rsid w:val="00D945D7"/>
    <w:rsid w:val="00D95772"/>
    <w:rsid w:val="00D9578F"/>
    <w:rsid w:val="00D958D6"/>
    <w:rsid w:val="00D95D36"/>
    <w:rsid w:val="00D963CA"/>
    <w:rsid w:val="00D97AD9"/>
    <w:rsid w:val="00D97C6A"/>
    <w:rsid w:val="00DA00D9"/>
    <w:rsid w:val="00DA08AC"/>
    <w:rsid w:val="00DA0960"/>
    <w:rsid w:val="00DA1CBC"/>
    <w:rsid w:val="00DA2FD7"/>
    <w:rsid w:val="00DA3081"/>
    <w:rsid w:val="00DA32F0"/>
    <w:rsid w:val="00DA335A"/>
    <w:rsid w:val="00DA3A4F"/>
    <w:rsid w:val="00DA41A0"/>
    <w:rsid w:val="00DA454C"/>
    <w:rsid w:val="00DA45B3"/>
    <w:rsid w:val="00DA4948"/>
    <w:rsid w:val="00DA4BF3"/>
    <w:rsid w:val="00DA507B"/>
    <w:rsid w:val="00DA5A00"/>
    <w:rsid w:val="00DA63B8"/>
    <w:rsid w:val="00DA6672"/>
    <w:rsid w:val="00DA6A7E"/>
    <w:rsid w:val="00DA6B1F"/>
    <w:rsid w:val="00DA71E3"/>
    <w:rsid w:val="00DA7401"/>
    <w:rsid w:val="00DA7463"/>
    <w:rsid w:val="00DB045D"/>
    <w:rsid w:val="00DB04C8"/>
    <w:rsid w:val="00DB0BDE"/>
    <w:rsid w:val="00DB109F"/>
    <w:rsid w:val="00DB1AF6"/>
    <w:rsid w:val="00DB1C9B"/>
    <w:rsid w:val="00DB1F60"/>
    <w:rsid w:val="00DB20A8"/>
    <w:rsid w:val="00DB217A"/>
    <w:rsid w:val="00DB2538"/>
    <w:rsid w:val="00DB28D9"/>
    <w:rsid w:val="00DB2C08"/>
    <w:rsid w:val="00DB2F4D"/>
    <w:rsid w:val="00DB321A"/>
    <w:rsid w:val="00DB4117"/>
    <w:rsid w:val="00DB4F84"/>
    <w:rsid w:val="00DB5374"/>
    <w:rsid w:val="00DB6F38"/>
    <w:rsid w:val="00DB774E"/>
    <w:rsid w:val="00DC006E"/>
    <w:rsid w:val="00DC0E0F"/>
    <w:rsid w:val="00DC1248"/>
    <w:rsid w:val="00DC2B56"/>
    <w:rsid w:val="00DC2D82"/>
    <w:rsid w:val="00DC4116"/>
    <w:rsid w:val="00DC41EC"/>
    <w:rsid w:val="00DC458B"/>
    <w:rsid w:val="00DC4F24"/>
    <w:rsid w:val="00DC5E33"/>
    <w:rsid w:val="00DC5F65"/>
    <w:rsid w:val="00DC644A"/>
    <w:rsid w:val="00DC6DB7"/>
    <w:rsid w:val="00DC7590"/>
    <w:rsid w:val="00DC7ADD"/>
    <w:rsid w:val="00DC7D66"/>
    <w:rsid w:val="00DD0095"/>
    <w:rsid w:val="00DD058A"/>
    <w:rsid w:val="00DD19A0"/>
    <w:rsid w:val="00DD2B4C"/>
    <w:rsid w:val="00DD3107"/>
    <w:rsid w:val="00DD3AA4"/>
    <w:rsid w:val="00DD3B39"/>
    <w:rsid w:val="00DD45DD"/>
    <w:rsid w:val="00DD49F3"/>
    <w:rsid w:val="00DD5892"/>
    <w:rsid w:val="00DD6607"/>
    <w:rsid w:val="00DD6A80"/>
    <w:rsid w:val="00DD7124"/>
    <w:rsid w:val="00DE0E7D"/>
    <w:rsid w:val="00DE10EF"/>
    <w:rsid w:val="00DE1126"/>
    <w:rsid w:val="00DE1E54"/>
    <w:rsid w:val="00DE291F"/>
    <w:rsid w:val="00DE34FE"/>
    <w:rsid w:val="00DE4298"/>
    <w:rsid w:val="00DE466D"/>
    <w:rsid w:val="00DE49E6"/>
    <w:rsid w:val="00DE4E85"/>
    <w:rsid w:val="00DE5212"/>
    <w:rsid w:val="00DE5DF7"/>
    <w:rsid w:val="00DE5E23"/>
    <w:rsid w:val="00DE7076"/>
    <w:rsid w:val="00DE711A"/>
    <w:rsid w:val="00DE7E00"/>
    <w:rsid w:val="00DF049A"/>
    <w:rsid w:val="00DF0673"/>
    <w:rsid w:val="00DF12F9"/>
    <w:rsid w:val="00DF16D7"/>
    <w:rsid w:val="00DF2CB2"/>
    <w:rsid w:val="00DF420B"/>
    <w:rsid w:val="00DF483B"/>
    <w:rsid w:val="00DF57BB"/>
    <w:rsid w:val="00DF5FAC"/>
    <w:rsid w:val="00DF66AC"/>
    <w:rsid w:val="00DF75EA"/>
    <w:rsid w:val="00DF76FF"/>
    <w:rsid w:val="00DF7796"/>
    <w:rsid w:val="00E0070B"/>
    <w:rsid w:val="00E00C33"/>
    <w:rsid w:val="00E012FD"/>
    <w:rsid w:val="00E014D0"/>
    <w:rsid w:val="00E01997"/>
    <w:rsid w:val="00E0221E"/>
    <w:rsid w:val="00E02C79"/>
    <w:rsid w:val="00E02EE2"/>
    <w:rsid w:val="00E03227"/>
    <w:rsid w:val="00E0365C"/>
    <w:rsid w:val="00E047DF"/>
    <w:rsid w:val="00E05722"/>
    <w:rsid w:val="00E05BC3"/>
    <w:rsid w:val="00E06537"/>
    <w:rsid w:val="00E06B26"/>
    <w:rsid w:val="00E06CED"/>
    <w:rsid w:val="00E07793"/>
    <w:rsid w:val="00E078FD"/>
    <w:rsid w:val="00E07E7D"/>
    <w:rsid w:val="00E1006F"/>
    <w:rsid w:val="00E1018E"/>
    <w:rsid w:val="00E10AF1"/>
    <w:rsid w:val="00E11343"/>
    <w:rsid w:val="00E1140B"/>
    <w:rsid w:val="00E120F1"/>
    <w:rsid w:val="00E12B20"/>
    <w:rsid w:val="00E12D50"/>
    <w:rsid w:val="00E13466"/>
    <w:rsid w:val="00E13CC6"/>
    <w:rsid w:val="00E140DE"/>
    <w:rsid w:val="00E1579F"/>
    <w:rsid w:val="00E15E28"/>
    <w:rsid w:val="00E161F6"/>
    <w:rsid w:val="00E16FA4"/>
    <w:rsid w:val="00E170F6"/>
    <w:rsid w:val="00E2017C"/>
    <w:rsid w:val="00E2091D"/>
    <w:rsid w:val="00E20F04"/>
    <w:rsid w:val="00E230A6"/>
    <w:rsid w:val="00E2381D"/>
    <w:rsid w:val="00E242A4"/>
    <w:rsid w:val="00E24D82"/>
    <w:rsid w:val="00E24F64"/>
    <w:rsid w:val="00E25152"/>
    <w:rsid w:val="00E2526A"/>
    <w:rsid w:val="00E261F6"/>
    <w:rsid w:val="00E26416"/>
    <w:rsid w:val="00E26728"/>
    <w:rsid w:val="00E26B7C"/>
    <w:rsid w:val="00E26D0A"/>
    <w:rsid w:val="00E2756C"/>
    <w:rsid w:val="00E275D1"/>
    <w:rsid w:val="00E27B3B"/>
    <w:rsid w:val="00E27F7A"/>
    <w:rsid w:val="00E319D0"/>
    <w:rsid w:val="00E31EDB"/>
    <w:rsid w:val="00E32622"/>
    <w:rsid w:val="00E326E3"/>
    <w:rsid w:val="00E33017"/>
    <w:rsid w:val="00E33534"/>
    <w:rsid w:val="00E33D18"/>
    <w:rsid w:val="00E34093"/>
    <w:rsid w:val="00E34784"/>
    <w:rsid w:val="00E35096"/>
    <w:rsid w:val="00E35817"/>
    <w:rsid w:val="00E3626A"/>
    <w:rsid w:val="00E36F06"/>
    <w:rsid w:val="00E37F5B"/>
    <w:rsid w:val="00E4068A"/>
    <w:rsid w:val="00E417E7"/>
    <w:rsid w:val="00E41ABF"/>
    <w:rsid w:val="00E42FD0"/>
    <w:rsid w:val="00E4319D"/>
    <w:rsid w:val="00E43560"/>
    <w:rsid w:val="00E43D5B"/>
    <w:rsid w:val="00E43E58"/>
    <w:rsid w:val="00E4426C"/>
    <w:rsid w:val="00E4448F"/>
    <w:rsid w:val="00E4466C"/>
    <w:rsid w:val="00E4487D"/>
    <w:rsid w:val="00E44A5E"/>
    <w:rsid w:val="00E44A80"/>
    <w:rsid w:val="00E44D5D"/>
    <w:rsid w:val="00E44F8F"/>
    <w:rsid w:val="00E455CE"/>
    <w:rsid w:val="00E45999"/>
    <w:rsid w:val="00E45CF0"/>
    <w:rsid w:val="00E460A5"/>
    <w:rsid w:val="00E4651F"/>
    <w:rsid w:val="00E468A8"/>
    <w:rsid w:val="00E469B5"/>
    <w:rsid w:val="00E46CE3"/>
    <w:rsid w:val="00E47136"/>
    <w:rsid w:val="00E476A6"/>
    <w:rsid w:val="00E478C0"/>
    <w:rsid w:val="00E50350"/>
    <w:rsid w:val="00E50459"/>
    <w:rsid w:val="00E50963"/>
    <w:rsid w:val="00E51571"/>
    <w:rsid w:val="00E51E8F"/>
    <w:rsid w:val="00E528A7"/>
    <w:rsid w:val="00E5336E"/>
    <w:rsid w:val="00E5340E"/>
    <w:rsid w:val="00E53425"/>
    <w:rsid w:val="00E5356A"/>
    <w:rsid w:val="00E53C6A"/>
    <w:rsid w:val="00E54AC3"/>
    <w:rsid w:val="00E54C0C"/>
    <w:rsid w:val="00E55135"/>
    <w:rsid w:val="00E5578D"/>
    <w:rsid w:val="00E56829"/>
    <w:rsid w:val="00E574DE"/>
    <w:rsid w:val="00E57AB0"/>
    <w:rsid w:val="00E57E6D"/>
    <w:rsid w:val="00E600DB"/>
    <w:rsid w:val="00E607CE"/>
    <w:rsid w:val="00E60BC9"/>
    <w:rsid w:val="00E6219C"/>
    <w:rsid w:val="00E6273E"/>
    <w:rsid w:val="00E62D8D"/>
    <w:rsid w:val="00E6334C"/>
    <w:rsid w:val="00E63D51"/>
    <w:rsid w:val="00E63F09"/>
    <w:rsid w:val="00E66770"/>
    <w:rsid w:val="00E669E6"/>
    <w:rsid w:val="00E66A8A"/>
    <w:rsid w:val="00E67296"/>
    <w:rsid w:val="00E67BA1"/>
    <w:rsid w:val="00E67DB2"/>
    <w:rsid w:val="00E70A8A"/>
    <w:rsid w:val="00E70DD8"/>
    <w:rsid w:val="00E710D2"/>
    <w:rsid w:val="00E7116D"/>
    <w:rsid w:val="00E71596"/>
    <w:rsid w:val="00E71A25"/>
    <w:rsid w:val="00E72E36"/>
    <w:rsid w:val="00E733FB"/>
    <w:rsid w:val="00E745B9"/>
    <w:rsid w:val="00E74CA4"/>
    <w:rsid w:val="00E74F9E"/>
    <w:rsid w:val="00E75102"/>
    <w:rsid w:val="00E75503"/>
    <w:rsid w:val="00E75804"/>
    <w:rsid w:val="00E7625A"/>
    <w:rsid w:val="00E76ADC"/>
    <w:rsid w:val="00E76E49"/>
    <w:rsid w:val="00E77155"/>
    <w:rsid w:val="00E77767"/>
    <w:rsid w:val="00E80182"/>
    <w:rsid w:val="00E81072"/>
    <w:rsid w:val="00E813CF"/>
    <w:rsid w:val="00E81729"/>
    <w:rsid w:val="00E81BB1"/>
    <w:rsid w:val="00E82B92"/>
    <w:rsid w:val="00E82C39"/>
    <w:rsid w:val="00E837C9"/>
    <w:rsid w:val="00E83FF5"/>
    <w:rsid w:val="00E84288"/>
    <w:rsid w:val="00E849CE"/>
    <w:rsid w:val="00E857D9"/>
    <w:rsid w:val="00E85D4A"/>
    <w:rsid w:val="00E85E10"/>
    <w:rsid w:val="00E86630"/>
    <w:rsid w:val="00E86B83"/>
    <w:rsid w:val="00E86D0A"/>
    <w:rsid w:val="00E87264"/>
    <w:rsid w:val="00E87617"/>
    <w:rsid w:val="00E87CEB"/>
    <w:rsid w:val="00E9032B"/>
    <w:rsid w:val="00E90849"/>
    <w:rsid w:val="00E91565"/>
    <w:rsid w:val="00E92578"/>
    <w:rsid w:val="00E93340"/>
    <w:rsid w:val="00E93383"/>
    <w:rsid w:val="00E936DF"/>
    <w:rsid w:val="00E945AB"/>
    <w:rsid w:val="00E94768"/>
    <w:rsid w:val="00E9501A"/>
    <w:rsid w:val="00E951CA"/>
    <w:rsid w:val="00E95B6A"/>
    <w:rsid w:val="00E96BB4"/>
    <w:rsid w:val="00E9706E"/>
    <w:rsid w:val="00E97468"/>
    <w:rsid w:val="00E979E6"/>
    <w:rsid w:val="00EA0039"/>
    <w:rsid w:val="00EA0493"/>
    <w:rsid w:val="00EA06B5"/>
    <w:rsid w:val="00EA06E1"/>
    <w:rsid w:val="00EA083E"/>
    <w:rsid w:val="00EA0AF9"/>
    <w:rsid w:val="00EA0C19"/>
    <w:rsid w:val="00EA1033"/>
    <w:rsid w:val="00EA17C0"/>
    <w:rsid w:val="00EA206D"/>
    <w:rsid w:val="00EA2281"/>
    <w:rsid w:val="00EA2B7B"/>
    <w:rsid w:val="00EA35F0"/>
    <w:rsid w:val="00EA371F"/>
    <w:rsid w:val="00EA38F4"/>
    <w:rsid w:val="00EA39A8"/>
    <w:rsid w:val="00EA3B3E"/>
    <w:rsid w:val="00EA4450"/>
    <w:rsid w:val="00EA524B"/>
    <w:rsid w:val="00EA55DF"/>
    <w:rsid w:val="00EA5ABF"/>
    <w:rsid w:val="00EA5C8C"/>
    <w:rsid w:val="00EA5FDA"/>
    <w:rsid w:val="00EA6305"/>
    <w:rsid w:val="00EA6A00"/>
    <w:rsid w:val="00EA6B35"/>
    <w:rsid w:val="00EA6F82"/>
    <w:rsid w:val="00EB029C"/>
    <w:rsid w:val="00EB106A"/>
    <w:rsid w:val="00EB1175"/>
    <w:rsid w:val="00EB24B0"/>
    <w:rsid w:val="00EB24B9"/>
    <w:rsid w:val="00EB2567"/>
    <w:rsid w:val="00EB42CC"/>
    <w:rsid w:val="00EB4395"/>
    <w:rsid w:val="00EB4749"/>
    <w:rsid w:val="00EB4C24"/>
    <w:rsid w:val="00EB55BC"/>
    <w:rsid w:val="00EB70BE"/>
    <w:rsid w:val="00EB7B1B"/>
    <w:rsid w:val="00EB7FFB"/>
    <w:rsid w:val="00EC03F4"/>
    <w:rsid w:val="00EC0712"/>
    <w:rsid w:val="00EC099D"/>
    <w:rsid w:val="00EC2877"/>
    <w:rsid w:val="00EC3560"/>
    <w:rsid w:val="00EC3B23"/>
    <w:rsid w:val="00EC3D1A"/>
    <w:rsid w:val="00EC3F08"/>
    <w:rsid w:val="00EC4ED8"/>
    <w:rsid w:val="00EC569A"/>
    <w:rsid w:val="00EC5FD7"/>
    <w:rsid w:val="00EC73B6"/>
    <w:rsid w:val="00ED011E"/>
    <w:rsid w:val="00ED05AD"/>
    <w:rsid w:val="00ED0676"/>
    <w:rsid w:val="00ED1520"/>
    <w:rsid w:val="00ED2694"/>
    <w:rsid w:val="00ED3541"/>
    <w:rsid w:val="00ED4FE3"/>
    <w:rsid w:val="00ED50DD"/>
    <w:rsid w:val="00ED51D9"/>
    <w:rsid w:val="00ED5235"/>
    <w:rsid w:val="00ED56AB"/>
    <w:rsid w:val="00ED5DAF"/>
    <w:rsid w:val="00ED5DC3"/>
    <w:rsid w:val="00ED5E2C"/>
    <w:rsid w:val="00ED6649"/>
    <w:rsid w:val="00ED6780"/>
    <w:rsid w:val="00ED6989"/>
    <w:rsid w:val="00ED6AD2"/>
    <w:rsid w:val="00ED6E80"/>
    <w:rsid w:val="00ED71D8"/>
    <w:rsid w:val="00ED757E"/>
    <w:rsid w:val="00ED762C"/>
    <w:rsid w:val="00ED76C3"/>
    <w:rsid w:val="00EE0807"/>
    <w:rsid w:val="00EE092E"/>
    <w:rsid w:val="00EE1728"/>
    <w:rsid w:val="00EE261E"/>
    <w:rsid w:val="00EE2A0A"/>
    <w:rsid w:val="00EE2A28"/>
    <w:rsid w:val="00EE3333"/>
    <w:rsid w:val="00EE35BB"/>
    <w:rsid w:val="00EE40A6"/>
    <w:rsid w:val="00EE4C39"/>
    <w:rsid w:val="00EE51EA"/>
    <w:rsid w:val="00EE56DF"/>
    <w:rsid w:val="00EE5E7D"/>
    <w:rsid w:val="00EE6266"/>
    <w:rsid w:val="00EE6A98"/>
    <w:rsid w:val="00EE71AF"/>
    <w:rsid w:val="00EE79CE"/>
    <w:rsid w:val="00EF0679"/>
    <w:rsid w:val="00EF09A3"/>
    <w:rsid w:val="00EF0DC0"/>
    <w:rsid w:val="00EF0FF5"/>
    <w:rsid w:val="00EF1F8C"/>
    <w:rsid w:val="00EF2192"/>
    <w:rsid w:val="00EF3B4C"/>
    <w:rsid w:val="00EF5A70"/>
    <w:rsid w:val="00EF5C46"/>
    <w:rsid w:val="00EF5E18"/>
    <w:rsid w:val="00EF6515"/>
    <w:rsid w:val="00EF68DF"/>
    <w:rsid w:val="00EF69A9"/>
    <w:rsid w:val="00F001AB"/>
    <w:rsid w:val="00F0054A"/>
    <w:rsid w:val="00F006EC"/>
    <w:rsid w:val="00F00E6D"/>
    <w:rsid w:val="00F00F6B"/>
    <w:rsid w:val="00F013D9"/>
    <w:rsid w:val="00F01FC4"/>
    <w:rsid w:val="00F024C3"/>
    <w:rsid w:val="00F02928"/>
    <w:rsid w:val="00F02CA4"/>
    <w:rsid w:val="00F02FCA"/>
    <w:rsid w:val="00F03779"/>
    <w:rsid w:val="00F04101"/>
    <w:rsid w:val="00F04299"/>
    <w:rsid w:val="00F04530"/>
    <w:rsid w:val="00F0525C"/>
    <w:rsid w:val="00F0535E"/>
    <w:rsid w:val="00F05E53"/>
    <w:rsid w:val="00F060E2"/>
    <w:rsid w:val="00F061D5"/>
    <w:rsid w:val="00F062DF"/>
    <w:rsid w:val="00F06AC9"/>
    <w:rsid w:val="00F06B20"/>
    <w:rsid w:val="00F06D28"/>
    <w:rsid w:val="00F071A8"/>
    <w:rsid w:val="00F10F84"/>
    <w:rsid w:val="00F11106"/>
    <w:rsid w:val="00F11A0C"/>
    <w:rsid w:val="00F11ACB"/>
    <w:rsid w:val="00F11F5A"/>
    <w:rsid w:val="00F12690"/>
    <w:rsid w:val="00F1315E"/>
    <w:rsid w:val="00F134D9"/>
    <w:rsid w:val="00F139B3"/>
    <w:rsid w:val="00F13F1D"/>
    <w:rsid w:val="00F142D6"/>
    <w:rsid w:val="00F143E0"/>
    <w:rsid w:val="00F154DF"/>
    <w:rsid w:val="00F15531"/>
    <w:rsid w:val="00F15874"/>
    <w:rsid w:val="00F15904"/>
    <w:rsid w:val="00F15AD5"/>
    <w:rsid w:val="00F16140"/>
    <w:rsid w:val="00F168F4"/>
    <w:rsid w:val="00F17343"/>
    <w:rsid w:val="00F1783B"/>
    <w:rsid w:val="00F2113F"/>
    <w:rsid w:val="00F21377"/>
    <w:rsid w:val="00F21565"/>
    <w:rsid w:val="00F21D3C"/>
    <w:rsid w:val="00F223CD"/>
    <w:rsid w:val="00F22812"/>
    <w:rsid w:val="00F22C4A"/>
    <w:rsid w:val="00F23F70"/>
    <w:rsid w:val="00F24D59"/>
    <w:rsid w:val="00F253D0"/>
    <w:rsid w:val="00F25EC3"/>
    <w:rsid w:val="00F26767"/>
    <w:rsid w:val="00F26A4F"/>
    <w:rsid w:val="00F27185"/>
    <w:rsid w:val="00F2725D"/>
    <w:rsid w:val="00F278EE"/>
    <w:rsid w:val="00F3012A"/>
    <w:rsid w:val="00F30511"/>
    <w:rsid w:val="00F3067A"/>
    <w:rsid w:val="00F30920"/>
    <w:rsid w:val="00F30BA1"/>
    <w:rsid w:val="00F30F1E"/>
    <w:rsid w:val="00F31510"/>
    <w:rsid w:val="00F317AA"/>
    <w:rsid w:val="00F32489"/>
    <w:rsid w:val="00F325B8"/>
    <w:rsid w:val="00F32991"/>
    <w:rsid w:val="00F32CEC"/>
    <w:rsid w:val="00F35415"/>
    <w:rsid w:val="00F355A8"/>
    <w:rsid w:val="00F3574F"/>
    <w:rsid w:val="00F35853"/>
    <w:rsid w:val="00F358E8"/>
    <w:rsid w:val="00F35B16"/>
    <w:rsid w:val="00F35BDB"/>
    <w:rsid w:val="00F35D64"/>
    <w:rsid w:val="00F361B6"/>
    <w:rsid w:val="00F37D80"/>
    <w:rsid w:val="00F405F5"/>
    <w:rsid w:val="00F40FA7"/>
    <w:rsid w:val="00F4121C"/>
    <w:rsid w:val="00F41376"/>
    <w:rsid w:val="00F41912"/>
    <w:rsid w:val="00F41DEB"/>
    <w:rsid w:val="00F423E1"/>
    <w:rsid w:val="00F42CD0"/>
    <w:rsid w:val="00F43C82"/>
    <w:rsid w:val="00F43D06"/>
    <w:rsid w:val="00F43E32"/>
    <w:rsid w:val="00F4470E"/>
    <w:rsid w:val="00F449F9"/>
    <w:rsid w:val="00F45753"/>
    <w:rsid w:val="00F45801"/>
    <w:rsid w:val="00F462E9"/>
    <w:rsid w:val="00F46721"/>
    <w:rsid w:val="00F4792D"/>
    <w:rsid w:val="00F47978"/>
    <w:rsid w:val="00F47FFD"/>
    <w:rsid w:val="00F504AB"/>
    <w:rsid w:val="00F5051C"/>
    <w:rsid w:val="00F50965"/>
    <w:rsid w:val="00F509A2"/>
    <w:rsid w:val="00F51960"/>
    <w:rsid w:val="00F519AA"/>
    <w:rsid w:val="00F529D6"/>
    <w:rsid w:val="00F52C3E"/>
    <w:rsid w:val="00F52D4C"/>
    <w:rsid w:val="00F5323E"/>
    <w:rsid w:val="00F53A43"/>
    <w:rsid w:val="00F53B52"/>
    <w:rsid w:val="00F547B7"/>
    <w:rsid w:val="00F54931"/>
    <w:rsid w:val="00F54AF4"/>
    <w:rsid w:val="00F5538F"/>
    <w:rsid w:val="00F55C63"/>
    <w:rsid w:val="00F56077"/>
    <w:rsid w:val="00F5658A"/>
    <w:rsid w:val="00F576B2"/>
    <w:rsid w:val="00F57A12"/>
    <w:rsid w:val="00F60927"/>
    <w:rsid w:val="00F611F7"/>
    <w:rsid w:val="00F61359"/>
    <w:rsid w:val="00F6156C"/>
    <w:rsid w:val="00F61BFA"/>
    <w:rsid w:val="00F6229E"/>
    <w:rsid w:val="00F6384D"/>
    <w:rsid w:val="00F64340"/>
    <w:rsid w:val="00F644BD"/>
    <w:rsid w:val="00F645CF"/>
    <w:rsid w:val="00F64EDB"/>
    <w:rsid w:val="00F655C6"/>
    <w:rsid w:val="00F6588C"/>
    <w:rsid w:val="00F65FFB"/>
    <w:rsid w:val="00F66054"/>
    <w:rsid w:val="00F660C1"/>
    <w:rsid w:val="00F67594"/>
    <w:rsid w:val="00F678C0"/>
    <w:rsid w:val="00F67E5D"/>
    <w:rsid w:val="00F700DD"/>
    <w:rsid w:val="00F70C8A"/>
    <w:rsid w:val="00F70E5E"/>
    <w:rsid w:val="00F71DD3"/>
    <w:rsid w:val="00F71E35"/>
    <w:rsid w:val="00F729AC"/>
    <w:rsid w:val="00F73017"/>
    <w:rsid w:val="00F73A1D"/>
    <w:rsid w:val="00F73AE7"/>
    <w:rsid w:val="00F73D2B"/>
    <w:rsid w:val="00F73FD6"/>
    <w:rsid w:val="00F74647"/>
    <w:rsid w:val="00F74F44"/>
    <w:rsid w:val="00F75B07"/>
    <w:rsid w:val="00F75F9C"/>
    <w:rsid w:val="00F762B8"/>
    <w:rsid w:val="00F773B3"/>
    <w:rsid w:val="00F776C2"/>
    <w:rsid w:val="00F77718"/>
    <w:rsid w:val="00F7792A"/>
    <w:rsid w:val="00F77F02"/>
    <w:rsid w:val="00F80DB0"/>
    <w:rsid w:val="00F80EDF"/>
    <w:rsid w:val="00F815EC"/>
    <w:rsid w:val="00F8193B"/>
    <w:rsid w:val="00F81BF8"/>
    <w:rsid w:val="00F81C12"/>
    <w:rsid w:val="00F81EA9"/>
    <w:rsid w:val="00F8223F"/>
    <w:rsid w:val="00F8231F"/>
    <w:rsid w:val="00F82EF2"/>
    <w:rsid w:val="00F83E04"/>
    <w:rsid w:val="00F84389"/>
    <w:rsid w:val="00F84BB8"/>
    <w:rsid w:val="00F84D63"/>
    <w:rsid w:val="00F857C8"/>
    <w:rsid w:val="00F85F5E"/>
    <w:rsid w:val="00F87C33"/>
    <w:rsid w:val="00F9028B"/>
    <w:rsid w:val="00F9032A"/>
    <w:rsid w:val="00F9094D"/>
    <w:rsid w:val="00F90DAE"/>
    <w:rsid w:val="00F91455"/>
    <w:rsid w:val="00F93B38"/>
    <w:rsid w:val="00F93FAA"/>
    <w:rsid w:val="00F9427E"/>
    <w:rsid w:val="00F94603"/>
    <w:rsid w:val="00F94850"/>
    <w:rsid w:val="00F951F3"/>
    <w:rsid w:val="00F95AFD"/>
    <w:rsid w:val="00F96A47"/>
    <w:rsid w:val="00F9737C"/>
    <w:rsid w:val="00F976C9"/>
    <w:rsid w:val="00F977E8"/>
    <w:rsid w:val="00FA0CE1"/>
    <w:rsid w:val="00FA0F4A"/>
    <w:rsid w:val="00FA1848"/>
    <w:rsid w:val="00FA1881"/>
    <w:rsid w:val="00FA2228"/>
    <w:rsid w:val="00FA3CF5"/>
    <w:rsid w:val="00FA3EE1"/>
    <w:rsid w:val="00FA4C89"/>
    <w:rsid w:val="00FA51E8"/>
    <w:rsid w:val="00FA60F9"/>
    <w:rsid w:val="00FA631C"/>
    <w:rsid w:val="00FB08C6"/>
    <w:rsid w:val="00FB1576"/>
    <w:rsid w:val="00FB175F"/>
    <w:rsid w:val="00FB1A97"/>
    <w:rsid w:val="00FB2473"/>
    <w:rsid w:val="00FB279D"/>
    <w:rsid w:val="00FB3AF2"/>
    <w:rsid w:val="00FB3FC4"/>
    <w:rsid w:val="00FB4F13"/>
    <w:rsid w:val="00FB5520"/>
    <w:rsid w:val="00FB5B10"/>
    <w:rsid w:val="00FB695B"/>
    <w:rsid w:val="00FB6FFE"/>
    <w:rsid w:val="00FB7834"/>
    <w:rsid w:val="00FB7A03"/>
    <w:rsid w:val="00FC0385"/>
    <w:rsid w:val="00FC0820"/>
    <w:rsid w:val="00FC141D"/>
    <w:rsid w:val="00FC1AA9"/>
    <w:rsid w:val="00FC1D0D"/>
    <w:rsid w:val="00FC3FEF"/>
    <w:rsid w:val="00FC4BF7"/>
    <w:rsid w:val="00FC511E"/>
    <w:rsid w:val="00FC537A"/>
    <w:rsid w:val="00FC5570"/>
    <w:rsid w:val="00FC5EDE"/>
    <w:rsid w:val="00FC67AB"/>
    <w:rsid w:val="00FC6D4C"/>
    <w:rsid w:val="00FC6FCE"/>
    <w:rsid w:val="00FC76F5"/>
    <w:rsid w:val="00FD07F8"/>
    <w:rsid w:val="00FD0BC4"/>
    <w:rsid w:val="00FD0E79"/>
    <w:rsid w:val="00FD0F2A"/>
    <w:rsid w:val="00FD11EE"/>
    <w:rsid w:val="00FD15B1"/>
    <w:rsid w:val="00FD1A17"/>
    <w:rsid w:val="00FD2015"/>
    <w:rsid w:val="00FD21EB"/>
    <w:rsid w:val="00FD2475"/>
    <w:rsid w:val="00FD24D5"/>
    <w:rsid w:val="00FD259D"/>
    <w:rsid w:val="00FD2B41"/>
    <w:rsid w:val="00FD2EE2"/>
    <w:rsid w:val="00FD3436"/>
    <w:rsid w:val="00FD3E84"/>
    <w:rsid w:val="00FD4913"/>
    <w:rsid w:val="00FD5132"/>
    <w:rsid w:val="00FD6841"/>
    <w:rsid w:val="00FD69EE"/>
    <w:rsid w:val="00FD6C79"/>
    <w:rsid w:val="00FD7800"/>
    <w:rsid w:val="00FD7914"/>
    <w:rsid w:val="00FD7C23"/>
    <w:rsid w:val="00FE0A8B"/>
    <w:rsid w:val="00FE0EA1"/>
    <w:rsid w:val="00FE0EDA"/>
    <w:rsid w:val="00FE0FC4"/>
    <w:rsid w:val="00FE27DC"/>
    <w:rsid w:val="00FE298B"/>
    <w:rsid w:val="00FE3444"/>
    <w:rsid w:val="00FE3A9E"/>
    <w:rsid w:val="00FE43B7"/>
    <w:rsid w:val="00FE561A"/>
    <w:rsid w:val="00FE6154"/>
    <w:rsid w:val="00FE6F55"/>
    <w:rsid w:val="00FE7238"/>
    <w:rsid w:val="00FE7A7C"/>
    <w:rsid w:val="00FE7FF5"/>
    <w:rsid w:val="00FF0579"/>
    <w:rsid w:val="00FF17A9"/>
    <w:rsid w:val="00FF20A8"/>
    <w:rsid w:val="00FF2720"/>
    <w:rsid w:val="00FF2733"/>
    <w:rsid w:val="00FF286E"/>
    <w:rsid w:val="00FF35BB"/>
    <w:rsid w:val="00FF386E"/>
    <w:rsid w:val="00FF4AEC"/>
    <w:rsid w:val="00FF5B03"/>
    <w:rsid w:val="00FF639A"/>
    <w:rsid w:val="00FF71E3"/>
    <w:rsid w:val="0121D11C"/>
    <w:rsid w:val="020EB40D"/>
    <w:rsid w:val="02473961"/>
    <w:rsid w:val="02CBDF30"/>
    <w:rsid w:val="0356ED30"/>
    <w:rsid w:val="035A1816"/>
    <w:rsid w:val="04DBB6B5"/>
    <w:rsid w:val="065E0732"/>
    <w:rsid w:val="071CB11D"/>
    <w:rsid w:val="07F433AF"/>
    <w:rsid w:val="088E8EA3"/>
    <w:rsid w:val="09D9F3DF"/>
    <w:rsid w:val="0A94B900"/>
    <w:rsid w:val="0CA3889E"/>
    <w:rsid w:val="0D04BF7C"/>
    <w:rsid w:val="0EB12B77"/>
    <w:rsid w:val="101E233F"/>
    <w:rsid w:val="10DF9304"/>
    <w:rsid w:val="1345C14A"/>
    <w:rsid w:val="1368DF0A"/>
    <w:rsid w:val="149A6068"/>
    <w:rsid w:val="1595BC63"/>
    <w:rsid w:val="169D3584"/>
    <w:rsid w:val="174D39D8"/>
    <w:rsid w:val="18DDE30C"/>
    <w:rsid w:val="19C4DECB"/>
    <w:rsid w:val="1A0BC3F5"/>
    <w:rsid w:val="1B11413C"/>
    <w:rsid w:val="1BD283E4"/>
    <w:rsid w:val="1BF729C6"/>
    <w:rsid w:val="1CF22E9D"/>
    <w:rsid w:val="20E7DD5E"/>
    <w:rsid w:val="2142082F"/>
    <w:rsid w:val="21DC2B6A"/>
    <w:rsid w:val="230CE9F8"/>
    <w:rsid w:val="23F5BF6A"/>
    <w:rsid w:val="2812DFE3"/>
    <w:rsid w:val="286329F9"/>
    <w:rsid w:val="29CD010A"/>
    <w:rsid w:val="2A8CF40C"/>
    <w:rsid w:val="2D052709"/>
    <w:rsid w:val="2FB0587E"/>
    <w:rsid w:val="311C4092"/>
    <w:rsid w:val="3642EB2C"/>
    <w:rsid w:val="3669E8C9"/>
    <w:rsid w:val="39BDE931"/>
    <w:rsid w:val="3B83732C"/>
    <w:rsid w:val="3BBDF69F"/>
    <w:rsid w:val="3C2EEC63"/>
    <w:rsid w:val="3DC8A044"/>
    <w:rsid w:val="3DE2C6EC"/>
    <w:rsid w:val="3F0F339D"/>
    <w:rsid w:val="3F780163"/>
    <w:rsid w:val="4007E45A"/>
    <w:rsid w:val="406D6C16"/>
    <w:rsid w:val="42EB07BA"/>
    <w:rsid w:val="43A1DB03"/>
    <w:rsid w:val="453B8402"/>
    <w:rsid w:val="457E7458"/>
    <w:rsid w:val="465E0B8D"/>
    <w:rsid w:val="477D34A5"/>
    <w:rsid w:val="47DF18EA"/>
    <w:rsid w:val="4A076C70"/>
    <w:rsid w:val="4C57B09C"/>
    <w:rsid w:val="4D9F1624"/>
    <w:rsid w:val="4FF6984A"/>
    <w:rsid w:val="50A271E1"/>
    <w:rsid w:val="51798CE0"/>
    <w:rsid w:val="526B26F3"/>
    <w:rsid w:val="534D0442"/>
    <w:rsid w:val="53E57B14"/>
    <w:rsid w:val="547431DC"/>
    <w:rsid w:val="54BB81AD"/>
    <w:rsid w:val="56A8CC0A"/>
    <w:rsid w:val="59B3D133"/>
    <w:rsid w:val="5A3C2E83"/>
    <w:rsid w:val="5AF7F77B"/>
    <w:rsid w:val="5CBA78B1"/>
    <w:rsid w:val="5E6E3157"/>
    <w:rsid w:val="5FD02E18"/>
    <w:rsid w:val="626D5425"/>
    <w:rsid w:val="62781311"/>
    <w:rsid w:val="63408ECD"/>
    <w:rsid w:val="64BD51C0"/>
    <w:rsid w:val="65B30403"/>
    <w:rsid w:val="667211CB"/>
    <w:rsid w:val="6702EBA1"/>
    <w:rsid w:val="69955165"/>
    <w:rsid w:val="69B7A8A9"/>
    <w:rsid w:val="6A17D215"/>
    <w:rsid w:val="6A81ECB5"/>
    <w:rsid w:val="6A89714E"/>
    <w:rsid w:val="6B4B4877"/>
    <w:rsid w:val="6CCDB570"/>
    <w:rsid w:val="6CDD3D1C"/>
    <w:rsid w:val="6E1F1444"/>
    <w:rsid w:val="6F199485"/>
    <w:rsid w:val="6F66C36A"/>
    <w:rsid w:val="6FDB14B8"/>
    <w:rsid w:val="70E3D552"/>
    <w:rsid w:val="70ECE33E"/>
    <w:rsid w:val="73391332"/>
    <w:rsid w:val="74802AE3"/>
    <w:rsid w:val="767F5B67"/>
    <w:rsid w:val="78D1D452"/>
    <w:rsid w:val="78F02D38"/>
    <w:rsid w:val="7A4FA1F3"/>
    <w:rsid w:val="7B4DF7F9"/>
    <w:rsid w:val="7B5A181E"/>
    <w:rsid w:val="7D21BEFC"/>
    <w:rsid w:val="7E56C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D8FEE4"/>
  <w15:docId w15:val="{97D0F621-FC2B-4B4E-92CD-CF6E53A7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pl-PL" w:eastAsia="en-I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qFormat="1"/>
    <w:lsdException w:name="annotation text" w:semiHidden="1" w:uiPriority="0"/>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0"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uiPriority="4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3CD"/>
    <w:pPr>
      <w:spacing w:after="240"/>
      <w:jc w:val="both"/>
    </w:pPr>
  </w:style>
  <w:style w:type="paragraph" w:styleId="Heading1">
    <w:name w:val="heading 1"/>
    <w:basedOn w:val="Normal"/>
    <w:next w:val="Text1"/>
    <w:link w:val="Heading1Char"/>
    <w:uiPriority w:val="10"/>
    <w:qFormat/>
    <w:pPr>
      <w:keepNext/>
      <w:numPr>
        <w:numId w:val="16"/>
      </w:numPr>
      <w:spacing w:before="240"/>
      <w:outlineLvl w:val="0"/>
    </w:pPr>
    <w:rPr>
      <w:b/>
      <w:smallCaps/>
    </w:rPr>
  </w:style>
  <w:style w:type="paragraph" w:styleId="Heading2">
    <w:name w:val="heading 2"/>
    <w:basedOn w:val="Normal"/>
    <w:next w:val="Text2"/>
    <w:link w:val="Heading2Char"/>
    <w:uiPriority w:val="10"/>
    <w:qFormat/>
    <w:pPr>
      <w:keepNext/>
      <w:numPr>
        <w:ilvl w:val="1"/>
        <w:numId w:val="16"/>
      </w:numPr>
      <w:outlineLvl w:val="1"/>
    </w:pPr>
    <w:rPr>
      <w:b/>
    </w:rPr>
  </w:style>
  <w:style w:type="paragraph" w:styleId="Heading3">
    <w:name w:val="heading 3"/>
    <w:basedOn w:val="Normal"/>
    <w:next w:val="Text3"/>
    <w:uiPriority w:val="10"/>
    <w:qFormat/>
    <w:pPr>
      <w:keepNext/>
      <w:numPr>
        <w:ilvl w:val="2"/>
        <w:numId w:val="16"/>
      </w:numPr>
      <w:outlineLvl w:val="2"/>
    </w:pPr>
    <w:rPr>
      <w:i/>
    </w:rPr>
  </w:style>
  <w:style w:type="paragraph" w:styleId="Heading4">
    <w:name w:val="heading 4"/>
    <w:basedOn w:val="Normal"/>
    <w:next w:val="Text4"/>
    <w:uiPriority w:val="1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aliases w:val="Nota,(NECG) Footnote Reference,Footnote,Footnote symbol,Ref,de nota al pie,fr,o,Footnote number,Style 6,Footnote Reference1,SUPERS,Style 4,FT Char1,fn Char1,Voetnootmarkering1,Footnote Reference Superscript,Times 10 Point,Style,Char"/>
    <w:qFormat/>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43"/>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line="264" w:lineRule="auto"/>
      <w:ind w:right="0"/>
      <w:jc w:val="both"/>
    </w:pPr>
  </w:style>
  <w:style w:type="paragraph" w:styleId="FootnoteText">
    <w:name w:val="footnote text"/>
    <w:aliases w:val="Char Char,Footnote Text2,Footnote Text11,ALTS FOOTNOTE11,Footnote Text Char111,Footnote Text Char Char Char11,Footnote Text Char1 Char Char Char Char11,Footnote Text Char1 Char Char Char11,ALTS FOOTNOTE2,Footnote Text1,fn,Footnote Text Cha"/>
    <w:basedOn w:val="Normal"/>
    <w:link w:val="FootnoteTextChar"/>
    <w:qFormat/>
    <w:pPr>
      <w:spacing w:after="120"/>
      <w:ind w:left="357" w:hanging="357"/>
    </w:pPr>
    <w:rPr>
      <w:sz w:val="20"/>
    </w:rPr>
  </w:style>
  <w:style w:type="paragraph" w:customStyle="1" w:styleId="HistoryTable">
    <w:name w:val="HistoryTable"/>
    <w:basedOn w:val="Normal"/>
    <w:semiHidden/>
    <w:pPr>
      <w:spacing w:before="60" w:after="60"/>
      <w:jc w:val="left"/>
    </w:pPr>
    <w:rPr>
      <w:sz w:val="20"/>
    </w:rPr>
  </w:style>
  <w:style w:type="paragraph" w:customStyle="1" w:styleId="HistTableHeading">
    <w:name w:val="HistTableHeading"/>
    <w:basedOn w:val="Normal"/>
    <w:next w:val="HistoryTable"/>
    <w:semiHidden/>
    <w:pPr>
      <w:spacing w:before="240"/>
      <w:jc w:val="center"/>
    </w:pPr>
    <w:rPr>
      <w:rFonts w:ascii="Times New Roman Bold" w:hAnsi="Times New Roman Bold"/>
      <w:b/>
      <w:caps/>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492613"/>
    <w:pPr>
      <w:ind w:left="5102" w:right="-680"/>
      <w:contextualSpacing/>
      <w:jc w:val="left"/>
    </w:pPr>
    <w:rPr>
      <w:sz w:val="28"/>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Title">
    <w:name w:val="PartTitle"/>
    <w:basedOn w:val="Normal"/>
    <w:next w:val="ChapterTitle"/>
    <w:uiPriority w:val="42"/>
    <w:qFormat/>
    <w:pPr>
      <w:keepNext/>
      <w:pageBreakBefore/>
      <w:spacing w:after="480"/>
      <w:jc w:val="center"/>
      <w:outlineLvl w:val="0"/>
    </w:pPr>
    <w:rPr>
      <w:b/>
      <w:sz w:val="36"/>
    </w:r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44"/>
    <w:qFormat/>
    <w:pPr>
      <w:keepNext/>
      <w:spacing w:after="480"/>
      <w:jc w:val="center"/>
      <w:outlineLvl w:val="0"/>
    </w:pPr>
    <w:rPr>
      <w:b/>
      <w:smallCaps/>
      <w:sz w:val="28"/>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Title1">
    <w:name w:val="SubTitle 1"/>
    <w:basedOn w:val="Normal"/>
    <w:next w:val="SubTitle2"/>
    <w:uiPriority w:val="41"/>
    <w:qFormat/>
    <w:pPr>
      <w:jc w:val="center"/>
    </w:pPr>
    <w:rPr>
      <w:b/>
      <w:sz w:val="40"/>
    </w:rPr>
  </w:style>
  <w:style w:type="paragraph" w:customStyle="1" w:styleId="SubTitle2">
    <w:name w:val="SubTitle 2"/>
    <w:basedOn w:val="Normal"/>
    <w:uiPriority w:val="41"/>
    <w:qFormat/>
    <w:pPr>
      <w:jc w:val="center"/>
    </w:pPr>
    <w:rPr>
      <w:b/>
      <w:sz w:val="32"/>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202"/>
    </w:pPr>
  </w:style>
  <w:style w:type="paragraph" w:customStyle="1" w:styleId="Text3">
    <w:name w:val="Text 3"/>
    <w:basedOn w:val="Normal"/>
    <w:qFormat/>
    <w:pPr>
      <w:ind w:left="1202"/>
    </w:pPr>
  </w:style>
  <w:style w:type="paragraph" w:customStyle="1" w:styleId="Text4">
    <w:name w:val="Text 4"/>
    <w:basedOn w:val="Normal"/>
    <w:qFormat/>
    <w:pPr>
      <w:ind w:left="1202"/>
    </w:pPr>
  </w:style>
  <w:style w:type="paragraph" w:styleId="Title">
    <w:name w:val="Title"/>
    <w:basedOn w:val="Normal"/>
    <w:next w:val="SubTitle1"/>
    <w:uiPriority w:val="40"/>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L"/>
    <w:basedOn w:val="Normal"/>
    <w:link w:val="ListParagraphChar"/>
    <w:uiPriority w:val="34"/>
    <w:qFormat/>
    <w:rsid w:val="00492613"/>
    <w:pPr>
      <w:ind w:left="720"/>
      <w:contextualSpacing/>
    </w:p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rsid w:val="00492613"/>
  </w:style>
  <w:style w:type="character" w:customStyle="1" w:styleId="Heading2Char">
    <w:name w:val="Heading 2 Char"/>
    <w:basedOn w:val="DefaultParagraphFont"/>
    <w:link w:val="Heading2"/>
    <w:uiPriority w:val="10"/>
    <w:rsid w:val="00BE5F49"/>
    <w:rPr>
      <w:b/>
    </w:rPr>
  </w:style>
  <w:style w:type="character" w:customStyle="1" w:styleId="Heading1Char">
    <w:name w:val="Heading 1 Char"/>
    <w:basedOn w:val="DefaultParagraphFont"/>
    <w:link w:val="Heading1"/>
    <w:uiPriority w:val="10"/>
    <w:rsid w:val="00F134D9"/>
    <w:rPr>
      <w:b/>
      <w:smallCaps/>
    </w:rPr>
  </w:style>
  <w:style w:type="paragraph" w:customStyle="1" w:styleId="Default">
    <w:name w:val="Default"/>
    <w:rsid w:val="00572EE8"/>
    <w:pPr>
      <w:autoSpaceDE w:val="0"/>
      <w:autoSpaceDN w:val="0"/>
      <w:adjustRightInd w:val="0"/>
    </w:pPr>
    <w:rPr>
      <w:color w:val="000000"/>
      <w:szCs w:val="24"/>
    </w:rPr>
  </w:style>
  <w:style w:type="character" w:customStyle="1" w:styleId="affairetitle">
    <w:name w:val="affaire_title"/>
    <w:basedOn w:val="DefaultParagraphFont"/>
    <w:rsid w:val="00991FE5"/>
  </w:style>
  <w:style w:type="character" w:styleId="CommentReference">
    <w:name w:val="annotation reference"/>
    <w:basedOn w:val="DefaultParagraphFont"/>
    <w:uiPriority w:val="99"/>
    <w:rsid w:val="00126B67"/>
    <w:rPr>
      <w:sz w:val="16"/>
      <w:szCs w:val="16"/>
    </w:rPr>
  </w:style>
  <w:style w:type="paragraph" w:styleId="CommentText">
    <w:name w:val="annotation text"/>
    <w:basedOn w:val="Normal"/>
    <w:link w:val="CommentTextChar"/>
    <w:semiHidden/>
    <w:rsid w:val="00126B67"/>
    <w:rPr>
      <w:sz w:val="20"/>
    </w:rPr>
  </w:style>
  <w:style w:type="character" w:customStyle="1" w:styleId="CommentTextChar">
    <w:name w:val="Comment Text Char"/>
    <w:basedOn w:val="DefaultParagraphFont"/>
    <w:link w:val="CommentText"/>
    <w:semiHidden/>
    <w:rsid w:val="00126B67"/>
    <w:rPr>
      <w:sz w:val="20"/>
    </w:rPr>
  </w:style>
  <w:style w:type="paragraph" w:styleId="CommentSubject">
    <w:name w:val="annotation subject"/>
    <w:basedOn w:val="CommentText"/>
    <w:next w:val="CommentText"/>
    <w:link w:val="CommentSubjectChar"/>
    <w:uiPriority w:val="99"/>
    <w:semiHidden/>
    <w:rsid w:val="00126B67"/>
    <w:rPr>
      <w:b/>
      <w:bCs/>
    </w:rPr>
  </w:style>
  <w:style w:type="character" w:customStyle="1" w:styleId="CommentSubjectChar">
    <w:name w:val="Comment Subject Char"/>
    <w:basedOn w:val="CommentTextChar"/>
    <w:link w:val="CommentSubject"/>
    <w:uiPriority w:val="99"/>
    <w:semiHidden/>
    <w:rsid w:val="00126B67"/>
    <w:rPr>
      <w:b/>
      <w:bCs/>
      <w:sz w:val="20"/>
    </w:rPr>
  </w:style>
  <w:style w:type="paragraph" w:styleId="Revision">
    <w:name w:val="Revision"/>
    <w:hidden/>
    <w:uiPriority w:val="99"/>
    <w:semiHidden/>
    <w:rsid w:val="009E1A88"/>
  </w:style>
  <w:style w:type="character" w:styleId="Hyperlink">
    <w:name w:val="Hyperlink"/>
    <w:basedOn w:val="DefaultParagraphFont"/>
    <w:uiPriority w:val="99"/>
    <w:semiHidden/>
    <w:rsid w:val="00C269EB"/>
    <w:rPr>
      <w:color w:val="0563C1" w:themeColor="hyperlink"/>
      <w:u w:val="single"/>
    </w:rPr>
  </w:style>
  <w:style w:type="character" w:customStyle="1" w:styleId="UnresolvedMention">
    <w:name w:val="Unresolved Mention"/>
    <w:basedOn w:val="DefaultParagraphFont"/>
    <w:uiPriority w:val="99"/>
    <w:semiHidden/>
    <w:unhideWhenUsed/>
    <w:rsid w:val="00C269EB"/>
    <w:rPr>
      <w:color w:val="605E5C"/>
      <w:shd w:val="clear" w:color="auto" w:fill="E1DFDD"/>
    </w:rPr>
  </w:style>
  <w:style w:type="character" w:customStyle="1" w:styleId="FootnoteTextChar">
    <w:name w:val="Footnote Text Char"/>
    <w:aliases w:val="Char Char Char,Footnote Text2 Char,Footnote Text11 Char,ALTS FOOTNOTE11 Char,Footnote Text Char111 Char,Footnote Text Char Char Char11 Char,Footnote Text Char1 Char Char Char Char11 Char,Footnote Text Char1 Char Char Char11 Char"/>
    <w:basedOn w:val="DefaultParagraphFont"/>
    <w:link w:val="FootnoteText"/>
    <w:rsid w:val="00017026"/>
    <w:rPr>
      <w:sz w:val="20"/>
    </w:rPr>
  </w:style>
  <w:style w:type="paragraph" w:customStyle="1" w:styleId="Body">
    <w:name w:val="Body"/>
    <w:basedOn w:val="Normal"/>
    <w:link w:val="BodyChar"/>
    <w:qFormat/>
    <w:rsid w:val="00FF2720"/>
    <w:pPr>
      <w:jc w:val="left"/>
    </w:pPr>
    <w:rPr>
      <w:rFonts w:ascii="Verdana" w:hAnsi="Verdana"/>
      <w:sz w:val="18"/>
      <w:lang w:eastAsia="en-US"/>
    </w:rPr>
  </w:style>
  <w:style w:type="character" w:customStyle="1" w:styleId="BodyChar">
    <w:name w:val="Body Char"/>
    <w:link w:val="Body"/>
    <w:rsid w:val="00FF2720"/>
    <w:rPr>
      <w:rFonts w:ascii="Verdana" w:hAnsi="Verdana"/>
      <w:sz w:val="18"/>
      <w:lang w:eastAsia="en-US"/>
    </w:rPr>
  </w:style>
  <w:style w:type="character" w:customStyle="1" w:styleId="Mention">
    <w:name w:val="Mention"/>
    <w:basedOn w:val="DefaultParagraphFont"/>
    <w:uiPriority w:val="99"/>
    <w:unhideWhenUsed/>
    <w:rsid w:val="00FF2720"/>
    <w:rPr>
      <w:color w:val="2B579A"/>
      <w:shd w:val="clear" w:color="auto" w:fill="E1DFDD"/>
    </w:rPr>
  </w:style>
  <w:style w:type="paragraph" w:customStyle="1" w:styleId="Typedudocument">
    <w:name w:val="Type du document"/>
    <w:basedOn w:val="Normal"/>
    <w:next w:val="Normal"/>
    <w:rsid w:val="00BC107C"/>
    <w:pPr>
      <w:spacing w:before="360" w:after="0"/>
      <w:jc w:val="center"/>
    </w:pPr>
    <w:rPr>
      <w:rFonts w:eastAsiaTheme="minorHAnsi"/>
      <w:b/>
      <w:szCs w:val="22"/>
      <w:lang w:eastAsia="en-US"/>
    </w:rPr>
  </w:style>
  <w:style w:type="paragraph" w:customStyle="1" w:styleId="Titreobjet">
    <w:name w:val="Titre objet"/>
    <w:basedOn w:val="Normal"/>
    <w:next w:val="Normal"/>
    <w:rsid w:val="00BC107C"/>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rsid w:val="00BC107C"/>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C107C"/>
  </w:style>
  <w:style w:type="paragraph" w:customStyle="1" w:styleId="FooterSensitivity">
    <w:name w:val="Footer Sensitivity"/>
    <w:basedOn w:val="Normal"/>
    <w:link w:val="FooterSensitivityChar"/>
    <w:rsid w:val="00BC107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C107C"/>
    <w:rPr>
      <w:b/>
      <w:sz w:val="32"/>
    </w:rPr>
  </w:style>
  <w:style w:type="paragraph" w:customStyle="1" w:styleId="HeaderCoverPage">
    <w:name w:val="Header Cover Page"/>
    <w:basedOn w:val="Normal"/>
    <w:link w:val="HeaderCoverPageChar"/>
    <w:rsid w:val="00BC107C"/>
    <w:pPr>
      <w:tabs>
        <w:tab w:val="center" w:pos="4535"/>
        <w:tab w:val="right" w:pos="9071"/>
      </w:tabs>
      <w:spacing w:after="120"/>
    </w:pPr>
  </w:style>
  <w:style w:type="character" w:customStyle="1" w:styleId="HeaderCoverPageChar">
    <w:name w:val="Header Cover Page Char"/>
    <w:basedOn w:val="DefaultParagraphFont"/>
    <w:link w:val="HeaderCoverPage"/>
    <w:rsid w:val="00BC107C"/>
  </w:style>
  <w:style w:type="paragraph" w:customStyle="1" w:styleId="HeaderSensitivity">
    <w:name w:val="Header Sensitivity"/>
    <w:basedOn w:val="Normal"/>
    <w:link w:val="HeaderSensitivityChar"/>
    <w:rsid w:val="00BC107C"/>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BC107C"/>
    <w:rPr>
      <w:b/>
      <w:sz w:val="32"/>
    </w:rPr>
  </w:style>
  <w:style w:type="paragraph" w:customStyle="1" w:styleId="HeaderSensitivityRight">
    <w:name w:val="Header Sensitivity Right"/>
    <w:basedOn w:val="Normal"/>
    <w:link w:val="HeaderSensitivityRightChar"/>
    <w:rsid w:val="00BC107C"/>
    <w:pPr>
      <w:spacing w:after="120"/>
      <w:jc w:val="right"/>
    </w:pPr>
    <w:rPr>
      <w:sz w:val="28"/>
    </w:rPr>
  </w:style>
  <w:style w:type="character" w:customStyle="1" w:styleId="HeaderSensitivityRightChar">
    <w:name w:val="Header Sensitivity Right Char"/>
    <w:basedOn w:val="DefaultParagraphFont"/>
    <w:link w:val="HeaderSensitivityRight"/>
    <w:rsid w:val="00BC107C"/>
    <w:rPr>
      <w:sz w:val="28"/>
    </w:rPr>
  </w:style>
  <w:style w:type="character" w:customStyle="1" w:styleId="Marker">
    <w:name w:val="Marker"/>
    <w:basedOn w:val="DefaultParagraphFont"/>
    <w:rsid w:val="00EA6A00"/>
    <w:rPr>
      <w:color w:val="0000FF"/>
      <w:shd w:val="clear" w:color="auto" w:fill="auto"/>
    </w:rPr>
  </w:style>
  <w:style w:type="paragraph" w:customStyle="1" w:styleId="Pagedecouverture">
    <w:name w:val="Page de couverture"/>
    <w:basedOn w:val="Normal"/>
    <w:next w:val="Normal"/>
    <w:rsid w:val="004A2C19"/>
    <w:pPr>
      <w:spacing w:after="0"/>
    </w:pPr>
    <w:rPr>
      <w:rFonts w:eastAsiaTheme="minorHAnsi"/>
      <w:szCs w:val="22"/>
      <w:lang w:eastAsia="en-US"/>
    </w:rPr>
  </w:style>
  <w:style w:type="character" w:customStyle="1" w:styleId="cf01">
    <w:name w:val="cf01"/>
    <w:basedOn w:val="DefaultParagraphFont"/>
    <w:rsid w:val="003948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97473">
      <w:bodyDiv w:val="1"/>
      <w:marLeft w:val="0"/>
      <w:marRight w:val="0"/>
      <w:marTop w:val="0"/>
      <w:marBottom w:val="0"/>
      <w:divBdr>
        <w:top w:val="none" w:sz="0" w:space="0" w:color="auto"/>
        <w:left w:val="none" w:sz="0" w:space="0" w:color="auto"/>
        <w:bottom w:val="none" w:sz="0" w:space="0" w:color="auto"/>
        <w:right w:val="none" w:sz="0" w:space="0" w:color="auto"/>
      </w:divBdr>
    </w:div>
    <w:div w:id="604116642">
      <w:bodyDiv w:val="1"/>
      <w:marLeft w:val="0"/>
      <w:marRight w:val="0"/>
      <w:marTop w:val="0"/>
      <w:marBottom w:val="0"/>
      <w:divBdr>
        <w:top w:val="none" w:sz="0" w:space="0" w:color="auto"/>
        <w:left w:val="none" w:sz="0" w:space="0" w:color="auto"/>
        <w:bottom w:val="none" w:sz="0" w:space="0" w:color="auto"/>
        <w:right w:val="none" w:sz="0" w:space="0" w:color="auto"/>
      </w:divBdr>
    </w:div>
    <w:div w:id="1336568481">
      <w:bodyDiv w:val="1"/>
      <w:marLeft w:val="0"/>
      <w:marRight w:val="0"/>
      <w:marTop w:val="0"/>
      <w:marBottom w:val="0"/>
      <w:divBdr>
        <w:top w:val="none" w:sz="0" w:space="0" w:color="auto"/>
        <w:left w:val="none" w:sz="0" w:space="0" w:color="auto"/>
        <w:bottom w:val="none" w:sz="0" w:space="0" w:color="auto"/>
        <w:right w:val="none" w:sz="0" w:space="0" w:color="auto"/>
      </w:divBdr>
    </w:div>
    <w:div w:id="1442990343">
      <w:bodyDiv w:val="1"/>
      <w:marLeft w:val="0"/>
      <w:marRight w:val="0"/>
      <w:marTop w:val="0"/>
      <w:marBottom w:val="0"/>
      <w:divBdr>
        <w:top w:val="none" w:sz="0" w:space="0" w:color="auto"/>
        <w:left w:val="none" w:sz="0" w:space="0" w:color="auto"/>
        <w:bottom w:val="none" w:sz="0" w:space="0" w:color="auto"/>
        <w:right w:val="none" w:sz="0" w:space="0" w:color="auto"/>
      </w:divBdr>
    </w:div>
    <w:div w:id="1520120376">
      <w:bodyDiv w:val="1"/>
      <w:marLeft w:val="0"/>
      <w:marRight w:val="0"/>
      <w:marTop w:val="0"/>
      <w:marBottom w:val="0"/>
      <w:divBdr>
        <w:top w:val="none" w:sz="0" w:space="0" w:color="auto"/>
        <w:left w:val="none" w:sz="0" w:space="0" w:color="auto"/>
        <w:bottom w:val="none" w:sz="0" w:space="0" w:color="auto"/>
        <w:right w:val="none" w:sz="0" w:space="0" w:color="auto"/>
      </w:divBdr>
    </w:div>
    <w:div w:id="1796215377">
      <w:bodyDiv w:val="1"/>
      <w:marLeft w:val="0"/>
      <w:marRight w:val="0"/>
      <w:marTop w:val="0"/>
      <w:marBottom w:val="0"/>
      <w:divBdr>
        <w:top w:val="none" w:sz="0" w:space="0" w:color="auto"/>
        <w:left w:val="none" w:sz="0" w:space="0" w:color="auto"/>
        <w:bottom w:val="none" w:sz="0" w:space="0" w:color="auto"/>
        <w:right w:val="none" w:sz="0" w:space="0" w:color="auto"/>
      </w:divBdr>
    </w:div>
    <w:div w:id="202207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d0bbd77f-bee5-4ee5-b5c4-6110c7605476_en?filename=swd2021_30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fdffb593-c334-4f81-acba-c8fae49b4010</Id>
  <Names>
    <Latin>
      <FirstName>Elias</FirstName>
      <LastName>DEUTSCHER</LastName>
    </Latin>
    <Greek>
      <FirstName/>
      <LastName/>
    </Greek>
    <Cyrillic>
      <FirstName/>
      <LastName/>
    </Cyrillic>
    <DocumentScript>
      <FirstName>Elias</FirstName>
      <LastName>DEUTSCHER</LastName>
      <FullName>Elias DEUTSCHER</FullName>
    </DocumentScript>
  </Names>
  <Initials>ED</Initials>
  <Gender>m</Gender>
  <Email/>
  <Service>COMP.A.4</Service>
  <Function ADCode="" ShowInSignature="true" ShowInHeader="false" HeaderText=""/>
  <WebAddress/>
  <FunctionalMailbox/>
  <InheritedWebAddress>WebAddress</InheritedWebAddress>
  <OrgaEntity1>
    <Id>b3bda33f-e94b-4892-a3f0-94c633b11b72</Id>
    <LogicalLevel>1</LogicalLevel>
    <Name>COMP</Name>
    <HeadLine1>DIRECTORATE-GENERAL FOR COMPETITION</HeadLine1>
    <HeadLine2/>
    <PrimaryAddressId>f03b5801-04c9-4931-aa17-c6d6c70bc579</PrimaryAddressId>
    <SecondaryAddressId/>
    <WebAddress>WebAddress</WebAddress>
    <InheritedWebAddress>WebAddress</InheritedWebAddress>
    <ShowInHeader>true</ShowInHeader>
  </OrgaEntity1>
  <OrgaEntity2>
    <Id>d623bd62-21d5-49f4-a7a7-d5f278462211</Id>
    <LogicalLevel>2</LogicalLevel>
    <Name>COMP.A</Name>
    <HeadLine1>Policy and Strategy</HeadLine1>
    <HeadLine2/>
    <PrimaryAddressId>f03b5801-04c9-4931-aa17-c6d6c70bc579</PrimaryAddressId>
    <SecondaryAddressId/>
    <WebAddress/>
    <InheritedWebAddress>WebAddress</InheritedWebAddress>
    <ShowInHeader>true</ShowInHeader>
  </OrgaEntity2>
  <OrgaEntity3>
    <Id>a804cfad-8c60-485e-ba3c-43c5ce4f8ae0</Id>
    <LogicalLevel>3</LogicalLevel>
    <Name>COMP.A.4</Name>
    <HeadLine1>European Competition Network and Private enforcement</HeadLine1>
    <HeadLine2/>
    <PrimaryAddressId>f03b5801-04c9-4931-aa17-c6d6c70bc579</PrimaryAddressId>
    <SecondaryAddressId/>
    <WebAddress/>
    <InheritedWebAddress>WebAddress</InheritedWebAddress>
    <ShowInHeader>true</ShowInHeader>
  </OrgaEntity3>
  <Hierarchy>
    <OrgaEntity>
      <Id>b3bda33f-e94b-4892-a3f0-94c633b11b72</Id>
      <LogicalLevel>1</LogicalLevel>
      <Name>COMP</Name>
      <HeadLine1>DIRECTORATE-GENERAL FOR COMPETITION</HeadLine1>
      <HeadLine2/>
      <PrimaryAddressId>f03b5801-04c9-4931-aa17-c6d6c70bc579</PrimaryAddressId>
      <SecondaryAddressId/>
      <WebAddress>WebAddress</WebAddress>
      <InheritedWebAddress>WebAddress</InheritedWebAddress>
      <ShowInHeader>true</ShowInHeader>
    </OrgaEntity>
    <OrgaEntity>
      <Id>d623bd62-21d5-49f4-a7a7-d5f278462211</Id>
      <LogicalLevel>2</LogicalLevel>
      <Name>COMP.A</Name>
      <HeadLine1>Policy and Strategy</HeadLine1>
      <HeadLine2/>
      <PrimaryAddressId>f03b5801-04c9-4931-aa17-c6d6c70bc579</PrimaryAddressId>
      <SecondaryAddressId/>
      <WebAddress/>
      <InheritedWebAddress>WebAddress</InheritedWebAddress>
      <ShowInHeader>true</ShowInHeader>
    </OrgaEntity>
    <OrgaEntity>
      <Id>a804cfad-8c60-485e-ba3c-43c5ce4f8ae0</Id>
      <LogicalLevel>3</LogicalLevel>
      <Name>COMP.A.4</Name>
      <HeadLine1>European Competition Network and Private enforcement</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+32 229-55190</Phone>
    <Office>MADO 20/058</Office>
  </MainWorkplace>
  <Workplaces>
    <Workplace IsMain="true">
      <AddressId>f03b5801-04c9-4931-aa17-c6d6c70bc579</AddressId>
      <Fax/>
      <Phone>+32 229-55190</Phone>
      <Office>MADO 20/058</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B3FB4A9C59EF314791AA713CE5448AA0" ma:contentTypeVersion="9" ma:contentTypeDescription="Create a new document." ma:contentTypeScope="" ma:versionID="08a5e8af18b01642dc345f306fe0e2b7">
  <xsd:schema xmlns:xsd="http://www.w3.org/2001/XMLSchema" xmlns:xs="http://www.w3.org/2001/XMLSchema" xmlns:p="http://schemas.microsoft.com/office/2006/metadata/properties" xmlns:ns3="f25cbdc0-0ef9-45cc-9261-b47b459937c1" xmlns:ns4="3590d0e6-1123-43ed-9096-fd6d21660757" targetNamespace="http://schemas.microsoft.com/office/2006/metadata/properties" ma:root="true" ma:fieldsID="250533877799e401806a8acc3f67ba74" ns3:_="" ns4:_="">
    <xsd:import namespace="f25cbdc0-0ef9-45cc-9261-b47b459937c1"/>
    <xsd:import namespace="3590d0e6-1123-43ed-9096-fd6d216607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cbdc0-0ef9-45cc-9261-b47b45993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0d0e6-1123-43ed-9096-fd6d216607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25cbdc0-0ef9-45cc-9261-b47b459937c1" xsi:nil="true"/>
  </documentManagement>
</p:properties>
</file>

<file path=customXml/item5.xml><?xml version="1.0" encoding="utf-8"?>
<EurolookProperties>
  <ProductCustomizationId>EC</ProductCustomizationId>
  <Created>
    <Version>10.0.45789.0</Version>
    <Date>2024-06-29T17:06:31</Date>
    <Language>EN</Language>
    <Note/>
  </Created>
  <Edited>
    <Version/>
    <Date/>
  </Edited>
  <DocumentModel>
    <Id>6cbda13a-4db2-46c6-876a-ef72275827ef</Id>
    <Name>Report</Name>
  </DocumentModel>
  <CustomTemplate>
    <Id/>
    <Name/>
  </CustomTemplate>
  <DocumentDate>2024-06-29T17:06:31</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istributionDG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D5BF9-3D6D-4277-8928-E05124EBC77C}">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E0F39E2-B63B-4DD7-9E9B-D6991449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cbdc0-0ef9-45cc-9261-b47b459937c1"/>
    <ds:schemaRef ds:uri="3590d0e6-1123-43ed-9096-fd6d21660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C2A3F-F2DC-4F94-809D-1C32CE4C16B9}">
  <ds:schemaRefs>
    <ds:schemaRef ds:uri="http://schemas.microsoft.com/office/2006/metadata/properties"/>
    <ds:schemaRef ds:uri="http://schemas.microsoft.com/office/infopath/2007/PartnerControls"/>
    <ds:schemaRef ds:uri="f25cbdc0-0ef9-45cc-9261-b47b459937c1"/>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4F05003-E886-4F85-9C32-17585BB206A6}">
  <ds:schemaRefs>
    <ds:schemaRef ds:uri="http://schemas.microsoft.com/sharepoint/v3/contenttype/forms"/>
  </ds:schemaRefs>
</ds:datastoreItem>
</file>

<file path=customXml/itemProps7.xml><?xml version="1.0" encoding="utf-8"?>
<ds:datastoreItem xmlns:ds="http://schemas.openxmlformats.org/officeDocument/2006/customXml" ds:itemID="{D8C94ED9-9010-46C0-BCBD-858CBD48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5605</Words>
  <Characters>31950</Characters>
  <Application>Microsoft Office Word</Application>
  <DocSecurity>0</DocSecurity>
  <PresentationFormat>Microsoft Word 14.0</PresentationFormat>
  <Lines>266</Lines>
  <Paragraphs>74</Paragraphs>
  <ScaleCrop>true</ScaleCrop>
  <HeadingPairs>
    <vt:vector size="2" baseType="variant">
      <vt:variant>
        <vt:lpstr>Title</vt:lpstr>
      </vt:variant>
      <vt:variant>
        <vt:i4>1</vt:i4>
      </vt:variant>
    </vt:vector>
  </HeadingPairs>
  <TitlesOfParts>
    <vt:vector size="1" baseType="lpstr">
      <vt:lpstr>REPORT FROM THE COMMISSION TO THE EUROPEAN PARLIAMENT AND THE COUNCIL
on the review of Directive 2019/1/EU of the European Parliament and of the Council of 11 December 2018 to empower the competition authorities of the Member States to be more effective e</vt:lpstr>
    </vt:vector>
  </TitlesOfParts>
  <Manager/>
  <Company/>
  <LinksUpToDate>false</LinksUpToDate>
  <CharactersWithSpaces>37481</CharactersWithSpaces>
  <SharedDoc>false</SharedDoc>
  <HLinks>
    <vt:vector size="12" baseType="variant">
      <vt:variant>
        <vt:i4>4522018</vt:i4>
      </vt:variant>
      <vt:variant>
        <vt:i4>0</vt:i4>
      </vt:variant>
      <vt:variant>
        <vt:i4>0</vt:i4>
      </vt:variant>
      <vt:variant>
        <vt:i4>5</vt:i4>
      </vt:variant>
      <vt:variant>
        <vt:lpwstr>https://commission.europa.eu/document/download/d0bbd77f-bee5-4ee5-b5c4-6110c7605476_en?filename=swd2021_305_en.pdf</vt:lpwstr>
      </vt:variant>
      <vt:variant>
        <vt:lpwstr/>
      </vt:variant>
      <vt:variant>
        <vt:i4>3145748</vt:i4>
      </vt:variant>
      <vt:variant>
        <vt:i4>0</vt:i4>
      </vt:variant>
      <vt:variant>
        <vt:i4>0</vt:i4>
      </vt:variant>
      <vt:variant>
        <vt:i4>5</vt:i4>
      </vt:variant>
      <vt:variant>
        <vt:lpwstr>mailto:Elias.DEUTSCHER@ec.europa.eu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THE COUNCIL
on the review of Directive 2019/1/EU of the European Parliament and of the Council of 11 December 2018 to empower the competition authorities of the Member States to be more effective enforcers and to ensure the proper functioning of the internal market (Text with EEA relevance.)</dc:title>
  <dc:subject/>
  <dc:creator/>
  <cp:keywords/>
  <dc:description/>
  <cp:lastModifiedBy/>
  <cp:revision>8</cp:revision>
  <dcterms:created xsi:type="dcterms:W3CDTF">2024-11-07T16:15:00Z</dcterms:created>
  <dcterms:modified xsi:type="dcterms:W3CDTF">2024-11-22T08:21:00Z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2024-06-29T15:30:00Z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aea31afc-6b7c-43ec-9a96-f572ad7e1307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rep.dot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CP-005</vt:lpwstr>
  </property>
  <property fmtid="{D5CDD505-2E9C-101B-9397-08002B2CF9AE}" pid="16" name="Last edited using">
    <vt:lpwstr>LW 9.0, Build 20230317</vt:lpwstr>
  </property>
  <property fmtid="{D5CDD505-2E9C-101B-9397-08002B2CF9AE}" pid="17" name="Created using">
    <vt:lpwstr>LW 9.0, Build 20230317</vt:lpwstr>
  </property>
  <property fmtid="{D5CDD505-2E9C-101B-9397-08002B2CF9AE}" pid="18" name="ContentTypeId">
    <vt:lpwstr>0x010100B3FB4A9C59EF314791AA713CE5448AA0</vt:lpwstr>
  </property>
  <property name="OP_sanitized" fmtid="{D5CDD505-2E9C-101B-9397-08002B2CF9AE}" pid="19">
    <vt:lpwstr>True</vt:lpwstr>
  </property>
</Properties>
</file>